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480F0" w14:textId="77777777" w:rsidR="00095302" w:rsidRDefault="00095302" w:rsidP="00DD098B">
      <w:pPr>
        <w:tabs>
          <w:tab w:val="left" w:pos="8931"/>
        </w:tabs>
        <w:spacing w:after="0" w:line="360" w:lineRule="auto"/>
        <w:contextualSpacing/>
        <w:rPr>
          <w:rFonts w:cs="Tahoma"/>
          <w:bCs/>
        </w:rPr>
      </w:pPr>
    </w:p>
    <w:p w14:paraId="3200F1A8" w14:textId="3DFE6FD1" w:rsidR="00F505D5" w:rsidRPr="00DD098B" w:rsidRDefault="00F505D5" w:rsidP="00DD098B">
      <w:pPr>
        <w:tabs>
          <w:tab w:val="left" w:pos="8931"/>
        </w:tabs>
        <w:spacing w:after="0" w:line="360" w:lineRule="auto"/>
        <w:contextualSpacing/>
        <w:rPr>
          <w:rFonts w:eastAsia="Calibri" w:cs="Tahoma"/>
          <w:lang w:val="es-ES"/>
        </w:rPr>
      </w:pPr>
      <w:r w:rsidRPr="00DD098B">
        <w:rPr>
          <w:rFonts w:cs="Tahoma"/>
          <w:bCs/>
        </w:rPr>
        <w:t xml:space="preserve">Resolución del Pleno del Instituto de Transparencia, Acceso a la Información Pública y Protección de Datos Personales del Estado de México y Municipios, con domicilio en Metepec, </w:t>
      </w:r>
      <w:r w:rsidRPr="00DD098B">
        <w:rPr>
          <w:rFonts w:eastAsia="Calibri" w:cs="Tahoma"/>
          <w:lang w:val="es-ES"/>
        </w:rPr>
        <w:t xml:space="preserve">Estado de México, de fecha </w:t>
      </w:r>
      <w:r w:rsidR="00853056">
        <w:rPr>
          <w:rFonts w:eastAsia="Calibri" w:cs="Tahoma"/>
          <w:lang w:val="es-ES"/>
        </w:rPr>
        <w:t>cuatro de mayo</w:t>
      </w:r>
      <w:r w:rsidRPr="00DD098B">
        <w:rPr>
          <w:rFonts w:eastAsia="Calibri" w:cs="Tahoma"/>
          <w:lang w:val="es-ES"/>
        </w:rPr>
        <w:t xml:space="preserve"> de dos mil veintitrés. </w:t>
      </w:r>
    </w:p>
    <w:p w14:paraId="69437AEB" w14:textId="77777777" w:rsidR="00F505D5" w:rsidRPr="00DD098B" w:rsidRDefault="00F505D5" w:rsidP="00DD098B">
      <w:pPr>
        <w:spacing w:after="0" w:line="360" w:lineRule="auto"/>
        <w:contextualSpacing/>
        <w:rPr>
          <w:rFonts w:eastAsia="Calibri" w:cs="Tahoma"/>
          <w:b/>
          <w:bCs/>
          <w:lang w:val="es-ES"/>
        </w:rPr>
      </w:pPr>
    </w:p>
    <w:p w14:paraId="5CCF6EBF" w14:textId="43696083" w:rsidR="00F505D5" w:rsidRPr="00DD098B" w:rsidRDefault="00F505D5" w:rsidP="00DD098B">
      <w:pPr>
        <w:spacing w:after="0" w:line="360" w:lineRule="auto"/>
        <w:contextualSpacing/>
        <w:rPr>
          <w:rFonts w:cs="Tahoma"/>
          <w:color w:val="0D0D0D" w:themeColor="text1" w:themeTint="F2"/>
        </w:rPr>
      </w:pPr>
      <w:r w:rsidRPr="00DD098B">
        <w:rPr>
          <w:rFonts w:eastAsia="Calibri" w:cs="Tahoma"/>
          <w:b/>
          <w:bCs/>
          <w:lang w:val="es-ES"/>
        </w:rPr>
        <w:t xml:space="preserve">VISTO </w:t>
      </w:r>
      <w:r w:rsidRPr="00DD098B">
        <w:rPr>
          <w:rFonts w:eastAsia="Calibri" w:cs="Tahoma"/>
          <w:lang w:val="es-ES"/>
        </w:rPr>
        <w:t xml:space="preserve">el expediente conformado con motivo del Recurso de Revisión </w:t>
      </w:r>
      <w:r w:rsidRPr="00DD098B">
        <w:rPr>
          <w:rFonts w:eastAsia="Calibri" w:cs="Tahoma"/>
        </w:rPr>
        <w:t>00526/INFOEM/IP/RR/2023, interpuesto por el</w:t>
      </w:r>
      <w:r w:rsidRPr="00DD098B">
        <w:rPr>
          <w:rFonts w:cs="Tahoma"/>
          <w:color w:val="0D0D0D" w:themeColor="text1" w:themeTint="F2"/>
        </w:rPr>
        <w:t xml:space="preserve"> Recurrente o Particular, en contra de la falta de respuesta del Sujeto Obligado, Ayuntamiento de Zinacantepec, a la solicitud de acceso a la información pública</w:t>
      </w:r>
      <w:r w:rsidRPr="00DD098B">
        <w:rPr>
          <w:b/>
          <w:bCs/>
          <w:color w:val="FF0000"/>
        </w:rPr>
        <w:t> </w:t>
      </w:r>
      <w:r w:rsidRPr="00DD098B">
        <w:t>01436/ZINACANT/IP/2022</w:t>
      </w:r>
      <w:r w:rsidRPr="00DD098B">
        <w:rPr>
          <w:rFonts w:cs="Tahoma"/>
          <w:iCs/>
          <w:color w:val="0D0D0D" w:themeColor="text1" w:themeTint="F2"/>
        </w:rPr>
        <w:t>,</w:t>
      </w:r>
      <w:r w:rsidRPr="00DD098B">
        <w:rPr>
          <w:rFonts w:cs="Tahoma"/>
          <w:color w:val="0D0D0D" w:themeColor="text1" w:themeTint="F2"/>
        </w:rPr>
        <w:t xml:space="preserve"> se emite</w:t>
      </w:r>
      <w:r w:rsidRPr="00DD098B">
        <w:rPr>
          <w:rFonts w:cs="Tahoma"/>
          <w:bCs/>
          <w:color w:val="0D0D0D" w:themeColor="text1" w:themeTint="F2"/>
        </w:rPr>
        <w:t xml:space="preserve"> la presente Resolución, con base en los Antecedentes y Considerandos que se exponen a continuación:</w:t>
      </w:r>
    </w:p>
    <w:p w14:paraId="1CD88C60" w14:textId="77777777" w:rsidR="00F505D5" w:rsidRPr="00DD098B" w:rsidRDefault="00F505D5" w:rsidP="00DD098B">
      <w:pPr>
        <w:spacing w:after="0" w:line="360" w:lineRule="auto"/>
        <w:contextualSpacing/>
        <w:rPr>
          <w:rFonts w:eastAsia="Calibri" w:cs="Tahoma"/>
          <w:b/>
          <w:bCs/>
          <w:lang w:val="es-ES"/>
        </w:rPr>
      </w:pPr>
    </w:p>
    <w:p w14:paraId="3A8E036F" w14:textId="77777777" w:rsidR="00F505D5" w:rsidRPr="00DD098B" w:rsidRDefault="00F505D5" w:rsidP="00DD098B">
      <w:pPr>
        <w:spacing w:after="0" w:line="360" w:lineRule="auto"/>
        <w:contextualSpacing/>
        <w:jc w:val="center"/>
        <w:rPr>
          <w:rFonts w:eastAsia="Calibri" w:cs="Tahoma"/>
          <w:b/>
          <w:bCs/>
          <w:lang w:val="es-ES"/>
        </w:rPr>
      </w:pPr>
      <w:r w:rsidRPr="00DD098B">
        <w:rPr>
          <w:rFonts w:eastAsia="Calibri" w:cs="Tahoma"/>
          <w:b/>
          <w:bCs/>
          <w:lang w:val="es-ES"/>
        </w:rPr>
        <w:t>A N T E C E D E N T E S:</w:t>
      </w:r>
    </w:p>
    <w:p w14:paraId="75269AE1" w14:textId="77777777" w:rsidR="00F505D5" w:rsidRPr="00DD098B" w:rsidRDefault="00F505D5" w:rsidP="00DD098B">
      <w:pPr>
        <w:spacing w:after="0" w:line="360" w:lineRule="auto"/>
        <w:contextualSpacing/>
        <w:rPr>
          <w:lang w:val="es-ES"/>
        </w:rPr>
      </w:pPr>
    </w:p>
    <w:p w14:paraId="6510969B" w14:textId="77777777" w:rsidR="00F505D5" w:rsidRPr="00DD098B" w:rsidRDefault="00F505D5" w:rsidP="00DD098B">
      <w:pPr>
        <w:spacing w:after="0" w:line="360" w:lineRule="auto"/>
        <w:contextualSpacing/>
        <w:rPr>
          <w:rFonts w:eastAsia="Calibri" w:cs="Tahoma"/>
          <w:b/>
          <w:bCs/>
          <w:lang w:val="es-ES"/>
        </w:rPr>
      </w:pPr>
      <w:r w:rsidRPr="00DD098B">
        <w:rPr>
          <w:rFonts w:eastAsia="Calibri" w:cs="Tahoma"/>
          <w:b/>
          <w:bCs/>
          <w:lang w:val="es-ES"/>
        </w:rPr>
        <w:t>I. Presentación de la solicitud de información.</w:t>
      </w:r>
    </w:p>
    <w:p w14:paraId="486EB5AA" w14:textId="77777777" w:rsidR="00F505D5" w:rsidRPr="00DD098B" w:rsidRDefault="00F505D5" w:rsidP="00DD098B">
      <w:pPr>
        <w:spacing w:after="0" w:line="360" w:lineRule="auto"/>
        <w:contextualSpacing/>
        <w:rPr>
          <w:rFonts w:eastAsia="Calibri" w:cs="Tahoma"/>
          <w:b/>
          <w:bCs/>
          <w:lang w:val="es-ES"/>
        </w:rPr>
      </w:pPr>
    </w:p>
    <w:p w14:paraId="5A3C102D" w14:textId="1905F861" w:rsidR="00F505D5" w:rsidRPr="00DD098B" w:rsidRDefault="00F505D5" w:rsidP="00DD098B">
      <w:pPr>
        <w:spacing w:after="0" w:line="360" w:lineRule="auto"/>
        <w:contextualSpacing/>
        <w:rPr>
          <w:rFonts w:cs="Tahoma"/>
        </w:rPr>
      </w:pPr>
      <w:r w:rsidRPr="00DD098B">
        <w:rPr>
          <w:rFonts w:eastAsia="Calibri" w:cs="Tahoma"/>
          <w:lang w:val="es-ES"/>
        </w:rPr>
        <w:t>Con fecha doce de diciembre de dos mil veintidós, se presentó una solicitud de información del Particular, a través del Sistema de Acceso a la Información Mexiquense (SAIMEX), ante el</w:t>
      </w:r>
      <w:r w:rsidRPr="00DD098B">
        <w:rPr>
          <w:color w:val="000000"/>
        </w:rPr>
        <w:t xml:space="preserve"> Ayuntamiento de Zinacantepec</w:t>
      </w:r>
      <w:r w:rsidRPr="00DD098B">
        <w:rPr>
          <w:rFonts w:eastAsia="Calibri" w:cs="Tahoma"/>
        </w:rPr>
        <w:t xml:space="preserve">, </w:t>
      </w:r>
      <w:r w:rsidRPr="00DD098B">
        <w:rPr>
          <w:rFonts w:cs="Tahoma"/>
        </w:rPr>
        <w:t>en los siguientes términos:</w:t>
      </w:r>
    </w:p>
    <w:p w14:paraId="4D456AE2" w14:textId="77777777" w:rsidR="00F505D5" w:rsidRPr="00DD098B" w:rsidRDefault="00F505D5" w:rsidP="00DD098B">
      <w:pPr>
        <w:spacing w:after="0" w:line="360" w:lineRule="auto"/>
        <w:contextualSpacing/>
        <w:rPr>
          <w:rFonts w:cs="Tahoma"/>
        </w:rPr>
      </w:pPr>
    </w:p>
    <w:p w14:paraId="7B224673" w14:textId="77777777" w:rsidR="00F505D5" w:rsidRPr="00DD098B" w:rsidRDefault="00F505D5" w:rsidP="00DD098B">
      <w:pPr>
        <w:tabs>
          <w:tab w:val="left" w:pos="4667"/>
        </w:tabs>
        <w:spacing w:after="0" w:line="360" w:lineRule="auto"/>
        <w:ind w:left="567" w:right="567"/>
        <w:contextualSpacing/>
        <w:rPr>
          <w:rFonts w:cs="Tahoma"/>
          <w:b/>
          <w:bCs/>
          <w:i/>
          <w:sz w:val="20"/>
          <w:szCs w:val="20"/>
        </w:rPr>
      </w:pPr>
      <w:r w:rsidRPr="00DD098B">
        <w:rPr>
          <w:rFonts w:cs="Tahoma"/>
          <w:b/>
          <w:bCs/>
          <w:i/>
          <w:sz w:val="20"/>
          <w:szCs w:val="20"/>
        </w:rPr>
        <w:t>“DESCRIPCIÓN CLARA Y PRECISA DE LA INFORMACIÓN SOLICITADA</w:t>
      </w:r>
    </w:p>
    <w:p w14:paraId="6CF5AE9F" w14:textId="61C2417A" w:rsidR="00F505D5" w:rsidRPr="00DD098B" w:rsidRDefault="00F505D5" w:rsidP="00DD098B">
      <w:pPr>
        <w:spacing w:after="0" w:line="360" w:lineRule="auto"/>
        <w:ind w:left="567" w:right="567"/>
        <w:contextualSpacing/>
        <w:rPr>
          <w:rFonts w:eastAsia="Times New Roman" w:cs="Times New Roman"/>
          <w:i/>
          <w:color w:val="auto"/>
          <w:sz w:val="20"/>
          <w:szCs w:val="20"/>
          <w:lang w:eastAsia="es-MX"/>
        </w:rPr>
      </w:pPr>
      <w:r w:rsidRPr="00DD098B">
        <w:rPr>
          <w:rFonts w:eastAsia="Times New Roman" w:cs="Times New Roman"/>
          <w:i/>
          <w:color w:val="auto"/>
          <w:sz w:val="20"/>
          <w:szCs w:val="20"/>
          <w:lang w:eastAsia="es-MX"/>
        </w:rPr>
        <w:t>SOLICITO LA LISTA DE PARTICIPANTES DEL TORNEO DE FUTBOL MUNDIALITO ORGANIZADO POR EL AYUNTAMIENTO DE ZINACANTEPEC</w:t>
      </w:r>
      <w:r w:rsidRPr="00DD098B">
        <w:rPr>
          <w:rFonts w:cs="Tahoma"/>
          <w:bCs/>
          <w:i/>
          <w:sz w:val="20"/>
          <w:szCs w:val="20"/>
        </w:rPr>
        <w:t xml:space="preserve">” </w:t>
      </w:r>
      <w:r w:rsidRPr="00DD098B">
        <w:rPr>
          <w:rFonts w:eastAsia="Times New Roman" w:cs="Arial"/>
          <w:bCs/>
          <w:i/>
          <w:sz w:val="20"/>
          <w:szCs w:val="20"/>
          <w:lang w:eastAsia="es-ES"/>
        </w:rPr>
        <w:t>(Sic)</w:t>
      </w:r>
    </w:p>
    <w:p w14:paraId="28390BEA" w14:textId="77777777" w:rsidR="00F505D5" w:rsidRPr="00DD098B" w:rsidRDefault="00F505D5" w:rsidP="00DD098B">
      <w:pPr>
        <w:tabs>
          <w:tab w:val="left" w:pos="4667"/>
        </w:tabs>
        <w:spacing w:after="0" w:line="360" w:lineRule="auto"/>
        <w:ind w:left="567" w:right="567"/>
        <w:contextualSpacing/>
        <w:rPr>
          <w:rFonts w:cs="Tahoma"/>
          <w:bCs/>
          <w:i/>
          <w:sz w:val="20"/>
          <w:szCs w:val="20"/>
        </w:rPr>
      </w:pPr>
    </w:p>
    <w:p w14:paraId="2F8AD71E" w14:textId="77777777" w:rsidR="00F505D5" w:rsidRPr="00DD098B" w:rsidRDefault="00F505D5" w:rsidP="00DD098B">
      <w:pPr>
        <w:tabs>
          <w:tab w:val="left" w:pos="4667"/>
        </w:tabs>
        <w:spacing w:after="0" w:line="360" w:lineRule="auto"/>
        <w:ind w:left="567" w:right="567"/>
        <w:contextualSpacing/>
        <w:rPr>
          <w:rFonts w:eastAsia="Times New Roman" w:cs="Tahoma"/>
          <w:b/>
          <w:bCs/>
          <w:i/>
          <w:iCs/>
          <w:color w:val="auto"/>
          <w:sz w:val="20"/>
          <w:szCs w:val="20"/>
          <w:lang w:eastAsia="es-ES"/>
        </w:rPr>
      </w:pPr>
      <w:r w:rsidRPr="00DD098B">
        <w:rPr>
          <w:rFonts w:eastAsia="Times New Roman" w:cs="Tahoma"/>
          <w:b/>
          <w:bCs/>
          <w:i/>
          <w:iCs/>
          <w:color w:val="auto"/>
          <w:sz w:val="20"/>
          <w:szCs w:val="20"/>
          <w:lang w:eastAsia="es-ES"/>
        </w:rPr>
        <w:t>“MODALIDAD DE ENTREGA</w:t>
      </w:r>
    </w:p>
    <w:p w14:paraId="7C6B5BD5" w14:textId="77777777" w:rsidR="00F505D5" w:rsidRPr="00DD098B" w:rsidRDefault="00F505D5" w:rsidP="00DD098B">
      <w:pPr>
        <w:spacing w:after="0" w:line="360" w:lineRule="auto"/>
        <w:ind w:left="567" w:right="567"/>
        <w:contextualSpacing/>
        <w:rPr>
          <w:rFonts w:eastAsia="Times New Roman" w:cs="Arial"/>
          <w:bCs/>
          <w:i/>
          <w:iCs/>
          <w:color w:val="auto"/>
          <w:sz w:val="20"/>
          <w:szCs w:val="20"/>
          <w:lang w:eastAsia="es-ES"/>
        </w:rPr>
      </w:pPr>
      <w:r w:rsidRPr="00DD098B">
        <w:rPr>
          <w:rFonts w:eastAsia="Times New Roman" w:cs="Arial"/>
          <w:bCs/>
          <w:i/>
          <w:iCs/>
          <w:color w:val="auto"/>
          <w:sz w:val="20"/>
          <w:szCs w:val="20"/>
          <w:lang w:eastAsia="es-ES"/>
        </w:rPr>
        <w:t>A través del SAIMEX” (Sic)</w:t>
      </w:r>
    </w:p>
    <w:p w14:paraId="3DAEF496" w14:textId="77777777" w:rsidR="00F505D5" w:rsidRPr="00DD098B" w:rsidRDefault="00F505D5" w:rsidP="00DD098B">
      <w:pPr>
        <w:spacing w:after="0" w:line="360" w:lineRule="auto"/>
        <w:ind w:right="567"/>
        <w:contextualSpacing/>
        <w:rPr>
          <w:rFonts w:eastAsia="Times New Roman" w:cs="Arial"/>
          <w:bCs/>
          <w:i/>
          <w:iCs/>
          <w:color w:val="auto"/>
          <w:lang w:eastAsia="es-ES"/>
        </w:rPr>
      </w:pPr>
    </w:p>
    <w:p w14:paraId="7BEA0238" w14:textId="77777777" w:rsidR="00F505D5" w:rsidRPr="00DD098B" w:rsidRDefault="00F505D5" w:rsidP="00DD098B">
      <w:pPr>
        <w:pStyle w:val="paragraph"/>
        <w:spacing w:before="0" w:beforeAutospacing="0" w:after="0" w:afterAutospacing="0" w:line="360" w:lineRule="auto"/>
        <w:contextualSpacing/>
        <w:jc w:val="both"/>
        <w:textAlignment w:val="baseline"/>
        <w:rPr>
          <w:rStyle w:val="eop"/>
          <w:rFonts w:ascii="Palatino Linotype" w:hAnsi="Palatino Linotype" w:cs="Segoe UI"/>
          <w:sz w:val="22"/>
          <w:szCs w:val="22"/>
          <w:lang w:val="es-MX"/>
        </w:rPr>
      </w:pPr>
      <w:r w:rsidRPr="00DD098B">
        <w:rPr>
          <w:rStyle w:val="normaltextrun"/>
          <w:rFonts w:ascii="Palatino Linotype" w:hAnsi="Palatino Linotype" w:cs="Segoe UI"/>
          <w:b/>
          <w:bCs/>
          <w:sz w:val="22"/>
          <w:szCs w:val="22"/>
          <w:lang w:val="es-MX"/>
        </w:rPr>
        <w:t>II. Requerimiento de aclaración a la solicitud de acceso a la información.</w:t>
      </w:r>
      <w:r w:rsidRPr="00DD098B">
        <w:rPr>
          <w:rStyle w:val="eop"/>
          <w:rFonts w:ascii="Palatino Linotype" w:hAnsi="Palatino Linotype" w:cs="Segoe UI"/>
          <w:sz w:val="22"/>
          <w:szCs w:val="22"/>
          <w:lang w:val="es-MX"/>
        </w:rPr>
        <w:t> </w:t>
      </w:r>
    </w:p>
    <w:p w14:paraId="5B64157A" w14:textId="77777777" w:rsidR="00F505D5" w:rsidRPr="00095302"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22"/>
          <w:szCs w:val="22"/>
          <w:lang w:val="es-MX"/>
        </w:rPr>
      </w:pPr>
    </w:p>
    <w:p w14:paraId="2998E255" w14:textId="4B0A4EF0" w:rsidR="00F505D5" w:rsidRPr="00DD098B"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DD098B">
        <w:rPr>
          <w:rStyle w:val="normaltextrun"/>
          <w:rFonts w:ascii="Palatino Linotype" w:hAnsi="Palatino Linotype" w:cs="Segoe UI"/>
          <w:sz w:val="22"/>
          <w:szCs w:val="22"/>
          <w:lang w:val="es-MX"/>
        </w:rPr>
        <w:t>Con fecha diecinueve de diciembre de dos mil veintidós, la Unidad de Transparencia del Ayuntamiento de Zinacantepec, notificó al Particular, mediante el Sistema de Acceso a la Información Mexiquense (SAIMEX), un requerimiento de información adicional a la solicitud de información previamente referida, en los siguientes términos:</w:t>
      </w:r>
      <w:r w:rsidRPr="00DD098B">
        <w:rPr>
          <w:rStyle w:val="eop"/>
          <w:rFonts w:ascii="Palatino Linotype" w:hAnsi="Palatino Linotype" w:cs="Segoe UI"/>
          <w:sz w:val="22"/>
          <w:szCs w:val="22"/>
          <w:lang w:val="es-MX"/>
        </w:rPr>
        <w:t> </w:t>
      </w:r>
    </w:p>
    <w:p w14:paraId="692F97C4" w14:textId="77777777" w:rsidR="00F505D5" w:rsidRPr="00DD098B"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DD098B">
        <w:rPr>
          <w:rStyle w:val="eop"/>
          <w:rFonts w:ascii="Palatino Linotype" w:hAnsi="Palatino Linotype" w:cs="Segoe UI"/>
          <w:sz w:val="22"/>
          <w:szCs w:val="22"/>
          <w:lang w:val="es-MX"/>
        </w:rPr>
        <w:t> </w:t>
      </w:r>
    </w:p>
    <w:p w14:paraId="61DE1F94" w14:textId="77777777" w:rsidR="00F505D5" w:rsidRPr="00DD098B" w:rsidRDefault="00F505D5" w:rsidP="00DD098B">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DD098B">
        <w:rPr>
          <w:rStyle w:val="normaltextrun"/>
          <w:rFonts w:ascii="Palatino Linotype" w:hAnsi="Palatino Linotype" w:cs="Segoe UI"/>
          <w:i/>
          <w:iCs/>
          <w:sz w:val="20"/>
          <w:szCs w:val="20"/>
          <w:lang w:val="es-MX"/>
        </w:rPr>
        <w:t>“…</w:t>
      </w:r>
      <w:r w:rsidRPr="00DD098B">
        <w:rPr>
          <w:rStyle w:val="eop"/>
          <w:rFonts w:ascii="Palatino Linotype" w:hAnsi="Palatino Linotype" w:cs="Segoe UI"/>
          <w:sz w:val="20"/>
          <w:szCs w:val="20"/>
          <w:lang w:val="es-MX"/>
        </w:rPr>
        <w:t> </w:t>
      </w:r>
    </w:p>
    <w:p w14:paraId="216E67C1" w14:textId="77777777" w:rsidR="00F505D5" w:rsidRPr="00DD098B" w:rsidRDefault="00F505D5" w:rsidP="00DD098B">
      <w:pPr>
        <w:pStyle w:val="paragraph"/>
        <w:spacing w:before="0" w:beforeAutospacing="0" w:after="0" w:afterAutospacing="0" w:line="360" w:lineRule="auto"/>
        <w:ind w:left="555" w:right="555"/>
        <w:contextualSpacing/>
        <w:jc w:val="both"/>
        <w:textAlignment w:val="baseline"/>
        <w:rPr>
          <w:rFonts w:ascii="Palatino Linotype" w:hAnsi="Palatino Linotype"/>
          <w:i/>
          <w:iCs/>
          <w:color w:val="000000"/>
          <w:sz w:val="20"/>
          <w:szCs w:val="20"/>
          <w:lang w:val="es-MX"/>
        </w:rPr>
      </w:pPr>
      <w:r w:rsidRPr="00DD098B">
        <w:rPr>
          <w:rFonts w:ascii="Palatino Linotype" w:hAnsi="Palatino Linotype"/>
          <w:i/>
          <w:iCs/>
          <w:color w:val="000000"/>
          <w:sz w:val="20"/>
          <w:szCs w:val="20"/>
          <w:lang w:val="es-MX"/>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38F1BAD" w14:textId="77777777" w:rsidR="00F505D5" w:rsidRPr="00DD098B" w:rsidRDefault="00F505D5" w:rsidP="00DD098B">
      <w:pPr>
        <w:pStyle w:val="paragraph"/>
        <w:spacing w:before="0" w:beforeAutospacing="0" w:after="0" w:afterAutospacing="0" w:line="360" w:lineRule="auto"/>
        <w:ind w:left="555" w:right="555"/>
        <w:contextualSpacing/>
        <w:jc w:val="both"/>
        <w:textAlignment w:val="baseline"/>
        <w:rPr>
          <w:rFonts w:ascii="Palatino Linotype" w:hAnsi="Palatino Linotype"/>
          <w:i/>
          <w:iCs/>
          <w:color w:val="000000"/>
          <w:sz w:val="20"/>
          <w:szCs w:val="20"/>
          <w:lang w:val="es-MX"/>
        </w:rPr>
      </w:pPr>
    </w:p>
    <w:p w14:paraId="4425770B" w14:textId="77777777" w:rsidR="00F505D5" w:rsidRPr="00DD098B" w:rsidRDefault="00F505D5" w:rsidP="00DD098B">
      <w:pPr>
        <w:pStyle w:val="paragraph"/>
        <w:spacing w:before="0" w:beforeAutospacing="0" w:after="0" w:afterAutospacing="0" w:line="360" w:lineRule="auto"/>
        <w:ind w:left="555" w:right="555"/>
        <w:contextualSpacing/>
        <w:jc w:val="both"/>
        <w:textAlignment w:val="baseline"/>
        <w:rPr>
          <w:rFonts w:ascii="Palatino Linotype" w:hAnsi="Palatino Linotype"/>
          <w:i/>
          <w:iCs/>
          <w:color w:val="000000"/>
          <w:sz w:val="20"/>
          <w:szCs w:val="20"/>
          <w:lang w:val="es-MX"/>
        </w:rPr>
      </w:pPr>
      <w:r w:rsidRPr="00DD098B">
        <w:rPr>
          <w:rFonts w:ascii="Palatino Linotype" w:hAnsi="Palatino Linotype"/>
          <w:i/>
          <w:iCs/>
          <w:color w:val="000000"/>
          <w:sz w:val="20"/>
          <w:szCs w:val="20"/>
          <w:lang w:val="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C54A780" w14:textId="77777777" w:rsidR="00F505D5" w:rsidRPr="00DD098B" w:rsidRDefault="00F505D5" w:rsidP="00DD098B">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DD098B">
        <w:rPr>
          <w:rStyle w:val="normaltextrun"/>
          <w:rFonts w:ascii="Palatino Linotype" w:hAnsi="Palatino Linotype" w:cs="Segoe UI"/>
          <w:i/>
          <w:iCs/>
          <w:sz w:val="20"/>
          <w:szCs w:val="20"/>
          <w:lang w:val="es-MX"/>
        </w:rPr>
        <w:t>…” (Sic.)</w:t>
      </w:r>
      <w:r w:rsidRPr="00DD098B">
        <w:rPr>
          <w:rStyle w:val="eop"/>
          <w:rFonts w:ascii="Palatino Linotype" w:hAnsi="Palatino Linotype" w:cs="Segoe UI"/>
          <w:sz w:val="20"/>
          <w:szCs w:val="20"/>
          <w:lang w:val="es-MX"/>
        </w:rPr>
        <w:t> </w:t>
      </w:r>
    </w:p>
    <w:p w14:paraId="06AAD6C9" w14:textId="77777777" w:rsidR="00F505D5" w:rsidRPr="00DD098B"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DD098B">
        <w:rPr>
          <w:rStyle w:val="eop"/>
          <w:rFonts w:ascii="Palatino Linotype" w:hAnsi="Palatino Linotype" w:cs="Segoe UI"/>
          <w:sz w:val="20"/>
          <w:szCs w:val="20"/>
          <w:lang w:val="es-MX"/>
        </w:rPr>
        <w:t> </w:t>
      </w:r>
    </w:p>
    <w:p w14:paraId="62FE851B" w14:textId="77777777" w:rsidR="00F505D5" w:rsidRPr="00DD098B"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DD098B">
        <w:rPr>
          <w:rStyle w:val="normaltextrun"/>
          <w:rFonts w:ascii="Palatino Linotype" w:hAnsi="Palatino Linotype" w:cs="Segoe UI"/>
          <w:b/>
          <w:bCs/>
          <w:sz w:val="20"/>
          <w:szCs w:val="20"/>
          <w:lang w:val="es-MX"/>
        </w:rPr>
        <w:t xml:space="preserve">III. </w:t>
      </w:r>
      <w:r w:rsidRPr="00DD098B">
        <w:rPr>
          <w:rStyle w:val="normaltextrun"/>
          <w:rFonts w:ascii="Palatino Linotype" w:hAnsi="Palatino Linotype" w:cs="Segoe UI"/>
          <w:b/>
          <w:bCs/>
          <w:sz w:val="22"/>
          <w:szCs w:val="22"/>
          <w:lang w:val="es-MX"/>
        </w:rPr>
        <w:t>Contestación al requerimiento de aclaración.</w:t>
      </w:r>
      <w:r w:rsidRPr="00DD098B">
        <w:rPr>
          <w:rStyle w:val="eop"/>
          <w:rFonts w:ascii="Palatino Linotype" w:hAnsi="Palatino Linotype" w:cs="Segoe UI"/>
          <w:sz w:val="22"/>
          <w:szCs w:val="22"/>
          <w:lang w:val="es-MX"/>
        </w:rPr>
        <w:t> </w:t>
      </w:r>
    </w:p>
    <w:p w14:paraId="59453D77" w14:textId="77777777" w:rsidR="00F505D5" w:rsidRPr="00DD098B"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DD098B">
        <w:rPr>
          <w:rStyle w:val="eop"/>
          <w:rFonts w:ascii="Palatino Linotype" w:hAnsi="Palatino Linotype" w:cs="Segoe UI"/>
          <w:sz w:val="22"/>
          <w:szCs w:val="22"/>
          <w:lang w:val="es-MX"/>
        </w:rPr>
        <w:t> </w:t>
      </w:r>
    </w:p>
    <w:p w14:paraId="5053E435" w14:textId="3FE899D9" w:rsidR="00F505D5" w:rsidRPr="00DD098B"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DD098B">
        <w:rPr>
          <w:rStyle w:val="normaltextrun"/>
          <w:rFonts w:ascii="Palatino Linotype" w:hAnsi="Palatino Linotype" w:cs="Segoe UI"/>
          <w:sz w:val="22"/>
          <w:szCs w:val="22"/>
          <w:lang w:val="es-MX"/>
        </w:rPr>
        <w:t>Con fecha veintiuno de diciembre de dos mil veintidós, el Particular respondió al requerimiento de aclaración referido, mediante el Sistema de Acceso a la Información Mexiquense (SAIMEX), en los términos siguientes:</w:t>
      </w:r>
      <w:r w:rsidRPr="00DD098B">
        <w:rPr>
          <w:rStyle w:val="eop"/>
          <w:rFonts w:ascii="Palatino Linotype" w:hAnsi="Palatino Linotype" w:cs="Segoe UI"/>
          <w:sz w:val="22"/>
          <w:szCs w:val="22"/>
          <w:lang w:val="es-MX"/>
        </w:rPr>
        <w:t> </w:t>
      </w:r>
    </w:p>
    <w:p w14:paraId="3D66A743" w14:textId="77777777" w:rsidR="00F505D5" w:rsidRPr="00DD098B" w:rsidRDefault="00F505D5" w:rsidP="00DD098B">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DD098B">
        <w:rPr>
          <w:rStyle w:val="eop"/>
          <w:rFonts w:ascii="Palatino Linotype" w:hAnsi="Palatino Linotype" w:cs="Segoe UI"/>
          <w:sz w:val="22"/>
          <w:szCs w:val="22"/>
          <w:lang w:val="es-MX"/>
        </w:rPr>
        <w:t> </w:t>
      </w:r>
    </w:p>
    <w:p w14:paraId="262B7F4C" w14:textId="77777777" w:rsidR="00F505D5" w:rsidRPr="00DD098B" w:rsidRDefault="00F505D5" w:rsidP="00DD098B">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DD098B">
        <w:rPr>
          <w:rStyle w:val="normaltextrun"/>
          <w:rFonts w:ascii="Palatino Linotype" w:hAnsi="Palatino Linotype" w:cs="Segoe UI"/>
          <w:b/>
          <w:bCs/>
          <w:i/>
          <w:iCs/>
          <w:sz w:val="20"/>
          <w:szCs w:val="20"/>
          <w:lang w:val="es-MX"/>
        </w:rPr>
        <w:t> “DATOS A COMPLETAR, CORREGIR, AMPLIAR O ACLARAR</w:t>
      </w:r>
      <w:r w:rsidRPr="00DD098B">
        <w:rPr>
          <w:rStyle w:val="eop"/>
          <w:rFonts w:ascii="Palatino Linotype" w:hAnsi="Palatino Linotype" w:cs="Segoe UI"/>
          <w:sz w:val="20"/>
          <w:szCs w:val="20"/>
          <w:lang w:val="es-MX"/>
        </w:rPr>
        <w:t> </w:t>
      </w:r>
    </w:p>
    <w:p w14:paraId="6DBF44CC" w14:textId="45C36EC2" w:rsidR="00F505D5" w:rsidRPr="00DD098B" w:rsidRDefault="00620917" w:rsidP="00DD098B">
      <w:pPr>
        <w:pStyle w:val="paragraph"/>
        <w:spacing w:before="0" w:beforeAutospacing="0" w:after="0" w:afterAutospacing="0" w:line="360" w:lineRule="auto"/>
        <w:ind w:left="555" w:right="555"/>
        <w:contextualSpacing/>
        <w:jc w:val="both"/>
        <w:textAlignment w:val="baseline"/>
        <w:rPr>
          <w:rFonts w:ascii="Palatino Linotype" w:hAnsi="Palatino Linotype" w:cs="Segoe UI"/>
          <w:sz w:val="18"/>
          <w:szCs w:val="18"/>
          <w:lang w:val="es-MX"/>
        </w:rPr>
      </w:pPr>
      <w:r w:rsidRPr="00DD098B">
        <w:rPr>
          <w:rFonts w:ascii="Palatino Linotype" w:hAnsi="Palatino Linotype"/>
          <w:i/>
          <w:iCs/>
          <w:color w:val="000000"/>
          <w:sz w:val="20"/>
          <w:szCs w:val="20"/>
        </w:rPr>
        <w:t>LA SOLICITUD ES MUY ESPECÍFICA</w:t>
      </w:r>
      <w:r w:rsidR="00F505D5" w:rsidRPr="00DD098B">
        <w:rPr>
          <w:rStyle w:val="normaltextrun"/>
          <w:rFonts w:ascii="Palatino Linotype" w:hAnsi="Palatino Linotype" w:cs="Segoe UI"/>
          <w:i/>
          <w:iCs/>
          <w:sz w:val="20"/>
          <w:szCs w:val="20"/>
          <w:lang w:val="es-MX"/>
        </w:rPr>
        <w:t>” (Sic.)</w:t>
      </w:r>
    </w:p>
    <w:p w14:paraId="5DBF3D2B" w14:textId="77777777" w:rsidR="00F505D5" w:rsidRPr="00DD098B" w:rsidRDefault="00F505D5" w:rsidP="00DD098B">
      <w:pPr>
        <w:tabs>
          <w:tab w:val="left" w:pos="567"/>
        </w:tabs>
        <w:spacing w:after="0" w:line="360" w:lineRule="auto"/>
        <w:contextualSpacing/>
        <w:rPr>
          <w:rFonts w:eastAsia="Calibri" w:cs="Tahoma"/>
          <w:b/>
          <w:bCs/>
        </w:rPr>
      </w:pPr>
    </w:p>
    <w:p w14:paraId="0C9A8C97" w14:textId="77777777" w:rsidR="00F505D5" w:rsidRPr="00DD098B" w:rsidRDefault="00F505D5" w:rsidP="00DD098B">
      <w:pPr>
        <w:tabs>
          <w:tab w:val="left" w:pos="4667"/>
        </w:tabs>
        <w:spacing w:after="0" w:line="360" w:lineRule="auto"/>
        <w:ind w:right="567"/>
        <w:contextualSpacing/>
        <w:rPr>
          <w:rFonts w:eastAsia="Times New Roman" w:cs="Tahoma"/>
          <w:b/>
          <w:bCs/>
          <w:color w:val="auto"/>
          <w:szCs w:val="24"/>
          <w:lang w:eastAsia="es-ES"/>
        </w:rPr>
      </w:pPr>
    </w:p>
    <w:p w14:paraId="20103AE6" w14:textId="77777777" w:rsidR="00F505D5" w:rsidRPr="00DD098B" w:rsidRDefault="00F505D5" w:rsidP="00DD098B">
      <w:pPr>
        <w:tabs>
          <w:tab w:val="left" w:pos="4667"/>
        </w:tabs>
        <w:spacing w:after="0" w:line="360" w:lineRule="auto"/>
        <w:ind w:right="567"/>
        <w:contextualSpacing/>
        <w:rPr>
          <w:rFonts w:eastAsia="Times New Roman" w:cs="Tahoma"/>
          <w:b/>
          <w:bCs/>
          <w:color w:val="auto"/>
          <w:szCs w:val="24"/>
          <w:lang w:eastAsia="es-ES"/>
        </w:rPr>
      </w:pPr>
      <w:r w:rsidRPr="00DD098B">
        <w:rPr>
          <w:rFonts w:eastAsia="Times New Roman" w:cs="Tahoma"/>
          <w:b/>
          <w:bCs/>
          <w:color w:val="auto"/>
          <w:szCs w:val="24"/>
          <w:lang w:eastAsia="es-ES"/>
        </w:rPr>
        <w:t xml:space="preserve">IV. </w:t>
      </w:r>
      <w:r w:rsidRPr="00DD098B">
        <w:rPr>
          <w:rFonts w:eastAsia="Times New Roman" w:cs="Tahoma"/>
          <w:b/>
          <w:color w:val="auto"/>
          <w:szCs w:val="24"/>
          <w:lang w:eastAsia="es-ES"/>
        </w:rPr>
        <w:t>Respuesta</w:t>
      </w:r>
      <w:r w:rsidRPr="00DD098B">
        <w:rPr>
          <w:rFonts w:eastAsia="Times New Roman" w:cs="Tahoma"/>
          <w:b/>
          <w:bCs/>
          <w:color w:val="auto"/>
          <w:szCs w:val="24"/>
          <w:lang w:eastAsia="es-ES"/>
        </w:rPr>
        <w:t xml:space="preserve"> del Sujeto Obligado.</w:t>
      </w:r>
    </w:p>
    <w:p w14:paraId="29B04C51" w14:textId="77777777" w:rsidR="00F505D5" w:rsidRPr="00DD098B" w:rsidRDefault="00F505D5" w:rsidP="00DD098B">
      <w:pPr>
        <w:spacing w:after="0" w:line="360" w:lineRule="auto"/>
        <w:contextualSpacing/>
        <w:rPr>
          <w:rFonts w:eastAsia="Calibri" w:cs="Tahoma"/>
          <w:b/>
          <w:bCs/>
        </w:rPr>
      </w:pPr>
    </w:p>
    <w:p w14:paraId="6B6C9331" w14:textId="77777777" w:rsidR="00F505D5" w:rsidRPr="00DD098B" w:rsidRDefault="00F505D5" w:rsidP="00DD098B">
      <w:pPr>
        <w:autoSpaceDE w:val="0"/>
        <w:autoSpaceDN w:val="0"/>
        <w:adjustRightInd w:val="0"/>
        <w:spacing w:after="0" w:line="360" w:lineRule="auto"/>
        <w:contextualSpacing/>
        <w:rPr>
          <w:rFonts w:eastAsia="Calibri" w:cs="Tahoma"/>
          <w:color w:val="000000"/>
          <w:lang w:val="es-ES"/>
        </w:rPr>
      </w:pPr>
      <w:r w:rsidRPr="00DD098B">
        <w:rPr>
          <w:rFonts w:eastAsia="Calibri" w:cs="Tahoma"/>
          <w:color w:val="000000"/>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DD098B">
        <w:rPr>
          <w:rFonts w:eastAsia="Calibri" w:cs="Tahoma"/>
          <w:color w:val="000000"/>
          <w:lang w:val="es-ES"/>
        </w:rPr>
        <w:t xml:space="preserve">Sistema de Acceso a la Información Mexiquense (SAIMEX), se advierte que el </w:t>
      </w:r>
      <w:r w:rsidRPr="00DD098B">
        <w:rPr>
          <w:color w:val="000000"/>
        </w:rPr>
        <w:t>Ayuntamiento de Zinacantepec</w:t>
      </w:r>
      <w:r w:rsidRPr="00DD098B">
        <w:rPr>
          <w:rFonts w:eastAsia="Calibri" w:cs="Tahoma"/>
          <w:color w:val="000000"/>
        </w:rPr>
        <w:t>,</w:t>
      </w:r>
      <w:r w:rsidRPr="00DD098B">
        <w:rPr>
          <w:rFonts w:eastAsia="Calibri" w:cs="Tahoma"/>
          <w:bCs/>
          <w:color w:val="000000"/>
        </w:rPr>
        <w:t xml:space="preserve"> omitió dar respuesta a la solicitud de información, por lo que </w:t>
      </w:r>
      <w:r w:rsidRPr="00DD098B">
        <w:rPr>
          <w:rFonts w:eastAsia="Calibri" w:cs="Tahoma"/>
          <w:b/>
          <w:color w:val="000000"/>
        </w:rPr>
        <w:t xml:space="preserve">se configura la </w:t>
      </w:r>
      <w:r w:rsidRPr="00DD098B">
        <w:rPr>
          <w:rFonts w:eastAsia="Calibri" w:cs="Tahoma"/>
          <w:b/>
          <w:color w:val="000000"/>
          <w:lang w:val="es-ES"/>
        </w:rPr>
        <w:t>negativa ficta</w:t>
      </w:r>
      <w:r w:rsidRPr="00DD098B">
        <w:rPr>
          <w:rFonts w:eastAsia="Calibri" w:cs="Tahoma"/>
          <w:color w:val="000000"/>
          <w:lang w:val="es-ES"/>
        </w:rPr>
        <w:t xml:space="preserve"> a entregar información, prevista en los artículos 166, párrafo cuarto y 178, párrafo segundo, de la Ley de Transparencia y Acceso a la Información Pública del Estado de México y Municipios.</w:t>
      </w:r>
    </w:p>
    <w:p w14:paraId="3F57C1DA" w14:textId="77777777" w:rsidR="00F505D5" w:rsidRPr="00DD098B" w:rsidRDefault="00F505D5" w:rsidP="00DD098B">
      <w:pPr>
        <w:autoSpaceDE w:val="0"/>
        <w:autoSpaceDN w:val="0"/>
        <w:adjustRightInd w:val="0"/>
        <w:spacing w:after="0" w:line="360" w:lineRule="auto"/>
        <w:contextualSpacing/>
        <w:rPr>
          <w:rFonts w:eastAsia="Calibri" w:cs="Tahoma"/>
          <w:color w:val="000000"/>
          <w:lang w:val="es-ES"/>
        </w:rPr>
      </w:pPr>
    </w:p>
    <w:p w14:paraId="24B49633" w14:textId="77777777" w:rsidR="00F505D5" w:rsidRPr="00DD098B" w:rsidRDefault="00F505D5" w:rsidP="00DD098B">
      <w:pPr>
        <w:autoSpaceDE w:val="0"/>
        <w:autoSpaceDN w:val="0"/>
        <w:adjustRightInd w:val="0"/>
        <w:spacing w:after="0" w:line="360" w:lineRule="auto"/>
        <w:contextualSpacing/>
        <w:rPr>
          <w:rFonts w:eastAsia="Calibri" w:cs="Tahoma"/>
          <w:b/>
          <w:color w:val="000000"/>
        </w:rPr>
      </w:pPr>
      <w:r w:rsidRPr="00DD098B">
        <w:rPr>
          <w:rFonts w:eastAsia="Calibri" w:cs="Tahoma"/>
          <w:b/>
          <w:color w:val="000000"/>
        </w:rPr>
        <w:t xml:space="preserve">V. Interposición del Recurso de Revisión. </w:t>
      </w:r>
    </w:p>
    <w:p w14:paraId="3EF2D960" w14:textId="77777777" w:rsidR="00F505D5" w:rsidRPr="00DD098B" w:rsidRDefault="00F505D5" w:rsidP="00DD098B">
      <w:pPr>
        <w:spacing w:after="0" w:line="360" w:lineRule="auto"/>
        <w:contextualSpacing/>
        <w:rPr>
          <w:rFonts w:eastAsia="Times New Roman" w:cs="Tahoma"/>
          <w:bCs/>
          <w:color w:val="auto"/>
          <w:lang w:eastAsia="es-ES"/>
        </w:rPr>
      </w:pPr>
    </w:p>
    <w:p w14:paraId="058A1038" w14:textId="25FC0C12" w:rsidR="00F505D5" w:rsidRPr="00DD098B" w:rsidRDefault="00F505D5" w:rsidP="00DD098B">
      <w:pPr>
        <w:spacing w:after="0" w:line="360" w:lineRule="auto"/>
        <w:contextualSpacing/>
        <w:rPr>
          <w:bCs/>
        </w:rPr>
      </w:pPr>
      <w:r w:rsidRPr="00DD098B">
        <w:rPr>
          <w:rFonts w:eastAsia="Times New Roman" w:cs="Tahoma"/>
          <w:bCs/>
          <w:color w:val="auto"/>
          <w:lang w:val="es-ES" w:eastAsia="es-ES"/>
        </w:rPr>
        <w:t xml:space="preserve">Con fecha </w:t>
      </w:r>
      <w:r w:rsidR="00620917" w:rsidRPr="00DD098B">
        <w:rPr>
          <w:rFonts w:eastAsia="Times New Roman" w:cs="Tahoma"/>
          <w:bCs/>
          <w:color w:val="auto"/>
          <w:lang w:val="es-ES" w:eastAsia="es-ES"/>
        </w:rPr>
        <w:t>treinta de enero</w:t>
      </w:r>
      <w:r w:rsidRPr="00DD098B">
        <w:rPr>
          <w:rFonts w:eastAsia="Times New Roman" w:cs="Tahoma"/>
          <w:bCs/>
          <w:color w:val="auto"/>
          <w:lang w:val="es-ES" w:eastAsia="es-ES"/>
        </w:rPr>
        <w:t xml:space="preserve"> de dos mil veinti</w:t>
      </w:r>
      <w:r w:rsidR="00620917" w:rsidRPr="00DD098B">
        <w:rPr>
          <w:rFonts w:eastAsia="Times New Roman" w:cs="Tahoma"/>
          <w:bCs/>
          <w:color w:val="auto"/>
          <w:lang w:val="es-ES" w:eastAsia="es-ES"/>
        </w:rPr>
        <w:t>tré</w:t>
      </w:r>
      <w:r w:rsidRPr="00DD098B">
        <w:rPr>
          <w:rFonts w:eastAsia="Times New Roman" w:cs="Tahoma"/>
          <w:bCs/>
          <w:color w:val="auto"/>
          <w:lang w:val="es-ES" w:eastAsia="es-ES"/>
        </w:rPr>
        <w:t xml:space="preserve">s, </w:t>
      </w:r>
      <w:r w:rsidRPr="00DD098B">
        <w:rPr>
          <w:rFonts w:eastAsia="Times New Roman" w:cs="Tahoma"/>
          <w:bCs/>
          <w:color w:val="auto"/>
          <w:lang w:eastAsia="es-ES"/>
        </w:rPr>
        <w:t xml:space="preserve">se tuvo por recibido en este Instituto, a través del </w:t>
      </w:r>
      <w:r w:rsidRPr="00DD098B">
        <w:rPr>
          <w:rFonts w:eastAsia="Times New Roman" w:cs="Tahoma"/>
          <w:bCs/>
          <w:color w:val="auto"/>
          <w:lang w:val="es-ES" w:eastAsia="es-ES"/>
        </w:rPr>
        <w:t>Sistema de Acceso a la Información Mexiquense (SAIMEX)</w:t>
      </w:r>
      <w:r w:rsidRPr="00DD098B">
        <w:rPr>
          <w:rFonts w:eastAsia="Times New Roman" w:cs="Tahoma"/>
          <w:bCs/>
          <w:color w:val="auto"/>
          <w:lang w:eastAsia="es-ES"/>
        </w:rPr>
        <w:t>, el Recurso de Revisión interpuesto por la parte Recurrente, en contra de la falta de respuesta del Sujeto Obligado,</w:t>
      </w:r>
      <w:r w:rsidRPr="00DD098B">
        <w:rPr>
          <w:rFonts w:cs="Tahoma"/>
          <w:b/>
          <w:lang w:eastAsia="es-ES"/>
        </w:rPr>
        <w:t xml:space="preserve"> </w:t>
      </w:r>
      <w:r w:rsidRPr="00DD098B">
        <w:rPr>
          <w:rFonts w:cs="Tahoma"/>
          <w:lang w:eastAsia="es-ES"/>
        </w:rPr>
        <w:t>en los siguientes términos:</w:t>
      </w:r>
    </w:p>
    <w:p w14:paraId="1C9CEDBE" w14:textId="77777777" w:rsidR="00F505D5" w:rsidRPr="00DD098B" w:rsidRDefault="00F505D5" w:rsidP="00DD098B">
      <w:pPr>
        <w:spacing w:after="0" w:line="360" w:lineRule="auto"/>
        <w:contextualSpacing/>
        <w:rPr>
          <w:rFonts w:eastAsia="Times New Roman" w:cs="Tahoma"/>
          <w:bCs/>
          <w:color w:val="auto"/>
          <w:lang w:eastAsia="es-ES"/>
        </w:rPr>
      </w:pPr>
    </w:p>
    <w:p w14:paraId="4B594ABE" w14:textId="77777777" w:rsidR="00F505D5" w:rsidRPr="00DD098B" w:rsidRDefault="00F505D5" w:rsidP="00DD098B">
      <w:pPr>
        <w:spacing w:after="0" w:line="360" w:lineRule="auto"/>
        <w:ind w:left="567" w:right="567"/>
        <w:contextualSpacing/>
        <w:rPr>
          <w:rFonts w:eastAsia="Times New Roman" w:cs="Tahoma"/>
          <w:b/>
          <w:bCs/>
          <w:i/>
          <w:color w:val="auto"/>
          <w:sz w:val="20"/>
          <w:szCs w:val="20"/>
          <w:lang w:eastAsia="es-ES"/>
        </w:rPr>
      </w:pPr>
      <w:r w:rsidRPr="00DD098B">
        <w:rPr>
          <w:rFonts w:eastAsia="Times New Roman" w:cs="Tahoma"/>
          <w:b/>
          <w:bCs/>
          <w:i/>
          <w:color w:val="auto"/>
          <w:sz w:val="20"/>
          <w:szCs w:val="20"/>
          <w:lang w:eastAsia="es-ES"/>
        </w:rPr>
        <w:t>“ACTO IMPUGNADO</w:t>
      </w:r>
    </w:p>
    <w:p w14:paraId="3B95481F" w14:textId="5867D449" w:rsidR="00F505D5" w:rsidRPr="00DD098B" w:rsidRDefault="00F505D5" w:rsidP="00DD098B">
      <w:pPr>
        <w:spacing w:after="0" w:line="360" w:lineRule="auto"/>
        <w:ind w:left="567" w:right="567"/>
        <w:contextualSpacing/>
        <w:rPr>
          <w:rFonts w:eastAsia="Times New Roman" w:cs="Tahoma"/>
          <w:bCs/>
          <w:i/>
          <w:iCs/>
          <w:color w:val="auto"/>
          <w:sz w:val="20"/>
          <w:szCs w:val="20"/>
          <w:lang w:eastAsia="es-ES"/>
        </w:rPr>
      </w:pPr>
      <w:r w:rsidRPr="00DD098B">
        <w:rPr>
          <w:i/>
          <w:iCs/>
          <w:color w:val="000000"/>
          <w:sz w:val="20"/>
          <w:szCs w:val="20"/>
        </w:rPr>
        <w:t>NO ENTREGA INFORMACIÓN</w:t>
      </w:r>
      <w:r w:rsidRPr="00DD098B">
        <w:rPr>
          <w:i/>
          <w:iCs/>
          <w:sz w:val="20"/>
          <w:szCs w:val="20"/>
        </w:rPr>
        <w:t>”</w:t>
      </w:r>
      <w:r w:rsidRPr="00DD098B">
        <w:rPr>
          <w:bCs/>
          <w:i/>
          <w:iCs/>
          <w:sz w:val="20"/>
          <w:szCs w:val="20"/>
        </w:rPr>
        <w:t xml:space="preserve"> </w:t>
      </w:r>
      <w:r w:rsidRPr="00DD098B">
        <w:rPr>
          <w:rFonts w:eastAsia="Times New Roman" w:cs="Tahoma"/>
          <w:bCs/>
          <w:i/>
          <w:iCs/>
          <w:color w:val="auto"/>
          <w:sz w:val="20"/>
          <w:szCs w:val="20"/>
          <w:lang w:eastAsia="es-ES"/>
        </w:rPr>
        <w:t>(Sic)</w:t>
      </w:r>
    </w:p>
    <w:p w14:paraId="68FC92B8" w14:textId="77777777" w:rsidR="00F505D5" w:rsidRPr="00DD098B" w:rsidRDefault="00F505D5" w:rsidP="00DD098B">
      <w:pPr>
        <w:spacing w:after="0" w:line="360" w:lineRule="auto"/>
        <w:ind w:left="567" w:right="567"/>
        <w:contextualSpacing/>
        <w:rPr>
          <w:rFonts w:eastAsia="Times New Roman" w:cs="Tahoma"/>
          <w:bCs/>
          <w:i/>
          <w:color w:val="auto"/>
          <w:sz w:val="20"/>
          <w:szCs w:val="20"/>
          <w:lang w:eastAsia="es-ES"/>
        </w:rPr>
      </w:pPr>
    </w:p>
    <w:p w14:paraId="3C95854B" w14:textId="77777777" w:rsidR="00F505D5" w:rsidRPr="00DD098B" w:rsidRDefault="00F505D5" w:rsidP="00DD098B">
      <w:pPr>
        <w:spacing w:after="0" w:line="360" w:lineRule="auto"/>
        <w:ind w:left="567" w:right="567"/>
        <w:contextualSpacing/>
        <w:rPr>
          <w:rFonts w:eastAsia="Times New Roman" w:cs="Tahoma"/>
          <w:b/>
          <w:bCs/>
          <w:i/>
          <w:color w:val="auto"/>
          <w:sz w:val="20"/>
          <w:szCs w:val="20"/>
          <w:lang w:eastAsia="es-ES"/>
        </w:rPr>
      </w:pPr>
      <w:r w:rsidRPr="00DD098B">
        <w:rPr>
          <w:rFonts w:eastAsia="Times New Roman" w:cs="Tahoma"/>
          <w:b/>
          <w:bCs/>
          <w:i/>
          <w:color w:val="auto"/>
          <w:sz w:val="20"/>
          <w:szCs w:val="20"/>
          <w:lang w:eastAsia="es-ES"/>
        </w:rPr>
        <w:t>“RAZONES O MOTIVOS DE LA INCONFORMIDAD</w:t>
      </w:r>
    </w:p>
    <w:p w14:paraId="4F277007" w14:textId="3FDACDBD" w:rsidR="00F505D5" w:rsidRPr="00DD098B" w:rsidRDefault="00F505D5" w:rsidP="00DD098B">
      <w:pPr>
        <w:spacing w:after="0" w:line="360" w:lineRule="auto"/>
        <w:ind w:left="567" w:right="567"/>
        <w:contextualSpacing/>
        <w:rPr>
          <w:rFonts w:eastAsia="Times New Roman" w:cs="Tahoma"/>
          <w:bCs/>
          <w:color w:val="auto"/>
          <w:sz w:val="20"/>
          <w:szCs w:val="20"/>
          <w:lang w:eastAsia="es-ES"/>
        </w:rPr>
      </w:pPr>
      <w:r w:rsidRPr="00DD098B">
        <w:rPr>
          <w:i/>
          <w:iCs/>
          <w:color w:val="000000"/>
          <w:sz w:val="20"/>
          <w:szCs w:val="20"/>
        </w:rPr>
        <w:t>NO ENTREGA INFORMACIÓN</w:t>
      </w:r>
      <w:r w:rsidRPr="00DD098B">
        <w:rPr>
          <w:i/>
          <w:color w:val="000000"/>
          <w:sz w:val="20"/>
          <w:szCs w:val="20"/>
        </w:rPr>
        <w:t>”</w:t>
      </w:r>
      <w:r w:rsidRPr="00DD098B">
        <w:rPr>
          <w:bCs/>
          <w:i/>
          <w:color w:val="000000"/>
          <w:sz w:val="20"/>
          <w:szCs w:val="20"/>
        </w:rPr>
        <w:t xml:space="preserve"> </w:t>
      </w:r>
      <w:r w:rsidRPr="00DD098B">
        <w:rPr>
          <w:rFonts w:eastAsia="Times New Roman" w:cs="Tahoma"/>
          <w:bCs/>
          <w:i/>
          <w:color w:val="auto"/>
          <w:sz w:val="20"/>
          <w:szCs w:val="20"/>
          <w:lang w:eastAsia="es-ES"/>
        </w:rPr>
        <w:t>(Sic)</w:t>
      </w:r>
    </w:p>
    <w:p w14:paraId="370197F5" w14:textId="77777777" w:rsidR="00F505D5" w:rsidRPr="00DD098B" w:rsidRDefault="00F505D5" w:rsidP="00DD098B">
      <w:pPr>
        <w:spacing w:after="0" w:line="360" w:lineRule="auto"/>
        <w:contextualSpacing/>
        <w:rPr>
          <w:rFonts w:eastAsia="Calibri" w:cs="Tahoma"/>
          <w:b/>
          <w:color w:val="000000"/>
        </w:rPr>
      </w:pPr>
    </w:p>
    <w:p w14:paraId="532F5C8F" w14:textId="77777777" w:rsidR="00F505D5" w:rsidRPr="00DD098B" w:rsidRDefault="00F505D5" w:rsidP="00DD098B">
      <w:pPr>
        <w:spacing w:after="0" w:line="360" w:lineRule="auto"/>
        <w:contextualSpacing/>
        <w:rPr>
          <w:rFonts w:eastAsia="Batang" w:cs="Tahoma"/>
          <w:b/>
          <w:bCs/>
          <w:color w:val="000000"/>
        </w:rPr>
      </w:pPr>
      <w:r w:rsidRPr="00DD098B">
        <w:rPr>
          <w:rFonts w:eastAsia="Calibri" w:cs="Tahoma"/>
          <w:b/>
          <w:color w:val="000000"/>
        </w:rPr>
        <w:t xml:space="preserve">VI. </w:t>
      </w:r>
      <w:r w:rsidRPr="00DD098B">
        <w:rPr>
          <w:rFonts w:eastAsia="Batang" w:cs="Tahoma"/>
          <w:b/>
          <w:bCs/>
          <w:color w:val="000000"/>
        </w:rPr>
        <w:t>Trámite del Recurso de Revisión</w:t>
      </w:r>
      <w:r w:rsidRPr="00DD098B">
        <w:rPr>
          <w:rFonts w:eastAsia="Calibri" w:cs="Tahoma"/>
          <w:b/>
          <w:color w:val="000000"/>
        </w:rPr>
        <w:t xml:space="preserve"> </w:t>
      </w:r>
      <w:r w:rsidRPr="00DD098B">
        <w:rPr>
          <w:rFonts w:eastAsia="Batang" w:cs="Tahoma"/>
          <w:b/>
          <w:bCs/>
          <w:color w:val="000000"/>
        </w:rPr>
        <w:t>ante este Instituto.</w:t>
      </w:r>
    </w:p>
    <w:p w14:paraId="5AFEA986" w14:textId="77777777" w:rsidR="00F505D5" w:rsidRDefault="00F505D5" w:rsidP="00DD098B">
      <w:pPr>
        <w:spacing w:after="0" w:line="360" w:lineRule="auto"/>
        <w:contextualSpacing/>
        <w:rPr>
          <w:rFonts w:eastAsia="Batang" w:cs="Tahoma"/>
          <w:bCs/>
          <w:color w:val="000000"/>
        </w:rPr>
      </w:pPr>
    </w:p>
    <w:p w14:paraId="3AB8C798" w14:textId="77777777" w:rsidR="00095302" w:rsidRDefault="00095302" w:rsidP="00DD098B">
      <w:pPr>
        <w:spacing w:after="0" w:line="360" w:lineRule="auto"/>
        <w:contextualSpacing/>
        <w:rPr>
          <w:rFonts w:eastAsia="Batang" w:cs="Tahoma"/>
          <w:bCs/>
          <w:color w:val="000000"/>
        </w:rPr>
      </w:pPr>
    </w:p>
    <w:p w14:paraId="3FC90E6A" w14:textId="77777777" w:rsidR="00095302" w:rsidRPr="00DD098B" w:rsidRDefault="00095302" w:rsidP="00DD098B">
      <w:pPr>
        <w:spacing w:after="0" w:line="360" w:lineRule="auto"/>
        <w:contextualSpacing/>
        <w:rPr>
          <w:rFonts w:eastAsia="Batang" w:cs="Tahoma"/>
          <w:bCs/>
          <w:color w:val="000000"/>
        </w:rPr>
      </w:pPr>
    </w:p>
    <w:p w14:paraId="76BA4FC5" w14:textId="26D32774" w:rsidR="00F505D5" w:rsidRPr="00DD098B" w:rsidRDefault="00F505D5" w:rsidP="00DD098B">
      <w:pPr>
        <w:spacing w:after="0" w:line="360" w:lineRule="auto"/>
        <w:contextualSpacing/>
        <w:rPr>
          <w:rFonts w:eastAsia="Batang" w:cs="Tahoma"/>
          <w:b/>
          <w:bCs/>
          <w:color w:val="000000"/>
        </w:rPr>
      </w:pPr>
      <w:r w:rsidRPr="00DD098B">
        <w:rPr>
          <w:rFonts w:eastAsia="Batang" w:cs="Tahoma"/>
          <w:b/>
          <w:bCs/>
          <w:color w:val="000000"/>
        </w:rPr>
        <w:t xml:space="preserve">a) Turno del Medio de Impugnación. </w:t>
      </w:r>
      <w:r w:rsidRPr="00DD098B">
        <w:rPr>
          <w:rFonts w:eastAsia="Batang" w:cs="Tahoma"/>
          <w:bCs/>
          <w:color w:val="000000"/>
        </w:rPr>
        <w:t xml:space="preserve">El </w:t>
      </w:r>
      <w:r w:rsidR="00620917" w:rsidRPr="00DD098B">
        <w:rPr>
          <w:rFonts w:eastAsia="Batang" w:cs="Tahoma"/>
          <w:bCs/>
          <w:color w:val="000000"/>
        </w:rPr>
        <w:t>treinta de enero</w:t>
      </w:r>
      <w:r w:rsidRPr="00DD098B">
        <w:rPr>
          <w:rFonts w:eastAsia="Batang" w:cs="Tahoma"/>
          <w:bCs/>
          <w:color w:val="000000"/>
        </w:rPr>
        <w:t xml:space="preserve"> </w:t>
      </w:r>
      <w:r w:rsidRPr="00DD098B">
        <w:rPr>
          <w:rFonts w:eastAsia="Times New Roman" w:cs="Tahoma"/>
          <w:bCs/>
          <w:color w:val="auto"/>
          <w:lang w:eastAsia="es-ES"/>
        </w:rPr>
        <w:t>de dos mil veintidós</w:t>
      </w:r>
      <w:r w:rsidRPr="00DD098B">
        <w:rPr>
          <w:rFonts w:eastAsia="Batang" w:cs="Tahoma"/>
          <w:bCs/>
          <w:color w:val="000000"/>
        </w:rPr>
        <w:t xml:space="preserve">, el </w:t>
      </w:r>
      <w:r w:rsidRPr="00DD098B">
        <w:rPr>
          <w:rFonts w:eastAsia="Calibri" w:cs="Tahoma"/>
          <w:color w:val="000000"/>
          <w:lang w:val="es-ES"/>
        </w:rPr>
        <w:t>Sistema de Acceso a la Información Mexiquense (SAIMEX),</w:t>
      </w:r>
      <w:r w:rsidRPr="00DD098B">
        <w:rPr>
          <w:rFonts w:eastAsia="Batang" w:cs="Tahoma"/>
          <w:bCs/>
          <w:color w:val="000000"/>
        </w:rPr>
        <w:t xml:space="preserve"> asignó el número de expediente </w:t>
      </w:r>
      <w:r w:rsidR="00620917" w:rsidRPr="00DD098B">
        <w:rPr>
          <w:rFonts w:eastAsia="Batang" w:cs="Tahoma"/>
          <w:color w:val="000000"/>
        </w:rPr>
        <w:t>00526</w:t>
      </w:r>
      <w:r w:rsidRPr="00DD098B">
        <w:rPr>
          <w:rFonts w:eastAsia="Calibri" w:cs="Tahoma"/>
        </w:rPr>
        <w:t>/INFOEM/IP/RR/202</w:t>
      </w:r>
      <w:r w:rsidR="00620917" w:rsidRPr="00DD098B">
        <w:rPr>
          <w:rFonts w:eastAsia="Calibri" w:cs="Tahoma"/>
        </w:rPr>
        <w:t>3</w:t>
      </w:r>
      <w:r w:rsidRPr="00DD098B">
        <w:rPr>
          <w:rFonts w:eastAsia="Batang" w:cs="Tahoma"/>
          <w:bCs/>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4932D74" w14:textId="77777777" w:rsidR="00F505D5" w:rsidRPr="00DD098B" w:rsidRDefault="00F505D5" w:rsidP="00DD098B">
      <w:pPr>
        <w:spacing w:after="0" w:line="360" w:lineRule="auto"/>
        <w:contextualSpacing/>
        <w:rPr>
          <w:rFonts w:eastAsia="Batang" w:cs="Tahoma"/>
          <w:bCs/>
          <w:color w:val="000000"/>
        </w:rPr>
      </w:pPr>
    </w:p>
    <w:p w14:paraId="7D43A2C3" w14:textId="0F9130FB" w:rsidR="00F505D5" w:rsidRPr="00DD098B" w:rsidRDefault="00F505D5" w:rsidP="00DD098B">
      <w:pPr>
        <w:spacing w:after="0" w:line="360" w:lineRule="auto"/>
        <w:contextualSpacing/>
        <w:rPr>
          <w:rFonts w:eastAsia="Times New Roman" w:cs="Tahoma"/>
          <w:b/>
          <w:bCs/>
          <w:color w:val="auto"/>
          <w:lang w:eastAsia="es-ES"/>
        </w:rPr>
      </w:pPr>
      <w:r w:rsidRPr="00DD098B">
        <w:rPr>
          <w:rFonts w:eastAsia="Times New Roman" w:cs="Tahoma"/>
          <w:b/>
          <w:bCs/>
          <w:color w:val="auto"/>
          <w:lang w:eastAsia="es-ES"/>
        </w:rPr>
        <w:t>b) Admisión del Recurso de Revisión</w:t>
      </w:r>
      <w:r w:rsidRPr="00DD098B">
        <w:rPr>
          <w:rFonts w:eastAsia="Times New Roman" w:cs="Tahoma"/>
          <w:b/>
          <w:bCs/>
          <w:color w:val="auto"/>
          <w:lang w:val="es-ES_tradnl" w:eastAsia="es-ES"/>
        </w:rPr>
        <w:t xml:space="preserve">. </w:t>
      </w:r>
      <w:r w:rsidRPr="00DD098B">
        <w:rPr>
          <w:rFonts w:eastAsia="Batang" w:cs="Tahoma"/>
          <w:bCs/>
          <w:color w:val="000000"/>
        </w:rPr>
        <w:t xml:space="preserve">El </w:t>
      </w:r>
      <w:r w:rsidR="00620917" w:rsidRPr="00DD098B">
        <w:rPr>
          <w:rFonts w:eastAsia="Batang" w:cs="Tahoma"/>
          <w:bCs/>
          <w:color w:val="000000"/>
        </w:rPr>
        <w:t>dos de febrero</w:t>
      </w:r>
      <w:r w:rsidRPr="00DD098B">
        <w:rPr>
          <w:rFonts w:eastAsia="Batang" w:cs="Tahoma"/>
          <w:bCs/>
          <w:color w:val="000000"/>
        </w:rPr>
        <w:t xml:space="preserve"> de dos mil veinti</w:t>
      </w:r>
      <w:r w:rsidR="00620917" w:rsidRPr="00DD098B">
        <w:rPr>
          <w:rFonts w:eastAsia="Batang" w:cs="Tahoma"/>
          <w:bCs/>
          <w:color w:val="000000"/>
        </w:rPr>
        <w:t>tré</w:t>
      </w:r>
      <w:r w:rsidRPr="00DD098B">
        <w:rPr>
          <w:rFonts w:eastAsia="Batang" w:cs="Tahoma"/>
          <w:bCs/>
          <w:color w:val="000000"/>
        </w:rPr>
        <w:t>s</w:t>
      </w:r>
      <w:r w:rsidRPr="00DD098B">
        <w:rPr>
          <w:rFonts w:eastAsia="Times New Roman" w:cs="Tahoma"/>
          <w:bCs/>
          <w:color w:val="auto"/>
          <w:lang w:val="es-ES_tradnl" w:eastAsia="es-ES"/>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 </w:t>
      </w:r>
    </w:p>
    <w:p w14:paraId="26C81B10" w14:textId="77777777" w:rsidR="00F505D5" w:rsidRPr="00DD098B" w:rsidRDefault="00F505D5" w:rsidP="00DD098B">
      <w:pPr>
        <w:spacing w:after="0" w:line="360" w:lineRule="auto"/>
        <w:contextualSpacing/>
        <w:rPr>
          <w:rFonts w:cs="Tahoma"/>
        </w:rPr>
      </w:pPr>
    </w:p>
    <w:p w14:paraId="65C2F0FA" w14:textId="1470B6EA" w:rsidR="00F505D5" w:rsidRPr="00DD098B" w:rsidRDefault="00F505D5" w:rsidP="00DD098B">
      <w:pPr>
        <w:pStyle w:val="Prrafodelista"/>
        <w:tabs>
          <w:tab w:val="left" w:pos="567"/>
        </w:tabs>
        <w:spacing w:after="0" w:line="360" w:lineRule="auto"/>
        <w:ind w:left="0"/>
        <w:rPr>
          <w:rFonts w:cs="Tahoma"/>
        </w:rPr>
      </w:pPr>
      <w:r w:rsidRPr="00DD098B">
        <w:rPr>
          <w:rFonts w:eastAsia="Times New Roman" w:cs="Tahoma"/>
          <w:b/>
          <w:bCs/>
          <w:color w:val="auto"/>
          <w:lang w:eastAsia="es-ES"/>
        </w:rPr>
        <w:t xml:space="preserve">c) </w:t>
      </w:r>
      <w:r w:rsidRPr="00DD098B">
        <w:rPr>
          <w:rFonts w:eastAsia="Batang" w:cs="Tahoma"/>
          <w:b/>
          <w:bCs/>
          <w:lang w:val="es-ES_tradnl"/>
        </w:rPr>
        <w:t>Informe Justificado</w:t>
      </w:r>
      <w:r w:rsidRPr="00DD098B">
        <w:rPr>
          <w:b/>
          <w:lang w:val="es-ES_tradnl"/>
        </w:rPr>
        <w:t xml:space="preserve">. </w:t>
      </w:r>
      <w:r w:rsidRPr="00DD098B">
        <w:rPr>
          <w:rFonts w:cs="Tahoma"/>
          <w:bCs/>
          <w:lang w:val="es-ES_tradnl"/>
        </w:rPr>
        <w:t xml:space="preserve">El </w:t>
      </w:r>
      <w:r w:rsidR="00620917" w:rsidRPr="00DD098B">
        <w:rPr>
          <w:rFonts w:cs="Tahoma"/>
          <w:bCs/>
          <w:lang w:val="es-ES_tradnl"/>
        </w:rPr>
        <w:t>trece de febrero</w:t>
      </w:r>
      <w:r w:rsidRPr="00DD098B">
        <w:rPr>
          <w:rFonts w:cs="Tahoma"/>
          <w:bCs/>
          <w:lang w:val="es-ES_tradnl"/>
        </w:rPr>
        <w:t xml:space="preserve"> de dos mil veintitrés, se recibió en este Instituto, a través del Sistema de Acceso a la Información Mexiquense (SAIMEX), el Informe Justificado del Sujeto Obligado, a través de un oficio sin número, </w:t>
      </w:r>
      <w:r w:rsidRPr="00DD098B">
        <w:rPr>
          <w:rFonts w:cs="Tahoma"/>
        </w:rPr>
        <w:t xml:space="preserve">suscrito por el Titular de la Unidad de Transparencia, dirigido al Solicitante, por medio del cual manifiesta y expone esencialmente lo siguiente: </w:t>
      </w:r>
    </w:p>
    <w:p w14:paraId="7D89A1A2" w14:textId="77777777" w:rsidR="002E1258" w:rsidRPr="00DD098B" w:rsidRDefault="002E1258" w:rsidP="00DD098B">
      <w:pPr>
        <w:widowControl w:val="0"/>
        <w:spacing w:after="0" w:line="360" w:lineRule="auto"/>
        <w:ind w:right="567" w:firstLine="567"/>
        <w:contextualSpacing/>
        <w:rPr>
          <w:noProof/>
        </w:rPr>
      </w:pPr>
    </w:p>
    <w:p w14:paraId="1EF8A606" w14:textId="310DE7FD" w:rsidR="00620917" w:rsidRPr="00095302" w:rsidRDefault="002E1258" w:rsidP="00DD098B">
      <w:pPr>
        <w:widowControl w:val="0"/>
        <w:spacing w:after="0" w:line="360" w:lineRule="auto"/>
        <w:ind w:right="567" w:firstLine="567"/>
        <w:contextualSpacing/>
        <w:rPr>
          <w:noProof/>
          <w:sz w:val="20"/>
          <w:szCs w:val="20"/>
        </w:rPr>
      </w:pPr>
      <w:r w:rsidRPr="00095302">
        <w:rPr>
          <w:noProof/>
          <w:sz w:val="20"/>
          <w:szCs w:val="20"/>
        </w:rPr>
        <w:t>“…</w:t>
      </w:r>
    </w:p>
    <w:p w14:paraId="605CD11C" w14:textId="49B29E15" w:rsidR="002E1258" w:rsidRDefault="002E1258" w:rsidP="00DD098B">
      <w:pPr>
        <w:widowControl w:val="0"/>
        <w:spacing w:after="0" w:line="360" w:lineRule="auto"/>
        <w:ind w:left="567" w:right="567"/>
        <w:contextualSpacing/>
        <w:rPr>
          <w:i/>
          <w:iCs/>
          <w:sz w:val="20"/>
          <w:szCs w:val="20"/>
        </w:rPr>
      </w:pPr>
      <w:r w:rsidRPr="00095302">
        <w:rPr>
          <w:i/>
          <w:iCs/>
          <w:sz w:val="20"/>
          <w:szCs w:val="20"/>
        </w:rPr>
        <w:t>Con el fin de poderle dar una oportuna respuesta le informo que este Sujeto Obligado procedió a realizar un análisis de lo solicitado y de igual forma se le turno al Servidor Público Habilitado poseedor de la información mismo que informa que los participantes del torneo de futbol Mundialito fueron los siguientes:</w:t>
      </w:r>
    </w:p>
    <w:p w14:paraId="2F006DDE" w14:textId="78F2DB46" w:rsidR="00095302" w:rsidRPr="00095302" w:rsidRDefault="00095302" w:rsidP="00DD098B">
      <w:pPr>
        <w:widowControl w:val="0"/>
        <w:spacing w:after="0" w:line="360" w:lineRule="auto"/>
        <w:ind w:left="567" w:right="567"/>
        <w:contextualSpacing/>
        <w:rPr>
          <w:i/>
          <w:iCs/>
          <w:sz w:val="18"/>
          <w:szCs w:val="18"/>
        </w:rPr>
      </w:pPr>
      <w:r>
        <w:rPr>
          <w:noProof/>
          <w:lang w:eastAsia="es-MX"/>
        </w:rPr>
        <w:lastRenderedPageBreak/>
        <w:drawing>
          <wp:inline distT="0" distB="0" distL="0" distR="0" wp14:anchorId="17D2F542" wp14:editId="3F1126A6">
            <wp:extent cx="5212101" cy="31623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15564" cy="3164401"/>
                    </a:xfrm>
                    <a:prstGeom prst="rect">
                      <a:avLst/>
                    </a:prstGeom>
                  </pic:spPr>
                </pic:pic>
              </a:graphicData>
            </a:graphic>
          </wp:inline>
        </w:drawing>
      </w:r>
    </w:p>
    <w:p w14:paraId="215E69C4" w14:textId="34C775DC" w:rsidR="002E1258" w:rsidRPr="00095302" w:rsidRDefault="00F505D5" w:rsidP="00DD098B">
      <w:pPr>
        <w:widowControl w:val="0"/>
        <w:spacing w:after="0" w:line="360" w:lineRule="auto"/>
        <w:ind w:left="567" w:right="567"/>
        <w:contextualSpacing/>
        <w:rPr>
          <w:i/>
          <w:iCs/>
          <w:sz w:val="18"/>
          <w:szCs w:val="18"/>
        </w:rPr>
      </w:pPr>
      <w:r w:rsidRPr="00095302">
        <w:rPr>
          <w:i/>
          <w:iCs/>
          <w:sz w:val="18"/>
          <w:szCs w:val="18"/>
        </w:rPr>
        <w:t>…”</w:t>
      </w:r>
    </w:p>
    <w:p w14:paraId="60987094" w14:textId="77777777" w:rsidR="00F505D5" w:rsidRPr="00DD098B" w:rsidRDefault="00F505D5" w:rsidP="00DD098B">
      <w:pPr>
        <w:widowControl w:val="0"/>
        <w:spacing w:after="0" w:line="360" w:lineRule="auto"/>
        <w:ind w:right="567"/>
        <w:contextualSpacing/>
        <w:rPr>
          <w:sz w:val="20"/>
          <w:szCs w:val="20"/>
        </w:rPr>
      </w:pPr>
    </w:p>
    <w:p w14:paraId="0A27217E" w14:textId="13FB32D6" w:rsidR="0060611D" w:rsidRPr="00DD098B" w:rsidRDefault="00F505D5" w:rsidP="00DD098B">
      <w:pPr>
        <w:spacing w:after="0" w:line="360" w:lineRule="auto"/>
        <w:contextualSpacing/>
        <w:rPr>
          <w:rFonts w:eastAsia="Palatino Linotype" w:cs="Palatino Linotype"/>
          <w:b/>
          <w:bCs/>
          <w:lang w:val="es-ES"/>
        </w:rPr>
      </w:pPr>
      <w:r w:rsidRPr="00DD098B">
        <w:rPr>
          <w:rFonts w:eastAsia="Times New Roman" w:cs="Tahoma"/>
          <w:b/>
          <w:color w:val="auto"/>
          <w:lang w:eastAsia="es-ES"/>
        </w:rPr>
        <w:t xml:space="preserve">d) </w:t>
      </w:r>
      <w:r w:rsidR="0060611D" w:rsidRPr="00DD098B">
        <w:rPr>
          <w:rFonts w:cs="Tahoma"/>
          <w:b/>
          <w:bCs/>
        </w:rPr>
        <w:t xml:space="preserve">Vista del informe justificado. </w:t>
      </w:r>
      <w:r w:rsidR="0060611D" w:rsidRPr="00DD098B">
        <w:rPr>
          <w:rFonts w:cs="Tahoma"/>
        </w:rPr>
        <w:t xml:space="preserve">El veinte de febrero de dos mil veintitrés, se dictó acuerdo mediante el cual </w:t>
      </w:r>
      <w:r w:rsidR="0060611D" w:rsidRPr="00DD098B">
        <w:rPr>
          <w:rFonts w:cs="Tahoma"/>
          <w:bCs/>
        </w:rPr>
        <w:t>se puso a la vista del Particular el Informe Justificado</w:t>
      </w:r>
      <w:r w:rsidR="0060611D" w:rsidRPr="00DD098B">
        <w:rPr>
          <w:rFonts w:cs="Tahoma"/>
        </w:rPr>
        <w:t xml:space="preserve"> entregado por el Sujeto Obligado, el cual fue notificado, a través del Sistema de Acceso a la Información Mexiquense (SAIMEX), el mismo día. </w:t>
      </w:r>
      <w:r w:rsidR="0060611D" w:rsidRPr="00DD098B">
        <w:rPr>
          <w:rFonts w:cs="Tahoma"/>
          <w:b/>
          <w:bCs/>
          <w:color w:val="000000"/>
        </w:rPr>
        <w:t>Cabe señalar que la parte Recurrente fue omisa en emitir manifestaciones.</w:t>
      </w:r>
    </w:p>
    <w:p w14:paraId="6B6D73A6" w14:textId="77777777" w:rsidR="0060611D" w:rsidRPr="00DD098B" w:rsidRDefault="0060611D" w:rsidP="00DD098B">
      <w:pPr>
        <w:widowControl w:val="0"/>
        <w:spacing w:after="0" w:line="360" w:lineRule="auto"/>
        <w:contextualSpacing/>
        <w:rPr>
          <w:rFonts w:eastAsia="Times New Roman" w:cs="Tahoma"/>
          <w:b/>
          <w:color w:val="auto"/>
          <w:lang w:eastAsia="es-ES"/>
        </w:rPr>
      </w:pPr>
    </w:p>
    <w:p w14:paraId="5323D31A" w14:textId="49249739" w:rsidR="00F505D5" w:rsidRPr="00DD098B" w:rsidRDefault="0060611D" w:rsidP="00DD098B">
      <w:pPr>
        <w:widowControl w:val="0"/>
        <w:spacing w:after="0" w:line="360" w:lineRule="auto"/>
        <w:contextualSpacing/>
        <w:rPr>
          <w:rFonts w:eastAsia="Times New Roman" w:cs="Tahoma"/>
          <w:color w:val="auto"/>
          <w:lang w:eastAsia="es-ES"/>
        </w:rPr>
      </w:pPr>
      <w:r w:rsidRPr="00DD098B">
        <w:rPr>
          <w:rFonts w:eastAsia="Times New Roman" w:cs="Tahoma"/>
          <w:b/>
          <w:color w:val="auto"/>
          <w:lang w:eastAsia="es-ES"/>
        </w:rPr>
        <w:t xml:space="preserve">e) </w:t>
      </w:r>
      <w:r w:rsidR="00F505D5" w:rsidRPr="00DD098B">
        <w:rPr>
          <w:rFonts w:eastAsia="Times New Roman" w:cs="Tahoma"/>
          <w:b/>
          <w:color w:val="auto"/>
          <w:lang w:eastAsia="es-ES"/>
        </w:rPr>
        <w:t>Cierre de instrucción.</w:t>
      </w:r>
      <w:r w:rsidR="00F505D5" w:rsidRPr="00DD098B">
        <w:rPr>
          <w:rFonts w:eastAsia="Times New Roman" w:cs="Tahoma"/>
          <w:color w:val="auto"/>
          <w:lang w:eastAsia="es-ES"/>
        </w:rPr>
        <w:t xml:space="preserve"> El </w:t>
      </w:r>
      <w:r w:rsidR="002E1258" w:rsidRPr="00DD098B">
        <w:rPr>
          <w:rFonts w:eastAsia="Times New Roman" w:cs="Tahoma"/>
          <w:color w:val="auto"/>
          <w:lang w:eastAsia="es-ES"/>
        </w:rPr>
        <w:t xml:space="preserve">primero de marzo </w:t>
      </w:r>
      <w:r w:rsidR="00F505D5" w:rsidRPr="00DD098B">
        <w:rPr>
          <w:rFonts w:eastAsia="Times New Roman" w:cs="Tahoma"/>
          <w:color w:val="auto"/>
          <w:lang w:eastAsia="es-ES"/>
        </w:rPr>
        <w:t xml:space="preserve">de dos mil veintitrés,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F505D5" w:rsidRPr="00DD098B">
        <w:rPr>
          <w:rFonts w:eastAsia="Times New Roman" w:cs="Tahoma"/>
          <w:color w:val="auto"/>
          <w:lang w:val="es-ES" w:eastAsia="es-ES"/>
        </w:rPr>
        <w:t>Sistema de Acceso a la Información Mexiquense (SAIMEX)</w:t>
      </w:r>
      <w:r w:rsidR="00F505D5" w:rsidRPr="00DD098B">
        <w:rPr>
          <w:rFonts w:eastAsia="Times New Roman" w:cs="Tahoma"/>
          <w:color w:val="auto"/>
          <w:lang w:eastAsia="es-ES"/>
        </w:rPr>
        <w:t xml:space="preserve">. </w:t>
      </w:r>
    </w:p>
    <w:p w14:paraId="14CA993F" w14:textId="77777777" w:rsidR="00832DE0" w:rsidRPr="00DD098B" w:rsidRDefault="00832DE0" w:rsidP="00DD098B">
      <w:pPr>
        <w:widowControl w:val="0"/>
        <w:spacing w:after="0" w:line="360" w:lineRule="auto"/>
        <w:contextualSpacing/>
        <w:rPr>
          <w:rFonts w:eastAsia="Times New Roman" w:cs="Tahoma"/>
          <w:color w:val="auto"/>
          <w:lang w:eastAsia="es-ES"/>
        </w:rPr>
      </w:pPr>
    </w:p>
    <w:p w14:paraId="1F326761" w14:textId="799FB569" w:rsidR="00832DE0" w:rsidRPr="00DD098B" w:rsidRDefault="00C7033F" w:rsidP="00DD098B">
      <w:pPr>
        <w:spacing w:after="0" w:line="360" w:lineRule="auto"/>
        <w:contextualSpacing/>
        <w:rPr>
          <w:rFonts w:cs="Tahoma"/>
          <w:color w:val="0D0D0D" w:themeColor="text1" w:themeTint="F2"/>
          <w:lang w:val="es-ES_tradnl"/>
        </w:rPr>
      </w:pPr>
      <w:r w:rsidRPr="00DD098B">
        <w:rPr>
          <w:rFonts w:eastAsia="Times New Roman" w:cs="Tahoma"/>
          <w:b/>
          <w:bCs/>
          <w:color w:val="auto"/>
          <w:lang w:eastAsia="es-ES"/>
        </w:rPr>
        <w:lastRenderedPageBreak/>
        <w:t>f</w:t>
      </w:r>
      <w:r w:rsidR="00832DE0" w:rsidRPr="00DD098B">
        <w:rPr>
          <w:rFonts w:eastAsia="Times New Roman" w:cs="Tahoma"/>
          <w:b/>
          <w:bCs/>
          <w:color w:val="auto"/>
          <w:lang w:eastAsia="es-ES"/>
        </w:rPr>
        <w:t>)</w:t>
      </w:r>
      <w:r w:rsidR="00832DE0" w:rsidRPr="00DD098B">
        <w:rPr>
          <w:rFonts w:eastAsia="Times New Roman" w:cs="Tahoma"/>
          <w:color w:val="auto"/>
          <w:lang w:eastAsia="es-ES"/>
        </w:rPr>
        <w:t xml:space="preserve"> </w:t>
      </w:r>
      <w:r w:rsidR="00832DE0" w:rsidRPr="00DD098B">
        <w:rPr>
          <w:rFonts w:cs="Tahoma"/>
          <w:b/>
        </w:rPr>
        <w:t>Requerimiento de información adicional.</w:t>
      </w:r>
      <w:r w:rsidR="00832DE0" w:rsidRPr="00DD098B">
        <w:rPr>
          <w:rFonts w:cs="Tahoma"/>
        </w:rPr>
        <w:t xml:space="preserve"> El veintiuno de marzo de dos mil veintitrés, se emitió un requerimiento de información adicional suscrito por el Comisionado Ponente el cual es dirigido a la Titular de la Unidad de Transparencia del Sujeto Obligado, lo anterior de conformidad con </w:t>
      </w:r>
      <w:r w:rsidR="00832DE0" w:rsidRPr="00DD098B">
        <w:rPr>
          <w:rFonts w:cs="Tahoma"/>
          <w:color w:val="0D0D0D" w:themeColor="text1" w:themeTint="F2"/>
          <w:lang w:val="es-ES_tradnl"/>
        </w:rPr>
        <w:t xml:space="preserve">los artículos 14, fracciones I, II, V y XVI, del Reglamento Interior del Instituto de Transparencia, Acceso a la Información Pública y Protección de Datos Personales del Estado de México y Municipios, mismo que fue notificado el mismo día al </w:t>
      </w:r>
      <w:r w:rsidR="00832DE0" w:rsidRPr="00DD098B">
        <w:t>Organismo Público Descentralizado para la Prestación de los Servicios de Agua Potable Drenaje y Tratamiento de Aguas Residuales del Municipio de Huixquilucan</w:t>
      </w:r>
      <w:r w:rsidR="00832DE0" w:rsidRPr="00DD098B">
        <w:rPr>
          <w:rFonts w:eastAsia="Calibri" w:cs="Tahoma"/>
        </w:rPr>
        <w:t xml:space="preserve">, </w:t>
      </w:r>
      <w:r w:rsidR="00832DE0" w:rsidRPr="00DD098B">
        <w:rPr>
          <w:rFonts w:cs="Tahoma"/>
          <w:color w:val="0D0D0D" w:themeColor="text1" w:themeTint="F2"/>
          <w:lang w:val="es-ES_tradnl"/>
        </w:rPr>
        <w:t>a través de correo electrónico y el Sistema de Acceso a la Información Mexiquense (SAIMEX), por medio del cual se le solicitó lo siguiente:</w:t>
      </w:r>
    </w:p>
    <w:p w14:paraId="4A0BE4DE" w14:textId="6BB4C755" w:rsidR="00832DE0" w:rsidRPr="00DD098B" w:rsidRDefault="00832DE0" w:rsidP="00DD098B">
      <w:pPr>
        <w:widowControl w:val="0"/>
        <w:spacing w:after="0" w:line="360" w:lineRule="auto"/>
        <w:contextualSpacing/>
        <w:rPr>
          <w:rFonts w:eastAsia="Times New Roman" w:cs="Tahoma"/>
          <w:color w:val="auto"/>
          <w:lang w:eastAsia="es-ES"/>
        </w:rPr>
      </w:pPr>
    </w:p>
    <w:p w14:paraId="4F1CCA1B" w14:textId="77777777" w:rsidR="00832DE0" w:rsidRPr="00DD098B" w:rsidRDefault="00832DE0" w:rsidP="00DD098B">
      <w:pPr>
        <w:widowControl w:val="0"/>
        <w:spacing w:after="0" w:line="360" w:lineRule="auto"/>
        <w:ind w:left="567" w:right="567"/>
        <w:contextualSpacing/>
        <w:rPr>
          <w:i/>
          <w:iCs/>
          <w:sz w:val="20"/>
          <w:szCs w:val="20"/>
        </w:rPr>
      </w:pPr>
      <w:r w:rsidRPr="00DD098B">
        <w:rPr>
          <w:rFonts w:eastAsia="Times New Roman" w:cs="Tahoma"/>
          <w:i/>
          <w:iCs/>
          <w:color w:val="auto"/>
          <w:sz w:val="20"/>
          <w:szCs w:val="20"/>
          <w:lang w:eastAsia="es-ES"/>
        </w:rPr>
        <w:t xml:space="preserve">“… </w:t>
      </w:r>
      <w:r w:rsidRPr="00DD098B">
        <w:rPr>
          <w:i/>
          <w:iCs/>
          <w:sz w:val="20"/>
          <w:szCs w:val="20"/>
        </w:rPr>
        <w:t xml:space="preserve">con el objeto de contar con los elementos necesarios para la elaboración del proyecto de resolución correspondiente, requiere al Sujeto Obligado, a lo siguiente: </w:t>
      </w:r>
    </w:p>
    <w:p w14:paraId="069C01A3" w14:textId="77777777" w:rsidR="00832DE0" w:rsidRPr="00DD098B" w:rsidRDefault="00832DE0" w:rsidP="00DD098B">
      <w:pPr>
        <w:widowControl w:val="0"/>
        <w:spacing w:after="0" w:line="360" w:lineRule="auto"/>
        <w:ind w:left="567" w:right="567"/>
        <w:contextualSpacing/>
        <w:rPr>
          <w:i/>
          <w:iCs/>
          <w:sz w:val="20"/>
          <w:szCs w:val="20"/>
        </w:rPr>
      </w:pPr>
    </w:p>
    <w:p w14:paraId="15C90A8C" w14:textId="77777777" w:rsidR="00832DE0" w:rsidRPr="00DD098B" w:rsidRDefault="00832DE0" w:rsidP="00DD098B">
      <w:pPr>
        <w:widowControl w:val="0"/>
        <w:spacing w:after="0" w:line="360" w:lineRule="auto"/>
        <w:ind w:left="567" w:right="567"/>
        <w:contextualSpacing/>
        <w:rPr>
          <w:i/>
          <w:iCs/>
          <w:sz w:val="20"/>
          <w:szCs w:val="20"/>
        </w:rPr>
      </w:pPr>
      <w:r w:rsidRPr="00DD098B">
        <w:rPr>
          <w:i/>
          <w:iCs/>
          <w:sz w:val="20"/>
          <w:szCs w:val="20"/>
        </w:rPr>
        <w:t xml:space="preserve">1. Proporcione la Convocatoria o documento análogo del torneo mencionado; </w:t>
      </w:r>
    </w:p>
    <w:p w14:paraId="6E54559F" w14:textId="77777777" w:rsidR="00832DE0" w:rsidRPr="00DD098B" w:rsidRDefault="00832DE0" w:rsidP="00DD098B">
      <w:pPr>
        <w:widowControl w:val="0"/>
        <w:spacing w:after="0" w:line="360" w:lineRule="auto"/>
        <w:ind w:left="567" w:right="567"/>
        <w:contextualSpacing/>
        <w:rPr>
          <w:i/>
          <w:iCs/>
          <w:sz w:val="20"/>
          <w:szCs w:val="20"/>
        </w:rPr>
      </w:pPr>
    </w:p>
    <w:p w14:paraId="7308C90D" w14:textId="577F24C8" w:rsidR="00832DE0" w:rsidRPr="00DD098B" w:rsidRDefault="00832DE0" w:rsidP="00DD098B">
      <w:pPr>
        <w:widowControl w:val="0"/>
        <w:spacing w:after="0" w:line="360" w:lineRule="auto"/>
        <w:ind w:left="567" w:right="567"/>
        <w:contextualSpacing/>
        <w:rPr>
          <w:i/>
          <w:iCs/>
          <w:sz w:val="20"/>
          <w:szCs w:val="20"/>
        </w:rPr>
      </w:pPr>
      <w:r w:rsidRPr="00DD098B">
        <w:rPr>
          <w:i/>
          <w:iCs/>
          <w:sz w:val="20"/>
          <w:szCs w:val="20"/>
        </w:rPr>
        <w:t>2. Indique si cuenta con el nombre de cada uno de los jugadores de los equipos que participaron, o</w:t>
      </w:r>
      <w:r w:rsidR="00902C12" w:rsidRPr="00DD098B">
        <w:rPr>
          <w:i/>
          <w:iCs/>
          <w:sz w:val="20"/>
          <w:szCs w:val="20"/>
        </w:rPr>
        <w:t xml:space="preserve"> </w:t>
      </w:r>
      <w:r w:rsidRPr="00DD098B">
        <w:rPr>
          <w:i/>
          <w:iCs/>
          <w:sz w:val="20"/>
          <w:szCs w:val="20"/>
        </w:rPr>
        <w:t xml:space="preserve">si únicamente cuenta con la denominación de la cuadrilla; </w:t>
      </w:r>
    </w:p>
    <w:p w14:paraId="3D54F40C" w14:textId="77777777" w:rsidR="00832DE0" w:rsidRPr="00DD098B" w:rsidRDefault="00832DE0" w:rsidP="00DD098B">
      <w:pPr>
        <w:widowControl w:val="0"/>
        <w:spacing w:after="0" w:line="360" w:lineRule="auto"/>
        <w:ind w:left="567" w:right="567"/>
        <w:contextualSpacing/>
        <w:rPr>
          <w:i/>
          <w:iCs/>
          <w:sz w:val="20"/>
          <w:szCs w:val="20"/>
        </w:rPr>
      </w:pPr>
    </w:p>
    <w:p w14:paraId="6987F6DD" w14:textId="77777777" w:rsidR="00832DE0" w:rsidRPr="00DD098B" w:rsidRDefault="00832DE0" w:rsidP="00DD098B">
      <w:pPr>
        <w:widowControl w:val="0"/>
        <w:spacing w:after="0" w:line="360" w:lineRule="auto"/>
        <w:ind w:left="567" w:right="567"/>
        <w:contextualSpacing/>
        <w:rPr>
          <w:i/>
          <w:iCs/>
          <w:sz w:val="20"/>
          <w:szCs w:val="20"/>
        </w:rPr>
      </w:pPr>
      <w:r w:rsidRPr="00DD098B">
        <w:rPr>
          <w:i/>
          <w:iCs/>
          <w:sz w:val="20"/>
          <w:szCs w:val="20"/>
        </w:rPr>
        <w:t xml:space="preserve">3. Precise el rango de edad de los participantes, así como, si jugaron menores de edad, y </w:t>
      </w:r>
    </w:p>
    <w:p w14:paraId="05EB4ED6" w14:textId="77777777" w:rsidR="00832DE0" w:rsidRPr="00DD098B" w:rsidRDefault="00832DE0" w:rsidP="00DD098B">
      <w:pPr>
        <w:widowControl w:val="0"/>
        <w:spacing w:after="0" w:line="360" w:lineRule="auto"/>
        <w:ind w:left="567" w:right="567"/>
        <w:contextualSpacing/>
        <w:rPr>
          <w:i/>
          <w:iCs/>
          <w:sz w:val="20"/>
          <w:szCs w:val="20"/>
        </w:rPr>
      </w:pPr>
    </w:p>
    <w:p w14:paraId="20667785" w14:textId="3315E1E6" w:rsidR="00F505D5" w:rsidRPr="00DD098B" w:rsidRDefault="00832DE0" w:rsidP="00DD098B">
      <w:pPr>
        <w:widowControl w:val="0"/>
        <w:spacing w:after="0" w:line="360" w:lineRule="auto"/>
        <w:ind w:left="567" w:right="567"/>
        <w:contextualSpacing/>
        <w:rPr>
          <w:rFonts w:eastAsia="Times New Roman" w:cs="Tahoma"/>
          <w:i/>
          <w:iCs/>
          <w:color w:val="auto"/>
          <w:sz w:val="20"/>
          <w:szCs w:val="20"/>
          <w:lang w:eastAsia="es-ES"/>
        </w:rPr>
      </w:pPr>
      <w:r w:rsidRPr="00DD098B">
        <w:rPr>
          <w:i/>
          <w:iCs/>
          <w:sz w:val="20"/>
          <w:szCs w:val="20"/>
        </w:rPr>
        <w:t>4. Si a los ganadores se les entregaron recursos públicos o algún premio;</w:t>
      </w:r>
    </w:p>
    <w:p w14:paraId="18458982" w14:textId="7517E555" w:rsidR="00832DE0" w:rsidRPr="00DD098B" w:rsidRDefault="00832DE0" w:rsidP="00DD098B">
      <w:pPr>
        <w:spacing w:after="0" w:line="360" w:lineRule="auto"/>
        <w:ind w:left="567" w:right="567"/>
        <w:contextualSpacing/>
        <w:rPr>
          <w:rFonts w:eastAsia="Times New Roman" w:cs="Tahoma"/>
          <w:i/>
          <w:iCs/>
          <w:color w:val="000000"/>
          <w:sz w:val="20"/>
          <w:szCs w:val="20"/>
          <w:lang w:eastAsia="es-ES"/>
        </w:rPr>
      </w:pPr>
      <w:r w:rsidRPr="00DD098B">
        <w:rPr>
          <w:rFonts w:eastAsia="Times New Roman" w:cs="Tahoma"/>
          <w:i/>
          <w:iCs/>
          <w:color w:val="000000"/>
          <w:sz w:val="20"/>
          <w:szCs w:val="20"/>
          <w:lang w:eastAsia="es-ES"/>
        </w:rPr>
        <w:t>…”</w:t>
      </w:r>
    </w:p>
    <w:p w14:paraId="62865C52" w14:textId="77777777" w:rsidR="00C7033F" w:rsidRPr="00DD098B" w:rsidRDefault="00C7033F" w:rsidP="00DD098B">
      <w:pPr>
        <w:spacing w:after="0" w:line="360" w:lineRule="auto"/>
        <w:contextualSpacing/>
        <w:rPr>
          <w:b/>
        </w:rPr>
      </w:pPr>
    </w:p>
    <w:p w14:paraId="11A2AE78" w14:textId="75D11D6B" w:rsidR="00C7033F" w:rsidRPr="00DD098B" w:rsidRDefault="00C7033F" w:rsidP="00DD098B">
      <w:pPr>
        <w:spacing w:after="0" w:line="360" w:lineRule="auto"/>
        <w:contextualSpacing/>
        <w:rPr>
          <w:rFonts w:eastAsia="Palatino Linotype" w:cs="Palatino Linotype"/>
          <w:lang w:val="es-ES"/>
        </w:rPr>
      </w:pPr>
      <w:r w:rsidRPr="00DD098B">
        <w:rPr>
          <w:b/>
        </w:rPr>
        <w:t>g</w:t>
      </w:r>
      <w:r w:rsidR="00902C12" w:rsidRPr="00DD098B">
        <w:rPr>
          <w:b/>
        </w:rPr>
        <w:t>)</w:t>
      </w:r>
      <w:r w:rsidRPr="00DD098B">
        <w:rPr>
          <w:b/>
        </w:rPr>
        <w:t xml:space="preserve">  </w:t>
      </w:r>
      <w:r w:rsidRPr="00DD098B">
        <w:rPr>
          <w:rFonts w:eastAsia="Palatino Linotype" w:cs="Palatino Linotype"/>
          <w:b/>
          <w:bCs/>
          <w:lang w:val="es-ES"/>
        </w:rPr>
        <w:t xml:space="preserve">Ampliación de plazo para resolver. </w:t>
      </w:r>
      <w:r w:rsidRPr="00DD098B">
        <w:rPr>
          <w:rFonts w:eastAsia="Palatino Linotype" w:cs="Palatino Linotype"/>
          <w:lang w:val="es-ES"/>
        </w:rPr>
        <w:t xml:space="preserve">El veintitrés de marzo de dos mil veintitrés,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Pr="00DD098B">
        <w:rPr>
          <w:rFonts w:eastAsia="Palatino Linotype" w:cs="Palatino Linotype"/>
          <w:lang w:val="es-ES"/>
        </w:rPr>
        <w:lastRenderedPageBreak/>
        <w:t>Recurso de Revisión que nos ocupa; acto que fue notificado a las partes, mediante el Sistema de Acceso a la Información Mexiquense (SAIMEX).</w:t>
      </w:r>
    </w:p>
    <w:p w14:paraId="290BF781" w14:textId="77777777" w:rsidR="00C7033F" w:rsidRPr="00DD098B" w:rsidRDefault="00C7033F" w:rsidP="00DD098B">
      <w:pPr>
        <w:spacing w:after="0" w:line="360" w:lineRule="auto"/>
        <w:contextualSpacing/>
        <w:rPr>
          <w:rFonts w:eastAsia="Palatino Linotype" w:cs="Palatino Linotype"/>
          <w:lang w:val="es-ES"/>
        </w:rPr>
      </w:pPr>
    </w:p>
    <w:p w14:paraId="4B22D565" w14:textId="77777777" w:rsidR="00C7033F" w:rsidRPr="00DD098B" w:rsidRDefault="00C7033F" w:rsidP="00DD098B">
      <w:pPr>
        <w:spacing w:after="0" w:line="360" w:lineRule="auto"/>
        <w:contextualSpacing/>
        <w:rPr>
          <w:rFonts w:cs="Tahoma"/>
        </w:rPr>
      </w:pPr>
      <w:r w:rsidRPr="00DD098B">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61731D" w14:textId="77777777" w:rsidR="00C7033F" w:rsidRPr="00DD098B" w:rsidRDefault="00C7033F" w:rsidP="00DD098B">
      <w:pPr>
        <w:spacing w:after="0" w:line="360" w:lineRule="auto"/>
        <w:contextualSpacing/>
        <w:rPr>
          <w:rFonts w:cs="Tahoma"/>
        </w:rPr>
      </w:pPr>
    </w:p>
    <w:p w14:paraId="3F89D6D5" w14:textId="77777777" w:rsidR="00C7033F" w:rsidRPr="00DD098B" w:rsidRDefault="00C7033F" w:rsidP="00DD098B">
      <w:pPr>
        <w:spacing w:after="0" w:line="360" w:lineRule="auto"/>
        <w:contextualSpacing/>
        <w:rPr>
          <w:rFonts w:cs="Tahoma"/>
        </w:rPr>
      </w:pPr>
      <w:r w:rsidRPr="00DD098B">
        <w:rPr>
          <w:rFonts w:cs="Tahoma"/>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603852B" w14:textId="77777777" w:rsidR="00C7033F" w:rsidRPr="00DD098B" w:rsidRDefault="00C7033F" w:rsidP="00DD098B">
      <w:pPr>
        <w:spacing w:after="0" w:line="360" w:lineRule="auto"/>
        <w:contextualSpacing/>
        <w:rPr>
          <w:rFonts w:cs="Tahoma"/>
        </w:rPr>
      </w:pPr>
    </w:p>
    <w:p w14:paraId="701889A7" w14:textId="77777777" w:rsidR="00C7033F" w:rsidRPr="00DD098B" w:rsidRDefault="00C7033F" w:rsidP="00DD098B">
      <w:pPr>
        <w:spacing w:after="0" w:line="360" w:lineRule="auto"/>
        <w:contextualSpacing/>
        <w:rPr>
          <w:rFonts w:cs="Tahoma"/>
        </w:rPr>
      </w:pPr>
      <w:r w:rsidRPr="00DD098B">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65ACFF" w14:textId="77777777" w:rsidR="00C7033F" w:rsidRPr="00DD098B" w:rsidRDefault="00C7033F" w:rsidP="00DD098B">
      <w:pPr>
        <w:spacing w:after="0" w:line="360" w:lineRule="auto"/>
        <w:contextualSpacing/>
        <w:rPr>
          <w:rFonts w:cs="Tahoma"/>
        </w:rPr>
      </w:pPr>
      <w:r w:rsidRPr="00DD098B">
        <w:rPr>
          <w:rFonts w:cs="Tahoma"/>
        </w:rPr>
        <w:t xml:space="preserve"> </w:t>
      </w:r>
    </w:p>
    <w:p w14:paraId="6FAAB10A" w14:textId="77777777" w:rsidR="00C7033F" w:rsidRPr="00DD098B" w:rsidRDefault="00C7033F" w:rsidP="00DD098B">
      <w:pPr>
        <w:spacing w:after="0" w:line="360" w:lineRule="auto"/>
        <w:contextualSpacing/>
        <w:rPr>
          <w:rFonts w:eastAsia="Calibri" w:cs="Tahoma"/>
          <w:bCs/>
        </w:rPr>
      </w:pPr>
      <w:r w:rsidRPr="00DD098B">
        <w:rPr>
          <w:rFonts w:eastAsia="Calibri" w:cs="Tahoma"/>
          <w:bCs/>
        </w:rPr>
        <w:t xml:space="preserve">Por ello, excepcionalmente, si un asunto es resuelto con posterioridad a los plazos señalados por la norma debe analizarse la razonabilidad del tiempo necesario para su resolución, atentos a los siguientes criterios:  </w:t>
      </w:r>
    </w:p>
    <w:p w14:paraId="53B5A540" w14:textId="100476FD" w:rsidR="00C7033F" w:rsidRPr="00DD098B" w:rsidRDefault="00C7033F" w:rsidP="00095302">
      <w:pPr>
        <w:spacing w:after="0" w:line="360" w:lineRule="auto"/>
        <w:contextualSpacing/>
        <w:rPr>
          <w:rFonts w:eastAsia="Palatino Linotype" w:cs="Palatino Linotype"/>
          <w:szCs w:val="24"/>
          <w:lang w:eastAsia="es-ES"/>
        </w:rPr>
      </w:pPr>
      <w:r w:rsidRPr="00DD098B">
        <w:rPr>
          <w:rFonts w:eastAsia="Calibri" w:cs="Tahoma"/>
          <w:bCs/>
        </w:rPr>
        <w:lastRenderedPageBreak/>
        <w:t xml:space="preserve"> </w:t>
      </w:r>
      <w:r w:rsidRPr="00DD098B">
        <w:rPr>
          <w:rFonts w:eastAsia="Palatino Linotype" w:cs="Palatino Linotype"/>
          <w:b/>
          <w:bCs/>
          <w:szCs w:val="24"/>
          <w:lang w:eastAsia="es-ES"/>
        </w:rPr>
        <w:t>Complejidad del asunto:</w:t>
      </w:r>
      <w:r w:rsidRPr="00DD098B">
        <w:rPr>
          <w:rFonts w:eastAsia="Palatino Linotype" w:cs="Palatino Linotype"/>
          <w:szCs w:val="24"/>
          <w:lang w:eastAsia="es-ES"/>
        </w:rPr>
        <w:t xml:space="preserve"> La complejidad de la prueba, la pluralidad de sujetos procesales, el tiempo transcurrido, las características y contexto del recurso.</w:t>
      </w:r>
    </w:p>
    <w:p w14:paraId="7A9176B2" w14:textId="77777777" w:rsidR="00C7033F" w:rsidRPr="00DD098B" w:rsidRDefault="00C7033F" w:rsidP="00DD098B">
      <w:pPr>
        <w:spacing w:after="0" w:line="360" w:lineRule="auto"/>
        <w:ind w:left="720"/>
        <w:contextualSpacing/>
        <w:rPr>
          <w:rFonts w:eastAsia="Palatino Linotype" w:cs="Palatino Linotype"/>
          <w:szCs w:val="24"/>
          <w:lang w:eastAsia="es-ES"/>
        </w:rPr>
      </w:pPr>
    </w:p>
    <w:p w14:paraId="39837177" w14:textId="77777777" w:rsidR="00C7033F" w:rsidRPr="00DD098B" w:rsidRDefault="00C7033F" w:rsidP="00DD098B">
      <w:pPr>
        <w:numPr>
          <w:ilvl w:val="0"/>
          <w:numId w:val="3"/>
        </w:numPr>
        <w:spacing w:after="0" w:line="360" w:lineRule="auto"/>
        <w:contextualSpacing/>
        <w:jc w:val="left"/>
        <w:rPr>
          <w:rFonts w:eastAsia="Palatino Linotype" w:cs="Palatino Linotype"/>
          <w:szCs w:val="24"/>
          <w:lang w:eastAsia="es-ES"/>
        </w:rPr>
      </w:pPr>
      <w:r w:rsidRPr="00DD098B">
        <w:rPr>
          <w:rFonts w:eastAsia="Palatino Linotype" w:cs="Palatino Linotype"/>
          <w:b/>
          <w:bCs/>
          <w:szCs w:val="24"/>
          <w:lang w:eastAsia="es-ES"/>
        </w:rPr>
        <w:t>Actividad Procesal del interesado:</w:t>
      </w:r>
      <w:r w:rsidRPr="00DD098B">
        <w:rPr>
          <w:rFonts w:eastAsia="Palatino Linotype" w:cs="Palatino Linotype"/>
          <w:szCs w:val="24"/>
          <w:lang w:eastAsia="es-ES"/>
        </w:rPr>
        <w:t xml:space="preserve"> Acciones u omisiones del interesado.</w:t>
      </w:r>
    </w:p>
    <w:p w14:paraId="02A4C42A" w14:textId="77777777" w:rsidR="00C7033F" w:rsidRPr="00DD098B" w:rsidRDefault="00C7033F" w:rsidP="00DD098B">
      <w:pPr>
        <w:spacing w:after="0" w:line="360" w:lineRule="auto"/>
        <w:ind w:left="720"/>
        <w:contextualSpacing/>
        <w:rPr>
          <w:rFonts w:eastAsia="Palatino Linotype" w:cs="Palatino Linotype"/>
          <w:szCs w:val="24"/>
          <w:lang w:eastAsia="es-ES"/>
        </w:rPr>
      </w:pPr>
    </w:p>
    <w:p w14:paraId="0606423F" w14:textId="77777777" w:rsidR="00C7033F" w:rsidRPr="00DD098B" w:rsidRDefault="00C7033F" w:rsidP="00DD098B">
      <w:pPr>
        <w:numPr>
          <w:ilvl w:val="0"/>
          <w:numId w:val="3"/>
        </w:numPr>
        <w:spacing w:after="0" w:line="360" w:lineRule="auto"/>
        <w:contextualSpacing/>
        <w:jc w:val="left"/>
        <w:rPr>
          <w:rFonts w:eastAsia="Palatino Linotype" w:cs="Palatino Linotype"/>
          <w:szCs w:val="24"/>
          <w:lang w:eastAsia="es-ES"/>
        </w:rPr>
      </w:pPr>
      <w:r w:rsidRPr="00DD098B">
        <w:rPr>
          <w:rFonts w:eastAsia="Palatino Linotype" w:cs="Palatino Linotype"/>
          <w:b/>
          <w:bCs/>
          <w:szCs w:val="24"/>
          <w:lang w:eastAsia="es-ES"/>
        </w:rPr>
        <w:t>Conducta de la Autoridad:</w:t>
      </w:r>
      <w:r w:rsidRPr="00DD098B">
        <w:rPr>
          <w:rFonts w:eastAsia="Palatino Linotype" w:cs="Palatino Linotype"/>
          <w:szCs w:val="24"/>
          <w:lang w:eastAsia="es-ES"/>
        </w:rPr>
        <w:t xml:space="preserve"> Las Acciones u omisiones realizadas en el procedimiento. Así como si la autoridad actuó con la debida diligencia.</w:t>
      </w:r>
    </w:p>
    <w:p w14:paraId="39282D34" w14:textId="77777777" w:rsidR="00C7033F" w:rsidRPr="00DD098B" w:rsidRDefault="00C7033F" w:rsidP="00DD098B">
      <w:pPr>
        <w:spacing w:after="0" w:line="360" w:lineRule="auto"/>
        <w:ind w:left="720"/>
        <w:contextualSpacing/>
        <w:rPr>
          <w:rFonts w:eastAsia="Palatino Linotype" w:cs="Palatino Linotype"/>
          <w:szCs w:val="24"/>
          <w:lang w:eastAsia="es-ES"/>
        </w:rPr>
      </w:pPr>
    </w:p>
    <w:p w14:paraId="555AE4D8" w14:textId="77777777" w:rsidR="00C7033F" w:rsidRPr="00DD098B" w:rsidRDefault="00C7033F" w:rsidP="00DD098B">
      <w:pPr>
        <w:numPr>
          <w:ilvl w:val="0"/>
          <w:numId w:val="3"/>
        </w:numPr>
        <w:spacing w:after="0" w:line="360" w:lineRule="auto"/>
        <w:contextualSpacing/>
        <w:jc w:val="left"/>
        <w:rPr>
          <w:rFonts w:eastAsia="Palatino Linotype" w:cs="Palatino Linotype"/>
          <w:szCs w:val="24"/>
          <w:lang w:eastAsia="es-ES"/>
        </w:rPr>
      </w:pPr>
      <w:r w:rsidRPr="00DD098B">
        <w:rPr>
          <w:rFonts w:eastAsia="Palatino Linotype" w:cs="Palatino Linotype"/>
          <w:b/>
          <w:bCs/>
          <w:szCs w:val="24"/>
          <w:lang w:eastAsia="es-ES"/>
        </w:rPr>
        <w:t xml:space="preserve">La afectación generada en la situación jurídica de la persona involucrada en el proceso: </w:t>
      </w:r>
      <w:r w:rsidRPr="00DD098B">
        <w:rPr>
          <w:rFonts w:eastAsia="Palatino Linotype" w:cs="Palatino Linotype"/>
          <w:szCs w:val="24"/>
          <w:lang w:eastAsia="es-ES"/>
        </w:rPr>
        <w:t>Violación a sus derechos humanos.</w:t>
      </w:r>
    </w:p>
    <w:p w14:paraId="1B0A0F88" w14:textId="77777777" w:rsidR="00C7033F" w:rsidRPr="00DD098B" w:rsidRDefault="00C7033F" w:rsidP="00DD098B">
      <w:pPr>
        <w:spacing w:after="0" w:line="360" w:lineRule="auto"/>
        <w:contextualSpacing/>
        <w:rPr>
          <w:rFonts w:eastAsia="Calibri" w:cs="Tahoma"/>
          <w:bCs/>
        </w:rPr>
      </w:pPr>
    </w:p>
    <w:p w14:paraId="6C029ECF" w14:textId="77777777" w:rsidR="00C7033F" w:rsidRPr="00DD098B" w:rsidRDefault="00C7033F" w:rsidP="00DD098B">
      <w:pPr>
        <w:spacing w:after="0" w:line="360" w:lineRule="auto"/>
        <w:contextualSpacing/>
        <w:rPr>
          <w:rFonts w:eastAsia="Calibri" w:cs="Tahoma"/>
          <w:bCs/>
        </w:rPr>
      </w:pPr>
      <w:r w:rsidRPr="00DD098B">
        <w:rPr>
          <w:rFonts w:eastAsia="Calibri" w:cs="Tahoma"/>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935333" w14:textId="77777777" w:rsidR="00C7033F" w:rsidRPr="00DD098B" w:rsidRDefault="00C7033F" w:rsidP="00DD098B">
      <w:pPr>
        <w:spacing w:after="0" w:line="360" w:lineRule="auto"/>
        <w:contextualSpacing/>
        <w:rPr>
          <w:rFonts w:eastAsia="Calibri" w:cs="Tahoma"/>
          <w:bCs/>
        </w:rPr>
      </w:pPr>
      <w:r w:rsidRPr="00DD098B">
        <w:rPr>
          <w:rFonts w:eastAsia="Calibri" w:cs="Tahoma"/>
          <w:bCs/>
        </w:rPr>
        <w:t xml:space="preserve"> </w:t>
      </w:r>
    </w:p>
    <w:p w14:paraId="1DEBA9DD" w14:textId="77777777" w:rsidR="00C7033F" w:rsidRPr="00DD098B" w:rsidRDefault="00C7033F" w:rsidP="00DD098B">
      <w:pPr>
        <w:spacing w:after="0" w:line="360" w:lineRule="auto"/>
        <w:contextualSpacing/>
        <w:rPr>
          <w:rFonts w:eastAsia="Calibri" w:cs="Tahoma"/>
          <w:bCs/>
        </w:rPr>
      </w:pPr>
      <w:r w:rsidRPr="00DD098B">
        <w:rPr>
          <w:rFonts w:eastAsia="Calibri" w:cs="Tahoma"/>
          <w:bCs/>
        </w:rPr>
        <w:t xml:space="preserve">Argumento que encuentra sustento en la jurisprudencia P./J. 32/92 emitida por el Pleno de la Suprema Corte de Justicia de la Nación de rubro </w:t>
      </w:r>
      <w:r w:rsidRPr="00DD098B">
        <w:rPr>
          <w:rFonts w:eastAsia="Calibri" w:cs="Tahoma"/>
          <w:b/>
        </w:rPr>
        <w:t>“TÉRMINOS PROCESALES. PARA DETERMINAR SI UN FUNCIONARIO JUDICIAL ACTUÓ INDEBIDAMENTE POR NO RESPETARLOS SE DEBE ATENDER AL PRESUPUESTO QUE CONSIDERÓ EL LEGISLADOR AL FIJARLOS Y LAS CARACTERÍSTICAS DEL CASO.”</w:t>
      </w:r>
      <w:r w:rsidRPr="00DD098B">
        <w:rPr>
          <w:rFonts w:eastAsia="Calibri" w:cs="Tahoma"/>
          <w:bCs/>
        </w:rPr>
        <w:t>, visible en la Gaceta del Seminario Judicial de la Federación con el registro digital 205635.</w:t>
      </w:r>
    </w:p>
    <w:p w14:paraId="74E0510F" w14:textId="77777777" w:rsidR="00C7033F" w:rsidRPr="00DD098B" w:rsidRDefault="00C7033F" w:rsidP="00DD098B">
      <w:pPr>
        <w:spacing w:after="0" w:line="360" w:lineRule="auto"/>
        <w:contextualSpacing/>
        <w:rPr>
          <w:rFonts w:eastAsia="Calibri" w:cs="Tahoma"/>
          <w:bCs/>
        </w:rPr>
      </w:pPr>
      <w:r w:rsidRPr="00DD098B">
        <w:rPr>
          <w:rFonts w:eastAsia="Calibri" w:cs="Tahoma"/>
          <w:bCs/>
        </w:rPr>
        <w:t xml:space="preserve"> </w:t>
      </w:r>
    </w:p>
    <w:p w14:paraId="5C929B1E" w14:textId="77777777" w:rsidR="00C7033F" w:rsidRPr="00DD098B" w:rsidRDefault="00C7033F" w:rsidP="00DD098B">
      <w:pPr>
        <w:spacing w:after="0" w:line="360" w:lineRule="auto"/>
        <w:contextualSpacing/>
        <w:rPr>
          <w:rFonts w:eastAsia="Calibri" w:cs="Tahoma"/>
          <w:bCs/>
        </w:rPr>
      </w:pPr>
      <w:r w:rsidRPr="00DD098B">
        <w:rPr>
          <w:rFonts w:eastAsia="Calibri" w:cs="Tahoma"/>
          <w:bC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w:t>
      </w:r>
      <w:r w:rsidRPr="00DD098B">
        <w:rPr>
          <w:rFonts w:eastAsia="Calibri" w:cs="Tahoma"/>
          <w:bCs/>
        </w:rPr>
        <w:lastRenderedPageBreak/>
        <w:t>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F55B2AC" w14:textId="77777777" w:rsidR="00C7033F" w:rsidRPr="00DD098B" w:rsidRDefault="00C7033F" w:rsidP="00DD098B">
      <w:pPr>
        <w:spacing w:after="0" w:line="360" w:lineRule="auto"/>
        <w:contextualSpacing/>
        <w:rPr>
          <w:rFonts w:eastAsia="Calibri" w:cs="Tahoma"/>
          <w:bCs/>
        </w:rPr>
      </w:pPr>
    </w:p>
    <w:p w14:paraId="15B47C74" w14:textId="77777777" w:rsidR="00C7033F" w:rsidRPr="00DD098B" w:rsidRDefault="00C7033F" w:rsidP="00DD098B">
      <w:pPr>
        <w:spacing w:after="0" w:line="360" w:lineRule="auto"/>
        <w:contextualSpacing/>
        <w:rPr>
          <w:rFonts w:eastAsia="Calibri" w:cs="Tahoma"/>
          <w:bCs/>
        </w:rPr>
      </w:pPr>
      <w:r w:rsidRPr="00DD098B">
        <w:rPr>
          <w:rFonts w:eastAsia="Calibri" w:cs="Tahoma"/>
          <w:bCs/>
        </w:rPr>
        <w:t>Al respecto, también son de considerar los criterios sostenidos por el Cuarto Tribunal Colegiado en Materia Administrativa del Primer Circuito, cuyos rubros y datos de identificación son los siguientes:</w:t>
      </w:r>
    </w:p>
    <w:p w14:paraId="48172D4E" w14:textId="77777777" w:rsidR="00C7033F" w:rsidRPr="00DD098B" w:rsidRDefault="00C7033F" w:rsidP="00DD098B">
      <w:pPr>
        <w:spacing w:after="0" w:line="360" w:lineRule="auto"/>
        <w:contextualSpacing/>
        <w:rPr>
          <w:rFonts w:eastAsia="Calibri" w:cs="Tahoma"/>
          <w:bCs/>
        </w:rPr>
      </w:pPr>
      <w:r w:rsidRPr="00DD098B">
        <w:rPr>
          <w:rFonts w:eastAsia="Calibri" w:cs="Tahoma"/>
          <w:bCs/>
        </w:rPr>
        <w:t xml:space="preserve"> </w:t>
      </w:r>
    </w:p>
    <w:p w14:paraId="3C31E7E5" w14:textId="77777777" w:rsidR="00C7033F" w:rsidRPr="00DD098B" w:rsidRDefault="00C7033F" w:rsidP="00DD098B">
      <w:pPr>
        <w:spacing w:after="0" w:line="360" w:lineRule="auto"/>
        <w:contextualSpacing/>
        <w:rPr>
          <w:rFonts w:eastAsia="Calibri" w:cs="Tahoma"/>
          <w:bCs/>
        </w:rPr>
      </w:pPr>
      <w:r w:rsidRPr="00DD098B">
        <w:rPr>
          <w:rFonts w:eastAsia="Calibri" w:cs="Tahoma"/>
          <w:b/>
        </w:rPr>
        <w:t>“PLAZO RAZONABLE PARA RESOLVER. DIMENSIÓN Y EFECTOS DE ESTE CONCEPTO CUANDO SE ADUCE EXCESIVA CARGA DE TRABAJO.”</w:t>
      </w:r>
      <w:r w:rsidRPr="00DD098B">
        <w:rPr>
          <w:rFonts w:eastAsia="Calibri" w:cs="Tahoma"/>
          <w:bCs/>
        </w:rPr>
        <w:t xml:space="preserve"> consultable en el Seminario Judicial de la Federación y su gaceta, con el registro digital 2002351.</w:t>
      </w:r>
    </w:p>
    <w:p w14:paraId="619A1EDF" w14:textId="77777777" w:rsidR="00C7033F" w:rsidRPr="00DD098B" w:rsidRDefault="00C7033F" w:rsidP="00DD098B">
      <w:pPr>
        <w:spacing w:after="0" w:line="360" w:lineRule="auto"/>
        <w:contextualSpacing/>
        <w:rPr>
          <w:rFonts w:eastAsia="Calibri" w:cs="Tahoma"/>
          <w:bCs/>
        </w:rPr>
      </w:pPr>
      <w:r w:rsidRPr="00DD098B">
        <w:rPr>
          <w:rFonts w:eastAsia="Calibri" w:cs="Tahoma"/>
          <w:bCs/>
        </w:rPr>
        <w:t xml:space="preserve"> </w:t>
      </w:r>
    </w:p>
    <w:p w14:paraId="709F3351" w14:textId="77777777" w:rsidR="00C7033F" w:rsidRPr="00DD098B" w:rsidRDefault="00C7033F" w:rsidP="00DD098B">
      <w:pPr>
        <w:spacing w:after="0" w:line="360" w:lineRule="auto"/>
        <w:contextualSpacing/>
        <w:rPr>
          <w:rFonts w:eastAsia="Calibri" w:cs="Tahoma"/>
          <w:bCs/>
        </w:rPr>
      </w:pPr>
      <w:r w:rsidRPr="00DD098B">
        <w:rPr>
          <w:rFonts w:eastAsia="Calibri" w:cs="Tahoma"/>
          <w:b/>
        </w:rPr>
        <w:t>“PLAZO RAZONABLE PARA RESOLVER. CONCEPTO Y ELEMENTOS QUE LO INTEGRAN A LA LUZ DEL DERECHO INTERNACIONAL DE LOS DERECHOS HUMANOS.”</w:t>
      </w:r>
      <w:r w:rsidRPr="00DD098B">
        <w:rPr>
          <w:rFonts w:eastAsia="Calibri" w:cs="Tahoma"/>
          <w:bCs/>
        </w:rPr>
        <w:t>, visible en el Seminario Judicial de la Federación y su gaceta, con el registro digital 2002350.</w:t>
      </w:r>
    </w:p>
    <w:p w14:paraId="26809041" w14:textId="77777777" w:rsidR="00C7033F" w:rsidRPr="00DD098B" w:rsidRDefault="00C7033F" w:rsidP="00DD098B">
      <w:pPr>
        <w:spacing w:after="0" w:line="360" w:lineRule="auto"/>
        <w:contextualSpacing/>
        <w:rPr>
          <w:rFonts w:eastAsia="Calibri" w:cs="Tahoma"/>
          <w:bCs/>
        </w:rPr>
      </w:pPr>
    </w:p>
    <w:p w14:paraId="2D2AE1C2" w14:textId="77777777" w:rsidR="00C7033F" w:rsidRPr="00DD098B" w:rsidRDefault="00C7033F" w:rsidP="00DD098B">
      <w:pPr>
        <w:spacing w:after="0" w:line="360" w:lineRule="auto"/>
        <w:contextualSpacing/>
        <w:rPr>
          <w:rFonts w:eastAsia="Calibri" w:cs="Tahoma"/>
          <w:bCs/>
        </w:rPr>
      </w:pPr>
      <w:r w:rsidRPr="00DD098B">
        <w:rPr>
          <w:rFonts w:eastAsia="Calibri" w:cs="Tahoma"/>
          <w:bCs/>
        </w:rPr>
        <w:t>Por ello, este organismo garante comprometido con la tutela de los derechos humanos confiados, señala que este exceso del plazo legal para resolver el presente asunto, resulta de carácter excepcional.</w:t>
      </w:r>
    </w:p>
    <w:p w14:paraId="32718758" w14:textId="77777777" w:rsidR="00C7033F" w:rsidRPr="00DD098B" w:rsidRDefault="00C7033F" w:rsidP="00DD098B">
      <w:pPr>
        <w:spacing w:after="0" w:line="360" w:lineRule="auto"/>
        <w:contextualSpacing/>
        <w:rPr>
          <w:b/>
        </w:rPr>
      </w:pPr>
    </w:p>
    <w:p w14:paraId="404D479D" w14:textId="037A9318" w:rsidR="00902C12" w:rsidRPr="00DD098B" w:rsidRDefault="00C7033F" w:rsidP="00DD098B">
      <w:pPr>
        <w:spacing w:after="0" w:line="360" w:lineRule="auto"/>
        <w:contextualSpacing/>
        <w:rPr>
          <w:b/>
        </w:rPr>
      </w:pPr>
      <w:r w:rsidRPr="00DD098B">
        <w:rPr>
          <w:b/>
        </w:rPr>
        <w:t>h)</w:t>
      </w:r>
      <w:r w:rsidR="00902C12" w:rsidRPr="00DD098B">
        <w:rPr>
          <w:b/>
        </w:rPr>
        <w:t xml:space="preserve"> </w:t>
      </w:r>
      <w:r w:rsidR="00902C12" w:rsidRPr="00DD098B">
        <w:rPr>
          <w:rFonts w:cs="Tahoma"/>
          <w:b/>
          <w:bCs/>
          <w:lang w:val="es-ES"/>
        </w:rPr>
        <w:t xml:space="preserve">Desahogo del </w:t>
      </w:r>
      <w:r w:rsidR="00902C12" w:rsidRPr="00DD098B">
        <w:rPr>
          <w:rFonts w:cs="Tahoma"/>
          <w:b/>
        </w:rPr>
        <w:t>requerimiento de información adicional</w:t>
      </w:r>
      <w:r w:rsidR="00902C12" w:rsidRPr="00DD098B">
        <w:rPr>
          <w:rFonts w:cs="Tahoma"/>
          <w:b/>
          <w:bCs/>
          <w:lang w:val="es-ES"/>
        </w:rPr>
        <w:t xml:space="preserve">. </w:t>
      </w:r>
      <w:r w:rsidR="00902C12" w:rsidRPr="00DD098B">
        <w:rPr>
          <w:rFonts w:cs="Tahoma"/>
          <w:bCs/>
          <w:lang w:val="es-ES"/>
        </w:rPr>
        <w:t>El veinticuatro de marzo de la presente anualidad, el Sujeto Obligado presentó a través</w:t>
      </w:r>
      <w:r w:rsidR="00902C12" w:rsidRPr="00DD098B">
        <w:rPr>
          <w:rFonts w:cs="Tahoma"/>
          <w:color w:val="0D0D0D" w:themeColor="text1" w:themeTint="F2"/>
          <w:lang w:val="es-ES_tradnl"/>
        </w:rPr>
        <w:t xml:space="preserve"> de correo electrónico, el desahogo </w:t>
      </w:r>
      <w:r w:rsidR="00902C12" w:rsidRPr="00DD098B">
        <w:rPr>
          <w:rFonts w:cs="Tahoma"/>
          <w:color w:val="0D0D0D" w:themeColor="text1" w:themeTint="F2"/>
          <w:lang w:val="es-ES_tradnl"/>
        </w:rPr>
        <w:lastRenderedPageBreak/>
        <w:t>al requerimiento de información adicional, por medio de la digitalización de los documentos siguientes:</w:t>
      </w:r>
    </w:p>
    <w:p w14:paraId="6FC121C2" w14:textId="77777777" w:rsidR="00902C12" w:rsidRPr="00DD098B" w:rsidRDefault="00902C12" w:rsidP="00DD098B">
      <w:pPr>
        <w:spacing w:after="0" w:line="360" w:lineRule="auto"/>
        <w:contextualSpacing/>
        <w:rPr>
          <w:rFonts w:cs="Tahoma"/>
          <w:color w:val="0D0D0D" w:themeColor="text1" w:themeTint="F2"/>
          <w:lang w:val="es-ES_tradnl"/>
        </w:rPr>
      </w:pPr>
    </w:p>
    <w:p w14:paraId="5F38F381" w14:textId="640763FE"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r w:rsidRPr="00DD098B">
        <w:rPr>
          <w:rFonts w:cs="Tahoma"/>
          <w:i/>
          <w:iCs/>
          <w:color w:val="0D0D0D" w:themeColor="text1" w:themeTint="F2"/>
          <w:sz w:val="20"/>
          <w:szCs w:val="20"/>
          <w:lang w:val="es-ES_tradnl"/>
        </w:rPr>
        <w:t>i) Oficio número ZIN/UT/00392/2023, de la fecha de su presentación, suscrito por el Titular de la Unidad de Transparencia, dirigido al Comisiona</w:t>
      </w:r>
      <w:r w:rsidR="006912D7" w:rsidRPr="00DD098B">
        <w:rPr>
          <w:rFonts w:cs="Tahoma"/>
          <w:i/>
          <w:iCs/>
          <w:color w:val="0D0D0D" w:themeColor="text1" w:themeTint="F2"/>
          <w:sz w:val="20"/>
          <w:szCs w:val="20"/>
          <w:lang w:val="es-ES_tradnl"/>
        </w:rPr>
        <w:t>66</w:t>
      </w:r>
      <w:r w:rsidRPr="00DD098B">
        <w:rPr>
          <w:rFonts w:cs="Tahoma"/>
          <w:i/>
          <w:iCs/>
          <w:color w:val="0D0D0D" w:themeColor="text1" w:themeTint="F2"/>
          <w:sz w:val="20"/>
          <w:szCs w:val="20"/>
          <w:lang w:val="es-ES_tradnl"/>
        </w:rPr>
        <w:t xml:space="preserve">do Ponente, a través del cual precisó lo siguiente: </w:t>
      </w:r>
    </w:p>
    <w:p w14:paraId="588300C5" w14:textId="77777777"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p>
    <w:p w14:paraId="7A4EF0B9" w14:textId="66C172EC"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r w:rsidRPr="00DD098B">
        <w:rPr>
          <w:rFonts w:cs="Tahoma"/>
          <w:i/>
          <w:iCs/>
          <w:color w:val="0D0D0D" w:themeColor="text1" w:themeTint="F2"/>
          <w:sz w:val="20"/>
          <w:szCs w:val="20"/>
          <w:lang w:val="es-ES_tradnl"/>
        </w:rPr>
        <w:t>1) Se anexa a la presente la convocatoria solicitada.</w:t>
      </w:r>
    </w:p>
    <w:p w14:paraId="31059444" w14:textId="77777777"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p>
    <w:p w14:paraId="62AA9E4F" w14:textId="0AB0A263"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r w:rsidRPr="00DD098B">
        <w:rPr>
          <w:rFonts w:cs="Tahoma"/>
          <w:i/>
          <w:iCs/>
          <w:color w:val="0D0D0D" w:themeColor="text1" w:themeTint="F2"/>
          <w:sz w:val="20"/>
          <w:szCs w:val="20"/>
          <w:lang w:val="es-ES_tradnl"/>
        </w:rPr>
        <w:t>2) Se informa que solo cuenta con el nombre de las cuadrillas o en su defecto el nombre de cada uno de los equipos que compitieron en el torneo denominado “Mundialito Zinacantepec 2022”</w:t>
      </w:r>
    </w:p>
    <w:p w14:paraId="02D305EB" w14:textId="77777777"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p>
    <w:p w14:paraId="377B182B" w14:textId="048F08AA" w:rsidR="00902C12" w:rsidRPr="00DD098B" w:rsidRDefault="00902C12" w:rsidP="00DD098B">
      <w:pPr>
        <w:spacing w:after="0" w:line="360" w:lineRule="auto"/>
        <w:ind w:left="567" w:right="567"/>
        <w:contextualSpacing/>
        <w:jc w:val="center"/>
        <w:rPr>
          <w:rFonts w:cs="Tahoma"/>
          <w:i/>
          <w:iCs/>
          <w:color w:val="0D0D0D" w:themeColor="text1" w:themeTint="F2"/>
          <w:sz w:val="20"/>
          <w:szCs w:val="20"/>
          <w:lang w:val="es-ES_tradnl"/>
        </w:rPr>
      </w:pPr>
      <w:r w:rsidRPr="00DD098B">
        <w:rPr>
          <w:i/>
          <w:iCs/>
          <w:noProof/>
          <w:sz w:val="20"/>
          <w:szCs w:val="20"/>
          <w:lang w:eastAsia="es-MX"/>
        </w:rPr>
        <w:drawing>
          <wp:inline distT="0" distB="0" distL="0" distR="0" wp14:anchorId="6F770C55" wp14:editId="2E3D2C92">
            <wp:extent cx="4065224" cy="3487154"/>
            <wp:effectExtent l="0" t="0" r="0" b="0"/>
            <wp:docPr id="409450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50750" name=""/>
                    <pic:cNvPicPr/>
                  </pic:nvPicPr>
                  <pic:blipFill rotWithShape="1">
                    <a:blip r:embed="rId8"/>
                    <a:srcRect l="29342" t="23151" r="29662" b="14297"/>
                    <a:stretch/>
                  </pic:blipFill>
                  <pic:spPr bwMode="auto">
                    <a:xfrm>
                      <a:off x="0" y="0"/>
                      <a:ext cx="4102540" cy="3519164"/>
                    </a:xfrm>
                    <a:prstGeom prst="rect">
                      <a:avLst/>
                    </a:prstGeom>
                    <a:ln>
                      <a:noFill/>
                    </a:ln>
                    <a:extLst>
                      <a:ext uri="{53640926-AAD7-44D8-BBD7-CCE9431645EC}">
                        <a14:shadowObscured xmlns:a14="http://schemas.microsoft.com/office/drawing/2010/main"/>
                      </a:ext>
                    </a:extLst>
                  </pic:spPr>
                </pic:pic>
              </a:graphicData>
            </a:graphic>
          </wp:inline>
        </w:drawing>
      </w:r>
    </w:p>
    <w:p w14:paraId="1D0D296D" w14:textId="77777777" w:rsidR="006912D7" w:rsidRPr="00DD098B" w:rsidRDefault="006912D7" w:rsidP="00DD098B">
      <w:pPr>
        <w:spacing w:after="0" w:line="360" w:lineRule="auto"/>
        <w:ind w:left="567" w:right="567"/>
        <w:contextualSpacing/>
        <w:jc w:val="center"/>
        <w:rPr>
          <w:rFonts w:cs="Tahoma"/>
          <w:i/>
          <w:iCs/>
          <w:color w:val="0D0D0D" w:themeColor="text1" w:themeTint="F2"/>
          <w:sz w:val="20"/>
          <w:szCs w:val="20"/>
          <w:lang w:val="es-ES_tradnl"/>
        </w:rPr>
      </w:pPr>
    </w:p>
    <w:p w14:paraId="2558E649" w14:textId="77787BEB"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r w:rsidRPr="00DD098B">
        <w:rPr>
          <w:rFonts w:cs="Tahoma"/>
          <w:i/>
          <w:iCs/>
          <w:color w:val="0D0D0D" w:themeColor="text1" w:themeTint="F2"/>
          <w:sz w:val="20"/>
          <w:szCs w:val="20"/>
          <w:lang w:val="es-ES_tradnl"/>
        </w:rPr>
        <w:t>3) Precise el rango de edad de los participantes, así como, si jugaron menores de edad;</w:t>
      </w:r>
    </w:p>
    <w:p w14:paraId="2A5D99F6" w14:textId="77777777"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p>
    <w:p w14:paraId="5D39F30B" w14:textId="43E3BE1A" w:rsidR="00902C12" w:rsidRPr="00DD098B" w:rsidRDefault="00902C12" w:rsidP="00DD098B">
      <w:pPr>
        <w:spacing w:after="0" w:line="360" w:lineRule="auto"/>
        <w:ind w:left="567" w:right="567"/>
        <w:contextualSpacing/>
        <w:jc w:val="center"/>
        <w:rPr>
          <w:rFonts w:cs="Tahoma"/>
          <w:i/>
          <w:iCs/>
          <w:color w:val="0D0D0D" w:themeColor="text1" w:themeTint="F2"/>
          <w:sz w:val="20"/>
          <w:szCs w:val="20"/>
          <w:lang w:val="es-ES_tradnl"/>
        </w:rPr>
      </w:pPr>
      <w:r w:rsidRPr="00DD098B">
        <w:rPr>
          <w:i/>
          <w:iCs/>
          <w:noProof/>
          <w:sz w:val="20"/>
          <w:szCs w:val="20"/>
          <w:lang w:eastAsia="es-MX"/>
        </w:rPr>
        <w:lastRenderedPageBreak/>
        <w:drawing>
          <wp:inline distT="0" distB="0" distL="0" distR="0" wp14:anchorId="1300B328" wp14:editId="2401B4F5">
            <wp:extent cx="4139643" cy="1068636"/>
            <wp:effectExtent l="0" t="0" r="0" b="0"/>
            <wp:docPr id="1609273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73794" name=""/>
                    <pic:cNvPicPr/>
                  </pic:nvPicPr>
                  <pic:blipFill rotWithShape="1">
                    <a:blip r:embed="rId9"/>
                    <a:srcRect l="29173" t="49066" r="30185" b="32272"/>
                    <a:stretch/>
                  </pic:blipFill>
                  <pic:spPr bwMode="auto">
                    <a:xfrm>
                      <a:off x="0" y="0"/>
                      <a:ext cx="4237631" cy="1093931"/>
                    </a:xfrm>
                    <a:prstGeom prst="rect">
                      <a:avLst/>
                    </a:prstGeom>
                    <a:ln>
                      <a:noFill/>
                    </a:ln>
                    <a:extLst>
                      <a:ext uri="{53640926-AAD7-44D8-BBD7-CCE9431645EC}">
                        <a14:shadowObscured xmlns:a14="http://schemas.microsoft.com/office/drawing/2010/main"/>
                      </a:ext>
                    </a:extLst>
                  </pic:spPr>
                </pic:pic>
              </a:graphicData>
            </a:graphic>
          </wp:inline>
        </w:drawing>
      </w:r>
    </w:p>
    <w:p w14:paraId="06BCA859" w14:textId="77777777" w:rsidR="006912D7" w:rsidRPr="00DD098B" w:rsidRDefault="006912D7" w:rsidP="00DD098B">
      <w:pPr>
        <w:spacing w:after="0" w:line="360" w:lineRule="auto"/>
        <w:ind w:left="567" w:right="567"/>
        <w:contextualSpacing/>
        <w:rPr>
          <w:rFonts w:cs="Tahoma"/>
          <w:i/>
          <w:iCs/>
          <w:color w:val="0D0D0D" w:themeColor="text1" w:themeTint="F2"/>
          <w:sz w:val="20"/>
          <w:szCs w:val="20"/>
          <w:lang w:val="es-ES_tradnl"/>
        </w:rPr>
      </w:pPr>
    </w:p>
    <w:p w14:paraId="295604D3" w14:textId="4FE3DE06" w:rsidR="00902C12" w:rsidRPr="00DD098B" w:rsidRDefault="00902C12" w:rsidP="00DD098B">
      <w:pPr>
        <w:spacing w:after="0" w:line="360" w:lineRule="auto"/>
        <w:ind w:left="567" w:right="567"/>
        <w:contextualSpacing/>
        <w:rPr>
          <w:rFonts w:cs="Tahoma"/>
          <w:i/>
          <w:iCs/>
          <w:color w:val="0D0D0D" w:themeColor="text1" w:themeTint="F2"/>
          <w:sz w:val="20"/>
          <w:szCs w:val="20"/>
          <w:lang w:val="es-ES_tradnl"/>
        </w:rPr>
      </w:pPr>
      <w:r w:rsidRPr="00DD098B">
        <w:rPr>
          <w:rFonts w:cs="Tahoma"/>
          <w:i/>
          <w:iCs/>
          <w:color w:val="0D0D0D" w:themeColor="text1" w:themeTint="F2"/>
          <w:sz w:val="20"/>
          <w:szCs w:val="20"/>
          <w:lang w:val="es-ES_tradnl"/>
        </w:rPr>
        <w:t>4)</w:t>
      </w:r>
      <w:r w:rsidR="006912D7" w:rsidRPr="00DD098B">
        <w:rPr>
          <w:rFonts w:cs="Tahoma"/>
          <w:i/>
          <w:iCs/>
          <w:color w:val="0D0D0D" w:themeColor="text1" w:themeTint="F2"/>
          <w:sz w:val="20"/>
          <w:szCs w:val="20"/>
          <w:lang w:val="es-ES_tradnl"/>
        </w:rPr>
        <w:t xml:space="preserve"> Es importante hacer mención que los premios otorgados fueron comprados con recursos públicos y por lo que hace a las medallas entregadas se informa que fueron donadas por el Director del Instituto Municipal de la Juventud de Zinacantepec</w:t>
      </w:r>
      <w:r w:rsidR="00095302">
        <w:rPr>
          <w:rFonts w:cs="Tahoma"/>
          <w:i/>
          <w:iCs/>
          <w:color w:val="0D0D0D" w:themeColor="text1" w:themeTint="F2"/>
          <w:sz w:val="20"/>
          <w:szCs w:val="20"/>
          <w:lang w:val="es-ES_tradnl"/>
        </w:rPr>
        <w:t>…”</w:t>
      </w:r>
    </w:p>
    <w:p w14:paraId="312F3146" w14:textId="77777777" w:rsidR="00832DE0" w:rsidRPr="00DD098B" w:rsidRDefault="00832DE0" w:rsidP="00DD098B">
      <w:pPr>
        <w:spacing w:after="0" w:line="360" w:lineRule="auto"/>
        <w:contextualSpacing/>
        <w:rPr>
          <w:rFonts w:eastAsia="Times New Roman" w:cs="Tahoma"/>
          <w:color w:val="000000"/>
          <w:lang w:eastAsia="es-ES"/>
        </w:rPr>
      </w:pPr>
    </w:p>
    <w:p w14:paraId="38CEDE83" w14:textId="58462E58" w:rsidR="006912D7" w:rsidRPr="00DD098B" w:rsidRDefault="006912D7" w:rsidP="00DD098B">
      <w:pPr>
        <w:spacing w:after="0" w:line="360" w:lineRule="auto"/>
        <w:contextualSpacing/>
        <w:rPr>
          <w:rFonts w:eastAsia="Times New Roman" w:cs="Tahoma"/>
          <w:color w:val="000000"/>
          <w:lang w:eastAsia="es-ES"/>
        </w:rPr>
      </w:pPr>
      <w:r w:rsidRPr="00DD098B">
        <w:rPr>
          <w:rFonts w:eastAsia="Times New Roman" w:cs="Tahoma"/>
          <w:color w:val="000000"/>
          <w:lang w:eastAsia="es-ES"/>
        </w:rPr>
        <w:t>ii) Oficio número ZIN/IMJI/0093/2023, de fecha veintitrés de marzo de dos mil veintitrés, suscrito por el Director del Instituto Municipal de la Juventud de Zinacantepec, dirigido al Titular de la Unidad de Transparencia, a través del cual refirió esencialmente lo siguiente:</w:t>
      </w:r>
    </w:p>
    <w:p w14:paraId="2A6625DC" w14:textId="77777777" w:rsidR="006912D7" w:rsidRPr="00DD098B" w:rsidRDefault="006912D7" w:rsidP="00DD098B">
      <w:pPr>
        <w:spacing w:after="0" w:line="360" w:lineRule="auto"/>
        <w:contextualSpacing/>
        <w:rPr>
          <w:rFonts w:eastAsia="Times New Roman" w:cs="Tahoma"/>
          <w:color w:val="000000"/>
          <w:lang w:eastAsia="es-ES"/>
        </w:rPr>
      </w:pPr>
    </w:p>
    <w:p w14:paraId="3CFCA6BF" w14:textId="77777777" w:rsidR="00095302" w:rsidRDefault="00095302" w:rsidP="00DD098B">
      <w:pPr>
        <w:spacing w:after="0" w:line="360" w:lineRule="auto"/>
        <w:ind w:left="567" w:right="567"/>
        <w:contextualSpacing/>
        <w:rPr>
          <w:rFonts w:eastAsia="Times New Roman" w:cs="Tahoma"/>
          <w:i/>
          <w:iCs/>
          <w:color w:val="000000"/>
          <w:sz w:val="20"/>
          <w:szCs w:val="20"/>
          <w:lang w:eastAsia="es-ES"/>
        </w:rPr>
      </w:pPr>
      <w:r>
        <w:rPr>
          <w:rFonts w:eastAsia="Times New Roman" w:cs="Tahoma"/>
          <w:i/>
          <w:iCs/>
          <w:color w:val="000000"/>
          <w:sz w:val="20"/>
          <w:szCs w:val="20"/>
          <w:lang w:eastAsia="es-ES"/>
        </w:rPr>
        <w:t>“…</w:t>
      </w:r>
    </w:p>
    <w:p w14:paraId="13C3E242" w14:textId="11D1E9A2" w:rsidR="006912D7" w:rsidRPr="00DD098B" w:rsidRDefault="006912D7" w:rsidP="00DD098B">
      <w:pPr>
        <w:spacing w:after="0" w:line="360" w:lineRule="auto"/>
        <w:ind w:left="567" w:right="567"/>
        <w:contextualSpacing/>
        <w:rPr>
          <w:rFonts w:eastAsia="Times New Roman" w:cs="Tahoma"/>
          <w:i/>
          <w:iCs/>
          <w:color w:val="000000"/>
          <w:sz w:val="20"/>
          <w:szCs w:val="20"/>
          <w:lang w:eastAsia="es-ES"/>
        </w:rPr>
      </w:pPr>
      <w:r w:rsidRPr="00DD098B">
        <w:rPr>
          <w:rFonts w:eastAsia="Times New Roman" w:cs="Tahoma"/>
          <w:i/>
          <w:iCs/>
          <w:color w:val="000000"/>
          <w:sz w:val="20"/>
          <w:szCs w:val="20"/>
          <w:lang w:eastAsia="es-ES"/>
        </w:rPr>
        <w:t>a) Convocatoria del torneo “Mundialito Zinacantepec 2022”:</w:t>
      </w:r>
    </w:p>
    <w:p w14:paraId="09429449" w14:textId="7D1F1171" w:rsidR="006912D7" w:rsidRPr="00DD098B" w:rsidRDefault="006912D7" w:rsidP="00DD098B">
      <w:pPr>
        <w:spacing w:after="0" w:line="360" w:lineRule="auto"/>
        <w:ind w:right="567" w:firstLine="567"/>
        <w:contextualSpacing/>
        <w:rPr>
          <w:rFonts w:eastAsia="Times New Roman" w:cs="Tahoma"/>
          <w:i/>
          <w:iCs/>
          <w:color w:val="000000"/>
          <w:sz w:val="20"/>
          <w:szCs w:val="20"/>
          <w:lang w:eastAsia="es-ES"/>
        </w:rPr>
      </w:pPr>
      <w:r w:rsidRPr="00DD098B">
        <w:rPr>
          <w:rFonts w:eastAsia="Times New Roman" w:cs="Tahoma"/>
          <w:i/>
          <w:iCs/>
          <w:color w:val="000000"/>
          <w:sz w:val="20"/>
          <w:szCs w:val="20"/>
          <w:lang w:eastAsia="es-ES"/>
        </w:rPr>
        <w:t>b) Nombre de equipos que participaron;</w:t>
      </w:r>
    </w:p>
    <w:p w14:paraId="29FBF16E" w14:textId="53DDFE3D" w:rsidR="006912D7" w:rsidRPr="00DD098B" w:rsidRDefault="006912D7" w:rsidP="00DD098B">
      <w:pPr>
        <w:spacing w:after="0" w:line="360" w:lineRule="auto"/>
        <w:ind w:right="567" w:firstLine="567"/>
        <w:contextualSpacing/>
        <w:rPr>
          <w:rFonts w:eastAsia="Times New Roman" w:cs="Tahoma"/>
          <w:i/>
          <w:iCs/>
          <w:color w:val="000000"/>
          <w:sz w:val="20"/>
          <w:szCs w:val="20"/>
          <w:lang w:eastAsia="es-ES"/>
        </w:rPr>
      </w:pPr>
      <w:r w:rsidRPr="00DD098B">
        <w:rPr>
          <w:rFonts w:eastAsia="Times New Roman" w:cs="Tahoma"/>
          <w:i/>
          <w:iCs/>
          <w:color w:val="000000"/>
          <w:sz w:val="20"/>
          <w:szCs w:val="20"/>
          <w:lang w:eastAsia="es-ES"/>
        </w:rPr>
        <w:t>c) Edades de los participantes y:</w:t>
      </w:r>
    </w:p>
    <w:p w14:paraId="49D02281" w14:textId="6BA3F16C" w:rsidR="006912D7" w:rsidRPr="00DD098B" w:rsidRDefault="006912D7" w:rsidP="00DD098B">
      <w:pPr>
        <w:spacing w:after="0" w:line="360" w:lineRule="auto"/>
        <w:ind w:right="567" w:firstLine="567"/>
        <w:contextualSpacing/>
        <w:rPr>
          <w:rFonts w:eastAsia="Times New Roman" w:cs="Tahoma"/>
          <w:i/>
          <w:iCs/>
          <w:color w:val="000000"/>
          <w:sz w:val="20"/>
          <w:szCs w:val="20"/>
          <w:lang w:eastAsia="es-ES"/>
        </w:rPr>
      </w:pPr>
      <w:r w:rsidRPr="00DD098B">
        <w:rPr>
          <w:rFonts w:eastAsia="Times New Roman" w:cs="Tahoma"/>
          <w:i/>
          <w:iCs/>
          <w:color w:val="000000"/>
          <w:sz w:val="20"/>
          <w:szCs w:val="20"/>
          <w:lang w:eastAsia="es-ES"/>
        </w:rPr>
        <w:t>d) Premios entregados:</w:t>
      </w:r>
    </w:p>
    <w:p w14:paraId="2199B194" w14:textId="77777777" w:rsidR="006912D7" w:rsidRPr="00DD098B" w:rsidRDefault="006912D7" w:rsidP="00DD098B">
      <w:pPr>
        <w:spacing w:after="0" w:line="360" w:lineRule="auto"/>
        <w:ind w:left="567" w:right="567" w:firstLine="360"/>
        <w:contextualSpacing/>
        <w:rPr>
          <w:rFonts w:eastAsia="Times New Roman" w:cs="Tahoma"/>
          <w:i/>
          <w:iCs/>
          <w:color w:val="000000"/>
          <w:sz w:val="20"/>
          <w:szCs w:val="20"/>
          <w:lang w:eastAsia="es-ES"/>
        </w:rPr>
      </w:pPr>
    </w:p>
    <w:p w14:paraId="0D35EA0D" w14:textId="26751D52" w:rsidR="006912D7" w:rsidRPr="00DD098B" w:rsidRDefault="006912D7" w:rsidP="00DD098B">
      <w:pPr>
        <w:pStyle w:val="Prrafodelista"/>
        <w:numPr>
          <w:ilvl w:val="0"/>
          <w:numId w:val="7"/>
        </w:numPr>
        <w:spacing w:after="0" w:line="360" w:lineRule="auto"/>
        <w:ind w:left="1494"/>
        <w:rPr>
          <w:rFonts w:eastAsia="Times New Roman" w:cs="Tahoma"/>
          <w:i/>
          <w:iCs/>
          <w:color w:val="000000"/>
          <w:sz w:val="20"/>
          <w:szCs w:val="20"/>
          <w:lang w:eastAsia="es-ES"/>
        </w:rPr>
      </w:pPr>
      <w:r w:rsidRPr="00DD098B">
        <w:rPr>
          <w:rFonts w:eastAsia="Times New Roman" w:cs="Tahoma"/>
          <w:i/>
          <w:iCs/>
          <w:color w:val="000000"/>
          <w:sz w:val="20"/>
          <w:szCs w:val="20"/>
          <w:lang w:eastAsia="es-ES"/>
        </w:rPr>
        <w:t>Trofeo de primer Lugar varonil y femenil.</w:t>
      </w:r>
    </w:p>
    <w:p w14:paraId="77221D43" w14:textId="4860E607" w:rsidR="006912D7" w:rsidRPr="00DD098B" w:rsidRDefault="006912D7" w:rsidP="00DD098B">
      <w:pPr>
        <w:pStyle w:val="Prrafodelista"/>
        <w:numPr>
          <w:ilvl w:val="0"/>
          <w:numId w:val="7"/>
        </w:numPr>
        <w:spacing w:after="0" w:line="360" w:lineRule="auto"/>
        <w:ind w:left="1494"/>
        <w:rPr>
          <w:rFonts w:eastAsia="Times New Roman" w:cs="Tahoma"/>
          <w:i/>
          <w:iCs/>
          <w:color w:val="000000"/>
          <w:sz w:val="20"/>
          <w:szCs w:val="20"/>
          <w:lang w:eastAsia="es-ES"/>
        </w:rPr>
      </w:pPr>
      <w:r w:rsidRPr="00DD098B">
        <w:rPr>
          <w:rFonts w:eastAsia="Times New Roman" w:cs="Tahoma"/>
          <w:i/>
          <w:iCs/>
          <w:color w:val="000000"/>
          <w:sz w:val="20"/>
          <w:szCs w:val="20"/>
          <w:lang w:eastAsia="es-ES"/>
        </w:rPr>
        <w:t>Un balón por equipo finalista.</w:t>
      </w:r>
    </w:p>
    <w:p w14:paraId="77FD9BF5" w14:textId="12367E49" w:rsidR="006912D7" w:rsidRPr="00DD098B" w:rsidRDefault="006912D7" w:rsidP="00DD098B">
      <w:pPr>
        <w:pStyle w:val="Prrafodelista"/>
        <w:numPr>
          <w:ilvl w:val="0"/>
          <w:numId w:val="7"/>
        </w:numPr>
        <w:spacing w:after="0" w:line="360" w:lineRule="auto"/>
        <w:ind w:left="1494"/>
        <w:rPr>
          <w:rFonts w:eastAsia="Times New Roman" w:cs="Tahoma"/>
          <w:i/>
          <w:iCs/>
          <w:color w:val="000000"/>
          <w:sz w:val="20"/>
          <w:szCs w:val="20"/>
          <w:lang w:eastAsia="es-ES"/>
        </w:rPr>
      </w:pPr>
      <w:r w:rsidRPr="00DD098B">
        <w:rPr>
          <w:rFonts w:eastAsia="Times New Roman" w:cs="Tahoma"/>
          <w:i/>
          <w:iCs/>
          <w:color w:val="000000"/>
          <w:sz w:val="20"/>
          <w:szCs w:val="20"/>
          <w:lang w:eastAsia="es-ES"/>
        </w:rPr>
        <w:t>Medallas para los equipos finalistas primero y segundo lugar varonil y femenil.</w:t>
      </w:r>
    </w:p>
    <w:p w14:paraId="00BDD516" w14:textId="77777777" w:rsidR="0060611D" w:rsidRPr="00095302" w:rsidRDefault="0060611D" w:rsidP="00DD098B">
      <w:pPr>
        <w:spacing w:after="0" w:line="360" w:lineRule="auto"/>
        <w:contextualSpacing/>
        <w:rPr>
          <w:rFonts w:eastAsia="Times New Roman" w:cs="Tahoma"/>
          <w:color w:val="000000"/>
          <w:sz w:val="20"/>
          <w:szCs w:val="20"/>
          <w:lang w:eastAsia="es-ES"/>
        </w:rPr>
      </w:pPr>
    </w:p>
    <w:p w14:paraId="04B24F54" w14:textId="77777777" w:rsidR="0060611D" w:rsidRDefault="0060611D" w:rsidP="00DD098B">
      <w:pPr>
        <w:spacing w:after="0" w:line="360" w:lineRule="auto"/>
        <w:ind w:left="567" w:right="567"/>
        <w:contextualSpacing/>
        <w:rPr>
          <w:rFonts w:eastAsia="Times New Roman" w:cs="Tahoma"/>
          <w:i/>
          <w:iCs/>
          <w:color w:val="000000"/>
          <w:sz w:val="20"/>
          <w:szCs w:val="20"/>
          <w:lang w:eastAsia="es-ES"/>
        </w:rPr>
      </w:pPr>
      <w:r w:rsidRPr="00095302">
        <w:rPr>
          <w:rFonts w:eastAsia="Times New Roman" w:cs="Tahoma"/>
          <w:i/>
          <w:iCs/>
          <w:color w:val="000000"/>
          <w:sz w:val="20"/>
          <w:szCs w:val="20"/>
          <w:lang w:eastAsia="es-ES"/>
        </w:rPr>
        <w:t>Dichos premios fueron entregados con recurso público, sin embargo, las medallas fueron donadas por el Director del Instituto Municipal de la Juventud.</w:t>
      </w:r>
    </w:p>
    <w:p w14:paraId="62B59D00" w14:textId="119DF232" w:rsidR="00095302" w:rsidRPr="00095302" w:rsidRDefault="00095302" w:rsidP="00DD098B">
      <w:pPr>
        <w:spacing w:after="0" w:line="360" w:lineRule="auto"/>
        <w:ind w:left="567" w:right="567"/>
        <w:contextualSpacing/>
        <w:rPr>
          <w:rFonts w:eastAsia="Times New Roman" w:cs="Tahoma"/>
          <w:i/>
          <w:iCs/>
          <w:color w:val="000000"/>
          <w:sz w:val="20"/>
          <w:szCs w:val="20"/>
          <w:lang w:eastAsia="es-ES"/>
        </w:rPr>
      </w:pPr>
      <w:r>
        <w:rPr>
          <w:rFonts w:eastAsia="Times New Roman" w:cs="Tahoma"/>
          <w:i/>
          <w:iCs/>
          <w:color w:val="000000"/>
          <w:sz w:val="20"/>
          <w:szCs w:val="20"/>
          <w:lang w:eastAsia="es-ES"/>
        </w:rPr>
        <w:t>…”</w:t>
      </w:r>
    </w:p>
    <w:p w14:paraId="769D2FB2" w14:textId="77777777" w:rsidR="0060611D" w:rsidRPr="00DD098B" w:rsidRDefault="0060611D" w:rsidP="00DD098B">
      <w:pPr>
        <w:spacing w:after="0" w:line="360" w:lineRule="auto"/>
        <w:contextualSpacing/>
        <w:rPr>
          <w:rFonts w:eastAsia="Times New Roman" w:cs="Tahoma"/>
          <w:color w:val="000000"/>
          <w:lang w:eastAsia="es-ES"/>
        </w:rPr>
      </w:pPr>
    </w:p>
    <w:p w14:paraId="41E1DB8D" w14:textId="775AA34E" w:rsidR="006912D7" w:rsidRPr="00DD098B" w:rsidRDefault="0060611D" w:rsidP="00DD098B">
      <w:pPr>
        <w:spacing w:after="0" w:line="360" w:lineRule="auto"/>
        <w:contextualSpacing/>
        <w:rPr>
          <w:rFonts w:eastAsia="Times New Roman" w:cs="Tahoma"/>
          <w:color w:val="000000"/>
          <w:lang w:eastAsia="es-ES"/>
        </w:rPr>
      </w:pPr>
      <w:r w:rsidRPr="00DD098B">
        <w:rPr>
          <w:rFonts w:eastAsia="Times New Roman" w:cs="Tahoma"/>
          <w:color w:val="000000"/>
          <w:lang w:eastAsia="es-ES"/>
        </w:rPr>
        <w:t>iii) Convocatoria del torneo “Mundialito Zinacantepec 2022”.</w:t>
      </w:r>
    </w:p>
    <w:p w14:paraId="61E3A001" w14:textId="77777777" w:rsidR="006912D7" w:rsidRPr="00DD098B" w:rsidRDefault="006912D7" w:rsidP="00DD098B">
      <w:pPr>
        <w:spacing w:after="0" w:line="360" w:lineRule="auto"/>
        <w:contextualSpacing/>
        <w:rPr>
          <w:rFonts w:eastAsia="Times New Roman" w:cs="Tahoma"/>
          <w:color w:val="000000"/>
          <w:lang w:eastAsia="es-ES"/>
        </w:rPr>
      </w:pPr>
    </w:p>
    <w:p w14:paraId="1603F273" w14:textId="30C5D954" w:rsidR="00F505D5" w:rsidRPr="00DD098B" w:rsidRDefault="00F505D5" w:rsidP="00DD098B">
      <w:pPr>
        <w:spacing w:after="0" w:line="360" w:lineRule="auto"/>
        <w:contextualSpacing/>
        <w:rPr>
          <w:rFonts w:eastAsia="Times New Roman" w:cs="Tahoma"/>
          <w:color w:val="000000"/>
          <w:lang w:eastAsia="es-ES"/>
        </w:rPr>
      </w:pPr>
      <w:r w:rsidRPr="00DD098B">
        <w:rPr>
          <w:rFonts w:eastAsia="Times New Roman" w:cs="Tahoma"/>
          <w:color w:val="000000"/>
          <w:lang w:eastAsia="es-ES"/>
        </w:rPr>
        <w:lastRenderedPageBreak/>
        <w:t>En razón de que fue debidamente sustanciado e integrado el expediente electrónico y no existe diligencia pendiente de desahogo, se emite la resolución que conforme a Derecho proceda, de acuerdo a los siguientes:</w:t>
      </w:r>
    </w:p>
    <w:p w14:paraId="3078E40B" w14:textId="77777777" w:rsidR="00F505D5" w:rsidRPr="00DD098B" w:rsidRDefault="00F505D5" w:rsidP="00DD098B">
      <w:pPr>
        <w:spacing w:after="0" w:line="360" w:lineRule="auto"/>
        <w:contextualSpacing/>
        <w:rPr>
          <w:rFonts w:eastAsia="Times New Roman" w:cs="Tahoma"/>
          <w:bCs/>
          <w:iCs/>
          <w:color w:val="auto"/>
          <w:lang w:val="es-ES" w:eastAsia="es-ES"/>
        </w:rPr>
      </w:pPr>
    </w:p>
    <w:p w14:paraId="28D151AA" w14:textId="77777777" w:rsidR="00F505D5" w:rsidRPr="00DD098B" w:rsidRDefault="00F505D5" w:rsidP="00DD098B">
      <w:pPr>
        <w:spacing w:after="0" w:line="360" w:lineRule="auto"/>
        <w:contextualSpacing/>
        <w:jc w:val="center"/>
        <w:rPr>
          <w:rFonts w:eastAsia="Times New Roman" w:cs="Tahoma"/>
          <w:b/>
          <w:color w:val="auto"/>
          <w:lang w:val="es-ES" w:eastAsia="es-ES"/>
        </w:rPr>
      </w:pPr>
      <w:r w:rsidRPr="00DD098B">
        <w:rPr>
          <w:rFonts w:eastAsia="Times New Roman" w:cs="Tahoma"/>
          <w:b/>
          <w:color w:val="auto"/>
          <w:lang w:val="es-ES" w:eastAsia="es-ES"/>
        </w:rPr>
        <w:t>C O N S I D E R A N D O S:</w:t>
      </w:r>
    </w:p>
    <w:p w14:paraId="0136AE2B" w14:textId="77777777" w:rsidR="00F505D5" w:rsidRPr="00DD098B" w:rsidRDefault="00F505D5" w:rsidP="00DD098B">
      <w:pPr>
        <w:spacing w:after="0" w:line="360" w:lineRule="auto"/>
        <w:contextualSpacing/>
        <w:jc w:val="center"/>
        <w:rPr>
          <w:rFonts w:eastAsia="Times New Roman" w:cs="Tahoma"/>
          <w:b/>
          <w:color w:val="auto"/>
          <w:lang w:val="es-ES" w:eastAsia="es-ES"/>
        </w:rPr>
      </w:pPr>
    </w:p>
    <w:p w14:paraId="29C45F12" w14:textId="77777777" w:rsidR="00F505D5" w:rsidRPr="00DD098B" w:rsidRDefault="00F505D5" w:rsidP="00DD098B">
      <w:pPr>
        <w:autoSpaceDE w:val="0"/>
        <w:autoSpaceDN w:val="0"/>
        <w:adjustRightInd w:val="0"/>
        <w:spacing w:after="0" w:line="360" w:lineRule="auto"/>
        <w:contextualSpacing/>
        <w:rPr>
          <w:rFonts w:eastAsia="Times New Roman" w:cs="Tahoma"/>
          <w:b/>
          <w:color w:val="auto"/>
          <w:lang w:val="es-ES" w:eastAsia="es-ES"/>
        </w:rPr>
      </w:pPr>
      <w:r w:rsidRPr="00DD098B">
        <w:rPr>
          <w:rFonts w:eastAsia="Calibri" w:cs="Tahoma"/>
          <w:b/>
          <w:color w:val="000000"/>
          <w:lang w:val="es-ES" w:eastAsia="es-MX"/>
        </w:rPr>
        <w:t>PRIMERO</w:t>
      </w:r>
      <w:r w:rsidRPr="00DD098B">
        <w:rPr>
          <w:rFonts w:eastAsia="Calibri" w:cs="Tahoma"/>
          <w:color w:val="000000"/>
          <w:lang w:val="es-ES" w:eastAsia="es-MX"/>
        </w:rPr>
        <w:t xml:space="preserve">. </w:t>
      </w:r>
      <w:r w:rsidRPr="00DD098B">
        <w:rPr>
          <w:rFonts w:eastAsia="Times New Roman" w:cs="Tahoma"/>
          <w:b/>
          <w:color w:val="auto"/>
          <w:lang w:val="es-ES" w:eastAsia="es-ES"/>
        </w:rPr>
        <w:t>Competencia.</w:t>
      </w:r>
    </w:p>
    <w:p w14:paraId="6D7FF8E6" w14:textId="77777777" w:rsidR="00F505D5" w:rsidRPr="00DD098B" w:rsidRDefault="00F505D5" w:rsidP="00DD098B">
      <w:pPr>
        <w:autoSpaceDE w:val="0"/>
        <w:autoSpaceDN w:val="0"/>
        <w:adjustRightInd w:val="0"/>
        <w:spacing w:after="0" w:line="360" w:lineRule="auto"/>
        <w:contextualSpacing/>
        <w:rPr>
          <w:rFonts w:eastAsia="Times New Roman" w:cs="Tahoma"/>
          <w:b/>
          <w:color w:val="auto"/>
          <w:lang w:val="es-ES" w:eastAsia="es-ES"/>
        </w:rPr>
      </w:pPr>
    </w:p>
    <w:p w14:paraId="617C8035" w14:textId="5510792D" w:rsidR="00F505D5" w:rsidRPr="00DD098B" w:rsidRDefault="00F505D5" w:rsidP="00DD098B">
      <w:pPr>
        <w:spacing w:after="0" w:line="360" w:lineRule="auto"/>
        <w:contextualSpacing/>
        <w:rPr>
          <w:rFonts w:eastAsia="Times New Roman" w:cs="Tahoma"/>
          <w:bCs/>
          <w:color w:val="auto"/>
          <w:lang w:eastAsia="es-ES"/>
        </w:rPr>
      </w:pPr>
      <w:bookmarkStart w:id="0" w:name="_Hlk63334754"/>
      <w:r w:rsidRPr="00DD098B">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DD098B">
        <w:rPr>
          <w:rFonts w:eastAsia="Times New Roman" w:cs="Times New Roman"/>
          <w:bCs/>
          <w:color w:val="auto"/>
          <w:lang w:eastAsia="es-ES"/>
        </w:rPr>
        <w:t xml:space="preserve"> 7°, </w:t>
      </w:r>
      <w:r w:rsidRPr="00DD098B">
        <w:rPr>
          <w:rFonts w:eastAsia="Times New Roman" w:cs="Tahoma"/>
          <w:bCs/>
          <w:color w:val="auto"/>
          <w:lang w:eastAsia="es-ES"/>
        </w:rPr>
        <w:t>9°, fracciones I y XXI</w:t>
      </w:r>
      <w:r w:rsidR="00095302">
        <w:rPr>
          <w:rFonts w:eastAsia="Times New Roman" w:cs="Tahoma"/>
          <w:bCs/>
          <w:color w:val="auto"/>
          <w:lang w:eastAsia="es-ES"/>
        </w:rPr>
        <w:t>II</w:t>
      </w:r>
      <w:r w:rsidRPr="00DD098B">
        <w:rPr>
          <w:rFonts w:eastAsia="Times New Roman" w:cs="Tahoma"/>
          <w:bCs/>
          <w:color w:val="auto"/>
          <w:lang w:eastAsia="es-ES"/>
        </w:rPr>
        <w:t xml:space="preserve"> y 11 del Reglamento Interior del Instituto de Transparencia, Acceso a la Información Pública y Protección de Datos Personales del Estado de México y Municipios.</w:t>
      </w:r>
      <w:bookmarkEnd w:id="0"/>
    </w:p>
    <w:p w14:paraId="004F6206" w14:textId="77777777" w:rsidR="00F505D5" w:rsidRPr="00DD098B" w:rsidRDefault="00F505D5" w:rsidP="00DD098B">
      <w:pPr>
        <w:spacing w:after="0" w:line="360" w:lineRule="auto"/>
        <w:contextualSpacing/>
      </w:pPr>
    </w:p>
    <w:p w14:paraId="007041D2" w14:textId="77777777" w:rsidR="00F505D5" w:rsidRPr="00DD098B" w:rsidRDefault="00F505D5" w:rsidP="00DD098B">
      <w:pPr>
        <w:autoSpaceDE w:val="0"/>
        <w:autoSpaceDN w:val="0"/>
        <w:adjustRightInd w:val="0"/>
        <w:spacing w:after="0" w:line="360" w:lineRule="auto"/>
        <w:contextualSpacing/>
        <w:rPr>
          <w:rFonts w:eastAsia="Times New Roman" w:cs="Tahoma"/>
          <w:color w:val="auto"/>
          <w:lang w:val="es-ES" w:eastAsia="es-ES"/>
        </w:rPr>
      </w:pPr>
      <w:r w:rsidRPr="00DD098B">
        <w:rPr>
          <w:rFonts w:eastAsia="Calibri" w:cs="Tahoma"/>
          <w:b/>
          <w:color w:val="000000"/>
          <w:lang w:val="es-ES" w:eastAsia="es-MX"/>
        </w:rPr>
        <w:t>SEGUNDO</w:t>
      </w:r>
      <w:r w:rsidRPr="00DD098B">
        <w:rPr>
          <w:rFonts w:eastAsia="Calibri" w:cs="Tahoma"/>
          <w:color w:val="000000"/>
          <w:lang w:val="es-ES" w:eastAsia="es-MX"/>
        </w:rPr>
        <w:t xml:space="preserve">. </w:t>
      </w:r>
      <w:r w:rsidRPr="00DD098B">
        <w:rPr>
          <w:rFonts w:eastAsia="Times New Roman" w:cs="Tahoma"/>
          <w:b/>
          <w:color w:val="auto"/>
          <w:lang w:val="es-ES" w:eastAsia="es-ES"/>
        </w:rPr>
        <w:t xml:space="preserve">Causales de improcedencia </w:t>
      </w:r>
    </w:p>
    <w:p w14:paraId="6D99CD42" w14:textId="77777777" w:rsidR="00F505D5" w:rsidRPr="00DD098B" w:rsidRDefault="00F505D5" w:rsidP="00DD098B">
      <w:pPr>
        <w:autoSpaceDE w:val="0"/>
        <w:autoSpaceDN w:val="0"/>
        <w:adjustRightInd w:val="0"/>
        <w:spacing w:after="0" w:line="360" w:lineRule="auto"/>
        <w:contextualSpacing/>
        <w:rPr>
          <w:rFonts w:eastAsia="Times New Roman" w:cs="Tahoma"/>
          <w:color w:val="auto"/>
          <w:lang w:val="es-ES" w:eastAsia="es-ES"/>
        </w:rPr>
      </w:pPr>
    </w:p>
    <w:p w14:paraId="40645F7D" w14:textId="77777777" w:rsidR="00F505D5" w:rsidRPr="00DD098B" w:rsidRDefault="00F505D5" w:rsidP="00DD098B">
      <w:pPr>
        <w:autoSpaceDE w:val="0"/>
        <w:autoSpaceDN w:val="0"/>
        <w:adjustRightInd w:val="0"/>
        <w:spacing w:after="0" w:line="360" w:lineRule="auto"/>
        <w:contextualSpacing/>
        <w:rPr>
          <w:rFonts w:eastAsia="Times New Roman" w:cs="Tahoma"/>
          <w:color w:val="auto"/>
          <w:lang w:val="es-ES" w:eastAsia="es-ES"/>
        </w:rPr>
      </w:pPr>
      <w:r w:rsidRPr="00DD098B">
        <w:rPr>
          <w:rFonts w:eastAsia="Times New Roman" w:cs="Tahoma"/>
          <w:color w:val="auto"/>
          <w:lang w:val="es-ES" w:eastAsia="es-ES"/>
        </w:rPr>
        <w:t xml:space="preserve">De las constancias que forma parte del Recurso de Revisión que se analiza, se advierte que previo al estudio del fondo de la </w:t>
      </w:r>
      <w:r w:rsidRPr="00DD098B">
        <w:rPr>
          <w:rFonts w:eastAsia="Times New Roman" w:cs="Tahoma"/>
          <w:i/>
          <w:color w:val="auto"/>
          <w:lang w:val="es-ES" w:eastAsia="es-ES"/>
        </w:rPr>
        <w:t>litis</w:t>
      </w:r>
      <w:r w:rsidRPr="00DD098B">
        <w:rPr>
          <w:rFonts w:eastAsia="Times New Roman" w:cs="Tahoma"/>
          <w:color w:val="auto"/>
          <w:lang w:val="es-ES" w:eastAsia="es-ES"/>
        </w:rPr>
        <w:t>, es necesario estudiar las causales de improcedencia y sobreseimiento que se adviertan, para determinar lo que en Derecho proceda.</w:t>
      </w:r>
    </w:p>
    <w:p w14:paraId="65B01D0B" w14:textId="77777777" w:rsidR="00F505D5" w:rsidRPr="00DD098B" w:rsidRDefault="00F505D5" w:rsidP="00DD098B">
      <w:pPr>
        <w:autoSpaceDE w:val="0"/>
        <w:autoSpaceDN w:val="0"/>
        <w:adjustRightInd w:val="0"/>
        <w:spacing w:after="0" w:line="360" w:lineRule="auto"/>
        <w:contextualSpacing/>
        <w:rPr>
          <w:rFonts w:eastAsia="Times New Roman" w:cs="Tahoma"/>
          <w:color w:val="auto"/>
          <w:lang w:val="es-ES" w:eastAsia="es-ES"/>
        </w:rPr>
      </w:pPr>
    </w:p>
    <w:p w14:paraId="305718A5" w14:textId="77777777" w:rsidR="00F505D5" w:rsidRPr="00DD098B" w:rsidRDefault="00F505D5" w:rsidP="00DD098B">
      <w:pPr>
        <w:spacing w:after="0" w:line="360" w:lineRule="auto"/>
        <w:contextualSpacing/>
        <w:rPr>
          <w:b/>
          <w:lang w:val="es-ES"/>
        </w:rPr>
      </w:pPr>
      <w:r w:rsidRPr="00DD098B">
        <w:rPr>
          <w:b/>
          <w:lang w:val="es-ES"/>
        </w:rPr>
        <w:lastRenderedPageBreak/>
        <w:t>Causales de improcedencia</w:t>
      </w:r>
    </w:p>
    <w:p w14:paraId="18595021" w14:textId="77777777" w:rsidR="00F505D5" w:rsidRPr="00DD098B" w:rsidRDefault="00F505D5" w:rsidP="00DD098B">
      <w:pPr>
        <w:spacing w:after="0" w:line="360" w:lineRule="auto"/>
        <w:contextualSpacing/>
      </w:pPr>
    </w:p>
    <w:p w14:paraId="3563C1D4" w14:textId="77777777" w:rsidR="00F505D5" w:rsidRPr="00DD098B" w:rsidRDefault="00F505D5" w:rsidP="00DD098B">
      <w:pPr>
        <w:spacing w:after="0" w:line="360" w:lineRule="auto"/>
        <w:contextualSpacing/>
        <w:rPr>
          <w:rFonts w:eastAsia="Times New Roman" w:cs="Tahoma"/>
          <w:color w:val="auto"/>
          <w:lang w:eastAsia="es-ES"/>
        </w:rPr>
      </w:pPr>
      <w:r w:rsidRPr="00DD098B">
        <w:rPr>
          <w:rFonts w:eastAsia="Times New Roman" w:cs="Tahoma"/>
          <w:color w:val="auto"/>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F0FB290" w14:textId="77777777" w:rsidR="00F505D5" w:rsidRPr="00DD098B" w:rsidRDefault="00F505D5" w:rsidP="00DD098B">
      <w:pPr>
        <w:spacing w:after="0" w:line="360" w:lineRule="auto"/>
        <w:contextualSpacing/>
        <w:rPr>
          <w:rFonts w:eastAsia="Times New Roman" w:cs="Tahoma"/>
          <w:color w:val="auto"/>
          <w:lang w:eastAsia="es-ES"/>
        </w:rPr>
      </w:pPr>
    </w:p>
    <w:p w14:paraId="28422245" w14:textId="77777777" w:rsidR="00F505D5" w:rsidRPr="00DD098B" w:rsidRDefault="00F505D5" w:rsidP="00DD098B">
      <w:pPr>
        <w:spacing w:after="0" w:line="360" w:lineRule="auto"/>
        <w:contextualSpacing/>
        <w:rPr>
          <w:rFonts w:eastAsia="Times New Roman" w:cs="Tahoma"/>
          <w:color w:val="auto"/>
          <w:lang w:eastAsia="es-ES"/>
        </w:rPr>
      </w:pPr>
      <w:r w:rsidRPr="00DD098B">
        <w:rPr>
          <w:rFonts w:eastAsia="Times New Roman" w:cs="Tahoma"/>
          <w:color w:val="auto"/>
          <w:lang w:eastAsia="es-ES"/>
        </w:rPr>
        <w:t>En el presente caso, </w:t>
      </w:r>
      <w:r w:rsidRPr="00DD098B">
        <w:rPr>
          <w:rFonts w:eastAsia="Times New Roman" w:cs="Tahoma"/>
          <w:b/>
          <w:bCs/>
          <w:color w:val="auto"/>
          <w:lang w:eastAsia="es-ES"/>
        </w:rPr>
        <w:t>no se actualiza ninguna de las causales de improcedencia</w:t>
      </w:r>
      <w:r w:rsidRPr="00DD098B">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parte Recurrente ante otra instancia; no existió prevención alguna; la veracidad de la respuesta no formó parte del agravio; ni se realizó una consulta o ampliación a los alcances del requerimiento informativo.</w:t>
      </w:r>
    </w:p>
    <w:p w14:paraId="0C297062" w14:textId="77777777" w:rsidR="00F505D5" w:rsidRPr="00DD098B" w:rsidRDefault="00F505D5" w:rsidP="00DD098B">
      <w:pPr>
        <w:spacing w:after="0" w:line="360" w:lineRule="auto"/>
        <w:contextualSpacing/>
        <w:rPr>
          <w:rFonts w:eastAsia="Times New Roman" w:cs="Tahoma"/>
          <w:color w:val="auto"/>
          <w:lang w:eastAsia="es-ES"/>
        </w:rPr>
      </w:pPr>
    </w:p>
    <w:p w14:paraId="2CC925BC" w14:textId="77777777" w:rsidR="00F505D5" w:rsidRPr="00DD098B" w:rsidRDefault="00F505D5" w:rsidP="00DD098B">
      <w:pPr>
        <w:spacing w:after="0" w:line="360" w:lineRule="auto"/>
        <w:contextualSpacing/>
        <w:rPr>
          <w:rFonts w:eastAsia="Times New Roman" w:cs="Tahoma"/>
          <w:color w:val="auto"/>
          <w:lang w:val="es-ES" w:eastAsia="es-ES"/>
        </w:rPr>
      </w:pPr>
      <w:r w:rsidRPr="00DD098B">
        <w:rPr>
          <w:rFonts w:eastAsia="Times New Roman" w:cs="Tahoma"/>
          <w:color w:val="auto"/>
          <w:lang w:val="es-ES" w:eastAsia="es-ES"/>
        </w:rPr>
        <w:t xml:space="preserve">Además, de que el Medios de Impugnación fue presentado en tiempo, toda vez que ante la ausencia de la respuesta del Ente Recurrido, se constituyó la </w:t>
      </w:r>
      <w:r w:rsidRPr="00DD098B">
        <w:rPr>
          <w:rFonts w:eastAsia="Times New Roman" w:cs="Tahoma"/>
          <w:b/>
          <w:color w:val="auto"/>
          <w:lang w:val="es-ES" w:eastAsia="es-ES"/>
        </w:rPr>
        <w:t>negativa ficta</w:t>
      </w:r>
      <w:r w:rsidRPr="00DD098B">
        <w:rPr>
          <w:rFonts w:eastAsia="Times New Roman" w:cs="Tahoma"/>
          <w:color w:val="auto"/>
          <w:lang w:val="es-ES" w:eastAsia="es-ES"/>
        </w:rPr>
        <w:t xml:space="preserve">, que genera la posibilidad de los particulares de interponer un recurso de revisión ante tal omisión, </w:t>
      </w:r>
      <w:r w:rsidRPr="00DD098B">
        <w:rPr>
          <w:rFonts w:eastAsia="Times New Roman" w:cs="Tahoma"/>
          <w:color w:val="auto"/>
          <w:u w:val="single"/>
          <w:lang w:val="es-ES" w:eastAsia="es-ES"/>
        </w:rPr>
        <w:t>en cualquier momento</w:t>
      </w:r>
      <w:r w:rsidRPr="00DD098B">
        <w:rPr>
          <w:rFonts w:eastAsia="Times New Roman" w:cs="Tahoma"/>
          <w:color w:val="auto"/>
          <w:lang w:val="es-ES" w:eastAsia="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3BB977BC" w14:textId="77777777" w:rsidR="00F505D5" w:rsidRPr="00DD098B" w:rsidRDefault="00F505D5" w:rsidP="00DD098B">
      <w:pPr>
        <w:spacing w:after="0" w:line="360" w:lineRule="auto"/>
        <w:contextualSpacing/>
        <w:rPr>
          <w:rFonts w:eastAsia="Times New Roman" w:cs="Tahoma"/>
          <w:color w:val="auto"/>
          <w:lang w:val="es-ES" w:eastAsia="es-ES"/>
        </w:rPr>
      </w:pPr>
    </w:p>
    <w:p w14:paraId="55334A5A" w14:textId="77777777" w:rsidR="00F505D5" w:rsidRPr="00DD098B" w:rsidRDefault="00F505D5" w:rsidP="00DD098B">
      <w:pPr>
        <w:spacing w:after="0" w:line="360" w:lineRule="auto"/>
        <w:contextualSpacing/>
        <w:rPr>
          <w:rFonts w:eastAsia="Times New Roman" w:cs="Tahoma"/>
          <w:bCs/>
          <w:color w:val="auto"/>
          <w:lang w:val="es-ES" w:eastAsia="es-ES"/>
        </w:rPr>
      </w:pPr>
      <w:r w:rsidRPr="00DD098B">
        <w:rPr>
          <w:rFonts w:eastAsia="Times New Roman" w:cs="Tahoma"/>
          <w:color w:val="auto"/>
          <w:lang w:val="es-ES" w:eastAsia="es-ES"/>
        </w:rPr>
        <w:lastRenderedPageBreak/>
        <w:t>Conforme a lo anterior, se actualiza la causal de procedencia señalada en el artículo 179, fracción VII, de la Ley de la materia</w:t>
      </w:r>
      <w:r w:rsidRPr="00DD098B">
        <w:rPr>
          <w:rFonts w:eastAsia="Times New Roman" w:cs="Tahoma"/>
          <w:bCs/>
          <w:color w:val="auto"/>
          <w:lang w:val="es-ES" w:eastAsia="es-ES"/>
        </w:rPr>
        <w:t>, toda vez que el Solicitante se inconformó con la falta de respuesta a su solicitud de acceso a información pública.</w:t>
      </w:r>
    </w:p>
    <w:p w14:paraId="2BB83D7B" w14:textId="77777777" w:rsidR="00F505D5" w:rsidRPr="00DD098B" w:rsidRDefault="00F505D5" w:rsidP="00DD098B">
      <w:pPr>
        <w:spacing w:after="0" w:line="360" w:lineRule="auto"/>
        <w:contextualSpacing/>
        <w:rPr>
          <w:rFonts w:eastAsia="Times New Roman" w:cs="Tahoma"/>
          <w:bCs/>
          <w:color w:val="auto"/>
          <w:lang w:val="es-ES" w:eastAsia="es-ES"/>
        </w:rPr>
      </w:pPr>
    </w:p>
    <w:p w14:paraId="561B68E8" w14:textId="77777777" w:rsidR="00F505D5" w:rsidRPr="00DD098B" w:rsidRDefault="00F505D5" w:rsidP="00DD098B">
      <w:pPr>
        <w:spacing w:after="0" w:line="360" w:lineRule="auto"/>
        <w:contextualSpacing/>
        <w:rPr>
          <w:rFonts w:eastAsia="Times New Roman" w:cs="Tahoma"/>
          <w:b/>
          <w:bCs/>
          <w:color w:val="0D0D0D" w:themeColor="text1" w:themeTint="F2"/>
          <w:lang w:eastAsia="es-ES"/>
        </w:rPr>
      </w:pPr>
      <w:r w:rsidRPr="00DD098B">
        <w:rPr>
          <w:rFonts w:eastAsia="Times New Roman" w:cs="Tahoma"/>
          <w:b/>
          <w:bCs/>
          <w:color w:val="0D0D0D" w:themeColor="text1" w:themeTint="F2"/>
          <w:lang w:eastAsia="es-ES"/>
        </w:rPr>
        <w:t>TERCERO: Causales de sobreseimiento.</w:t>
      </w:r>
    </w:p>
    <w:p w14:paraId="74946239" w14:textId="77777777" w:rsidR="00F505D5" w:rsidRPr="00DD098B" w:rsidRDefault="00F505D5" w:rsidP="00DD098B">
      <w:pPr>
        <w:spacing w:after="0" w:line="360" w:lineRule="auto"/>
        <w:contextualSpacing/>
        <w:rPr>
          <w:rFonts w:eastAsia="Times New Roman" w:cs="Tahoma"/>
          <w:bCs/>
          <w:color w:val="0D0D0D" w:themeColor="text1" w:themeTint="F2"/>
          <w:lang w:eastAsia="es-ES"/>
        </w:rPr>
      </w:pPr>
    </w:p>
    <w:p w14:paraId="7B890BA8" w14:textId="77777777" w:rsidR="00F505D5" w:rsidRPr="00DD098B" w:rsidRDefault="00F505D5" w:rsidP="00DD098B">
      <w:pPr>
        <w:spacing w:after="0" w:line="360" w:lineRule="auto"/>
        <w:contextualSpacing/>
        <w:rPr>
          <w:rFonts w:eastAsia="Times New Roman" w:cs="Tahoma"/>
          <w:bCs/>
          <w:color w:val="0D0D0D" w:themeColor="text1" w:themeTint="F2"/>
          <w:lang w:eastAsia="es-ES"/>
        </w:rPr>
      </w:pPr>
      <w:r w:rsidRPr="00DD098B">
        <w:rPr>
          <w:rFonts w:eastAsia="Times New Roman" w:cs="Tahoma"/>
          <w:bCs/>
          <w:color w:val="0D0D0D" w:themeColor="text1" w:themeTint="F2"/>
          <w:lang w:eastAsia="es-ES"/>
        </w:rPr>
        <w:t xml:space="preserve">Por ser de previo y especial pronunciamiento, este Instituto analiza si se actualiza alguna causal de sobreseimiento. </w:t>
      </w:r>
    </w:p>
    <w:p w14:paraId="53911C0C" w14:textId="77777777" w:rsidR="00F505D5" w:rsidRPr="00DD098B" w:rsidRDefault="00F505D5" w:rsidP="00DD098B">
      <w:pPr>
        <w:spacing w:after="0" w:line="360" w:lineRule="auto"/>
        <w:contextualSpacing/>
        <w:rPr>
          <w:rFonts w:eastAsia="Times New Roman" w:cs="Tahoma"/>
          <w:bCs/>
          <w:color w:val="0D0D0D" w:themeColor="text1" w:themeTint="F2"/>
          <w:lang w:eastAsia="es-ES"/>
        </w:rPr>
      </w:pPr>
    </w:p>
    <w:p w14:paraId="00EDE77B" w14:textId="77777777" w:rsidR="00F505D5" w:rsidRPr="00DD098B" w:rsidRDefault="00F505D5" w:rsidP="00DD098B">
      <w:pPr>
        <w:spacing w:after="0" w:line="360" w:lineRule="auto"/>
        <w:contextualSpacing/>
        <w:rPr>
          <w:bCs/>
        </w:rPr>
      </w:pPr>
      <w:r w:rsidRPr="00DD098B">
        <w:rPr>
          <w:bC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III y IV, del artículo en comento, lo anterior, en virtud de que no hay constancias en el expediente en que se actúa, de que el Recurrente se haya desistido del recurso, haya fallecido, el Sujeto Obligado haya modificado o revocado el Recurso de Revisión, o bien, </w:t>
      </w:r>
      <w:r w:rsidRPr="00DD098B">
        <w:rPr>
          <w:rFonts w:cs="Tahoma"/>
          <w:szCs w:val="24"/>
        </w:rPr>
        <w:t>sobreviniera alguna causal de improcedencia.</w:t>
      </w:r>
    </w:p>
    <w:p w14:paraId="41D61B79" w14:textId="77777777" w:rsidR="00F505D5" w:rsidRPr="00DD098B" w:rsidRDefault="00F505D5" w:rsidP="00DD098B">
      <w:pPr>
        <w:spacing w:after="0" w:line="360" w:lineRule="auto"/>
        <w:contextualSpacing/>
        <w:rPr>
          <w:rFonts w:eastAsia="Times New Roman" w:cs="Tahoma"/>
          <w:color w:val="auto"/>
          <w:lang w:eastAsia="es-ES"/>
        </w:rPr>
      </w:pPr>
    </w:p>
    <w:p w14:paraId="4DE8B6DE" w14:textId="6DA40196" w:rsidR="00F505D5" w:rsidRPr="00DD098B" w:rsidRDefault="00F505D5" w:rsidP="00DD098B">
      <w:pPr>
        <w:tabs>
          <w:tab w:val="left" w:pos="4962"/>
        </w:tabs>
        <w:spacing w:after="0" w:line="360" w:lineRule="auto"/>
        <w:contextualSpacing/>
        <w:rPr>
          <w:rFonts w:eastAsia="Calibri" w:cs="Tahoma"/>
          <w:iCs/>
          <w:lang w:val="es-ES" w:eastAsia="es-ES_tradnl"/>
        </w:rPr>
      </w:pPr>
      <w:r w:rsidRPr="00DD098B">
        <w:rPr>
          <w:rFonts w:cs="Tahoma"/>
          <w:szCs w:val="24"/>
          <w:lang w:val="es-ES"/>
        </w:rPr>
        <w:t>Ahora bien, por lo que hace a la fracción V, del artículo 192, de la Ley de la materia, es de señalar que el Ayuntamiento de Zinacantepec, emitió respuesta, durante la sustanciación del Medio de Impugnación</w:t>
      </w:r>
      <w:r w:rsidR="00095302">
        <w:rPr>
          <w:rFonts w:cs="Tahoma"/>
          <w:szCs w:val="24"/>
          <w:lang w:val="es-ES"/>
        </w:rPr>
        <w:t>,</w:t>
      </w:r>
      <w:r w:rsidRPr="00DD098B">
        <w:rPr>
          <w:rFonts w:cs="Tahoma"/>
          <w:szCs w:val="24"/>
          <w:lang w:val="es-ES"/>
        </w:rPr>
        <w:t xml:space="preserve"> por lo que, se estima procedente entrar al estudio de dicha causal de sobreseimiento, para lo cual, es necesario precisar que el Particular requirió</w:t>
      </w:r>
      <w:r w:rsidRPr="00DD098B">
        <w:rPr>
          <w:rFonts w:eastAsia="Calibri" w:cs="Tahoma"/>
          <w:iCs/>
          <w:lang w:val="es-ES" w:eastAsia="es-ES_tradnl"/>
        </w:rPr>
        <w:t xml:space="preserve"> la</w:t>
      </w:r>
      <w:r w:rsidR="00065D42" w:rsidRPr="00DD098B">
        <w:rPr>
          <w:rFonts w:eastAsia="Calibri" w:cs="Tahoma"/>
          <w:iCs/>
          <w:lang w:val="es-ES" w:eastAsia="es-ES_tradnl"/>
        </w:rPr>
        <w:t xml:space="preserve"> lista de participantes del torneo de futbol mundialito, organizado por el Ayuntamiento de Zinacantepec.</w:t>
      </w:r>
    </w:p>
    <w:p w14:paraId="73BC33A5" w14:textId="77777777" w:rsidR="00F505D5" w:rsidRPr="00DD098B" w:rsidRDefault="00F505D5" w:rsidP="00DD098B">
      <w:pPr>
        <w:tabs>
          <w:tab w:val="left" w:pos="4962"/>
        </w:tabs>
        <w:spacing w:after="0" w:line="360" w:lineRule="auto"/>
        <w:contextualSpacing/>
        <w:rPr>
          <w:rFonts w:eastAsia="Calibri" w:cs="Tahoma"/>
          <w:iCs/>
          <w:lang w:val="es-ES" w:eastAsia="es-ES_tradnl"/>
        </w:rPr>
      </w:pPr>
    </w:p>
    <w:p w14:paraId="16162858" w14:textId="47DDC8A2" w:rsidR="00F505D5" w:rsidRPr="00DD098B" w:rsidRDefault="00F505D5" w:rsidP="00DD098B">
      <w:pPr>
        <w:tabs>
          <w:tab w:val="left" w:pos="4962"/>
        </w:tabs>
        <w:spacing w:after="0" w:line="360" w:lineRule="auto"/>
        <w:contextualSpacing/>
        <w:rPr>
          <w:rFonts w:eastAsia="Calibri" w:cs="Tahoma"/>
          <w:iCs/>
          <w:lang w:val="es-ES" w:eastAsia="es-ES_tradnl"/>
        </w:rPr>
      </w:pPr>
      <w:r w:rsidRPr="00DD098B">
        <w:rPr>
          <w:rFonts w:eastAsia="Calibri" w:cs="Tahoma"/>
          <w:iCs/>
          <w:lang w:val="es-ES" w:eastAsia="es-ES_tradnl"/>
        </w:rPr>
        <w:t xml:space="preserve">Ante la falta de respuesta del Ente Recurrido, el Particular, justamente se inconformó de dicha circunstancia, lo cual actualiza el supuesto previsto en el artículo 179, fracción VII, de </w:t>
      </w:r>
      <w:r w:rsidRPr="00DD098B">
        <w:rPr>
          <w:rFonts w:eastAsia="Calibri" w:cs="Tahoma"/>
          <w:iCs/>
          <w:lang w:val="es-ES" w:eastAsia="es-ES_tradnl"/>
        </w:rPr>
        <w:lastRenderedPageBreak/>
        <w:t xml:space="preserve">la Ley de Transparencia y Acceso a la Información Pública del Estado de México y Municipios. Así las cosas, una vez admitido y notificado el Recurso de Revisión a las partes, el Sujeto Obligado, </w:t>
      </w:r>
      <w:r w:rsidR="00065D42" w:rsidRPr="00DD098B">
        <w:rPr>
          <w:rFonts w:eastAsia="Calibri" w:cs="Tahoma"/>
          <w:iCs/>
          <w:lang w:val="es-ES" w:eastAsia="es-ES_tradnl"/>
        </w:rPr>
        <w:t>proporcionó una relación con nombre del equipo, categoría y número de participantes en dicho torneo</w:t>
      </w:r>
      <w:r w:rsidR="007003A4" w:rsidRPr="00DD098B">
        <w:rPr>
          <w:rFonts w:eastAsia="Calibri" w:cs="Tahoma"/>
          <w:iCs/>
          <w:lang w:val="es-ES" w:eastAsia="es-ES_tradnl"/>
        </w:rPr>
        <w:t>, además, mediante el desahogo al Requerimiento de Información Adicional solicitado, ratificó su respuesta inicial</w:t>
      </w:r>
      <w:r w:rsidR="00095302">
        <w:rPr>
          <w:rFonts w:eastAsia="Calibri" w:cs="Tahoma"/>
          <w:iCs/>
          <w:lang w:val="es-ES" w:eastAsia="es-ES_tradnl"/>
        </w:rPr>
        <w:t>,</w:t>
      </w:r>
      <w:r w:rsidR="007003A4" w:rsidRPr="00DD098B">
        <w:rPr>
          <w:rFonts w:eastAsia="Calibri" w:cs="Tahoma"/>
          <w:iCs/>
          <w:lang w:val="es-ES" w:eastAsia="es-ES_tradnl"/>
        </w:rPr>
        <w:t xml:space="preserve"> precisando que, solo contaba con el nombre de las cuadrillas o el nombre de cada uno de los equipos que compitieron en el torneo denominado “Mundialito Zinacantepec 2022”.</w:t>
      </w:r>
    </w:p>
    <w:p w14:paraId="6B1684EB" w14:textId="77777777" w:rsidR="00F505D5" w:rsidRPr="00DD098B" w:rsidRDefault="00F505D5" w:rsidP="00DD098B">
      <w:pPr>
        <w:tabs>
          <w:tab w:val="left" w:pos="4962"/>
        </w:tabs>
        <w:spacing w:after="0" w:line="360" w:lineRule="auto"/>
        <w:contextualSpacing/>
        <w:rPr>
          <w:rFonts w:eastAsia="Calibri" w:cs="Tahoma"/>
          <w:iCs/>
          <w:lang w:val="es-ES"/>
        </w:rPr>
      </w:pPr>
    </w:p>
    <w:p w14:paraId="59F61A1D" w14:textId="5D1C9CA0" w:rsidR="00F505D5" w:rsidRPr="00DD098B" w:rsidRDefault="00F505D5" w:rsidP="00DD098B">
      <w:pPr>
        <w:tabs>
          <w:tab w:val="left" w:pos="4962"/>
        </w:tabs>
        <w:spacing w:after="0" w:line="360" w:lineRule="auto"/>
        <w:contextualSpacing/>
        <w:rPr>
          <w:rFonts w:eastAsia="Calibri" w:cs="Tahoma"/>
          <w:bCs/>
        </w:rPr>
      </w:pPr>
      <w:r w:rsidRPr="00DD098B">
        <w:rPr>
          <w:rFonts w:eastAsia="Calibri" w:cs="Tahoma"/>
          <w:iCs/>
          <w:lang w:val="es-ES" w:eastAsia="es-ES_tradnl"/>
        </w:rPr>
        <w:t>Lo anterior, se desprende de las documentales que obran en el expediente de referencia, materia de la presente resolución, consistente</w:t>
      </w:r>
      <w:r w:rsidR="007003A4" w:rsidRPr="00DD098B">
        <w:rPr>
          <w:rFonts w:eastAsia="Calibri" w:cs="Tahoma"/>
          <w:iCs/>
          <w:lang w:val="es-ES" w:eastAsia="es-ES_tradnl"/>
        </w:rPr>
        <w:t>s</w:t>
      </w:r>
      <w:r w:rsidRPr="00DD098B">
        <w:rPr>
          <w:rFonts w:eastAsia="Calibri" w:cs="Tahoma"/>
          <w:iCs/>
          <w:lang w:val="es-ES" w:eastAsia="es-ES_tradnl"/>
        </w:rPr>
        <w:t xml:space="preserve"> en: la solicitud de acceso a la información,</w:t>
      </w:r>
      <w:r w:rsidRPr="00DD098B">
        <w:rPr>
          <w:rFonts w:eastAsia="Calibri" w:cs="Tahoma"/>
          <w:iCs/>
          <w:lang w:eastAsia="es-ES_tradnl"/>
        </w:rPr>
        <w:t xml:space="preserve"> el escrito </w:t>
      </w:r>
      <w:proofErr w:type="spellStart"/>
      <w:r w:rsidRPr="00DD098B">
        <w:rPr>
          <w:rFonts w:eastAsia="Calibri" w:cs="Tahoma"/>
          <w:iCs/>
          <w:lang w:eastAsia="es-ES_tradnl"/>
        </w:rPr>
        <w:t>recursal</w:t>
      </w:r>
      <w:proofErr w:type="spellEnd"/>
      <w:r w:rsidR="007003A4" w:rsidRPr="00DD098B">
        <w:rPr>
          <w:rFonts w:eastAsia="Calibri" w:cs="Tahoma"/>
          <w:iCs/>
          <w:lang w:eastAsia="es-ES_tradnl"/>
        </w:rPr>
        <w:t>,</w:t>
      </w:r>
      <w:r w:rsidRPr="00DD098B">
        <w:rPr>
          <w:rFonts w:eastAsia="Calibri" w:cs="Tahoma"/>
          <w:iCs/>
          <w:lang w:eastAsia="es-ES_tradnl"/>
        </w:rPr>
        <w:t xml:space="preserve"> el Informe Justificado</w:t>
      </w:r>
      <w:r w:rsidR="007003A4" w:rsidRPr="00DD098B">
        <w:rPr>
          <w:rFonts w:eastAsia="Calibri" w:cs="Tahoma"/>
          <w:iCs/>
          <w:lang w:eastAsia="es-ES_tradnl"/>
        </w:rPr>
        <w:t xml:space="preserve"> y el desahogo al Requerimiento de Información Adicional</w:t>
      </w:r>
      <w:r w:rsidRPr="00DD098B">
        <w:rPr>
          <w:rFonts w:eastAsia="Calibri" w:cs="Tahoma"/>
          <w:iCs/>
          <w:lang w:eastAsia="es-ES_tradnl"/>
        </w:rPr>
        <w:t xml:space="preserve">; </w:t>
      </w:r>
      <w:r w:rsidRPr="00DD098B">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5154B65B" w14:textId="77777777" w:rsidR="00F505D5" w:rsidRPr="00DD098B" w:rsidRDefault="00F505D5" w:rsidP="00DD098B">
      <w:pPr>
        <w:spacing w:after="0" w:line="360" w:lineRule="auto"/>
        <w:contextualSpacing/>
        <w:rPr>
          <w:rFonts w:eastAsia="Calibri" w:cs="Tahoma"/>
          <w:color w:val="auto"/>
          <w:lang w:eastAsia="es-ES_tradnl"/>
        </w:rPr>
      </w:pPr>
    </w:p>
    <w:p w14:paraId="39E4A982" w14:textId="77777777" w:rsidR="00F505D5" w:rsidRPr="00DD098B" w:rsidRDefault="00F505D5" w:rsidP="00DD098B">
      <w:p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 xml:space="preserve">Expuestas las posturas de las partes, se procede al análisis del agravio hecho valer por el ahora Recurrente, concerniente a la falta de respuesta del </w:t>
      </w:r>
      <w:r w:rsidRPr="00DD098B">
        <w:rPr>
          <w:color w:val="000000"/>
        </w:rPr>
        <w:t>Ayuntamiento de Zinacantepec</w:t>
      </w:r>
      <w:r w:rsidRPr="00DD098B">
        <w:rPr>
          <w:rFonts w:eastAsia="Times New Roman" w:cs="Tahoma"/>
          <w:iCs/>
          <w:color w:val="auto"/>
          <w:lang w:eastAsia="es-ES"/>
        </w:rPr>
        <w:t>, a</w:t>
      </w:r>
      <w:r w:rsidRPr="00DD098B">
        <w:rPr>
          <w:rFonts w:eastAsia="Times New Roman" w:cs="Tahoma"/>
          <w:bCs/>
          <w:iCs/>
          <w:color w:val="auto"/>
          <w:lang w:eastAsia="es-ES"/>
        </w:rPr>
        <w:t xml:space="preserve"> la solicitud de información presentada. </w:t>
      </w:r>
    </w:p>
    <w:p w14:paraId="1447C203" w14:textId="77777777" w:rsidR="00F505D5" w:rsidRPr="00DD098B" w:rsidRDefault="00F505D5" w:rsidP="00DD098B">
      <w:pPr>
        <w:spacing w:after="0" w:line="360" w:lineRule="auto"/>
        <w:contextualSpacing/>
        <w:rPr>
          <w:rFonts w:eastAsia="Times New Roman" w:cs="Tahoma"/>
          <w:bCs/>
          <w:iCs/>
          <w:color w:val="auto"/>
          <w:lang w:eastAsia="es-ES"/>
        </w:rPr>
      </w:pPr>
    </w:p>
    <w:p w14:paraId="1FEAA224" w14:textId="77777777" w:rsidR="00F505D5" w:rsidRPr="00DD098B" w:rsidRDefault="00F505D5" w:rsidP="00DD098B">
      <w:p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75B09A3" w14:textId="77777777" w:rsidR="00F505D5" w:rsidRPr="00DD098B" w:rsidRDefault="00F505D5" w:rsidP="00DD098B">
      <w:pPr>
        <w:spacing w:after="0" w:line="360" w:lineRule="auto"/>
        <w:contextualSpacing/>
        <w:rPr>
          <w:rFonts w:eastAsia="Times New Roman" w:cs="Tahoma"/>
          <w:bCs/>
          <w:iCs/>
          <w:color w:val="auto"/>
          <w:lang w:eastAsia="es-ES"/>
        </w:rPr>
      </w:pPr>
    </w:p>
    <w:p w14:paraId="4A8D5B6D" w14:textId="77777777" w:rsidR="00F505D5" w:rsidRPr="00DD098B" w:rsidRDefault="00F505D5" w:rsidP="00DD098B">
      <w:pPr>
        <w:numPr>
          <w:ilvl w:val="0"/>
          <w:numId w:val="1"/>
        </w:num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Proveer lo necesario para garantizar a toda persona el derecho de acceso a la información pública, a través de procedimientos sencillos, expeditos, oportunos y gratuitos;</w:t>
      </w:r>
    </w:p>
    <w:p w14:paraId="2BF93AB1" w14:textId="77777777" w:rsidR="00F505D5" w:rsidRPr="00DD098B" w:rsidRDefault="00F505D5" w:rsidP="00DD098B">
      <w:pPr>
        <w:spacing w:after="0" w:line="360" w:lineRule="auto"/>
        <w:ind w:left="720"/>
        <w:contextualSpacing/>
        <w:rPr>
          <w:rFonts w:eastAsia="Times New Roman" w:cs="Tahoma"/>
          <w:bCs/>
          <w:iCs/>
          <w:color w:val="auto"/>
          <w:lang w:eastAsia="es-ES"/>
        </w:rPr>
      </w:pPr>
    </w:p>
    <w:p w14:paraId="134D66D4" w14:textId="77777777" w:rsidR="00F505D5" w:rsidRPr="00DD098B" w:rsidRDefault="00F505D5" w:rsidP="00DD098B">
      <w:pPr>
        <w:numPr>
          <w:ilvl w:val="0"/>
          <w:numId w:val="1"/>
        </w:num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Transparentar la gestión pública, mediante la difusión de la información generada por los Sujetos Obligados, y</w:t>
      </w:r>
    </w:p>
    <w:p w14:paraId="1B6E9448" w14:textId="77777777" w:rsidR="00F505D5" w:rsidRPr="00DD098B" w:rsidRDefault="00F505D5" w:rsidP="00DD098B">
      <w:pPr>
        <w:spacing w:after="0" w:line="360" w:lineRule="auto"/>
        <w:ind w:left="720"/>
        <w:contextualSpacing/>
        <w:rPr>
          <w:rFonts w:eastAsia="Times New Roman" w:cs="Tahoma"/>
          <w:bCs/>
          <w:iCs/>
          <w:color w:val="auto"/>
          <w:lang w:eastAsia="es-ES"/>
        </w:rPr>
      </w:pPr>
    </w:p>
    <w:p w14:paraId="7C3B49A5" w14:textId="77777777" w:rsidR="00F505D5" w:rsidRPr="00DD098B" w:rsidRDefault="00F505D5" w:rsidP="00DD098B">
      <w:pPr>
        <w:numPr>
          <w:ilvl w:val="0"/>
          <w:numId w:val="1"/>
        </w:num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14:paraId="098547B0" w14:textId="77777777" w:rsidR="00F505D5" w:rsidRPr="00DD098B" w:rsidRDefault="00F505D5" w:rsidP="00DD098B">
      <w:pPr>
        <w:spacing w:after="0" w:line="360" w:lineRule="auto"/>
        <w:contextualSpacing/>
        <w:rPr>
          <w:rFonts w:eastAsia="Times New Roman" w:cs="Tahoma"/>
          <w:bCs/>
          <w:iCs/>
          <w:color w:val="auto"/>
          <w:lang w:eastAsia="es-ES"/>
        </w:rPr>
      </w:pPr>
    </w:p>
    <w:p w14:paraId="591BF172" w14:textId="77777777" w:rsidR="00F505D5" w:rsidRPr="00DD098B" w:rsidRDefault="00F505D5" w:rsidP="00DD098B">
      <w:p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 xml:space="preserve">Conforme a lo anterior, se deprende que </w:t>
      </w:r>
      <w:r w:rsidRPr="00DD098B">
        <w:rPr>
          <w:rFonts w:eastAsia="Times New Roman" w:cs="Tahoma"/>
          <w:b/>
          <w:bCs/>
          <w:iCs/>
          <w:color w:val="auto"/>
          <w:lang w:eastAsia="es-ES"/>
        </w:rPr>
        <w:t>los objetivos de la Ley de la materia,</w:t>
      </w:r>
      <w:r w:rsidRPr="00DD098B">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00A7955" w14:textId="77777777" w:rsidR="00F505D5" w:rsidRPr="00DD098B" w:rsidRDefault="00F505D5" w:rsidP="00DD098B">
      <w:pPr>
        <w:spacing w:after="0" w:line="360" w:lineRule="auto"/>
        <w:contextualSpacing/>
        <w:rPr>
          <w:rFonts w:eastAsia="Times New Roman" w:cs="Tahoma"/>
          <w:bCs/>
          <w:iCs/>
          <w:color w:val="auto"/>
          <w:lang w:eastAsia="es-ES"/>
        </w:rPr>
      </w:pPr>
    </w:p>
    <w:p w14:paraId="4CDD8054" w14:textId="77777777" w:rsidR="00F505D5" w:rsidRPr="00DD098B" w:rsidRDefault="00F505D5" w:rsidP="00DD098B">
      <w:p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 xml:space="preserve">En ese orden de ideas, para la atención de las solicitudes de acceso a la información, debe privilegiarse el </w:t>
      </w:r>
      <w:r w:rsidRPr="00DD098B">
        <w:rPr>
          <w:rFonts w:eastAsia="Times New Roman" w:cs="Tahoma"/>
          <w:b/>
          <w:bCs/>
          <w:iCs/>
          <w:color w:val="auto"/>
          <w:lang w:eastAsia="es-ES"/>
        </w:rPr>
        <w:t>principio de máxima publicidad</w:t>
      </w:r>
      <w:r w:rsidRPr="00DD098B">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890F72C" w14:textId="77777777" w:rsidR="00F505D5" w:rsidRPr="00DD098B" w:rsidRDefault="00F505D5" w:rsidP="00DD098B">
      <w:pPr>
        <w:spacing w:after="0" w:line="360" w:lineRule="auto"/>
        <w:contextualSpacing/>
        <w:rPr>
          <w:rFonts w:eastAsia="Times New Roman" w:cs="Tahoma"/>
          <w:bCs/>
          <w:iCs/>
          <w:color w:val="auto"/>
          <w:lang w:eastAsia="es-ES"/>
        </w:rPr>
      </w:pPr>
    </w:p>
    <w:p w14:paraId="1C6738F7" w14:textId="77777777" w:rsidR="00F505D5" w:rsidRPr="00DD098B" w:rsidRDefault="00F505D5" w:rsidP="00DD098B">
      <w:p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F011760" w14:textId="77777777" w:rsidR="00F505D5" w:rsidRPr="00DD098B" w:rsidRDefault="00F505D5" w:rsidP="00DD098B">
      <w:pPr>
        <w:spacing w:after="0" w:line="360" w:lineRule="auto"/>
        <w:contextualSpacing/>
        <w:rPr>
          <w:rFonts w:eastAsia="Times New Roman" w:cs="Tahoma"/>
          <w:bCs/>
          <w:iCs/>
          <w:color w:val="auto"/>
          <w:lang w:eastAsia="es-ES"/>
        </w:rPr>
      </w:pPr>
    </w:p>
    <w:p w14:paraId="27EA87D5" w14:textId="77777777" w:rsidR="00F505D5" w:rsidRPr="00DD098B" w:rsidRDefault="00F505D5" w:rsidP="00DD098B">
      <w:pPr>
        <w:numPr>
          <w:ilvl w:val="0"/>
          <w:numId w:val="2"/>
        </w:num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B69B491" w14:textId="77777777" w:rsidR="00F505D5" w:rsidRPr="00DD098B" w:rsidRDefault="00F505D5" w:rsidP="00DD098B">
      <w:pPr>
        <w:spacing w:after="0" w:line="360" w:lineRule="auto"/>
        <w:contextualSpacing/>
        <w:rPr>
          <w:rFonts w:eastAsia="Times New Roman" w:cs="Tahoma"/>
          <w:bCs/>
          <w:iCs/>
          <w:color w:val="auto"/>
          <w:lang w:eastAsia="es-ES"/>
        </w:rPr>
      </w:pPr>
    </w:p>
    <w:p w14:paraId="514115BC" w14:textId="77777777" w:rsidR="00F505D5" w:rsidRPr="00DD098B" w:rsidRDefault="00F505D5" w:rsidP="00DD098B">
      <w:pPr>
        <w:numPr>
          <w:ilvl w:val="0"/>
          <w:numId w:val="2"/>
        </w:num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8EBBF43" w14:textId="77777777" w:rsidR="00F505D5" w:rsidRPr="00DD098B" w:rsidRDefault="00F505D5" w:rsidP="00DD098B">
      <w:pPr>
        <w:spacing w:after="0" w:line="360" w:lineRule="auto"/>
        <w:ind w:left="720"/>
        <w:contextualSpacing/>
        <w:rPr>
          <w:rFonts w:eastAsia="Times New Roman" w:cs="Tahoma"/>
          <w:bCs/>
          <w:iCs/>
          <w:color w:val="auto"/>
          <w:lang w:eastAsia="es-ES"/>
        </w:rPr>
      </w:pPr>
    </w:p>
    <w:p w14:paraId="171551BF" w14:textId="77777777" w:rsidR="00F505D5" w:rsidRPr="00DD098B" w:rsidRDefault="00F505D5" w:rsidP="00DD098B">
      <w:pPr>
        <w:numPr>
          <w:ilvl w:val="0"/>
          <w:numId w:val="2"/>
        </w:num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 xml:space="preserve">Las respuestas a los requerimientos informativos deberán notificarse al interesado en el menor tiempo posible, que no podrá exceder </w:t>
      </w:r>
      <w:r w:rsidRPr="00DD098B">
        <w:rPr>
          <w:rFonts w:eastAsia="Times New Roman" w:cs="Tahoma"/>
          <w:b/>
          <w:bCs/>
          <w:iCs/>
          <w:color w:val="auto"/>
          <w:lang w:eastAsia="es-ES"/>
        </w:rPr>
        <w:t>quince días, contados a partir del día siguiente a la presentación de ésta.</w:t>
      </w:r>
      <w:r w:rsidRPr="00DD098B">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14:paraId="27EDCF26" w14:textId="77777777" w:rsidR="00F505D5" w:rsidRPr="00DD098B" w:rsidRDefault="00F505D5" w:rsidP="00DD098B">
      <w:pPr>
        <w:spacing w:after="0" w:line="360" w:lineRule="auto"/>
        <w:contextualSpacing/>
        <w:rPr>
          <w:rFonts w:eastAsia="Times New Roman" w:cs="Tahoma"/>
          <w:bCs/>
          <w:iCs/>
          <w:color w:val="auto"/>
          <w:lang w:eastAsia="es-ES"/>
        </w:rPr>
      </w:pPr>
    </w:p>
    <w:p w14:paraId="6930B893" w14:textId="77777777" w:rsidR="00F505D5" w:rsidRPr="00DD098B" w:rsidRDefault="00F505D5" w:rsidP="00DD098B">
      <w:pPr>
        <w:numPr>
          <w:ilvl w:val="0"/>
          <w:numId w:val="2"/>
        </w:numPr>
        <w:spacing w:after="0" w:line="360" w:lineRule="auto"/>
        <w:contextualSpacing/>
        <w:rPr>
          <w:rFonts w:eastAsia="Times New Roman" w:cs="Tahoma"/>
          <w:b/>
          <w:bCs/>
          <w:iCs/>
          <w:color w:val="auto"/>
          <w:lang w:eastAsia="es-ES"/>
        </w:rPr>
      </w:pPr>
      <w:r w:rsidRPr="00DD098B">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DD098B">
        <w:rPr>
          <w:rFonts w:eastAsia="Times New Roman" w:cs="Tahoma"/>
          <w:b/>
          <w:bCs/>
          <w:iCs/>
          <w:color w:val="auto"/>
          <w:lang w:eastAsia="es-ES"/>
        </w:rPr>
        <w:t>que se encuentren en sus archivos o que estén constreñidos a elaborar;</w:t>
      </w:r>
    </w:p>
    <w:p w14:paraId="0D25BC18" w14:textId="77777777" w:rsidR="00F505D5" w:rsidRPr="00DD098B" w:rsidRDefault="00F505D5" w:rsidP="00DD098B">
      <w:pPr>
        <w:spacing w:after="0" w:line="360" w:lineRule="auto"/>
        <w:contextualSpacing/>
        <w:rPr>
          <w:rFonts w:eastAsia="Times New Roman" w:cs="Tahoma"/>
          <w:b/>
          <w:bCs/>
          <w:iCs/>
          <w:color w:val="auto"/>
          <w:lang w:eastAsia="es-ES"/>
        </w:rPr>
      </w:pPr>
    </w:p>
    <w:p w14:paraId="7BAD8C47" w14:textId="77777777" w:rsidR="00F505D5" w:rsidRPr="00DD098B" w:rsidRDefault="00F505D5" w:rsidP="00DD098B">
      <w:pPr>
        <w:numPr>
          <w:ilvl w:val="0"/>
          <w:numId w:val="2"/>
        </w:numPr>
        <w:spacing w:after="0" w:line="360" w:lineRule="auto"/>
        <w:contextualSpacing/>
        <w:rPr>
          <w:rFonts w:eastAsia="Times New Roman" w:cs="Tahoma"/>
          <w:b/>
          <w:bCs/>
          <w:iCs/>
          <w:color w:val="auto"/>
          <w:lang w:eastAsia="es-ES"/>
        </w:rPr>
      </w:pPr>
      <w:r w:rsidRPr="00DD098B">
        <w:rPr>
          <w:rFonts w:eastAsia="Times New Roman" w:cs="Tahoma"/>
          <w:bCs/>
          <w:iCs/>
          <w:color w:val="auto"/>
          <w:lang w:eastAsia="es-ES"/>
        </w:rPr>
        <w:t xml:space="preserve">El acceso se dará en la modalidad de entrega y en su caso, de envío elegido por el solicitante, cuando no pueda entregarse en dicha modalidad, el Sujeto Obligado </w:t>
      </w:r>
      <w:r w:rsidRPr="00DD098B">
        <w:rPr>
          <w:rFonts w:eastAsia="Times New Roman" w:cs="Tahoma"/>
          <w:bCs/>
          <w:iCs/>
          <w:color w:val="auto"/>
          <w:lang w:eastAsia="es-ES"/>
        </w:rPr>
        <w:lastRenderedPageBreak/>
        <w:t>deberá ofrecer otras; por lo cual, deberá fundamentar y motivar la necesidad de modificar el medio de entrega, y</w:t>
      </w:r>
    </w:p>
    <w:p w14:paraId="4BEB7C66" w14:textId="77777777" w:rsidR="00F505D5" w:rsidRPr="00DD098B" w:rsidRDefault="00F505D5" w:rsidP="00DD098B">
      <w:pPr>
        <w:spacing w:after="0" w:line="360" w:lineRule="auto"/>
        <w:contextualSpacing/>
        <w:rPr>
          <w:rFonts w:eastAsia="Times New Roman" w:cs="Tahoma"/>
          <w:b/>
          <w:bCs/>
          <w:iCs/>
          <w:color w:val="auto"/>
          <w:lang w:eastAsia="es-ES"/>
        </w:rPr>
      </w:pPr>
    </w:p>
    <w:p w14:paraId="24103198" w14:textId="77777777" w:rsidR="00F505D5" w:rsidRPr="00DD098B" w:rsidRDefault="00F505D5" w:rsidP="00DD098B">
      <w:pPr>
        <w:numPr>
          <w:ilvl w:val="0"/>
          <w:numId w:val="2"/>
        </w:numPr>
        <w:spacing w:after="0" w:line="360" w:lineRule="auto"/>
        <w:contextualSpacing/>
        <w:rPr>
          <w:rFonts w:eastAsia="Times New Roman" w:cs="Tahoma"/>
          <w:b/>
          <w:bCs/>
          <w:iCs/>
          <w:color w:val="auto"/>
          <w:lang w:eastAsia="es-ES"/>
        </w:rPr>
      </w:pPr>
      <w:r w:rsidRPr="00DD098B">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C4B5436" w14:textId="77777777" w:rsidR="00F505D5" w:rsidRPr="00DD098B" w:rsidRDefault="00F505D5" w:rsidP="00DD098B">
      <w:pPr>
        <w:spacing w:after="0" w:line="360" w:lineRule="auto"/>
        <w:contextualSpacing/>
        <w:rPr>
          <w:rFonts w:eastAsia="Calibri" w:cs="Tahoma"/>
        </w:rPr>
      </w:pPr>
    </w:p>
    <w:p w14:paraId="10EA53BE" w14:textId="6093D630" w:rsidR="00F505D5" w:rsidRPr="00DD098B" w:rsidRDefault="00F505D5" w:rsidP="00DD098B">
      <w:pPr>
        <w:spacing w:after="0" w:line="360" w:lineRule="auto"/>
        <w:contextualSpacing/>
        <w:rPr>
          <w:rFonts w:eastAsia="Calibri" w:cs="Tahoma"/>
        </w:rPr>
      </w:pPr>
      <w:r w:rsidRPr="00DD098B">
        <w:rPr>
          <w:rFonts w:eastAsia="Calibri" w:cs="Tahoma"/>
        </w:rPr>
        <w:t xml:space="preserve">Una vez establecido lo anterior, es de indicar que el agravio del Particular consistió en que, a la fecha de interposición del Recurso de Revisión, </w:t>
      </w:r>
      <w:r w:rsidRPr="00DD098B">
        <w:rPr>
          <w:rFonts w:eastAsia="Calibri" w:cs="Tahoma"/>
          <w:bCs/>
        </w:rPr>
        <w:t xml:space="preserve">el </w:t>
      </w:r>
      <w:r w:rsidRPr="00DD098B">
        <w:rPr>
          <w:bCs/>
          <w:color w:val="000000"/>
        </w:rPr>
        <w:t>Ayuntamiento de Zinacantepec</w:t>
      </w:r>
      <w:r w:rsidRPr="00DD098B">
        <w:rPr>
          <w:rFonts w:eastAsia="Calibri" w:cs="Tahoma"/>
          <w:bCs/>
        </w:rPr>
        <w:t>, no había registrado respuesta al requerimiento</w:t>
      </w:r>
      <w:r w:rsidRPr="00DD098B">
        <w:rPr>
          <w:rFonts w:eastAsia="Calibri" w:cs="Tahoma"/>
        </w:rPr>
        <w:t xml:space="preserve"> de acceso a la información, el cual se presentó, el</w:t>
      </w:r>
      <w:r w:rsidR="00065D42" w:rsidRPr="00DD098B">
        <w:rPr>
          <w:rFonts w:eastAsia="Calibri" w:cs="Tahoma"/>
        </w:rPr>
        <w:t xml:space="preserve"> doce de diciembre </w:t>
      </w:r>
      <w:r w:rsidRPr="00DD098B">
        <w:rPr>
          <w:rFonts w:eastAsia="Calibri" w:cs="Tahoma"/>
        </w:rPr>
        <w:t>de dos mil veintidós.</w:t>
      </w:r>
    </w:p>
    <w:p w14:paraId="089B5560" w14:textId="77777777" w:rsidR="00F505D5" w:rsidRPr="00DD098B" w:rsidRDefault="00F505D5" w:rsidP="00DD098B">
      <w:pPr>
        <w:spacing w:after="0" w:line="360" w:lineRule="auto"/>
        <w:contextualSpacing/>
        <w:rPr>
          <w:rFonts w:eastAsia="Calibri" w:cs="Tahoma"/>
        </w:rPr>
      </w:pPr>
    </w:p>
    <w:p w14:paraId="4A2703F0" w14:textId="058A0C3F" w:rsidR="00F505D5" w:rsidRPr="00DD098B" w:rsidRDefault="00F505D5" w:rsidP="00DD098B">
      <w:pPr>
        <w:spacing w:after="0" w:line="360" w:lineRule="auto"/>
        <w:contextualSpacing/>
        <w:rPr>
          <w:rFonts w:eastAsia="Calibri" w:cs="Tahoma"/>
          <w:lang w:val="es-ES"/>
        </w:rPr>
      </w:pPr>
      <w:r w:rsidRPr="00DD098B">
        <w:rPr>
          <w:rFonts w:eastAsia="Calibri" w:cs="Tahoma"/>
          <w:lang w:val="es-ES"/>
        </w:rPr>
        <w:t xml:space="preserve">Además, que se requirió una aclaración a la solicitud, en términos del artículo 159 de la Ley de Transparencia y Acceso a la Información Pública del Estado de México y Municipios, el </w:t>
      </w:r>
      <w:r w:rsidR="00065D42" w:rsidRPr="00DD098B">
        <w:rPr>
          <w:rFonts w:eastAsia="Calibri" w:cs="Tahoma"/>
          <w:lang w:val="es-ES"/>
        </w:rPr>
        <w:t xml:space="preserve">diecinueve </w:t>
      </w:r>
      <w:r w:rsidRPr="00DD098B">
        <w:rPr>
          <w:rFonts w:eastAsia="Calibri" w:cs="Tahoma"/>
          <w:lang w:val="es-ES"/>
        </w:rPr>
        <w:t xml:space="preserve">de </w:t>
      </w:r>
      <w:r w:rsidR="00605FE6">
        <w:rPr>
          <w:rFonts w:eastAsia="Calibri" w:cs="Tahoma"/>
          <w:lang w:val="es-ES"/>
        </w:rPr>
        <w:t>diciembre</w:t>
      </w:r>
      <w:r w:rsidRPr="00DD098B">
        <w:rPr>
          <w:rFonts w:eastAsia="Calibri" w:cs="Tahoma"/>
          <w:lang w:val="es-ES"/>
        </w:rPr>
        <w:t xml:space="preserve"> del año referidos; mismo que desahogó el Particular, el</w:t>
      </w:r>
      <w:r w:rsidR="00065D42" w:rsidRPr="00DD098B">
        <w:rPr>
          <w:rFonts w:eastAsia="Calibri" w:cs="Tahoma"/>
          <w:lang w:val="es-ES"/>
        </w:rPr>
        <w:t xml:space="preserve"> veintiuno de dicho mes y año</w:t>
      </w:r>
      <w:r w:rsidRPr="00DD098B">
        <w:rPr>
          <w:rFonts w:eastAsia="Calibri" w:cs="Tahoma"/>
          <w:lang w:val="es-ES"/>
        </w:rPr>
        <w:t>.</w:t>
      </w:r>
    </w:p>
    <w:p w14:paraId="55CEF3A4" w14:textId="77777777" w:rsidR="00F505D5" w:rsidRPr="00DD098B" w:rsidRDefault="00F505D5" w:rsidP="00DD098B">
      <w:pPr>
        <w:spacing w:after="0" w:line="360" w:lineRule="auto"/>
        <w:contextualSpacing/>
        <w:rPr>
          <w:rFonts w:eastAsia="Calibri" w:cs="Tahoma"/>
          <w:lang w:val="es-ES"/>
        </w:rPr>
      </w:pPr>
    </w:p>
    <w:p w14:paraId="7F65B22A" w14:textId="571F8961" w:rsidR="00F505D5" w:rsidRPr="00DD098B" w:rsidRDefault="00F505D5" w:rsidP="00DD098B">
      <w:pPr>
        <w:spacing w:after="0" w:line="360" w:lineRule="auto"/>
        <w:contextualSpacing/>
        <w:rPr>
          <w:rFonts w:eastAsia="Calibri" w:cs="Tahoma"/>
          <w:b/>
          <w:bCs/>
          <w:color w:val="000000"/>
        </w:rPr>
      </w:pPr>
      <w:r w:rsidRPr="00DD098B">
        <w:rPr>
          <w:rFonts w:eastAsia="Calibri" w:cs="Tahoma"/>
          <w:bCs/>
          <w:color w:val="000000"/>
        </w:rPr>
        <w:t xml:space="preserve">En ese orden de ideas, el plazo con el que contaba el Sujeto Obligado para emitir contestación al requerimiento informativo, </w:t>
      </w:r>
      <w:r w:rsidRPr="00DD098B">
        <w:rPr>
          <w:rFonts w:eastAsia="Calibri" w:cs="Tahoma"/>
          <w:b/>
          <w:bCs/>
          <w:color w:val="000000"/>
        </w:rPr>
        <w:t xml:space="preserve">comenzó a correr el </w:t>
      </w:r>
      <w:r w:rsidR="00065D42" w:rsidRPr="00DD098B">
        <w:rPr>
          <w:rFonts w:eastAsia="Calibri" w:cs="Tahoma"/>
          <w:b/>
          <w:bCs/>
          <w:color w:val="000000"/>
        </w:rPr>
        <w:t>trece de diciembre</w:t>
      </w:r>
      <w:r w:rsidR="002B2879" w:rsidRPr="00DD098B">
        <w:rPr>
          <w:rFonts w:eastAsia="Calibri" w:cs="Tahoma"/>
          <w:b/>
          <w:bCs/>
          <w:color w:val="000000"/>
        </w:rPr>
        <w:t xml:space="preserve"> de dos mil veintidós</w:t>
      </w:r>
      <w:r w:rsidRPr="00DD098B">
        <w:rPr>
          <w:rFonts w:eastAsia="Calibri" w:cs="Tahoma"/>
          <w:b/>
          <w:bCs/>
          <w:color w:val="000000"/>
        </w:rPr>
        <w:t xml:space="preserve"> y feneció el </w:t>
      </w:r>
      <w:r w:rsidR="00605FE6">
        <w:rPr>
          <w:rFonts w:eastAsia="Calibri" w:cs="Tahoma"/>
          <w:b/>
          <w:bCs/>
          <w:color w:val="000000"/>
        </w:rPr>
        <w:t>veinte</w:t>
      </w:r>
      <w:r w:rsidR="002B2879" w:rsidRPr="00DD098B">
        <w:rPr>
          <w:rFonts w:eastAsia="Calibri" w:cs="Tahoma"/>
          <w:b/>
          <w:bCs/>
          <w:color w:val="000000"/>
        </w:rPr>
        <w:t xml:space="preserve"> de enero de dos mil veintitrés</w:t>
      </w:r>
      <w:r w:rsidRPr="00DD098B">
        <w:rPr>
          <w:rFonts w:eastAsia="Calibri" w:cs="Tahoma"/>
          <w:color w:val="000000"/>
        </w:rPr>
        <w:t xml:space="preserve">; lo anterior, sin contar los días, </w:t>
      </w:r>
      <w:r w:rsidR="002B2879" w:rsidRPr="00DD098B">
        <w:rPr>
          <w:rFonts w:eastAsia="Calibri" w:cs="Tahoma"/>
          <w:color w:val="000000"/>
        </w:rPr>
        <w:t>diecisiete, dieciocho</w:t>
      </w:r>
      <w:r w:rsidR="00605FE6">
        <w:rPr>
          <w:rFonts w:eastAsia="Calibri" w:cs="Tahoma"/>
          <w:color w:val="000000"/>
        </w:rPr>
        <w:t xml:space="preserve"> y del veinte al treinta y uno de diciembre de dos mil veintidós, así como, del primero al ocho, catorce y quince de enero de </w:t>
      </w:r>
      <w:r w:rsidR="002B2879" w:rsidRPr="00DD098B">
        <w:rPr>
          <w:rFonts w:eastAsia="Calibri" w:cs="Tahoma"/>
          <w:color w:val="000000"/>
        </w:rPr>
        <w:t>dos mil veintitrés</w:t>
      </w:r>
      <w:r w:rsidRPr="00DD098B">
        <w:rPr>
          <w:rFonts w:eastAsia="Calibri" w:cs="Tahoma"/>
          <w:color w:val="000000"/>
        </w:rPr>
        <w:t xml:space="preserve">, al ser inhábiles, </w:t>
      </w:r>
      <w:r w:rsidRPr="00DD098B">
        <w:rPr>
          <w:rFonts w:eastAsia="Batang" w:cs="Tahoma"/>
          <w:bCs/>
        </w:rPr>
        <w:t xml:space="preserve">de conformidad con los artículos 3°, fracción X, y 159 de la Ley de Transparencia y Acceso a la Información Pública del Estado de México y Municipios y </w:t>
      </w:r>
      <w:bookmarkStart w:id="1" w:name="_Hlk65786947"/>
      <w:r w:rsidRPr="00DD098B">
        <w:rPr>
          <w:rFonts w:eastAsia="Batang" w:cs="Tahoma"/>
          <w:bCs/>
        </w:rPr>
        <w:t xml:space="preserve">el </w:t>
      </w:r>
      <w:r w:rsidRPr="00DD098B">
        <w:rPr>
          <w:rFonts w:eastAsia="Batang" w:cs="Tahoma"/>
          <w:lang w:val="es-ES"/>
        </w:rPr>
        <w:t xml:space="preserve">Calendario Oficial en Materia </w:t>
      </w:r>
      <w:r w:rsidRPr="00DD098B">
        <w:rPr>
          <w:rFonts w:eastAsia="Batang" w:cs="Tahoma"/>
          <w:lang w:val="es-ES"/>
        </w:rPr>
        <w:lastRenderedPageBreak/>
        <w:t xml:space="preserve">de Transparencia, Acceso a la Información Pública y Protección de Datos Personales del Estado de México y Municipios, así como de laborales de este Instituto, para el año dos mil veintidós y enero dos </w:t>
      </w:r>
      <w:bookmarkEnd w:id="1"/>
      <w:r w:rsidRPr="00DD098B">
        <w:rPr>
          <w:rFonts w:eastAsia="Batang" w:cs="Tahoma"/>
          <w:lang w:val="es-ES"/>
        </w:rPr>
        <w:t>mil veintitrés</w:t>
      </w:r>
      <w:r w:rsidR="002B2879" w:rsidRPr="00DD098B">
        <w:rPr>
          <w:rFonts w:eastAsia="Batang" w:cs="Tahoma"/>
          <w:lang w:val="es-ES"/>
        </w:rPr>
        <w:t xml:space="preserve">, así como el calendario oficial dos mil </w:t>
      </w:r>
      <w:r w:rsidR="00605FE6">
        <w:rPr>
          <w:rFonts w:eastAsia="Batang" w:cs="Tahoma"/>
          <w:lang w:val="es-ES"/>
        </w:rPr>
        <w:t>veintidós</w:t>
      </w:r>
      <w:r w:rsidR="002B2879" w:rsidRPr="00DD098B">
        <w:rPr>
          <w:rFonts w:eastAsia="Batang" w:cs="Tahoma"/>
          <w:lang w:val="es-ES"/>
        </w:rPr>
        <w:t xml:space="preserve"> y enero dos mil </w:t>
      </w:r>
      <w:r w:rsidR="00605FE6">
        <w:rPr>
          <w:rFonts w:eastAsia="Batang" w:cs="Tahoma"/>
          <w:lang w:val="es-ES"/>
        </w:rPr>
        <w:t>veintitrés</w:t>
      </w:r>
      <w:r w:rsidR="002B2879" w:rsidRPr="00DD098B">
        <w:rPr>
          <w:rFonts w:eastAsia="Batang" w:cs="Tahoma"/>
          <w:lang w:val="es-ES"/>
        </w:rPr>
        <w:t>.</w:t>
      </w:r>
    </w:p>
    <w:p w14:paraId="7B71026B" w14:textId="77777777" w:rsidR="00F505D5" w:rsidRPr="00DD098B" w:rsidRDefault="00F505D5" w:rsidP="00DD098B">
      <w:pPr>
        <w:spacing w:after="0" w:line="360" w:lineRule="auto"/>
        <w:contextualSpacing/>
        <w:rPr>
          <w:rFonts w:eastAsia="Calibri" w:cs="Tahoma"/>
        </w:rPr>
      </w:pPr>
    </w:p>
    <w:p w14:paraId="3976CB2B" w14:textId="77777777" w:rsidR="00F505D5" w:rsidRPr="00DD098B" w:rsidRDefault="00F505D5" w:rsidP="00DD098B">
      <w:pPr>
        <w:spacing w:after="0" w:line="360" w:lineRule="auto"/>
        <w:contextualSpacing/>
        <w:rPr>
          <w:rFonts w:eastAsia="Calibri" w:cs="Tahoma"/>
          <w:lang w:val="es-ES"/>
        </w:rPr>
      </w:pPr>
      <w:r w:rsidRPr="00DD098B">
        <w:rPr>
          <w:rFonts w:eastAsia="Calibri" w:cs="Tahoma"/>
        </w:rPr>
        <w:t xml:space="preserve">Conforme a lo anterior, este Instituto verificó que, en efecto, no se registró una respuesta a la solicitud del ahora Recurrente, en el </w:t>
      </w:r>
      <w:r w:rsidRPr="00DD098B">
        <w:rPr>
          <w:rFonts w:eastAsia="Calibri" w:cs="Tahoma"/>
          <w:lang w:val="es-ES"/>
        </w:rPr>
        <w:t>Sistema de Acceso a la Información Mexiquense (SAIMEX), sistema utilizado para presentar el requerimiento informativo, tal como se observa a continuación:</w:t>
      </w:r>
    </w:p>
    <w:p w14:paraId="1D5CF3AF" w14:textId="77777777" w:rsidR="00F505D5" w:rsidRPr="00DD098B" w:rsidRDefault="00F505D5" w:rsidP="00DD098B">
      <w:pPr>
        <w:spacing w:after="0" w:line="360" w:lineRule="auto"/>
        <w:contextualSpacing/>
        <w:rPr>
          <w:rFonts w:eastAsia="Calibri" w:cs="Tahoma"/>
          <w:lang w:val="es-ES"/>
        </w:rPr>
      </w:pPr>
    </w:p>
    <w:p w14:paraId="11FD49DB" w14:textId="54A5A6D3" w:rsidR="00F505D5" w:rsidRPr="00DD098B" w:rsidRDefault="002B2879" w:rsidP="00DD098B">
      <w:pPr>
        <w:spacing w:after="0" w:line="360" w:lineRule="auto"/>
        <w:contextualSpacing/>
        <w:jc w:val="center"/>
        <w:rPr>
          <w:rFonts w:eastAsia="Calibri" w:cs="Tahoma"/>
          <w:bCs/>
        </w:rPr>
      </w:pPr>
      <w:r w:rsidRPr="00DD098B">
        <w:rPr>
          <w:noProof/>
          <w:lang w:eastAsia="es-MX"/>
        </w:rPr>
        <w:drawing>
          <wp:inline distT="0" distB="0" distL="0" distR="0" wp14:anchorId="0122E642" wp14:editId="2DF23877">
            <wp:extent cx="2864386" cy="226613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788" t="26655" r="54833" b="36224"/>
                    <a:stretch/>
                  </pic:blipFill>
                  <pic:spPr bwMode="auto">
                    <a:xfrm>
                      <a:off x="0" y="0"/>
                      <a:ext cx="2970374" cy="2349988"/>
                    </a:xfrm>
                    <a:prstGeom prst="rect">
                      <a:avLst/>
                    </a:prstGeom>
                    <a:ln>
                      <a:noFill/>
                    </a:ln>
                    <a:extLst>
                      <a:ext uri="{53640926-AAD7-44D8-BBD7-CCE9431645EC}">
                        <a14:shadowObscured xmlns:a14="http://schemas.microsoft.com/office/drawing/2010/main"/>
                      </a:ext>
                    </a:extLst>
                  </pic:spPr>
                </pic:pic>
              </a:graphicData>
            </a:graphic>
          </wp:inline>
        </w:drawing>
      </w:r>
    </w:p>
    <w:p w14:paraId="3D0722C3" w14:textId="77777777" w:rsidR="00F505D5" w:rsidRPr="00DD098B" w:rsidRDefault="00F505D5" w:rsidP="00DD098B">
      <w:pPr>
        <w:spacing w:after="0" w:line="360" w:lineRule="auto"/>
        <w:contextualSpacing/>
        <w:jc w:val="center"/>
        <w:rPr>
          <w:rFonts w:eastAsia="Calibri" w:cs="Tahoma"/>
          <w:bCs/>
        </w:rPr>
      </w:pPr>
    </w:p>
    <w:p w14:paraId="55CD6243" w14:textId="0427A7CC" w:rsidR="00F505D5" w:rsidRPr="00DD098B" w:rsidRDefault="00F505D5" w:rsidP="00DD098B">
      <w:pPr>
        <w:spacing w:after="0" w:line="360" w:lineRule="auto"/>
        <w:contextualSpacing/>
        <w:rPr>
          <w:rFonts w:eastAsia="Calibri" w:cs="Tahoma"/>
          <w:b/>
          <w:bCs/>
        </w:rPr>
      </w:pPr>
      <w:r w:rsidRPr="00DD098B">
        <w:rPr>
          <w:rFonts w:eastAsia="Calibri" w:cs="Tahoma"/>
          <w:bCs/>
        </w:rPr>
        <w:t xml:space="preserve">Así, se colige que, tal como lo precisó el Particular, </w:t>
      </w:r>
      <w:r w:rsidRPr="00DD098B">
        <w:rPr>
          <w:rFonts w:eastAsia="Calibri" w:cs="Tahoma"/>
          <w:b/>
          <w:bCs/>
        </w:rPr>
        <w:t xml:space="preserve">el </w:t>
      </w:r>
      <w:r w:rsidRPr="00DD098B">
        <w:rPr>
          <w:b/>
          <w:bCs/>
          <w:color w:val="000000"/>
        </w:rPr>
        <w:t>Ayuntamiento de Zinacantepec</w:t>
      </w:r>
      <w:r w:rsidRPr="00DD098B">
        <w:rPr>
          <w:rFonts w:eastAsia="Calibri" w:cs="Tahoma"/>
        </w:rPr>
        <w:t xml:space="preserve">, no emitió respuesta para dar contestación a la solicitud de información, dentro de los plazos establecidos en el artículo 163, de la Ley de la materia, pues tenía hasta el </w:t>
      </w:r>
      <w:r w:rsidR="00605FE6">
        <w:rPr>
          <w:rFonts w:eastAsia="Calibri" w:cs="Tahoma"/>
        </w:rPr>
        <w:t>veinte</w:t>
      </w:r>
      <w:r w:rsidR="002B2879" w:rsidRPr="00DD098B">
        <w:rPr>
          <w:rFonts w:eastAsia="Calibri" w:cs="Tahoma"/>
        </w:rPr>
        <w:t xml:space="preserve"> </w:t>
      </w:r>
      <w:r w:rsidRPr="00DD098B">
        <w:rPr>
          <w:rFonts w:eastAsia="Calibri" w:cs="Tahoma"/>
        </w:rPr>
        <w:t xml:space="preserve">de </w:t>
      </w:r>
      <w:r w:rsidR="002B2879" w:rsidRPr="00DD098B">
        <w:rPr>
          <w:rFonts w:eastAsia="Calibri" w:cs="Tahoma"/>
        </w:rPr>
        <w:t xml:space="preserve">enero </w:t>
      </w:r>
      <w:r w:rsidRPr="00DD098B">
        <w:rPr>
          <w:rFonts w:eastAsia="Calibri" w:cs="Tahoma"/>
        </w:rPr>
        <w:t>de dos mil veint</w:t>
      </w:r>
      <w:r w:rsidR="00BA5113" w:rsidRPr="00DD098B">
        <w:rPr>
          <w:rFonts w:eastAsia="Calibri" w:cs="Tahoma"/>
        </w:rPr>
        <w:t>itrés</w:t>
      </w:r>
      <w:r w:rsidRPr="00DD098B">
        <w:rPr>
          <w:rFonts w:eastAsia="Calibri" w:cs="Tahoma"/>
          <w:b/>
          <w:bCs/>
        </w:rPr>
        <w:t>.</w:t>
      </w:r>
    </w:p>
    <w:p w14:paraId="433F92DC" w14:textId="77777777" w:rsidR="00F505D5" w:rsidRPr="00DD098B" w:rsidRDefault="00F505D5" w:rsidP="00DD098B">
      <w:pPr>
        <w:spacing w:after="0" w:line="360" w:lineRule="auto"/>
        <w:contextualSpacing/>
        <w:rPr>
          <w:rFonts w:eastAsia="Calibri" w:cs="Tahoma"/>
          <w:b/>
          <w:bCs/>
        </w:rPr>
      </w:pPr>
    </w:p>
    <w:p w14:paraId="05DD3AD1" w14:textId="4AC87EF1" w:rsidR="00605FE6" w:rsidRDefault="0043202F" w:rsidP="00DD098B">
      <w:pPr>
        <w:spacing w:after="0" w:line="360" w:lineRule="auto"/>
        <w:contextualSpacing/>
        <w:rPr>
          <w:rFonts w:cs="Tahoma"/>
          <w:bCs/>
        </w:rPr>
      </w:pPr>
      <w:r w:rsidRPr="00DD098B">
        <w:t>No obstante</w:t>
      </w:r>
      <w:r w:rsidR="00F505D5" w:rsidRPr="00DD098B">
        <w:t>, durante la sustanciación del Medio de Impugnación</w:t>
      </w:r>
      <w:r w:rsidR="007003A4" w:rsidRPr="00DD098B">
        <w:t xml:space="preserve"> y</w:t>
      </w:r>
      <w:r w:rsidR="00F505D5" w:rsidRPr="00DD098B">
        <w:t>,</w:t>
      </w:r>
      <w:r w:rsidR="007003A4" w:rsidRPr="00DD098B">
        <w:t xml:space="preserve"> el desahogo del Requerimiento de Información,</w:t>
      </w:r>
      <w:r w:rsidR="00F505D5" w:rsidRPr="00DD098B">
        <w:t xml:space="preserve"> el Sujeto Obligado</w:t>
      </w:r>
      <w:r w:rsidRPr="00DD098B">
        <w:t xml:space="preserve"> </w:t>
      </w:r>
      <w:r w:rsidR="00F505D5" w:rsidRPr="00DD098B">
        <w:t>dio respuesta a la solicitud de información; por lo que,</w:t>
      </w:r>
      <w:r w:rsidRPr="00DD098B">
        <w:t xml:space="preserve"> </w:t>
      </w:r>
      <w:r w:rsidR="00F505D5" w:rsidRPr="00DD098B">
        <w:rPr>
          <w:rFonts w:cs="Tahoma"/>
          <w:bCs/>
        </w:rPr>
        <w:t xml:space="preserve">resulta necesario </w:t>
      </w:r>
      <w:r w:rsidR="00605FE6">
        <w:rPr>
          <w:rFonts w:cs="Tahoma"/>
          <w:bCs/>
        </w:rPr>
        <w:t>contextualizar la solicitud de información.</w:t>
      </w:r>
    </w:p>
    <w:p w14:paraId="734B1495" w14:textId="03AE48FB" w:rsidR="00605FE6" w:rsidRDefault="00605FE6" w:rsidP="00DD098B">
      <w:pPr>
        <w:spacing w:after="0" w:line="360" w:lineRule="auto"/>
        <w:contextualSpacing/>
        <w:rPr>
          <w:rFonts w:cs="Tahoma"/>
          <w:bCs/>
        </w:rPr>
      </w:pPr>
      <w:r>
        <w:rPr>
          <w:rFonts w:cs="Tahoma"/>
          <w:bCs/>
        </w:rPr>
        <w:lastRenderedPageBreak/>
        <w:t>En principio, es necesario traer a colación la Convocatoria del torneo “Mundialito Zinacantepec 2022”, el cual establece que se llevaría a cabo, en categorías varonil y femenil, del diecisiete de noviembre al cuatro de diciembre de dos mil veintidós, tal como se muestra a continuación:</w:t>
      </w:r>
    </w:p>
    <w:p w14:paraId="38467FDB" w14:textId="77777777" w:rsidR="00605FE6" w:rsidRDefault="00605FE6" w:rsidP="00DD098B">
      <w:pPr>
        <w:spacing w:after="0" w:line="360" w:lineRule="auto"/>
        <w:contextualSpacing/>
        <w:rPr>
          <w:rFonts w:cs="Tahoma"/>
          <w:bCs/>
        </w:rPr>
      </w:pPr>
    </w:p>
    <w:p w14:paraId="3D88585B" w14:textId="54E08C6E" w:rsidR="00605FE6" w:rsidRDefault="00605FE6" w:rsidP="00605FE6">
      <w:pPr>
        <w:spacing w:after="0" w:line="360" w:lineRule="auto"/>
        <w:contextualSpacing/>
        <w:jc w:val="center"/>
        <w:rPr>
          <w:rFonts w:cs="Tahoma"/>
          <w:bCs/>
        </w:rPr>
      </w:pPr>
      <w:r>
        <w:rPr>
          <w:noProof/>
          <w:lang w:eastAsia="es-MX"/>
        </w:rPr>
        <w:drawing>
          <wp:inline distT="0" distB="0" distL="0" distR="0" wp14:anchorId="45784163" wp14:editId="46AEA4E2">
            <wp:extent cx="3819525" cy="30895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8004" cy="3096398"/>
                    </a:xfrm>
                    <a:prstGeom prst="rect">
                      <a:avLst/>
                    </a:prstGeom>
                  </pic:spPr>
                </pic:pic>
              </a:graphicData>
            </a:graphic>
          </wp:inline>
        </w:drawing>
      </w:r>
    </w:p>
    <w:p w14:paraId="39EEECD9" w14:textId="77777777" w:rsidR="00605FE6" w:rsidRDefault="00605FE6" w:rsidP="00DD098B">
      <w:pPr>
        <w:spacing w:after="0" w:line="360" w:lineRule="auto"/>
        <w:contextualSpacing/>
        <w:rPr>
          <w:rFonts w:cs="Tahoma"/>
          <w:bCs/>
        </w:rPr>
      </w:pPr>
    </w:p>
    <w:p w14:paraId="71DE43F0" w14:textId="30E7BEB3" w:rsidR="00605FE6" w:rsidRDefault="00605FE6" w:rsidP="00DD098B">
      <w:pPr>
        <w:spacing w:after="0" w:line="360" w:lineRule="auto"/>
        <w:contextualSpacing/>
        <w:rPr>
          <w:rFonts w:cs="Tahoma"/>
          <w:bCs/>
        </w:rPr>
      </w:pPr>
      <w:r>
        <w:rPr>
          <w:rFonts w:cs="Tahoma"/>
          <w:bCs/>
        </w:rPr>
        <w:t xml:space="preserve">Además, precisa que los participantes eran equipos con un determinado número de jugadores, para jugar la modalidad denominada “Fútbol 7”, con partidos de </w:t>
      </w:r>
      <w:r w:rsidR="00702E47">
        <w:rPr>
          <w:rFonts w:cs="Tahoma"/>
          <w:bCs/>
        </w:rPr>
        <w:t>lunes</w:t>
      </w:r>
      <w:r>
        <w:rPr>
          <w:rFonts w:cs="Tahoma"/>
          <w:bCs/>
        </w:rPr>
        <w:t xml:space="preserve"> a </w:t>
      </w:r>
      <w:r w:rsidR="00702E47">
        <w:rPr>
          <w:rFonts w:cs="Tahoma"/>
          <w:bCs/>
        </w:rPr>
        <w:t>viernes</w:t>
      </w:r>
      <w:r>
        <w:rPr>
          <w:rFonts w:cs="Tahoma"/>
          <w:bCs/>
        </w:rPr>
        <w:t xml:space="preserve"> de site a nueve P.M., así como, sábados y domingos de cuatro a seis P.M.; por otra parte, precisa que se premiaría a los tres primeros lugares.</w:t>
      </w:r>
    </w:p>
    <w:p w14:paraId="39924638" w14:textId="77777777" w:rsidR="00605FE6" w:rsidRDefault="00605FE6" w:rsidP="00DD098B">
      <w:pPr>
        <w:spacing w:after="0" w:line="360" w:lineRule="auto"/>
        <w:contextualSpacing/>
        <w:rPr>
          <w:rFonts w:cs="Tahoma"/>
          <w:bCs/>
        </w:rPr>
      </w:pPr>
    </w:p>
    <w:p w14:paraId="2D9AF99B" w14:textId="72400B8A" w:rsidR="00F505D5" w:rsidRPr="00DD098B" w:rsidRDefault="00605FE6" w:rsidP="00DD098B">
      <w:pPr>
        <w:spacing w:after="0" w:line="360" w:lineRule="auto"/>
        <w:contextualSpacing/>
      </w:pPr>
      <w:r>
        <w:rPr>
          <w:rFonts w:cs="Tahoma"/>
          <w:bCs/>
        </w:rPr>
        <w:t>Conforme a lo anterior, se logra vislumbrar que la pretensión del Recurrente es obtener el nombre de los participantes en el Torneo denominado “Mundialito Zinacantepec 2022”</w:t>
      </w:r>
      <w:r w:rsidR="00F5522A">
        <w:rPr>
          <w:rFonts w:cs="Tahoma"/>
          <w:bCs/>
        </w:rPr>
        <w:t xml:space="preserve">; establecida dicha circunstancia, es necesario precisar que de las constancias que obran en el expediente se logra vislumbrar que el Sujeto Obligado turno la solicitud de información al Instituto Municipal de la Juventud, por lo que, resulta necesario </w:t>
      </w:r>
      <w:r w:rsidR="00F505D5" w:rsidRPr="00DD098B">
        <w:rPr>
          <w:rFonts w:cs="Tahoma"/>
          <w:bCs/>
        </w:rPr>
        <w:t xml:space="preserve">hacer referencia al </w:t>
      </w:r>
      <w:r w:rsidR="00F505D5" w:rsidRPr="00DD098B">
        <w:rPr>
          <w:rFonts w:cs="Tahoma"/>
          <w:bCs/>
        </w:rPr>
        <w:lastRenderedPageBreak/>
        <w:t>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2D667F55" w14:textId="77777777" w:rsidR="00F505D5" w:rsidRPr="00DD098B" w:rsidRDefault="00F505D5" w:rsidP="00DD098B">
      <w:pPr>
        <w:spacing w:after="0" w:line="360" w:lineRule="auto"/>
        <w:contextualSpacing/>
        <w:rPr>
          <w:rFonts w:cs="Tahoma"/>
          <w:bCs/>
        </w:rPr>
      </w:pPr>
    </w:p>
    <w:p w14:paraId="502FB96B" w14:textId="77777777" w:rsidR="00F505D5" w:rsidRPr="00DD098B" w:rsidRDefault="00F505D5" w:rsidP="00DD098B">
      <w:pPr>
        <w:numPr>
          <w:ilvl w:val="0"/>
          <w:numId w:val="4"/>
        </w:numPr>
        <w:spacing w:after="0" w:line="360" w:lineRule="auto"/>
        <w:contextualSpacing/>
        <w:rPr>
          <w:rFonts w:eastAsia="Calibri" w:cs="Tahoma"/>
          <w:bCs/>
          <w:color w:val="000000"/>
          <w:lang w:val="es-ES"/>
        </w:rPr>
      </w:pPr>
      <w:r w:rsidRPr="00DD098B">
        <w:rPr>
          <w:rFonts w:eastAsia="Calibri" w:cs="Tahoma"/>
          <w:bCs/>
          <w:color w:val="000000"/>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1E91A08" w14:textId="77777777" w:rsidR="00F505D5" w:rsidRPr="00DD098B" w:rsidRDefault="00F505D5" w:rsidP="00DD098B">
      <w:pPr>
        <w:spacing w:after="0" w:line="360" w:lineRule="auto"/>
        <w:ind w:left="360"/>
        <w:contextualSpacing/>
        <w:rPr>
          <w:rFonts w:eastAsia="Calibri" w:cs="Tahoma"/>
          <w:bCs/>
          <w:color w:val="000000"/>
          <w:lang w:val="es-ES"/>
        </w:rPr>
      </w:pPr>
    </w:p>
    <w:p w14:paraId="76988EC7" w14:textId="77777777" w:rsidR="00F505D5" w:rsidRPr="00DD098B" w:rsidRDefault="00F505D5" w:rsidP="00DD098B">
      <w:pPr>
        <w:numPr>
          <w:ilvl w:val="0"/>
          <w:numId w:val="4"/>
        </w:numPr>
        <w:spacing w:after="0" w:line="360" w:lineRule="auto"/>
        <w:contextualSpacing/>
        <w:rPr>
          <w:rFonts w:eastAsia="Calibri" w:cs="Tahoma"/>
          <w:bCs/>
          <w:color w:val="000000"/>
          <w:lang w:val="es-ES"/>
        </w:rPr>
      </w:pPr>
      <w:r w:rsidRPr="00DD098B">
        <w:rPr>
          <w:rFonts w:eastAsia="Calibri" w:cs="Tahoma"/>
          <w:bCs/>
          <w:color w:val="000000"/>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55AA5B62" w14:textId="77777777" w:rsidR="00F505D5" w:rsidRPr="00DD098B" w:rsidRDefault="00F505D5" w:rsidP="00DD098B">
      <w:pPr>
        <w:spacing w:after="0" w:line="360" w:lineRule="auto"/>
        <w:contextualSpacing/>
        <w:rPr>
          <w:rFonts w:cs="Tahoma"/>
          <w:bCs/>
        </w:rPr>
      </w:pPr>
    </w:p>
    <w:p w14:paraId="03809872" w14:textId="19C662A0" w:rsidR="00F505D5" w:rsidRPr="00DD098B" w:rsidRDefault="00F505D5" w:rsidP="00DD098B">
      <w:pPr>
        <w:spacing w:after="0" w:line="360" w:lineRule="auto"/>
        <w:ind w:right="-28"/>
        <w:contextualSpacing/>
        <w:rPr>
          <w:rFonts w:eastAsia="Calibri" w:cs="Tahoma"/>
          <w:bCs/>
          <w:color w:val="auto"/>
        </w:rPr>
      </w:pPr>
      <w:r w:rsidRPr="00DD098B">
        <w:rPr>
          <w:rFonts w:eastAsia="Calibri" w:cs="Tahoma"/>
          <w:bCs/>
          <w:color w:val="000000"/>
        </w:rPr>
        <w:t xml:space="preserve">Así, a efecto de determinar si el Sujeto Obligado cumplió con el procedimiento de búsqueda, resulta necesario </w:t>
      </w:r>
      <w:r w:rsidR="00F5522A">
        <w:rPr>
          <w:rFonts w:eastAsia="Calibri" w:cs="Tahoma"/>
          <w:bCs/>
          <w:color w:val="000000"/>
        </w:rPr>
        <w:t>traer a colación la Convocatoria del Torneo “Mundialito Zinacantepec 2022”, de la cual se advierte que fue emitida por el Instituto Municipal de la Juventud, además que dicho instituto fue el que llevo a cabo todas las actividades relacionadas, inclusive la entrega de los premios y medallas.</w:t>
      </w:r>
    </w:p>
    <w:p w14:paraId="7764F8B8" w14:textId="77777777" w:rsidR="00F505D5" w:rsidRPr="00DD098B" w:rsidRDefault="00F505D5" w:rsidP="00DD098B">
      <w:pPr>
        <w:spacing w:after="0" w:line="360" w:lineRule="auto"/>
        <w:ind w:right="-28"/>
        <w:contextualSpacing/>
        <w:rPr>
          <w:rFonts w:eastAsia="Calibri" w:cs="Tahoma"/>
          <w:bCs/>
          <w:color w:val="auto"/>
        </w:rPr>
      </w:pPr>
    </w:p>
    <w:p w14:paraId="77A6AA98" w14:textId="0E12A6B2" w:rsidR="00F505D5" w:rsidRPr="00DD098B" w:rsidRDefault="00F505D5" w:rsidP="00DD098B">
      <w:pPr>
        <w:spacing w:after="0" w:line="360" w:lineRule="auto"/>
        <w:ind w:right="-28"/>
        <w:contextualSpacing/>
        <w:rPr>
          <w:rFonts w:eastAsia="Calibri" w:cs="Tahoma"/>
          <w:bCs/>
          <w:iCs/>
          <w:color w:val="auto"/>
        </w:rPr>
      </w:pPr>
      <w:r w:rsidRPr="00DD098B">
        <w:rPr>
          <w:rFonts w:eastAsia="Calibri" w:cs="Tahoma"/>
          <w:bCs/>
          <w:iCs/>
          <w:color w:val="auto"/>
        </w:rPr>
        <w:t xml:space="preserve">Así se logra vislumbrar que </w:t>
      </w:r>
      <w:r w:rsidR="00666493" w:rsidRPr="00DD098B">
        <w:rPr>
          <w:rFonts w:eastAsia="Calibri" w:cs="Tahoma"/>
          <w:bCs/>
          <w:iCs/>
          <w:color w:val="auto"/>
        </w:rPr>
        <w:t xml:space="preserve">el Sujeto Obligado </w:t>
      </w:r>
      <w:r w:rsidRPr="00DD098B">
        <w:rPr>
          <w:rFonts w:eastAsia="Calibri" w:cs="Tahoma"/>
          <w:bCs/>
          <w:iCs/>
          <w:color w:val="auto"/>
        </w:rPr>
        <w:t>cumplió con el procedimiento de búsqueda establecido en el artículo 162 de la Ley de Transparencia y Acceso a la Información Pública del Estado de México y Municipios</w:t>
      </w:r>
      <w:r w:rsidR="00F5522A">
        <w:rPr>
          <w:rFonts w:eastAsia="Calibri" w:cs="Tahoma"/>
          <w:bCs/>
          <w:iCs/>
          <w:color w:val="auto"/>
        </w:rPr>
        <w:t>, al gestionar el requerimiento al área que llevo a cabo el torneo solicitado.</w:t>
      </w:r>
    </w:p>
    <w:p w14:paraId="4FEB7DE2" w14:textId="77777777" w:rsidR="00F505D5" w:rsidRPr="00DD098B" w:rsidRDefault="00F505D5" w:rsidP="00DD098B">
      <w:pPr>
        <w:spacing w:after="0" w:line="360" w:lineRule="auto"/>
        <w:contextualSpacing/>
      </w:pPr>
    </w:p>
    <w:p w14:paraId="2D285E52" w14:textId="17AD084D" w:rsidR="00F5522A" w:rsidRDefault="00F505D5" w:rsidP="00DD098B">
      <w:pPr>
        <w:spacing w:after="0" w:line="360" w:lineRule="auto"/>
        <w:contextualSpacing/>
      </w:pPr>
      <w:r w:rsidRPr="00DD098B">
        <w:lastRenderedPageBreak/>
        <w:t xml:space="preserve">Ahora bien, </w:t>
      </w:r>
      <w:r w:rsidR="00F5522A">
        <w:t xml:space="preserve">el </w:t>
      </w:r>
      <w:r w:rsidR="00F5522A">
        <w:rPr>
          <w:rFonts w:eastAsia="Calibri" w:cs="Tahoma"/>
          <w:bCs/>
          <w:color w:val="000000"/>
        </w:rPr>
        <w:t>Instituto Municipal de la Juventud</w:t>
      </w:r>
      <w:r w:rsidR="00C960D2" w:rsidRPr="00DD098B">
        <w:t xml:space="preserve">, tanto en informe justificado, como en el desahogo del Requerimiento de Información Adicional, </w:t>
      </w:r>
      <w:r w:rsidR="00F5522A">
        <w:t>proporcionó una relación con el nombre de los equipos participantes en el torneo, conformado por catorce equipos varoniles y dos femeniles, tal como se muestra a continuación:</w:t>
      </w:r>
    </w:p>
    <w:p w14:paraId="10F569A8" w14:textId="77777777" w:rsidR="00F5522A" w:rsidRDefault="00F5522A" w:rsidP="00DD098B">
      <w:pPr>
        <w:spacing w:after="0" w:line="360" w:lineRule="auto"/>
        <w:contextualSpacing/>
      </w:pPr>
    </w:p>
    <w:p w14:paraId="5C911295" w14:textId="7AF2E1F5" w:rsidR="00666493" w:rsidRPr="00DD098B" w:rsidRDefault="00507F98" w:rsidP="00DD098B">
      <w:pPr>
        <w:spacing w:after="0" w:line="360" w:lineRule="auto"/>
        <w:contextualSpacing/>
        <w:jc w:val="center"/>
      </w:pPr>
      <w:r w:rsidRPr="00DD098B">
        <w:rPr>
          <w:noProof/>
          <w:lang w:eastAsia="es-MX"/>
        </w:rPr>
        <w:drawing>
          <wp:inline distT="0" distB="0" distL="0" distR="0" wp14:anchorId="7F356439" wp14:editId="1F62BADF">
            <wp:extent cx="3705225" cy="223846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40" t="37115" r="28267" b="14967"/>
                    <a:stretch/>
                  </pic:blipFill>
                  <pic:spPr bwMode="auto">
                    <a:xfrm>
                      <a:off x="0" y="0"/>
                      <a:ext cx="3776698" cy="2281641"/>
                    </a:xfrm>
                    <a:prstGeom prst="rect">
                      <a:avLst/>
                    </a:prstGeom>
                    <a:ln>
                      <a:noFill/>
                    </a:ln>
                    <a:extLst>
                      <a:ext uri="{53640926-AAD7-44D8-BBD7-CCE9431645EC}">
                        <a14:shadowObscured xmlns:a14="http://schemas.microsoft.com/office/drawing/2010/main"/>
                      </a:ext>
                    </a:extLst>
                  </pic:spPr>
                </pic:pic>
              </a:graphicData>
            </a:graphic>
          </wp:inline>
        </w:drawing>
      </w:r>
    </w:p>
    <w:p w14:paraId="52D36C7D" w14:textId="77777777" w:rsidR="00507F98" w:rsidRPr="00DD098B" w:rsidRDefault="00507F98" w:rsidP="00DD098B">
      <w:pPr>
        <w:spacing w:after="0" w:line="360" w:lineRule="auto"/>
        <w:contextualSpacing/>
        <w:jc w:val="center"/>
      </w:pPr>
    </w:p>
    <w:p w14:paraId="184919E6" w14:textId="5DE54B80" w:rsidR="00F505D5" w:rsidRPr="00DD098B" w:rsidRDefault="00F5522A" w:rsidP="00DD098B">
      <w:pPr>
        <w:spacing w:after="0" w:line="360" w:lineRule="auto"/>
        <w:contextualSpacing/>
        <w:rPr>
          <w:rFonts w:eastAsia="Calibri" w:cs="Tahoma"/>
        </w:rPr>
      </w:pPr>
      <w:r>
        <w:t>Además</w:t>
      </w:r>
      <w:r w:rsidR="00C960D2" w:rsidRPr="00DD098B">
        <w:t xml:space="preserve">, </w:t>
      </w:r>
      <w:r>
        <w:t>dicho Instituto mediante el desahogó del requerimiento de información adicional, precisó que solamente contaba con el nombre de las cuadrillas; es decir, que únicamente contaba con la denominación de los equipos y no con el nombre de cada uno de sus miembros; a</w:t>
      </w:r>
      <w:r w:rsidR="00F505D5" w:rsidRPr="00DD098B">
        <w:rPr>
          <w:rFonts w:eastAsia="Calibri" w:cs="Tahoma"/>
          <w:bCs/>
        </w:rPr>
        <w:t>l respecto, es señalar que este Instituto, no tiene atribuciones para pronunciarse sobre la veracidad de la información. A</w:t>
      </w:r>
      <w:r w:rsidR="00F505D5" w:rsidRPr="00DD098B">
        <w:rPr>
          <w:rFonts w:eastAsia="Calibri" w:cs="Tahoma"/>
          <w:bCs/>
          <w:iCs/>
        </w:rPr>
        <w:t xml:space="preserve">poya lo anterior, el </w:t>
      </w:r>
      <w:r w:rsidR="00F505D5" w:rsidRPr="00DD098B">
        <w:rPr>
          <w:rFonts w:eastAsia="Calibri" w:cs="Tahoma"/>
          <w:bCs/>
          <w:lang w:val="es-ES"/>
        </w:rPr>
        <w:t xml:space="preserve">Criterio de Interpretación, de la Primera Época, con número de registro </w:t>
      </w:r>
      <w:r w:rsidR="00F505D5" w:rsidRPr="00DD098B">
        <w:rPr>
          <w:rFonts w:eastAsia="Calibri" w:cs="Tahoma"/>
          <w:bCs/>
        </w:rPr>
        <w:t>SO/031/2010,</w:t>
      </w:r>
      <w:r w:rsidR="00F505D5" w:rsidRPr="00DD098B">
        <w:rPr>
          <w:rFonts w:eastAsia="Calibri" w:cs="Tahoma"/>
          <w:bCs/>
          <w:iCs/>
        </w:rPr>
        <w:t xml:space="preserve"> emitido por el Pleno del entonces Instituto Federal de Acceso a la Información y Protección de Datos, que a continuación se cita:</w:t>
      </w:r>
    </w:p>
    <w:p w14:paraId="1C1D3787" w14:textId="77777777" w:rsidR="00702E47" w:rsidRDefault="00702E47" w:rsidP="00DD098B">
      <w:pPr>
        <w:spacing w:after="0" w:line="360" w:lineRule="auto"/>
        <w:ind w:left="567" w:right="567"/>
        <w:contextualSpacing/>
        <w:rPr>
          <w:rFonts w:eastAsia="Calibri" w:cs="Tahoma"/>
          <w:b/>
          <w:bCs/>
          <w:i/>
          <w:sz w:val="20"/>
          <w:szCs w:val="20"/>
        </w:rPr>
      </w:pPr>
    </w:p>
    <w:p w14:paraId="2F857560" w14:textId="458BB7F6" w:rsidR="00F505D5" w:rsidRPr="00DD098B" w:rsidRDefault="00F505D5" w:rsidP="00DD098B">
      <w:pPr>
        <w:spacing w:after="0" w:line="360" w:lineRule="auto"/>
        <w:ind w:left="567" w:right="567"/>
        <w:contextualSpacing/>
        <w:rPr>
          <w:rFonts w:eastAsia="Calibri" w:cs="Tahoma"/>
          <w:bCs/>
          <w:i/>
          <w:sz w:val="20"/>
          <w:szCs w:val="20"/>
        </w:rPr>
      </w:pPr>
      <w:r w:rsidRPr="00DD098B">
        <w:rPr>
          <w:rFonts w:eastAsia="Calibri" w:cs="Tahoma"/>
          <w:b/>
          <w:bCs/>
          <w:i/>
          <w:sz w:val="20"/>
          <w:szCs w:val="20"/>
        </w:rPr>
        <w:t xml:space="preserve">“El Instituto Federal de Acceso a la Información y Protección de Datos </w:t>
      </w:r>
      <w:r w:rsidRPr="00DD098B">
        <w:rPr>
          <w:rFonts w:eastAsia="Calibri" w:cs="Tahoma"/>
          <w:b/>
          <w:bCs/>
          <w:i/>
          <w:sz w:val="20"/>
          <w:szCs w:val="20"/>
          <w:u w:val="single"/>
        </w:rPr>
        <w:t xml:space="preserve">no cuenta con facultades para pronunciarse respecto de la veracidad de los documentos proporcionados por los sujetos obligados. </w:t>
      </w:r>
      <w:r w:rsidRPr="00DD098B">
        <w:rPr>
          <w:rFonts w:eastAsia="Calibri" w:cs="Tahoma"/>
          <w:bCs/>
          <w:i/>
          <w:sz w:val="20"/>
          <w:szCs w:val="20"/>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w:t>
      </w:r>
      <w:r w:rsidRPr="00DD098B">
        <w:rPr>
          <w:rFonts w:eastAsia="Calibri" w:cs="Tahoma"/>
          <w:bCs/>
          <w:i/>
          <w:sz w:val="20"/>
          <w:szCs w:val="20"/>
        </w:rPr>
        <w:lastRenderedPageBreak/>
        <w:t>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DF4B540" w14:textId="77777777" w:rsidR="00F505D5" w:rsidRPr="00DD098B" w:rsidRDefault="00F505D5" w:rsidP="00DD098B">
      <w:pPr>
        <w:spacing w:after="0" w:line="360" w:lineRule="auto"/>
        <w:contextualSpacing/>
        <w:rPr>
          <w:rFonts w:eastAsia="Times New Roman" w:cs="Times New Roman"/>
          <w:color w:val="auto"/>
          <w:lang w:val="es-ES" w:eastAsia="es-ES"/>
        </w:rPr>
      </w:pPr>
    </w:p>
    <w:p w14:paraId="0A7077B1" w14:textId="77777777" w:rsidR="00702E47" w:rsidRDefault="00F505D5" w:rsidP="00702E47">
      <w:pPr>
        <w:spacing w:after="0" w:line="360" w:lineRule="auto"/>
        <w:rPr>
          <w:rFonts w:eastAsia="Calibri" w:cs="Tahoma"/>
          <w:szCs w:val="24"/>
          <w:lang w:val="es-ES"/>
        </w:rPr>
      </w:pPr>
      <w:r w:rsidRPr="00DD098B">
        <w:rPr>
          <w:iCs/>
          <w:lang w:val="es-ES"/>
        </w:rPr>
        <w:t xml:space="preserve">Conforme a lo expuesto, </w:t>
      </w:r>
      <w:r w:rsidR="00F5522A">
        <w:rPr>
          <w:iCs/>
          <w:lang w:val="es-ES"/>
        </w:rPr>
        <w:t>se logra advertir que el Sujeto Obligado proporcionó el documento que obraba en sus archivos y que da cuenta de lo solicitado, al contener la relación de los equipos participantes en el Torneo denominado “Mundialito Zinacantepec 2022”</w:t>
      </w:r>
      <w:r w:rsidR="00702E47">
        <w:rPr>
          <w:iCs/>
          <w:lang w:val="es-ES"/>
        </w:rPr>
        <w:t xml:space="preserve">; </w:t>
      </w:r>
      <w:r w:rsidR="00702E47" w:rsidRPr="00702E47">
        <w:rPr>
          <w:rFonts w:eastAsia="Times New Roman" w:cs="Tahoma"/>
          <w:iCs/>
          <w:color w:val="auto"/>
          <w:lang w:val="es-ES" w:eastAsia="es-ES"/>
        </w:rPr>
        <w:t>d</w:t>
      </w:r>
      <w:r w:rsidR="00702E47" w:rsidRPr="00702E47">
        <w:rPr>
          <w:rFonts w:eastAsia="Calibri" w:cs="Tahoma"/>
          <w:szCs w:val="24"/>
          <w:lang w:val="es-ES"/>
        </w:rPr>
        <w:t>icha determinación toma sustento en el artículo 12 de la Ley de Transparencia y Acceso a la Información Pública del Estado de México y Municipios, el cual señala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5420E5B" w14:textId="77777777" w:rsidR="00702E47" w:rsidRPr="00702E47" w:rsidRDefault="00702E47" w:rsidP="00702E47">
      <w:pPr>
        <w:spacing w:after="0" w:line="360" w:lineRule="auto"/>
        <w:rPr>
          <w:rFonts w:eastAsia="Times New Roman" w:cs="Tahoma"/>
          <w:iCs/>
          <w:color w:val="auto"/>
          <w:lang w:val="es-ES" w:eastAsia="es-ES"/>
        </w:rPr>
      </w:pPr>
    </w:p>
    <w:p w14:paraId="17AC70CF" w14:textId="77777777" w:rsidR="00702E47" w:rsidRPr="00702E47" w:rsidRDefault="00702E47" w:rsidP="00702E47">
      <w:pPr>
        <w:spacing w:after="0" w:line="360" w:lineRule="auto"/>
        <w:rPr>
          <w:rFonts w:eastAsia="Calibri" w:cs="Tahoma"/>
          <w:szCs w:val="24"/>
          <w:lang w:val="es-ES"/>
        </w:rPr>
      </w:pPr>
      <w:r w:rsidRPr="00702E47">
        <w:rPr>
          <w:rFonts w:eastAsia="Calibri" w:cs="Tahoma"/>
          <w:szCs w:val="24"/>
          <w:lang w:val="es-ES"/>
        </w:rP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4D706ED2" w14:textId="77777777" w:rsidR="00702E47" w:rsidRPr="00702E47" w:rsidRDefault="00702E47" w:rsidP="00702E47">
      <w:pPr>
        <w:spacing w:after="0" w:line="360" w:lineRule="auto"/>
        <w:rPr>
          <w:rFonts w:eastAsia="Times New Roman" w:cs="Tahoma"/>
          <w:iCs/>
          <w:color w:val="auto"/>
          <w:lang w:val="es-ES" w:eastAsia="es-ES"/>
        </w:rPr>
      </w:pPr>
    </w:p>
    <w:p w14:paraId="6D583BEA" w14:textId="77777777" w:rsidR="00702E47" w:rsidRPr="00702E47" w:rsidRDefault="00702E47" w:rsidP="00702E47">
      <w:pPr>
        <w:spacing w:after="0" w:line="360" w:lineRule="auto"/>
        <w:rPr>
          <w:rFonts w:eastAsia="Times New Roman" w:cs="Tahoma"/>
          <w:color w:val="auto"/>
          <w:lang w:val="es-ES" w:eastAsia="es-MX"/>
        </w:rPr>
      </w:pPr>
      <w:r w:rsidRPr="00702E47">
        <w:rPr>
          <w:rFonts w:eastAsia="Times New Roman" w:cs="Tahoma"/>
          <w:color w:val="auto"/>
          <w:lang w:val="es-ES" w:eastAsia="es-MX"/>
        </w:rPr>
        <w:t xml:space="preserve">De tales circunstancias, se concluye que los sujetos obligados únicamente se encuentran constreñidos a proporcionar los documentos que den cuenta de la información solicitada, </w:t>
      </w:r>
      <w:r w:rsidRPr="00702E47">
        <w:rPr>
          <w:rFonts w:eastAsia="Times New Roman" w:cs="Tahoma"/>
          <w:color w:val="auto"/>
          <w:lang w:val="es-ES" w:eastAsia="es-MX"/>
        </w:rPr>
        <w:lastRenderedPageBreak/>
        <w:t>como obren en sus archivos, sin tener que elaborarlos a las necesidades del Recurrente; lo cual, aconteció, pues proporcionó el documento con la información solicitada.</w:t>
      </w:r>
    </w:p>
    <w:p w14:paraId="6CFF60BD" w14:textId="77777777" w:rsidR="00702E47" w:rsidRPr="00702E47" w:rsidRDefault="00702E47" w:rsidP="00702E47">
      <w:pPr>
        <w:spacing w:after="0" w:line="360" w:lineRule="auto"/>
        <w:rPr>
          <w:rFonts w:eastAsia="Times New Roman" w:cs="Tahoma"/>
          <w:bCs/>
          <w:iCs/>
          <w:color w:val="auto"/>
          <w:lang w:val="es-ES" w:eastAsia="es-ES"/>
        </w:rPr>
      </w:pPr>
    </w:p>
    <w:p w14:paraId="1C2F1FAF" w14:textId="54538551" w:rsidR="00702E47" w:rsidRPr="00702E47" w:rsidRDefault="00702E47" w:rsidP="00702E47">
      <w:pPr>
        <w:spacing w:after="0" w:line="360" w:lineRule="auto"/>
        <w:rPr>
          <w:rFonts w:eastAsia="Times New Roman" w:cs="Tahoma"/>
          <w:b/>
          <w:bCs/>
          <w:color w:val="auto"/>
          <w:lang w:eastAsia="es-ES"/>
        </w:rPr>
      </w:pPr>
      <w:r w:rsidRPr="00702E47">
        <w:rPr>
          <w:rFonts w:eastAsia="Times New Roman" w:cs="Tahoma"/>
          <w:bCs/>
          <w:color w:val="auto"/>
          <w:lang w:eastAsia="es-ES"/>
        </w:rPr>
        <w:t xml:space="preserve">Por todo lo expuesto y toda vez, que, durante la sustanciación del presente Medio de Impugnación, el Ente Recurrido, emitió respuesta, por medio del Informe Justificado y proporcionó la información </w:t>
      </w:r>
      <w:r>
        <w:rPr>
          <w:rFonts w:eastAsia="Times New Roman" w:cs="Tahoma"/>
          <w:bCs/>
          <w:color w:val="auto"/>
          <w:lang w:eastAsia="es-ES"/>
        </w:rPr>
        <w:t>que da cuenta de lo peticionado</w:t>
      </w:r>
      <w:r w:rsidRPr="00702E47">
        <w:rPr>
          <w:rFonts w:eastAsia="Times New Roman" w:cs="Tahoma"/>
          <w:bCs/>
          <w:color w:val="auto"/>
          <w:lang w:eastAsia="es-ES"/>
        </w:rPr>
        <w:t xml:space="preserve">, en términos del artículo 12 y 160, de la Ley de la materia, </w:t>
      </w:r>
      <w:r w:rsidRPr="00702E47">
        <w:rPr>
          <w:rFonts w:eastAsia="Times New Roman" w:cs="Tahoma"/>
          <w:b/>
          <w:bCs/>
          <w:color w:val="auto"/>
          <w:lang w:eastAsia="es-ES"/>
        </w:rPr>
        <w:t>se considera que la impugnación que se dirime ha quedado sin materia.</w:t>
      </w:r>
    </w:p>
    <w:p w14:paraId="788FA152" w14:textId="56DF3B23" w:rsidR="0064365C" w:rsidRDefault="0064365C" w:rsidP="00702E47">
      <w:pPr>
        <w:spacing w:after="0" w:line="360" w:lineRule="auto"/>
        <w:contextualSpacing/>
        <w:rPr>
          <w:iCs/>
          <w:lang w:val="es-ES"/>
        </w:rPr>
      </w:pPr>
    </w:p>
    <w:p w14:paraId="7D315C76" w14:textId="4A13DEE9" w:rsidR="00F505D5" w:rsidRPr="00DD098B" w:rsidRDefault="00DD098B" w:rsidP="00DD098B">
      <w:pPr>
        <w:spacing w:after="0" w:line="360" w:lineRule="auto"/>
        <w:contextualSpacing/>
        <w:rPr>
          <w:rFonts w:eastAsia="Calibri" w:cs="Tahoma"/>
          <w:b/>
          <w:color w:val="000000"/>
        </w:rPr>
      </w:pPr>
      <w:r w:rsidRPr="00DD098B">
        <w:rPr>
          <w:rFonts w:eastAsia="Calibri" w:cs="Tahoma"/>
          <w:b/>
          <w:color w:val="000000"/>
        </w:rPr>
        <w:t>CUARTO</w:t>
      </w:r>
      <w:r w:rsidR="00F505D5" w:rsidRPr="00DD098B">
        <w:rPr>
          <w:rFonts w:eastAsia="Calibri" w:cs="Tahoma"/>
          <w:b/>
          <w:color w:val="000000"/>
        </w:rPr>
        <w:t xml:space="preserve">. Decisión. </w:t>
      </w:r>
    </w:p>
    <w:p w14:paraId="69B526D5" w14:textId="77777777" w:rsidR="00F505D5" w:rsidRPr="00DD098B" w:rsidRDefault="00F505D5" w:rsidP="00DD098B">
      <w:pPr>
        <w:spacing w:after="0" w:line="360" w:lineRule="auto"/>
        <w:contextualSpacing/>
        <w:rPr>
          <w:rFonts w:eastAsia="Times New Roman" w:cs="Tahoma"/>
          <w:color w:val="auto"/>
          <w:lang w:eastAsia="es-ES"/>
        </w:rPr>
      </w:pPr>
    </w:p>
    <w:p w14:paraId="659F9EE8" w14:textId="77777777" w:rsidR="00F505D5" w:rsidRPr="00DD098B" w:rsidRDefault="00F505D5" w:rsidP="00DD098B">
      <w:pPr>
        <w:spacing w:after="0" w:line="360" w:lineRule="auto"/>
        <w:contextualSpacing/>
        <w:rPr>
          <w:rFonts w:eastAsia="Times New Roman" w:cs="Tahoma"/>
          <w:bCs/>
          <w:iCs/>
          <w:color w:val="auto"/>
          <w:lang w:eastAsia="es-ES"/>
        </w:rPr>
      </w:pPr>
      <w:r w:rsidRPr="00DD098B">
        <w:rPr>
          <w:rFonts w:eastAsia="Times New Roman" w:cs="Tahoma"/>
          <w:bCs/>
          <w:iCs/>
          <w:color w:val="auto"/>
          <w:lang w:eastAsia="es-ES"/>
        </w:rPr>
        <w:t xml:space="preserve">Con fundamento en lo dispuesto en el artículo 186, fracción I, de la Ley de Transparencia y Acceso a la Información Pública del Estado de México y Municipios, se considera procedente </w:t>
      </w:r>
      <w:r w:rsidRPr="00DD098B">
        <w:rPr>
          <w:rFonts w:eastAsia="Times New Roman" w:cs="Tahoma"/>
          <w:b/>
          <w:bCs/>
          <w:iCs/>
          <w:color w:val="auto"/>
          <w:lang w:eastAsia="es-ES"/>
        </w:rPr>
        <w:t xml:space="preserve">SOBRESEER </w:t>
      </w:r>
      <w:r w:rsidRPr="00DD098B">
        <w:rPr>
          <w:rFonts w:eastAsia="Times New Roman" w:cs="Tahoma"/>
          <w:bCs/>
          <w:iCs/>
          <w:color w:val="auto"/>
          <w:lang w:eastAsia="es-ES"/>
        </w:rPr>
        <w:t>los Recursos de Revisión, en virtud de que se actualiza la hipótesis normativa prevista en la fracción V, del artículo 192, del citado ordenamiento legal.</w:t>
      </w:r>
    </w:p>
    <w:p w14:paraId="37A008D7" w14:textId="77777777" w:rsidR="00F505D5" w:rsidRPr="00DD098B" w:rsidRDefault="00F505D5" w:rsidP="00DD098B">
      <w:pPr>
        <w:spacing w:after="0" w:line="360" w:lineRule="auto"/>
        <w:contextualSpacing/>
        <w:rPr>
          <w:rFonts w:eastAsia="Times New Roman" w:cs="Tahoma"/>
          <w:b/>
          <w:bCs/>
          <w:iCs/>
          <w:color w:val="auto"/>
          <w:lang w:eastAsia="es-ES"/>
        </w:rPr>
      </w:pPr>
    </w:p>
    <w:p w14:paraId="118002CA" w14:textId="77777777" w:rsidR="00F505D5" w:rsidRPr="00DD098B" w:rsidRDefault="00F505D5" w:rsidP="00DD098B">
      <w:pPr>
        <w:autoSpaceDE w:val="0"/>
        <w:autoSpaceDN w:val="0"/>
        <w:adjustRightInd w:val="0"/>
        <w:spacing w:after="0" w:line="360" w:lineRule="auto"/>
        <w:contextualSpacing/>
        <w:rPr>
          <w:rFonts w:eastAsia="Calibri" w:cs="Tahoma"/>
          <w:b/>
          <w:bCs/>
          <w:iCs/>
          <w:color w:val="auto"/>
          <w:lang w:val="es-ES"/>
        </w:rPr>
      </w:pPr>
      <w:r w:rsidRPr="00DD098B">
        <w:rPr>
          <w:rFonts w:eastAsia="Calibri" w:cs="Tahoma"/>
          <w:b/>
          <w:bCs/>
          <w:iCs/>
          <w:color w:val="auto"/>
          <w:lang w:val="es-ES"/>
        </w:rPr>
        <w:t>Términos de la Resolución para conocimiento del Particular.</w:t>
      </w:r>
    </w:p>
    <w:p w14:paraId="76F7BB53" w14:textId="77777777" w:rsidR="00F505D5" w:rsidRPr="00DD098B" w:rsidRDefault="00F505D5" w:rsidP="00DD098B">
      <w:pPr>
        <w:autoSpaceDE w:val="0"/>
        <w:autoSpaceDN w:val="0"/>
        <w:adjustRightInd w:val="0"/>
        <w:spacing w:after="0" w:line="360" w:lineRule="auto"/>
        <w:contextualSpacing/>
        <w:rPr>
          <w:rFonts w:eastAsia="Calibri" w:cs="Tahoma"/>
          <w:b/>
          <w:bCs/>
          <w:iCs/>
          <w:color w:val="auto"/>
          <w:lang w:val="es-ES"/>
        </w:rPr>
      </w:pPr>
    </w:p>
    <w:p w14:paraId="2054A95F" w14:textId="77777777" w:rsidR="00702E47" w:rsidRDefault="00F505D5" w:rsidP="00702E47">
      <w:pPr>
        <w:spacing w:after="0" w:line="360" w:lineRule="auto"/>
        <w:ind w:right="-28"/>
        <w:contextualSpacing/>
        <w:rPr>
          <w:lang w:eastAsia="es-MX"/>
        </w:rPr>
      </w:pPr>
      <w:r w:rsidRPr="00DD098B">
        <w:rPr>
          <w:lang w:eastAsia="es-MX"/>
        </w:rPr>
        <w:t>Se le hace del conocimiento al Particular, que, en el presente caso, se le concedía la razón, pues si bien el Sujeto Obligado no dio respuesta en tiempo, lo cierto es que, durante la sustanciación del Medio de Impugnación</w:t>
      </w:r>
      <w:r w:rsidR="0064365C" w:rsidRPr="00DD098B">
        <w:rPr>
          <w:lang w:eastAsia="es-MX"/>
        </w:rPr>
        <w:t xml:space="preserve"> realizó la entrega del listado de los equipos participantes en el torneo de futbol mundialito precisado</w:t>
      </w:r>
      <w:r w:rsidR="00702E47">
        <w:rPr>
          <w:lang w:eastAsia="es-MX"/>
        </w:rPr>
        <w:t>, tal y como obraba en sus archivos.</w:t>
      </w:r>
    </w:p>
    <w:p w14:paraId="628D6A17" w14:textId="77777777" w:rsidR="00702E47" w:rsidRDefault="00702E47" w:rsidP="00702E47">
      <w:pPr>
        <w:spacing w:after="0" w:line="360" w:lineRule="auto"/>
        <w:ind w:right="-28"/>
        <w:contextualSpacing/>
        <w:rPr>
          <w:rFonts w:eastAsia="Calibri" w:cs="Tahoma"/>
          <w:bCs/>
          <w:iCs/>
          <w:color w:val="auto"/>
        </w:rPr>
      </w:pPr>
    </w:p>
    <w:p w14:paraId="18DA44FC" w14:textId="72452AF2" w:rsidR="00F505D5" w:rsidRPr="00DD098B" w:rsidRDefault="00F505D5" w:rsidP="00702E47">
      <w:pPr>
        <w:spacing w:after="0" w:line="360" w:lineRule="auto"/>
        <w:ind w:right="-28"/>
        <w:contextualSpacing/>
        <w:rPr>
          <w:rFonts w:eastAsia="Calibri" w:cs="Tahoma"/>
          <w:bCs/>
          <w:iCs/>
          <w:color w:val="auto"/>
        </w:rPr>
      </w:pPr>
      <w:r w:rsidRPr="00DD098B">
        <w:rPr>
          <w:rFonts w:eastAsia="Calibri" w:cs="Tahoma"/>
          <w:bCs/>
          <w:iCs/>
          <w:color w:val="auto"/>
        </w:rPr>
        <w:t>Finalmente, la labor del Instituto, es apoyar a la población a acceder a la información pública y garantizar la protección de sus datos personales.</w:t>
      </w:r>
    </w:p>
    <w:p w14:paraId="08952555" w14:textId="77777777" w:rsidR="00F505D5" w:rsidRPr="00DD098B" w:rsidRDefault="00F505D5" w:rsidP="00DD098B">
      <w:pPr>
        <w:spacing w:after="0" w:line="360" w:lineRule="auto"/>
        <w:contextualSpacing/>
        <w:rPr>
          <w:rFonts w:eastAsia="Times New Roman" w:cs="Tahoma"/>
          <w:bCs/>
          <w:color w:val="auto"/>
          <w:lang w:eastAsia="es-ES"/>
        </w:rPr>
      </w:pPr>
    </w:p>
    <w:p w14:paraId="5CC5E0AE" w14:textId="77777777" w:rsidR="00F505D5" w:rsidRPr="00DD098B" w:rsidRDefault="00F505D5" w:rsidP="00DD098B">
      <w:pPr>
        <w:spacing w:after="0" w:line="360" w:lineRule="auto"/>
        <w:contextualSpacing/>
        <w:rPr>
          <w:rFonts w:eastAsia="Times New Roman" w:cs="Tahoma"/>
          <w:bCs/>
          <w:color w:val="auto"/>
          <w:lang w:eastAsia="es-ES"/>
        </w:rPr>
      </w:pPr>
      <w:r w:rsidRPr="00DD098B">
        <w:rPr>
          <w:rFonts w:eastAsia="Times New Roman" w:cs="Tahoma"/>
          <w:bCs/>
          <w:color w:val="auto"/>
          <w:lang w:eastAsia="es-ES"/>
        </w:rPr>
        <w:t>Por lo expuesto y fundado, este Pleno:</w:t>
      </w:r>
    </w:p>
    <w:p w14:paraId="2E4952E5" w14:textId="77777777" w:rsidR="00F505D5" w:rsidRPr="00DD098B" w:rsidRDefault="00F505D5" w:rsidP="00DD098B">
      <w:pPr>
        <w:spacing w:after="0" w:line="360" w:lineRule="auto"/>
        <w:contextualSpacing/>
        <w:jc w:val="center"/>
        <w:rPr>
          <w:rFonts w:eastAsia="Times New Roman" w:cs="Tahoma"/>
          <w:b/>
          <w:bCs/>
          <w:color w:val="auto"/>
          <w:lang w:eastAsia="es-ES"/>
        </w:rPr>
      </w:pPr>
    </w:p>
    <w:p w14:paraId="4DFDF34E" w14:textId="77777777" w:rsidR="00F505D5" w:rsidRPr="00DD098B" w:rsidRDefault="00F505D5" w:rsidP="00DD098B">
      <w:pPr>
        <w:spacing w:after="0" w:line="360" w:lineRule="auto"/>
        <w:contextualSpacing/>
        <w:jc w:val="center"/>
        <w:rPr>
          <w:rFonts w:eastAsia="Times New Roman" w:cs="Tahoma"/>
          <w:b/>
          <w:bCs/>
          <w:color w:val="auto"/>
          <w:lang w:eastAsia="es-ES"/>
        </w:rPr>
      </w:pPr>
      <w:r w:rsidRPr="00DD098B">
        <w:rPr>
          <w:rFonts w:eastAsia="Times New Roman" w:cs="Tahoma"/>
          <w:b/>
          <w:bCs/>
          <w:color w:val="auto"/>
          <w:lang w:eastAsia="es-ES"/>
        </w:rPr>
        <w:t>R E S U E L V E:</w:t>
      </w:r>
    </w:p>
    <w:p w14:paraId="226BE88E" w14:textId="77777777" w:rsidR="00F505D5" w:rsidRPr="00DD098B" w:rsidRDefault="00F505D5" w:rsidP="00DD098B">
      <w:pPr>
        <w:spacing w:after="0" w:line="360" w:lineRule="auto"/>
        <w:ind w:right="113"/>
        <w:contextualSpacing/>
        <w:rPr>
          <w:rFonts w:eastAsia="Times New Roman" w:cs="Arial"/>
          <w:b/>
          <w:color w:val="auto"/>
          <w:lang w:eastAsia="es-ES"/>
        </w:rPr>
      </w:pPr>
    </w:p>
    <w:p w14:paraId="20C554AC" w14:textId="662BEF03" w:rsidR="00F505D5" w:rsidRPr="00DD098B" w:rsidRDefault="00F505D5" w:rsidP="00DD098B">
      <w:pPr>
        <w:spacing w:after="0" w:line="360" w:lineRule="auto"/>
        <w:contextualSpacing/>
        <w:rPr>
          <w:rFonts w:cs="Tahoma"/>
          <w:b/>
          <w:bCs/>
        </w:rPr>
      </w:pPr>
      <w:r w:rsidRPr="00DD098B">
        <w:rPr>
          <w:rFonts w:cs="Tahoma"/>
          <w:b/>
          <w:bCs/>
        </w:rPr>
        <w:t xml:space="preserve">PRIMERO. </w:t>
      </w:r>
      <w:r w:rsidRPr="00DD098B">
        <w:rPr>
          <w:rFonts w:cs="Tahoma"/>
        </w:rPr>
        <w:t xml:space="preserve">Se </w:t>
      </w:r>
      <w:r w:rsidRPr="00DD098B">
        <w:rPr>
          <w:rFonts w:cs="Tahoma"/>
          <w:b/>
          <w:bCs/>
        </w:rPr>
        <w:t xml:space="preserve">SOBRESEE </w:t>
      </w:r>
      <w:r w:rsidRPr="00DD098B">
        <w:rPr>
          <w:rFonts w:cs="Tahoma"/>
        </w:rPr>
        <w:t xml:space="preserve">el Recurso de Revisión </w:t>
      </w:r>
      <w:r w:rsidR="0064365C" w:rsidRPr="00DD098B">
        <w:rPr>
          <w:rFonts w:cs="Tahoma"/>
        </w:rPr>
        <w:t>00526</w:t>
      </w:r>
      <w:r w:rsidRPr="00DD098B">
        <w:rPr>
          <w:rFonts w:cs="Tahoma"/>
        </w:rPr>
        <w:t>/INFOEM/IP/RR/2022, en términos del artículo 192, fracción V, de la Ley de Transparencia y Acceso a la Información Pública del Estado de México y Municipios, porque el Sujeto Obligado, al dar respuesta a la solicitud, mediante Informe Justificado</w:t>
      </w:r>
      <w:r w:rsidR="00DD098B" w:rsidRPr="00DD098B">
        <w:rPr>
          <w:rFonts w:cs="Tahoma"/>
        </w:rPr>
        <w:t>,</w:t>
      </w:r>
      <w:r w:rsidRPr="00DD098B">
        <w:rPr>
          <w:rFonts w:cs="Tahoma"/>
        </w:rPr>
        <w:t xml:space="preserve"> el Medio de Impugnación quedó sin materia, de conformidad con los Considerandos TERCERO y CUARTO de la presente Resolución.    </w:t>
      </w:r>
    </w:p>
    <w:p w14:paraId="4D4E1018" w14:textId="77777777" w:rsidR="00F505D5" w:rsidRPr="00DD098B" w:rsidRDefault="00F505D5" w:rsidP="00DD098B">
      <w:pPr>
        <w:spacing w:after="0" w:line="360" w:lineRule="auto"/>
        <w:ind w:right="113"/>
        <w:contextualSpacing/>
        <w:rPr>
          <w:rFonts w:eastAsia="Times New Roman" w:cs="Arial"/>
          <w:b/>
          <w:color w:val="auto"/>
          <w:lang w:eastAsia="es-ES"/>
        </w:rPr>
      </w:pPr>
    </w:p>
    <w:p w14:paraId="46CC38BE" w14:textId="77777777" w:rsidR="00F505D5" w:rsidRPr="00DD098B" w:rsidRDefault="00F505D5" w:rsidP="00DD098B">
      <w:pPr>
        <w:spacing w:after="0" w:line="360" w:lineRule="auto"/>
        <w:contextualSpacing/>
        <w:rPr>
          <w:rFonts w:cs="Tahoma"/>
        </w:rPr>
      </w:pPr>
      <w:r w:rsidRPr="00DD098B">
        <w:rPr>
          <w:rFonts w:cs="Tahoma"/>
          <w:b/>
          <w:bCs/>
        </w:rPr>
        <w:t>SEGUNDO.</w:t>
      </w:r>
      <w:r w:rsidRPr="00DD098B">
        <w:rPr>
          <w:rFonts w:cs="Tahoma"/>
        </w:rPr>
        <w:t xml:space="preserve"> Notifíquese la presente resolución al Titular de la Unidad de Transparencia del</w:t>
      </w:r>
    </w:p>
    <w:p w14:paraId="23A9AA91" w14:textId="77777777" w:rsidR="00F505D5" w:rsidRPr="00DD098B" w:rsidRDefault="00F505D5" w:rsidP="00DD098B">
      <w:pPr>
        <w:spacing w:after="0" w:line="360" w:lineRule="auto"/>
        <w:contextualSpacing/>
        <w:rPr>
          <w:rFonts w:cs="Tahoma"/>
        </w:rPr>
      </w:pPr>
      <w:r w:rsidRPr="00DD098B">
        <w:rPr>
          <w:rFonts w:cs="Tahoma"/>
        </w:rPr>
        <w:t>Sujeto Obligado.</w:t>
      </w:r>
    </w:p>
    <w:p w14:paraId="3F01327A" w14:textId="77777777" w:rsidR="00F505D5" w:rsidRPr="00DD098B" w:rsidRDefault="00F505D5" w:rsidP="00DD098B">
      <w:pPr>
        <w:spacing w:after="0" w:line="360" w:lineRule="auto"/>
        <w:contextualSpacing/>
        <w:rPr>
          <w:rFonts w:cs="Tahoma"/>
        </w:rPr>
      </w:pPr>
    </w:p>
    <w:p w14:paraId="2BFA35D5" w14:textId="77777777" w:rsidR="00F505D5" w:rsidRPr="00DD098B" w:rsidRDefault="00F505D5" w:rsidP="00DD098B">
      <w:pPr>
        <w:spacing w:after="0" w:line="360" w:lineRule="auto"/>
        <w:contextualSpacing/>
        <w:rPr>
          <w:rFonts w:cs="Tahoma"/>
        </w:rPr>
      </w:pPr>
      <w:r w:rsidRPr="00DD098B">
        <w:rPr>
          <w:rFonts w:cs="Tahoma"/>
          <w:b/>
        </w:rPr>
        <w:t>TERCERO. NOTIFÍQUESE</w:t>
      </w:r>
      <w:r w:rsidRPr="00DD098B">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EFF91B" w14:textId="77777777" w:rsidR="00F505D5" w:rsidRPr="00DD098B" w:rsidRDefault="00F505D5" w:rsidP="00DD098B">
      <w:pPr>
        <w:spacing w:after="0" w:line="360" w:lineRule="auto"/>
        <w:ind w:right="-93"/>
        <w:contextualSpacing/>
        <w:rPr>
          <w:rFonts w:eastAsia="Calibri" w:cs="Tahoma"/>
          <w:bCs/>
          <w:color w:val="auto"/>
        </w:rPr>
      </w:pPr>
    </w:p>
    <w:p w14:paraId="69345AA5" w14:textId="626521D4" w:rsidR="00F505D5" w:rsidRPr="00DD098B" w:rsidRDefault="00F505D5" w:rsidP="00DD098B">
      <w:pPr>
        <w:spacing w:after="0" w:line="360" w:lineRule="auto"/>
        <w:contextualSpacing/>
        <w:rPr>
          <w:rFonts w:cs="Arial"/>
        </w:rPr>
      </w:pPr>
      <w:r w:rsidRPr="00DD098B">
        <w:rPr>
          <w:rFonts w:eastAsia="Calibri" w:cs="Tahoma"/>
          <w:lang w:val="es-ES" w:eastAsia="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D098B">
        <w:rPr>
          <w:rFonts w:eastAsia="Calibri" w:cs="Tahoma"/>
          <w:lang w:val="es-ES" w:eastAsia="es-ES_tradnl"/>
        </w:rPr>
        <w:t xml:space="preserve">DÉCIMA SEXTA </w:t>
      </w:r>
      <w:r w:rsidRPr="00DD098B">
        <w:rPr>
          <w:rFonts w:eastAsia="Calibri" w:cs="Tahoma"/>
          <w:lang w:val="es-ES" w:eastAsia="es-ES_tradnl"/>
        </w:rPr>
        <w:t xml:space="preserve">SESIÓN ORDINARIA, CELEBRADA EL </w:t>
      </w:r>
      <w:r w:rsidR="00CF4430">
        <w:rPr>
          <w:rFonts w:eastAsia="Calibri" w:cs="Tahoma"/>
          <w:lang w:val="es-ES" w:eastAsia="es-ES_tradnl"/>
        </w:rPr>
        <w:t xml:space="preserve">CUATRO </w:t>
      </w:r>
      <w:r w:rsidR="0064365C" w:rsidRPr="00DD098B">
        <w:rPr>
          <w:rFonts w:eastAsia="Calibri" w:cs="Tahoma"/>
          <w:lang w:val="es-ES" w:eastAsia="es-ES_tradnl"/>
        </w:rPr>
        <w:t>DE</w:t>
      </w:r>
      <w:r w:rsidR="00CF4430">
        <w:rPr>
          <w:rFonts w:eastAsia="Calibri" w:cs="Tahoma"/>
          <w:lang w:val="es-ES" w:eastAsia="es-ES_tradnl"/>
        </w:rPr>
        <w:t xml:space="preserve"> MAYO</w:t>
      </w:r>
      <w:r w:rsidR="0064365C" w:rsidRPr="00DD098B">
        <w:rPr>
          <w:rFonts w:eastAsia="Calibri" w:cs="Tahoma"/>
          <w:lang w:val="es-ES" w:eastAsia="es-ES_tradnl"/>
        </w:rPr>
        <w:t xml:space="preserve"> </w:t>
      </w:r>
      <w:r w:rsidRPr="00DD098B">
        <w:rPr>
          <w:rFonts w:eastAsia="Calibri" w:cs="Tahoma"/>
          <w:lang w:val="es-ES" w:eastAsia="es-ES_tradnl"/>
        </w:rPr>
        <w:t>DE DOS MIL VEINTITRÉS, ANTE EL SECRETARIO TÉCNICO DEL PLENO, ALEXIS TAPIA RAMÍREZ</w:t>
      </w:r>
    </w:p>
    <w:p w14:paraId="6032EB41" w14:textId="4452D05C" w:rsidR="0064314C" w:rsidRDefault="0064314C">
      <w:pPr>
        <w:jc w:val="left"/>
      </w:pPr>
      <w:r>
        <w:br w:type="page"/>
      </w:r>
    </w:p>
    <w:p w14:paraId="38103EF3" w14:textId="77777777" w:rsidR="004A10C3" w:rsidRPr="00DD098B" w:rsidRDefault="004A10C3" w:rsidP="00DD098B">
      <w:pPr>
        <w:spacing w:line="360" w:lineRule="auto"/>
        <w:contextualSpacing/>
      </w:pPr>
      <w:bookmarkStart w:id="2" w:name="_GoBack"/>
      <w:bookmarkEnd w:id="2"/>
    </w:p>
    <w:sectPr w:rsidR="004A10C3" w:rsidRPr="00DD098B" w:rsidSect="001963CE">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B52AF" w14:textId="77777777" w:rsidR="00DB5584" w:rsidRDefault="00DB5584" w:rsidP="00F505D5">
      <w:pPr>
        <w:spacing w:after="0" w:line="240" w:lineRule="auto"/>
      </w:pPr>
      <w:r>
        <w:separator/>
      </w:r>
    </w:p>
  </w:endnote>
  <w:endnote w:type="continuationSeparator" w:id="0">
    <w:p w14:paraId="3DA56E1F" w14:textId="77777777" w:rsidR="00DB5584" w:rsidRDefault="00DB5584" w:rsidP="00F50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5851F8BA" w14:textId="77777777" w:rsidR="001963CE" w:rsidRDefault="004A10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5BBFD5E7" w14:textId="77777777" w:rsidR="001963CE" w:rsidRDefault="00DB55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1FE24EC2" w14:textId="77777777" w:rsidR="001963CE" w:rsidRDefault="004A10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4314C">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314C">
              <w:rPr>
                <w:b/>
                <w:bCs/>
                <w:noProof/>
              </w:rPr>
              <w:t>26</w:t>
            </w:r>
            <w:r>
              <w:rPr>
                <w:b/>
                <w:bCs/>
                <w:sz w:val="24"/>
                <w:szCs w:val="24"/>
              </w:rPr>
              <w:fldChar w:fldCharType="end"/>
            </w:r>
          </w:p>
        </w:sdtContent>
      </w:sdt>
    </w:sdtContent>
  </w:sdt>
  <w:p w14:paraId="47F426D1" w14:textId="77777777" w:rsidR="001963CE" w:rsidRDefault="00DB558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7F5315F4" w14:textId="77777777" w:rsidR="001963CE" w:rsidRDefault="004A10C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4314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4314C">
              <w:rPr>
                <w:b/>
                <w:bCs/>
                <w:noProof/>
              </w:rPr>
              <w:t>26</w:t>
            </w:r>
            <w:r>
              <w:rPr>
                <w:b/>
                <w:bCs/>
                <w:sz w:val="24"/>
                <w:szCs w:val="24"/>
              </w:rPr>
              <w:fldChar w:fldCharType="end"/>
            </w:r>
          </w:p>
        </w:sdtContent>
      </w:sdt>
    </w:sdtContent>
  </w:sdt>
  <w:p w14:paraId="317E36CA" w14:textId="77777777" w:rsidR="001963CE" w:rsidRDefault="00DB55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9D8CB" w14:textId="77777777" w:rsidR="00DB5584" w:rsidRDefault="00DB5584" w:rsidP="00F505D5">
      <w:pPr>
        <w:spacing w:after="0" w:line="240" w:lineRule="auto"/>
      </w:pPr>
      <w:r>
        <w:separator/>
      </w:r>
    </w:p>
  </w:footnote>
  <w:footnote w:type="continuationSeparator" w:id="0">
    <w:p w14:paraId="1E2995ED" w14:textId="77777777" w:rsidR="00DB5584" w:rsidRDefault="00DB5584" w:rsidP="00F50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1963CE" w:rsidRPr="00E152D8" w14:paraId="4BF64706" w14:textId="77777777" w:rsidTr="001963CE">
      <w:trPr>
        <w:trHeight w:val="132"/>
      </w:trPr>
      <w:tc>
        <w:tcPr>
          <w:tcW w:w="2691" w:type="dxa"/>
        </w:tcPr>
        <w:p w14:paraId="35045B20" w14:textId="77777777" w:rsidR="001963CE" w:rsidRPr="00E152D8" w:rsidRDefault="004A10C3" w:rsidP="001963CE">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0328B6B7" w14:textId="77777777" w:rsidR="001963CE" w:rsidRPr="00EE1572" w:rsidRDefault="004A10C3" w:rsidP="001963CE">
          <w:pPr>
            <w:tabs>
              <w:tab w:val="right" w:pos="8838"/>
            </w:tabs>
            <w:ind w:left="-28" w:right="-32"/>
            <w:rPr>
              <w:rFonts w:eastAsia="Calibri" w:cs="Tahoma"/>
            </w:rPr>
          </w:pPr>
          <w:r w:rsidRPr="00EE1572">
            <w:rPr>
              <w:rFonts w:eastAsia="Calibri" w:cs="Tahoma"/>
            </w:rPr>
            <w:t>03846/INFOEM/IP/RR/2020</w:t>
          </w:r>
        </w:p>
      </w:tc>
    </w:tr>
    <w:tr w:rsidR="001963CE" w:rsidRPr="00E152D8" w14:paraId="51D73A37" w14:textId="77777777" w:rsidTr="001963CE">
      <w:trPr>
        <w:trHeight w:val="261"/>
      </w:trPr>
      <w:tc>
        <w:tcPr>
          <w:tcW w:w="2691" w:type="dxa"/>
        </w:tcPr>
        <w:p w14:paraId="420F8208" w14:textId="77777777" w:rsidR="001963CE" w:rsidRPr="00E152D8" w:rsidRDefault="004A10C3" w:rsidP="001963CE">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67FC3702" w14:textId="77777777" w:rsidR="001963CE" w:rsidRPr="00EE1572" w:rsidRDefault="004A10C3" w:rsidP="001963CE">
          <w:pPr>
            <w:tabs>
              <w:tab w:val="right" w:pos="8838"/>
            </w:tabs>
            <w:ind w:right="-32"/>
            <w:rPr>
              <w:rFonts w:eastAsia="Calibri" w:cs="Tahoma"/>
              <w:lang w:val="es-MX"/>
            </w:rPr>
          </w:pPr>
          <w:r>
            <w:rPr>
              <w:rFonts w:eastAsia="Calibri" w:cs="Tahoma"/>
              <w:lang w:val="es-MX"/>
            </w:rPr>
            <w:t>Ayuntamiento de Valle de Chalco Solidaridad</w:t>
          </w:r>
        </w:p>
      </w:tc>
    </w:tr>
    <w:tr w:rsidR="001963CE" w:rsidRPr="00E152D8" w14:paraId="35303E25" w14:textId="77777777" w:rsidTr="001963CE">
      <w:trPr>
        <w:trHeight w:val="261"/>
      </w:trPr>
      <w:tc>
        <w:tcPr>
          <w:tcW w:w="2691" w:type="dxa"/>
        </w:tcPr>
        <w:p w14:paraId="48E13ECD" w14:textId="77777777" w:rsidR="001963CE" w:rsidRPr="00E152D8" w:rsidRDefault="004A10C3" w:rsidP="001963CE">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04330AC1" w14:textId="77777777" w:rsidR="001963CE" w:rsidRPr="00E152D8" w:rsidRDefault="004A10C3" w:rsidP="001963CE">
          <w:pPr>
            <w:tabs>
              <w:tab w:val="right" w:pos="8838"/>
            </w:tabs>
            <w:ind w:right="-32"/>
            <w:rPr>
              <w:rFonts w:eastAsia="Calibri" w:cs="Tahoma"/>
              <w:b/>
              <w:lang w:val="es-MX"/>
            </w:rPr>
          </w:pPr>
          <w:r w:rsidRPr="00E152D8">
            <w:rPr>
              <w:rFonts w:eastAsia="Calibri" w:cs="Tahoma"/>
              <w:lang w:val="es-MX"/>
            </w:rPr>
            <w:t>Luis Gustavo Parra Noriega</w:t>
          </w:r>
        </w:p>
      </w:tc>
    </w:tr>
  </w:tbl>
  <w:p w14:paraId="16CCD57B" w14:textId="77777777" w:rsidR="001963CE" w:rsidRDefault="00DB5584">
    <w:pPr>
      <w:pStyle w:val="Encabezado"/>
    </w:pPr>
    <w:r>
      <w:rPr>
        <w:noProof/>
      </w:rPr>
      <w:pict w14:anchorId="0C34D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49" type="#_x0000_t75" style="position:absolute;left:0;text-align:left;margin-left:0;margin-top:0;width:663.5pt;height:12in;z-index:-251659776;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544"/>
    </w:tblGrid>
    <w:tr w:rsidR="001963CE" w:rsidRPr="00E152D8" w14:paraId="74758C19" w14:textId="77777777" w:rsidTr="001756F2">
      <w:trPr>
        <w:trHeight w:val="138"/>
      </w:trPr>
      <w:tc>
        <w:tcPr>
          <w:tcW w:w="2552" w:type="dxa"/>
          <w:vAlign w:val="center"/>
        </w:tcPr>
        <w:p w14:paraId="1F1B1239" w14:textId="77777777" w:rsidR="001963CE" w:rsidRPr="00E152D8" w:rsidRDefault="004A10C3" w:rsidP="001963CE">
          <w:pPr>
            <w:tabs>
              <w:tab w:val="right" w:pos="8838"/>
            </w:tabs>
            <w:ind w:right="-105"/>
            <w:jc w:val="left"/>
            <w:rPr>
              <w:rFonts w:eastAsia="Calibri" w:cs="Tahoma"/>
              <w:b/>
              <w:lang w:val="es-MX"/>
            </w:rPr>
          </w:pPr>
          <w:r w:rsidRPr="00E152D8">
            <w:rPr>
              <w:rFonts w:eastAsia="Calibri" w:cs="Tahoma"/>
              <w:b/>
              <w:lang w:val="es-MX"/>
            </w:rPr>
            <w:t>Recurso de Revisión:</w:t>
          </w:r>
        </w:p>
      </w:tc>
      <w:tc>
        <w:tcPr>
          <w:tcW w:w="3544" w:type="dxa"/>
        </w:tcPr>
        <w:p w14:paraId="6C96E900" w14:textId="046C104F" w:rsidR="001963CE" w:rsidRPr="00051642" w:rsidRDefault="00F505D5" w:rsidP="001963CE">
          <w:pPr>
            <w:tabs>
              <w:tab w:val="right" w:pos="8838"/>
            </w:tabs>
            <w:ind w:right="-32"/>
            <w:rPr>
              <w:rFonts w:eastAsia="Calibri" w:cs="Tahoma"/>
            </w:rPr>
          </w:pPr>
          <w:r>
            <w:rPr>
              <w:rFonts w:eastAsia="Calibri" w:cs="Tahoma"/>
              <w:lang w:val="es-MX"/>
            </w:rPr>
            <w:t>00526</w:t>
          </w:r>
          <w:r w:rsidR="004A10C3">
            <w:rPr>
              <w:rFonts w:eastAsia="Calibri" w:cs="Tahoma"/>
              <w:lang w:val="es-MX"/>
            </w:rPr>
            <w:t>/INFOEM/IP/RR/202</w:t>
          </w:r>
          <w:r>
            <w:rPr>
              <w:rFonts w:eastAsia="Calibri" w:cs="Tahoma"/>
              <w:lang w:val="es-MX"/>
            </w:rPr>
            <w:t>3</w:t>
          </w:r>
        </w:p>
      </w:tc>
    </w:tr>
    <w:tr w:rsidR="009E6F8A" w:rsidRPr="00E152D8" w14:paraId="4E8C018F" w14:textId="77777777" w:rsidTr="001756F2">
      <w:trPr>
        <w:trHeight w:val="273"/>
      </w:trPr>
      <w:tc>
        <w:tcPr>
          <w:tcW w:w="2552" w:type="dxa"/>
        </w:tcPr>
        <w:p w14:paraId="5C8C98E3" w14:textId="77777777" w:rsidR="009E6F8A" w:rsidRPr="00E152D8" w:rsidRDefault="004A10C3" w:rsidP="009E6F8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544" w:type="dxa"/>
        </w:tcPr>
        <w:p w14:paraId="18D21568" w14:textId="77777777" w:rsidR="009E6F8A" w:rsidRPr="00051642" w:rsidRDefault="004A10C3" w:rsidP="009E6F8A">
          <w:pPr>
            <w:tabs>
              <w:tab w:val="right" w:pos="8838"/>
            </w:tabs>
            <w:ind w:left="-28" w:right="-32"/>
            <w:rPr>
              <w:rFonts w:eastAsia="Calibri" w:cs="Tahoma"/>
              <w:lang w:val="es-MX"/>
            </w:rPr>
          </w:pPr>
          <w:r>
            <w:rPr>
              <w:color w:val="000000"/>
            </w:rPr>
            <w:t>Ayuntamiento de Zinacantepec</w:t>
          </w:r>
        </w:p>
      </w:tc>
    </w:tr>
    <w:tr w:rsidR="009E6F8A" w:rsidRPr="00E152D8" w14:paraId="5C07CDF3" w14:textId="77777777" w:rsidTr="001756F2">
      <w:trPr>
        <w:trHeight w:val="273"/>
      </w:trPr>
      <w:tc>
        <w:tcPr>
          <w:tcW w:w="2552" w:type="dxa"/>
        </w:tcPr>
        <w:p w14:paraId="6C24AF6D" w14:textId="77777777" w:rsidR="009E6F8A" w:rsidRPr="00E152D8" w:rsidRDefault="004A10C3" w:rsidP="009E6F8A">
          <w:pPr>
            <w:tabs>
              <w:tab w:val="right" w:pos="8838"/>
            </w:tabs>
            <w:ind w:right="-105"/>
            <w:rPr>
              <w:rFonts w:eastAsia="Calibri" w:cs="Tahoma"/>
              <w:b/>
              <w:lang w:val="es-MX"/>
            </w:rPr>
          </w:pPr>
          <w:r w:rsidRPr="00E152D8">
            <w:rPr>
              <w:rFonts w:eastAsia="Calibri" w:cs="Tahoma"/>
              <w:b/>
              <w:lang w:val="es-MX"/>
            </w:rPr>
            <w:t>Comisionado Ponente:</w:t>
          </w:r>
        </w:p>
      </w:tc>
      <w:tc>
        <w:tcPr>
          <w:tcW w:w="3544" w:type="dxa"/>
        </w:tcPr>
        <w:p w14:paraId="566AD8B0" w14:textId="77777777" w:rsidR="009E6F8A" w:rsidRPr="00E152D8" w:rsidRDefault="004A10C3" w:rsidP="009E6F8A">
          <w:pPr>
            <w:tabs>
              <w:tab w:val="right" w:pos="8838"/>
            </w:tabs>
            <w:ind w:left="-28" w:right="-32"/>
            <w:rPr>
              <w:rFonts w:eastAsia="Calibri" w:cs="Tahoma"/>
              <w:b/>
              <w:lang w:val="es-MX"/>
            </w:rPr>
          </w:pPr>
          <w:r w:rsidRPr="00E152D8">
            <w:rPr>
              <w:rFonts w:eastAsia="Calibri" w:cs="Tahoma"/>
              <w:lang w:val="es-MX"/>
            </w:rPr>
            <w:t>Luis Gustavo Parra Noriega</w:t>
          </w:r>
        </w:p>
      </w:tc>
    </w:tr>
  </w:tbl>
  <w:p w14:paraId="3274C057" w14:textId="77777777" w:rsidR="001963CE" w:rsidRDefault="00DB5584" w:rsidP="001963CE">
    <w:pPr>
      <w:pStyle w:val="Encabezado"/>
    </w:pPr>
    <w:r>
      <w:rPr>
        <w:noProof/>
      </w:rPr>
      <w:pict w14:anchorId="622CB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style="position:absolute;left:0;text-align:left;margin-left:-84.6pt;margin-top:-122.95pt;width:663.5pt;height:12in;z-index:-251658752;mso-wrap-edited:f;mso-position-horizontal-relative:margin;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260"/>
    </w:tblGrid>
    <w:tr w:rsidR="001963CE" w:rsidRPr="00E152D8" w14:paraId="2F7E0926" w14:textId="77777777" w:rsidTr="00E84FAD">
      <w:trPr>
        <w:trHeight w:val="132"/>
      </w:trPr>
      <w:tc>
        <w:tcPr>
          <w:tcW w:w="2552" w:type="dxa"/>
        </w:tcPr>
        <w:p w14:paraId="220F9D9A" w14:textId="77777777" w:rsidR="001963CE" w:rsidRPr="00E152D8" w:rsidRDefault="004A10C3" w:rsidP="001963CE">
          <w:pPr>
            <w:tabs>
              <w:tab w:val="right" w:pos="8838"/>
            </w:tabs>
            <w:ind w:right="-105"/>
            <w:rPr>
              <w:rFonts w:eastAsia="Calibri" w:cs="Tahoma"/>
              <w:b/>
              <w:lang w:val="es-MX"/>
            </w:rPr>
          </w:pPr>
          <w:r>
            <w:rPr>
              <w:rFonts w:eastAsia="Calibri" w:cs="Tahoma"/>
              <w:b/>
              <w:lang w:val="es-MX"/>
            </w:rPr>
            <w:t>R</w:t>
          </w:r>
          <w:r w:rsidRPr="00E152D8">
            <w:rPr>
              <w:rFonts w:eastAsia="Calibri" w:cs="Tahoma"/>
              <w:b/>
              <w:lang w:val="es-MX"/>
            </w:rPr>
            <w:t>ecurso de Revisión:</w:t>
          </w:r>
        </w:p>
      </w:tc>
      <w:tc>
        <w:tcPr>
          <w:tcW w:w="3260" w:type="dxa"/>
        </w:tcPr>
        <w:p w14:paraId="4C1DD4EB" w14:textId="5E7D7CF5" w:rsidR="001963CE" w:rsidRPr="00051642" w:rsidRDefault="00F505D5" w:rsidP="001963CE">
          <w:pPr>
            <w:tabs>
              <w:tab w:val="right" w:pos="8838"/>
            </w:tabs>
            <w:ind w:left="-111" w:right="-32"/>
            <w:rPr>
              <w:rFonts w:eastAsia="Calibri" w:cs="Tahoma"/>
            </w:rPr>
          </w:pPr>
          <w:r>
            <w:rPr>
              <w:rFonts w:eastAsia="Calibri" w:cs="Tahoma"/>
              <w:lang w:val="es-MX"/>
            </w:rPr>
            <w:t>00526</w:t>
          </w:r>
          <w:r w:rsidR="004A10C3">
            <w:rPr>
              <w:rFonts w:eastAsia="Calibri" w:cs="Tahoma"/>
              <w:lang w:val="es-MX"/>
            </w:rPr>
            <w:t>/INFOEM/IP/RR/202</w:t>
          </w:r>
          <w:r>
            <w:rPr>
              <w:rFonts w:eastAsia="Calibri" w:cs="Tahoma"/>
              <w:lang w:val="es-MX"/>
            </w:rPr>
            <w:t>3</w:t>
          </w:r>
        </w:p>
      </w:tc>
    </w:tr>
    <w:tr w:rsidR="001963CE" w:rsidRPr="00E152D8" w14:paraId="34B96503" w14:textId="77777777" w:rsidTr="00E84FAD">
      <w:trPr>
        <w:trHeight w:val="132"/>
      </w:trPr>
      <w:tc>
        <w:tcPr>
          <w:tcW w:w="2552" w:type="dxa"/>
        </w:tcPr>
        <w:p w14:paraId="1131BF1D" w14:textId="77777777" w:rsidR="001963CE" w:rsidRPr="00E152D8" w:rsidRDefault="004A10C3" w:rsidP="001963CE">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3260" w:type="dxa"/>
        </w:tcPr>
        <w:p w14:paraId="3C7D79E0" w14:textId="77777777" w:rsidR="001963CE" w:rsidRPr="00E152D8" w:rsidRDefault="00DB5584" w:rsidP="001963CE">
          <w:pPr>
            <w:tabs>
              <w:tab w:val="right" w:pos="8838"/>
            </w:tabs>
            <w:ind w:left="-111" w:right="-109"/>
            <w:rPr>
              <w:rFonts w:eastAsia="Calibri" w:cs="Tahoma"/>
              <w:lang w:val="es-MX"/>
            </w:rPr>
          </w:pPr>
        </w:p>
      </w:tc>
    </w:tr>
    <w:tr w:rsidR="001963CE" w:rsidRPr="00E152D8" w14:paraId="656021A6" w14:textId="77777777" w:rsidTr="00E84FAD">
      <w:trPr>
        <w:trHeight w:val="261"/>
      </w:trPr>
      <w:tc>
        <w:tcPr>
          <w:tcW w:w="2552" w:type="dxa"/>
        </w:tcPr>
        <w:p w14:paraId="4764E760" w14:textId="77777777" w:rsidR="001963CE" w:rsidRPr="00E152D8" w:rsidRDefault="004A10C3" w:rsidP="001963CE">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260" w:type="dxa"/>
        </w:tcPr>
        <w:p w14:paraId="050D2C10" w14:textId="77777777" w:rsidR="001963CE" w:rsidRPr="00463532" w:rsidRDefault="004A10C3" w:rsidP="001963CE">
          <w:pPr>
            <w:tabs>
              <w:tab w:val="right" w:pos="8838"/>
            </w:tabs>
            <w:ind w:left="-111" w:right="-32"/>
            <w:rPr>
              <w:rFonts w:eastAsia="Calibri" w:cs="Tahoma"/>
              <w:lang w:val="es-MX"/>
            </w:rPr>
          </w:pPr>
          <w:r>
            <w:rPr>
              <w:color w:val="000000"/>
            </w:rPr>
            <w:t>Ayuntamiento de Zinacantepec</w:t>
          </w:r>
        </w:p>
      </w:tc>
    </w:tr>
    <w:tr w:rsidR="001963CE" w:rsidRPr="00E152D8" w14:paraId="05DD2781" w14:textId="77777777" w:rsidTr="00E84FAD">
      <w:trPr>
        <w:trHeight w:val="261"/>
      </w:trPr>
      <w:tc>
        <w:tcPr>
          <w:tcW w:w="2552" w:type="dxa"/>
        </w:tcPr>
        <w:p w14:paraId="33F7D438" w14:textId="77777777" w:rsidR="001963CE" w:rsidRPr="00E152D8" w:rsidRDefault="004A10C3" w:rsidP="001963CE">
          <w:pPr>
            <w:tabs>
              <w:tab w:val="right" w:pos="8838"/>
            </w:tabs>
            <w:ind w:right="-105"/>
            <w:rPr>
              <w:rFonts w:eastAsia="Calibri" w:cs="Tahoma"/>
              <w:b/>
              <w:lang w:val="es-MX"/>
            </w:rPr>
          </w:pPr>
          <w:r w:rsidRPr="00E152D8">
            <w:rPr>
              <w:rFonts w:eastAsia="Calibri" w:cs="Tahoma"/>
              <w:b/>
              <w:lang w:val="es-MX"/>
            </w:rPr>
            <w:t>Comisionado Ponente:</w:t>
          </w:r>
        </w:p>
      </w:tc>
      <w:tc>
        <w:tcPr>
          <w:tcW w:w="3260" w:type="dxa"/>
        </w:tcPr>
        <w:p w14:paraId="459525EF" w14:textId="77777777" w:rsidR="001963CE" w:rsidRPr="00E152D8" w:rsidRDefault="004A10C3" w:rsidP="001963CE">
          <w:pPr>
            <w:tabs>
              <w:tab w:val="right" w:pos="8838"/>
            </w:tabs>
            <w:ind w:left="-111" w:right="-32"/>
            <w:rPr>
              <w:rFonts w:eastAsia="Calibri" w:cs="Tahoma"/>
              <w:b/>
              <w:lang w:val="es-MX"/>
            </w:rPr>
          </w:pPr>
          <w:r w:rsidRPr="00E152D8">
            <w:rPr>
              <w:rFonts w:eastAsia="Calibri" w:cs="Tahoma"/>
              <w:lang w:val="es-MX"/>
            </w:rPr>
            <w:t>Luis Gustavo Parra Noriega</w:t>
          </w:r>
        </w:p>
      </w:tc>
    </w:tr>
  </w:tbl>
  <w:p w14:paraId="10414600" w14:textId="77777777" w:rsidR="001963CE" w:rsidRDefault="00DB5584" w:rsidP="001963CE">
    <w:pPr>
      <w:pStyle w:val="Encabezado"/>
      <w:tabs>
        <w:tab w:val="left" w:pos="5812"/>
      </w:tabs>
    </w:pPr>
    <w:r>
      <w:rPr>
        <w:noProof/>
      </w:rPr>
      <w:pict w14:anchorId="68699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51" type="#_x0000_t75" style="position:absolute;left:0;text-align:left;margin-left:-84.3pt;margin-top:-120.95pt;width:663.5pt;height:12in;z-index:-251657728;mso-wrap-edited:f;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D55AB"/>
    <w:multiLevelType w:val="hybridMultilevel"/>
    <w:tmpl w:val="A094FE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C005937"/>
    <w:multiLevelType w:val="hybridMultilevel"/>
    <w:tmpl w:val="9D22BE8E"/>
    <w:lvl w:ilvl="0" w:tplc="080A0001">
      <w:start w:val="1"/>
      <w:numFmt w:val="bullet"/>
      <w:lvlText w:val=""/>
      <w:lvlJc w:val="left"/>
      <w:pPr>
        <w:ind w:left="2871" w:hanging="360"/>
      </w:pPr>
      <w:rPr>
        <w:rFonts w:ascii="Symbol" w:hAnsi="Symbol" w:hint="default"/>
      </w:rPr>
    </w:lvl>
    <w:lvl w:ilvl="1" w:tplc="080A0003" w:tentative="1">
      <w:start w:val="1"/>
      <w:numFmt w:val="bullet"/>
      <w:lvlText w:val="o"/>
      <w:lvlJc w:val="left"/>
      <w:pPr>
        <w:ind w:left="3591" w:hanging="360"/>
      </w:pPr>
      <w:rPr>
        <w:rFonts w:ascii="Courier New" w:hAnsi="Courier New" w:cs="Courier New" w:hint="default"/>
      </w:rPr>
    </w:lvl>
    <w:lvl w:ilvl="2" w:tplc="080A0005" w:tentative="1">
      <w:start w:val="1"/>
      <w:numFmt w:val="bullet"/>
      <w:lvlText w:val=""/>
      <w:lvlJc w:val="left"/>
      <w:pPr>
        <w:ind w:left="4311" w:hanging="360"/>
      </w:pPr>
      <w:rPr>
        <w:rFonts w:ascii="Wingdings" w:hAnsi="Wingdings" w:hint="default"/>
      </w:rPr>
    </w:lvl>
    <w:lvl w:ilvl="3" w:tplc="080A0001" w:tentative="1">
      <w:start w:val="1"/>
      <w:numFmt w:val="bullet"/>
      <w:lvlText w:val=""/>
      <w:lvlJc w:val="left"/>
      <w:pPr>
        <w:ind w:left="5031" w:hanging="360"/>
      </w:pPr>
      <w:rPr>
        <w:rFonts w:ascii="Symbol" w:hAnsi="Symbol" w:hint="default"/>
      </w:rPr>
    </w:lvl>
    <w:lvl w:ilvl="4" w:tplc="080A0003" w:tentative="1">
      <w:start w:val="1"/>
      <w:numFmt w:val="bullet"/>
      <w:lvlText w:val="o"/>
      <w:lvlJc w:val="left"/>
      <w:pPr>
        <w:ind w:left="5751" w:hanging="360"/>
      </w:pPr>
      <w:rPr>
        <w:rFonts w:ascii="Courier New" w:hAnsi="Courier New" w:cs="Courier New" w:hint="default"/>
      </w:rPr>
    </w:lvl>
    <w:lvl w:ilvl="5" w:tplc="080A0005" w:tentative="1">
      <w:start w:val="1"/>
      <w:numFmt w:val="bullet"/>
      <w:lvlText w:val=""/>
      <w:lvlJc w:val="left"/>
      <w:pPr>
        <w:ind w:left="6471" w:hanging="360"/>
      </w:pPr>
      <w:rPr>
        <w:rFonts w:ascii="Wingdings" w:hAnsi="Wingdings" w:hint="default"/>
      </w:rPr>
    </w:lvl>
    <w:lvl w:ilvl="6" w:tplc="080A0001" w:tentative="1">
      <w:start w:val="1"/>
      <w:numFmt w:val="bullet"/>
      <w:lvlText w:val=""/>
      <w:lvlJc w:val="left"/>
      <w:pPr>
        <w:ind w:left="7191" w:hanging="360"/>
      </w:pPr>
      <w:rPr>
        <w:rFonts w:ascii="Symbol" w:hAnsi="Symbol" w:hint="default"/>
      </w:rPr>
    </w:lvl>
    <w:lvl w:ilvl="7" w:tplc="080A0003" w:tentative="1">
      <w:start w:val="1"/>
      <w:numFmt w:val="bullet"/>
      <w:lvlText w:val="o"/>
      <w:lvlJc w:val="left"/>
      <w:pPr>
        <w:ind w:left="7911" w:hanging="360"/>
      </w:pPr>
      <w:rPr>
        <w:rFonts w:ascii="Courier New" w:hAnsi="Courier New" w:cs="Courier New" w:hint="default"/>
      </w:rPr>
    </w:lvl>
    <w:lvl w:ilvl="8" w:tplc="080A0005" w:tentative="1">
      <w:start w:val="1"/>
      <w:numFmt w:val="bullet"/>
      <w:lvlText w:val=""/>
      <w:lvlJc w:val="left"/>
      <w:pPr>
        <w:ind w:left="8631" w:hanging="360"/>
      </w:pPr>
      <w:rPr>
        <w:rFonts w:ascii="Wingdings" w:hAnsi="Wingdings" w:hint="default"/>
      </w:rPr>
    </w:lvl>
  </w:abstractNum>
  <w:abstractNum w:abstractNumId="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 w15:restartNumberingAfterBreak="0">
    <w:nsid w:val="74982F1C"/>
    <w:multiLevelType w:val="hybridMultilevel"/>
    <w:tmpl w:val="EC144290"/>
    <w:lvl w:ilvl="0" w:tplc="0A0E19A2">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5D5"/>
    <w:rsid w:val="00065D42"/>
    <w:rsid w:val="00095302"/>
    <w:rsid w:val="002B2879"/>
    <w:rsid w:val="002E1258"/>
    <w:rsid w:val="0043202F"/>
    <w:rsid w:val="004A10C3"/>
    <w:rsid w:val="00507F98"/>
    <w:rsid w:val="00605FE6"/>
    <w:rsid w:val="0060611D"/>
    <w:rsid w:val="00620917"/>
    <w:rsid w:val="0064314C"/>
    <w:rsid w:val="0064365C"/>
    <w:rsid w:val="0065622C"/>
    <w:rsid w:val="00666493"/>
    <w:rsid w:val="006912D7"/>
    <w:rsid w:val="006B42F7"/>
    <w:rsid w:val="007003A4"/>
    <w:rsid w:val="00702E47"/>
    <w:rsid w:val="008171F9"/>
    <w:rsid w:val="00832DE0"/>
    <w:rsid w:val="00853056"/>
    <w:rsid w:val="008B4835"/>
    <w:rsid w:val="00902C12"/>
    <w:rsid w:val="00BA5113"/>
    <w:rsid w:val="00C7033F"/>
    <w:rsid w:val="00C960D2"/>
    <w:rsid w:val="00CF4430"/>
    <w:rsid w:val="00D52173"/>
    <w:rsid w:val="00DB5584"/>
    <w:rsid w:val="00DD098B"/>
    <w:rsid w:val="00F505D5"/>
    <w:rsid w:val="00F552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2EC06D"/>
  <w15:chartTrackingRefBased/>
  <w15:docId w15:val="{2D205AC9-F07F-4AA7-B4F1-E0D6C6AF9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5D5"/>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05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05D5"/>
    <w:rPr>
      <w:rFonts w:ascii="Palatino Linotype" w:hAnsi="Palatino Linotype"/>
      <w:color w:val="000000" w:themeColor="text1"/>
    </w:rPr>
  </w:style>
  <w:style w:type="paragraph" w:styleId="Piedepgina">
    <w:name w:val="footer"/>
    <w:basedOn w:val="Normal"/>
    <w:link w:val="PiedepginaCar"/>
    <w:uiPriority w:val="99"/>
    <w:unhideWhenUsed/>
    <w:rsid w:val="00F505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05D5"/>
    <w:rPr>
      <w:rFonts w:ascii="Palatino Linotype" w:hAnsi="Palatino Linotype"/>
      <w:color w:val="000000" w:themeColor="text1"/>
    </w:rPr>
  </w:style>
  <w:style w:type="table" w:styleId="Tablaconcuadrcula">
    <w:name w:val="Table Grid"/>
    <w:basedOn w:val="Tablanormal"/>
    <w:uiPriority w:val="39"/>
    <w:qFormat/>
    <w:rsid w:val="00F505D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05D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505D5"/>
    <w:rPr>
      <w:rFonts w:ascii="Palatino Linotype" w:hAnsi="Palatino Linotype"/>
      <w:color w:val="000000" w:themeColor="text1"/>
    </w:rPr>
  </w:style>
  <w:style w:type="character" w:customStyle="1" w:styleId="normaltextrun">
    <w:name w:val="normaltextrun"/>
    <w:basedOn w:val="Fuentedeprrafopredeter"/>
    <w:rsid w:val="00F505D5"/>
  </w:style>
  <w:style w:type="paragraph" w:customStyle="1" w:styleId="paragraph">
    <w:name w:val="paragraph"/>
    <w:basedOn w:val="Normal"/>
    <w:rsid w:val="00F505D5"/>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F505D5"/>
  </w:style>
  <w:style w:type="character" w:styleId="Hipervnculo">
    <w:name w:val="Hyperlink"/>
    <w:basedOn w:val="Fuentedeprrafopredeter"/>
    <w:uiPriority w:val="99"/>
    <w:unhideWhenUsed/>
    <w:rsid w:val="00507F98"/>
    <w:rPr>
      <w:color w:val="0563C1" w:themeColor="hyperlink"/>
      <w:u w:val="single"/>
    </w:rPr>
  </w:style>
  <w:style w:type="character" w:customStyle="1" w:styleId="UnresolvedMention">
    <w:name w:val="Unresolved Mention"/>
    <w:basedOn w:val="Fuentedeprrafopredeter"/>
    <w:uiPriority w:val="99"/>
    <w:semiHidden/>
    <w:unhideWhenUsed/>
    <w:rsid w:val="00507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995701">
      <w:bodyDiv w:val="1"/>
      <w:marLeft w:val="0"/>
      <w:marRight w:val="0"/>
      <w:marTop w:val="0"/>
      <w:marBottom w:val="0"/>
      <w:divBdr>
        <w:top w:val="none" w:sz="0" w:space="0" w:color="auto"/>
        <w:left w:val="none" w:sz="0" w:space="0" w:color="auto"/>
        <w:bottom w:val="none" w:sz="0" w:space="0" w:color="auto"/>
        <w:right w:val="none" w:sz="0" w:space="0" w:color="auto"/>
      </w:divBdr>
    </w:div>
    <w:div w:id="1093164157">
      <w:bodyDiv w:val="1"/>
      <w:marLeft w:val="0"/>
      <w:marRight w:val="0"/>
      <w:marTop w:val="0"/>
      <w:marBottom w:val="0"/>
      <w:divBdr>
        <w:top w:val="none" w:sz="0" w:space="0" w:color="auto"/>
        <w:left w:val="none" w:sz="0" w:space="0" w:color="auto"/>
        <w:bottom w:val="none" w:sz="0" w:space="0" w:color="auto"/>
        <w:right w:val="none" w:sz="0" w:space="0" w:color="auto"/>
      </w:divBdr>
    </w:div>
    <w:div w:id="168748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5769</Words>
  <Characters>31732</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Cuenta Microsoft</cp:lastModifiedBy>
  <cp:revision>3</cp:revision>
  <dcterms:created xsi:type="dcterms:W3CDTF">2023-04-26T04:16:00Z</dcterms:created>
  <dcterms:modified xsi:type="dcterms:W3CDTF">2023-05-04T20:46:00Z</dcterms:modified>
</cp:coreProperties>
</file>