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8D8B727"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 xml:space="preserve">n Metepec, </w:t>
      </w:r>
      <w:r w:rsidR="00B9698C">
        <w:rPr>
          <w:rFonts w:ascii="Palatino Linotype" w:hAnsi="Palatino Linotype"/>
          <w:sz w:val="24"/>
          <w:szCs w:val="24"/>
        </w:rPr>
        <w:t>Estado</w:t>
      </w:r>
      <w:r w:rsidR="00D6154B">
        <w:rPr>
          <w:rFonts w:ascii="Palatino Linotype" w:hAnsi="Palatino Linotype"/>
          <w:sz w:val="24"/>
          <w:szCs w:val="24"/>
        </w:rPr>
        <w:t xml:space="preserve"> de México; de </w:t>
      </w:r>
      <w:r w:rsidR="004D3318">
        <w:rPr>
          <w:rFonts w:ascii="Palatino Linotype" w:hAnsi="Palatino Linotype"/>
          <w:sz w:val="24"/>
          <w:szCs w:val="24"/>
        </w:rPr>
        <w:t xml:space="preserve">fecha </w:t>
      </w:r>
      <w:r w:rsidR="00D6154B">
        <w:rPr>
          <w:rFonts w:ascii="Palatino Linotype" w:hAnsi="Palatino Linotype"/>
          <w:sz w:val="24"/>
          <w:szCs w:val="24"/>
        </w:rPr>
        <w:t>uno</w:t>
      </w:r>
      <w:r w:rsidRPr="007C7FFD">
        <w:rPr>
          <w:rFonts w:ascii="Palatino Linotype" w:hAnsi="Palatino Linotype"/>
          <w:sz w:val="24"/>
          <w:szCs w:val="24"/>
        </w:rPr>
        <w:t xml:space="preserve"> (</w:t>
      </w:r>
      <w:r w:rsidR="001A6380">
        <w:rPr>
          <w:rFonts w:ascii="Palatino Linotype" w:hAnsi="Palatino Linotype"/>
          <w:sz w:val="24"/>
          <w:szCs w:val="24"/>
        </w:rPr>
        <w:t>0</w:t>
      </w:r>
      <w:r w:rsidR="00D6154B">
        <w:rPr>
          <w:rFonts w:ascii="Palatino Linotype" w:hAnsi="Palatino Linotype"/>
          <w:sz w:val="24"/>
          <w:szCs w:val="24"/>
        </w:rPr>
        <w:t>1</w:t>
      </w:r>
      <w:r w:rsidR="00BE6E79" w:rsidRPr="007C7FFD">
        <w:rPr>
          <w:rFonts w:ascii="Palatino Linotype" w:hAnsi="Palatino Linotype"/>
          <w:sz w:val="24"/>
          <w:szCs w:val="24"/>
        </w:rPr>
        <w:t xml:space="preserve">) de </w:t>
      </w:r>
      <w:r w:rsidR="00D6154B">
        <w:rPr>
          <w:rFonts w:ascii="Palatino Linotype" w:hAnsi="Palatino Linotype"/>
          <w:sz w:val="24"/>
          <w:szCs w:val="24"/>
        </w:rPr>
        <w:t>noviembre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53E84257"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245776" w:rsidRPr="00245776">
        <w:rPr>
          <w:rFonts w:ascii="Palatino Linotype" w:eastAsia="Calibri" w:hAnsi="Palatino Linotype" w:cs="Tahoma"/>
          <w:b/>
          <w:sz w:val="24"/>
          <w:lang w:eastAsia="en-US"/>
        </w:rPr>
        <w:t>00098/INFOEM/IP/RR/2023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D6154B">
        <w:rPr>
          <w:rFonts w:ascii="Palatino Linotype" w:hAnsi="Palatino Linotype"/>
          <w:sz w:val="24"/>
          <w:szCs w:val="24"/>
        </w:rPr>
        <w:t xml:space="preserve"> un </w:t>
      </w:r>
      <w:r w:rsidR="00D6154B" w:rsidRPr="00D6154B">
        <w:rPr>
          <w:rFonts w:ascii="Palatino Linotype" w:hAnsi="Palatino Linotype"/>
          <w:b/>
          <w:sz w:val="24"/>
          <w:szCs w:val="24"/>
        </w:rPr>
        <w:t>Usuario del Sistema de Acceso</w:t>
      </w:r>
      <w:r w:rsidR="001A6380">
        <w:rPr>
          <w:rFonts w:ascii="Palatino Linotype" w:hAnsi="Palatino Linotype"/>
          <w:b/>
          <w:sz w:val="24"/>
          <w:szCs w:val="24"/>
        </w:rPr>
        <w:t xml:space="preserve"> a la Información Mexiquense quien</w:t>
      </w:r>
      <w:r w:rsidR="00D6154B" w:rsidRPr="00D6154B">
        <w:rPr>
          <w:rFonts w:ascii="Palatino Linotype" w:hAnsi="Palatino Linotype"/>
          <w:b/>
          <w:sz w:val="24"/>
          <w:szCs w:val="24"/>
        </w:rPr>
        <w:t xml:space="preserve"> no proporcionó nombre</w:t>
      </w:r>
      <w:r w:rsidR="001A6380">
        <w:rPr>
          <w:rFonts w:ascii="Palatino Linotype" w:hAnsi="Palatino Linotype"/>
          <w:b/>
          <w:sz w:val="24"/>
          <w:szCs w:val="24"/>
        </w:rPr>
        <w:t xml:space="preserve"> alguno</w:t>
      </w:r>
      <w:r w:rsidR="00D6154B" w:rsidRPr="00D6154B">
        <w:rPr>
          <w:rFonts w:ascii="Palatino Linotype" w:hAnsi="Palatino Linotype"/>
          <w:b/>
          <w:sz w:val="24"/>
          <w:szCs w:val="24"/>
        </w:rPr>
        <w:t xml:space="preserve"> para ser identificado,</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respuesta de</w:t>
      </w:r>
      <w:r w:rsidR="00D6154B">
        <w:rPr>
          <w:rFonts w:ascii="Palatino Linotype" w:hAnsi="Palatino Linotype" w:cs="Arial"/>
          <w:sz w:val="24"/>
          <w:szCs w:val="24"/>
        </w:rPr>
        <w:t>l</w:t>
      </w:r>
      <w:r w:rsidRPr="007C7FFD">
        <w:rPr>
          <w:rFonts w:ascii="Palatino Linotype" w:hAnsi="Palatino Linotype" w:cs="Arial"/>
          <w:sz w:val="24"/>
          <w:szCs w:val="24"/>
        </w:rPr>
        <w:t xml:space="preserve"> </w:t>
      </w:r>
      <w:r w:rsidR="00245776" w:rsidRPr="00245776">
        <w:rPr>
          <w:rFonts w:ascii="Palatino Linotype" w:eastAsia="Calibri" w:hAnsi="Palatino Linotype" w:cs="Arial"/>
          <w:b/>
          <w:bCs/>
          <w:sz w:val="24"/>
        </w:rPr>
        <w:t>Ayuntamiento de Nextlalpan</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40B84C63"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245776">
        <w:rPr>
          <w:rFonts w:ascii="Palatino Linotype" w:eastAsia="Calibri" w:hAnsi="Palatino Linotype" w:cs="Arial"/>
          <w:sz w:val="24"/>
          <w:lang w:val="es-ES"/>
        </w:rPr>
        <w:t>veintiocho</w:t>
      </w:r>
      <w:r w:rsidR="000904E7">
        <w:rPr>
          <w:rFonts w:ascii="Palatino Linotype" w:eastAsia="Calibri" w:hAnsi="Palatino Linotype" w:cs="Arial"/>
          <w:sz w:val="24"/>
          <w:lang w:val="es-ES"/>
        </w:rPr>
        <w:t xml:space="preserve"> (</w:t>
      </w:r>
      <w:r w:rsidR="00245776">
        <w:rPr>
          <w:rFonts w:ascii="Palatino Linotype" w:eastAsia="Calibri" w:hAnsi="Palatino Linotype" w:cs="Arial"/>
          <w:sz w:val="24"/>
          <w:lang w:val="es-ES"/>
        </w:rPr>
        <w:t>28</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D6154B">
        <w:rPr>
          <w:rFonts w:ascii="Palatino Linotype" w:eastAsia="Calibri" w:hAnsi="Palatino Linotype" w:cs="Arial"/>
          <w:sz w:val="24"/>
          <w:lang w:val="es-ES"/>
        </w:rPr>
        <w:t>noviembre</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D6154B">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245776">
        <w:rPr>
          <w:rFonts w:ascii="Palatino Linotype" w:hAnsi="Palatino Linotype" w:cs="Arial"/>
          <w:b/>
          <w:sz w:val="24"/>
          <w:lang w:val="es-ES"/>
        </w:rPr>
        <w:t>141/NEXTLAL</w:t>
      </w:r>
      <w:r w:rsidR="00B9698C">
        <w:rPr>
          <w:rFonts w:ascii="Palatino Linotype" w:hAnsi="Palatino Linotype" w:cs="Arial"/>
          <w:b/>
          <w:sz w:val="24"/>
          <w:lang w:val="es-ES"/>
        </w:rPr>
        <w:t>/</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1A6380">
        <w:rPr>
          <w:rFonts w:ascii="Palatino Linotype" w:hAnsi="Palatino Linotype" w:cs="Arial"/>
          <w:b/>
          <w:sz w:val="24"/>
          <w:lang w:val="es-ES"/>
        </w:rPr>
        <w:t xml:space="preserve">, </w:t>
      </w:r>
      <w:r w:rsidR="001A6380" w:rsidRPr="001A6380">
        <w:rPr>
          <w:rFonts w:ascii="Palatino Linotype" w:hAnsi="Palatino Linotype" w:cs="Arial"/>
          <w:sz w:val="24"/>
          <w:lang w:val="es-ES"/>
        </w:rPr>
        <w:t>en la que</w:t>
      </w:r>
      <w:r w:rsidR="008A2519" w:rsidRPr="001A6380">
        <w:rPr>
          <w:rFonts w:ascii="Palatino Linotype" w:eastAsia="Calibri" w:hAnsi="Palatino Linotype" w:cs="Arial"/>
          <w:sz w:val="24"/>
          <w:lang w:val="es-ES"/>
        </w:rPr>
        <w:t xml:space="preserve"> solicitó</w:t>
      </w:r>
      <w:r w:rsidR="008A2519" w:rsidRPr="006C28CC">
        <w:rPr>
          <w:rFonts w:ascii="Palatino Linotype" w:eastAsia="Calibri" w:hAnsi="Palatino Linotype" w:cs="Arial"/>
          <w:sz w:val="24"/>
          <w:lang w:val="es-ES"/>
        </w:rPr>
        <w:t xml:space="preserve">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4A0F685B" w:rsidR="00AF085A" w:rsidRPr="001A6380" w:rsidRDefault="00124A99" w:rsidP="00124A99">
      <w:pPr>
        <w:pStyle w:val="Prrafodelista"/>
        <w:spacing w:line="360" w:lineRule="auto"/>
        <w:ind w:left="567"/>
        <w:jc w:val="both"/>
        <w:rPr>
          <w:rFonts w:ascii="Palatino Linotype" w:hAnsi="Palatino Linotype"/>
          <w:i/>
          <w:sz w:val="24"/>
        </w:rPr>
      </w:pPr>
      <w:r w:rsidRPr="001A6380">
        <w:rPr>
          <w:rFonts w:ascii="Palatino Linotype" w:hAnsi="Palatino Linotype"/>
          <w:i/>
          <w:sz w:val="24"/>
        </w:rPr>
        <w:t>“</w:t>
      </w:r>
      <w:r w:rsidR="00245776" w:rsidRPr="001A6380">
        <w:rPr>
          <w:rFonts w:ascii="Palatino Linotype" w:hAnsi="Palatino Linotype"/>
          <w:i/>
          <w:sz w:val="24"/>
        </w:rPr>
        <w:t>Cuanto fue el presupuesto asignado para el Festival Cultural De la Feria de la Mezclilla 2022, de que partidas presupuestarias tomaron el dinero, así como mencionen cuales son fueron los gastos materiales, el pago de cada uno de los que intervinieron en dicho evento (artistitas).</w:t>
      </w:r>
      <w:r w:rsidRPr="001A6380">
        <w:rPr>
          <w:rFonts w:ascii="Palatino Linotype" w:hAnsi="Palatino Linotype"/>
          <w:i/>
          <w:sz w:val="24"/>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3E376108" w14:textId="35B2E305" w:rsidR="004B6D60"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 xml:space="preserve">El </w:t>
      </w:r>
      <w:r w:rsidR="00245776">
        <w:rPr>
          <w:rFonts w:ascii="Palatino Linotype" w:hAnsi="Palatino Linotype" w:cs="Arial"/>
          <w:sz w:val="24"/>
          <w:lang w:val="es-ES"/>
        </w:rPr>
        <w:t>diecinueve</w:t>
      </w:r>
      <w:r w:rsidR="004B6D60">
        <w:rPr>
          <w:rFonts w:ascii="Palatino Linotype" w:hAnsi="Palatino Linotype" w:cs="Arial"/>
          <w:sz w:val="24"/>
          <w:lang w:val="es-ES"/>
        </w:rPr>
        <w:t xml:space="preserve"> (</w:t>
      </w:r>
      <w:r w:rsidR="00245776">
        <w:rPr>
          <w:rFonts w:ascii="Palatino Linotype" w:hAnsi="Palatino Linotype" w:cs="Arial"/>
          <w:sz w:val="24"/>
          <w:lang w:val="es-ES"/>
        </w:rPr>
        <w:t>19</w:t>
      </w:r>
      <w:r w:rsidR="004B6D60">
        <w:rPr>
          <w:rFonts w:ascii="Palatino Linotype" w:hAnsi="Palatino Linotype" w:cs="Arial"/>
          <w:sz w:val="24"/>
          <w:lang w:val="es-ES"/>
        </w:rPr>
        <w:t xml:space="preserve">) de </w:t>
      </w:r>
      <w:r w:rsidR="00D6154B">
        <w:rPr>
          <w:rFonts w:ascii="Palatino Linotype" w:hAnsi="Palatino Linotype" w:cs="Arial"/>
          <w:sz w:val="24"/>
          <w:lang w:val="es-ES"/>
        </w:rPr>
        <w:t>diciembre</w:t>
      </w:r>
      <w:r w:rsidR="004B6D60">
        <w:rPr>
          <w:rFonts w:ascii="Palatino Linotype" w:hAnsi="Palatino Linotype" w:cs="Arial"/>
          <w:sz w:val="24"/>
          <w:lang w:val="es-ES"/>
        </w:rPr>
        <w:t xml:space="preserve"> </w:t>
      </w:r>
      <w:r>
        <w:rPr>
          <w:rFonts w:ascii="Palatino Linotype" w:hAnsi="Palatino Linotype" w:cs="Arial"/>
          <w:sz w:val="24"/>
          <w:lang w:val="es-ES"/>
        </w:rPr>
        <w:t>de dos mil veinti</w:t>
      </w:r>
      <w:r w:rsidR="00D6154B">
        <w:rPr>
          <w:rFonts w:ascii="Palatino Linotype" w:hAnsi="Palatino Linotype" w:cs="Arial"/>
          <w:sz w:val="24"/>
          <w:lang w:val="es-ES"/>
        </w:rPr>
        <w:t>dós</w:t>
      </w:r>
      <w:r w:rsidR="00B762EE">
        <w:rPr>
          <w:rFonts w:ascii="Palatino Linotype" w:hAnsi="Palatino Linotype" w:cs="Arial"/>
          <w:sz w:val="24"/>
          <w:lang w:val="es-ES"/>
        </w:rPr>
        <w:t xml:space="preserve"> dio respuesta a la solicitud en los siguientes términos:</w:t>
      </w:r>
    </w:p>
    <w:p w14:paraId="1AC6E23D" w14:textId="77777777" w:rsidR="004B6D60" w:rsidRDefault="004B6D60" w:rsidP="004B6D60">
      <w:pPr>
        <w:pStyle w:val="Prrafodelista"/>
        <w:rPr>
          <w:rFonts w:ascii="Palatino Linotype" w:hAnsi="Palatino Linotype" w:cs="Arial"/>
          <w:sz w:val="24"/>
          <w:lang w:val="es-ES"/>
        </w:rPr>
      </w:pPr>
    </w:p>
    <w:p w14:paraId="576027E8" w14:textId="77777777" w:rsidR="00245776" w:rsidRPr="00245776" w:rsidRDefault="00B9698C" w:rsidP="00245776">
      <w:pPr>
        <w:pStyle w:val="Prrafodelista"/>
        <w:rPr>
          <w:rFonts w:ascii="Palatino Linotype" w:hAnsi="Palatino Linotype" w:cs="Arial"/>
          <w:i/>
          <w:szCs w:val="20"/>
          <w:lang w:val="es-ES"/>
        </w:rPr>
      </w:pPr>
      <w:r>
        <w:rPr>
          <w:rFonts w:ascii="Palatino Linotype" w:hAnsi="Palatino Linotype" w:cs="Arial"/>
          <w:i/>
          <w:szCs w:val="20"/>
          <w:lang w:val="es-ES"/>
        </w:rPr>
        <w:t>“</w:t>
      </w:r>
      <w:r w:rsidR="00245776" w:rsidRPr="00245776">
        <w:rPr>
          <w:rFonts w:ascii="Palatino Linotype" w:hAnsi="Palatino Linotype" w:cs="Arial"/>
          <w:i/>
          <w:szCs w:val="20"/>
          <w:lang w:val="es-ES"/>
        </w:rPr>
        <w:t>SE ENVIA CONTESTACION</w:t>
      </w:r>
    </w:p>
    <w:p w14:paraId="1EE7E585" w14:textId="77777777" w:rsidR="00245776" w:rsidRPr="00245776" w:rsidRDefault="00245776" w:rsidP="00245776">
      <w:pPr>
        <w:pStyle w:val="Prrafodelista"/>
        <w:rPr>
          <w:rFonts w:ascii="Palatino Linotype" w:hAnsi="Palatino Linotype" w:cs="Arial"/>
          <w:i/>
          <w:szCs w:val="20"/>
          <w:lang w:val="es-ES"/>
        </w:rPr>
      </w:pPr>
      <w:r w:rsidRPr="00245776">
        <w:rPr>
          <w:rFonts w:ascii="Palatino Linotype" w:hAnsi="Palatino Linotype" w:cs="Arial"/>
          <w:i/>
          <w:szCs w:val="20"/>
          <w:lang w:val="es-ES"/>
        </w:rPr>
        <w:t>ATENTAMENTE</w:t>
      </w:r>
    </w:p>
    <w:p w14:paraId="3975477E" w14:textId="415CEAEB" w:rsidR="00670CBE" w:rsidRDefault="00245776" w:rsidP="00245776">
      <w:pPr>
        <w:pStyle w:val="Prrafodelista"/>
        <w:rPr>
          <w:rFonts w:ascii="Palatino Linotype" w:hAnsi="Palatino Linotype" w:cs="Arial"/>
          <w:sz w:val="24"/>
          <w:lang w:val="es-ES"/>
        </w:rPr>
      </w:pPr>
      <w:r w:rsidRPr="00245776">
        <w:rPr>
          <w:rFonts w:ascii="Palatino Linotype" w:hAnsi="Palatino Linotype" w:cs="Arial"/>
          <w:i/>
          <w:szCs w:val="20"/>
          <w:lang w:val="es-ES"/>
        </w:rPr>
        <w:t>C. ISABELA MARIANA ARENAS ZÁRATE</w:t>
      </w:r>
      <w:r w:rsidR="00B9698C">
        <w:rPr>
          <w:rFonts w:ascii="Palatino Linotype" w:hAnsi="Palatino Linotype" w:cs="Arial"/>
          <w:i/>
          <w:szCs w:val="20"/>
          <w:lang w:val="es-ES"/>
        </w:rPr>
        <w:t xml:space="preserve">” (sic) </w:t>
      </w:r>
    </w:p>
    <w:p w14:paraId="6344766D" w14:textId="77777777" w:rsidR="00670CBE" w:rsidRPr="004B6D60" w:rsidRDefault="00670CBE" w:rsidP="004B6D60">
      <w:pPr>
        <w:pStyle w:val="Prrafodelista"/>
        <w:rPr>
          <w:rFonts w:ascii="Palatino Linotype" w:hAnsi="Palatino Linotype" w:cs="Arial"/>
          <w:sz w:val="24"/>
          <w:lang w:val="es-ES"/>
        </w:rPr>
      </w:pPr>
    </w:p>
    <w:p w14:paraId="49875AEA" w14:textId="0AEC01E8" w:rsidR="00B762EE" w:rsidRPr="00245776"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Adjunto a la respues</w:t>
      </w:r>
      <w:r w:rsidR="00670CBE">
        <w:rPr>
          <w:rFonts w:ascii="Palatino Linotype" w:hAnsi="Palatino Linotype" w:cs="Arial"/>
          <w:sz w:val="24"/>
        </w:rPr>
        <w:t>ta, el Sujeto Obligado remitió el siguientes documento</w:t>
      </w:r>
      <w:r>
        <w:rPr>
          <w:rFonts w:ascii="Palatino Linotype" w:hAnsi="Palatino Linotype" w:cs="Arial"/>
          <w:sz w:val="24"/>
        </w:rPr>
        <w:t xml:space="preserve"> electrónico:</w:t>
      </w:r>
    </w:p>
    <w:p w14:paraId="6E926E26" w14:textId="77777777" w:rsidR="00245776" w:rsidRPr="001A6380" w:rsidRDefault="00245776" w:rsidP="00245776">
      <w:pPr>
        <w:pStyle w:val="Prrafodelista"/>
        <w:spacing w:before="240" w:after="240" w:line="360" w:lineRule="auto"/>
        <w:ind w:left="0"/>
        <w:jc w:val="both"/>
        <w:rPr>
          <w:rFonts w:ascii="Palatino Linotype" w:hAnsi="Palatino Linotype" w:cs="Arial"/>
          <w:i/>
        </w:rPr>
      </w:pPr>
    </w:p>
    <w:p w14:paraId="54F64A59" w14:textId="70D890E2" w:rsidR="00245776" w:rsidRPr="001A6380" w:rsidRDefault="00245776" w:rsidP="00D6154B">
      <w:pPr>
        <w:pStyle w:val="Prrafodelista"/>
        <w:numPr>
          <w:ilvl w:val="0"/>
          <w:numId w:val="35"/>
        </w:numPr>
        <w:spacing w:before="240" w:after="240" w:line="360" w:lineRule="auto"/>
        <w:jc w:val="both"/>
        <w:rPr>
          <w:rFonts w:ascii="Palatino Linotype" w:hAnsi="Palatino Linotype" w:cs="Arial"/>
          <w:b/>
        </w:rPr>
      </w:pPr>
      <w:r w:rsidRPr="001A6380">
        <w:rPr>
          <w:rFonts w:ascii="Palatino Linotype" w:hAnsi="Palatino Linotype" w:cs="Arial"/>
          <w:b/>
          <w:bCs/>
        </w:rPr>
        <w:t>SAIMEX 00141.pdf</w:t>
      </w:r>
      <w:r w:rsidR="00D6154B" w:rsidRPr="001A6380">
        <w:rPr>
          <w:rFonts w:ascii="Palatino Linotype" w:hAnsi="Palatino Linotype" w:cs="Arial"/>
          <w:b/>
          <w:bCs/>
        </w:rPr>
        <w:t xml:space="preserve">: </w:t>
      </w:r>
      <w:r w:rsidRPr="001A6380">
        <w:rPr>
          <w:rFonts w:ascii="Palatino Linotype" w:hAnsi="Palatino Linotype" w:cs="Arial"/>
          <w:bCs/>
        </w:rPr>
        <w:t>Documento que se integra por dos oficios, el primero NEXUTAIP/402/2022, suscrito por la Titular de la Unidad de Transparencia mediante el cual indica que adjunta la respuesta emitida por la Dependencia correspondiente. El segundo oficio es el TESMUN/00223/2022 suscrito por la Tesorera Municipal, mediante el cual refiere que la información requerida es clasificada como reservada y/o confidencial.</w:t>
      </w:r>
    </w:p>
    <w:p w14:paraId="2D649D0B" w14:textId="77777777" w:rsidR="00B9698C" w:rsidRPr="001A6380" w:rsidRDefault="00B9698C" w:rsidP="00B9698C">
      <w:pPr>
        <w:pStyle w:val="Prrafodelista"/>
        <w:spacing w:before="240" w:after="240" w:line="360" w:lineRule="auto"/>
        <w:ind w:left="567"/>
        <w:jc w:val="both"/>
        <w:rPr>
          <w:rStyle w:val="Hipervnculo"/>
          <w:rFonts w:ascii="Palatino Linotype" w:hAnsi="Palatino Linotype" w:cs="Arial"/>
          <w:color w:val="auto"/>
          <w:u w:val="none"/>
        </w:rPr>
      </w:pPr>
    </w:p>
    <w:p w14:paraId="518CDCD9" w14:textId="346865E1"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D6154B">
        <w:rPr>
          <w:rFonts w:ascii="Palatino Linotype" w:eastAsia="Calibri" w:hAnsi="Palatino Linotype" w:cs="Arial"/>
          <w:sz w:val="24"/>
          <w:lang w:val="es-AR"/>
        </w:rPr>
        <w:t>nueve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D6154B">
        <w:rPr>
          <w:rFonts w:ascii="Palatino Linotype" w:eastAsia="Calibri" w:hAnsi="Palatino Linotype" w:cs="Arial"/>
          <w:sz w:val="24"/>
          <w:lang w:val="es-AR"/>
        </w:rPr>
        <w:t>9</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D6154B">
        <w:rPr>
          <w:rFonts w:ascii="Palatino Linotype" w:eastAsia="Calibri" w:hAnsi="Palatino Linotype" w:cs="Arial"/>
          <w:sz w:val="24"/>
          <w:lang w:val="es-AR"/>
        </w:rPr>
        <w:t>enero</w:t>
      </w:r>
      <w:r w:rsidR="00C30A56">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1A6380" w:rsidRDefault="00F714A9" w:rsidP="005000AA">
      <w:pPr>
        <w:pStyle w:val="Prrafodelista"/>
        <w:rPr>
          <w:rFonts w:ascii="Palatino Linotype" w:eastAsia="Calibri" w:hAnsi="Palatino Linotype" w:cs="Tahoma"/>
          <w:b/>
          <w:szCs w:val="22"/>
          <w:lang w:eastAsia="en-US"/>
        </w:rPr>
      </w:pPr>
    </w:p>
    <w:p w14:paraId="137ACA93" w14:textId="7BD24728" w:rsidR="00F714A9" w:rsidRPr="001A6380" w:rsidRDefault="00F714A9" w:rsidP="00F714A9">
      <w:pPr>
        <w:pStyle w:val="Prrafodelista"/>
        <w:spacing w:line="360" w:lineRule="auto"/>
        <w:jc w:val="both"/>
        <w:rPr>
          <w:rFonts w:ascii="Palatino Linotype" w:hAnsi="Palatino Linotype"/>
          <w:bCs/>
          <w:i/>
          <w:iCs/>
          <w:szCs w:val="22"/>
        </w:rPr>
      </w:pPr>
      <w:r w:rsidRPr="001A6380">
        <w:rPr>
          <w:rFonts w:ascii="Palatino Linotype" w:hAnsi="Palatino Linotype"/>
          <w:b/>
          <w:szCs w:val="22"/>
        </w:rPr>
        <w:t xml:space="preserve">Acto impugnado: </w:t>
      </w:r>
      <w:r w:rsidRPr="001A6380">
        <w:rPr>
          <w:rFonts w:ascii="Palatino Linotype" w:hAnsi="Palatino Linotype"/>
          <w:bCs/>
          <w:i/>
          <w:iCs/>
          <w:szCs w:val="22"/>
        </w:rPr>
        <w:t>“</w:t>
      </w:r>
      <w:r w:rsidR="00245776" w:rsidRPr="001A6380">
        <w:rPr>
          <w:rFonts w:ascii="Palatino Linotype" w:hAnsi="Palatino Linotype"/>
          <w:bCs/>
          <w:i/>
          <w:iCs/>
          <w:szCs w:val="22"/>
        </w:rPr>
        <w:t xml:space="preserve">TODA INFORMACIÓN QUE SE SOLICITA A ESTE AYUNTAMIENTO LA QUIEREN PONER COMO INFORMACIÓN RESERVADA, AUNADO A ESTO NO PRESENTA EL ACUERDO DEL COMITE DE TRANPSARENCIA QUE ACREDITE DICHA INFORMACIÓN . PRESENTA SU FUNDAMENTO EN DOS FRACCIONES DE LA RESERVA, NO MUESTRA LA </w:t>
      </w:r>
      <w:r w:rsidR="00245776" w:rsidRPr="001A6380">
        <w:rPr>
          <w:rFonts w:ascii="Palatino Linotype" w:hAnsi="Palatino Linotype"/>
          <w:bCs/>
          <w:i/>
          <w:iCs/>
          <w:szCs w:val="22"/>
        </w:rPr>
        <w:lastRenderedPageBreak/>
        <w:t>PRUEBA DE DAÑO NI PERJUCIO QUE OCACIONA EL PROPORCIOANR O NO ESTA INFORMACIÓN.</w:t>
      </w:r>
      <w:r w:rsidRPr="001A6380">
        <w:rPr>
          <w:rFonts w:ascii="Palatino Linotype" w:hAnsi="Palatino Linotype"/>
          <w:bCs/>
          <w:i/>
          <w:iCs/>
          <w:szCs w:val="22"/>
        </w:rPr>
        <w:t>”</w:t>
      </w:r>
      <w:r w:rsidR="00B83EE1" w:rsidRPr="001A6380">
        <w:rPr>
          <w:rFonts w:ascii="Palatino Linotype" w:hAnsi="Palatino Linotype"/>
          <w:bCs/>
          <w:i/>
          <w:iCs/>
          <w:szCs w:val="22"/>
        </w:rPr>
        <w:t xml:space="preserve"> (sic)</w:t>
      </w:r>
    </w:p>
    <w:p w14:paraId="0F38B6A1" w14:textId="3A9FAEBE" w:rsidR="001A0283" w:rsidRPr="001A6380" w:rsidRDefault="00ED737F" w:rsidP="00ED737F">
      <w:pPr>
        <w:pStyle w:val="Prrafodelista"/>
        <w:spacing w:line="360" w:lineRule="auto"/>
        <w:jc w:val="both"/>
        <w:rPr>
          <w:rFonts w:ascii="Palatino Linotype" w:hAnsi="Palatino Linotype"/>
          <w:b/>
          <w:szCs w:val="22"/>
        </w:rPr>
      </w:pPr>
      <w:r w:rsidRPr="001A6380">
        <w:rPr>
          <w:rFonts w:ascii="Palatino Linotype" w:hAnsi="Palatino Linotype"/>
          <w:b/>
          <w:szCs w:val="22"/>
        </w:rPr>
        <w:t>Motivos o razones de inconformidad</w:t>
      </w:r>
      <w:r w:rsidR="001A0283" w:rsidRPr="001A6380">
        <w:rPr>
          <w:rFonts w:ascii="Palatino Linotype" w:hAnsi="Palatino Linotype"/>
          <w:b/>
          <w:szCs w:val="22"/>
        </w:rPr>
        <w:t>: “</w:t>
      </w:r>
      <w:r w:rsidR="00245776" w:rsidRPr="001A6380">
        <w:rPr>
          <w:rFonts w:ascii="Palatino Linotype" w:hAnsi="Palatino Linotype"/>
          <w:bCs/>
          <w:i/>
          <w:iCs/>
          <w:szCs w:val="22"/>
        </w:rPr>
        <w:t>TODA INFORMACIÓN QUE SE SOLICITA A ESTE AYUNTAMIENTO LA QUIEREN PONER COMO INFORMACIÓN RESERVADA, AUNADO A ESTO NO PRESENTA EL ACUERDO DEL COMITE DE TRANPSARENCIA QUE ACREDITE DICHA INFORMACIÓN. NO MUESTRA LA PRUEBA DE DAÑO NI EL PERJUCIO QUE OCACIONA EL PROPORCIOANRA O NO ESTA INFORMACIÓN.</w:t>
      </w:r>
      <w:r w:rsidR="001A0283" w:rsidRPr="001A6380">
        <w:rPr>
          <w:rFonts w:ascii="Palatino Linotype" w:hAnsi="Palatino Linotype" w:cstheme="minorBidi"/>
          <w:bCs/>
          <w:i/>
          <w:iCs/>
          <w:szCs w:val="22"/>
        </w:rPr>
        <w:t>” (sic)</w:t>
      </w:r>
    </w:p>
    <w:p w14:paraId="7CE208EC" w14:textId="77777777" w:rsidR="001A0283" w:rsidRPr="001A6380"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114ED59A" w14:textId="250924F2" w:rsidR="00245776" w:rsidRDefault="00245776" w:rsidP="00245776">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45776">
        <w:rPr>
          <w:rFonts w:ascii="Palatino Linotype" w:eastAsia="Calibri" w:hAnsi="Palatino Linotype" w:cs="Arial"/>
          <w:sz w:val="24"/>
          <w:lang w:val="es-AR"/>
        </w:rPr>
        <w:t>El Particular adjuntó el documento electrónico denominado SAIMEX 00141.pdf que corresponde a la respuesta que otorgó el Sujeto Obligado a la solicitud.</w:t>
      </w:r>
    </w:p>
    <w:p w14:paraId="6ADB0F22" w14:textId="77777777" w:rsidR="00245776" w:rsidRPr="00245776" w:rsidRDefault="00245776" w:rsidP="00245776">
      <w:pPr>
        <w:pStyle w:val="Prrafodelista"/>
        <w:spacing w:before="240" w:after="240" w:line="360" w:lineRule="auto"/>
        <w:ind w:left="0"/>
        <w:jc w:val="both"/>
        <w:rPr>
          <w:rFonts w:ascii="Palatino Linotype" w:eastAsia="Calibri" w:hAnsi="Palatino Linotype" w:cs="Arial"/>
          <w:sz w:val="24"/>
          <w:lang w:val="es-AR"/>
        </w:rPr>
      </w:pPr>
    </w:p>
    <w:p w14:paraId="5BE2AC11" w14:textId="6335F730"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w:t>
      </w:r>
      <w:r w:rsidR="00186A6F">
        <w:rPr>
          <w:rFonts w:ascii="Palatino Linotype" w:hAnsi="Palatino Linotype" w:cs="Arial"/>
          <w:sz w:val="24"/>
          <w:lang w:val="es-ES"/>
        </w:rPr>
        <w:t>ó</w:t>
      </w:r>
      <w:r w:rsidRPr="007C7FFD">
        <w:rPr>
          <w:rFonts w:ascii="Palatino Linotype" w:hAnsi="Palatino Linotype" w:cs="Arial"/>
          <w:sz w:val="24"/>
          <w:lang w:val="es-ES"/>
        </w:rPr>
        <w:t xml:space="preserve"> </w:t>
      </w:r>
      <w:r w:rsidR="00186A6F">
        <w:rPr>
          <w:rFonts w:ascii="Palatino Linotype" w:hAnsi="Palatino Linotype" w:cs="Arial"/>
          <w:sz w:val="24"/>
          <w:lang w:val="es-ES"/>
        </w:rPr>
        <w:t>el</w:t>
      </w:r>
      <w:r w:rsidRPr="007C7FFD">
        <w:rPr>
          <w:rFonts w:ascii="Palatino Linotype" w:hAnsi="Palatino Linotype" w:cs="Arial"/>
          <w:sz w:val="24"/>
          <w:lang w:val="es-ES"/>
        </w:rPr>
        <w:t xml:space="preserve"> recurso de revisión bajo </w:t>
      </w:r>
      <w:r w:rsidR="00186A6F">
        <w:rPr>
          <w:rFonts w:ascii="Palatino Linotype" w:hAnsi="Palatino Linotype" w:cs="Arial"/>
          <w:sz w:val="24"/>
          <w:lang w:val="es-ES"/>
        </w:rPr>
        <w:t xml:space="preserve">el </w:t>
      </w:r>
      <w:r w:rsidRPr="007C7FFD">
        <w:rPr>
          <w:rFonts w:ascii="Palatino Linotype" w:hAnsi="Palatino Linotype" w:cs="Arial"/>
          <w:sz w:val="24"/>
          <w:lang w:val="es-ES"/>
        </w:rPr>
        <w:t xml:space="preserve">número de expediente </w:t>
      </w:r>
      <w:r w:rsidRPr="007C7FFD">
        <w:rPr>
          <w:rFonts w:ascii="Palatino Linotype" w:hAnsi="Palatino Linotype" w:cs="Arial"/>
          <w:bCs/>
          <w:sz w:val="24"/>
        </w:rPr>
        <w:t xml:space="preserve">al rubro indicado,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1A6380">
        <w:rPr>
          <w:rFonts w:ascii="Palatino Linotype" w:hAnsi="Palatino Linotype" w:cs="Arial"/>
          <w:sz w:val="24"/>
          <w:lang w:val="es-ES"/>
        </w:rPr>
        <w:t>para</w:t>
      </w:r>
      <w:r w:rsidRPr="007C7FFD">
        <w:rPr>
          <w:rFonts w:ascii="Palatino Linotype" w:hAnsi="Palatino Linotype" w:cs="Arial"/>
          <w:sz w:val="24"/>
          <w:lang w:val="es-ES"/>
        </w:rPr>
        <w:t xml:space="preserv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858DC4F"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1A6380">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B27FB4">
        <w:rPr>
          <w:rFonts w:ascii="Palatino Linotype" w:eastAsia="Calibri" w:hAnsi="Palatino Linotype" w:cs="Arial"/>
          <w:sz w:val="24"/>
          <w:lang w:val="es-ES"/>
        </w:rPr>
        <w:t>diecinueve</w:t>
      </w:r>
      <w:r w:rsidR="00ED737F">
        <w:rPr>
          <w:rFonts w:ascii="Palatino Linotype" w:eastAsia="Calibri" w:hAnsi="Palatino Linotype" w:cs="Arial"/>
          <w:sz w:val="24"/>
          <w:lang w:val="es-ES"/>
        </w:rPr>
        <w:t xml:space="preserve"> (</w:t>
      </w:r>
      <w:r w:rsidR="00B27FB4">
        <w:rPr>
          <w:rFonts w:ascii="Palatino Linotype" w:eastAsia="Calibri" w:hAnsi="Palatino Linotype" w:cs="Arial"/>
          <w:sz w:val="24"/>
          <w:lang w:val="es-ES"/>
        </w:rPr>
        <w:t>19</w:t>
      </w:r>
      <w:r w:rsidR="00ED737F">
        <w:rPr>
          <w:rFonts w:ascii="Palatino Linotype" w:eastAsia="Calibri" w:hAnsi="Palatino Linotype" w:cs="Arial"/>
          <w:sz w:val="24"/>
          <w:lang w:val="es-ES"/>
        </w:rPr>
        <w:t xml:space="preserve">) </w:t>
      </w:r>
      <w:r w:rsidR="00C96392">
        <w:rPr>
          <w:rFonts w:ascii="Palatino Linotype" w:eastAsia="Calibri" w:hAnsi="Palatino Linotype" w:cs="Arial"/>
          <w:sz w:val="24"/>
          <w:lang w:val="es-ES"/>
        </w:rPr>
        <w:t xml:space="preserve">de </w:t>
      </w:r>
      <w:r w:rsidR="00B27FB4">
        <w:rPr>
          <w:rFonts w:ascii="Palatino Linotype" w:eastAsia="Calibri" w:hAnsi="Palatino Linotype" w:cs="Arial"/>
          <w:sz w:val="24"/>
          <w:lang w:val="es-ES"/>
        </w:rPr>
        <w:t>enero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7C7FFD">
        <w:rPr>
          <w:rFonts w:ascii="Palatino Linotype" w:eastAsia="Calibri" w:hAnsi="Palatino Linotype" w:cs="Arial"/>
          <w:sz w:val="24"/>
          <w:lang w:val="es-ES"/>
        </w:rPr>
        <w:lastRenderedPageBreak/>
        <w:t xml:space="preserve">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7CD3F9D5" w14:textId="79916875" w:rsidR="00B27FB4" w:rsidRPr="00B27FB4" w:rsidRDefault="00B27FB4" w:rsidP="00B27FB4">
      <w:pPr>
        <w:numPr>
          <w:ilvl w:val="0"/>
          <w:numId w:val="2"/>
        </w:numPr>
        <w:tabs>
          <w:tab w:val="left" w:pos="284"/>
        </w:tabs>
        <w:spacing w:before="240" w:after="240" w:line="360" w:lineRule="auto"/>
        <w:ind w:left="0" w:firstLine="0"/>
        <w:contextualSpacing/>
        <w:jc w:val="both"/>
        <w:rPr>
          <w:rFonts w:ascii="Palatino Linotype" w:hAnsi="Palatino Linotype"/>
          <w:i/>
          <w:color w:val="000000"/>
          <w:sz w:val="32"/>
          <w:lang w:val="es-ES_tradnl"/>
        </w:rPr>
      </w:pPr>
      <w:r w:rsidRPr="00B27FB4">
        <w:rPr>
          <w:rFonts w:ascii="Palatino Linotype" w:hAnsi="Palatino Linotype" w:cs="Arial"/>
          <w:color w:val="000000" w:themeColor="text1"/>
          <w:sz w:val="24"/>
        </w:rPr>
        <w:t>De las constancias que obran en los expedientes electrónicos del SAIMEX; se aprecia que, tanto el Sujeto Obligado como el Recurrente fueron omisos en realizar manifestaciones, presentar alegatos o r</w:t>
      </w:r>
      <w:r>
        <w:rPr>
          <w:rFonts w:ascii="Palatino Linotype" w:hAnsi="Palatino Linotype" w:cs="Arial"/>
          <w:color w:val="000000" w:themeColor="text1"/>
          <w:sz w:val="24"/>
        </w:rPr>
        <w:t>endir su informe justificado, se inserta imagen de referencia:</w:t>
      </w:r>
    </w:p>
    <w:p w14:paraId="5A613D13" w14:textId="77777777" w:rsidR="00B27FB4" w:rsidRDefault="00B27FB4" w:rsidP="00B27FB4">
      <w:pPr>
        <w:tabs>
          <w:tab w:val="left" w:pos="284"/>
        </w:tabs>
        <w:spacing w:before="240" w:after="240" w:line="360" w:lineRule="auto"/>
        <w:contextualSpacing/>
        <w:jc w:val="both"/>
        <w:rPr>
          <w:rFonts w:ascii="Palatino Linotype" w:hAnsi="Palatino Linotype" w:cs="Arial"/>
          <w:color w:val="000000" w:themeColor="text1"/>
          <w:sz w:val="24"/>
        </w:rPr>
      </w:pPr>
    </w:p>
    <w:p w14:paraId="6C1E96F2" w14:textId="501BBC56" w:rsidR="00B27FB4" w:rsidRPr="00B27FB4" w:rsidRDefault="00245776" w:rsidP="00B27FB4">
      <w:pPr>
        <w:tabs>
          <w:tab w:val="left" w:pos="284"/>
        </w:tabs>
        <w:spacing w:before="240" w:after="240" w:line="360" w:lineRule="auto"/>
        <w:contextualSpacing/>
        <w:jc w:val="both"/>
        <w:rPr>
          <w:rFonts w:ascii="Palatino Linotype" w:hAnsi="Palatino Linotype"/>
          <w:i/>
          <w:color w:val="000000"/>
          <w:sz w:val="32"/>
          <w:lang w:val="es-ES_tradnl"/>
        </w:rPr>
      </w:pPr>
      <w:r w:rsidRPr="00245776">
        <w:rPr>
          <w:rFonts w:ascii="Palatino Linotype" w:hAnsi="Palatino Linotype"/>
          <w:i/>
          <w:noProof/>
          <w:color w:val="000000"/>
          <w:sz w:val="32"/>
          <w:lang w:eastAsia="es-MX"/>
        </w:rPr>
        <w:drawing>
          <wp:inline distT="0" distB="0" distL="0" distR="0" wp14:anchorId="7A8B3755" wp14:editId="29843616">
            <wp:extent cx="5742940" cy="1683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83385"/>
                    </a:xfrm>
                    <a:prstGeom prst="rect">
                      <a:avLst/>
                    </a:prstGeom>
                  </pic:spPr>
                </pic:pic>
              </a:graphicData>
            </a:graphic>
          </wp:inline>
        </w:drawing>
      </w:r>
    </w:p>
    <w:p w14:paraId="3A437E20" w14:textId="6B2456B0" w:rsidR="00B27FB4" w:rsidRPr="00B27FB4" w:rsidRDefault="00B27FB4" w:rsidP="00B27FB4">
      <w:pPr>
        <w:numPr>
          <w:ilvl w:val="0"/>
          <w:numId w:val="2"/>
        </w:numPr>
        <w:tabs>
          <w:tab w:val="left" w:pos="284"/>
        </w:tabs>
        <w:spacing w:before="240" w:after="240" w:line="360" w:lineRule="auto"/>
        <w:ind w:left="0" w:firstLine="0"/>
        <w:contextualSpacing/>
        <w:jc w:val="both"/>
        <w:rPr>
          <w:rFonts w:ascii="Palatino Linotype" w:hAnsi="Palatino Linotype"/>
          <w:i/>
          <w:color w:val="000000"/>
          <w:sz w:val="32"/>
          <w:lang w:val="es-ES_tradnl"/>
        </w:rPr>
      </w:pPr>
      <w:r w:rsidRPr="00B27FB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A4A5EE0" w14:textId="77777777" w:rsidR="00B27FB4" w:rsidRPr="00B76C1D" w:rsidRDefault="00B27FB4" w:rsidP="00B27FB4">
      <w:pPr>
        <w:pStyle w:val="Prrafodelista"/>
        <w:tabs>
          <w:tab w:val="left" w:pos="284"/>
        </w:tabs>
        <w:spacing w:line="360" w:lineRule="auto"/>
        <w:ind w:left="0"/>
        <w:jc w:val="both"/>
        <w:rPr>
          <w:rFonts w:ascii="Palatino Linotype" w:hAnsi="Palatino Linotype" w:cs="Arial"/>
        </w:rPr>
      </w:pPr>
    </w:p>
    <w:p w14:paraId="22269BA2" w14:textId="77777777" w:rsidR="00B27FB4" w:rsidRPr="00B76C1D" w:rsidRDefault="00B27FB4" w:rsidP="00B27FB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B76C1D">
        <w:rPr>
          <w:rFonts w:ascii="Palatino Linotype" w:hAnsi="Palatino Linotype" w:cs="Arial"/>
          <w:b/>
          <w:bCs/>
          <w:i/>
          <w:iCs/>
          <w:color w:val="222222"/>
          <w:sz w:val="22"/>
          <w:lang w:val="es-ES_tradnl"/>
        </w:rPr>
        <w:t>QUEJA, RECURSO DE. LA OMISION DE RENDIR EL INFORME RESPECTIVO NO IMPIDE QUE SE RESUELV</w:t>
      </w:r>
      <w:r w:rsidRPr="00B76C1D">
        <w:rPr>
          <w:rFonts w:ascii="Palatino Linotype" w:hAnsi="Palatino Linotype" w:cs="Arial"/>
          <w:i/>
          <w:iCs/>
          <w:color w:val="222222"/>
          <w:sz w:val="22"/>
          <w:lang w:val="es-ES_tradnl"/>
        </w:rPr>
        <w:t xml:space="preserve">A. El artículo 98 de la Ley de Amparo prevé la </w:t>
      </w:r>
      <w:r w:rsidRPr="00B76C1D">
        <w:rPr>
          <w:rFonts w:ascii="Palatino Linotype" w:hAnsi="Palatino Linotype" w:cs="Arial"/>
          <w:i/>
          <w:iCs/>
          <w:color w:val="222222"/>
          <w:sz w:val="22"/>
          <w:lang w:val="es-ES_tradnl"/>
        </w:rPr>
        <w:lastRenderedPageBreak/>
        <w:t>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3E2D4AAD" w14:textId="77777777" w:rsidR="00B27FB4" w:rsidRPr="00B76C1D" w:rsidRDefault="00B27FB4" w:rsidP="00B27FB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D97917D" w14:textId="00DE6166" w:rsidR="00B27FB4" w:rsidRPr="00B27FB4" w:rsidRDefault="00B27FB4" w:rsidP="00B27FB4">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lang w:val="es-ES_tradnl"/>
        </w:rPr>
      </w:pPr>
      <w:r w:rsidRPr="00B27FB4">
        <w:rPr>
          <w:rFonts w:ascii="Palatino Linotype" w:hAnsi="Palatino Linotype" w:cs="Arial"/>
          <w:color w:val="222222"/>
          <w:sz w:val="24"/>
          <w:szCs w:val="24"/>
        </w:rPr>
        <w:t>Por lo cual se reitera, que la falta de informe justificado no impide que este Órgano Garante conozca y resuelva el recurso de revisión, solo propicia que el </w:t>
      </w:r>
      <w:r w:rsidRPr="00B27FB4">
        <w:rPr>
          <w:rFonts w:ascii="Palatino Linotype" w:hAnsi="Palatino Linotype" w:cs="Arial"/>
          <w:b/>
          <w:bCs/>
          <w:color w:val="222222"/>
          <w:sz w:val="24"/>
          <w:szCs w:val="24"/>
        </w:rPr>
        <w:t>SUJETO OBLIGADO</w:t>
      </w:r>
      <w:r w:rsidRPr="00B27FB4">
        <w:rPr>
          <w:rFonts w:ascii="Palatino Linotype" w:hAnsi="Palatino Linotype" w:cs="Arial"/>
          <w:color w:val="222222"/>
          <w:sz w:val="24"/>
          <w:szCs w:val="24"/>
        </w:rPr>
        <w:t> pierda la oportunidad de justificar su falta de respuesta y manifestar lo que a su derecho convenga.</w:t>
      </w:r>
    </w:p>
    <w:p w14:paraId="366189D6" w14:textId="1106C830"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B27FB4">
        <w:rPr>
          <w:rFonts w:ascii="Palatino Linotype" w:hAnsi="Palatino Linotype" w:cs="Arial"/>
          <w:color w:val="000000" w:themeColor="text1"/>
          <w:sz w:val="24"/>
        </w:rPr>
        <w:lastRenderedPageBreak/>
        <w:t>capacidades técnicas y humanas del personal encargado de la proyección de las resoluciones a dichos medios de impugnación.</w:t>
      </w:r>
    </w:p>
    <w:p w14:paraId="56F1AEEF"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10D0D8A6"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141945"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191A320D"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FEE93A"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7A461B00"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86D365"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568C865"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FDCAA86"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2F86BCBC" w14:textId="77777777" w:rsidR="00B27FB4" w:rsidRPr="001A6380"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1A6380">
        <w:rPr>
          <w:rFonts w:ascii="Palatino Linotype" w:hAnsi="Palatino Linotype" w:cs="Arial"/>
          <w:color w:val="000000" w:themeColor="text1"/>
        </w:rPr>
        <w:t>Complejidad del asunto: La complejidad de la prueba, la pluralidad de sujetos procesales, el tiempo transcurrido, las características y contexto del recurso.</w:t>
      </w:r>
    </w:p>
    <w:p w14:paraId="5F033AE8" w14:textId="77777777" w:rsidR="00B27FB4" w:rsidRPr="001A6380"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1A6380">
        <w:rPr>
          <w:rFonts w:ascii="Palatino Linotype" w:hAnsi="Palatino Linotype" w:cs="Arial"/>
          <w:color w:val="000000" w:themeColor="text1"/>
        </w:rPr>
        <w:t>Actividad Procesal del interesado: Acciones u omisiones del interesado.</w:t>
      </w:r>
    </w:p>
    <w:p w14:paraId="19F7C27B" w14:textId="77777777" w:rsidR="00B27FB4" w:rsidRPr="001A6380"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1A6380">
        <w:rPr>
          <w:rFonts w:ascii="Palatino Linotype" w:hAnsi="Palatino Linotype" w:cs="Arial"/>
          <w:color w:val="000000" w:themeColor="text1"/>
        </w:rPr>
        <w:t>Conducta de la Autoridad: Las Acciones u omisiones realizadas en el procedimiento. Así como si la autoridad actuó con la debida diligencia.</w:t>
      </w:r>
    </w:p>
    <w:p w14:paraId="50ECA73F" w14:textId="77777777" w:rsidR="00B27FB4" w:rsidRPr="001A6380" w:rsidRDefault="00B27FB4" w:rsidP="00B27FB4">
      <w:pPr>
        <w:pStyle w:val="Prrafodelista"/>
        <w:numPr>
          <w:ilvl w:val="2"/>
          <w:numId w:val="2"/>
        </w:numPr>
        <w:spacing w:line="360" w:lineRule="auto"/>
        <w:ind w:left="567" w:hanging="283"/>
        <w:jc w:val="both"/>
        <w:rPr>
          <w:rFonts w:ascii="Palatino Linotype" w:hAnsi="Palatino Linotype" w:cs="Arial"/>
          <w:color w:val="000000" w:themeColor="text1"/>
        </w:rPr>
      </w:pPr>
      <w:r w:rsidRPr="001A6380">
        <w:rPr>
          <w:rFonts w:ascii="Palatino Linotype" w:hAnsi="Palatino Linotype" w:cs="Arial"/>
          <w:color w:val="000000" w:themeColor="text1"/>
        </w:rPr>
        <w:t>La afectación generada en la situación jurídica de la persona involucrada en el proceso: Violación a sus derechos humanos.</w:t>
      </w:r>
    </w:p>
    <w:p w14:paraId="21D90F6E"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1F31A5E3"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B5AE69"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2AF0CDC9"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 xml:space="preserve">Argumento que encuentra sustento en la jurisprudencia P./J. 32/92 emitida por el Pleno de la Suprema Corte de Justicia de la Nación de rubro </w:t>
      </w:r>
      <w:r w:rsidRPr="00B27FB4">
        <w:rPr>
          <w:rFonts w:ascii="Palatino Linotype" w:hAnsi="Palatino Linotype" w:cs="Arial"/>
          <w:b/>
          <w:color w:val="000000" w:themeColor="text1"/>
          <w:sz w:val="24"/>
        </w:rPr>
        <w:t xml:space="preserve">“TÉRMINOS PROCESALES. PARA DETERMINAR SI UN FUNCIONARIO JUDICIAL ACTUÓ INDEBIDAMENTE POR NO RESPETARLOS SE DEBE ATENDER AL PRESUPUESTO QUE CONSIDERÓ EL LEGISLADOR AL FIJARLOS Y LAS </w:t>
      </w:r>
      <w:r w:rsidRPr="00B27FB4">
        <w:rPr>
          <w:rFonts w:ascii="Palatino Linotype" w:hAnsi="Palatino Linotype" w:cs="Arial"/>
          <w:b/>
          <w:color w:val="000000" w:themeColor="text1"/>
          <w:sz w:val="24"/>
        </w:rPr>
        <w:lastRenderedPageBreak/>
        <w:t>CARACTERÍSTICAS DEL CASO.”,</w:t>
      </w:r>
      <w:r w:rsidRPr="00B27FB4">
        <w:rPr>
          <w:rFonts w:ascii="Palatino Linotype" w:hAnsi="Palatino Linotype" w:cs="Arial"/>
          <w:color w:val="000000" w:themeColor="text1"/>
          <w:sz w:val="24"/>
        </w:rPr>
        <w:t xml:space="preserve"> visible en la Gaceta del Seminario Judicial de la Federación con el registro digital 205635.</w:t>
      </w:r>
    </w:p>
    <w:p w14:paraId="7313511D"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71BAF1C"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199C78" w14:textId="77777777" w:rsidR="00B27FB4" w:rsidRPr="00B27FB4" w:rsidRDefault="00B27FB4" w:rsidP="00B27FB4">
      <w:pPr>
        <w:spacing w:line="360" w:lineRule="auto"/>
        <w:jc w:val="both"/>
        <w:rPr>
          <w:rFonts w:ascii="Palatino Linotype" w:hAnsi="Palatino Linotype" w:cs="Arial"/>
          <w:color w:val="000000" w:themeColor="text1"/>
          <w:sz w:val="24"/>
          <w:szCs w:val="24"/>
        </w:rPr>
      </w:pPr>
    </w:p>
    <w:p w14:paraId="4D944C29" w14:textId="77777777" w:rsidR="00B27FB4" w:rsidRP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Al respecto, también son de considerar los criterios sostenidos por el Cuarto Tribunal Colegiado en Materia Administrativa del Primer Circuito, cuyos rubros y datos de identificación son los siguientes:</w:t>
      </w:r>
    </w:p>
    <w:p w14:paraId="4D3A8CF2" w14:textId="77777777" w:rsidR="00B27FB4" w:rsidRPr="001A6380" w:rsidRDefault="00B27FB4" w:rsidP="00B27FB4">
      <w:pPr>
        <w:spacing w:line="360" w:lineRule="auto"/>
        <w:jc w:val="both"/>
        <w:rPr>
          <w:rFonts w:ascii="Palatino Linotype" w:hAnsi="Palatino Linotype" w:cs="Arial"/>
          <w:color w:val="000000" w:themeColor="text1"/>
          <w:sz w:val="22"/>
          <w:szCs w:val="24"/>
        </w:rPr>
      </w:pPr>
    </w:p>
    <w:p w14:paraId="5A3E07C3" w14:textId="77777777" w:rsidR="00B27FB4" w:rsidRPr="001A6380" w:rsidRDefault="00B27FB4" w:rsidP="00B27FB4">
      <w:pPr>
        <w:pStyle w:val="Prrafodelista"/>
        <w:spacing w:line="360" w:lineRule="auto"/>
        <w:ind w:left="284"/>
        <w:jc w:val="both"/>
        <w:rPr>
          <w:rFonts w:ascii="Palatino Linotype" w:hAnsi="Palatino Linotype" w:cs="Arial"/>
          <w:color w:val="000000" w:themeColor="text1"/>
        </w:rPr>
      </w:pPr>
      <w:r w:rsidRPr="001A6380">
        <w:rPr>
          <w:rFonts w:ascii="Palatino Linotype" w:hAnsi="Palatino Linotype" w:cs="Arial"/>
          <w:color w:val="000000" w:themeColor="text1"/>
        </w:rPr>
        <w:t>“</w:t>
      </w:r>
      <w:r w:rsidRPr="001A6380">
        <w:rPr>
          <w:rFonts w:ascii="Palatino Linotype" w:hAnsi="Palatino Linotype" w:cs="Arial"/>
          <w:b/>
          <w:color w:val="000000" w:themeColor="text1"/>
        </w:rPr>
        <w:t>PLAZO RAZONABLE PARA RESOLVER. DIMENSIÓN Y EFECTOS DE ESTE CONCEPTO CUANDO SE ADUCE EXCESIVA CARGA DE TRABAJO</w:t>
      </w:r>
      <w:r w:rsidRPr="001A6380">
        <w:rPr>
          <w:rFonts w:ascii="Palatino Linotype" w:hAnsi="Palatino Linotype" w:cs="Arial"/>
          <w:color w:val="000000" w:themeColor="text1"/>
        </w:rPr>
        <w:t>.” consultable en el Seminario Judicial de la Federación y su gaceta, con el registro digital 2002351.</w:t>
      </w:r>
    </w:p>
    <w:p w14:paraId="18BCBA9B" w14:textId="77777777" w:rsidR="00B27FB4" w:rsidRPr="001A6380" w:rsidRDefault="00B27FB4" w:rsidP="00B27FB4">
      <w:pPr>
        <w:pStyle w:val="Prrafodelista"/>
        <w:spacing w:line="360" w:lineRule="auto"/>
        <w:ind w:left="284"/>
        <w:jc w:val="both"/>
        <w:rPr>
          <w:rFonts w:ascii="Palatino Linotype" w:hAnsi="Palatino Linotype" w:cs="Arial"/>
          <w:color w:val="000000" w:themeColor="text1"/>
        </w:rPr>
      </w:pPr>
      <w:r w:rsidRPr="001A6380">
        <w:rPr>
          <w:rFonts w:ascii="Palatino Linotype" w:hAnsi="Palatino Linotype" w:cs="Arial"/>
          <w:color w:val="000000" w:themeColor="text1"/>
        </w:rPr>
        <w:lastRenderedPageBreak/>
        <w:t>“</w:t>
      </w:r>
      <w:r w:rsidRPr="001A6380">
        <w:rPr>
          <w:rFonts w:ascii="Palatino Linotype" w:hAnsi="Palatino Linotype" w:cs="Arial"/>
          <w:b/>
          <w:color w:val="000000" w:themeColor="text1"/>
        </w:rPr>
        <w:t>PLAZO RAZONABLE PARA RESOLVER. CONCEPTO Y ELEMENTOS QUE LO INTEGRAN A LA LUZ DEL DERECHO INTERNACIONAL DE LOS DERECHOS HUMANOS.</w:t>
      </w:r>
      <w:r w:rsidRPr="001A6380">
        <w:rPr>
          <w:rFonts w:ascii="Palatino Linotype" w:hAnsi="Palatino Linotype" w:cs="Arial"/>
          <w:color w:val="000000" w:themeColor="text1"/>
        </w:rPr>
        <w:t xml:space="preserve">”, visible en el Seminario Judicial de la Federación y su gaceta, con el registro digital 2002350. </w:t>
      </w:r>
    </w:p>
    <w:p w14:paraId="1B4F7BF7" w14:textId="77777777" w:rsidR="00B27FB4" w:rsidRPr="001A6380" w:rsidRDefault="00B27FB4" w:rsidP="00B27FB4">
      <w:pPr>
        <w:spacing w:line="360" w:lineRule="auto"/>
        <w:jc w:val="both"/>
        <w:rPr>
          <w:rFonts w:ascii="Palatino Linotype" w:hAnsi="Palatino Linotype" w:cs="Arial"/>
          <w:color w:val="000000" w:themeColor="text1"/>
          <w:sz w:val="22"/>
          <w:szCs w:val="24"/>
        </w:rPr>
      </w:pPr>
    </w:p>
    <w:p w14:paraId="53537A49" w14:textId="77777777" w:rsidR="00B27FB4" w:rsidRDefault="00B27FB4" w:rsidP="00B27FB4">
      <w:pPr>
        <w:pStyle w:val="Prrafodelista"/>
        <w:numPr>
          <w:ilvl w:val="0"/>
          <w:numId w:val="2"/>
        </w:numPr>
        <w:spacing w:line="360" w:lineRule="auto"/>
        <w:ind w:left="0" w:firstLine="0"/>
        <w:jc w:val="both"/>
        <w:rPr>
          <w:rFonts w:ascii="Palatino Linotype" w:hAnsi="Palatino Linotype" w:cs="Arial"/>
          <w:color w:val="000000" w:themeColor="text1"/>
          <w:sz w:val="24"/>
        </w:rPr>
      </w:pPr>
      <w:r w:rsidRPr="00B27FB4">
        <w:rPr>
          <w:rFonts w:ascii="Palatino Linotype" w:hAnsi="Palatino Linotype" w:cs="Arial"/>
          <w:color w:val="000000" w:themeColor="text1"/>
          <w:sz w:val="24"/>
        </w:rPr>
        <w:t>Por ello, este organismo garante comprometido con la tutela de los derechos humanos confiados, señala que este exceso del plazo legal para resolver el presente asunto, resulta de carácter excepcional.</w:t>
      </w:r>
    </w:p>
    <w:p w14:paraId="531520FC" w14:textId="77777777" w:rsidR="00245776" w:rsidRPr="00B27FB4" w:rsidRDefault="00245776" w:rsidP="00245776">
      <w:pPr>
        <w:pStyle w:val="Prrafodelista"/>
        <w:spacing w:line="360" w:lineRule="auto"/>
        <w:ind w:left="0"/>
        <w:jc w:val="both"/>
        <w:rPr>
          <w:rFonts w:ascii="Palatino Linotype" w:hAnsi="Palatino Linotype" w:cs="Arial"/>
          <w:color w:val="000000" w:themeColor="text1"/>
          <w:sz w:val="24"/>
        </w:rPr>
      </w:pPr>
    </w:p>
    <w:p w14:paraId="19650492" w14:textId="4D79968A" w:rsidR="00B27FB4" w:rsidRDefault="00B27FB4" w:rsidP="00FF2A7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diez (10) de julio de dos mil veintitrés, la Comisionada Ponente notificó el acuerdo de ampliación de plazo para emitir resolución.</w:t>
      </w:r>
    </w:p>
    <w:p w14:paraId="0339FE42" w14:textId="77777777" w:rsidR="00B27FB4" w:rsidRPr="00B27FB4" w:rsidRDefault="00B27FB4" w:rsidP="00B27FB4">
      <w:pPr>
        <w:pStyle w:val="Prrafodelista"/>
        <w:spacing w:line="360" w:lineRule="auto"/>
        <w:ind w:left="0"/>
        <w:jc w:val="both"/>
        <w:rPr>
          <w:rFonts w:ascii="Palatino Linotype" w:hAnsi="Palatino Linotype" w:cs="Tahoma"/>
          <w:sz w:val="24"/>
        </w:rPr>
      </w:pPr>
    </w:p>
    <w:p w14:paraId="04016115" w14:textId="5E5638F6" w:rsidR="00BC6FDD" w:rsidRPr="00FF2A7C" w:rsidRDefault="00FB22C0" w:rsidP="00FF2A7C">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sz w:val="24"/>
        </w:rPr>
        <w:t xml:space="preserve">El </w:t>
      </w:r>
      <w:r w:rsidR="00B27FB4">
        <w:rPr>
          <w:rFonts w:ascii="Palatino Linotype" w:hAnsi="Palatino Linotype"/>
          <w:sz w:val="24"/>
        </w:rPr>
        <w:t>veinticinco</w:t>
      </w:r>
      <w:r>
        <w:rPr>
          <w:rFonts w:ascii="Palatino Linotype" w:hAnsi="Palatino Linotype"/>
          <w:sz w:val="24"/>
        </w:rPr>
        <w:t xml:space="preserve"> </w:t>
      </w:r>
      <w:r w:rsidR="00393E30">
        <w:rPr>
          <w:rFonts w:ascii="Palatino Linotype" w:hAnsi="Palatino Linotype"/>
          <w:sz w:val="24"/>
        </w:rPr>
        <w:t>(</w:t>
      </w:r>
      <w:r w:rsidR="00B27FB4">
        <w:rPr>
          <w:rFonts w:ascii="Palatino Linotype" w:hAnsi="Palatino Linotype"/>
          <w:sz w:val="24"/>
        </w:rPr>
        <w:t>25</w:t>
      </w:r>
      <w:r w:rsidR="00393E30">
        <w:rPr>
          <w:rFonts w:ascii="Palatino Linotype" w:hAnsi="Palatino Linotype"/>
          <w:sz w:val="24"/>
        </w:rPr>
        <w:t xml:space="preserve">) de </w:t>
      </w:r>
      <w:r w:rsidR="001815DE">
        <w:rPr>
          <w:rFonts w:ascii="Palatino Linotype" w:hAnsi="Palatino Linotype"/>
          <w:sz w:val="24"/>
        </w:rPr>
        <w:t>octubre</w:t>
      </w:r>
      <w:r w:rsidR="00393E30">
        <w:rPr>
          <w:rFonts w:ascii="Palatino Linotype" w:hAnsi="Palatino Linotype"/>
          <w:sz w:val="24"/>
        </w:rPr>
        <w:t xml:space="preserve"> de dos mil veintitrés la Comisionada Ponente </w:t>
      </w:r>
      <w:r w:rsidR="005000AA" w:rsidRPr="00C21A0D">
        <w:rPr>
          <w:rFonts w:ascii="Palatino Linotype" w:hAnsi="Palatino Linotype"/>
          <w:sz w:val="24"/>
        </w:rPr>
        <w:t>decretó el cierre de instrucción</w:t>
      </w:r>
      <w:r w:rsidR="00FF2A7C">
        <w:rPr>
          <w:rFonts w:ascii="Palatino Linotype" w:hAnsi="Palatino Linotype"/>
          <w:sz w:val="24"/>
        </w:rPr>
        <w:t xml:space="preserve">, </w:t>
      </w:r>
      <w:r w:rsidR="00B83EE1" w:rsidRPr="00FF2A7C">
        <w:rPr>
          <w:rFonts w:ascii="Palatino Linotype" w:hAnsi="Palatino Linotype" w:cs="Arial"/>
          <w:sz w:val="24"/>
        </w:rPr>
        <w:t>p</w:t>
      </w:r>
      <w:r w:rsidR="003C497F" w:rsidRPr="00FF2A7C">
        <w:rPr>
          <w:rFonts w:ascii="Palatino Linotype" w:hAnsi="Palatino Linotype" w:cs="Tahoma"/>
          <w:sz w:val="24"/>
        </w:rPr>
        <w:t xml:space="preserve">or lo que turnó la presente resolución </w:t>
      </w:r>
      <w:r w:rsidR="003C5753" w:rsidRPr="00FF2A7C">
        <w:rPr>
          <w:rFonts w:ascii="Palatino Linotype" w:hAnsi="Palatino Linotype" w:cs="Tahoma"/>
          <w:sz w:val="24"/>
        </w:rPr>
        <w:t>para su aprobación.</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44044141" w14:textId="34C40783" w:rsidR="001815DE" w:rsidRPr="001815DE" w:rsidRDefault="001815DE"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Pr>
          <w:rFonts w:ascii="Palatino Linotype" w:hAnsi="Palatino Linotype" w:cs="Arial"/>
          <w:bCs/>
          <w:color w:val="222222"/>
          <w:sz w:val="24"/>
          <w:lang w:val="es-ES"/>
        </w:rPr>
        <w:lastRenderedPageBreak/>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00C47BD1">
        <w:rPr>
          <w:rFonts w:ascii="Palatino Linotype" w:eastAsia="Calibri" w:hAnsi="Palatino Linotype" w:cs="Arial"/>
          <w:b/>
          <w:sz w:val="24"/>
          <w:lang w:val="es-ES"/>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38A9AFD0" w14:textId="2BCF3462" w:rsidR="00AD2B75" w:rsidRPr="000A1262" w:rsidRDefault="00AD2B75" w:rsidP="00AD2B75">
      <w:pPr>
        <w:pStyle w:val="Prrafodelista"/>
        <w:numPr>
          <w:ilvl w:val="0"/>
          <w:numId w:val="2"/>
        </w:numPr>
        <w:spacing w:line="360" w:lineRule="auto"/>
        <w:ind w:left="0" w:firstLine="0"/>
        <w:jc w:val="both"/>
        <w:rPr>
          <w:rFonts w:ascii="Palatino Linotype" w:hAnsi="Palatino Linotype" w:cs="Arial"/>
          <w:color w:val="000000" w:themeColor="text1"/>
        </w:rPr>
      </w:pPr>
      <w:bookmarkStart w:id="7" w:name="_Toc87549675"/>
      <w:r w:rsidRPr="000A1262">
        <w:rPr>
          <w:rFonts w:ascii="Palatino Linotype" w:hAnsi="Palatino Linotype" w:cs="Arial"/>
          <w:color w:val="000000" w:themeColor="text1"/>
        </w:rPr>
        <w:t xml:space="preserve">El medio de impugnación fue presentado a través del </w:t>
      </w:r>
      <w:r w:rsidRPr="000A1262">
        <w:rPr>
          <w:rFonts w:ascii="Palatino Linotype" w:hAnsi="Palatino Linotype" w:cs="Arial"/>
          <w:b/>
          <w:color w:val="000000" w:themeColor="text1"/>
        </w:rPr>
        <w:t>SAIMEX</w:t>
      </w:r>
      <w:r w:rsidRPr="000A1262">
        <w:rPr>
          <w:rFonts w:ascii="Palatino Linotype" w:hAnsi="Palatino Linotype" w:cs="Arial"/>
          <w:color w:val="000000" w:themeColor="text1"/>
        </w:rPr>
        <w:t xml:space="preserve"> en el formato previamente aprobado para tal efecto y dentro del plazo legal de quince días hábiles otorgados; siendo así que el </w:t>
      </w:r>
      <w:r w:rsidRPr="000A1262">
        <w:rPr>
          <w:rFonts w:ascii="Palatino Linotype" w:hAnsi="Palatino Linotype" w:cs="Arial"/>
          <w:b/>
          <w:color w:val="000000" w:themeColor="text1"/>
        </w:rPr>
        <w:t>SUJETO OBLIGADO</w:t>
      </w:r>
      <w:r w:rsidRPr="000A1262">
        <w:rPr>
          <w:rFonts w:ascii="Palatino Linotype" w:hAnsi="Palatino Linotype" w:cs="Arial"/>
          <w:color w:val="000000" w:themeColor="text1"/>
        </w:rPr>
        <w:t xml:space="preserve"> entregó respuesta el </w:t>
      </w:r>
      <w:r w:rsidR="009543FF">
        <w:rPr>
          <w:rFonts w:ascii="Palatino Linotype" w:hAnsi="Palatino Linotype" w:cs="Arial"/>
          <w:color w:val="000000" w:themeColor="text1"/>
        </w:rPr>
        <w:t>diecinueve</w:t>
      </w:r>
      <w:r>
        <w:rPr>
          <w:rFonts w:ascii="Palatino Linotype" w:hAnsi="Palatino Linotype" w:cs="Arial"/>
          <w:color w:val="000000" w:themeColor="text1"/>
        </w:rPr>
        <w:t xml:space="preserve"> </w:t>
      </w:r>
      <w:r w:rsidRPr="000A1262">
        <w:rPr>
          <w:rFonts w:ascii="Palatino Linotype" w:hAnsi="Palatino Linotype" w:cs="Arial"/>
          <w:color w:val="000000" w:themeColor="text1"/>
        </w:rPr>
        <w:t>(</w:t>
      </w:r>
      <w:r w:rsidR="009543FF">
        <w:rPr>
          <w:rFonts w:ascii="Palatino Linotype" w:hAnsi="Palatino Linotype" w:cs="Arial"/>
          <w:color w:val="000000" w:themeColor="text1"/>
        </w:rPr>
        <w:t>19</w:t>
      </w:r>
      <w:r w:rsidRPr="000A1262">
        <w:rPr>
          <w:rFonts w:ascii="Palatino Linotype" w:hAnsi="Palatino Linotype" w:cs="Arial"/>
          <w:color w:val="000000" w:themeColor="text1"/>
        </w:rPr>
        <w:t xml:space="preserve">) de </w:t>
      </w:r>
      <w:r>
        <w:rPr>
          <w:rFonts w:ascii="Palatino Linotype" w:hAnsi="Palatino Linotype" w:cs="Arial"/>
          <w:color w:val="000000" w:themeColor="text1"/>
        </w:rPr>
        <w:t>diciembre</w:t>
      </w:r>
      <w:r w:rsidRPr="000A1262">
        <w:rPr>
          <w:rFonts w:ascii="Palatino Linotype" w:hAnsi="Palatino Linotype" w:cs="Arial"/>
          <w:color w:val="000000" w:themeColor="text1"/>
        </w:rPr>
        <w:t xml:space="preserve"> de dos mil </w:t>
      </w:r>
      <w:r w:rsidRPr="0086070D">
        <w:rPr>
          <w:rFonts w:ascii="Palatino Linotype" w:hAnsi="Palatino Linotype" w:cs="Arial"/>
          <w:color w:val="000000" w:themeColor="text1"/>
        </w:rPr>
        <w:t>veinti</w:t>
      </w:r>
      <w:r>
        <w:rPr>
          <w:rFonts w:ascii="Palatino Linotype" w:hAnsi="Palatino Linotype" w:cs="Arial"/>
          <w:color w:val="000000" w:themeColor="text1"/>
        </w:rPr>
        <w:t>dós</w:t>
      </w:r>
      <w:r w:rsidRPr="000A1262">
        <w:rPr>
          <w:rFonts w:ascii="Palatino Linotype" w:hAnsi="Palatino Linotype" w:cs="Arial"/>
          <w:color w:val="000000" w:themeColor="text1"/>
        </w:rPr>
        <w:t xml:space="preserve">, de tal forma que el plazo para interponer el recurso de revisión transcurrió del </w:t>
      </w:r>
      <w:r w:rsidR="009543FF">
        <w:rPr>
          <w:rFonts w:ascii="Palatino Linotype" w:hAnsi="Palatino Linotype" w:cs="Arial"/>
          <w:color w:val="000000" w:themeColor="text1"/>
        </w:rPr>
        <w:t>veinte</w:t>
      </w:r>
      <w:r w:rsidRPr="000A1262">
        <w:rPr>
          <w:rFonts w:ascii="Palatino Linotype" w:hAnsi="Palatino Linotype" w:cs="Arial"/>
          <w:color w:val="000000" w:themeColor="text1"/>
        </w:rPr>
        <w:t xml:space="preserve"> (</w:t>
      </w:r>
      <w:r w:rsidR="009543FF">
        <w:rPr>
          <w:rFonts w:ascii="Palatino Linotype" w:hAnsi="Palatino Linotype" w:cs="Arial"/>
          <w:color w:val="000000" w:themeColor="text1"/>
        </w:rPr>
        <w:t>20</w:t>
      </w:r>
      <w:r w:rsidRPr="000A1262">
        <w:rPr>
          <w:rFonts w:ascii="Palatino Linotype" w:hAnsi="Palatino Linotype" w:cs="Arial"/>
          <w:color w:val="000000" w:themeColor="text1"/>
        </w:rPr>
        <w:t xml:space="preserve">) </w:t>
      </w:r>
      <w:r>
        <w:rPr>
          <w:rFonts w:ascii="Palatino Linotype" w:hAnsi="Palatino Linotype" w:cs="Arial"/>
          <w:color w:val="000000" w:themeColor="text1"/>
        </w:rPr>
        <w:t xml:space="preserve">de diciembre de dos mil veintidós al </w:t>
      </w:r>
      <w:r w:rsidR="009543FF">
        <w:rPr>
          <w:rFonts w:ascii="Palatino Linotype" w:hAnsi="Palatino Linotype" w:cs="Arial"/>
          <w:color w:val="000000" w:themeColor="text1"/>
        </w:rPr>
        <w:t>veinticinco</w:t>
      </w:r>
      <w:r>
        <w:rPr>
          <w:rFonts w:ascii="Palatino Linotype" w:hAnsi="Palatino Linotype" w:cs="Arial"/>
          <w:color w:val="000000" w:themeColor="text1"/>
        </w:rPr>
        <w:t xml:space="preserve"> (</w:t>
      </w:r>
      <w:r w:rsidR="009543FF">
        <w:rPr>
          <w:rFonts w:ascii="Palatino Linotype" w:hAnsi="Palatino Linotype" w:cs="Arial"/>
          <w:color w:val="000000" w:themeColor="text1"/>
        </w:rPr>
        <w:t>25</w:t>
      </w:r>
      <w:r>
        <w:rPr>
          <w:rFonts w:ascii="Palatino Linotype" w:hAnsi="Palatino Linotype" w:cs="Arial"/>
          <w:color w:val="000000" w:themeColor="text1"/>
        </w:rPr>
        <w:t>) de enero de dos mil veintitrés</w:t>
      </w:r>
      <w:r w:rsidRPr="000A1262">
        <w:rPr>
          <w:rFonts w:ascii="Palatino Linotype" w:hAnsi="Palatino Linotype" w:cs="Arial"/>
          <w:color w:val="000000" w:themeColor="text1"/>
        </w:rPr>
        <w:t xml:space="preserve">, </w:t>
      </w:r>
      <w:r>
        <w:rPr>
          <w:rFonts w:ascii="Palatino Linotype" w:hAnsi="Palatino Linotype" w:cs="Arial"/>
          <w:color w:val="000000" w:themeColor="text1"/>
        </w:rPr>
        <w:t>el</w:t>
      </w:r>
      <w:r w:rsidRPr="000A1262">
        <w:rPr>
          <w:rFonts w:ascii="Palatino Linotype" w:hAnsi="Palatino Linotype" w:cs="Arial"/>
          <w:color w:val="000000" w:themeColor="text1"/>
        </w:rPr>
        <w:t xml:space="preserve"> recurso de revisión fue interpuesto el </w:t>
      </w:r>
      <w:r>
        <w:rPr>
          <w:rFonts w:ascii="Palatino Linotype" w:hAnsi="Palatino Linotype" w:cs="Arial"/>
          <w:color w:val="000000" w:themeColor="text1"/>
        </w:rPr>
        <w:t>nueve</w:t>
      </w:r>
      <w:r w:rsidRPr="000A1262">
        <w:rPr>
          <w:rFonts w:ascii="Palatino Linotype" w:hAnsi="Palatino Linotype" w:cs="Arial"/>
          <w:color w:val="000000" w:themeColor="text1"/>
        </w:rPr>
        <w:t xml:space="preserve"> (</w:t>
      </w:r>
      <w:r>
        <w:rPr>
          <w:rFonts w:ascii="Palatino Linotype" w:hAnsi="Palatino Linotype" w:cs="Arial"/>
          <w:color w:val="000000" w:themeColor="text1"/>
        </w:rPr>
        <w:t>9</w:t>
      </w:r>
      <w:r w:rsidRPr="000A1262">
        <w:rPr>
          <w:rFonts w:ascii="Palatino Linotype" w:hAnsi="Palatino Linotype" w:cs="Arial"/>
          <w:color w:val="000000" w:themeColor="text1"/>
        </w:rPr>
        <w:t>)</w:t>
      </w:r>
      <w:r>
        <w:rPr>
          <w:rFonts w:ascii="Palatino Linotype" w:hAnsi="Palatino Linotype" w:cs="Arial"/>
          <w:color w:val="000000" w:themeColor="text1"/>
        </w:rPr>
        <w:t xml:space="preserve"> </w:t>
      </w:r>
      <w:r w:rsidRPr="000A1262">
        <w:rPr>
          <w:rFonts w:ascii="Palatino Linotype" w:hAnsi="Palatino Linotype" w:cs="Arial"/>
          <w:color w:val="000000" w:themeColor="text1"/>
        </w:rPr>
        <w:t xml:space="preserve">de </w:t>
      </w:r>
      <w:r>
        <w:rPr>
          <w:rFonts w:ascii="Palatino Linotype" w:hAnsi="Palatino Linotype" w:cs="Arial"/>
          <w:color w:val="000000" w:themeColor="text1"/>
        </w:rPr>
        <w:t>enero</w:t>
      </w:r>
      <w:r w:rsidRPr="000A1262">
        <w:rPr>
          <w:rFonts w:ascii="Palatino Linotype" w:hAnsi="Palatino Linotype" w:cs="Arial"/>
          <w:color w:val="000000" w:themeColor="text1"/>
        </w:rPr>
        <w:t xml:space="preserve"> de dos mil </w:t>
      </w:r>
      <w:r w:rsidRPr="0086070D">
        <w:rPr>
          <w:rFonts w:ascii="Palatino Linotype" w:hAnsi="Palatino Linotype" w:cs="Arial"/>
          <w:color w:val="000000" w:themeColor="text1"/>
        </w:rPr>
        <w:t>veinti</w:t>
      </w:r>
      <w:r>
        <w:rPr>
          <w:rFonts w:ascii="Palatino Linotype" w:hAnsi="Palatino Linotype" w:cs="Arial"/>
          <w:color w:val="000000" w:themeColor="text1"/>
        </w:rPr>
        <w:t>trés</w:t>
      </w:r>
      <w:r w:rsidRPr="000A1262">
        <w:rPr>
          <w:rFonts w:ascii="Palatino Linotype" w:hAnsi="Palatino Linotype" w:cs="Arial"/>
          <w:color w:val="000000" w:themeColor="text1"/>
        </w:rPr>
        <w:t>, por lo que se encuentran dentro de los márgenes temporales previstos en el artículo 178 de la Ley de Transparencia y Acceso a la Información Pública del Estado de México y Municipios vigente.</w:t>
      </w:r>
    </w:p>
    <w:p w14:paraId="7736B178" w14:textId="2AFD28D0" w:rsidR="00D604FD" w:rsidRPr="00D604FD" w:rsidRDefault="00D604FD" w:rsidP="00AD2B75">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D604FD">
        <w:rPr>
          <w:rFonts w:ascii="Palatino Linotype" w:eastAsia="Calibri" w:hAnsi="Palatino Linotype" w:cs="Arial"/>
          <w:color w:val="000000" w:themeColor="text1"/>
          <w:sz w:val="24"/>
        </w:rPr>
        <w:lastRenderedPageBreak/>
        <w:t>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38B81309" w14:textId="4ADD21A5" w:rsidR="00AD2B75" w:rsidRPr="00AD2B75" w:rsidRDefault="00AD2B75" w:rsidP="00AD2B75">
      <w:pPr>
        <w:pStyle w:val="Prrafodelista"/>
        <w:numPr>
          <w:ilvl w:val="0"/>
          <w:numId w:val="3"/>
        </w:numPr>
        <w:spacing w:before="240" w:after="240" w:line="360" w:lineRule="auto"/>
        <w:ind w:left="0" w:right="49" w:firstLine="0"/>
        <w:jc w:val="both"/>
        <w:rPr>
          <w:rFonts w:ascii="Palatino Linotype" w:hAnsi="Palatino Linotype"/>
          <w:i/>
          <w:sz w:val="28"/>
          <w:lang w:eastAsia="es-MX"/>
        </w:rPr>
      </w:pPr>
      <w:r w:rsidRPr="00AD2B75">
        <w:rPr>
          <w:rFonts w:ascii="Palatino Linotype" w:hAnsi="Palatino Linotype" w:cs="Arial"/>
          <w:color w:val="000000" w:themeColor="text1"/>
          <w:sz w:val="24"/>
        </w:rPr>
        <w:t xml:space="preserve">El Recurrente solicitó, </w:t>
      </w:r>
      <w:r w:rsidR="009543FF">
        <w:rPr>
          <w:rFonts w:ascii="Palatino Linotype" w:hAnsi="Palatino Linotype" w:cs="Arial"/>
          <w:color w:val="000000" w:themeColor="text1"/>
          <w:sz w:val="24"/>
        </w:rPr>
        <w:t>del Festival Cultura</w:t>
      </w:r>
      <w:r w:rsidR="001640DB">
        <w:rPr>
          <w:rFonts w:ascii="Palatino Linotype" w:hAnsi="Palatino Linotype" w:cs="Arial"/>
          <w:color w:val="000000" w:themeColor="text1"/>
          <w:sz w:val="24"/>
        </w:rPr>
        <w:t>l</w:t>
      </w:r>
      <w:r w:rsidR="009543FF">
        <w:rPr>
          <w:rFonts w:ascii="Palatino Linotype" w:hAnsi="Palatino Linotype" w:cs="Arial"/>
          <w:color w:val="000000" w:themeColor="text1"/>
          <w:sz w:val="24"/>
        </w:rPr>
        <w:t xml:space="preserve"> de la Feria de Mezclilla 2022</w:t>
      </w:r>
      <w:r w:rsidRPr="00AD2B75">
        <w:rPr>
          <w:rFonts w:ascii="Palatino Linotype" w:hAnsi="Palatino Linotype" w:cs="Arial"/>
          <w:color w:val="000000" w:themeColor="text1"/>
          <w:sz w:val="24"/>
        </w:rPr>
        <w:t>, la siguiente información:</w:t>
      </w:r>
    </w:p>
    <w:p w14:paraId="0233B6F4" w14:textId="77777777" w:rsidR="009543FF" w:rsidRPr="001A6380" w:rsidRDefault="009543FF" w:rsidP="009543FF">
      <w:pPr>
        <w:pStyle w:val="Prrafodelista"/>
        <w:numPr>
          <w:ilvl w:val="0"/>
          <w:numId w:val="44"/>
        </w:numPr>
        <w:spacing w:line="360" w:lineRule="auto"/>
        <w:jc w:val="both"/>
        <w:rPr>
          <w:rFonts w:ascii="Palatino Linotype" w:hAnsi="Palatino Linotype" w:cs="Arial"/>
          <w:color w:val="000000" w:themeColor="text1"/>
        </w:rPr>
      </w:pPr>
      <w:r w:rsidRPr="001A6380">
        <w:rPr>
          <w:rFonts w:ascii="Palatino Linotype" w:hAnsi="Palatino Linotype" w:cs="Arial"/>
          <w:color w:val="000000" w:themeColor="text1"/>
        </w:rPr>
        <w:t>Presupuesto asignado;</w:t>
      </w:r>
    </w:p>
    <w:p w14:paraId="106A3A46" w14:textId="77777777" w:rsidR="009543FF" w:rsidRPr="001A6380" w:rsidRDefault="009543FF" w:rsidP="009543FF">
      <w:pPr>
        <w:pStyle w:val="Prrafodelista"/>
        <w:numPr>
          <w:ilvl w:val="0"/>
          <w:numId w:val="44"/>
        </w:numPr>
        <w:spacing w:line="360" w:lineRule="auto"/>
        <w:jc w:val="both"/>
        <w:rPr>
          <w:rFonts w:ascii="Palatino Linotype" w:hAnsi="Palatino Linotype" w:cs="Arial"/>
          <w:color w:val="000000" w:themeColor="text1"/>
        </w:rPr>
      </w:pPr>
      <w:r w:rsidRPr="001A6380">
        <w:rPr>
          <w:rFonts w:ascii="Palatino Linotype" w:hAnsi="Palatino Linotype" w:cs="Arial"/>
          <w:color w:val="000000" w:themeColor="text1"/>
        </w:rPr>
        <w:t>Partida o partidas presupuestarias;</w:t>
      </w:r>
    </w:p>
    <w:p w14:paraId="3DDF9530" w14:textId="77777777" w:rsidR="009543FF" w:rsidRPr="001A6380" w:rsidRDefault="009543FF" w:rsidP="009543FF">
      <w:pPr>
        <w:pStyle w:val="Prrafodelista"/>
        <w:numPr>
          <w:ilvl w:val="0"/>
          <w:numId w:val="44"/>
        </w:numPr>
        <w:spacing w:line="360" w:lineRule="auto"/>
        <w:jc w:val="both"/>
        <w:rPr>
          <w:rFonts w:ascii="Palatino Linotype" w:hAnsi="Palatino Linotype" w:cs="Arial"/>
          <w:color w:val="000000" w:themeColor="text1"/>
        </w:rPr>
      </w:pPr>
      <w:r w:rsidRPr="001A6380">
        <w:rPr>
          <w:rFonts w:ascii="Palatino Linotype" w:hAnsi="Palatino Linotype" w:cs="Arial"/>
          <w:color w:val="000000" w:themeColor="text1"/>
        </w:rPr>
        <w:t>Gastos materiales;</w:t>
      </w:r>
    </w:p>
    <w:p w14:paraId="47195131" w14:textId="239A110F" w:rsidR="009543FF" w:rsidRDefault="009543FF" w:rsidP="009543FF">
      <w:pPr>
        <w:pStyle w:val="Prrafodelista"/>
        <w:numPr>
          <w:ilvl w:val="0"/>
          <w:numId w:val="44"/>
        </w:numPr>
        <w:spacing w:line="360" w:lineRule="auto"/>
        <w:jc w:val="both"/>
        <w:rPr>
          <w:rFonts w:ascii="Palatino Linotype" w:hAnsi="Palatino Linotype" w:cs="Arial"/>
          <w:color w:val="000000" w:themeColor="text1"/>
        </w:rPr>
      </w:pPr>
      <w:r w:rsidRPr="001A6380">
        <w:rPr>
          <w:rFonts w:ascii="Palatino Linotype" w:hAnsi="Palatino Linotype" w:cs="Arial"/>
          <w:color w:val="000000" w:themeColor="text1"/>
        </w:rPr>
        <w:t>Pago de cada uno de los artistas que intervinieron en dicho evento.</w:t>
      </w:r>
    </w:p>
    <w:p w14:paraId="74087D71" w14:textId="77777777" w:rsidR="001A6380" w:rsidRPr="001A6380" w:rsidRDefault="001A6380" w:rsidP="001A6380">
      <w:pPr>
        <w:spacing w:line="360" w:lineRule="auto"/>
        <w:ind w:left="927"/>
        <w:jc w:val="both"/>
        <w:rPr>
          <w:rFonts w:ascii="Palatino Linotype" w:hAnsi="Palatino Linotype" w:cs="Arial"/>
          <w:color w:val="000000" w:themeColor="text1"/>
        </w:rPr>
      </w:pPr>
    </w:p>
    <w:p w14:paraId="6623013F" w14:textId="4DA324D4"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 xml:space="preserve">El Sujeto Obligado </w:t>
      </w:r>
      <w:r w:rsidR="009543FF">
        <w:rPr>
          <w:rFonts w:ascii="Palatino Linotype" w:hAnsi="Palatino Linotype" w:cs="Arial"/>
          <w:color w:val="000000" w:themeColor="text1"/>
          <w:sz w:val="24"/>
        </w:rPr>
        <w:t>clasificó como información como reservada y/o confidencial.</w:t>
      </w:r>
    </w:p>
    <w:p w14:paraId="0B3F67AF" w14:textId="77777777" w:rsidR="00AD2B75" w:rsidRPr="00AD2B75" w:rsidRDefault="00AD2B75" w:rsidP="00AD2B75">
      <w:pPr>
        <w:pStyle w:val="Prrafodelista"/>
        <w:tabs>
          <w:tab w:val="left" w:pos="284"/>
        </w:tabs>
        <w:spacing w:before="240" w:after="240" w:line="360" w:lineRule="auto"/>
        <w:ind w:left="0"/>
        <w:jc w:val="both"/>
        <w:rPr>
          <w:rFonts w:ascii="Palatino Linotype" w:eastAsiaTheme="minorEastAsia" w:hAnsi="Palatino Linotype"/>
          <w:iCs/>
          <w:sz w:val="28"/>
          <w:lang w:val="es-ES_tradnl"/>
        </w:rPr>
      </w:pPr>
    </w:p>
    <w:p w14:paraId="6D243A9F" w14:textId="1166F157"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 xml:space="preserve">El Recurrente se inconformó por la </w:t>
      </w:r>
      <w:r w:rsidR="009543FF">
        <w:rPr>
          <w:rFonts w:ascii="Palatino Linotype" w:hAnsi="Palatino Linotype" w:cs="Arial"/>
          <w:color w:val="000000" w:themeColor="text1"/>
          <w:sz w:val="24"/>
        </w:rPr>
        <w:t>clasificación de la información.</w:t>
      </w:r>
    </w:p>
    <w:p w14:paraId="254A84ED" w14:textId="77777777" w:rsidR="00AD2B75" w:rsidRPr="00AD2B75" w:rsidRDefault="00AD2B75" w:rsidP="00AD2B75">
      <w:pPr>
        <w:pStyle w:val="Prrafodelista"/>
        <w:rPr>
          <w:rFonts w:ascii="Palatino Linotype" w:hAnsi="Palatino Linotype" w:cs="Arial"/>
          <w:color w:val="000000" w:themeColor="text1"/>
          <w:sz w:val="24"/>
        </w:rPr>
      </w:pPr>
    </w:p>
    <w:p w14:paraId="4557F54D" w14:textId="1B881D5F" w:rsidR="00AD2B75" w:rsidRPr="00AD2B75" w:rsidRDefault="00AD2B75" w:rsidP="00AD2B7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8"/>
          <w:lang w:val="es-ES_tradnl"/>
        </w:rPr>
      </w:pPr>
      <w:r w:rsidRPr="00AD2B75">
        <w:rPr>
          <w:rFonts w:ascii="Palatino Linotype" w:hAnsi="Palatino Linotype" w:cs="Arial"/>
          <w:color w:val="000000" w:themeColor="text1"/>
          <w:sz w:val="24"/>
        </w:rPr>
        <w:t xml:space="preserve">Por lo tanto, el presente recurso de revisión se circunscribe en determinar si se actualiza las causales de procedencia contenidas en el artículo 179 fracción </w:t>
      </w:r>
      <w:r w:rsidR="009543FF">
        <w:rPr>
          <w:rFonts w:ascii="Palatino Linotype" w:hAnsi="Palatino Linotype" w:cs="Arial"/>
          <w:color w:val="000000" w:themeColor="text1"/>
          <w:sz w:val="24"/>
        </w:rPr>
        <w:t>I</w:t>
      </w:r>
      <w:r w:rsidRPr="00AD2B75">
        <w:rPr>
          <w:rFonts w:ascii="Palatino Linotype" w:hAnsi="Palatino Linotype" w:cs="Arial"/>
          <w:color w:val="000000" w:themeColor="text1"/>
          <w:sz w:val="24"/>
        </w:rPr>
        <w:t xml:space="preserve">I, relativa a la </w:t>
      </w:r>
      <w:r w:rsidR="009543FF">
        <w:rPr>
          <w:rFonts w:ascii="Palatino Linotype" w:hAnsi="Palatino Linotype" w:cs="Arial"/>
          <w:color w:val="000000" w:themeColor="text1"/>
          <w:sz w:val="24"/>
        </w:rPr>
        <w:t>clasificación de la información</w:t>
      </w:r>
      <w:r w:rsidRPr="00AD2B75">
        <w:rPr>
          <w:rFonts w:ascii="Palatino Linotype" w:hAnsi="Palatino Linotype" w:cs="Arial"/>
          <w:color w:val="000000" w:themeColor="text1"/>
          <w:sz w:val="24"/>
        </w:rPr>
        <w:t>, de la Ley de Transparencia y Acceso a la Información Pública del Estado de México y Municipios.</w:t>
      </w: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lastRenderedPageBreak/>
        <w:t>De la fuente obligacional</w:t>
      </w:r>
      <w:bookmarkEnd w:id="11"/>
      <w:bookmarkEnd w:id="12"/>
      <w:bookmarkEnd w:id="13"/>
    </w:p>
    <w:bookmarkEnd w:id="14"/>
    <w:bookmarkEnd w:id="15"/>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w:t>
      </w:r>
      <w:r w:rsidRPr="007C7FFD">
        <w:rPr>
          <w:rFonts w:ascii="Palatino Linotype" w:hAnsi="Palatino Linotype"/>
          <w:i/>
          <w:color w:val="000000"/>
          <w:sz w:val="24"/>
          <w:szCs w:val="24"/>
        </w:rPr>
        <w:lastRenderedPageBreak/>
        <w:t>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 xml:space="preserve">cuyo objeto es establecer principios, bases generales </w:t>
      </w:r>
      <w:r w:rsidRPr="007C7FFD">
        <w:rPr>
          <w:rFonts w:ascii="Palatino Linotype" w:hAnsi="Palatino Linotype"/>
          <w:sz w:val="24"/>
          <w:szCs w:val="24"/>
        </w:rPr>
        <w:lastRenderedPageBreak/>
        <w:t>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w:t>
      </w:r>
      <w:r w:rsidRPr="007C7FFD">
        <w:rPr>
          <w:rFonts w:ascii="Palatino Linotype" w:hAnsi="Palatino Linotype" w:cs="Arial"/>
          <w:b/>
          <w:i/>
          <w:sz w:val="22"/>
          <w:szCs w:val="24"/>
          <w:lang w:eastAsia="es-MX"/>
        </w:rPr>
        <w:lastRenderedPageBreak/>
        <w:t xml:space="preserve">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lastRenderedPageBreak/>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7C7FFD">
        <w:rPr>
          <w:rFonts w:ascii="Palatino Linotype" w:hAnsi="Palatino Linotype"/>
          <w:sz w:val="24"/>
          <w:lang w:val="es-ES"/>
        </w:rPr>
        <w:lastRenderedPageBreak/>
        <w:t>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 xml:space="preserve">Los </w:t>
      </w:r>
      <w:r w:rsidRPr="007C7FFD">
        <w:rPr>
          <w:rFonts w:ascii="Palatino Linotype" w:hAnsi="Palatino Linotype" w:cs="Arial"/>
          <w:b/>
          <w:i/>
          <w:sz w:val="22"/>
          <w:szCs w:val="24"/>
        </w:rPr>
        <w:lastRenderedPageBreak/>
        <w:t>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1EE8A8B3" w14:textId="77777777" w:rsidR="00AD2B75" w:rsidRPr="00AD2B75" w:rsidRDefault="00AD2B75" w:rsidP="00AD2B75">
      <w:pPr>
        <w:pStyle w:val="Prrafodelista"/>
        <w:numPr>
          <w:ilvl w:val="0"/>
          <w:numId w:val="2"/>
        </w:numPr>
        <w:spacing w:line="360" w:lineRule="auto"/>
        <w:ind w:left="0" w:firstLine="0"/>
        <w:jc w:val="both"/>
        <w:rPr>
          <w:rFonts w:ascii="Palatino Linotype" w:hAnsi="Palatino Linotype" w:cs="Arial"/>
          <w:sz w:val="28"/>
        </w:rPr>
      </w:pPr>
      <w:r w:rsidRPr="00AD2B75">
        <w:rPr>
          <w:rFonts w:ascii="Palatino Linotype" w:hAnsi="Palatino Linotype" w:cs="Arial"/>
          <w:color w:val="000000" w:themeColor="text1"/>
          <w:sz w:val="24"/>
        </w:rPr>
        <w:t>Adicional, tenemos que la Ley de Transparencia y Acceso a la Información Pública del Estado de México y Municipios, prevé en su artículo 23 fracción IV, lo siguiente:</w:t>
      </w:r>
    </w:p>
    <w:p w14:paraId="5E9CAA00" w14:textId="77777777" w:rsidR="00AD2B75" w:rsidRPr="00FA4CDF" w:rsidRDefault="00AD2B75" w:rsidP="00AD2B75">
      <w:pPr>
        <w:spacing w:line="360" w:lineRule="auto"/>
        <w:jc w:val="both"/>
        <w:rPr>
          <w:rFonts w:ascii="Palatino Linotype" w:hAnsi="Palatino Linotype" w:cs="Arial"/>
          <w:color w:val="000000" w:themeColor="text1"/>
        </w:rPr>
      </w:pPr>
    </w:p>
    <w:p w14:paraId="3B32AD13" w14:textId="77777777" w:rsidR="00AD2B75" w:rsidRPr="00FA4CDF" w:rsidRDefault="00AD2B75" w:rsidP="00AD2B75">
      <w:pPr>
        <w:pStyle w:val="Prrafodelista"/>
        <w:spacing w:line="360" w:lineRule="auto"/>
        <w:ind w:left="567" w:right="616"/>
        <w:jc w:val="both"/>
        <w:rPr>
          <w:rFonts w:ascii="Palatino Linotype" w:hAnsi="Palatino Linotype" w:cs="Arial"/>
          <w:i/>
          <w:color w:val="000000" w:themeColor="text1"/>
          <w:szCs w:val="22"/>
        </w:rPr>
      </w:pPr>
      <w:r w:rsidRPr="00FA4CDF">
        <w:rPr>
          <w:rFonts w:ascii="Palatino Linotype" w:hAnsi="Palatino Linotype" w:cs="Arial"/>
          <w:b/>
          <w:i/>
          <w:color w:val="000000" w:themeColor="text1"/>
          <w:szCs w:val="22"/>
        </w:rPr>
        <w:t>“Artículo 23.</w:t>
      </w:r>
      <w:r w:rsidRPr="00FA4CDF">
        <w:rPr>
          <w:rFonts w:ascii="Palatino Linotype" w:hAnsi="Palatino Linotype" w:cs="Arial"/>
          <w:i/>
          <w:color w:val="000000" w:themeColor="text1"/>
          <w:szCs w:val="22"/>
        </w:rPr>
        <w:t xml:space="preserve"> Son sujetos obligados a transparentar y permitir el acceso a su información y proteger los datos personales que obren en su poder:</w:t>
      </w:r>
    </w:p>
    <w:p w14:paraId="22267B09" w14:textId="77777777" w:rsidR="00AD2B75" w:rsidRPr="00FA4CDF" w:rsidRDefault="00AD2B75" w:rsidP="00AD2B75">
      <w:pPr>
        <w:pStyle w:val="Prrafodelista"/>
        <w:spacing w:line="360" w:lineRule="auto"/>
        <w:ind w:left="567" w:right="616"/>
        <w:jc w:val="both"/>
        <w:rPr>
          <w:rFonts w:ascii="Palatino Linotype" w:hAnsi="Palatino Linotype"/>
          <w:i/>
          <w:szCs w:val="22"/>
        </w:rPr>
      </w:pPr>
      <w:r w:rsidRPr="00FA4CDF">
        <w:rPr>
          <w:rFonts w:ascii="Palatino Linotype" w:hAnsi="Palatino Linotype"/>
          <w:i/>
          <w:szCs w:val="22"/>
        </w:rPr>
        <w:t>…</w:t>
      </w:r>
    </w:p>
    <w:p w14:paraId="394AC689" w14:textId="77777777" w:rsidR="00AD2B75" w:rsidRPr="00113BA0" w:rsidRDefault="00AD2B75" w:rsidP="00AD2B75">
      <w:pPr>
        <w:pStyle w:val="Prrafodelista"/>
        <w:spacing w:line="360" w:lineRule="auto"/>
        <w:ind w:left="567" w:right="616"/>
        <w:jc w:val="both"/>
        <w:rPr>
          <w:rFonts w:ascii="Palatino Linotype" w:hAnsi="Palatino Linotype"/>
          <w:i/>
          <w:szCs w:val="22"/>
        </w:rPr>
      </w:pPr>
      <w:r w:rsidRPr="00113BA0">
        <w:rPr>
          <w:rFonts w:ascii="Palatino Linotype" w:hAnsi="Palatino Linotype"/>
          <w:i/>
          <w:szCs w:val="22"/>
        </w:rPr>
        <w:lastRenderedPageBreak/>
        <w:t>IV. Los ayuntamientos y las dependencias, organismos, órganos y entidades de la administración municipal</w:t>
      </w:r>
    </w:p>
    <w:p w14:paraId="04AF4D71" w14:textId="77777777" w:rsidR="00AD2B75" w:rsidRPr="00113BA0" w:rsidRDefault="00AD2B75" w:rsidP="00AD2B75">
      <w:pPr>
        <w:pStyle w:val="Prrafodelista"/>
        <w:spacing w:line="360" w:lineRule="auto"/>
        <w:ind w:left="567" w:right="616"/>
        <w:jc w:val="both"/>
        <w:rPr>
          <w:rFonts w:ascii="Palatino Linotype" w:hAnsi="Palatino Linotype" w:cs="Arial"/>
          <w:i/>
          <w:color w:val="000000" w:themeColor="text1"/>
          <w:szCs w:val="22"/>
        </w:rPr>
      </w:pPr>
      <w:r w:rsidRPr="00113BA0">
        <w:rPr>
          <w:rFonts w:ascii="Palatino Linotype" w:hAnsi="Palatino Linotype" w:cs="Arial"/>
          <w:i/>
          <w:color w:val="000000" w:themeColor="text1"/>
          <w:szCs w:val="22"/>
        </w:rPr>
        <w:t>…</w:t>
      </w:r>
    </w:p>
    <w:p w14:paraId="543A8918" w14:textId="77777777" w:rsidR="00AD2B75" w:rsidRPr="002A6959" w:rsidRDefault="00AD2B75" w:rsidP="00AD2B7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4AA3B87" w14:textId="77777777" w:rsidR="00AD2B75" w:rsidRPr="002A6959" w:rsidRDefault="00AD2B75" w:rsidP="00AD2B75">
      <w:pPr>
        <w:spacing w:line="360" w:lineRule="auto"/>
        <w:ind w:left="567" w:right="616"/>
        <w:jc w:val="both"/>
        <w:rPr>
          <w:rFonts w:ascii="Palatino Linotype" w:hAnsi="Palatino Linotype" w:cs="Arial"/>
          <w:i/>
          <w:color w:val="000000" w:themeColor="text1"/>
          <w:sz w:val="22"/>
        </w:rPr>
      </w:pPr>
    </w:p>
    <w:p w14:paraId="71BA93C4" w14:textId="77777777" w:rsidR="00AD2B75" w:rsidRPr="002A6959" w:rsidRDefault="00AD2B75" w:rsidP="00AD2B7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Los servidores públicos deberán transparentar sus acciones así como garantizar y respetar el derecho de acceso a la información pública.”</w:t>
      </w:r>
    </w:p>
    <w:p w14:paraId="1DC3AB5C" w14:textId="77777777" w:rsidR="00AD2B75" w:rsidRPr="00736D6D" w:rsidRDefault="00AD2B75" w:rsidP="00AD2B75">
      <w:pPr>
        <w:pStyle w:val="Prrafodelista"/>
        <w:spacing w:line="360" w:lineRule="auto"/>
        <w:ind w:left="567" w:right="616"/>
        <w:jc w:val="both"/>
        <w:rPr>
          <w:rFonts w:ascii="Palatino Linotype" w:hAnsi="Palatino Linotype" w:cs="Arial"/>
          <w:b/>
          <w:i/>
          <w:color w:val="000000" w:themeColor="text1"/>
        </w:rPr>
      </w:pPr>
      <w:r w:rsidRPr="00736D6D">
        <w:rPr>
          <w:rFonts w:ascii="Palatino Linotype" w:hAnsi="Palatino Linotype" w:cs="Arial"/>
          <w:b/>
          <w:i/>
          <w:color w:val="000000" w:themeColor="text1"/>
        </w:rPr>
        <w:t>(Énfasis añadido)</w:t>
      </w:r>
    </w:p>
    <w:p w14:paraId="60793159" w14:textId="77777777" w:rsidR="00AD2B75" w:rsidRDefault="00AD2B75" w:rsidP="00AD2B75">
      <w:pPr>
        <w:pStyle w:val="Prrafodelista"/>
        <w:spacing w:line="360" w:lineRule="auto"/>
        <w:ind w:left="0"/>
        <w:jc w:val="both"/>
        <w:rPr>
          <w:rFonts w:ascii="Palatino Linotype" w:hAnsi="Palatino Linotype" w:cs="Arial"/>
          <w:sz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68AF7222"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00E64E71">
        <w:rPr>
          <w:rFonts w:ascii="Palatino Linotype" w:hAnsi="Palatino Linotype" w:cs="Arial"/>
          <w:b/>
          <w:sz w:val="24"/>
        </w:rPr>
        <w:t xml:space="preserve"> </w:t>
      </w:r>
      <w:r w:rsidR="00D6154B">
        <w:rPr>
          <w:rFonts w:ascii="Palatino Linotype" w:hAnsi="Palatino Linotype" w:cs="Arial"/>
          <w:b/>
          <w:sz w:val="24"/>
        </w:rPr>
        <w:t xml:space="preserve">el </w:t>
      </w:r>
      <w:r w:rsidR="00245776" w:rsidRPr="00245776">
        <w:rPr>
          <w:rFonts w:ascii="Palatino Linotype" w:eastAsia="Calibri" w:hAnsi="Palatino Linotype" w:cs="Arial"/>
          <w:b/>
          <w:bCs/>
          <w:sz w:val="24"/>
        </w:rPr>
        <w:t>Ayuntamiento de Nextlalpan</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52032AA9" w14:textId="2BF96356" w:rsidR="00AD2B75" w:rsidRPr="002D2D76" w:rsidRDefault="00AD2B75" w:rsidP="00AD2B75">
      <w:pPr>
        <w:pStyle w:val="Prrafodelista"/>
        <w:tabs>
          <w:tab w:val="left" w:pos="426"/>
        </w:tabs>
        <w:spacing w:before="240" w:after="240" w:line="360" w:lineRule="auto"/>
        <w:ind w:left="0" w:right="51"/>
        <w:jc w:val="both"/>
        <w:outlineLvl w:val="2"/>
        <w:rPr>
          <w:rFonts w:ascii="Palatino Linotype" w:hAnsi="Palatino Linotype"/>
          <w:b/>
          <w:color w:val="000000" w:themeColor="text1"/>
          <w:sz w:val="28"/>
        </w:rPr>
      </w:pPr>
      <w:r w:rsidRPr="00AD2B75">
        <w:rPr>
          <w:rFonts w:ascii="Palatino Linotype" w:hAnsi="Palatino Linotype" w:cs="Arial"/>
          <w:b/>
          <w:color w:val="000000" w:themeColor="text1"/>
        </w:rPr>
        <w:t xml:space="preserve">II. </w:t>
      </w:r>
      <w:r w:rsidRPr="002D2D76">
        <w:rPr>
          <w:rFonts w:ascii="Palatino Linotype" w:hAnsi="Palatino Linotype" w:cs="Arial"/>
          <w:b/>
          <w:color w:val="000000" w:themeColor="text1"/>
          <w:sz w:val="24"/>
        </w:rPr>
        <w:t>De l</w:t>
      </w:r>
      <w:r w:rsidR="009543FF" w:rsidRPr="002D2D76">
        <w:rPr>
          <w:rFonts w:ascii="Palatino Linotype" w:hAnsi="Palatino Linotype" w:cs="Arial"/>
          <w:b/>
          <w:color w:val="000000" w:themeColor="text1"/>
          <w:sz w:val="24"/>
        </w:rPr>
        <w:t>a clasificación de la información</w:t>
      </w:r>
      <w:r w:rsidRPr="002D2D76">
        <w:rPr>
          <w:rFonts w:ascii="Palatino Linotype" w:hAnsi="Palatino Linotype" w:cs="Arial"/>
          <w:b/>
          <w:color w:val="000000" w:themeColor="text1"/>
          <w:sz w:val="24"/>
        </w:rPr>
        <w:t>.</w:t>
      </w:r>
    </w:p>
    <w:p w14:paraId="69BDCA8E" w14:textId="08592E89"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lastRenderedPageBreak/>
        <w:t xml:space="preserve">El </w:t>
      </w:r>
      <w:r w:rsidRPr="009543FF">
        <w:rPr>
          <w:rFonts w:ascii="Palatino Linotype" w:eastAsia="MS Mincho" w:hAnsi="Palatino Linotype"/>
          <w:b/>
          <w:sz w:val="24"/>
        </w:rPr>
        <w:t xml:space="preserve">Sujeto Obligado </w:t>
      </w:r>
      <w:r w:rsidRPr="009543FF">
        <w:rPr>
          <w:rFonts w:ascii="Palatino Linotype" w:eastAsia="MS Mincho" w:hAnsi="Palatino Linotype"/>
          <w:sz w:val="24"/>
        </w:rPr>
        <w:t>en respuesta refirió que la información requerida, se encontraba clasificada</w:t>
      </w:r>
      <w:r>
        <w:rPr>
          <w:rFonts w:ascii="Palatino Linotype" w:eastAsia="MS Mincho" w:hAnsi="Palatino Linotype"/>
          <w:sz w:val="24"/>
        </w:rPr>
        <w:t xml:space="preserve"> como reservada o confidencial.</w:t>
      </w:r>
    </w:p>
    <w:p w14:paraId="3110A8E4"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672BFD9B"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9543FF">
        <w:rPr>
          <w:rStyle w:val="Refdenotaalpie"/>
          <w:rFonts w:ascii="Palatino Linotype" w:hAnsi="Palatino Linotype"/>
          <w:sz w:val="24"/>
        </w:rPr>
        <w:footnoteReference w:id="6"/>
      </w:r>
      <w:r w:rsidRPr="009543FF">
        <w:rPr>
          <w:rFonts w:ascii="Palatino Linotype" w:eastAsia="MS Mincho" w:hAnsi="Palatino Linotype"/>
          <w:sz w:val="24"/>
        </w:rPr>
        <w:t xml:space="preserve">. </w:t>
      </w:r>
    </w:p>
    <w:p w14:paraId="1DAD07CA"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Por lo que, cualquier límite o restricción, para ser legítimo, debe reunir con tres requisitos: primero, debe estar establecida en un ordenamiento legal, antes de su </w:t>
      </w:r>
      <w:r w:rsidRPr="009543FF">
        <w:rPr>
          <w:rFonts w:ascii="Palatino Linotype" w:eastAsia="MS Mincho" w:hAnsi="Palatino Linotype"/>
          <w:sz w:val="24"/>
        </w:rPr>
        <w:lastRenderedPageBreak/>
        <w:t xml:space="preserve">aplicación; debe corresponder a un fin legítimo y ser estrictamente proporcional con el principio o valor que se pretende </w:t>
      </w:r>
      <w:r w:rsidRPr="009543FF">
        <w:rPr>
          <w:rFonts w:ascii="Palatino Linotype" w:hAnsi="Palatino Linotype"/>
          <w:sz w:val="24"/>
        </w:rPr>
        <w:t>preservar.</w:t>
      </w:r>
      <w:r w:rsidRPr="009543FF">
        <w:rPr>
          <w:rStyle w:val="Refdenotaalpie"/>
          <w:rFonts w:ascii="Palatino Linotype" w:hAnsi="Palatino Linotype"/>
          <w:sz w:val="24"/>
        </w:rPr>
        <w:footnoteReference w:id="7"/>
      </w:r>
      <w:r w:rsidRPr="009543FF">
        <w:rPr>
          <w:rFonts w:ascii="Palatino Linotype" w:hAnsi="Palatino Linotype"/>
          <w:sz w:val="24"/>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14:paraId="12109A1E"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21F51A30"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Ahora bien, en el presente asunto se observó que el </w:t>
      </w:r>
      <w:r w:rsidRPr="009543FF">
        <w:rPr>
          <w:rFonts w:ascii="Palatino Linotype" w:eastAsia="MS Mincho" w:hAnsi="Palatino Linotype"/>
          <w:b/>
          <w:sz w:val="24"/>
        </w:rPr>
        <w:t xml:space="preserve">Sujeto Obligado </w:t>
      </w:r>
      <w:r w:rsidRPr="009543FF">
        <w:rPr>
          <w:rFonts w:ascii="Palatino Linotype" w:eastAsia="MS Mincho" w:hAnsi="Palatino Linotype"/>
          <w:sz w:val="24"/>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9543FF">
        <w:rPr>
          <w:rFonts w:ascii="Palatino Linotype" w:eastAsia="MS Mincho" w:hAnsi="Palatino Linotype"/>
          <w:b/>
          <w:sz w:val="24"/>
        </w:rPr>
        <w:t xml:space="preserve">Sujeto Obligado </w:t>
      </w:r>
      <w:r w:rsidRPr="009543FF">
        <w:rPr>
          <w:rFonts w:ascii="Palatino Linotype" w:eastAsia="MS Mincho" w:hAnsi="Palatino Linotype"/>
          <w:sz w:val="24"/>
        </w:rPr>
        <w:t xml:space="preserve">mediante el cual de manera fundada y motivada confirme la clasificación de la información requerida, es por ello que es menester mencionar lo siguiente: </w:t>
      </w:r>
    </w:p>
    <w:p w14:paraId="52FA5A22" w14:textId="77777777" w:rsidR="009543FF" w:rsidRPr="00056F3B" w:rsidRDefault="009543FF" w:rsidP="009543FF">
      <w:pPr>
        <w:spacing w:line="360" w:lineRule="auto"/>
        <w:ind w:right="49"/>
        <w:contextualSpacing/>
        <w:jc w:val="both"/>
        <w:rPr>
          <w:rFonts w:ascii="Palatino Linotype" w:eastAsia="MS Mincho" w:hAnsi="Palatino Linotype"/>
        </w:rPr>
      </w:pPr>
    </w:p>
    <w:p w14:paraId="6960BB1E" w14:textId="77777777" w:rsidR="009543FF" w:rsidRPr="002D2D76" w:rsidRDefault="009543FF" w:rsidP="009543FF">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sz w:val="24"/>
        </w:rPr>
      </w:pPr>
      <w:bookmarkStart w:id="16" w:name="_Toc4073619"/>
      <w:bookmarkStart w:id="17" w:name="_Toc4078182"/>
      <w:bookmarkStart w:id="18" w:name="_Toc34158053"/>
      <w:bookmarkStart w:id="19" w:name="_Toc34910489"/>
      <w:r w:rsidRPr="00956D53">
        <w:rPr>
          <w:rFonts w:ascii="Palatino Linotype" w:eastAsiaTheme="majorEastAsia" w:hAnsi="Palatino Linotype" w:cstheme="majorBidi"/>
          <w:b/>
          <w:color w:val="000000" w:themeColor="text1"/>
        </w:rPr>
        <w:lastRenderedPageBreak/>
        <w:t xml:space="preserve">a) </w:t>
      </w:r>
      <w:r w:rsidRPr="002D2D76">
        <w:rPr>
          <w:rFonts w:ascii="Palatino Linotype" w:eastAsiaTheme="majorEastAsia" w:hAnsi="Palatino Linotype" w:cstheme="majorBidi"/>
          <w:b/>
          <w:color w:val="000000" w:themeColor="text1"/>
          <w:sz w:val="24"/>
        </w:rPr>
        <w:t>Requisitos previos.</w:t>
      </w:r>
      <w:bookmarkEnd w:id="16"/>
      <w:bookmarkEnd w:id="17"/>
      <w:bookmarkEnd w:id="18"/>
      <w:bookmarkEnd w:id="19"/>
    </w:p>
    <w:p w14:paraId="31A736E4"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Los artículos 122 y 100 de la Ley Estatal y la Ley General, respectivamente señalan que los </w:t>
      </w:r>
      <w:r w:rsidRPr="009543FF">
        <w:rPr>
          <w:rFonts w:ascii="Palatino Linotype" w:eastAsia="MS Mincho" w:hAnsi="Palatino Linotype"/>
          <w:b/>
          <w:sz w:val="24"/>
        </w:rPr>
        <w:t xml:space="preserve">Sujetos Obligados </w:t>
      </w:r>
      <w:r w:rsidRPr="009543FF">
        <w:rPr>
          <w:rFonts w:ascii="Palatino Linotype" w:eastAsia="MS Mincho" w:hAnsi="Palatino Linotype"/>
          <w:sz w:val="24"/>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9543FF">
        <w:rPr>
          <w:rFonts w:ascii="Palatino Linotype" w:eastAsia="MS Mincho" w:hAnsi="Palatino Linotype"/>
          <w:b/>
          <w:sz w:val="24"/>
        </w:rPr>
        <w:t>confidencialidad o reserva.</w:t>
      </w:r>
    </w:p>
    <w:p w14:paraId="76F1969A"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2D2B809E"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78F1EBD0"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73F0702A"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9543FF">
        <w:rPr>
          <w:rFonts w:ascii="Palatino Linotype" w:eastAsia="MS Mincho" w:hAnsi="Palatino Linotype"/>
          <w:sz w:val="24"/>
        </w:rPr>
        <w:lastRenderedPageBreak/>
        <w:t xml:space="preserve">acuerdo por cada dato que se vaya a clasificar dentro de un documento con diez datos, por ejemplo, susceptibles de ser clasificados. </w:t>
      </w:r>
    </w:p>
    <w:p w14:paraId="6A0BE0C9" w14:textId="77777777" w:rsidR="009543FF" w:rsidRDefault="009543FF" w:rsidP="009543FF">
      <w:pPr>
        <w:spacing w:line="360" w:lineRule="auto"/>
        <w:ind w:right="49"/>
        <w:contextualSpacing/>
        <w:jc w:val="both"/>
        <w:rPr>
          <w:rFonts w:ascii="Palatino Linotype" w:eastAsia="MS Mincho" w:hAnsi="Palatino Linotype"/>
        </w:rPr>
      </w:pPr>
    </w:p>
    <w:p w14:paraId="64BB5DA7" w14:textId="77777777" w:rsidR="009543FF" w:rsidRPr="009543FF" w:rsidRDefault="009543FF" w:rsidP="009543FF">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sz w:val="24"/>
        </w:rPr>
      </w:pPr>
      <w:bookmarkStart w:id="20" w:name="_Toc34158054"/>
      <w:bookmarkStart w:id="21" w:name="_Toc34910490"/>
      <w:r w:rsidRPr="009543FF">
        <w:rPr>
          <w:rFonts w:ascii="Palatino Linotype" w:eastAsiaTheme="majorEastAsia" w:hAnsi="Palatino Linotype" w:cstheme="majorBidi"/>
          <w:b/>
          <w:color w:val="000000" w:themeColor="text1"/>
          <w:sz w:val="24"/>
        </w:rPr>
        <w:t>b) Supuestos de clasificación.</w:t>
      </w:r>
      <w:bookmarkEnd w:id="20"/>
      <w:bookmarkEnd w:id="21"/>
      <w:r w:rsidRPr="009543FF">
        <w:rPr>
          <w:rFonts w:ascii="Palatino Linotype" w:eastAsiaTheme="majorEastAsia" w:hAnsi="Palatino Linotype" w:cstheme="majorBidi"/>
          <w:b/>
          <w:color w:val="000000" w:themeColor="text1"/>
          <w:sz w:val="24"/>
        </w:rPr>
        <w:t xml:space="preserve"> </w:t>
      </w:r>
    </w:p>
    <w:p w14:paraId="6746369C"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Ahora bien, las disposiciones constitucionales y legales en la materia establecen los dos supuestos generales para clasificar la información: </w:t>
      </w:r>
      <w:r w:rsidRPr="009543FF">
        <w:rPr>
          <w:rFonts w:ascii="Palatino Linotype" w:eastAsia="MS Mincho" w:hAnsi="Palatino Linotype"/>
          <w:b/>
          <w:sz w:val="24"/>
        </w:rPr>
        <w:t xml:space="preserve">por reserva y por confidencialidad. </w:t>
      </w:r>
      <w:r w:rsidRPr="009543FF">
        <w:rPr>
          <w:rFonts w:ascii="Palatino Linotype" w:eastAsia="MS Mincho" w:hAnsi="Palatino Linotype"/>
          <w:sz w:val="24"/>
        </w:rPr>
        <w:t xml:space="preserve">Siendo los artículos 140 y 113 de la Ley Estatal y de la Ley General, los que enmarcan los supuestos para que la información pueda considerarse como </w:t>
      </w:r>
      <w:r w:rsidRPr="009543FF">
        <w:rPr>
          <w:rFonts w:ascii="Palatino Linotype" w:eastAsia="MS Mincho" w:hAnsi="Palatino Linotype"/>
          <w:b/>
          <w:sz w:val="24"/>
        </w:rPr>
        <w:t>reservada</w:t>
      </w:r>
      <w:r w:rsidRPr="009543FF">
        <w:rPr>
          <w:rFonts w:ascii="Palatino Linotype" w:eastAsia="MS Mincho" w:hAnsi="Palatino Linotype"/>
          <w:sz w:val="24"/>
        </w:rPr>
        <w:t xml:space="preserve">, y los artículos 143 y 116 de la Ley Estatal y de la Ley General, los supuestos para que la información pueda ser clasificada como </w:t>
      </w:r>
      <w:r w:rsidRPr="009543FF">
        <w:rPr>
          <w:rFonts w:ascii="Palatino Linotype" w:eastAsia="MS Mincho" w:hAnsi="Palatino Linotype"/>
          <w:b/>
          <w:sz w:val="24"/>
        </w:rPr>
        <w:t xml:space="preserve">confidencial. </w:t>
      </w:r>
    </w:p>
    <w:p w14:paraId="0BA9E4E1"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0FBE4CEE"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En el mismo sentido, el artículo 105 de la Ley General y el artículo 130 de la Ley Estatal, establecen medularmente que </w:t>
      </w:r>
      <w:r w:rsidRPr="009543FF">
        <w:rPr>
          <w:rFonts w:ascii="Palatino Linotype" w:eastAsia="MS Mincho" w:hAnsi="Palatino Linotype"/>
          <w:b/>
          <w:sz w:val="24"/>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1299FAFD"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383E7C0D"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Como consecuencia de lo anterior, el </w:t>
      </w:r>
      <w:r w:rsidRPr="009543FF">
        <w:rPr>
          <w:rFonts w:ascii="Palatino Linotype" w:eastAsia="MS Mincho" w:hAnsi="Palatino Linotype"/>
          <w:b/>
          <w:sz w:val="24"/>
        </w:rPr>
        <w:t xml:space="preserve">Sujeto Obligado </w:t>
      </w:r>
      <w:r w:rsidRPr="009543FF">
        <w:rPr>
          <w:rFonts w:ascii="Palatino Linotype" w:eastAsia="MS Mincho" w:hAnsi="Palatino Linotype"/>
          <w:sz w:val="24"/>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6D6F0020"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lastRenderedPageBreak/>
        <w:t xml:space="preserve">Una vez realizado, se remite la información al Titular de la Unidad de Transparencia, con el acuerdo de clasificación correspondiente, para que sea sometido al conocimiento del Comité de Transparencia. </w:t>
      </w:r>
    </w:p>
    <w:p w14:paraId="5664B2CD" w14:textId="77777777" w:rsidR="009543FF" w:rsidRDefault="009543FF" w:rsidP="009543FF">
      <w:pPr>
        <w:spacing w:line="360" w:lineRule="auto"/>
        <w:ind w:right="49"/>
        <w:contextualSpacing/>
        <w:jc w:val="both"/>
        <w:rPr>
          <w:rFonts w:ascii="Palatino Linotype" w:eastAsia="MS Mincho" w:hAnsi="Palatino Linotype"/>
        </w:rPr>
      </w:pPr>
    </w:p>
    <w:p w14:paraId="702C40F4" w14:textId="77777777" w:rsidR="009543FF" w:rsidRPr="009543FF" w:rsidRDefault="009543FF" w:rsidP="009543FF">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sz w:val="24"/>
        </w:rPr>
      </w:pPr>
      <w:bookmarkStart w:id="22" w:name="_Toc34158055"/>
      <w:bookmarkStart w:id="23" w:name="_Toc34910491"/>
      <w:r w:rsidRPr="009543FF">
        <w:rPr>
          <w:rFonts w:ascii="Palatino Linotype" w:eastAsiaTheme="majorEastAsia" w:hAnsi="Palatino Linotype" w:cstheme="majorBidi"/>
          <w:b/>
          <w:color w:val="000000" w:themeColor="text1"/>
          <w:sz w:val="24"/>
        </w:rPr>
        <w:t>c) La intervención del Comité de Transparencia.</w:t>
      </w:r>
      <w:bookmarkEnd w:id="22"/>
      <w:bookmarkEnd w:id="23"/>
    </w:p>
    <w:p w14:paraId="6CC4D2B7" w14:textId="77777777" w:rsidR="009543FF" w:rsidRPr="009543FF" w:rsidRDefault="009543FF" w:rsidP="009543FF">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sz w:val="24"/>
        </w:rPr>
      </w:pPr>
    </w:p>
    <w:p w14:paraId="55D49CE8" w14:textId="77777777" w:rsidR="009543FF" w:rsidRPr="009543FF" w:rsidRDefault="009543FF" w:rsidP="009543FF">
      <w:pPr>
        <w:keepNext/>
        <w:keepLines/>
        <w:numPr>
          <w:ilvl w:val="0"/>
          <w:numId w:val="49"/>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sz w:val="24"/>
        </w:rPr>
      </w:pPr>
      <w:bookmarkStart w:id="24" w:name="_Toc4073623"/>
      <w:bookmarkStart w:id="25" w:name="_Toc4078186"/>
      <w:bookmarkStart w:id="26" w:name="_Toc34158056"/>
      <w:bookmarkStart w:id="27" w:name="_Toc34910492"/>
      <w:r w:rsidRPr="009543FF">
        <w:rPr>
          <w:rFonts w:ascii="Palatino Linotype" w:eastAsiaTheme="majorEastAsia" w:hAnsi="Palatino Linotype" w:cstheme="majorBidi"/>
          <w:b/>
          <w:color w:val="000000" w:themeColor="text1"/>
          <w:sz w:val="24"/>
        </w:rPr>
        <w:t>Formalidades para emitir el acuerdo de clasificación.</w:t>
      </w:r>
      <w:bookmarkEnd w:id="24"/>
      <w:bookmarkEnd w:id="25"/>
      <w:bookmarkEnd w:id="26"/>
      <w:bookmarkEnd w:id="27"/>
    </w:p>
    <w:p w14:paraId="4DACC4C2"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El Comité de Transparencia, </w:t>
      </w:r>
      <w:r w:rsidRPr="009543FF">
        <w:rPr>
          <w:rFonts w:ascii="Palatino Linotype" w:eastAsia="MS Mincho" w:hAnsi="Palatino Linotype" w:cs="Arial"/>
          <w:color w:val="000000"/>
          <w:sz w:val="24"/>
        </w:rPr>
        <w:t xml:space="preserve">según lo dispuesto en los artículos 128 y 103 de la Ley Estatal y de la Ley General, respectivamente, y </w:t>
      </w:r>
      <w:r w:rsidRPr="009543FF">
        <w:rPr>
          <w:rFonts w:ascii="Palatino Linotype" w:eastAsia="MS Mincho" w:hAnsi="Palatino Linotype"/>
          <w:color w:val="000000"/>
          <w:sz w:val="24"/>
        </w:rPr>
        <w:t xml:space="preserve">la fracción III del numeral Segundo de los </w:t>
      </w:r>
      <w:r w:rsidRPr="009543FF">
        <w:rPr>
          <w:rFonts w:ascii="Palatino Linotype" w:eastAsia="MS Mincho" w:hAnsi="Palatino Linotype" w:cs="Arial"/>
          <w:color w:val="000000"/>
          <w:sz w:val="24"/>
        </w:rPr>
        <w:t>Lineamientos generales en materia de clasificación y desclasificación de la información, así como para la elaboración de versiones públicas,</w:t>
      </w:r>
      <w:r w:rsidRPr="009543FF">
        <w:rPr>
          <w:rFonts w:ascii="Palatino Linotype" w:eastAsia="MS Mincho" w:hAnsi="Palatino Linotype"/>
          <w:color w:val="000000"/>
          <w:sz w:val="24"/>
        </w:rPr>
        <w:t xml:space="preserve"> </w:t>
      </w:r>
      <w:r w:rsidRPr="009543FF">
        <w:rPr>
          <w:rFonts w:ascii="Palatino Linotype" w:eastAsia="MS Mincho" w:hAnsi="Palatino Linotype" w:cs="Arial"/>
          <w:color w:val="000000"/>
          <w:sz w:val="24"/>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78052927"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7908C5D6" w14:textId="77777777" w:rsidR="009543FF" w:rsidRPr="009543FF" w:rsidRDefault="009543FF" w:rsidP="009543FF">
      <w:pPr>
        <w:numPr>
          <w:ilvl w:val="0"/>
          <w:numId w:val="2"/>
        </w:numPr>
        <w:spacing w:line="360" w:lineRule="auto"/>
        <w:ind w:left="0" w:firstLine="0"/>
        <w:contextualSpacing/>
        <w:jc w:val="both"/>
        <w:rPr>
          <w:rFonts w:ascii="Palatino Linotype" w:hAnsi="Palatino Linotype" w:cs="Arial"/>
          <w:color w:val="000000" w:themeColor="text1"/>
          <w:sz w:val="24"/>
        </w:rPr>
      </w:pPr>
      <w:r w:rsidRPr="009543FF">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w:t>
      </w:r>
      <w:r w:rsidRPr="009543FF">
        <w:rPr>
          <w:rFonts w:ascii="Palatino Linotype" w:hAnsi="Palatino Linotype" w:cs="Arial"/>
          <w:color w:val="000000" w:themeColor="text1"/>
          <w:sz w:val="24"/>
        </w:rPr>
        <w:lastRenderedPageBreak/>
        <w:t>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09A8891"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23761D30"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36"/>
        </w:rPr>
      </w:pPr>
      <w:r w:rsidRPr="009543FF">
        <w:rPr>
          <w:rFonts w:ascii="Palatino Linotype" w:hAnsi="Palatino Linotype"/>
          <w:color w:val="000000" w:themeColor="text1"/>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54A6D3E" w14:textId="77777777" w:rsidR="009543FF" w:rsidRPr="00BE015A" w:rsidRDefault="009543FF" w:rsidP="009543FF">
      <w:pPr>
        <w:pStyle w:val="Prrafodelista"/>
        <w:spacing w:line="360" w:lineRule="auto"/>
        <w:ind w:left="360" w:right="49"/>
        <w:jc w:val="both"/>
        <w:rPr>
          <w:rFonts w:ascii="Palatino Linotype" w:eastAsia="MS Mincho" w:hAnsi="Palatino Linotype"/>
          <w:sz w:val="28"/>
        </w:rPr>
      </w:pPr>
    </w:p>
    <w:p w14:paraId="134D9CD9" w14:textId="77777777" w:rsidR="009543FF" w:rsidRPr="009543FF" w:rsidRDefault="009543FF" w:rsidP="009543FF">
      <w:pPr>
        <w:pStyle w:val="Prrafodelista"/>
        <w:keepNext/>
        <w:keepLines/>
        <w:numPr>
          <w:ilvl w:val="0"/>
          <w:numId w:val="49"/>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sz w:val="24"/>
        </w:rPr>
      </w:pPr>
      <w:bookmarkStart w:id="28" w:name="_Toc34158057"/>
      <w:bookmarkStart w:id="29" w:name="_Toc34910493"/>
      <w:r w:rsidRPr="009543FF">
        <w:rPr>
          <w:rFonts w:ascii="Palatino Linotype" w:eastAsiaTheme="majorEastAsia" w:hAnsi="Palatino Linotype" w:cstheme="majorBidi"/>
          <w:b/>
          <w:color w:val="000000" w:themeColor="text1"/>
          <w:sz w:val="24"/>
        </w:rPr>
        <w:t>Requisitos de fondo del acuerdo de clasificación.</w:t>
      </w:r>
      <w:bookmarkEnd w:id="28"/>
      <w:bookmarkEnd w:id="29"/>
      <w:r w:rsidRPr="009543FF">
        <w:rPr>
          <w:rFonts w:ascii="Palatino Linotype" w:eastAsiaTheme="majorEastAsia" w:hAnsi="Palatino Linotype" w:cstheme="majorBidi"/>
          <w:b/>
          <w:color w:val="000000" w:themeColor="text1"/>
          <w:sz w:val="24"/>
        </w:rPr>
        <w:t xml:space="preserve"> </w:t>
      </w:r>
    </w:p>
    <w:p w14:paraId="08AF5F59" w14:textId="77777777" w:rsidR="009543FF" w:rsidRPr="009543FF" w:rsidRDefault="009543FF" w:rsidP="009543FF">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9543FF">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w:t>
      </w:r>
      <w:r w:rsidRPr="009543FF">
        <w:rPr>
          <w:rFonts w:ascii="Palatino Linotype" w:hAnsi="Palatino Linotype" w:cs="Arial"/>
          <w:color w:val="000000" w:themeColor="text1"/>
          <w:sz w:val="24"/>
          <w:szCs w:val="24"/>
        </w:rPr>
        <w:lastRenderedPageBreak/>
        <w:t xml:space="preserve">Lineamientos Generales,  al señalar que la carga de la prueba, para justificar las restricciones, corresponde a los sujetos obligados, por lo que deberán fundar y motivar debidamente la clasificación. </w:t>
      </w:r>
    </w:p>
    <w:p w14:paraId="4AE99E6A" w14:textId="77777777" w:rsidR="009543FF" w:rsidRPr="009543FF" w:rsidRDefault="009543FF" w:rsidP="009543FF">
      <w:pPr>
        <w:spacing w:line="360" w:lineRule="auto"/>
        <w:contextualSpacing/>
        <w:jc w:val="both"/>
        <w:rPr>
          <w:rFonts w:ascii="Palatino Linotype" w:hAnsi="Palatino Linotype"/>
          <w:color w:val="000000" w:themeColor="text1"/>
          <w:sz w:val="24"/>
          <w:szCs w:val="24"/>
          <w:highlight w:val="yellow"/>
        </w:rPr>
      </w:pPr>
    </w:p>
    <w:p w14:paraId="7F6F347A" w14:textId="77777777" w:rsidR="009543FF" w:rsidRPr="009543FF" w:rsidRDefault="009543FF" w:rsidP="009543FF">
      <w:pPr>
        <w:numPr>
          <w:ilvl w:val="0"/>
          <w:numId w:val="2"/>
        </w:numPr>
        <w:spacing w:line="360" w:lineRule="auto"/>
        <w:ind w:left="0" w:firstLine="0"/>
        <w:contextualSpacing/>
        <w:jc w:val="both"/>
        <w:rPr>
          <w:rFonts w:ascii="Palatino Linotype" w:hAnsi="Palatino Linotype"/>
          <w:color w:val="000000" w:themeColor="text1"/>
          <w:sz w:val="24"/>
          <w:szCs w:val="24"/>
        </w:rPr>
      </w:pPr>
      <w:r w:rsidRPr="009543FF">
        <w:rPr>
          <w:rFonts w:ascii="Palatino Linotype" w:hAnsi="Palatino Linotype"/>
          <w:color w:val="000000" w:themeColor="text1"/>
          <w:sz w:val="24"/>
          <w:szCs w:val="24"/>
        </w:rPr>
        <w:t xml:space="preserve">De lo anterior, se desprende que para una correcta clasificación total o parcial, esto es, determinar los datos que se suprimen en las versiones públicas, </w:t>
      </w:r>
      <w:r w:rsidRPr="009543FF">
        <w:rPr>
          <w:rFonts w:ascii="Palatino Linotype" w:hAnsi="Palatino Linotype"/>
          <w:b/>
          <w:color w:val="000000" w:themeColor="text1"/>
          <w:sz w:val="24"/>
          <w:szCs w:val="24"/>
        </w:rPr>
        <w:t>es necesario fundar y motivar</w:t>
      </w:r>
      <w:r w:rsidRPr="009543FF">
        <w:rPr>
          <w:rFonts w:ascii="Palatino Linotype" w:hAnsi="Palatino Linotype"/>
          <w:color w:val="000000" w:themeColor="text1"/>
          <w:sz w:val="24"/>
          <w:szCs w:val="24"/>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9543FF">
        <w:rPr>
          <w:rFonts w:ascii="Palatino Linotype" w:hAnsi="Palatino Linotype" w:cs="Arial"/>
          <w:color w:val="000000" w:themeColor="text1"/>
          <w:sz w:val="24"/>
          <w:szCs w:val="24"/>
          <w:lang w:eastAsia="es-MX"/>
        </w:rPr>
        <w:t>entenderse por fundamentación y motivación, lo siguiente:</w:t>
      </w:r>
    </w:p>
    <w:p w14:paraId="683D22B4" w14:textId="77777777" w:rsidR="009543FF" w:rsidRPr="004837B7" w:rsidRDefault="009543FF" w:rsidP="009543FF">
      <w:pPr>
        <w:spacing w:line="360" w:lineRule="auto"/>
        <w:ind w:right="618"/>
        <w:contextualSpacing/>
        <w:jc w:val="both"/>
        <w:rPr>
          <w:rFonts w:ascii="Palatino Linotype" w:hAnsi="Palatino Linotype" w:cs="Arial"/>
          <w:color w:val="000000" w:themeColor="text1"/>
          <w:highlight w:val="yellow"/>
        </w:rPr>
      </w:pPr>
    </w:p>
    <w:p w14:paraId="0C69534C" w14:textId="77777777" w:rsidR="009543FF" w:rsidRPr="009543FF" w:rsidRDefault="009543FF" w:rsidP="009543FF">
      <w:pPr>
        <w:spacing w:line="360" w:lineRule="auto"/>
        <w:ind w:left="567" w:right="618"/>
        <w:contextualSpacing/>
        <w:jc w:val="both"/>
        <w:rPr>
          <w:rFonts w:ascii="Palatino Linotype" w:hAnsi="Palatino Linotype" w:cs="Arial"/>
          <w:i/>
          <w:color w:val="000000" w:themeColor="text1"/>
          <w:sz w:val="22"/>
        </w:rPr>
      </w:pPr>
      <w:r w:rsidRPr="009543FF">
        <w:rPr>
          <w:rFonts w:ascii="Palatino Linotype" w:hAnsi="Palatino Linotype" w:cs="Arial"/>
          <w:b/>
          <w:i/>
          <w:color w:val="000000" w:themeColor="text1"/>
          <w:sz w:val="22"/>
        </w:rPr>
        <w:t>FUNDAMENTACIÓN Y MOTIVACIÓN.</w:t>
      </w:r>
      <w:r w:rsidRPr="009543FF">
        <w:rPr>
          <w:rFonts w:ascii="Palatino Linotype" w:hAnsi="Palatino Linotype" w:cs="Arial"/>
          <w:i/>
          <w:color w:val="000000" w:themeColor="text1"/>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FAD4069" w14:textId="77777777" w:rsidR="009543FF" w:rsidRPr="009543FF" w:rsidRDefault="009543FF" w:rsidP="009543FF">
      <w:pPr>
        <w:spacing w:line="360" w:lineRule="auto"/>
        <w:ind w:right="618"/>
        <w:contextualSpacing/>
        <w:jc w:val="both"/>
        <w:rPr>
          <w:rFonts w:ascii="Palatino Linotype" w:hAnsi="Palatino Linotype" w:cs="Arial"/>
          <w:i/>
          <w:color w:val="000000" w:themeColor="text1"/>
          <w:sz w:val="22"/>
          <w:highlight w:val="yellow"/>
        </w:rPr>
      </w:pPr>
    </w:p>
    <w:p w14:paraId="748CBFA7" w14:textId="77777777" w:rsidR="009543FF" w:rsidRPr="009543FF" w:rsidRDefault="009543FF" w:rsidP="009543FF">
      <w:pPr>
        <w:spacing w:line="360" w:lineRule="auto"/>
        <w:ind w:left="567" w:right="618"/>
        <w:contextualSpacing/>
        <w:jc w:val="both"/>
        <w:rPr>
          <w:rFonts w:ascii="Palatino Linotype" w:hAnsi="Palatino Linotype" w:cs="Arial"/>
          <w:i/>
          <w:color w:val="000000" w:themeColor="text1"/>
          <w:sz w:val="22"/>
        </w:rPr>
      </w:pPr>
      <w:r w:rsidRPr="009543FF">
        <w:rPr>
          <w:rFonts w:ascii="Palatino Linotype" w:hAnsi="Palatino Linotype" w:cs="Arial"/>
          <w:i/>
          <w:color w:val="000000" w:themeColor="text1"/>
          <w:sz w:val="22"/>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Esponda </w:t>
      </w:r>
      <w:r w:rsidRPr="009543FF">
        <w:rPr>
          <w:rFonts w:ascii="Palatino Linotype" w:hAnsi="Palatino Linotype" w:cs="Arial"/>
          <w:i/>
          <w:color w:val="000000" w:themeColor="text1"/>
          <w:sz w:val="22"/>
        </w:rPr>
        <w:lastRenderedPageBreak/>
        <w:t>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Baigts Muñoz.</w:t>
      </w:r>
      <w:r w:rsidRPr="009543FF">
        <w:rPr>
          <w:rFonts w:ascii="Palatino Linotype" w:hAnsi="Palatino Linotype" w:cs="Arial"/>
          <w:i/>
          <w:color w:val="000000" w:themeColor="text1"/>
          <w:sz w:val="22"/>
          <w:vertAlign w:val="superscript"/>
        </w:rPr>
        <w:footnoteReference w:id="8"/>
      </w:r>
    </w:p>
    <w:p w14:paraId="56A15CC2" w14:textId="77777777" w:rsidR="009543FF" w:rsidRPr="004837B7" w:rsidRDefault="009543FF" w:rsidP="009543FF">
      <w:pPr>
        <w:spacing w:line="360" w:lineRule="auto"/>
        <w:ind w:left="567"/>
        <w:contextualSpacing/>
        <w:jc w:val="both"/>
        <w:rPr>
          <w:rFonts w:ascii="Palatino Linotype" w:hAnsi="Palatino Linotype" w:cs="Arial"/>
          <w:color w:val="000000" w:themeColor="text1"/>
          <w:highlight w:val="yellow"/>
          <w:lang w:val="es-ES"/>
        </w:rPr>
      </w:pPr>
    </w:p>
    <w:p w14:paraId="07705852" w14:textId="77777777" w:rsidR="009543FF" w:rsidRPr="009543FF" w:rsidRDefault="009543FF" w:rsidP="009543FF">
      <w:pPr>
        <w:numPr>
          <w:ilvl w:val="0"/>
          <w:numId w:val="2"/>
        </w:numPr>
        <w:shd w:val="clear" w:color="auto" w:fill="FFFFFF"/>
        <w:spacing w:line="360" w:lineRule="auto"/>
        <w:ind w:left="0" w:firstLine="0"/>
        <w:contextualSpacing/>
        <w:jc w:val="both"/>
        <w:rPr>
          <w:rFonts w:ascii="Palatino Linotype" w:hAnsi="Palatino Linotype" w:cs="Arial"/>
          <w:color w:val="000000" w:themeColor="text1"/>
          <w:sz w:val="24"/>
          <w:lang w:eastAsia="es-MX"/>
        </w:rPr>
      </w:pPr>
      <w:r w:rsidRPr="009543FF">
        <w:rPr>
          <w:rFonts w:ascii="Palatino Linotype"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BF8ED18" w14:textId="77777777" w:rsidR="009543FF" w:rsidRPr="009543FF" w:rsidRDefault="009543FF" w:rsidP="009543FF">
      <w:pPr>
        <w:shd w:val="clear" w:color="auto" w:fill="FFFFFF"/>
        <w:spacing w:line="360" w:lineRule="auto"/>
        <w:contextualSpacing/>
        <w:jc w:val="both"/>
        <w:rPr>
          <w:rFonts w:ascii="Palatino Linotype" w:hAnsi="Palatino Linotype" w:cs="Arial"/>
          <w:color w:val="000000" w:themeColor="text1"/>
          <w:sz w:val="24"/>
          <w:lang w:eastAsia="es-MX"/>
        </w:rPr>
      </w:pPr>
    </w:p>
    <w:p w14:paraId="17ACB179" w14:textId="77777777" w:rsidR="009543FF" w:rsidRPr="009543FF" w:rsidRDefault="009543FF" w:rsidP="009543FF">
      <w:pPr>
        <w:numPr>
          <w:ilvl w:val="0"/>
          <w:numId w:val="2"/>
        </w:numPr>
        <w:shd w:val="clear" w:color="auto" w:fill="FFFFFF"/>
        <w:spacing w:line="360" w:lineRule="auto"/>
        <w:ind w:left="0" w:firstLine="0"/>
        <w:contextualSpacing/>
        <w:jc w:val="both"/>
        <w:rPr>
          <w:rFonts w:ascii="Palatino Linotype" w:hAnsi="Palatino Linotype" w:cs="Arial"/>
          <w:color w:val="000000" w:themeColor="text1"/>
          <w:sz w:val="24"/>
          <w:lang w:eastAsia="es-MX"/>
        </w:rPr>
      </w:pPr>
      <w:r w:rsidRPr="009543FF">
        <w:rPr>
          <w:rFonts w:ascii="Palatino Linotype" w:hAnsi="Palatino Linotype" w:cs="Arial"/>
          <w:color w:val="000000" w:themeColor="text1"/>
          <w:sz w:val="24"/>
          <w:lang w:eastAsia="es-MX"/>
        </w:rPr>
        <w:t>En ese mismo sentido, el lineamiento trigésimo tercero fracción V de los Lineamientos Generales, precisa que para motivar la clasificación se deben acreditar las circunstancias de tiempo, modo y lugar.</w:t>
      </w:r>
    </w:p>
    <w:p w14:paraId="57213D42" w14:textId="77777777" w:rsidR="009543FF" w:rsidRPr="009543FF" w:rsidRDefault="009543FF" w:rsidP="009543FF">
      <w:pPr>
        <w:spacing w:line="360" w:lineRule="auto"/>
        <w:ind w:right="49"/>
        <w:contextualSpacing/>
        <w:jc w:val="both"/>
        <w:rPr>
          <w:rFonts w:ascii="Palatino Linotype" w:eastAsia="MS Mincho" w:hAnsi="Palatino Linotype"/>
          <w:sz w:val="24"/>
        </w:rPr>
      </w:pPr>
    </w:p>
    <w:p w14:paraId="3137DFB3" w14:textId="77777777" w:rsidR="009543FF" w:rsidRPr="009543FF"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9543FF">
        <w:rPr>
          <w:rFonts w:ascii="Palatino Linotype" w:eastAsia="MS Mincho" w:hAnsi="Palatino Linotype"/>
          <w:sz w:val="24"/>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w:t>
      </w:r>
      <w:r w:rsidRPr="009543FF">
        <w:rPr>
          <w:rFonts w:ascii="Palatino Linotype" w:eastAsia="MS Mincho" w:hAnsi="Palatino Linotype"/>
          <w:sz w:val="24"/>
        </w:rPr>
        <w:lastRenderedPageBreak/>
        <w:t xml:space="preserve">sea considerado </w:t>
      </w:r>
      <w:r w:rsidRPr="009543FF">
        <w:rPr>
          <w:rFonts w:ascii="Palatino Linotype" w:eastAsia="MS Mincho" w:hAnsi="Palatino Linotype"/>
          <w:b/>
          <w:sz w:val="24"/>
        </w:rPr>
        <w:t xml:space="preserve">infundado y se proceda a ordenar la desclasificación de la información por el incumplimiento de las formalidades, es decir, por vicios de legalidad o a la reposición del acto. </w:t>
      </w:r>
    </w:p>
    <w:p w14:paraId="478D9DE2" w14:textId="77777777" w:rsidR="009543FF" w:rsidRPr="0025787E" w:rsidRDefault="009543FF" w:rsidP="009543FF">
      <w:pPr>
        <w:spacing w:line="360" w:lineRule="auto"/>
        <w:ind w:right="49"/>
        <w:contextualSpacing/>
        <w:jc w:val="both"/>
        <w:rPr>
          <w:rFonts w:ascii="Palatino Linotype" w:eastAsia="MS Mincho" w:hAnsi="Palatino Linotype"/>
        </w:rPr>
      </w:pPr>
    </w:p>
    <w:p w14:paraId="44F80E09" w14:textId="04822913" w:rsidR="00E26AC3" w:rsidRDefault="009543FF" w:rsidP="009543FF">
      <w:pPr>
        <w:numPr>
          <w:ilvl w:val="0"/>
          <w:numId w:val="2"/>
        </w:numPr>
        <w:spacing w:line="360" w:lineRule="auto"/>
        <w:ind w:left="0" w:right="49" w:firstLine="0"/>
        <w:contextualSpacing/>
        <w:jc w:val="both"/>
        <w:rPr>
          <w:rFonts w:ascii="Palatino Linotype" w:eastAsia="MS Mincho" w:hAnsi="Palatino Linotype"/>
          <w:sz w:val="24"/>
          <w:szCs w:val="24"/>
        </w:rPr>
      </w:pPr>
      <w:r w:rsidRPr="009543FF">
        <w:rPr>
          <w:rFonts w:ascii="Palatino Linotype" w:eastAsia="MS Mincho" w:hAnsi="Palatino Linotype"/>
          <w:sz w:val="24"/>
          <w:szCs w:val="24"/>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w:t>
      </w:r>
      <w:r>
        <w:rPr>
          <w:rFonts w:ascii="Palatino Linotype" w:eastAsia="MS Mincho" w:hAnsi="Palatino Linotype"/>
          <w:sz w:val="24"/>
          <w:szCs w:val="24"/>
        </w:rPr>
        <w:t xml:space="preserve"> no se brinda certeza a los particulares respecto a la restricción a su derecho de acceso a la información pública, por lo tanto, la clasificación no resulta procedente, tal y como ocurre en el presente asunto en particular, en razón de que la </w:t>
      </w:r>
      <w:r w:rsidR="00E26AC3">
        <w:rPr>
          <w:rFonts w:ascii="Palatino Linotype" w:eastAsia="MS Mincho" w:hAnsi="Palatino Linotype"/>
          <w:sz w:val="24"/>
          <w:szCs w:val="24"/>
        </w:rPr>
        <w:t>clasificación que manifestó el Sujeto Obligado carece de los elementos mínimos indispensables, como lo es el acuerdo del Comité de Transparencia, que resulta la autoridad en materia de transparencia con facultades para confirmar, modificar o revocar las clasificaciones de información.</w:t>
      </w:r>
    </w:p>
    <w:p w14:paraId="475FF7C6" w14:textId="77777777" w:rsidR="00E26AC3" w:rsidRDefault="00E26AC3" w:rsidP="00E26AC3">
      <w:pPr>
        <w:pStyle w:val="Prrafodelista"/>
        <w:rPr>
          <w:rFonts w:ascii="Palatino Linotype" w:eastAsia="MS Mincho" w:hAnsi="Palatino Linotype"/>
          <w:sz w:val="24"/>
        </w:rPr>
      </w:pPr>
    </w:p>
    <w:p w14:paraId="24450252" w14:textId="7BCE725A" w:rsidR="009543FF" w:rsidRPr="002152A6" w:rsidRDefault="009543FF" w:rsidP="009543FF">
      <w:pPr>
        <w:pStyle w:val="Ttulo3"/>
        <w:rPr>
          <w:rFonts w:ascii="Palatino Linotype" w:hAnsi="Palatino Linotype"/>
          <w:b/>
        </w:rPr>
      </w:pPr>
      <w:bookmarkStart w:id="30" w:name="_Toc34910495"/>
      <w:r w:rsidRPr="002152A6">
        <w:rPr>
          <w:rFonts w:ascii="Palatino Linotype" w:hAnsi="Palatino Linotype"/>
          <w:b/>
          <w:color w:val="auto"/>
        </w:rPr>
        <w:t xml:space="preserve">III. </w:t>
      </w:r>
      <w:r w:rsidR="00E26AC3">
        <w:rPr>
          <w:rFonts w:ascii="Palatino Linotype" w:hAnsi="Palatino Linotype"/>
          <w:b/>
          <w:color w:val="auto"/>
        </w:rPr>
        <w:t>De la fuente obligacional</w:t>
      </w:r>
      <w:r w:rsidRPr="002152A6">
        <w:rPr>
          <w:rFonts w:ascii="Palatino Linotype" w:hAnsi="Palatino Linotype"/>
          <w:b/>
          <w:color w:val="auto"/>
        </w:rPr>
        <w:t>.</w:t>
      </w:r>
      <w:bookmarkEnd w:id="30"/>
    </w:p>
    <w:p w14:paraId="1533286D" w14:textId="77777777" w:rsidR="009543FF" w:rsidRPr="00E26AC3" w:rsidRDefault="009543FF" w:rsidP="009543FF">
      <w:pPr>
        <w:numPr>
          <w:ilvl w:val="0"/>
          <w:numId w:val="2"/>
        </w:numPr>
        <w:spacing w:line="360" w:lineRule="auto"/>
        <w:ind w:left="0" w:right="49" w:firstLine="0"/>
        <w:contextualSpacing/>
        <w:jc w:val="both"/>
        <w:rPr>
          <w:rFonts w:ascii="Palatino Linotype" w:eastAsia="MS Mincho" w:hAnsi="Palatino Linotype"/>
          <w:sz w:val="24"/>
        </w:rPr>
      </w:pPr>
      <w:r w:rsidRPr="00E26AC3">
        <w:rPr>
          <w:rFonts w:ascii="Palatino Linotype" w:eastAsia="MS Mincho" w:hAnsi="Palatino Linotype"/>
          <w:sz w:val="24"/>
        </w:rPr>
        <w:t xml:space="preserve">A través de la respuesta del Sujeto Obligado se advertirse que el </w:t>
      </w:r>
      <w:r w:rsidRPr="00E26AC3">
        <w:rPr>
          <w:rFonts w:ascii="Palatino Linotype" w:eastAsia="MS Mincho" w:hAnsi="Palatino Linotype"/>
          <w:b/>
          <w:sz w:val="24"/>
        </w:rPr>
        <w:t xml:space="preserve">Sujeto Obligado </w:t>
      </w:r>
      <w:r w:rsidRPr="00E26AC3">
        <w:rPr>
          <w:rFonts w:ascii="Palatino Linotype" w:eastAsia="MS Mincho" w:hAnsi="Palatino Linotype"/>
          <w:sz w:val="24"/>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0902B0C8" w14:textId="77777777" w:rsidR="009543FF" w:rsidRPr="007B4B2F" w:rsidRDefault="009543FF" w:rsidP="009543FF">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b/>
          <w:i/>
          <w:sz w:val="22"/>
        </w:rPr>
        <w:lastRenderedPageBreak/>
        <w:t>La</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l</w:t>
      </w:r>
      <w:r w:rsidRPr="007B4B2F">
        <w:rPr>
          <w:rFonts w:ascii="Palatino Linotype" w:eastAsia="Arial" w:hAnsi="Palatino Linotype" w:cs="Arial"/>
          <w:b/>
          <w:i/>
          <w:spacing w:val="-1"/>
          <w:sz w:val="22"/>
        </w:rPr>
        <w:t>a</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ifi</w:t>
      </w:r>
      <w:r w:rsidRPr="007B4B2F">
        <w:rPr>
          <w:rFonts w:ascii="Palatino Linotype" w:eastAsia="Arial" w:hAnsi="Palatino Linotype" w:cs="Arial"/>
          <w:b/>
          <w:i/>
          <w:spacing w:val="-1"/>
          <w:sz w:val="22"/>
        </w:rPr>
        <w:t>c</w:t>
      </w:r>
      <w:r w:rsidRPr="007B4B2F">
        <w:rPr>
          <w:rFonts w:ascii="Palatino Linotype" w:eastAsia="Arial" w:hAnsi="Palatino Linotype" w:cs="Arial"/>
          <w:b/>
          <w:i/>
          <w:spacing w:val="1"/>
          <w:sz w:val="22"/>
        </w:rPr>
        <w:t>ac</w:t>
      </w:r>
      <w:r w:rsidRPr="007B4B2F">
        <w:rPr>
          <w:rFonts w:ascii="Palatino Linotype" w:eastAsia="Arial" w:hAnsi="Palatino Linotype" w:cs="Arial"/>
          <w:b/>
          <w:i/>
          <w:sz w:val="22"/>
        </w:rPr>
        <w:t>ión</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 xml:space="preserve">y </w:t>
      </w:r>
      <w:r w:rsidRPr="007B4B2F">
        <w:rPr>
          <w:rFonts w:ascii="Palatino Linotype" w:eastAsia="Arial" w:hAnsi="Palatino Linotype" w:cs="Arial"/>
          <w:b/>
          <w:i/>
          <w:spacing w:val="3"/>
          <w:sz w:val="22"/>
        </w:rPr>
        <w:t>l</w:t>
      </w:r>
      <w:r w:rsidRPr="007B4B2F">
        <w:rPr>
          <w:rFonts w:ascii="Palatino Linotype" w:eastAsia="Arial" w:hAnsi="Palatino Linotype" w:cs="Arial"/>
          <w:b/>
          <w:i/>
          <w:sz w:val="22"/>
        </w:rPr>
        <w:t>a</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in</w:t>
      </w:r>
      <w:r w:rsidRPr="007B4B2F">
        <w:rPr>
          <w:rFonts w:ascii="Palatino Linotype" w:eastAsia="Arial" w:hAnsi="Palatino Linotype" w:cs="Arial"/>
          <w:b/>
          <w:i/>
          <w:spacing w:val="1"/>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i</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ten</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ia</w:t>
      </w:r>
      <w:r w:rsidRPr="007B4B2F">
        <w:rPr>
          <w:rFonts w:ascii="Palatino Linotype" w:eastAsia="Arial" w:hAnsi="Palatino Linotype" w:cs="Arial"/>
          <w:b/>
          <w:i/>
          <w:spacing w:val="8"/>
          <w:sz w:val="22"/>
        </w:rPr>
        <w:t xml:space="preserve"> </w:t>
      </w:r>
      <w:r w:rsidRPr="007B4B2F">
        <w:rPr>
          <w:rFonts w:ascii="Palatino Linotype" w:eastAsia="Arial" w:hAnsi="Palatino Linotype" w:cs="Arial"/>
          <w:b/>
          <w:i/>
          <w:spacing w:val="-3"/>
          <w:sz w:val="22"/>
        </w:rPr>
        <w:t>d</w:t>
      </w:r>
      <w:r w:rsidRPr="007B4B2F">
        <w:rPr>
          <w:rFonts w:ascii="Palatino Linotype" w:eastAsia="Arial" w:hAnsi="Palatino Linotype" w:cs="Arial"/>
          <w:b/>
          <w:i/>
          <w:sz w:val="22"/>
        </w:rPr>
        <w:t>e</w:t>
      </w:r>
      <w:r w:rsidRPr="007B4B2F">
        <w:rPr>
          <w:rFonts w:ascii="Palatino Linotype" w:eastAsia="Arial" w:hAnsi="Palatino Linotype" w:cs="Arial"/>
          <w:b/>
          <w:i/>
          <w:spacing w:val="12"/>
          <w:sz w:val="22"/>
        </w:rPr>
        <w:t xml:space="preserve"> </w:t>
      </w:r>
      <w:r w:rsidRPr="007B4B2F">
        <w:rPr>
          <w:rFonts w:ascii="Palatino Linotype" w:eastAsia="Arial" w:hAnsi="Palatino Linotype" w:cs="Arial"/>
          <w:b/>
          <w:i/>
          <w:sz w:val="22"/>
        </w:rPr>
        <w:t>i</w:t>
      </w:r>
      <w:r w:rsidRPr="007B4B2F">
        <w:rPr>
          <w:rFonts w:ascii="Palatino Linotype" w:eastAsia="Arial" w:hAnsi="Palatino Linotype" w:cs="Arial"/>
          <w:b/>
          <w:i/>
          <w:spacing w:val="-2"/>
          <w:sz w:val="22"/>
        </w:rPr>
        <w:t>n</w:t>
      </w:r>
      <w:r w:rsidRPr="007B4B2F">
        <w:rPr>
          <w:rFonts w:ascii="Palatino Linotype" w:eastAsia="Arial" w:hAnsi="Palatino Linotype" w:cs="Arial"/>
          <w:b/>
          <w:i/>
          <w:sz w:val="22"/>
        </w:rPr>
        <w:t>f</w:t>
      </w:r>
      <w:r w:rsidRPr="007B4B2F">
        <w:rPr>
          <w:rFonts w:ascii="Palatino Linotype" w:eastAsia="Arial" w:hAnsi="Palatino Linotype" w:cs="Arial"/>
          <w:b/>
          <w:i/>
          <w:spacing w:val="-1"/>
          <w:sz w:val="22"/>
        </w:rPr>
        <w:t>o</w:t>
      </w:r>
      <w:r w:rsidRPr="007B4B2F">
        <w:rPr>
          <w:rFonts w:ascii="Palatino Linotype" w:eastAsia="Arial" w:hAnsi="Palatino Linotype" w:cs="Arial"/>
          <w:b/>
          <w:i/>
          <w:sz w:val="22"/>
        </w:rPr>
        <w:t>rm</w:t>
      </w:r>
      <w:r w:rsidRPr="007B4B2F">
        <w:rPr>
          <w:rFonts w:ascii="Palatino Linotype" w:eastAsia="Arial" w:hAnsi="Palatino Linotype" w:cs="Arial"/>
          <w:b/>
          <w:i/>
          <w:spacing w:val="1"/>
          <w:sz w:val="22"/>
        </w:rPr>
        <w:t>ac</w:t>
      </w:r>
      <w:r w:rsidRPr="007B4B2F">
        <w:rPr>
          <w:rFonts w:ascii="Palatino Linotype" w:eastAsia="Arial" w:hAnsi="Palatino Linotype" w:cs="Arial"/>
          <w:b/>
          <w:i/>
          <w:sz w:val="22"/>
        </w:rPr>
        <w:t>ión</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on</w:t>
      </w:r>
      <w:r w:rsidRPr="007B4B2F">
        <w:rPr>
          <w:rFonts w:ascii="Palatino Linotype" w:eastAsia="Arial" w:hAnsi="Palatino Linotype" w:cs="Arial"/>
          <w:b/>
          <w:i/>
          <w:spacing w:val="4"/>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on</w:t>
      </w:r>
      <w:r w:rsidRPr="007B4B2F">
        <w:rPr>
          <w:rFonts w:ascii="Palatino Linotype" w:eastAsia="Arial" w:hAnsi="Palatino Linotype" w:cs="Arial"/>
          <w:b/>
          <w:i/>
          <w:spacing w:val="-2"/>
          <w:sz w:val="22"/>
        </w:rPr>
        <w:t>c</w:t>
      </w:r>
      <w:r w:rsidRPr="007B4B2F">
        <w:rPr>
          <w:rFonts w:ascii="Palatino Linotype" w:eastAsia="Arial" w:hAnsi="Palatino Linotype" w:cs="Arial"/>
          <w:b/>
          <w:i/>
          <w:spacing w:val="1"/>
          <w:sz w:val="22"/>
        </w:rPr>
        <w:t>e</w:t>
      </w:r>
      <w:r w:rsidRPr="007B4B2F">
        <w:rPr>
          <w:rFonts w:ascii="Palatino Linotype" w:eastAsia="Arial" w:hAnsi="Palatino Linotype" w:cs="Arial"/>
          <w:b/>
          <w:i/>
          <w:sz w:val="22"/>
        </w:rPr>
        <w:t>p</w:t>
      </w:r>
      <w:r w:rsidRPr="007B4B2F">
        <w:rPr>
          <w:rFonts w:ascii="Palatino Linotype" w:eastAsia="Arial" w:hAnsi="Palatino Linotype" w:cs="Arial"/>
          <w:b/>
          <w:i/>
          <w:spacing w:val="-1"/>
          <w:sz w:val="22"/>
        </w:rPr>
        <w:t>t</w:t>
      </w:r>
      <w:r w:rsidRPr="007B4B2F">
        <w:rPr>
          <w:rFonts w:ascii="Palatino Linotype" w:eastAsia="Arial" w:hAnsi="Palatino Linotype" w:cs="Arial"/>
          <w:b/>
          <w:i/>
          <w:sz w:val="22"/>
        </w:rPr>
        <w:t>os</w:t>
      </w:r>
      <w:r w:rsidRPr="007B4B2F">
        <w:rPr>
          <w:rFonts w:ascii="Palatino Linotype" w:eastAsia="Arial" w:hAnsi="Palatino Linotype" w:cs="Arial"/>
          <w:b/>
          <w:i/>
          <w:spacing w:val="7"/>
          <w:sz w:val="22"/>
        </w:rPr>
        <w:t xml:space="preserve"> </w:t>
      </w:r>
      <w:r w:rsidRPr="007B4B2F">
        <w:rPr>
          <w:rFonts w:ascii="Palatino Linotype" w:eastAsia="Arial" w:hAnsi="Palatino Linotype" w:cs="Arial"/>
          <w:b/>
          <w:i/>
          <w:sz w:val="22"/>
        </w:rPr>
        <w:t>que</w:t>
      </w:r>
      <w:r w:rsidRPr="007B4B2F">
        <w:rPr>
          <w:rFonts w:ascii="Palatino Linotype" w:eastAsia="Arial" w:hAnsi="Palatino Linotype" w:cs="Arial"/>
          <w:b/>
          <w:i/>
          <w:spacing w:val="10"/>
          <w:sz w:val="22"/>
        </w:rPr>
        <w:t xml:space="preserve"> </w:t>
      </w:r>
      <w:r w:rsidRPr="007B4B2F">
        <w:rPr>
          <w:rFonts w:ascii="Palatino Linotype" w:eastAsia="Arial" w:hAnsi="Palatino Linotype" w:cs="Arial"/>
          <w:b/>
          <w:i/>
          <w:sz w:val="22"/>
        </w:rPr>
        <w:t>no pued</w:t>
      </w:r>
      <w:r w:rsidRPr="007B4B2F">
        <w:rPr>
          <w:rFonts w:ascii="Palatino Linotype" w:eastAsia="Arial" w:hAnsi="Palatino Linotype" w:cs="Arial"/>
          <w:b/>
          <w:i/>
          <w:spacing w:val="1"/>
          <w:sz w:val="22"/>
        </w:rPr>
        <w:t>e</w:t>
      </w:r>
      <w:r w:rsidRPr="007B4B2F">
        <w:rPr>
          <w:rFonts w:ascii="Palatino Linotype" w:eastAsia="Arial" w:hAnsi="Palatino Linotype" w:cs="Arial"/>
          <w:b/>
          <w:i/>
          <w:sz w:val="22"/>
        </w:rPr>
        <w:t>n</w:t>
      </w:r>
      <w:r w:rsidRPr="007B4B2F">
        <w:rPr>
          <w:rFonts w:ascii="Palatino Linotype" w:eastAsia="Arial" w:hAnsi="Palatino Linotype" w:cs="Arial"/>
          <w:b/>
          <w:i/>
          <w:spacing w:val="36"/>
          <w:sz w:val="22"/>
        </w:rPr>
        <w:t xml:space="preserve"> </w:t>
      </w:r>
      <w:r w:rsidRPr="007B4B2F">
        <w:rPr>
          <w:rFonts w:ascii="Palatino Linotype" w:eastAsia="Arial" w:hAnsi="Palatino Linotype" w:cs="Arial"/>
          <w:b/>
          <w:i/>
          <w:spacing w:val="1"/>
          <w:sz w:val="22"/>
        </w:rPr>
        <w:t>c</w:t>
      </w:r>
      <w:r w:rsidRPr="007B4B2F">
        <w:rPr>
          <w:rFonts w:ascii="Palatino Linotype" w:eastAsia="Arial" w:hAnsi="Palatino Linotype" w:cs="Arial"/>
          <w:b/>
          <w:i/>
          <w:sz w:val="22"/>
        </w:rPr>
        <w:t>o</w:t>
      </w:r>
      <w:r w:rsidRPr="007B4B2F">
        <w:rPr>
          <w:rFonts w:ascii="Palatino Linotype" w:eastAsia="Arial" w:hAnsi="Palatino Linotype" w:cs="Arial"/>
          <w:b/>
          <w:i/>
          <w:spacing w:val="-2"/>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i</w:t>
      </w:r>
      <w:r w:rsidRPr="007B4B2F">
        <w:rPr>
          <w:rFonts w:ascii="Palatino Linotype" w:eastAsia="Arial" w:hAnsi="Palatino Linotype" w:cs="Arial"/>
          <w:b/>
          <w:i/>
          <w:spacing w:val="1"/>
          <w:sz w:val="22"/>
        </w:rPr>
        <w:t>s</w:t>
      </w:r>
      <w:r w:rsidRPr="007B4B2F">
        <w:rPr>
          <w:rFonts w:ascii="Palatino Linotype" w:eastAsia="Arial" w:hAnsi="Palatino Linotype" w:cs="Arial"/>
          <w:b/>
          <w:i/>
          <w:sz w:val="22"/>
        </w:rPr>
        <w:t>tir.</w:t>
      </w:r>
      <w:r w:rsidRPr="007B4B2F">
        <w:rPr>
          <w:rFonts w:ascii="Palatino Linotype" w:eastAsia="Arial" w:hAnsi="Palatino Linotype" w:cs="Arial"/>
          <w:b/>
          <w:i/>
          <w:spacing w:val="35"/>
          <w:sz w:val="22"/>
        </w:rPr>
        <w:t xml:space="preserve"> </w:t>
      </w:r>
      <w:r w:rsidRPr="007B4B2F">
        <w:rPr>
          <w:rFonts w:ascii="Palatino Linotype" w:eastAsia="Arial" w:hAnsi="Palatino Linotype" w:cs="Arial"/>
          <w:i/>
          <w:spacing w:val="1"/>
          <w:sz w:val="22"/>
        </w:rPr>
        <w:t>L</w:t>
      </w:r>
      <w:r w:rsidRPr="007B4B2F">
        <w:rPr>
          <w:rFonts w:ascii="Palatino Linotype" w:eastAsia="Arial" w:hAnsi="Palatino Linotype" w:cs="Arial"/>
          <w:i/>
          <w:sz w:val="22"/>
        </w:rPr>
        <w:t>a</w:t>
      </w:r>
      <w:r w:rsidRPr="007B4B2F">
        <w:rPr>
          <w:rFonts w:ascii="Palatino Linotype" w:eastAsia="Arial" w:hAnsi="Palatino Linotype" w:cs="Arial"/>
          <w:i/>
          <w:spacing w:val="25"/>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7"/>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mp</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ca</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ia</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8"/>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5"/>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26"/>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 se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en</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tra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rchi</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au</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ob</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an</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de</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en</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 xml:space="preserve">cia o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f</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lt</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 xml:space="preserve"> pa</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r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icha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z w:val="22"/>
        </w:rPr>
        <w:t>a in</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50"/>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da</w:t>
      </w:r>
      <w:r w:rsidRPr="007B4B2F">
        <w:rPr>
          <w:rFonts w:ascii="Palatino Linotype" w:eastAsia="Arial" w:hAnsi="Palatino Linotype" w:cs="Arial"/>
          <w:i/>
          <w:sz w:val="22"/>
        </w:rPr>
        <w:t>d</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tr</w:t>
      </w:r>
      <w:r w:rsidRPr="007B4B2F">
        <w:rPr>
          <w:rFonts w:ascii="Palatino Linotype" w:eastAsia="Arial" w:hAnsi="Palatino Linotype" w:cs="Arial"/>
          <w:i/>
          <w:spacing w:val="-1"/>
          <w:sz w:val="22"/>
        </w:rPr>
        <w:t>ib</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y</w:t>
      </w:r>
      <w:r w:rsidRPr="007B4B2F">
        <w:rPr>
          <w:rFonts w:ascii="Palatino Linotype" w:eastAsia="Arial" w:hAnsi="Palatino Linotype" w:cs="Arial"/>
          <w:i/>
          <w:sz w:val="22"/>
        </w:rPr>
        <w:t>e</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cit</w:t>
      </w:r>
      <w:r w:rsidRPr="007B4B2F">
        <w:rPr>
          <w:rFonts w:ascii="Palatino Linotype" w:eastAsia="Arial" w:hAnsi="Palatino Linotype" w:cs="Arial"/>
          <w:i/>
          <w:spacing w:val="1"/>
          <w:sz w:val="22"/>
        </w:rPr>
        <w:t>ada</w:t>
      </w:r>
      <w:r w:rsidRPr="007B4B2F">
        <w:rPr>
          <w:rFonts w:ascii="Palatino Linotype" w:eastAsia="Arial" w:hAnsi="Palatino Linotype" w:cs="Arial"/>
          <w:i/>
          <w:sz w:val="22"/>
        </w:rPr>
        <w:t>.</w:t>
      </w:r>
      <w:r w:rsidRPr="007B4B2F">
        <w:rPr>
          <w:rFonts w:ascii="Palatino Linotype" w:eastAsia="Arial" w:hAnsi="Palatino Linotype" w:cs="Arial"/>
          <w:i/>
          <w:spacing w:val="51"/>
          <w:sz w:val="22"/>
        </w:rPr>
        <w:t xml:space="preserve"> </w:t>
      </w:r>
      <w:r w:rsidRPr="007B4B2F">
        <w:rPr>
          <w:rFonts w:ascii="Palatino Linotype" w:eastAsia="Arial" w:hAnsi="Palatino Linotype" w:cs="Arial"/>
          <w:i/>
          <w:spacing w:val="-2"/>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50"/>
          <w:sz w:val="22"/>
        </w:rPr>
        <w:t xml:space="preserve"> </w:t>
      </w:r>
      <w:r w:rsidRPr="007B4B2F">
        <w:rPr>
          <w:rFonts w:ascii="Palatino Linotype" w:eastAsia="Arial" w:hAnsi="Palatino Linotype" w:cs="Arial"/>
          <w:i/>
          <w:sz w:val="22"/>
        </w:rPr>
        <w:t xml:space="preserve">su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 clas</w:t>
      </w:r>
      <w:r w:rsidRPr="007B4B2F">
        <w:rPr>
          <w:rFonts w:ascii="Palatino Linotype" w:eastAsia="Arial" w:hAnsi="Palatino Linotype" w:cs="Arial"/>
          <w:i/>
          <w:spacing w:val="-3"/>
          <w:sz w:val="22"/>
        </w:rPr>
        <w:t>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icaci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 xml:space="preserve">n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rac</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3"/>
          <w:sz w:val="22"/>
        </w:rPr>
        <w:t>í</w:t>
      </w:r>
      <w:r w:rsidRPr="007B4B2F">
        <w:rPr>
          <w:rFonts w:ascii="Palatino Linotype" w:eastAsia="Arial" w:hAnsi="Palatino Linotype" w:cs="Arial"/>
          <w:i/>
          <w:sz w:val="22"/>
        </w:rPr>
        <w:t>stica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ad</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iere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a 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ida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do</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um</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to </w:t>
      </w:r>
      <w:r w:rsidRPr="007B4B2F">
        <w:rPr>
          <w:rFonts w:ascii="Palatino Linotype" w:eastAsia="Arial" w:hAnsi="Palatino Linotype" w:cs="Arial"/>
          <w:i/>
          <w:spacing w:val="1"/>
          <w:sz w:val="22"/>
        </w:rPr>
        <w:t xml:space="preserve"> e</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pe</w:t>
      </w:r>
      <w:r w:rsidRPr="007B4B2F">
        <w:rPr>
          <w:rFonts w:ascii="Palatino Linotype" w:eastAsia="Arial" w:hAnsi="Palatino Linotype" w:cs="Arial"/>
          <w:i/>
          <w:spacing w:val="5"/>
          <w:sz w:val="22"/>
        </w:rPr>
        <w:t>c</w:t>
      </w:r>
      <w:r w:rsidRPr="007B4B2F">
        <w:rPr>
          <w:rFonts w:ascii="Palatino Linotype" w:eastAsia="Arial" w:hAnsi="Palatino Linotype" w:cs="Arial"/>
          <w:i/>
          <w:spacing w:val="-4"/>
          <w:sz w:val="22"/>
        </w:rPr>
        <w:t>í</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ico,  sie</w:t>
      </w:r>
      <w:r w:rsidRPr="007B4B2F">
        <w:rPr>
          <w:rFonts w:ascii="Palatino Linotype" w:eastAsia="Arial" w:hAnsi="Palatino Linotype" w:cs="Arial"/>
          <w:i/>
          <w:spacing w:val="2"/>
          <w:sz w:val="22"/>
        </w:rPr>
        <w:t>m</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 xml:space="preserve">re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se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uen</w:t>
      </w:r>
      <w:r w:rsidRPr="007B4B2F">
        <w:rPr>
          <w:rFonts w:ascii="Palatino Linotype" w:eastAsia="Arial" w:hAnsi="Palatino Linotype" w:cs="Arial"/>
          <w:i/>
          <w:sz w:val="22"/>
        </w:rPr>
        <w:t xml:space="preserve">tre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los s</w:t>
      </w:r>
      <w:r w:rsidRPr="007B4B2F">
        <w:rPr>
          <w:rFonts w:ascii="Palatino Linotype" w:eastAsia="Arial" w:hAnsi="Palatino Linotype" w:cs="Arial"/>
          <w:i/>
          <w:spacing w:val="1"/>
          <w:sz w:val="22"/>
        </w:rPr>
        <w:t>up</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st</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leci</w:t>
      </w:r>
      <w:r w:rsidRPr="007B4B2F">
        <w:rPr>
          <w:rFonts w:ascii="Palatino Linotype" w:eastAsia="Arial" w:hAnsi="Palatino Linotype" w:cs="Arial"/>
          <w:i/>
          <w:spacing w:val="-2"/>
          <w:sz w:val="22"/>
        </w:rPr>
        <w:t>d</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n </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rt</w:t>
      </w:r>
      <w:r w:rsidRPr="007B4B2F">
        <w:rPr>
          <w:rFonts w:ascii="Palatino Linotype" w:eastAsia="Arial" w:hAnsi="Palatino Linotype" w:cs="Arial"/>
          <w:i/>
          <w:spacing w:val="-2"/>
          <w:sz w:val="22"/>
        </w:rPr>
        <w:t>í</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3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y  </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4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L</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y  Fe</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 xml:space="preserve">ral </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s</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cia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y Acc</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so</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ú</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ca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b</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 la</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res</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ada</w:t>
      </w:r>
      <w:r w:rsidRPr="007B4B2F">
        <w:rPr>
          <w:rFonts w:ascii="Palatino Linotype" w:eastAsia="Arial" w:hAnsi="Palatino Linotype" w:cs="Arial"/>
          <w:i/>
          <w:sz w:val="22"/>
        </w:rPr>
        <w:t>,</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z w:val="22"/>
        </w:rPr>
        <w:t>y</w:t>
      </w:r>
      <w:r w:rsidRPr="007B4B2F">
        <w:rPr>
          <w:rFonts w:ascii="Palatino Linotype" w:eastAsia="Arial" w:hAnsi="Palatino Linotype" w:cs="Arial"/>
          <w:i/>
          <w:spacing w:val="1"/>
          <w:sz w:val="22"/>
        </w:rPr>
        <w:t xml:space="preserve"> 1</w:t>
      </w:r>
      <w:r w:rsidRPr="007B4B2F">
        <w:rPr>
          <w:rFonts w:ascii="Palatino Linotype" w:eastAsia="Arial" w:hAnsi="Palatino Linotype" w:cs="Arial"/>
          <w:i/>
          <w:sz w:val="22"/>
        </w:rPr>
        <w:t>8</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o</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rd</w:t>
      </w:r>
      <w:r w:rsidRPr="007B4B2F">
        <w:rPr>
          <w:rFonts w:ascii="Palatino Linotype" w:eastAsia="Arial" w:hAnsi="Palatino Linotype" w:cs="Arial"/>
          <w:i/>
          <w:spacing w:val="1"/>
          <w:sz w:val="22"/>
        </w:rPr>
        <w:t>en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
          <w:sz w:val="22"/>
        </w:rPr>
        <w:t>pa</w:t>
      </w:r>
      <w:r w:rsidRPr="007B4B2F">
        <w:rPr>
          <w:rFonts w:ascii="Palatino Linotype" w:eastAsia="Arial" w:hAnsi="Palatino Linotype" w:cs="Arial"/>
          <w:i/>
          <w:sz w:val="22"/>
        </w:rPr>
        <w:t>ra</w:t>
      </w:r>
      <w:r w:rsidRPr="007B4B2F">
        <w:rPr>
          <w:rFonts w:ascii="Palatino Linotype" w:eastAsia="Arial" w:hAnsi="Palatino Linotype" w:cs="Arial"/>
          <w:i/>
          <w:spacing w:val="1"/>
          <w:sz w:val="22"/>
        </w:rPr>
        <w:t xml:space="preserve"> e</w:t>
      </w:r>
      <w:r w:rsidRPr="007B4B2F">
        <w:rPr>
          <w:rFonts w:ascii="Palatino Linotype" w:eastAsia="Arial" w:hAnsi="Palatino Linotype" w:cs="Arial"/>
          <w:i/>
          <w:sz w:val="22"/>
        </w:rPr>
        <w:t>l</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so</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1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4"/>
          <w:sz w:val="22"/>
        </w:rPr>
        <w:t xml:space="preserve"> </w:t>
      </w:r>
      <w:r w:rsidRPr="007B4B2F">
        <w:rPr>
          <w:rFonts w:ascii="Palatino Linotype" w:eastAsia="Arial" w:hAnsi="Palatino Linotype" w:cs="Arial"/>
          <w:i/>
          <w:spacing w:val="-3"/>
          <w:sz w:val="22"/>
        </w:rPr>
        <w:t>l</w:t>
      </w:r>
      <w:r w:rsidRPr="007B4B2F">
        <w:rPr>
          <w:rFonts w:ascii="Palatino Linotype" w:eastAsia="Arial" w:hAnsi="Palatino Linotype" w:cs="Arial"/>
          <w:i/>
          <w:sz w:val="22"/>
        </w:rPr>
        <w:t>a in</w:t>
      </w:r>
      <w:r w:rsidRPr="007B4B2F">
        <w:rPr>
          <w:rFonts w:ascii="Palatino Linotype" w:eastAsia="Arial" w:hAnsi="Palatino Linotype" w:cs="Arial"/>
          <w:i/>
          <w:spacing w:val="1"/>
          <w:sz w:val="22"/>
        </w:rPr>
        <w:t>fo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on</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id</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c</w:t>
      </w:r>
      <w:r w:rsidRPr="007B4B2F">
        <w:rPr>
          <w:rFonts w:ascii="Palatino Linotype" w:eastAsia="Arial" w:hAnsi="Palatino Linotype" w:cs="Arial"/>
          <w:i/>
          <w:sz w:val="22"/>
        </w:rPr>
        <w:t>ial.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lo</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an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clasi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w:t>
      </w:r>
      <w:r w:rsidRPr="007B4B2F">
        <w:rPr>
          <w:rFonts w:ascii="Palatino Linotype" w:eastAsia="Arial" w:hAnsi="Palatino Linotype" w:cs="Arial"/>
          <w:i/>
          <w:spacing w:val="-3"/>
          <w:sz w:val="22"/>
        </w:rPr>
        <w:t>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ción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y la</w:t>
      </w:r>
      <w:r w:rsidRPr="007B4B2F">
        <w:rPr>
          <w:rFonts w:ascii="Palatino Linotype" w:eastAsia="Arial" w:hAnsi="Palatino Linotype" w:cs="Arial"/>
          <w:i/>
          <w:spacing w:val="2"/>
          <w:sz w:val="22"/>
        </w:rPr>
        <w:t xml:space="preserve"> i</w:t>
      </w:r>
      <w:r w:rsidRPr="007B4B2F">
        <w:rPr>
          <w:rFonts w:ascii="Palatino Linotype" w:eastAsia="Arial" w:hAnsi="Palatino Linotype" w:cs="Arial"/>
          <w:i/>
          <w:spacing w:val="1"/>
          <w:sz w:val="22"/>
        </w:rPr>
        <w:t>ne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 c</w:t>
      </w:r>
      <w:r w:rsidRPr="007B4B2F">
        <w:rPr>
          <w:rFonts w:ascii="Palatino Linotype" w:eastAsia="Arial" w:hAnsi="Palatino Linotype" w:cs="Arial"/>
          <w:i/>
          <w:spacing w:val="1"/>
          <w:sz w:val="22"/>
        </w:rPr>
        <w:t>oe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í</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v</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r</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la clasi</w:t>
      </w:r>
      <w:r w:rsidRPr="007B4B2F">
        <w:rPr>
          <w:rFonts w:ascii="Palatino Linotype" w:eastAsia="Arial" w:hAnsi="Palatino Linotype" w:cs="Arial"/>
          <w:i/>
          <w:spacing w:val="3"/>
          <w:sz w:val="22"/>
        </w:rPr>
        <w:t>f</w:t>
      </w:r>
      <w:r w:rsidRPr="007B4B2F">
        <w:rPr>
          <w:rFonts w:ascii="Palatino Linotype" w:eastAsia="Arial" w:hAnsi="Palatino Linotype" w:cs="Arial"/>
          <w:i/>
          <w:sz w:val="22"/>
        </w:rPr>
        <w:t>icaci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2"/>
          <w:sz w:val="22"/>
        </w:rPr>
        <w:t>n</w:t>
      </w:r>
      <w:r w:rsidRPr="007B4B2F">
        <w:rPr>
          <w:rFonts w:ascii="Palatino Linotype" w:eastAsia="Arial" w:hAnsi="Palatino Linotype" w:cs="Arial"/>
          <w:i/>
          <w:spacing w:val="3"/>
          <w:sz w:val="22"/>
        </w:rPr>
        <w:t>f</w:t>
      </w:r>
      <w:r w:rsidRPr="007B4B2F">
        <w:rPr>
          <w:rFonts w:ascii="Palatino Linotype" w:eastAsia="Arial" w:hAnsi="Palatino Linotype" w:cs="Arial"/>
          <w:i/>
          <w:spacing w:val="1"/>
          <w:sz w:val="22"/>
        </w:rPr>
        <w:t>o</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ma</w:t>
      </w:r>
      <w:r w:rsidRPr="007B4B2F">
        <w:rPr>
          <w:rFonts w:ascii="Palatino Linotype" w:eastAsia="Arial" w:hAnsi="Palatino Linotype" w:cs="Arial"/>
          <w:i/>
          <w:sz w:val="22"/>
        </w:rPr>
        <w:t>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mp</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2"/>
          <w:sz w:val="22"/>
        </w:rPr>
        <w:t>c</w:t>
      </w:r>
      <w:r w:rsidRPr="007B4B2F">
        <w:rPr>
          <w:rFonts w:ascii="Palatino Linotype" w:eastAsia="Arial" w:hAnsi="Palatino Linotype" w:cs="Arial"/>
          <w:i/>
          <w:sz w:val="22"/>
        </w:rPr>
        <w:t>a in</w:t>
      </w:r>
      <w:r w:rsidRPr="007B4B2F">
        <w:rPr>
          <w:rFonts w:ascii="Palatino Linotype" w:eastAsia="Arial" w:hAnsi="Palatino Linotype" w:cs="Arial"/>
          <w:i/>
          <w:spacing w:val="-2"/>
          <w:sz w:val="22"/>
        </w:rPr>
        <w:t>v</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ab</w:t>
      </w:r>
      <w:r w:rsidRPr="007B4B2F">
        <w:rPr>
          <w:rFonts w:ascii="Palatino Linotype" w:eastAsia="Arial" w:hAnsi="Palatino Linotype" w:cs="Arial"/>
          <w:i/>
          <w:sz w:val="22"/>
        </w:rPr>
        <w:t>le</w:t>
      </w:r>
      <w:r w:rsidRPr="007B4B2F">
        <w:rPr>
          <w:rFonts w:ascii="Palatino Linotype" w:eastAsia="Arial" w:hAnsi="Palatino Linotype" w:cs="Arial"/>
          <w:i/>
          <w:spacing w:val="2"/>
          <w:sz w:val="22"/>
        </w:rPr>
        <w:t>m</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n</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pacing w:val="1"/>
          <w:sz w:val="22"/>
        </w:rPr>
        <w:t>do</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me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to</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do</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en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in</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do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t</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s</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la in</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xist</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cia c</w:t>
      </w:r>
      <w:r w:rsidRPr="007B4B2F">
        <w:rPr>
          <w:rFonts w:ascii="Palatino Linotype" w:eastAsia="Arial" w:hAnsi="Palatino Linotype" w:cs="Arial"/>
          <w:i/>
          <w:spacing w:val="1"/>
          <w:sz w:val="22"/>
        </w:rPr>
        <w:t>on</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l</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v</w:t>
      </w:r>
      <w:r w:rsidRPr="007B4B2F">
        <w:rPr>
          <w:rFonts w:ascii="Palatino Linotype" w:eastAsia="Arial" w:hAnsi="Palatino Linotype" w:cs="Arial"/>
          <w:i/>
          <w:sz w:val="22"/>
        </w:rPr>
        <w:t>a</w:t>
      </w:r>
      <w:r w:rsidRPr="007B4B2F">
        <w:rPr>
          <w:rFonts w:ascii="Palatino Linotype" w:eastAsia="Arial" w:hAnsi="Palatino Linotype" w:cs="Arial"/>
          <w:i/>
          <w:spacing w:val="3"/>
          <w:sz w:val="22"/>
        </w:rPr>
        <w:t xml:space="preserve"> </w:t>
      </w:r>
      <w:r w:rsidRPr="007B4B2F">
        <w:rPr>
          <w:rFonts w:ascii="Palatino Linotype" w:eastAsia="Arial" w:hAnsi="Palatino Linotype" w:cs="Arial"/>
          <w:i/>
          <w:sz w:val="22"/>
        </w:rPr>
        <w:t xml:space="preserve">la </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cia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m</w:t>
      </w:r>
      <w:r w:rsidRPr="007B4B2F">
        <w:rPr>
          <w:rFonts w:ascii="Palatino Linotype" w:eastAsia="Arial" w:hAnsi="Palatino Linotype" w:cs="Arial"/>
          <w:i/>
          <w:sz w:val="22"/>
        </w:rPr>
        <w:t>i</w:t>
      </w:r>
      <w:r w:rsidRPr="007B4B2F">
        <w:rPr>
          <w:rFonts w:ascii="Palatino Linotype" w:eastAsia="Arial" w:hAnsi="Palatino Linotype" w:cs="Arial"/>
          <w:i/>
          <w:spacing w:val="-3"/>
          <w:sz w:val="22"/>
        </w:rPr>
        <w:t>s</w:t>
      </w:r>
      <w:r w:rsidRPr="007B4B2F">
        <w:rPr>
          <w:rFonts w:ascii="Palatino Linotype" w:eastAsia="Arial" w:hAnsi="Palatino Linotype" w:cs="Arial"/>
          <w:i/>
          <w:spacing w:val="1"/>
          <w:sz w:val="22"/>
        </w:rPr>
        <w:t>mo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los </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rchi</w:t>
      </w:r>
      <w:r w:rsidRPr="007B4B2F">
        <w:rPr>
          <w:rFonts w:ascii="Palatino Linotype" w:eastAsia="Arial" w:hAnsi="Palatino Linotype" w:cs="Arial"/>
          <w:i/>
          <w:spacing w:val="-3"/>
          <w:sz w:val="22"/>
        </w:rPr>
        <w:t>v</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 la</w:t>
      </w:r>
      <w:r w:rsidRPr="007B4B2F">
        <w:rPr>
          <w:rFonts w:ascii="Palatino Linotype" w:eastAsia="Arial" w:hAnsi="Palatino Linotype" w:cs="Arial"/>
          <w:i/>
          <w:spacing w:val="1"/>
          <w:sz w:val="22"/>
        </w:rPr>
        <w:t xml:space="preserve"> d</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pe</w:t>
      </w:r>
      <w:r w:rsidRPr="007B4B2F">
        <w:rPr>
          <w:rFonts w:ascii="Palatino Linotype" w:eastAsia="Arial" w:hAnsi="Palatino Linotype" w:cs="Arial"/>
          <w:i/>
          <w:spacing w:val="-1"/>
          <w:sz w:val="22"/>
        </w:rPr>
        <w:t>n</w:t>
      </w:r>
      <w:r w:rsidRPr="007B4B2F">
        <w:rPr>
          <w:rFonts w:ascii="Palatino Linotype" w:eastAsia="Arial" w:hAnsi="Palatino Linotype" w:cs="Arial"/>
          <w:i/>
          <w:spacing w:val="1"/>
          <w:sz w:val="22"/>
        </w:rPr>
        <w:t>den</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z w:val="22"/>
        </w:rPr>
        <w:t>a</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 xml:space="preserve">o </w:t>
      </w:r>
      <w:r w:rsidRPr="007B4B2F">
        <w:rPr>
          <w:rFonts w:ascii="Palatino Linotype" w:eastAsia="Arial" w:hAnsi="Palatino Linotype" w:cs="Arial"/>
          <w:i/>
          <w:spacing w:val="1"/>
          <w:sz w:val="22"/>
        </w:rPr>
        <w:t>en</w:t>
      </w:r>
      <w:r w:rsidRPr="007B4B2F">
        <w:rPr>
          <w:rFonts w:ascii="Palatino Linotype" w:eastAsia="Arial" w:hAnsi="Palatino Linotype" w:cs="Arial"/>
          <w:i/>
          <w:sz w:val="22"/>
        </w:rPr>
        <w:t>t</w:t>
      </w:r>
      <w:r w:rsidRPr="007B4B2F">
        <w:rPr>
          <w:rFonts w:ascii="Palatino Linotype" w:eastAsia="Arial" w:hAnsi="Palatino Linotype" w:cs="Arial"/>
          <w:i/>
          <w:spacing w:val="-2"/>
          <w:sz w:val="22"/>
        </w:rPr>
        <w:t>i</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t</w:t>
      </w:r>
      <w:r w:rsidRPr="007B4B2F">
        <w:rPr>
          <w:rFonts w:ascii="Palatino Linotype" w:eastAsia="Arial" w:hAnsi="Palatino Linotype" w:cs="Arial"/>
          <w:i/>
          <w:sz w:val="22"/>
        </w:rPr>
        <w:t>ra</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w:t>
      </w:r>
    </w:p>
    <w:p w14:paraId="474492FE" w14:textId="77777777" w:rsidR="009543FF" w:rsidRPr="007B4B2F" w:rsidRDefault="009543FF" w:rsidP="009543FF">
      <w:pPr>
        <w:spacing w:line="360" w:lineRule="auto"/>
        <w:ind w:left="567" w:right="567"/>
        <w:rPr>
          <w:rFonts w:ascii="Palatino Linotype" w:hAnsi="Palatino Linotype"/>
          <w:i/>
          <w:sz w:val="22"/>
        </w:rPr>
      </w:pPr>
    </w:p>
    <w:p w14:paraId="2CC7E5CD" w14:textId="77777777" w:rsidR="009543FF" w:rsidRPr="007B4B2F" w:rsidRDefault="009543FF" w:rsidP="009543FF">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b/>
          <w:i/>
          <w:sz w:val="22"/>
        </w:rPr>
        <w:t>E</w:t>
      </w:r>
      <w:r w:rsidRPr="007B4B2F">
        <w:rPr>
          <w:rFonts w:ascii="Palatino Linotype" w:eastAsia="Arial" w:hAnsi="Palatino Linotype" w:cs="Arial"/>
          <w:b/>
          <w:i/>
          <w:spacing w:val="1"/>
          <w:sz w:val="22"/>
        </w:rPr>
        <w:t>x</w:t>
      </w:r>
      <w:r w:rsidRPr="007B4B2F">
        <w:rPr>
          <w:rFonts w:ascii="Palatino Linotype" w:eastAsia="Arial" w:hAnsi="Palatino Linotype" w:cs="Arial"/>
          <w:b/>
          <w:i/>
          <w:sz w:val="22"/>
        </w:rPr>
        <w:t>pedi</w:t>
      </w:r>
      <w:r w:rsidRPr="007B4B2F">
        <w:rPr>
          <w:rFonts w:ascii="Palatino Linotype" w:eastAsia="Arial" w:hAnsi="Palatino Linotype" w:cs="Arial"/>
          <w:b/>
          <w:i/>
          <w:spacing w:val="1"/>
          <w:sz w:val="22"/>
        </w:rPr>
        <w:t>en</w:t>
      </w:r>
      <w:r w:rsidRPr="007B4B2F">
        <w:rPr>
          <w:rFonts w:ascii="Palatino Linotype" w:eastAsia="Arial" w:hAnsi="Palatino Linotype" w:cs="Arial"/>
          <w:b/>
          <w:i/>
          <w:sz w:val="22"/>
        </w:rPr>
        <w:t>t</w:t>
      </w:r>
      <w:r w:rsidRPr="007B4B2F">
        <w:rPr>
          <w:rFonts w:ascii="Palatino Linotype" w:eastAsia="Arial" w:hAnsi="Palatino Linotype" w:cs="Arial"/>
          <w:b/>
          <w:i/>
          <w:spacing w:val="-1"/>
          <w:sz w:val="22"/>
        </w:rPr>
        <w:t>es</w:t>
      </w:r>
      <w:r w:rsidRPr="007B4B2F">
        <w:rPr>
          <w:rFonts w:ascii="Palatino Linotype" w:eastAsia="Arial" w:hAnsi="Palatino Linotype" w:cs="Arial"/>
          <w:b/>
          <w:i/>
          <w:sz w:val="22"/>
        </w:rPr>
        <w:t>:</w:t>
      </w:r>
    </w:p>
    <w:p w14:paraId="0BC7C6E9" w14:textId="77777777" w:rsidR="009543FF" w:rsidRPr="007B4B2F" w:rsidRDefault="009543FF" w:rsidP="009543FF">
      <w:pPr>
        <w:spacing w:line="360" w:lineRule="auto"/>
        <w:ind w:left="567" w:right="567"/>
        <w:jc w:val="both"/>
        <w:rPr>
          <w:rFonts w:ascii="Palatino Linotype" w:eastAsia="Arial" w:hAnsi="Palatino Linotype" w:cs="Arial"/>
          <w:i/>
          <w:sz w:val="22"/>
        </w:rPr>
      </w:pPr>
      <w:r w:rsidRPr="007B4B2F">
        <w:rPr>
          <w:rFonts w:ascii="Palatino Linotype" w:eastAsia="Arial" w:hAnsi="Palatino Linotype" w:cs="Arial"/>
          <w:i/>
          <w:spacing w:val="1"/>
          <w:sz w:val="22"/>
        </w:rPr>
        <w:t>47</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4</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7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x</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loración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y</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z w:val="22"/>
        </w:rPr>
        <w:t>ro</w:t>
      </w:r>
      <w:r w:rsidRPr="007B4B2F">
        <w:rPr>
          <w:rFonts w:ascii="Palatino Linotype" w:eastAsia="Arial" w:hAnsi="Palatino Linotype" w:cs="Arial"/>
          <w:i/>
          <w:spacing w:val="1"/>
          <w:sz w:val="22"/>
        </w:rPr>
        <w:t>du</w:t>
      </w:r>
      <w:r w:rsidRPr="007B4B2F">
        <w:rPr>
          <w:rFonts w:ascii="Palatino Linotype" w:eastAsia="Arial" w:hAnsi="Palatino Linotype" w:cs="Arial"/>
          <w:i/>
          <w:sz w:val="22"/>
        </w:rPr>
        <w:t>cci</w:t>
      </w:r>
      <w:r w:rsidRPr="007B4B2F">
        <w:rPr>
          <w:rFonts w:ascii="Palatino Linotype" w:eastAsia="Arial" w:hAnsi="Palatino Linotype" w:cs="Arial"/>
          <w:i/>
          <w:spacing w:val="-2"/>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5"/>
          <w:sz w:val="22"/>
        </w:rPr>
        <w:t xml:space="preserve"> </w:t>
      </w:r>
      <w:r w:rsidRPr="007B4B2F">
        <w:rPr>
          <w:rFonts w:ascii="Palatino Linotype" w:eastAsia="Arial" w:hAnsi="Palatino Linotype" w:cs="Arial"/>
          <w:i/>
          <w:sz w:val="22"/>
        </w:rPr>
        <w:t>–</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pacing w:val="-2"/>
          <w:sz w:val="22"/>
        </w:rPr>
        <w:t>J</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n</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Pa</w:t>
      </w:r>
      <w:r w:rsidRPr="007B4B2F">
        <w:rPr>
          <w:rFonts w:ascii="Palatino Linotype" w:eastAsia="Arial" w:hAnsi="Palatino Linotype" w:cs="Arial"/>
          <w:i/>
          <w:spacing w:val="1"/>
          <w:sz w:val="22"/>
        </w:rPr>
        <w:t>b</w:t>
      </w:r>
      <w:r w:rsidRPr="007B4B2F">
        <w:rPr>
          <w:rFonts w:ascii="Palatino Linotype" w:eastAsia="Arial" w:hAnsi="Palatino Linotype" w:cs="Arial"/>
          <w:i/>
          <w:sz w:val="22"/>
        </w:rPr>
        <w:t>lo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r</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 xml:space="preserve">ro </w:t>
      </w:r>
      <w:r w:rsidRPr="007B4B2F">
        <w:rPr>
          <w:rFonts w:ascii="Palatino Linotype" w:eastAsia="Arial" w:hAnsi="Palatino Linotype" w:cs="Arial"/>
          <w:i/>
          <w:spacing w:val="-1"/>
          <w:sz w:val="22"/>
        </w:rPr>
        <w:t>A</w:t>
      </w:r>
      <w:r w:rsidRPr="007B4B2F">
        <w:rPr>
          <w:rFonts w:ascii="Palatino Linotype" w:eastAsia="Arial" w:hAnsi="Palatino Linotype" w:cs="Arial"/>
          <w:i/>
          <w:spacing w:val="1"/>
          <w:sz w:val="22"/>
        </w:rPr>
        <w:t>m</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rán. </w:t>
      </w:r>
      <w:r w:rsidRPr="007B4B2F">
        <w:rPr>
          <w:rFonts w:ascii="Palatino Linotype" w:eastAsia="Arial" w:hAnsi="Palatino Linotype" w:cs="Arial"/>
          <w:i/>
          <w:spacing w:val="1"/>
          <w:sz w:val="22"/>
        </w:rPr>
        <w:t>29</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6</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8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Co</w:t>
      </w:r>
      <w:r w:rsidRPr="007B4B2F">
        <w:rPr>
          <w:rFonts w:ascii="Palatino Linotype" w:eastAsia="Arial" w:hAnsi="Palatino Linotype" w:cs="Arial"/>
          <w:i/>
          <w:spacing w:val="2"/>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n</w:t>
      </w:r>
      <w:r w:rsidRPr="007B4B2F">
        <w:rPr>
          <w:rFonts w:ascii="Palatino Linotype" w:eastAsia="Arial" w:hAnsi="Palatino Linotype" w:cs="Arial"/>
          <w:i/>
          <w:spacing w:val="35"/>
          <w:sz w:val="22"/>
        </w:rPr>
        <w:t xml:space="preserve"> </w:t>
      </w:r>
      <w:r w:rsidRPr="007B4B2F">
        <w:rPr>
          <w:rFonts w:ascii="Palatino Linotype" w:eastAsia="Arial" w:hAnsi="Palatino Linotype" w:cs="Arial"/>
          <w:i/>
          <w:sz w:val="22"/>
        </w:rPr>
        <w:t>Fe</w:t>
      </w:r>
      <w:r w:rsidRPr="007B4B2F">
        <w:rPr>
          <w:rFonts w:ascii="Palatino Linotype" w:eastAsia="Arial" w:hAnsi="Palatino Linotype" w:cs="Arial"/>
          <w:i/>
          <w:spacing w:val="-1"/>
          <w:sz w:val="22"/>
        </w:rPr>
        <w:t>d</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ral</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e</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le</w:t>
      </w:r>
      <w:r w:rsidRPr="007B4B2F">
        <w:rPr>
          <w:rFonts w:ascii="Palatino Linotype" w:eastAsia="Arial" w:hAnsi="Palatino Linotype" w:cs="Arial"/>
          <w:i/>
          <w:spacing w:val="-2"/>
          <w:sz w:val="22"/>
        </w:rPr>
        <w:t>c</w:t>
      </w:r>
      <w:r w:rsidRPr="007B4B2F">
        <w:rPr>
          <w:rFonts w:ascii="Palatino Linotype" w:eastAsia="Arial" w:hAnsi="Palatino Linotype" w:cs="Arial"/>
          <w:i/>
          <w:spacing w:val="-1"/>
          <w:sz w:val="22"/>
        </w:rPr>
        <w:t>o</w:t>
      </w:r>
      <w:r w:rsidRPr="007B4B2F">
        <w:rPr>
          <w:rFonts w:ascii="Palatino Linotype" w:eastAsia="Arial" w:hAnsi="Palatino Linotype" w:cs="Arial"/>
          <w:i/>
          <w:spacing w:val="1"/>
          <w:sz w:val="22"/>
        </w:rPr>
        <w:t>mun</w:t>
      </w:r>
      <w:r w:rsidRPr="007B4B2F">
        <w:rPr>
          <w:rFonts w:ascii="Palatino Linotype" w:eastAsia="Arial" w:hAnsi="Palatino Linotype" w:cs="Arial"/>
          <w:i/>
          <w:sz w:val="22"/>
        </w:rPr>
        <w:t>icac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one</w:t>
      </w:r>
      <w:r w:rsidRPr="007B4B2F">
        <w:rPr>
          <w:rFonts w:ascii="Palatino Linotype" w:eastAsia="Arial" w:hAnsi="Palatino Linotype" w:cs="Arial"/>
          <w:i/>
          <w:sz w:val="22"/>
        </w:rPr>
        <w:t>s</w:t>
      </w:r>
      <w:r w:rsidRPr="007B4B2F">
        <w:rPr>
          <w:rFonts w:ascii="Palatino Linotype" w:eastAsia="Arial" w:hAnsi="Palatino Linotype" w:cs="Arial"/>
          <w:i/>
          <w:spacing w:val="39"/>
          <w:sz w:val="22"/>
        </w:rPr>
        <w:t xml:space="preserve"> </w:t>
      </w:r>
      <w:r w:rsidRPr="007B4B2F">
        <w:rPr>
          <w:rFonts w:ascii="Palatino Linotype" w:eastAsia="Arial" w:hAnsi="Palatino Linotype" w:cs="Arial"/>
          <w:i/>
          <w:sz w:val="22"/>
        </w:rPr>
        <w:t>-</w:t>
      </w:r>
      <w:r w:rsidRPr="007B4B2F">
        <w:rPr>
          <w:rFonts w:ascii="Palatino Linotype" w:eastAsia="Arial" w:hAnsi="Palatino Linotype" w:cs="Arial"/>
          <w:i/>
          <w:spacing w:val="33"/>
          <w:sz w:val="22"/>
        </w:rPr>
        <w:t xml:space="preserve"> </w:t>
      </w:r>
      <w:r w:rsidRPr="007B4B2F">
        <w:rPr>
          <w:rFonts w:ascii="Palatino Linotype" w:eastAsia="Arial" w:hAnsi="Palatino Linotype" w:cs="Arial"/>
          <w:i/>
          <w:sz w:val="22"/>
        </w:rPr>
        <w:t>Alo</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s</w:t>
      </w:r>
      <w:r w:rsidRPr="007B4B2F">
        <w:rPr>
          <w:rFonts w:ascii="Palatino Linotype" w:eastAsia="Arial" w:hAnsi="Palatino Linotype" w:cs="Arial"/>
          <w:i/>
          <w:sz w:val="22"/>
        </w:rPr>
        <w:t>o</w:t>
      </w:r>
      <w:r w:rsidRPr="007B4B2F">
        <w:rPr>
          <w:rFonts w:ascii="Palatino Linotype" w:eastAsia="Arial" w:hAnsi="Palatino Linotype" w:cs="Arial"/>
          <w:i/>
          <w:spacing w:val="34"/>
          <w:sz w:val="22"/>
        </w:rPr>
        <w:t xml:space="preserve"> </w:t>
      </w:r>
      <w:r w:rsidRPr="007B4B2F">
        <w:rPr>
          <w:rFonts w:ascii="Palatino Linotype" w:eastAsia="Arial" w:hAnsi="Palatino Linotype" w:cs="Arial"/>
          <w:i/>
          <w:sz w:val="22"/>
        </w:rPr>
        <w:t>G</w:t>
      </w:r>
      <w:r w:rsidRPr="007B4B2F">
        <w:rPr>
          <w:rFonts w:ascii="Palatino Linotype" w:eastAsia="Arial" w:hAnsi="Palatino Linotype" w:cs="Arial"/>
          <w:i/>
          <w:spacing w:val="-1"/>
          <w:sz w:val="22"/>
        </w:rPr>
        <w:t>ó</w:t>
      </w:r>
      <w:r w:rsidRPr="007B4B2F">
        <w:rPr>
          <w:rFonts w:ascii="Palatino Linotype" w:eastAsia="Arial" w:hAnsi="Palatino Linotype" w:cs="Arial"/>
          <w:i/>
          <w:spacing w:val="1"/>
          <w:sz w:val="22"/>
        </w:rPr>
        <w:t>me</w:t>
      </w:r>
      <w:r w:rsidRPr="007B4B2F">
        <w:rPr>
          <w:rFonts w:ascii="Palatino Linotype" w:eastAsia="Arial" w:hAnsi="Palatino Linotype" w:cs="Arial"/>
          <w:i/>
          <w:sz w:val="22"/>
        </w:rPr>
        <w:t>z</w:t>
      </w:r>
      <w:r w:rsidRPr="007B4B2F">
        <w:rPr>
          <w:rFonts w:ascii="Palatino Linotype" w:eastAsia="Arial" w:hAnsi="Palatino Linotype" w:cs="Arial"/>
          <w:i/>
          <w:spacing w:val="-1"/>
          <w:sz w:val="22"/>
        </w:rPr>
        <w:t>-</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ob</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e</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o  V</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rd</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z</w:t>
      </w:r>
      <w:r w:rsidRPr="007B4B2F">
        <w:rPr>
          <w:rFonts w:ascii="Palatino Linotype" w:eastAsia="Arial" w:hAnsi="Palatino Linotype" w:cs="Arial"/>
          <w:i/>
          <w:sz w:val="22"/>
        </w:rPr>
        <w:t xml:space="preserve">co. </w:t>
      </w:r>
      <w:r w:rsidRPr="007B4B2F">
        <w:rPr>
          <w:rFonts w:ascii="Palatino Linotype" w:eastAsia="Arial" w:hAnsi="Palatino Linotype" w:cs="Arial"/>
          <w:i/>
          <w:spacing w:val="1"/>
          <w:sz w:val="22"/>
        </w:rPr>
        <w:t>47</w:t>
      </w:r>
      <w:r w:rsidRPr="007B4B2F">
        <w:rPr>
          <w:rFonts w:ascii="Palatino Linotype" w:eastAsia="Arial" w:hAnsi="Palatino Linotype" w:cs="Arial"/>
          <w:i/>
          <w:spacing w:val="-1"/>
          <w:sz w:val="22"/>
        </w:rPr>
        <w:t>8</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9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Co</w:t>
      </w:r>
      <w:r w:rsidRPr="007B4B2F">
        <w:rPr>
          <w:rFonts w:ascii="Palatino Linotype" w:eastAsia="Arial" w:hAnsi="Palatino Linotype" w:cs="Arial"/>
          <w:i/>
          <w:spacing w:val="2"/>
          <w:sz w:val="22"/>
        </w:rPr>
        <w:t>m</w:t>
      </w:r>
      <w:r w:rsidRPr="007B4B2F">
        <w:rPr>
          <w:rFonts w:ascii="Palatino Linotype" w:eastAsia="Arial" w:hAnsi="Palatino Linotype" w:cs="Arial"/>
          <w:i/>
          <w:sz w:val="22"/>
        </w:rPr>
        <w:t>is</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ó</w:t>
      </w:r>
      <w:r w:rsidRPr="007B4B2F">
        <w:rPr>
          <w:rFonts w:ascii="Palatino Linotype" w:eastAsia="Arial" w:hAnsi="Palatino Linotype" w:cs="Arial"/>
          <w:i/>
          <w:sz w:val="22"/>
        </w:rPr>
        <w:t xml:space="preserve">n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Naci</w:t>
      </w:r>
      <w:r w:rsidRPr="007B4B2F">
        <w:rPr>
          <w:rFonts w:ascii="Palatino Linotype" w:eastAsia="Arial" w:hAnsi="Palatino Linotype" w:cs="Arial"/>
          <w:i/>
          <w:spacing w:val="-2"/>
          <w:sz w:val="22"/>
        </w:rPr>
        <w:t>o</w:t>
      </w:r>
      <w:r w:rsidRPr="007B4B2F">
        <w:rPr>
          <w:rFonts w:ascii="Palatino Linotype" w:eastAsia="Arial" w:hAnsi="Palatino Linotype" w:cs="Arial"/>
          <w:i/>
          <w:spacing w:val="1"/>
          <w:sz w:val="22"/>
        </w:rPr>
        <w:t>na</w:t>
      </w:r>
      <w:r w:rsidRPr="007B4B2F">
        <w:rPr>
          <w:rFonts w:ascii="Palatino Linotype" w:eastAsia="Arial" w:hAnsi="Palatino Linotype" w:cs="Arial"/>
          <w:i/>
          <w:sz w:val="22"/>
        </w:rPr>
        <w:t xml:space="preserve">l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pacing w:val="1"/>
          <w:sz w:val="22"/>
        </w:rPr>
        <w:t>L</w:t>
      </w:r>
      <w:r w:rsidRPr="007B4B2F">
        <w:rPr>
          <w:rFonts w:ascii="Palatino Linotype" w:eastAsia="Arial" w:hAnsi="Palatino Linotype" w:cs="Arial"/>
          <w:i/>
          <w:sz w:val="22"/>
        </w:rPr>
        <w:t xml:space="preserve">ibros </w:t>
      </w:r>
      <w:r w:rsidRPr="007B4B2F">
        <w:rPr>
          <w:rFonts w:ascii="Palatino Linotype" w:eastAsia="Arial" w:hAnsi="Palatino Linotype" w:cs="Arial"/>
          <w:i/>
          <w:spacing w:val="56"/>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4"/>
          <w:sz w:val="22"/>
        </w:rPr>
        <w:t xml:space="preserve"> </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 xml:space="preserve">to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z w:val="22"/>
        </w:rPr>
        <w:t>Grat</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it</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 xml:space="preserve">s </w:t>
      </w:r>
      <w:r w:rsidRPr="007B4B2F">
        <w:rPr>
          <w:rFonts w:ascii="Palatino Linotype" w:eastAsia="Arial" w:hAnsi="Palatino Linotype" w:cs="Arial"/>
          <w:i/>
          <w:spacing w:val="63"/>
          <w:sz w:val="22"/>
        </w:rPr>
        <w:t xml:space="preserve"> </w:t>
      </w:r>
      <w:r w:rsidRPr="007B4B2F">
        <w:rPr>
          <w:rFonts w:ascii="Palatino Linotype" w:eastAsia="Arial" w:hAnsi="Palatino Linotype" w:cs="Arial"/>
          <w:i/>
          <w:sz w:val="22"/>
        </w:rPr>
        <w:t xml:space="preserve">- </w:t>
      </w:r>
      <w:r w:rsidRPr="007B4B2F">
        <w:rPr>
          <w:rFonts w:ascii="Palatino Linotype" w:eastAsia="Arial" w:hAnsi="Palatino Linotype" w:cs="Arial"/>
          <w:i/>
          <w:spacing w:val="55"/>
          <w:sz w:val="22"/>
        </w:rPr>
        <w:t xml:space="preserve"> </w:t>
      </w:r>
      <w:r w:rsidRPr="007B4B2F">
        <w:rPr>
          <w:rFonts w:ascii="Palatino Linotype" w:eastAsia="Arial" w:hAnsi="Palatino Linotype" w:cs="Arial"/>
          <w:i/>
          <w:sz w:val="22"/>
        </w:rPr>
        <w:t>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in</w:t>
      </w:r>
      <w:r w:rsidRPr="007B4B2F">
        <w:rPr>
          <w:rFonts w:ascii="Palatino Linotype" w:eastAsia="Arial" w:hAnsi="Palatino Linotype" w:cs="Arial"/>
          <w:i/>
          <w:sz w:val="22"/>
        </w:rPr>
        <w:t>e. 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Mar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54</w:t>
      </w:r>
      <w:r w:rsidRPr="007B4B2F">
        <w:rPr>
          <w:rFonts w:ascii="Palatino Linotype" w:eastAsia="Arial" w:hAnsi="Palatino Linotype" w:cs="Arial"/>
          <w:i/>
          <w:spacing w:val="-1"/>
          <w:sz w:val="22"/>
        </w:rPr>
        <w:t>3</w:t>
      </w:r>
      <w:r w:rsidRPr="007B4B2F">
        <w:rPr>
          <w:rFonts w:ascii="Palatino Linotype" w:eastAsia="Arial" w:hAnsi="Palatino Linotype" w:cs="Arial"/>
          <w:i/>
          <w:spacing w:val="1"/>
          <w:sz w:val="22"/>
        </w:rPr>
        <w:t>4</w:t>
      </w:r>
      <w:r w:rsidRPr="007B4B2F">
        <w:rPr>
          <w:rFonts w:ascii="Palatino Linotype" w:eastAsia="Arial" w:hAnsi="Palatino Linotype" w:cs="Arial"/>
          <w:i/>
          <w:sz w:val="22"/>
        </w:rPr>
        <w:t>/</w:t>
      </w:r>
      <w:r w:rsidRPr="007B4B2F">
        <w:rPr>
          <w:rFonts w:ascii="Palatino Linotype" w:eastAsia="Arial" w:hAnsi="Palatino Linotype" w:cs="Arial"/>
          <w:i/>
          <w:spacing w:val="1"/>
          <w:sz w:val="22"/>
        </w:rPr>
        <w:t>0</w:t>
      </w:r>
      <w:r w:rsidRPr="007B4B2F">
        <w:rPr>
          <w:rFonts w:ascii="Palatino Linotype" w:eastAsia="Arial" w:hAnsi="Palatino Linotype" w:cs="Arial"/>
          <w:i/>
          <w:sz w:val="22"/>
        </w:rPr>
        <w:t xml:space="preserve">9      </w:t>
      </w:r>
      <w:r w:rsidRPr="007B4B2F">
        <w:rPr>
          <w:rFonts w:ascii="Palatino Linotype" w:eastAsia="Arial" w:hAnsi="Palatino Linotype" w:cs="Arial"/>
          <w:i/>
          <w:spacing w:val="64"/>
          <w:sz w:val="22"/>
        </w:rPr>
        <w:t xml:space="preserve"> </w:t>
      </w:r>
      <w:r w:rsidRPr="007B4B2F">
        <w:rPr>
          <w:rFonts w:ascii="Palatino Linotype" w:eastAsia="Arial" w:hAnsi="Palatino Linotype" w:cs="Arial"/>
          <w:i/>
          <w:sz w:val="22"/>
        </w:rPr>
        <w:t>A</w:t>
      </w:r>
      <w:r w:rsidRPr="007B4B2F">
        <w:rPr>
          <w:rFonts w:ascii="Palatino Linotype" w:eastAsia="Arial" w:hAnsi="Palatino Linotype" w:cs="Arial"/>
          <w:i/>
          <w:spacing w:val="1"/>
          <w:sz w:val="22"/>
        </w:rPr>
        <w:t>dm</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 xml:space="preserve">istración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P</w:t>
      </w:r>
      <w:r w:rsidRPr="007B4B2F">
        <w:rPr>
          <w:rFonts w:ascii="Palatino Linotype" w:eastAsia="Arial" w:hAnsi="Palatino Linotype" w:cs="Arial"/>
          <w:i/>
          <w:spacing w:val="1"/>
          <w:sz w:val="22"/>
        </w:rPr>
        <w:t>o</w:t>
      </w:r>
      <w:r w:rsidRPr="007B4B2F">
        <w:rPr>
          <w:rFonts w:ascii="Palatino Linotype" w:eastAsia="Arial" w:hAnsi="Palatino Linotype" w:cs="Arial"/>
          <w:i/>
          <w:sz w:val="22"/>
        </w:rPr>
        <w:t>rt</w:t>
      </w:r>
      <w:r w:rsidRPr="007B4B2F">
        <w:rPr>
          <w:rFonts w:ascii="Palatino Linotype" w:eastAsia="Arial" w:hAnsi="Palatino Linotype" w:cs="Arial"/>
          <w:i/>
          <w:spacing w:val="-2"/>
          <w:sz w:val="22"/>
        </w:rPr>
        <w:t>u</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 xml:space="preserve">a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pacing w:val="-2"/>
          <w:sz w:val="22"/>
        </w:rPr>
        <w:t>t</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g</w:t>
      </w:r>
      <w:r w:rsidRPr="007B4B2F">
        <w:rPr>
          <w:rFonts w:ascii="Palatino Linotype" w:eastAsia="Arial" w:hAnsi="Palatino Linotype" w:cs="Arial"/>
          <w:i/>
          <w:sz w:val="22"/>
        </w:rPr>
        <w:t xml:space="preserve">ral </w:t>
      </w:r>
      <w:r w:rsidRPr="007B4B2F">
        <w:rPr>
          <w:rFonts w:ascii="Palatino Linotype" w:eastAsia="Arial" w:hAnsi="Palatino Linotype" w:cs="Arial"/>
          <w:i/>
          <w:spacing w:val="58"/>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7"/>
          <w:sz w:val="22"/>
        </w:rPr>
        <w:t xml:space="preserve"> </w:t>
      </w:r>
      <w:r w:rsidRPr="007B4B2F">
        <w:rPr>
          <w:rFonts w:ascii="Palatino Linotype" w:eastAsia="Arial" w:hAnsi="Palatino Linotype" w:cs="Arial"/>
          <w:i/>
          <w:sz w:val="22"/>
        </w:rPr>
        <w:t>V</w:t>
      </w:r>
      <w:r w:rsidRPr="007B4B2F">
        <w:rPr>
          <w:rFonts w:ascii="Palatino Linotype" w:eastAsia="Arial" w:hAnsi="Palatino Linotype" w:cs="Arial"/>
          <w:i/>
          <w:spacing w:val="1"/>
          <w:sz w:val="22"/>
        </w:rPr>
        <w:t>e</w:t>
      </w:r>
      <w:r w:rsidRPr="007B4B2F">
        <w:rPr>
          <w:rFonts w:ascii="Palatino Linotype" w:eastAsia="Arial" w:hAnsi="Palatino Linotype" w:cs="Arial"/>
          <w:i/>
          <w:spacing w:val="-3"/>
          <w:sz w:val="22"/>
        </w:rPr>
        <w:t>r</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cru</w:t>
      </w:r>
      <w:r w:rsidRPr="007B4B2F">
        <w:rPr>
          <w:rFonts w:ascii="Palatino Linotype" w:eastAsia="Arial" w:hAnsi="Palatino Linotype" w:cs="Arial"/>
          <w:i/>
          <w:spacing w:val="-2"/>
          <w:sz w:val="22"/>
        </w:rPr>
        <w:t>z</w:t>
      </w:r>
      <w:r w:rsidRPr="007B4B2F">
        <w:rPr>
          <w:rFonts w:ascii="Palatino Linotype" w:eastAsia="Arial" w:hAnsi="Palatino Linotype" w:cs="Arial"/>
          <w:i/>
          <w:sz w:val="22"/>
        </w:rPr>
        <w:t xml:space="preserve">,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 </w:t>
      </w:r>
      <w:r w:rsidRPr="007B4B2F">
        <w:rPr>
          <w:rFonts w:ascii="Palatino Linotype" w:eastAsia="Arial" w:hAnsi="Palatino Linotype" w:cs="Arial"/>
          <w:i/>
          <w:spacing w:val="56"/>
          <w:sz w:val="22"/>
        </w:rPr>
        <w:t xml:space="preserve"> </w:t>
      </w:r>
      <w:r w:rsidRPr="007B4B2F">
        <w:rPr>
          <w:rFonts w:ascii="Palatino Linotype" w:eastAsia="Arial" w:hAnsi="Palatino Linotype" w:cs="Arial"/>
          <w:i/>
          <w:spacing w:val="1"/>
          <w:sz w:val="22"/>
        </w:rPr>
        <w:t>d</w:t>
      </w:r>
      <w:r w:rsidRPr="007B4B2F">
        <w:rPr>
          <w:rFonts w:ascii="Palatino Linotype" w:eastAsia="Arial" w:hAnsi="Palatino Linotype" w:cs="Arial"/>
          <w:i/>
          <w:sz w:val="22"/>
        </w:rPr>
        <w:t xml:space="preserve">e </w:t>
      </w:r>
      <w:r w:rsidRPr="007B4B2F">
        <w:rPr>
          <w:rFonts w:ascii="Palatino Linotype" w:eastAsia="Arial" w:hAnsi="Palatino Linotype" w:cs="Arial"/>
          <w:i/>
          <w:spacing w:val="59"/>
          <w:sz w:val="22"/>
        </w:rPr>
        <w:t xml:space="preserve"> </w:t>
      </w:r>
      <w:r w:rsidRPr="007B4B2F">
        <w:rPr>
          <w:rFonts w:ascii="Palatino Linotype" w:eastAsia="Arial" w:hAnsi="Palatino Linotype" w:cs="Arial"/>
          <w:i/>
          <w:sz w:val="22"/>
        </w:rPr>
        <w:t>C</w:t>
      </w:r>
      <w:r w:rsidRPr="007B4B2F">
        <w:rPr>
          <w:rFonts w:ascii="Palatino Linotype" w:eastAsia="Arial" w:hAnsi="Palatino Linotype" w:cs="Arial"/>
          <w:i/>
          <w:spacing w:val="-2"/>
          <w:sz w:val="22"/>
        </w:rPr>
        <w:t>.</w:t>
      </w:r>
      <w:r w:rsidRPr="007B4B2F">
        <w:rPr>
          <w:rFonts w:ascii="Palatino Linotype" w:eastAsia="Arial" w:hAnsi="Palatino Linotype" w:cs="Arial"/>
          <w:i/>
          <w:sz w:val="22"/>
        </w:rPr>
        <w:t xml:space="preserve">V. </w:t>
      </w:r>
      <w:r w:rsidRPr="007B4B2F">
        <w:rPr>
          <w:rFonts w:ascii="Palatino Linotype" w:eastAsia="Arial" w:hAnsi="Palatino Linotype" w:cs="Arial"/>
          <w:i/>
          <w:spacing w:val="65"/>
          <w:sz w:val="22"/>
        </w:rPr>
        <w:t xml:space="preserve"> </w:t>
      </w:r>
      <w:r w:rsidRPr="007B4B2F">
        <w:rPr>
          <w:rFonts w:ascii="Palatino Linotype" w:eastAsia="Arial" w:hAnsi="Palatino Linotype" w:cs="Arial"/>
          <w:i/>
          <w:sz w:val="22"/>
        </w:rPr>
        <w:t>- 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w:t>
      </w:r>
      <w:r w:rsidRPr="007B4B2F">
        <w:rPr>
          <w:rFonts w:ascii="Palatino Linotype" w:eastAsia="Arial" w:hAnsi="Palatino Linotype" w:cs="Arial"/>
          <w:i/>
          <w:spacing w:val="1"/>
          <w:sz w:val="22"/>
        </w:rPr>
        <w:t>ue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pacing w:val="-3"/>
          <w:sz w:val="22"/>
        </w:rPr>
        <w:t>r</w:t>
      </w:r>
      <w:r w:rsidRPr="007B4B2F">
        <w:rPr>
          <w:rFonts w:ascii="Palatino Linotype" w:eastAsia="Arial" w:hAnsi="Palatino Linotype" w:cs="Arial"/>
          <w:i/>
          <w:sz w:val="22"/>
        </w:rPr>
        <w:t>d</w:t>
      </w:r>
      <w:r w:rsidRPr="007B4B2F">
        <w:rPr>
          <w:rFonts w:ascii="Palatino Linotype" w:eastAsia="Arial" w:hAnsi="Palatino Linotype" w:cs="Arial"/>
          <w:i/>
          <w:spacing w:val="-1"/>
          <w:sz w:val="22"/>
        </w:rPr>
        <w:t xml:space="preserve"> M</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 xml:space="preserve">l. </w:t>
      </w:r>
      <w:r w:rsidRPr="007B4B2F">
        <w:rPr>
          <w:rFonts w:ascii="Palatino Linotype" w:eastAsia="Arial" w:hAnsi="Palatino Linotype" w:cs="Arial"/>
          <w:i/>
          <w:spacing w:val="1"/>
          <w:sz w:val="22"/>
        </w:rPr>
        <w:t>384</w:t>
      </w:r>
      <w:r w:rsidRPr="007B4B2F">
        <w:rPr>
          <w:rFonts w:ascii="Palatino Linotype" w:eastAsia="Arial" w:hAnsi="Palatino Linotype" w:cs="Arial"/>
          <w:i/>
          <w:spacing w:val="-2"/>
          <w:sz w:val="22"/>
        </w:rPr>
        <w:t>/</w:t>
      </w:r>
      <w:r w:rsidRPr="007B4B2F">
        <w:rPr>
          <w:rFonts w:ascii="Palatino Linotype" w:eastAsia="Arial" w:hAnsi="Palatino Linotype" w:cs="Arial"/>
          <w:i/>
          <w:spacing w:val="1"/>
          <w:sz w:val="22"/>
        </w:rPr>
        <w:t>1</w:t>
      </w:r>
      <w:r w:rsidRPr="007B4B2F">
        <w:rPr>
          <w:rFonts w:ascii="Palatino Linotype" w:eastAsia="Arial" w:hAnsi="Palatino Linotype" w:cs="Arial"/>
          <w:i/>
          <w:sz w:val="22"/>
        </w:rPr>
        <w:t xml:space="preserve">0        </w:t>
      </w:r>
      <w:r w:rsidRPr="007B4B2F">
        <w:rPr>
          <w:rFonts w:ascii="Palatino Linotype" w:eastAsia="Arial" w:hAnsi="Palatino Linotype" w:cs="Arial"/>
          <w:i/>
          <w:spacing w:val="66"/>
          <w:sz w:val="22"/>
        </w:rPr>
        <w:t xml:space="preserve"> </w:t>
      </w:r>
      <w:r w:rsidRPr="007B4B2F">
        <w:rPr>
          <w:rFonts w:ascii="Palatino Linotype" w:eastAsia="Arial" w:hAnsi="Palatino Linotype" w:cs="Arial"/>
          <w:i/>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stit</w:t>
      </w:r>
      <w:r w:rsidRPr="007B4B2F">
        <w:rPr>
          <w:rFonts w:ascii="Palatino Linotype" w:eastAsia="Arial" w:hAnsi="Palatino Linotype" w:cs="Arial"/>
          <w:i/>
          <w:spacing w:val="1"/>
          <w:sz w:val="22"/>
        </w:rPr>
        <w:t>u</w:t>
      </w:r>
      <w:r w:rsidRPr="007B4B2F">
        <w:rPr>
          <w:rFonts w:ascii="Palatino Linotype" w:eastAsia="Arial" w:hAnsi="Palatino Linotype" w:cs="Arial"/>
          <w:i/>
          <w:spacing w:val="-2"/>
          <w:sz w:val="22"/>
        </w:rPr>
        <w:t>t</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z w:val="22"/>
        </w:rPr>
        <w:t>Me</w:t>
      </w:r>
      <w:r w:rsidRPr="007B4B2F">
        <w:rPr>
          <w:rFonts w:ascii="Palatino Linotype" w:eastAsia="Arial" w:hAnsi="Palatino Linotype" w:cs="Arial"/>
          <w:i/>
          <w:spacing w:val="-2"/>
          <w:sz w:val="22"/>
        </w:rPr>
        <w:t>x</w:t>
      </w:r>
      <w:r w:rsidRPr="007B4B2F">
        <w:rPr>
          <w:rFonts w:ascii="Palatino Linotype" w:eastAsia="Arial" w:hAnsi="Palatino Linotype" w:cs="Arial"/>
          <w:i/>
          <w:sz w:val="22"/>
        </w:rPr>
        <w:t>ica</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o</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de</w:t>
      </w:r>
      <w:r w:rsidRPr="007B4B2F">
        <w:rPr>
          <w:rFonts w:ascii="Palatino Linotype" w:eastAsia="Arial" w:hAnsi="Palatino Linotype" w:cs="Arial"/>
          <w:i/>
          <w:sz w:val="22"/>
        </w:rPr>
        <w:t>l</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S</w:t>
      </w:r>
      <w:r w:rsidRPr="007B4B2F">
        <w:rPr>
          <w:rFonts w:ascii="Palatino Linotype" w:eastAsia="Arial" w:hAnsi="Palatino Linotype" w:cs="Arial"/>
          <w:i/>
          <w:spacing w:val="1"/>
          <w:sz w:val="22"/>
        </w:rPr>
        <w:t>e</w:t>
      </w:r>
      <w:r w:rsidRPr="007B4B2F">
        <w:rPr>
          <w:rFonts w:ascii="Palatino Linotype" w:eastAsia="Arial" w:hAnsi="Palatino Linotype" w:cs="Arial"/>
          <w:i/>
          <w:spacing w:val="-1"/>
          <w:sz w:val="22"/>
        </w:rPr>
        <w:t>g</w:t>
      </w:r>
      <w:r w:rsidRPr="007B4B2F">
        <w:rPr>
          <w:rFonts w:ascii="Palatino Linotype" w:eastAsia="Arial" w:hAnsi="Palatino Linotype" w:cs="Arial"/>
          <w:i/>
          <w:spacing w:val="1"/>
          <w:sz w:val="22"/>
        </w:rPr>
        <w:t>u</w:t>
      </w:r>
      <w:r w:rsidRPr="007B4B2F">
        <w:rPr>
          <w:rFonts w:ascii="Palatino Linotype" w:eastAsia="Arial" w:hAnsi="Palatino Linotype" w:cs="Arial"/>
          <w:i/>
          <w:sz w:val="22"/>
        </w:rPr>
        <w:t xml:space="preserve">ro </w:t>
      </w:r>
      <w:r w:rsidRPr="007B4B2F">
        <w:rPr>
          <w:rFonts w:ascii="Palatino Linotype" w:eastAsia="Arial" w:hAnsi="Palatino Linotype" w:cs="Arial"/>
          <w:i/>
          <w:spacing w:val="1"/>
          <w:sz w:val="22"/>
        </w:rPr>
        <w:t>So</w:t>
      </w:r>
      <w:r w:rsidRPr="007B4B2F">
        <w:rPr>
          <w:rFonts w:ascii="Palatino Linotype" w:eastAsia="Arial" w:hAnsi="Palatino Linotype" w:cs="Arial"/>
          <w:i/>
          <w:sz w:val="22"/>
        </w:rPr>
        <w:t>c</w:t>
      </w:r>
      <w:r w:rsidRPr="007B4B2F">
        <w:rPr>
          <w:rFonts w:ascii="Palatino Linotype" w:eastAsia="Arial" w:hAnsi="Palatino Linotype" w:cs="Arial"/>
          <w:i/>
          <w:spacing w:val="-3"/>
          <w:sz w:val="22"/>
        </w:rPr>
        <w:t>i</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r w:rsidRPr="007B4B2F">
        <w:rPr>
          <w:rFonts w:ascii="Palatino Linotype" w:eastAsia="Arial" w:hAnsi="Palatino Linotype" w:cs="Arial"/>
          <w:i/>
          <w:spacing w:val="5"/>
          <w:sz w:val="22"/>
        </w:rPr>
        <w:t xml:space="preserve"> </w:t>
      </w:r>
      <w:r w:rsidRPr="007B4B2F">
        <w:rPr>
          <w:rFonts w:ascii="Palatino Linotype" w:eastAsia="Arial" w:hAnsi="Palatino Linotype" w:cs="Arial"/>
          <w:i/>
          <w:sz w:val="22"/>
        </w:rPr>
        <w:t>- J</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c</w:t>
      </w:r>
      <w:r w:rsidRPr="007B4B2F">
        <w:rPr>
          <w:rFonts w:ascii="Palatino Linotype" w:eastAsia="Arial" w:hAnsi="Palatino Linotype" w:cs="Arial"/>
          <w:i/>
          <w:spacing w:val="-1"/>
          <w:sz w:val="22"/>
        </w:rPr>
        <w:t>qu</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l</w:t>
      </w:r>
      <w:r w:rsidRPr="007B4B2F">
        <w:rPr>
          <w:rFonts w:ascii="Palatino Linotype" w:eastAsia="Arial" w:hAnsi="Palatino Linotype" w:cs="Arial"/>
          <w:i/>
          <w:spacing w:val="-1"/>
          <w:sz w:val="22"/>
        </w:rPr>
        <w:t>i</w:t>
      </w:r>
      <w:r w:rsidRPr="007B4B2F">
        <w:rPr>
          <w:rFonts w:ascii="Palatino Linotype" w:eastAsia="Arial" w:hAnsi="Palatino Linotype" w:cs="Arial"/>
          <w:i/>
          <w:spacing w:val="1"/>
          <w:sz w:val="22"/>
        </w:rPr>
        <w:t>n</w:t>
      </w:r>
      <w:r w:rsidRPr="007B4B2F">
        <w:rPr>
          <w:rFonts w:ascii="Palatino Linotype" w:eastAsia="Arial" w:hAnsi="Palatino Linotype" w:cs="Arial"/>
          <w:i/>
          <w:sz w:val="22"/>
        </w:rPr>
        <w:t>e</w:t>
      </w:r>
      <w:r w:rsidRPr="007B4B2F">
        <w:rPr>
          <w:rFonts w:ascii="Palatino Linotype" w:eastAsia="Arial" w:hAnsi="Palatino Linotype" w:cs="Arial"/>
          <w:i/>
          <w:spacing w:val="1"/>
          <w:sz w:val="22"/>
        </w:rPr>
        <w:t xml:space="preserve"> </w:t>
      </w:r>
      <w:r w:rsidRPr="007B4B2F">
        <w:rPr>
          <w:rFonts w:ascii="Palatino Linotype" w:eastAsia="Arial" w:hAnsi="Palatino Linotype" w:cs="Arial"/>
          <w:i/>
          <w:spacing w:val="-1"/>
          <w:sz w:val="22"/>
        </w:rPr>
        <w:t>P</w:t>
      </w:r>
      <w:r w:rsidRPr="007B4B2F">
        <w:rPr>
          <w:rFonts w:ascii="Palatino Linotype" w:eastAsia="Arial" w:hAnsi="Palatino Linotype" w:cs="Arial"/>
          <w:i/>
          <w:spacing w:val="1"/>
          <w:sz w:val="22"/>
        </w:rPr>
        <w:t>e</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ha</w:t>
      </w:r>
      <w:r w:rsidRPr="007B4B2F">
        <w:rPr>
          <w:rFonts w:ascii="Palatino Linotype" w:eastAsia="Arial" w:hAnsi="Palatino Linotype" w:cs="Arial"/>
          <w:i/>
          <w:sz w:val="22"/>
        </w:rPr>
        <w:t>rd</w:t>
      </w:r>
      <w:r w:rsidRPr="007B4B2F">
        <w:rPr>
          <w:rFonts w:ascii="Palatino Linotype" w:eastAsia="Arial" w:hAnsi="Palatino Linotype" w:cs="Arial"/>
          <w:i/>
          <w:spacing w:val="-2"/>
          <w:sz w:val="22"/>
        </w:rPr>
        <w:t xml:space="preserve"> </w:t>
      </w:r>
      <w:r w:rsidRPr="007B4B2F">
        <w:rPr>
          <w:rFonts w:ascii="Palatino Linotype" w:eastAsia="Arial" w:hAnsi="Palatino Linotype" w:cs="Arial"/>
          <w:i/>
          <w:sz w:val="22"/>
        </w:rPr>
        <w:t>Mar</w:t>
      </w:r>
      <w:r w:rsidRPr="007B4B2F">
        <w:rPr>
          <w:rFonts w:ascii="Palatino Linotype" w:eastAsia="Arial" w:hAnsi="Palatino Linotype" w:cs="Arial"/>
          <w:i/>
          <w:spacing w:val="-1"/>
          <w:sz w:val="22"/>
        </w:rPr>
        <w:t>i</w:t>
      </w:r>
      <w:r w:rsidRPr="007B4B2F">
        <w:rPr>
          <w:rFonts w:ascii="Palatino Linotype" w:eastAsia="Arial" w:hAnsi="Palatino Linotype" w:cs="Arial"/>
          <w:i/>
          <w:sz w:val="22"/>
        </w:rPr>
        <w:t>sc</w:t>
      </w:r>
      <w:r w:rsidRPr="007B4B2F">
        <w:rPr>
          <w:rFonts w:ascii="Palatino Linotype" w:eastAsia="Arial" w:hAnsi="Palatino Linotype" w:cs="Arial"/>
          <w:i/>
          <w:spacing w:val="1"/>
          <w:sz w:val="22"/>
        </w:rPr>
        <w:t>a</w:t>
      </w:r>
      <w:r w:rsidRPr="007B4B2F">
        <w:rPr>
          <w:rFonts w:ascii="Palatino Linotype" w:eastAsia="Arial" w:hAnsi="Palatino Linotype" w:cs="Arial"/>
          <w:i/>
          <w:sz w:val="22"/>
        </w:rPr>
        <w:t>l</w:t>
      </w:r>
    </w:p>
    <w:p w14:paraId="0A269F88" w14:textId="77777777" w:rsidR="009543FF" w:rsidRPr="00761AB7" w:rsidRDefault="009543FF" w:rsidP="009543FF">
      <w:pPr>
        <w:spacing w:line="360" w:lineRule="auto"/>
        <w:ind w:right="49"/>
        <w:contextualSpacing/>
        <w:jc w:val="both"/>
        <w:rPr>
          <w:rFonts w:ascii="Palatino Linotype" w:eastAsia="MS Mincho" w:hAnsi="Palatino Linotype"/>
        </w:rPr>
      </w:pPr>
    </w:p>
    <w:p w14:paraId="06C2D171" w14:textId="71D42952" w:rsidR="009543FF" w:rsidRPr="008229F3" w:rsidRDefault="009543FF" w:rsidP="009543FF">
      <w:pPr>
        <w:pStyle w:val="Prrafodelista"/>
        <w:numPr>
          <w:ilvl w:val="0"/>
          <w:numId w:val="2"/>
        </w:numPr>
        <w:tabs>
          <w:tab w:val="left" w:pos="851"/>
        </w:tabs>
        <w:spacing w:line="360" w:lineRule="auto"/>
        <w:ind w:left="0" w:right="49" w:firstLine="0"/>
        <w:jc w:val="both"/>
        <w:rPr>
          <w:rFonts w:ascii="Palatino Linotype" w:hAnsi="Palatino Linotype"/>
          <w:lang w:val="es-ES"/>
        </w:rPr>
      </w:pPr>
      <w:r>
        <w:rPr>
          <w:rFonts w:ascii="Palatino Linotype" w:eastAsia="MS Mincho" w:hAnsi="Palatino Linotype"/>
        </w:rPr>
        <w:lastRenderedPageBreak/>
        <w:t xml:space="preserve">Es así que, el </w:t>
      </w:r>
      <w:r>
        <w:rPr>
          <w:rFonts w:ascii="Palatino Linotype" w:eastAsia="MS Mincho" w:hAnsi="Palatino Linotype"/>
          <w:b/>
        </w:rPr>
        <w:t xml:space="preserve">Sujeto Obligado </w:t>
      </w:r>
      <w:r>
        <w:rPr>
          <w:rFonts w:ascii="Palatino Linotype" w:eastAsia="MS Mincho" w:hAnsi="Palatino Linotype"/>
        </w:rPr>
        <w:t>al haber manifestado que la información se encuentra clasificada como reservada</w:t>
      </w:r>
      <w:r w:rsidR="00E26AC3">
        <w:rPr>
          <w:rFonts w:ascii="Palatino Linotype" w:eastAsia="MS Mincho" w:hAnsi="Palatino Linotype"/>
        </w:rPr>
        <w:t xml:space="preserve"> y/o confidencial</w:t>
      </w:r>
      <w:r>
        <w:rPr>
          <w:rFonts w:ascii="Palatino Linotype" w:eastAsia="MS Mincho" w:hAnsi="Palatino Linotype"/>
        </w:rPr>
        <w:t xml:space="preserve">, manifestó también que cuenta con la misma, </w:t>
      </w:r>
      <w:r w:rsidR="00E26AC3">
        <w:rPr>
          <w:rFonts w:ascii="Palatino Linotype" w:eastAsia="MS Mincho" w:hAnsi="Palatino Linotype"/>
        </w:rPr>
        <w:t>por lo que se omite el análisis para determinar su fuente obligacional de generarla, administrarla o poseerla, pues se insiste, el Sujeto Obligado sumió generarla y poseerla.</w:t>
      </w:r>
    </w:p>
    <w:p w14:paraId="7AE995E4" w14:textId="77777777" w:rsidR="009543FF" w:rsidRPr="008229F3" w:rsidRDefault="009543FF" w:rsidP="009543FF">
      <w:pPr>
        <w:pStyle w:val="Prrafodelista"/>
        <w:tabs>
          <w:tab w:val="left" w:pos="851"/>
        </w:tabs>
        <w:spacing w:line="360" w:lineRule="auto"/>
        <w:ind w:left="0" w:right="49"/>
        <w:jc w:val="both"/>
        <w:rPr>
          <w:rFonts w:ascii="Palatino Linotype" w:hAnsi="Palatino Linotype"/>
          <w:lang w:val="es-ES"/>
        </w:rPr>
      </w:pPr>
    </w:p>
    <w:p w14:paraId="6E2854B8" w14:textId="77777777" w:rsidR="009543FF" w:rsidRPr="008229F3" w:rsidRDefault="009543FF" w:rsidP="009543F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229F3">
        <w:rPr>
          <w:rFonts w:ascii="Palatino Linotype" w:hAnsi="Palatino Linotype"/>
          <w:lang w:val="es-ES"/>
        </w:rPr>
        <w:t xml:space="preserve">El derecho de acceso a la información encuentra su materia elemental en los archivos que se encuentran en posesión de los Sujetos Obligados, ya sea porque fueron generados por este, o bien, son generados por persona distinta pero se encuentran en su posesión. Esto por ser una obligación </w:t>
      </w:r>
      <w:r w:rsidRPr="008229F3">
        <w:rPr>
          <w:rFonts w:ascii="Palatino Linotype" w:hAnsi="Palatino Linotype" w:cs="Arial"/>
        </w:rPr>
        <w:t xml:space="preserve">contemplada tanto en la ley de transparencia como en la constitución, es decir, la obligación de </w:t>
      </w:r>
      <w:r w:rsidRPr="008229F3">
        <w:rPr>
          <w:rFonts w:ascii="Palatino Linotype" w:eastAsia="Calibri" w:hAnsi="Palatino Linotype" w:cs="Arial"/>
          <w:b/>
        </w:rPr>
        <w:t>documentar todo acto que se derive del ejercicio de sus facultades, competencias o funciones,</w:t>
      </w:r>
      <w:r w:rsidRPr="008229F3">
        <w:rPr>
          <w:rFonts w:ascii="Palatino Linotype" w:eastAsia="Calibri" w:hAnsi="Palatino Linotype" w:cs="Arial"/>
        </w:rPr>
        <w:t xml:space="preserve"> considerando desde su origen la eventual publicidad y reutilización de la información que generen, posean o administren.</w:t>
      </w:r>
    </w:p>
    <w:p w14:paraId="1C4711A7" w14:textId="77777777" w:rsidR="009543FF" w:rsidRPr="008229F3" w:rsidRDefault="009543FF" w:rsidP="009543FF">
      <w:pPr>
        <w:pStyle w:val="Prrafodelista"/>
        <w:spacing w:line="360" w:lineRule="auto"/>
        <w:ind w:left="0"/>
        <w:jc w:val="both"/>
        <w:rPr>
          <w:rFonts w:ascii="Palatino Linotype" w:hAnsi="Palatino Linotype" w:cs="Arial"/>
        </w:rPr>
      </w:pPr>
    </w:p>
    <w:p w14:paraId="08D23209" w14:textId="26652DCC" w:rsidR="002C557F" w:rsidRPr="00E26AC3" w:rsidRDefault="009543FF" w:rsidP="00E26AC3">
      <w:pPr>
        <w:pStyle w:val="Prrafodelista"/>
        <w:numPr>
          <w:ilvl w:val="0"/>
          <w:numId w:val="2"/>
        </w:numPr>
        <w:spacing w:line="360" w:lineRule="auto"/>
        <w:ind w:left="0" w:firstLine="0"/>
        <w:jc w:val="both"/>
        <w:rPr>
          <w:rFonts w:ascii="Palatino Linotype" w:eastAsia="Calibri" w:hAnsi="Palatino Linotype" w:cs="Arial"/>
          <w:sz w:val="24"/>
        </w:rPr>
      </w:pPr>
      <w:r w:rsidRPr="008229F3">
        <w:rPr>
          <w:rFonts w:ascii="Palatino Linotype" w:eastAsia="Calibri" w:hAnsi="Palatino Linotype" w:cs="Arial"/>
        </w:rPr>
        <w:t xml:space="preserve">En consecuencia, se determina que al ser documentos emitidos por las autoridades municipales, en estricto sentido se debe contar con la documentación y, toda vez que al ser elaborados y administrados por la autoridad, prevalece su publicidad puesto que son susceptibles de ser materia de transparencia y </w:t>
      </w:r>
      <w:r w:rsidR="00E26AC3">
        <w:rPr>
          <w:rFonts w:ascii="Palatino Linotype" w:eastAsia="Calibri" w:hAnsi="Palatino Linotype" w:cs="Arial"/>
        </w:rPr>
        <w:t xml:space="preserve">acceso a la información pública, en términos de </w:t>
      </w:r>
      <w:r w:rsidR="002C557F" w:rsidRPr="00E26AC3">
        <w:rPr>
          <w:rFonts w:ascii="Palatino Linotype" w:eastAsia="Calibri" w:hAnsi="Palatino Linotype" w:cs="Arial"/>
          <w:sz w:val="24"/>
        </w:rPr>
        <w:t>la Ley de Transparencia y Acceso a la Información Pública del Estado de México y Municipios, en los artículos 4 y 12, que disponen lo siguiente:</w:t>
      </w:r>
    </w:p>
    <w:p w14:paraId="6DB19E0F" w14:textId="77777777" w:rsidR="002C557F" w:rsidRPr="002C557F" w:rsidRDefault="002C557F" w:rsidP="002C557F">
      <w:pPr>
        <w:pStyle w:val="Prrafodelista"/>
        <w:rPr>
          <w:rFonts w:ascii="Palatino Linotype" w:eastAsia="Calibri" w:hAnsi="Palatino Linotype" w:cs="Arial"/>
          <w:sz w:val="24"/>
        </w:rPr>
      </w:pPr>
    </w:p>
    <w:p w14:paraId="1B80FEC5" w14:textId="77777777" w:rsidR="002C557F" w:rsidRPr="00466C65" w:rsidRDefault="002C557F" w:rsidP="002C557F">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EBA7959" w14:textId="77777777" w:rsidR="002C557F" w:rsidRPr="00244458" w:rsidRDefault="002C557F" w:rsidP="002C557F">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CE2480" w14:textId="77777777" w:rsidR="002C557F" w:rsidRDefault="002C557F" w:rsidP="002C557F">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095AFBD3" w14:textId="77777777" w:rsidR="002C557F" w:rsidRDefault="002C557F" w:rsidP="002C557F">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027B7F69" w14:textId="77777777" w:rsidR="002C557F" w:rsidRPr="00466C65" w:rsidRDefault="002C557F" w:rsidP="002C557F">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56D383A2" w14:textId="77777777" w:rsidR="002C557F" w:rsidRPr="00466C65" w:rsidRDefault="002C557F" w:rsidP="002C557F">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6DC94E" w14:textId="77777777" w:rsidR="002C557F" w:rsidRPr="00466C65" w:rsidRDefault="002C557F" w:rsidP="002C557F">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14:paraId="3A9592EF" w14:textId="230F5B16" w:rsidR="00E26AC3" w:rsidRPr="00E26AC3" w:rsidRDefault="002C557F" w:rsidP="00E26AC3">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93431">
        <w:rPr>
          <w:rFonts w:ascii="Palatino Linotype" w:eastAsia="Calibri" w:hAnsi="Palatino Linotype" w:cs="Arial"/>
          <w:sz w:val="24"/>
        </w:rPr>
        <w:lastRenderedPageBreak/>
        <w:t>De los preceptos legales en cito, se desprende que, los Sujetos Obligados deben poner a disposición de cualquier persona que lo solicite</w:t>
      </w:r>
      <w:r w:rsidR="00E26AC3">
        <w:rPr>
          <w:rFonts w:ascii="Palatino Linotype" w:eastAsia="Calibri" w:hAnsi="Palatino Linotype" w:cs="Arial"/>
          <w:sz w:val="24"/>
        </w:rPr>
        <w:t xml:space="preserve">, la entrega de la información, en apego a lo que dispone el artículo 11 de la Ley en comento, </w:t>
      </w:r>
      <w:r w:rsidR="00E26AC3" w:rsidRPr="00E26AC3">
        <w:rPr>
          <w:rFonts w:ascii="Palatino Linotype" w:eastAsia="Calibri" w:hAnsi="Palatino Linotype" w:cs="Arial"/>
          <w:i/>
          <w:szCs w:val="22"/>
        </w:rPr>
        <w:t xml:space="preserve">en la </w:t>
      </w:r>
      <w:r w:rsidR="00E26AC3" w:rsidRPr="00E26AC3">
        <w:rPr>
          <w:rFonts w:ascii="Palatino Linotype" w:hAnsi="Palatino Linotype"/>
          <w:i/>
          <w:szCs w:val="22"/>
        </w:rPr>
        <w:t>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w:t>
      </w:r>
      <w:r w:rsidR="00E26AC3">
        <w:rPr>
          <w:rFonts w:ascii="Palatino Linotype" w:hAnsi="Palatino Linotype"/>
          <w:i/>
          <w:szCs w:val="22"/>
        </w:rPr>
        <w:t>…</w:t>
      </w:r>
    </w:p>
    <w:p w14:paraId="3F35B624" w14:textId="77777777" w:rsidR="002C557F" w:rsidRPr="00893431" w:rsidRDefault="002C557F" w:rsidP="002C557F">
      <w:pPr>
        <w:pStyle w:val="Prrafodelista"/>
        <w:tabs>
          <w:tab w:val="left" w:pos="567"/>
        </w:tabs>
        <w:spacing w:line="360" w:lineRule="auto"/>
        <w:ind w:left="0"/>
        <w:jc w:val="both"/>
        <w:rPr>
          <w:rFonts w:ascii="Palatino Linotype" w:eastAsia="Calibri" w:hAnsi="Palatino Linotype" w:cs="Arial"/>
          <w:sz w:val="24"/>
        </w:rPr>
      </w:pPr>
    </w:p>
    <w:p w14:paraId="728F439C" w14:textId="507E17B5" w:rsidR="00E26AC3" w:rsidRDefault="00E26AC3" w:rsidP="002C557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La Ley de Transparencia en análisis establece que toda la información en posesión de los Sujetos Obligados es de carácter pública y, sólo será clasificada como confidencial o reservada bajo un régimen claro de excepciones, lo cual no es procedente en el presente asunto en particular, puesto que la información requerida se relaciona con el ejercicio de recursos públicos para la ejecución de un evento público denominado “Festival Cultural de la Feria de la Mezclilla 2022”, por lo que resulta necesario traer a contexto los artículos 7; 23, fracción X</w:t>
      </w:r>
      <w:r w:rsidR="0056490B">
        <w:rPr>
          <w:rFonts w:ascii="Palatino Linotype" w:hAnsi="Palatino Linotype" w:cs="Arial"/>
          <w:sz w:val="24"/>
        </w:rPr>
        <w:t xml:space="preserve"> y penúltimo párrafo; 24, fracción XVIII; 27; y 92, fracciones XXXI y XXXIII, los cuales disponen lo siguiente:</w:t>
      </w:r>
    </w:p>
    <w:p w14:paraId="0BDC4BBC" w14:textId="77777777" w:rsidR="00E26AC3" w:rsidRPr="00E26AC3" w:rsidRDefault="00E26AC3" w:rsidP="00E26AC3">
      <w:pPr>
        <w:pStyle w:val="Prrafodelista"/>
        <w:rPr>
          <w:rFonts w:ascii="Palatino Linotype" w:hAnsi="Palatino Linotype" w:cs="Arial"/>
          <w:sz w:val="24"/>
        </w:rPr>
      </w:pPr>
    </w:p>
    <w:p w14:paraId="76D9920E" w14:textId="29CFE1E8" w:rsidR="00E26AC3" w:rsidRPr="0056490B" w:rsidRDefault="00E26AC3" w:rsidP="0056490B">
      <w:pPr>
        <w:autoSpaceDE w:val="0"/>
        <w:autoSpaceDN w:val="0"/>
        <w:adjustRightInd w:val="0"/>
        <w:spacing w:before="120" w:after="120" w:line="360" w:lineRule="auto"/>
        <w:ind w:left="567" w:right="822"/>
        <w:jc w:val="both"/>
        <w:rPr>
          <w:rFonts w:ascii="Palatino Linotype" w:hAnsi="Palatino Linotype" w:cs="Arial"/>
          <w:i/>
          <w:sz w:val="22"/>
          <w:szCs w:val="22"/>
        </w:rPr>
      </w:pPr>
      <w:r w:rsidRPr="0056490B">
        <w:rPr>
          <w:rFonts w:ascii="Palatino Linotype" w:hAnsi="Palatino Linotype"/>
          <w:b/>
          <w:i/>
          <w:sz w:val="22"/>
          <w:szCs w:val="22"/>
          <w:u w:val="single"/>
        </w:rPr>
        <w:t>Artículo 7. El Estado de México garantizará el efectivo acceso de toda persona a la información en posesión de cualquier entidad</w:t>
      </w:r>
      <w:r w:rsidRPr="0056490B">
        <w:rPr>
          <w:rFonts w:ascii="Palatino Linotype" w:hAnsi="Palatino Linotype"/>
          <w:i/>
          <w:sz w:val="22"/>
          <w:szCs w:val="22"/>
        </w:rPr>
        <w:t xml:space="preserve">, autoridad, órgano y organismo de los poderes Ejecutivo, Legislativo y Judicial, órganos autónomos, partidos políticos, fideicomisos y fondos públicos, </w:t>
      </w:r>
      <w:r w:rsidRPr="0056490B">
        <w:rPr>
          <w:rFonts w:ascii="Palatino Linotype" w:hAnsi="Palatino Linotype"/>
          <w:b/>
          <w:i/>
          <w:sz w:val="22"/>
          <w:szCs w:val="22"/>
          <w:u w:val="single"/>
        </w:rPr>
        <w:t>así como de cualquier persona física, jurídico colectiva o sindicato que reciba y ejerza recursos públicos</w:t>
      </w:r>
      <w:r w:rsidRPr="0056490B">
        <w:rPr>
          <w:rFonts w:ascii="Palatino Linotype" w:hAnsi="Palatino Linotype"/>
          <w:i/>
          <w:sz w:val="22"/>
          <w:szCs w:val="22"/>
        </w:rPr>
        <w:t xml:space="preserve"> o realice actos de autoridad en el ámbito de competencia del Estado de México y sus municipios.</w:t>
      </w:r>
    </w:p>
    <w:p w14:paraId="4ADBD77C" w14:textId="77777777" w:rsidR="00E26AC3" w:rsidRPr="0056490B" w:rsidRDefault="00E26AC3" w:rsidP="0056490B">
      <w:pPr>
        <w:pStyle w:val="Prrafodelista"/>
        <w:spacing w:line="360" w:lineRule="auto"/>
        <w:ind w:left="567" w:right="822"/>
        <w:rPr>
          <w:rFonts w:ascii="Palatino Linotype" w:hAnsi="Palatino Linotype" w:cs="Arial"/>
          <w:i/>
          <w:szCs w:val="22"/>
        </w:rPr>
      </w:pPr>
    </w:p>
    <w:p w14:paraId="115E60B6" w14:textId="1723F3CB" w:rsidR="00E26AC3" w:rsidRPr="0056490B" w:rsidRDefault="0056490B" w:rsidP="0056490B">
      <w:pPr>
        <w:spacing w:line="360" w:lineRule="auto"/>
        <w:ind w:left="567" w:right="822"/>
        <w:rPr>
          <w:rFonts w:ascii="Palatino Linotype" w:hAnsi="Palatino Linotype"/>
          <w:i/>
          <w:sz w:val="22"/>
          <w:szCs w:val="22"/>
        </w:rPr>
      </w:pPr>
      <w:r w:rsidRPr="00F11FB4">
        <w:rPr>
          <w:rFonts w:ascii="Palatino Linotype" w:hAnsi="Palatino Linotype"/>
          <w:b/>
          <w:i/>
          <w:sz w:val="22"/>
          <w:szCs w:val="22"/>
        </w:rPr>
        <w:lastRenderedPageBreak/>
        <w:t xml:space="preserve">Artículo 23. Son sujetos obligados a transparentar y permitir el acceso a su información </w:t>
      </w:r>
      <w:r w:rsidRPr="0056490B">
        <w:rPr>
          <w:rFonts w:ascii="Palatino Linotype" w:hAnsi="Palatino Linotype"/>
          <w:i/>
          <w:sz w:val="22"/>
          <w:szCs w:val="22"/>
        </w:rPr>
        <w:t>y proteger los datos personales que obren en su poder:</w:t>
      </w:r>
    </w:p>
    <w:p w14:paraId="594C6300" w14:textId="23B149FF" w:rsidR="0056490B" w:rsidRPr="0056490B" w:rsidRDefault="0056490B" w:rsidP="0056490B">
      <w:pPr>
        <w:spacing w:line="360" w:lineRule="auto"/>
        <w:ind w:left="567" w:right="822"/>
        <w:rPr>
          <w:rFonts w:ascii="Palatino Linotype" w:hAnsi="Palatino Linotype" w:cs="Arial"/>
          <w:i/>
          <w:sz w:val="22"/>
          <w:szCs w:val="22"/>
        </w:rPr>
      </w:pPr>
      <w:r w:rsidRPr="0056490B">
        <w:rPr>
          <w:rFonts w:ascii="Palatino Linotype" w:hAnsi="Palatino Linotype"/>
          <w:i/>
          <w:sz w:val="22"/>
          <w:szCs w:val="22"/>
        </w:rPr>
        <w:t>…</w:t>
      </w:r>
    </w:p>
    <w:p w14:paraId="0D8B8A7A" w14:textId="5FD87D99" w:rsidR="00E26AC3" w:rsidRPr="00F11FB4" w:rsidRDefault="00E26AC3" w:rsidP="0056490B">
      <w:pPr>
        <w:spacing w:line="360" w:lineRule="auto"/>
        <w:ind w:left="567" w:right="822"/>
        <w:rPr>
          <w:rFonts w:ascii="Palatino Linotype" w:hAnsi="Palatino Linotype" w:cs="Arial"/>
          <w:b/>
          <w:i/>
          <w:sz w:val="22"/>
          <w:szCs w:val="22"/>
        </w:rPr>
      </w:pPr>
      <w:r w:rsidRPr="00F11FB4">
        <w:rPr>
          <w:rFonts w:ascii="Palatino Linotype" w:hAnsi="Palatino Linotype"/>
          <w:b/>
          <w:i/>
          <w:sz w:val="22"/>
          <w:szCs w:val="22"/>
        </w:rPr>
        <w:t>X. Cualquier persona física o jurídico colectiva que reciba y ejerza recursos públicos en el ámbito estatal o municipal; y</w:t>
      </w:r>
    </w:p>
    <w:p w14:paraId="3D4C1495" w14:textId="52780D2B" w:rsidR="00E26AC3" w:rsidRPr="0056490B" w:rsidRDefault="0056490B" w:rsidP="0056490B">
      <w:pPr>
        <w:spacing w:line="360" w:lineRule="auto"/>
        <w:ind w:left="567" w:right="822"/>
        <w:rPr>
          <w:rFonts w:ascii="Palatino Linotype" w:hAnsi="Palatino Linotype" w:cs="Arial"/>
          <w:i/>
          <w:sz w:val="22"/>
          <w:szCs w:val="22"/>
        </w:rPr>
      </w:pPr>
      <w:r w:rsidRPr="0056490B">
        <w:rPr>
          <w:rFonts w:ascii="Palatino Linotype" w:hAnsi="Palatino Linotype" w:cs="Arial"/>
          <w:i/>
          <w:sz w:val="22"/>
          <w:szCs w:val="22"/>
        </w:rPr>
        <w:t>…</w:t>
      </w:r>
    </w:p>
    <w:p w14:paraId="629E1B89" w14:textId="77777777" w:rsidR="0056490B" w:rsidRPr="0056490B" w:rsidRDefault="0056490B" w:rsidP="0056490B">
      <w:pPr>
        <w:spacing w:line="360" w:lineRule="auto"/>
        <w:ind w:left="567" w:right="822"/>
        <w:rPr>
          <w:rFonts w:ascii="Palatino Linotype" w:hAnsi="Palatino Linotype" w:cs="Arial"/>
          <w:i/>
          <w:sz w:val="22"/>
          <w:szCs w:val="22"/>
        </w:rPr>
      </w:pPr>
    </w:p>
    <w:p w14:paraId="63D2005B" w14:textId="77863746" w:rsidR="0056490B" w:rsidRPr="00F11FB4" w:rsidRDefault="0056490B" w:rsidP="0056490B">
      <w:pPr>
        <w:spacing w:line="360" w:lineRule="auto"/>
        <w:ind w:left="567" w:right="822"/>
        <w:rPr>
          <w:rFonts w:ascii="Palatino Linotype" w:hAnsi="Palatino Linotype" w:cs="Arial"/>
          <w:b/>
          <w:i/>
          <w:sz w:val="22"/>
          <w:szCs w:val="22"/>
        </w:rPr>
      </w:pPr>
      <w:r w:rsidRPr="00F11FB4">
        <w:rPr>
          <w:rFonts w:ascii="Palatino Linotype" w:hAnsi="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24C83C9" w14:textId="77777777" w:rsidR="00E26AC3" w:rsidRPr="0056490B" w:rsidRDefault="00E26AC3" w:rsidP="0056490B">
      <w:pPr>
        <w:pStyle w:val="Prrafodelista"/>
        <w:autoSpaceDE w:val="0"/>
        <w:autoSpaceDN w:val="0"/>
        <w:adjustRightInd w:val="0"/>
        <w:spacing w:before="120" w:after="120" w:line="360" w:lineRule="auto"/>
        <w:ind w:left="567" w:right="822"/>
        <w:jc w:val="both"/>
        <w:rPr>
          <w:rFonts w:ascii="Palatino Linotype" w:hAnsi="Palatino Linotype" w:cs="Arial"/>
          <w:i/>
          <w:szCs w:val="22"/>
        </w:rPr>
      </w:pPr>
    </w:p>
    <w:p w14:paraId="5E2F5E80" w14:textId="1F3950A9"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i/>
          <w:szCs w:val="22"/>
        </w:rPr>
      </w:pPr>
      <w:r w:rsidRPr="0056490B">
        <w:rPr>
          <w:rFonts w:ascii="Palatino Linotype" w:hAnsi="Palatino Linotype"/>
          <w:i/>
          <w:szCs w:val="22"/>
        </w:rPr>
        <w:t>Artículo 24. Para el cumplimiento de los objetivos de esta Ley, l</w:t>
      </w:r>
      <w:r w:rsidRPr="00F11FB4">
        <w:rPr>
          <w:rFonts w:ascii="Palatino Linotype" w:hAnsi="Palatino Linotype"/>
          <w:b/>
          <w:i/>
          <w:szCs w:val="22"/>
        </w:rPr>
        <w:t>os sujetos obligados deberán cumplir con las siguientes obligaciones</w:t>
      </w:r>
      <w:r w:rsidRPr="0056490B">
        <w:rPr>
          <w:rFonts w:ascii="Palatino Linotype" w:hAnsi="Palatino Linotype"/>
          <w:i/>
          <w:szCs w:val="22"/>
        </w:rPr>
        <w:t>, según corresponda, de acuerdo a su naturaleza:</w:t>
      </w:r>
    </w:p>
    <w:p w14:paraId="74D82E9F" w14:textId="5393161A"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cs="Arial"/>
          <w:i/>
          <w:szCs w:val="22"/>
        </w:rPr>
      </w:pPr>
      <w:r w:rsidRPr="0056490B">
        <w:rPr>
          <w:rFonts w:ascii="Palatino Linotype" w:hAnsi="Palatino Linotype"/>
          <w:i/>
          <w:szCs w:val="22"/>
        </w:rPr>
        <w:t>…</w:t>
      </w:r>
    </w:p>
    <w:p w14:paraId="3EE700C8" w14:textId="4E39E4C2"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i/>
          <w:szCs w:val="22"/>
        </w:rPr>
      </w:pPr>
      <w:r w:rsidRPr="00F11FB4">
        <w:rPr>
          <w:rFonts w:ascii="Palatino Linotype" w:hAnsi="Palatino Linotype"/>
          <w:b/>
          <w:i/>
          <w:szCs w:val="22"/>
        </w:rPr>
        <w:t>XVIII. Hacer pública toda aquella información relativa a los montos y las personas a quienes entreguen, por cualquier motivo, recursos públicos</w:t>
      </w:r>
      <w:r w:rsidRPr="0056490B">
        <w:rPr>
          <w:rFonts w:ascii="Palatino Linotype" w:hAnsi="Palatino Linotype"/>
          <w:i/>
          <w:szCs w:val="22"/>
        </w:rPr>
        <w:t>, así como los informes que dichas personas les entreguen sobre el uso y destino de dichos recursos;</w:t>
      </w:r>
    </w:p>
    <w:p w14:paraId="1E09C902" w14:textId="57F49CC7"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cs="Arial"/>
          <w:i/>
          <w:szCs w:val="22"/>
        </w:rPr>
      </w:pPr>
      <w:r w:rsidRPr="0056490B">
        <w:rPr>
          <w:rFonts w:ascii="Palatino Linotype" w:hAnsi="Palatino Linotype"/>
          <w:i/>
          <w:szCs w:val="22"/>
        </w:rPr>
        <w:t>…</w:t>
      </w:r>
    </w:p>
    <w:p w14:paraId="3F15DB90" w14:textId="77777777"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cs="Arial"/>
          <w:i/>
          <w:szCs w:val="22"/>
        </w:rPr>
      </w:pPr>
    </w:p>
    <w:p w14:paraId="0008423C" w14:textId="2B2B02C8"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i/>
          <w:szCs w:val="22"/>
        </w:rPr>
      </w:pPr>
      <w:r w:rsidRPr="00F11FB4">
        <w:rPr>
          <w:rFonts w:ascii="Palatino Linotype" w:hAnsi="Palatino Linotype"/>
          <w:b/>
          <w:i/>
          <w:szCs w:val="22"/>
        </w:rPr>
        <w:t>Artículo 27. Las personas físicas o jurídicas colectivas que</w:t>
      </w:r>
      <w:r w:rsidRPr="0056490B">
        <w:rPr>
          <w:rFonts w:ascii="Palatino Linotype" w:hAnsi="Palatino Linotype"/>
          <w:i/>
          <w:szCs w:val="22"/>
        </w:rPr>
        <w:t xml:space="preserve">, en el ejercicio de sus actividades, coadyuven en auxilio o colaboración de las entidades públicas, o aquellas </w:t>
      </w:r>
      <w:r w:rsidRPr="00F11FB4">
        <w:rPr>
          <w:rFonts w:ascii="Palatino Linotype" w:hAnsi="Palatino Linotype"/>
          <w:b/>
          <w:i/>
          <w:szCs w:val="22"/>
        </w:rPr>
        <w:t>que ejerzan gasto público, reciban, utilicen o dispongan de recursos públicos</w:t>
      </w:r>
      <w:r w:rsidRPr="0056490B">
        <w:rPr>
          <w:rFonts w:ascii="Palatino Linotype" w:hAnsi="Palatino Linotype"/>
          <w:i/>
          <w:szCs w:val="22"/>
        </w:rPr>
        <w:t xml:space="preserve">, </w:t>
      </w:r>
      <w:r w:rsidRPr="0056490B">
        <w:rPr>
          <w:rFonts w:ascii="Palatino Linotype" w:hAnsi="Palatino Linotype"/>
          <w:i/>
          <w:szCs w:val="22"/>
        </w:rPr>
        <w:lastRenderedPageBreak/>
        <w:t xml:space="preserve">subsidios, o estímulos fiscales o realicen actos de autoridad, </w:t>
      </w:r>
      <w:r w:rsidRPr="00F11FB4">
        <w:rPr>
          <w:rFonts w:ascii="Palatino Linotype" w:hAnsi="Palatino Linotype"/>
          <w:b/>
          <w:i/>
          <w:szCs w:val="22"/>
        </w:rPr>
        <w:t>estarán obligadas a entregar la información relacionada con el uso, destino y actividades al sujeto obligado que entregue el recurso,</w:t>
      </w:r>
      <w:r w:rsidRPr="0056490B">
        <w:rPr>
          <w:rFonts w:ascii="Palatino Linotype" w:hAnsi="Palatino Linotype"/>
          <w:i/>
          <w:szCs w:val="22"/>
        </w:rPr>
        <w:t xml:space="preserve"> subsidio u otorgue el estímulo, supervise o coordine estas actividades.</w:t>
      </w:r>
    </w:p>
    <w:p w14:paraId="2C1681A2" w14:textId="77777777"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i/>
          <w:szCs w:val="22"/>
        </w:rPr>
      </w:pPr>
    </w:p>
    <w:p w14:paraId="7677E88F" w14:textId="0EC579BE"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i/>
          <w:szCs w:val="22"/>
        </w:rPr>
      </w:pPr>
      <w:r w:rsidRPr="0056490B">
        <w:rPr>
          <w:rFonts w:ascii="Palatino Linotype" w:hAnsi="Palatino Linotype"/>
          <w:i/>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DC1DE7" w14:textId="3AD6D95E"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i/>
          <w:szCs w:val="22"/>
        </w:rPr>
      </w:pPr>
      <w:r w:rsidRPr="0056490B">
        <w:rPr>
          <w:rFonts w:ascii="Palatino Linotype" w:hAnsi="Palatino Linotype"/>
          <w:i/>
          <w:szCs w:val="22"/>
        </w:rPr>
        <w:t>…</w:t>
      </w:r>
    </w:p>
    <w:p w14:paraId="57F33565" w14:textId="2B946CFF" w:rsidR="0056490B" w:rsidRPr="00F11FB4"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b/>
          <w:i/>
          <w:szCs w:val="22"/>
        </w:rPr>
      </w:pPr>
      <w:r w:rsidRPr="00F11FB4">
        <w:rPr>
          <w:rFonts w:ascii="Palatino Linotype" w:hAnsi="Palatino Linotype"/>
          <w:b/>
          <w:i/>
          <w:szCs w:val="22"/>
        </w:rPr>
        <w:t>XXXI. 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w:t>
      </w:r>
    </w:p>
    <w:p w14:paraId="78264654" w14:textId="49498D17" w:rsidR="0056490B" w:rsidRPr="00F11FB4"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b/>
          <w:i/>
          <w:szCs w:val="22"/>
        </w:rPr>
      </w:pPr>
      <w:r w:rsidRPr="00F11FB4">
        <w:rPr>
          <w:rFonts w:ascii="Palatino Linotype" w:hAnsi="Palatino Linotype"/>
          <w:b/>
          <w:i/>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5B674A3" w14:textId="7221A8C3" w:rsidR="0056490B" w:rsidRPr="0056490B" w:rsidRDefault="0056490B" w:rsidP="0056490B">
      <w:pPr>
        <w:pStyle w:val="Prrafodelista"/>
        <w:autoSpaceDE w:val="0"/>
        <w:autoSpaceDN w:val="0"/>
        <w:adjustRightInd w:val="0"/>
        <w:spacing w:before="120" w:after="120" w:line="360" w:lineRule="auto"/>
        <w:ind w:left="567" w:right="822"/>
        <w:jc w:val="both"/>
        <w:rPr>
          <w:rFonts w:ascii="Palatino Linotype" w:hAnsi="Palatino Linotype"/>
          <w:i/>
          <w:szCs w:val="22"/>
        </w:rPr>
      </w:pPr>
      <w:r w:rsidRPr="0056490B">
        <w:rPr>
          <w:rFonts w:ascii="Palatino Linotype" w:hAnsi="Palatino Linotype"/>
          <w:i/>
          <w:szCs w:val="22"/>
        </w:rPr>
        <w:t>…</w:t>
      </w:r>
    </w:p>
    <w:p w14:paraId="57E19CBC" w14:textId="77777777" w:rsidR="0056490B" w:rsidRDefault="0056490B" w:rsidP="0056490B">
      <w:pPr>
        <w:pStyle w:val="Prrafodelista"/>
        <w:autoSpaceDE w:val="0"/>
        <w:autoSpaceDN w:val="0"/>
        <w:adjustRightInd w:val="0"/>
        <w:spacing w:before="120" w:after="120" w:line="360" w:lineRule="auto"/>
        <w:ind w:left="0"/>
        <w:jc w:val="both"/>
        <w:rPr>
          <w:rFonts w:ascii="Palatino Linotype" w:hAnsi="Palatino Linotype" w:cs="Arial"/>
          <w:sz w:val="24"/>
        </w:rPr>
      </w:pPr>
    </w:p>
    <w:p w14:paraId="6050757F" w14:textId="07D0A90B" w:rsidR="001640DB" w:rsidRDefault="00F11FB4" w:rsidP="002C557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lastRenderedPageBreak/>
        <w:t>Los dispositivos legales citados, establecen de manera categórica que es información pública aquella información que se relaciona con el ejercicio de recursos públicos, tanto la información de la autoridad, como de la persona física o jurídico colectiva que los recibe, en consecuencia, se debe privilegiar el acceso a la información del particular, permitiendo el acceso a los documentos solicitados</w:t>
      </w:r>
      <w:r w:rsidR="001640DB">
        <w:rPr>
          <w:rFonts w:ascii="Palatino Linotype" w:hAnsi="Palatino Linotype" w:cs="Arial"/>
          <w:sz w:val="24"/>
        </w:rPr>
        <w:t>. Se debe enfatizar el hecho de que si bien, la información requerida puede corresponder a personas físicas o jurídico colectivas, también lo es que, al haber celebrado contratos o recibir recursos públicos por parte del Ayuntamiento, bajo cualquier concepto, los hace sujetos a un régimen de protección menor sobre sus datos personales, esto derivado de que existe un interés colectivo de conocer el destino del gasto público.</w:t>
      </w:r>
    </w:p>
    <w:p w14:paraId="0215DE5C" w14:textId="77777777" w:rsidR="001640DB" w:rsidRDefault="001640DB" w:rsidP="001640DB">
      <w:pPr>
        <w:pStyle w:val="Prrafodelista"/>
        <w:autoSpaceDE w:val="0"/>
        <w:autoSpaceDN w:val="0"/>
        <w:adjustRightInd w:val="0"/>
        <w:spacing w:before="120" w:after="120" w:line="360" w:lineRule="auto"/>
        <w:ind w:left="0"/>
        <w:jc w:val="both"/>
        <w:rPr>
          <w:rFonts w:ascii="Palatino Linotype" w:hAnsi="Palatino Linotype" w:cs="Arial"/>
          <w:sz w:val="24"/>
        </w:rPr>
      </w:pPr>
    </w:p>
    <w:p w14:paraId="2D915073" w14:textId="6636EA25" w:rsidR="00F11FB4" w:rsidRDefault="001640DB" w:rsidP="002C557F">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Asimismo, </w:t>
      </w:r>
      <w:r w:rsidR="00F11FB4">
        <w:rPr>
          <w:rFonts w:ascii="Palatino Linotype" w:hAnsi="Palatino Linotype" w:cs="Arial"/>
          <w:sz w:val="24"/>
        </w:rPr>
        <w:t xml:space="preserve">cabe señalar que, como todos los derechos, el derecho de acceso a la información pública no es absoluto, por lo que, de ser el caso de que la información que se ORDENA entregar contenga datos personales </w:t>
      </w:r>
      <w:r>
        <w:rPr>
          <w:rFonts w:ascii="Palatino Linotype" w:hAnsi="Palatino Linotype" w:cs="Arial"/>
          <w:sz w:val="24"/>
        </w:rPr>
        <w:t xml:space="preserve">que interfieran con la esfera más íntima de su titular y sean </w:t>
      </w:r>
      <w:r w:rsidR="00F11FB4">
        <w:rPr>
          <w:rFonts w:ascii="Palatino Linotype" w:hAnsi="Palatino Linotype" w:cs="Arial"/>
          <w:sz w:val="24"/>
        </w:rPr>
        <w:t>susceptibles de clasificarse como confidenciales, el Sujeto Obligado estará a lo dispuesto en el Considerando QUINTO de la presente resolución.</w:t>
      </w:r>
    </w:p>
    <w:p w14:paraId="11A358CB" w14:textId="77777777" w:rsidR="001640DB" w:rsidRPr="001640DB" w:rsidRDefault="001640DB" w:rsidP="001640DB">
      <w:pPr>
        <w:pStyle w:val="Prrafodelista"/>
        <w:rPr>
          <w:rFonts w:ascii="Palatino Linotype" w:hAnsi="Palatino Linotype" w:cs="Arial"/>
          <w:sz w:val="24"/>
        </w:rPr>
      </w:pPr>
    </w:p>
    <w:p w14:paraId="63C181F4" w14:textId="77777777" w:rsidR="001640DB" w:rsidRDefault="001640DB" w:rsidP="001640DB">
      <w:pPr>
        <w:pStyle w:val="Prrafodelista"/>
        <w:autoSpaceDE w:val="0"/>
        <w:autoSpaceDN w:val="0"/>
        <w:adjustRightInd w:val="0"/>
        <w:spacing w:before="120" w:after="120" w:line="360" w:lineRule="auto"/>
        <w:ind w:left="0"/>
        <w:jc w:val="both"/>
        <w:rPr>
          <w:rFonts w:ascii="Palatino Linotype" w:hAnsi="Palatino Linotype" w:cs="Arial"/>
          <w:sz w:val="24"/>
        </w:rPr>
      </w:pPr>
    </w:p>
    <w:p w14:paraId="5FD01267" w14:textId="77777777" w:rsidR="00577C65" w:rsidRPr="00577C65" w:rsidRDefault="00577C65" w:rsidP="00577C65">
      <w:pPr>
        <w:pStyle w:val="Ttulo1"/>
        <w:rPr>
          <w:rFonts w:ascii="Palatino Linotype" w:hAnsi="Palatino Linotype"/>
          <w:b/>
          <w:color w:val="auto"/>
          <w:sz w:val="24"/>
          <w:lang w:val="es-ES_tradnl"/>
        </w:rPr>
      </w:pPr>
      <w:bookmarkStart w:id="31" w:name="_Toc87549682"/>
      <w:r w:rsidRPr="00577C65">
        <w:rPr>
          <w:rFonts w:ascii="Palatino Linotype" w:hAnsi="Palatino Linotype"/>
          <w:b/>
          <w:color w:val="auto"/>
          <w:sz w:val="24"/>
          <w:lang w:val="es-ES_tradnl"/>
        </w:rPr>
        <w:t>QUINTO. De la versión pública.</w:t>
      </w:r>
      <w:bookmarkEnd w:id="31"/>
    </w:p>
    <w:p w14:paraId="4C5EDBB9" w14:textId="77777777" w:rsidR="00577C65" w:rsidRPr="00577C65" w:rsidRDefault="00577C65" w:rsidP="00577C65">
      <w:pPr>
        <w:rPr>
          <w:rFonts w:ascii="Palatino Linotype" w:hAnsi="Palatino Linotype"/>
          <w:sz w:val="16"/>
          <w:lang w:val="es-ES_tradnl"/>
        </w:rPr>
      </w:pPr>
    </w:p>
    <w:p w14:paraId="6E202E08" w14:textId="77777777" w:rsidR="00577C65" w:rsidRPr="00577C65" w:rsidRDefault="00577C65" w:rsidP="00577C6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32" w:name="_Toc48135362"/>
      <w:bookmarkStart w:id="33" w:name="_Toc72309902"/>
      <w:bookmarkStart w:id="34" w:name="_Toc73643041"/>
      <w:bookmarkStart w:id="35" w:name="_Toc73911519"/>
      <w:bookmarkStart w:id="36" w:name="_Toc87549683"/>
      <w:r w:rsidRPr="00577C65">
        <w:rPr>
          <w:rFonts w:ascii="Palatino Linotype" w:hAnsi="Palatino Linotype" w:cs="Times New Roman"/>
          <w:b/>
          <w:color w:val="auto"/>
          <w:sz w:val="24"/>
          <w:szCs w:val="24"/>
          <w:lang w:eastAsia="es-ES_tradnl"/>
        </w:rPr>
        <w:t>Nociones generales.</w:t>
      </w:r>
      <w:bookmarkEnd w:id="32"/>
      <w:bookmarkEnd w:id="33"/>
      <w:bookmarkEnd w:id="34"/>
      <w:bookmarkEnd w:id="35"/>
      <w:bookmarkEnd w:id="36"/>
      <w:r w:rsidRPr="00577C65">
        <w:rPr>
          <w:rFonts w:ascii="Palatino Linotype" w:hAnsi="Palatino Linotype" w:cs="Times New Roman"/>
          <w:b/>
          <w:color w:val="auto"/>
          <w:sz w:val="24"/>
          <w:szCs w:val="24"/>
          <w:lang w:eastAsia="es-ES_tradnl"/>
        </w:rPr>
        <w:t xml:space="preserve"> </w:t>
      </w:r>
    </w:p>
    <w:p w14:paraId="6392E356" w14:textId="77777777" w:rsidR="00577C65" w:rsidRPr="00030C87" w:rsidRDefault="00577C65" w:rsidP="00577C65">
      <w:pPr>
        <w:rPr>
          <w:rFonts w:ascii="Palatino Linotype" w:hAnsi="Palatino Linotype"/>
          <w:lang w:eastAsia="es-ES_tradnl"/>
        </w:rPr>
      </w:pPr>
    </w:p>
    <w:p w14:paraId="152852F4" w14:textId="77777777" w:rsidR="00577C65" w:rsidRPr="00577C65" w:rsidRDefault="00577C65" w:rsidP="00577C6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77C65">
        <w:rPr>
          <w:rFonts w:ascii="Palatino Linotype" w:hAnsi="Palatino Linotype" w:cs="Arial"/>
          <w:color w:val="000000"/>
          <w:sz w:val="24"/>
        </w:rPr>
        <w:lastRenderedPageBreak/>
        <w:t>Debe destacarse que, debido a la naturaleza de la información solicitada</w:t>
      </w:r>
      <w:r w:rsidRPr="00577C65">
        <w:rPr>
          <w:rFonts w:ascii="Palatino Linotype" w:hAnsi="Palatino Linotype" w:cs="Arial"/>
          <w:b/>
          <w:color w:val="000000"/>
          <w:sz w:val="24"/>
        </w:rPr>
        <w:t xml:space="preserve">, </w:t>
      </w:r>
      <w:r w:rsidRPr="00577C6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77C65">
        <w:rPr>
          <w:rFonts w:ascii="Palatino Linotype" w:hAnsi="Palatino Linotype" w:cs="Arial"/>
          <w:b/>
          <w:bCs/>
          <w:color w:val="000000"/>
          <w:sz w:val="24"/>
        </w:rPr>
        <w:t xml:space="preserve">Sujeto Obligado </w:t>
      </w:r>
      <w:r w:rsidRPr="00577C65">
        <w:rPr>
          <w:rFonts w:ascii="Palatino Linotype" w:hAnsi="Palatino Linotype" w:cs="Arial"/>
          <w:color w:val="000000"/>
          <w:sz w:val="24"/>
        </w:rPr>
        <w:t xml:space="preserve">deberá de hacer la adecuada versión pública, protegiendo los datos que no son susceptibles de ser proporcionados. </w:t>
      </w:r>
    </w:p>
    <w:p w14:paraId="47032605" w14:textId="77777777" w:rsidR="00577C65" w:rsidRPr="00577C65" w:rsidRDefault="00577C65" w:rsidP="00577C65">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5ED65D50" w14:textId="77777777" w:rsidR="00577C65" w:rsidRPr="00577C65" w:rsidRDefault="00577C65" w:rsidP="00577C6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77C65">
        <w:rPr>
          <w:rFonts w:ascii="Palatino Linotype" w:hAnsi="Palatino Linotype" w:cs="Arial"/>
          <w:color w:val="000000"/>
          <w:sz w:val="24"/>
          <w:szCs w:val="24"/>
        </w:rPr>
        <w:t xml:space="preserve">No pasa desapercibido para este Órgano Garante que los </w:t>
      </w:r>
      <w:r w:rsidRPr="00577C65">
        <w:rPr>
          <w:rFonts w:ascii="Palatino Linotype" w:hAnsi="Palatino Linotype" w:cs="Arial"/>
          <w:b/>
          <w:bCs/>
          <w:color w:val="000000"/>
          <w:sz w:val="24"/>
          <w:szCs w:val="24"/>
        </w:rPr>
        <w:t xml:space="preserve">Sujetos Obligados </w:t>
      </w:r>
      <w:r w:rsidRPr="00577C6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C6BB8C" w14:textId="77777777" w:rsidR="00577C65" w:rsidRPr="00030C87" w:rsidRDefault="00577C65" w:rsidP="00577C6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77C65" w:rsidRPr="00030C87" w14:paraId="11104ECD" w14:textId="77777777" w:rsidTr="007E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15E2DE"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39AD45E6"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75F6DEF"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33093A73" w14:textId="77777777" w:rsidR="00577C65" w:rsidRPr="00BE2CF3"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04141257" w14:textId="77777777" w:rsidR="00577C65" w:rsidRPr="00BE2CF3" w:rsidRDefault="00577C65" w:rsidP="007E43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 xml:space="preserve">no se puede </w:t>
            </w:r>
            <w:r w:rsidRPr="00BE2CF3">
              <w:rPr>
                <w:rFonts w:ascii="Palatino Linotype" w:hAnsi="Palatino Linotype" w:cs="Arial"/>
                <w:color w:val="000000"/>
                <w:sz w:val="20"/>
                <w:u w:val="single"/>
              </w:rPr>
              <w:lastRenderedPageBreak/>
              <w:t>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577C65" w:rsidRPr="00030C87" w14:paraId="640C1ACF"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ABD4FB"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1016781B"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490A4BE5"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E70DA" w14:textId="77777777" w:rsidR="00577C65" w:rsidRPr="00BE2CF3" w:rsidRDefault="00577C65" w:rsidP="007E43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7C65" w:rsidRPr="00030C87" w14:paraId="4CEA3128" w14:textId="77777777" w:rsidTr="007E43A0">
        <w:tc>
          <w:tcPr>
            <w:cnfStyle w:val="001000000000" w:firstRow="0" w:lastRow="0" w:firstColumn="1" w:lastColumn="0" w:oddVBand="0" w:evenVBand="0" w:oddHBand="0" w:evenHBand="0" w:firstRowFirstColumn="0" w:firstRowLastColumn="0" w:lastRowFirstColumn="0" w:lastRowLastColumn="0"/>
            <w:tcW w:w="1838" w:type="dxa"/>
            <w:hideMark/>
          </w:tcPr>
          <w:p w14:paraId="3F6D5935" w14:textId="77777777" w:rsidR="00577C65" w:rsidRPr="00BE2CF3" w:rsidRDefault="00577C65" w:rsidP="007E43A0">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61041035"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3EEA5CE"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255BC6E6" w14:textId="77777777" w:rsidR="00577C65" w:rsidRPr="00BE2CF3" w:rsidRDefault="00577C65" w:rsidP="007E43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77C65" w:rsidRPr="00030C87" w14:paraId="23044D5C"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6CAFEF" w14:textId="77777777" w:rsidR="00577C65" w:rsidRPr="00BE2CF3" w:rsidRDefault="00577C65" w:rsidP="007E43A0">
            <w:pPr>
              <w:tabs>
                <w:tab w:val="left" w:pos="284"/>
              </w:tabs>
              <w:spacing w:line="360" w:lineRule="auto"/>
              <w:rPr>
                <w:rFonts w:ascii="Palatino Linotype" w:hAnsi="Palatino Linotype"/>
                <w:b w:val="0"/>
                <w:sz w:val="20"/>
              </w:rPr>
            </w:pPr>
          </w:p>
          <w:p w14:paraId="17A64CF4" w14:textId="77777777" w:rsidR="00577C65" w:rsidRPr="00BE2CF3" w:rsidRDefault="00577C65" w:rsidP="007E43A0">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61E2DA0C"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56D3DB0B"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87294A"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47ABC4"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C95344E" w14:textId="77777777" w:rsidR="00577C65" w:rsidRPr="00BE2CF3"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7C65" w:rsidRPr="00030C87" w14:paraId="68450889" w14:textId="77777777" w:rsidTr="007E43A0">
        <w:tc>
          <w:tcPr>
            <w:cnfStyle w:val="001000000000" w:firstRow="0" w:lastRow="0" w:firstColumn="1" w:lastColumn="0" w:oddVBand="0" w:evenVBand="0" w:oddHBand="0" w:evenHBand="0" w:firstRowFirstColumn="0" w:firstRowLastColumn="0" w:lastRowFirstColumn="0" w:lastRowLastColumn="0"/>
            <w:tcW w:w="1838" w:type="dxa"/>
          </w:tcPr>
          <w:p w14:paraId="77187EA9" w14:textId="77777777" w:rsidR="00577C65" w:rsidRPr="00BE2CF3" w:rsidRDefault="00577C65" w:rsidP="007E43A0">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C01B19"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1DC51BE" w14:textId="77777777" w:rsidR="00577C65" w:rsidRPr="00BE2CF3"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C38C0B1" w14:textId="77777777" w:rsidR="00577C65" w:rsidRPr="00BE2CF3" w:rsidRDefault="00577C65" w:rsidP="007E43A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Pero si la información que se pretende clasificar como confidencial no se encuentra en los supuestos de los artículos señalados y es posible, se </w:t>
            </w:r>
            <w:r w:rsidRPr="00BE2CF3">
              <w:rPr>
                <w:rFonts w:ascii="Palatino Linotype" w:hAnsi="Palatino Linotype" w:cs="Arial"/>
                <w:color w:val="000000"/>
                <w:sz w:val="20"/>
              </w:rPr>
              <w:lastRenderedPageBreak/>
              <w:t>deberá consultar al titular de los datos si permite o no el acceso. De no ser posible, la realización de la consulta, procede, fundando y motivando, la clasificación.</w:t>
            </w:r>
          </w:p>
        </w:tc>
      </w:tr>
    </w:tbl>
    <w:p w14:paraId="3B655F7D" w14:textId="77777777" w:rsidR="00577C65" w:rsidRPr="00030C87" w:rsidRDefault="00577C65" w:rsidP="00577C65">
      <w:pPr>
        <w:pStyle w:val="Prrafodelista"/>
        <w:tabs>
          <w:tab w:val="left" w:pos="284"/>
        </w:tabs>
        <w:ind w:left="0"/>
        <w:rPr>
          <w:rFonts w:ascii="Palatino Linotype" w:hAnsi="Palatino Linotype" w:cs="Arial"/>
          <w:color w:val="000000"/>
        </w:rPr>
      </w:pPr>
    </w:p>
    <w:p w14:paraId="3B0D1195" w14:textId="77777777" w:rsidR="00577C65" w:rsidRDefault="00577C65" w:rsidP="00577C65">
      <w:pPr>
        <w:pStyle w:val="Prrafodelista"/>
        <w:numPr>
          <w:ilvl w:val="0"/>
          <w:numId w:val="2"/>
        </w:numPr>
        <w:tabs>
          <w:tab w:val="left" w:pos="284"/>
        </w:tabs>
        <w:spacing w:line="360" w:lineRule="auto"/>
        <w:ind w:left="0" w:firstLine="0"/>
        <w:jc w:val="both"/>
        <w:rPr>
          <w:rFonts w:ascii="Palatino Linotype" w:hAnsi="Palatino Linotype" w:cs="Arial"/>
        </w:rPr>
      </w:pPr>
      <w:r w:rsidRPr="00E62BE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B7607B3" w14:textId="77777777" w:rsidR="001B260A" w:rsidRDefault="001B260A" w:rsidP="001B260A">
      <w:pPr>
        <w:pStyle w:val="Prrafodelista"/>
        <w:tabs>
          <w:tab w:val="left" w:pos="284"/>
        </w:tabs>
        <w:spacing w:line="360" w:lineRule="auto"/>
        <w:ind w:left="0"/>
        <w:jc w:val="both"/>
        <w:rPr>
          <w:rFonts w:ascii="Palatino Linotype" w:hAnsi="Palatino Linotype" w:cs="Arial"/>
        </w:rPr>
      </w:pPr>
    </w:p>
    <w:bookmarkEnd w:id="9"/>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37" w:name="_Toc4061692"/>
      <w:bookmarkStart w:id="38" w:name="_Toc486525261"/>
      <w:bookmarkStart w:id="39" w:name="_Toc445745148"/>
      <w:bookmarkStart w:id="40" w:name="_Toc447699324"/>
      <w:bookmarkStart w:id="41" w:name="_Toc87549684"/>
      <w:r w:rsidRPr="007C7FFD">
        <w:rPr>
          <w:rFonts w:ascii="Palatino Linotype" w:hAnsi="Palatino Linotype"/>
          <w:b/>
          <w:color w:val="auto"/>
          <w:sz w:val="24"/>
          <w:szCs w:val="24"/>
        </w:rPr>
        <w:t>R E S O L U T I V O S</w:t>
      </w:r>
      <w:bookmarkEnd w:id="37"/>
      <w:bookmarkEnd w:id="38"/>
      <w:bookmarkEnd w:id="39"/>
      <w:bookmarkEnd w:id="40"/>
      <w:bookmarkEnd w:id="41"/>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426048AA"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245776" w:rsidRPr="00245776">
        <w:rPr>
          <w:rFonts w:ascii="Palatino Linotype" w:eastAsia="Calibri" w:hAnsi="Palatino Linotype" w:cs="Tahoma"/>
          <w:b/>
          <w:sz w:val="24"/>
          <w:lang w:eastAsia="en-US"/>
        </w:rPr>
        <w:t>00098/INFOEM/IP/RR/2023</w:t>
      </w:r>
      <w:r w:rsidR="002D2D76">
        <w:rPr>
          <w:rFonts w:ascii="Palatino Linotype" w:eastAsia="Calibri" w:hAnsi="Palatino Linotype" w:cs="Tahoma"/>
          <w:b/>
          <w:sz w:val="24"/>
          <w:lang w:eastAsia="en-US"/>
        </w:rPr>
        <w:t>,</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002D2D76">
        <w:rPr>
          <w:rFonts w:ascii="Palatino Linotype" w:hAnsi="Palatino Linotype"/>
          <w:b/>
          <w:bCs/>
          <w:sz w:val="24"/>
          <w:szCs w:val="24"/>
        </w:rPr>
        <w:t xml:space="preserve"> c</w:t>
      </w:r>
      <w:r w:rsidRPr="00946F7F">
        <w:rPr>
          <w:rFonts w:ascii="Palatino Linotype" w:hAnsi="Palatino Linotype"/>
          <w:b/>
          <w:bCs/>
          <w:sz w:val="24"/>
          <w:szCs w:val="24"/>
        </w:rPr>
        <w:t>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11EE9B90" w14:textId="02D075FB" w:rsidR="0098072E" w:rsidRDefault="00CB2836" w:rsidP="00DA2C00">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1B260A" w:rsidRPr="001B260A">
        <w:rPr>
          <w:rFonts w:ascii="Palatino Linotype" w:eastAsia="Calibri" w:hAnsi="Palatino Linotype" w:cs="Arial"/>
          <w:b/>
          <w:bCs/>
          <w:sz w:val="24"/>
          <w:lang w:val="es-ES"/>
        </w:rPr>
        <w:t>REVOCA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a</w:t>
      </w:r>
      <w:r w:rsidR="00D6154B">
        <w:rPr>
          <w:rFonts w:ascii="Palatino Linotype" w:eastAsia="Calibri" w:hAnsi="Palatino Linotype" w:cs="Arial"/>
          <w:bCs/>
          <w:sz w:val="24"/>
          <w:lang w:val="es-ES"/>
        </w:rPr>
        <w:t xml:space="preserve">l </w:t>
      </w:r>
      <w:r w:rsidR="00245776" w:rsidRPr="00245776">
        <w:rPr>
          <w:rFonts w:ascii="Palatino Linotype" w:eastAsia="Calibri" w:hAnsi="Palatino Linotype" w:cs="Arial"/>
          <w:b/>
          <w:bCs/>
          <w:sz w:val="24"/>
        </w:rPr>
        <w:t>Ayuntamiento de Nextlalpan</w:t>
      </w:r>
      <w:r w:rsidR="002D2D76">
        <w:rPr>
          <w:rFonts w:ascii="Palatino Linotype" w:eastAsia="Calibri" w:hAnsi="Palatino Linotype" w:cs="Arial"/>
          <w:b/>
          <w:bCs/>
          <w:sz w:val="24"/>
        </w:rPr>
        <w:t>,</w:t>
      </w:r>
      <w:r w:rsidRPr="00946F7F">
        <w:rPr>
          <w:rFonts w:ascii="Palatino Linotype" w:eastAsia="Calibri" w:hAnsi="Palatino Linotype" w:cs="Arial"/>
          <w:b/>
          <w:bCs/>
          <w:sz w:val="24"/>
          <w:lang w:val="es-ES"/>
        </w:rPr>
        <w:t xml:space="preserve"> </w:t>
      </w:r>
      <w:r w:rsidR="0098072E">
        <w:rPr>
          <w:rFonts w:ascii="Palatino Linotype" w:eastAsia="Calibri" w:hAnsi="Palatino Linotype" w:cs="Arial"/>
          <w:bCs/>
          <w:sz w:val="24"/>
          <w:lang w:val="es-ES"/>
        </w:rPr>
        <w:t xml:space="preserve">entregar vía Sistema de Acceso a la </w:t>
      </w:r>
      <w:r w:rsidR="0052428C">
        <w:rPr>
          <w:rFonts w:ascii="Palatino Linotype" w:eastAsia="Calibri" w:hAnsi="Palatino Linotype" w:cs="Arial"/>
          <w:bCs/>
          <w:sz w:val="24"/>
          <w:lang w:val="es-ES"/>
        </w:rPr>
        <w:t xml:space="preserve">Información Mexiquense (SAIMEX), de ser el caso en versión pública, </w:t>
      </w:r>
      <w:r w:rsidR="001640DB">
        <w:rPr>
          <w:rFonts w:ascii="Palatino Linotype" w:eastAsia="Calibri" w:hAnsi="Palatino Linotype" w:cs="Arial"/>
          <w:bCs/>
          <w:sz w:val="24"/>
          <w:lang w:val="es-ES"/>
        </w:rPr>
        <w:t xml:space="preserve">del evento público denominado Festival Cultural de la Mezclilla 2022, </w:t>
      </w:r>
      <w:r w:rsidR="00DA6383">
        <w:rPr>
          <w:rFonts w:ascii="Palatino Linotype" w:eastAsia="Calibri" w:hAnsi="Palatino Linotype" w:cs="Arial"/>
          <w:bCs/>
          <w:sz w:val="24"/>
          <w:lang w:val="es-ES"/>
        </w:rPr>
        <w:t>los do</w:t>
      </w:r>
      <w:r w:rsidR="0052428C">
        <w:rPr>
          <w:rFonts w:ascii="Palatino Linotype" w:eastAsia="Calibri" w:hAnsi="Palatino Linotype" w:cs="Arial"/>
          <w:bCs/>
          <w:sz w:val="24"/>
          <w:lang w:val="es-ES"/>
        </w:rPr>
        <w:t>cumento</w:t>
      </w:r>
      <w:r w:rsidR="00DA6383">
        <w:rPr>
          <w:rFonts w:ascii="Palatino Linotype" w:eastAsia="Calibri" w:hAnsi="Palatino Linotype" w:cs="Arial"/>
          <w:bCs/>
          <w:sz w:val="24"/>
          <w:lang w:val="es-ES"/>
        </w:rPr>
        <w:t>s</w:t>
      </w:r>
      <w:r w:rsidR="0052428C">
        <w:rPr>
          <w:rFonts w:ascii="Palatino Linotype" w:eastAsia="Calibri" w:hAnsi="Palatino Linotype" w:cs="Arial"/>
          <w:bCs/>
          <w:sz w:val="24"/>
          <w:lang w:val="es-ES"/>
        </w:rPr>
        <w:t xml:space="preserve"> donde conste </w:t>
      </w:r>
      <w:r w:rsidR="00094A1D">
        <w:rPr>
          <w:rFonts w:ascii="Palatino Linotype" w:eastAsia="Calibri" w:hAnsi="Palatino Linotype" w:cs="Arial"/>
          <w:bCs/>
          <w:sz w:val="24"/>
          <w:lang w:val="es-ES"/>
        </w:rPr>
        <w:t>la siguiente información:</w:t>
      </w:r>
    </w:p>
    <w:p w14:paraId="7065443D" w14:textId="77777777" w:rsidR="0098072E" w:rsidRDefault="0098072E" w:rsidP="00DA2C00">
      <w:pPr>
        <w:pStyle w:val="Sinespaciado"/>
        <w:spacing w:line="360" w:lineRule="auto"/>
        <w:ind w:left="0" w:right="0"/>
        <w:rPr>
          <w:rFonts w:ascii="Palatino Linotype" w:eastAsia="Calibri" w:hAnsi="Palatino Linotype" w:cs="Arial"/>
          <w:bCs/>
          <w:sz w:val="24"/>
          <w:lang w:val="es-ES"/>
        </w:rPr>
      </w:pPr>
    </w:p>
    <w:p w14:paraId="1EE45EFA" w14:textId="77777777" w:rsidR="001640DB" w:rsidRPr="001640DB" w:rsidRDefault="001640DB" w:rsidP="001640DB">
      <w:pPr>
        <w:pStyle w:val="Prrafodelista"/>
        <w:numPr>
          <w:ilvl w:val="0"/>
          <w:numId w:val="44"/>
        </w:numPr>
        <w:spacing w:line="360" w:lineRule="auto"/>
        <w:ind w:left="709"/>
        <w:jc w:val="both"/>
        <w:rPr>
          <w:rFonts w:ascii="Palatino Linotype" w:hAnsi="Palatino Linotype" w:cs="Arial"/>
          <w:b/>
          <w:color w:val="000000" w:themeColor="text1"/>
          <w:sz w:val="24"/>
        </w:rPr>
      </w:pPr>
      <w:r w:rsidRPr="001640DB">
        <w:rPr>
          <w:rFonts w:ascii="Palatino Linotype" w:hAnsi="Palatino Linotype" w:cs="Arial"/>
          <w:b/>
          <w:color w:val="000000" w:themeColor="text1"/>
          <w:sz w:val="24"/>
        </w:rPr>
        <w:t>Presupuesto asignado;</w:t>
      </w:r>
    </w:p>
    <w:p w14:paraId="3A1C5431" w14:textId="77777777" w:rsidR="001640DB" w:rsidRPr="001640DB" w:rsidRDefault="001640DB" w:rsidP="001640DB">
      <w:pPr>
        <w:pStyle w:val="Prrafodelista"/>
        <w:numPr>
          <w:ilvl w:val="0"/>
          <w:numId w:val="44"/>
        </w:numPr>
        <w:spacing w:line="360" w:lineRule="auto"/>
        <w:ind w:left="709"/>
        <w:jc w:val="both"/>
        <w:rPr>
          <w:rFonts w:ascii="Palatino Linotype" w:hAnsi="Palatino Linotype" w:cs="Arial"/>
          <w:b/>
          <w:color w:val="000000" w:themeColor="text1"/>
          <w:sz w:val="24"/>
        </w:rPr>
      </w:pPr>
      <w:r w:rsidRPr="001640DB">
        <w:rPr>
          <w:rFonts w:ascii="Palatino Linotype" w:hAnsi="Palatino Linotype" w:cs="Arial"/>
          <w:b/>
          <w:color w:val="000000" w:themeColor="text1"/>
          <w:sz w:val="24"/>
        </w:rPr>
        <w:lastRenderedPageBreak/>
        <w:t>Partida o partidas presupuestarias;</w:t>
      </w:r>
    </w:p>
    <w:p w14:paraId="6BD6BE8E" w14:textId="77777777" w:rsidR="001640DB" w:rsidRPr="001640DB" w:rsidRDefault="001640DB" w:rsidP="001640DB">
      <w:pPr>
        <w:pStyle w:val="Prrafodelista"/>
        <w:numPr>
          <w:ilvl w:val="0"/>
          <w:numId w:val="44"/>
        </w:numPr>
        <w:spacing w:line="360" w:lineRule="auto"/>
        <w:ind w:left="709"/>
        <w:jc w:val="both"/>
        <w:rPr>
          <w:rFonts w:ascii="Palatino Linotype" w:hAnsi="Palatino Linotype" w:cs="Arial"/>
          <w:b/>
          <w:color w:val="000000" w:themeColor="text1"/>
          <w:sz w:val="24"/>
        </w:rPr>
      </w:pPr>
      <w:r w:rsidRPr="001640DB">
        <w:rPr>
          <w:rFonts w:ascii="Palatino Linotype" w:hAnsi="Palatino Linotype" w:cs="Arial"/>
          <w:b/>
          <w:color w:val="000000" w:themeColor="text1"/>
          <w:sz w:val="24"/>
        </w:rPr>
        <w:t>Gastos materiales;</w:t>
      </w:r>
    </w:p>
    <w:p w14:paraId="285936DD" w14:textId="77777777" w:rsidR="001640DB" w:rsidRPr="001640DB" w:rsidRDefault="001640DB" w:rsidP="001640DB">
      <w:pPr>
        <w:pStyle w:val="Prrafodelista"/>
        <w:numPr>
          <w:ilvl w:val="0"/>
          <w:numId w:val="44"/>
        </w:numPr>
        <w:spacing w:line="360" w:lineRule="auto"/>
        <w:ind w:left="709"/>
        <w:jc w:val="both"/>
        <w:rPr>
          <w:rFonts w:ascii="Palatino Linotype" w:hAnsi="Palatino Linotype" w:cs="Arial"/>
          <w:b/>
          <w:color w:val="000000" w:themeColor="text1"/>
          <w:sz w:val="24"/>
        </w:rPr>
      </w:pPr>
      <w:r w:rsidRPr="001640DB">
        <w:rPr>
          <w:rFonts w:ascii="Palatino Linotype" w:hAnsi="Palatino Linotype" w:cs="Arial"/>
          <w:b/>
          <w:color w:val="000000" w:themeColor="text1"/>
          <w:sz w:val="24"/>
        </w:rPr>
        <w:t>Pago de cada uno de los artistas que intervinieron en dicho evento.</w:t>
      </w:r>
    </w:p>
    <w:p w14:paraId="0E465D13" w14:textId="617349D5" w:rsidR="00DA6383" w:rsidRPr="00DA6383" w:rsidRDefault="00DA6383" w:rsidP="001640DB">
      <w:pPr>
        <w:pStyle w:val="Prrafodelista"/>
        <w:spacing w:line="360" w:lineRule="auto"/>
        <w:ind w:left="851"/>
        <w:jc w:val="both"/>
        <w:rPr>
          <w:rFonts w:ascii="Palatino Linotype" w:hAnsi="Palatino Linotype" w:cs="Arial"/>
          <w:b/>
          <w:color w:val="000000" w:themeColor="text1"/>
          <w:sz w:val="24"/>
        </w:rPr>
      </w:pPr>
    </w:p>
    <w:p w14:paraId="7FF477B7" w14:textId="77777777" w:rsidR="009628E9" w:rsidRDefault="009628E9" w:rsidP="009628E9">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40ED36B" w14:textId="77777777" w:rsidR="0052428C" w:rsidRDefault="0052428C" w:rsidP="009628E9">
      <w:pPr>
        <w:spacing w:line="360" w:lineRule="auto"/>
        <w:jc w:val="both"/>
        <w:rPr>
          <w:rFonts w:ascii="Palatino Linotype" w:eastAsia="Calibri" w:hAnsi="Palatino Linotype" w:cs="Arial"/>
          <w:sz w:val="24"/>
        </w:rPr>
      </w:pPr>
    </w:p>
    <w:p w14:paraId="485B837A" w14:textId="77777777" w:rsidR="00013639"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sz w:val="24"/>
          <w:szCs w:val="24"/>
          <w:lang w:val="es-ES_tradnl"/>
        </w:rPr>
        <w:t xml:space="preserve">TERCERO. </w:t>
      </w:r>
      <w:r w:rsidR="00013639" w:rsidRPr="00013639">
        <w:rPr>
          <w:rFonts w:ascii="Palatino Linotype" w:hAnsi="Palatino Linotype" w:cs="Arial"/>
          <w:b/>
          <w:color w:val="222222"/>
          <w:sz w:val="24"/>
          <w:shd w:val="clear" w:color="auto" w:fill="FFFFFF"/>
        </w:rPr>
        <w:t>NOTIFÍQUESE</w:t>
      </w:r>
      <w:r w:rsidR="00013639" w:rsidRPr="0001363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CB0560">
        <w:rPr>
          <w:rFonts w:ascii="Palatino Linotype" w:hAnsi="Palatino Linotype" w:cs="Arial"/>
          <w:b/>
          <w:color w:val="222222"/>
          <w:sz w:val="24"/>
          <w:shd w:val="clear" w:color="auto" w:fill="FFFFFF"/>
        </w:rPr>
        <w:t>dé cumplimiento a lo ordenado dentro del plazo de diez días hábiles,</w:t>
      </w:r>
      <w:r w:rsidR="00013639" w:rsidRPr="0001363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0D6B7B6C"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lastRenderedPageBreak/>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r w:rsidR="002B0CFC">
        <w:rPr>
          <w:rFonts w:ascii="Palatino Linotype" w:eastAsia="MS Mincho" w:hAnsi="Palatino Linotype"/>
          <w:sz w:val="24"/>
          <w:szCs w:val="24"/>
          <w:lang w:val="es-ES_tradnl"/>
        </w:rPr>
        <w:t>.</w:t>
      </w:r>
    </w:p>
    <w:p w14:paraId="4112A81E" w14:textId="77777777" w:rsidR="00DA2C00" w:rsidRDefault="00DA2C00"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6F6AA94F" w14:textId="77777777" w:rsidR="002B0CFC" w:rsidRPr="002B0CFC" w:rsidRDefault="002B0CFC" w:rsidP="002B0CFC">
      <w:pPr>
        <w:spacing w:line="360" w:lineRule="auto"/>
        <w:jc w:val="both"/>
        <w:rPr>
          <w:rFonts w:ascii="Palatino Linotype" w:eastAsia="Calibri" w:hAnsi="Palatino Linotype" w:cs="Arial"/>
          <w:bCs/>
          <w:sz w:val="24"/>
        </w:rPr>
      </w:pPr>
      <w:r w:rsidRPr="002B0CFC">
        <w:rPr>
          <w:rFonts w:ascii="Palatino Linotype" w:hAnsi="Palatino Linotype" w:cs="Arial"/>
          <w:b/>
          <w:sz w:val="24"/>
        </w:rPr>
        <w:t xml:space="preserve">QUINTO. </w:t>
      </w:r>
      <w:r w:rsidRPr="002B0CFC">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72AA7E1F" w:rsidR="008B3B7F" w:rsidRDefault="002B0CFC" w:rsidP="008B3B7F">
      <w:pPr>
        <w:shd w:val="clear" w:color="auto" w:fill="FFFFFF"/>
        <w:spacing w:before="240" w:after="360" w:line="360" w:lineRule="auto"/>
        <w:jc w:val="both"/>
        <w:rPr>
          <w:rFonts w:ascii="Palatino Linotype" w:eastAsia="MS Mincho" w:hAnsi="Palatino Linotype"/>
          <w:sz w:val="24"/>
          <w:szCs w:val="24"/>
          <w:lang w:val="es-ES"/>
        </w:rPr>
      </w:pPr>
      <w:r>
        <w:rPr>
          <w:rFonts w:ascii="Palatino Linotype" w:eastAsia="MS Mincho" w:hAnsi="Palatino Linotype"/>
          <w:b/>
          <w:sz w:val="24"/>
          <w:szCs w:val="24"/>
          <w:lang w:val="es-ES_tradnl"/>
        </w:rPr>
        <w:t>SEXTO</w:t>
      </w:r>
      <w:r w:rsidR="008B3B7F" w:rsidRPr="0036769D">
        <w:rPr>
          <w:rFonts w:ascii="Palatino Linotype" w:eastAsia="MS Mincho" w:hAnsi="Palatino Linotype"/>
          <w:b/>
          <w:sz w:val="24"/>
          <w:szCs w:val="24"/>
          <w:lang w:val="es-ES_tradnl"/>
        </w:rPr>
        <w:t>.</w:t>
      </w:r>
      <w:r w:rsidR="008B3B7F" w:rsidRPr="0036769D">
        <w:rPr>
          <w:rFonts w:ascii="Palatino Linotype" w:eastAsia="MS Mincho" w:hAnsi="Palatino Linotype"/>
          <w:b/>
          <w:color w:val="000000"/>
          <w:sz w:val="24"/>
          <w:szCs w:val="24"/>
          <w:lang w:val="es-ES_tradnl"/>
        </w:rPr>
        <w:t xml:space="preserve"> </w:t>
      </w:r>
      <w:r w:rsidR="008B3B7F" w:rsidRPr="0036769D">
        <w:rPr>
          <w:rFonts w:ascii="Palatino Linotype" w:eastAsia="MS Mincho" w:hAnsi="Palatino Linotype"/>
          <w:sz w:val="24"/>
          <w:szCs w:val="24"/>
          <w:lang w:val="es-ES"/>
        </w:rPr>
        <w:t xml:space="preserve">Se hace del conocimiento de </w:t>
      </w:r>
      <w:r w:rsidR="008B3B7F" w:rsidRPr="0036769D">
        <w:rPr>
          <w:rFonts w:ascii="Palatino Linotype" w:hAnsi="Palatino Linotype"/>
          <w:b/>
          <w:sz w:val="24"/>
          <w:szCs w:val="24"/>
        </w:rPr>
        <w:t>RECURRENTE</w:t>
      </w:r>
      <w:r w:rsidR="008B3B7F" w:rsidRPr="0036769D">
        <w:rPr>
          <w:rFonts w:ascii="Palatino Linotype" w:hAnsi="Palatino Linotype"/>
          <w:sz w:val="24"/>
          <w:szCs w:val="24"/>
        </w:rPr>
        <w:t xml:space="preserve"> </w:t>
      </w:r>
      <w:r w:rsidR="008B3B7F"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36769D">
        <w:rPr>
          <w:rFonts w:ascii="Palatino Linotype" w:hAnsi="Palatino Linotype"/>
          <w:color w:val="000000"/>
          <w:sz w:val="24"/>
          <w:szCs w:val="24"/>
        </w:rPr>
        <w:t xml:space="preserve">en caso de que considere que la resolución le cause algún perjuicio podrá impugnarla vía </w:t>
      </w:r>
      <w:r w:rsidR="008B3B7F" w:rsidRPr="0036769D">
        <w:rPr>
          <w:rFonts w:ascii="Palatino Linotype" w:eastAsia="MS Mincho" w:hAnsi="Palatino Linotype"/>
          <w:bCs/>
          <w:sz w:val="24"/>
          <w:szCs w:val="24"/>
          <w:lang w:val="es-ES"/>
        </w:rPr>
        <w:t>juicio de amparo</w:t>
      </w:r>
      <w:r w:rsidR="008B3B7F" w:rsidRPr="0036769D">
        <w:rPr>
          <w:rFonts w:ascii="Palatino Linotype" w:eastAsia="MS Mincho" w:hAnsi="Palatino Linotype"/>
          <w:sz w:val="24"/>
          <w:szCs w:val="24"/>
          <w:lang w:val="es-ES"/>
        </w:rPr>
        <w:t> en los términos de las leyes aplicables.</w:t>
      </w:r>
    </w:p>
    <w:p w14:paraId="012C2731" w14:textId="77777777" w:rsidR="00176213" w:rsidRPr="00176213" w:rsidRDefault="00176213" w:rsidP="00176213">
      <w:pPr>
        <w:spacing w:before="240" w:after="240" w:line="360" w:lineRule="auto"/>
        <w:ind w:firstLine="1"/>
        <w:jc w:val="both"/>
        <w:rPr>
          <w:rFonts w:ascii="Palatino Linotype" w:hAnsi="Palatino Linotype"/>
          <w:smallCaps/>
          <w:sz w:val="24"/>
        </w:rPr>
      </w:pPr>
      <w:bookmarkStart w:id="42" w:name="_GoBack"/>
      <w:r w:rsidRPr="00176213">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TRIGÉSIMA NOVENA SESIÓN ORDINARIA CELEBRADA EL UNO (01) DE NOVIEMBRE DE DOS MIL VEINTITRÉS, ANTE EL SECRETARIO TÉCNICO DEL PLENO ALEXIS TAPIA RAMÍREZ. </w:t>
      </w:r>
    </w:p>
    <w:bookmarkEnd w:id="42"/>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7FAC8" w14:textId="77777777" w:rsidR="000D2FB4" w:rsidRDefault="000D2FB4">
      <w:r>
        <w:separator/>
      </w:r>
    </w:p>
  </w:endnote>
  <w:endnote w:type="continuationSeparator" w:id="0">
    <w:p w14:paraId="77971069" w14:textId="77777777" w:rsidR="000D2FB4" w:rsidRDefault="000D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45776" w:rsidRDefault="00245776">
            <w:pPr>
              <w:pStyle w:val="Piedepgina"/>
              <w:jc w:val="right"/>
            </w:pPr>
          </w:p>
          <w:p w14:paraId="1F7A191C" w14:textId="2A69F491" w:rsidR="00245776" w:rsidRDefault="002457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6213">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6213">
              <w:rPr>
                <w:b/>
                <w:bCs/>
                <w:noProof/>
              </w:rPr>
              <w:t>47</w:t>
            </w:r>
            <w:r>
              <w:rPr>
                <w:b/>
                <w:bCs/>
                <w:sz w:val="24"/>
                <w:szCs w:val="24"/>
              </w:rPr>
              <w:fldChar w:fldCharType="end"/>
            </w:r>
          </w:p>
        </w:sdtContent>
      </w:sdt>
    </w:sdtContent>
  </w:sdt>
  <w:p w14:paraId="2A221972" w14:textId="77777777" w:rsidR="00245776" w:rsidRDefault="00245776">
    <w:pPr>
      <w:pStyle w:val="Piedepgina"/>
    </w:pPr>
  </w:p>
  <w:p w14:paraId="1D6FF208" w14:textId="77777777" w:rsidR="00245776" w:rsidRDefault="00245776"/>
  <w:p w14:paraId="70055CD7" w14:textId="77777777" w:rsidR="00245776" w:rsidRDefault="00245776"/>
  <w:p w14:paraId="5452645F" w14:textId="77777777" w:rsidR="00245776" w:rsidRDefault="002457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45776" w:rsidRDefault="002457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62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6213">
              <w:rPr>
                <w:b/>
                <w:bCs/>
                <w:noProof/>
              </w:rPr>
              <w:t>47</w:t>
            </w:r>
            <w:r>
              <w:rPr>
                <w:b/>
                <w:bCs/>
                <w:sz w:val="24"/>
                <w:szCs w:val="24"/>
              </w:rPr>
              <w:fldChar w:fldCharType="end"/>
            </w:r>
          </w:p>
        </w:sdtContent>
      </w:sdt>
    </w:sdtContent>
  </w:sdt>
  <w:p w14:paraId="2D12AEB2" w14:textId="77777777" w:rsidR="00245776" w:rsidRDefault="00245776">
    <w:pPr>
      <w:pStyle w:val="Piedepgina"/>
    </w:pPr>
  </w:p>
  <w:p w14:paraId="54227169" w14:textId="77777777" w:rsidR="00245776" w:rsidRDefault="00245776"/>
  <w:p w14:paraId="7DE40FB1" w14:textId="77777777" w:rsidR="00245776" w:rsidRDefault="00245776"/>
  <w:p w14:paraId="33755E87" w14:textId="77777777" w:rsidR="00245776" w:rsidRDefault="002457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050CE" w14:textId="77777777" w:rsidR="000D2FB4" w:rsidRDefault="000D2FB4">
      <w:r>
        <w:separator/>
      </w:r>
    </w:p>
  </w:footnote>
  <w:footnote w:type="continuationSeparator" w:id="0">
    <w:p w14:paraId="77B7F373" w14:textId="77777777" w:rsidR="000D2FB4" w:rsidRDefault="000D2FB4">
      <w:r>
        <w:continuationSeparator/>
      </w:r>
    </w:p>
  </w:footnote>
  <w:footnote w:id="1">
    <w:p w14:paraId="625BCC19" w14:textId="77777777" w:rsidR="00245776" w:rsidRDefault="00245776" w:rsidP="00030C87">
      <w:pPr>
        <w:pStyle w:val="Textonotapie"/>
      </w:pPr>
      <w:r>
        <w:rPr>
          <w:rStyle w:val="Refdenotaalpie"/>
        </w:rPr>
        <w:footnoteRef/>
      </w:r>
      <w:r>
        <w:t xml:space="preserve"> Convención Americana sobre Derechos Humanos. Artículo 13.</w:t>
      </w:r>
    </w:p>
  </w:footnote>
  <w:footnote w:id="2">
    <w:p w14:paraId="76B1CB8C" w14:textId="77777777" w:rsidR="00245776" w:rsidRDefault="00245776"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245776" w:rsidRDefault="00245776"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245776" w:rsidRDefault="00245776" w:rsidP="00030C87">
      <w:pPr>
        <w:pStyle w:val="Textonotapie"/>
      </w:pPr>
      <w:r>
        <w:rPr>
          <w:rStyle w:val="Refdenotaalpie"/>
        </w:rPr>
        <w:footnoteRef/>
      </w:r>
      <w:r>
        <w:t xml:space="preserve"> Ibídem. Parr. 87.</w:t>
      </w:r>
    </w:p>
  </w:footnote>
  <w:footnote w:id="5">
    <w:p w14:paraId="0F88C173" w14:textId="77777777" w:rsidR="00245776" w:rsidRDefault="00245776"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245776" w:rsidRDefault="00245776" w:rsidP="00030C87">
      <w:pPr>
        <w:pStyle w:val="Textonotapie"/>
      </w:pPr>
      <w:r>
        <w:t>II. Eficacia: Obligación del Instituto para tutelar, de manera efectiva, el derecho de acceso a la información;</w:t>
      </w:r>
    </w:p>
    <w:p w14:paraId="0DC8B13D" w14:textId="77777777" w:rsidR="00245776" w:rsidRDefault="00245776" w:rsidP="00030C87">
      <w:pPr>
        <w:pStyle w:val="Textonotapie"/>
      </w:pPr>
      <w:r>
        <w:t xml:space="preserve">… </w:t>
      </w:r>
    </w:p>
  </w:footnote>
  <w:footnote w:id="6">
    <w:p w14:paraId="5A2C2A72" w14:textId="77777777" w:rsidR="009543FF" w:rsidRDefault="009543FF" w:rsidP="009543F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B652BDB" w14:textId="77777777" w:rsidR="009543FF" w:rsidRPr="00266430" w:rsidRDefault="009543FF" w:rsidP="009543FF">
      <w:pPr>
        <w:pStyle w:val="Textonotapie"/>
        <w:jc w:val="both"/>
      </w:pPr>
      <w:r w:rsidRPr="00266430">
        <w:t xml:space="preserve">1a./J. 2/2012 (9a.). Primera Sala. Décima Época. Semanario Judicial de la Federación y su Gaceta. Libro V, Febrero de 2012, Pág. 533.  </w:t>
      </w:r>
    </w:p>
  </w:footnote>
  <w:footnote w:id="7">
    <w:p w14:paraId="23506599" w14:textId="77777777" w:rsidR="009543FF" w:rsidRPr="00A870EF" w:rsidRDefault="009543FF" w:rsidP="009543F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5E566DEE" w14:textId="77777777" w:rsidR="009543FF" w:rsidRPr="0037004E" w:rsidRDefault="009543FF" w:rsidP="009543FF">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4C42B03" w14:textId="77777777" w:rsidR="009543FF" w:rsidRDefault="009543FF" w:rsidP="009543F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45776" w:rsidRDefault="000D2FB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45776" w:rsidRDefault="00245776"/>
  <w:p w14:paraId="77B719CE" w14:textId="77777777" w:rsidR="00245776" w:rsidRDefault="00245776"/>
  <w:p w14:paraId="50A3AAAA" w14:textId="77777777" w:rsidR="00245776" w:rsidRDefault="002457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45776" w14:paraId="6255E3A4" w14:textId="77777777" w:rsidTr="00814079">
      <w:trPr>
        <w:trHeight w:val="1435"/>
      </w:trPr>
      <w:tc>
        <w:tcPr>
          <w:tcW w:w="1843" w:type="dxa"/>
          <w:shd w:val="clear" w:color="auto" w:fill="auto"/>
        </w:tcPr>
        <w:p w14:paraId="3E05202F" w14:textId="4A7C9DF8" w:rsidR="00245776" w:rsidRDefault="0024577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45776" w:rsidRDefault="00245776"/>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245776" w14:paraId="727F90BF" w14:textId="77777777" w:rsidTr="007441D8">
            <w:trPr>
              <w:trHeight w:val="338"/>
            </w:trPr>
            <w:tc>
              <w:tcPr>
                <w:tcW w:w="2551" w:type="dxa"/>
              </w:tcPr>
              <w:p w14:paraId="410A3741" w14:textId="535C9D39" w:rsidR="00245776" w:rsidRDefault="0024577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2400A887" w:rsidR="00245776" w:rsidRPr="001A6380" w:rsidRDefault="00245776" w:rsidP="001A6380">
                <w:pPr>
                  <w:tabs>
                    <w:tab w:val="right" w:pos="8838"/>
                  </w:tabs>
                  <w:ind w:right="-105" w:hanging="101"/>
                  <w:rPr>
                    <w:rFonts w:ascii="Palatino Linotype" w:eastAsia="Calibri" w:hAnsi="Palatino Linotype" w:cs="Tahoma"/>
                    <w:bCs/>
                    <w:sz w:val="22"/>
                    <w:szCs w:val="22"/>
                    <w:lang w:eastAsia="en-US"/>
                  </w:rPr>
                </w:pPr>
                <w:r w:rsidRPr="001A6380">
                  <w:rPr>
                    <w:rFonts w:ascii="Palatino Linotype" w:eastAsia="Calibri" w:hAnsi="Palatino Linotype" w:cs="Tahoma"/>
                    <w:sz w:val="22"/>
                    <w:szCs w:val="22"/>
                    <w:lang w:eastAsia="en-US"/>
                  </w:rPr>
                  <w:t>00098/INFOEM/IP/RR/2023</w:t>
                </w:r>
              </w:p>
            </w:tc>
          </w:tr>
          <w:tr w:rsidR="00245776" w14:paraId="1389436A" w14:textId="128385F2" w:rsidTr="007441D8">
            <w:trPr>
              <w:trHeight w:val="283"/>
            </w:trPr>
            <w:tc>
              <w:tcPr>
                <w:tcW w:w="2551" w:type="dxa"/>
              </w:tcPr>
              <w:p w14:paraId="22E0F4E9" w14:textId="77777777" w:rsidR="00245776" w:rsidRDefault="00245776">
                <w:pPr>
                  <w:tabs>
                    <w:tab w:val="right" w:pos="8838"/>
                  </w:tabs>
                  <w:ind w:right="-105"/>
                  <w:rPr>
                    <w:rFonts w:ascii="Palatino Linotype" w:eastAsia="Calibri" w:hAnsi="Palatino Linotype" w:cs="Tahoma"/>
                    <w:b/>
                    <w:sz w:val="22"/>
                    <w:szCs w:val="22"/>
                    <w:lang w:eastAsia="en-US"/>
                  </w:rPr>
                </w:pPr>
                <w:bookmarkStart w:id="43" w:name="_Hlk33010189"/>
                <w:r>
                  <w:rPr>
                    <w:rFonts w:ascii="Palatino Linotype" w:eastAsia="Calibri" w:hAnsi="Palatino Linotype" w:cs="Tahoma"/>
                    <w:b/>
                    <w:sz w:val="22"/>
                    <w:szCs w:val="22"/>
                    <w:lang w:eastAsia="en-US"/>
                  </w:rPr>
                  <w:t>Sujeto Obligado:</w:t>
                </w:r>
              </w:p>
            </w:tc>
            <w:tc>
              <w:tcPr>
                <w:tcW w:w="2977" w:type="dxa"/>
              </w:tcPr>
              <w:p w14:paraId="2B205C7F" w14:textId="226FFEFD" w:rsidR="00245776" w:rsidRPr="001A6380" w:rsidRDefault="00245776" w:rsidP="001A6380">
                <w:pPr>
                  <w:tabs>
                    <w:tab w:val="left" w:pos="2834"/>
                    <w:tab w:val="right" w:pos="8838"/>
                  </w:tabs>
                  <w:ind w:left="-113" w:right="-107"/>
                  <w:rPr>
                    <w:rFonts w:ascii="Palatino Linotype" w:eastAsia="Calibri" w:hAnsi="Palatino Linotype" w:cs="Tahoma"/>
                    <w:sz w:val="22"/>
                    <w:szCs w:val="22"/>
                    <w:lang w:eastAsia="en-US"/>
                  </w:rPr>
                </w:pPr>
                <w:r w:rsidRPr="001A6380">
                  <w:rPr>
                    <w:rFonts w:ascii="Palatino Linotype" w:eastAsia="Calibri" w:hAnsi="Palatino Linotype" w:cs="Arial"/>
                    <w:bCs/>
                    <w:sz w:val="22"/>
                    <w:szCs w:val="22"/>
                  </w:rPr>
                  <w:t>Ayuntamiento de Nextlalpan</w:t>
                </w:r>
              </w:p>
            </w:tc>
          </w:tr>
          <w:bookmarkEnd w:id="43"/>
          <w:tr w:rsidR="00245776" w14:paraId="28CCE4E5" w14:textId="77777777" w:rsidTr="007441D8">
            <w:trPr>
              <w:trHeight w:val="283"/>
            </w:trPr>
            <w:tc>
              <w:tcPr>
                <w:tcW w:w="2551" w:type="dxa"/>
              </w:tcPr>
              <w:p w14:paraId="13EBF3BB" w14:textId="6E4ECE4B" w:rsidR="00245776" w:rsidRDefault="0024577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245776" w:rsidRPr="001A6380" w:rsidRDefault="00245776" w:rsidP="001A6380">
                <w:pPr>
                  <w:tabs>
                    <w:tab w:val="right" w:pos="8838"/>
                  </w:tabs>
                  <w:ind w:left="-113" w:right="-105"/>
                  <w:rPr>
                    <w:rFonts w:ascii="Palatino Linotype" w:eastAsia="Calibri" w:hAnsi="Palatino Linotype" w:cs="Tahoma"/>
                    <w:b/>
                    <w:sz w:val="22"/>
                    <w:szCs w:val="22"/>
                    <w:lang w:eastAsia="en-US"/>
                  </w:rPr>
                </w:pPr>
                <w:r w:rsidRPr="001A6380">
                  <w:rPr>
                    <w:rFonts w:ascii="Palatino Linotype" w:eastAsia="Calibri" w:hAnsi="Palatino Linotype" w:cs="Tahoma"/>
                    <w:sz w:val="22"/>
                    <w:szCs w:val="22"/>
                    <w:lang w:eastAsia="en-US"/>
                  </w:rPr>
                  <w:t>María del Rosario Mejía Ayala</w:t>
                </w:r>
              </w:p>
            </w:tc>
          </w:tr>
        </w:tbl>
        <w:p w14:paraId="5775EEC5" w14:textId="77777777" w:rsidR="00245776" w:rsidRDefault="00245776">
          <w:pPr>
            <w:tabs>
              <w:tab w:val="right" w:pos="8838"/>
            </w:tabs>
            <w:ind w:left="-28"/>
            <w:jc w:val="both"/>
            <w:rPr>
              <w:rFonts w:ascii="Arial" w:eastAsia="Calibri" w:hAnsi="Arial" w:cs="Arial"/>
              <w:b/>
              <w:sz w:val="22"/>
              <w:szCs w:val="22"/>
              <w:lang w:eastAsia="en-US"/>
            </w:rPr>
          </w:pPr>
        </w:p>
      </w:tc>
    </w:tr>
  </w:tbl>
  <w:p w14:paraId="07EF2D29" w14:textId="1620A8B4" w:rsidR="00245776" w:rsidRDefault="000D2FB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45776" w:rsidRDefault="00245776"/>
  <w:p w14:paraId="104386EF" w14:textId="77777777" w:rsidR="00245776" w:rsidRDefault="00245776"/>
  <w:p w14:paraId="60A3E393" w14:textId="77777777" w:rsidR="00245776" w:rsidRDefault="0024577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45776" w14:paraId="61517A1D" w14:textId="77777777" w:rsidTr="003A6126">
      <w:trPr>
        <w:trHeight w:val="1435"/>
      </w:trPr>
      <w:tc>
        <w:tcPr>
          <w:tcW w:w="1560" w:type="dxa"/>
          <w:shd w:val="clear" w:color="auto" w:fill="auto"/>
        </w:tcPr>
        <w:p w14:paraId="4B74E846" w14:textId="1E0D62B9" w:rsidR="00245776" w:rsidRDefault="0024577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245776" w:rsidRPr="001A6380" w14:paraId="7F59E1EF" w14:textId="77777777" w:rsidTr="007441D8">
            <w:trPr>
              <w:trHeight w:val="144"/>
            </w:trPr>
            <w:tc>
              <w:tcPr>
                <w:tcW w:w="2444" w:type="dxa"/>
              </w:tcPr>
              <w:p w14:paraId="5EFF942E" w14:textId="77777777" w:rsidR="00245776" w:rsidRPr="001A6380" w:rsidRDefault="00245776" w:rsidP="000D485D">
                <w:pPr>
                  <w:tabs>
                    <w:tab w:val="right" w:pos="8838"/>
                  </w:tabs>
                  <w:ind w:left="-74" w:right="-105"/>
                  <w:rPr>
                    <w:rFonts w:ascii="Palatino Linotype" w:eastAsia="Calibri" w:hAnsi="Palatino Linotype" w:cs="Tahoma"/>
                    <w:b/>
                    <w:sz w:val="22"/>
                    <w:szCs w:val="22"/>
                    <w:lang w:eastAsia="en-US"/>
                  </w:rPr>
                </w:pPr>
                <w:bookmarkStart w:id="44" w:name="_Hlk12526980"/>
                <w:r w:rsidRPr="001A6380">
                  <w:rPr>
                    <w:rFonts w:ascii="Palatino Linotype" w:eastAsia="Calibri" w:hAnsi="Palatino Linotype" w:cs="Tahoma"/>
                    <w:b/>
                    <w:sz w:val="22"/>
                    <w:szCs w:val="22"/>
                    <w:lang w:eastAsia="en-US"/>
                  </w:rPr>
                  <w:t>Recurso de Revisión:</w:t>
                </w:r>
              </w:p>
            </w:tc>
            <w:tc>
              <w:tcPr>
                <w:tcW w:w="3084" w:type="dxa"/>
              </w:tcPr>
              <w:p w14:paraId="0DE47EE2" w14:textId="3E226E00" w:rsidR="00245776" w:rsidRPr="001A6380" w:rsidRDefault="00245776" w:rsidP="001A6380">
                <w:pPr>
                  <w:tabs>
                    <w:tab w:val="right" w:pos="8838"/>
                  </w:tabs>
                  <w:ind w:left="-3" w:right="-105"/>
                  <w:rPr>
                    <w:rFonts w:ascii="Palatino Linotype" w:eastAsia="Calibri" w:hAnsi="Palatino Linotype" w:cs="Tahoma"/>
                    <w:sz w:val="22"/>
                    <w:szCs w:val="22"/>
                    <w:lang w:eastAsia="en-US"/>
                  </w:rPr>
                </w:pPr>
                <w:r w:rsidRPr="001A6380">
                  <w:rPr>
                    <w:rFonts w:ascii="Palatino Linotype" w:eastAsia="Calibri" w:hAnsi="Palatino Linotype" w:cs="Tahoma"/>
                    <w:sz w:val="22"/>
                    <w:szCs w:val="22"/>
                    <w:lang w:eastAsia="en-US"/>
                  </w:rPr>
                  <w:t xml:space="preserve">00098/INFOEM/IP/RR/2023 </w:t>
                </w:r>
              </w:p>
            </w:tc>
            <w:tc>
              <w:tcPr>
                <w:tcW w:w="3402" w:type="dxa"/>
              </w:tcPr>
              <w:p w14:paraId="11E4533C" w14:textId="3B21362A" w:rsidR="00245776" w:rsidRPr="001A6380" w:rsidRDefault="00245776">
                <w:pPr>
                  <w:tabs>
                    <w:tab w:val="right" w:pos="8838"/>
                  </w:tabs>
                  <w:ind w:left="-74" w:right="-105"/>
                  <w:jc w:val="both"/>
                  <w:rPr>
                    <w:rFonts w:ascii="Palatino Linotype" w:eastAsia="Calibri" w:hAnsi="Palatino Linotype" w:cs="Tahoma"/>
                    <w:bCs/>
                    <w:sz w:val="22"/>
                    <w:szCs w:val="22"/>
                    <w:lang w:eastAsia="en-US"/>
                  </w:rPr>
                </w:pPr>
              </w:p>
            </w:tc>
          </w:tr>
          <w:tr w:rsidR="00245776" w:rsidRPr="001A6380" w14:paraId="3FC4FA7D" w14:textId="77777777" w:rsidTr="007441D8">
            <w:trPr>
              <w:trHeight w:val="144"/>
            </w:trPr>
            <w:tc>
              <w:tcPr>
                <w:tcW w:w="2444" w:type="dxa"/>
              </w:tcPr>
              <w:p w14:paraId="363D966B" w14:textId="77777777" w:rsidR="00245776" w:rsidRPr="001A6380" w:rsidRDefault="00245776" w:rsidP="000D485D">
                <w:pPr>
                  <w:tabs>
                    <w:tab w:val="right" w:pos="8838"/>
                  </w:tabs>
                  <w:ind w:left="-74" w:right="-105"/>
                  <w:rPr>
                    <w:rFonts w:ascii="Palatino Linotype" w:eastAsia="Calibri" w:hAnsi="Palatino Linotype" w:cs="Tahoma"/>
                    <w:b/>
                    <w:sz w:val="22"/>
                    <w:szCs w:val="22"/>
                    <w:lang w:eastAsia="en-US"/>
                  </w:rPr>
                </w:pPr>
                <w:bookmarkStart w:id="45" w:name="_Hlk10641523"/>
                <w:bookmarkEnd w:id="44"/>
                <w:r w:rsidRPr="001A6380">
                  <w:rPr>
                    <w:rFonts w:ascii="Palatino Linotype" w:eastAsia="Calibri" w:hAnsi="Palatino Linotype" w:cs="Tahoma"/>
                    <w:b/>
                    <w:sz w:val="22"/>
                    <w:szCs w:val="22"/>
                    <w:lang w:eastAsia="en-US"/>
                  </w:rPr>
                  <w:t>Recurrente:</w:t>
                </w:r>
              </w:p>
            </w:tc>
            <w:tc>
              <w:tcPr>
                <w:tcW w:w="3084" w:type="dxa"/>
              </w:tcPr>
              <w:p w14:paraId="73C065CD" w14:textId="3678CFAA" w:rsidR="00245776" w:rsidRPr="001A6380" w:rsidRDefault="00245776" w:rsidP="001A6380">
                <w:pPr>
                  <w:tabs>
                    <w:tab w:val="left" w:pos="3122"/>
                    <w:tab w:val="right" w:pos="8838"/>
                  </w:tabs>
                  <w:ind w:right="745"/>
                  <w:rPr>
                    <w:rFonts w:ascii="Palatino Linotype" w:eastAsia="Calibri" w:hAnsi="Palatino Linotype" w:cs="Tahoma"/>
                    <w:sz w:val="22"/>
                    <w:szCs w:val="22"/>
                    <w:lang w:eastAsia="en-US"/>
                  </w:rPr>
                </w:pPr>
              </w:p>
            </w:tc>
            <w:tc>
              <w:tcPr>
                <w:tcW w:w="3402" w:type="dxa"/>
              </w:tcPr>
              <w:p w14:paraId="370E6EFF" w14:textId="4050217D" w:rsidR="00245776" w:rsidRPr="001A6380" w:rsidRDefault="00245776" w:rsidP="003037E1">
                <w:pPr>
                  <w:tabs>
                    <w:tab w:val="left" w:pos="3122"/>
                    <w:tab w:val="right" w:pos="8838"/>
                  </w:tabs>
                  <w:ind w:right="-105"/>
                  <w:jc w:val="both"/>
                  <w:rPr>
                    <w:rFonts w:ascii="Palatino Linotype" w:eastAsia="Calibri" w:hAnsi="Palatino Linotype" w:cs="Tahoma"/>
                    <w:sz w:val="22"/>
                    <w:szCs w:val="22"/>
                    <w:lang w:eastAsia="en-US"/>
                  </w:rPr>
                </w:pPr>
              </w:p>
            </w:tc>
          </w:tr>
          <w:bookmarkEnd w:id="45"/>
          <w:tr w:rsidR="00245776" w:rsidRPr="001A6380" w14:paraId="4D832A43" w14:textId="77777777" w:rsidTr="007441D8">
            <w:trPr>
              <w:trHeight w:val="283"/>
            </w:trPr>
            <w:tc>
              <w:tcPr>
                <w:tcW w:w="2444" w:type="dxa"/>
              </w:tcPr>
              <w:p w14:paraId="02CA5CB0" w14:textId="77777777" w:rsidR="00245776" w:rsidRPr="001A6380" w:rsidRDefault="00245776" w:rsidP="000D485D">
                <w:pPr>
                  <w:tabs>
                    <w:tab w:val="right" w:pos="8838"/>
                  </w:tabs>
                  <w:ind w:left="-74" w:right="-105"/>
                  <w:rPr>
                    <w:rFonts w:ascii="Palatino Linotype" w:eastAsia="Calibri" w:hAnsi="Palatino Linotype" w:cs="Tahoma"/>
                    <w:b/>
                    <w:sz w:val="22"/>
                    <w:szCs w:val="22"/>
                    <w:lang w:eastAsia="en-US"/>
                  </w:rPr>
                </w:pPr>
                <w:r w:rsidRPr="001A6380">
                  <w:rPr>
                    <w:rFonts w:ascii="Palatino Linotype" w:eastAsia="Calibri" w:hAnsi="Palatino Linotype" w:cs="Tahoma"/>
                    <w:b/>
                    <w:sz w:val="22"/>
                    <w:szCs w:val="22"/>
                    <w:lang w:eastAsia="en-US"/>
                  </w:rPr>
                  <w:t>Sujeto Obligado:</w:t>
                </w:r>
              </w:p>
            </w:tc>
            <w:tc>
              <w:tcPr>
                <w:tcW w:w="3084" w:type="dxa"/>
              </w:tcPr>
              <w:p w14:paraId="28528629" w14:textId="5EFAF8B4" w:rsidR="00245776" w:rsidRPr="001A6380" w:rsidRDefault="00245776" w:rsidP="001A6380">
                <w:pPr>
                  <w:tabs>
                    <w:tab w:val="left" w:pos="2834"/>
                    <w:tab w:val="right" w:pos="8838"/>
                  </w:tabs>
                  <w:ind w:left="-3" w:right="-105"/>
                  <w:rPr>
                    <w:rFonts w:ascii="Palatino Linotype" w:eastAsia="Calibri" w:hAnsi="Palatino Linotype" w:cs="Tahoma"/>
                    <w:sz w:val="22"/>
                    <w:szCs w:val="22"/>
                    <w:lang w:eastAsia="en-US"/>
                  </w:rPr>
                </w:pPr>
                <w:r w:rsidRPr="001A6380">
                  <w:rPr>
                    <w:rFonts w:ascii="Palatino Linotype" w:eastAsia="Calibri" w:hAnsi="Palatino Linotype" w:cs="Arial"/>
                    <w:bCs/>
                    <w:sz w:val="22"/>
                    <w:szCs w:val="22"/>
                  </w:rPr>
                  <w:t>Ayuntamiento de Nextlalpan</w:t>
                </w:r>
              </w:p>
            </w:tc>
            <w:tc>
              <w:tcPr>
                <w:tcW w:w="3402" w:type="dxa"/>
              </w:tcPr>
              <w:p w14:paraId="00F18B8C" w14:textId="77777777" w:rsidR="00245776" w:rsidRPr="001A6380" w:rsidRDefault="00245776">
                <w:pPr>
                  <w:tabs>
                    <w:tab w:val="left" w:pos="2834"/>
                    <w:tab w:val="right" w:pos="8838"/>
                  </w:tabs>
                  <w:ind w:left="-74" w:right="-105"/>
                  <w:jc w:val="both"/>
                  <w:rPr>
                    <w:rFonts w:ascii="Palatino Linotype" w:eastAsia="Calibri" w:hAnsi="Palatino Linotype" w:cs="Tahoma"/>
                    <w:sz w:val="22"/>
                    <w:szCs w:val="22"/>
                    <w:lang w:eastAsia="en-US"/>
                  </w:rPr>
                </w:pPr>
              </w:p>
            </w:tc>
          </w:tr>
          <w:tr w:rsidR="00245776" w:rsidRPr="001A6380" w14:paraId="7BC74D7A" w14:textId="77777777" w:rsidTr="007441D8">
            <w:trPr>
              <w:trHeight w:val="283"/>
            </w:trPr>
            <w:tc>
              <w:tcPr>
                <w:tcW w:w="2444" w:type="dxa"/>
              </w:tcPr>
              <w:p w14:paraId="3BF93338" w14:textId="01E84F2D" w:rsidR="00245776" w:rsidRPr="001A6380" w:rsidRDefault="00245776" w:rsidP="000D485D">
                <w:pPr>
                  <w:tabs>
                    <w:tab w:val="right" w:pos="8838"/>
                  </w:tabs>
                  <w:ind w:left="-74" w:right="-105"/>
                  <w:rPr>
                    <w:rFonts w:ascii="Palatino Linotype" w:eastAsia="Calibri" w:hAnsi="Palatino Linotype" w:cs="Tahoma"/>
                    <w:b/>
                    <w:sz w:val="22"/>
                    <w:szCs w:val="22"/>
                    <w:lang w:eastAsia="en-US"/>
                  </w:rPr>
                </w:pPr>
                <w:r w:rsidRPr="001A6380">
                  <w:rPr>
                    <w:rFonts w:ascii="Palatino Linotype" w:eastAsia="Calibri" w:hAnsi="Palatino Linotype" w:cs="Tahoma"/>
                    <w:b/>
                    <w:sz w:val="22"/>
                    <w:szCs w:val="22"/>
                    <w:lang w:eastAsia="en-US"/>
                  </w:rPr>
                  <w:t>Comisionada Ponente:</w:t>
                </w:r>
              </w:p>
            </w:tc>
            <w:tc>
              <w:tcPr>
                <w:tcW w:w="3084" w:type="dxa"/>
              </w:tcPr>
              <w:p w14:paraId="3589422E" w14:textId="64278750" w:rsidR="00245776" w:rsidRPr="001A6380" w:rsidRDefault="00245776" w:rsidP="001A6380">
                <w:pPr>
                  <w:tabs>
                    <w:tab w:val="right" w:pos="8838"/>
                  </w:tabs>
                  <w:ind w:left="-3" w:right="-105"/>
                  <w:rPr>
                    <w:rFonts w:ascii="Palatino Linotype" w:eastAsia="Calibri" w:hAnsi="Palatino Linotype" w:cs="Tahoma"/>
                    <w:sz w:val="22"/>
                    <w:szCs w:val="22"/>
                    <w:lang w:eastAsia="en-US"/>
                  </w:rPr>
                </w:pPr>
                <w:r w:rsidRPr="001A6380">
                  <w:rPr>
                    <w:rFonts w:ascii="Palatino Linotype" w:eastAsia="Calibri" w:hAnsi="Palatino Linotype" w:cs="Tahoma"/>
                    <w:sz w:val="22"/>
                    <w:szCs w:val="22"/>
                    <w:lang w:eastAsia="en-US"/>
                  </w:rPr>
                  <w:t>María del Rosario Mejía Ayala</w:t>
                </w:r>
              </w:p>
            </w:tc>
            <w:tc>
              <w:tcPr>
                <w:tcW w:w="3402" w:type="dxa"/>
              </w:tcPr>
              <w:p w14:paraId="6DBCB70D" w14:textId="77777777" w:rsidR="00245776" w:rsidRPr="001A6380" w:rsidRDefault="00245776">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45776" w:rsidRDefault="00245776">
          <w:pPr>
            <w:tabs>
              <w:tab w:val="right" w:pos="8838"/>
            </w:tabs>
            <w:ind w:left="-28"/>
            <w:jc w:val="both"/>
            <w:rPr>
              <w:rFonts w:ascii="Arial" w:eastAsia="Calibri" w:hAnsi="Arial" w:cs="Arial"/>
              <w:b/>
              <w:sz w:val="22"/>
              <w:szCs w:val="22"/>
              <w:lang w:eastAsia="en-US"/>
            </w:rPr>
          </w:pPr>
        </w:p>
      </w:tc>
    </w:tr>
  </w:tbl>
  <w:p w14:paraId="5F654A99" w14:textId="6CB7D4AE" w:rsidR="00245776" w:rsidRDefault="000D2FB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9.1pt;margin-top:-167.8pt;width:663.5pt;height:12in;z-index:-251658240;mso-position-horizontal-relative:margin;mso-position-vertical-relative:margin" o:allowincell="f">
          <v:imagedata r:id="rId1" o:title="marcaaguaINFOEM"/>
          <w10:wrap anchorx="margin" anchory="margin"/>
        </v:shape>
      </w:pict>
    </w:r>
  </w:p>
  <w:p w14:paraId="673BC59D" w14:textId="77777777" w:rsidR="00245776" w:rsidRDefault="00245776"/>
  <w:p w14:paraId="69AC6122" w14:textId="77777777" w:rsidR="00245776" w:rsidRDefault="002457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434359"/>
    <w:multiLevelType w:val="hybridMultilevel"/>
    <w:tmpl w:val="E2E4EE5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9FB4D32"/>
    <w:multiLevelType w:val="hybridMultilevel"/>
    <w:tmpl w:val="3D4844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F1A3589"/>
    <w:multiLevelType w:val="hybridMultilevel"/>
    <w:tmpl w:val="D6C0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nsid w:val="64B375BB"/>
    <w:multiLevelType w:val="hybridMultilevel"/>
    <w:tmpl w:val="CDDAB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2AB4AEF"/>
    <w:multiLevelType w:val="hybridMultilevel"/>
    <w:tmpl w:val="06789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1"/>
  </w:num>
  <w:num w:numId="7">
    <w:abstractNumId w:val="4"/>
  </w:num>
  <w:num w:numId="8">
    <w:abstractNumId w:val="36"/>
  </w:num>
  <w:num w:numId="9">
    <w:abstractNumId w:val="43"/>
  </w:num>
  <w:num w:numId="10">
    <w:abstractNumId w:val="35"/>
  </w:num>
  <w:num w:numId="11">
    <w:abstractNumId w:val="5"/>
  </w:num>
  <w:num w:numId="12">
    <w:abstractNumId w:val="23"/>
  </w:num>
  <w:num w:numId="13">
    <w:abstractNumId w:val="45"/>
  </w:num>
  <w:num w:numId="14">
    <w:abstractNumId w:val="3"/>
  </w:num>
  <w:num w:numId="15">
    <w:abstractNumId w:val="26"/>
  </w:num>
  <w:num w:numId="16">
    <w:abstractNumId w:val="24"/>
  </w:num>
  <w:num w:numId="17">
    <w:abstractNumId w:val="31"/>
  </w:num>
  <w:num w:numId="18">
    <w:abstractNumId w:val="30"/>
  </w:num>
  <w:num w:numId="19">
    <w:abstractNumId w:val="25"/>
  </w:num>
  <w:num w:numId="20">
    <w:abstractNumId w:val="12"/>
  </w:num>
  <w:num w:numId="21">
    <w:abstractNumId w:val="17"/>
  </w:num>
  <w:num w:numId="22">
    <w:abstractNumId w:val="44"/>
  </w:num>
  <w:num w:numId="23">
    <w:abstractNumId w:val="28"/>
  </w:num>
  <w:num w:numId="24">
    <w:abstractNumId w:val="33"/>
  </w:num>
  <w:num w:numId="25">
    <w:abstractNumId w:val="42"/>
  </w:num>
  <w:num w:numId="26">
    <w:abstractNumId w:val="38"/>
  </w:num>
  <w:num w:numId="27">
    <w:abstractNumId w:val="47"/>
  </w:num>
  <w:num w:numId="28">
    <w:abstractNumId w:val="34"/>
  </w:num>
  <w:num w:numId="29">
    <w:abstractNumId w:val="10"/>
  </w:num>
  <w:num w:numId="30">
    <w:abstractNumId w:val="11"/>
  </w:num>
  <w:num w:numId="31">
    <w:abstractNumId w:val="29"/>
  </w:num>
  <w:num w:numId="32">
    <w:abstractNumId w:val="18"/>
  </w:num>
  <w:num w:numId="33">
    <w:abstractNumId w:val="21"/>
  </w:num>
  <w:num w:numId="34">
    <w:abstractNumId w:val="19"/>
  </w:num>
  <w:num w:numId="35">
    <w:abstractNumId w:val="39"/>
  </w:num>
  <w:num w:numId="36">
    <w:abstractNumId w:val="13"/>
  </w:num>
  <w:num w:numId="37">
    <w:abstractNumId w:val="22"/>
  </w:num>
  <w:num w:numId="38">
    <w:abstractNumId w:val="27"/>
  </w:num>
  <w:num w:numId="39">
    <w:abstractNumId w:val="6"/>
  </w:num>
  <w:num w:numId="40">
    <w:abstractNumId w:val="20"/>
  </w:num>
  <w:num w:numId="41">
    <w:abstractNumId w:val="2"/>
  </w:num>
  <w:num w:numId="42">
    <w:abstractNumId w:val="8"/>
  </w:num>
  <w:num w:numId="43">
    <w:abstractNumId w:val="41"/>
  </w:num>
  <w:num w:numId="44">
    <w:abstractNumId w:val="46"/>
  </w:num>
  <w:num w:numId="45">
    <w:abstractNumId w:val="37"/>
  </w:num>
  <w:num w:numId="46">
    <w:abstractNumId w:val="40"/>
  </w:num>
  <w:num w:numId="47">
    <w:abstractNumId w:val="32"/>
  </w:num>
  <w:num w:numId="48">
    <w:abstractNumId w:val="9"/>
  </w:num>
  <w:num w:numId="4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2D9F"/>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6F2"/>
    <w:rsid w:val="00025941"/>
    <w:rsid w:val="00025F1B"/>
    <w:rsid w:val="00025F5D"/>
    <w:rsid w:val="00027064"/>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643"/>
    <w:rsid w:val="0009197A"/>
    <w:rsid w:val="00092475"/>
    <w:rsid w:val="00092518"/>
    <w:rsid w:val="00094A1D"/>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2FB4"/>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0DB"/>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213"/>
    <w:rsid w:val="00176367"/>
    <w:rsid w:val="00176773"/>
    <w:rsid w:val="00176E8E"/>
    <w:rsid w:val="00180118"/>
    <w:rsid w:val="001807FF"/>
    <w:rsid w:val="0018081B"/>
    <w:rsid w:val="001815DE"/>
    <w:rsid w:val="00181CD0"/>
    <w:rsid w:val="00182D6C"/>
    <w:rsid w:val="00182DCE"/>
    <w:rsid w:val="00182F0F"/>
    <w:rsid w:val="0018331B"/>
    <w:rsid w:val="00183D24"/>
    <w:rsid w:val="00184C8A"/>
    <w:rsid w:val="001851A6"/>
    <w:rsid w:val="00186A6F"/>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380"/>
    <w:rsid w:val="001A6DA3"/>
    <w:rsid w:val="001A7FD2"/>
    <w:rsid w:val="001B0041"/>
    <w:rsid w:val="001B01AD"/>
    <w:rsid w:val="001B107D"/>
    <w:rsid w:val="001B1108"/>
    <w:rsid w:val="001B1E95"/>
    <w:rsid w:val="001B20A8"/>
    <w:rsid w:val="001B260A"/>
    <w:rsid w:val="001B2CD9"/>
    <w:rsid w:val="001B38FF"/>
    <w:rsid w:val="001B39C2"/>
    <w:rsid w:val="001B59D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3272"/>
    <w:rsid w:val="001E53C2"/>
    <w:rsid w:val="001E57C1"/>
    <w:rsid w:val="001E6927"/>
    <w:rsid w:val="001E6CF0"/>
    <w:rsid w:val="001E6FC5"/>
    <w:rsid w:val="001E756F"/>
    <w:rsid w:val="001F035B"/>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0A1A"/>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5776"/>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11A"/>
    <w:rsid w:val="002767EE"/>
    <w:rsid w:val="00281A35"/>
    <w:rsid w:val="00281AD9"/>
    <w:rsid w:val="00281DA5"/>
    <w:rsid w:val="00282956"/>
    <w:rsid w:val="00283568"/>
    <w:rsid w:val="00284486"/>
    <w:rsid w:val="00285118"/>
    <w:rsid w:val="00285644"/>
    <w:rsid w:val="0028581E"/>
    <w:rsid w:val="00287034"/>
    <w:rsid w:val="00287DB9"/>
    <w:rsid w:val="00291497"/>
    <w:rsid w:val="0029198A"/>
    <w:rsid w:val="00291D61"/>
    <w:rsid w:val="0029209D"/>
    <w:rsid w:val="00293491"/>
    <w:rsid w:val="002934DF"/>
    <w:rsid w:val="00294301"/>
    <w:rsid w:val="00295F53"/>
    <w:rsid w:val="00296AE5"/>
    <w:rsid w:val="00296D46"/>
    <w:rsid w:val="00297035"/>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0CFC"/>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557F"/>
    <w:rsid w:val="002C711A"/>
    <w:rsid w:val="002C7F7E"/>
    <w:rsid w:val="002D15E8"/>
    <w:rsid w:val="002D1819"/>
    <w:rsid w:val="002D1BE4"/>
    <w:rsid w:val="002D1D6C"/>
    <w:rsid w:val="002D2D76"/>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8B8"/>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4B8B"/>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3E3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625"/>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44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192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0C3C"/>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474A"/>
    <w:rsid w:val="004B591D"/>
    <w:rsid w:val="004B6078"/>
    <w:rsid w:val="004B63BD"/>
    <w:rsid w:val="004B6D60"/>
    <w:rsid w:val="004B7542"/>
    <w:rsid w:val="004B769A"/>
    <w:rsid w:val="004B7B78"/>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3318"/>
    <w:rsid w:val="004D452E"/>
    <w:rsid w:val="004D45DF"/>
    <w:rsid w:val="004D583C"/>
    <w:rsid w:val="004D5DB3"/>
    <w:rsid w:val="004D62F9"/>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9BC"/>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4DC1"/>
    <w:rsid w:val="0051676E"/>
    <w:rsid w:val="005167AB"/>
    <w:rsid w:val="005178F8"/>
    <w:rsid w:val="00520212"/>
    <w:rsid w:val="005220BE"/>
    <w:rsid w:val="00522CC8"/>
    <w:rsid w:val="0052428C"/>
    <w:rsid w:val="005244D0"/>
    <w:rsid w:val="0052453F"/>
    <w:rsid w:val="005248FB"/>
    <w:rsid w:val="00526575"/>
    <w:rsid w:val="0052719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022"/>
    <w:rsid w:val="005525C5"/>
    <w:rsid w:val="00552623"/>
    <w:rsid w:val="00552EBD"/>
    <w:rsid w:val="00553108"/>
    <w:rsid w:val="00553827"/>
    <w:rsid w:val="00553943"/>
    <w:rsid w:val="00553988"/>
    <w:rsid w:val="00554A04"/>
    <w:rsid w:val="00554B85"/>
    <w:rsid w:val="00555F71"/>
    <w:rsid w:val="00555FEE"/>
    <w:rsid w:val="00560410"/>
    <w:rsid w:val="00563BEB"/>
    <w:rsid w:val="0056490B"/>
    <w:rsid w:val="00566849"/>
    <w:rsid w:val="00566F49"/>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5A39"/>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E"/>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C31"/>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85A"/>
    <w:rsid w:val="008335A7"/>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92C"/>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4861"/>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5F2B"/>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3FF"/>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72E"/>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40F"/>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3DF6"/>
    <w:rsid w:val="00A7419E"/>
    <w:rsid w:val="00A74C2D"/>
    <w:rsid w:val="00A74D33"/>
    <w:rsid w:val="00A7564A"/>
    <w:rsid w:val="00A75BBA"/>
    <w:rsid w:val="00A76B34"/>
    <w:rsid w:val="00A77AED"/>
    <w:rsid w:val="00A800EB"/>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75"/>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0DF1"/>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078E"/>
    <w:rsid w:val="00B222A2"/>
    <w:rsid w:val="00B2307C"/>
    <w:rsid w:val="00B234EC"/>
    <w:rsid w:val="00B235FB"/>
    <w:rsid w:val="00B2564D"/>
    <w:rsid w:val="00B26C66"/>
    <w:rsid w:val="00B274AE"/>
    <w:rsid w:val="00B274BF"/>
    <w:rsid w:val="00B27BE1"/>
    <w:rsid w:val="00B27FB4"/>
    <w:rsid w:val="00B30557"/>
    <w:rsid w:val="00B31222"/>
    <w:rsid w:val="00B318C9"/>
    <w:rsid w:val="00B31FDB"/>
    <w:rsid w:val="00B323EF"/>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160B"/>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98A"/>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FA4"/>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33A3"/>
    <w:rsid w:val="00C25238"/>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47BD1"/>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442"/>
    <w:rsid w:val="00C66EEB"/>
    <w:rsid w:val="00C67AC2"/>
    <w:rsid w:val="00C700DA"/>
    <w:rsid w:val="00C7063C"/>
    <w:rsid w:val="00C714C9"/>
    <w:rsid w:val="00C7150A"/>
    <w:rsid w:val="00C71F4C"/>
    <w:rsid w:val="00C73C57"/>
    <w:rsid w:val="00C746D9"/>
    <w:rsid w:val="00C74D12"/>
    <w:rsid w:val="00C74D43"/>
    <w:rsid w:val="00C75CA7"/>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392"/>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056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48F4"/>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7D7"/>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4D3"/>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54B"/>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164"/>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2C00"/>
    <w:rsid w:val="00DA420D"/>
    <w:rsid w:val="00DA495D"/>
    <w:rsid w:val="00DA4F15"/>
    <w:rsid w:val="00DA5512"/>
    <w:rsid w:val="00DA568E"/>
    <w:rsid w:val="00DA57BE"/>
    <w:rsid w:val="00DA5DCA"/>
    <w:rsid w:val="00DA6383"/>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1E79"/>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6AC3"/>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4E71"/>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AAE"/>
    <w:rsid w:val="00E94D32"/>
    <w:rsid w:val="00E958AD"/>
    <w:rsid w:val="00E96E1A"/>
    <w:rsid w:val="00EA0E04"/>
    <w:rsid w:val="00EA1A98"/>
    <w:rsid w:val="00EA200D"/>
    <w:rsid w:val="00EA216F"/>
    <w:rsid w:val="00EA220D"/>
    <w:rsid w:val="00EA249B"/>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1FB4"/>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4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515"/>
    <w:rsid w:val="00F73751"/>
    <w:rsid w:val="00F73DC5"/>
    <w:rsid w:val="00F75EAD"/>
    <w:rsid w:val="00F75FC9"/>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1B0"/>
    <w:rsid w:val="00FA3DF0"/>
    <w:rsid w:val="00FA7547"/>
    <w:rsid w:val="00FA7D57"/>
    <w:rsid w:val="00FB0008"/>
    <w:rsid w:val="00FB029E"/>
    <w:rsid w:val="00FB05EB"/>
    <w:rsid w:val="00FB071C"/>
    <w:rsid w:val="00FB1030"/>
    <w:rsid w:val="00FB1ACE"/>
    <w:rsid w:val="00FB1B08"/>
    <w:rsid w:val="00FB22C0"/>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2A7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2D2D7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1118808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40807152">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4517014">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733181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377477">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83882016">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6009604">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4636448">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99615376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79470955">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0621201">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8162057">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09113863">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18185526">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36477136">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38715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BF0E2-F68A-4892-8010-6D30DCA4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47</Pages>
  <Words>10384</Words>
  <Characters>57116</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2023-10-25T18:13:00Z</dcterms:created>
  <dcterms:modified xsi:type="dcterms:W3CDTF">2023-11-01T22:09:00Z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