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94565" w14:textId="77777777" w:rsidR="001D256A" w:rsidRPr="00D06374" w:rsidRDefault="001D256A" w:rsidP="001D256A">
      <w:pPr>
        <w:spacing w:line="360" w:lineRule="auto"/>
        <w:ind w:right="-28"/>
        <w:jc w:val="both"/>
        <w:rPr>
          <w:rFonts w:ascii="Palatino Linotype" w:hAnsi="Palatino Linotype"/>
          <w:noProof/>
          <w:sz w:val="22"/>
          <w:szCs w:val="22"/>
          <w:lang w:val="es-ES"/>
        </w:rPr>
      </w:pPr>
      <w:r w:rsidRPr="00D0637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primero de febrero de dos mil veintitrés. </w:t>
      </w:r>
    </w:p>
    <w:p w14:paraId="7FB1D9B3" w14:textId="77777777" w:rsidR="00465E1B" w:rsidRPr="00D06374" w:rsidRDefault="00465E1B" w:rsidP="001D256A">
      <w:pPr>
        <w:spacing w:line="360" w:lineRule="auto"/>
        <w:ind w:right="-28"/>
        <w:jc w:val="both"/>
        <w:rPr>
          <w:rFonts w:ascii="Palatino Linotype" w:hAnsi="Palatino Linotype" w:cs="Tahoma"/>
          <w:b/>
          <w:bCs/>
          <w:sz w:val="22"/>
          <w:szCs w:val="22"/>
        </w:rPr>
      </w:pPr>
    </w:p>
    <w:p w14:paraId="231C7903" w14:textId="387F1E15" w:rsidR="001D256A" w:rsidRPr="00D06374" w:rsidRDefault="001D256A" w:rsidP="001D256A">
      <w:pPr>
        <w:spacing w:line="360" w:lineRule="auto"/>
        <w:ind w:right="-28"/>
        <w:jc w:val="both"/>
        <w:rPr>
          <w:rFonts w:ascii="Palatino Linotype" w:hAnsi="Palatino Linotype" w:cs="Tahoma"/>
          <w:sz w:val="22"/>
          <w:szCs w:val="22"/>
        </w:rPr>
      </w:pPr>
      <w:r w:rsidRPr="00D06374">
        <w:rPr>
          <w:rFonts w:ascii="Palatino Linotype" w:hAnsi="Palatino Linotype" w:cs="Tahoma"/>
          <w:b/>
          <w:bCs/>
          <w:sz w:val="22"/>
          <w:szCs w:val="22"/>
        </w:rPr>
        <w:t xml:space="preserve">VISTO </w:t>
      </w:r>
      <w:r w:rsidRPr="00D06374">
        <w:rPr>
          <w:rFonts w:ascii="Palatino Linotype" w:hAnsi="Palatino Linotype" w:cs="Tahoma"/>
          <w:bCs/>
          <w:sz w:val="22"/>
          <w:szCs w:val="22"/>
        </w:rPr>
        <w:t xml:space="preserve">el expediente conformado con motivo del Recurso de Revisión </w:t>
      </w:r>
      <w:r w:rsidR="00A9027A" w:rsidRPr="00D06374">
        <w:rPr>
          <w:rFonts w:ascii="Palatino Linotype" w:hAnsi="Palatino Linotype" w:cs="Tahoma"/>
          <w:color w:val="0D0D0D" w:themeColor="text1" w:themeTint="F2"/>
          <w:sz w:val="22"/>
          <w:szCs w:val="22"/>
        </w:rPr>
        <w:t>17151/INFOEM/IP/RR/2022</w:t>
      </w:r>
      <w:r w:rsidRPr="00D06374">
        <w:rPr>
          <w:rFonts w:ascii="Palatino Linotype" w:hAnsi="Palatino Linotype" w:cs="Tahoma"/>
          <w:sz w:val="22"/>
          <w:szCs w:val="22"/>
        </w:rPr>
        <w:t xml:space="preserve">, interpuesto por, en lo sucesivo Recurrente o Particular, en contra de la falta respuesta del Sujeto Obligado, Ayuntamiento de Zinacantepec, a la solicitud de acceso a la información pública con número de folio </w:t>
      </w:r>
      <w:r w:rsidR="00A9027A" w:rsidRPr="00D06374">
        <w:rPr>
          <w:rFonts w:ascii="Palatino Linotype" w:hAnsi="Palatino Linotype" w:cs="Tahoma"/>
          <w:sz w:val="22"/>
          <w:szCs w:val="22"/>
        </w:rPr>
        <w:t>01186/ZINACANT/IP/2022</w:t>
      </w:r>
      <w:r w:rsidRPr="00D06374">
        <w:rPr>
          <w:rFonts w:ascii="Palatino Linotype" w:hAnsi="Palatino Linotype" w:cs="Tahoma"/>
          <w:sz w:val="22"/>
          <w:szCs w:val="22"/>
        </w:rPr>
        <w:t>, se emite la presente Resolución, con base en los Antecedentes y Considerandos que se exponen a continuación:</w:t>
      </w:r>
    </w:p>
    <w:p w14:paraId="165B3797" w14:textId="77777777" w:rsidR="001D256A" w:rsidRPr="00D06374" w:rsidRDefault="001D256A" w:rsidP="001D256A">
      <w:pPr>
        <w:spacing w:line="360" w:lineRule="auto"/>
        <w:ind w:right="-28"/>
        <w:jc w:val="both"/>
        <w:rPr>
          <w:rFonts w:ascii="Palatino Linotype" w:hAnsi="Palatino Linotype" w:cs="Tahoma"/>
          <w:b/>
          <w:bCs/>
          <w:color w:val="0D0D0D" w:themeColor="text1" w:themeTint="F2"/>
          <w:sz w:val="22"/>
          <w:szCs w:val="22"/>
        </w:rPr>
      </w:pPr>
    </w:p>
    <w:p w14:paraId="44706AFB" w14:textId="77777777" w:rsidR="001D256A" w:rsidRPr="00D06374" w:rsidRDefault="001D256A" w:rsidP="001D256A">
      <w:pPr>
        <w:tabs>
          <w:tab w:val="center" w:pos="4522"/>
          <w:tab w:val="left" w:pos="7245"/>
          <w:tab w:val="right" w:pos="9044"/>
        </w:tabs>
        <w:spacing w:line="360" w:lineRule="auto"/>
        <w:ind w:right="-28"/>
        <w:jc w:val="center"/>
        <w:rPr>
          <w:rFonts w:ascii="Palatino Linotype" w:hAnsi="Palatino Linotype" w:cs="Tahoma"/>
          <w:b/>
          <w:sz w:val="22"/>
          <w:szCs w:val="22"/>
        </w:rPr>
      </w:pPr>
      <w:r w:rsidRPr="00D06374">
        <w:rPr>
          <w:rFonts w:ascii="Palatino Linotype" w:hAnsi="Palatino Linotype" w:cs="Tahoma"/>
          <w:b/>
          <w:sz w:val="22"/>
          <w:szCs w:val="22"/>
        </w:rPr>
        <w:t>A N T E C E D E N T E S</w:t>
      </w:r>
    </w:p>
    <w:p w14:paraId="27C4F1D5" w14:textId="77777777" w:rsidR="001D256A" w:rsidRPr="00D06374" w:rsidRDefault="001D256A" w:rsidP="001D256A">
      <w:pPr>
        <w:tabs>
          <w:tab w:val="center" w:pos="4522"/>
          <w:tab w:val="left" w:pos="7245"/>
          <w:tab w:val="right" w:pos="9044"/>
        </w:tabs>
        <w:spacing w:line="360" w:lineRule="auto"/>
        <w:ind w:right="-28"/>
        <w:rPr>
          <w:rFonts w:ascii="Palatino Linotype" w:hAnsi="Palatino Linotype" w:cs="Tahoma"/>
          <w:b/>
          <w:sz w:val="22"/>
          <w:szCs w:val="22"/>
        </w:rPr>
      </w:pPr>
    </w:p>
    <w:p w14:paraId="497E3944" w14:textId="77777777" w:rsidR="001D256A" w:rsidRPr="00D06374" w:rsidRDefault="001D256A" w:rsidP="001D256A">
      <w:pPr>
        <w:spacing w:line="360" w:lineRule="auto"/>
        <w:contextualSpacing/>
        <w:jc w:val="both"/>
        <w:rPr>
          <w:rFonts w:ascii="Palatino Linotype" w:eastAsia="Calibri" w:hAnsi="Palatino Linotype" w:cs="Tahoma"/>
          <w:b/>
          <w:bCs/>
          <w:sz w:val="22"/>
          <w:szCs w:val="22"/>
          <w:lang w:eastAsia="en-US"/>
        </w:rPr>
      </w:pPr>
      <w:r w:rsidRPr="00D06374">
        <w:rPr>
          <w:rFonts w:ascii="Palatino Linotype" w:eastAsia="Calibri" w:hAnsi="Palatino Linotype" w:cs="Tahoma"/>
          <w:b/>
          <w:bCs/>
          <w:sz w:val="22"/>
          <w:szCs w:val="22"/>
          <w:lang w:eastAsia="en-US"/>
        </w:rPr>
        <w:t xml:space="preserve">I. Presentación de la solicitud de información. </w:t>
      </w:r>
    </w:p>
    <w:p w14:paraId="0A67CB16" w14:textId="77777777" w:rsidR="001D256A" w:rsidRPr="00D06374" w:rsidRDefault="001D256A" w:rsidP="001D256A">
      <w:pPr>
        <w:autoSpaceDE w:val="0"/>
        <w:autoSpaceDN w:val="0"/>
        <w:adjustRightInd w:val="0"/>
        <w:spacing w:line="360" w:lineRule="auto"/>
        <w:jc w:val="both"/>
        <w:rPr>
          <w:rFonts w:ascii="Palatino Linotype" w:hAnsi="Palatino Linotype" w:cs="Tahoma"/>
          <w:sz w:val="22"/>
          <w:szCs w:val="22"/>
        </w:rPr>
      </w:pPr>
    </w:p>
    <w:p w14:paraId="4AE6B540" w14:textId="62D363D7" w:rsidR="001D256A" w:rsidRPr="00D06374" w:rsidRDefault="001D256A" w:rsidP="001D256A">
      <w:pPr>
        <w:pStyle w:val="Prrafodelista"/>
        <w:tabs>
          <w:tab w:val="left" w:pos="567"/>
        </w:tabs>
        <w:spacing w:line="360" w:lineRule="auto"/>
        <w:ind w:left="0"/>
        <w:jc w:val="both"/>
        <w:rPr>
          <w:rFonts w:ascii="Palatino Linotype" w:hAnsi="Palatino Linotype" w:cs="Tahoma"/>
          <w:b/>
          <w:szCs w:val="22"/>
        </w:rPr>
      </w:pPr>
      <w:r w:rsidRPr="00D06374">
        <w:rPr>
          <w:rFonts w:ascii="Palatino Linotype" w:hAnsi="Palatino Linotype" w:cs="Tahoma"/>
          <w:szCs w:val="22"/>
        </w:rPr>
        <w:t xml:space="preserve">Con fecha </w:t>
      </w:r>
      <w:r w:rsidR="00A9027A" w:rsidRPr="00D06374">
        <w:rPr>
          <w:rFonts w:ascii="Palatino Linotype" w:hAnsi="Palatino Linotype" w:cs="Tahoma"/>
          <w:szCs w:val="22"/>
        </w:rPr>
        <w:t>siete de noviembre</w:t>
      </w:r>
      <w:r w:rsidRPr="00D06374">
        <w:rPr>
          <w:rFonts w:ascii="Palatino Linotype" w:hAnsi="Palatino Linotype" w:cs="Tahoma"/>
          <w:szCs w:val="22"/>
        </w:rPr>
        <w:t xml:space="preserve"> de dos mil veintidós, el Particular presentó una solicitud de acceso a la información pública, a través del Sistema de Acceso a la Información Mexiquense (SAIMEX), ante el </w:t>
      </w:r>
      <w:r w:rsidRPr="00D06374">
        <w:rPr>
          <w:rFonts w:ascii="Palatino Linotype" w:hAnsi="Palatino Linotype" w:cs="Tahoma"/>
          <w:bCs/>
          <w:szCs w:val="22"/>
        </w:rPr>
        <w:t xml:space="preserve">Ayuntamiento de Zinacantepec, </w:t>
      </w:r>
      <w:r w:rsidRPr="00D06374">
        <w:rPr>
          <w:rFonts w:ascii="Palatino Linotype" w:hAnsi="Palatino Linotype" w:cs="Tahoma"/>
          <w:szCs w:val="22"/>
        </w:rPr>
        <w:t>en la cual requirió lo siguiente:</w:t>
      </w:r>
    </w:p>
    <w:p w14:paraId="0FC4432D" w14:textId="77777777" w:rsidR="001D256A" w:rsidRPr="00D06374" w:rsidRDefault="001D256A" w:rsidP="001D256A">
      <w:pPr>
        <w:autoSpaceDE w:val="0"/>
        <w:autoSpaceDN w:val="0"/>
        <w:adjustRightInd w:val="0"/>
        <w:spacing w:line="360" w:lineRule="auto"/>
        <w:jc w:val="both"/>
        <w:rPr>
          <w:rFonts w:ascii="Palatino Linotype" w:hAnsi="Palatino Linotype" w:cs="Tahoma"/>
          <w:b/>
          <w:i/>
          <w:iCs/>
        </w:rPr>
      </w:pPr>
      <w:r w:rsidRPr="00D06374">
        <w:rPr>
          <w:rFonts w:ascii="Palatino Linotype" w:hAnsi="Palatino Linotype" w:cs="Tahoma"/>
          <w:bCs/>
          <w:sz w:val="22"/>
          <w:szCs w:val="22"/>
        </w:rPr>
        <w:t xml:space="preserve"> </w:t>
      </w:r>
    </w:p>
    <w:p w14:paraId="7751D08A" w14:textId="77777777" w:rsidR="001D256A" w:rsidRPr="00D06374" w:rsidRDefault="001D256A" w:rsidP="001D256A">
      <w:pPr>
        <w:spacing w:line="360" w:lineRule="auto"/>
        <w:ind w:left="567" w:right="567"/>
        <w:contextualSpacing/>
        <w:jc w:val="both"/>
        <w:rPr>
          <w:rFonts w:ascii="Palatino Linotype" w:hAnsi="Palatino Linotype" w:cs="Tahoma"/>
          <w:b/>
          <w:i/>
          <w:iCs/>
        </w:rPr>
      </w:pPr>
      <w:r w:rsidRPr="00D06374">
        <w:rPr>
          <w:rFonts w:ascii="Palatino Linotype" w:hAnsi="Palatino Linotype" w:cs="Tahoma"/>
          <w:b/>
          <w:i/>
          <w:iCs/>
        </w:rPr>
        <w:t xml:space="preserve"> “DESCRIPCIÓN CLARA Y PRECISA DE LA INFORMACIÓN SOLICITADA</w:t>
      </w:r>
    </w:p>
    <w:p w14:paraId="18BA2B02" w14:textId="06D1B6F6" w:rsidR="001D256A" w:rsidRPr="00D06374" w:rsidRDefault="00A9027A" w:rsidP="001D256A">
      <w:pPr>
        <w:widowControl w:val="0"/>
        <w:spacing w:line="360" w:lineRule="auto"/>
        <w:ind w:left="567" w:right="567"/>
        <w:contextualSpacing/>
        <w:jc w:val="both"/>
        <w:rPr>
          <w:rFonts w:ascii="Palatino Linotype" w:hAnsi="Palatino Linotype"/>
          <w:bCs/>
          <w:i/>
          <w:iCs/>
          <w:color w:val="000000"/>
        </w:rPr>
      </w:pPr>
      <w:r w:rsidRPr="00D06374">
        <w:rPr>
          <w:rFonts w:ascii="Palatino Linotype" w:hAnsi="Palatino Linotype"/>
          <w:i/>
          <w:iCs/>
          <w:color w:val="000000"/>
        </w:rPr>
        <w:t>DE TODAS LAS DIRECCIONES, SOLICITO TODAS LAS REQUISICIONES POR CONCEPTO DE ASESORÍAS ASÍ COMO LAS FACTURAS DE PAGO</w:t>
      </w:r>
      <w:r w:rsidR="001D256A" w:rsidRPr="00D06374">
        <w:rPr>
          <w:rFonts w:ascii="Palatino Linotype" w:hAnsi="Palatino Linotype"/>
          <w:bCs/>
          <w:i/>
          <w:iCs/>
          <w:color w:val="000000"/>
        </w:rPr>
        <w:t>” (Sic.)</w:t>
      </w:r>
    </w:p>
    <w:p w14:paraId="39109C5B" w14:textId="77777777" w:rsidR="001D256A" w:rsidRPr="00D06374" w:rsidRDefault="001D256A" w:rsidP="001D256A">
      <w:pPr>
        <w:widowControl w:val="0"/>
        <w:spacing w:line="360" w:lineRule="auto"/>
        <w:ind w:left="567" w:right="567"/>
        <w:contextualSpacing/>
        <w:jc w:val="both"/>
        <w:rPr>
          <w:rFonts w:ascii="Palatino Linotype" w:hAnsi="Palatino Linotype"/>
          <w:bCs/>
          <w:i/>
          <w:iCs/>
          <w:color w:val="000000"/>
        </w:rPr>
      </w:pPr>
    </w:p>
    <w:p w14:paraId="4D4B247A" w14:textId="77777777" w:rsidR="001D256A" w:rsidRPr="00D06374" w:rsidRDefault="001D256A" w:rsidP="001D256A">
      <w:pPr>
        <w:tabs>
          <w:tab w:val="left" w:pos="4667"/>
        </w:tabs>
        <w:spacing w:line="360" w:lineRule="auto"/>
        <w:ind w:left="567"/>
        <w:jc w:val="both"/>
        <w:rPr>
          <w:rFonts w:ascii="Palatino Linotype" w:hAnsi="Palatino Linotype" w:cs="Tahoma"/>
          <w:b/>
          <w:bCs/>
          <w:i/>
        </w:rPr>
      </w:pPr>
      <w:r w:rsidRPr="00D06374">
        <w:rPr>
          <w:rFonts w:ascii="Palatino Linotype" w:hAnsi="Palatino Linotype" w:cs="Tahoma"/>
          <w:b/>
          <w:bCs/>
          <w:i/>
        </w:rPr>
        <w:t xml:space="preserve">“Modalidad de Entrega: </w:t>
      </w:r>
    </w:p>
    <w:p w14:paraId="56C338DB" w14:textId="77777777" w:rsidR="001D256A" w:rsidRPr="00D06374" w:rsidRDefault="001D256A" w:rsidP="001D256A">
      <w:pPr>
        <w:tabs>
          <w:tab w:val="left" w:pos="567"/>
        </w:tabs>
        <w:spacing w:line="360" w:lineRule="auto"/>
        <w:ind w:left="567" w:right="-28"/>
        <w:jc w:val="both"/>
        <w:rPr>
          <w:rFonts w:ascii="Palatino Linotype" w:hAnsi="Palatino Linotype" w:cs="Tahoma"/>
          <w:bCs/>
          <w:i/>
        </w:rPr>
      </w:pPr>
      <w:r w:rsidRPr="00D06374" w:rsidDel="006544EC">
        <w:rPr>
          <w:rFonts w:ascii="Palatino Linotype" w:hAnsi="Palatino Linotype" w:cs="Tahoma"/>
          <w:b/>
          <w:bCs/>
          <w:i/>
        </w:rPr>
        <w:t xml:space="preserve"> </w:t>
      </w:r>
      <w:r w:rsidRPr="00D06374">
        <w:rPr>
          <w:rFonts w:ascii="Palatino Linotype" w:hAnsi="Palatino Linotype" w:cs="Tahoma"/>
          <w:bCs/>
          <w:i/>
        </w:rPr>
        <w:t>A través del SAIMEX.”</w:t>
      </w:r>
    </w:p>
    <w:p w14:paraId="1A690FEA" w14:textId="77777777" w:rsidR="001D256A" w:rsidRPr="00D06374" w:rsidRDefault="001D256A" w:rsidP="001D256A">
      <w:pPr>
        <w:tabs>
          <w:tab w:val="left" w:pos="567"/>
        </w:tabs>
        <w:spacing w:line="360" w:lineRule="auto"/>
        <w:ind w:left="567" w:right="-28"/>
        <w:jc w:val="both"/>
        <w:rPr>
          <w:rFonts w:ascii="Palatino Linotype" w:hAnsi="Palatino Linotype" w:cs="Tahoma"/>
          <w:i/>
        </w:rPr>
      </w:pPr>
    </w:p>
    <w:p w14:paraId="4B943C21"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D06374">
        <w:rPr>
          <w:rFonts w:ascii="Palatino Linotype" w:hAnsi="Palatino Linotype" w:cs="Tahoma"/>
          <w:b/>
          <w:sz w:val="22"/>
          <w:szCs w:val="22"/>
        </w:rPr>
        <w:t xml:space="preserve">II. Solicitud de aclaración de la solicitud de información. </w:t>
      </w:r>
    </w:p>
    <w:p w14:paraId="10D399B4"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p>
    <w:p w14:paraId="20BC4E75" w14:textId="10AE8377" w:rsidR="001D256A" w:rsidRPr="00D06374" w:rsidRDefault="00645E1F" w:rsidP="001D256A">
      <w:pPr>
        <w:autoSpaceDE w:val="0"/>
        <w:autoSpaceDN w:val="0"/>
        <w:adjustRightInd w:val="0"/>
        <w:spacing w:line="360" w:lineRule="auto"/>
        <w:ind w:right="-28"/>
        <w:jc w:val="both"/>
        <w:rPr>
          <w:rFonts w:ascii="Palatino Linotype" w:hAnsi="Palatino Linotype" w:cs="Tahoma"/>
          <w:bCs/>
          <w:sz w:val="22"/>
          <w:szCs w:val="22"/>
        </w:rPr>
      </w:pPr>
      <w:r w:rsidRPr="00D06374">
        <w:rPr>
          <w:rFonts w:ascii="Palatino Linotype" w:hAnsi="Palatino Linotype" w:cs="Tahoma"/>
          <w:bCs/>
          <w:sz w:val="22"/>
          <w:szCs w:val="22"/>
        </w:rPr>
        <w:lastRenderedPageBreak/>
        <w:t>Con fecha</w:t>
      </w:r>
      <w:r w:rsidR="001D256A" w:rsidRPr="00D06374">
        <w:rPr>
          <w:rFonts w:ascii="Palatino Linotype" w:hAnsi="Palatino Linotype" w:cs="Tahoma"/>
          <w:bCs/>
          <w:sz w:val="22"/>
          <w:szCs w:val="22"/>
        </w:rPr>
        <w:t xml:space="preserve"> catorce de noviembre de dos mil veintidós, </w:t>
      </w:r>
      <w:r w:rsidRPr="00D06374">
        <w:rPr>
          <w:rStyle w:val="normaltextrun"/>
          <w:rFonts w:ascii="Palatino Linotype" w:hAnsi="Palatino Linotype" w:cs="Segoe UI"/>
          <w:sz w:val="22"/>
          <w:szCs w:val="22"/>
        </w:rPr>
        <w:t>la Unidad de Transparencia del Ayuntamiento de Zinacantepec, notificó al Particular, mediante el Sistema de Acceso a la Información Mexiquense (SAIMEX), un requerimiento de información adicional a las solicitudes de información previamente referidas, en los siguientes términos:</w:t>
      </w:r>
      <w:r w:rsidRPr="00D06374">
        <w:rPr>
          <w:rStyle w:val="eop"/>
          <w:rFonts w:ascii="Palatino Linotype" w:hAnsi="Palatino Linotype" w:cs="Segoe UI"/>
          <w:sz w:val="22"/>
          <w:szCs w:val="22"/>
        </w:rPr>
        <w:t> </w:t>
      </w:r>
    </w:p>
    <w:p w14:paraId="731A9D97"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p>
    <w:p w14:paraId="5F1CA7CF" w14:textId="77777777" w:rsidR="001D256A" w:rsidRPr="00D06374" w:rsidRDefault="001D256A" w:rsidP="001D256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w:t>
      </w:r>
    </w:p>
    <w:p w14:paraId="4E1D8865" w14:textId="36CA0163" w:rsidR="00A9027A" w:rsidRPr="00D06374" w:rsidRDefault="00A9027A" w:rsidP="00A9027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EA416D7" w14:textId="77777777" w:rsidR="00A9027A" w:rsidRPr="00D06374" w:rsidRDefault="00A9027A" w:rsidP="00A9027A">
      <w:pPr>
        <w:autoSpaceDE w:val="0"/>
        <w:autoSpaceDN w:val="0"/>
        <w:adjustRightInd w:val="0"/>
        <w:spacing w:line="360" w:lineRule="auto"/>
        <w:ind w:left="567" w:right="567"/>
        <w:jc w:val="both"/>
        <w:rPr>
          <w:rFonts w:ascii="Palatino Linotype" w:hAnsi="Palatino Linotype" w:cs="Tahoma"/>
          <w:bCs/>
          <w:i/>
          <w:iCs/>
        </w:rPr>
      </w:pPr>
    </w:p>
    <w:p w14:paraId="132E275F" w14:textId="77777777" w:rsidR="00A9027A" w:rsidRPr="00D06374" w:rsidRDefault="00A9027A" w:rsidP="00A9027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7D50A42" w14:textId="136E8D44" w:rsidR="001D256A" w:rsidRPr="00D06374" w:rsidRDefault="001D256A" w:rsidP="00A9027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 xml:space="preserve">…” (Sic) </w:t>
      </w:r>
    </w:p>
    <w:p w14:paraId="22F77579"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p>
    <w:p w14:paraId="0A62613A"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r w:rsidRPr="00D06374">
        <w:rPr>
          <w:rFonts w:ascii="Palatino Linotype" w:hAnsi="Palatino Linotype" w:cs="Tahoma"/>
          <w:b/>
          <w:sz w:val="22"/>
          <w:szCs w:val="22"/>
        </w:rPr>
        <w:t xml:space="preserve">III. Desahogo del requerimiento de información adicional. </w:t>
      </w:r>
    </w:p>
    <w:p w14:paraId="7B389F5F"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Cs/>
          <w:sz w:val="22"/>
          <w:szCs w:val="22"/>
        </w:rPr>
      </w:pPr>
    </w:p>
    <w:p w14:paraId="4646ED48"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Cs/>
          <w:sz w:val="22"/>
          <w:szCs w:val="22"/>
        </w:rPr>
      </w:pPr>
      <w:r w:rsidRPr="00D06374">
        <w:rPr>
          <w:rFonts w:ascii="Palatino Linotype" w:hAnsi="Palatino Linotype" w:cs="Tahoma"/>
          <w:bCs/>
          <w:sz w:val="22"/>
          <w:szCs w:val="22"/>
        </w:rPr>
        <w:t xml:space="preserve">El catorce de noviembre de dos mil veintidós, el Particular desahogo la solicitud de aclaración presentada por el Ente Recurrido, en los siguientes términos: </w:t>
      </w:r>
    </w:p>
    <w:p w14:paraId="2A09C10B"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Cs/>
          <w:sz w:val="22"/>
          <w:szCs w:val="22"/>
        </w:rPr>
      </w:pPr>
    </w:p>
    <w:p w14:paraId="533F8D53" w14:textId="77777777" w:rsidR="001D256A" w:rsidRPr="00D06374" w:rsidRDefault="001D256A" w:rsidP="001D256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w:t>
      </w:r>
    </w:p>
    <w:p w14:paraId="53E6E276" w14:textId="77777777" w:rsidR="00A9027A" w:rsidRPr="00D06374" w:rsidRDefault="00A9027A" w:rsidP="001D256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LA SOLICITUD ES MUY ESPECÍFICA</w:t>
      </w:r>
    </w:p>
    <w:p w14:paraId="304B0F88" w14:textId="564944F2" w:rsidR="001D256A" w:rsidRPr="00D06374" w:rsidRDefault="001D256A" w:rsidP="001D256A">
      <w:pPr>
        <w:autoSpaceDE w:val="0"/>
        <w:autoSpaceDN w:val="0"/>
        <w:adjustRightInd w:val="0"/>
        <w:spacing w:line="360" w:lineRule="auto"/>
        <w:ind w:left="567" w:right="567"/>
        <w:jc w:val="both"/>
        <w:rPr>
          <w:rFonts w:ascii="Palatino Linotype" w:hAnsi="Palatino Linotype" w:cs="Tahoma"/>
          <w:bCs/>
          <w:i/>
          <w:iCs/>
        </w:rPr>
      </w:pPr>
      <w:r w:rsidRPr="00D06374">
        <w:rPr>
          <w:rFonts w:ascii="Palatino Linotype" w:hAnsi="Palatino Linotype" w:cs="Tahoma"/>
          <w:bCs/>
          <w:i/>
          <w:iCs/>
        </w:rPr>
        <w:t xml:space="preserve">…” (Sic) </w:t>
      </w:r>
    </w:p>
    <w:p w14:paraId="4A9FA1CF"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Cs/>
          <w:sz w:val="22"/>
          <w:szCs w:val="22"/>
        </w:rPr>
      </w:pPr>
    </w:p>
    <w:p w14:paraId="690F4E06"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r w:rsidRPr="00D06374">
        <w:rPr>
          <w:rFonts w:ascii="Palatino Linotype" w:hAnsi="Palatino Linotype" w:cs="Tahoma"/>
          <w:b/>
          <w:sz w:val="22"/>
          <w:szCs w:val="22"/>
        </w:rPr>
        <w:t>III. Respuesta del Sujeto Obligado.</w:t>
      </w:r>
      <w:bookmarkEnd w:id="0"/>
    </w:p>
    <w:p w14:paraId="0B31357E" w14:textId="77777777" w:rsidR="001D256A" w:rsidRPr="00D06374" w:rsidRDefault="001D256A" w:rsidP="001D256A">
      <w:pPr>
        <w:autoSpaceDE w:val="0"/>
        <w:autoSpaceDN w:val="0"/>
        <w:adjustRightInd w:val="0"/>
        <w:spacing w:line="360" w:lineRule="auto"/>
        <w:contextualSpacing/>
        <w:jc w:val="both"/>
        <w:rPr>
          <w:rFonts w:ascii="Palatino Linotype" w:hAnsi="Palatino Linotype" w:cs="Tahoma"/>
          <w:b/>
          <w:sz w:val="22"/>
          <w:szCs w:val="22"/>
        </w:rPr>
      </w:pPr>
    </w:p>
    <w:p w14:paraId="79DDD92B"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color w:val="000000"/>
          <w:sz w:val="22"/>
          <w:lang w:val="es-ES"/>
        </w:rPr>
      </w:pPr>
      <w:r w:rsidRPr="00D06374">
        <w:rPr>
          <w:rFonts w:ascii="Palatino Linotype" w:eastAsia="Calibri" w:hAnsi="Palatino Linotype" w:cs="Tahoma"/>
          <w:color w:val="000000"/>
          <w:sz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D06374">
        <w:rPr>
          <w:rFonts w:ascii="Palatino Linotype" w:eastAsia="Calibri" w:hAnsi="Palatino Linotype" w:cs="Tahoma"/>
          <w:color w:val="000000"/>
          <w:sz w:val="22"/>
          <w:lang w:val="es-ES"/>
        </w:rPr>
        <w:t xml:space="preserve">Sistema de Acceso a la Información Mexiquense (SAIMEX), se advierte que el </w:t>
      </w:r>
      <w:r w:rsidRPr="00D06374">
        <w:rPr>
          <w:rFonts w:ascii="Palatino Linotype" w:eastAsia="Calibri" w:hAnsi="Palatino Linotype" w:cs="Tahoma"/>
          <w:b/>
          <w:bCs/>
          <w:sz w:val="22"/>
        </w:rPr>
        <w:t>Ayuntamiento de Zinacantepec</w:t>
      </w:r>
      <w:r w:rsidRPr="00D06374">
        <w:rPr>
          <w:rFonts w:ascii="Palatino Linotype" w:eastAsia="Calibri" w:hAnsi="Palatino Linotype" w:cs="Tahoma"/>
          <w:bCs/>
          <w:color w:val="000000"/>
          <w:sz w:val="22"/>
        </w:rPr>
        <w:t xml:space="preserve">, omitió dar respuesta, por lo que </w:t>
      </w:r>
      <w:r w:rsidRPr="00D06374">
        <w:rPr>
          <w:rFonts w:ascii="Palatino Linotype" w:eastAsia="Calibri" w:hAnsi="Palatino Linotype" w:cs="Tahoma"/>
          <w:b/>
          <w:color w:val="000000"/>
          <w:sz w:val="22"/>
        </w:rPr>
        <w:t xml:space="preserve">se configura la </w:t>
      </w:r>
      <w:r w:rsidRPr="00D06374">
        <w:rPr>
          <w:rFonts w:ascii="Palatino Linotype" w:eastAsia="Calibri" w:hAnsi="Palatino Linotype" w:cs="Tahoma"/>
          <w:b/>
          <w:color w:val="000000"/>
          <w:sz w:val="22"/>
          <w:lang w:val="es-ES"/>
        </w:rPr>
        <w:t>negativa ficta</w:t>
      </w:r>
      <w:r w:rsidRPr="00D06374">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4EE141E1"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p>
    <w:p w14:paraId="32A926F0"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rPr>
      </w:pPr>
      <w:r w:rsidRPr="00D06374">
        <w:rPr>
          <w:rFonts w:ascii="Palatino Linotype" w:hAnsi="Palatino Linotype" w:cs="Tahoma"/>
          <w:b/>
          <w:sz w:val="22"/>
          <w:szCs w:val="22"/>
        </w:rPr>
        <w:t xml:space="preserve">IV. Interposición del Recurso de Revisión. </w:t>
      </w:r>
    </w:p>
    <w:p w14:paraId="1E4782A2"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sz w:val="22"/>
          <w:szCs w:val="22"/>
        </w:rPr>
      </w:pPr>
    </w:p>
    <w:p w14:paraId="386B323B" w14:textId="77777777" w:rsidR="001D256A" w:rsidRPr="00D06374" w:rsidRDefault="001D256A" w:rsidP="001D256A">
      <w:pPr>
        <w:spacing w:line="360" w:lineRule="auto"/>
        <w:jc w:val="both"/>
        <w:rPr>
          <w:rFonts w:ascii="Palatino Linotype" w:hAnsi="Palatino Linotype" w:cs="Tahoma"/>
          <w:bCs/>
          <w:sz w:val="22"/>
          <w:szCs w:val="22"/>
          <w:lang w:val="es-ES"/>
        </w:rPr>
      </w:pPr>
      <w:r w:rsidRPr="00D06374">
        <w:rPr>
          <w:rFonts w:ascii="Palatino Linotype" w:hAnsi="Palatino Linotype" w:cs="Tahoma"/>
          <w:bCs/>
          <w:sz w:val="22"/>
          <w:szCs w:val="22"/>
          <w:lang w:val="es-ES"/>
        </w:rPr>
        <w:t xml:space="preserve">Con fecha siete de diciembre de dos mil veintidós, </w:t>
      </w:r>
      <w:r w:rsidRPr="00D06374">
        <w:rPr>
          <w:rFonts w:ascii="Palatino Linotype" w:hAnsi="Palatino Linotype" w:cs="Tahoma"/>
          <w:bCs/>
          <w:sz w:val="22"/>
          <w:szCs w:val="22"/>
        </w:rPr>
        <w:t xml:space="preserve">se recibió en este Instituto, a través del </w:t>
      </w:r>
      <w:r w:rsidRPr="00D06374">
        <w:rPr>
          <w:rFonts w:ascii="Palatino Linotype" w:hAnsi="Palatino Linotype" w:cs="Tahoma"/>
          <w:bCs/>
          <w:sz w:val="22"/>
          <w:szCs w:val="22"/>
          <w:lang w:val="es-ES"/>
        </w:rPr>
        <w:t>Sistema de Acceso a la Información Mexiquense (SAIMEX)</w:t>
      </w:r>
      <w:r w:rsidRPr="00D06374">
        <w:rPr>
          <w:rFonts w:ascii="Palatino Linotype" w:hAnsi="Palatino Linotype" w:cs="Tahoma"/>
          <w:bCs/>
          <w:sz w:val="22"/>
          <w:szCs w:val="22"/>
        </w:rPr>
        <w:t>, el Recurso de Revisión interpuesto por la parte Recurrente, en contra de la respuesta del Sujeto Obligado, en los siguientes términos:</w:t>
      </w:r>
    </w:p>
    <w:p w14:paraId="0372CFD0"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sz w:val="22"/>
          <w:szCs w:val="22"/>
          <w:lang w:val="es-ES"/>
        </w:rPr>
      </w:pPr>
    </w:p>
    <w:p w14:paraId="669B11E3" w14:textId="77777777" w:rsidR="001D256A" w:rsidRPr="00D06374" w:rsidRDefault="001D256A" w:rsidP="001D256A">
      <w:pPr>
        <w:tabs>
          <w:tab w:val="left" w:pos="4667"/>
        </w:tabs>
        <w:spacing w:line="360" w:lineRule="auto"/>
        <w:ind w:left="567" w:right="567"/>
        <w:jc w:val="both"/>
        <w:rPr>
          <w:rFonts w:ascii="Palatino Linotype" w:hAnsi="Palatino Linotype" w:cs="Tahoma"/>
          <w:b/>
          <w:bCs/>
          <w:i/>
        </w:rPr>
      </w:pPr>
      <w:r w:rsidRPr="00D06374">
        <w:rPr>
          <w:rFonts w:ascii="Palatino Linotype" w:hAnsi="Palatino Linotype" w:cs="Tahoma"/>
          <w:b/>
          <w:bCs/>
          <w:i/>
        </w:rPr>
        <w:t>“ACTO IMPUGNADO</w:t>
      </w:r>
    </w:p>
    <w:p w14:paraId="660A1B90" w14:textId="77777777" w:rsidR="001D256A" w:rsidRPr="00D06374" w:rsidRDefault="001D256A" w:rsidP="001D256A">
      <w:pPr>
        <w:tabs>
          <w:tab w:val="left" w:pos="4667"/>
        </w:tabs>
        <w:spacing w:line="360" w:lineRule="auto"/>
        <w:ind w:left="567" w:right="567"/>
        <w:jc w:val="both"/>
        <w:rPr>
          <w:rFonts w:ascii="Palatino Linotype" w:hAnsi="Palatino Linotype" w:cs="Tahoma"/>
          <w:bCs/>
          <w:i/>
          <w:iCs/>
        </w:rPr>
      </w:pPr>
      <w:r w:rsidRPr="00D06374">
        <w:rPr>
          <w:rFonts w:ascii="Palatino Linotype" w:hAnsi="Palatino Linotype"/>
          <w:i/>
          <w:iCs/>
          <w:color w:val="000000"/>
        </w:rPr>
        <w:t>NO ENTREGA INFORMACIÓN</w:t>
      </w:r>
      <w:r w:rsidRPr="00D06374">
        <w:rPr>
          <w:rFonts w:ascii="Palatino Linotype" w:hAnsi="Palatino Linotype" w:cs="Tahoma"/>
          <w:bCs/>
          <w:i/>
          <w:iCs/>
        </w:rPr>
        <w:t>” (Sic.)</w:t>
      </w:r>
    </w:p>
    <w:p w14:paraId="2CD044F2" w14:textId="77777777" w:rsidR="001D256A" w:rsidRPr="00D06374" w:rsidRDefault="001D256A" w:rsidP="001D256A">
      <w:pPr>
        <w:tabs>
          <w:tab w:val="left" w:pos="4667"/>
        </w:tabs>
        <w:spacing w:line="360" w:lineRule="auto"/>
        <w:ind w:left="567" w:right="567"/>
        <w:jc w:val="both"/>
        <w:rPr>
          <w:rFonts w:ascii="Palatino Linotype" w:hAnsi="Palatino Linotype" w:cs="Tahoma"/>
          <w:b/>
          <w:bCs/>
          <w:i/>
        </w:rPr>
      </w:pPr>
    </w:p>
    <w:p w14:paraId="4CF1C564" w14:textId="77777777" w:rsidR="001D256A" w:rsidRPr="00D06374" w:rsidRDefault="001D256A" w:rsidP="001D256A">
      <w:pPr>
        <w:tabs>
          <w:tab w:val="left" w:pos="4667"/>
        </w:tabs>
        <w:spacing w:line="360" w:lineRule="auto"/>
        <w:ind w:left="567" w:right="567"/>
        <w:jc w:val="both"/>
        <w:rPr>
          <w:rFonts w:ascii="Palatino Linotype" w:hAnsi="Palatino Linotype" w:cs="Tahoma"/>
          <w:b/>
          <w:bCs/>
          <w:i/>
        </w:rPr>
      </w:pPr>
      <w:r w:rsidRPr="00D06374">
        <w:rPr>
          <w:rFonts w:ascii="Palatino Linotype" w:hAnsi="Palatino Linotype" w:cs="Tahoma"/>
          <w:b/>
          <w:bCs/>
          <w:i/>
        </w:rPr>
        <w:t>“RAZONES O MOTIVOS DE LA INCONFORMIDAD</w:t>
      </w:r>
    </w:p>
    <w:p w14:paraId="722E601F" w14:textId="77777777" w:rsidR="001D256A" w:rsidRPr="00D06374" w:rsidRDefault="001D256A" w:rsidP="001D256A">
      <w:pPr>
        <w:tabs>
          <w:tab w:val="left" w:pos="4667"/>
        </w:tabs>
        <w:spacing w:line="360" w:lineRule="auto"/>
        <w:ind w:left="567" w:right="567"/>
        <w:jc w:val="both"/>
        <w:rPr>
          <w:rFonts w:ascii="Palatino Linotype" w:hAnsi="Palatino Linotype" w:cs="Tahoma"/>
          <w:i/>
        </w:rPr>
      </w:pPr>
      <w:r w:rsidRPr="00D06374">
        <w:rPr>
          <w:rFonts w:ascii="Palatino Linotype" w:hAnsi="Palatino Linotype"/>
          <w:i/>
          <w:iCs/>
          <w:color w:val="000000"/>
        </w:rPr>
        <w:t>NO ENTREGA INFORMACIÓN</w:t>
      </w:r>
      <w:r w:rsidRPr="00D06374">
        <w:rPr>
          <w:rFonts w:ascii="Palatino Linotype" w:hAnsi="Palatino Linotype" w:cs="Tahoma"/>
          <w:i/>
        </w:rPr>
        <w:t>” (Sic.)</w:t>
      </w:r>
    </w:p>
    <w:p w14:paraId="782A7A72" w14:textId="77777777" w:rsidR="001D256A" w:rsidRPr="00D06374" w:rsidRDefault="001D256A" w:rsidP="001D256A">
      <w:pPr>
        <w:spacing w:line="360" w:lineRule="auto"/>
        <w:jc w:val="both"/>
        <w:rPr>
          <w:rFonts w:ascii="Palatino Linotype" w:hAnsi="Palatino Linotype" w:cs="Tahoma"/>
          <w:b/>
          <w:sz w:val="22"/>
          <w:szCs w:val="22"/>
        </w:rPr>
      </w:pPr>
    </w:p>
    <w:p w14:paraId="10A86AEB" w14:textId="77777777" w:rsidR="001D256A" w:rsidRPr="00D06374" w:rsidRDefault="001D256A" w:rsidP="001D256A">
      <w:pPr>
        <w:spacing w:line="360" w:lineRule="auto"/>
        <w:jc w:val="both"/>
        <w:rPr>
          <w:rFonts w:ascii="Palatino Linotype" w:eastAsia="Batang" w:hAnsi="Palatino Linotype" w:cs="Tahoma"/>
          <w:b/>
          <w:bCs/>
          <w:sz w:val="22"/>
          <w:szCs w:val="22"/>
        </w:rPr>
      </w:pPr>
      <w:r w:rsidRPr="00D06374">
        <w:rPr>
          <w:rFonts w:ascii="Palatino Linotype" w:hAnsi="Palatino Linotype" w:cs="Tahoma"/>
          <w:b/>
          <w:sz w:val="22"/>
          <w:szCs w:val="22"/>
        </w:rPr>
        <w:t xml:space="preserve">V. </w:t>
      </w:r>
      <w:r w:rsidRPr="00D06374">
        <w:rPr>
          <w:rFonts w:ascii="Palatino Linotype" w:eastAsia="Batang" w:hAnsi="Palatino Linotype" w:cs="Tahoma"/>
          <w:b/>
          <w:bCs/>
          <w:sz w:val="22"/>
          <w:szCs w:val="22"/>
        </w:rPr>
        <w:t xml:space="preserve">Trámite del </w:t>
      </w:r>
      <w:r w:rsidRPr="00D06374">
        <w:rPr>
          <w:rFonts w:ascii="Palatino Linotype" w:hAnsi="Palatino Linotype" w:cs="Tahoma"/>
          <w:b/>
          <w:sz w:val="22"/>
          <w:szCs w:val="22"/>
        </w:rPr>
        <w:t xml:space="preserve">Recurso de Revisión </w:t>
      </w:r>
      <w:r w:rsidRPr="00D06374">
        <w:rPr>
          <w:rFonts w:ascii="Palatino Linotype" w:eastAsia="Batang" w:hAnsi="Palatino Linotype" w:cs="Tahoma"/>
          <w:b/>
          <w:bCs/>
          <w:sz w:val="22"/>
          <w:szCs w:val="22"/>
        </w:rPr>
        <w:t>ante el Instituto.</w:t>
      </w:r>
    </w:p>
    <w:p w14:paraId="281A6475" w14:textId="77777777" w:rsidR="001D256A" w:rsidRPr="00D06374" w:rsidRDefault="001D256A" w:rsidP="001D256A">
      <w:pPr>
        <w:spacing w:line="360" w:lineRule="auto"/>
        <w:jc w:val="both"/>
        <w:rPr>
          <w:rFonts w:ascii="Palatino Linotype" w:eastAsia="Batang" w:hAnsi="Palatino Linotype" w:cs="Tahoma"/>
          <w:b/>
          <w:bCs/>
          <w:sz w:val="22"/>
          <w:szCs w:val="22"/>
        </w:rPr>
      </w:pPr>
    </w:p>
    <w:p w14:paraId="178CA0FE" w14:textId="27369638" w:rsidR="001D256A" w:rsidRPr="00D06374" w:rsidRDefault="001D256A" w:rsidP="001D256A">
      <w:pPr>
        <w:spacing w:line="360" w:lineRule="auto"/>
        <w:jc w:val="both"/>
        <w:rPr>
          <w:rFonts w:ascii="Palatino Linotype" w:eastAsia="Batang" w:hAnsi="Palatino Linotype" w:cs="Tahoma"/>
          <w:bCs/>
          <w:sz w:val="22"/>
          <w:szCs w:val="22"/>
        </w:rPr>
      </w:pPr>
      <w:r w:rsidRPr="00D06374">
        <w:rPr>
          <w:rFonts w:ascii="Palatino Linotype" w:eastAsia="Batang" w:hAnsi="Palatino Linotype" w:cs="Tahoma"/>
          <w:b/>
          <w:bCs/>
          <w:sz w:val="22"/>
          <w:szCs w:val="22"/>
        </w:rPr>
        <w:t xml:space="preserve">a) Turno del </w:t>
      </w:r>
      <w:r w:rsidRPr="00D06374">
        <w:rPr>
          <w:rFonts w:ascii="Palatino Linotype" w:hAnsi="Palatino Linotype" w:cs="Tahoma"/>
          <w:b/>
          <w:sz w:val="22"/>
          <w:szCs w:val="22"/>
        </w:rPr>
        <w:t>Recurso de Revisión</w:t>
      </w:r>
      <w:r w:rsidRPr="00D06374">
        <w:rPr>
          <w:rFonts w:ascii="Palatino Linotype" w:eastAsia="Batang" w:hAnsi="Palatino Linotype" w:cs="Tahoma"/>
          <w:b/>
          <w:bCs/>
          <w:sz w:val="22"/>
          <w:szCs w:val="22"/>
        </w:rPr>
        <w:t xml:space="preserve">. </w:t>
      </w:r>
      <w:r w:rsidRPr="00D06374">
        <w:rPr>
          <w:rFonts w:ascii="Palatino Linotype" w:eastAsia="Batang" w:hAnsi="Palatino Linotype" w:cs="Tahoma"/>
          <w:bCs/>
          <w:sz w:val="22"/>
          <w:szCs w:val="22"/>
        </w:rPr>
        <w:t xml:space="preserve">El siete de diciembre de dos mil veintidós, el </w:t>
      </w:r>
      <w:r w:rsidRPr="00D06374">
        <w:rPr>
          <w:rFonts w:ascii="Palatino Linotype" w:hAnsi="Palatino Linotype" w:cs="Tahoma"/>
          <w:sz w:val="22"/>
          <w:szCs w:val="22"/>
          <w:lang w:val="es-ES"/>
        </w:rPr>
        <w:t>Sistema de Acceso a la Información Mexiquense (SAIMEX),</w:t>
      </w:r>
      <w:r w:rsidRPr="00D06374">
        <w:rPr>
          <w:rFonts w:ascii="Palatino Linotype" w:eastAsia="Batang" w:hAnsi="Palatino Linotype" w:cs="Tahoma"/>
          <w:bCs/>
          <w:sz w:val="22"/>
          <w:szCs w:val="22"/>
        </w:rPr>
        <w:t xml:space="preserve"> asignó con número de expediente </w:t>
      </w:r>
      <w:r w:rsidR="00A9027A" w:rsidRPr="00D06374">
        <w:rPr>
          <w:rFonts w:ascii="Palatino Linotype" w:eastAsia="Batang" w:hAnsi="Palatino Linotype" w:cs="Tahoma"/>
          <w:b/>
          <w:bCs/>
          <w:sz w:val="22"/>
          <w:szCs w:val="22"/>
        </w:rPr>
        <w:t>17151/INFOEM/IP/RR/2022</w:t>
      </w:r>
      <w:r w:rsidRPr="00D06374">
        <w:rPr>
          <w:rFonts w:ascii="Palatino Linotype" w:eastAsia="Batang" w:hAnsi="Palatino Linotype" w:cs="Tahoma"/>
          <w:b/>
          <w:bCs/>
          <w:sz w:val="22"/>
          <w:szCs w:val="22"/>
        </w:rPr>
        <w:t xml:space="preserve"> </w:t>
      </w:r>
      <w:r w:rsidRPr="00D06374">
        <w:rPr>
          <w:rFonts w:ascii="Palatino Linotype" w:eastAsia="Batang" w:hAnsi="Palatino Linotype" w:cs="Tahoma"/>
          <w:bCs/>
          <w:sz w:val="22"/>
          <w:szCs w:val="22"/>
        </w:rPr>
        <w:t xml:space="preserve">al Medio de Impugnación que nos ocupa, con base en el sistema </w:t>
      </w:r>
      <w:r w:rsidRPr="00D06374">
        <w:rPr>
          <w:rFonts w:ascii="Palatino Linotype" w:eastAsia="Batang" w:hAnsi="Palatino Linotype" w:cs="Tahoma"/>
          <w:bCs/>
          <w:sz w:val="22"/>
          <w:szCs w:val="22"/>
        </w:rPr>
        <w:lastRenderedPageBreak/>
        <w:t xml:space="preserve">aprobado por el Pleno de este Órgano Garante y lo turnó al </w:t>
      </w:r>
      <w:r w:rsidRPr="00D06374">
        <w:rPr>
          <w:rFonts w:ascii="Palatino Linotype" w:eastAsia="Batang" w:hAnsi="Palatino Linotype" w:cs="Tahoma"/>
          <w:b/>
          <w:bCs/>
          <w:sz w:val="22"/>
          <w:szCs w:val="22"/>
        </w:rPr>
        <w:t>Comisionado Ponente Luis Gustavo Parra Noriega</w:t>
      </w:r>
      <w:r w:rsidRPr="00D0637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908E481" w14:textId="77777777" w:rsidR="001D256A" w:rsidRPr="00D06374" w:rsidRDefault="001D256A" w:rsidP="001D256A">
      <w:pPr>
        <w:spacing w:line="360" w:lineRule="auto"/>
        <w:jc w:val="both"/>
        <w:rPr>
          <w:rFonts w:ascii="Palatino Linotype" w:eastAsia="Batang" w:hAnsi="Palatino Linotype" w:cs="Tahoma"/>
          <w:bCs/>
          <w:sz w:val="22"/>
          <w:szCs w:val="22"/>
        </w:rPr>
      </w:pPr>
    </w:p>
    <w:p w14:paraId="3532CD21" w14:textId="5F6FC1BA" w:rsidR="001D256A" w:rsidRPr="00D06374" w:rsidRDefault="001D256A" w:rsidP="001D256A">
      <w:pPr>
        <w:spacing w:line="360" w:lineRule="auto"/>
        <w:jc w:val="both"/>
        <w:rPr>
          <w:rFonts w:ascii="Palatino Linotype" w:eastAsia="Batang" w:hAnsi="Palatino Linotype" w:cs="Tahoma"/>
          <w:bCs/>
          <w:sz w:val="22"/>
          <w:szCs w:val="22"/>
        </w:rPr>
      </w:pPr>
      <w:r w:rsidRPr="00D06374">
        <w:rPr>
          <w:rFonts w:ascii="Palatino Linotype" w:eastAsia="Batang" w:hAnsi="Palatino Linotype" w:cs="Tahoma"/>
          <w:b/>
          <w:bCs/>
          <w:sz w:val="22"/>
          <w:szCs w:val="22"/>
        </w:rPr>
        <w:t xml:space="preserve">b) Admisión del </w:t>
      </w:r>
      <w:r w:rsidRPr="00D06374">
        <w:rPr>
          <w:rFonts w:ascii="Palatino Linotype" w:hAnsi="Palatino Linotype" w:cs="Tahoma"/>
          <w:b/>
          <w:sz w:val="22"/>
          <w:szCs w:val="22"/>
        </w:rPr>
        <w:t>Recurso de Revisión</w:t>
      </w:r>
      <w:r w:rsidRPr="00D06374">
        <w:rPr>
          <w:rFonts w:ascii="Palatino Linotype" w:eastAsia="Batang" w:hAnsi="Palatino Linotype" w:cs="Tahoma"/>
          <w:b/>
          <w:bCs/>
          <w:sz w:val="22"/>
          <w:szCs w:val="22"/>
        </w:rPr>
        <w:t xml:space="preserve">. </w:t>
      </w:r>
      <w:r w:rsidRPr="00D06374">
        <w:rPr>
          <w:rFonts w:ascii="Palatino Linotype" w:eastAsia="Batang" w:hAnsi="Palatino Linotype" w:cs="Tahoma"/>
          <w:bCs/>
          <w:sz w:val="22"/>
          <w:szCs w:val="22"/>
        </w:rPr>
        <w:t xml:space="preserve">El doce de diciembre de dos mil veintidós,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w:t>
      </w:r>
      <w:r w:rsidR="00645E1F" w:rsidRPr="00D06374">
        <w:rPr>
          <w:rFonts w:ascii="Palatino Linotype" w:eastAsia="Batang" w:hAnsi="Palatino Linotype" w:cs="Tahoma"/>
          <w:bCs/>
          <w:sz w:val="22"/>
          <w:szCs w:val="22"/>
        </w:rPr>
        <w:t>trece de dicho mes y año</w:t>
      </w:r>
      <w:r w:rsidRPr="00D06374">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14:paraId="78F44187" w14:textId="77777777" w:rsidR="001D256A" w:rsidRPr="00D06374" w:rsidRDefault="001D256A" w:rsidP="001D256A">
      <w:pPr>
        <w:spacing w:line="360" w:lineRule="auto"/>
        <w:jc w:val="both"/>
        <w:rPr>
          <w:rFonts w:ascii="Palatino Linotype" w:eastAsia="Batang" w:hAnsi="Palatino Linotype" w:cs="Tahoma"/>
          <w:bCs/>
          <w:sz w:val="22"/>
          <w:szCs w:val="22"/>
        </w:rPr>
      </w:pPr>
    </w:p>
    <w:p w14:paraId="5C2A9FBD" w14:textId="77777777" w:rsidR="00645E1F" w:rsidRPr="00D06374" w:rsidRDefault="00645E1F" w:rsidP="00645E1F">
      <w:pPr>
        <w:spacing w:line="360" w:lineRule="auto"/>
        <w:ind w:right="-28"/>
        <w:jc w:val="both"/>
        <w:rPr>
          <w:rFonts w:ascii="Palatino Linotype" w:hAnsi="Palatino Linotype" w:cs="Tahoma"/>
          <w:bCs/>
          <w:sz w:val="22"/>
          <w:szCs w:val="22"/>
        </w:rPr>
      </w:pPr>
      <w:r w:rsidRPr="00D06374">
        <w:rPr>
          <w:rFonts w:ascii="Palatino Linotype" w:eastAsia="Calibri" w:hAnsi="Palatino Linotype" w:cs="Tahoma"/>
          <w:b/>
          <w:sz w:val="22"/>
          <w:szCs w:val="22"/>
          <w:lang w:eastAsia="en-US"/>
        </w:rPr>
        <w:t xml:space="preserve">c) </w:t>
      </w:r>
      <w:r w:rsidRPr="00D06374">
        <w:rPr>
          <w:rFonts w:ascii="Palatino Linotype" w:hAnsi="Palatino Linotype" w:cs="Tahoma"/>
          <w:b/>
          <w:sz w:val="22"/>
          <w:szCs w:val="22"/>
        </w:rPr>
        <w:t xml:space="preserve">Informe Justificado. </w:t>
      </w:r>
      <w:r w:rsidRPr="00D06374">
        <w:rPr>
          <w:rFonts w:ascii="Palatino Linotype" w:hAnsi="Palatino Linotype" w:cs="Tahoma"/>
          <w:bCs/>
          <w:sz w:val="22"/>
          <w:szCs w:val="22"/>
        </w:rPr>
        <w:t>El seis de enero de dos mil veintitrés, este Instituto recibió, a través del Sistema de Acceso a la Información Mexiquense (SAIMEX), el Informe Justificado del Sujeto Obligado, por medio del oficio sin número, ni fecha, suscrito por el Titular de la Unidad de Transparencia y dirigido al Solicitante, por medio del cual informa lo siguiente:</w:t>
      </w:r>
    </w:p>
    <w:p w14:paraId="2E80E84A" w14:textId="77777777" w:rsidR="001D256A" w:rsidRPr="00D06374" w:rsidRDefault="001D256A" w:rsidP="001D256A">
      <w:pPr>
        <w:spacing w:line="360" w:lineRule="auto"/>
        <w:ind w:right="-28"/>
        <w:jc w:val="both"/>
        <w:rPr>
          <w:rFonts w:ascii="Palatino Linotype" w:hAnsi="Palatino Linotype" w:cs="Tahoma"/>
          <w:bCs/>
          <w:sz w:val="22"/>
          <w:szCs w:val="22"/>
        </w:rPr>
      </w:pPr>
    </w:p>
    <w:p w14:paraId="225C2A90" w14:textId="5B8AADF2" w:rsidR="001D256A" w:rsidRPr="00D06374" w:rsidRDefault="001D256A" w:rsidP="001D256A">
      <w:pPr>
        <w:spacing w:line="360" w:lineRule="auto"/>
        <w:ind w:left="567" w:right="567"/>
        <w:jc w:val="both"/>
        <w:rPr>
          <w:rFonts w:ascii="Palatino Linotype" w:hAnsi="Palatino Linotype" w:cs="Tahoma"/>
          <w:bCs/>
          <w:i/>
          <w:iCs/>
        </w:rPr>
      </w:pPr>
      <w:r w:rsidRPr="00D06374">
        <w:rPr>
          <w:rFonts w:ascii="Palatino Linotype" w:hAnsi="Palatino Linotype" w:cs="Tahoma"/>
          <w:bCs/>
          <w:i/>
          <w:iCs/>
        </w:rPr>
        <w:t>“…</w:t>
      </w:r>
    </w:p>
    <w:p w14:paraId="74E5CF9F" w14:textId="2E5C1F98" w:rsidR="00A9027A" w:rsidRPr="00D06374" w:rsidRDefault="00A9027A" w:rsidP="00A9027A">
      <w:pPr>
        <w:spacing w:line="360" w:lineRule="auto"/>
        <w:ind w:left="567" w:right="567"/>
        <w:jc w:val="both"/>
        <w:rPr>
          <w:rFonts w:ascii="Palatino Linotype" w:hAnsi="Palatino Linotype" w:cs="Tahoma"/>
          <w:bCs/>
          <w:i/>
          <w:iCs/>
        </w:rPr>
      </w:pPr>
      <w:r w:rsidRPr="00D06374">
        <w:rPr>
          <w:rStyle w:val="markedcontent"/>
          <w:rFonts w:ascii="Palatino Linotype" w:hAnsi="Palatino Linotype" w:cs="Arial"/>
          <w:i/>
          <w:iCs/>
        </w:rPr>
        <w:t>Con el fin de poder darle una oportuna contestación al hoy recurrente le informo</w:t>
      </w:r>
      <w:r w:rsidRPr="00D06374">
        <w:rPr>
          <w:rFonts w:ascii="Palatino Linotype" w:hAnsi="Palatino Linotype"/>
          <w:i/>
          <w:iCs/>
        </w:rPr>
        <w:t xml:space="preserve"> </w:t>
      </w:r>
      <w:r w:rsidRPr="00D06374">
        <w:rPr>
          <w:rStyle w:val="markedcontent"/>
          <w:rFonts w:ascii="Palatino Linotype" w:hAnsi="Palatino Linotype" w:cs="Arial"/>
          <w:i/>
          <w:iCs/>
        </w:rPr>
        <w:t>que este Sujeto Obligado al realizar un análisis en su solicitud procedió a turnarla al</w:t>
      </w:r>
      <w:r w:rsidRPr="00D06374">
        <w:rPr>
          <w:rFonts w:ascii="Palatino Linotype" w:hAnsi="Palatino Linotype"/>
          <w:i/>
          <w:iCs/>
        </w:rPr>
        <w:t xml:space="preserve"> </w:t>
      </w:r>
      <w:r w:rsidRPr="00D06374">
        <w:rPr>
          <w:rStyle w:val="markedcontent"/>
          <w:rFonts w:ascii="Palatino Linotype" w:hAnsi="Palatino Linotype" w:cs="Arial"/>
          <w:i/>
          <w:iCs/>
        </w:rPr>
        <w:t>Servidor Público Habilitado poseedor de la información, mismo que nos informa que</w:t>
      </w:r>
      <w:r w:rsidRPr="00D06374">
        <w:rPr>
          <w:rFonts w:ascii="Palatino Linotype" w:hAnsi="Palatino Linotype"/>
          <w:i/>
          <w:iCs/>
        </w:rPr>
        <w:t xml:space="preserve"> </w:t>
      </w:r>
      <w:r w:rsidRPr="00D06374">
        <w:rPr>
          <w:rStyle w:val="markedcontent"/>
          <w:rFonts w:ascii="Palatino Linotype" w:hAnsi="Palatino Linotype" w:cs="Arial"/>
          <w:i/>
          <w:iCs/>
        </w:rPr>
        <w:t>lo solicitado se encuentra dentro del Sistema de Información Pública de Oficio</w:t>
      </w:r>
      <w:r w:rsidRPr="00D06374">
        <w:rPr>
          <w:rFonts w:ascii="Palatino Linotype" w:hAnsi="Palatino Linotype"/>
          <w:i/>
          <w:iCs/>
        </w:rPr>
        <w:t xml:space="preserve"> </w:t>
      </w:r>
      <w:r w:rsidRPr="00D06374">
        <w:rPr>
          <w:rStyle w:val="markedcontent"/>
          <w:rFonts w:ascii="Palatino Linotype" w:hAnsi="Palatino Linotype" w:cs="Arial"/>
          <w:i/>
          <w:iCs/>
        </w:rPr>
        <w:t>Mexiquense (IPOMEX), cabe hacer mención que dentro de dicho sistema se carga</w:t>
      </w:r>
      <w:r w:rsidRPr="00D06374">
        <w:rPr>
          <w:rFonts w:ascii="Palatino Linotype" w:hAnsi="Palatino Linotype"/>
          <w:i/>
          <w:iCs/>
        </w:rPr>
        <w:t xml:space="preserve"> </w:t>
      </w:r>
      <w:r w:rsidRPr="00D06374">
        <w:rPr>
          <w:rStyle w:val="markedcontent"/>
          <w:rFonts w:ascii="Palatino Linotype" w:hAnsi="Palatino Linotype" w:cs="Arial"/>
          <w:i/>
          <w:iCs/>
        </w:rPr>
        <w:t>la información que este Sujeto Obligado debe transparentar de conformidad con</w:t>
      </w:r>
      <w:r w:rsidRPr="00D06374">
        <w:rPr>
          <w:rFonts w:ascii="Palatino Linotype" w:hAnsi="Palatino Linotype"/>
          <w:i/>
          <w:iCs/>
        </w:rPr>
        <w:t xml:space="preserve"> </w:t>
      </w:r>
      <w:r w:rsidRPr="00D06374">
        <w:rPr>
          <w:rStyle w:val="markedcontent"/>
          <w:rFonts w:ascii="Palatino Linotype" w:hAnsi="Palatino Linotype" w:cs="Arial"/>
          <w:i/>
          <w:iCs/>
        </w:rPr>
        <w:t>la Ley de Transparencia y Acceso a la información Pública de Oficio Mexiquense</w:t>
      </w:r>
      <w:r w:rsidRPr="00D06374">
        <w:rPr>
          <w:rFonts w:ascii="Palatino Linotype" w:hAnsi="Palatino Linotype"/>
          <w:i/>
          <w:iCs/>
        </w:rPr>
        <w:t xml:space="preserve"> </w:t>
      </w:r>
      <w:r w:rsidRPr="00D06374">
        <w:rPr>
          <w:rStyle w:val="markedcontent"/>
          <w:rFonts w:ascii="Palatino Linotype" w:hAnsi="Palatino Linotype" w:cs="Arial"/>
          <w:i/>
          <w:iCs/>
        </w:rPr>
        <w:t>del Estado de México y Municipios en su artículo 94, por lo anteriormente expuesto</w:t>
      </w:r>
      <w:r w:rsidRPr="00D06374">
        <w:rPr>
          <w:rFonts w:ascii="Palatino Linotype" w:hAnsi="Palatino Linotype"/>
          <w:i/>
          <w:iCs/>
        </w:rPr>
        <w:t xml:space="preserve"> </w:t>
      </w:r>
      <w:r w:rsidRPr="00D06374">
        <w:rPr>
          <w:rStyle w:val="markedcontent"/>
          <w:rFonts w:ascii="Palatino Linotype" w:hAnsi="Palatino Linotype" w:cs="Arial"/>
          <w:i/>
          <w:iCs/>
        </w:rPr>
        <w:t>se proporciona enlace para la consulta de lo peticionado:</w:t>
      </w:r>
    </w:p>
    <w:p w14:paraId="52692094" w14:textId="2613A309" w:rsidR="00A9027A" w:rsidRPr="00D06374" w:rsidRDefault="00A9027A" w:rsidP="001D256A">
      <w:pPr>
        <w:spacing w:line="360" w:lineRule="auto"/>
        <w:ind w:left="567" w:right="567"/>
        <w:jc w:val="both"/>
        <w:rPr>
          <w:rFonts w:ascii="Palatino Linotype" w:hAnsi="Palatino Linotype" w:cs="Tahoma"/>
          <w:bCs/>
          <w:i/>
          <w:iCs/>
        </w:rPr>
      </w:pPr>
    </w:p>
    <w:p w14:paraId="5A625EDE" w14:textId="03DC0C9E" w:rsidR="00A9027A" w:rsidRPr="00D06374" w:rsidRDefault="00D06374" w:rsidP="001D256A">
      <w:pPr>
        <w:spacing w:line="360" w:lineRule="auto"/>
        <w:ind w:left="567" w:right="567"/>
        <w:jc w:val="both"/>
        <w:rPr>
          <w:rFonts w:ascii="Palatino Linotype" w:hAnsi="Palatino Linotype" w:cs="Tahoma"/>
          <w:bCs/>
          <w:i/>
          <w:iCs/>
        </w:rPr>
      </w:pPr>
      <w:hyperlink r:id="rId8" w:history="1">
        <w:r w:rsidR="00A9027A" w:rsidRPr="00D06374">
          <w:rPr>
            <w:rStyle w:val="Hipervnculo"/>
            <w:rFonts w:ascii="Palatino Linotype" w:hAnsi="Palatino Linotype" w:cs="Tahoma"/>
            <w:bCs/>
            <w:i/>
            <w:iCs/>
          </w:rPr>
          <w:t>https://www.ipomex.org.mx/ipo3/lgt/indice/ZINACANTEPEC/art_92_xxxv_a.web</w:t>
        </w:r>
      </w:hyperlink>
      <w:r w:rsidR="00A9027A" w:rsidRPr="00D06374">
        <w:rPr>
          <w:rFonts w:ascii="Palatino Linotype" w:hAnsi="Palatino Linotype" w:cs="Tahoma"/>
          <w:bCs/>
          <w:i/>
          <w:iCs/>
        </w:rPr>
        <w:t xml:space="preserve"> </w:t>
      </w:r>
    </w:p>
    <w:p w14:paraId="6B287DCA" w14:textId="77777777" w:rsidR="001D256A" w:rsidRPr="00D06374" w:rsidRDefault="001D256A" w:rsidP="00A9027A">
      <w:pPr>
        <w:spacing w:line="360" w:lineRule="auto"/>
        <w:ind w:right="567"/>
        <w:jc w:val="both"/>
        <w:rPr>
          <w:rFonts w:ascii="Palatino Linotype" w:hAnsi="Palatino Linotype" w:cs="Tahoma"/>
          <w:bCs/>
          <w:i/>
          <w:iCs/>
        </w:rPr>
      </w:pPr>
    </w:p>
    <w:p w14:paraId="0B6EA8E5" w14:textId="77777777" w:rsidR="001D256A" w:rsidRPr="00D06374" w:rsidRDefault="001D256A" w:rsidP="001D256A">
      <w:pPr>
        <w:spacing w:line="360" w:lineRule="auto"/>
        <w:ind w:left="567" w:right="567"/>
        <w:jc w:val="center"/>
        <w:rPr>
          <w:rFonts w:ascii="Palatino Linotype" w:hAnsi="Palatino Linotype" w:cs="Tahoma"/>
          <w:bCs/>
          <w:i/>
          <w:iCs/>
        </w:rPr>
      </w:pPr>
      <w:r w:rsidRPr="00D06374">
        <w:rPr>
          <w:rFonts w:ascii="Palatino Linotype" w:hAnsi="Palatino Linotype" w:cs="Tahoma"/>
          <w:bCs/>
          <w:i/>
          <w:iCs/>
        </w:rPr>
        <w:t>CONCLUSIÓN</w:t>
      </w:r>
    </w:p>
    <w:p w14:paraId="2F520C12" w14:textId="77777777" w:rsidR="001D256A" w:rsidRPr="00D06374" w:rsidRDefault="001D256A" w:rsidP="001D256A">
      <w:pPr>
        <w:spacing w:line="360" w:lineRule="auto"/>
        <w:ind w:left="567" w:right="567"/>
        <w:jc w:val="center"/>
        <w:rPr>
          <w:rFonts w:ascii="Palatino Linotype" w:hAnsi="Palatino Linotype" w:cs="Tahoma"/>
          <w:bCs/>
          <w:i/>
          <w:iCs/>
        </w:rPr>
      </w:pPr>
    </w:p>
    <w:p w14:paraId="79A5CED3" w14:textId="77777777" w:rsidR="001D256A" w:rsidRPr="00D06374" w:rsidRDefault="001D256A" w:rsidP="001D256A">
      <w:pPr>
        <w:spacing w:line="360" w:lineRule="auto"/>
        <w:ind w:left="567" w:right="567"/>
        <w:jc w:val="both"/>
        <w:rPr>
          <w:rFonts w:ascii="Palatino Linotype" w:hAnsi="Palatino Linotype" w:cs="Tahoma"/>
          <w:bCs/>
          <w:i/>
          <w:iCs/>
        </w:rPr>
      </w:pPr>
      <w:r w:rsidRPr="00D06374">
        <w:rPr>
          <w:rFonts w:ascii="Palatino Linotype" w:hAnsi="Palatino Linotype" w:cs="Tahoma"/>
          <w:bCs/>
          <w:i/>
          <w:iCs/>
        </w:rPr>
        <w:t>PRIMERO: Se dan por concluidos el desahogo y la respuesta de la solicitud de información.</w:t>
      </w:r>
    </w:p>
    <w:p w14:paraId="68FC6F02" w14:textId="77777777" w:rsidR="001D256A" w:rsidRPr="00D06374" w:rsidRDefault="001D256A" w:rsidP="001D256A">
      <w:pPr>
        <w:spacing w:line="360" w:lineRule="auto"/>
        <w:ind w:left="567" w:right="567"/>
        <w:jc w:val="both"/>
        <w:rPr>
          <w:rFonts w:ascii="Palatino Linotype" w:hAnsi="Palatino Linotype" w:cs="Tahoma"/>
          <w:bCs/>
          <w:i/>
          <w:iCs/>
        </w:rPr>
      </w:pPr>
      <w:r w:rsidRPr="00D06374">
        <w:rPr>
          <w:rFonts w:ascii="Palatino Linotype" w:hAnsi="Palatino Linotype" w:cs="Tahoma"/>
          <w:bCs/>
          <w:i/>
          <w:iCs/>
        </w:rPr>
        <w:t xml:space="preserve">…” (Sic) </w:t>
      </w:r>
    </w:p>
    <w:p w14:paraId="373B9165" w14:textId="77777777" w:rsidR="001D256A" w:rsidRPr="00D06374" w:rsidRDefault="001D256A" w:rsidP="001D256A">
      <w:pPr>
        <w:spacing w:line="360" w:lineRule="auto"/>
        <w:ind w:right="-28"/>
        <w:jc w:val="both"/>
        <w:rPr>
          <w:rFonts w:ascii="Palatino Linotype" w:hAnsi="Palatino Linotype" w:cs="Tahoma"/>
          <w:bCs/>
          <w:sz w:val="22"/>
          <w:szCs w:val="22"/>
        </w:rPr>
      </w:pPr>
    </w:p>
    <w:p w14:paraId="0345983A" w14:textId="77777777" w:rsidR="001D256A" w:rsidRPr="00D06374" w:rsidRDefault="001D256A" w:rsidP="001D256A">
      <w:pPr>
        <w:spacing w:line="360" w:lineRule="auto"/>
        <w:jc w:val="both"/>
        <w:rPr>
          <w:rFonts w:ascii="Palatino Linotype" w:eastAsiaTheme="minorHAnsi" w:hAnsi="Palatino Linotype" w:cs="Tahoma"/>
          <w:color w:val="000000" w:themeColor="text1"/>
          <w:sz w:val="22"/>
          <w:szCs w:val="22"/>
          <w:lang w:eastAsia="en-US"/>
        </w:rPr>
      </w:pPr>
      <w:r w:rsidRPr="00D06374">
        <w:rPr>
          <w:rFonts w:ascii="Palatino Linotype" w:eastAsiaTheme="minorHAnsi" w:hAnsi="Palatino Linotype" w:cs="Tahoma"/>
          <w:b/>
          <w:bCs/>
          <w:color w:val="000000" w:themeColor="text1"/>
          <w:sz w:val="22"/>
          <w:szCs w:val="22"/>
          <w:lang w:eastAsia="en-US"/>
        </w:rPr>
        <w:t xml:space="preserve">d) Vista del Informe Justificado: </w:t>
      </w:r>
      <w:r w:rsidRPr="00D06374">
        <w:rPr>
          <w:rFonts w:ascii="Palatino Linotype" w:eastAsiaTheme="minorHAnsi" w:hAnsi="Palatino Linotype" w:cs="Tahoma"/>
          <w:color w:val="000000" w:themeColor="text1"/>
          <w:sz w:val="22"/>
          <w:szCs w:val="22"/>
          <w:lang w:eastAsia="en-US"/>
        </w:rPr>
        <w:t xml:space="preserve">El veinticinco de enero de dos mil veintitrés, se dictó acuerdo, por medio del cual </w:t>
      </w:r>
      <w:r w:rsidRPr="00D06374">
        <w:rPr>
          <w:rFonts w:ascii="Palatino Linotype" w:eastAsiaTheme="minorHAnsi" w:hAnsi="Palatino Linotype" w:cs="Tahoma"/>
          <w:b/>
          <w:color w:val="000000" w:themeColor="text1"/>
          <w:sz w:val="22"/>
          <w:szCs w:val="22"/>
          <w:lang w:eastAsia="en-US"/>
        </w:rPr>
        <w:t>se puso a la vista del Recurrente el Informe Justificado y sus anexos</w:t>
      </w:r>
      <w:r w:rsidRPr="00D06374">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Pr="00D06374">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w:t>
      </w:r>
    </w:p>
    <w:p w14:paraId="1FED95F4" w14:textId="77777777" w:rsidR="001D256A" w:rsidRPr="00D06374" w:rsidRDefault="001D256A" w:rsidP="001D256A">
      <w:pPr>
        <w:spacing w:line="360" w:lineRule="auto"/>
        <w:ind w:left="708" w:hanging="708"/>
        <w:jc w:val="both"/>
        <w:rPr>
          <w:rFonts w:ascii="Palatino Linotype" w:eastAsiaTheme="minorHAnsi" w:hAnsi="Palatino Linotype" w:cs="Tahoma"/>
          <w:color w:val="000000" w:themeColor="text1"/>
          <w:sz w:val="22"/>
          <w:szCs w:val="22"/>
          <w:lang w:eastAsia="en-US"/>
        </w:rPr>
      </w:pPr>
    </w:p>
    <w:p w14:paraId="789E83E9" w14:textId="77777777" w:rsidR="001D256A" w:rsidRPr="00D06374" w:rsidRDefault="001D256A" w:rsidP="001D256A">
      <w:pPr>
        <w:spacing w:line="360" w:lineRule="auto"/>
        <w:ind w:right="-28"/>
        <w:contextualSpacing/>
        <w:jc w:val="both"/>
        <w:rPr>
          <w:rFonts w:ascii="Palatino Linotype" w:eastAsia="Batang" w:hAnsi="Palatino Linotype" w:cs="Tahoma"/>
          <w:bCs/>
          <w:sz w:val="22"/>
          <w:szCs w:val="22"/>
        </w:rPr>
      </w:pPr>
      <w:r w:rsidRPr="00D06374">
        <w:rPr>
          <w:rFonts w:ascii="Palatino Linotype" w:hAnsi="Palatino Linotype" w:cs="Tahoma"/>
          <w:b/>
          <w:bCs/>
          <w:sz w:val="22"/>
          <w:szCs w:val="22"/>
        </w:rPr>
        <w:t xml:space="preserve">e) </w:t>
      </w:r>
      <w:r w:rsidRPr="00D06374">
        <w:rPr>
          <w:rFonts w:ascii="Palatino Linotype" w:hAnsi="Palatino Linotype" w:cs="Tahoma"/>
          <w:b/>
          <w:sz w:val="22"/>
          <w:szCs w:val="22"/>
        </w:rPr>
        <w:t>Cierre de instrucción.</w:t>
      </w:r>
      <w:r w:rsidRPr="00D06374">
        <w:rPr>
          <w:rFonts w:ascii="Palatino Linotype" w:hAnsi="Palatino Linotype" w:cs="Tahoma"/>
          <w:sz w:val="22"/>
          <w:szCs w:val="22"/>
        </w:rPr>
        <w:t xml:space="preserve"> Treinta y uno de enero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D06374">
        <w:rPr>
          <w:rFonts w:ascii="Palatino Linotype" w:hAnsi="Palatino Linotype" w:cs="Tahoma"/>
          <w:sz w:val="22"/>
          <w:szCs w:val="22"/>
          <w:lang w:val="es-ES"/>
        </w:rPr>
        <w:t>Sistema de Acceso a la Información Mexiquense (SAIMEX)</w:t>
      </w:r>
      <w:r w:rsidRPr="00D06374">
        <w:rPr>
          <w:rFonts w:ascii="Palatino Linotype" w:hAnsi="Palatino Linotype" w:cs="Tahoma"/>
          <w:sz w:val="22"/>
          <w:szCs w:val="22"/>
        </w:rPr>
        <w:t>.</w:t>
      </w:r>
      <w:r w:rsidRPr="00D06374">
        <w:rPr>
          <w:rFonts w:ascii="Palatino Linotype" w:eastAsia="Batang" w:hAnsi="Palatino Linotype" w:cs="Tahoma"/>
          <w:bCs/>
          <w:sz w:val="22"/>
          <w:szCs w:val="22"/>
        </w:rPr>
        <w:t xml:space="preserve"> </w:t>
      </w:r>
    </w:p>
    <w:p w14:paraId="7437836B" w14:textId="77777777" w:rsidR="001D256A" w:rsidRPr="00D06374" w:rsidRDefault="001D256A" w:rsidP="001D256A">
      <w:pPr>
        <w:spacing w:line="360" w:lineRule="auto"/>
        <w:ind w:right="-28"/>
        <w:contextualSpacing/>
        <w:jc w:val="both"/>
        <w:rPr>
          <w:rFonts w:ascii="Palatino Linotype" w:eastAsia="Batang" w:hAnsi="Palatino Linotype" w:cs="Tahoma"/>
          <w:bCs/>
          <w:sz w:val="22"/>
          <w:szCs w:val="22"/>
        </w:rPr>
      </w:pPr>
    </w:p>
    <w:p w14:paraId="10B990CB" w14:textId="77777777" w:rsidR="001D256A" w:rsidRPr="00D06374" w:rsidRDefault="001D256A" w:rsidP="001D256A">
      <w:pPr>
        <w:spacing w:line="360" w:lineRule="auto"/>
        <w:jc w:val="both"/>
        <w:rPr>
          <w:rFonts w:ascii="Palatino Linotype" w:hAnsi="Palatino Linotype" w:cs="Tahoma"/>
          <w:sz w:val="22"/>
          <w:szCs w:val="22"/>
        </w:rPr>
      </w:pPr>
      <w:r w:rsidRPr="00D0637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39F46508" w14:textId="77777777" w:rsidR="001D256A" w:rsidRPr="00D06374" w:rsidRDefault="001D256A" w:rsidP="001D256A">
      <w:pPr>
        <w:spacing w:line="360" w:lineRule="auto"/>
        <w:ind w:right="-28"/>
        <w:rPr>
          <w:rFonts w:ascii="Palatino Linotype" w:hAnsi="Palatino Linotype" w:cs="Tahoma"/>
          <w:b/>
          <w:sz w:val="22"/>
          <w:szCs w:val="22"/>
        </w:rPr>
      </w:pPr>
    </w:p>
    <w:p w14:paraId="6FD4C0F7" w14:textId="77777777" w:rsidR="001D256A" w:rsidRPr="00D06374" w:rsidRDefault="001D256A" w:rsidP="001D256A">
      <w:pPr>
        <w:spacing w:line="360" w:lineRule="auto"/>
        <w:ind w:right="-28"/>
        <w:jc w:val="center"/>
        <w:rPr>
          <w:rFonts w:ascii="Palatino Linotype" w:hAnsi="Palatino Linotype" w:cs="Tahoma"/>
          <w:b/>
          <w:sz w:val="22"/>
          <w:szCs w:val="22"/>
          <w:lang w:val="es-ES"/>
        </w:rPr>
      </w:pPr>
      <w:r w:rsidRPr="00D06374">
        <w:rPr>
          <w:rFonts w:ascii="Palatino Linotype" w:hAnsi="Palatino Linotype" w:cs="Tahoma"/>
          <w:b/>
          <w:sz w:val="22"/>
          <w:szCs w:val="22"/>
          <w:lang w:val="es-ES"/>
        </w:rPr>
        <w:t>C O N S I D E R A N D O S</w:t>
      </w:r>
    </w:p>
    <w:p w14:paraId="4FFBB47F" w14:textId="77777777" w:rsidR="001D256A" w:rsidRPr="00D06374" w:rsidRDefault="001D256A" w:rsidP="001D256A">
      <w:pPr>
        <w:spacing w:line="360" w:lineRule="auto"/>
        <w:ind w:right="-28"/>
        <w:jc w:val="center"/>
        <w:rPr>
          <w:rFonts w:ascii="Palatino Linotype" w:hAnsi="Palatino Linotype" w:cs="Tahoma"/>
          <w:b/>
          <w:sz w:val="22"/>
          <w:szCs w:val="22"/>
          <w:lang w:val="es-ES"/>
        </w:rPr>
      </w:pPr>
    </w:p>
    <w:p w14:paraId="06485437"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r w:rsidRPr="00D06374">
        <w:rPr>
          <w:rFonts w:ascii="Palatino Linotype" w:eastAsia="Calibri" w:hAnsi="Palatino Linotype" w:cs="Tahoma"/>
          <w:b/>
          <w:color w:val="000000"/>
          <w:sz w:val="22"/>
          <w:szCs w:val="22"/>
          <w:lang w:val="es-ES" w:eastAsia="es-MX"/>
        </w:rPr>
        <w:t>PRIMERO</w:t>
      </w:r>
      <w:r w:rsidRPr="00D06374">
        <w:rPr>
          <w:rFonts w:ascii="Palatino Linotype" w:eastAsia="Calibri" w:hAnsi="Palatino Linotype" w:cs="Tahoma"/>
          <w:color w:val="000000"/>
          <w:sz w:val="22"/>
          <w:szCs w:val="22"/>
          <w:lang w:val="es-ES" w:eastAsia="es-MX"/>
        </w:rPr>
        <w:t xml:space="preserve">. </w:t>
      </w:r>
      <w:r w:rsidRPr="00D06374">
        <w:rPr>
          <w:rFonts w:ascii="Palatino Linotype" w:hAnsi="Palatino Linotype" w:cs="Tahoma"/>
          <w:b/>
          <w:sz w:val="22"/>
          <w:szCs w:val="22"/>
          <w:lang w:val="es-ES"/>
        </w:rPr>
        <w:t>Competencia.</w:t>
      </w:r>
    </w:p>
    <w:p w14:paraId="1FD380EC" w14:textId="77777777" w:rsidR="001D256A" w:rsidRPr="00D06374" w:rsidRDefault="001D256A" w:rsidP="001D256A">
      <w:pPr>
        <w:autoSpaceDE w:val="0"/>
        <w:autoSpaceDN w:val="0"/>
        <w:adjustRightInd w:val="0"/>
        <w:spacing w:line="360" w:lineRule="auto"/>
        <w:ind w:right="-28"/>
        <w:jc w:val="both"/>
        <w:rPr>
          <w:rFonts w:ascii="Palatino Linotype" w:hAnsi="Palatino Linotype" w:cs="Tahoma"/>
          <w:b/>
          <w:sz w:val="22"/>
          <w:szCs w:val="22"/>
          <w:lang w:val="es-ES"/>
        </w:rPr>
      </w:pPr>
    </w:p>
    <w:p w14:paraId="1005A764" w14:textId="77777777" w:rsidR="001D256A" w:rsidRPr="00D06374" w:rsidRDefault="001D256A" w:rsidP="001D256A">
      <w:pPr>
        <w:spacing w:line="360" w:lineRule="auto"/>
        <w:ind w:right="-28"/>
        <w:jc w:val="both"/>
        <w:rPr>
          <w:rFonts w:ascii="Palatino Linotype" w:hAnsi="Palatino Linotype" w:cs="Tahoma"/>
          <w:color w:val="000000"/>
          <w:sz w:val="22"/>
          <w:szCs w:val="22"/>
        </w:rPr>
      </w:pPr>
      <w:r w:rsidRPr="00D06374">
        <w:rPr>
          <w:rFonts w:ascii="Palatino Linotype" w:hAnsi="Palatino Linotype" w:cs="Tahoma"/>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06374">
        <w:rPr>
          <w:color w:val="000000"/>
        </w:rPr>
        <w:t xml:space="preserve"> 7°, </w:t>
      </w:r>
      <w:r w:rsidRPr="00D0637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43F37002" w14:textId="77777777" w:rsidR="001D256A" w:rsidRPr="00D06374" w:rsidRDefault="001D256A" w:rsidP="001D256A">
      <w:pPr>
        <w:spacing w:line="360" w:lineRule="auto"/>
        <w:ind w:right="-28"/>
        <w:jc w:val="both"/>
        <w:rPr>
          <w:rFonts w:ascii="Palatino Linotype" w:hAnsi="Palatino Linotype" w:cs="Tahoma"/>
          <w:color w:val="000000"/>
          <w:sz w:val="22"/>
          <w:szCs w:val="22"/>
        </w:rPr>
      </w:pPr>
    </w:p>
    <w:p w14:paraId="6D1CDDE8" w14:textId="77777777" w:rsidR="001D256A" w:rsidRPr="00D06374" w:rsidRDefault="001D256A" w:rsidP="001D256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D06374">
        <w:rPr>
          <w:rFonts w:ascii="Palatino Linotype" w:eastAsia="Calibri" w:hAnsi="Palatino Linotype" w:cs="Tahoma"/>
          <w:b/>
          <w:color w:val="000000"/>
          <w:sz w:val="22"/>
          <w:szCs w:val="22"/>
          <w:lang w:val="es-ES" w:eastAsia="es-MX"/>
        </w:rPr>
        <w:t>SEGUNDO. Causales de improcedencia y sobreseimiento.</w:t>
      </w:r>
    </w:p>
    <w:p w14:paraId="0779FDAD" w14:textId="77777777" w:rsidR="001D256A" w:rsidRPr="00D06374" w:rsidRDefault="001D256A" w:rsidP="001D256A">
      <w:pPr>
        <w:autoSpaceDE w:val="0"/>
        <w:autoSpaceDN w:val="0"/>
        <w:adjustRightInd w:val="0"/>
        <w:spacing w:line="360" w:lineRule="auto"/>
        <w:jc w:val="both"/>
        <w:rPr>
          <w:rFonts w:ascii="Palatino Linotype" w:hAnsi="Palatino Linotype" w:cs="Tahoma"/>
          <w:sz w:val="22"/>
          <w:szCs w:val="22"/>
          <w:lang w:val="es-ES"/>
        </w:rPr>
      </w:pPr>
    </w:p>
    <w:p w14:paraId="6E059B01" w14:textId="77777777" w:rsidR="001D256A" w:rsidRPr="00D06374" w:rsidRDefault="001D256A" w:rsidP="001D256A">
      <w:pPr>
        <w:autoSpaceDE w:val="0"/>
        <w:autoSpaceDN w:val="0"/>
        <w:adjustRightInd w:val="0"/>
        <w:spacing w:line="360" w:lineRule="auto"/>
        <w:jc w:val="both"/>
        <w:rPr>
          <w:rFonts w:ascii="Palatino Linotype" w:hAnsi="Palatino Linotype" w:cs="Tahoma"/>
          <w:sz w:val="22"/>
          <w:szCs w:val="22"/>
          <w:lang w:val="es-ES"/>
        </w:rPr>
      </w:pPr>
      <w:r w:rsidRPr="00D0637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D06374">
        <w:rPr>
          <w:rFonts w:ascii="Palatino Linotype" w:hAnsi="Palatino Linotype" w:cs="Tahoma"/>
          <w:i/>
          <w:sz w:val="22"/>
          <w:szCs w:val="22"/>
          <w:lang w:val="es-ES"/>
        </w:rPr>
        <w:t>litis</w:t>
      </w:r>
      <w:r w:rsidRPr="00D06374">
        <w:rPr>
          <w:rFonts w:ascii="Palatino Linotype" w:hAnsi="Palatino Linotype" w:cs="Tahoma"/>
          <w:sz w:val="22"/>
          <w:szCs w:val="22"/>
          <w:lang w:val="es-ES"/>
        </w:rPr>
        <w:t>, es necesario estudiar las causales de improcedencia y sobreseimiento para determinar lo que en Derecho proceda.</w:t>
      </w:r>
    </w:p>
    <w:p w14:paraId="6818684D"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B664464"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06374">
        <w:rPr>
          <w:rFonts w:ascii="Palatino Linotype" w:eastAsia="Calibri" w:hAnsi="Palatino Linotype" w:cs="Tahoma"/>
          <w:b/>
          <w:color w:val="000000"/>
          <w:sz w:val="22"/>
          <w:szCs w:val="22"/>
          <w:lang w:val="es-ES" w:eastAsia="es-MX"/>
        </w:rPr>
        <w:t>Causales de improcedencia.</w:t>
      </w:r>
    </w:p>
    <w:p w14:paraId="6D5A71D0" w14:textId="77777777" w:rsidR="001D256A" w:rsidRPr="00D06374" w:rsidRDefault="001D256A" w:rsidP="001D256A">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41CD2F53" w14:textId="77777777" w:rsidR="001D256A" w:rsidRPr="00D06374" w:rsidRDefault="001D256A" w:rsidP="001D256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D06374">
        <w:rPr>
          <w:rFonts w:ascii="Palatino Linotype" w:eastAsia="Calibri" w:hAnsi="Palatino Linotype" w:cs="Tahoma"/>
          <w:color w:val="000000"/>
          <w:sz w:val="22"/>
          <w:szCs w:val="22"/>
          <w:lang w:val="es-ES" w:eastAsia="es-MX"/>
        </w:rPr>
        <w:t xml:space="preserve">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D06374">
        <w:rPr>
          <w:rFonts w:ascii="Palatino Linotype" w:eastAsia="Calibri" w:hAnsi="Palatino Linotype" w:cs="Tahoma"/>
          <w:color w:val="000000"/>
          <w:sz w:val="22"/>
          <w:szCs w:val="22"/>
          <w:lang w:val="es-ES" w:eastAsia="es-MX"/>
        </w:rPr>
        <w:lastRenderedPageBreak/>
        <w:t>supuestos establecidos en el artículo 191 de la Ley de Transparencia y Acceso a la Información Pública del Estado de México y Municipios, por ser improcedente.</w:t>
      </w:r>
    </w:p>
    <w:p w14:paraId="779D593E" w14:textId="77777777" w:rsidR="001D256A" w:rsidRPr="00D06374" w:rsidRDefault="001D256A" w:rsidP="001D256A">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6A759469"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06374">
        <w:rPr>
          <w:rFonts w:ascii="Palatino Linotype" w:hAnsi="Palatino Linotype" w:cs="Tahoma"/>
          <w:sz w:val="22"/>
          <w:szCs w:val="24"/>
        </w:rPr>
        <w:t>En el presente caso, </w:t>
      </w:r>
      <w:r w:rsidRPr="00D06374">
        <w:rPr>
          <w:rFonts w:ascii="Palatino Linotype" w:hAnsi="Palatino Linotype" w:cs="Tahoma"/>
          <w:b/>
          <w:bCs/>
          <w:sz w:val="22"/>
          <w:szCs w:val="24"/>
        </w:rPr>
        <w:t>no se actualiza ninguna de las causales de improcedencia</w:t>
      </w:r>
      <w:r w:rsidRPr="00D06374">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D06374">
        <w:rPr>
          <w:rFonts w:ascii="Palatino Linotype" w:hAnsi="Palatino Linotype" w:cs="Tahoma"/>
          <w:sz w:val="22"/>
          <w:szCs w:val="22"/>
          <w:lang w:val="es-ES"/>
        </w:rPr>
        <w:t xml:space="preserve">además de que </w:t>
      </w:r>
      <w:r w:rsidRPr="00D06374">
        <w:rPr>
          <w:rFonts w:ascii="Palatino Linotype" w:eastAsia="Calibri" w:hAnsi="Palatino Linotype" w:cs="Tahoma"/>
          <w:color w:val="000000"/>
          <w:sz w:val="22"/>
          <w:szCs w:val="22"/>
          <w:lang w:val="es-ES" w:eastAsia="es-MX"/>
        </w:rPr>
        <w:t>el medio de impugnación fue presentado en tiempo.</w:t>
      </w:r>
    </w:p>
    <w:p w14:paraId="3BCB67C5"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558D26D" w14:textId="77777777" w:rsidR="001D256A" w:rsidRPr="00D06374" w:rsidRDefault="001D256A" w:rsidP="001D256A">
      <w:pPr>
        <w:widowControl w:val="0"/>
        <w:spacing w:line="360" w:lineRule="auto"/>
        <w:jc w:val="both"/>
        <w:rPr>
          <w:rFonts w:ascii="Palatino Linotype" w:hAnsi="Palatino Linotype" w:cs="Tahoma"/>
          <w:sz w:val="22"/>
          <w:szCs w:val="22"/>
        </w:rPr>
      </w:pPr>
      <w:r w:rsidRPr="00D06374">
        <w:rPr>
          <w:rFonts w:ascii="Palatino Linotype" w:hAnsi="Palatino Linotype" w:cs="Tahoma"/>
          <w:sz w:val="22"/>
          <w:szCs w:val="22"/>
        </w:rPr>
        <w:t xml:space="preserve">Asimismo, se actualiza la causal de procedencia del Recurso de Revisión señalada en el artículo 179, fracción VII, de la Ley en cita, </w:t>
      </w:r>
      <w:r w:rsidRPr="00D06374">
        <w:rPr>
          <w:rFonts w:ascii="Palatino Linotype" w:eastAsia="Calibri" w:hAnsi="Palatino Linotype" w:cs="Tahoma"/>
          <w:color w:val="000000"/>
          <w:sz w:val="22"/>
          <w:szCs w:val="22"/>
          <w:lang w:eastAsia="es-MX"/>
        </w:rPr>
        <w:t xml:space="preserve">pues la Recurrente se inconformó con </w:t>
      </w:r>
      <w:r w:rsidRPr="00D06374">
        <w:rPr>
          <w:rFonts w:ascii="Palatino Linotype" w:hAnsi="Palatino Linotype" w:cs="Tahoma"/>
          <w:sz w:val="22"/>
          <w:szCs w:val="22"/>
        </w:rPr>
        <w:t>la falta de respuesta a su solicitud de acceso a la información pública.</w:t>
      </w:r>
    </w:p>
    <w:p w14:paraId="3B8D5B9E" w14:textId="77777777" w:rsidR="001D256A" w:rsidRPr="00D06374" w:rsidRDefault="001D256A" w:rsidP="001D256A">
      <w:pPr>
        <w:widowControl w:val="0"/>
        <w:spacing w:line="360" w:lineRule="auto"/>
        <w:jc w:val="both"/>
        <w:rPr>
          <w:rFonts w:ascii="Palatino Linotype" w:hAnsi="Palatino Linotype"/>
          <w:color w:val="222222"/>
        </w:rPr>
      </w:pPr>
    </w:p>
    <w:p w14:paraId="390082D5" w14:textId="77777777" w:rsidR="001D256A" w:rsidRPr="00D06374" w:rsidRDefault="001D256A" w:rsidP="001D256A">
      <w:pPr>
        <w:spacing w:line="360" w:lineRule="auto"/>
        <w:ind w:right="-28"/>
        <w:jc w:val="both"/>
        <w:rPr>
          <w:rFonts w:ascii="Palatino Linotype" w:eastAsia="Calibri" w:hAnsi="Palatino Linotype" w:cs="Tahoma"/>
          <w:b/>
          <w:sz w:val="22"/>
          <w:szCs w:val="22"/>
          <w:lang w:val="es-ES" w:eastAsia="es-ES_tradnl"/>
        </w:rPr>
      </w:pPr>
      <w:r w:rsidRPr="00D06374">
        <w:rPr>
          <w:rFonts w:ascii="Palatino Linotype" w:eastAsia="Calibri" w:hAnsi="Palatino Linotype" w:cs="Tahoma"/>
          <w:b/>
          <w:sz w:val="22"/>
          <w:szCs w:val="22"/>
          <w:lang w:val="es-ES" w:eastAsia="es-ES_tradnl"/>
        </w:rPr>
        <w:t>Causales de sobreseimiento.</w:t>
      </w:r>
    </w:p>
    <w:p w14:paraId="63A7F553" w14:textId="77777777" w:rsidR="001D256A" w:rsidRPr="00D06374" w:rsidRDefault="001D256A" w:rsidP="001D256A">
      <w:pPr>
        <w:spacing w:line="360" w:lineRule="auto"/>
        <w:ind w:right="-28"/>
        <w:jc w:val="both"/>
        <w:rPr>
          <w:rFonts w:ascii="Palatino Linotype" w:eastAsia="Calibri" w:hAnsi="Palatino Linotype" w:cs="Tahoma"/>
          <w:sz w:val="22"/>
          <w:szCs w:val="22"/>
          <w:lang w:val="es-ES" w:eastAsia="es-ES_tradnl"/>
        </w:rPr>
      </w:pPr>
    </w:p>
    <w:p w14:paraId="3D7B6A16" w14:textId="77777777" w:rsidR="001D256A" w:rsidRPr="00D06374" w:rsidRDefault="001D256A" w:rsidP="001D256A">
      <w:pPr>
        <w:spacing w:line="360" w:lineRule="auto"/>
        <w:ind w:right="-28"/>
        <w:jc w:val="both"/>
        <w:rPr>
          <w:rFonts w:ascii="Palatino Linotype" w:eastAsia="Calibri" w:hAnsi="Palatino Linotype" w:cs="Tahoma"/>
          <w:sz w:val="22"/>
          <w:szCs w:val="22"/>
          <w:lang w:val="es-ES" w:eastAsia="es-ES_tradnl"/>
        </w:rPr>
      </w:pPr>
      <w:r w:rsidRPr="00D06374">
        <w:rPr>
          <w:rFonts w:ascii="Palatino Linotype" w:hAnsi="Palatino Linotype" w:cs="Tahoma"/>
          <w:sz w:val="22"/>
          <w:szCs w:val="24"/>
        </w:rPr>
        <w:t>Por ser de previo y especial pronunciamiento, este Instituto analiza si se actualiza alguna causal de sobreseimiento.</w:t>
      </w:r>
    </w:p>
    <w:p w14:paraId="42A1AE46" w14:textId="77777777" w:rsidR="001D256A" w:rsidRPr="00D06374" w:rsidRDefault="001D256A" w:rsidP="001D256A">
      <w:pPr>
        <w:spacing w:line="360" w:lineRule="auto"/>
        <w:jc w:val="both"/>
        <w:rPr>
          <w:rFonts w:ascii="Palatino Linotype" w:hAnsi="Palatino Linotype" w:cs="Tahoma"/>
          <w:sz w:val="22"/>
          <w:szCs w:val="24"/>
        </w:rPr>
      </w:pPr>
    </w:p>
    <w:p w14:paraId="4FA79CEE" w14:textId="77777777" w:rsidR="001D256A" w:rsidRPr="00D06374" w:rsidRDefault="001D256A" w:rsidP="001D256A">
      <w:pPr>
        <w:spacing w:line="360" w:lineRule="auto"/>
        <w:jc w:val="both"/>
        <w:rPr>
          <w:rFonts w:ascii="Palatino Linotype" w:hAnsi="Palatino Linotype" w:cs="Tahoma"/>
          <w:sz w:val="22"/>
          <w:szCs w:val="24"/>
        </w:rPr>
      </w:pPr>
      <w:r w:rsidRPr="00D0637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C3C26B5" w14:textId="77777777" w:rsidR="001D256A" w:rsidRPr="00D06374" w:rsidRDefault="001D256A" w:rsidP="001D256A">
      <w:pPr>
        <w:spacing w:line="360" w:lineRule="auto"/>
        <w:jc w:val="both"/>
        <w:rPr>
          <w:rFonts w:ascii="Palatino Linotype" w:hAnsi="Palatino Linotype" w:cs="Tahoma"/>
          <w:sz w:val="22"/>
          <w:szCs w:val="24"/>
        </w:rPr>
      </w:pPr>
    </w:p>
    <w:p w14:paraId="5AA5DC32" w14:textId="77777777" w:rsidR="001D256A" w:rsidRPr="00D06374" w:rsidRDefault="001D256A" w:rsidP="001D256A">
      <w:pPr>
        <w:spacing w:line="360" w:lineRule="auto"/>
        <w:jc w:val="both"/>
        <w:rPr>
          <w:rFonts w:ascii="Palatino Linotype" w:hAnsi="Palatino Linotype" w:cs="Tahoma"/>
          <w:sz w:val="22"/>
          <w:szCs w:val="24"/>
          <w:lang w:val="es-ES"/>
        </w:rPr>
      </w:pPr>
      <w:r w:rsidRPr="00D06374">
        <w:rPr>
          <w:rFonts w:ascii="Palatino Linotype" w:hAnsi="Palatino Linotype" w:cs="Tahoma"/>
          <w:bCs/>
          <w:sz w:val="22"/>
          <w:szCs w:val="24"/>
          <w:lang w:val="es-ES"/>
        </w:rPr>
        <w:t xml:space="preserve">Por tales motivos, </w:t>
      </w:r>
      <w:r w:rsidRPr="00D06374">
        <w:rPr>
          <w:rFonts w:ascii="Palatino Linotype" w:hAnsi="Palatino Linotype" w:cs="Tahoma"/>
          <w:sz w:val="22"/>
          <w:szCs w:val="24"/>
          <w:lang w:val="es-ES"/>
        </w:rPr>
        <w:t>se considera procedente entrar al fondo del presente asunto.</w:t>
      </w:r>
    </w:p>
    <w:p w14:paraId="27FD607A" w14:textId="77777777" w:rsidR="001D256A" w:rsidRPr="00D06374" w:rsidRDefault="001D256A" w:rsidP="001D256A">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3E6AFAE4" w14:textId="77777777" w:rsidR="001D256A" w:rsidRPr="00D06374" w:rsidRDefault="001D256A" w:rsidP="001D256A">
      <w:pPr>
        <w:tabs>
          <w:tab w:val="left" w:pos="4962"/>
        </w:tabs>
        <w:spacing w:line="360" w:lineRule="auto"/>
        <w:ind w:right="-28"/>
        <w:jc w:val="both"/>
        <w:rPr>
          <w:rFonts w:ascii="Palatino Linotype" w:eastAsia="Calibri" w:hAnsi="Palatino Linotype" w:cs="Tahoma"/>
          <w:b/>
          <w:iCs/>
          <w:sz w:val="22"/>
          <w:szCs w:val="22"/>
          <w:lang w:val="es-ES" w:eastAsia="es-ES_tradnl"/>
        </w:rPr>
      </w:pPr>
      <w:r w:rsidRPr="00D06374">
        <w:rPr>
          <w:rFonts w:ascii="Palatino Linotype" w:eastAsia="Calibri" w:hAnsi="Palatino Linotype" w:cs="Tahoma"/>
          <w:b/>
          <w:iCs/>
          <w:sz w:val="22"/>
          <w:szCs w:val="22"/>
          <w:lang w:val="es-ES" w:eastAsia="es-ES_tradnl"/>
        </w:rPr>
        <w:t xml:space="preserve">TERCERO. Determinación de la Controversia. </w:t>
      </w:r>
    </w:p>
    <w:p w14:paraId="2927DD1D" w14:textId="77777777" w:rsidR="001D256A" w:rsidRPr="00D06374" w:rsidRDefault="001D256A" w:rsidP="001D256A">
      <w:pPr>
        <w:tabs>
          <w:tab w:val="left" w:pos="4962"/>
        </w:tabs>
        <w:spacing w:line="360" w:lineRule="auto"/>
        <w:ind w:right="-28"/>
        <w:jc w:val="both"/>
        <w:rPr>
          <w:rFonts w:ascii="Palatino Linotype" w:eastAsia="Calibri" w:hAnsi="Palatino Linotype" w:cs="Tahoma"/>
          <w:sz w:val="22"/>
          <w:szCs w:val="22"/>
          <w:lang w:val="es-ES" w:eastAsia="es-ES_tradnl"/>
        </w:rPr>
      </w:pPr>
    </w:p>
    <w:p w14:paraId="795A64AB" w14:textId="5CFF108A" w:rsidR="001D256A" w:rsidRPr="00D06374" w:rsidRDefault="001D256A" w:rsidP="001D256A">
      <w:pPr>
        <w:tabs>
          <w:tab w:val="left" w:pos="4962"/>
        </w:tabs>
        <w:spacing w:line="360" w:lineRule="auto"/>
        <w:ind w:right="-28"/>
        <w:jc w:val="both"/>
        <w:rPr>
          <w:rFonts w:ascii="Palatino Linotype" w:eastAsia="Calibri" w:hAnsi="Palatino Linotype" w:cs="Tahoma"/>
          <w:iCs/>
          <w:szCs w:val="22"/>
          <w:lang w:val="es-ES" w:eastAsia="es-ES_tradnl"/>
        </w:rPr>
      </w:pPr>
      <w:r w:rsidRPr="00D06374">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sidRPr="00D06374">
        <w:rPr>
          <w:rFonts w:ascii="Palatino Linotype" w:eastAsia="Calibri" w:hAnsi="Palatino Linotype" w:cs="Tahoma"/>
          <w:bCs/>
          <w:sz w:val="22"/>
          <w:szCs w:val="22"/>
          <w:lang w:eastAsia="en-US"/>
        </w:rPr>
        <w:t xml:space="preserve">el Particular </w:t>
      </w:r>
      <w:r w:rsidRPr="00D06374">
        <w:rPr>
          <w:rFonts w:ascii="Palatino Linotype" w:eastAsia="Calibri" w:hAnsi="Palatino Linotype" w:cs="Tahoma"/>
          <w:iCs/>
          <w:sz w:val="22"/>
          <w:szCs w:val="22"/>
          <w:lang w:val="es-ES" w:eastAsia="es-ES_tradnl"/>
        </w:rPr>
        <w:t xml:space="preserve">solicitó </w:t>
      </w:r>
      <w:r w:rsidR="00645E1F" w:rsidRPr="00D06374">
        <w:rPr>
          <w:rFonts w:ascii="Palatino Linotype" w:eastAsia="Calibri" w:hAnsi="Palatino Linotype" w:cs="Tahoma"/>
          <w:iCs/>
          <w:sz w:val="22"/>
          <w:szCs w:val="22"/>
          <w:lang w:val="es-ES" w:eastAsia="es-ES_tradnl"/>
        </w:rPr>
        <w:t>todas las requisiciones por concepto de asesorías, así como, las facturas de pago.</w:t>
      </w:r>
    </w:p>
    <w:p w14:paraId="1BD4EABC" w14:textId="77777777" w:rsidR="001D256A" w:rsidRPr="00D06374" w:rsidRDefault="001D256A" w:rsidP="001D256A">
      <w:pPr>
        <w:tabs>
          <w:tab w:val="left" w:pos="4962"/>
        </w:tabs>
        <w:spacing w:line="360" w:lineRule="auto"/>
        <w:ind w:right="-28"/>
        <w:jc w:val="both"/>
        <w:rPr>
          <w:rFonts w:ascii="Palatino Linotype" w:eastAsia="Calibri" w:hAnsi="Palatino Linotype" w:cs="Tahoma"/>
          <w:iCs/>
          <w:sz w:val="22"/>
          <w:szCs w:val="22"/>
          <w:lang w:val="es-ES" w:eastAsia="es-ES_tradnl"/>
        </w:rPr>
      </w:pPr>
    </w:p>
    <w:p w14:paraId="54738794" w14:textId="453B400B" w:rsidR="00645E1F" w:rsidRPr="00D06374" w:rsidRDefault="00645E1F" w:rsidP="00645E1F">
      <w:pPr>
        <w:autoSpaceDE w:val="0"/>
        <w:autoSpaceDN w:val="0"/>
        <w:adjustRightInd w:val="0"/>
        <w:spacing w:line="360" w:lineRule="auto"/>
        <w:jc w:val="both"/>
        <w:rPr>
          <w:rFonts w:ascii="Palatino Linotype" w:hAnsi="Palatino Linotype" w:cs="Tahoma"/>
          <w:iCs/>
          <w:sz w:val="22"/>
          <w:szCs w:val="22"/>
          <w:lang w:val="es-ES"/>
        </w:rPr>
      </w:pPr>
      <w:r w:rsidRPr="00D06374">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D06374">
        <w:rPr>
          <w:rFonts w:ascii="Palatino Linotype" w:hAnsi="Palatino Linotype" w:cs="Tahoma"/>
          <w:iCs/>
          <w:sz w:val="22"/>
          <w:szCs w:val="22"/>
          <w:lang w:val="es-ES"/>
        </w:rPr>
        <w:t xml:space="preserve">Así las cosas, una vez admitido y notificado el Recurso de Revisión a las partes, el Sujeto Obligado precisó que la información se localizaba en el Portal de Información Pública de Oficio Mexiquense, en la liga </w:t>
      </w:r>
      <w:r w:rsidRPr="00D06374">
        <w:rPr>
          <w:rFonts w:ascii="Palatino Linotype" w:hAnsi="Palatino Linotype" w:cs="Tahoma"/>
          <w:bCs/>
          <w:sz w:val="22"/>
          <w:szCs w:val="22"/>
        </w:rPr>
        <w:t>https://www.ipomex.org.mx/ipo3/lgt/indice/ZINACANTEPEC/art_92_xxxv_a.web.</w:t>
      </w:r>
    </w:p>
    <w:p w14:paraId="2E2496E9"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4CBE2928" w14:textId="77DF6EE0" w:rsidR="001D256A" w:rsidRPr="00D06374" w:rsidRDefault="001D256A" w:rsidP="001D256A">
      <w:pPr>
        <w:tabs>
          <w:tab w:val="left" w:pos="4962"/>
        </w:tabs>
        <w:spacing w:line="360" w:lineRule="auto"/>
        <w:jc w:val="both"/>
        <w:rPr>
          <w:rFonts w:ascii="Palatino Linotype" w:eastAsia="Calibri" w:hAnsi="Palatino Linotype" w:cs="Tahoma"/>
          <w:bCs/>
          <w:sz w:val="22"/>
          <w:szCs w:val="22"/>
        </w:rPr>
      </w:pPr>
      <w:r w:rsidRPr="00D06374">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D06374">
        <w:rPr>
          <w:rFonts w:ascii="Palatino Linotype" w:eastAsia="Calibri" w:hAnsi="Palatino Linotype" w:cs="Tahoma"/>
          <w:iCs/>
          <w:sz w:val="22"/>
          <w:szCs w:val="22"/>
          <w:lang w:eastAsia="es-ES_tradnl"/>
        </w:rPr>
        <w:t>y el escrito recursal</w:t>
      </w:r>
      <w:r w:rsidR="00A9027A" w:rsidRPr="00D06374">
        <w:rPr>
          <w:rFonts w:ascii="Palatino Linotype" w:eastAsia="Calibri" w:hAnsi="Palatino Linotype" w:cs="Tahoma"/>
          <w:iCs/>
          <w:sz w:val="22"/>
          <w:szCs w:val="22"/>
          <w:lang w:eastAsia="es-ES_tradnl"/>
        </w:rPr>
        <w:t xml:space="preserve"> y el Informe Justificado del Sujeto Obligado. </w:t>
      </w:r>
      <w:r w:rsidRPr="00D0637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63DCC6F" w14:textId="77777777" w:rsidR="001D256A" w:rsidRPr="00D06374" w:rsidRDefault="001D256A" w:rsidP="001D256A">
      <w:pPr>
        <w:tabs>
          <w:tab w:val="left" w:pos="4962"/>
        </w:tabs>
        <w:spacing w:line="360" w:lineRule="auto"/>
        <w:ind w:right="-28"/>
        <w:jc w:val="both"/>
        <w:rPr>
          <w:rFonts w:ascii="Palatino Linotype" w:eastAsia="Calibri" w:hAnsi="Palatino Linotype" w:cs="Tahoma"/>
          <w:iCs/>
          <w:sz w:val="22"/>
          <w:szCs w:val="22"/>
          <w:lang w:val="es-ES" w:eastAsia="es-ES_tradnl"/>
        </w:rPr>
      </w:pPr>
    </w:p>
    <w:p w14:paraId="7BD87D30" w14:textId="77777777" w:rsidR="001D256A" w:rsidRPr="00D06374" w:rsidRDefault="001D256A" w:rsidP="001D256A">
      <w:pPr>
        <w:spacing w:line="360" w:lineRule="auto"/>
        <w:ind w:right="-28"/>
        <w:jc w:val="both"/>
        <w:rPr>
          <w:rFonts w:ascii="Palatino Linotype" w:hAnsi="Palatino Linotype" w:cs="Tahoma"/>
          <w:b/>
          <w:sz w:val="22"/>
          <w:szCs w:val="22"/>
        </w:rPr>
      </w:pPr>
      <w:r w:rsidRPr="00D06374">
        <w:rPr>
          <w:rFonts w:ascii="Palatino Linotype" w:hAnsi="Palatino Linotype" w:cs="Tahoma"/>
          <w:b/>
          <w:sz w:val="22"/>
          <w:szCs w:val="22"/>
          <w:lang w:val="es-ES"/>
        </w:rPr>
        <w:t xml:space="preserve">CUARTO. </w:t>
      </w:r>
      <w:r w:rsidRPr="00D06374">
        <w:rPr>
          <w:rFonts w:ascii="Palatino Linotype" w:hAnsi="Palatino Linotype" w:cs="Tahoma"/>
          <w:b/>
          <w:sz w:val="22"/>
          <w:szCs w:val="22"/>
        </w:rPr>
        <w:t>Marco normativo aplicable en materia de transparencia y acceso a la información pública.</w:t>
      </w:r>
    </w:p>
    <w:p w14:paraId="3B47837D" w14:textId="77777777" w:rsidR="001D256A" w:rsidRPr="00D06374" w:rsidRDefault="001D256A" w:rsidP="001D256A">
      <w:pPr>
        <w:spacing w:line="360" w:lineRule="auto"/>
        <w:ind w:right="-28"/>
        <w:jc w:val="both"/>
        <w:rPr>
          <w:rFonts w:ascii="Palatino Linotype" w:hAnsi="Palatino Linotype" w:cs="Tahoma"/>
          <w:b/>
          <w:sz w:val="22"/>
          <w:szCs w:val="22"/>
        </w:rPr>
      </w:pPr>
    </w:p>
    <w:p w14:paraId="418C1F5D"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9BFB2B"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75FF65ED"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1F635F9"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3D817B7B"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6AF859"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41C63FEE"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6D8F5FE1"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305E3373"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28E88E3B"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7CA543E6"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B2ABFEB" w14:textId="77777777" w:rsidR="001D256A" w:rsidRPr="00D06374" w:rsidRDefault="001D256A" w:rsidP="001D256A">
      <w:pPr>
        <w:spacing w:line="360" w:lineRule="auto"/>
        <w:ind w:right="-28"/>
        <w:jc w:val="both"/>
        <w:rPr>
          <w:rFonts w:ascii="Palatino Linotype" w:hAnsi="Palatino Linotype" w:cs="Tahoma"/>
          <w:bCs/>
          <w:iCs/>
          <w:sz w:val="22"/>
          <w:szCs w:val="22"/>
        </w:rPr>
      </w:pPr>
    </w:p>
    <w:p w14:paraId="621193D4" w14:textId="77777777" w:rsidR="001D256A" w:rsidRPr="00D06374" w:rsidRDefault="001D256A" w:rsidP="001D256A">
      <w:pPr>
        <w:spacing w:line="360" w:lineRule="auto"/>
        <w:ind w:right="-28"/>
        <w:jc w:val="both"/>
        <w:rPr>
          <w:rFonts w:ascii="Palatino Linotype" w:hAnsi="Palatino Linotype" w:cs="Tahoma"/>
          <w:bCs/>
          <w:iCs/>
          <w:sz w:val="22"/>
          <w:szCs w:val="22"/>
        </w:rPr>
      </w:pPr>
      <w:r w:rsidRPr="00D06374">
        <w:rPr>
          <w:rFonts w:ascii="Palatino Linotype" w:hAnsi="Palatino Linotype" w:cs="Tahoma"/>
          <w:bCs/>
          <w:iCs/>
          <w:sz w:val="22"/>
          <w:szCs w:val="22"/>
        </w:rPr>
        <w:t xml:space="preserve">El artículo 19, que, se presume que la información debe existir si se refiere a las facultades, competencias y funciones que los ordenamientos jurídicos aplicables otorgan a los sujetos </w:t>
      </w:r>
      <w:r w:rsidRPr="00D06374">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14:paraId="576116CA" w14:textId="77777777" w:rsidR="001D256A" w:rsidRPr="00D06374" w:rsidRDefault="001D256A" w:rsidP="001D256A">
      <w:pPr>
        <w:spacing w:line="360" w:lineRule="auto"/>
        <w:ind w:right="-28"/>
        <w:jc w:val="both"/>
        <w:rPr>
          <w:rFonts w:ascii="Palatino Linotype" w:hAnsi="Palatino Linotype" w:cs="Tahoma"/>
          <w:b/>
          <w:sz w:val="22"/>
          <w:szCs w:val="22"/>
          <w:lang w:val="es-ES"/>
        </w:rPr>
      </w:pPr>
    </w:p>
    <w:p w14:paraId="42B41701" w14:textId="77777777" w:rsidR="001D256A" w:rsidRPr="00D06374" w:rsidRDefault="001D256A" w:rsidP="001D256A">
      <w:pPr>
        <w:spacing w:line="360" w:lineRule="auto"/>
        <w:jc w:val="both"/>
        <w:rPr>
          <w:rFonts w:ascii="Palatino Linotype" w:hAnsi="Palatino Linotype" w:cs="Tahoma"/>
          <w:sz w:val="22"/>
          <w:szCs w:val="22"/>
        </w:rPr>
      </w:pPr>
      <w:r w:rsidRPr="00D06374">
        <w:rPr>
          <w:rFonts w:ascii="Palatino Linotype" w:hAnsi="Palatino Linotype" w:cs="Tahoma"/>
          <w:sz w:val="22"/>
          <w:szCs w:val="22"/>
        </w:rPr>
        <w:t>El artículo 92, fracción</w:t>
      </w:r>
      <w:r w:rsidRPr="00D06374">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11E3501E" w14:textId="77777777" w:rsidR="001D256A" w:rsidRPr="00D06374" w:rsidRDefault="001D256A" w:rsidP="001D256A">
      <w:pPr>
        <w:spacing w:line="360" w:lineRule="auto"/>
        <w:ind w:right="-28"/>
        <w:jc w:val="both"/>
        <w:rPr>
          <w:rFonts w:ascii="Palatino Linotype" w:hAnsi="Palatino Linotype" w:cs="Tahoma"/>
          <w:b/>
          <w:sz w:val="22"/>
          <w:szCs w:val="22"/>
        </w:rPr>
      </w:pPr>
    </w:p>
    <w:p w14:paraId="58853EB4" w14:textId="77777777" w:rsidR="001D256A" w:rsidRPr="00D06374" w:rsidRDefault="001D256A" w:rsidP="001D256A">
      <w:pPr>
        <w:spacing w:line="360" w:lineRule="auto"/>
        <w:ind w:right="-28"/>
        <w:contextualSpacing/>
        <w:jc w:val="both"/>
        <w:rPr>
          <w:rFonts w:ascii="Palatino Linotype" w:hAnsi="Palatino Linotype" w:cs="Tahoma"/>
          <w:b/>
          <w:sz w:val="22"/>
          <w:szCs w:val="22"/>
        </w:rPr>
      </w:pPr>
      <w:r w:rsidRPr="00D06374">
        <w:rPr>
          <w:rFonts w:ascii="Palatino Linotype" w:hAnsi="Palatino Linotype" w:cs="Tahoma"/>
          <w:b/>
          <w:sz w:val="22"/>
          <w:szCs w:val="22"/>
        </w:rPr>
        <w:t>QUINTO. Estudio de Fondo.</w:t>
      </w:r>
    </w:p>
    <w:p w14:paraId="0AC354E3" w14:textId="77777777" w:rsidR="001D256A" w:rsidRPr="00D06374" w:rsidRDefault="001D256A" w:rsidP="001D256A">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029C459C" w14:textId="77777777" w:rsidR="001D256A" w:rsidRPr="00D06374" w:rsidRDefault="001D256A" w:rsidP="001D256A">
      <w:pPr>
        <w:spacing w:line="360" w:lineRule="auto"/>
        <w:ind w:right="-28"/>
        <w:contextualSpacing/>
        <w:jc w:val="both"/>
        <w:rPr>
          <w:rFonts w:ascii="Palatino Linotype" w:hAnsi="Palatino Linotype" w:cs="Tahoma"/>
          <w:bCs/>
          <w:iCs/>
          <w:sz w:val="22"/>
          <w:szCs w:val="22"/>
        </w:rPr>
      </w:pPr>
      <w:r w:rsidRPr="00D06374">
        <w:rPr>
          <w:rFonts w:ascii="Palatino Linotype" w:hAnsi="Palatino Linotype" w:cs="Tahoma"/>
          <w:bCs/>
          <w:iCs/>
          <w:sz w:val="22"/>
          <w:szCs w:val="22"/>
        </w:rPr>
        <w:t>Expuestas las posturas de las partes</w:t>
      </w:r>
      <w:r w:rsidRPr="00D06374">
        <w:rPr>
          <w:rFonts w:ascii="Palatino Linotype" w:hAnsi="Palatino Linotype" w:cs="Tahoma"/>
          <w:sz w:val="22"/>
          <w:szCs w:val="22"/>
        </w:rPr>
        <w:t>,</w:t>
      </w:r>
      <w:r w:rsidRPr="00D06374">
        <w:rPr>
          <w:rFonts w:ascii="Palatino Linotype" w:hAnsi="Palatino Linotype" w:cs="Tahoma"/>
          <w:bCs/>
          <w:iCs/>
          <w:sz w:val="22"/>
          <w:szCs w:val="22"/>
        </w:rPr>
        <w:t xml:space="preserve"> se procede a realizar el análisis del agravio hecho valer por el ahora Recurrente, concerniente a la falta de respuesta del Ayuntamiento de Zinacantepec, a la solicitud de acceso a la información presentada.</w:t>
      </w:r>
    </w:p>
    <w:p w14:paraId="40272D8A" w14:textId="77777777" w:rsidR="001D256A" w:rsidRPr="00D06374" w:rsidRDefault="001D256A" w:rsidP="001D256A">
      <w:pPr>
        <w:spacing w:line="360" w:lineRule="auto"/>
        <w:ind w:right="-28"/>
        <w:contextualSpacing/>
        <w:jc w:val="both"/>
        <w:rPr>
          <w:rFonts w:ascii="Palatino Linotype" w:hAnsi="Palatino Linotype" w:cs="Tahoma"/>
          <w:bCs/>
          <w:iCs/>
          <w:sz w:val="22"/>
          <w:szCs w:val="22"/>
        </w:rPr>
      </w:pPr>
    </w:p>
    <w:p w14:paraId="3A0AE5FF" w14:textId="77777777" w:rsidR="001D256A" w:rsidRPr="00D06374" w:rsidRDefault="001D256A" w:rsidP="001D256A">
      <w:pPr>
        <w:spacing w:line="360" w:lineRule="auto"/>
        <w:ind w:right="-28"/>
        <w:contextualSpacing/>
        <w:jc w:val="both"/>
        <w:rPr>
          <w:rFonts w:ascii="Palatino Linotype" w:hAnsi="Palatino Linotype" w:cs="Tahoma"/>
          <w:bCs/>
          <w:iCs/>
          <w:color w:val="0D0D0D" w:themeColor="text1" w:themeTint="F2"/>
          <w:sz w:val="22"/>
        </w:rPr>
      </w:pPr>
      <w:r w:rsidRPr="00D06374">
        <w:rPr>
          <w:rFonts w:ascii="Palatino Linotype" w:hAnsi="Palatino Linotype" w:cs="Tahoma"/>
          <w:bCs/>
          <w:iCs/>
          <w:sz w:val="22"/>
          <w:szCs w:val="22"/>
        </w:rPr>
        <w:t xml:space="preserve">En principio resulta necesario señalar los objetivos de la Ley de Transparencia y </w:t>
      </w:r>
      <w:r w:rsidRPr="00D06374">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4F263077"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071E345A" w14:textId="77777777" w:rsidR="001D256A" w:rsidRPr="00D06374"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2CCB227C"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07F6B4F5" w14:textId="77777777" w:rsidR="001D256A" w:rsidRPr="00D06374"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1E88E08A"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041AD731" w14:textId="77777777" w:rsidR="001D256A" w:rsidRPr="00D06374" w:rsidRDefault="001D256A" w:rsidP="001D256A">
      <w:pPr>
        <w:numPr>
          <w:ilvl w:val="0"/>
          <w:numId w:val="1"/>
        </w:num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lastRenderedPageBreak/>
        <w:t>Promover, fomentar y difundir la cultura de la transparencia en el ejercicio de la función pública, el acceso a la información y la participación ciudadana, así como, la rendición de cuentas.</w:t>
      </w:r>
    </w:p>
    <w:p w14:paraId="14BE2A1A"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5E61DCDE" w14:textId="77777777" w:rsidR="001D256A" w:rsidRPr="00D06374" w:rsidRDefault="001D256A" w:rsidP="001D256A">
      <w:pPr>
        <w:widowControl w:val="0"/>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 xml:space="preserve">Conforme a lo anterior, se deprende que </w:t>
      </w:r>
      <w:r w:rsidRPr="00D06374">
        <w:rPr>
          <w:rFonts w:ascii="Palatino Linotype" w:hAnsi="Palatino Linotype" w:cs="Tahoma"/>
          <w:b/>
          <w:bCs/>
          <w:iCs/>
          <w:color w:val="0D0D0D" w:themeColor="text1" w:themeTint="F2"/>
          <w:sz w:val="22"/>
        </w:rPr>
        <w:t>los objetivos de la Ley de la materia,</w:t>
      </w:r>
      <w:r w:rsidRPr="00D06374">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B631E0B" w14:textId="77777777" w:rsidR="001D256A" w:rsidRPr="00D06374" w:rsidRDefault="001D256A" w:rsidP="001D256A">
      <w:pPr>
        <w:spacing w:line="360" w:lineRule="auto"/>
        <w:jc w:val="both"/>
        <w:rPr>
          <w:rFonts w:ascii="Palatino Linotype" w:hAnsi="Palatino Linotype" w:cs="Tahoma"/>
          <w:bCs/>
          <w:iCs/>
          <w:color w:val="0D0D0D" w:themeColor="text1" w:themeTint="F2"/>
          <w:sz w:val="22"/>
        </w:rPr>
      </w:pPr>
    </w:p>
    <w:p w14:paraId="54846D54" w14:textId="77777777" w:rsidR="001D256A" w:rsidRPr="00D06374" w:rsidRDefault="001D256A" w:rsidP="001D256A">
      <w:p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D06374">
        <w:rPr>
          <w:rFonts w:ascii="Palatino Linotype" w:hAnsi="Palatino Linotype" w:cs="Tahoma"/>
          <w:b/>
          <w:bCs/>
          <w:iCs/>
          <w:color w:val="0D0D0D" w:themeColor="text1" w:themeTint="F2"/>
          <w:sz w:val="22"/>
        </w:rPr>
        <w:t>principio de máxima publicidad</w:t>
      </w:r>
      <w:r w:rsidRPr="00D06374">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63078E" w14:textId="77777777" w:rsidR="001D256A" w:rsidRPr="00D06374" w:rsidRDefault="001D256A" w:rsidP="001D256A">
      <w:pPr>
        <w:spacing w:line="360" w:lineRule="auto"/>
        <w:jc w:val="both"/>
        <w:rPr>
          <w:rFonts w:ascii="Palatino Linotype" w:hAnsi="Palatino Linotype" w:cs="Tahoma"/>
          <w:bCs/>
          <w:iCs/>
          <w:color w:val="0D0D0D" w:themeColor="text1" w:themeTint="F2"/>
          <w:sz w:val="22"/>
        </w:rPr>
      </w:pPr>
    </w:p>
    <w:p w14:paraId="2D25BCD6" w14:textId="77777777" w:rsidR="001D256A" w:rsidRPr="00D06374" w:rsidRDefault="001D256A" w:rsidP="001D256A">
      <w:p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BCA2719"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354ABD41" w14:textId="77777777" w:rsidR="001D256A" w:rsidRPr="00D06374" w:rsidRDefault="001D256A" w:rsidP="001D256A">
      <w:pPr>
        <w:numPr>
          <w:ilvl w:val="0"/>
          <w:numId w:val="2"/>
        </w:num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F4B31EB"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52C6CCE7" w14:textId="77777777" w:rsidR="001D256A" w:rsidRPr="00D06374" w:rsidRDefault="001D256A" w:rsidP="001D256A">
      <w:pPr>
        <w:numPr>
          <w:ilvl w:val="0"/>
          <w:numId w:val="2"/>
        </w:numPr>
        <w:spacing w:line="360" w:lineRule="auto"/>
        <w:jc w:val="both"/>
        <w:rPr>
          <w:rFonts w:ascii="Palatino Linotype" w:hAnsi="Palatino Linotype" w:cs="Tahoma"/>
          <w:bCs/>
          <w:iCs/>
          <w:color w:val="0D0D0D" w:themeColor="text1" w:themeTint="F2"/>
          <w:sz w:val="22"/>
        </w:rPr>
      </w:pPr>
      <w:r w:rsidRPr="00D06374">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D06374">
        <w:rPr>
          <w:rFonts w:ascii="Palatino Linotype" w:hAnsi="Palatino Linotype" w:cs="Tahoma"/>
          <w:b/>
          <w:bCs/>
          <w:iCs/>
          <w:color w:val="0D0D0D" w:themeColor="text1" w:themeTint="F2"/>
          <w:sz w:val="22"/>
        </w:rPr>
        <w:t>quince días, contados a partir del día siguiente a la presentación de ésta.</w:t>
      </w:r>
      <w:r w:rsidRPr="00D06374">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2FAF8D2A" w14:textId="77777777" w:rsidR="001D256A" w:rsidRPr="00D06374" w:rsidRDefault="001D256A" w:rsidP="001D256A">
      <w:pPr>
        <w:spacing w:line="360" w:lineRule="auto"/>
        <w:rPr>
          <w:rFonts w:ascii="Palatino Linotype" w:hAnsi="Palatino Linotype" w:cs="Tahoma"/>
          <w:bCs/>
          <w:iCs/>
          <w:color w:val="0D0D0D" w:themeColor="text1" w:themeTint="F2"/>
          <w:sz w:val="22"/>
        </w:rPr>
      </w:pPr>
    </w:p>
    <w:p w14:paraId="7CC75687" w14:textId="77777777" w:rsidR="001D256A" w:rsidRPr="00D06374"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D06374">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06374">
        <w:rPr>
          <w:rFonts w:ascii="Palatino Linotype" w:hAnsi="Palatino Linotype" w:cs="Tahoma"/>
          <w:b/>
          <w:bCs/>
          <w:iCs/>
          <w:color w:val="0D0D0D" w:themeColor="text1" w:themeTint="F2"/>
          <w:sz w:val="22"/>
        </w:rPr>
        <w:t>que se encuentren en sus archivos o que estén constreñidos a elaborar;</w:t>
      </w:r>
    </w:p>
    <w:p w14:paraId="064F63D2" w14:textId="77777777" w:rsidR="001D256A" w:rsidRPr="00D06374" w:rsidRDefault="001D256A" w:rsidP="001D256A">
      <w:pPr>
        <w:spacing w:line="360" w:lineRule="auto"/>
        <w:rPr>
          <w:rFonts w:ascii="Palatino Linotype" w:hAnsi="Palatino Linotype" w:cs="Tahoma"/>
          <w:b/>
          <w:bCs/>
          <w:iCs/>
          <w:color w:val="0D0D0D" w:themeColor="text1" w:themeTint="F2"/>
          <w:sz w:val="22"/>
        </w:rPr>
      </w:pPr>
    </w:p>
    <w:p w14:paraId="2EB51C9F" w14:textId="77777777" w:rsidR="001D256A" w:rsidRPr="00D06374"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D06374">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517D57A" w14:textId="77777777" w:rsidR="001D256A" w:rsidRPr="00D06374" w:rsidRDefault="001D256A" w:rsidP="001D256A">
      <w:pPr>
        <w:pStyle w:val="Prrafodelista"/>
        <w:spacing w:line="360" w:lineRule="auto"/>
        <w:rPr>
          <w:rFonts w:ascii="Palatino Linotype" w:hAnsi="Palatino Linotype" w:cs="Tahoma"/>
          <w:b/>
          <w:bCs/>
          <w:iCs/>
          <w:color w:val="0D0D0D" w:themeColor="text1" w:themeTint="F2"/>
          <w:sz w:val="24"/>
        </w:rPr>
      </w:pPr>
    </w:p>
    <w:p w14:paraId="2E65A1BB" w14:textId="77777777" w:rsidR="001D256A" w:rsidRPr="00D06374" w:rsidRDefault="001D256A" w:rsidP="001D256A">
      <w:pPr>
        <w:numPr>
          <w:ilvl w:val="0"/>
          <w:numId w:val="2"/>
        </w:numPr>
        <w:spacing w:line="360" w:lineRule="auto"/>
        <w:jc w:val="both"/>
        <w:rPr>
          <w:rFonts w:ascii="Palatino Linotype" w:hAnsi="Palatino Linotype" w:cs="Tahoma"/>
          <w:b/>
          <w:bCs/>
          <w:iCs/>
          <w:color w:val="0D0D0D" w:themeColor="text1" w:themeTint="F2"/>
          <w:sz w:val="22"/>
        </w:rPr>
      </w:pPr>
      <w:r w:rsidRPr="00D06374">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BFA58E1" w14:textId="77777777" w:rsidR="001D256A" w:rsidRPr="00D06374" w:rsidRDefault="001D256A" w:rsidP="001D256A">
      <w:pPr>
        <w:spacing w:line="360" w:lineRule="auto"/>
        <w:jc w:val="both"/>
        <w:rPr>
          <w:rFonts w:ascii="Palatino Linotype" w:hAnsi="Palatino Linotype" w:cs="Tahoma"/>
          <w:b/>
          <w:bCs/>
          <w:iCs/>
          <w:color w:val="0D0D0D" w:themeColor="text1" w:themeTint="F2"/>
          <w:sz w:val="22"/>
        </w:rPr>
      </w:pPr>
    </w:p>
    <w:p w14:paraId="4F5A53C3" w14:textId="77777777" w:rsidR="00645E1F" w:rsidRPr="00D06374" w:rsidRDefault="00645E1F" w:rsidP="00645E1F">
      <w:pPr>
        <w:spacing w:line="360" w:lineRule="auto"/>
        <w:ind w:right="-28"/>
        <w:contextualSpacing/>
        <w:jc w:val="both"/>
        <w:rPr>
          <w:rFonts w:ascii="Palatino Linotype" w:eastAsia="Calibri" w:hAnsi="Palatino Linotype" w:cs="Tahoma"/>
          <w:b/>
          <w:bCs/>
          <w:color w:val="0D0D0D" w:themeColor="text1" w:themeTint="F2"/>
          <w:sz w:val="22"/>
          <w:lang w:val="es-ES"/>
        </w:rPr>
      </w:pPr>
      <w:r w:rsidRPr="00D06374">
        <w:rPr>
          <w:rFonts w:ascii="Palatino Linotype" w:hAnsi="Palatino Linotype" w:cs="Tahoma"/>
          <w:bCs/>
          <w:iCs/>
          <w:color w:val="0D0D0D" w:themeColor="text1" w:themeTint="F2"/>
          <w:sz w:val="22"/>
        </w:rPr>
        <w:lastRenderedPageBreak/>
        <w:t xml:space="preserve">Establecido lo anterior, es de indicar que el agravio del Recurrente consistió en que, a la fecha de interposición del Recurso de Revisión, el </w:t>
      </w:r>
      <w:r w:rsidRPr="00D06374">
        <w:rPr>
          <w:rFonts w:ascii="Palatino Linotype" w:eastAsia="Calibri" w:hAnsi="Palatino Linotype" w:cs="Tahoma"/>
          <w:color w:val="0D0D0D" w:themeColor="text1" w:themeTint="F2"/>
          <w:sz w:val="22"/>
          <w:szCs w:val="22"/>
          <w:lang w:eastAsia="en-US"/>
        </w:rPr>
        <w:t>Ayuntamiento de Zinacantepec</w:t>
      </w:r>
      <w:r w:rsidRPr="00D06374">
        <w:rPr>
          <w:rFonts w:ascii="Palatino Linotype" w:hAnsi="Palatino Linotype" w:cs="Tahoma"/>
          <w:iCs/>
          <w:color w:val="0D0D0D" w:themeColor="text1" w:themeTint="F2"/>
          <w:sz w:val="22"/>
        </w:rPr>
        <w:t>,</w:t>
      </w:r>
      <w:r w:rsidRPr="00D06374">
        <w:rPr>
          <w:rFonts w:ascii="Palatino Linotype" w:hAnsi="Palatino Linotype" w:cs="Tahoma"/>
          <w:bCs/>
          <w:iCs/>
          <w:color w:val="0D0D0D" w:themeColor="text1" w:themeTint="F2"/>
          <w:sz w:val="22"/>
        </w:rPr>
        <w:t xml:space="preserve"> no había registrado respuesta al requerimiento de acceso a la información, el cual se presentó el </w:t>
      </w:r>
      <w:r w:rsidRPr="00D06374">
        <w:rPr>
          <w:rFonts w:ascii="Palatino Linotype" w:eastAsia="Calibri" w:hAnsi="Palatino Linotype" w:cs="Tahoma"/>
          <w:b/>
          <w:bCs/>
          <w:color w:val="0D0D0D" w:themeColor="text1" w:themeTint="F2"/>
          <w:sz w:val="22"/>
          <w:lang w:val="es-ES"/>
        </w:rPr>
        <w:t>siete de noviembre de dos mil veintidós.</w:t>
      </w:r>
    </w:p>
    <w:p w14:paraId="574C40CC" w14:textId="77777777" w:rsidR="00645E1F" w:rsidRPr="00D06374" w:rsidRDefault="00645E1F" w:rsidP="00645E1F">
      <w:pPr>
        <w:spacing w:line="360" w:lineRule="auto"/>
        <w:ind w:right="-28"/>
        <w:contextualSpacing/>
        <w:jc w:val="both"/>
        <w:rPr>
          <w:rFonts w:ascii="Palatino Linotype" w:hAnsi="Palatino Linotype" w:cs="Tahoma"/>
          <w:bCs/>
          <w:iCs/>
          <w:sz w:val="22"/>
          <w:szCs w:val="22"/>
        </w:rPr>
      </w:pPr>
    </w:p>
    <w:p w14:paraId="235EAD99" w14:textId="77777777" w:rsidR="00645E1F" w:rsidRPr="00D06374" w:rsidRDefault="00645E1F" w:rsidP="00645E1F">
      <w:pPr>
        <w:spacing w:line="360" w:lineRule="auto"/>
        <w:ind w:right="-28"/>
        <w:contextualSpacing/>
        <w:jc w:val="both"/>
        <w:rPr>
          <w:rFonts w:ascii="Palatino Linotype" w:hAnsi="Palatino Linotype" w:cs="Tahoma"/>
          <w:bCs/>
          <w:iCs/>
          <w:sz w:val="22"/>
          <w:szCs w:val="22"/>
          <w:lang w:val="es-ES"/>
        </w:rPr>
      </w:pPr>
      <w:r w:rsidRPr="00D06374">
        <w:rPr>
          <w:rFonts w:ascii="Palatino Linotype" w:hAnsi="Palatino Linotype" w:cs="Tahoma"/>
          <w:bCs/>
          <w:iCs/>
          <w:sz w:val="22"/>
          <w:szCs w:val="22"/>
          <w:lang w:val="es-ES"/>
        </w:rPr>
        <w:t>Además, que se requirió una aclaración a la solicitud, en términos del artículo 159 de la Ley de Transparencia y Acceso a la Información Pública del Estado de México y Municipios, el catorce de noviembre del año referido; mismo que desahogó el Particular, el mismo día.</w:t>
      </w:r>
    </w:p>
    <w:p w14:paraId="0236981C" w14:textId="77777777" w:rsidR="00645E1F" w:rsidRPr="00D06374" w:rsidRDefault="00645E1F" w:rsidP="00645E1F">
      <w:pPr>
        <w:spacing w:line="360" w:lineRule="auto"/>
        <w:ind w:right="-28"/>
        <w:contextualSpacing/>
        <w:jc w:val="both"/>
        <w:rPr>
          <w:rFonts w:ascii="Palatino Linotype" w:hAnsi="Palatino Linotype" w:cs="Tahoma"/>
          <w:bCs/>
          <w:iCs/>
          <w:sz w:val="22"/>
          <w:szCs w:val="22"/>
        </w:rPr>
      </w:pPr>
    </w:p>
    <w:p w14:paraId="03760F44" w14:textId="77777777" w:rsidR="00645E1F" w:rsidRPr="00D06374" w:rsidRDefault="00645E1F" w:rsidP="00645E1F">
      <w:pPr>
        <w:spacing w:line="360" w:lineRule="auto"/>
        <w:jc w:val="both"/>
        <w:rPr>
          <w:rFonts w:ascii="Palatino Linotype" w:eastAsia="Calibri" w:hAnsi="Palatino Linotype" w:cs="Tahoma"/>
          <w:color w:val="0D0D0D" w:themeColor="text1" w:themeTint="F2"/>
          <w:sz w:val="22"/>
        </w:rPr>
      </w:pPr>
      <w:r w:rsidRPr="00D06374">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sidRPr="00D06374">
        <w:rPr>
          <w:rFonts w:ascii="Palatino Linotype" w:eastAsia="Calibri" w:hAnsi="Palatino Linotype" w:cs="Tahoma"/>
          <w:color w:val="0D0D0D" w:themeColor="text1" w:themeTint="F2"/>
          <w:sz w:val="22"/>
        </w:rPr>
        <w:t xml:space="preserve">comenzó ocho de noviembre y feneció el treinta del mismo mes de dos mil veintidós, doce, trece, catorce, diecinueve, veinte, veintiséis y veintisiete de noviembre, todos del año referido, </w:t>
      </w:r>
      <w:r w:rsidRPr="00D06374">
        <w:rPr>
          <w:rFonts w:ascii="Palatino Linotype" w:eastAsia="Batang" w:hAnsi="Palatino Linotype" w:cs="Tahoma"/>
          <w:bCs/>
          <w:color w:val="0D0D0D" w:themeColor="text1" w:themeTint="F2"/>
          <w:sz w:val="22"/>
        </w:rPr>
        <w:t xml:space="preserve">de conformidad con los artículos 3°, fracción X, y 159, de la Ley de Transparencia y Acceso a la Información Pública del Estado de México y Municipios y </w:t>
      </w:r>
      <w:bookmarkStart w:id="1" w:name="_Hlk65786947"/>
      <w:r w:rsidRPr="00D06374">
        <w:rPr>
          <w:rFonts w:ascii="Palatino Linotype" w:eastAsia="Batang" w:hAnsi="Palatino Linotype" w:cs="Tahoma"/>
          <w:bCs/>
          <w:color w:val="0D0D0D" w:themeColor="text1" w:themeTint="F2"/>
          <w:sz w:val="22"/>
        </w:rPr>
        <w:t xml:space="preserve">el </w:t>
      </w:r>
      <w:r w:rsidRPr="00D06374">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Pr="00D06374">
        <w:rPr>
          <w:rFonts w:ascii="Palatino Linotype" w:eastAsia="Batang" w:hAnsi="Palatino Linotype" w:cs="Tahoma"/>
          <w:color w:val="0D0D0D" w:themeColor="text1" w:themeTint="F2"/>
          <w:sz w:val="22"/>
          <w:lang w:val="es-ES"/>
        </w:rPr>
        <w:t>mil veintidós y enero dos mil veintitrés.</w:t>
      </w:r>
    </w:p>
    <w:p w14:paraId="5621F728" w14:textId="77777777" w:rsidR="001D256A" w:rsidRPr="00D06374" w:rsidRDefault="001D256A" w:rsidP="001D256A">
      <w:pPr>
        <w:spacing w:line="360" w:lineRule="auto"/>
        <w:ind w:right="-28"/>
        <w:contextualSpacing/>
        <w:jc w:val="both"/>
        <w:rPr>
          <w:rFonts w:ascii="Palatino Linotype" w:hAnsi="Palatino Linotype" w:cs="Tahoma"/>
          <w:bCs/>
          <w:iCs/>
          <w:sz w:val="22"/>
          <w:szCs w:val="22"/>
        </w:rPr>
      </w:pPr>
    </w:p>
    <w:p w14:paraId="7013A92C"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14:paraId="3D4DEF8D"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p>
    <w:p w14:paraId="71EBC3B8" w14:textId="57E4570D" w:rsidR="001D256A" w:rsidRPr="00D06374" w:rsidRDefault="00C8435A" w:rsidP="001D256A">
      <w:pPr>
        <w:spacing w:line="360" w:lineRule="auto"/>
        <w:jc w:val="center"/>
        <w:rPr>
          <w:rFonts w:ascii="Palatino Linotype" w:hAnsi="Palatino Linotype" w:cs="Tahoma"/>
          <w:color w:val="0D0D0D" w:themeColor="text1" w:themeTint="F2"/>
          <w:sz w:val="22"/>
          <w:szCs w:val="22"/>
          <w:lang w:val="es-ES"/>
        </w:rPr>
      </w:pPr>
      <w:r w:rsidRPr="00D06374">
        <w:rPr>
          <w:rFonts w:ascii="Palatino Linotype" w:hAnsi="Palatino Linotype" w:cs="Tahoma"/>
          <w:noProof/>
          <w:color w:val="0D0D0D" w:themeColor="text1" w:themeTint="F2"/>
          <w:sz w:val="22"/>
          <w:szCs w:val="22"/>
          <w:lang w:eastAsia="es-MX"/>
        </w:rPr>
        <w:lastRenderedPageBreak/>
        <w:drawing>
          <wp:inline distT="0" distB="0" distL="0" distR="0" wp14:anchorId="6DEC8502" wp14:editId="588DC0F8">
            <wp:extent cx="3067478" cy="2162477"/>
            <wp:effectExtent l="0" t="0" r="0" b="9525"/>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3067478" cy="2162477"/>
                    </a:xfrm>
                    <a:prstGeom prst="rect">
                      <a:avLst/>
                    </a:prstGeom>
                  </pic:spPr>
                </pic:pic>
              </a:graphicData>
            </a:graphic>
          </wp:inline>
        </w:drawing>
      </w:r>
    </w:p>
    <w:p w14:paraId="7CC05F54"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p>
    <w:p w14:paraId="2B3546D2" w14:textId="77777777" w:rsidR="00645E1F" w:rsidRPr="00D06374" w:rsidRDefault="00645E1F" w:rsidP="00645E1F">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color w:val="0D0D0D" w:themeColor="text1" w:themeTint="F2"/>
          <w:sz w:val="22"/>
          <w:szCs w:val="22"/>
          <w:lang w:val="es-ES"/>
        </w:rPr>
        <w:t xml:space="preserve">En este sentido se colige que, tal como lo precisó el Recurrente, el Ayuntamiento de Zinacantepec, no emitió respuesta para dar contestación a la solicitud de información, dentro de los plazos establecidos en el artículo 163, de la Ley de Transparencia y </w:t>
      </w:r>
      <w:r w:rsidRPr="00D06374">
        <w:rPr>
          <w:rFonts w:ascii="Palatino Linotype" w:hAnsi="Palatino Linotype" w:cs="Tahoma"/>
          <w:bCs/>
          <w:color w:val="0D0D0D" w:themeColor="text1" w:themeTint="F2"/>
          <w:sz w:val="22"/>
          <w:szCs w:val="22"/>
        </w:rPr>
        <w:t xml:space="preserve">Acceso a la Información Pública del Estado de México y Municipios, pues tenía hasta el </w:t>
      </w:r>
      <w:r w:rsidRPr="00D06374">
        <w:rPr>
          <w:rFonts w:ascii="Palatino Linotype" w:hAnsi="Palatino Linotype" w:cs="Tahoma"/>
          <w:b/>
          <w:color w:val="0D0D0D" w:themeColor="text1" w:themeTint="F2"/>
          <w:sz w:val="22"/>
          <w:szCs w:val="22"/>
        </w:rPr>
        <w:t>treinta de noviembre de dos mil veintidós</w:t>
      </w:r>
      <w:r w:rsidRPr="00D06374">
        <w:rPr>
          <w:rFonts w:ascii="Palatino Linotype" w:hAnsi="Palatino Linotype" w:cs="Tahoma"/>
          <w:bCs/>
          <w:color w:val="0D0D0D" w:themeColor="text1" w:themeTint="F2"/>
          <w:sz w:val="22"/>
          <w:szCs w:val="22"/>
        </w:rPr>
        <w:t xml:space="preserve">, para realizar dicha situación, por lo que es evidente que el agravio es </w:t>
      </w:r>
      <w:r w:rsidRPr="00D06374">
        <w:rPr>
          <w:rFonts w:ascii="Palatino Linotype" w:hAnsi="Palatino Linotype" w:cs="Tahoma"/>
          <w:b/>
          <w:color w:val="0D0D0D" w:themeColor="text1" w:themeTint="F2"/>
          <w:sz w:val="22"/>
          <w:szCs w:val="22"/>
        </w:rPr>
        <w:t>FUNDADO.</w:t>
      </w:r>
    </w:p>
    <w:p w14:paraId="18D18602" w14:textId="0306AC03"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p>
    <w:p w14:paraId="5A1BFF75" w14:textId="77777777" w:rsidR="00645E1F" w:rsidRPr="00D06374" w:rsidRDefault="00645E1F" w:rsidP="00645E1F">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Sin embargo, durante la sustanciación del presente Medio de Impugnación el Sujeto Obligado dio respuesta, a través de su Informe Justificado, por lo que, se procede a su análisis; para lo cual, es necesario contextualizar la solicitud de información.</w:t>
      </w:r>
    </w:p>
    <w:p w14:paraId="3201B0E1" w14:textId="499C7BF7" w:rsidR="00645E1F" w:rsidRPr="00D06374" w:rsidRDefault="00645E1F" w:rsidP="001D256A">
      <w:pPr>
        <w:spacing w:line="360" w:lineRule="auto"/>
        <w:jc w:val="both"/>
        <w:rPr>
          <w:rFonts w:ascii="Palatino Linotype" w:hAnsi="Palatino Linotype" w:cs="Tahoma"/>
          <w:color w:val="0D0D0D" w:themeColor="text1" w:themeTint="F2"/>
          <w:sz w:val="22"/>
          <w:szCs w:val="22"/>
          <w:lang w:val="es-ES"/>
        </w:rPr>
      </w:pPr>
    </w:p>
    <w:p w14:paraId="134C7E56" w14:textId="77777777" w:rsidR="00645E1F" w:rsidRPr="00D06374" w:rsidRDefault="00645E1F" w:rsidP="001D256A">
      <w:pPr>
        <w:spacing w:line="360" w:lineRule="auto"/>
        <w:jc w:val="both"/>
        <w:rPr>
          <w:rFonts w:ascii="Palatino Linotype" w:hAnsi="Palatino Linotype" w:cs="Tahoma"/>
          <w:color w:val="0D0D0D" w:themeColor="text1" w:themeTint="F2"/>
          <w:sz w:val="22"/>
          <w:szCs w:val="22"/>
          <w:lang w:val="es-ES"/>
        </w:rPr>
      </w:pPr>
    </w:p>
    <w:p w14:paraId="33DA55D8" w14:textId="77777777" w:rsidR="00645E1F" w:rsidRPr="00D06374" w:rsidRDefault="00645E1F" w:rsidP="001D256A">
      <w:pPr>
        <w:spacing w:line="360" w:lineRule="auto"/>
        <w:jc w:val="both"/>
        <w:rPr>
          <w:rFonts w:ascii="Palatino Linotype" w:hAnsi="Palatino Linotype" w:cs="Tahoma"/>
          <w:color w:val="0D0D0D" w:themeColor="text1" w:themeTint="F2"/>
          <w:sz w:val="22"/>
          <w:szCs w:val="22"/>
          <w:lang w:val="es-ES"/>
        </w:rPr>
      </w:pPr>
    </w:p>
    <w:p w14:paraId="390EC0C9" w14:textId="45C0ACFA"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Sin embargo, durante la sustanciación del presente Medio de Impugnación el Sujeto Obligado modifico su respuesta inicial a través de su Informe Justificado, mediante el cual proporciono un enlace electrónico que direcciona al Particular al apartado “</w:t>
      </w:r>
      <w:r w:rsidR="0071009C" w:rsidRPr="00D06374">
        <w:rPr>
          <w:rFonts w:ascii="Palatino Linotype" w:hAnsi="Palatino Linotype" w:cs="Tahoma"/>
          <w:b/>
          <w:bCs/>
          <w:color w:val="0D0D0D" w:themeColor="text1" w:themeTint="F2"/>
          <w:sz w:val="22"/>
          <w:szCs w:val="22"/>
        </w:rPr>
        <w:t>Gasto por capítulo, concepto y partida</w:t>
      </w:r>
      <w:r w:rsidRPr="00D06374">
        <w:rPr>
          <w:rFonts w:ascii="Palatino Linotype" w:hAnsi="Palatino Linotype" w:cs="Tahoma"/>
          <w:color w:val="0D0D0D" w:themeColor="text1" w:themeTint="F2"/>
          <w:sz w:val="22"/>
          <w:szCs w:val="22"/>
        </w:rPr>
        <w:t xml:space="preserve">” el Portal de Información Pública de Oficio del </w:t>
      </w:r>
      <w:r w:rsidRPr="00D06374">
        <w:rPr>
          <w:rFonts w:ascii="Palatino Linotype" w:eastAsia="Calibri" w:hAnsi="Palatino Linotype" w:cs="Tahoma"/>
          <w:sz w:val="22"/>
          <w:szCs w:val="22"/>
        </w:rPr>
        <w:t xml:space="preserve">Ayuntamiento de Zinacantepec, en </w:t>
      </w:r>
      <w:r w:rsidRPr="00D06374">
        <w:rPr>
          <w:rFonts w:ascii="Palatino Linotype" w:eastAsia="Calibri" w:hAnsi="Palatino Linotype" w:cs="Tahoma"/>
          <w:sz w:val="22"/>
          <w:szCs w:val="22"/>
        </w:rPr>
        <w:lastRenderedPageBreak/>
        <w:t xml:space="preserve">ese sentido, se procede a analizar si esta información da cuenta de la información solicitada por el hoy Recurrente. </w:t>
      </w:r>
    </w:p>
    <w:p w14:paraId="0606B27E"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p>
    <w:p w14:paraId="49377C18" w14:textId="6F0EB672" w:rsidR="0071009C" w:rsidRPr="00D06374" w:rsidRDefault="001D256A" w:rsidP="001D256A">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 xml:space="preserve">En ese orden de ideas, es necesario recapitular que la pretensión del hoy Recurrente consiste en acceder </w:t>
      </w:r>
      <w:r w:rsidR="0071009C" w:rsidRPr="00D06374">
        <w:rPr>
          <w:rFonts w:ascii="Palatino Linotype" w:hAnsi="Palatino Linotype" w:cs="Tahoma"/>
          <w:color w:val="0D0D0D" w:themeColor="text1" w:themeTint="F2"/>
          <w:sz w:val="22"/>
          <w:szCs w:val="22"/>
          <w:lang w:val="es-ES"/>
        </w:rPr>
        <w:t xml:space="preserve">todas las requisiciones por concepto de asesorías y las facturas de pago solicitadas por todas las Direcciones del </w:t>
      </w:r>
      <w:r w:rsidR="0071009C" w:rsidRPr="00D06374">
        <w:rPr>
          <w:rFonts w:ascii="Palatino Linotype" w:eastAsia="Calibri" w:hAnsi="Palatino Linotype" w:cs="Tahoma"/>
          <w:sz w:val="22"/>
          <w:szCs w:val="22"/>
        </w:rPr>
        <w:t xml:space="preserve">Ayuntamiento de Zinacantepec. </w:t>
      </w:r>
    </w:p>
    <w:p w14:paraId="2258F4E7"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p>
    <w:p w14:paraId="49B816A9" w14:textId="77777777" w:rsidR="001D256A" w:rsidRPr="00D06374" w:rsidRDefault="001D256A" w:rsidP="001D256A">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En ese sentido, se procede a analizar la naturaleza de la información solicitada, por lo que sobre</w:t>
      </w:r>
      <w:r w:rsidRPr="00D06374">
        <w:rPr>
          <w:rFonts w:ascii="Palatino Linotype" w:eastAsiaTheme="minorHAnsi" w:hAnsi="Palatino Linotype" w:cstheme="minorBidi"/>
          <w:color w:val="000000" w:themeColor="text1"/>
          <w:sz w:val="22"/>
          <w:szCs w:val="22"/>
          <w:lang w:eastAsia="en-US"/>
        </w:rPr>
        <w:t xml:space="preserve"> el tema, López Olvera, Miguel Alejandro Cancino Gómez, Rodolfo. (2020). “La Contratación Pública y el Sistema Nacional Anticorrupción”. (p. 4) la </w:t>
      </w:r>
      <w:r w:rsidRPr="00D06374">
        <w:rPr>
          <w:rFonts w:ascii="Palatino Linotype" w:eastAsiaTheme="minorHAnsi" w:hAnsi="Palatino Linotype" w:cstheme="minorBidi"/>
          <w:b/>
          <w:color w:val="000000" w:themeColor="text1"/>
          <w:sz w:val="22"/>
          <w:szCs w:val="22"/>
          <w:lang w:eastAsia="en-US"/>
        </w:rPr>
        <w:t>contratación pública</w:t>
      </w:r>
      <w:r w:rsidRPr="00D06374">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364A3BF2" w14:textId="29555A48" w:rsidR="001D256A" w:rsidRPr="00D06374" w:rsidRDefault="001D256A" w:rsidP="001D256A">
      <w:pPr>
        <w:spacing w:line="360" w:lineRule="auto"/>
        <w:jc w:val="both"/>
        <w:rPr>
          <w:rFonts w:ascii="Palatino Linotype" w:eastAsiaTheme="minorHAnsi" w:hAnsi="Palatino Linotype" w:cstheme="minorBidi"/>
          <w:color w:val="000000" w:themeColor="text1"/>
          <w:sz w:val="22"/>
          <w:szCs w:val="22"/>
          <w:lang w:eastAsia="en-US"/>
        </w:rPr>
      </w:pPr>
    </w:p>
    <w:p w14:paraId="574B8F99" w14:textId="77777777" w:rsidR="009336D6" w:rsidRPr="00D06374" w:rsidRDefault="009336D6" w:rsidP="009336D6">
      <w:pPr>
        <w:spacing w:line="360" w:lineRule="auto"/>
        <w:jc w:val="both"/>
        <w:rPr>
          <w:rFonts w:ascii="Palatino Linotype" w:eastAsiaTheme="minorHAnsi" w:hAnsi="Palatino Linotype" w:cstheme="minorBidi"/>
          <w:color w:val="000000" w:themeColor="text1"/>
          <w:sz w:val="22"/>
          <w:szCs w:val="22"/>
          <w:lang w:eastAsia="en-US"/>
        </w:rPr>
      </w:pPr>
      <w:r w:rsidRPr="00D06374">
        <w:rPr>
          <w:rFonts w:ascii="Palatino Linotype" w:eastAsiaTheme="minorHAnsi" w:hAnsi="Palatino Linotype" w:cstheme="minorBidi"/>
          <w:color w:val="000000" w:themeColor="text1"/>
          <w:sz w:val="22"/>
          <w:szCs w:val="22"/>
          <w:lang w:eastAsia="en-US"/>
        </w:rPr>
        <w:t xml:space="preserve">Por otra parte, los artículos 1°, fracción III, y 4°de la Ley de la de Contratación Pública del Estado de México y Municipios, especifica que los ayuntamientos serán los encargados de realizar los actos relativos a la planeación, programación, presupuestación, ejecución y control de la adquisición (bienes muebles e inmuebles), arrendamiento (bienes muebles e inmuebles), y la contratación de servicios de cualquier naturaleza. </w:t>
      </w:r>
    </w:p>
    <w:p w14:paraId="08D0D446" w14:textId="77777777" w:rsidR="009336D6" w:rsidRPr="00D06374" w:rsidRDefault="009336D6" w:rsidP="009336D6">
      <w:pPr>
        <w:spacing w:line="360" w:lineRule="auto"/>
        <w:jc w:val="both"/>
        <w:rPr>
          <w:rFonts w:ascii="Palatino Linotype" w:eastAsiaTheme="minorHAnsi" w:hAnsi="Palatino Linotype" w:cstheme="minorBidi"/>
          <w:color w:val="000000" w:themeColor="text1"/>
          <w:sz w:val="22"/>
          <w:szCs w:val="22"/>
          <w:lang w:eastAsia="en-US"/>
        </w:rPr>
      </w:pPr>
    </w:p>
    <w:p w14:paraId="11189C13" w14:textId="6DCBD2E5" w:rsidR="001D6EA1" w:rsidRPr="00D06374" w:rsidRDefault="001D6EA1" w:rsidP="001D6EA1">
      <w:pPr>
        <w:spacing w:line="360" w:lineRule="auto"/>
        <w:jc w:val="both"/>
        <w:rPr>
          <w:rFonts w:ascii="Palatino Linotype" w:eastAsiaTheme="minorHAnsi" w:hAnsi="Palatino Linotype" w:cstheme="minorBidi"/>
          <w:color w:val="000000" w:themeColor="text1"/>
          <w:sz w:val="22"/>
          <w:szCs w:val="22"/>
          <w:lang w:eastAsia="en-US"/>
        </w:rPr>
      </w:pPr>
      <w:r w:rsidRPr="00D06374">
        <w:rPr>
          <w:rFonts w:ascii="Palatino Linotype" w:eastAsia="Calibri" w:hAnsi="Palatino Linotype" w:cs="Tahoma"/>
          <w:color w:val="000000" w:themeColor="text1"/>
          <w:sz w:val="22"/>
          <w:szCs w:val="22"/>
          <w:lang w:eastAsia="en-US"/>
        </w:rPr>
        <w:t xml:space="preserve">En ese contexto, conforme a los artículos 26 y 27 de dicho ordenamiento jurídico, las adquisiciones, arrendamientos y servicios, se adjudicarán a través de procedimientos de </w:t>
      </w:r>
      <w:r w:rsidRPr="00D06374">
        <w:rPr>
          <w:rFonts w:ascii="Palatino Linotype" w:eastAsia="Calibri" w:hAnsi="Palatino Linotype" w:cs="Tahoma"/>
          <w:b/>
          <w:bCs/>
          <w:color w:val="000000" w:themeColor="text1"/>
          <w:sz w:val="22"/>
          <w:szCs w:val="22"/>
          <w:lang w:eastAsia="en-US"/>
        </w:rPr>
        <w:t>licitación pública, invitación restringida y adjudicación directa.</w:t>
      </w:r>
      <w:r w:rsidR="0043023C" w:rsidRPr="00D06374">
        <w:rPr>
          <w:rFonts w:ascii="Palatino Linotype" w:eastAsia="Calibri" w:hAnsi="Palatino Linotype" w:cs="Tahoma"/>
          <w:b/>
          <w:bCs/>
          <w:color w:val="000000" w:themeColor="text1"/>
          <w:sz w:val="22"/>
          <w:szCs w:val="22"/>
          <w:lang w:eastAsia="en-US"/>
        </w:rPr>
        <w:t xml:space="preserve"> </w:t>
      </w:r>
      <w:r w:rsidRPr="00D06374">
        <w:rPr>
          <w:rFonts w:ascii="Palatino Linotype" w:eastAsiaTheme="minorHAnsi" w:hAnsi="Palatino Linotype" w:cstheme="minorBidi"/>
          <w:color w:val="000000" w:themeColor="text1"/>
          <w:sz w:val="22"/>
          <w:szCs w:val="22"/>
          <w:lang w:eastAsia="en-US"/>
        </w:rPr>
        <w:t xml:space="preserve">Además, los artículos 14, 15 y 16 de la Ley de la de Contratación Pública del Estado de México y Municipios, establecen que las unidades administrativas deben generar las solicitudes de adquisición de bienes o </w:t>
      </w:r>
      <w:r w:rsidRPr="00D06374">
        <w:rPr>
          <w:rFonts w:ascii="Palatino Linotype" w:eastAsiaTheme="minorHAnsi" w:hAnsi="Palatino Linotype" w:cstheme="minorBidi"/>
          <w:color w:val="000000" w:themeColor="text1"/>
          <w:sz w:val="22"/>
          <w:szCs w:val="22"/>
          <w:lang w:eastAsia="en-US"/>
        </w:rPr>
        <w:lastRenderedPageBreak/>
        <w:t>contratación de servicios, los cuales deben de incluir diversos documentos, entre los cuales se encuentra aquel que avale la suficiencia presupuestal.</w:t>
      </w:r>
    </w:p>
    <w:p w14:paraId="2829A407" w14:textId="60867369" w:rsidR="001D6EA1" w:rsidRPr="00D06374" w:rsidRDefault="001D6EA1" w:rsidP="009336D6">
      <w:pPr>
        <w:spacing w:line="360" w:lineRule="auto"/>
        <w:jc w:val="both"/>
        <w:rPr>
          <w:rFonts w:ascii="Palatino Linotype" w:eastAsiaTheme="minorHAnsi" w:hAnsi="Palatino Linotype" w:cstheme="minorBidi"/>
          <w:color w:val="000000" w:themeColor="text1"/>
          <w:sz w:val="22"/>
          <w:szCs w:val="22"/>
          <w:lang w:eastAsia="en-US"/>
        </w:rPr>
      </w:pPr>
    </w:p>
    <w:p w14:paraId="6841DBE6" w14:textId="55090979" w:rsidR="001D6EA1" w:rsidRPr="00D06374" w:rsidRDefault="001D6EA1" w:rsidP="001D6EA1">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color w:val="0D0D0D" w:themeColor="text1" w:themeTint="F2"/>
          <w:sz w:val="22"/>
          <w:szCs w:val="22"/>
        </w:rPr>
        <w:t xml:space="preserve">En ese contexto, al tratarse de contratación de servicios por parte de un Ente Público, conviene traer al estudio lo previsto en </w:t>
      </w:r>
      <w:r w:rsidRPr="00D06374">
        <w:rPr>
          <w:rFonts w:ascii="Palatino Linotype" w:hAnsi="Palatino Linotype" w:cs="Tahoma"/>
          <w:iCs/>
          <w:color w:val="0D0D0D" w:themeColor="text1" w:themeTint="F2"/>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D06374">
        <w:rPr>
          <w:rFonts w:ascii="Palatino Linotype" w:hAnsi="Palatino Linotype" w:cs="Tahoma"/>
          <w:b/>
          <w:bCs/>
          <w:iCs/>
          <w:color w:val="0D0D0D" w:themeColor="text1" w:themeTint="F2"/>
          <w:sz w:val="22"/>
          <w:szCs w:val="22"/>
          <w:lang w:val="es-ES"/>
        </w:rPr>
        <w:t>transacciones que realiza un ente público y los eventos económicos identificables y cuantificable</w:t>
      </w:r>
      <w:r w:rsidRPr="00D06374">
        <w:rPr>
          <w:rFonts w:ascii="Palatino Linotype" w:hAnsi="Palatino Linotype" w:cs="Tahoma"/>
          <w:iCs/>
          <w:color w:val="0D0D0D" w:themeColor="text1" w:themeTint="F2"/>
          <w:sz w:val="22"/>
          <w:szCs w:val="22"/>
          <w:lang w:val="es-ES"/>
        </w:rPr>
        <w:t xml:space="preserve"> la cual puede representarse por reportes, informes, estados y notas que expresan su situación financiera, los resultados de su operación y los cambios en su patrimonio. </w:t>
      </w:r>
    </w:p>
    <w:p w14:paraId="419DF825" w14:textId="77777777" w:rsidR="001D6EA1" w:rsidRPr="00D06374" w:rsidRDefault="001D6EA1" w:rsidP="001D6EA1">
      <w:pPr>
        <w:spacing w:line="360" w:lineRule="auto"/>
        <w:jc w:val="both"/>
        <w:rPr>
          <w:rFonts w:ascii="Palatino Linotype" w:hAnsi="Palatino Linotype" w:cs="Tahoma"/>
          <w:iCs/>
          <w:color w:val="0D0D0D" w:themeColor="text1" w:themeTint="F2"/>
          <w:sz w:val="22"/>
          <w:szCs w:val="22"/>
          <w:lang w:val="es-ES"/>
        </w:rPr>
      </w:pPr>
    </w:p>
    <w:p w14:paraId="64458B5D" w14:textId="77777777" w:rsidR="001D6EA1" w:rsidRPr="00D06374" w:rsidRDefault="001D6EA1" w:rsidP="001D6EA1">
      <w:pPr>
        <w:spacing w:line="360" w:lineRule="auto"/>
        <w:jc w:val="both"/>
        <w:rPr>
          <w:rFonts w:ascii="Palatino Linotype" w:hAnsi="Palatino Linotype" w:cs="Tahoma"/>
          <w:iCs/>
          <w:color w:val="0D0D0D" w:themeColor="text1" w:themeTint="F2"/>
          <w:sz w:val="22"/>
          <w:szCs w:val="22"/>
          <w:lang w:val="es-ES"/>
        </w:rPr>
      </w:pPr>
      <w:r w:rsidRPr="00D06374">
        <w:rPr>
          <w:rFonts w:ascii="Palatino Linotype" w:hAnsi="Palatino Linotype" w:cs="Tahoma"/>
          <w:iCs/>
          <w:color w:val="0D0D0D" w:themeColor="text1" w:themeTint="F2"/>
          <w:sz w:val="22"/>
          <w:szCs w:val="22"/>
          <w:lang w:val="es-ES"/>
        </w:rPr>
        <w:t xml:space="preserve">En esa misma tesitura, los artículos 16, 18, 19, fracción V, y 34 de la Ley General en comento, establen que los entes públicos deben contar con un sistema de contabilidad gubernamental en el cual se registrarán </w:t>
      </w:r>
      <w:r w:rsidRPr="00D06374">
        <w:rPr>
          <w:rFonts w:ascii="Palatino Linotype" w:hAnsi="Palatino Linotype" w:cs="Tahoma"/>
          <w:iCs/>
          <w:color w:val="0D0D0D" w:themeColor="text1" w:themeTint="F2"/>
          <w:sz w:val="22"/>
          <w:szCs w:val="22"/>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B006C83" w14:textId="77777777" w:rsidR="001D6EA1" w:rsidRPr="00D06374" w:rsidRDefault="001D6EA1" w:rsidP="001D6EA1">
      <w:pPr>
        <w:spacing w:line="360" w:lineRule="auto"/>
        <w:jc w:val="both"/>
        <w:rPr>
          <w:rFonts w:ascii="Palatino Linotype" w:hAnsi="Palatino Linotype" w:cs="Tahoma"/>
          <w:iCs/>
          <w:color w:val="0D0D0D" w:themeColor="text1" w:themeTint="F2"/>
          <w:sz w:val="22"/>
          <w:szCs w:val="22"/>
          <w:lang w:val="es-ES"/>
        </w:rPr>
      </w:pPr>
    </w:p>
    <w:p w14:paraId="3A4FD5DA" w14:textId="77777777" w:rsidR="001D6EA1" w:rsidRPr="00D06374" w:rsidRDefault="001D6EA1" w:rsidP="001D6EA1">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iCs/>
          <w:color w:val="0D0D0D" w:themeColor="text1" w:themeTint="F2"/>
          <w:sz w:val="22"/>
          <w:szCs w:val="22"/>
          <w:lang w:val="es-ES"/>
        </w:rPr>
        <w:t xml:space="preserve">A manera de ejemplo, se trae el estudio la </w:t>
      </w:r>
      <w:r w:rsidRPr="00D06374">
        <w:rPr>
          <w:rFonts w:ascii="Palatino Linotype" w:hAnsi="Palatino Linotype" w:cs="Tahoma"/>
          <w:iCs/>
          <w:color w:val="0D0D0D" w:themeColor="text1" w:themeTint="F2"/>
          <w:sz w:val="22"/>
          <w:szCs w:val="22"/>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23CBD421" w14:textId="77777777" w:rsidR="001D6EA1" w:rsidRPr="00D06374" w:rsidRDefault="001D6EA1" w:rsidP="001D6EA1">
      <w:pPr>
        <w:spacing w:line="360" w:lineRule="auto"/>
        <w:jc w:val="both"/>
        <w:rPr>
          <w:rFonts w:ascii="Palatino Linotype" w:hAnsi="Palatino Linotype" w:cs="Tahoma"/>
          <w:color w:val="0D0D0D" w:themeColor="text1" w:themeTint="F2"/>
          <w:sz w:val="22"/>
          <w:szCs w:val="22"/>
          <w:lang w:val="es-ES"/>
        </w:rPr>
      </w:pPr>
    </w:p>
    <w:p w14:paraId="460BE151" w14:textId="77777777" w:rsidR="001D6EA1" w:rsidRPr="00D06374" w:rsidRDefault="001D6EA1" w:rsidP="001D6EA1">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 xml:space="preserve">De este modo, de acuerdo a la naturaleza de información solicitada, </w:t>
      </w:r>
      <w:r w:rsidRPr="00D06374">
        <w:rPr>
          <w:rFonts w:ascii="Palatino Linotype" w:hAnsi="Palatino Linotype" w:cs="Tahoma"/>
          <w:color w:val="0D0D0D" w:themeColor="text1" w:themeTint="F2"/>
          <w:sz w:val="22"/>
          <w:szCs w:val="22"/>
        </w:rPr>
        <w:t xml:space="preserve">resulta necesario traer a colación, la Resolución Miscelánea Fiscal para el 2022, establece que la factura es lo mismo, </w:t>
      </w:r>
      <w:r w:rsidRPr="00D06374">
        <w:rPr>
          <w:rFonts w:ascii="Palatino Linotype" w:hAnsi="Palatino Linotype" w:cs="Tahoma"/>
          <w:color w:val="0D0D0D" w:themeColor="text1" w:themeTint="F2"/>
          <w:sz w:val="22"/>
          <w:szCs w:val="22"/>
        </w:rPr>
        <w:lastRenderedPageBreak/>
        <w:t xml:space="preserve">que un Comprobante Fiscal Digital por Internet, por lo que, se puede considerar como el documento que comprueba la realización de una </w:t>
      </w:r>
      <w:r w:rsidRPr="00D06374">
        <w:rPr>
          <w:rFonts w:ascii="Palatino Linotype" w:hAnsi="Palatino Linotype" w:cs="Tahoma"/>
          <w:b/>
          <w:bCs/>
          <w:color w:val="0D0D0D" w:themeColor="text1" w:themeTint="F2"/>
          <w:sz w:val="22"/>
          <w:szCs w:val="22"/>
        </w:rPr>
        <w:t>transacción comercial</w:t>
      </w:r>
      <w:r w:rsidRPr="00D06374">
        <w:rPr>
          <w:rFonts w:ascii="Palatino Linotype" w:hAnsi="Palatino Linotype" w:cs="Tahoma"/>
          <w:color w:val="0D0D0D" w:themeColor="text1" w:themeTint="F2"/>
          <w:sz w:val="22"/>
          <w:szCs w:val="22"/>
        </w:rPr>
        <w:t>, entre un comprador y un vendedor, mediante el cual, el primero queda obligado a realizar un pago, mientras que el segundo, a entregar o brindar un producto o servicio.</w:t>
      </w:r>
    </w:p>
    <w:p w14:paraId="50CFA9DB" w14:textId="77777777" w:rsidR="001D6EA1" w:rsidRPr="00D06374" w:rsidRDefault="001D6EA1" w:rsidP="001D6EA1">
      <w:pPr>
        <w:spacing w:line="360" w:lineRule="auto"/>
        <w:jc w:val="both"/>
        <w:rPr>
          <w:rFonts w:ascii="Palatino Linotype" w:hAnsi="Palatino Linotype" w:cs="Tahoma"/>
          <w:color w:val="0D0D0D" w:themeColor="text1" w:themeTint="F2"/>
          <w:sz w:val="22"/>
          <w:szCs w:val="22"/>
        </w:rPr>
      </w:pPr>
    </w:p>
    <w:p w14:paraId="49B410B2" w14:textId="77777777" w:rsidR="001D6EA1" w:rsidRPr="00D06374" w:rsidRDefault="001D6EA1" w:rsidP="001D6EA1">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bCs/>
          <w:color w:val="0D0D0D" w:themeColor="text1" w:themeTint="F2"/>
          <w:sz w:val="22"/>
          <w:szCs w:val="22"/>
        </w:rPr>
        <w:t xml:space="preserve">En ese orden de ideas, los Lineamientos para la Integración y Entrega del Informe Trimestral Municipal, dos mil veintidós, entre los formatos que maneja en el </w:t>
      </w:r>
      <w:r w:rsidRPr="00D06374">
        <w:rPr>
          <w:rFonts w:ascii="Palatino Linotype" w:hAnsi="Palatino Linotype" w:cs="Tahoma"/>
          <w:b/>
          <w:bCs/>
          <w:color w:val="0D0D0D" w:themeColor="text1" w:themeTint="F2"/>
          <w:sz w:val="22"/>
          <w:szCs w:val="22"/>
        </w:rPr>
        <w:t>Módulo 1</w:t>
      </w:r>
      <w:r w:rsidRPr="00D06374">
        <w:rPr>
          <w:rFonts w:ascii="Palatino Linotype" w:hAnsi="Palatino Linotype" w:cs="Tahoma"/>
          <w:bCs/>
          <w:color w:val="0D0D0D" w:themeColor="text1" w:themeTint="F2"/>
          <w:sz w:val="22"/>
          <w:szCs w:val="22"/>
        </w:rPr>
        <w:t>, se advierte que se encuentran Póliza de Egresos y Póliza Cheque, con los documentos comprobatorios, mismos que serán entregados al Órgano Superior de Fiscalización del Estado de México.</w:t>
      </w:r>
    </w:p>
    <w:p w14:paraId="1BF16A36" w14:textId="77777777" w:rsidR="001D6EA1" w:rsidRPr="00D06374" w:rsidRDefault="001D6EA1" w:rsidP="001D6EA1">
      <w:pPr>
        <w:spacing w:line="360" w:lineRule="auto"/>
        <w:jc w:val="both"/>
        <w:rPr>
          <w:rFonts w:ascii="Palatino Linotype" w:hAnsi="Palatino Linotype" w:cs="Tahoma"/>
          <w:b/>
          <w:bCs/>
          <w:color w:val="0D0D0D" w:themeColor="text1" w:themeTint="F2"/>
          <w:sz w:val="22"/>
          <w:szCs w:val="22"/>
        </w:rPr>
      </w:pPr>
    </w:p>
    <w:p w14:paraId="17846286" w14:textId="77777777" w:rsidR="001D6EA1" w:rsidRPr="00D06374" w:rsidRDefault="001D6EA1" w:rsidP="001D6EA1">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bCs/>
          <w:color w:val="0D0D0D" w:themeColor="text1" w:themeTint="F2"/>
          <w:sz w:val="22"/>
          <w:szCs w:val="22"/>
        </w:rPr>
        <w:t xml:space="preserve">Además, en el apartado de </w:t>
      </w:r>
      <w:r w:rsidRPr="00D06374">
        <w:rPr>
          <w:rFonts w:ascii="Palatino Linotype" w:hAnsi="Palatino Linotype" w:cs="Tahoma"/>
          <w:b/>
          <w:bCs/>
          <w:color w:val="0D0D0D" w:themeColor="text1" w:themeTint="F2"/>
          <w:sz w:val="22"/>
          <w:szCs w:val="22"/>
        </w:rPr>
        <w:t xml:space="preserve">“Aspectos a tomar en cuenta para la integración de las Pólizas contables y documentación comprobatoria”, </w:t>
      </w:r>
      <w:r w:rsidRPr="00D06374">
        <w:rPr>
          <w:rFonts w:ascii="Palatino Linotype" w:hAnsi="Palatino Linotype" w:cs="Tahoma"/>
          <w:bCs/>
          <w:color w:val="0D0D0D" w:themeColor="text1" w:themeTint="F2"/>
          <w:sz w:val="22"/>
          <w:szCs w:val="22"/>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7B9CC018" w14:textId="30F1B336" w:rsidR="001D256A" w:rsidRPr="00D06374" w:rsidRDefault="001D256A" w:rsidP="001D256A">
      <w:pPr>
        <w:spacing w:line="360" w:lineRule="auto"/>
        <w:jc w:val="both"/>
        <w:rPr>
          <w:rFonts w:ascii="Palatino Linotype" w:hAnsi="Palatino Linotype" w:cs="Tahoma"/>
          <w:color w:val="0D0D0D" w:themeColor="text1" w:themeTint="F2"/>
          <w:sz w:val="22"/>
          <w:szCs w:val="22"/>
        </w:rPr>
      </w:pPr>
    </w:p>
    <w:p w14:paraId="4374E5CD" w14:textId="76A0B260" w:rsidR="001D6EA1" w:rsidRPr="00D06374" w:rsidRDefault="001D6EA1" w:rsidP="001D256A">
      <w:pPr>
        <w:spacing w:line="360" w:lineRule="auto"/>
        <w:jc w:val="both"/>
        <w:rPr>
          <w:rFonts w:ascii="Palatino Linotype" w:hAnsi="Palatino Linotype" w:cs="Tahoma"/>
          <w:color w:val="0D0D0D" w:themeColor="text1" w:themeTint="F2"/>
          <w:sz w:val="22"/>
          <w:szCs w:val="22"/>
        </w:rPr>
      </w:pPr>
    </w:p>
    <w:p w14:paraId="0DE802F7" w14:textId="67C2B8EF" w:rsidR="001D6EA1" w:rsidRPr="00D06374" w:rsidRDefault="001D6EA1" w:rsidP="001D256A">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color w:val="0D0D0D" w:themeColor="text1" w:themeTint="F2"/>
          <w:sz w:val="22"/>
          <w:szCs w:val="22"/>
        </w:rPr>
        <w:t>Conforme a lo anterior, se logra vislumbrar que el Recurrente requiere tener acceso a todas las solicitudes de contratación de servicios de Asesoría, realizados por las unidades administrativas que conforman al Sujeto Obligado, así como, las facturas derivadas de dichas requisiciones, del siete de noviembre de dos mil veintiuno al siete de diciembre de dos mil veintidós.</w:t>
      </w:r>
    </w:p>
    <w:p w14:paraId="343D91BA" w14:textId="390C4B70" w:rsidR="001D6EA1" w:rsidRPr="00D06374" w:rsidRDefault="001D6EA1" w:rsidP="001D256A">
      <w:pPr>
        <w:spacing w:line="360" w:lineRule="auto"/>
        <w:jc w:val="both"/>
        <w:rPr>
          <w:rFonts w:ascii="Palatino Linotype" w:hAnsi="Palatino Linotype" w:cs="Tahoma"/>
          <w:color w:val="0D0D0D" w:themeColor="text1" w:themeTint="F2"/>
          <w:sz w:val="22"/>
          <w:szCs w:val="22"/>
        </w:rPr>
      </w:pPr>
    </w:p>
    <w:p w14:paraId="27B6CA60" w14:textId="3D4DF689" w:rsidR="001D6EA1" w:rsidRPr="00D06374" w:rsidRDefault="001D6EA1" w:rsidP="001D256A">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color w:val="0D0D0D" w:themeColor="text1" w:themeTint="F2"/>
          <w:sz w:val="22"/>
          <w:szCs w:val="22"/>
        </w:rPr>
        <w:t>Lo anterior, en razón de que el Particular no señaló un periodo específico para la entrega de la información, por lo que resulta aplicable el Criterio de Interpretación, de la Segunda Época,</w:t>
      </w:r>
      <w:r w:rsidR="0043023C" w:rsidRPr="00D06374">
        <w:rPr>
          <w:rFonts w:ascii="Palatino Linotype" w:hAnsi="Palatino Linotype" w:cs="Tahoma"/>
          <w:color w:val="0D0D0D" w:themeColor="text1" w:themeTint="F2"/>
          <w:sz w:val="22"/>
          <w:szCs w:val="22"/>
        </w:rPr>
        <w:t xml:space="preserve"> con clave de control SO/003/2019, emitido por el Instituto Nacional de Transparencia, Acceso </w:t>
      </w:r>
      <w:r w:rsidR="0043023C" w:rsidRPr="00D06374">
        <w:rPr>
          <w:rFonts w:ascii="Palatino Linotype" w:hAnsi="Palatino Linotype" w:cs="Tahoma"/>
          <w:color w:val="0D0D0D" w:themeColor="text1" w:themeTint="F2"/>
          <w:sz w:val="22"/>
          <w:szCs w:val="22"/>
        </w:rPr>
        <w:lastRenderedPageBreak/>
        <w:t>a la Información Pública y Protección de Datos Personales del Estado de México y Municipios, que precisa:</w:t>
      </w:r>
    </w:p>
    <w:p w14:paraId="72F7C59A" w14:textId="26648B00" w:rsidR="0043023C" w:rsidRPr="00D06374" w:rsidRDefault="0043023C" w:rsidP="001D256A">
      <w:pPr>
        <w:spacing w:line="360" w:lineRule="auto"/>
        <w:jc w:val="both"/>
        <w:rPr>
          <w:rFonts w:ascii="Palatino Linotype" w:hAnsi="Palatino Linotype" w:cs="Tahoma"/>
          <w:color w:val="0D0D0D" w:themeColor="text1" w:themeTint="F2"/>
          <w:sz w:val="22"/>
          <w:szCs w:val="22"/>
        </w:rPr>
      </w:pPr>
    </w:p>
    <w:p w14:paraId="50C6BE3C" w14:textId="0B9D121B" w:rsidR="0043023C" w:rsidRPr="00D06374" w:rsidRDefault="0043023C" w:rsidP="0043023C">
      <w:pPr>
        <w:spacing w:line="360" w:lineRule="auto"/>
        <w:ind w:left="567" w:right="567"/>
        <w:jc w:val="both"/>
        <w:rPr>
          <w:rFonts w:ascii="Palatino Linotype" w:hAnsi="Palatino Linotype" w:cs="Tahoma"/>
          <w:i/>
          <w:iCs/>
          <w:color w:val="0D0D0D" w:themeColor="text1" w:themeTint="F2"/>
        </w:rPr>
      </w:pPr>
      <w:r w:rsidRPr="00D06374">
        <w:rPr>
          <w:rFonts w:ascii="Palatino Linotype" w:hAnsi="Palatino Linotype" w:cs="Tahoma"/>
          <w:b/>
          <w:i/>
          <w:iCs/>
          <w:color w:val="0D0D0D" w:themeColor="text1" w:themeTint="F2"/>
        </w:rPr>
        <w:t xml:space="preserve">“Periodo de búsqueda de la información. </w:t>
      </w:r>
      <w:r w:rsidRPr="00D06374">
        <w:rPr>
          <w:rFonts w:ascii="Palatino Linotype" w:hAnsi="Palatino Linotype" w:cs="Tahoma"/>
          <w:i/>
          <w:iCs/>
          <w:color w:val="0D0D0D" w:themeColor="text1" w:themeTint="F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7A3541C2" w14:textId="77777777" w:rsidR="0043023C" w:rsidRPr="00D06374" w:rsidRDefault="0043023C" w:rsidP="001D256A">
      <w:pPr>
        <w:spacing w:line="360" w:lineRule="auto"/>
        <w:jc w:val="both"/>
        <w:rPr>
          <w:rFonts w:ascii="Palatino Linotype" w:hAnsi="Palatino Linotype" w:cs="Tahoma"/>
          <w:color w:val="0D0D0D" w:themeColor="text1" w:themeTint="F2"/>
          <w:sz w:val="22"/>
          <w:szCs w:val="22"/>
        </w:rPr>
      </w:pPr>
    </w:p>
    <w:p w14:paraId="208DAC2A" w14:textId="3F669BD8" w:rsidR="0043023C" w:rsidRPr="00D06374" w:rsidRDefault="0043023C" w:rsidP="0043023C">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color w:val="0D0D0D" w:themeColor="text1" w:themeTint="F2"/>
          <w:sz w:val="22"/>
          <w:szCs w:val="22"/>
          <w:lang w:val="es-ES"/>
        </w:rPr>
        <w:t xml:space="preserve">Ahora bien, el Sujeto Obligado señaló que la información peticionada, se localizaba en el Portal de Información Pública de Oficio Mexiquense, en la liga </w:t>
      </w:r>
      <w:hyperlink r:id="rId10" w:history="1">
        <w:r w:rsidRPr="00D06374">
          <w:rPr>
            <w:rStyle w:val="Hipervnculo"/>
            <w:bCs/>
            <w:i/>
            <w:iCs/>
          </w:rPr>
          <w:t>https://www.ipomex.org.mx/ipo3/lgt/indice/ZINACANTEPEC/art_92_xxxv_a.web</w:t>
        </w:r>
      </w:hyperlink>
      <w:r w:rsidRPr="00D06374">
        <w:rPr>
          <w:rFonts w:ascii="Palatino Linotype" w:hAnsi="Palatino Linotype" w:cs="Tahoma"/>
          <w:bCs/>
          <w:color w:val="0D0D0D" w:themeColor="text1" w:themeTint="F2"/>
          <w:sz w:val="22"/>
          <w:szCs w:val="22"/>
        </w:rPr>
        <w:t>, de cuya revisión, se logra vislumbrar que remite a la Fracción XXV A</w:t>
      </w:r>
      <w:r w:rsidRPr="00D06374">
        <w:rPr>
          <w:rFonts w:ascii="Palatino Linotype" w:hAnsi="Palatino Linotype" w:cs="Tahoma"/>
          <w:color w:val="0D0D0D" w:themeColor="text1" w:themeTint="F2"/>
          <w:sz w:val="22"/>
          <w:szCs w:val="22"/>
        </w:rPr>
        <w:t xml:space="preserve"> “Gasto por capítulo, concepto y partida”, tal como se muestra a continuación:</w:t>
      </w:r>
    </w:p>
    <w:p w14:paraId="5E7582A9" w14:textId="77777777" w:rsidR="0043023C" w:rsidRPr="00D06374" w:rsidRDefault="0043023C" w:rsidP="0043023C">
      <w:pPr>
        <w:spacing w:line="360" w:lineRule="auto"/>
        <w:jc w:val="both"/>
        <w:rPr>
          <w:rFonts w:ascii="Palatino Linotype" w:hAnsi="Palatino Linotype" w:cs="Tahoma"/>
          <w:color w:val="0D0D0D" w:themeColor="text1" w:themeTint="F2"/>
          <w:sz w:val="22"/>
          <w:szCs w:val="22"/>
          <w:lang w:val="es-ES"/>
        </w:rPr>
      </w:pPr>
    </w:p>
    <w:p w14:paraId="01407CE6" w14:textId="582E2D8C" w:rsidR="001D256A" w:rsidRPr="00D06374" w:rsidRDefault="004D0993" w:rsidP="001D256A">
      <w:pPr>
        <w:spacing w:line="360" w:lineRule="auto"/>
        <w:jc w:val="center"/>
        <w:rPr>
          <w:rFonts w:ascii="Palatino Linotype" w:hAnsi="Palatino Linotype" w:cs="Tahoma"/>
          <w:color w:val="0D0D0D" w:themeColor="text1" w:themeTint="F2"/>
          <w:sz w:val="22"/>
          <w:szCs w:val="22"/>
        </w:rPr>
      </w:pPr>
      <w:r w:rsidRPr="00D06374">
        <w:rPr>
          <w:rFonts w:ascii="Palatino Linotype" w:hAnsi="Palatino Linotype" w:cs="Tahoma"/>
          <w:noProof/>
          <w:color w:val="0D0D0D" w:themeColor="text1" w:themeTint="F2"/>
          <w:sz w:val="22"/>
          <w:szCs w:val="22"/>
          <w:lang w:eastAsia="es-MX"/>
        </w:rPr>
        <w:drawing>
          <wp:inline distT="0" distB="0" distL="0" distR="0" wp14:anchorId="259E3416" wp14:editId="0EE477AF">
            <wp:extent cx="2351911" cy="1181100"/>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rotWithShape="1">
                    <a:blip r:embed="rId11">
                      <a:extLst>
                        <a:ext uri="{28A0092B-C50C-407E-A947-70E740481C1C}">
                          <a14:useLocalDpi xmlns:a14="http://schemas.microsoft.com/office/drawing/2010/main" val="0"/>
                        </a:ext>
                      </a:extLst>
                    </a:blip>
                    <a:srcRect t="1" b="29517"/>
                    <a:stretch/>
                  </pic:blipFill>
                  <pic:spPr bwMode="auto">
                    <a:xfrm>
                      <a:off x="0" y="0"/>
                      <a:ext cx="2363817" cy="1187079"/>
                    </a:xfrm>
                    <a:prstGeom prst="rect">
                      <a:avLst/>
                    </a:prstGeom>
                    <a:ln>
                      <a:noFill/>
                    </a:ln>
                    <a:extLst>
                      <a:ext uri="{53640926-AAD7-44D8-BBD7-CCE9431645EC}">
                        <a14:shadowObscured xmlns:a14="http://schemas.microsoft.com/office/drawing/2010/main"/>
                      </a:ext>
                    </a:extLst>
                  </pic:spPr>
                </pic:pic>
              </a:graphicData>
            </a:graphic>
          </wp:inline>
        </w:drawing>
      </w:r>
    </w:p>
    <w:p w14:paraId="6FF3B108" w14:textId="666EAEDB" w:rsidR="0043023C" w:rsidRPr="00D06374" w:rsidRDefault="0043023C" w:rsidP="0043023C">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Además, este Instituto revisó los registros localizados en los ejercicios fiscales dos mil veintiuno y dos mil veintidós y no se localizó algún procedimiento de contratación de servicios de asesoría; por lo que, se logra vislumbrar que el Sujeto Obligado, no indicó de manera clara el procedimiento para acceder a la información peticionada.</w:t>
      </w:r>
    </w:p>
    <w:p w14:paraId="72DB72B2" w14:textId="77777777" w:rsidR="0043023C" w:rsidRPr="00D06374" w:rsidRDefault="0043023C" w:rsidP="0043023C">
      <w:pPr>
        <w:spacing w:line="360" w:lineRule="auto"/>
        <w:jc w:val="both"/>
        <w:rPr>
          <w:rFonts w:ascii="Palatino Linotype" w:hAnsi="Palatino Linotype" w:cs="Tahoma"/>
          <w:color w:val="0D0D0D" w:themeColor="text1" w:themeTint="F2"/>
          <w:sz w:val="22"/>
          <w:szCs w:val="22"/>
          <w:lang w:val="es-ES"/>
        </w:rPr>
      </w:pPr>
    </w:p>
    <w:p w14:paraId="67CBFAFE" w14:textId="77777777" w:rsidR="0043023C" w:rsidRPr="00D06374" w:rsidRDefault="0043023C" w:rsidP="0043023C">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 xml:space="preserve">Sobre el tema, el artículo 161 de la Ley de Transparencia y Acceso a la Información Pública del Estado de México y Municipios, cuando la información requerida por el solicitante ya esté </w:t>
      </w:r>
      <w:r w:rsidRPr="00D06374">
        <w:rPr>
          <w:rFonts w:ascii="Palatino Linotype" w:hAnsi="Palatino Linotype" w:cs="Tahoma"/>
          <w:color w:val="0D0D0D" w:themeColor="text1" w:themeTint="F2"/>
          <w:sz w:val="22"/>
          <w:szCs w:val="22"/>
          <w:lang w:val="es-ES"/>
        </w:rPr>
        <w:lastRenderedPageBreak/>
        <w:t>disponible en internet, el Sujeto Obligado debe de indicar la forma, el lugar, la fuente para obtener la información; lo cual, como se refirió en el párrafo anterior, no aconteció.</w:t>
      </w:r>
    </w:p>
    <w:p w14:paraId="442C3B82" w14:textId="2ECA44DC" w:rsidR="0043023C" w:rsidRPr="00D06374" w:rsidRDefault="0043023C" w:rsidP="001D256A">
      <w:pPr>
        <w:spacing w:line="360" w:lineRule="auto"/>
        <w:jc w:val="both"/>
        <w:rPr>
          <w:rFonts w:ascii="Palatino Linotype" w:hAnsi="Palatino Linotype" w:cs="Tahoma"/>
          <w:color w:val="0D0D0D" w:themeColor="text1" w:themeTint="F2"/>
          <w:sz w:val="22"/>
          <w:szCs w:val="22"/>
        </w:rPr>
      </w:pPr>
    </w:p>
    <w:p w14:paraId="12A49CFC" w14:textId="0F6A8C93" w:rsidR="0043023C" w:rsidRPr="00D06374" w:rsidRDefault="0043023C" w:rsidP="0043023C">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Por tales consideraciones y en atención a lo anterior, se considera que el Sujeto Obligado, deberá realizar una búsqueda exhaustiva y razonable, en términos del artículo 162 de la Ley de Transparencia y Acceso a la Información Pública del Estado de México y Municipios, en los archivos de la Dirección de Administración, encargada de llevar a cabo las adquisiciones de bienes y la contratación de servicios que requieran las distintas áreas; así como, programar, organizar, integrar, dirigir, controlar y ejecutar las licitaciones públicas, invitaciones restringidas y las adjudicaciones directas que se requieren para la adquisición de bienes, de conformidad con los artículos 52 y 53 del Reglamento Orgánico Municipal; lo anterior, con el fin de proporcionar las solicitudes de contratación de servicios y las facturas de pago.</w:t>
      </w:r>
    </w:p>
    <w:p w14:paraId="20C08A69" w14:textId="158A937F" w:rsidR="0043023C" w:rsidRPr="00D06374" w:rsidRDefault="0043023C" w:rsidP="001D256A">
      <w:pPr>
        <w:spacing w:line="360" w:lineRule="auto"/>
        <w:jc w:val="both"/>
        <w:rPr>
          <w:rFonts w:ascii="Palatino Linotype" w:hAnsi="Palatino Linotype" w:cs="Tahoma"/>
          <w:color w:val="0D0D0D" w:themeColor="text1" w:themeTint="F2"/>
          <w:sz w:val="22"/>
          <w:szCs w:val="22"/>
        </w:rPr>
      </w:pPr>
    </w:p>
    <w:p w14:paraId="4922CD73" w14:textId="142A60BF" w:rsidR="004D0993" w:rsidRPr="00D06374" w:rsidRDefault="0043023C" w:rsidP="001D256A">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color w:val="0D0D0D" w:themeColor="text1" w:themeTint="F2"/>
          <w:sz w:val="22"/>
          <w:szCs w:val="22"/>
        </w:rPr>
        <w:t xml:space="preserve">Dicha situación, toma relevancia con el </w:t>
      </w:r>
      <w:r w:rsidR="004E6025" w:rsidRPr="00D06374">
        <w:rPr>
          <w:rFonts w:ascii="Palatino Linotype" w:hAnsi="Palatino Linotype" w:cs="Tahoma"/>
          <w:color w:val="0D0D0D" w:themeColor="text1" w:themeTint="F2"/>
          <w:sz w:val="22"/>
          <w:szCs w:val="22"/>
        </w:rPr>
        <w:t>Estado Analítico del Ejercicio del Presupuesto de Egresos del primero de enero al treinta de junio de dos mil veintidós, de cuyo análisis en el apartado de Servicios Generales, la erogación por concepto de “Servicios Profesionales, Científicos, Técnicos y otros servicios”</w:t>
      </w:r>
      <w:r w:rsidRPr="00D06374">
        <w:rPr>
          <w:rFonts w:ascii="Palatino Linotype" w:hAnsi="Palatino Linotype" w:cs="Tahoma"/>
          <w:color w:val="0D0D0D" w:themeColor="text1" w:themeTint="F2"/>
          <w:sz w:val="22"/>
          <w:szCs w:val="22"/>
        </w:rPr>
        <w:t>, tal como se muestra a continuación:</w:t>
      </w:r>
    </w:p>
    <w:p w14:paraId="7E51C441" w14:textId="77777777" w:rsidR="004D0993" w:rsidRPr="00D06374" w:rsidRDefault="004D0993" w:rsidP="001D256A">
      <w:pPr>
        <w:spacing w:line="360" w:lineRule="auto"/>
        <w:jc w:val="both"/>
        <w:rPr>
          <w:rFonts w:ascii="Palatino Linotype" w:hAnsi="Palatino Linotype" w:cs="Tahoma"/>
          <w:color w:val="0D0D0D" w:themeColor="text1" w:themeTint="F2"/>
          <w:sz w:val="22"/>
          <w:szCs w:val="22"/>
        </w:rPr>
      </w:pPr>
    </w:p>
    <w:p w14:paraId="1A862F20" w14:textId="38CE2B85" w:rsidR="004D0993" w:rsidRPr="00D06374" w:rsidRDefault="004E6025" w:rsidP="001D256A">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noProof/>
          <w:color w:val="0D0D0D" w:themeColor="text1" w:themeTint="F2"/>
          <w:sz w:val="22"/>
          <w:szCs w:val="22"/>
          <w:lang w:eastAsia="es-MX"/>
        </w:rPr>
        <w:drawing>
          <wp:inline distT="0" distB="0" distL="0" distR="0" wp14:anchorId="2A1D418A" wp14:editId="59ABBAC5">
            <wp:extent cx="5742940" cy="666115"/>
            <wp:effectExtent l="0" t="0" r="0" b="635"/>
            <wp:docPr id="6" name="Imagen 6" descr="Interfaz de usuario gráfica, Texto,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10;&#10;Descripción generada automáticamente con confianza media"/>
                    <pic:cNvPicPr/>
                  </pic:nvPicPr>
                  <pic:blipFill rotWithShape="1">
                    <a:blip r:embed="rId12">
                      <a:extLst>
                        <a:ext uri="{28A0092B-C50C-407E-A947-70E740481C1C}">
                          <a14:useLocalDpi xmlns:a14="http://schemas.microsoft.com/office/drawing/2010/main" val="0"/>
                        </a:ext>
                      </a:extLst>
                    </a:blip>
                    <a:srcRect t="15675"/>
                    <a:stretch/>
                  </pic:blipFill>
                  <pic:spPr bwMode="auto">
                    <a:xfrm>
                      <a:off x="0" y="0"/>
                      <a:ext cx="5742940" cy="666115"/>
                    </a:xfrm>
                    <a:prstGeom prst="rect">
                      <a:avLst/>
                    </a:prstGeom>
                    <a:ln>
                      <a:noFill/>
                    </a:ln>
                    <a:extLst>
                      <a:ext uri="{53640926-AAD7-44D8-BBD7-CCE9431645EC}">
                        <a14:shadowObscured xmlns:a14="http://schemas.microsoft.com/office/drawing/2010/main"/>
                      </a:ext>
                    </a:extLst>
                  </pic:spPr>
                </pic:pic>
              </a:graphicData>
            </a:graphic>
          </wp:inline>
        </w:drawing>
      </w:r>
    </w:p>
    <w:p w14:paraId="317DAD8B" w14:textId="328E07C8" w:rsidR="004E6025" w:rsidRPr="00D06374" w:rsidRDefault="00465E1B" w:rsidP="001D256A">
      <w:pPr>
        <w:spacing w:line="360" w:lineRule="auto"/>
        <w:jc w:val="both"/>
        <w:rPr>
          <w:rFonts w:ascii="Palatino Linotype" w:hAnsi="Palatino Linotype" w:cs="Tahoma"/>
          <w:color w:val="0D0D0D" w:themeColor="text1" w:themeTint="F2"/>
          <w:sz w:val="22"/>
          <w:szCs w:val="22"/>
        </w:rPr>
      </w:pPr>
      <w:r w:rsidRPr="00D06374">
        <w:rPr>
          <w:rFonts w:ascii="Palatino Linotype" w:hAnsi="Palatino Linotype" w:cs="Tahoma"/>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14:anchorId="0DCD60CC" wp14:editId="580E2125">
                <wp:simplePos x="0" y="0"/>
                <wp:positionH relativeFrom="column">
                  <wp:posOffset>130307</wp:posOffset>
                </wp:positionH>
                <wp:positionV relativeFrom="paragraph">
                  <wp:posOffset>355049</wp:posOffset>
                </wp:positionV>
                <wp:extent cx="5613544" cy="163902"/>
                <wp:effectExtent l="0" t="0" r="25400" b="26670"/>
                <wp:wrapNone/>
                <wp:docPr id="8" name="Rectángulo 8"/>
                <wp:cNvGraphicFramePr/>
                <a:graphic xmlns:a="http://schemas.openxmlformats.org/drawingml/2006/main">
                  <a:graphicData uri="http://schemas.microsoft.com/office/word/2010/wordprocessingShape">
                    <wps:wsp>
                      <wps:cNvSpPr/>
                      <wps:spPr>
                        <a:xfrm>
                          <a:off x="0" y="0"/>
                          <a:ext cx="5613544" cy="163902"/>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16975" id="Rectángulo 8" o:spid="_x0000_s1026" style="position:absolute;margin-left:10.25pt;margin-top:27.95pt;width:442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" filled="f" strokecolor="red" strokeweight="1.5pt"/>
            </w:pict>
          </mc:Fallback>
        </mc:AlternateContent>
      </w:r>
      <w:r w:rsidR="004E6025" w:rsidRPr="00D06374">
        <w:rPr>
          <w:rFonts w:ascii="Palatino Linotype" w:hAnsi="Palatino Linotype" w:cs="Tahoma"/>
          <w:noProof/>
          <w:color w:val="0D0D0D" w:themeColor="text1" w:themeTint="F2"/>
          <w:sz w:val="22"/>
          <w:szCs w:val="22"/>
          <w:lang w:eastAsia="es-MX"/>
        </w:rPr>
        <w:drawing>
          <wp:inline distT="0" distB="0" distL="0" distR="0" wp14:anchorId="7B9C3858" wp14:editId="1006DC31">
            <wp:extent cx="5742940" cy="848995"/>
            <wp:effectExtent l="0" t="0" r="0" b="8255"/>
            <wp:docPr id="7" name="Imagen 7"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agram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742940" cy="848995"/>
                    </a:xfrm>
                    <a:prstGeom prst="rect">
                      <a:avLst/>
                    </a:prstGeom>
                  </pic:spPr>
                </pic:pic>
              </a:graphicData>
            </a:graphic>
          </wp:inline>
        </w:drawing>
      </w:r>
    </w:p>
    <w:p w14:paraId="294E50EE" w14:textId="77777777" w:rsidR="004E6025" w:rsidRPr="00D06374" w:rsidRDefault="004E6025" w:rsidP="001D256A">
      <w:pPr>
        <w:spacing w:line="360" w:lineRule="auto"/>
        <w:jc w:val="both"/>
        <w:rPr>
          <w:rFonts w:ascii="Palatino Linotype" w:hAnsi="Palatino Linotype" w:cs="Tahoma"/>
          <w:color w:val="0D0D0D" w:themeColor="text1" w:themeTint="F2"/>
          <w:sz w:val="22"/>
          <w:szCs w:val="22"/>
        </w:rPr>
      </w:pPr>
    </w:p>
    <w:p w14:paraId="1C5BAC20" w14:textId="24F683BF" w:rsidR="001D256A" w:rsidRPr="00D06374" w:rsidRDefault="0043023C" w:rsidP="0021604D">
      <w:pPr>
        <w:spacing w:line="360" w:lineRule="auto"/>
        <w:jc w:val="both"/>
        <w:rPr>
          <w:rFonts w:ascii="Palatino Linotype" w:hAnsi="Palatino Linotype" w:cs="Tahoma"/>
          <w:sz w:val="22"/>
          <w:szCs w:val="24"/>
          <w:lang w:val="es-ES"/>
        </w:rPr>
      </w:pPr>
      <w:r w:rsidRPr="00D06374">
        <w:rPr>
          <w:rFonts w:ascii="Palatino Linotype" w:hAnsi="Palatino Linotype" w:cs="Tahoma"/>
          <w:color w:val="0D0D0D" w:themeColor="text1" w:themeTint="F2"/>
          <w:sz w:val="22"/>
          <w:szCs w:val="22"/>
        </w:rPr>
        <w:t xml:space="preserve">Por lo que, en el presente caso, el Sujeto Obligado deberá entregar las solicitudes de contratación de servicios y </w:t>
      </w:r>
      <w:r w:rsidR="0021604D" w:rsidRPr="00D06374">
        <w:rPr>
          <w:rFonts w:ascii="Palatino Linotype" w:hAnsi="Palatino Linotype" w:cs="Tahoma"/>
          <w:color w:val="0D0D0D" w:themeColor="text1" w:themeTint="F2"/>
          <w:sz w:val="22"/>
          <w:szCs w:val="22"/>
        </w:rPr>
        <w:t>las facturas de pago; d</w:t>
      </w:r>
      <w:r w:rsidR="001D256A" w:rsidRPr="00D06374">
        <w:rPr>
          <w:rFonts w:ascii="Palatino Linotype" w:hAnsi="Palatino Linotype" w:cs="Tahoma"/>
          <w:iCs/>
          <w:sz w:val="22"/>
          <w:szCs w:val="22"/>
        </w:rPr>
        <w:t>icha</w:t>
      </w:r>
      <w:r w:rsidR="001D256A" w:rsidRPr="00D06374">
        <w:rPr>
          <w:rFonts w:ascii="Palatino Linotype" w:hAnsi="Palatino Linotype" w:cs="Tahoma"/>
          <w:sz w:val="22"/>
          <w:szCs w:val="24"/>
          <w:lang w:val="es-ES"/>
        </w:rPr>
        <w:t xml:space="preserve"> determinación toma sustento, en el </w:t>
      </w:r>
      <w:r w:rsidR="001D256A" w:rsidRPr="00D06374">
        <w:rPr>
          <w:rFonts w:ascii="Palatino Linotype" w:hAnsi="Palatino Linotype" w:cs="Tahoma"/>
          <w:sz w:val="22"/>
          <w:szCs w:val="24"/>
          <w:lang w:val="es-ES"/>
        </w:rPr>
        <w:lastRenderedPageBreak/>
        <w:t>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3E6FEB4" w14:textId="77777777" w:rsidR="001D256A" w:rsidRPr="00D06374" w:rsidRDefault="001D256A" w:rsidP="001D256A">
      <w:pPr>
        <w:spacing w:line="360" w:lineRule="auto"/>
        <w:jc w:val="both"/>
        <w:rPr>
          <w:rFonts w:ascii="Palatino Linotype" w:hAnsi="Palatino Linotype" w:cs="Tahoma"/>
          <w:sz w:val="22"/>
          <w:szCs w:val="24"/>
          <w:lang w:val="es-ES"/>
        </w:rPr>
      </w:pPr>
    </w:p>
    <w:p w14:paraId="4FC5DFE9" w14:textId="77777777" w:rsidR="001D256A" w:rsidRPr="00D06374" w:rsidRDefault="001D256A" w:rsidP="001D256A">
      <w:pPr>
        <w:spacing w:line="360" w:lineRule="auto"/>
        <w:jc w:val="both"/>
        <w:rPr>
          <w:rFonts w:ascii="Palatino Linotype" w:hAnsi="Palatino Linotype" w:cs="Tahoma"/>
          <w:i/>
          <w:iCs/>
          <w:lang w:val="es-ES"/>
        </w:rPr>
      </w:pPr>
      <w:r w:rsidRPr="00D06374">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w:t>
      </w:r>
      <w:r w:rsidRPr="00D06374">
        <w:rPr>
          <w:rFonts w:ascii="Palatino Linotype" w:hAnsi="Palatino Linotype" w:cs="Tahoma"/>
          <w:i/>
          <w:iCs/>
          <w:sz w:val="22"/>
          <w:szCs w:val="24"/>
          <w:lang w:val="es-ES"/>
        </w:rPr>
        <w:t>ad hoc</w:t>
      </w:r>
      <w:r w:rsidRPr="00D06374">
        <w:rPr>
          <w:rFonts w:ascii="Palatino Linotype" w:hAnsi="Palatino Linotype" w:cs="Tahoma"/>
          <w:sz w:val="22"/>
          <w:szCs w:val="24"/>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5D5726A2" w14:textId="5E6C8043" w:rsidR="001D256A" w:rsidRPr="00D06374" w:rsidRDefault="001D256A" w:rsidP="001D256A">
      <w:pPr>
        <w:spacing w:line="360" w:lineRule="auto"/>
        <w:jc w:val="both"/>
        <w:rPr>
          <w:rFonts w:ascii="Palatino Linotype" w:eastAsia="Calibri" w:hAnsi="Palatino Linotype"/>
          <w:color w:val="000000" w:themeColor="text1"/>
          <w:sz w:val="22"/>
          <w:szCs w:val="22"/>
          <w:lang w:eastAsia="en-US"/>
        </w:rPr>
      </w:pPr>
    </w:p>
    <w:p w14:paraId="001A93A3" w14:textId="2A20E61D" w:rsidR="0021604D" w:rsidRPr="00D06374" w:rsidRDefault="0021604D" w:rsidP="0021604D">
      <w:pPr>
        <w:spacing w:line="360" w:lineRule="auto"/>
        <w:jc w:val="both"/>
        <w:rPr>
          <w:rFonts w:ascii="Palatino Linotype" w:hAnsi="Palatino Linotype" w:cs="Tahoma"/>
          <w:color w:val="0D0D0D" w:themeColor="text1" w:themeTint="F2"/>
          <w:sz w:val="22"/>
          <w:szCs w:val="22"/>
          <w:lang w:val="es-ES"/>
        </w:rPr>
      </w:pPr>
      <w:r w:rsidRPr="00D06374">
        <w:rPr>
          <w:rFonts w:ascii="Palatino Linotype" w:hAnsi="Palatino Linotype" w:cs="Tahoma"/>
          <w:color w:val="0D0D0D" w:themeColor="text1" w:themeTint="F2"/>
          <w:sz w:val="22"/>
          <w:szCs w:val="22"/>
          <w:lang w:val="es-ES"/>
        </w:rPr>
        <w:t>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los documentos que den cuenta de la información solicitada respecto a los procedimientos de contratación de servicios de asesoría.</w:t>
      </w:r>
    </w:p>
    <w:p w14:paraId="5E79C229" w14:textId="4131543A" w:rsidR="0021604D" w:rsidRPr="00D06374" w:rsidRDefault="0021604D" w:rsidP="001D256A">
      <w:pPr>
        <w:spacing w:line="360" w:lineRule="auto"/>
        <w:jc w:val="both"/>
        <w:rPr>
          <w:rFonts w:ascii="Palatino Linotype" w:eastAsia="Calibri" w:hAnsi="Palatino Linotype"/>
          <w:color w:val="000000" w:themeColor="text1"/>
          <w:sz w:val="22"/>
          <w:szCs w:val="22"/>
          <w:lang w:eastAsia="en-US"/>
        </w:rPr>
      </w:pPr>
    </w:p>
    <w:p w14:paraId="00D19262" w14:textId="0EDEF7D0" w:rsidR="0021604D" w:rsidRPr="00D06374" w:rsidRDefault="0021604D" w:rsidP="0021604D">
      <w:pPr>
        <w:spacing w:line="360" w:lineRule="auto"/>
        <w:jc w:val="both"/>
        <w:rPr>
          <w:rFonts w:ascii="Palatino Linotype" w:eastAsia="Calibri" w:hAnsi="Palatino Linotype"/>
          <w:color w:val="000000" w:themeColor="text1"/>
          <w:sz w:val="22"/>
          <w:szCs w:val="22"/>
          <w:lang w:val="es-ES" w:eastAsia="en-US"/>
        </w:rPr>
      </w:pPr>
      <w:r w:rsidRPr="00D06374">
        <w:rPr>
          <w:rFonts w:ascii="Palatino Linotype" w:eastAsia="Calibri" w:hAnsi="Palatino Linotype"/>
          <w:color w:val="000000" w:themeColor="text1"/>
          <w:sz w:val="22"/>
          <w:szCs w:val="22"/>
          <w:lang w:val="es-ES" w:eastAsia="en-US"/>
        </w:rPr>
        <w:t>Sin embargo, se hace la precisión que ser el caso de que el Sujeto no haya contratado servicio de asesoría, en el periodo solicitado,</w:t>
      </w:r>
      <w:r w:rsidRPr="00D06374">
        <w:rPr>
          <w:rFonts w:ascii="Palatino Linotype" w:eastAsia="Calibri" w:hAnsi="Palatino Linotype"/>
          <w:color w:val="000000" w:themeColor="text1"/>
          <w:sz w:val="22"/>
          <w:szCs w:val="22"/>
          <w:lang w:eastAsia="en-US"/>
        </w:rPr>
        <w:t xml:space="preserve"> deberá hacer del conocimiento del hoy Recurrente en términos del párrafo segundo del artículo 19 de la Ley de Transparencia y Acceso a la Información Pública del Estado de México y Municipios.</w:t>
      </w:r>
    </w:p>
    <w:p w14:paraId="02E96CC8" w14:textId="77777777" w:rsidR="0021604D" w:rsidRPr="00D06374" w:rsidRDefault="0021604D" w:rsidP="0021604D">
      <w:pPr>
        <w:spacing w:line="360" w:lineRule="auto"/>
        <w:jc w:val="both"/>
        <w:rPr>
          <w:rFonts w:ascii="Palatino Linotype" w:eastAsia="Calibri" w:hAnsi="Palatino Linotype"/>
          <w:color w:val="000000" w:themeColor="text1"/>
          <w:sz w:val="22"/>
          <w:szCs w:val="22"/>
          <w:lang w:eastAsia="en-US"/>
        </w:rPr>
      </w:pPr>
    </w:p>
    <w:p w14:paraId="73720F95" w14:textId="77777777" w:rsidR="001D256A" w:rsidRPr="00D06374" w:rsidRDefault="001D256A" w:rsidP="001D256A">
      <w:pPr>
        <w:widowControl w:val="0"/>
        <w:spacing w:line="360" w:lineRule="auto"/>
        <w:jc w:val="both"/>
        <w:rPr>
          <w:rFonts w:ascii="Palatino Linotype" w:hAnsi="Palatino Linotype" w:cs="Tahoma"/>
          <w:color w:val="000000" w:themeColor="text1"/>
          <w:sz w:val="22"/>
          <w:szCs w:val="22"/>
        </w:rPr>
      </w:pPr>
      <w:r w:rsidRPr="00D06374">
        <w:rPr>
          <w:rFonts w:ascii="Palatino Linotype" w:eastAsia="Calibri" w:hAnsi="Palatino Linotype"/>
          <w:color w:val="000000" w:themeColor="text1"/>
          <w:sz w:val="22"/>
          <w:szCs w:val="22"/>
          <w:lang w:eastAsia="en-US"/>
        </w:rPr>
        <w:t>Finalmente, para el caso de que los documentos que den cuenta de lo solicitado,</w:t>
      </w:r>
      <w:r w:rsidRPr="00D06374">
        <w:rPr>
          <w:rFonts w:ascii="Palatino Linotype" w:eastAsia="Calibri" w:hAnsi="Palatino Linotype" w:cs="Tahoma"/>
          <w:color w:val="000000" w:themeColor="text1"/>
          <w:sz w:val="22"/>
          <w:szCs w:val="22"/>
          <w:lang w:eastAsia="en-US"/>
        </w:rPr>
        <w:t xml:space="preserve"> contengan datos o partes clasificadas, este deberá </w:t>
      </w:r>
      <w:r w:rsidRPr="00D06374">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D06374">
        <w:rPr>
          <w:rFonts w:ascii="Palatino Linotype" w:eastAsia="Calibri" w:hAnsi="Palatino Linotype" w:cs="Tahoma"/>
          <w:bCs/>
          <w:color w:val="000000" w:themeColor="text1"/>
          <w:sz w:val="22"/>
          <w:szCs w:val="22"/>
          <w:lang w:val="es-ES_tradnl" w:eastAsia="en-US"/>
        </w:rPr>
        <w:t>, el</w:t>
      </w:r>
      <w:r w:rsidRPr="00D06374">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w:t>
      </w:r>
      <w:r w:rsidRPr="00D06374">
        <w:rPr>
          <w:rFonts w:ascii="Palatino Linotype" w:hAnsi="Palatino Linotype" w:cs="Tahoma"/>
          <w:color w:val="000000" w:themeColor="text1"/>
          <w:sz w:val="22"/>
          <w:szCs w:val="22"/>
        </w:rPr>
        <w:lastRenderedPageBreak/>
        <w:t>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9CCB532" w14:textId="77777777" w:rsidR="001D256A" w:rsidRPr="00D06374" w:rsidRDefault="001D256A" w:rsidP="001D256A">
      <w:pPr>
        <w:spacing w:line="360" w:lineRule="auto"/>
        <w:jc w:val="both"/>
        <w:rPr>
          <w:rFonts w:ascii="Palatino Linotype" w:hAnsi="Palatino Linotype" w:cs="Tahoma"/>
          <w:color w:val="000000" w:themeColor="text1"/>
          <w:sz w:val="22"/>
          <w:szCs w:val="22"/>
        </w:rPr>
      </w:pPr>
    </w:p>
    <w:p w14:paraId="3D5038EC" w14:textId="77777777" w:rsidR="001D256A" w:rsidRPr="00D06374" w:rsidRDefault="001D256A" w:rsidP="001D256A">
      <w:pPr>
        <w:spacing w:line="360" w:lineRule="auto"/>
        <w:jc w:val="both"/>
        <w:rPr>
          <w:rFonts w:ascii="Palatino Linotype" w:eastAsia="Calibri" w:hAnsi="Palatino Linotype"/>
          <w:color w:val="000000" w:themeColor="text1"/>
          <w:sz w:val="22"/>
          <w:szCs w:val="22"/>
          <w:lang w:eastAsia="en-US"/>
        </w:rPr>
      </w:pPr>
      <w:r w:rsidRPr="00D06374">
        <w:rPr>
          <w:rFonts w:ascii="Palatino Linotype" w:hAnsi="Palatino Linotype" w:cs="Tahoma"/>
          <w:color w:val="000000" w:themeColor="text1"/>
          <w:sz w:val="22"/>
          <w:szCs w:val="22"/>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9A49604" w14:textId="77777777" w:rsidR="001D256A" w:rsidRPr="00D06374" w:rsidRDefault="001D256A" w:rsidP="001D256A">
      <w:pPr>
        <w:spacing w:line="360" w:lineRule="auto"/>
        <w:ind w:right="-28"/>
        <w:contextualSpacing/>
        <w:jc w:val="both"/>
        <w:rPr>
          <w:rFonts w:ascii="Palatino Linotype" w:eastAsia="Calibri" w:hAnsi="Palatino Linotype" w:cs="Tahoma"/>
          <w:bCs/>
          <w:sz w:val="22"/>
          <w:szCs w:val="22"/>
          <w:lang w:eastAsia="en-US"/>
        </w:rPr>
      </w:pPr>
    </w:p>
    <w:p w14:paraId="4A1C00F4" w14:textId="77777777" w:rsidR="001D256A" w:rsidRPr="00D06374" w:rsidRDefault="001D256A" w:rsidP="001D256A">
      <w:pPr>
        <w:spacing w:line="360" w:lineRule="auto"/>
        <w:ind w:right="-28"/>
        <w:jc w:val="both"/>
        <w:rPr>
          <w:rFonts w:ascii="Palatino Linotype" w:hAnsi="Palatino Linotype" w:cs="Tahoma"/>
          <w:b/>
          <w:sz w:val="22"/>
          <w:szCs w:val="22"/>
        </w:rPr>
      </w:pPr>
      <w:r w:rsidRPr="00D06374">
        <w:rPr>
          <w:rFonts w:ascii="Palatino Linotype" w:hAnsi="Palatino Linotype" w:cs="Tahoma"/>
          <w:b/>
          <w:sz w:val="22"/>
          <w:szCs w:val="22"/>
        </w:rPr>
        <w:t xml:space="preserve">SEXTO. Decisión. </w:t>
      </w:r>
    </w:p>
    <w:p w14:paraId="2F5D60E4" w14:textId="77777777" w:rsidR="001D256A" w:rsidRPr="00D06374" w:rsidRDefault="001D256A" w:rsidP="001D256A">
      <w:pPr>
        <w:spacing w:line="360" w:lineRule="auto"/>
        <w:ind w:right="-28"/>
        <w:jc w:val="both"/>
        <w:rPr>
          <w:rFonts w:ascii="Palatino Linotype" w:hAnsi="Palatino Linotype" w:cs="Tahoma"/>
          <w:b/>
          <w:sz w:val="22"/>
          <w:szCs w:val="22"/>
        </w:rPr>
      </w:pPr>
    </w:p>
    <w:p w14:paraId="388268DA" w14:textId="074F6D76" w:rsidR="001D256A" w:rsidRPr="00D06374" w:rsidRDefault="0021604D" w:rsidP="001D256A">
      <w:pPr>
        <w:spacing w:line="360" w:lineRule="auto"/>
        <w:contextualSpacing/>
        <w:jc w:val="both"/>
        <w:rPr>
          <w:rFonts w:ascii="Palatino Linotype" w:hAnsi="Palatino Linotype" w:cs="Tahoma"/>
          <w:sz w:val="22"/>
          <w:szCs w:val="22"/>
        </w:rPr>
      </w:pPr>
      <w:r w:rsidRPr="00D0637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D06374">
        <w:rPr>
          <w:rFonts w:ascii="Palatino Linotype" w:hAnsi="Palatino Linotype" w:cs="Tahoma"/>
          <w:b/>
          <w:bCs/>
          <w:sz w:val="22"/>
          <w:szCs w:val="22"/>
        </w:rPr>
        <w:t>ORDENAR</w:t>
      </w:r>
      <w:r w:rsidRPr="00D06374">
        <w:rPr>
          <w:rFonts w:ascii="Palatino Linotype" w:hAnsi="Palatino Linotype" w:cs="Tahoma"/>
          <w:sz w:val="22"/>
          <w:szCs w:val="22"/>
        </w:rPr>
        <w:t xml:space="preserve"> al Sujeto Obligado, a efectos de previa búsqueda exhaustiva y razonable en los archivos de la Dirección de Administración, entregue, respecto a los procedimientos de contratación de servicios de asesoría, realizados del siete de noviembre de dos mil veintiuno al siete de noviembre de dos mil veintidós, en su caso, en versión pública, los documentos donde conste lo siguiente:</w:t>
      </w:r>
    </w:p>
    <w:p w14:paraId="0D27004B" w14:textId="3D9881C0" w:rsidR="0021604D" w:rsidRPr="00D06374" w:rsidRDefault="0021604D" w:rsidP="001D256A">
      <w:pPr>
        <w:spacing w:line="360" w:lineRule="auto"/>
        <w:contextualSpacing/>
        <w:jc w:val="both"/>
        <w:rPr>
          <w:rFonts w:ascii="Palatino Linotype" w:hAnsi="Palatino Linotype" w:cs="Tahoma"/>
          <w:sz w:val="22"/>
          <w:szCs w:val="22"/>
        </w:rPr>
      </w:pPr>
    </w:p>
    <w:p w14:paraId="1EB673AD" w14:textId="77777777" w:rsidR="0021604D" w:rsidRPr="00D06374" w:rsidRDefault="0021604D" w:rsidP="001D256A">
      <w:pPr>
        <w:spacing w:line="360" w:lineRule="auto"/>
        <w:contextualSpacing/>
        <w:jc w:val="both"/>
        <w:rPr>
          <w:rFonts w:ascii="Palatino Linotype" w:hAnsi="Palatino Linotype" w:cs="Tahoma"/>
          <w:sz w:val="22"/>
          <w:szCs w:val="22"/>
        </w:rPr>
      </w:pPr>
    </w:p>
    <w:p w14:paraId="1DCF29C1" w14:textId="386B9008" w:rsidR="0021604D" w:rsidRPr="00D06374" w:rsidRDefault="0021604D" w:rsidP="0021604D">
      <w:pPr>
        <w:pStyle w:val="Prrafodelista"/>
        <w:numPr>
          <w:ilvl w:val="0"/>
          <w:numId w:val="7"/>
        </w:numPr>
        <w:spacing w:line="360" w:lineRule="auto"/>
        <w:jc w:val="both"/>
        <w:rPr>
          <w:rFonts w:ascii="Palatino Linotype" w:hAnsi="Palatino Linotype" w:cs="Tahoma"/>
          <w:color w:val="0D0D0D" w:themeColor="text1" w:themeTint="F2"/>
          <w:szCs w:val="22"/>
        </w:rPr>
      </w:pPr>
      <w:r w:rsidRPr="00D06374">
        <w:rPr>
          <w:rFonts w:ascii="Palatino Linotype" w:hAnsi="Palatino Linotype" w:cs="Tahoma"/>
          <w:color w:val="0D0D0D" w:themeColor="text1" w:themeTint="F2"/>
          <w:szCs w:val="22"/>
        </w:rPr>
        <w:t>Solicitud de contratación por el área requirente, y</w:t>
      </w:r>
    </w:p>
    <w:p w14:paraId="118163F1" w14:textId="77777777" w:rsidR="0021604D" w:rsidRPr="00D06374" w:rsidRDefault="0021604D" w:rsidP="0021604D">
      <w:pPr>
        <w:pStyle w:val="Prrafodelista"/>
        <w:spacing w:line="360" w:lineRule="auto"/>
        <w:jc w:val="both"/>
        <w:rPr>
          <w:rFonts w:ascii="Palatino Linotype" w:hAnsi="Palatino Linotype" w:cs="Tahoma"/>
          <w:color w:val="0D0D0D" w:themeColor="text1" w:themeTint="F2"/>
          <w:szCs w:val="22"/>
        </w:rPr>
      </w:pPr>
    </w:p>
    <w:p w14:paraId="6003D23D" w14:textId="11C92ADF" w:rsidR="0021604D" w:rsidRPr="00D06374" w:rsidRDefault="0021604D" w:rsidP="0021604D">
      <w:pPr>
        <w:pStyle w:val="Prrafodelista"/>
        <w:numPr>
          <w:ilvl w:val="0"/>
          <w:numId w:val="7"/>
        </w:numPr>
        <w:spacing w:line="360" w:lineRule="auto"/>
        <w:jc w:val="both"/>
        <w:rPr>
          <w:rFonts w:ascii="Palatino Linotype" w:hAnsi="Palatino Linotype" w:cs="Tahoma"/>
          <w:color w:val="0D0D0D" w:themeColor="text1" w:themeTint="F2"/>
          <w:szCs w:val="22"/>
        </w:rPr>
      </w:pPr>
      <w:r w:rsidRPr="00D06374">
        <w:rPr>
          <w:rFonts w:ascii="Palatino Linotype" w:hAnsi="Palatino Linotype" w:cs="Tahoma"/>
          <w:color w:val="0D0D0D" w:themeColor="text1" w:themeTint="F2"/>
          <w:szCs w:val="22"/>
        </w:rPr>
        <w:t>Facturas de pago.</w:t>
      </w:r>
    </w:p>
    <w:p w14:paraId="4B33509C" w14:textId="0AA842B9" w:rsidR="0021604D" w:rsidRPr="00D06374" w:rsidRDefault="0021604D" w:rsidP="001D256A">
      <w:pPr>
        <w:spacing w:line="360" w:lineRule="auto"/>
        <w:contextualSpacing/>
        <w:jc w:val="both"/>
        <w:rPr>
          <w:rFonts w:ascii="Palatino Linotype" w:hAnsi="Palatino Linotype" w:cs="Tahoma"/>
          <w:color w:val="0D0D0D" w:themeColor="text1" w:themeTint="F2"/>
          <w:sz w:val="22"/>
          <w:szCs w:val="22"/>
        </w:rPr>
      </w:pPr>
    </w:p>
    <w:p w14:paraId="6D9783B6" w14:textId="6FD00DC6" w:rsidR="0021604D" w:rsidRPr="00D06374" w:rsidRDefault="0021604D" w:rsidP="0021604D">
      <w:pPr>
        <w:spacing w:line="360" w:lineRule="auto"/>
        <w:jc w:val="both"/>
        <w:rPr>
          <w:rFonts w:ascii="Palatino Linotype" w:hAnsi="Palatino Linotype" w:cs="Tahoma"/>
          <w:sz w:val="22"/>
          <w:szCs w:val="22"/>
        </w:rPr>
      </w:pPr>
      <w:r w:rsidRPr="00D06374">
        <w:rPr>
          <w:rFonts w:ascii="Palatino Linotype" w:hAnsi="Palatino Linotype" w:cs="Tahoma"/>
          <w:sz w:val="22"/>
          <w:szCs w:val="22"/>
        </w:rPr>
        <w:lastRenderedPageBreak/>
        <w:t>Además, de ser necesario, deberá proporcionar el Acuerdo de Clasificación donde el Comité de Transparencia, confirme la eliminación de los datos o información clasificada. Para el caso, de que no haya contratado los servicios de asesoría, en el periodo referido, deberá hacerlo del conocimiento del ahora Recurrente, de manera clara y precisa.</w:t>
      </w:r>
    </w:p>
    <w:p w14:paraId="3CA57325" w14:textId="77777777" w:rsidR="0021604D" w:rsidRPr="00D06374" w:rsidRDefault="0021604D" w:rsidP="001D256A">
      <w:pPr>
        <w:spacing w:line="360" w:lineRule="auto"/>
        <w:contextualSpacing/>
        <w:jc w:val="both"/>
        <w:rPr>
          <w:rFonts w:ascii="Palatino Linotype" w:hAnsi="Palatino Linotype" w:cs="Tahoma"/>
          <w:color w:val="0D0D0D" w:themeColor="text1" w:themeTint="F2"/>
          <w:sz w:val="22"/>
          <w:szCs w:val="22"/>
        </w:rPr>
      </w:pPr>
    </w:p>
    <w:p w14:paraId="7DFD4A7C"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D06374">
        <w:rPr>
          <w:rFonts w:ascii="Palatino Linotype" w:eastAsia="Calibri" w:hAnsi="Palatino Linotype" w:cs="Tahoma"/>
          <w:b/>
          <w:bCs/>
          <w:iCs/>
          <w:sz w:val="22"/>
          <w:szCs w:val="22"/>
          <w:lang w:val="es-ES" w:eastAsia="en-US"/>
        </w:rPr>
        <w:t>Términos de la Resolución para conocimiento del Particular.</w:t>
      </w:r>
    </w:p>
    <w:p w14:paraId="791F6856"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44F29DA8"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D06374">
        <w:rPr>
          <w:rFonts w:ascii="Palatino Linotype" w:eastAsia="Calibri" w:hAnsi="Palatino Linotype" w:cs="Tahoma"/>
          <w:bCs/>
          <w:iCs/>
          <w:sz w:val="22"/>
          <w:szCs w:val="22"/>
          <w:lang w:val="es-ES" w:eastAsia="en-US"/>
        </w:rPr>
        <w:t>Se le hace del conocimiento al Particular, que, en el presente caso, se le da la razón, pues el Ayuntamiento de Zinacantepec, no emitió contestación al requerimiento de acceso a la información pública, por ello, deberá dar respuesta a la solicitud de información, y en su caso, entregarle el documento que atienda su pedimento.</w:t>
      </w:r>
    </w:p>
    <w:p w14:paraId="2A971DF5"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245EA914" w14:textId="0B7DF4D4" w:rsidR="001D256A" w:rsidRPr="00D06374" w:rsidRDefault="001D256A" w:rsidP="001D256A">
      <w:pPr>
        <w:spacing w:line="360" w:lineRule="auto"/>
        <w:jc w:val="both"/>
        <w:rPr>
          <w:rFonts w:ascii="Palatino Linotype" w:eastAsia="Calibri" w:hAnsi="Palatino Linotype" w:cs="Tahoma"/>
          <w:bCs/>
          <w:iCs/>
          <w:sz w:val="22"/>
          <w:szCs w:val="22"/>
          <w:lang w:eastAsia="en-US"/>
        </w:rPr>
      </w:pPr>
      <w:r w:rsidRPr="00D06374">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21604D" w:rsidRPr="00D06374">
        <w:rPr>
          <w:rFonts w:ascii="Palatino Linotype" w:eastAsia="Calibri" w:hAnsi="Palatino Linotype" w:cs="Tahoma"/>
          <w:bCs/>
          <w:iCs/>
          <w:sz w:val="22"/>
          <w:szCs w:val="22"/>
          <w:lang w:eastAsia="en-US"/>
        </w:rPr>
        <w:t xml:space="preserve">Finalmente, la labor </w:t>
      </w:r>
      <w:r w:rsidRPr="00D06374">
        <w:rPr>
          <w:rFonts w:ascii="Palatino Linotype" w:eastAsia="Calibri" w:hAnsi="Palatino Linotype" w:cs="Tahoma"/>
          <w:bCs/>
          <w:iCs/>
          <w:sz w:val="22"/>
          <w:szCs w:val="22"/>
          <w:lang w:eastAsia="en-US"/>
        </w:rPr>
        <w:t>de este Instituto, es apoyar a la población a acceder a la información pública y garantizar la protección de sus datos personales.</w:t>
      </w:r>
    </w:p>
    <w:p w14:paraId="5E893D34" w14:textId="29D29D79" w:rsidR="001D256A" w:rsidRPr="00D06374" w:rsidRDefault="001D256A" w:rsidP="001D256A">
      <w:pPr>
        <w:spacing w:line="360" w:lineRule="auto"/>
        <w:jc w:val="both"/>
        <w:rPr>
          <w:rFonts w:ascii="Palatino Linotype" w:hAnsi="Palatino Linotype" w:cs="Tahoma"/>
          <w:b/>
          <w:bCs/>
          <w:iCs/>
          <w:color w:val="0D0D0D" w:themeColor="text1" w:themeTint="F2"/>
          <w:sz w:val="22"/>
          <w:szCs w:val="22"/>
        </w:rPr>
      </w:pPr>
    </w:p>
    <w:p w14:paraId="51FDE508" w14:textId="77777777" w:rsidR="001D256A" w:rsidRPr="00D06374" w:rsidRDefault="001D256A" w:rsidP="001D256A">
      <w:pPr>
        <w:spacing w:line="360" w:lineRule="auto"/>
        <w:jc w:val="both"/>
        <w:rPr>
          <w:rFonts w:ascii="Palatino Linotype" w:hAnsi="Palatino Linotype" w:cs="Tahoma"/>
          <w:b/>
          <w:bCs/>
          <w:iCs/>
          <w:color w:val="0D0D0D" w:themeColor="text1" w:themeTint="F2"/>
          <w:sz w:val="22"/>
          <w:szCs w:val="22"/>
        </w:rPr>
      </w:pPr>
      <w:r w:rsidRPr="00D06374">
        <w:rPr>
          <w:rFonts w:ascii="Palatino Linotype" w:hAnsi="Palatino Linotype" w:cs="Tahoma"/>
          <w:b/>
          <w:bCs/>
          <w:iCs/>
          <w:color w:val="0D0D0D" w:themeColor="text1" w:themeTint="F2"/>
          <w:sz w:val="22"/>
          <w:szCs w:val="22"/>
        </w:rPr>
        <w:t xml:space="preserve">SÉPTIMO. Vista a la Contraloría Interna y Órgano de Control y Vigilancia. </w:t>
      </w:r>
    </w:p>
    <w:p w14:paraId="1AC59ADC" w14:textId="6A5A076F" w:rsidR="0021604D" w:rsidRPr="00D06374" w:rsidRDefault="0021604D" w:rsidP="001D256A">
      <w:pPr>
        <w:spacing w:line="360" w:lineRule="auto"/>
        <w:jc w:val="both"/>
        <w:rPr>
          <w:rFonts w:ascii="Palatino Linotype" w:hAnsi="Palatino Linotype" w:cs="Tahoma"/>
          <w:bCs/>
          <w:color w:val="0D0D0D" w:themeColor="text1" w:themeTint="F2"/>
          <w:sz w:val="22"/>
          <w:szCs w:val="22"/>
        </w:rPr>
      </w:pPr>
    </w:p>
    <w:p w14:paraId="6ABC2934" w14:textId="5351EAFC" w:rsidR="0021604D" w:rsidRPr="00D06374" w:rsidRDefault="001D256A" w:rsidP="001D256A">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bCs/>
          <w:color w:val="0D0D0D" w:themeColor="text1" w:themeTint="F2"/>
          <w:sz w:val="22"/>
          <w:szCs w:val="22"/>
        </w:rPr>
        <w:t>En el caso en estudio, ha quedado acreditado que el Ayuntamiento de Zinacantepec</w:t>
      </w:r>
      <w:r w:rsidRPr="00D06374">
        <w:rPr>
          <w:rFonts w:ascii="Palatino Linotype" w:eastAsia="Calibri" w:hAnsi="Palatino Linotype" w:cs="Tahoma"/>
          <w:bCs/>
          <w:color w:val="0D0D0D" w:themeColor="text1" w:themeTint="F2"/>
          <w:sz w:val="22"/>
          <w:szCs w:val="22"/>
        </w:rPr>
        <w:t xml:space="preserve"> </w:t>
      </w:r>
      <w:r w:rsidRPr="00D06374">
        <w:rPr>
          <w:rFonts w:ascii="Palatino Linotype" w:hAnsi="Palatino Linotype" w:cs="Tahoma"/>
          <w:bCs/>
          <w:color w:val="0D0D0D" w:themeColor="text1" w:themeTint="F2"/>
          <w:sz w:val="22"/>
          <w:szCs w:val="22"/>
        </w:rPr>
        <w:t>omitió dar respuesta en el plazo señalado en el artículo 163 de la Ley de Transparencia y Acceso a la Información Pública del Estado de México y Municipios.</w:t>
      </w:r>
      <w:r w:rsidR="0021604D" w:rsidRPr="00D06374">
        <w:rPr>
          <w:rFonts w:ascii="Palatino Linotype" w:hAnsi="Palatino Linotype" w:cs="Tahoma"/>
          <w:bCs/>
          <w:color w:val="0D0D0D" w:themeColor="text1" w:themeTint="F2"/>
          <w:sz w:val="22"/>
          <w:szCs w:val="22"/>
        </w:rPr>
        <w:t xml:space="preserve"> </w:t>
      </w:r>
      <w:r w:rsidRPr="00D06374">
        <w:rPr>
          <w:rFonts w:ascii="Palatino Linotype" w:hAnsi="Palatino Linotype" w:cs="Tahoma"/>
          <w:bCs/>
          <w:color w:val="0D0D0D" w:themeColor="text1" w:themeTint="F2"/>
          <w:sz w:val="22"/>
          <w:szCs w:val="22"/>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529F89FB" w14:textId="77777777" w:rsidR="0021604D" w:rsidRPr="00D06374" w:rsidRDefault="0021604D" w:rsidP="001D256A">
      <w:pPr>
        <w:spacing w:line="360" w:lineRule="auto"/>
        <w:jc w:val="both"/>
        <w:rPr>
          <w:rFonts w:ascii="Palatino Linotype" w:hAnsi="Palatino Linotype" w:cs="Tahoma"/>
          <w:bCs/>
          <w:color w:val="0D0D0D" w:themeColor="text1" w:themeTint="F2"/>
          <w:sz w:val="22"/>
          <w:szCs w:val="22"/>
        </w:rPr>
      </w:pPr>
    </w:p>
    <w:p w14:paraId="5895251F" w14:textId="4F859485" w:rsidR="001D256A" w:rsidRPr="00D06374" w:rsidRDefault="001D256A" w:rsidP="001D256A">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6CBE0707" w14:textId="77777777" w:rsidR="001D256A" w:rsidRPr="00D06374" w:rsidRDefault="001D256A" w:rsidP="001D256A">
      <w:pPr>
        <w:spacing w:line="360" w:lineRule="auto"/>
        <w:jc w:val="both"/>
        <w:rPr>
          <w:rFonts w:ascii="Palatino Linotype" w:hAnsi="Palatino Linotype" w:cs="Tahoma"/>
          <w:bCs/>
          <w:color w:val="0D0D0D" w:themeColor="text1" w:themeTint="F2"/>
          <w:sz w:val="22"/>
          <w:szCs w:val="22"/>
        </w:rPr>
      </w:pPr>
    </w:p>
    <w:p w14:paraId="51207F8B" w14:textId="0B8D5DF9" w:rsidR="001D256A" w:rsidRPr="00D06374" w:rsidRDefault="001D256A" w:rsidP="001D256A">
      <w:pPr>
        <w:spacing w:line="360" w:lineRule="auto"/>
        <w:jc w:val="both"/>
        <w:rPr>
          <w:rFonts w:ascii="Palatino Linotype" w:hAnsi="Palatino Linotype" w:cs="Tahoma"/>
          <w:bCs/>
          <w:color w:val="0D0D0D" w:themeColor="text1" w:themeTint="F2"/>
          <w:sz w:val="22"/>
          <w:szCs w:val="22"/>
        </w:rPr>
      </w:pPr>
      <w:r w:rsidRPr="00D06374">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6374">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D06374">
        <w:rPr>
          <w:rFonts w:ascii="Palatino Linotype" w:hAnsi="Palatino Linotype" w:cs="Tahoma"/>
          <w:bCs/>
          <w:color w:val="0D0D0D" w:themeColor="text1" w:themeTint="F2"/>
          <w:sz w:val="22"/>
          <w:szCs w:val="22"/>
        </w:rPr>
        <w:t>.</w:t>
      </w:r>
    </w:p>
    <w:p w14:paraId="66C9D5D4" w14:textId="77777777" w:rsidR="001D256A" w:rsidRPr="00D06374" w:rsidRDefault="001D256A" w:rsidP="001D256A">
      <w:pPr>
        <w:spacing w:line="360" w:lineRule="auto"/>
        <w:jc w:val="both"/>
        <w:rPr>
          <w:rFonts w:ascii="Palatino Linotype" w:hAnsi="Palatino Linotype" w:cs="Tahoma"/>
          <w:b/>
          <w:sz w:val="22"/>
          <w:szCs w:val="22"/>
          <w:lang w:eastAsia="es-MX"/>
        </w:rPr>
      </w:pPr>
    </w:p>
    <w:p w14:paraId="681D1A27" w14:textId="77777777" w:rsidR="001D256A" w:rsidRPr="00D06374" w:rsidRDefault="001D256A" w:rsidP="001D256A">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D06374">
        <w:rPr>
          <w:rFonts w:ascii="Palatino Linotype" w:eastAsia="Calibri" w:hAnsi="Palatino Linotype" w:cs="Tahoma"/>
          <w:bCs/>
          <w:iCs/>
          <w:color w:val="0D0D0D" w:themeColor="text1" w:themeTint="F2"/>
          <w:sz w:val="22"/>
          <w:szCs w:val="22"/>
          <w:lang w:eastAsia="en-US"/>
        </w:rPr>
        <w:t>Por lo expuesto y fundado, este Pleno:</w:t>
      </w:r>
    </w:p>
    <w:p w14:paraId="3F8138D6" w14:textId="77777777" w:rsidR="001D256A" w:rsidRPr="00D06374" w:rsidRDefault="001D256A" w:rsidP="001D256A">
      <w:pPr>
        <w:spacing w:line="360" w:lineRule="auto"/>
        <w:ind w:right="-28"/>
        <w:jc w:val="both"/>
        <w:rPr>
          <w:rFonts w:ascii="Palatino Linotype" w:eastAsia="Calibri" w:hAnsi="Palatino Linotype" w:cs="Tahoma"/>
          <w:bCs/>
          <w:sz w:val="22"/>
          <w:szCs w:val="22"/>
          <w:lang w:eastAsia="en-US"/>
        </w:rPr>
      </w:pPr>
    </w:p>
    <w:p w14:paraId="5B6E4E72" w14:textId="77777777" w:rsidR="001D256A" w:rsidRPr="00D06374" w:rsidRDefault="001D256A" w:rsidP="001D256A">
      <w:pPr>
        <w:spacing w:line="360" w:lineRule="auto"/>
        <w:ind w:right="-28"/>
        <w:jc w:val="center"/>
        <w:rPr>
          <w:rFonts w:ascii="Palatino Linotype" w:eastAsia="Calibri" w:hAnsi="Palatino Linotype" w:cs="Tahoma"/>
          <w:b/>
          <w:bCs/>
          <w:sz w:val="22"/>
          <w:szCs w:val="22"/>
          <w:lang w:eastAsia="en-US"/>
        </w:rPr>
      </w:pPr>
      <w:r w:rsidRPr="00D06374">
        <w:rPr>
          <w:rFonts w:ascii="Palatino Linotype" w:eastAsia="Calibri" w:hAnsi="Palatino Linotype" w:cs="Tahoma"/>
          <w:b/>
          <w:bCs/>
          <w:sz w:val="22"/>
          <w:szCs w:val="22"/>
          <w:lang w:eastAsia="en-US"/>
        </w:rPr>
        <w:t>R E S U E L V E</w:t>
      </w:r>
    </w:p>
    <w:p w14:paraId="0E648CCD" w14:textId="77777777" w:rsidR="0021604D" w:rsidRPr="00D06374" w:rsidRDefault="0021604D" w:rsidP="001D256A">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52599802" w14:textId="614AD1EE" w:rsidR="001D256A" w:rsidRPr="00D06374" w:rsidRDefault="001D256A" w:rsidP="001D256A">
      <w:pPr>
        <w:spacing w:line="360" w:lineRule="auto"/>
        <w:contextualSpacing/>
        <w:jc w:val="both"/>
        <w:rPr>
          <w:rFonts w:ascii="Palatino Linotype" w:eastAsia="Calibri" w:hAnsi="Palatino Linotype" w:cs="Tahoma"/>
          <w:bCs/>
          <w:color w:val="0D0D0D" w:themeColor="text1" w:themeTint="F2"/>
          <w:sz w:val="22"/>
        </w:rPr>
      </w:pPr>
      <w:r w:rsidRPr="00D06374">
        <w:rPr>
          <w:rFonts w:ascii="Palatino Linotype" w:eastAsia="Calibri" w:hAnsi="Palatino Linotype" w:cs="Tahoma"/>
          <w:b/>
          <w:bCs/>
          <w:iCs/>
          <w:color w:val="0D0D0D" w:themeColor="text1" w:themeTint="F2"/>
          <w:sz w:val="22"/>
          <w:szCs w:val="22"/>
          <w:lang w:eastAsia="en-US"/>
        </w:rPr>
        <w:t xml:space="preserve">PRIMERO. </w:t>
      </w:r>
      <w:r w:rsidRPr="00D06374">
        <w:rPr>
          <w:rFonts w:ascii="Palatino Linotype" w:eastAsia="Calibri" w:hAnsi="Palatino Linotype" w:cs="Tahoma"/>
          <w:bCs/>
          <w:iCs/>
          <w:color w:val="0D0D0D" w:themeColor="text1" w:themeTint="F2"/>
          <w:sz w:val="22"/>
          <w:szCs w:val="22"/>
          <w:lang w:eastAsia="en-US"/>
        </w:rPr>
        <w:t xml:space="preserve">Resultan </w:t>
      </w:r>
      <w:r w:rsidRPr="00D06374">
        <w:rPr>
          <w:rFonts w:ascii="Palatino Linotype" w:eastAsia="Calibri" w:hAnsi="Palatino Linotype" w:cs="Tahoma"/>
          <w:b/>
          <w:bCs/>
          <w:iCs/>
          <w:color w:val="0D0D0D" w:themeColor="text1" w:themeTint="F2"/>
          <w:sz w:val="22"/>
          <w:szCs w:val="22"/>
          <w:lang w:eastAsia="en-US"/>
        </w:rPr>
        <w:t xml:space="preserve">FUNDADAS </w:t>
      </w:r>
      <w:r w:rsidRPr="00D06374">
        <w:rPr>
          <w:rFonts w:ascii="Palatino Linotype" w:eastAsia="Calibri" w:hAnsi="Palatino Linotype" w:cs="Tahoma"/>
          <w:bCs/>
          <w:color w:val="0D0D0D" w:themeColor="text1" w:themeTint="F2"/>
          <w:sz w:val="22"/>
        </w:rPr>
        <w:t xml:space="preserve">las razones o motivos de inconformidad hechos valer por la Particular en el Recurso de Revisión con número </w:t>
      </w:r>
      <w:r w:rsidR="00A9027A" w:rsidRPr="00D06374">
        <w:rPr>
          <w:rFonts w:ascii="Palatino Linotype" w:hAnsi="Palatino Linotype" w:cs="Tahoma"/>
          <w:b/>
          <w:color w:val="0D0D0D" w:themeColor="text1" w:themeTint="F2"/>
          <w:sz w:val="22"/>
          <w:szCs w:val="22"/>
        </w:rPr>
        <w:t>17151/INFOEM/IP/RR/2022</w:t>
      </w:r>
      <w:r w:rsidRPr="00D06374">
        <w:rPr>
          <w:rFonts w:ascii="Palatino Linotype" w:hAnsi="Palatino Linotype" w:cs="Tahoma"/>
          <w:bCs/>
          <w:color w:val="0D0D0D" w:themeColor="text1" w:themeTint="F2"/>
          <w:sz w:val="22"/>
        </w:rPr>
        <w:t>,</w:t>
      </w:r>
      <w:r w:rsidRPr="00D06374">
        <w:rPr>
          <w:rFonts w:ascii="Palatino Linotype" w:hAnsi="Palatino Linotype" w:cs="Tahoma"/>
          <w:b/>
          <w:color w:val="0D0D0D" w:themeColor="text1" w:themeTint="F2"/>
          <w:sz w:val="22"/>
        </w:rPr>
        <w:t xml:space="preserve"> </w:t>
      </w:r>
      <w:r w:rsidRPr="00D06374">
        <w:rPr>
          <w:rFonts w:ascii="Palatino Linotype" w:eastAsia="Calibri" w:hAnsi="Palatino Linotype" w:cs="Tahoma"/>
          <w:bCs/>
          <w:color w:val="0D0D0D" w:themeColor="text1" w:themeTint="F2"/>
          <w:sz w:val="22"/>
        </w:rPr>
        <w:t xml:space="preserve">en términos del considerando </w:t>
      </w:r>
      <w:r w:rsidRPr="00D06374">
        <w:rPr>
          <w:rFonts w:ascii="Palatino Linotype" w:eastAsia="Calibri" w:hAnsi="Palatino Linotype" w:cs="Tahoma"/>
          <w:b/>
          <w:bCs/>
          <w:color w:val="0D0D0D" w:themeColor="text1" w:themeTint="F2"/>
          <w:sz w:val="22"/>
        </w:rPr>
        <w:t xml:space="preserve">QUINTO </w:t>
      </w:r>
      <w:r w:rsidRPr="00D06374">
        <w:rPr>
          <w:rFonts w:ascii="Palatino Linotype" w:eastAsia="Calibri" w:hAnsi="Palatino Linotype" w:cs="Tahoma"/>
          <w:color w:val="0D0D0D" w:themeColor="text1" w:themeTint="F2"/>
          <w:sz w:val="22"/>
        </w:rPr>
        <w:t>y</w:t>
      </w:r>
      <w:r w:rsidRPr="00D06374">
        <w:rPr>
          <w:rFonts w:ascii="Palatino Linotype" w:eastAsia="Calibri" w:hAnsi="Palatino Linotype" w:cs="Tahoma"/>
          <w:b/>
          <w:bCs/>
          <w:color w:val="0D0D0D" w:themeColor="text1" w:themeTint="F2"/>
          <w:sz w:val="22"/>
        </w:rPr>
        <w:t xml:space="preserve"> SEXTO </w:t>
      </w:r>
      <w:r w:rsidRPr="00D06374">
        <w:rPr>
          <w:rFonts w:ascii="Palatino Linotype" w:eastAsia="Calibri" w:hAnsi="Palatino Linotype" w:cs="Tahoma"/>
          <w:bCs/>
          <w:color w:val="0D0D0D" w:themeColor="text1" w:themeTint="F2"/>
          <w:sz w:val="22"/>
        </w:rPr>
        <w:t>de la presente Resolución.</w:t>
      </w:r>
    </w:p>
    <w:p w14:paraId="522962E9" w14:textId="77777777" w:rsidR="001D256A" w:rsidRPr="00D06374" w:rsidRDefault="001D256A" w:rsidP="001D256A">
      <w:pPr>
        <w:spacing w:line="360" w:lineRule="auto"/>
        <w:ind w:right="113"/>
        <w:jc w:val="both"/>
        <w:rPr>
          <w:rFonts w:ascii="Palatino Linotype" w:hAnsi="Palatino Linotype"/>
          <w:i/>
          <w:sz w:val="22"/>
          <w:szCs w:val="22"/>
        </w:rPr>
      </w:pPr>
    </w:p>
    <w:p w14:paraId="6578DDFC" w14:textId="3CF5D21C" w:rsidR="0021604D" w:rsidRPr="00D06374" w:rsidRDefault="0021604D" w:rsidP="0021604D">
      <w:pPr>
        <w:spacing w:line="360" w:lineRule="auto"/>
        <w:contextualSpacing/>
        <w:jc w:val="both"/>
        <w:rPr>
          <w:rFonts w:ascii="Palatino Linotype" w:hAnsi="Palatino Linotype" w:cs="Tahoma"/>
          <w:sz w:val="22"/>
          <w:szCs w:val="22"/>
        </w:rPr>
      </w:pPr>
      <w:r w:rsidRPr="00D06374">
        <w:rPr>
          <w:rFonts w:ascii="Palatino Linotype" w:hAnsi="Palatino Linotype" w:cs="Tahoma"/>
          <w:sz w:val="22"/>
          <w:szCs w:val="22"/>
          <w:lang w:val="es-ES"/>
        </w:rPr>
        <w:t xml:space="preserve">Se </w:t>
      </w:r>
      <w:r w:rsidRPr="00D06374">
        <w:rPr>
          <w:rFonts w:ascii="Palatino Linotype" w:hAnsi="Palatino Linotype" w:cs="Tahoma"/>
          <w:b/>
          <w:sz w:val="22"/>
          <w:szCs w:val="22"/>
          <w:lang w:val="es-ES"/>
        </w:rPr>
        <w:t>ORDENA</w:t>
      </w:r>
      <w:r w:rsidRPr="00D06374">
        <w:rPr>
          <w:rFonts w:ascii="Palatino Linotype" w:hAnsi="Palatino Linotype" w:cs="Tahoma"/>
          <w:sz w:val="22"/>
          <w:szCs w:val="22"/>
          <w:lang w:val="es-ES"/>
        </w:rPr>
        <w:t xml:space="preserve"> al Sujeto Obligado, </w:t>
      </w:r>
      <w:r w:rsidRPr="00D06374">
        <w:rPr>
          <w:rFonts w:ascii="Palatino Linotype" w:hAnsi="Palatino Linotype" w:cs="Tahoma"/>
          <w:bCs/>
          <w:sz w:val="22"/>
          <w:szCs w:val="22"/>
        </w:rPr>
        <w:t xml:space="preserve">a efecto de que previa búsqueda exhaustiva y razonable, en las unidades administrativas competentes, entregue </w:t>
      </w:r>
      <w:r w:rsidRPr="00D06374">
        <w:rPr>
          <w:rFonts w:ascii="Palatino Linotype" w:hAnsi="Palatino Linotype" w:cs="Tahoma"/>
          <w:sz w:val="22"/>
          <w:szCs w:val="22"/>
          <w:lang w:val="es-ES"/>
        </w:rPr>
        <w:t>a través del Sistema de Acceso a la Información Mexiquense (SAIMEX), en su caso, en versión pública,</w:t>
      </w:r>
      <w:r w:rsidRPr="00D06374">
        <w:rPr>
          <w:rFonts w:ascii="Palatino Linotype" w:hAnsi="Palatino Linotype" w:cs="Tahoma"/>
          <w:sz w:val="22"/>
          <w:szCs w:val="22"/>
        </w:rPr>
        <w:t xml:space="preserve"> respecto a los </w:t>
      </w:r>
      <w:r w:rsidRPr="00D06374">
        <w:rPr>
          <w:rFonts w:ascii="Palatino Linotype" w:hAnsi="Palatino Linotype" w:cs="Tahoma"/>
          <w:sz w:val="22"/>
          <w:szCs w:val="22"/>
        </w:rPr>
        <w:lastRenderedPageBreak/>
        <w:t>procedimientos de contratación de servicios de asesoría, realizados del siete de noviembre de dos mil veintiuno al siete de noviembre de dos mil veintidós, los documentos donde conste lo siguiente:</w:t>
      </w:r>
    </w:p>
    <w:p w14:paraId="4B006872" w14:textId="77777777" w:rsidR="0021604D" w:rsidRPr="00D06374" w:rsidRDefault="0021604D" w:rsidP="0021604D">
      <w:pPr>
        <w:spacing w:line="360" w:lineRule="auto"/>
        <w:contextualSpacing/>
        <w:jc w:val="both"/>
        <w:rPr>
          <w:rFonts w:ascii="Palatino Linotype" w:hAnsi="Palatino Linotype" w:cs="Tahoma"/>
          <w:sz w:val="22"/>
          <w:szCs w:val="22"/>
        </w:rPr>
      </w:pPr>
    </w:p>
    <w:p w14:paraId="69B3B873" w14:textId="77777777" w:rsidR="0021604D" w:rsidRPr="00D06374" w:rsidRDefault="0021604D" w:rsidP="0021604D">
      <w:pPr>
        <w:pStyle w:val="Prrafodelista"/>
        <w:numPr>
          <w:ilvl w:val="0"/>
          <w:numId w:val="7"/>
        </w:numPr>
        <w:spacing w:line="360" w:lineRule="auto"/>
        <w:jc w:val="both"/>
        <w:rPr>
          <w:rFonts w:ascii="Palatino Linotype" w:hAnsi="Palatino Linotype" w:cs="Tahoma"/>
          <w:color w:val="0D0D0D" w:themeColor="text1" w:themeTint="F2"/>
          <w:szCs w:val="22"/>
        </w:rPr>
      </w:pPr>
      <w:r w:rsidRPr="00D06374">
        <w:rPr>
          <w:rFonts w:ascii="Palatino Linotype" w:hAnsi="Palatino Linotype" w:cs="Tahoma"/>
          <w:color w:val="0D0D0D" w:themeColor="text1" w:themeTint="F2"/>
          <w:szCs w:val="22"/>
        </w:rPr>
        <w:t>Solicitud de contratación por el área requirente, y</w:t>
      </w:r>
    </w:p>
    <w:p w14:paraId="65200A28" w14:textId="77777777" w:rsidR="0021604D" w:rsidRPr="00D06374" w:rsidRDefault="0021604D" w:rsidP="0021604D">
      <w:pPr>
        <w:pStyle w:val="Prrafodelista"/>
        <w:numPr>
          <w:ilvl w:val="0"/>
          <w:numId w:val="7"/>
        </w:numPr>
        <w:spacing w:line="360" w:lineRule="auto"/>
        <w:jc w:val="both"/>
        <w:rPr>
          <w:rFonts w:ascii="Palatino Linotype" w:hAnsi="Palatino Linotype" w:cs="Tahoma"/>
          <w:color w:val="0D0D0D" w:themeColor="text1" w:themeTint="F2"/>
          <w:szCs w:val="22"/>
        </w:rPr>
      </w:pPr>
      <w:r w:rsidRPr="00D06374">
        <w:rPr>
          <w:rFonts w:ascii="Palatino Linotype" w:hAnsi="Palatino Linotype" w:cs="Tahoma"/>
          <w:color w:val="0D0D0D" w:themeColor="text1" w:themeTint="F2"/>
          <w:szCs w:val="22"/>
        </w:rPr>
        <w:t>Facturas de pago.</w:t>
      </w:r>
    </w:p>
    <w:p w14:paraId="4243D761" w14:textId="19329B1E" w:rsidR="001D256A" w:rsidRPr="00D06374" w:rsidRDefault="001D256A" w:rsidP="001D256A">
      <w:pPr>
        <w:spacing w:line="360" w:lineRule="auto"/>
        <w:jc w:val="both"/>
        <w:rPr>
          <w:rFonts w:ascii="Palatino Linotype" w:hAnsi="Palatino Linotype" w:cs="Tahoma"/>
          <w:sz w:val="22"/>
          <w:szCs w:val="22"/>
          <w:lang w:val="es-ES"/>
        </w:rPr>
      </w:pPr>
    </w:p>
    <w:p w14:paraId="716BAEBC" w14:textId="77777777" w:rsidR="0021604D" w:rsidRPr="00D06374" w:rsidRDefault="0021604D" w:rsidP="0021604D">
      <w:pPr>
        <w:tabs>
          <w:tab w:val="left" w:pos="4962"/>
        </w:tabs>
        <w:spacing w:line="360" w:lineRule="auto"/>
        <w:contextualSpacing/>
        <w:jc w:val="both"/>
        <w:rPr>
          <w:rFonts w:ascii="Palatino Linotype" w:eastAsia="Calibri" w:hAnsi="Palatino Linotype" w:cs="Tahoma"/>
          <w:bCs/>
          <w:iCs/>
          <w:sz w:val="22"/>
          <w:szCs w:val="22"/>
          <w:lang w:val="es-ES" w:eastAsia="en-US"/>
        </w:rPr>
      </w:pPr>
      <w:r w:rsidRPr="00D06374">
        <w:rPr>
          <w:rFonts w:ascii="Palatino Linotype" w:eastAsia="Calibri" w:hAnsi="Palatino Linotype" w:cs="Tahoma"/>
          <w:bCs/>
          <w:iCs/>
          <w:sz w:val="22"/>
          <w:szCs w:val="22"/>
          <w:lang w:val="es-ES"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64EA5E3" w14:textId="2ADA5F95" w:rsidR="001D256A" w:rsidRPr="00D06374" w:rsidRDefault="001D256A" w:rsidP="001D256A">
      <w:pPr>
        <w:spacing w:line="360" w:lineRule="auto"/>
        <w:contextualSpacing/>
        <w:jc w:val="both"/>
        <w:rPr>
          <w:rFonts w:ascii="Palatino Linotype" w:eastAsia="Calibri" w:hAnsi="Palatino Linotype" w:cs="Tahoma"/>
          <w:iCs/>
          <w:color w:val="000000"/>
          <w:sz w:val="22"/>
          <w:szCs w:val="22"/>
          <w:lang w:eastAsia="en-US"/>
        </w:rPr>
      </w:pPr>
    </w:p>
    <w:p w14:paraId="1691A282" w14:textId="073732F4" w:rsidR="0021604D" w:rsidRPr="00D06374" w:rsidRDefault="0021604D" w:rsidP="001D256A">
      <w:pPr>
        <w:spacing w:line="360" w:lineRule="auto"/>
        <w:contextualSpacing/>
        <w:jc w:val="both"/>
        <w:rPr>
          <w:rFonts w:ascii="Palatino Linotype" w:eastAsia="Calibri" w:hAnsi="Palatino Linotype" w:cs="Tahoma"/>
          <w:iCs/>
          <w:color w:val="000000"/>
          <w:sz w:val="22"/>
          <w:szCs w:val="22"/>
          <w:lang w:eastAsia="en-US"/>
        </w:rPr>
      </w:pPr>
      <w:r w:rsidRPr="00D06374">
        <w:rPr>
          <w:rFonts w:ascii="Palatino Linotype" w:hAnsi="Palatino Linotype" w:cs="Tahoma"/>
          <w:sz w:val="22"/>
          <w:szCs w:val="22"/>
        </w:rPr>
        <w:t>Para el caso, de que no haya contratado los servicios de asesoría, en el periodo referido, deberá hacerlo del conocimiento del ahora Recurrente, de manera clara y precisa.</w:t>
      </w:r>
    </w:p>
    <w:p w14:paraId="1926F950" w14:textId="77777777" w:rsidR="0021604D" w:rsidRPr="00D06374" w:rsidRDefault="0021604D" w:rsidP="001D256A">
      <w:pPr>
        <w:spacing w:line="360" w:lineRule="auto"/>
        <w:contextualSpacing/>
        <w:jc w:val="both"/>
        <w:rPr>
          <w:rFonts w:ascii="Palatino Linotype" w:eastAsia="Calibri" w:hAnsi="Palatino Linotype" w:cs="Tahoma"/>
          <w:iCs/>
          <w:color w:val="000000"/>
          <w:sz w:val="22"/>
          <w:szCs w:val="22"/>
          <w:lang w:eastAsia="en-US"/>
        </w:rPr>
      </w:pPr>
    </w:p>
    <w:p w14:paraId="423EED0D" w14:textId="7A261033" w:rsidR="001D256A" w:rsidRPr="00D06374" w:rsidRDefault="001D256A" w:rsidP="001D256A">
      <w:pPr>
        <w:spacing w:line="360" w:lineRule="auto"/>
        <w:jc w:val="both"/>
        <w:rPr>
          <w:rFonts w:ascii="Palatino Linotype" w:eastAsia="Calibri" w:hAnsi="Palatino Linotype" w:cs="Tahoma"/>
          <w:bCs/>
          <w:iCs/>
          <w:color w:val="0D0D0D" w:themeColor="text1" w:themeTint="F2"/>
          <w:sz w:val="22"/>
          <w:lang w:val="es-ES_tradnl"/>
        </w:rPr>
      </w:pPr>
      <w:r w:rsidRPr="00D06374">
        <w:rPr>
          <w:rFonts w:ascii="Palatino Linotype" w:eastAsia="Calibri" w:hAnsi="Palatino Linotype" w:cs="Tahoma"/>
          <w:b/>
          <w:bCs/>
          <w:iCs/>
          <w:color w:val="0D0D0D" w:themeColor="text1" w:themeTint="F2"/>
          <w:sz w:val="22"/>
          <w:lang w:val="es-ES"/>
        </w:rPr>
        <w:t>TERCERO</w:t>
      </w:r>
      <w:r w:rsidRPr="00D06374">
        <w:rPr>
          <w:rFonts w:ascii="Palatino Linotype" w:eastAsia="Calibri" w:hAnsi="Palatino Linotype" w:cs="Tahoma"/>
          <w:b/>
          <w:bCs/>
          <w:color w:val="0D0D0D" w:themeColor="text1" w:themeTint="F2"/>
          <w:sz w:val="22"/>
        </w:rPr>
        <w:t xml:space="preserve">. </w:t>
      </w:r>
      <w:r w:rsidRPr="00D06374">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214874A8" w14:textId="77777777" w:rsidR="0021604D" w:rsidRPr="00D06374" w:rsidRDefault="0021604D" w:rsidP="001D256A">
      <w:pPr>
        <w:spacing w:line="360" w:lineRule="auto"/>
        <w:jc w:val="both"/>
        <w:rPr>
          <w:rFonts w:ascii="Palatino Linotype" w:eastAsia="Calibri" w:hAnsi="Palatino Linotype" w:cs="Tahoma"/>
          <w:bCs/>
          <w:iCs/>
          <w:color w:val="0D0D0D" w:themeColor="text1" w:themeTint="F2"/>
          <w:sz w:val="22"/>
        </w:rPr>
      </w:pPr>
    </w:p>
    <w:p w14:paraId="6C961DB5" w14:textId="77777777" w:rsidR="001D256A" w:rsidRPr="00D06374" w:rsidRDefault="001D256A" w:rsidP="001D256A">
      <w:pPr>
        <w:spacing w:line="360" w:lineRule="auto"/>
        <w:jc w:val="both"/>
        <w:rPr>
          <w:rFonts w:ascii="Palatino Linotype" w:hAnsi="Palatino Linotype" w:cs="Tahoma"/>
          <w:color w:val="0D0D0D" w:themeColor="text1" w:themeTint="F2"/>
          <w:sz w:val="22"/>
        </w:rPr>
      </w:pPr>
      <w:r w:rsidRPr="00D06374">
        <w:rPr>
          <w:rFonts w:ascii="Palatino Linotype" w:eastAsia="Calibri" w:hAnsi="Palatino Linotype" w:cs="Tahoma"/>
          <w:b/>
          <w:color w:val="0D0D0D" w:themeColor="text1" w:themeTint="F2"/>
          <w:sz w:val="22"/>
          <w:lang w:eastAsia="es-MX"/>
        </w:rPr>
        <w:t>CUARTO</w:t>
      </w:r>
      <w:r w:rsidRPr="00D06374">
        <w:rPr>
          <w:rFonts w:ascii="Palatino Linotype" w:eastAsia="Calibri" w:hAnsi="Palatino Linotype" w:cs="Tahoma"/>
          <w:b/>
          <w:bCs/>
          <w:color w:val="0D0D0D" w:themeColor="text1" w:themeTint="F2"/>
          <w:sz w:val="22"/>
        </w:rPr>
        <w:t xml:space="preserve">. </w:t>
      </w:r>
      <w:r w:rsidRPr="00D06374">
        <w:rPr>
          <w:rFonts w:ascii="Palatino Linotype" w:hAnsi="Palatino Linotype" w:cs="Tahoma"/>
          <w:b/>
          <w:color w:val="0D0D0D" w:themeColor="text1" w:themeTint="F2"/>
          <w:sz w:val="22"/>
        </w:rPr>
        <w:t xml:space="preserve">NOTIFÍQUESE </w:t>
      </w:r>
      <w:r w:rsidRPr="00D06374">
        <w:rPr>
          <w:rFonts w:ascii="Palatino Linotype" w:hAnsi="Palatino Linotype" w:cs="Tahoma"/>
          <w:color w:val="0D0D0D" w:themeColor="text1" w:themeTint="F2"/>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5FE98A0" w14:textId="77777777" w:rsidR="001D256A" w:rsidRPr="00D06374" w:rsidRDefault="001D256A" w:rsidP="001D256A">
      <w:pPr>
        <w:spacing w:line="360" w:lineRule="auto"/>
        <w:jc w:val="both"/>
        <w:rPr>
          <w:rFonts w:ascii="Palatino Linotype" w:hAnsi="Palatino Linotype" w:cs="Tahoma"/>
          <w:color w:val="0D0D0D" w:themeColor="text1" w:themeTint="F2"/>
          <w:sz w:val="22"/>
        </w:rPr>
      </w:pPr>
    </w:p>
    <w:p w14:paraId="233203E0" w14:textId="77777777" w:rsidR="001D256A" w:rsidRPr="00D06374" w:rsidRDefault="001D256A" w:rsidP="001D256A">
      <w:pPr>
        <w:widowControl w:val="0"/>
        <w:spacing w:line="360" w:lineRule="auto"/>
        <w:jc w:val="both"/>
        <w:rPr>
          <w:rFonts w:ascii="Palatino Linotype" w:hAnsi="Palatino Linotype" w:cs="Tahoma"/>
          <w:color w:val="0D0D0D" w:themeColor="text1" w:themeTint="F2"/>
          <w:sz w:val="22"/>
        </w:rPr>
      </w:pPr>
      <w:r w:rsidRPr="00D06374">
        <w:rPr>
          <w:rFonts w:ascii="Palatino Linotype" w:eastAsia="Calibri" w:hAnsi="Palatino Linotype" w:cs="Tahoma"/>
          <w:b/>
          <w:bCs/>
          <w:iCs/>
          <w:color w:val="0D0D0D" w:themeColor="text1" w:themeTint="F2"/>
          <w:sz w:val="22"/>
          <w:lang w:val="es-ES"/>
        </w:rPr>
        <w:t>QUINTO</w:t>
      </w:r>
      <w:r w:rsidRPr="00D06374">
        <w:rPr>
          <w:rFonts w:ascii="Palatino Linotype" w:eastAsia="Calibri" w:hAnsi="Palatino Linotype" w:cs="Tahoma"/>
          <w:bCs/>
          <w:iCs/>
          <w:color w:val="0D0D0D" w:themeColor="text1" w:themeTint="F2"/>
          <w:sz w:val="22"/>
          <w:lang w:val="es-ES"/>
        </w:rPr>
        <w:t>.</w:t>
      </w:r>
      <w:r w:rsidRPr="00D06374">
        <w:rPr>
          <w:rFonts w:ascii="Palatino Linotype" w:hAnsi="Palatino Linotype" w:cs="Tahoma"/>
          <w:b/>
          <w:color w:val="0D0D0D" w:themeColor="text1" w:themeTint="F2"/>
          <w:sz w:val="22"/>
        </w:rPr>
        <w:t>NOTIFÍQUESE</w:t>
      </w:r>
      <w:r w:rsidRPr="00D06374">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CB625E" w14:textId="77777777" w:rsidR="001D256A" w:rsidRPr="00D06374" w:rsidRDefault="001D256A" w:rsidP="001D256A">
      <w:pPr>
        <w:spacing w:line="360" w:lineRule="auto"/>
        <w:jc w:val="both"/>
        <w:rPr>
          <w:rFonts w:ascii="Palatino Linotype" w:eastAsia="Calibri" w:hAnsi="Palatino Linotype" w:cs="Tahoma"/>
          <w:bCs/>
          <w:color w:val="0D0D0D" w:themeColor="text1" w:themeTint="F2"/>
          <w:sz w:val="22"/>
          <w:lang w:val="es-ES"/>
        </w:rPr>
      </w:pPr>
    </w:p>
    <w:p w14:paraId="2589A09E" w14:textId="77777777" w:rsidR="001D256A" w:rsidRPr="00D06374" w:rsidRDefault="001D256A" w:rsidP="001D256A">
      <w:pPr>
        <w:spacing w:line="360" w:lineRule="auto"/>
        <w:jc w:val="both"/>
        <w:rPr>
          <w:rFonts w:ascii="Palatino Linotype" w:hAnsi="Palatino Linotype"/>
          <w:color w:val="0D0D0D" w:themeColor="text1" w:themeTint="F2"/>
          <w:sz w:val="22"/>
        </w:rPr>
      </w:pPr>
      <w:r w:rsidRPr="00D06374">
        <w:rPr>
          <w:rFonts w:ascii="Palatino Linotype" w:hAnsi="Palatino Linotype"/>
          <w:b/>
          <w:bCs/>
          <w:color w:val="0D0D0D" w:themeColor="text1" w:themeTint="F2"/>
          <w:sz w:val="22"/>
        </w:rPr>
        <w:t>SEXTO.</w:t>
      </w:r>
      <w:r w:rsidRPr="00D06374">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2BE39987" w14:textId="77777777" w:rsidR="001D256A" w:rsidRPr="00D06374" w:rsidRDefault="001D256A" w:rsidP="001D256A">
      <w:pPr>
        <w:spacing w:line="360" w:lineRule="auto"/>
        <w:ind w:right="-93"/>
        <w:jc w:val="both"/>
        <w:rPr>
          <w:rFonts w:ascii="Palatino Linotype" w:hAnsi="Palatino Linotype"/>
          <w:color w:val="0D0D0D" w:themeColor="text1" w:themeTint="F2"/>
          <w:sz w:val="22"/>
          <w:shd w:val="clear" w:color="auto" w:fill="FFFFFF"/>
        </w:rPr>
      </w:pPr>
    </w:p>
    <w:p w14:paraId="5585987F" w14:textId="77777777" w:rsidR="001D256A" w:rsidRPr="00D06374" w:rsidRDefault="001D256A" w:rsidP="001D256A">
      <w:pPr>
        <w:spacing w:line="360" w:lineRule="auto"/>
        <w:ind w:right="-93"/>
        <w:jc w:val="both"/>
        <w:rPr>
          <w:rFonts w:ascii="Palatino Linotype" w:eastAsia="Calibri" w:hAnsi="Palatino Linotype" w:cs="Tahoma"/>
          <w:bCs/>
          <w:color w:val="0D0D0D" w:themeColor="text1" w:themeTint="F2"/>
          <w:sz w:val="22"/>
        </w:rPr>
      </w:pPr>
      <w:r w:rsidRPr="00D06374">
        <w:rPr>
          <w:rFonts w:ascii="Palatino Linotype" w:hAnsi="Palatino Linotype" w:cs="Tahoma"/>
          <w:b/>
          <w:color w:val="0D0D0D" w:themeColor="text1" w:themeTint="F2"/>
          <w:sz w:val="22"/>
        </w:rPr>
        <w:t xml:space="preserve">SÉPTIMO. </w:t>
      </w:r>
      <w:r w:rsidRPr="00D06374">
        <w:rPr>
          <w:rFonts w:ascii="Palatino Linotype" w:eastAsia="Calibri" w:hAnsi="Palatino Linotype" w:cs="Tahoma"/>
          <w:bCs/>
          <w:color w:val="0D0D0D" w:themeColor="text1" w:themeTint="F2"/>
          <w:sz w:val="22"/>
        </w:rPr>
        <w:t xml:space="preserve">Con fundamento en lo dispuesto en los artículos 190 de la </w:t>
      </w:r>
      <w:r w:rsidRPr="00D06374">
        <w:rPr>
          <w:rFonts w:ascii="Palatino Linotype" w:hAnsi="Palatino Linotype" w:cs="Tahoma"/>
          <w:color w:val="0D0D0D" w:themeColor="text1" w:themeTint="F2"/>
          <w:sz w:val="22"/>
        </w:rPr>
        <w:t xml:space="preserve">Ley de Transparencia y Acceso a la Información Pública del Estado de México y Municipios, gírese </w:t>
      </w:r>
      <w:r w:rsidRPr="00D06374">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D06374">
        <w:rPr>
          <w:rFonts w:ascii="Palatino Linotype" w:eastAsia="Calibri" w:hAnsi="Palatino Linotype" w:cs="Tahoma"/>
          <w:color w:val="0D0D0D" w:themeColor="text1" w:themeTint="F2"/>
          <w:sz w:val="22"/>
        </w:rPr>
        <w:t>SÉPTIMO</w:t>
      </w:r>
      <w:r w:rsidRPr="00D06374">
        <w:rPr>
          <w:rFonts w:ascii="Palatino Linotype" w:eastAsia="Calibri" w:hAnsi="Palatino Linotype" w:cs="Tahoma"/>
          <w:b/>
          <w:bCs/>
          <w:color w:val="0D0D0D" w:themeColor="text1" w:themeTint="F2"/>
          <w:sz w:val="22"/>
        </w:rPr>
        <w:t xml:space="preserve"> </w:t>
      </w:r>
      <w:r w:rsidRPr="00D06374">
        <w:rPr>
          <w:rFonts w:ascii="Palatino Linotype" w:eastAsia="Calibri" w:hAnsi="Palatino Linotype" w:cs="Tahoma"/>
          <w:bCs/>
          <w:color w:val="0D0D0D" w:themeColor="text1" w:themeTint="F2"/>
          <w:sz w:val="22"/>
        </w:rPr>
        <w:t>de la presente Resolución.</w:t>
      </w:r>
    </w:p>
    <w:p w14:paraId="013832C8" w14:textId="77777777" w:rsidR="001D256A" w:rsidRPr="00D06374" w:rsidRDefault="001D256A" w:rsidP="001D256A">
      <w:pPr>
        <w:spacing w:line="360" w:lineRule="auto"/>
        <w:ind w:right="-93"/>
        <w:jc w:val="both"/>
        <w:rPr>
          <w:rFonts w:ascii="Palatino Linotype" w:eastAsia="Calibri" w:hAnsi="Palatino Linotype" w:cs="Tahoma"/>
          <w:bCs/>
          <w:color w:val="0D0D0D" w:themeColor="text1" w:themeTint="F2"/>
          <w:sz w:val="22"/>
        </w:rPr>
      </w:pPr>
    </w:p>
    <w:p w14:paraId="6400D2AF" w14:textId="77777777" w:rsidR="001D256A" w:rsidRDefault="001D256A" w:rsidP="001D256A">
      <w:pPr>
        <w:spacing w:line="360" w:lineRule="auto"/>
        <w:jc w:val="both"/>
        <w:rPr>
          <w:rFonts w:ascii="Palatino Linotype" w:eastAsia="Calibri" w:hAnsi="Palatino Linotype" w:cs="Tahoma"/>
          <w:sz w:val="22"/>
          <w:szCs w:val="22"/>
          <w:lang w:val="es-ES" w:eastAsia="es-ES_tradnl"/>
        </w:rPr>
      </w:pPr>
      <w:r w:rsidRPr="00D06374">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Pr="00D06374">
        <w:rPr>
          <w:rFonts w:ascii="Palatino Linotype" w:hAnsi="Palatino Linotype" w:cs="Tahoma"/>
          <w:bCs/>
          <w:sz w:val="22"/>
          <w:szCs w:val="22"/>
        </w:rPr>
        <w:t xml:space="preserve">PRIMERO DE FEBRERO DE DOS MIL VEINTITRÉS, </w:t>
      </w:r>
      <w:r w:rsidRPr="00D06374">
        <w:rPr>
          <w:rFonts w:ascii="Palatino Linotype" w:eastAsia="Calibri" w:hAnsi="Palatino Linotype" w:cs="Tahoma"/>
          <w:sz w:val="22"/>
          <w:szCs w:val="22"/>
          <w:lang w:val="es-ES" w:eastAsia="es-ES_tradnl"/>
        </w:rPr>
        <w:t>ANTE EL SECRETARIO TÉCNICO DEL PLENO, ALEXIS TAPIA RAMÍREZ.</w:t>
      </w:r>
      <w:bookmarkStart w:id="2" w:name="_GoBack"/>
      <w:bookmarkEnd w:id="2"/>
    </w:p>
    <w:p w14:paraId="0E9F6DFA" w14:textId="77777777" w:rsidR="001D256A" w:rsidRDefault="001D256A" w:rsidP="001D256A">
      <w:pPr>
        <w:spacing w:line="360" w:lineRule="auto"/>
        <w:jc w:val="both"/>
      </w:pPr>
      <w:r w:rsidRPr="00C61C11">
        <w:rPr>
          <w:rFonts w:ascii="Palatino Linotype" w:hAnsi="Palatino Linotype" w:cs="Tahoma"/>
          <w:sz w:val="22"/>
          <w:szCs w:val="22"/>
        </w:rPr>
        <w:br w:type="page"/>
      </w:r>
    </w:p>
    <w:p w14:paraId="3345A474" w14:textId="77777777" w:rsidR="006E75C3" w:rsidRDefault="006E75C3"/>
    <w:sectPr w:rsidR="006E75C3" w:rsidSect="00D83492">
      <w:headerReference w:type="even" r:id="rId14"/>
      <w:headerReference w:type="default" r:id="rId15"/>
      <w:footerReference w:type="default" r:id="rId16"/>
      <w:headerReference w:type="first" r:id="rId17"/>
      <w:footerReference w:type="first" r:id="rId18"/>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1B88F" w14:textId="77777777" w:rsidR="00E900AE" w:rsidRDefault="00E900AE" w:rsidP="00A9027A">
      <w:r>
        <w:separator/>
      </w:r>
    </w:p>
  </w:endnote>
  <w:endnote w:type="continuationSeparator" w:id="0">
    <w:p w14:paraId="7A922AAA" w14:textId="77777777" w:rsidR="00E900AE" w:rsidRDefault="00E900AE" w:rsidP="00A9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4294A57" w14:textId="77777777" w:rsidR="003135D1" w:rsidRPr="00C13895" w:rsidRDefault="00D06374">
            <w:pPr>
              <w:pStyle w:val="Piedepgina"/>
              <w:jc w:val="right"/>
              <w:rPr>
                <w:sz w:val="26"/>
                <w:szCs w:val="26"/>
              </w:rPr>
            </w:pPr>
          </w:p>
          <w:p w14:paraId="3F159F02" w14:textId="77777777" w:rsidR="003135D1" w:rsidRDefault="00465E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6374">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6374">
              <w:rPr>
                <w:b/>
                <w:bCs/>
                <w:noProof/>
              </w:rPr>
              <w:t>26</w:t>
            </w:r>
            <w:r>
              <w:rPr>
                <w:b/>
                <w:bCs/>
                <w:sz w:val="24"/>
                <w:szCs w:val="24"/>
              </w:rPr>
              <w:fldChar w:fldCharType="end"/>
            </w:r>
          </w:p>
        </w:sdtContent>
      </w:sdt>
    </w:sdtContent>
  </w:sdt>
  <w:p w14:paraId="3B81DA6E" w14:textId="77777777" w:rsidR="003135D1" w:rsidRDefault="00D063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0906B36" w14:textId="77777777" w:rsidR="003135D1" w:rsidRDefault="00D06374">
            <w:pPr>
              <w:pStyle w:val="Piedepgina"/>
              <w:jc w:val="right"/>
            </w:pPr>
          </w:p>
          <w:p w14:paraId="1F6DF194" w14:textId="77777777" w:rsidR="003135D1" w:rsidRDefault="00D06374">
            <w:pPr>
              <w:pStyle w:val="Piedepgina"/>
              <w:jc w:val="right"/>
            </w:pPr>
          </w:p>
          <w:p w14:paraId="57D97103" w14:textId="77777777" w:rsidR="003135D1" w:rsidRDefault="00D06374">
            <w:pPr>
              <w:pStyle w:val="Piedepgina"/>
              <w:jc w:val="right"/>
            </w:pPr>
          </w:p>
          <w:p w14:paraId="4BD16D69" w14:textId="77777777" w:rsidR="003135D1" w:rsidRDefault="00465E1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0637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06374">
              <w:rPr>
                <w:b/>
                <w:bCs/>
                <w:noProof/>
              </w:rPr>
              <w:t>26</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9EE42" w14:textId="77777777" w:rsidR="00E900AE" w:rsidRDefault="00E900AE" w:rsidP="00A9027A">
      <w:r>
        <w:separator/>
      </w:r>
    </w:p>
  </w:footnote>
  <w:footnote w:type="continuationSeparator" w:id="0">
    <w:p w14:paraId="7BFA8669" w14:textId="77777777" w:rsidR="00E900AE" w:rsidRDefault="00E900AE" w:rsidP="00A90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5D61" w14:textId="77777777" w:rsidR="003135D1" w:rsidRDefault="00D06374">
    <w:pPr>
      <w:pStyle w:val="Encabezado"/>
    </w:pPr>
    <w:r>
      <w:rPr>
        <w:noProof/>
        <w:lang w:eastAsia="es-MX"/>
      </w:rPr>
      <w:pict w14:anchorId="4DF98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5"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6C4B8" w14:textId="77777777" w:rsidR="008B41A2" w:rsidRPr="009E6858" w:rsidRDefault="00D06374" w:rsidP="009E6858">
    <w:pPr>
      <w:tabs>
        <w:tab w:val="left" w:pos="3416"/>
      </w:tabs>
      <w:rPr>
        <w:sz w:val="22"/>
        <w:szCs w:val="22"/>
      </w:rPr>
    </w:pPr>
    <w:r>
      <w:rPr>
        <w:noProof/>
        <w:sz w:val="14"/>
        <w:lang w:eastAsia="es-MX"/>
      </w:rPr>
      <w:pict w14:anchorId="77EFF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11A8EE61" w14:textId="77777777" w:rsidTr="00AF6ADC">
      <w:trPr>
        <w:trHeight w:val="70"/>
      </w:trPr>
      <w:tc>
        <w:tcPr>
          <w:tcW w:w="2552" w:type="dxa"/>
          <w:shd w:val="clear" w:color="auto" w:fill="auto"/>
        </w:tcPr>
        <w:p w14:paraId="59659092" w14:textId="77777777" w:rsidR="008B41A2" w:rsidRPr="005C106F" w:rsidRDefault="00D06374"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59D7BB6C" w14:textId="77777777" w:rsidTr="00A021B4">
            <w:trPr>
              <w:trHeight w:val="128"/>
            </w:trPr>
            <w:tc>
              <w:tcPr>
                <w:tcW w:w="2408" w:type="dxa"/>
                <w:vAlign w:val="bottom"/>
              </w:tcPr>
              <w:p w14:paraId="2868270E" w14:textId="77777777" w:rsidR="008B41A2" w:rsidRPr="008B41A2" w:rsidRDefault="00465E1B"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3EAEFAC9" w14:textId="72A11FE3" w:rsidR="008B41A2" w:rsidRPr="00651A13" w:rsidRDefault="00A9027A" w:rsidP="00B43BFA">
                <w:pPr>
                  <w:tabs>
                    <w:tab w:val="right" w:pos="8838"/>
                  </w:tabs>
                  <w:ind w:left="-28" w:right="683"/>
                  <w:rPr>
                    <w:rFonts w:ascii="Palatino Linotype" w:eastAsia="Calibri" w:hAnsi="Palatino Linotype" w:cs="Tahoma"/>
                    <w:sz w:val="22"/>
                    <w:szCs w:val="22"/>
                  </w:rPr>
                </w:pPr>
                <w:r w:rsidRPr="00A9027A">
                  <w:rPr>
                    <w:rFonts w:ascii="Palatino Linotype" w:eastAsia="Calibri" w:hAnsi="Palatino Linotype" w:cs="Tahoma"/>
                    <w:sz w:val="22"/>
                    <w:szCs w:val="22"/>
                    <w:lang w:val="es-MX"/>
                  </w:rPr>
                  <w:t>17151/INFOEM/IP/RR/2022</w:t>
                </w:r>
              </w:p>
            </w:tc>
          </w:tr>
          <w:tr w:rsidR="008B41A2" w14:paraId="09CB8821" w14:textId="77777777" w:rsidTr="00A021B4">
            <w:trPr>
              <w:trHeight w:val="251"/>
            </w:trPr>
            <w:tc>
              <w:tcPr>
                <w:tcW w:w="2408" w:type="dxa"/>
              </w:tcPr>
              <w:p w14:paraId="443E063C" w14:textId="77777777" w:rsidR="008B41A2" w:rsidRPr="008B41A2" w:rsidRDefault="00465E1B"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1A820A22" w14:textId="77777777" w:rsidR="008B41A2" w:rsidRPr="008B41A2" w:rsidRDefault="00465E1B" w:rsidP="0002223D">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8B41A2" w14:paraId="7051F7E9" w14:textId="77777777" w:rsidTr="00A021B4">
            <w:trPr>
              <w:trHeight w:val="251"/>
            </w:trPr>
            <w:tc>
              <w:tcPr>
                <w:tcW w:w="2408" w:type="dxa"/>
              </w:tcPr>
              <w:p w14:paraId="6032224B" w14:textId="77777777" w:rsidR="008B41A2" w:rsidRPr="008B41A2" w:rsidRDefault="00465E1B"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7E5A7BF2" w14:textId="77777777" w:rsidR="008B41A2" w:rsidRPr="008B41A2" w:rsidRDefault="00465E1B"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3A08F5F" w14:textId="77777777" w:rsidR="008B41A2" w:rsidRPr="005C106F" w:rsidRDefault="00D06374" w:rsidP="008B41A2">
          <w:pPr>
            <w:tabs>
              <w:tab w:val="right" w:pos="8838"/>
            </w:tabs>
            <w:ind w:left="-28"/>
            <w:rPr>
              <w:rFonts w:ascii="Arial" w:eastAsia="Calibri" w:hAnsi="Arial" w:cs="Arial"/>
              <w:b/>
            </w:rPr>
          </w:pPr>
        </w:p>
      </w:tc>
    </w:tr>
  </w:tbl>
  <w:p w14:paraId="18CDC1ED" w14:textId="77777777" w:rsidR="003135D1" w:rsidRDefault="00D06374" w:rsidP="000930AE">
    <w:pPr>
      <w:pStyle w:val="Encabezado"/>
      <w:rPr>
        <w:sz w:val="14"/>
      </w:rPr>
    </w:pPr>
  </w:p>
  <w:p w14:paraId="28956DE7" w14:textId="77777777" w:rsidR="003135D1" w:rsidRPr="00443C6B" w:rsidRDefault="00D06374"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250"/>
    </w:tblGrid>
    <w:tr w:rsidR="003135D1" w:rsidRPr="00264223" w14:paraId="52164469" w14:textId="77777777" w:rsidTr="009F1DE6">
      <w:trPr>
        <w:trHeight w:val="302"/>
      </w:trPr>
      <w:tc>
        <w:tcPr>
          <w:tcW w:w="2420" w:type="dxa"/>
        </w:tcPr>
        <w:p w14:paraId="0CE46ED0" w14:textId="77777777" w:rsidR="003135D1" w:rsidRPr="00D3618F" w:rsidRDefault="00465E1B"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250" w:type="dxa"/>
        </w:tcPr>
        <w:p w14:paraId="327BCA8D" w14:textId="46F43302" w:rsidR="003135D1" w:rsidRPr="00651A13" w:rsidRDefault="00A9027A" w:rsidP="006D22F6">
          <w:pPr>
            <w:tabs>
              <w:tab w:val="right" w:pos="8838"/>
            </w:tabs>
            <w:ind w:left="-28"/>
            <w:jc w:val="both"/>
            <w:rPr>
              <w:rFonts w:ascii="Palatino Linotype" w:eastAsia="Calibri" w:hAnsi="Palatino Linotype" w:cs="Tahoma"/>
              <w:sz w:val="22"/>
              <w:szCs w:val="22"/>
              <w:lang w:eastAsia="en-US"/>
            </w:rPr>
          </w:pPr>
          <w:r w:rsidRPr="00A9027A">
            <w:rPr>
              <w:rFonts w:ascii="Palatino Linotype" w:eastAsia="Calibri" w:hAnsi="Palatino Linotype" w:cs="Tahoma"/>
              <w:sz w:val="22"/>
              <w:szCs w:val="22"/>
              <w:lang w:val="es-MX" w:eastAsia="en-US"/>
            </w:rPr>
            <w:t>17151/INFOEM/IP/RR/2022</w:t>
          </w:r>
        </w:p>
      </w:tc>
    </w:tr>
    <w:tr w:rsidR="003135D1" w:rsidRPr="00264223" w14:paraId="206E7A34" w14:textId="77777777" w:rsidTr="009F1DE6">
      <w:trPr>
        <w:trHeight w:val="110"/>
      </w:trPr>
      <w:tc>
        <w:tcPr>
          <w:tcW w:w="2420" w:type="dxa"/>
        </w:tcPr>
        <w:p w14:paraId="3B4B4B08" w14:textId="77777777" w:rsidR="003135D1" w:rsidRPr="00D3618F" w:rsidRDefault="00465E1B"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250" w:type="dxa"/>
        </w:tcPr>
        <w:p w14:paraId="528A5868" w14:textId="77777777" w:rsidR="003135D1" w:rsidRPr="00EE2A06" w:rsidRDefault="00D06374"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47442BFE" w14:textId="77777777" w:rsidTr="009F1DE6">
      <w:trPr>
        <w:trHeight w:val="248"/>
      </w:trPr>
      <w:tc>
        <w:tcPr>
          <w:tcW w:w="2420" w:type="dxa"/>
        </w:tcPr>
        <w:p w14:paraId="4952F05C" w14:textId="77777777" w:rsidR="003135D1" w:rsidRPr="00D3618F" w:rsidRDefault="00465E1B"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250" w:type="dxa"/>
        </w:tcPr>
        <w:p w14:paraId="0DDBE09A" w14:textId="77777777" w:rsidR="003135D1" w:rsidRPr="00651A13" w:rsidRDefault="00465E1B" w:rsidP="00E06BA5">
          <w:pPr>
            <w:tabs>
              <w:tab w:val="right" w:pos="8838"/>
            </w:tabs>
            <w:ind w:left="-28"/>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3135D1" w:rsidRPr="00264223" w14:paraId="50817D14" w14:textId="77777777" w:rsidTr="009F1DE6">
      <w:trPr>
        <w:trHeight w:val="248"/>
      </w:trPr>
      <w:tc>
        <w:tcPr>
          <w:tcW w:w="2420" w:type="dxa"/>
        </w:tcPr>
        <w:p w14:paraId="1D588405" w14:textId="77777777" w:rsidR="003135D1" w:rsidRPr="00D3618F" w:rsidRDefault="00465E1B"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250" w:type="dxa"/>
        </w:tcPr>
        <w:p w14:paraId="67CD7800" w14:textId="77777777" w:rsidR="003135D1" w:rsidRPr="00D3618F" w:rsidRDefault="00465E1B"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12A84362" w14:textId="77777777" w:rsidR="003135D1" w:rsidRDefault="00D06374" w:rsidP="00E06BA5">
    <w:pPr>
      <w:ind w:right="-312"/>
    </w:pPr>
    <w:r>
      <w:rPr>
        <w:noProof/>
        <w:lang w:eastAsia="es-MX"/>
      </w:rPr>
      <w:pict w14:anchorId="4C5E4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7"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90C"/>
    <w:multiLevelType w:val="hybridMultilevel"/>
    <w:tmpl w:val="0F687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957890"/>
    <w:multiLevelType w:val="hybridMultilevel"/>
    <w:tmpl w:val="DBA4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7F2175"/>
    <w:multiLevelType w:val="hybridMultilevel"/>
    <w:tmpl w:val="6DB06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A63839"/>
    <w:multiLevelType w:val="hybridMultilevel"/>
    <w:tmpl w:val="2C866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56A"/>
    <w:rsid w:val="001D256A"/>
    <w:rsid w:val="001D6EA1"/>
    <w:rsid w:val="0021604D"/>
    <w:rsid w:val="0043023C"/>
    <w:rsid w:val="00465E1B"/>
    <w:rsid w:val="004D0993"/>
    <w:rsid w:val="004E6025"/>
    <w:rsid w:val="00645E1F"/>
    <w:rsid w:val="006E75C3"/>
    <w:rsid w:val="0071009C"/>
    <w:rsid w:val="00810698"/>
    <w:rsid w:val="009336D6"/>
    <w:rsid w:val="00A9027A"/>
    <w:rsid w:val="00AD0EEA"/>
    <w:rsid w:val="00C8435A"/>
    <w:rsid w:val="00CC62F3"/>
    <w:rsid w:val="00D06374"/>
    <w:rsid w:val="00E90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350D"/>
  <w15:chartTrackingRefBased/>
  <w15:docId w15:val="{126452FF-D120-4A77-8229-F916702F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4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256A"/>
    <w:pPr>
      <w:tabs>
        <w:tab w:val="center" w:pos="4419"/>
        <w:tab w:val="right" w:pos="8838"/>
      </w:tabs>
    </w:pPr>
  </w:style>
  <w:style w:type="character" w:customStyle="1" w:styleId="EncabezadoCar">
    <w:name w:val="Encabezado Car"/>
    <w:basedOn w:val="Fuentedeprrafopredeter"/>
    <w:link w:val="Encabezado"/>
    <w:uiPriority w:val="99"/>
    <w:rsid w:val="001D256A"/>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D256A"/>
    <w:pPr>
      <w:tabs>
        <w:tab w:val="center" w:pos="4419"/>
        <w:tab w:val="right" w:pos="8838"/>
      </w:tabs>
    </w:pPr>
  </w:style>
  <w:style w:type="character" w:customStyle="1" w:styleId="PiedepginaCar">
    <w:name w:val="Pie de página Car"/>
    <w:basedOn w:val="Fuentedeprrafopredeter"/>
    <w:link w:val="Piedepgina"/>
    <w:uiPriority w:val="99"/>
    <w:rsid w:val="001D256A"/>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256A"/>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D256A"/>
    <w:rPr>
      <w:rFonts w:ascii="Century Gothic" w:eastAsia="Times New Roman" w:hAnsi="Century Gothic" w:cs="Times New Roman"/>
      <w:szCs w:val="24"/>
      <w:lang w:eastAsia="es-ES"/>
    </w:rPr>
  </w:style>
  <w:style w:type="table" w:styleId="Tablaconcuadrcula">
    <w:name w:val="Table Grid"/>
    <w:basedOn w:val="Tablanormal"/>
    <w:uiPriority w:val="59"/>
    <w:rsid w:val="001D256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D256A"/>
    <w:rPr>
      <w:color w:val="0563C1" w:themeColor="hyperlink"/>
      <w:u w:val="single"/>
    </w:rPr>
  </w:style>
  <w:style w:type="character" w:customStyle="1" w:styleId="markedcontent">
    <w:name w:val="markedcontent"/>
    <w:basedOn w:val="Fuentedeprrafopredeter"/>
    <w:rsid w:val="00A9027A"/>
  </w:style>
  <w:style w:type="character" w:customStyle="1" w:styleId="UnresolvedMention">
    <w:name w:val="Unresolved Mention"/>
    <w:basedOn w:val="Fuentedeprrafopredeter"/>
    <w:uiPriority w:val="99"/>
    <w:semiHidden/>
    <w:unhideWhenUsed/>
    <w:rsid w:val="00A9027A"/>
    <w:rPr>
      <w:color w:val="605E5C"/>
      <w:shd w:val="clear" w:color="auto" w:fill="E1DFDD"/>
    </w:rPr>
  </w:style>
  <w:style w:type="character" w:customStyle="1" w:styleId="normaltextrun">
    <w:name w:val="normaltextrun"/>
    <w:basedOn w:val="Fuentedeprrafopredeter"/>
    <w:rsid w:val="00645E1F"/>
  </w:style>
  <w:style w:type="character" w:customStyle="1" w:styleId="eop">
    <w:name w:val="eop"/>
    <w:basedOn w:val="Fuentedeprrafopredeter"/>
    <w:rsid w:val="0064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61137">
      <w:bodyDiv w:val="1"/>
      <w:marLeft w:val="0"/>
      <w:marRight w:val="0"/>
      <w:marTop w:val="0"/>
      <w:marBottom w:val="0"/>
      <w:divBdr>
        <w:top w:val="none" w:sz="0" w:space="0" w:color="auto"/>
        <w:left w:val="none" w:sz="0" w:space="0" w:color="auto"/>
        <w:bottom w:val="none" w:sz="0" w:space="0" w:color="auto"/>
        <w:right w:val="none" w:sz="0" w:space="0" w:color="auto"/>
      </w:divBdr>
    </w:div>
    <w:div w:id="1343554058">
      <w:bodyDiv w:val="1"/>
      <w:marLeft w:val="0"/>
      <w:marRight w:val="0"/>
      <w:marTop w:val="0"/>
      <w:marBottom w:val="0"/>
      <w:divBdr>
        <w:top w:val="none" w:sz="0" w:space="0" w:color="auto"/>
        <w:left w:val="none" w:sz="0" w:space="0" w:color="auto"/>
        <w:bottom w:val="none" w:sz="0" w:space="0" w:color="auto"/>
        <w:right w:val="none" w:sz="0" w:space="0" w:color="auto"/>
      </w:divBdr>
    </w:div>
    <w:div w:id="1496334187">
      <w:bodyDiv w:val="1"/>
      <w:marLeft w:val="0"/>
      <w:marRight w:val="0"/>
      <w:marTop w:val="0"/>
      <w:marBottom w:val="0"/>
      <w:divBdr>
        <w:top w:val="none" w:sz="0" w:space="0" w:color="auto"/>
        <w:left w:val="none" w:sz="0" w:space="0" w:color="auto"/>
        <w:bottom w:val="none" w:sz="0" w:space="0" w:color="auto"/>
        <w:right w:val="none" w:sz="0" w:space="0" w:color="auto"/>
      </w:divBdr>
    </w:div>
    <w:div w:id="1643924051">
      <w:bodyDiv w:val="1"/>
      <w:marLeft w:val="0"/>
      <w:marRight w:val="0"/>
      <w:marTop w:val="0"/>
      <w:marBottom w:val="0"/>
      <w:divBdr>
        <w:top w:val="none" w:sz="0" w:space="0" w:color="auto"/>
        <w:left w:val="none" w:sz="0" w:space="0" w:color="auto"/>
        <w:bottom w:val="none" w:sz="0" w:space="0" w:color="auto"/>
        <w:right w:val="none" w:sz="0" w:space="0" w:color="auto"/>
      </w:divBdr>
    </w:div>
    <w:div w:id="19744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web" TargetMode="External"/><Relationship Id="rId13" Type="http://schemas.openxmlformats.org/officeDocument/2006/relationships/image" Target="media/image4.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ZINACANTEPEC/art_92_xxxv_a.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0C58-A0C3-4C33-93B9-96D73981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6296</Words>
  <Characters>34632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3</cp:revision>
  <dcterms:created xsi:type="dcterms:W3CDTF">2023-01-26T18:45:00Z</dcterms:created>
  <dcterms:modified xsi:type="dcterms:W3CDTF">2023-02-02T16:47:00Z</dcterms:modified>
</cp:coreProperties>
</file>