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7BE71" w14:textId="77777777" w:rsidR="005C3A3A" w:rsidRPr="007B28C0" w:rsidRDefault="00BD07C9">
      <w:pPr>
        <w:spacing w:before="240"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trece de septiembre de dos mil veintitrés.</w:t>
      </w:r>
    </w:p>
    <w:p w14:paraId="2EE1F1A8" w14:textId="77777777" w:rsidR="005C3A3A" w:rsidRPr="007B28C0" w:rsidRDefault="005C3A3A">
      <w:pPr>
        <w:spacing w:after="0" w:line="360" w:lineRule="auto"/>
        <w:rPr>
          <w:rFonts w:ascii="Palatino Linotype" w:eastAsia="Palatino Linotype" w:hAnsi="Palatino Linotype" w:cs="Palatino Linotype"/>
          <w:sz w:val="24"/>
          <w:szCs w:val="24"/>
        </w:rPr>
      </w:pPr>
    </w:p>
    <w:p w14:paraId="2D00967F" w14:textId="2C88F64C" w:rsidR="005C3A3A" w:rsidRPr="007B28C0" w:rsidRDefault="00BD07C9">
      <w:pPr>
        <w:spacing w:after="0" w:line="360" w:lineRule="auto"/>
        <w:jc w:val="both"/>
        <w:rPr>
          <w:rFonts w:ascii="Palatino Linotype" w:eastAsia="Palatino Linotype" w:hAnsi="Palatino Linotype" w:cs="Palatino Linotype"/>
          <w:b/>
          <w:sz w:val="24"/>
          <w:szCs w:val="24"/>
        </w:rPr>
      </w:pPr>
      <w:r w:rsidRPr="007B28C0">
        <w:rPr>
          <w:rFonts w:ascii="Palatino Linotype" w:eastAsia="Palatino Linotype" w:hAnsi="Palatino Linotype" w:cs="Palatino Linotype"/>
          <w:b/>
          <w:sz w:val="24"/>
          <w:szCs w:val="24"/>
        </w:rPr>
        <w:t xml:space="preserve">Visto </w:t>
      </w:r>
      <w:r w:rsidRPr="007B28C0">
        <w:rPr>
          <w:rFonts w:ascii="Palatino Linotype" w:eastAsia="Palatino Linotype" w:hAnsi="Palatino Linotype" w:cs="Palatino Linotype"/>
          <w:sz w:val="24"/>
          <w:szCs w:val="24"/>
        </w:rPr>
        <w:t xml:space="preserve">el expediente relativo al recurso de revisión </w:t>
      </w:r>
      <w:r w:rsidRPr="007B28C0">
        <w:rPr>
          <w:rFonts w:ascii="Palatino Linotype" w:eastAsia="Palatino Linotype" w:hAnsi="Palatino Linotype" w:cs="Palatino Linotype"/>
          <w:b/>
          <w:sz w:val="24"/>
          <w:szCs w:val="24"/>
        </w:rPr>
        <w:t>16614/INFOEM/IP/RR/2022</w:t>
      </w:r>
      <w:r w:rsidRPr="007B28C0">
        <w:rPr>
          <w:rFonts w:ascii="Palatino Linotype" w:eastAsia="Palatino Linotype" w:hAnsi="Palatino Linotype" w:cs="Palatino Linotype"/>
          <w:sz w:val="24"/>
          <w:szCs w:val="24"/>
        </w:rPr>
        <w:t xml:space="preserve">, interpuesto por </w:t>
      </w:r>
      <w:r w:rsidR="00794E9C">
        <w:rPr>
          <w:rFonts w:ascii="Palatino Linotype" w:eastAsia="Palatino Linotype" w:hAnsi="Palatino Linotype" w:cs="Palatino Linotype"/>
          <w:b/>
          <w:sz w:val="24"/>
          <w:szCs w:val="24"/>
        </w:rPr>
        <w:t>XXXXX XXXXXXX XXXX XXXXXX</w:t>
      </w:r>
      <w:bookmarkStart w:id="0" w:name="_GoBack"/>
      <w:bookmarkEnd w:id="0"/>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sz w:val="24"/>
          <w:szCs w:val="24"/>
        </w:rPr>
        <w:t xml:space="preserve"> </w:t>
      </w:r>
      <w:r w:rsidRPr="007B28C0">
        <w:rPr>
          <w:rFonts w:ascii="Palatino Linotype" w:eastAsia="Palatino Linotype" w:hAnsi="Palatino Linotype" w:cs="Palatino Linotype"/>
          <w:sz w:val="24"/>
          <w:szCs w:val="24"/>
        </w:rPr>
        <w:t xml:space="preserve">a quien en lo sucesivo se le denominara </w:t>
      </w:r>
      <w:r w:rsidRPr="007B28C0">
        <w:rPr>
          <w:rFonts w:ascii="Palatino Linotype" w:eastAsia="Palatino Linotype" w:hAnsi="Palatino Linotype" w:cs="Palatino Linotype"/>
          <w:b/>
          <w:sz w:val="24"/>
          <w:szCs w:val="24"/>
        </w:rPr>
        <w:t>LA PARTE RECURRENTE</w:t>
      </w:r>
      <w:r w:rsidRPr="007B28C0">
        <w:rPr>
          <w:rFonts w:ascii="Palatino Linotype" w:eastAsia="Palatino Linotype" w:hAnsi="Palatino Linotype" w:cs="Palatino Linotype"/>
          <w:sz w:val="24"/>
          <w:szCs w:val="24"/>
        </w:rPr>
        <w:t xml:space="preserve">, en contra de la respuesta a la solicitud de información con número de folio </w:t>
      </w:r>
      <w:r w:rsidRPr="007B28C0">
        <w:rPr>
          <w:rFonts w:ascii="Palatino Linotype" w:eastAsia="Palatino Linotype" w:hAnsi="Palatino Linotype" w:cs="Palatino Linotype"/>
          <w:b/>
          <w:sz w:val="24"/>
          <w:szCs w:val="24"/>
        </w:rPr>
        <w:t>00579/ATIZARA/IP/2022</w:t>
      </w:r>
      <w:r w:rsidRPr="007B28C0">
        <w:rPr>
          <w:rFonts w:ascii="Palatino Linotype" w:eastAsia="Palatino Linotype" w:hAnsi="Palatino Linotype" w:cs="Palatino Linotype"/>
          <w:sz w:val="24"/>
          <w:szCs w:val="24"/>
        </w:rPr>
        <w:t xml:space="preserve">, por parte del </w:t>
      </w:r>
      <w:r w:rsidRPr="007B28C0">
        <w:rPr>
          <w:rFonts w:ascii="Palatino Linotype" w:eastAsia="Palatino Linotype" w:hAnsi="Palatino Linotype" w:cs="Palatino Linotype"/>
          <w:b/>
          <w:sz w:val="24"/>
          <w:szCs w:val="24"/>
        </w:rPr>
        <w:t>Ayuntamiento de Atizapán de Zaragoza</w:t>
      </w:r>
      <w:r w:rsidRPr="007B28C0">
        <w:rPr>
          <w:rFonts w:ascii="Palatino Linotype" w:eastAsia="Palatino Linotype" w:hAnsi="Palatino Linotype" w:cs="Palatino Linotype"/>
          <w:sz w:val="24"/>
          <w:szCs w:val="24"/>
        </w:rPr>
        <w:t xml:space="preserve">, en lo sucesivo </w:t>
      </w:r>
      <w:r w:rsidRPr="007B28C0">
        <w:rPr>
          <w:rFonts w:ascii="Palatino Linotype" w:eastAsia="Palatino Linotype" w:hAnsi="Palatino Linotype" w:cs="Palatino Linotype"/>
          <w:b/>
          <w:sz w:val="24"/>
          <w:szCs w:val="24"/>
        </w:rPr>
        <w:t>EL</w:t>
      </w: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b/>
          <w:sz w:val="24"/>
          <w:szCs w:val="24"/>
        </w:rPr>
        <w:t xml:space="preserve">SUJETO OBLIGADO; </w:t>
      </w:r>
      <w:r w:rsidRPr="007B28C0">
        <w:rPr>
          <w:rFonts w:ascii="Palatino Linotype" w:eastAsia="Palatino Linotype" w:hAnsi="Palatino Linotype" w:cs="Palatino Linotype"/>
          <w:sz w:val="24"/>
          <w:szCs w:val="24"/>
        </w:rPr>
        <w:t>se procede a dictar la presente resolución, con base en lo siguiente.</w:t>
      </w:r>
    </w:p>
    <w:p w14:paraId="0A9A3F29" w14:textId="77777777" w:rsidR="005C3A3A" w:rsidRPr="007B28C0" w:rsidRDefault="005C3A3A"/>
    <w:p w14:paraId="5A75C423" w14:textId="77777777" w:rsidR="005C3A3A" w:rsidRPr="007B28C0" w:rsidRDefault="00BD07C9">
      <w:pPr>
        <w:spacing w:after="0" w:line="360" w:lineRule="auto"/>
        <w:jc w:val="center"/>
        <w:rPr>
          <w:rFonts w:ascii="Palatino Linotype" w:eastAsia="Palatino Linotype" w:hAnsi="Palatino Linotype" w:cs="Palatino Linotype"/>
          <w:b/>
        </w:rPr>
      </w:pPr>
      <w:r w:rsidRPr="007B28C0">
        <w:rPr>
          <w:rFonts w:ascii="Palatino Linotype" w:eastAsia="Palatino Linotype" w:hAnsi="Palatino Linotype" w:cs="Palatino Linotype"/>
          <w:b/>
        </w:rPr>
        <w:t xml:space="preserve">A N T E C E D E N T E S </w:t>
      </w:r>
    </w:p>
    <w:p w14:paraId="72F24E0D"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54A932AC"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1.</w:t>
      </w: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b/>
          <w:sz w:val="24"/>
          <w:szCs w:val="24"/>
        </w:rPr>
        <w:t xml:space="preserve">SOLICITUD DE INFORMACIÓN. </w:t>
      </w:r>
      <w:r w:rsidRPr="007B28C0">
        <w:rPr>
          <w:rFonts w:ascii="Palatino Linotype" w:eastAsia="Palatino Linotype" w:hAnsi="Palatino Linotype" w:cs="Palatino Linotype"/>
          <w:sz w:val="24"/>
          <w:szCs w:val="24"/>
        </w:rPr>
        <w:t xml:space="preserve">Con fecha once de octubre de dos mil veintidós, </w:t>
      </w:r>
      <w:r w:rsidRPr="007B28C0">
        <w:rPr>
          <w:rFonts w:ascii="Palatino Linotype" w:eastAsia="Palatino Linotype" w:hAnsi="Palatino Linotype" w:cs="Palatino Linotype"/>
          <w:b/>
          <w:sz w:val="24"/>
          <w:szCs w:val="24"/>
        </w:rPr>
        <w:t>LA PARTE RECURRENTE</w:t>
      </w:r>
      <w:r w:rsidRPr="007B28C0">
        <w:rPr>
          <w:rFonts w:ascii="Palatino Linotype" w:eastAsia="Palatino Linotype" w:hAnsi="Palatino Linotype" w:cs="Palatino Linotype"/>
          <w:sz w:val="24"/>
          <w:szCs w:val="24"/>
        </w:rPr>
        <w:t>, presentó a través del Sistema de Acceso a la Información Mexiquense (</w:t>
      </w:r>
      <w:r w:rsidRPr="007B28C0">
        <w:rPr>
          <w:rFonts w:ascii="Palatino Linotype" w:eastAsia="Palatino Linotype" w:hAnsi="Palatino Linotype" w:cs="Palatino Linotype"/>
          <w:b/>
          <w:sz w:val="24"/>
          <w:szCs w:val="24"/>
        </w:rPr>
        <w:t>SAIMEX)</w:t>
      </w:r>
      <w:r w:rsidRPr="007B28C0">
        <w:rPr>
          <w:rFonts w:ascii="Palatino Linotype" w:eastAsia="Palatino Linotype" w:hAnsi="Palatino Linotype" w:cs="Palatino Linotype"/>
          <w:sz w:val="24"/>
          <w:szCs w:val="24"/>
        </w:rPr>
        <w:t xml:space="preserve"> ante </w:t>
      </w: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 solicitud de acceso a la información pública, registrada bajo el número de expediente</w:t>
      </w:r>
      <w:r w:rsidRPr="007B28C0">
        <w:rPr>
          <w:rFonts w:ascii="Verdana" w:eastAsia="Verdana" w:hAnsi="Verdana" w:cs="Verdana"/>
          <w:b/>
        </w:rPr>
        <w:t> </w:t>
      </w:r>
      <w:r w:rsidRPr="007B28C0">
        <w:rPr>
          <w:rFonts w:ascii="Palatino Linotype" w:eastAsia="Palatino Linotype" w:hAnsi="Palatino Linotype" w:cs="Palatino Linotype"/>
          <w:b/>
          <w:sz w:val="24"/>
          <w:szCs w:val="24"/>
        </w:rPr>
        <w:t>00579/ATIZARA/IP/2022</w:t>
      </w: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sz w:val="24"/>
          <w:szCs w:val="24"/>
        </w:rPr>
        <w:t xml:space="preserve"> </w:t>
      </w:r>
      <w:r w:rsidRPr="007B28C0">
        <w:rPr>
          <w:rFonts w:ascii="Palatino Linotype" w:eastAsia="Palatino Linotype" w:hAnsi="Palatino Linotype" w:cs="Palatino Linotype"/>
          <w:sz w:val="24"/>
          <w:szCs w:val="24"/>
        </w:rPr>
        <w:t>mediante la cual solicitó la siguiente información:</w:t>
      </w:r>
    </w:p>
    <w:p w14:paraId="7A09C453"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63BDAE2B" w14:textId="77777777" w:rsidR="005C3A3A" w:rsidRPr="007B28C0" w:rsidRDefault="00BD07C9">
      <w:pPr>
        <w:spacing w:after="0" w:line="276" w:lineRule="auto"/>
        <w:ind w:left="709" w:right="758"/>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“Solicito del Lic. Pedro David Rodríguez Villegas, Presidente Municipal Constitucional de Atizapán de Zaragoza 2022-2024, del Estado de México. En relación al Plan Municipal de Desarrollo Urbano del Municipio de Atizapán de </w:t>
      </w:r>
      <w:r w:rsidRPr="007B28C0">
        <w:rPr>
          <w:rFonts w:ascii="Palatino Linotype" w:eastAsia="Palatino Linotype" w:hAnsi="Palatino Linotype" w:cs="Palatino Linotype"/>
          <w:i/>
        </w:rPr>
        <w:lastRenderedPageBreak/>
        <w:t xml:space="preserve">Zaragoza 2022. A).- Me proporcione, o me indique en que página de internet, se localiza lo siguiente: Planos por zonas o sectores; Planos correspondientes a las 12 poligonales; Planos de Zonificación Primaria; Planos de Zonificación Secundaria; B).- Solicite por su conducto a: el Mtro. José Ramón </w:t>
      </w:r>
      <w:proofErr w:type="spellStart"/>
      <w:r w:rsidRPr="007B28C0">
        <w:rPr>
          <w:rFonts w:ascii="Palatino Linotype" w:eastAsia="Palatino Linotype" w:hAnsi="Palatino Linotype" w:cs="Palatino Linotype"/>
          <w:i/>
        </w:rPr>
        <w:t>Jarquin</w:t>
      </w:r>
      <w:proofErr w:type="spellEnd"/>
      <w:r w:rsidRPr="007B28C0">
        <w:rPr>
          <w:rFonts w:ascii="Palatino Linotype" w:eastAsia="Palatino Linotype" w:hAnsi="Palatino Linotype" w:cs="Palatino Linotype"/>
          <w:i/>
        </w:rPr>
        <w:t xml:space="preserve"> Rodríguez, Director General de Ordenamiento Territorial y Desarrollo Urbano; o al Lic. Sergio Hernández Olvera, Secretario del Ayuntamiento; o a la Dirección de Desarrollo Urbano; o al C. Adrián Núñez, Supervisor de la Dirección General de Ordenamiento Territorial y Desarrollo Urbano; o al C. Marco Antonio </w:t>
      </w:r>
      <w:proofErr w:type="spellStart"/>
      <w:r w:rsidRPr="007B28C0">
        <w:rPr>
          <w:rFonts w:ascii="Palatino Linotype" w:eastAsia="Palatino Linotype" w:hAnsi="Palatino Linotype" w:cs="Palatino Linotype"/>
          <w:i/>
        </w:rPr>
        <w:t>Limon</w:t>
      </w:r>
      <w:proofErr w:type="spellEnd"/>
      <w:r w:rsidRPr="007B28C0">
        <w:rPr>
          <w:rFonts w:ascii="Palatino Linotype" w:eastAsia="Palatino Linotype" w:hAnsi="Palatino Linotype" w:cs="Palatino Linotype"/>
          <w:i/>
        </w:rPr>
        <w:t xml:space="preserve"> Roa, Encargado de Enlace de Ventanilla Única, Desarrollo Urbano; o al departamento correspondiente, ya que no soy perito en que funciones tiene encomendadas o realiza cada departamento del municipio, solicite por su conducto lo siguiente: 1.- Copia Simple y Certificada del Plano actual de zonificación secundaria, correspondiente a “Mayorazgos del Bosque”, Atizapán de Zaragoza, Estado de México; 2.- Copia Simple y Certificada del Plano actual de zonificación secundaria, correspondiente a la colonia “Las Colonias”, Atizapán de Zaragoza, Estado de México. 3.- Copia Simple y Certificada del Plano actual catastral, correspondiente a “Mayorazgos del Bosque” y a la colonia “Las Colonias”, ambas en Atizapán de Zaragoza, Estado de México. Planos autorizados por conjunto o fraccionamiento que obran en los archivos de la Dirección General de Administración Urbana y en la Dirección de Desarrollo Urbano del Ayuntamiento de Atizapán de Zaragoza, o como se denominen actualmente, de acuerdo al Plan Municipal de Desarrollo Urbano del Municipio de Atizapán de Zaragoza, vigente a la fecha, publicado en la Gaceta del Gobierno, número 47, de fecha 12 de septiembre de 2022. 4.- Copia Simple y Certificada de la Licencias de Uso del Suelo, actual 2022, a favor de Operadora de Colegios La Salle, S.C. con domicilio en Retorno de Perdiz No. 70, Manzana XII, Lotes (Nota.- 63, 64 y 65), Fraccionamiento Mayorazgos del Bosque, superficie del lote 19,811.33 m2. 5.- Copia Simple y Certificada del Expediente Técnico soporte para la emisión de la Licencia de Uso del Suelo, actual 2022, a favor de Operadora de Colegios La Salle, S.C. con domicilio en Retorno de Perdiz No. 70, Manzana XII, Lotes (Nota.- 63, 64 y 65), Fraccionamiento Mayorazgos del Bosque, superficie del lote 19,811.33 m2. Nota, solicito se excluyan todas y cada una, de las identificaciones del INE; y de igual manera, las autorizaciones a diversas personas, para realizar trámites ante el municipio. 6- Copia Simple y Certificada del </w:t>
      </w:r>
      <w:r w:rsidRPr="007B28C0">
        <w:rPr>
          <w:rFonts w:ascii="Palatino Linotype" w:eastAsia="Palatino Linotype" w:hAnsi="Palatino Linotype" w:cs="Palatino Linotype"/>
          <w:i/>
        </w:rPr>
        <w:lastRenderedPageBreak/>
        <w:t xml:space="preserve">Expediente Técnico soporte de la fusión de los predios 63, 64 y 65, manzana 12, de la calle retorno de perdiz, en el fraccionamiento Mayorazgos del Bosque, en el municipio de Atizapán de Zaragoza Estado de México; Y de Igual manera, de la fusión de la calle Retorno de Perdiz, ubicada en el fraccionamiento Mayorazgos del Bosque, con el terreno perteneciente a Operadora de Colegios la Salle S.C. inclusive hasta la Avenida Granjas; ubicado en la colonia “Las Colonias”. Nota, solicito se excluyan todas y cada una, de las identificaciones del INE; y de igual manera, las autorizaciones a diversas personas, para realizar trámites ante el municipio. Expediente Técnico soporte de la fusión de los predios 63, 64 y 65, el cual, deberá de contener de conformidad al Código Administrativo del Estado de México vigente, el cual establece en su Libro Quinto, Sección Quinta, de la Subdivisión y Fusión, Artículo 5.40, que la subdivisión y fusión de un predio requiere autorización de la Secretaría. Expediente Técnico, que deberá de contener la siguiente documentación: I.- </w:t>
      </w:r>
      <w:proofErr w:type="spellStart"/>
      <w:r w:rsidRPr="007B28C0">
        <w:rPr>
          <w:rFonts w:ascii="Palatino Linotype" w:eastAsia="Palatino Linotype" w:hAnsi="Palatino Linotype" w:cs="Palatino Linotype"/>
          <w:i/>
        </w:rPr>
        <w:t>Autorizacion</w:t>
      </w:r>
      <w:proofErr w:type="spellEnd"/>
      <w:r w:rsidRPr="007B28C0">
        <w:rPr>
          <w:rFonts w:ascii="Palatino Linotype" w:eastAsia="Palatino Linotype" w:hAnsi="Palatino Linotype" w:cs="Palatino Linotype"/>
          <w:i/>
        </w:rPr>
        <w:t xml:space="preserve"> de </w:t>
      </w:r>
      <w:proofErr w:type="spellStart"/>
      <w:r w:rsidRPr="007B28C0">
        <w:rPr>
          <w:rFonts w:ascii="Palatino Linotype" w:eastAsia="Palatino Linotype" w:hAnsi="Palatino Linotype" w:cs="Palatino Linotype"/>
          <w:i/>
        </w:rPr>
        <w:t>Fusion</w:t>
      </w:r>
      <w:proofErr w:type="spellEnd"/>
      <w:r w:rsidRPr="007B28C0">
        <w:rPr>
          <w:rFonts w:ascii="Palatino Linotype" w:eastAsia="Palatino Linotype" w:hAnsi="Palatino Linotype" w:cs="Palatino Linotype"/>
          <w:i/>
        </w:rPr>
        <w:t xml:space="preserve"> por la Autoridad competente; II.- Documento de inscripción del Registro Público de la Propiedad, con los cuales se acredita la propiedad de cada uno de los predios o lotes que serán objeto de la fusión; III.- Licencia de uso del suelo; IV.- Autorización de alineamiento y número oficial; V.- Resolución de apeo y deslinde administrativo inscrita en el Registro Público de la Propiedad; VI.- Los Planos que contienen: A).- Situación original de los predios por fusionar. B).- La fusión proyectada. C).- Las restricciones federales, estatales y municipales. D).- Información gráfica y estadística, que constará en la solapa del plano: Croquis de localización regional y local. Nombre del titular. Simbología y escala gráfica. Datos generales de la fusión. Uso del suelo y demás normatividad urbana aplicable, en su caso. Nombre de las vías públicas que la circundan, si las hubiera. Nombre, cargo y firma del funcionario que autoriza; VII.- Dictamen de Compatibilidad de Usos; VIII.- Dictamen de Congruencia; IX.- Dictamen de Impacto Regional; X.- Dictamen de Impacto Urbano; XI.- Constancia de Relotificación; XII.- Constancia de Usos de Suelo; XIII.- Constancia de Vía Privada y Constancia de Vía Pública. El presente punto de solicitud, se sustenta derivado de que, en la Emisión del Plan Municipal de Desarrollo Urbano de Atizapán de Zaragoza, Estado de México, Publicado en la Gaceta del Gobierno del Estado Libre y Soberano de México, con fecha 12 de septiembre de 2022, mismo, que ya adquirió el carácter definitivo legal, en el mismo, se estipula en su página No. 196, que la </w:t>
      </w:r>
      <w:r w:rsidRPr="007B28C0">
        <w:rPr>
          <w:rFonts w:ascii="Palatino Linotype" w:eastAsia="Palatino Linotype" w:hAnsi="Palatino Linotype" w:cs="Palatino Linotype"/>
          <w:i/>
        </w:rPr>
        <w:lastRenderedPageBreak/>
        <w:t xml:space="preserve">escuela “La Salle Hacienda Arboledas”, está ubicada en la colonia “Mayorazgos del Bosque”. Página No. 196, la cual se puede consultar para pronta referencia, en el archivo anexo adjunto de nombre “PDUM. </w:t>
      </w:r>
      <w:proofErr w:type="spellStart"/>
      <w:r w:rsidRPr="007B28C0">
        <w:rPr>
          <w:rFonts w:ascii="Palatino Linotype" w:eastAsia="Palatino Linotype" w:hAnsi="Palatino Linotype" w:cs="Palatino Linotype"/>
          <w:i/>
        </w:rPr>
        <w:t>Pagina</w:t>
      </w:r>
      <w:proofErr w:type="spellEnd"/>
      <w:r w:rsidRPr="007B28C0">
        <w:rPr>
          <w:rFonts w:ascii="Palatino Linotype" w:eastAsia="Palatino Linotype" w:hAnsi="Palatino Linotype" w:cs="Palatino Linotype"/>
          <w:i/>
        </w:rPr>
        <w:t xml:space="preserve"> 196.pdf”: 7- Copia Simple y Certificada del Expediente Técnico soporte para la emisión de la Constancia de Alineamiento y Número Oficial No. 02438/04/12, de fecha 04 de diciembre de 2012, a favor de Operadora de Colegios La Salle, S.C. con domicilio en Retorno de Perdiz, No. Oficial 70, Manzana XII, Lotes 63, 64 y 65, Fraccionamiento Mayorazgos del Bosque, superficie del terreno 19,811.33 m2. Nota, solicito se excluyan todas y cada una, de las identificaciones del INE; y de igual manera, las autorizaciones a diversas personas, para realizar trámites ante el municipio. 8- Copia Simple y Certificada de la Ubicación precisa (dirección real), y el estatus real, del Colegios La Salle, S.C. Hacienda Arboledas. 9- Copia Simple y Certificada del Expediente Técnico soporte de la Reglamentación Emitida para el uso y aprovechamiento del suelo, correspondiente a la autorización del cambio de uso de suelo habitacional H333.A por el de vialidad, en relación del lote no. 60, manzana 12, de la calle retorno de perdiz, en el fraccionamiento Mayorazgos del Bosque. Expediente Técnico, que deberá de contener la siguiente documentación: a).- Las normas correspondientes para el uso y aprovechamiento del suelo, como lo son: Los usos y destinos del suelo permitidos y prohibidos; La densidad de vivienda; El coeficiente de utilización del suelo; El coeficiente de ocupación del suelo; Frente y superficie mínima del lote; La altura máxima de las edificaciones; Los requerimientos de cajones de estacionamiento; Las restricciones de construcción; y Las demás, (Cedulas Informativas, Licencias, Dictámenes, Oficios, Cartas, o como se les denomine), que determine la reglamentación respectiva; b).- Dictamen de impacto regional expedido por la Secretaría; c).- Dictamen de compatibilidad de usos; d).- Dictamen técnico y opinión favorable de la Comisión de Planeación para el Desarrollo Municipal, (COPLADEMUN). 10- Copia Simple y Certificada del Expediente Técnico soporte de la autorización para la apertura y prolongación de vialidad, del lote No. 60, manzana 12, de la calle retorno de perdiz, en el fraccionamiento Mayorazgos del Bosque, en el municipio de Atizapán de Zaragoza Estado de México. Lote 60 el cual nació para todos los efectos legales correspondientes, con Uso de Suelo Habitacional H333.A y no como vialidad. Lo anterior, de conformidad con lo señalado en el Código Administrativo del Estado de México, en el libro Quinto, capitulo segundo, </w:t>
      </w:r>
      <w:r w:rsidRPr="007B28C0">
        <w:rPr>
          <w:rFonts w:ascii="Palatino Linotype" w:eastAsia="Palatino Linotype" w:hAnsi="Palatino Linotype" w:cs="Palatino Linotype"/>
          <w:i/>
        </w:rPr>
        <w:lastRenderedPageBreak/>
        <w:t xml:space="preserve">artículo 5.9, Fracción VIII; el cual consagra que la Secretaría de Desarrollo Urbano del Gobierno del Estado de México, tendrá la atribución de autorizar la apertura, prolongación, ampliación o modificación de vías públicas de competencia municipal, no previstas en los planes municipales de desarrollo urbano. El anterior y el presente puntos de solicitud, se sustentan derivado de que, en los planos que conforman el Plan Municipal de Desarrollo Urbano de Atizapán de Zaragoza, Estado de México, vigente, los cuales se pueden consultar en la plataforma del: Gobierno del Estado de México; </w:t>
      </w:r>
      <w:proofErr w:type="spellStart"/>
      <w:r w:rsidRPr="007B28C0">
        <w:rPr>
          <w:rFonts w:ascii="Palatino Linotype" w:eastAsia="Palatino Linotype" w:hAnsi="Palatino Linotype" w:cs="Palatino Linotype"/>
          <w:i/>
        </w:rPr>
        <w:t>EdoMex</w:t>
      </w:r>
      <w:proofErr w:type="spellEnd"/>
      <w:r w:rsidRPr="007B28C0">
        <w:rPr>
          <w:rFonts w:ascii="Palatino Linotype" w:eastAsia="Palatino Linotype" w:hAnsi="Palatino Linotype" w:cs="Palatino Linotype"/>
          <w:i/>
        </w:rPr>
        <w:t xml:space="preserve">; Secretaría de Desarrollo Urbano y Obra; Planes Municipales de Desarrollo Urbano, Atizapán de Zaragoza; Planos; Planos de Estrategia; E-2 Estructura Urbana y Usos de Suelo. Plano E-2, disponible al público en general en la página de internet, https://seduo.edomex.gob.mx/atizapan_zaragoza. Plano E-2 Estructura Urbana y Usos de Suelo, en el cual se puede observar la vialidad en el lote No. 60 de Mayorazgos del Bosque. Que en la parte que interesa, se puede consultar para pronta referencia, en el archivo anexo adjunto de nombre “E-2 Retorno Perdiz, Mayorazgos Bosque.pdf” C).- Solicite por su conducto a: el C. José Ortega Ríos, Tesorero Municipal; o a la C. María del Pilar Laiseca Martínez, Subdirector de Concertación Social; o al C. José de Jesús Castillo Salazar, Subdirector de Normatividad y Verificación; o al C. Alberto Cruz, Normatividad; o al C. Francisco Javier Leonor Márquez, Director Jurídico; o al C. Uriel Ruiz Ledo, Coordinador de Atención al Sector Educativo; o al departamento correspondiente, ya que no soy perito en que funciones tiene encomendadas o realiza cada departamento del municipio, solicite por su conducto lo siguiente: 1- Copia Simple y Certificada de la Licencia de Funcionamiento actual (2022), a favor de Operadora de Colegios La Salle, S.C. con domicilio en Retorno de Perdiz No. 70, Manzana 12, lote 65, Fraccionamiento Mayorazgos del Bosque, superficie de actividad 2,216 m2. 2.- Copia Simple y Certificada del Expediente Técnico soporte para la emisión de la Licencia de Funcionamiento actual (2022), a favor de Operadora de Colegios La Salle, S.C. con domicilio en Retorno de Perdiz No. 70, Manzana 12, lote 65, Fraccionamiento Mayorazgos del Bosque, superficie de actividad 2,216 m2. Nota, solicito se excluyan todas y cada una, de las identificaciones del INE; y de igual manera, las autorizaciones a diversas personas, para realizar trámites ante el municipio. D).- Solicite por su conducto a: el C. Juan Ramón Manuel Chaves, Subdirector de Protección Civil; o al </w:t>
      </w:r>
      <w:proofErr w:type="spellStart"/>
      <w:r w:rsidRPr="007B28C0">
        <w:rPr>
          <w:rFonts w:ascii="Palatino Linotype" w:eastAsia="Palatino Linotype" w:hAnsi="Palatino Linotype" w:cs="Palatino Linotype"/>
          <w:i/>
        </w:rPr>
        <w:t>Cmdte</w:t>
      </w:r>
      <w:proofErr w:type="spellEnd"/>
      <w:r w:rsidRPr="007B28C0">
        <w:rPr>
          <w:rFonts w:ascii="Palatino Linotype" w:eastAsia="Palatino Linotype" w:hAnsi="Palatino Linotype" w:cs="Palatino Linotype"/>
          <w:i/>
        </w:rPr>
        <w:t xml:space="preserve">. Héctor Elorriaga Mejía, Coordinador </w:t>
      </w:r>
      <w:r w:rsidRPr="007B28C0">
        <w:rPr>
          <w:rFonts w:ascii="Palatino Linotype" w:eastAsia="Palatino Linotype" w:hAnsi="Palatino Linotype" w:cs="Palatino Linotype"/>
          <w:i/>
        </w:rPr>
        <w:lastRenderedPageBreak/>
        <w:t xml:space="preserve">Municipal de Protección Civil, Bomberos y Medio Ambiente; o al C. José Arellano Torres, Coordinador SAPASA; o al C. Carlos González Garibay, SAPASA; o al departamento correspondiente, ya que no soy perito en que funciones tiene encomendadas o realiza cada departamento del municipio, solicite por su conducto lo siguiente: 1.- Copia Simple y Certificada del Visto Bueno actual (2022), a favor de Operadora de Colegios La Salle, S.C. con domicilio en Retorno de Perdiz, No. 70, Manzana 12, Lote 65, Fraccionamiento Mayorazgos del Bosque, Giro para Actividad Comercial: Jardín de Niños, Primaria, Secundaria, y Educación Media Superior. 2.- Copia Simple y Certificada del Expediente Técnico soporte para la emisión del Visto Bueno actual (2022), a favor de Operadora de Colegios La Salle, S.C. con domicilio en Retorno de Perdiz, No. 70, Manzana 12, Lote 65, Fraccionamiento Mayorazgos del Bosque, Giro para Actividad Comercial: Jardín de Niños, Primaria, Secundaria, y Educación Media Superior. Nota, solicito se excluyan todas y cada una, de las identificaciones del INE; y de igual manera, las autorizaciones a diversas personas, para realizar trámites ante el municipio. 3.- Copia Simple y Certificada del seguimiento que se le dio al Oficio No. </w:t>
      </w:r>
      <w:proofErr w:type="spellStart"/>
      <w:r w:rsidRPr="007B28C0">
        <w:rPr>
          <w:rFonts w:ascii="Palatino Linotype" w:eastAsia="Palatino Linotype" w:hAnsi="Palatino Linotype" w:cs="Palatino Linotype"/>
          <w:i/>
        </w:rPr>
        <w:t>DPCEyB</w:t>
      </w:r>
      <w:proofErr w:type="spellEnd"/>
      <w:r w:rsidRPr="007B28C0">
        <w:rPr>
          <w:rFonts w:ascii="Palatino Linotype" w:eastAsia="Palatino Linotype" w:hAnsi="Palatino Linotype" w:cs="Palatino Linotype"/>
          <w:i/>
        </w:rPr>
        <w:t xml:space="preserve">/NR/28/2016, de fecha 09 de agosto de 2016, emitido por el C. Carlos Manuel Rodríguez Delgado, Director de Protección Civil y Bomberos. Seguimiento que deberá estar soportado con los oficios y documentación correspondiente. Indicando adicionalmente, si el Colegios La Salle, S.C. cumplió con lo ordenado en dicho oficio, como lo es la construcción de un sistema de captación de aguas pluviales. 4.- Copia Simple y Certificada del seguimiento que se le dio al Oficio No. DPCEYB/SPC/1015/2014, de fecha 05 de diciembre de 2014, emitido por el </w:t>
      </w:r>
      <w:proofErr w:type="spellStart"/>
      <w:r w:rsidRPr="007B28C0">
        <w:rPr>
          <w:rFonts w:ascii="Palatino Linotype" w:eastAsia="Palatino Linotype" w:hAnsi="Palatino Linotype" w:cs="Palatino Linotype"/>
          <w:i/>
        </w:rPr>
        <w:t>Cmdte</w:t>
      </w:r>
      <w:proofErr w:type="spellEnd"/>
      <w:r w:rsidRPr="007B28C0">
        <w:rPr>
          <w:rFonts w:ascii="Palatino Linotype" w:eastAsia="Palatino Linotype" w:hAnsi="Palatino Linotype" w:cs="Palatino Linotype"/>
          <w:i/>
        </w:rPr>
        <w:t xml:space="preserve">. Héctor Elorriaga Mejía, Director de Protección Civil, Ecología y Bomberos. Seguimiento que deberá estar soportado con los oficios y documentación correspondiente. Indicando adicionalmente, si el Colegios La Salle, S.C. cumplió con lo ordenado en dicho oficio, como lo es la Construcción de una boca de tormenta. 5.- Copia Simple y Certificada del oficio solicitud a SAPASA. para conexión toma de agua, y conexión drenaje; solicitud de conexión, por parte de Operadora de Colegios La Salle, S.C. Plantel Arboledas, ubicado en la colonia “Las Colonias”, al Fraccionamiento Mayorazgos del Bosque. Por lo que, agradeceré a usted, Lic. Pedro David Rodríguez, Presidente Municipal Constitucional de Atizapán de Zaragoza, Estado de México; y por su conducto, solicite a los funcionarios antes descritos, me </w:t>
      </w:r>
      <w:r w:rsidRPr="007B28C0">
        <w:rPr>
          <w:rFonts w:ascii="Palatino Linotype" w:eastAsia="Palatino Linotype" w:hAnsi="Palatino Linotype" w:cs="Palatino Linotype"/>
          <w:i/>
        </w:rPr>
        <w:lastRenderedPageBreak/>
        <w:t>proporcionen la información solicitada. Lo anterior, en base a los artículos 6º, Apartado A, Fracción I, 8º y 16, Constitucionales, los cuales consagran: Que el derecho a la información será garantizado por el Estado; Que toda persona tiene derecho al libre acceso a la información pública; Que toda la información en posesión de autoridad, municipal, es pública; Que los funcionarios y empleados públicos respetarán el ejercicio del derecho de petición; Que a toda petición deberá recaer un acuerdo escrito de la autoridad a quien se haya dirigido; Que en sus escritos de respuesta, los mismos estén debidamente fundados y motivados. Y de igual manera, atendiendo al Principio de Máxima Publicidad, le agradeceré a esta H. Presidencia Municipal de Atizapán de Zaragoza, Edo. Mex; me detalle punto por punto y en caso de encontrar o no la información, se me indique: 1.- Documento contestación en copia simple y certificada, ya sea en sentido afirmativo o negativo, en original firmado y sellado; 2.- Dependencia encargada de conservar y emitir la documentación solicitada, solicitando en su caso, por su conducto la entrega de la misma; 3.- Periodicidad de emisión respecto de la documentación solicitada; 4.- Motivos por los cuales no se cuenta con dicha información.” (Sic).</w:t>
      </w:r>
    </w:p>
    <w:p w14:paraId="7ECF97EF" w14:textId="77777777" w:rsidR="005C3A3A" w:rsidRPr="007B28C0" w:rsidRDefault="005C3A3A">
      <w:pPr>
        <w:spacing w:after="0" w:line="276" w:lineRule="auto"/>
        <w:ind w:left="709" w:right="758"/>
        <w:jc w:val="both"/>
        <w:rPr>
          <w:rFonts w:ascii="Palatino Linotype" w:eastAsia="Palatino Linotype" w:hAnsi="Palatino Linotype" w:cs="Palatino Linotype"/>
          <w:i/>
          <w:sz w:val="24"/>
          <w:szCs w:val="24"/>
        </w:rPr>
      </w:pPr>
    </w:p>
    <w:p w14:paraId="7D04B6BD"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Modalidad de entrega: A través del </w:t>
      </w:r>
      <w:r w:rsidRPr="007B28C0">
        <w:rPr>
          <w:rFonts w:ascii="Palatino Linotype" w:eastAsia="Palatino Linotype" w:hAnsi="Palatino Linotype" w:cs="Palatino Linotype"/>
          <w:b/>
          <w:sz w:val="24"/>
          <w:szCs w:val="24"/>
        </w:rPr>
        <w:t>SAIMEX</w:t>
      </w:r>
      <w:r w:rsidRPr="007B28C0">
        <w:rPr>
          <w:rFonts w:ascii="Palatino Linotype" w:eastAsia="Palatino Linotype" w:hAnsi="Palatino Linotype" w:cs="Palatino Linotype"/>
          <w:sz w:val="24"/>
          <w:szCs w:val="24"/>
        </w:rPr>
        <w:t>.</w:t>
      </w:r>
    </w:p>
    <w:p w14:paraId="38E367DF" w14:textId="77777777" w:rsidR="005C3A3A" w:rsidRPr="007B28C0" w:rsidRDefault="005C3A3A">
      <w:pPr>
        <w:spacing w:after="0" w:line="360" w:lineRule="auto"/>
        <w:rPr>
          <w:rFonts w:ascii="Palatino Linotype" w:eastAsia="Palatino Linotype" w:hAnsi="Palatino Linotype" w:cs="Palatino Linotype"/>
          <w:sz w:val="24"/>
          <w:szCs w:val="24"/>
        </w:rPr>
      </w:pPr>
    </w:p>
    <w:p w14:paraId="0714AF8E" w14:textId="77777777" w:rsidR="005C3A3A" w:rsidRPr="007B28C0" w:rsidRDefault="00BD07C9">
      <w:pPr>
        <w:spacing w:after="0" w:line="360" w:lineRule="auto"/>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Al cual adjuntó los archivos electrónicos:</w:t>
      </w:r>
    </w:p>
    <w:p w14:paraId="3F9F9063" w14:textId="77777777" w:rsidR="005C3A3A" w:rsidRPr="007B28C0" w:rsidRDefault="005C3A3A">
      <w:pPr>
        <w:spacing w:after="0" w:line="360" w:lineRule="auto"/>
        <w:rPr>
          <w:rFonts w:ascii="Palatino Linotype" w:eastAsia="Palatino Linotype" w:hAnsi="Palatino Linotype" w:cs="Palatino Linotype"/>
          <w:sz w:val="24"/>
          <w:szCs w:val="24"/>
        </w:rPr>
      </w:pPr>
    </w:p>
    <w:p w14:paraId="6772E979" w14:textId="77777777" w:rsidR="005C3A3A" w:rsidRPr="007B28C0" w:rsidRDefault="00BD07C9">
      <w:pPr>
        <w:spacing w:after="0" w:line="360" w:lineRule="auto"/>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u w:val="single"/>
        </w:rPr>
        <w:t xml:space="preserve">PDUM. </w:t>
      </w:r>
      <w:proofErr w:type="spellStart"/>
      <w:r w:rsidRPr="007B28C0">
        <w:rPr>
          <w:rFonts w:ascii="Palatino Linotype" w:eastAsia="Palatino Linotype" w:hAnsi="Palatino Linotype" w:cs="Palatino Linotype"/>
          <w:b/>
          <w:i/>
          <w:sz w:val="24"/>
          <w:szCs w:val="24"/>
          <w:u w:val="single"/>
        </w:rPr>
        <w:t>Pagina</w:t>
      </w:r>
      <w:proofErr w:type="spellEnd"/>
      <w:r w:rsidRPr="007B28C0">
        <w:rPr>
          <w:rFonts w:ascii="Palatino Linotype" w:eastAsia="Palatino Linotype" w:hAnsi="Palatino Linotype" w:cs="Palatino Linotype"/>
          <w:b/>
          <w:i/>
          <w:sz w:val="24"/>
          <w:szCs w:val="24"/>
          <w:u w:val="single"/>
        </w:rPr>
        <w:t xml:space="preserve"> 196.pdf</w:t>
      </w:r>
      <w:r w:rsidRPr="007B28C0">
        <w:rPr>
          <w:rFonts w:ascii="Palatino Linotype" w:eastAsia="Palatino Linotype" w:hAnsi="Palatino Linotype" w:cs="Palatino Linotype"/>
          <w:sz w:val="24"/>
          <w:szCs w:val="24"/>
        </w:rPr>
        <w:t>”:</w:t>
      </w:r>
    </w:p>
    <w:p w14:paraId="3E73BA0C" w14:textId="77777777" w:rsidR="005C3A3A" w:rsidRPr="007B28C0" w:rsidRDefault="00BD07C9">
      <w:pPr>
        <w:jc w:val="center"/>
        <w:rPr>
          <w:rFonts w:ascii="Palatino Linotype" w:eastAsia="Palatino Linotype" w:hAnsi="Palatino Linotype" w:cs="Palatino Linotype"/>
          <w:sz w:val="24"/>
          <w:szCs w:val="24"/>
        </w:rPr>
      </w:pPr>
      <w:r w:rsidRPr="007B28C0">
        <w:rPr>
          <w:noProof/>
        </w:rPr>
        <w:lastRenderedPageBreak/>
        <w:drawing>
          <wp:inline distT="0" distB="0" distL="0" distR="0" wp14:anchorId="2B9F968F" wp14:editId="245FC664">
            <wp:extent cx="3649311" cy="3769681"/>
            <wp:effectExtent l="0" t="0" r="0" b="0"/>
            <wp:docPr id="1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34623" t="12070" r="34996" b="13396"/>
                    <a:stretch>
                      <a:fillRect/>
                    </a:stretch>
                  </pic:blipFill>
                  <pic:spPr>
                    <a:xfrm>
                      <a:off x="0" y="0"/>
                      <a:ext cx="3649311" cy="3769681"/>
                    </a:xfrm>
                    <a:prstGeom prst="rect">
                      <a:avLst/>
                    </a:prstGeom>
                    <a:ln/>
                  </pic:spPr>
                </pic:pic>
              </a:graphicData>
            </a:graphic>
          </wp:inline>
        </w:drawing>
      </w:r>
    </w:p>
    <w:p w14:paraId="78B53832" w14:textId="77777777" w:rsidR="005C3A3A" w:rsidRPr="007B28C0" w:rsidRDefault="00BD07C9">
      <w:pPr>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u w:val="single"/>
        </w:rPr>
        <w:t>E-2 Retorno Perdiz, Mayorazgos Bosque.pdf</w:t>
      </w:r>
      <w:r w:rsidRPr="007B28C0">
        <w:rPr>
          <w:rFonts w:ascii="Palatino Linotype" w:eastAsia="Palatino Linotype" w:hAnsi="Palatino Linotype" w:cs="Palatino Linotype"/>
          <w:sz w:val="24"/>
          <w:szCs w:val="24"/>
        </w:rPr>
        <w:t xml:space="preserve">”: </w:t>
      </w:r>
    </w:p>
    <w:p w14:paraId="5B39CE33" w14:textId="77777777" w:rsidR="005C3A3A" w:rsidRPr="007B28C0" w:rsidRDefault="00BD07C9">
      <w:pPr>
        <w:rPr>
          <w:rFonts w:ascii="Palatino Linotype" w:eastAsia="Palatino Linotype" w:hAnsi="Palatino Linotype" w:cs="Palatino Linotype"/>
          <w:sz w:val="24"/>
          <w:szCs w:val="24"/>
        </w:rPr>
      </w:pPr>
      <w:r w:rsidRPr="007B28C0">
        <w:rPr>
          <w:noProof/>
        </w:rPr>
        <w:lastRenderedPageBreak/>
        <w:drawing>
          <wp:inline distT="0" distB="0" distL="0" distR="0" wp14:anchorId="094AA706" wp14:editId="0FF6499B">
            <wp:extent cx="5790505" cy="3182674"/>
            <wp:effectExtent l="0" t="0" r="0" b="0"/>
            <wp:docPr id="1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l="15104" t="10259" r="14800" b="21241"/>
                    <a:stretch>
                      <a:fillRect/>
                    </a:stretch>
                  </pic:blipFill>
                  <pic:spPr>
                    <a:xfrm>
                      <a:off x="0" y="0"/>
                      <a:ext cx="5790505" cy="3182674"/>
                    </a:xfrm>
                    <a:prstGeom prst="rect">
                      <a:avLst/>
                    </a:prstGeom>
                    <a:ln/>
                  </pic:spPr>
                </pic:pic>
              </a:graphicData>
            </a:graphic>
          </wp:inline>
        </w:drawing>
      </w:r>
    </w:p>
    <w:p w14:paraId="53A85411" w14:textId="77777777" w:rsidR="005C3A3A" w:rsidRPr="007B28C0" w:rsidRDefault="005C3A3A">
      <w:pPr>
        <w:spacing w:after="0" w:line="360" w:lineRule="auto"/>
        <w:jc w:val="both"/>
        <w:rPr>
          <w:rFonts w:ascii="Palatino Linotype" w:eastAsia="Palatino Linotype" w:hAnsi="Palatino Linotype" w:cs="Palatino Linotype"/>
          <w:b/>
          <w:sz w:val="24"/>
          <w:szCs w:val="24"/>
        </w:rPr>
      </w:pPr>
    </w:p>
    <w:p w14:paraId="7BADEC56" w14:textId="77777777" w:rsidR="005C3A3A" w:rsidRPr="007B28C0" w:rsidRDefault="00BD07C9">
      <w:pPr>
        <w:spacing w:after="0" w:line="360" w:lineRule="auto"/>
        <w:jc w:val="both"/>
      </w:pPr>
      <w:r w:rsidRPr="007B28C0">
        <w:rPr>
          <w:rFonts w:ascii="Palatino Linotype" w:eastAsia="Palatino Linotype" w:hAnsi="Palatino Linotype" w:cs="Palatino Linotype"/>
          <w:b/>
          <w:sz w:val="24"/>
          <w:szCs w:val="24"/>
        </w:rPr>
        <w:t xml:space="preserve">2. INCOMPETENCIA PARCIAL. </w:t>
      </w:r>
      <w:r w:rsidRPr="007B28C0">
        <w:rPr>
          <w:rFonts w:ascii="Palatino Linotype" w:eastAsia="Palatino Linotype" w:hAnsi="Palatino Linotype" w:cs="Palatino Linotype"/>
          <w:sz w:val="24"/>
          <w:szCs w:val="24"/>
        </w:rPr>
        <w:t>Con fecha doce de octubre del dos mil veinti</w:t>
      </w:r>
      <w:r w:rsidR="00BC585A" w:rsidRPr="007B28C0">
        <w:rPr>
          <w:rFonts w:ascii="Palatino Linotype" w:eastAsia="Palatino Linotype" w:hAnsi="Palatino Linotype" w:cs="Palatino Linotype"/>
          <w:sz w:val="24"/>
          <w:szCs w:val="24"/>
        </w:rPr>
        <w:t>dós</w:t>
      </w: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 xml:space="preserve"> otorgó, a través del SAIMEX, incompetencia parcial a la solicitud de acceso a la información de la siguiente manera:</w:t>
      </w:r>
      <w:r w:rsidRPr="007B28C0">
        <w:t xml:space="preserve"> </w:t>
      </w:r>
    </w:p>
    <w:p w14:paraId="5A50891D" w14:textId="77777777" w:rsidR="005C3A3A" w:rsidRPr="007B28C0" w:rsidRDefault="005C3A3A">
      <w:pPr>
        <w:spacing w:after="0" w:line="360" w:lineRule="auto"/>
        <w:jc w:val="both"/>
      </w:pPr>
    </w:p>
    <w:p w14:paraId="5EA910B3"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“En atención a la solicitud ingresada a través del Sistema de Acceso a la Información Mexiquense (SAIMEX), a la que le recayó el número de folio 00579/ATIZARA/IP/2022, mediante la cual solicitan: “…5.- Copia Simple y Certificada del oficio solicitud a SAPASA. para conexión toma de agua, y conexión drenaje; solicitud de conexión, por parte de Operadora de Colegios La Salle, S.C. Plantel Arboledas, ubicado en la colonia “Las Colonias”, al Fraccionamiento Mayorazgos del Bosque... (Sic). Referente al punto 5 y con fundamento en el artículo 167 de la Ley de Transparencia y Acceso a la Información Pública del Estado de México y Municipios, me permito comunicarle que la información que Usted solicita es competencia del Organismo Descentralizado de Servicios de Agua Potable y Alcantarillado de Atizapán de </w:t>
      </w:r>
      <w:r w:rsidRPr="007B28C0">
        <w:rPr>
          <w:rFonts w:ascii="Palatino Linotype" w:eastAsia="Palatino Linotype" w:hAnsi="Palatino Linotype" w:cs="Palatino Linotype"/>
          <w:i/>
        </w:rPr>
        <w:lastRenderedPageBreak/>
        <w:t>Zaragoza (SAPASA), mismo que ya es Sujeto Obligado independiente en materia de transparencia, como lo estipula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oficial de gobierno el 27 de febrero del 2017), por lo que deberá ingresar nuevamente su solicitud de información a través del sistema SAIMEX y seleccionar el Sujeto Obligado correspondiente, tal como se muestra en la captura de pantalla que se anexa.</w:t>
      </w:r>
    </w:p>
    <w:p w14:paraId="16F283D6"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ATENTAMENTE</w:t>
      </w:r>
    </w:p>
    <w:p w14:paraId="70B8764A"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LIC. SERGIO PEREZ SUAREZ”</w:t>
      </w:r>
    </w:p>
    <w:p w14:paraId="6F9EF502" w14:textId="77777777" w:rsidR="005C3A3A" w:rsidRPr="007B28C0" w:rsidRDefault="005C3A3A">
      <w:pPr>
        <w:spacing w:after="0" w:line="276" w:lineRule="auto"/>
        <w:ind w:left="851" w:right="900"/>
        <w:jc w:val="both"/>
        <w:rPr>
          <w:rFonts w:ascii="Palatino Linotype" w:eastAsia="Palatino Linotype" w:hAnsi="Palatino Linotype" w:cs="Palatino Linotype"/>
          <w:sz w:val="24"/>
          <w:szCs w:val="24"/>
        </w:rPr>
      </w:pPr>
    </w:p>
    <w:p w14:paraId="402A3EF2"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 xml:space="preserve"> adjuntó el archivo electrónico siguiente:</w:t>
      </w:r>
    </w:p>
    <w:p w14:paraId="2FBD8F13" w14:textId="77777777" w:rsidR="005C3A3A" w:rsidRPr="007B28C0" w:rsidRDefault="005C3A3A">
      <w:pPr>
        <w:rPr>
          <w:rFonts w:ascii="Palatino Linotype" w:eastAsia="Palatino Linotype" w:hAnsi="Palatino Linotype" w:cs="Palatino Linotype"/>
          <w:sz w:val="24"/>
          <w:szCs w:val="24"/>
        </w:rPr>
      </w:pPr>
    </w:p>
    <w:p w14:paraId="1626987B" w14:textId="77777777" w:rsidR="005C3A3A" w:rsidRPr="007B28C0" w:rsidRDefault="00BD07C9">
      <w:pPr>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u w:val="single"/>
        </w:rPr>
        <w:t>sapasa.pdf</w:t>
      </w:r>
      <w:r w:rsidRPr="007B28C0">
        <w:rPr>
          <w:rFonts w:ascii="Palatino Linotype" w:eastAsia="Palatino Linotype" w:hAnsi="Palatino Linotype" w:cs="Palatino Linotype"/>
          <w:sz w:val="24"/>
          <w:szCs w:val="24"/>
        </w:rPr>
        <w:t xml:space="preserve">”: </w:t>
      </w:r>
    </w:p>
    <w:p w14:paraId="61B47296" w14:textId="77777777" w:rsidR="005C3A3A" w:rsidRPr="007B28C0" w:rsidRDefault="00BD07C9">
      <w:pPr>
        <w:rPr>
          <w:rFonts w:ascii="Palatino Linotype" w:eastAsia="Palatino Linotype" w:hAnsi="Palatino Linotype" w:cs="Palatino Linotype"/>
          <w:sz w:val="24"/>
          <w:szCs w:val="24"/>
        </w:rPr>
      </w:pPr>
      <w:r w:rsidRPr="007B28C0">
        <w:rPr>
          <w:noProof/>
        </w:rPr>
        <w:drawing>
          <wp:inline distT="0" distB="0" distL="0" distR="0" wp14:anchorId="76726A2A" wp14:editId="1E5FC991">
            <wp:extent cx="5764487" cy="1367488"/>
            <wp:effectExtent l="0" t="0" r="0" b="0"/>
            <wp:docPr id="1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27155" t="23838" r="26341" b="56548"/>
                    <a:stretch>
                      <a:fillRect/>
                    </a:stretch>
                  </pic:blipFill>
                  <pic:spPr>
                    <a:xfrm>
                      <a:off x="0" y="0"/>
                      <a:ext cx="5764487" cy="1367488"/>
                    </a:xfrm>
                    <a:prstGeom prst="rect">
                      <a:avLst/>
                    </a:prstGeom>
                    <a:ln/>
                  </pic:spPr>
                </pic:pic>
              </a:graphicData>
            </a:graphic>
          </wp:inline>
        </w:drawing>
      </w:r>
    </w:p>
    <w:p w14:paraId="629CBE68" w14:textId="77777777" w:rsidR="005C3A3A" w:rsidRPr="007B28C0" w:rsidRDefault="005C3A3A">
      <w:pPr>
        <w:rPr>
          <w:rFonts w:ascii="Palatino Linotype" w:eastAsia="Palatino Linotype" w:hAnsi="Palatino Linotype" w:cs="Palatino Linotype"/>
          <w:sz w:val="24"/>
          <w:szCs w:val="24"/>
        </w:rPr>
      </w:pPr>
    </w:p>
    <w:p w14:paraId="3241746C" w14:textId="77777777" w:rsidR="005C3A3A" w:rsidRPr="007B28C0" w:rsidRDefault="00BD07C9">
      <w:pPr>
        <w:widowControl w:val="0"/>
        <w:spacing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3. DE LA PRÓRROGA.</w:t>
      </w:r>
      <w:r w:rsidRPr="007B28C0">
        <w:rPr>
          <w:rFonts w:ascii="Palatino Linotype" w:eastAsia="Palatino Linotype" w:hAnsi="Palatino Linotype" w:cs="Palatino Linotype"/>
          <w:sz w:val="24"/>
          <w:szCs w:val="24"/>
        </w:rPr>
        <w:t xml:space="preserve"> En fecha treinta y uno de octubre o de dos mil veintidós, </w:t>
      </w: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 xml:space="preserve"> solicitó una prórroga en la entrega de la información en la solicitud de acceso a la información tal como se observa a continuación:</w:t>
      </w:r>
    </w:p>
    <w:p w14:paraId="141C2881" w14:textId="77777777" w:rsidR="005C3A3A" w:rsidRPr="007B28C0" w:rsidRDefault="00BD07C9">
      <w:pPr>
        <w:spacing w:before="120" w:after="12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74AAB77" w14:textId="77777777" w:rsidR="005C3A3A" w:rsidRPr="007B28C0" w:rsidRDefault="00BD07C9">
      <w:pPr>
        <w:spacing w:before="120" w:after="12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SE ANEXA PRORROGA</w:t>
      </w:r>
    </w:p>
    <w:p w14:paraId="26A0BC77" w14:textId="77777777" w:rsidR="005C3A3A" w:rsidRPr="007B28C0" w:rsidRDefault="00BD07C9">
      <w:pPr>
        <w:spacing w:before="120" w:after="12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LIC. SERGIO PEREZ SUAREZ</w:t>
      </w:r>
    </w:p>
    <w:p w14:paraId="7F6AD899" w14:textId="77777777" w:rsidR="005C3A3A" w:rsidRPr="007B28C0" w:rsidRDefault="00BD07C9">
      <w:pPr>
        <w:spacing w:before="120" w:after="12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Responsable de la Unidad de Transparencia</w:t>
      </w:r>
    </w:p>
    <w:p w14:paraId="41046EB3" w14:textId="77777777" w:rsidR="005C3A3A" w:rsidRPr="007B28C0" w:rsidRDefault="005C3A3A">
      <w:pPr>
        <w:rPr>
          <w:rFonts w:ascii="Palatino Linotype" w:eastAsia="Palatino Linotype" w:hAnsi="Palatino Linotype" w:cs="Palatino Linotype"/>
          <w:sz w:val="24"/>
          <w:szCs w:val="24"/>
        </w:rPr>
      </w:pPr>
    </w:p>
    <w:p w14:paraId="6217B273" w14:textId="77777777" w:rsidR="005C3A3A" w:rsidRPr="007B28C0" w:rsidRDefault="00BD07C9">
      <w:pPr>
        <w:spacing w:after="0" w:line="360" w:lineRule="auto"/>
        <w:jc w:val="both"/>
      </w:pPr>
      <w:r w:rsidRPr="007B28C0">
        <w:rPr>
          <w:rFonts w:ascii="Palatino Linotype" w:eastAsia="Palatino Linotype" w:hAnsi="Palatino Linotype" w:cs="Palatino Linotype"/>
          <w:b/>
          <w:sz w:val="24"/>
          <w:szCs w:val="24"/>
        </w:rPr>
        <w:t xml:space="preserve">4. RESPUESTA.  </w:t>
      </w:r>
      <w:r w:rsidRPr="007B28C0">
        <w:rPr>
          <w:rFonts w:ascii="Palatino Linotype" w:eastAsia="Palatino Linotype" w:hAnsi="Palatino Linotype" w:cs="Palatino Linotype"/>
          <w:sz w:val="24"/>
          <w:szCs w:val="24"/>
        </w:rPr>
        <w:t xml:space="preserve">Con fecha once de noviembre del dos mil veintidós, </w:t>
      </w: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7B28C0">
        <w:t xml:space="preserve"> </w:t>
      </w:r>
    </w:p>
    <w:p w14:paraId="4225D56C" w14:textId="77777777" w:rsidR="005C3A3A" w:rsidRPr="007B28C0" w:rsidRDefault="005C3A3A">
      <w:pPr>
        <w:spacing w:after="0" w:line="360" w:lineRule="auto"/>
        <w:jc w:val="both"/>
      </w:pPr>
    </w:p>
    <w:p w14:paraId="40795C70"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DC041D"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En atención a su solicitud número de folio 00579/ATIZARA/IP/2022, sírvase encontrar adjunto el memorándum UYCS/37/2022, emitido por el Subdirector de Operación y Ordenamiento Urbano, y memorándum DGOTYDU/75/2022, emitido por Subdirector de Planeación Territorial y Urbana, ambos adscritos a esta Dirección General, con información solicitada. Sin más por el momento, me reitero de usted. A T E N T A M E N T E MAESTRO JOSÉ RAMÓN JARQUÍN RODRÍGUEZ DIRECTOR GENERAL DE ORDENAMIENTO TERRITORIAL Y DESARROLLO URBANO SEANEXA RESPUESTA SE ANEXA RESPUESTA</w:t>
      </w:r>
    </w:p>
    <w:p w14:paraId="359694B1"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ATENTAMENTE</w:t>
      </w:r>
    </w:p>
    <w:p w14:paraId="6CD32111"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LIC. SERGIO PEREZ SUAREZ”</w:t>
      </w:r>
    </w:p>
    <w:p w14:paraId="7AA8700D" w14:textId="77777777" w:rsidR="005C3A3A" w:rsidRPr="007B28C0" w:rsidRDefault="005C3A3A">
      <w:pPr>
        <w:spacing w:after="0" w:line="276" w:lineRule="auto"/>
        <w:ind w:left="851" w:right="900"/>
        <w:jc w:val="both"/>
        <w:rPr>
          <w:rFonts w:ascii="Palatino Linotype" w:eastAsia="Palatino Linotype" w:hAnsi="Palatino Linotype" w:cs="Palatino Linotype"/>
          <w:sz w:val="24"/>
          <w:szCs w:val="24"/>
        </w:rPr>
      </w:pPr>
    </w:p>
    <w:p w14:paraId="2ADF8BB3"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lastRenderedPageBreak/>
        <w:t>EL SUJETO OBLIGADO</w:t>
      </w:r>
      <w:r w:rsidRPr="007B28C0">
        <w:rPr>
          <w:rFonts w:ascii="Palatino Linotype" w:eastAsia="Palatino Linotype" w:hAnsi="Palatino Linotype" w:cs="Palatino Linotype"/>
          <w:sz w:val="24"/>
          <w:szCs w:val="24"/>
        </w:rPr>
        <w:t xml:space="preserve"> adjuntó a su respuesta los archivos electrónicos siguientes:</w:t>
      </w:r>
    </w:p>
    <w:p w14:paraId="5CFF17EF"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14617B9"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u w:val="single"/>
        </w:rPr>
        <w:t>sol. 0579-ATIZ-OFICIO.pdf</w:t>
      </w:r>
      <w:r w:rsidRPr="007B28C0">
        <w:rPr>
          <w:rFonts w:ascii="Palatino Linotype" w:eastAsia="Palatino Linotype" w:hAnsi="Palatino Linotype" w:cs="Palatino Linotype"/>
          <w:sz w:val="24"/>
          <w:szCs w:val="24"/>
        </w:rPr>
        <w:t xml:space="preserve">”: Oficio de fecha veinticinco de octubre de dos mil veintidós, signado por el Director General de Ordenamiento Territorial y Desarrollo Urbano, mediante el que refiere que adjunta el memorándum UYCS/37/2022, emitido por el Subdirector de Operación y Ordenamiento Urbano y el memorándum DGOTYDU/75/2022 emitido por el Subdirector de Planeación Territorial y Urbana. </w:t>
      </w:r>
    </w:p>
    <w:p w14:paraId="3908DD43"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241D3101"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u w:val="single"/>
        </w:rPr>
        <w:t>SOL. 0579-ATIZ-ANEXO 1.pdf</w:t>
      </w:r>
      <w:r w:rsidRPr="007B28C0">
        <w:rPr>
          <w:rFonts w:ascii="Palatino Linotype" w:eastAsia="Palatino Linotype" w:hAnsi="Palatino Linotype" w:cs="Palatino Linotype"/>
          <w:sz w:val="24"/>
          <w:szCs w:val="24"/>
        </w:rPr>
        <w:t xml:space="preserve">”: Memorándum UYCS/37/2022, signado por el Subdirector de Operación y Ordenamiento Urbano, mediante el que informa que no cuenta expediente ingresado en el predio señalado en el punto cinco de su solicitud de información. </w:t>
      </w:r>
    </w:p>
    <w:p w14:paraId="0EEDA8CA"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E71146A"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u w:val="single"/>
        </w:rPr>
        <w:t>SOL. 0579-ATIZ-ANEXO 2.pdf</w:t>
      </w:r>
      <w:r w:rsidRPr="007B28C0">
        <w:rPr>
          <w:rFonts w:ascii="Palatino Linotype" w:eastAsia="Palatino Linotype" w:hAnsi="Palatino Linotype" w:cs="Palatino Linotype"/>
          <w:sz w:val="24"/>
          <w:szCs w:val="24"/>
        </w:rPr>
        <w:t xml:space="preserve">”: memorándum DGOTYDU/75/2022 signado por el Subdirector de Planeación Territorial y Urbana, en donde menciona que en relación al inciso A) adjunta una liga electrónica que corresponde a la Gaceta de Gobierno. </w:t>
      </w:r>
    </w:p>
    <w:p w14:paraId="632907D6"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81E9B12"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El inciso B), numeral 1, 2 y 3 mencionó que después de una búsqueda exhaustiva y razonable, dicha información obra no obra en sus expedientes.</w:t>
      </w:r>
    </w:p>
    <w:p w14:paraId="092FE4D3"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D6A199E"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El inciso B), numeral 4, 5, 7, 9 y 10 menciono que  dicha información obra no obra en sus expedientes ya que es atribución de la Subdirección de Planeación Urbana.</w:t>
      </w:r>
    </w:p>
    <w:p w14:paraId="3A658742"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6402C60B"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El inciso B), numeral 6 menciono que  dicha información obra no obra en sus expedientes ya que dicho trámite lo lleva a </w:t>
      </w:r>
      <w:proofErr w:type="spellStart"/>
      <w:r w:rsidRPr="007B28C0">
        <w:rPr>
          <w:rFonts w:ascii="Palatino Linotype" w:eastAsia="Palatino Linotype" w:hAnsi="Palatino Linotype" w:cs="Palatino Linotype"/>
          <w:sz w:val="24"/>
          <w:szCs w:val="24"/>
        </w:rPr>
        <w:t>acabo</w:t>
      </w:r>
      <w:proofErr w:type="spellEnd"/>
      <w:r w:rsidRPr="007B28C0">
        <w:rPr>
          <w:rFonts w:ascii="Palatino Linotype" w:eastAsia="Palatino Linotype" w:hAnsi="Palatino Linotype" w:cs="Palatino Linotype"/>
          <w:sz w:val="24"/>
          <w:szCs w:val="24"/>
        </w:rPr>
        <w:t xml:space="preserve"> la Secretaria de Desarrollo Urbano y Obra a través de la Dirección de Operación y Control Urbano.</w:t>
      </w:r>
    </w:p>
    <w:p w14:paraId="59747062"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 </w:t>
      </w:r>
    </w:p>
    <w:p w14:paraId="63083804"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El inciso B), numeral 8 informa que de acuerdo a lo establecido en el artículo 10.35 del libro décimo octavo, se deberá solicitar la constancia de alineamiento y número oficial, trámite que deberá realizarse   en la Dirección General de Ordenamiento Territorial y Desarrollo Urbano </w:t>
      </w:r>
    </w:p>
    <w:p w14:paraId="4D59D82E"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AC737AD"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El inciso B), numeral 9, menciona que los planos requeridos deberá solicitar la copia certificada a la Dirección General de Operación y Control Urbano del Gobierno del Estado de México, ya que es la competente para emitir las copias certificadas. </w:t>
      </w:r>
    </w:p>
    <w:p w14:paraId="17AFAEF5"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9D7AEF1"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El inciso B), numeral 1 y 2, así como, inciso D) numerales 1, 2, 3, 4 y5, menciona que la información no obra en sus archivos, por no corresponder a sus funciones. </w:t>
      </w:r>
    </w:p>
    <w:p w14:paraId="725F2765"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7773159"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u w:val="single"/>
        </w:rPr>
        <w:t>00579-3665-2022.pdf</w:t>
      </w:r>
      <w:r w:rsidRPr="007B28C0">
        <w:rPr>
          <w:rFonts w:ascii="Palatino Linotype" w:eastAsia="Palatino Linotype" w:hAnsi="Palatino Linotype" w:cs="Palatino Linotype"/>
          <w:sz w:val="24"/>
          <w:szCs w:val="24"/>
        </w:rPr>
        <w:t xml:space="preserve">”: Oficio de fecha ocho de noviembre de dos mil veintidós, signado por el Tesorero Municipal, refiere que el plano catastral solicitado, se encuentra imposibilitado para entregarlas, ya que no se encuentra en el catálogo de servicios que presta el Departamento de Catastro Municipal. </w:t>
      </w:r>
    </w:p>
    <w:p w14:paraId="42ACED49"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Respecto al expediente técnico 63, 64 y 65, menciona que no es posible entregarlos por ser inexistente, ya que no tiene facultad para la fusión o subdivisión de predios en el Municipio, ya que la Secretaria de Desarrollo y Obra del Gobierno del Estado de México es la autoridad competente. </w:t>
      </w:r>
    </w:p>
    <w:p w14:paraId="7F17EE12"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54151F99"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u w:val="single"/>
        </w:rPr>
        <w:t>579ATIZARA.pdf</w:t>
      </w:r>
      <w:r w:rsidRPr="007B28C0">
        <w:rPr>
          <w:rFonts w:ascii="Palatino Linotype" w:eastAsia="Palatino Linotype" w:hAnsi="Palatino Linotype" w:cs="Palatino Linotype"/>
          <w:sz w:val="24"/>
          <w:szCs w:val="24"/>
        </w:rPr>
        <w:t xml:space="preserve">”: Oficio de fecha once de noviembre de dos mil veintidós, signado por el Coordinador de Protección Civil, Bomberos, y Medio Ambiente, mencionó que después de una búsqueda exhaustiva y razonable sin que se encontrara el oficio </w:t>
      </w:r>
      <w:proofErr w:type="spellStart"/>
      <w:r w:rsidRPr="007B28C0">
        <w:rPr>
          <w:rFonts w:ascii="Palatino Linotype" w:eastAsia="Palatino Linotype" w:hAnsi="Palatino Linotype" w:cs="Palatino Linotype"/>
          <w:sz w:val="24"/>
          <w:szCs w:val="24"/>
        </w:rPr>
        <w:t>DPCEyB</w:t>
      </w:r>
      <w:proofErr w:type="spellEnd"/>
      <w:r w:rsidRPr="007B28C0">
        <w:rPr>
          <w:rFonts w:ascii="Palatino Linotype" w:eastAsia="Palatino Linotype" w:hAnsi="Palatino Linotype" w:cs="Palatino Linotype"/>
          <w:sz w:val="24"/>
          <w:szCs w:val="24"/>
        </w:rPr>
        <w:t xml:space="preserve">/NR/28/2016 de fecha nueve de agosto de dos mil dieciséis emitido por el Coordinador de Protección Civil y Bomberos y el oficio DPCEYB/SPC/1015/2014 de fecha cinco de diciembre de dos mil catorce emitido por el Comandante de Director de Protección Civil, Ecología y Bomberos. </w:t>
      </w:r>
    </w:p>
    <w:p w14:paraId="496A228C" w14:textId="77777777" w:rsidR="005C3A3A" w:rsidRPr="007B28C0" w:rsidRDefault="005C3A3A">
      <w:pPr>
        <w:spacing w:after="0" w:line="360" w:lineRule="auto"/>
        <w:jc w:val="both"/>
        <w:rPr>
          <w:rFonts w:ascii="Palatino Linotype" w:eastAsia="Palatino Linotype" w:hAnsi="Palatino Linotype" w:cs="Palatino Linotype"/>
          <w:b/>
          <w:sz w:val="24"/>
          <w:szCs w:val="24"/>
        </w:rPr>
      </w:pPr>
    </w:p>
    <w:p w14:paraId="07BC3944" w14:textId="77777777" w:rsidR="005C3A3A" w:rsidRPr="007B28C0" w:rsidRDefault="00BD07C9">
      <w:pPr>
        <w:spacing w:after="0" w:line="360" w:lineRule="auto"/>
        <w:ind w:right="-234"/>
        <w:jc w:val="both"/>
        <w:rPr>
          <w:rFonts w:ascii="Palatino Linotype" w:eastAsia="Palatino Linotype" w:hAnsi="Palatino Linotype" w:cs="Palatino Linotype"/>
          <w:b/>
          <w:sz w:val="24"/>
          <w:szCs w:val="24"/>
        </w:rPr>
      </w:pPr>
      <w:r w:rsidRPr="007B28C0">
        <w:rPr>
          <w:rFonts w:ascii="Palatino Linotype" w:eastAsia="Palatino Linotype" w:hAnsi="Palatino Linotype" w:cs="Palatino Linotype"/>
          <w:b/>
          <w:sz w:val="24"/>
          <w:szCs w:val="24"/>
        </w:rPr>
        <w:t xml:space="preserve">5. DEL RECURSO DE REVISIÓN. </w:t>
      </w:r>
      <w:r w:rsidRPr="007B28C0">
        <w:rPr>
          <w:rFonts w:ascii="Palatino Linotype" w:eastAsia="Palatino Linotype" w:hAnsi="Palatino Linotype" w:cs="Palatino Linotype"/>
          <w:sz w:val="24"/>
          <w:szCs w:val="24"/>
        </w:rPr>
        <w:t>Inconforme con la respuesta del</w:t>
      </w:r>
      <w:r w:rsidRPr="007B28C0">
        <w:rPr>
          <w:rFonts w:ascii="Palatino Linotype" w:eastAsia="Palatino Linotype" w:hAnsi="Palatino Linotype" w:cs="Palatino Linotype"/>
          <w:b/>
          <w:sz w:val="24"/>
          <w:szCs w:val="24"/>
        </w:rPr>
        <w:t xml:space="preserve"> SUJETO OBLIGADO, </w:t>
      </w:r>
      <w:r w:rsidRPr="007B28C0">
        <w:rPr>
          <w:rFonts w:ascii="Palatino Linotype" w:eastAsia="Palatino Linotype" w:hAnsi="Palatino Linotype" w:cs="Palatino Linotype"/>
          <w:sz w:val="24"/>
          <w:szCs w:val="24"/>
        </w:rPr>
        <w:t>en fecha dieciséis de noviembre de dos mil veintidós</w:t>
      </w:r>
      <w:r w:rsidRPr="007B28C0">
        <w:rPr>
          <w:rFonts w:ascii="Palatino Linotype" w:eastAsia="Palatino Linotype" w:hAnsi="Palatino Linotype" w:cs="Palatino Linotype"/>
          <w:b/>
          <w:sz w:val="24"/>
          <w:szCs w:val="24"/>
        </w:rPr>
        <w:t>, LA PARTE</w:t>
      </w: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b/>
          <w:sz w:val="24"/>
          <w:szCs w:val="24"/>
        </w:rPr>
        <w:t xml:space="preserve">RECURRENTE </w:t>
      </w:r>
      <w:r w:rsidRPr="007B28C0">
        <w:rPr>
          <w:rFonts w:ascii="Palatino Linotype" w:eastAsia="Palatino Linotype" w:hAnsi="Palatino Linotype" w:cs="Palatino Linotype"/>
          <w:sz w:val="24"/>
          <w:szCs w:val="24"/>
        </w:rPr>
        <w:t>interpuso el recurso de revisión, el cual fue registrado</w:t>
      </w:r>
      <w:r w:rsidRPr="007B28C0">
        <w:rPr>
          <w:rFonts w:ascii="Palatino Linotype" w:eastAsia="Palatino Linotype" w:hAnsi="Palatino Linotype" w:cs="Palatino Linotype"/>
          <w:b/>
          <w:sz w:val="24"/>
          <w:szCs w:val="24"/>
        </w:rPr>
        <w:t xml:space="preserve"> </w:t>
      </w:r>
      <w:r w:rsidRPr="007B28C0">
        <w:rPr>
          <w:rFonts w:ascii="Palatino Linotype" w:eastAsia="Palatino Linotype" w:hAnsi="Palatino Linotype" w:cs="Palatino Linotype"/>
          <w:sz w:val="24"/>
          <w:szCs w:val="24"/>
        </w:rPr>
        <w:t xml:space="preserve">en el sistema electrónico con el expediente número </w:t>
      </w:r>
      <w:r w:rsidRPr="007B28C0">
        <w:rPr>
          <w:rFonts w:ascii="Palatino Linotype" w:eastAsia="Palatino Linotype" w:hAnsi="Palatino Linotype" w:cs="Palatino Linotype"/>
          <w:b/>
          <w:sz w:val="24"/>
          <w:szCs w:val="24"/>
        </w:rPr>
        <w:t>16614/INFOEM/IP/RR/2022</w:t>
      </w:r>
      <w:r w:rsidRPr="007B28C0">
        <w:rPr>
          <w:rFonts w:ascii="Palatino Linotype" w:eastAsia="Palatino Linotype" w:hAnsi="Palatino Linotype" w:cs="Palatino Linotype"/>
          <w:sz w:val="24"/>
          <w:szCs w:val="24"/>
        </w:rPr>
        <w:t>, en el cual manifiesta, lo siguiente:</w:t>
      </w:r>
    </w:p>
    <w:p w14:paraId="5AEDA877" w14:textId="77777777" w:rsidR="005C3A3A" w:rsidRPr="007B28C0" w:rsidRDefault="00BD07C9">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7B28C0">
        <w:rPr>
          <w:rFonts w:ascii="Palatino Linotype" w:eastAsia="Palatino Linotype" w:hAnsi="Palatino Linotype" w:cs="Palatino Linotype"/>
          <w:b/>
          <w:i/>
          <w:sz w:val="24"/>
          <w:szCs w:val="24"/>
        </w:rPr>
        <w:t>Acto Impugnado:</w:t>
      </w:r>
    </w:p>
    <w:p w14:paraId="6A64B0FF" w14:textId="77777777" w:rsidR="005C3A3A" w:rsidRPr="007B28C0" w:rsidRDefault="00BD07C9">
      <w:pPr>
        <w:spacing w:before="240" w:after="240" w:line="276" w:lineRule="auto"/>
        <w:ind w:left="851"/>
        <w:jc w:val="both"/>
        <w:rPr>
          <w:rFonts w:ascii="Palatino Linotype" w:eastAsia="Palatino Linotype" w:hAnsi="Palatino Linotype" w:cs="Palatino Linotype"/>
          <w:i/>
        </w:rPr>
      </w:pPr>
      <w:r w:rsidRPr="007B28C0">
        <w:rPr>
          <w:rFonts w:ascii="Palatino Linotype" w:eastAsia="Palatino Linotype" w:hAnsi="Palatino Linotype" w:cs="Palatino Linotype"/>
          <w:i/>
        </w:rPr>
        <w:t>“Contestación a mi Solicitud de Información No. 00579/ATIZARA/IP/2022” [sic]</w:t>
      </w:r>
    </w:p>
    <w:p w14:paraId="33E729B0" w14:textId="77777777" w:rsidR="005C3A3A" w:rsidRPr="007B28C0" w:rsidRDefault="00BD07C9">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7B28C0">
        <w:rPr>
          <w:rFonts w:ascii="Palatino Linotype" w:eastAsia="Palatino Linotype" w:hAnsi="Palatino Linotype" w:cs="Palatino Linotype"/>
          <w:b/>
          <w:i/>
          <w:sz w:val="24"/>
          <w:szCs w:val="24"/>
        </w:rPr>
        <w:t>Razones o Motivos de Inconformidad</w:t>
      </w:r>
      <w:r w:rsidRPr="007B28C0">
        <w:rPr>
          <w:rFonts w:ascii="Palatino Linotype" w:eastAsia="Palatino Linotype" w:hAnsi="Palatino Linotype" w:cs="Palatino Linotype"/>
          <w:i/>
          <w:sz w:val="24"/>
          <w:szCs w:val="24"/>
        </w:rPr>
        <w:t>:</w:t>
      </w:r>
    </w:p>
    <w:p w14:paraId="463712DD" w14:textId="77777777" w:rsidR="005C3A3A" w:rsidRPr="007B28C0" w:rsidRDefault="00BD07C9">
      <w:pPr>
        <w:spacing w:before="240" w:after="0" w:line="276" w:lineRule="auto"/>
        <w:ind w:left="851" w:right="569"/>
        <w:jc w:val="both"/>
        <w:rPr>
          <w:rFonts w:ascii="Palatino Linotype" w:eastAsia="Palatino Linotype" w:hAnsi="Palatino Linotype" w:cs="Palatino Linotype"/>
          <w:i/>
        </w:rPr>
      </w:pPr>
      <w:r w:rsidRPr="007B28C0">
        <w:rPr>
          <w:rFonts w:ascii="Palatino Linotype" w:eastAsia="Palatino Linotype" w:hAnsi="Palatino Linotype" w:cs="Palatino Linotype"/>
          <w:i/>
          <w:sz w:val="24"/>
          <w:szCs w:val="24"/>
        </w:rPr>
        <w:lastRenderedPageBreak/>
        <w:t>“</w:t>
      </w:r>
      <w:r w:rsidRPr="007B28C0">
        <w:rPr>
          <w:rFonts w:ascii="Palatino Linotype" w:eastAsia="Palatino Linotype" w:hAnsi="Palatino Linotype" w:cs="Palatino Linotype"/>
          <w:i/>
        </w:rPr>
        <w:t xml:space="preserve">A).- Solicite específicamente: Planos por zonas o sectores; Planos correspondientes a las 12 poligonales; Planos de Zonificación Primaria; Planos de Zonificación Secundaria. Y no entregaron nada. Únicamente entregan la página de internet de la Publicación de la Gaceta del Gobierno, Periódico Oficial del Gobierno del Estado Libre y Soberano de México, con fecha doce de septiembre de dos mil veintidós. http://legislacion.edomex.gob.mx/sites/legislacion.edomex/files/files/pdf/gct/2022/sep122 B).- Solicite lo siguiente: 1.- Copia Simple y Certificada del Plano actual de zonificación secundaria, correspondiente a “Mayorazgos del Bosque”, Atizapán de Zaragoza, Estado de México; 2.- Copia Simple y Certificada del Plano actual de zonificación secundaria, correspondiente a la colonia “Las Colonias”, Atizapán de Zaragoza, Estado de México; 3.- Copia Simple y Certificada del Plano actual catastral, correspondiente a “Mayorazgos del Bosque” y a la colonia “Las Colonias”, ambas en Atizapán de Zaragoza, Estado de México. Vigente. Y no entregaron nada. De Igual Manera, solicite lo siguiente: 4.- Copia Simple y Certificada de la Licencias de Uso del Suelo, actual 2022, a favor de Operadora de Colegios La Salle; 5.- Copia Simple y Certificada del Expediente Técnico soporte para la emisión de la Licencia de Uso del Suelo, actual 2022, a favor de Operadora de Colegios La Salle, S.C; 6- Copia Simple y Certificada del Expediente Técnico soporte de la fusión de los predios 63, 64 y 65, manzana 12, de la calle retorno de perdiz, en el fraccionamiento Mayorazgos del Bosque. Y aunque su emisión es periódica y obligatoria para el Ayuntamiento de Atizapán de Zaragoza, pretextan no tener las mismas. 7- Copia Simple y Certificada del Expediente Técnico soporte para la emisión de la Constancia de Alineamiento y Número Oficial No. 02438/04/12, de fecha 04 de diciembre de 2012, a favor de Operadora de Colegios La Salle. El municipio expide dicha constancia de Alineamiento, y pretexta no tener dicha documentación, 8- Copia Simple y Certificada de la Ubicación precisa (dirección real), y el estatus real, del Colegios La Salle, S.C. Hacienda Arboledas. Número Oficial No. 02438/04/12, de fecha 04 de diciembre de 2012, a favor de Operadora de Colegios La Salle. El municipio expide Constancia de Alineamiento; Licencias de Uso del Suelo; Licencia de Funcionamiento: Visto Bueno; entre otros y contestan que no cuentan con dicha información. 9- Copia Simple y Certificada del Expediente Técnico soporte de la Reglamentación Emitida para el uso y aprovechamiento del suelo, correspondiente a la autorización del cambio de uso de suelo habitacional H333.A por el de vialidad, en </w:t>
      </w:r>
      <w:r w:rsidRPr="007B28C0">
        <w:rPr>
          <w:rFonts w:ascii="Palatino Linotype" w:eastAsia="Palatino Linotype" w:hAnsi="Palatino Linotype" w:cs="Palatino Linotype"/>
          <w:i/>
        </w:rPr>
        <w:lastRenderedPageBreak/>
        <w:t xml:space="preserve">relación del lote no. 60, manzana 12, de la calle retorno de perdiz, en el fraccionamiento Mayorazgos del Bosque. El municipio permitió que se abriera dicha vialidad, y contestan que no cuentan con dicha información. 10- Copia Simple y Certificada del Expediente Técnico soporte de la autorización para la apertura y prolongación de vialidad, del lote No. 60, manzana 12, de la calle retorno de perdiz, en el fraccionamiento Mayorazgos del Bosque, en el municipio de Atizapán de Zaragoza Estado de México. El municipio permitió que se abriera dicha vialidad, y contestan que no cuentan con dicha información. C).- Solicite lo siguiente: 1- Copia Simple y Certificada de la Licencia de Funcionamiento actual (2022), a favor de Operadora de Colegios La Salle, S.C. Y aunque su emisión es periódica y obligatoria para el Ayuntamiento de Atizapán de Zaragoza, pretextan no tener las mismas. 2.- Copia Simple y Certificada del Expediente Técnico soporte para la emisión de la Licencia de Funcionamiento actual (2022), a favor de Operadora de Colegios La Salle, S.C. El municipio expide dicha </w:t>
      </w:r>
      <w:proofErr w:type="spellStart"/>
      <w:r w:rsidRPr="007B28C0">
        <w:rPr>
          <w:rFonts w:ascii="Palatino Linotype" w:eastAsia="Palatino Linotype" w:hAnsi="Palatino Linotype" w:cs="Palatino Linotype"/>
          <w:i/>
        </w:rPr>
        <w:t>Licencis</w:t>
      </w:r>
      <w:proofErr w:type="spellEnd"/>
      <w:r w:rsidRPr="007B28C0">
        <w:rPr>
          <w:rFonts w:ascii="Palatino Linotype" w:eastAsia="Palatino Linotype" w:hAnsi="Palatino Linotype" w:cs="Palatino Linotype"/>
          <w:i/>
        </w:rPr>
        <w:t xml:space="preserve"> de </w:t>
      </w:r>
      <w:proofErr w:type="spellStart"/>
      <w:r w:rsidRPr="007B28C0">
        <w:rPr>
          <w:rFonts w:ascii="Palatino Linotype" w:eastAsia="Palatino Linotype" w:hAnsi="Palatino Linotype" w:cs="Palatino Linotype"/>
          <w:i/>
        </w:rPr>
        <w:t>Funcionsmiento</w:t>
      </w:r>
      <w:proofErr w:type="spellEnd"/>
      <w:r w:rsidRPr="007B28C0">
        <w:rPr>
          <w:rFonts w:ascii="Palatino Linotype" w:eastAsia="Palatino Linotype" w:hAnsi="Palatino Linotype" w:cs="Palatino Linotype"/>
          <w:i/>
        </w:rPr>
        <w:t xml:space="preserve">, y pretexta no tener dicha documentación, D).- Solicite lo siguiente: 1.- Copia Simple y Certificada del Visto Bueno actual (2022), a favor de Operadora de Colegios La Salle, S.C; 2.- Copia Simple y Certificada del Expediente Técnico soporte para la emisión del Visto Bueno actual (2022), a favor de Operadora de Colegios La Salle. Solicité copia simple, y no la anexaron en la contestación correspondiente, 3.- Copia Simple y Certificada del seguimiento que se le dio al Oficio No. </w:t>
      </w:r>
      <w:proofErr w:type="spellStart"/>
      <w:r w:rsidRPr="007B28C0">
        <w:rPr>
          <w:rFonts w:ascii="Palatino Linotype" w:eastAsia="Palatino Linotype" w:hAnsi="Palatino Linotype" w:cs="Palatino Linotype"/>
          <w:i/>
        </w:rPr>
        <w:t>DPCEyB</w:t>
      </w:r>
      <w:proofErr w:type="spellEnd"/>
      <w:r w:rsidRPr="007B28C0">
        <w:rPr>
          <w:rFonts w:ascii="Palatino Linotype" w:eastAsia="Palatino Linotype" w:hAnsi="Palatino Linotype" w:cs="Palatino Linotype"/>
          <w:i/>
        </w:rPr>
        <w:t>/NR/28/2016, de fecha 09 de agosto de 2016; 4.- Copia Simple y Certificada del seguimiento que se le dio al Oficio No. DPCEYB/SPC/1015/2014, de fecha 05 de diciembre de 2014. Protección Civil y Bomberos, expidió dichos Oficios y pretexta no encontrar dicha documentación,” [sic]</w:t>
      </w:r>
    </w:p>
    <w:p w14:paraId="49DB7E8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491DD82"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 xml:space="preserve">6. TURNO. </w:t>
      </w:r>
      <w:r w:rsidRPr="007B28C0">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7B28C0">
        <w:rPr>
          <w:rFonts w:ascii="Palatino Linotype" w:eastAsia="Palatino Linotype" w:hAnsi="Palatino Linotype" w:cs="Palatino Linotype"/>
          <w:sz w:val="24"/>
          <w:szCs w:val="24"/>
        </w:rPr>
        <w:lastRenderedPageBreak/>
        <w:t xml:space="preserve">del Estado de México y Municipios, a la Comisionada </w:t>
      </w:r>
      <w:r w:rsidRPr="007B28C0">
        <w:rPr>
          <w:rFonts w:ascii="Palatino Linotype" w:eastAsia="Palatino Linotype" w:hAnsi="Palatino Linotype" w:cs="Palatino Linotype"/>
          <w:b/>
          <w:sz w:val="24"/>
          <w:szCs w:val="24"/>
        </w:rPr>
        <w:t xml:space="preserve">Guadalupe Ramírez Peña, </w:t>
      </w:r>
      <w:r w:rsidRPr="007B28C0">
        <w:rPr>
          <w:rFonts w:ascii="Palatino Linotype" w:eastAsia="Palatino Linotype" w:hAnsi="Palatino Linotype" w:cs="Palatino Linotype"/>
          <w:sz w:val="24"/>
          <w:szCs w:val="24"/>
        </w:rPr>
        <w:t xml:space="preserve">a efecto de que analizara sobre su admisión o su </w:t>
      </w:r>
      <w:proofErr w:type="spellStart"/>
      <w:r w:rsidRPr="007B28C0">
        <w:rPr>
          <w:rFonts w:ascii="Palatino Linotype" w:eastAsia="Palatino Linotype" w:hAnsi="Palatino Linotype" w:cs="Palatino Linotype"/>
          <w:sz w:val="24"/>
          <w:szCs w:val="24"/>
        </w:rPr>
        <w:t>desechamiento</w:t>
      </w:r>
      <w:proofErr w:type="spellEnd"/>
      <w:r w:rsidRPr="007B28C0">
        <w:rPr>
          <w:rFonts w:ascii="Palatino Linotype" w:eastAsia="Palatino Linotype" w:hAnsi="Palatino Linotype" w:cs="Palatino Linotype"/>
          <w:sz w:val="24"/>
          <w:szCs w:val="24"/>
        </w:rPr>
        <w:t>.</w:t>
      </w:r>
    </w:p>
    <w:p w14:paraId="6AEB7D3F"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6730BC7E"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7. ADMISIÓN DEL RECURSO DE REVISIÓN.</w:t>
      </w:r>
      <w:r w:rsidRPr="007B28C0">
        <w:rPr>
          <w:rFonts w:ascii="Palatino Linotype" w:eastAsia="Palatino Linotype" w:hAnsi="Palatino Linotype" w:cs="Palatino Linotype"/>
          <w:sz w:val="24"/>
          <w:szCs w:val="24"/>
        </w:rPr>
        <w:t xml:space="preserve"> Con fecha</w:t>
      </w:r>
      <w:r w:rsidRPr="007B28C0">
        <w:rPr>
          <w:rFonts w:ascii="Palatino Linotype" w:eastAsia="Palatino Linotype" w:hAnsi="Palatino Linotype" w:cs="Palatino Linotype"/>
          <w:b/>
          <w:sz w:val="24"/>
          <w:szCs w:val="24"/>
        </w:rPr>
        <w:t xml:space="preserve"> veintidós de noviembre de dos mil veintitrés</w:t>
      </w: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sz w:val="24"/>
          <w:szCs w:val="24"/>
        </w:rPr>
        <w:t xml:space="preserve"> </w:t>
      </w:r>
      <w:r w:rsidRPr="007B28C0">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B28C0">
        <w:rPr>
          <w:rFonts w:ascii="Palatino Linotype" w:eastAsia="Palatino Linotype" w:hAnsi="Palatino Linotype" w:cs="Palatino Linotype"/>
          <w:b/>
          <w:sz w:val="24"/>
          <w:szCs w:val="24"/>
        </w:rPr>
        <w:t xml:space="preserve">SUJETO OBLIGADO </w:t>
      </w:r>
      <w:r w:rsidRPr="007B28C0">
        <w:rPr>
          <w:rFonts w:ascii="Palatino Linotype" w:eastAsia="Palatino Linotype" w:hAnsi="Palatino Linotype" w:cs="Palatino Linotype"/>
          <w:sz w:val="24"/>
          <w:szCs w:val="24"/>
        </w:rPr>
        <w:t>presentará su informe justificado.</w:t>
      </w:r>
    </w:p>
    <w:p w14:paraId="53BC091C"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6FB6611E"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8. MANIFESTACIONES.</w:t>
      </w:r>
      <w:r w:rsidRPr="007B28C0">
        <w:rPr>
          <w:rFonts w:ascii="Palatino Linotype" w:eastAsia="Palatino Linotype" w:hAnsi="Palatino Linotype" w:cs="Palatino Linotype"/>
          <w:sz w:val="24"/>
          <w:szCs w:val="24"/>
        </w:rPr>
        <w:t xml:space="preserve"> El veintinueve de noviembre de dos mil veintidós se recibió, a través del Sistema de Acceso a la Información Mexiquense (SAIMEX), el Informe Justificado del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sz w:val="24"/>
          <w:szCs w:val="24"/>
        </w:rPr>
        <w:t xml:space="preserve"> </w:t>
      </w:r>
      <w:r w:rsidRPr="007B28C0">
        <w:rPr>
          <w:rFonts w:ascii="Palatino Linotype" w:eastAsia="Palatino Linotype" w:hAnsi="Palatino Linotype" w:cs="Palatino Linotype"/>
          <w:sz w:val="24"/>
          <w:szCs w:val="24"/>
        </w:rPr>
        <w:t xml:space="preserve">a través de los siguientes archivos electrónicos: </w:t>
      </w:r>
    </w:p>
    <w:p w14:paraId="42B8B5F5"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3294DCC"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u w:val="single"/>
        </w:rPr>
        <w:t>DGOTYDU.4075.2022 (2).</w:t>
      </w:r>
      <w:proofErr w:type="spellStart"/>
      <w:r w:rsidRPr="007B28C0">
        <w:rPr>
          <w:rFonts w:ascii="Palatino Linotype" w:eastAsia="Palatino Linotype" w:hAnsi="Palatino Linotype" w:cs="Palatino Linotype"/>
          <w:b/>
          <w:i/>
          <w:sz w:val="24"/>
          <w:szCs w:val="24"/>
          <w:u w:val="single"/>
        </w:rPr>
        <w:t>pdf</w:t>
      </w:r>
      <w:proofErr w:type="spellEnd"/>
      <w:r w:rsidRPr="007B28C0">
        <w:rPr>
          <w:rFonts w:ascii="Palatino Linotype" w:eastAsia="Palatino Linotype" w:hAnsi="Palatino Linotype" w:cs="Palatino Linotype"/>
          <w:sz w:val="24"/>
          <w:szCs w:val="24"/>
        </w:rPr>
        <w:t>”: Oficio de fecha veintitrés de noviembre de dos mil veintidós, signado por el Director General de Ordenamiento Territorial y Urbano en donde menciona lo siguiente:</w:t>
      </w:r>
    </w:p>
    <w:p w14:paraId="229A6420"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7FFF160"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relación al punto A), la Subdirección de Planeación Territorial y Urbana y sus unidades administrativas después de realizar una búsqueda exhaustiva y razonable </w:t>
      </w:r>
      <w:r w:rsidRPr="007B28C0">
        <w:rPr>
          <w:rFonts w:ascii="Palatino Linotype" w:eastAsia="Palatino Linotype" w:hAnsi="Palatino Linotype" w:cs="Palatino Linotype"/>
          <w:sz w:val="24"/>
          <w:szCs w:val="24"/>
        </w:rPr>
        <w:lastRenderedPageBreak/>
        <w:t xml:space="preserve">no se encuentra con plano por zonas o sectores, así como planos correspondientes a las doce poligonales. </w:t>
      </w:r>
    </w:p>
    <w:p w14:paraId="50DBA9DE"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6109A1E"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Del plano de zonificación primaria y plano de zonificación secundaria, adjunta una liga electrónica en donde refiere que podrá encontrar dichos planos, mismo que podrán ser descargados y consultados, no obstante no se ubican como plano de zonificación primaria y plano de zonificación secundaria, sino como E-1 “Clasificación Territorial” y E-2 “Estructura Urbanas y Uso de suelo”. </w:t>
      </w:r>
    </w:p>
    <w:p w14:paraId="15F53D0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7C32FDF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Después de realizar una búsqueda minuciosa en los archivos que obran en esta Dirección General, no es posible proporcionar copia simple ni certificada, derivado de que no existe ningún ingreso para trámite de licencia de uso de suelo del año 2022 ya que depende de que sea solicitado por un contribuyente.</w:t>
      </w:r>
    </w:p>
    <w:p w14:paraId="4B47124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0950457"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Se realizó una búsqueda en los archivos que obran en esta Dirección General mediante la cual no se cuenta con expedientes de los predios. </w:t>
      </w:r>
    </w:p>
    <w:p w14:paraId="6FD42936"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93DF1E2"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Se realizó la búsqueda en los archivos que obran en esta Dirección, localizando constancia de alineamiento y número oficial 02438/04/12 por lo que en caso de requerir copia certificada, señala el lugar, días y horarios para el cobro de la información, por lo que una vez realizado el pago, se aprobara su versión pública por el Comité de Transparencia.</w:t>
      </w:r>
    </w:p>
    <w:p w14:paraId="18753476"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636A3FAC"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En cuanto hace a la copia certificada de la ubicación precisa (dirección real) y el estatus real del Colegio la Salle A.C. en la Constancia de Alineamiento y Número Oficial, precisa la ubicación exacta.</w:t>
      </w:r>
    </w:p>
    <w:p w14:paraId="7E199B26"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761EFB3"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Le informo que después de haber realizado una búsqueda en los archivos que obran en el Departamento de Uso y Control del Suelo, no se cuenta con expediente de cambio de uso de suelo del predio señalado.</w:t>
      </w:r>
    </w:p>
    <w:p w14:paraId="43357946"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757A44B3"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La autoridad municipal, no ha autorizado apertura o prolongación de la vía pública del lote número sesenta, manzana doce, de la calle de Retorno de Perdiz, por lo que no obra expediente técnico alguno que contenga los requisitos establecidos en los artículos 152 y 153 del Reglamento de Libro Quinto del Código Administrativo del Estado de México.  </w:t>
      </w:r>
    </w:p>
    <w:p w14:paraId="6EAA71CC"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BDC992C"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u w:val="single"/>
        </w:rPr>
        <w:t>TM.3801.2022.pdf</w:t>
      </w:r>
      <w:r w:rsidRPr="007B28C0">
        <w:rPr>
          <w:rFonts w:ascii="Palatino Linotype" w:eastAsia="Palatino Linotype" w:hAnsi="Palatino Linotype" w:cs="Palatino Linotype"/>
          <w:sz w:val="24"/>
          <w:szCs w:val="24"/>
        </w:rPr>
        <w:t>”: Oficio de fecha veintidós de noviembre de dos mil veintidós, signado por el Tesorero Municipal, mediante el cual refiere que ratifica su respuesta remitida en el oficio TM/3665/2022.</w:t>
      </w:r>
    </w:p>
    <w:p w14:paraId="78ECDC69"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1D0A786"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u w:val="single"/>
        </w:rPr>
        <w:t>CMPCBYMA.4646.2022.pdf</w:t>
      </w:r>
      <w:r w:rsidRPr="007B28C0">
        <w:rPr>
          <w:rFonts w:ascii="Palatino Linotype" w:eastAsia="Palatino Linotype" w:hAnsi="Palatino Linotype" w:cs="Palatino Linotype"/>
          <w:sz w:val="24"/>
          <w:szCs w:val="24"/>
        </w:rPr>
        <w:t xml:space="preserve">”: Oficio de fecha dieciocho de noviembre de mil veintidós signado por el Comandante de Director de Protección Civil, Ecología y Bomberos en donde menciona que una vez que acredite en las oficinas que ocupa esta Coordinación Municipal el pago de derechos con el Recibo de Pago expedido por la Tesorería Municipal, de las copias certificadas del visto bueno actual (2022), </w:t>
      </w:r>
      <w:r w:rsidRPr="007B28C0">
        <w:rPr>
          <w:rFonts w:ascii="Palatino Linotype" w:eastAsia="Palatino Linotype" w:hAnsi="Palatino Linotype" w:cs="Palatino Linotype"/>
          <w:sz w:val="24"/>
          <w:szCs w:val="24"/>
        </w:rPr>
        <w:lastRenderedPageBreak/>
        <w:t>se someterá al Comité de Transparencia del Municipio de Atizapán de Zaragoza, Estado de México para la autorización de la versión pública de dicha información, toda vez que, la información contenida en los documentos en mención contiene datos personales</w:t>
      </w:r>
    </w:p>
    <w:p w14:paraId="2CB7916E"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952E2F5"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Asimismo, hago de su conocimiento que he ordenado una búsqueda exhaustiva en los archivos de esta Coordinación Municipal, sin que se encontrara el oficio </w:t>
      </w:r>
      <w:proofErr w:type="spellStart"/>
      <w:r w:rsidRPr="007B28C0">
        <w:rPr>
          <w:rFonts w:ascii="Palatino Linotype" w:eastAsia="Palatino Linotype" w:hAnsi="Palatino Linotype" w:cs="Palatino Linotype"/>
          <w:sz w:val="24"/>
          <w:szCs w:val="24"/>
        </w:rPr>
        <w:t>DPCEyB</w:t>
      </w:r>
      <w:proofErr w:type="spellEnd"/>
      <w:r w:rsidRPr="007B28C0">
        <w:rPr>
          <w:rFonts w:ascii="Palatino Linotype" w:eastAsia="Palatino Linotype" w:hAnsi="Palatino Linotype" w:cs="Palatino Linotype"/>
          <w:sz w:val="24"/>
          <w:szCs w:val="24"/>
        </w:rPr>
        <w:t>/NR/28/2016 de fecha nueve de agosto de dos mil dieciséis emitido por el Director de Protección Civil y Bomberos y el oficio DPCEYB/SPC/1015/2014 de fecha cinco de diciembre de dos mil catorce emitido por el Comandante Héctor Elorriaga Mejía.</w:t>
      </w:r>
    </w:p>
    <w:p w14:paraId="1BD99B1C"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6204D4E"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Mismo que se puso a la vista de </w:t>
      </w:r>
      <w:r w:rsidRPr="007B28C0">
        <w:rPr>
          <w:rFonts w:ascii="Palatino Linotype" w:eastAsia="Palatino Linotype" w:hAnsi="Palatino Linotype" w:cs="Palatino Linotype"/>
          <w:b/>
          <w:sz w:val="24"/>
          <w:szCs w:val="24"/>
        </w:rPr>
        <w:t xml:space="preserve">LA PARTE RECURRENTE </w:t>
      </w:r>
      <w:r w:rsidRPr="007B28C0">
        <w:rPr>
          <w:rFonts w:ascii="Palatino Linotype" w:eastAsia="Palatino Linotype" w:hAnsi="Palatino Linotype" w:cs="Palatino Linotype"/>
          <w:sz w:val="24"/>
          <w:szCs w:val="24"/>
        </w:rPr>
        <w:t xml:space="preserve">en fecha trece de junio de dos mil veintidós, por su parte </w:t>
      </w:r>
      <w:r w:rsidRPr="007B28C0">
        <w:rPr>
          <w:rFonts w:ascii="Palatino Linotype" w:eastAsia="Palatino Linotype" w:hAnsi="Palatino Linotype" w:cs="Palatino Linotype"/>
          <w:b/>
          <w:sz w:val="24"/>
          <w:szCs w:val="24"/>
        </w:rPr>
        <w:t xml:space="preserve">LA PARTE RECURRENTE </w:t>
      </w:r>
      <w:r w:rsidRPr="007B28C0">
        <w:rPr>
          <w:rFonts w:ascii="Palatino Linotype" w:eastAsia="Palatino Linotype" w:hAnsi="Palatino Linotype" w:cs="Palatino Linotype"/>
          <w:sz w:val="24"/>
          <w:szCs w:val="24"/>
        </w:rPr>
        <w:t>rindió sus manifestaciones el veinticuatro de noviembre de dos mil veintidós, de la siguiente forma:</w:t>
      </w:r>
    </w:p>
    <w:p w14:paraId="20424B6E"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2A54873D"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hyperlink r:id="rId11">
        <w:r w:rsidRPr="007B28C0">
          <w:rPr>
            <w:rFonts w:ascii="Palatino Linotype" w:eastAsia="Palatino Linotype" w:hAnsi="Palatino Linotype" w:cs="Palatino Linotype"/>
            <w:b/>
            <w:i/>
            <w:sz w:val="24"/>
            <w:szCs w:val="24"/>
            <w:u w:val="single"/>
          </w:rPr>
          <w:t xml:space="preserve">SOL. 0579-At-Ip-22, Acuse </w:t>
        </w:r>
        <w:proofErr w:type="spellStart"/>
        <w:r w:rsidRPr="007B28C0">
          <w:rPr>
            <w:rFonts w:ascii="Palatino Linotype" w:eastAsia="Palatino Linotype" w:hAnsi="Palatino Linotype" w:cs="Palatino Linotype"/>
            <w:b/>
            <w:i/>
            <w:sz w:val="24"/>
            <w:szCs w:val="24"/>
            <w:u w:val="single"/>
          </w:rPr>
          <w:t>Resp</w:t>
        </w:r>
        <w:proofErr w:type="spellEnd"/>
        <w:r w:rsidRPr="007B28C0">
          <w:rPr>
            <w:rFonts w:ascii="Palatino Linotype" w:eastAsia="Palatino Linotype" w:hAnsi="Palatino Linotype" w:cs="Palatino Linotype"/>
            <w:b/>
            <w:i/>
            <w:sz w:val="24"/>
            <w:szCs w:val="24"/>
            <w:u w:val="single"/>
          </w:rPr>
          <w:t>. Sol.pdf</w:t>
        </w:r>
      </w:hyperlink>
      <w:r w:rsidRPr="007B28C0">
        <w:rPr>
          <w:rFonts w:ascii="Palatino Linotype" w:eastAsia="Palatino Linotype" w:hAnsi="Palatino Linotype" w:cs="Palatino Linotype"/>
          <w:sz w:val="24"/>
          <w:szCs w:val="24"/>
        </w:rPr>
        <w:t xml:space="preserve">”: El cual consiste en las capturas de pantalla del registro de respuesta del </w:t>
      </w:r>
      <w:r w:rsidRPr="007B28C0">
        <w:rPr>
          <w:rFonts w:ascii="Palatino Linotype" w:eastAsia="Palatino Linotype" w:hAnsi="Palatino Linotype" w:cs="Palatino Linotype"/>
          <w:b/>
          <w:sz w:val="24"/>
          <w:szCs w:val="24"/>
        </w:rPr>
        <w:t xml:space="preserve">SUJETO OBLIGADO </w:t>
      </w:r>
      <w:r w:rsidRPr="007B28C0">
        <w:rPr>
          <w:rFonts w:ascii="Palatino Linotype" w:eastAsia="Palatino Linotype" w:hAnsi="Palatino Linotype" w:cs="Palatino Linotype"/>
          <w:sz w:val="24"/>
          <w:szCs w:val="24"/>
        </w:rPr>
        <w:t xml:space="preserve">en el SAIMEX. </w:t>
      </w:r>
    </w:p>
    <w:p w14:paraId="07D5058E"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242DCA0"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9. AMPLIACIÓN DEL TÉRMINO PARA RESOLVER</w:t>
      </w: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rPr>
        <w:t xml:space="preserve"> </w:t>
      </w:r>
      <w:r w:rsidRPr="007B28C0">
        <w:rPr>
          <w:rFonts w:ascii="Palatino Linotype" w:eastAsia="Palatino Linotype" w:hAnsi="Palatino Linotype" w:cs="Palatino Linotype"/>
          <w:sz w:val="24"/>
          <w:szCs w:val="24"/>
        </w:rPr>
        <w:t xml:space="preserve">En fecha trece de junio de dos mil veintitrés, se amplió el término para resolver el recurso de revisión en </w:t>
      </w:r>
      <w:r w:rsidRPr="007B28C0">
        <w:rPr>
          <w:rFonts w:ascii="Palatino Linotype" w:eastAsia="Palatino Linotype" w:hAnsi="Palatino Linotype" w:cs="Palatino Linotype"/>
          <w:sz w:val="24"/>
          <w:szCs w:val="24"/>
        </w:rPr>
        <w:lastRenderedPageBreak/>
        <w:t xml:space="preserve">términos del artículo 181 párrafo tercero de la Ley de Transparencia y Acceso a la Información Pública del Estado de México y Municipios. </w:t>
      </w:r>
    </w:p>
    <w:p w14:paraId="2A1696E8"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FA7FF46"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2AF8F4BA"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2BD1444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6366225"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F5FD7F2"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EC22B9"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2FFCFBC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54FD8F"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29003C2" w14:textId="77777777" w:rsidR="005C3A3A" w:rsidRPr="007B28C0" w:rsidRDefault="00BD07C9">
      <w:pPr>
        <w:spacing w:after="0" w:line="360" w:lineRule="auto"/>
        <w:jc w:val="both"/>
        <w:rPr>
          <w:rFonts w:ascii="Palatino Linotype" w:eastAsia="Palatino Linotype" w:hAnsi="Palatino Linotype" w:cs="Palatino Linotype"/>
          <w:strike/>
          <w:sz w:val="24"/>
          <w:szCs w:val="24"/>
        </w:rPr>
      </w:pPr>
      <w:r w:rsidRPr="007B28C0">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9ECF4C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7277652F" w14:textId="77777777" w:rsidR="005C3A3A" w:rsidRPr="007B28C0" w:rsidRDefault="00BD07C9">
      <w:pPr>
        <w:numPr>
          <w:ilvl w:val="0"/>
          <w:numId w:val="6"/>
        </w:num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6971B5AE"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A53CCEC" w14:textId="77777777" w:rsidR="005C3A3A" w:rsidRPr="007B28C0" w:rsidRDefault="00BD07C9">
      <w:pPr>
        <w:numPr>
          <w:ilvl w:val="0"/>
          <w:numId w:val="6"/>
        </w:num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Actividad Procesal del interesado. Acciones u omisiones del interesado.</w:t>
      </w:r>
    </w:p>
    <w:p w14:paraId="0BE9451E"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F0D390A" w14:textId="77777777" w:rsidR="005C3A3A" w:rsidRPr="007B28C0" w:rsidRDefault="00BD07C9">
      <w:pPr>
        <w:numPr>
          <w:ilvl w:val="0"/>
          <w:numId w:val="6"/>
        </w:num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0951DD66" w14:textId="77777777" w:rsidR="005C3A3A" w:rsidRPr="007B28C0" w:rsidRDefault="005C3A3A">
      <w:pPr>
        <w:spacing w:after="0" w:line="360" w:lineRule="auto"/>
        <w:ind w:left="927"/>
        <w:jc w:val="both"/>
        <w:rPr>
          <w:rFonts w:ascii="Palatino Linotype" w:eastAsia="Palatino Linotype" w:hAnsi="Palatino Linotype" w:cs="Palatino Linotype"/>
          <w:sz w:val="24"/>
          <w:szCs w:val="24"/>
        </w:rPr>
      </w:pPr>
    </w:p>
    <w:p w14:paraId="24A73E57" w14:textId="77777777" w:rsidR="005C3A3A" w:rsidRPr="007B28C0" w:rsidRDefault="00BD07C9">
      <w:pPr>
        <w:spacing w:after="0" w:line="360" w:lineRule="auto"/>
        <w:ind w:left="567"/>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3F0F507E"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98FD727"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w:t>
      </w:r>
      <w:r w:rsidRPr="007B28C0">
        <w:rPr>
          <w:rFonts w:ascii="Palatino Linotype" w:eastAsia="Palatino Linotype" w:hAnsi="Palatino Linotype" w:cs="Palatino Linotype"/>
          <w:sz w:val="24"/>
          <w:szCs w:val="24"/>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E3DC3CB"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28D074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7B28C0">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7B28C0">
        <w:rPr>
          <w:rFonts w:ascii="Palatino Linotype" w:eastAsia="Palatino Linotype" w:hAnsi="Palatino Linotype" w:cs="Palatino Linotype"/>
          <w:sz w:val="24"/>
          <w:szCs w:val="24"/>
        </w:rPr>
        <w:t>, visible en la Gaceta del Seminario Judicial de la Federación con el registro digital 205635.</w:t>
      </w:r>
    </w:p>
    <w:p w14:paraId="475E1CE4" w14:textId="77777777" w:rsidR="005C3A3A" w:rsidRPr="007B28C0" w:rsidRDefault="005C3A3A">
      <w:pPr>
        <w:spacing w:after="0" w:line="360" w:lineRule="auto"/>
        <w:jc w:val="both"/>
        <w:rPr>
          <w:rFonts w:ascii="Palatino Linotype" w:eastAsia="Palatino Linotype" w:hAnsi="Palatino Linotype" w:cs="Palatino Linotype"/>
          <w:b/>
          <w:sz w:val="24"/>
          <w:szCs w:val="24"/>
        </w:rPr>
      </w:pPr>
    </w:p>
    <w:p w14:paraId="008743B4"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03D00F1"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1F5A125E"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5D7F65E8"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i/>
          <w:sz w:val="24"/>
          <w:szCs w:val="24"/>
        </w:rPr>
        <w:t>“PLAZO RAZONABLE PARA RESOLVER. DIMENSIÓN Y EFECTOS DE ESTE CONCEPTO CUANDO SE ADUCE EXCESIVA CARGA DE TRABAJO.”</w:t>
      </w:r>
      <w:r w:rsidRPr="007B28C0">
        <w:rPr>
          <w:rFonts w:ascii="Palatino Linotype" w:eastAsia="Palatino Linotype" w:hAnsi="Palatino Linotype" w:cs="Palatino Linotype"/>
          <w:sz w:val="24"/>
          <w:szCs w:val="24"/>
        </w:rPr>
        <w:t xml:space="preserve"> consultable en el Seminario Judicial de la Federación y su gaceta, con el registro digital 2002351.</w:t>
      </w:r>
    </w:p>
    <w:p w14:paraId="7B75533D"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5F0742D2"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7B28C0">
        <w:rPr>
          <w:rFonts w:ascii="Palatino Linotype" w:eastAsia="Palatino Linotype" w:hAnsi="Palatino Linotype" w:cs="Palatino Linotype"/>
          <w:sz w:val="24"/>
          <w:szCs w:val="24"/>
        </w:rPr>
        <w:t>, visible en el Seminario Judicial de la Federación y su gaceta, con el registro digital 2002350.</w:t>
      </w:r>
    </w:p>
    <w:p w14:paraId="349B4F4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53D1A3A"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4240F31"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667A8C4"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 xml:space="preserve">10. CIERRE DE INSTRUCCIÓN. </w:t>
      </w:r>
      <w:r w:rsidRPr="007B28C0">
        <w:rPr>
          <w:rFonts w:ascii="Palatino Linotype" w:eastAsia="Palatino Linotype" w:hAnsi="Palatino Linotype" w:cs="Palatino Linotype"/>
          <w:sz w:val="24"/>
          <w:szCs w:val="24"/>
        </w:rPr>
        <w:t>El cinco de julio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1C21223"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1D3EA5A1"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764CDF6" w14:textId="77777777" w:rsidR="005C3A3A" w:rsidRPr="007B28C0" w:rsidRDefault="00BD07C9">
      <w:pPr>
        <w:widowControl w:val="0"/>
        <w:spacing w:after="0" w:line="360" w:lineRule="auto"/>
        <w:jc w:val="center"/>
        <w:rPr>
          <w:rFonts w:ascii="Palatino Linotype" w:eastAsia="Palatino Linotype" w:hAnsi="Palatino Linotype" w:cs="Palatino Linotype"/>
          <w:b/>
          <w:sz w:val="24"/>
          <w:szCs w:val="24"/>
        </w:rPr>
      </w:pPr>
      <w:r w:rsidRPr="007B28C0">
        <w:rPr>
          <w:rFonts w:ascii="Palatino Linotype" w:eastAsia="Palatino Linotype" w:hAnsi="Palatino Linotype" w:cs="Palatino Linotype"/>
          <w:b/>
          <w:sz w:val="24"/>
          <w:szCs w:val="24"/>
        </w:rPr>
        <w:t>C O N S I D E R A N D O S</w:t>
      </w:r>
    </w:p>
    <w:p w14:paraId="413DF9E2" w14:textId="77777777" w:rsidR="005C3A3A" w:rsidRPr="007B28C0" w:rsidRDefault="005C3A3A">
      <w:pPr>
        <w:spacing w:after="0" w:line="360" w:lineRule="auto"/>
        <w:jc w:val="both"/>
        <w:rPr>
          <w:rFonts w:ascii="Palatino Linotype" w:eastAsia="Palatino Linotype" w:hAnsi="Palatino Linotype" w:cs="Palatino Linotype"/>
          <w:b/>
          <w:sz w:val="24"/>
          <w:szCs w:val="24"/>
        </w:rPr>
      </w:pPr>
    </w:p>
    <w:p w14:paraId="01A830B1"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 xml:space="preserve">PRIMERO. COMPETENCIA. </w:t>
      </w:r>
      <w:r w:rsidRPr="007B28C0">
        <w:rPr>
          <w:rFonts w:ascii="Palatino Linotype" w:eastAsia="Palatino Linotype" w:hAnsi="Palatino Linotype" w:cs="Palatino Linotype"/>
          <w:sz w:val="24"/>
          <w:szCs w:val="24"/>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 </w:t>
      </w:r>
    </w:p>
    <w:p w14:paraId="2C60A4C2" w14:textId="77777777" w:rsidR="005C3A3A" w:rsidRPr="007B28C0" w:rsidRDefault="005C3A3A">
      <w:pPr>
        <w:spacing w:after="0" w:line="360" w:lineRule="auto"/>
        <w:rPr>
          <w:rFonts w:ascii="Palatino Linotype" w:eastAsia="Palatino Linotype" w:hAnsi="Palatino Linotype" w:cs="Palatino Linotype"/>
          <w:sz w:val="24"/>
          <w:szCs w:val="24"/>
        </w:rPr>
      </w:pPr>
    </w:p>
    <w:p w14:paraId="129D71A2" w14:textId="77777777" w:rsidR="005C3A3A" w:rsidRPr="007B28C0" w:rsidRDefault="00BD07C9">
      <w:pPr>
        <w:spacing w:after="0" w:line="360" w:lineRule="auto"/>
        <w:ind w:right="-234"/>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 xml:space="preserve">SEGUNDO. OPORTUNIDAD Y PROCEDIBILIDAD DEL RECURSO DE REVISIÓN.  </w:t>
      </w:r>
      <w:r w:rsidRPr="007B28C0">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w:t>
      </w:r>
      <w:r w:rsidRPr="007B28C0">
        <w:rPr>
          <w:rFonts w:ascii="Palatino Linotype" w:eastAsia="Palatino Linotype" w:hAnsi="Palatino Linotype" w:cs="Palatino Linotype"/>
          <w:sz w:val="24"/>
          <w:szCs w:val="24"/>
        </w:rPr>
        <w:lastRenderedPageBreak/>
        <w:t>interpuesto, previstos en los artículos 178 y 180 de la Ley de Transparencia y Acceso a la Información Pública del Estado de México y Municipios.</w:t>
      </w:r>
    </w:p>
    <w:p w14:paraId="3D1D19F3" w14:textId="77777777" w:rsidR="005C3A3A" w:rsidRPr="007B28C0" w:rsidRDefault="005C3A3A">
      <w:pPr>
        <w:spacing w:after="0" w:line="360" w:lineRule="auto"/>
        <w:ind w:right="-234"/>
        <w:jc w:val="both"/>
        <w:rPr>
          <w:rFonts w:ascii="Palatino Linotype" w:eastAsia="Palatino Linotype" w:hAnsi="Palatino Linotype" w:cs="Palatino Linotype"/>
          <w:sz w:val="24"/>
          <w:szCs w:val="24"/>
        </w:rPr>
      </w:pPr>
    </w:p>
    <w:p w14:paraId="2079430D"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7B28C0">
        <w:rPr>
          <w:rFonts w:ascii="Palatino Linotype" w:eastAsia="Palatino Linotype" w:hAnsi="Palatino Linotype" w:cs="Palatino Linotype"/>
          <w:b/>
          <w:sz w:val="24"/>
          <w:szCs w:val="24"/>
        </w:rPr>
        <w:t xml:space="preserve"> EL SUJETO OBLIGADO </w:t>
      </w:r>
      <w:r w:rsidRPr="007B28C0">
        <w:rPr>
          <w:rFonts w:ascii="Palatino Linotype" w:eastAsia="Palatino Linotype" w:hAnsi="Palatino Linotype" w:cs="Palatino Linotype"/>
          <w:sz w:val="24"/>
          <w:szCs w:val="24"/>
        </w:rPr>
        <w:t xml:space="preserve">emitió la respuesta, toda vez que esta fue pronunciada el día once de noviembre de dos mil veintidós, mientras que </w:t>
      </w:r>
      <w:r w:rsidRPr="007B28C0">
        <w:rPr>
          <w:rFonts w:ascii="Palatino Linotype" w:eastAsia="Palatino Linotype" w:hAnsi="Palatino Linotype" w:cs="Palatino Linotype"/>
          <w:b/>
          <w:sz w:val="24"/>
          <w:szCs w:val="24"/>
        </w:rPr>
        <w:t>LA PARTE RECURRENTE</w:t>
      </w:r>
      <w:r w:rsidRPr="007B28C0">
        <w:rPr>
          <w:rFonts w:ascii="Palatino Linotype" w:eastAsia="Palatino Linotype" w:hAnsi="Palatino Linotype" w:cs="Palatino Linotype"/>
          <w:sz w:val="24"/>
          <w:szCs w:val="24"/>
        </w:rPr>
        <w:t xml:space="preserve"> interpuso el recurso de revisión en fecha dieciséis de noviembre de dos mil veintidós, esto es al tercer día hábil de haber recibido la respuesta.</w:t>
      </w:r>
    </w:p>
    <w:p w14:paraId="670E1BB1" w14:textId="77777777" w:rsidR="005C3A3A" w:rsidRPr="007B28C0" w:rsidRDefault="005C3A3A">
      <w:pPr>
        <w:spacing w:after="0" w:line="360" w:lineRule="auto"/>
        <w:jc w:val="both"/>
      </w:pPr>
    </w:p>
    <w:p w14:paraId="23494A91"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4DBE5A6B"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A9F8820"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EL SAIMEX.  </w:t>
      </w:r>
    </w:p>
    <w:p w14:paraId="7535F183"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17F3024"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Finalmente, resulta procedente la interposición del recurso, según lo aducido por </w:t>
      </w:r>
      <w:r w:rsidRPr="007B28C0">
        <w:rPr>
          <w:rFonts w:ascii="Palatino Linotype" w:eastAsia="Palatino Linotype" w:hAnsi="Palatino Linotype" w:cs="Palatino Linotype"/>
          <w:b/>
          <w:sz w:val="24"/>
          <w:szCs w:val="24"/>
        </w:rPr>
        <w:t>LA PARTE RECURRENTE</w:t>
      </w:r>
      <w:r w:rsidRPr="007B28C0">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7766B129"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9A77B2A"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“Artículo 179. El recurso de revisión es un medio de protección que la Ley otorga a los particulares, para hacer valer su derecho de acceso a la información pública, y procederá en contra de las siguientes causas:</w:t>
      </w:r>
    </w:p>
    <w:p w14:paraId="692CCB1A"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I. La negativa a la información solicitada;”</w:t>
      </w:r>
    </w:p>
    <w:p w14:paraId="7678A445" w14:textId="77777777" w:rsidR="005C3A3A" w:rsidRPr="007B28C0" w:rsidRDefault="005C3A3A">
      <w:pPr>
        <w:spacing w:after="0" w:line="360" w:lineRule="auto"/>
        <w:jc w:val="both"/>
        <w:rPr>
          <w:rFonts w:ascii="Palatino Linotype" w:eastAsia="Palatino Linotype" w:hAnsi="Palatino Linotype" w:cs="Palatino Linotype"/>
        </w:rPr>
      </w:pPr>
    </w:p>
    <w:p w14:paraId="0D42E6A0"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 xml:space="preserve">TERCERO. MATERIA DE LA REVISIÓN. </w:t>
      </w:r>
      <w:r w:rsidRPr="007B28C0">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e informe justificado otorgado por</w:t>
      </w:r>
      <w:r w:rsidRPr="007B28C0">
        <w:rPr>
          <w:rFonts w:ascii="Palatino Linotype" w:eastAsia="Palatino Linotype" w:hAnsi="Palatino Linotype" w:cs="Palatino Linotype"/>
          <w:b/>
          <w:sz w:val="24"/>
          <w:szCs w:val="24"/>
        </w:rPr>
        <w:t xml:space="preserve"> EL SUJETO OBLIGADO</w:t>
      </w:r>
      <w:r w:rsidRPr="007B28C0">
        <w:rPr>
          <w:rFonts w:ascii="Palatino Linotype" w:eastAsia="Palatino Linotype" w:hAnsi="Palatino Linotype" w:cs="Palatino Linotype"/>
          <w:sz w:val="24"/>
          <w:szCs w:val="24"/>
        </w:rPr>
        <w:t xml:space="preserve"> es adecuada y suficiente para satisfacer el derecho de acceso a la información pública de </w:t>
      </w:r>
      <w:r w:rsidRPr="007B28C0">
        <w:rPr>
          <w:rFonts w:ascii="Palatino Linotype" w:eastAsia="Palatino Linotype" w:hAnsi="Palatino Linotype" w:cs="Palatino Linotype"/>
          <w:b/>
          <w:sz w:val="24"/>
          <w:szCs w:val="24"/>
        </w:rPr>
        <w:t>LA PARTE</w:t>
      </w: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b/>
          <w:sz w:val="24"/>
          <w:szCs w:val="24"/>
        </w:rPr>
        <w:t>RECURRENTE</w:t>
      </w:r>
      <w:r w:rsidRPr="007B28C0">
        <w:rPr>
          <w:rFonts w:ascii="Palatino Linotype" w:eastAsia="Palatino Linotype" w:hAnsi="Palatino Linotype" w:cs="Palatino Linotype"/>
          <w:sz w:val="24"/>
          <w:szCs w:val="24"/>
        </w:rPr>
        <w:t>, o en su defecto, en caso de ser procedente, ordenar la entrega de información.</w:t>
      </w:r>
    </w:p>
    <w:p w14:paraId="5A964FD5" w14:textId="77777777" w:rsidR="005C3A3A" w:rsidRPr="007B28C0" w:rsidRDefault="005C3A3A">
      <w:pPr>
        <w:jc w:val="both"/>
      </w:pPr>
    </w:p>
    <w:p w14:paraId="538171B3" w14:textId="77777777" w:rsidR="005C3A3A" w:rsidRPr="007B28C0" w:rsidRDefault="00BD07C9">
      <w:pPr>
        <w:spacing w:before="160"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 xml:space="preserve">CUARTO. ESTUDIO Y RESOLUCIÓN DEL ASUNTO.  </w:t>
      </w:r>
      <w:r w:rsidRPr="007B28C0">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7B28C0">
        <w:rPr>
          <w:rFonts w:ascii="Palatino Linotype" w:eastAsia="Palatino Linotype" w:hAnsi="Palatino Linotype" w:cs="Palatino Linotype"/>
          <w:sz w:val="24"/>
          <w:szCs w:val="24"/>
        </w:rPr>
        <w:lastRenderedPageBreak/>
        <w:t>lo prevén los arábigos 1 párrafos primero, segundo y tercero y 6 apartado A fracciones I, II, III, IV, V, VI y VII que a la letra señalan:</w:t>
      </w:r>
    </w:p>
    <w:p w14:paraId="27F3B945"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C174C5B" w14:textId="77777777" w:rsidR="005C3A3A" w:rsidRPr="007B28C0" w:rsidRDefault="00BD07C9">
      <w:pPr>
        <w:tabs>
          <w:tab w:val="left" w:pos="709"/>
        </w:tabs>
        <w:spacing w:after="0" w:line="276" w:lineRule="auto"/>
        <w:ind w:left="851" w:right="850"/>
        <w:jc w:val="both"/>
        <w:rPr>
          <w:rFonts w:ascii="Palatino Linotype" w:eastAsia="Palatino Linotype" w:hAnsi="Palatino Linotype" w:cs="Palatino Linotype"/>
          <w:i/>
        </w:rPr>
      </w:pPr>
      <w:r w:rsidRPr="007B28C0">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7B28C0">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4D9130E" w14:textId="77777777" w:rsidR="005C3A3A" w:rsidRPr="007B28C0" w:rsidRDefault="00BD07C9">
      <w:pPr>
        <w:tabs>
          <w:tab w:val="left" w:pos="709"/>
        </w:tabs>
        <w:spacing w:line="276" w:lineRule="auto"/>
        <w:ind w:left="851" w:right="850"/>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6BCCB51" w14:textId="77777777" w:rsidR="005C3A3A" w:rsidRPr="007B28C0" w:rsidRDefault="00BD07C9">
      <w:pPr>
        <w:tabs>
          <w:tab w:val="left" w:pos="709"/>
        </w:tabs>
        <w:spacing w:line="276" w:lineRule="auto"/>
        <w:ind w:left="851" w:right="850"/>
        <w:jc w:val="both"/>
        <w:rPr>
          <w:rFonts w:ascii="Palatino Linotype" w:eastAsia="Palatino Linotype" w:hAnsi="Palatino Linotype" w:cs="Palatino Linotype"/>
          <w:i/>
        </w:rPr>
      </w:pPr>
      <w:r w:rsidRPr="007B28C0">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B28C0">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3D0A3FE" w14:textId="77777777" w:rsidR="005C3A3A" w:rsidRPr="007B28C0" w:rsidRDefault="00BD07C9">
      <w:pPr>
        <w:tabs>
          <w:tab w:val="left" w:pos="709"/>
        </w:tabs>
        <w:spacing w:line="276" w:lineRule="auto"/>
        <w:ind w:left="851" w:right="850"/>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462FF847" w14:textId="77777777" w:rsidR="005C3A3A" w:rsidRPr="007B28C0" w:rsidRDefault="00BD07C9">
      <w:pPr>
        <w:spacing w:line="276" w:lineRule="auto"/>
        <w:ind w:left="851" w:right="901"/>
        <w:jc w:val="both"/>
        <w:rPr>
          <w:rFonts w:ascii="Palatino Linotype" w:eastAsia="Palatino Linotype" w:hAnsi="Palatino Linotype" w:cs="Palatino Linotype"/>
          <w:i/>
        </w:rPr>
      </w:pPr>
      <w:r w:rsidRPr="007B28C0">
        <w:rPr>
          <w:rFonts w:ascii="Palatino Linotype" w:eastAsia="Palatino Linotype" w:hAnsi="Palatino Linotype" w:cs="Palatino Linotype"/>
          <w:b/>
          <w:i/>
        </w:rPr>
        <w:t>“Artículo 6o.</w:t>
      </w:r>
    </w:p>
    <w:p w14:paraId="39548DB1" w14:textId="77777777" w:rsidR="005C3A3A" w:rsidRPr="007B28C0" w:rsidRDefault="00BD07C9">
      <w:pPr>
        <w:spacing w:line="276" w:lineRule="auto"/>
        <w:ind w:left="851" w:right="901"/>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7BCC873B" w14:textId="77777777" w:rsidR="005C3A3A" w:rsidRPr="007B28C0" w:rsidRDefault="00BD07C9">
      <w:pPr>
        <w:spacing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A. Para el ejercicio del derecho de acceso a la información, la Federación y </w:t>
      </w:r>
      <w:r w:rsidRPr="007B28C0">
        <w:rPr>
          <w:rFonts w:ascii="Palatino Linotype" w:eastAsia="Palatino Linotype" w:hAnsi="Palatino Linotype" w:cs="Palatino Linotype"/>
          <w:b/>
          <w:i/>
          <w:u w:val="single"/>
        </w:rPr>
        <w:t>las entidades federativas</w:t>
      </w:r>
      <w:r w:rsidRPr="007B28C0">
        <w:rPr>
          <w:rFonts w:ascii="Palatino Linotype" w:eastAsia="Palatino Linotype" w:hAnsi="Palatino Linotype" w:cs="Palatino Linotype"/>
          <w:b/>
          <w:i/>
        </w:rPr>
        <w:t>,</w:t>
      </w:r>
      <w:r w:rsidRPr="007B28C0">
        <w:rPr>
          <w:rFonts w:ascii="Palatino Linotype" w:eastAsia="Palatino Linotype" w:hAnsi="Palatino Linotype" w:cs="Palatino Linotype"/>
          <w:i/>
        </w:rPr>
        <w:t xml:space="preserve"> en el ámbito de sus respectivas competencias, se regirán por los siguientes principios y bases:</w:t>
      </w:r>
    </w:p>
    <w:p w14:paraId="706CCAA8" w14:textId="77777777" w:rsidR="005C3A3A" w:rsidRPr="007B28C0" w:rsidRDefault="00BD07C9">
      <w:pPr>
        <w:spacing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I. </w:t>
      </w:r>
      <w:r w:rsidRPr="007B28C0">
        <w:rPr>
          <w:rFonts w:ascii="Palatino Linotype" w:eastAsia="Palatino Linotype" w:hAnsi="Palatino Linotype" w:cs="Palatino Linotype"/>
          <w:b/>
          <w:i/>
          <w:u w:val="single"/>
        </w:rPr>
        <w:t>Toda la información en posesión de cualquier autoridad, entidad, órgano y organismo de los Poderes</w:t>
      </w:r>
      <w:r w:rsidRPr="007B28C0">
        <w:rPr>
          <w:rFonts w:ascii="Palatino Linotype" w:eastAsia="Palatino Linotype" w:hAnsi="Palatino Linotype" w:cs="Palatino Linotype"/>
          <w:i/>
        </w:rPr>
        <w:t xml:space="preserve"> Ejecutivo, Legislativo </w:t>
      </w:r>
      <w:r w:rsidRPr="007B28C0">
        <w:rPr>
          <w:rFonts w:ascii="Palatino Linotype" w:eastAsia="Palatino Linotype" w:hAnsi="Palatino Linotype" w:cs="Palatino Linotype"/>
          <w:b/>
          <w:i/>
          <w:u w:val="single"/>
        </w:rPr>
        <w:t>y Judicial</w:t>
      </w:r>
      <w:r w:rsidRPr="007B28C0">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w:t>
      </w:r>
      <w:r w:rsidRPr="007B28C0">
        <w:rPr>
          <w:rFonts w:ascii="Palatino Linotype" w:eastAsia="Palatino Linotype" w:hAnsi="Palatino Linotype" w:cs="Palatino Linotype"/>
          <w:i/>
        </w:rPr>
        <w:lastRenderedPageBreak/>
        <w:t xml:space="preserve">realice actos de autoridad en el ámbito federal, estatal y municipal, </w:t>
      </w:r>
      <w:r w:rsidRPr="007B28C0">
        <w:rPr>
          <w:rFonts w:ascii="Palatino Linotype" w:eastAsia="Palatino Linotype" w:hAnsi="Palatino Linotype" w:cs="Palatino Linotype"/>
          <w:b/>
          <w:i/>
        </w:rPr>
        <w:t>es pública y sólo podrá ser reservada temporalmente por razones de interés público y seguridad nacional,</w:t>
      </w:r>
      <w:r w:rsidRPr="007B28C0">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A78259" w14:textId="77777777" w:rsidR="005C3A3A" w:rsidRPr="007B28C0" w:rsidRDefault="00BD07C9">
      <w:pPr>
        <w:ind w:left="851" w:right="851"/>
        <w:jc w:val="both"/>
        <w:rPr>
          <w:rFonts w:ascii="Palatino Linotype" w:eastAsia="Palatino Linotype" w:hAnsi="Palatino Linotype" w:cs="Palatino Linotype"/>
          <w:b/>
          <w:i/>
        </w:rPr>
      </w:pPr>
      <w:r w:rsidRPr="007B28C0">
        <w:rPr>
          <w:rFonts w:ascii="Palatino Linotype" w:eastAsia="Palatino Linotype" w:hAnsi="Palatino Linotype" w:cs="Palatino Linotype"/>
          <w:i/>
        </w:rPr>
        <w:t> </w:t>
      </w:r>
      <w:r w:rsidRPr="007B28C0">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D4058C9" w14:textId="77777777" w:rsidR="005C3A3A" w:rsidRPr="007B28C0" w:rsidRDefault="00BD07C9">
      <w:pPr>
        <w:spacing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 </w:t>
      </w:r>
      <w:r w:rsidRPr="007B28C0">
        <w:rPr>
          <w:rFonts w:ascii="Palatino Linotype" w:eastAsia="Palatino Linotype" w:hAnsi="Palatino Linotype" w:cs="Palatino Linotype"/>
          <w:b/>
          <w:i/>
        </w:rPr>
        <w:t xml:space="preserve">III. </w:t>
      </w:r>
      <w:r w:rsidRPr="007B28C0">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7B28C0">
        <w:rPr>
          <w:rFonts w:ascii="Palatino Linotype" w:eastAsia="Palatino Linotype" w:hAnsi="Palatino Linotype" w:cs="Palatino Linotype"/>
          <w:i/>
        </w:rPr>
        <w:t xml:space="preserve"> a sus datos personales o a la rectificación de éstos.</w:t>
      </w:r>
    </w:p>
    <w:p w14:paraId="589B09A9" w14:textId="77777777" w:rsidR="005C3A3A" w:rsidRPr="007B28C0" w:rsidRDefault="00BD07C9">
      <w:pPr>
        <w:spacing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 </w:t>
      </w:r>
      <w:r w:rsidRPr="007B28C0">
        <w:rPr>
          <w:rFonts w:ascii="Palatino Linotype" w:eastAsia="Palatino Linotype" w:hAnsi="Palatino Linotype" w:cs="Palatino Linotype"/>
          <w:b/>
          <w:i/>
        </w:rPr>
        <w:t xml:space="preserve">IV. </w:t>
      </w:r>
      <w:r w:rsidRPr="007B28C0">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ECE6EF0" w14:textId="77777777" w:rsidR="005C3A3A" w:rsidRPr="007B28C0" w:rsidRDefault="00BD07C9">
      <w:pPr>
        <w:spacing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V. </w:t>
      </w:r>
      <w:r w:rsidRPr="007B28C0">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082BF28" w14:textId="77777777" w:rsidR="005C3A3A" w:rsidRPr="007B28C0" w:rsidRDefault="00BD07C9">
      <w:pPr>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VI. </w:t>
      </w:r>
      <w:r w:rsidRPr="007B28C0">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2EC56CC" w14:textId="77777777" w:rsidR="005C3A3A" w:rsidRPr="007B28C0" w:rsidRDefault="00BD07C9">
      <w:pPr>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VII. </w:t>
      </w:r>
      <w:r w:rsidRPr="007B28C0">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FCA8DDB" w14:textId="77777777" w:rsidR="005C3A3A" w:rsidRPr="007B28C0" w:rsidRDefault="005C3A3A">
      <w:pPr>
        <w:ind w:right="851"/>
        <w:jc w:val="both"/>
        <w:rPr>
          <w:rFonts w:ascii="Palatino Linotype" w:eastAsia="Palatino Linotype" w:hAnsi="Palatino Linotype" w:cs="Palatino Linotype"/>
          <w:i/>
        </w:rPr>
      </w:pPr>
    </w:p>
    <w:p w14:paraId="68B0B172" w14:textId="77777777" w:rsidR="005C3A3A" w:rsidRPr="007B28C0" w:rsidRDefault="00BD07C9">
      <w:pPr>
        <w:tabs>
          <w:tab w:val="left" w:pos="709"/>
        </w:tabs>
        <w:spacing w:before="160"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sidRPr="007B28C0">
        <w:rPr>
          <w:rFonts w:ascii="Palatino Linotype" w:eastAsia="Palatino Linotype" w:hAnsi="Palatino Linotype" w:cs="Palatino Linotype"/>
          <w:sz w:val="24"/>
          <w:szCs w:val="24"/>
        </w:rPr>
        <w:lastRenderedPageBreak/>
        <w:t>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D9446AB"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C67E950"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primer lugar, es conveniente analizar si la respuesta del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96E57B6"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7927BD0D" w14:textId="77777777" w:rsidR="005C3A3A" w:rsidRPr="007B28C0" w:rsidRDefault="00BD07C9">
      <w:pPr>
        <w:spacing w:after="0" w:line="276" w:lineRule="auto"/>
        <w:ind w:left="851" w:right="760"/>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r w:rsidRPr="007B28C0">
        <w:rPr>
          <w:rFonts w:ascii="Palatino Linotype" w:eastAsia="Palatino Linotype" w:hAnsi="Palatino Linotype" w:cs="Palatino Linotype"/>
          <w:b/>
          <w:i/>
        </w:rPr>
        <w:t>Artículo 4.</w:t>
      </w:r>
      <w:r w:rsidRPr="007B28C0">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48C970F" w14:textId="77777777" w:rsidR="005C3A3A" w:rsidRPr="007B28C0" w:rsidRDefault="00BD07C9">
      <w:pPr>
        <w:spacing w:line="276" w:lineRule="auto"/>
        <w:ind w:left="851" w:right="760"/>
        <w:jc w:val="both"/>
        <w:rPr>
          <w:rFonts w:ascii="Palatino Linotype" w:eastAsia="Palatino Linotype" w:hAnsi="Palatino Linotype" w:cs="Palatino Linotype"/>
          <w:i/>
        </w:rPr>
      </w:pPr>
      <w:r w:rsidRPr="007B28C0">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7B28C0">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w:t>
      </w:r>
      <w:r w:rsidRPr="007B28C0">
        <w:rPr>
          <w:rFonts w:ascii="Palatino Linotype" w:eastAsia="Palatino Linotype" w:hAnsi="Palatino Linotype" w:cs="Palatino Linotype"/>
          <w:i/>
        </w:rPr>
        <w:lastRenderedPageBreak/>
        <w:t>Pública del Estado de México y Municipios 29 como reservada temporalmente por razones de interés público, en los términos de las causas legítimas y estrictamente necesarias previstas por esta Ley.</w:t>
      </w:r>
    </w:p>
    <w:p w14:paraId="208BCD54" w14:textId="77777777" w:rsidR="005C3A3A" w:rsidRPr="007B28C0" w:rsidRDefault="005C3A3A">
      <w:pPr>
        <w:spacing w:line="276" w:lineRule="auto"/>
        <w:ind w:left="851" w:right="760"/>
        <w:jc w:val="both"/>
        <w:rPr>
          <w:rFonts w:ascii="Palatino Linotype" w:eastAsia="Palatino Linotype" w:hAnsi="Palatino Linotype" w:cs="Palatino Linotype"/>
          <w:i/>
        </w:rPr>
      </w:pPr>
    </w:p>
    <w:p w14:paraId="2E50CFCE" w14:textId="77777777" w:rsidR="005C3A3A" w:rsidRPr="007B28C0" w:rsidRDefault="00BD07C9">
      <w:pPr>
        <w:spacing w:after="0" w:line="276" w:lineRule="auto"/>
        <w:ind w:left="851" w:right="760"/>
        <w:jc w:val="both"/>
        <w:rPr>
          <w:rFonts w:ascii="Palatino Linotype" w:eastAsia="Palatino Linotype" w:hAnsi="Palatino Linotype" w:cs="Palatino Linotype"/>
          <w:i/>
        </w:rPr>
      </w:pPr>
      <w:r w:rsidRPr="007B28C0">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7B28C0">
        <w:rPr>
          <w:rFonts w:ascii="Palatino Linotype" w:eastAsia="Palatino Linotype" w:hAnsi="Palatino Linotype" w:cs="Palatino Linotype"/>
          <w:i/>
        </w:rPr>
        <w:t>.”(Sic)</w:t>
      </w:r>
    </w:p>
    <w:p w14:paraId="6D40E5D4" w14:textId="77777777" w:rsidR="005C3A3A" w:rsidRPr="007B28C0" w:rsidRDefault="005C3A3A">
      <w:pPr>
        <w:spacing w:after="0" w:line="360" w:lineRule="auto"/>
        <w:ind w:left="709" w:right="760"/>
        <w:jc w:val="both"/>
        <w:rPr>
          <w:rFonts w:ascii="Palatino Linotype" w:eastAsia="Palatino Linotype" w:hAnsi="Palatino Linotype" w:cs="Palatino Linotype"/>
          <w:i/>
          <w:sz w:val="24"/>
          <w:szCs w:val="24"/>
        </w:rPr>
      </w:pPr>
    </w:p>
    <w:p w14:paraId="6DBDE79B"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96B0D3C"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AE78E3E" w14:textId="77777777" w:rsidR="005C3A3A" w:rsidRPr="007B28C0" w:rsidRDefault="00BD07C9">
      <w:pPr>
        <w:spacing w:line="276" w:lineRule="auto"/>
        <w:ind w:left="567" w:right="758"/>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r w:rsidRPr="007B28C0">
        <w:rPr>
          <w:rFonts w:ascii="Palatino Linotype" w:eastAsia="Palatino Linotype" w:hAnsi="Palatino Linotype" w:cs="Palatino Linotype"/>
          <w:b/>
          <w:i/>
        </w:rPr>
        <w:t>Artículo 12.-</w:t>
      </w:r>
      <w:r w:rsidRPr="007B28C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0489306" w14:textId="77777777" w:rsidR="005C3A3A" w:rsidRPr="007B28C0" w:rsidRDefault="00BD07C9">
      <w:pPr>
        <w:spacing w:after="0" w:line="276" w:lineRule="auto"/>
        <w:ind w:left="567" w:right="758"/>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7B28C0">
        <w:rPr>
          <w:rFonts w:ascii="Palatino Linotype" w:eastAsia="Palatino Linotype" w:hAnsi="Palatino Linotype" w:cs="Palatino Linotype"/>
          <w:i/>
        </w:rPr>
        <w:t xml:space="preserve">. </w:t>
      </w:r>
      <w:r w:rsidRPr="007B28C0">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B3D375B" w14:textId="77777777" w:rsidR="005C3A3A" w:rsidRPr="007B28C0" w:rsidRDefault="005C3A3A">
      <w:pPr>
        <w:spacing w:after="0" w:line="276" w:lineRule="auto"/>
        <w:ind w:left="567" w:right="758"/>
        <w:jc w:val="both"/>
        <w:rPr>
          <w:rFonts w:ascii="Palatino Linotype" w:eastAsia="Palatino Linotype" w:hAnsi="Palatino Linotype" w:cs="Palatino Linotype"/>
          <w:sz w:val="24"/>
          <w:szCs w:val="24"/>
        </w:rPr>
      </w:pPr>
    </w:p>
    <w:p w14:paraId="6681605E"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0C5AECD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73C9CCB"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B57E36D"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45BC919B"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6E2ACC4F" w14:textId="77777777" w:rsidR="005C3A3A" w:rsidRPr="007B28C0" w:rsidRDefault="005C3A3A">
      <w:pPr>
        <w:spacing w:after="0" w:line="360" w:lineRule="auto"/>
        <w:jc w:val="both"/>
        <w:rPr>
          <w:rFonts w:ascii="Palatino Linotype" w:eastAsia="Palatino Linotype" w:hAnsi="Palatino Linotype" w:cs="Palatino Linotype"/>
        </w:rPr>
      </w:pPr>
    </w:p>
    <w:p w14:paraId="7AECED34"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“Artículo 18.</w:t>
      </w:r>
      <w:r w:rsidRPr="007B28C0">
        <w:rPr>
          <w:rFonts w:ascii="Palatino Linotype" w:eastAsia="Palatino Linotype" w:hAnsi="Palatino Linotype" w:cs="Palatino Linotype"/>
          <w:i/>
        </w:rPr>
        <w:t xml:space="preserve"> </w:t>
      </w:r>
      <w:r w:rsidRPr="007B28C0">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7B28C0">
        <w:rPr>
          <w:rFonts w:ascii="Palatino Linotype" w:eastAsia="Palatino Linotype" w:hAnsi="Palatino Linotype" w:cs="Palatino Linotype"/>
          <w:i/>
        </w:rPr>
        <w:t xml:space="preserve"> y reutilización de la información que generen.</w:t>
      </w:r>
    </w:p>
    <w:p w14:paraId="6E54E37E"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Artículo 19. </w:t>
      </w:r>
      <w:r w:rsidRPr="007B28C0">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7B28C0">
        <w:rPr>
          <w:rFonts w:ascii="Palatino Linotype" w:eastAsia="Palatino Linotype" w:hAnsi="Palatino Linotype" w:cs="Palatino Linotype"/>
          <w:i/>
        </w:rPr>
        <w:t>.</w:t>
      </w:r>
    </w:p>
    <w:p w14:paraId="49A83F80"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5698EC89"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3B73835" w14:textId="77777777" w:rsidR="005C3A3A" w:rsidRPr="007B28C0" w:rsidRDefault="005C3A3A">
      <w:pPr>
        <w:spacing w:after="0" w:line="360" w:lineRule="auto"/>
        <w:ind w:left="851" w:right="851"/>
        <w:jc w:val="both"/>
        <w:rPr>
          <w:rFonts w:ascii="Palatino Linotype" w:eastAsia="Palatino Linotype" w:hAnsi="Palatino Linotype" w:cs="Palatino Linotype"/>
          <w:sz w:val="24"/>
          <w:szCs w:val="24"/>
        </w:rPr>
      </w:pPr>
    </w:p>
    <w:p w14:paraId="66F42D6E"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07FCF8B"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249E7A2"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w:t>
      </w:r>
      <w:r w:rsidRPr="007B28C0">
        <w:rPr>
          <w:rFonts w:ascii="Palatino Linotype" w:eastAsia="Palatino Linotype" w:hAnsi="Palatino Linotype" w:cs="Palatino Linotype"/>
          <w:sz w:val="24"/>
          <w:szCs w:val="24"/>
        </w:rPr>
        <w:lastRenderedPageBreak/>
        <w:t xml:space="preserve">electrónico, informático u holográfico de conformidad con el artículo 3, fracción XI de la Ley de la materia, el cual señala lo siguiente: </w:t>
      </w:r>
    </w:p>
    <w:p w14:paraId="6847E70C"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2977B638" w14:textId="77777777" w:rsidR="005C3A3A" w:rsidRPr="007B28C0" w:rsidRDefault="00BD07C9">
      <w:pPr>
        <w:spacing w:line="276" w:lineRule="auto"/>
        <w:ind w:left="851" w:right="899"/>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r w:rsidRPr="007B28C0">
        <w:rPr>
          <w:rFonts w:ascii="Palatino Linotype" w:eastAsia="Palatino Linotype" w:hAnsi="Palatino Linotype" w:cs="Palatino Linotype"/>
          <w:b/>
          <w:i/>
        </w:rPr>
        <w:t xml:space="preserve">Artículo 3. </w:t>
      </w:r>
      <w:r w:rsidRPr="007B28C0">
        <w:rPr>
          <w:rFonts w:ascii="Palatino Linotype" w:eastAsia="Palatino Linotype" w:hAnsi="Palatino Linotype" w:cs="Palatino Linotype"/>
          <w:i/>
        </w:rPr>
        <w:t>Para los efectos de la presente Ley se entenderá por:</w:t>
      </w:r>
    </w:p>
    <w:p w14:paraId="70963A50" w14:textId="77777777" w:rsidR="005C3A3A" w:rsidRPr="007B28C0" w:rsidRDefault="00BD07C9">
      <w:pPr>
        <w:spacing w:line="276" w:lineRule="auto"/>
        <w:ind w:left="851" w:right="899"/>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4E480333" w14:textId="77777777" w:rsidR="005C3A3A" w:rsidRPr="007B28C0" w:rsidRDefault="00BD07C9">
      <w:pPr>
        <w:spacing w:after="0" w:line="276" w:lineRule="auto"/>
        <w:ind w:left="851" w:right="899"/>
        <w:jc w:val="both"/>
        <w:rPr>
          <w:rFonts w:ascii="Palatino Linotype" w:eastAsia="Palatino Linotype" w:hAnsi="Palatino Linotype" w:cs="Palatino Linotype"/>
          <w:i/>
        </w:rPr>
      </w:pPr>
      <w:r w:rsidRPr="007B28C0">
        <w:rPr>
          <w:rFonts w:ascii="Palatino Linotype" w:eastAsia="Palatino Linotype" w:hAnsi="Palatino Linotype" w:cs="Palatino Linotype"/>
          <w:b/>
          <w:i/>
        </w:rPr>
        <w:t>XI. Documento:</w:t>
      </w:r>
      <w:r w:rsidRPr="007B28C0">
        <w:rPr>
          <w:rFonts w:ascii="Palatino Linotype" w:eastAsia="Palatino Linotype" w:hAnsi="Palatino Linotype" w:cs="Palatino Linotype"/>
          <w:i/>
        </w:rPr>
        <w:t xml:space="preserve"> Los expedientes, reportes, estudios, actas</w:t>
      </w:r>
      <w:r w:rsidRPr="007B28C0">
        <w:rPr>
          <w:rFonts w:ascii="Palatino Linotype" w:eastAsia="Palatino Linotype" w:hAnsi="Palatino Linotype" w:cs="Palatino Linotype"/>
          <w:b/>
          <w:i/>
        </w:rPr>
        <w:t>,</w:t>
      </w:r>
      <w:r w:rsidRPr="007B28C0">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BAFAA59" w14:textId="77777777" w:rsidR="005C3A3A" w:rsidRPr="007B28C0" w:rsidRDefault="005C3A3A">
      <w:pPr>
        <w:spacing w:after="0" w:line="360" w:lineRule="auto"/>
        <w:ind w:left="851" w:right="899"/>
        <w:jc w:val="both"/>
        <w:rPr>
          <w:rFonts w:ascii="Palatino Linotype" w:eastAsia="Palatino Linotype" w:hAnsi="Palatino Linotype" w:cs="Palatino Linotype"/>
          <w:sz w:val="24"/>
          <w:szCs w:val="24"/>
        </w:rPr>
      </w:pPr>
    </w:p>
    <w:p w14:paraId="5D26E49C"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81D0B11"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D3E4F36" w14:textId="77777777" w:rsidR="005C3A3A" w:rsidRPr="007B28C0" w:rsidRDefault="00BD07C9">
      <w:pPr>
        <w:spacing w:after="0" w:line="276" w:lineRule="auto"/>
        <w:ind w:left="851" w:right="902"/>
        <w:jc w:val="both"/>
        <w:rPr>
          <w:rFonts w:ascii="Palatino Linotype" w:eastAsia="Palatino Linotype" w:hAnsi="Palatino Linotype" w:cs="Palatino Linotype"/>
          <w:b/>
          <w:i/>
        </w:rPr>
      </w:pPr>
      <w:r w:rsidRPr="007B28C0">
        <w:rPr>
          <w:rFonts w:ascii="Palatino Linotype" w:eastAsia="Palatino Linotype" w:hAnsi="Palatino Linotype" w:cs="Palatino Linotype"/>
          <w:b/>
        </w:rPr>
        <w:t>“</w:t>
      </w:r>
      <w:r w:rsidRPr="007B28C0">
        <w:rPr>
          <w:rFonts w:ascii="Palatino Linotype" w:eastAsia="Palatino Linotype" w:hAnsi="Palatino Linotype" w:cs="Palatino Linotype"/>
          <w:b/>
          <w:i/>
        </w:rPr>
        <w:t>CRITERIO 0002-11</w:t>
      </w:r>
    </w:p>
    <w:p w14:paraId="6A71A1C2" w14:textId="77777777" w:rsidR="005C3A3A" w:rsidRPr="007B28C0" w:rsidRDefault="00BD07C9">
      <w:pPr>
        <w:spacing w:after="0" w:line="276" w:lineRule="auto"/>
        <w:ind w:left="851"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7B28C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w:t>
      </w:r>
      <w:r w:rsidRPr="007B28C0">
        <w:rPr>
          <w:rFonts w:ascii="Palatino Linotype" w:eastAsia="Palatino Linotype" w:hAnsi="Palatino Linotype" w:cs="Palatino Linotype"/>
          <w:i/>
        </w:rPr>
        <w:lastRenderedPageBreak/>
        <w:t>registros y documentos públicos, administrados, generados o en posesión de los órganos u organismos públicos, en virtud del ejercicio de sus funciones de derecho público, sin importar su fuente, soporte o fecha de elaboración.</w:t>
      </w:r>
    </w:p>
    <w:p w14:paraId="245772D5" w14:textId="77777777" w:rsidR="005C3A3A" w:rsidRPr="007B28C0" w:rsidRDefault="00BD07C9">
      <w:pPr>
        <w:spacing w:after="0" w:line="276" w:lineRule="auto"/>
        <w:ind w:left="851" w:right="902"/>
        <w:jc w:val="both"/>
        <w:rPr>
          <w:rFonts w:ascii="Palatino Linotype" w:eastAsia="Palatino Linotype" w:hAnsi="Palatino Linotype" w:cs="Palatino Linotype"/>
          <w:i/>
        </w:rPr>
      </w:pPr>
      <w:r w:rsidRPr="007B28C0">
        <w:rPr>
          <w:rFonts w:ascii="Palatino Linotype" w:eastAsia="Palatino Linotype" w:hAnsi="Palatino Linotype" w:cs="Palatino Linotype"/>
          <w:i/>
        </w:rPr>
        <w:t>En consecuencia el acceso a la información se refiere a que se cumplan cualquiera de los siguientes tres supuestos:</w:t>
      </w:r>
    </w:p>
    <w:p w14:paraId="49DD29AC" w14:textId="77777777" w:rsidR="005C3A3A" w:rsidRPr="007B28C0" w:rsidRDefault="00BD07C9">
      <w:pPr>
        <w:spacing w:after="0" w:line="276" w:lineRule="auto"/>
        <w:ind w:left="851" w:right="902"/>
        <w:jc w:val="both"/>
        <w:rPr>
          <w:rFonts w:ascii="Palatino Linotype" w:eastAsia="Palatino Linotype" w:hAnsi="Palatino Linotype" w:cs="Palatino Linotype"/>
          <w:i/>
        </w:rPr>
      </w:pPr>
      <w:r w:rsidRPr="007B28C0">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44949296" w14:textId="77777777" w:rsidR="005C3A3A" w:rsidRPr="007B28C0" w:rsidRDefault="00BD07C9">
      <w:pPr>
        <w:spacing w:after="0" w:line="276" w:lineRule="auto"/>
        <w:ind w:left="851" w:right="902"/>
        <w:jc w:val="both"/>
        <w:rPr>
          <w:rFonts w:ascii="Palatino Linotype" w:eastAsia="Palatino Linotype" w:hAnsi="Palatino Linotype" w:cs="Palatino Linotype"/>
          <w:i/>
        </w:rPr>
      </w:pPr>
      <w:r w:rsidRPr="007B28C0">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12C85BF0" w14:textId="77777777" w:rsidR="005C3A3A" w:rsidRPr="007B28C0" w:rsidRDefault="00BD07C9">
      <w:pPr>
        <w:spacing w:after="0" w:line="276" w:lineRule="auto"/>
        <w:ind w:left="851" w:right="902"/>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2B7BB8B1" w14:textId="77777777" w:rsidR="005C3A3A" w:rsidRPr="007B28C0" w:rsidRDefault="00BD07C9">
      <w:pPr>
        <w:tabs>
          <w:tab w:val="left" w:pos="3510"/>
        </w:tabs>
        <w:spacing w:after="0" w:line="360" w:lineRule="auto"/>
        <w:ind w:left="851" w:right="899"/>
        <w:jc w:val="both"/>
        <w:rPr>
          <w:rFonts w:ascii="Palatino Linotype" w:eastAsia="Palatino Linotype" w:hAnsi="Palatino Linotype" w:cs="Palatino Linotype"/>
          <w:i/>
        </w:rPr>
      </w:pPr>
      <w:r w:rsidRPr="007B28C0">
        <w:rPr>
          <w:rFonts w:ascii="Palatino Linotype" w:eastAsia="Palatino Linotype" w:hAnsi="Palatino Linotype" w:cs="Palatino Linotype"/>
          <w:i/>
        </w:rPr>
        <w:tab/>
      </w:r>
    </w:p>
    <w:p w14:paraId="4469221C"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De ahí que el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B28C0">
        <w:rPr>
          <w:rFonts w:ascii="Palatino Linotype" w:eastAsia="Palatino Linotype" w:hAnsi="Palatino Linotype" w:cs="Palatino Linotype"/>
          <w:sz w:val="24"/>
          <w:szCs w:val="24"/>
          <w:vertAlign w:val="superscript"/>
        </w:rPr>
        <w:footnoteReference w:id="1"/>
      </w:r>
      <w:r w:rsidRPr="007B28C0">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sidRPr="007B28C0">
        <w:rPr>
          <w:rFonts w:ascii="Palatino Linotype" w:eastAsia="Palatino Linotype" w:hAnsi="Palatino Linotype" w:cs="Palatino Linotype"/>
          <w:sz w:val="24"/>
          <w:szCs w:val="24"/>
        </w:rPr>
        <w:lastRenderedPageBreak/>
        <w:t>actividades que llevan a cabo los Sujetos Obligados</w:t>
      </w:r>
      <w:r w:rsidRPr="007B28C0">
        <w:rPr>
          <w:rFonts w:ascii="Palatino Linotype" w:eastAsia="Palatino Linotype" w:hAnsi="Palatino Linotype" w:cs="Palatino Linotype"/>
          <w:sz w:val="24"/>
          <w:szCs w:val="24"/>
          <w:vertAlign w:val="superscript"/>
        </w:rPr>
        <w:footnoteReference w:id="2"/>
      </w:r>
      <w:r w:rsidRPr="007B28C0">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104E74C6"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2CE29949"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Previo al análisis de los puntos controvertidos, conviene mencionar que se advierte que el particular no se inconforma por la respuesta respecto a los planos autorizados por conjunto o fraccionamiento, si cumplió con lo ordenado en los oficios </w:t>
      </w:r>
      <w:proofErr w:type="spellStart"/>
      <w:r w:rsidRPr="007B28C0">
        <w:rPr>
          <w:rFonts w:ascii="Palatino Linotype" w:eastAsia="Palatino Linotype" w:hAnsi="Palatino Linotype" w:cs="Palatino Linotype"/>
          <w:sz w:val="24"/>
          <w:szCs w:val="24"/>
        </w:rPr>
        <w:t>DPCEyB</w:t>
      </w:r>
      <w:proofErr w:type="spellEnd"/>
      <w:r w:rsidRPr="007B28C0">
        <w:rPr>
          <w:rFonts w:ascii="Palatino Linotype" w:eastAsia="Palatino Linotype" w:hAnsi="Palatino Linotype" w:cs="Palatino Linotype"/>
          <w:sz w:val="24"/>
          <w:szCs w:val="24"/>
        </w:rPr>
        <w:t xml:space="preserve">/NR/28/2016 y DPCEYB/SPC/1015/2014, así como por la solicitud a SAPASA. para conexión toma de agua, y conexión drenaje, por lo que dichas respuestas deben declararse consentidas por </w:t>
      </w:r>
      <w:r w:rsidRPr="007B28C0">
        <w:rPr>
          <w:rFonts w:ascii="Palatino Linotype" w:eastAsia="Palatino Linotype" w:hAnsi="Palatino Linotype" w:cs="Palatino Linotype"/>
          <w:b/>
          <w:sz w:val="24"/>
          <w:szCs w:val="24"/>
        </w:rPr>
        <w:t>LA PARTE RECURRENTE</w:t>
      </w:r>
      <w:r w:rsidRPr="007B28C0">
        <w:rPr>
          <w:rFonts w:ascii="Palatino Linotype" w:eastAsia="Palatino Linotype" w:hAnsi="Palatino Linotype" w:cs="Palatino Linotype"/>
          <w:sz w:val="24"/>
          <w:szCs w:val="24"/>
        </w:rPr>
        <w:t xml:space="preserve">, por lo que no pueden producirse efectos jurídicos tendentes a revocar, confirmar o modificar el acto reclamado ya que se infiere un consentimiento de </w:t>
      </w:r>
      <w:r w:rsidRPr="007B28C0">
        <w:rPr>
          <w:rFonts w:ascii="Palatino Linotype" w:eastAsia="Palatino Linotype" w:hAnsi="Palatino Linotype" w:cs="Palatino Linotype"/>
          <w:b/>
          <w:sz w:val="24"/>
          <w:szCs w:val="24"/>
        </w:rPr>
        <w:t>LA PARTE RECURRENTE</w:t>
      </w:r>
      <w:r w:rsidRPr="007B28C0">
        <w:rPr>
          <w:rFonts w:ascii="Palatino Linotype" w:eastAsia="Palatino Linotype" w:hAnsi="Palatino Linotype" w:cs="Palatino Linotype"/>
          <w:sz w:val="24"/>
          <w:szCs w:val="24"/>
        </w:rPr>
        <w:t xml:space="preserve"> ante la falta de impugnación eficaz. </w:t>
      </w:r>
    </w:p>
    <w:p w14:paraId="0C1F58B2"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299A499B"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1F0687D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5896165A" w14:textId="77777777" w:rsidR="005C3A3A" w:rsidRPr="007B28C0" w:rsidRDefault="00BD07C9">
      <w:pPr>
        <w:shd w:val="clear" w:color="auto" w:fill="FFFFFF"/>
        <w:spacing w:after="0" w:line="276" w:lineRule="auto"/>
        <w:ind w:left="851" w:right="902"/>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r w:rsidRPr="007B28C0">
        <w:rPr>
          <w:rFonts w:ascii="Palatino Linotype" w:eastAsia="Palatino Linotype" w:hAnsi="Palatino Linotype" w:cs="Palatino Linotype"/>
          <w:b/>
          <w:i/>
        </w:rPr>
        <w:t>ACTOS CONSENTIDOS. SON LOS QUE NO SE IMPUGNAN MEDIANTE EL RECURSO IDÓNEO</w:t>
      </w:r>
      <w:r w:rsidRPr="007B28C0">
        <w:rPr>
          <w:rFonts w:ascii="Palatino Linotype" w:eastAsia="Palatino Linotype" w:hAnsi="Palatino Linotype" w:cs="Palatino Linotype"/>
          <w:i/>
        </w:rPr>
        <w:t xml:space="preserve">. Debe reputarse como consentido el acto que no se impugnó por el medio establecido por la ley, ya que si se hizo uso de otro no previsto por ella o si se hace una simple manifestación de </w:t>
      </w:r>
      <w:r w:rsidRPr="007B28C0">
        <w:rPr>
          <w:rFonts w:ascii="Palatino Linotype" w:eastAsia="Palatino Linotype" w:hAnsi="Palatino Linotype" w:cs="Palatino Linotype"/>
          <w:i/>
        </w:rPr>
        <w:lastRenderedPageBreak/>
        <w:t>inconformidad, tales actuaciones no producen efectos jurídicos tendientes a revocar, confirmar o modificar el acto reclamado en amparo, lo que significa consentimiento del mismo por falta de impugnación eficaz.”</w:t>
      </w:r>
    </w:p>
    <w:p w14:paraId="10E44CF8" w14:textId="77777777" w:rsidR="005C3A3A" w:rsidRPr="007B28C0" w:rsidRDefault="005C3A3A">
      <w:pPr>
        <w:shd w:val="clear" w:color="auto" w:fill="FFFFFF"/>
        <w:spacing w:after="120" w:line="276" w:lineRule="auto"/>
        <w:ind w:left="851" w:right="902"/>
        <w:jc w:val="both"/>
        <w:rPr>
          <w:rFonts w:ascii="Palatino Linotype" w:eastAsia="Palatino Linotype" w:hAnsi="Palatino Linotype" w:cs="Palatino Linotype"/>
          <w:i/>
        </w:rPr>
      </w:pPr>
    </w:p>
    <w:p w14:paraId="21698A81" w14:textId="77777777" w:rsidR="005C3A3A" w:rsidRPr="007B28C0" w:rsidRDefault="00BD07C9">
      <w:pPr>
        <w:spacing w:before="120"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Lo anterior es así, debido a que, cuando </w:t>
      </w:r>
      <w:r w:rsidRPr="007B28C0">
        <w:rPr>
          <w:rFonts w:ascii="Palatino Linotype" w:eastAsia="Palatino Linotype" w:hAnsi="Palatino Linotype" w:cs="Palatino Linotype"/>
          <w:b/>
          <w:sz w:val="24"/>
          <w:szCs w:val="24"/>
        </w:rPr>
        <w:t>LA PARTE</w:t>
      </w: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b/>
          <w:sz w:val="24"/>
          <w:szCs w:val="24"/>
        </w:rPr>
        <w:t xml:space="preserve">RECURRENTE </w:t>
      </w:r>
      <w:r w:rsidRPr="007B28C0">
        <w:rPr>
          <w:rFonts w:ascii="Palatino Linotype" w:eastAsia="Palatino Linotype" w:hAnsi="Palatino Linotype" w:cs="Palatino Linotype"/>
          <w:sz w:val="24"/>
          <w:szCs w:val="24"/>
        </w:rPr>
        <w:t xml:space="preserve">impugnó la respuesta del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w:t>
      </w:r>
      <w:r w:rsidRPr="007B28C0">
        <w:rPr>
          <w:rFonts w:ascii="Palatino Linotype" w:eastAsia="Palatino Linotype" w:hAnsi="Palatino Linotype" w:cs="Palatino Linotype"/>
          <w:b/>
          <w:sz w:val="24"/>
          <w:szCs w:val="24"/>
        </w:rPr>
        <w:t>LA PARTE</w:t>
      </w: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b/>
          <w:sz w:val="24"/>
          <w:szCs w:val="24"/>
        </w:rPr>
        <w:t>RECURRENTE</w:t>
      </w:r>
      <w:r w:rsidRPr="007B28C0">
        <w:rPr>
          <w:rFonts w:ascii="Palatino Linotype" w:eastAsia="Palatino Linotype" w:hAnsi="Palatino Linotype" w:cs="Palatino Linotype"/>
          <w:sz w:val="24"/>
          <w:szCs w:val="24"/>
        </w:rPr>
        <w:t xml:space="preserve"> está conforme con la información al no contravenir la misma.</w:t>
      </w:r>
    </w:p>
    <w:p w14:paraId="68F34A7B"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587D45CC"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14:paraId="58EB7947" w14:textId="77777777" w:rsidR="005C3A3A" w:rsidRPr="007B28C0" w:rsidRDefault="005C3A3A">
      <w:pPr>
        <w:spacing w:after="0" w:line="360" w:lineRule="auto"/>
        <w:ind w:right="49"/>
        <w:jc w:val="both"/>
        <w:rPr>
          <w:rFonts w:ascii="Palatino Linotype" w:eastAsia="Palatino Linotype" w:hAnsi="Palatino Linotype" w:cs="Palatino Linotype"/>
          <w:sz w:val="18"/>
          <w:szCs w:val="18"/>
        </w:rPr>
      </w:pPr>
    </w:p>
    <w:p w14:paraId="5C986E49" w14:textId="77777777" w:rsidR="005C3A3A" w:rsidRPr="007B28C0" w:rsidRDefault="00BD07C9">
      <w:pPr>
        <w:spacing w:after="0" w:line="240" w:lineRule="auto"/>
        <w:ind w:left="1080" w:right="918"/>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“REVISIÓN EN AMPARO. LOS RESOLUTIVOS NO COMBATIDOS DEBEN DECLARARSE FIRMES. </w:t>
      </w:r>
      <w:r w:rsidRPr="007B28C0">
        <w:rPr>
          <w:rFonts w:ascii="Palatino Linotype" w:eastAsia="Palatino Linotype" w:hAnsi="Palatino Linotype" w:cs="Palatino Linotype"/>
          <w:i/>
        </w:rPr>
        <w:t xml:space="preserve">Cuando algún resolutivo de la sentencia impugnada afecta a la </w:t>
      </w:r>
      <w:r w:rsidRPr="007B28C0">
        <w:rPr>
          <w:rFonts w:ascii="Palatino Linotype" w:eastAsia="Palatino Linotype" w:hAnsi="Palatino Linotype" w:cs="Palatino Linotype"/>
          <w:b/>
          <w:i/>
        </w:rPr>
        <w:t>RECURRENTE</w:t>
      </w:r>
      <w:r w:rsidRPr="007B28C0">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7B28C0">
        <w:rPr>
          <w:rFonts w:ascii="Palatino Linotype" w:eastAsia="Palatino Linotype" w:hAnsi="Palatino Linotype" w:cs="Palatino Linotype"/>
          <w:b/>
          <w:i/>
        </w:rPr>
        <w:t>RECURRENTE</w:t>
      </w:r>
      <w:r w:rsidRPr="007B28C0">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5ECBCA06" w14:textId="77777777" w:rsidR="005C3A3A" w:rsidRPr="007B28C0" w:rsidRDefault="005C3A3A">
      <w:pPr>
        <w:spacing w:after="0" w:line="240" w:lineRule="auto"/>
        <w:ind w:left="1080" w:right="918"/>
        <w:jc w:val="both"/>
        <w:rPr>
          <w:rFonts w:ascii="Palatino Linotype" w:eastAsia="Palatino Linotype" w:hAnsi="Palatino Linotype" w:cs="Palatino Linotype"/>
          <w:sz w:val="24"/>
          <w:szCs w:val="24"/>
        </w:rPr>
      </w:pPr>
    </w:p>
    <w:p w14:paraId="4B122A69"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Una vez determinada la vía sobre la que versará el presente recurso, y previa revisión del expediente del recurso de revisión materia de la presente resolución, se advierte lo siguiente:</w:t>
      </w:r>
    </w:p>
    <w:p w14:paraId="12F1DD02" w14:textId="77777777" w:rsidR="005C3A3A" w:rsidRPr="007B28C0" w:rsidRDefault="005C3A3A">
      <w:pPr>
        <w:spacing w:after="0" w:line="360" w:lineRule="auto"/>
        <w:jc w:val="both"/>
        <w:rPr>
          <w:rFonts w:ascii="Palatino Linotype" w:eastAsia="Palatino Linotype" w:hAnsi="Palatino Linotype" w:cs="Palatino Linotype"/>
          <w:sz w:val="24"/>
          <w:szCs w:val="24"/>
        </w:rPr>
      </w:pPr>
    </w:p>
    <w:tbl>
      <w:tblPr>
        <w:tblStyle w:val="a8"/>
        <w:tblW w:w="90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693"/>
        <w:gridCol w:w="2552"/>
        <w:gridCol w:w="1701"/>
      </w:tblGrid>
      <w:tr w:rsidR="007B28C0" w:rsidRPr="007B28C0" w14:paraId="3DE97C09" w14:textId="77777777">
        <w:tc>
          <w:tcPr>
            <w:tcW w:w="2100" w:type="dxa"/>
            <w:shd w:val="clear" w:color="auto" w:fill="BFBFBF"/>
          </w:tcPr>
          <w:p w14:paraId="63B8478D"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lastRenderedPageBreak/>
              <w:t>Información requerida.</w:t>
            </w:r>
          </w:p>
        </w:tc>
        <w:tc>
          <w:tcPr>
            <w:tcW w:w="2693" w:type="dxa"/>
            <w:shd w:val="clear" w:color="auto" w:fill="BFBFBF"/>
          </w:tcPr>
          <w:p w14:paraId="2F9DE469"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Respuesta</w:t>
            </w:r>
          </w:p>
        </w:tc>
        <w:tc>
          <w:tcPr>
            <w:tcW w:w="2552" w:type="dxa"/>
            <w:shd w:val="clear" w:color="auto" w:fill="BFBFBF"/>
          </w:tcPr>
          <w:p w14:paraId="5750511B"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Inconformidad</w:t>
            </w:r>
          </w:p>
        </w:tc>
        <w:tc>
          <w:tcPr>
            <w:tcW w:w="1701" w:type="dxa"/>
            <w:shd w:val="clear" w:color="auto" w:fill="BFBFBF"/>
          </w:tcPr>
          <w:p w14:paraId="3F446528"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Informe Justificado</w:t>
            </w:r>
          </w:p>
        </w:tc>
      </w:tr>
      <w:tr w:rsidR="007B28C0" w:rsidRPr="007B28C0" w14:paraId="55E9609B" w14:textId="77777777">
        <w:tc>
          <w:tcPr>
            <w:tcW w:w="2100" w:type="dxa"/>
          </w:tcPr>
          <w:p w14:paraId="41482A34"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A).- Me proporcione, o  me indique en que página de internet, se localiza lo siguiente: Planos por zonas o sectores; Planos correspondientes a las 12 poligonales; </w:t>
            </w:r>
          </w:p>
        </w:tc>
        <w:tc>
          <w:tcPr>
            <w:tcW w:w="2693" w:type="dxa"/>
            <w:vAlign w:val="center"/>
          </w:tcPr>
          <w:p w14:paraId="0887EAEE"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La Dirección General de Ordenamiento Territorial y Desarrollo Urbano menciona que adjunta el </w:t>
            </w:r>
            <w:proofErr w:type="spellStart"/>
            <w:r w:rsidRPr="007B28C0">
              <w:rPr>
                <w:rFonts w:ascii="Palatino Linotype" w:eastAsia="Palatino Linotype" w:hAnsi="Palatino Linotype" w:cs="Palatino Linotype"/>
                <w:sz w:val="18"/>
                <w:szCs w:val="18"/>
              </w:rPr>
              <w:t>Memorandum</w:t>
            </w:r>
            <w:proofErr w:type="spellEnd"/>
            <w:r w:rsidRPr="007B28C0">
              <w:rPr>
                <w:rFonts w:ascii="Palatino Linotype" w:eastAsia="Palatino Linotype" w:hAnsi="Palatino Linotype" w:cs="Palatino Linotype"/>
                <w:sz w:val="18"/>
                <w:szCs w:val="18"/>
              </w:rPr>
              <w:t xml:space="preserve"> emitido por el  Subdirector de Planeación Territorial y Urbana en donde señala la liga electrónica en el que refiere que se observan los planos que forman parte del Plan Municipal de Desarrollo Urbano que corresponden a la publicación de la Gaceta de Gobierno. </w:t>
            </w:r>
          </w:p>
        </w:tc>
        <w:tc>
          <w:tcPr>
            <w:tcW w:w="2552" w:type="dxa"/>
            <w:vAlign w:val="center"/>
          </w:tcPr>
          <w:p w14:paraId="614C5E5D" w14:textId="77777777" w:rsidR="005C3A3A" w:rsidRPr="007B28C0" w:rsidRDefault="00BD07C9">
            <w:pPr>
              <w:spacing w:before="240" w:after="240"/>
              <w:jc w:val="both"/>
              <w:rPr>
                <w:rFonts w:ascii="Palatino Linotype" w:eastAsia="Palatino Linotype" w:hAnsi="Palatino Linotype" w:cs="Palatino Linotype"/>
                <w:sz w:val="20"/>
                <w:szCs w:val="20"/>
              </w:rPr>
            </w:pPr>
            <w:r w:rsidRPr="007B28C0">
              <w:rPr>
                <w:rFonts w:ascii="Palatino Linotype" w:eastAsia="Palatino Linotype" w:hAnsi="Palatino Linotype" w:cs="Palatino Linotype"/>
                <w:sz w:val="20"/>
                <w:szCs w:val="20"/>
              </w:rPr>
              <w:t>Solicite específicamente: Planos por zonas o sectores; Planos correspondientes a las 12 poligonales; Planos de Zonificación Primaria; Planos de Zonificación Secundaria. Y no entregaron nada. Únicamente entregan la página de internet de la Publicación de la Gaceta del Gobierno, Periódico Oficial del Gobierno del Estado Libre y Soberano de México, con fecha doce de septiembre de dos mil veintidós.</w:t>
            </w:r>
          </w:p>
        </w:tc>
        <w:tc>
          <w:tcPr>
            <w:tcW w:w="1701" w:type="dxa"/>
          </w:tcPr>
          <w:p w14:paraId="49CCEE93"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20"/>
                <w:szCs w:val="20"/>
              </w:rPr>
              <w:t>La Subdirección de Planeación Territorial y Urbana y sus unidades administrativas después de realizar una búsqueda exhaustiva y razonable no se encuentra con plano por zonas o sectores, así como planos correspondientes a las doce poligonales.</w:t>
            </w:r>
          </w:p>
        </w:tc>
      </w:tr>
    </w:tbl>
    <w:p w14:paraId="752C070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51686E3"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En primer lugar, debemos traer a colación el artículo 161</w:t>
      </w:r>
      <w:r w:rsidRPr="007B28C0">
        <w:rPr>
          <w:rFonts w:ascii="Palatino Linotype" w:eastAsia="Palatino Linotype" w:hAnsi="Palatino Linotype" w:cs="Palatino Linotype"/>
          <w:sz w:val="24"/>
          <w:szCs w:val="24"/>
          <w:vertAlign w:val="superscript"/>
        </w:rPr>
        <w:footnoteReference w:id="3"/>
      </w:r>
      <w:r w:rsidRPr="007B28C0">
        <w:rPr>
          <w:rFonts w:ascii="Palatino Linotype" w:eastAsia="Palatino Linotype" w:hAnsi="Palatino Linotype" w:cs="Palatino Linotype"/>
          <w:sz w:val="24"/>
          <w:szCs w:val="24"/>
        </w:rPr>
        <w:t xml:space="preserve"> de la Ley de Transparencia y Acceso a la Información Pública del Estado de México y Municipios</w:t>
      </w:r>
      <w:r w:rsidRPr="007B28C0">
        <w:rPr>
          <w:rFonts w:ascii="Palatino Linotype" w:eastAsia="Palatino Linotype" w:hAnsi="Palatino Linotype" w:cs="Palatino Linotype"/>
          <w:i/>
          <w:sz w:val="24"/>
          <w:szCs w:val="24"/>
        </w:rPr>
        <w:t xml:space="preserve">, </w:t>
      </w:r>
      <w:r w:rsidRPr="007B28C0">
        <w:rPr>
          <w:rFonts w:ascii="Palatino Linotype" w:eastAsia="Palatino Linotype" w:hAnsi="Palatino Linotype" w:cs="Palatino Linotype"/>
          <w:sz w:val="24"/>
          <w:szCs w:val="24"/>
        </w:rPr>
        <w:t xml:space="preserve">el cual establece las características que debe tener la información desde el momento de su generación, publicación y entrega; de igual manera se contempla el procedimiento </w:t>
      </w:r>
      <w:r w:rsidRPr="007B28C0">
        <w:rPr>
          <w:rFonts w:ascii="Palatino Linotype" w:eastAsia="Palatino Linotype" w:hAnsi="Palatino Linotype" w:cs="Palatino Linotype"/>
          <w:sz w:val="24"/>
          <w:szCs w:val="24"/>
        </w:rPr>
        <w:lastRenderedPageBreak/>
        <w:t>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C41894F"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93D632E" w14:textId="77777777" w:rsidR="005C3A3A" w:rsidRPr="007B28C0" w:rsidRDefault="00BD07C9">
      <w:pPr>
        <w:spacing w:after="0" w:line="360" w:lineRule="auto"/>
        <w:ind w:left="284"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 La fuente</w:t>
      </w:r>
    </w:p>
    <w:p w14:paraId="0312C07E" w14:textId="77777777" w:rsidR="005C3A3A" w:rsidRPr="007B28C0" w:rsidRDefault="00BD07C9">
      <w:pPr>
        <w:spacing w:after="0" w:line="360" w:lineRule="auto"/>
        <w:ind w:left="284"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b) El lugar y</w:t>
      </w:r>
    </w:p>
    <w:p w14:paraId="016F6104" w14:textId="77777777" w:rsidR="005C3A3A" w:rsidRPr="007B28C0" w:rsidRDefault="00BD07C9">
      <w:pPr>
        <w:spacing w:after="0" w:line="360" w:lineRule="auto"/>
        <w:ind w:left="284"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c) La forma</w:t>
      </w:r>
    </w:p>
    <w:p w14:paraId="28E9959F" w14:textId="77777777" w:rsidR="005C3A3A" w:rsidRPr="007B28C0" w:rsidRDefault="005C3A3A">
      <w:pPr>
        <w:spacing w:after="0" w:line="360" w:lineRule="auto"/>
        <w:ind w:left="284" w:right="49"/>
        <w:jc w:val="both"/>
        <w:rPr>
          <w:rFonts w:ascii="Palatino Linotype" w:eastAsia="Palatino Linotype" w:hAnsi="Palatino Linotype" w:cs="Palatino Linotype"/>
          <w:sz w:val="24"/>
          <w:szCs w:val="24"/>
        </w:rPr>
      </w:pPr>
    </w:p>
    <w:p w14:paraId="241DC3F5"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Asimismo, se establece que la fuente de la información deberá ser:</w:t>
      </w:r>
    </w:p>
    <w:p w14:paraId="24F3547A" w14:textId="77777777" w:rsidR="005C3A3A" w:rsidRPr="007B28C0" w:rsidRDefault="00BD07C9">
      <w:pPr>
        <w:spacing w:after="0" w:line="360" w:lineRule="auto"/>
        <w:ind w:left="284"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 Precisa</w:t>
      </w:r>
    </w:p>
    <w:p w14:paraId="25FC8C93" w14:textId="77777777" w:rsidR="005C3A3A" w:rsidRPr="007B28C0" w:rsidRDefault="00BD07C9">
      <w:pPr>
        <w:spacing w:after="0" w:line="360" w:lineRule="auto"/>
        <w:ind w:left="284"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b) Concreta</w:t>
      </w:r>
    </w:p>
    <w:p w14:paraId="64A9A0BB" w14:textId="77777777" w:rsidR="005C3A3A" w:rsidRPr="007B28C0" w:rsidRDefault="00BD07C9">
      <w:pPr>
        <w:spacing w:after="0" w:line="360" w:lineRule="auto"/>
        <w:ind w:left="284"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c) Y no debe implicar que el solicitante realice una búsqueda en toda la información que se encuentre disponible.</w:t>
      </w:r>
    </w:p>
    <w:p w14:paraId="5A880667" w14:textId="77777777" w:rsidR="005C3A3A" w:rsidRPr="007B28C0" w:rsidRDefault="005C3A3A">
      <w:pPr>
        <w:spacing w:after="0" w:line="360" w:lineRule="auto"/>
        <w:ind w:left="284" w:right="51"/>
        <w:jc w:val="both"/>
        <w:rPr>
          <w:rFonts w:ascii="Palatino Linotype" w:eastAsia="Palatino Linotype" w:hAnsi="Palatino Linotype" w:cs="Palatino Linotype"/>
          <w:sz w:val="24"/>
          <w:szCs w:val="24"/>
        </w:rPr>
      </w:pPr>
    </w:p>
    <w:p w14:paraId="2F6A851F"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Imperativos legales que establecen el procedimiento que debe seguir </w:t>
      </w: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2481B8BA"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F986F78" w14:textId="77777777" w:rsidR="005C3A3A" w:rsidRPr="007B28C0" w:rsidRDefault="00BD07C9">
      <w:pPr>
        <w:spacing w:before="120" w:after="12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Así, en el presente caso, </w:t>
      </w:r>
      <w:r w:rsidRPr="007B28C0">
        <w:rPr>
          <w:rFonts w:ascii="Palatino Linotype" w:eastAsia="Palatino Linotype" w:hAnsi="Palatino Linotype" w:cs="Palatino Linotype"/>
          <w:b/>
          <w:sz w:val="24"/>
          <w:szCs w:val="24"/>
        </w:rPr>
        <w:t xml:space="preserve">EL SUJETO OBLIGADO </w:t>
      </w:r>
      <w:r w:rsidRPr="007B28C0">
        <w:rPr>
          <w:rFonts w:ascii="Palatino Linotype" w:eastAsia="Palatino Linotype" w:hAnsi="Palatino Linotype" w:cs="Palatino Linotype"/>
          <w:sz w:val="24"/>
          <w:szCs w:val="24"/>
        </w:rPr>
        <w:t xml:space="preserve">señala que la información está disponible en la siguiente liga electrónica </w:t>
      </w:r>
      <w:r w:rsidRPr="007B28C0">
        <w:rPr>
          <w:rFonts w:ascii="Palatino Linotype" w:eastAsia="Palatino Linotype" w:hAnsi="Palatino Linotype" w:cs="Palatino Linotype"/>
          <w:sz w:val="24"/>
          <w:szCs w:val="24"/>
          <w:u w:val="single"/>
        </w:rPr>
        <w:t xml:space="preserve"> https://legislacion.edomex.gob.mx/sites/legislacion.edomex/files/files/pdf/gct/2022</w:t>
      </w:r>
      <w:r w:rsidRPr="007B28C0">
        <w:rPr>
          <w:rFonts w:ascii="Palatino Linotype" w:eastAsia="Palatino Linotype" w:hAnsi="Palatino Linotype" w:cs="Palatino Linotype"/>
          <w:sz w:val="24"/>
          <w:szCs w:val="24"/>
          <w:u w:val="single"/>
        </w:rPr>
        <w:lastRenderedPageBreak/>
        <w:t xml:space="preserve">/sep122.pdf  </w:t>
      </w:r>
      <w:r w:rsidRPr="007B28C0">
        <w:rPr>
          <w:rFonts w:ascii="Palatino Linotype" w:eastAsia="Palatino Linotype" w:hAnsi="Palatino Linotype" w:cs="Palatino Linotype"/>
          <w:sz w:val="24"/>
          <w:szCs w:val="24"/>
        </w:rPr>
        <w:t>por lo que este Organismo Garante procedió a consultar la información disponible en dicho portal, en el cual se observa lo siguiente:</w:t>
      </w:r>
    </w:p>
    <w:p w14:paraId="35F91567" w14:textId="77777777" w:rsidR="005C3A3A" w:rsidRPr="007B28C0" w:rsidRDefault="00BD07C9">
      <w:pPr>
        <w:spacing w:after="0" w:line="360" w:lineRule="auto"/>
        <w:ind w:right="49"/>
        <w:jc w:val="both"/>
        <w:rPr>
          <w:rFonts w:ascii="Palatino Linotype" w:eastAsia="Palatino Linotype" w:hAnsi="Palatino Linotype" w:cs="Palatino Linotype"/>
          <w:i/>
        </w:rPr>
      </w:pPr>
      <w:r w:rsidRPr="007B28C0">
        <w:rPr>
          <w:noProof/>
        </w:rPr>
        <w:drawing>
          <wp:inline distT="0" distB="0" distL="0" distR="0" wp14:anchorId="5BC48056" wp14:editId="1C7C5A15">
            <wp:extent cx="5569149" cy="2635541"/>
            <wp:effectExtent l="0" t="0" r="0" b="0"/>
            <wp:docPr id="1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19858" t="5733" r="19892" b="43573"/>
                    <a:stretch>
                      <a:fillRect/>
                    </a:stretch>
                  </pic:blipFill>
                  <pic:spPr>
                    <a:xfrm>
                      <a:off x="0" y="0"/>
                      <a:ext cx="5569149" cy="2635541"/>
                    </a:xfrm>
                    <a:prstGeom prst="rect">
                      <a:avLst/>
                    </a:prstGeom>
                    <a:ln/>
                  </pic:spPr>
                </pic:pic>
              </a:graphicData>
            </a:graphic>
          </wp:inline>
        </w:drawing>
      </w:r>
    </w:p>
    <w:p w14:paraId="2FB6DCD9"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donde se observa un apartado de la página oficial del Gobierno del Estado de México, referente al periódico oficial gaceta del gobierno y LEGISTEL, sin que se localice mayor información. </w:t>
      </w:r>
    </w:p>
    <w:p w14:paraId="15432ECD"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4D672A44"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Por lo que se estima que la fuente proporcionada no cumple con lo señalado en el artículo 161</w:t>
      </w:r>
      <w:r w:rsidRPr="007B28C0">
        <w:rPr>
          <w:sz w:val="24"/>
          <w:szCs w:val="24"/>
        </w:rPr>
        <w:t xml:space="preserve"> </w:t>
      </w:r>
      <w:r w:rsidRPr="007B28C0">
        <w:rPr>
          <w:rFonts w:ascii="Palatino Linotype" w:eastAsia="Palatino Linotype" w:hAnsi="Palatino Linotype" w:cs="Palatino Linotype"/>
          <w:sz w:val="24"/>
          <w:szCs w:val="24"/>
        </w:rPr>
        <w:t xml:space="preserve">de la de Transparencia y Acceso a la Información Pública del Estado de México y Municipios al no advertirse la información solicitada,  aunado al hecho de que dicha prerrogativa debe ejercerse dentro de los primeros cinco días hábiles posteriores a la recepción de la solicitud, situación que tampoco se observó. </w:t>
      </w:r>
    </w:p>
    <w:p w14:paraId="09CD4A99"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23B38588"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Sin embargo, mediante informe justificado, menciona que no cuenta con planos por zonas o sectores, así como planos correspondientes a las doce poligonales.</w:t>
      </w:r>
    </w:p>
    <w:p w14:paraId="391683DB"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Por lo que, este Instituto no tiene certeza de la respuesta e informe justificado emitido por el Ente Recurrido; sobre dicha situación, el artículo 1.8, fracción IX, del Código Administrativo del Estado de México, establece que para que un acto administrativo tenga validez, deberá guardar congruencia con lo solicitado. </w:t>
      </w:r>
    </w:p>
    <w:p w14:paraId="2FCD2D0B" w14:textId="77777777" w:rsidR="005C3A3A" w:rsidRPr="007B28C0" w:rsidRDefault="005C3A3A">
      <w:pPr>
        <w:spacing w:after="0" w:line="360" w:lineRule="auto"/>
        <w:ind w:right="615"/>
        <w:jc w:val="both"/>
        <w:rPr>
          <w:rFonts w:ascii="Palatino Linotype" w:eastAsia="Palatino Linotype" w:hAnsi="Palatino Linotype" w:cs="Palatino Linotype"/>
          <w:sz w:val="24"/>
          <w:szCs w:val="24"/>
        </w:rPr>
      </w:pPr>
    </w:p>
    <w:p w14:paraId="6D45D995" w14:textId="77777777" w:rsidR="005C3A3A" w:rsidRPr="007B28C0" w:rsidRDefault="00BD07C9">
      <w:pPr>
        <w:spacing w:after="0" w:line="360" w:lineRule="auto"/>
        <w:ind w:right="615"/>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Situación que se robustece, con el Criterio de Interpretación, con clave de control SO/002/2017, de la Segunda Época, emitido por el Instituto Nacional de Transparencia, Acceso a la Información y Protección de Datos Personales, que señala lo siguiente:</w:t>
      </w:r>
    </w:p>
    <w:p w14:paraId="2BB91A1F" w14:textId="77777777" w:rsidR="005C3A3A" w:rsidRPr="007B28C0" w:rsidRDefault="005C3A3A">
      <w:pPr>
        <w:spacing w:after="0" w:line="360" w:lineRule="auto"/>
        <w:ind w:right="615"/>
        <w:jc w:val="both"/>
        <w:rPr>
          <w:rFonts w:ascii="Palatino Linotype" w:eastAsia="Palatino Linotype" w:hAnsi="Palatino Linotype" w:cs="Palatino Linotype"/>
          <w:sz w:val="24"/>
          <w:szCs w:val="24"/>
        </w:rPr>
      </w:pPr>
    </w:p>
    <w:p w14:paraId="772BEDCD" w14:textId="77777777" w:rsidR="005C3A3A" w:rsidRPr="007B28C0" w:rsidRDefault="00BD07C9">
      <w:pPr>
        <w:spacing w:after="0" w:line="276" w:lineRule="auto"/>
        <w:ind w:left="567" w:right="615"/>
        <w:jc w:val="both"/>
        <w:rPr>
          <w:rFonts w:ascii="Palatino Linotype" w:eastAsia="Palatino Linotype" w:hAnsi="Palatino Linotype" w:cs="Palatino Linotype"/>
          <w:i/>
        </w:rPr>
      </w:pPr>
      <w:r w:rsidRPr="007B28C0">
        <w:rPr>
          <w:rFonts w:ascii="Palatino Linotype" w:eastAsia="Palatino Linotype" w:hAnsi="Palatino Linotype" w:cs="Palatino Linotype"/>
          <w:i/>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B4EC9CE" w14:textId="77777777" w:rsidR="005C3A3A" w:rsidRPr="007B28C0" w:rsidRDefault="005C3A3A">
      <w:pPr>
        <w:spacing w:after="0" w:line="360" w:lineRule="auto"/>
        <w:ind w:left="567" w:right="615"/>
        <w:jc w:val="both"/>
        <w:rPr>
          <w:rFonts w:ascii="Palatino Linotype" w:eastAsia="Palatino Linotype" w:hAnsi="Palatino Linotype" w:cs="Palatino Linotype"/>
          <w:i/>
        </w:rPr>
      </w:pPr>
    </w:p>
    <w:p w14:paraId="48A0D940"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Ante tal circunstancia, se considera oportuno citar lo siguiente:</w:t>
      </w:r>
    </w:p>
    <w:p w14:paraId="5DBB3800" w14:textId="77777777" w:rsidR="005C3A3A" w:rsidRPr="007B28C0" w:rsidRDefault="00BD07C9">
      <w:pPr>
        <w:spacing w:before="280" w:after="280" w:line="276" w:lineRule="auto"/>
        <w:ind w:left="567" w:right="615"/>
        <w:jc w:val="both"/>
        <w:rPr>
          <w:rFonts w:ascii="Palatino Linotype" w:eastAsia="Palatino Linotype" w:hAnsi="Palatino Linotype" w:cs="Palatino Linotype"/>
          <w:i/>
        </w:rPr>
      </w:pPr>
      <w:r w:rsidRPr="007B28C0">
        <w:rPr>
          <w:rFonts w:ascii="Palatino Linotype" w:eastAsia="Palatino Linotype" w:hAnsi="Palatino Linotype" w:cs="Palatino Linotype"/>
          <w:b/>
          <w:i/>
        </w:rPr>
        <w:t>PLAN MUNICIPAL DE DESARROLLO URBANO DE ATIZAPÁN DE ZARAGOZA</w:t>
      </w:r>
    </w:p>
    <w:p w14:paraId="72604A56"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noProof/>
        </w:rPr>
        <w:lastRenderedPageBreak/>
        <w:drawing>
          <wp:inline distT="0" distB="0" distL="0" distR="0" wp14:anchorId="69988E40" wp14:editId="1C96170D">
            <wp:extent cx="5581937" cy="4334098"/>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40790" t="27002" r="24733" b="19297"/>
                    <a:stretch>
                      <a:fillRect/>
                    </a:stretch>
                  </pic:blipFill>
                  <pic:spPr>
                    <a:xfrm>
                      <a:off x="0" y="0"/>
                      <a:ext cx="5581937" cy="4334098"/>
                    </a:xfrm>
                    <a:prstGeom prst="rect">
                      <a:avLst/>
                    </a:prstGeom>
                    <a:ln/>
                  </pic:spPr>
                </pic:pic>
              </a:graphicData>
            </a:graphic>
          </wp:inline>
        </w:drawing>
      </w:r>
      <w:r w:rsidRPr="007B28C0">
        <w:rPr>
          <w:rFonts w:ascii="Palatino Linotype" w:eastAsia="Palatino Linotype" w:hAnsi="Palatino Linotype" w:cs="Palatino Linotype"/>
          <w:i/>
        </w:rPr>
        <w:t xml:space="preserve"> </w:t>
      </w:r>
      <w:r w:rsidRPr="007B28C0">
        <w:rPr>
          <w:noProof/>
        </w:rPr>
        <mc:AlternateContent>
          <mc:Choice Requires="wpg">
            <w:drawing>
              <wp:anchor distT="0" distB="0" distL="114300" distR="114300" simplePos="0" relativeHeight="251658240" behindDoc="0" locked="0" layoutInCell="1" hidden="0" allowOverlap="1" wp14:anchorId="44FF137B" wp14:editId="089B33A6">
                <wp:simplePos x="0" y="0"/>
                <wp:positionH relativeFrom="column">
                  <wp:posOffset>330200</wp:posOffset>
                </wp:positionH>
                <wp:positionV relativeFrom="paragraph">
                  <wp:posOffset>3606800</wp:posOffset>
                </wp:positionV>
                <wp:extent cx="5257800" cy="276225"/>
                <wp:effectExtent l="0" t="0" r="0" b="0"/>
                <wp:wrapNone/>
                <wp:docPr id="125" name="Rectángulo 125"/>
                <wp:cNvGraphicFramePr/>
                <a:graphic xmlns:a="http://schemas.openxmlformats.org/drawingml/2006/main">
                  <a:graphicData uri="http://schemas.microsoft.com/office/word/2010/wordprocessingShape">
                    <wps:wsp>
                      <wps:cNvSpPr/>
                      <wps:spPr>
                        <a:xfrm>
                          <a:off x="2736150" y="3660938"/>
                          <a:ext cx="5219700" cy="238125"/>
                        </a:xfrm>
                        <a:prstGeom prst="rect">
                          <a:avLst/>
                        </a:prstGeom>
                        <a:noFill/>
                        <a:ln w="38100" cap="flat" cmpd="sng">
                          <a:solidFill>
                            <a:srgbClr val="FF0000"/>
                          </a:solidFill>
                          <a:prstDash val="solid"/>
                          <a:miter lim="800000"/>
                          <a:headEnd type="none" w="sm" len="sm"/>
                          <a:tailEnd type="none" w="sm" len="sm"/>
                        </a:ln>
                      </wps:spPr>
                      <wps:txbx>
                        <w:txbxContent>
                          <w:p w14:paraId="61604BBC" w14:textId="77777777" w:rsidR="005C3A3A" w:rsidRDefault="005C3A3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330200</wp:posOffset>
                </wp:positionH>
                <wp:positionV relativeFrom="paragraph">
                  <wp:posOffset>3606800</wp:posOffset>
                </wp:positionV>
                <wp:extent cx="5257800" cy="276225"/>
                <wp:effectExtent b="0" l="0" r="0" t="0"/>
                <wp:wrapNone/>
                <wp:docPr id="125" name="image27.png"/>
                <a:graphic>
                  <a:graphicData uri="http://schemas.openxmlformats.org/drawingml/2006/picture">
                    <pic:pic>
                      <pic:nvPicPr>
                        <pic:cNvPr id="0" name="image27.png"/>
                        <pic:cNvPicPr preferRelativeResize="0"/>
                      </pic:nvPicPr>
                      <pic:blipFill>
                        <a:blip r:embed="rId14"/>
                        <a:srcRect/>
                        <a:stretch>
                          <a:fillRect/>
                        </a:stretch>
                      </pic:blipFill>
                      <pic:spPr>
                        <a:xfrm>
                          <a:off x="0" y="0"/>
                          <a:ext cx="5257800" cy="276225"/>
                        </a:xfrm>
                        <a:prstGeom prst="rect"/>
                        <a:ln/>
                      </pic:spPr>
                    </pic:pic>
                  </a:graphicData>
                </a:graphic>
              </wp:anchor>
            </w:drawing>
          </mc:Fallback>
        </mc:AlternateContent>
      </w:r>
    </w:p>
    <w:p w14:paraId="7310CC7C"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57. AA-DU.- Acuerdo de Autorización de Desarrollo Urbano. Para este apartado, y con el objetivo de dar mejor atención a lo que disponen los artículos 85 fracción III, 104 fracción II y 109 fracción VIII del Reglamento del Libro Quinto del Código Administrativo del Estado de México, de no incrementar el número de viviendas una vez emitida la respectiva autorización</w:t>
      </w:r>
      <w:r w:rsidRPr="007B28C0">
        <w:rPr>
          <w:rFonts w:ascii="Palatino Linotype" w:eastAsia="Palatino Linotype" w:hAnsi="Palatino Linotype" w:cs="Palatino Linotype"/>
          <w:b/>
          <w:i/>
          <w:u w:val="single"/>
        </w:rPr>
        <w:t>, se asigna tanto en el plano E2 como en los planos por sectores, la clave AA-DU</w:t>
      </w:r>
      <w:r w:rsidRPr="007B28C0">
        <w:rPr>
          <w:rFonts w:ascii="Palatino Linotype" w:eastAsia="Palatino Linotype" w:hAnsi="Palatino Linotype" w:cs="Palatino Linotype"/>
          <w:i/>
        </w:rPr>
        <w:t>.- Acuerdo de Autorización de Desarrollo Urbano, lo que significa que las construcciones se regirán por las normas para el aprovechamiento del predio que fueron originalmente autorizadas a la par del desarrollo, también con el objetivo de mantener una imagen urbana homogénea con la que fueron planeados estos asentamientos humanos.</w:t>
      </w:r>
    </w:p>
    <w:p w14:paraId="6681AC01" w14:textId="77777777" w:rsidR="005C3A3A" w:rsidRPr="007B28C0" w:rsidRDefault="005C3A3A">
      <w:pPr>
        <w:spacing w:after="0" w:line="276" w:lineRule="auto"/>
        <w:ind w:right="900"/>
        <w:jc w:val="both"/>
        <w:rPr>
          <w:rFonts w:ascii="Palatino Linotype" w:eastAsia="Palatino Linotype" w:hAnsi="Palatino Linotype" w:cs="Palatino Linotype"/>
          <w:i/>
        </w:rPr>
      </w:pPr>
    </w:p>
    <w:p w14:paraId="17B07F0D"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lastRenderedPageBreak/>
        <w:t xml:space="preserve">12. </w:t>
      </w:r>
      <w:r w:rsidRPr="007B28C0">
        <w:rPr>
          <w:rFonts w:ascii="Palatino Linotype" w:eastAsia="Palatino Linotype" w:hAnsi="Palatino Linotype" w:cs="Palatino Linotype"/>
          <w:b/>
          <w:i/>
        </w:rPr>
        <w:t>En el mismo plano E-2, una considerable superficie del territorio municipal se encuentra ubicada dentro de poligonales, a las cuales se les asignó un número y, en la solapa del mismo, se señala que es una zonificación secundaria</w:t>
      </w:r>
      <w:r w:rsidRPr="007B28C0">
        <w:rPr>
          <w:rFonts w:ascii="Palatino Linotype" w:eastAsia="Palatino Linotype" w:hAnsi="Palatino Linotype" w:cs="Palatino Linotype"/>
          <w:i/>
        </w:rPr>
        <w:t>, lo cual es erróneo ya que pertenecen a conjuntos urbanos y 21 fraccionamientos autorizados y no al plano publicado en Gaceta, el cual se denomina Zonificación Secundaria, mismo que no se cita en el epílogo y que corresponde a 12 poligonales de ejidos que fueron regularizados y cuyo uso urbano está reconocido.</w:t>
      </w:r>
    </w:p>
    <w:p w14:paraId="6906E3A5" w14:textId="77777777" w:rsidR="005C3A3A" w:rsidRPr="007B28C0" w:rsidRDefault="005C3A3A">
      <w:pPr>
        <w:spacing w:after="0" w:line="276" w:lineRule="auto"/>
        <w:ind w:right="900"/>
        <w:jc w:val="both"/>
        <w:rPr>
          <w:rFonts w:ascii="Palatino Linotype" w:eastAsia="Palatino Linotype" w:hAnsi="Palatino Linotype" w:cs="Palatino Linotype"/>
          <w:sz w:val="24"/>
          <w:szCs w:val="24"/>
        </w:rPr>
      </w:pPr>
    </w:p>
    <w:p w14:paraId="48582D8C"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De acuerdo a lo anterior, en relación a la planeación y ordenamiento territorial</w:t>
      </w:r>
      <w:r w:rsidRPr="007B28C0">
        <w:rPr>
          <w:rFonts w:ascii="Palatino Linotype" w:eastAsia="Palatino Linotype" w:hAnsi="Palatino Linotype" w:cs="Palatino Linotype"/>
          <w:b/>
          <w:sz w:val="24"/>
          <w:szCs w:val="24"/>
          <w:u w:val="single"/>
        </w:rPr>
        <w:t>, se diseña e implementan la división de pueblos y colonias,</w:t>
      </w:r>
      <w:r w:rsidRPr="007B28C0">
        <w:rPr>
          <w:rFonts w:ascii="Palatino Linotype" w:eastAsia="Palatino Linotype" w:hAnsi="Palatino Linotype" w:cs="Palatino Linotype"/>
          <w:sz w:val="24"/>
          <w:szCs w:val="24"/>
          <w:u w:val="single"/>
        </w:rPr>
        <w:t xml:space="preserve"> </w:t>
      </w:r>
      <w:r w:rsidRPr="007B28C0">
        <w:rPr>
          <w:rFonts w:ascii="Palatino Linotype" w:eastAsia="Palatino Linotype" w:hAnsi="Palatino Linotype" w:cs="Palatino Linotype"/>
          <w:b/>
          <w:sz w:val="24"/>
          <w:szCs w:val="24"/>
          <w:u w:val="single"/>
        </w:rPr>
        <w:t>por sectores</w:t>
      </w:r>
      <w:r w:rsidRPr="007B28C0">
        <w:rPr>
          <w:rFonts w:ascii="Palatino Linotype" w:eastAsia="Palatino Linotype" w:hAnsi="Palatino Linotype" w:cs="Palatino Linotype"/>
          <w:sz w:val="24"/>
          <w:szCs w:val="24"/>
        </w:rPr>
        <w:t xml:space="preserve"> una vez emitida la respectiva autorización, se asigna tanto en el plano E2 como en los </w:t>
      </w:r>
      <w:r w:rsidRPr="007B28C0">
        <w:rPr>
          <w:rFonts w:ascii="Palatino Linotype" w:eastAsia="Palatino Linotype" w:hAnsi="Palatino Linotype" w:cs="Palatino Linotype"/>
          <w:b/>
          <w:sz w:val="24"/>
          <w:szCs w:val="24"/>
          <w:u w:val="single"/>
        </w:rPr>
        <w:t xml:space="preserve">planos por sectores, </w:t>
      </w:r>
      <w:r w:rsidRPr="007B28C0">
        <w:rPr>
          <w:rFonts w:ascii="Palatino Linotype" w:eastAsia="Palatino Linotype" w:hAnsi="Palatino Linotype" w:cs="Palatino Linotype"/>
          <w:sz w:val="24"/>
          <w:szCs w:val="24"/>
        </w:rPr>
        <w:t>la clave AA-DU.- Acuerdo de Autorización de Desarrollo Urbano, lo que significa que las construcciones se regirán por las normas para el aprovechamiento del predio que fueron originalmente autorizadas, con el objetivo de mantener una imagen urbana homogénea con la que fueron planeados estos asentamientos humanos.</w:t>
      </w:r>
    </w:p>
    <w:p w14:paraId="79D83051"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75C2992B"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Ahora bien, en el  Plan Municipal de Desarrollo Urbano de Atizapán de Zaragoza, se menciona que, en el mismo plano E-2, una considerable superficie del territorio municipal se encuentra ubicada dentro de poligonales, a las cuales se les asignó un número y, en la solapa del mismo, se señala que es una zonificación secundaria, lo cual es erróneo ya que pertenecen a conjuntos urbanos y 21 fraccionamientos autorizados y no al plano publicado en Gaceta, el cual se denomina Zonificación Secundaria, mismo que no se cita en el epílogo y que corresponde </w:t>
      </w:r>
      <w:r w:rsidRPr="007B28C0">
        <w:rPr>
          <w:rFonts w:ascii="Palatino Linotype" w:eastAsia="Palatino Linotype" w:hAnsi="Palatino Linotype" w:cs="Palatino Linotype"/>
          <w:b/>
          <w:sz w:val="24"/>
          <w:szCs w:val="24"/>
          <w:u w:val="single"/>
        </w:rPr>
        <w:t xml:space="preserve">a 12 poligonales de ejidos que fueron regularizados </w:t>
      </w:r>
      <w:r w:rsidRPr="007B28C0">
        <w:rPr>
          <w:rFonts w:ascii="Palatino Linotype" w:eastAsia="Palatino Linotype" w:hAnsi="Palatino Linotype" w:cs="Palatino Linotype"/>
          <w:sz w:val="24"/>
          <w:szCs w:val="24"/>
        </w:rPr>
        <w:t>y cuyo uso urbano está reconocido.</w:t>
      </w:r>
    </w:p>
    <w:p w14:paraId="457B0FAA"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Aunado a ello, el área que se pronunció en respuesta cuenta con las siguientes atribuciones:</w:t>
      </w:r>
    </w:p>
    <w:p w14:paraId="1D14CF24" w14:textId="77777777" w:rsidR="005C3A3A" w:rsidRPr="007B28C0" w:rsidRDefault="005C3A3A">
      <w:pPr>
        <w:spacing w:after="0" w:line="360" w:lineRule="auto"/>
        <w:ind w:right="51"/>
        <w:jc w:val="both"/>
        <w:rPr>
          <w:rFonts w:ascii="Palatino Linotype" w:eastAsia="Palatino Linotype" w:hAnsi="Palatino Linotype" w:cs="Palatino Linotype"/>
          <w:sz w:val="24"/>
          <w:szCs w:val="24"/>
        </w:rPr>
      </w:pPr>
    </w:p>
    <w:p w14:paraId="425B5E83" w14:textId="77777777" w:rsidR="005C3A3A" w:rsidRPr="007B28C0" w:rsidRDefault="00BD07C9">
      <w:pPr>
        <w:spacing w:after="0" w:line="276" w:lineRule="auto"/>
        <w:ind w:left="851" w:right="900"/>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BANDO MUNICIPAL DE ATIZAPÁN DE ZARAGOZA</w:t>
      </w:r>
    </w:p>
    <w:p w14:paraId="4645978A" w14:textId="77777777" w:rsidR="005C3A3A" w:rsidRPr="007B28C0" w:rsidRDefault="005C3A3A">
      <w:pPr>
        <w:spacing w:after="0" w:line="276" w:lineRule="auto"/>
        <w:ind w:left="851" w:right="900"/>
        <w:jc w:val="both"/>
        <w:rPr>
          <w:rFonts w:ascii="Palatino Linotype" w:eastAsia="Palatino Linotype" w:hAnsi="Palatino Linotype" w:cs="Palatino Linotype"/>
          <w:b/>
          <w:i/>
        </w:rPr>
      </w:pPr>
    </w:p>
    <w:p w14:paraId="76D35BB3"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ARTÍCULO 58.- La Dirección de Ordenamiento Territorial y Desarrollo Urbano tendrá como objetivo intervenir en la regularización de la tenencia de la tierra; así como, promover la incorporación de los centros de población al casco urbano, vigilando el desarrollo urbano, ordenado y sustentable del territorio municipal. Además, realizará acciones tendientes a prevenir y controlar los asentamientos humanos irregulares; para ello, identificará, clasificará y registrará la ubicación de dichos sitios, realizando inspecciones, levantamientos y estudios técnicos y de campo, utilizando para ello los equipos y herramientas disponibles según los avances de la ciencia y la tecnología, inclusive, mediante el uso de los sistemas de navegación terrestre o de posicionamiento global y de tecnologías de teledetección.</w:t>
      </w:r>
    </w:p>
    <w:p w14:paraId="2571E8AD" w14:textId="77777777" w:rsidR="005C3A3A" w:rsidRPr="007B28C0" w:rsidRDefault="005C3A3A">
      <w:pPr>
        <w:spacing w:after="0" w:line="276" w:lineRule="auto"/>
        <w:ind w:left="851" w:right="900"/>
        <w:jc w:val="both"/>
        <w:rPr>
          <w:rFonts w:ascii="Palatino Linotype" w:eastAsia="Palatino Linotype" w:hAnsi="Palatino Linotype" w:cs="Palatino Linotype"/>
          <w:sz w:val="24"/>
          <w:szCs w:val="24"/>
        </w:rPr>
      </w:pPr>
    </w:p>
    <w:p w14:paraId="1DF7F810"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Por lo anterior, la Dirección de Ordenamiento Territorial y Desarrollo Urbano, promoverá la incorporación de los centros de población al casco urbano, vigilando el desarrollo urbano, ordenado y sustentable del territorio municipal, realizando inspecciones, levantamientos y estudios técnicos y de campo.</w:t>
      </w:r>
    </w:p>
    <w:p w14:paraId="4CF42EAA" w14:textId="77777777" w:rsidR="005C3A3A" w:rsidRPr="007B28C0" w:rsidRDefault="005C3A3A">
      <w:pPr>
        <w:spacing w:after="0" w:line="360" w:lineRule="auto"/>
        <w:ind w:right="51"/>
        <w:jc w:val="both"/>
        <w:rPr>
          <w:rFonts w:ascii="Palatino Linotype" w:eastAsia="Palatino Linotype" w:hAnsi="Palatino Linotype" w:cs="Palatino Linotype"/>
          <w:sz w:val="24"/>
          <w:szCs w:val="24"/>
        </w:rPr>
      </w:pPr>
    </w:p>
    <w:p w14:paraId="4EAF1A15"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conclusión, </w:t>
      </w: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sz w:val="24"/>
          <w:szCs w:val="24"/>
        </w:rPr>
        <w:t xml:space="preserve"> </w:t>
      </w:r>
      <w:r w:rsidRPr="007B28C0">
        <w:rPr>
          <w:rFonts w:ascii="Palatino Linotype" w:eastAsia="Palatino Linotype" w:hAnsi="Palatino Linotype" w:cs="Palatino Linotype"/>
          <w:sz w:val="24"/>
          <w:szCs w:val="24"/>
        </w:rPr>
        <w:t>se encuentra obligado a contar con planos por sectores y reconoce la existencia de los doce polígonos, esto al entregar una liga electrónica para acceder a la información solicitada.</w:t>
      </w:r>
    </w:p>
    <w:p w14:paraId="2E8867CE" w14:textId="77777777" w:rsidR="005C3A3A" w:rsidRPr="007B28C0" w:rsidRDefault="005C3A3A">
      <w:pPr>
        <w:spacing w:after="0" w:line="360" w:lineRule="auto"/>
        <w:ind w:right="51"/>
        <w:jc w:val="both"/>
        <w:rPr>
          <w:rFonts w:ascii="Palatino Linotype" w:eastAsia="Palatino Linotype" w:hAnsi="Palatino Linotype" w:cs="Palatino Linotype"/>
          <w:sz w:val="24"/>
          <w:szCs w:val="24"/>
        </w:rPr>
      </w:pPr>
    </w:p>
    <w:p w14:paraId="42030AF3"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Motivo por el que se ordenan los planos por zonas o sectores y los planos correspondientes a las 12 poligonales.</w:t>
      </w:r>
    </w:p>
    <w:p w14:paraId="09C7E033" w14:textId="77777777" w:rsidR="005C3A3A" w:rsidRPr="007B28C0" w:rsidRDefault="005C3A3A">
      <w:pPr>
        <w:spacing w:line="360" w:lineRule="auto"/>
        <w:ind w:right="51"/>
        <w:jc w:val="both"/>
        <w:rPr>
          <w:rFonts w:ascii="Palatino Linotype" w:eastAsia="Palatino Linotype" w:hAnsi="Palatino Linotype" w:cs="Palatino Linotype"/>
          <w:sz w:val="24"/>
          <w:szCs w:val="24"/>
        </w:rPr>
      </w:pPr>
    </w:p>
    <w:tbl>
      <w:tblPr>
        <w:tblStyle w:val="a9"/>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410"/>
        <w:gridCol w:w="2409"/>
        <w:gridCol w:w="2268"/>
      </w:tblGrid>
      <w:tr w:rsidR="007B28C0" w:rsidRPr="007B28C0" w14:paraId="673F612B" w14:textId="77777777">
        <w:tc>
          <w:tcPr>
            <w:tcW w:w="2100" w:type="dxa"/>
            <w:shd w:val="clear" w:color="auto" w:fill="BFBFBF"/>
          </w:tcPr>
          <w:p w14:paraId="53F0C8C9"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Información requerida.</w:t>
            </w:r>
          </w:p>
        </w:tc>
        <w:tc>
          <w:tcPr>
            <w:tcW w:w="2410" w:type="dxa"/>
            <w:shd w:val="clear" w:color="auto" w:fill="BFBFBF"/>
          </w:tcPr>
          <w:p w14:paraId="5753B311"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Respuesta</w:t>
            </w:r>
          </w:p>
        </w:tc>
        <w:tc>
          <w:tcPr>
            <w:tcW w:w="2409" w:type="dxa"/>
            <w:shd w:val="clear" w:color="auto" w:fill="BFBFBF"/>
          </w:tcPr>
          <w:p w14:paraId="41096A2B"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 xml:space="preserve">Inconformidad </w:t>
            </w:r>
          </w:p>
        </w:tc>
        <w:tc>
          <w:tcPr>
            <w:tcW w:w="2268" w:type="dxa"/>
            <w:shd w:val="clear" w:color="auto" w:fill="BFBFBF"/>
          </w:tcPr>
          <w:p w14:paraId="213AC90B"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Informe justificado.</w:t>
            </w:r>
          </w:p>
        </w:tc>
      </w:tr>
      <w:tr w:rsidR="007B28C0" w:rsidRPr="007B28C0" w14:paraId="1E030EE0" w14:textId="77777777">
        <w:tc>
          <w:tcPr>
            <w:tcW w:w="2100" w:type="dxa"/>
          </w:tcPr>
          <w:p w14:paraId="057F94FA"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A).- Me proporcione, o me indique en que página de internet, se localiza los</w:t>
            </w:r>
            <w:r w:rsidRPr="007B28C0">
              <w:t xml:space="preserve"> </w:t>
            </w:r>
            <w:r w:rsidRPr="007B28C0">
              <w:rPr>
                <w:rFonts w:ascii="Palatino Linotype" w:eastAsia="Palatino Linotype" w:hAnsi="Palatino Linotype" w:cs="Palatino Linotype"/>
                <w:sz w:val="18"/>
                <w:szCs w:val="18"/>
              </w:rPr>
              <w:t>Planos de Zonificación Primaria; Planos de Zonificación Secundaria.</w:t>
            </w:r>
          </w:p>
          <w:p w14:paraId="0A82F2F2"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B).- 1.- Copia Simple y Certificada del Plano actual de zonificación secundaria, correspondiente a “Mayorazgos del Bosque”, Atizapán de Zaragoza, Estado de México;</w:t>
            </w:r>
          </w:p>
        </w:tc>
        <w:tc>
          <w:tcPr>
            <w:tcW w:w="2410" w:type="dxa"/>
            <w:vMerge w:val="restart"/>
            <w:vAlign w:val="center"/>
          </w:tcPr>
          <w:p w14:paraId="5CAEE343" w14:textId="77777777" w:rsidR="005C3A3A" w:rsidRPr="007B28C0" w:rsidRDefault="005C3A3A">
            <w:pPr>
              <w:spacing w:before="240" w:after="240"/>
              <w:jc w:val="both"/>
              <w:rPr>
                <w:rFonts w:ascii="Palatino Linotype" w:eastAsia="Palatino Linotype" w:hAnsi="Palatino Linotype" w:cs="Palatino Linotype"/>
                <w:sz w:val="18"/>
                <w:szCs w:val="18"/>
              </w:rPr>
            </w:pPr>
          </w:p>
          <w:p w14:paraId="3C5167C4"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Subdirector de Planeación Territorial y Urbana, menciona que después de una búsqueda exhaustiva y razonable, menciona que la información no obra en sus expedientes</w:t>
            </w:r>
          </w:p>
          <w:p w14:paraId="1A06AFA9" w14:textId="77777777" w:rsidR="005C3A3A" w:rsidRPr="007B28C0" w:rsidRDefault="005C3A3A">
            <w:pPr>
              <w:spacing w:before="240" w:after="240"/>
              <w:jc w:val="both"/>
              <w:rPr>
                <w:rFonts w:ascii="Palatino Linotype" w:eastAsia="Palatino Linotype" w:hAnsi="Palatino Linotype" w:cs="Palatino Linotype"/>
                <w:sz w:val="18"/>
                <w:szCs w:val="18"/>
              </w:rPr>
            </w:pPr>
          </w:p>
        </w:tc>
        <w:tc>
          <w:tcPr>
            <w:tcW w:w="2409" w:type="dxa"/>
            <w:vMerge w:val="restart"/>
            <w:vAlign w:val="center"/>
          </w:tcPr>
          <w:p w14:paraId="0D8D97A0" w14:textId="77777777" w:rsidR="005C3A3A" w:rsidRPr="007B28C0" w:rsidRDefault="00BD07C9">
            <w:pPr>
              <w:spacing w:before="240" w:after="240"/>
              <w:jc w:val="both"/>
              <w:rPr>
                <w:rFonts w:ascii="Palatino Linotype" w:eastAsia="Palatino Linotype" w:hAnsi="Palatino Linotype" w:cs="Palatino Linotype"/>
                <w:sz w:val="20"/>
                <w:szCs w:val="20"/>
              </w:rPr>
            </w:pPr>
            <w:r w:rsidRPr="007B28C0">
              <w:rPr>
                <w:rFonts w:ascii="Palatino Linotype" w:eastAsia="Palatino Linotype" w:hAnsi="Palatino Linotype" w:cs="Palatino Linotype"/>
                <w:sz w:val="20"/>
                <w:szCs w:val="20"/>
              </w:rPr>
              <w:t>No entregaron nada.</w:t>
            </w:r>
          </w:p>
        </w:tc>
        <w:tc>
          <w:tcPr>
            <w:tcW w:w="2268" w:type="dxa"/>
            <w:vMerge w:val="restart"/>
          </w:tcPr>
          <w:p w14:paraId="0BFE9591" w14:textId="77777777" w:rsidR="005C3A3A" w:rsidRPr="007B28C0" w:rsidRDefault="00BD07C9">
            <w:pPr>
              <w:spacing w:before="240" w:after="240"/>
              <w:jc w:val="both"/>
              <w:rPr>
                <w:rFonts w:ascii="Palatino Linotype" w:eastAsia="Palatino Linotype" w:hAnsi="Palatino Linotype" w:cs="Palatino Linotype"/>
                <w:sz w:val="20"/>
                <w:szCs w:val="20"/>
              </w:rPr>
            </w:pPr>
            <w:r w:rsidRPr="007B28C0">
              <w:rPr>
                <w:rFonts w:ascii="Palatino Linotype" w:eastAsia="Palatino Linotype" w:hAnsi="Palatino Linotype" w:cs="Palatino Linotype"/>
                <w:sz w:val="20"/>
                <w:szCs w:val="20"/>
              </w:rPr>
              <w:t>El Subdirector de Planeación Territorial y Urbana, menciona que los planos de zonificación primaria y zonificación secundaria podrán consultarse en las ligas electrónicas proporcionadas, mismo que podrán ser descargados y consultados, no obstante no se ubican como plano de zonificación primaria y plano de zonificación secundaria, sino como E-1 “Clasificación Territorial” y E-2 “Estructura Urbanas y Uso de suelo”.</w:t>
            </w:r>
          </w:p>
          <w:p w14:paraId="40BC973E" w14:textId="77777777" w:rsidR="005C3A3A" w:rsidRPr="007B28C0" w:rsidRDefault="005C3A3A">
            <w:pPr>
              <w:spacing w:before="240" w:after="240"/>
              <w:jc w:val="both"/>
              <w:rPr>
                <w:rFonts w:ascii="Palatino Linotype" w:eastAsia="Palatino Linotype" w:hAnsi="Palatino Linotype" w:cs="Palatino Linotype"/>
                <w:sz w:val="20"/>
                <w:szCs w:val="20"/>
              </w:rPr>
            </w:pPr>
          </w:p>
        </w:tc>
      </w:tr>
      <w:tr w:rsidR="007B28C0" w:rsidRPr="007B28C0" w14:paraId="1290C3BD" w14:textId="77777777">
        <w:tc>
          <w:tcPr>
            <w:tcW w:w="2100" w:type="dxa"/>
            <w:tcBorders>
              <w:top w:val="single" w:sz="4" w:space="0" w:color="000000"/>
              <w:left w:val="single" w:sz="4" w:space="0" w:color="000000"/>
              <w:bottom w:val="single" w:sz="4" w:space="0" w:color="000000"/>
            </w:tcBorders>
          </w:tcPr>
          <w:p w14:paraId="765E69AF"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2.- Copia Simple y Certificada del Plano actual de zonificación secundaria, correspondiente a la colonia “Las Colonias”, Atizapán de Zaragoza, Estado de México.</w:t>
            </w:r>
          </w:p>
        </w:tc>
        <w:tc>
          <w:tcPr>
            <w:tcW w:w="2410" w:type="dxa"/>
            <w:vMerge/>
            <w:vAlign w:val="center"/>
          </w:tcPr>
          <w:p w14:paraId="1F095543" w14:textId="77777777" w:rsidR="005C3A3A" w:rsidRPr="007B28C0" w:rsidRDefault="005C3A3A">
            <w:pPr>
              <w:widowControl w:val="0"/>
              <w:pBdr>
                <w:top w:val="nil"/>
                <w:left w:val="nil"/>
                <w:bottom w:val="nil"/>
                <w:right w:val="nil"/>
                <w:between w:val="nil"/>
              </w:pBdr>
              <w:spacing w:after="0" w:line="276" w:lineRule="auto"/>
              <w:rPr>
                <w:rFonts w:ascii="Palatino Linotype" w:eastAsia="Palatino Linotype" w:hAnsi="Palatino Linotype" w:cs="Palatino Linotype"/>
                <w:sz w:val="18"/>
                <w:szCs w:val="18"/>
              </w:rPr>
            </w:pPr>
          </w:p>
        </w:tc>
        <w:tc>
          <w:tcPr>
            <w:tcW w:w="2409" w:type="dxa"/>
            <w:vMerge/>
            <w:vAlign w:val="center"/>
          </w:tcPr>
          <w:p w14:paraId="4418BA64" w14:textId="77777777" w:rsidR="005C3A3A" w:rsidRPr="007B28C0" w:rsidRDefault="005C3A3A">
            <w:pPr>
              <w:widowControl w:val="0"/>
              <w:pBdr>
                <w:top w:val="nil"/>
                <w:left w:val="nil"/>
                <w:bottom w:val="nil"/>
                <w:right w:val="nil"/>
                <w:between w:val="nil"/>
              </w:pBdr>
              <w:spacing w:after="0" w:line="276" w:lineRule="auto"/>
              <w:rPr>
                <w:rFonts w:ascii="Palatino Linotype" w:eastAsia="Palatino Linotype" w:hAnsi="Palatino Linotype" w:cs="Palatino Linotype"/>
                <w:sz w:val="18"/>
                <w:szCs w:val="18"/>
              </w:rPr>
            </w:pPr>
          </w:p>
        </w:tc>
        <w:tc>
          <w:tcPr>
            <w:tcW w:w="2268" w:type="dxa"/>
            <w:vMerge/>
          </w:tcPr>
          <w:p w14:paraId="03B35A02" w14:textId="77777777" w:rsidR="005C3A3A" w:rsidRPr="007B28C0" w:rsidRDefault="005C3A3A">
            <w:pPr>
              <w:widowControl w:val="0"/>
              <w:pBdr>
                <w:top w:val="nil"/>
                <w:left w:val="nil"/>
                <w:bottom w:val="nil"/>
                <w:right w:val="nil"/>
                <w:between w:val="nil"/>
              </w:pBdr>
              <w:spacing w:after="0" w:line="276" w:lineRule="auto"/>
              <w:rPr>
                <w:rFonts w:ascii="Palatino Linotype" w:eastAsia="Palatino Linotype" w:hAnsi="Palatino Linotype" w:cs="Palatino Linotype"/>
                <w:sz w:val="18"/>
                <w:szCs w:val="18"/>
              </w:rPr>
            </w:pPr>
          </w:p>
        </w:tc>
      </w:tr>
    </w:tbl>
    <w:p w14:paraId="56B1E84D" w14:textId="77777777" w:rsidR="005C3A3A" w:rsidRPr="007B28C0" w:rsidRDefault="005C3A3A">
      <w:pPr>
        <w:spacing w:after="0" w:line="360" w:lineRule="auto"/>
        <w:ind w:right="51"/>
        <w:jc w:val="both"/>
        <w:rPr>
          <w:rFonts w:ascii="Palatino Linotype" w:eastAsia="Palatino Linotype" w:hAnsi="Palatino Linotype" w:cs="Palatino Linotype"/>
          <w:sz w:val="24"/>
          <w:szCs w:val="24"/>
        </w:rPr>
      </w:pPr>
    </w:p>
    <w:p w14:paraId="0229A61F"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Ahora bien al consultar las ligas electrónicas proporcionadas se observa lo siguiente:</w:t>
      </w:r>
    </w:p>
    <w:p w14:paraId="12D6A611" w14:textId="77777777" w:rsidR="005C3A3A" w:rsidRPr="007B28C0" w:rsidRDefault="005C3A3A">
      <w:pPr>
        <w:spacing w:after="0" w:line="360" w:lineRule="auto"/>
        <w:ind w:right="51"/>
        <w:jc w:val="both"/>
        <w:rPr>
          <w:rFonts w:ascii="Palatino Linotype" w:eastAsia="Palatino Linotype" w:hAnsi="Palatino Linotype" w:cs="Palatino Linotype"/>
          <w:sz w:val="24"/>
          <w:szCs w:val="24"/>
        </w:rPr>
      </w:pPr>
    </w:p>
    <w:p w14:paraId="4FAD937F" w14:textId="77777777" w:rsidR="005C3A3A" w:rsidRPr="007B28C0" w:rsidRDefault="00794E9C">
      <w:pPr>
        <w:spacing w:after="0" w:line="360" w:lineRule="auto"/>
        <w:ind w:right="51"/>
        <w:jc w:val="both"/>
        <w:rPr>
          <w:rFonts w:ascii="Palatino Linotype" w:eastAsia="Palatino Linotype" w:hAnsi="Palatino Linotype" w:cs="Palatino Linotype"/>
          <w:sz w:val="24"/>
          <w:szCs w:val="24"/>
        </w:rPr>
      </w:pPr>
      <w:hyperlink r:id="rId15">
        <w:r w:rsidR="00BD07C9" w:rsidRPr="007B28C0">
          <w:rPr>
            <w:rFonts w:ascii="Palatino Linotype" w:eastAsia="Palatino Linotype" w:hAnsi="Palatino Linotype" w:cs="Palatino Linotype"/>
            <w:sz w:val="24"/>
            <w:szCs w:val="24"/>
            <w:u w:val="single"/>
          </w:rPr>
          <w:t>https://legislacion.edomex.gob.mx/sites/legislacion.edomex.gob.mx/files/files/pdf/gct/2022/sep122.pdf</w:t>
        </w:r>
      </w:hyperlink>
      <w:r w:rsidR="00BD07C9" w:rsidRPr="007B28C0">
        <w:rPr>
          <w:rFonts w:ascii="Palatino Linotype" w:eastAsia="Palatino Linotype" w:hAnsi="Palatino Linotype" w:cs="Palatino Linotype"/>
          <w:sz w:val="24"/>
          <w:szCs w:val="24"/>
        </w:rPr>
        <w:t xml:space="preserve"> </w:t>
      </w:r>
    </w:p>
    <w:p w14:paraId="51005E41"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noProof/>
        </w:rPr>
        <w:drawing>
          <wp:inline distT="0" distB="0" distL="0" distR="0" wp14:anchorId="4519123D" wp14:editId="6DDD8B12">
            <wp:extent cx="5572580" cy="4429487"/>
            <wp:effectExtent l="0" t="0" r="0" b="0"/>
            <wp:docPr id="14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l="33434" t="13278" r="33298" b="12794"/>
                    <a:stretch>
                      <a:fillRect/>
                    </a:stretch>
                  </pic:blipFill>
                  <pic:spPr>
                    <a:xfrm>
                      <a:off x="0" y="0"/>
                      <a:ext cx="5572580" cy="4429487"/>
                    </a:xfrm>
                    <a:prstGeom prst="rect">
                      <a:avLst/>
                    </a:prstGeom>
                    <a:ln/>
                  </pic:spPr>
                </pic:pic>
              </a:graphicData>
            </a:graphic>
          </wp:inline>
        </w:drawing>
      </w:r>
    </w:p>
    <w:p w14:paraId="162CCBC4" w14:textId="77777777" w:rsidR="005C3A3A" w:rsidRPr="007B28C0" w:rsidRDefault="00794E9C">
      <w:pPr>
        <w:spacing w:after="0" w:line="360" w:lineRule="auto"/>
        <w:ind w:right="49"/>
        <w:jc w:val="both"/>
        <w:rPr>
          <w:rFonts w:ascii="Palatino Linotype" w:eastAsia="Palatino Linotype" w:hAnsi="Palatino Linotype" w:cs="Palatino Linotype"/>
          <w:sz w:val="24"/>
          <w:szCs w:val="24"/>
        </w:rPr>
      </w:pPr>
      <w:hyperlink r:id="rId17">
        <w:r w:rsidR="00BD07C9" w:rsidRPr="007B28C0">
          <w:rPr>
            <w:rFonts w:ascii="Palatino Linotype" w:eastAsia="Palatino Linotype" w:hAnsi="Palatino Linotype" w:cs="Palatino Linotype"/>
            <w:sz w:val="24"/>
            <w:szCs w:val="24"/>
            <w:u w:val="single"/>
          </w:rPr>
          <w:t>https://seduo.edomex.gob.mx/atizapan_zaragoza</w:t>
        </w:r>
      </w:hyperlink>
      <w:r w:rsidR="00BD07C9" w:rsidRPr="007B28C0">
        <w:rPr>
          <w:rFonts w:ascii="Palatino Linotype" w:eastAsia="Palatino Linotype" w:hAnsi="Palatino Linotype" w:cs="Palatino Linotype"/>
          <w:sz w:val="24"/>
          <w:szCs w:val="24"/>
        </w:rPr>
        <w:t xml:space="preserve"> </w:t>
      </w:r>
    </w:p>
    <w:p w14:paraId="4F91E41C"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noProof/>
        </w:rPr>
        <w:lastRenderedPageBreak/>
        <w:drawing>
          <wp:inline distT="0" distB="0" distL="0" distR="0" wp14:anchorId="672D145E" wp14:editId="47734A77">
            <wp:extent cx="5865555" cy="4563841"/>
            <wp:effectExtent l="0" t="0" r="0" b="0"/>
            <wp:docPr id="1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l="15105" t="6939" r="21419" b="5250"/>
                    <a:stretch>
                      <a:fillRect/>
                    </a:stretch>
                  </pic:blipFill>
                  <pic:spPr>
                    <a:xfrm>
                      <a:off x="0" y="0"/>
                      <a:ext cx="5865555" cy="4563841"/>
                    </a:xfrm>
                    <a:prstGeom prst="rect">
                      <a:avLst/>
                    </a:prstGeom>
                    <a:ln/>
                  </pic:spPr>
                </pic:pic>
              </a:graphicData>
            </a:graphic>
          </wp:inline>
        </w:drawing>
      </w:r>
      <w:r w:rsidRPr="007B28C0">
        <w:rPr>
          <w:noProof/>
        </w:rPr>
        <mc:AlternateContent>
          <mc:Choice Requires="wpg">
            <w:drawing>
              <wp:anchor distT="0" distB="0" distL="114300" distR="114300" simplePos="0" relativeHeight="251659264" behindDoc="0" locked="0" layoutInCell="1" hidden="0" allowOverlap="1" wp14:anchorId="2CFC9BC9" wp14:editId="71F13EB7">
                <wp:simplePos x="0" y="0"/>
                <wp:positionH relativeFrom="column">
                  <wp:posOffset>3987800</wp:posOffset>
                </wp:positionH>
                <wp:positionV relativeFrom="paragraph">
                  <wp:posOffset>3683000</wp:posOffset>
                </wp:positionV>
                <wp:extent cx="1895475" cy="381000"/>
                <wp:effectExtent l="0" t="0" r="0" b="0"/>
                <wp:wrapNone/>
                <wp:docPr id="123" name="Rectángulo 123"/>
                <wp:cNvGraphicFramePr/>
                <a:graphic xmlns:a="http://schemas.openxmlformats.org/drawingml/2006/main">
                  <a:graphicData uri="http://schemas.microsoft.com/office/word/2010/wordprocessingShape">
                    <wps:wsp>
                      <wps:cNvSpPr/>
                      <wps:spPr>
                        <a:xfrm>
                          <a:off x="4436363" y="3627600"/>
                          <a:ext cx="1819275" cy="304800"/>
                        </a:xfrm>
                        <a:prstGeom prst="rect">
                          <a:avLst/>
                        </a:prstGeom>
                        <a:noFill/>
                        <a:ln w="38100" cap="flat" cmpd="sng">
                          <a:solidFill>
                            <a:srgbClr val="FF0000"/>
                          </a:solidFill>
                          <a:prstDash val="solid"/>
                          <a:miter lim="800000"/>
                          <a:headEnd type="none" w="sm" len="sm"/>
                          <a:tailEnd type="none" w="sm" len="sm"/>
                        </a:ln>
                      </wps:spPr>
                      <wps:txbx>
                        <w:txbxContent>
                          <w:p w14:paraId="12CE2AC2" w14:textId="77777777" w:rsidR="005C3A3A" w:rsidRDefault="005C3A3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3987800</wp:posOffset>
                </wp:positionH>
                <wp:positionV relativeFrom="paragraph">
                  <wp:posOffset>3683000</wp:posOffset>
                </wp:positionV>
                <wp:extent cx="1895475" cy="381000"/>
                <wp:effectExtent b="0" l="0" r="0" t="0"/>
                <wp:wrapNone/>
                <wp:docPr id="123" name="image25.png"/>
                <a:graphic>
                  <a:graphicData uri="http://schemas.openxmlformats.org/drawingml/2006/picture">
                    <pic:pic>
                      <pic:nvPicPr>
                        <pic:cNvPr id="0" name="image25.png"/>
                        <pic:cNvPicPr preferRelativeResize="0"/>
                      </pic:nvPicPr>
                      <pic:blipFill>
                        <a:blip r:embed="rId19"/>
                        <a:srcRect/>
                        <a:stretch>
                          <a:fillRect/>
                        </a:stretch>
                      </pic:blipFill>
                      <pic:spPr>
                        <a:xfrm>
                          <a:off x="0" y="0"/>
                          <a:ext cx="1895475" cy="381000"/>
                        </a:xfrm>
                        <a:prstGeom prst="rect"/>
                        <a:ln/>
                      </pic:spPr>
                    </pic:pic>
                  </a:graphicData>
                </a:graphic>
              </wp:anchor>
            </w:drawing>
          </mc:Fallback>
        </mc:AlternateContent>
      </w:r>
    </w:p>
    <w:p w14:paraId="2AE8F212"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459B6598"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Por lo que se buscaron los registros E-1 “Clasificación Territorial” y E-2 “Estructura Urbanas y Uso de suelo”, señalados por </w:t>
      </w:r>
      <w:r w:rsidRPr="007B28C0">
        <w:rPr>
          <w:rFonts w:ascii="Palatino Linotype" w:eastAsia="Palatino Linotype" w:hAnsi="Palatino Linotype" w:cs="Palatino Linotype"/>
          <w:b/>
          <w:sz w:val="24"/>
          <w:szCs w:val="24"/>
        </w:rPr>
        <w:t xml:space="preserve">EL SUJETO OBLIGADO </w:t>
      </w:r>
      <w:r w:rsidRPr="007B28C0">
        <w:rPr>
          <w:rFonts w:ascii="Palatino Linotype" w:eastAsia="Palatino Linotype" w:hAnsi="Palatino Linotype" w:cs="Palatino Linotype"/>
          <w:sz w:val="24"/>
          <w:szCs w:val="24"/>
        </w:rPr>
        <w:t xml:space="preserve">en su informe justificado, en el cual se obtuvieron lo siguiente: </w:t>
      </w:r>
    </w:p>
    <w:p w14:paraId="759555E0" w14:textId="77777777" w:rsidR="005C3A3A" w:rsidRPr="007B28C0" w:rsidRDefault="005C3A3A">
      <w:pPr>
        <w:spacing w:after="0" w:line="360" w:lineRule="auto"/>
        <w:ind w:right="49"/>
        <w:jc w:val="both"/>
        <w:rPr>
          <w:rFonts w:ascii="Palatino Linotype" w:eastAsia="Palatino Linotype" w:hAnsi="Palatino Linotype" w:cs="Palatino Linotype"/>
          <w:sz w:val="32"/>
          <w:szCs w:val="32"/>
        </w:rPr>
      </w:pPr>
    </w:p>
    <w:p w14:paraId="7D0C7486" w14:textId="77777777" w:rsidR="005C3A3A" w:rsidRPr="007B28C0" w:rsidRDefault="00BD07C9">
      <w:pPr>
        <w:spacing w:after="0" w:line="360" w:lineRule="auto"/>
        <w:ind w:right="49"/>
        <w:jc w:val="both"/>
        <w:rPr>
          <w:rFonts w:ascii="Palatino Linotype" w:eastAsia="Palatino Linotype" w:hAnsi="Palatino Linotype" w:cs="Palatino Linotype"/>
          <w:sz w:val="32"/>
          <w:szCs w:val="32"/>
        </w:rPr>
      </w:pPr>
      <w:r w:rsidRPr="007B28C0">
        <w:rPr>
          <w:rFonts w:ascii="Palatino Linotype" w:eastAsia="Palatino Linotype" w:hAnsi="Palatino Linotype" w:cs="Palatino Linotype"/>
          <w:sz w:val="24"/>
          <w:szCs w:val="24"/>
        </w:rPr>
        <w:t>E-1 “Clasificación Territorial”:</w:t>
      </w:r>
    </w:p>
    <w:p w14:paraId="61DF2626" w14:textId="77777777" w:rsidR="005C3A3A" w:rsidRPr="007B28C0" w:rsidRDefault="00BD07C9">
      <w:pPr>
        <w:spacing w:after="0" w:line="360" w:lineRule="auto"/>
        <w:ind w:right="49"/>
        <w:jc w:val="both"/>
        <w:rPr>
          <w:rFonts w:ascii="Palatino Linotype" w:eastAsia="Palatino Linotype" w:hAnsi="Palatino Linotype" w:cs="Palatino Linotype"/>
          <w:sz w:val="32"/>
          <w:szCs w:val="32"/>
        </w:rPr>
      </w:pPr>
      <w:r w:rsidRPr="007B28C0">
        <w:rPr>
          <w:noProof/>
        </w:rPr>
        <w:lastRenderedPageBreak/>
        <w:drawing>
          <wp:inline distT="0" distB="0" distL="0" distR="0" wp14:anchorId="4EFFE45F" wp14:editId="49E8EDF2">
            <wp:extent cx="5731030" cy="3959341"/>
            <wp:effectExtent l="0" t="0" r="0" b="0"/>
            <wp:docPr id="14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l="17991" t="12974" r="18873" b="9474"/>
                    <a:stretch>
                      <a:fillRect/>
                    </a:stretch>
                  </pic:blipFill>
                  <pic:spPr>
                    <a:xfrm>
                      <a:off x="0" y="0"/>
                      <a:ext cx="5731030" cy="3959341"/>
                    </a:xfrm>
                    <a:prstGeom prst="rect">
                      <a:avLst/>
                    </a:prstGeom>
                    <a:ln/>
                  </pic:spPr>
                </pic:pic>
              </a:graphicData>
            </a:graphic>
          </wp:inline>
        </w:drawing>
      </w:r>
    </w:p>
    <w:p w14:paraId="48C7682E" w14:textId="77777777" w:rsidR="005C3A3A" w:rsidRPr="007B28C0" w:rsidRDefault="00BD07C9">
      <w:pPr>
        <w:spacing w:after="0" w:line="360" w:lineRule="auto"/>
        <w:ind w:right="49"/>
        <w:jc w:val="both"/>
        <w:rPr>
          <w:rFonts w:ascii="Palatino Linotype" w:eastAsia="Palatino Linotype" w:hAnsi="Palatino Linotype" w:cs="Palatino Linotype"/>
          <w:sz w:val="32"/>
          <w:szCs w:val="32"/>
        </w:rPr>
      </w:pPr>
      <w:r w:rsidRPr="007B28C0">
        <w:rPr>
          <w:rFonts w:ascii="Palatino Linotype" w:eastAsia="Palatino Linotype" w:hAnsi="Palatino Linotype" w:cs="Palatino Linotype"/>
          <w:sz w:val="24"/>
          <w:szCs w:val="24"/>
        </w:rPr>
        <w:t>E-2 “Estructura Urbanas y Uso de suelo”:</w:t>
      </w:r>
    </w:p>
    <w:p w14:paraId="24F48787" w14:textId="77777777" w:rsidR="005C3A3A" w:rsidRPr="007B28C0" w:rsidRDefault="00BD07C9">
      <w:pPr>
        <w:spacing w:after="0" w:line="360" w:lineRule="auto"/>
        <w:ind w:right="49"/>
        <w:jc w:val="both"/>
        <w:rPr>
          <w:rFonts w:ascii="Palatino Linotype" w:eastAsia="Palatino Linotype" w:hAnsi="Palatino Linotype" w:cs="Palatino Linotype"/>
          <w:sz w:val="32"/>
          <w:szCs w:val="32"/>
        </w:rPr>
      </w:pPr>
      <w:r w:rsidRPr="007B28C0">
        <w:rPr>
          <w:noProof/>
        </w:rPr>
        <w:lastRenderedPageBreak/>
        <w:drawing>
          <wp:inline distT="0" distB="0" distL="0" distR="0" wp14:anchorId="07FD4A2A" wp14:editId="1B12DA4B">
            <wp:extent cx="5856390" cy="4034055"/>
            <wp:effectExtent l="0" t="0" r="0" b="0"/>
            <wp:docPr id="1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l="18160" t="12070" r="18024" b="9776"/>
                    <a:stretch>
                      <a:fillRect/>
                    </a:stretch>
                  </pic:blipFill>
                  <pic:spPr>
                    <a:xfrm>
                      <a:off x="0" y="0"/>
                      <a:ext cx="5856390" cy="4034055"/>
                    </a:xfrm>
                    <a:prstGeom prst="rect">
                      <a:avLst/>
                    </a:prstGeom>
                    <a:ln/>
                  </pic:spPr>
                </pic:pic>
              </a:graphicData>
            </a:graphic>
          </wp:inline>
        </w:drawing>
      </w:r>
    </w:p>
    <w:p w14:paraId="53FFFF36"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En ese sentido, resulta oportuno mencionar que el Plan Municipal de Desarrollo Urbano de Atizapán de Zaragoza, establece lo siguiente:</w:t>
      </w:r>
    </w:p>
    <w:p w14:paraId="1EEEAB29" w14:textId="77777777" w:rsidR="005C3A3A" w:rsidRPr="007B28C0" w:rsidRDefault="005C3A3A">
      <w:pPr>
        <w:spacing w:after="0" w:line="360" w:lineRule="auto"/>
        <w:ind w:right="900"/>
        <w:jc w:val="both"/>
        <w:rPr>
          <w:rFonts w:ascii="Palatino Linotype" w:eastAsia="Palatino Linotype" w:hAnsi="Palatino Linotype" w:cs="Palatino Linotype"/>
          <w:i/>
          <w:sz w:val="32"/>
          <w:szCs w:val="32"/>
        </w:rPr>
      </w:pPr>
    </w:p>
    <w:p w14:paraId="452916FD" w14:textId="77777777" w:rsidR="005C3A3A" w:rsidRPr="007B28C0" w:rsidRDefault="00BD07C9">
      <w:pPr>
        <w:spacing w:after="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1. El plano E-1 “Clasificación del Territorio” establece la zonificación del territorio municipal en: </w:t>
      </w:r>
    </w:p>
    <w:p w14:paraId="5463D29B" w14:textId="77777777" w:rsidR="005C3A3A" w:rsidRPr="007B28C0" w:rsidRDefault="00BD07C9">
      <w:pPr>
        <w:spacing w:after="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12.1.1.1. Área urbana: </w:t>
      </w:r>
    </w:p>
    <w:p w14:paraId="14937754" w14:textId="77777777" w:rsidR="005C3A3A" w:rsidRPr="007B28C0" w:rsidRDefault="00BD07C9">
      <w:pPr>
        <w:spacing w:after="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78557E05" w14:textId="77777777" w:rsidR="005C3A3A" w:rsidRPr="007B28C0" w:rsidRDefault="00BD07C9">
      <w:pPr>
        <w:spacing w:after="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12.1.1.2. Área urbanizable: </w:t>
      </w:r>
    </w:p>
    <w:p w14:paraId="02D081FA" w14:textId="77777777" w:rsidR="005C3A3A" w:rsidRPr="007B28C0" w:rsidRDefault="00BD07C9">
      <w:pPr>
        <w:spacing w:after="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1417068D" w14:textId="77777777" w:rsidR="005C3A3A" w:rsidRPr="007B28C0" w:rsidRDefault="00BD07C9">
      <w:pPr>
        <w:spacing w:after="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12.1.1.3. Área no urbanizable: </w:t>
      </w:r>
    </w:p>
    <w:p w14:paraId="52630193" w14:textId="77777777" w:rsidR="005C3A3A" w:rsidRPr="007B28C0" w:rsidRDefault="00BD07C9">
      <w:pPr>
        <w:spacing w:after="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lastRenderedPageBreak/>
        <w:t>(…)</w:t>
      </w:r>
    </w:p>
    <w:p w14:paraId="3B4057A5" w14:textId="77777777" w:rsidR="005C3A3A" w:rsidRPr="007B28C0" w:rsidRDefault="005C3A3A">
      <w:pPr>
        <w:spacing w:after="0" w:line="360" w:lineRule="auto"/>
        <w:ind w:left="851" w:right="900"/>
        <w:jc w:val="both"/>
        <w:rPr>
          <w:rFonts w:ascii="Palatino Linotype" w:eastAsia="Palatino Linotype" w:hAnsi="Palatino Linotype" w:cs="Palatino Linotype"/>
          <w:i/>
        </w:rPr>
      </w:pPr>
    </w:p>
    <w:p w14:paraId="2E6F165B" w14:textId="77777777" w:rsidR="005C3A3A" w:rsidRPr="007B28C0" w:rsidRDefault="00BD07C9">
      <w:pPr>
        <w:spacing w:after="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VII.3. Escenario Urbano. </w:t>
      </w:r>
    </w:p>
    <w:p w14:paraId="76B96A7C" w14:textId="77777777" w:rsidR="005C3A3A" w:rsidRPr="007B28C0" w:rsidRDefault="005C3A3A">
      <w:pPr>
        <w:spacing w:after="0" w:line="360" w:lineRule="auto"/>
        <w:ind w:left="851" w:right="900"/>
        <w:jc w:val="both"/>
        <w:rPr>
          <w:rFonts w:ascii="Palatino Linotype" w:eastAsia="Palatino Linotype" w:hAnsi="Palatino Linotype" w:cs="Palatino Linotype"/>
          <w:i/>
        </w:rPr>
      </w:pPr>
    </w:p>
    <w:p w14:paraId="4237178D" w14:textId="77777777" w:rsidR="005C3A3A" w:rsidRPr="007B28C0" w:rsidRDefault="00BD07C9">
      <w:pPr>
        <w:spacing w:after="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El escenario urbano previsto para Atizapán de Zaragoza resulta de la correspondencia de las áreas urbanizables y usos del suelo previstos y requeridos a corto, mediano y largo plazo que se representan en el plano E-2 “Estructura Urbana y Usos del Suelo”, así como en la estrategia del presente Plan.</w:t>
      </w:r>
    </w:p>
    <w:p w14:paraId="568F437A" w14:textId="77777777" w:rsidR="005C3A3A" w:rsidRPr="007B28C0" w:rsidRDefault="005C3A3A">
      <w:pPr>
        <w:spacing w:after="0" w:line="360" w:lineRule="auto"/>
        <w:ind w:right="900"/>
        <w:jc w:val="both"/>
        <w:rPr>
          <w:rFonts w:ascii="Palatino Linotype" w:eastAsia="Palatino Linotype" w:hAnsi="Palatino Linotype" w:cs="Palatino Linotype"/>
          <w:i/>
        </w:rPr>
      </w:pPr>
    </w:p>
    <w:p w14:paraId="511C958E"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El plano E-1 “Clasificación del Territorio” establece la zonificación del territorio municipal y que el plano E-2 “Estructura Urbana y Usos del Suelo” es el escenario urbano previsto para la correspondencia de las áreas urbanizables y usos del suelo para Atizapán de Zaragoza, por lo que dichos planos son generados en representación del territorio del Municipio de Atizapán de Zaragoza, por lo que después de realizar una revisión al marco normativo que rige al actuar del </w:t>
      </w:r>
      <w:r w:rsidRPr="007B28C0">
        <w:rPr>
          <w:rFonts w:ascii="Palatino Linotype" w:eastAsia="Palatino Linotype" w:hAnsi="Palatino Linotype" w:cs="Palatino Linotype"/>
          <w:b/>
          <w:sz w:val="24"/>
          <w:szCs w:val="24"/>
        </w:rPr>
        <w:t xml:space="preserve">SUJETO OBLIGADO </w:t>
      </w:r>
      <w:r w:rsidRPr="007B28C0">
        <w:rPr>
          <w:rFonts w:ascii="Palatino Linotype" w:eastAsia="Palatino Linotype" w:hAnsi="Palatino Linotype" w:cs="Palatino Linotype"/>
          <w:sz w:val="24"/>
          <w:szCs w:val="24"/>
        </w:rPr>
        <w:t xml:space="preserve">no se localizó fuente obligacional para que genere administre o posea la información tal y como lo requirió el particular, siendo necesario señalar lo que establece el artículo 12 de la Ley de Transparencia Estatal, antes citado, la entrega de la información no comprende el procesamiento de la misma, es decir, el Ayuntamiento de Atizapán de Zaragoza, no se encuentra obligado a realizar cálculos o practicar investigaciones para proporcionar la información que requieren los solicitantes, por lo que se tiene por atendido este punto de la solicitud, ya que </w:t>
      </w:r>
      <w:r w:rsidRPr="007B28C0">
        <w:rPr>
          <w:rFonts w:ascii="Palatino Linotype" w:eastAsia="Palatino Linotype" w:hAnsi="Palatino Linotype" w:cs="Palatino Linotype"/>
          <w:b/>
          <w:sz w:val="24"/>
          <w:szCs w:val="24"/>
        </w:rPr>
        <w:t xml:space="preserve">EL SUJETO OBLIGADO </w:t>
      </w:r>
      <w:r w:rsidRPr="007B28C0">
        <w:rPr>
          <w:rFonts w:ascii="Palatino Linotype" w:eastAsia="Palatino Linotype" w:hAnsi="Palatino Linotype" w:cs="Palatino Linotype"/>
          <w:sz w:val="24"/>
          <w:szCs w:val="24"/>
        </w:rPr>
        <w:t xml:space="preserve">hace entrega de la información tal y como obra en sus </w:t>
      </w:r>
      <w:r w:rsidRPr="007B28C0">
        <w:rPr>
          <w:rFonts w:ascii="Palatino Linotype" w:eastAsia="Palatino Linotype" w:hAnsi="Palatino Linotype" w:cs="Palatino Linotype"/>
          <w:sz w:val="24"/>
          <w:szCs w:val="24"/>
        </w:rPr>
        <w:lastRenderedPageBreak/>
        <w:t xml:space="preserve">archivos, no obstante requirió la información mediante copias certificadas, circunstancia que se analizará posteriormente.  </w:t>
      </w:r>
    </w:p>
    <w:p w14:paraId="50A25A8D" w14:textId="77777777" w:rsidR="005C3A3A" w:rsidRPr="007B28C0" w:rsidRDefault="005C3A3A">
      <w:pPr>
        <w:spacing w:after="0" w:line="360" w:lineRule="auto"/>
        <w:ind w:right="51"/>
        <w:jc w:val="both"/>
        <w:rPr>
          <w:rFonts w:ascii="Palatino Linotype" w:eastAsia="Palatino Linotype" w:hAnsi="Palatino Linotype" w:cs="Palatino Linotype"/>
          <w:sz w:val="24"/>
          <w:szCs w:val="24"/>
        </w:rPr>
      </w:pPr>
    </w:p>
    <w:p w14:paraId="7F78B79F"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Aunado a lo anterior, se destaca que, al haber existido un pronunciamiento por parte del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 xml:space="preserve">, respecto a este punto de la solicitud, este Organismo Garante no está facultado para manifestarse sobre la veracidad de lo expresado por parte de éste, pues no existe precepto legal alguno en la Ley de la materia que lo faculte para ello. </w:t>
      </w:r>
    </w:p>
    <w:p w14:paraId="55295E40"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2F119119"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4FF8295F"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7E5811AD" w14:textId="77777777" w:rsidR="005C3A3A" w:rsidRPr="007B28C0" w:rsidRDefault="00BD07C9">
      <w:pPr>
        <w:spacing w:after="0" w:line="276" w:lineRule="auto"/>
        <w:ind w:left="567" w:right="616"/>
        <w:jc w:val="both"/>
        <w:rPr>
          <w:rFonts w:ascii="Palatino Linotype" w:eastAsia="Palatino Linotype" w:hAnsi="Palatino Linotype" w:cs="Palatino Linotype"/>
          <w:i/>
        </w:rPr>
      </w:pPr>
      <w:r w:rsidRPr="007B28C0">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3AB16D5" w14:textId="77777777" w:rsidR="005C3A3A" w:rsidRPr="007B28C0" w:rsidRDefault="00BD07C9" w:rsidP="00BC585A">
      <w:pPr>
        <w:tabs>
          <w:tab w:val="left" w:pos="5670"/>
        </w:tabs>
        <w:spacing w:after="0" w:line="276" w:lineRule="auto"/>
        <w:ind w:right="616"/>
        <w:jc w:val="both"/>
        <w:rPr>
          <w:rFonts w:ascii="Palatino Linotype" w:eastAsia="Palatino Linotype" w:hAnsi="Palatino Linotype" w:cs="Palatino Linotype"/>
          <w:i/>
        </w:rPr>
      </w:pPr>
      <w:r w:rsidRPr="007B28C0">
        <w:rPr>
          <w:rFonts w:ascii="Palatino Linotype" w:eastAsia="Palatino Linotype" w:hAnsi="Palatino Linotype" w:cs="Palatino Linotype"/>
          <w:sz w:val="24"/>
          <w:szCs w:val="24"/>
        </w:rPr>
        <w:lastRenderedPageBreak/>
        <w:t>Teniendo por colmado este punto de la solicitud</w:t>
      </w:r>
      <w:r w:rsidRPr="007B28C0">
        <w:rPr>
          <w:rFonts w:ascii="Palatino Linotype" w:eastAsia="Palatino Linotype" w:hAnsi="Palatino Linotype" w:cs="Palatino Linotype"/>
          <w:i/>
        </w:rPr>
        <w:t xml:space="preserve">. </w:t>
      </w:r>
      <w:r w:rsidR="00BC585A" w:rsidRPr="007B28C0">
        <w:rPr>
          <w:rFonts w:ascii="Palatino Linotype" w:eastAsia="Palatino Linotype" w:hAnsi="Palatino Linotype" w:cs="Palatino Linotype"/>
          <w:i/>
        </w:rPr>
        <w:tab/>
      </w:r>
    </w:p>
    <w:p w14:paraId="25979BF5" w14:textId="77777777" w:rsidR="005C3A3A" w:rsidRPr="007B28C0" w:rsidRDefault="005C3A3A">
      <w:pPr>
        <w:spacing w:after="0" w:line="276" w:lineRule="auto"/>
        <w:ind w:right="616"/>
        <w:jc w:val="both"/>
        <w:rPr>
          <w:rFonts w:ascii="Palatino Linotype" w:eastAsia="Palatino Linotype" w:hAnsi="Palatino Linotype" w:cs="Palatino Linotype"/>
          <w:i/>
        </w:rPr>
      </w:pPr>
    </w:p>
    <w:tbl>
      <w:tblPr>
        <w:tblStyle w:val="aa"/>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410"/>
        <w:gridCol w:w="2409"/>
        <w:gridCol w:w="2268"/>
      </w:tblGrid>
      <w:tr w:rsidR="007B28C0" w:rsidRPr="007B28C0" w14:paraId="54F7DCDF" w14:textId="77777777">
        <w:tc>
          <w:tcPr>
            <w:tcW w:w="2100" w:type="dxa"/>
            <w:shd w:val="clear" w:color="auto" w:fill="BFBFBF"/>
          </w:tcPr>
          <w:p w14:paraId="4446D0C8"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Información requerida.</w:t>
            </w:r>
          </w:p>
        </w:tc>
        <w:tc>
          <w:tcPr>
            <w:tcW w:w="2410" w:type="dxa"/>
            <w:shd w:val="clear" w:color="auto" w:fill="BFBFBF"/>
          </w:tcPr>
          <w:p w14:paraId="6BC46D22"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Respuesta</w:t>
            </w:r>
          </w:p>
        </w:tc>
        <w:tc>
          <w:tcPr>
            <w:tcW w:w="2409" w:type="dxa"/>
            <w:shd w:val="clear" w:color="auto" w:fill="BFBFBF"/>
          </w:tcPr>
          <w:p w14:paraId="699BA171"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 xml:space="preserve">Inconformidad </w:t>
            </w:r>
          </w:p>
        </w:tc>
        <w:tc>
          <w:tcPr>
            <w:tcW w:w="2268" w:type="dxa"/>
            <w:shd w:val="clear" w:color="auto" w:fill="BFBFBF"/>
          </w:tcPr>
          <w:p w14:paraId="128D6211"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Informe justificado.</w:t>
            </w:r>
          </w:p>
        </w:tc>
      </w:tr>
      <w:tr w:rsidR="007B28C0" w:rsidRPr="007B28C0" w14:paraId="2D1E4033"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43E147C7"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3.- Copia Simple y Certificada del Plano actual catastral, correspondiente a “Mayorazgos del Bosque” y a la colonia “Las Colonias”, ambas en Atizapán de Zaragoza, Estado de México.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48B854B"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Subdirector de Planeación Territorial y Urbana, menciona que después de una búsqueda exhaustiva y razonable, menciona que la información no obra en sus expedientes</w:t>
            </w:r>
          </w:p>
          <w:p w14:paraId="67856C94"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Tesorero Municipal menciona el plano catastral solicitado, se encuentra imposibilitado para entregarlas, ya que no se encuentra en el catálogo de servicios que presta el Departamento de Catastro Municipal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4A35DE9" w14:textId="77777777" w:rsidR="005C3A3A" w:rsidRPr="007B28C0" w:rsidRDefault="00BD07C9">
            <w:pPr>
              <w:spacing w:before="240" w:after="240"/>
              <w:ind w:firstLine="114"/>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No entregaron 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565597"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Ratifica</w:t>
            </w:r>
          </w:p>
        </w:tc>
      </w:tr>
    </w:tbl>
    <w:p w14:paraId="7C919CCC" w14:textId="77777777" w:rsidR="005C3A3A" w:rsidRPr="007B28C0" w:rsidRDefault="005C3A3A">
      <w:pPr>
        <w:spacing w:after="0" w:line="360" w:lineRule="auto"/>
        <w:ind w:right="49"/>
        <w:jc w:val="both"/>
        <w:rPr>
          <w:rFonts w:ascii="Palatino Linotype" w:eastAsia="Palatino Linotype" w:hAnsi="Palatino Linotype" w:cs="Palatino Linotype"/>
          <w:sz w:val="28"/>
          <w:szCs w:val="28"/>
        </w:rPr>
      </w:pPr>
    </w:p>
    <w:p w14:paraId="793927C1"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Es de resaltar que “Mayorazgos del Bosque” y “Las Colonias”, el Bando Municipal del </w:t>
      </w:r>
      <w:r w:rsidRPr="007B28C0">
        <w:rPr>
          <w:rFonts w:ascii="Palatino Linotype" w:eastAsia="Palatino Linotype" w:hAnsi="Palatino Linotype" w:cs="Palatino Linotype"/>
          <w:b/>
          <w:sz w:val="24"/>
          <w:szCs w:val="24"/>
        </w:rPr>
        <w:t xml:space="preserve">SUJETO OBLIGADO </w:t>
      </w:r>
      <w:r w:rsidRPr="007B28C0">
        <w:rPr>
          <w:rFonts w:ascii="Palatino Linotype" w:eastAsia="Palatino Linotype" w:hAnsi="Palatino Linotype" w:cs="Palatino Linotype"/>
          <w:sz w:val="24"/>
          <w:szCs w:val="24"/>
        </w:rPr>
        <w:t>del año 2022, las considera de la siguiente forma:</w:t>
      </w:r>
    </w:p>
    <w:p w14:paraId="20B71BD0" w14:textId="77777777" w:rsidR="005C3A3A" w:rsidRPr="007B28C0" w:rsidRDefault="005C3A3A">
      <w:pPr>
        <w:spacing w:after="0" w:line="360" w:lineRule="auto"/>
        <w:ind w:right="49"/>
        <w:jc w:val="both"/>
      </w:pPr>
    </w:p>
    <w:p w14:paraId="2BB2C86A" w14:textId="77777777" w:rsidR="005C3A3A" w:rsidRPr="007B28C0" w:rsidRDefault="00BD07C9">
      <w:pPr>
        <w:spacing w:after="0" w:line="276" w:lineRule="auto"/>
        <w:ind w:left="851" w:right="567"/>
        <w:jc w:val="both"/>
        <w:rPr>
          <w:rFonts w:ascii="Palatino Linotype" w:eastAsia="Palatino Linotype" w:hAnsi="Palatino Linotype" w:cs="Palatino Linotype"/>
          <w:i/>
        </w:rPr>
      </w:pPr>
      <w:r w:rsidRPr="007B28C0">
        <w:rPr>
          <w:rFonts w:ascii="Palatino Linotype" w:eastAsia="Palatino Linotype" w:hAnsi="Palatino Linotype" w:cs="Palatino Linotype"/>
          <w:b/>
          <w:i/>
        </w:rPr>
        <w:t>ARTÍCULO 16.-</w:t>
      </w:r>
      <w:r w:rsidRPr="007B28C0">
        <w:rPr>
          <w:rFonts w:ascii="Palatino Linotype" w:eastAsia="Palatino Linotype" w:hAnsi="Palatino Linotype" w:cs="Palatino Linotype"/>
          <w:i/>
        </w:rPr>
        <w:t xml:space="preserve"> Actualmente el Municipio de Atizapán de Zaragoza, se integra por una Cabecera Municipal con rango de ciudad, denominada “Ciudad Adolfo López Mateos”, tres pueblos, dos ranchos, ciento un colonias, de las cuales ochenta y uno son regulares, diez en proceso de regularización y diez irregulares; sesenta y cinco son fraccionamientos y conjuntos urbanos, un centro de desarrollo tecnológico, dos zonas industriales, un área natural protegida, una zona de conservación ambiental, nueve ejidos y una zona arqueológica; los cuales a saber son:</w:t>
      </w:r>
    </w:p>
    <w:p w14:paraId="04BF59C9" w14:textId="77777777" w:rsidR="005C3A3A" w:rsidRPr="007B28C0" w:rsidRDefault="00BD07C9">
      <w:pPr>
        <w:spacing w:after="0" w:line="276" w:lineRule="auto"/>
        <w:ind w:left="851" w:right="567"/>
        <w:jc w:val="both"/>
        <w:rPr>
          <w:rFonts w:ascii="Palatino Linotype" w:eastAsia="Palatino Linotype" w:hAnsi="Palatino Linotype" w:cs="Palatino Linotype"/>
          <w:i/>
        </w:rPr>
      </w:pPr>
      <w:r w:rsidRPr="007B28C0">
        <w:rPr>
          <w:rFonts w:ascii="Palatino Linotype" w:eastAsia="Palatino Linotype" w:hAnsi="Palatino Linotype" w:cs="Palatino Linotype"/>
          <w:i/>
        </w:rPr>
        <w:lastRenderedPageBreak/>
        <w:t>(…)</w:t>
      </w:r>
    </w:p>
    <w:p w14:paraId="3BE42E3D" w14:textId="77777777" w:rsidR="005C3A3A" w:rsidRPr="007B28C0" w:rsidRDefault="00BD07C9">
      <w:pPr>
        <w:spacing w:after="0" w:line="276" w:lineRule="auto"/>
        <w:ind w:left="851" w:right="567"/>
        <w:jc w:val="both"/>
        <w:rPr>
          <w:rFonts w:ascii="Palatino Linotype" w:eastAsia="Palatino Linotype" w:hAnsi="Palatino Linotype" w:cs="Palatino Linotype"/>
          <w:i/>
        </w:rPr>
      </w:pPr>
      <w:r w:rsidRPr="007B28C0">
        <w:rPr>
          <w:rFonts w:ascii="Palatino Linotype" w:eastAsia="Palatino Linotype" w:hAnsi="Palatino Linotype" w:cs="Palatino Linotype"/>
          <w:i/>
        </w:rPr>
        <w:t>COLONIAS REGULARES:</w:t>
      </w:r>
    </w:p>
    <w:p w14:paraId="3BCEB92B" w14:textId="77777777" w:rsidR="005C3A3A" w:rsidRPr="007B28C0" w:rsidRDefault="00BD07C9">
      <w:pPr>
        <w:spacing w:after="0" w:line="276" w:lineRule="auto"/>
        <w:ind w:left="851" w:right="567"/>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04A28CC1" w14:textId="77777777" w:rsidR="005C3A3A" w:rsidRPr="007B28C0" w:rsidRDefault="00BD07C9">
      <w:pPr>
        <w:spacing w:after="0" w:line="276" w:lineRule="auto"/>
        <w:ind w:left="851" w:right="567"/>
        <w:jc w:val="both"/>
        <w:rPr>
          <w:rFonts w:ascii="Palatino Linotype" w:eastAsia="Palatino Linotype" w:hAnsi="Palatino Linotype" w:cs="Palatino Linotype"/>
          <w:i/>
        </w:rPr>
      </w:pPr>
      <w:r w:rsidRPr="007B28C0">
        <w:rPr>
          <w:rFonts w:ascii="Palatino Linotype" w:eastAsia="Palatino Linotype" w:hAnsi="Palatino Linotype" w:cs="Palatino Linotype"/>
          <w:i/>
        </w:rPr>
        <w:t>37. Las Colonias</w:t>
      </w:r>
    </w:p>
    <w:p w14:paraId="6AFE6B54" w14:textId="77777777" w:rsidR="005C3A3A" w:rsidRPr="007B28C0" w:rsidRDefault="00BD07C9">
      <w:pPr>
        <w:spacing w:after="0" w:line="276" w:lineRule="auto"/>
        <w:ind w:left="851" w:right="567"/>
        <w:jc w:val="both"/>
        <w:rPr>
          <w:rFonts w:ascii="Palatino Linotype" w:eastAsia="Palatino Linotype" w:hAnsi="Palatino Linotype" w:cs="Palatino Linotype"/>
          <w:i/>
        </w:rPr>
      </w:pPr>
      <w:r w:rsidRPr="007B28C0">
        <w:rPr>
          <w:rFonts w:ascii="Palatino Linotype" w:eastAsia="Palatino Linotype" w:hAnsi="Palatino Linotype" w:cs="Palatino Linotype"/>
          <w:i/>
        </w:rPr>
        <w:t>FRACCIONAMIENTOS ENTREGADOS AL AYUNTAMIENTO:</w:t>
      </w:r>
    </w:p>
    <w:p w14:paraId="3D685D97" w14:textId="77777777" w:rsidR="005C3A3A" w:rsidRPr="007B28C0" w:rsidRDefault="00BD07C9">
      <w:pPr>
        <w:spacing w:after="0" w:line="276" w:lineRule="auto"/>
        <w:ind w:left="851" w:right="567"/>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67DB4F3B" w14:textId="77777777" w:rsidR="005C3A3A" w:rsidRPr="007B28C0" w:rsidRDefault="00BD07C9">
      <w:pPr>
        <w:spacing w:after="0" w:line="276" w:lineRule="auto"/>
        <w:ind w:left="851" w:right="567"/>
        <w:jc w:val="both"/>
        <w:rPr>
          <w:rFonts w:ascii="Palatino Linotype" w:eastAsia="Palatino Linotype" w:hAnsi="Palatino Linotype" w:cs="Palatino Linotype"/>
          <w:i/>
        </w:rPr>
      </w:pPr>
      <w:r w:rsidRPr="007B28C0">
        <w:rPr>
          <w:rFonts w:ascii="Palatino Linotype" w:eastAsia="Palatino Linotype" w:hAnsi="Palatino Linotype" w:cs="Palatino Linotype"/>
          <w:i/>
        </w:rPr>
        <w:t>20. (Las Arboledas sección V) Mayorazgos del Bosque</w:t>
      </w:r>
    </w:p>
    <w:p w14:paraId="637B816B"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1420D0CC"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primera instancia resulta oportuno señalar el significado de planos, que de acuerdo a la Real Academia Española, misma que se puede consultar en la liga electrónica </w:t>
      </w:r>
      <w:r w:rsidRPr="007B28C0">
        <w:rPr>
          <w:rFonts w:ascii="Palatino Linotype" w:eastAsia="Palatino Linotype" w:hAnsi="Palatino Linotype" w:cs="Palatino Linotype"/>
          <w:sz w:val="24"/>
          <w:szCs w:val="24"/>
          <w:u w:val="single"/>
        </w:rPr>
        <w:t>https://dle.rae.es/plano</w:t>
      </w:r>
      <w:r w:rsidRPr="007B28C0">
        <w:rPr>
          <w:rFonts w:ascii="Palatino Linotype" w:eastAsia="Palatino Linotype" w:hAnsi="Palatino Linotype" w:cs="Palatino Linotype"/>
          <w:sz w:val="24"/>
          <w:szCs w:val="24"/>
        </w:rPr>
        <w:t xml:space="preserve"> es:</w:t>
      </w:r>
    </w:p>
    <w:p w14:paraId="49F6DD4D" w14:textId="77777777" w:rsidR="005C3A3A" w:rsidRPr="007B28C0" w:rsidRDefault="005C3A3A">
      <w:pPr>
        <w:spacing w:after="0" w:line="276" w:lineRule="auto"/>
        <w:ind w:left="851" w:right="567"/>
        <w:jc w:val="both"/>
        <w:rPr>
          <w:rFonts w:ascii="Palatino Linotype" w:eastAsia="Palatino Linotype" w:hAnsi="Palatino Linotype" w:cs="Palatino Linotype"/>
        </w:rPr>
      </w:pPr>
    </w:p>
    <w:p w14:paraId="1E94BFD9" w14:textId="77777777" w:rsidR="005C3A3A" w:rsidRPr="007B28C0" w:rsidRDefault="00BD07C9">
      <w:pPr>
        <w:spacing w:after="0" w:line="276" w:lineRule="auto"/>
        <w:ind w:left="851" w:right="567"/>
        <w:jc w:val="both"/>
        <w:rPr>
          <w:rFonts w:ascii="Palatino Linotype" w:eastAsia="Palatino Linotype" w:hAnsi="Palatino Linotype" w:cs="Palatino Linotype"/>
          <w:b/>
          <w:i/>
          <w:sz w:val="24"/>
          <w:szCs w:val="24"/>
        </w:rPr>
      </w:pPr>
      <w:r w:rsidRPr="007B28C0">
        <w:rPr>
          <w:rFonts w:ascii="Palatino Linotype" w:eastAsia="Palatino Linotype" w:hAnsi="Palatino Linotype" w:cs="Palatino Linotype"/>
          <w:b/>
          <w:i/>
        </w:rPr>
        <w:t>“Representación esquemática, en dos dimensiones y a determinada escala, de un terreno, una población, una máquina, una construcción, etc</w:t>
      </w:r>
      <w:r w:rsidRPr="007B28C0">
        <w:rPr>
          <w:rFonts w:ascii="Palatino Linotype" w:eastAsia="Palatino Linotype" w:hAnsi="Palatino Linotype" w:cs="Palatino Linotype"/>
          <w:b/>
          <w:i/>
          <w:sz w:val="24"/>
          <w:szCs w:val="24"/>
        </w:rPr>
        <w:t>.”</w:t>
      </w:r>
    </w:p>
    <w:p w14:paraId="4B909863" w14:textId="77777777" w:rsidR="005C3A3A" w:rsidRPr="007B28C0" w:rsidRDefault="005C3A3A">
      <w:pPr>
        <w:spacing w:after="0" w:line="276" w:lineRule="auto"/>
        <w:ind w:right="567"/>
        <w:jc w:val="both"/>
        <w:rPr>
          <w:rFonts w:ascii="Palatino Linotype" w:eastAsia="Palatino Linotype" w:hAnsi="Palatino Linotype" w:cs="Palatino Linotype"/>
          <w:b/>
          <w:i/>
          <w:sz w:val="24"/>
          <w:szCs w:val="24"/>
        </w:rPr>
      </w:pPr>
    </w:p>
    <w:p w14:paraId="0532DC6B" w14:textId="77777777" w:rsidR="005C3A3A" w:rsidRPr="007B28C0" w:rsidRDefault="00BD07C9">
      <w:pPr>
        <w:spacing w:after="0" w:line="276" w:lineRule="auto"/>
        <w:ind w:right="567"/>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Por ello es oportuno citar la siguiente reglamentación:</w:t>
      </w:r>
    </w:p>
    <w:p w14:paraId="0B3EAF2B" w14:textId="77777777" w:rsidR="005C3A3A" w:rsidRPr="007B28C0" w:rsidRDefault="005C3A3A">
      <w:pPr>
        <w:spacing w:after="0" w:line="276" w:lineRule="auto"/>
        <w:ind w:right="567"/>
        <w:jc w:val="both"/>
        <w:rPr>
          <w:rFonts w:ascii="Palatino Linotype" w:eastAsia="Palatino Linotype" w:hAnsi="Palatino Linotype" w:cs="Palatino Linotype"/>
          <w:b/>
          <w:i/>
          <w:sz w:val="24"/>
          <w:szCs w:val="24"/>
        </w:rPr>
      </w:pPr>
    </w:p>
    <w:p w14:paraId="7ED2C43B" w14:textId="77777777" w:rsidR="005C3A3A" w:rsidRPr="007B28C0" w:rsidRDefault="00BD07C9">
      <w:pPr>
        <w:spacing w:after="0" w:line="276" w:lineRule="auto"/>
        <w:ind w:left="851" w:right="567"/>
        <w:jc w:val="both"/>
        <w:rPr>
          <w:rFonts w:ascii="Palatino Linotype" w:eastAsia="Palatino Linotype" w:hAnsi="Palatino Linotype" w:cs="Palatino Linotype"/>
          <w:b/>
          <w:i/>
          <w:sz w:val="24"/>
          <w:szCs w:val="24"/>
        </w:rPr>
      </w:pPr>
      <w:r w:rsidRPr="007B28C0">
        <w:rPr>
          <w:rFonts w:ascii="Palatino Linotype" w:eastAsia="Palatino Linotype" w:hAnsi="Palatino Linotype" w:cs="Palatino Linotype"/>
          <w:b/>
          <w:i/>
        </w:rPr>
        <w:t xml:space="preserve">EL REGLAMENTO INTERNO DE TESORERÍA MUNICIPAL  </w:t>
      </w:r>
      <w:proofErr w:type="spellStart"/>
      <w:r w:rsidRPr="007B28C0">
        <w:rPr>
          <w:rFonts w:ascii="Palatino Linotype" w:eastAsia="Palatino Linotype" w:hAnsi="Palatino Linotype" w:cs="Palatino Linotype"/>
          <w:b/>
          <w:i/>
        </w:rPr>
        <w:t>MUNICIPAL</w:t>
      </w:r>
      <w:proofErr w:type="spellEnd"/>
      <w:r w:rsidRPr="007B28C0">
        <w:rPr>
          <w:rFonts w:ascii="Palatino Linotype" w:eastAsia="Palatino Linotype" w:hAnsi="Palatino Linotype" w:cs="Palatino Linotype"/>
          <w:b/>
          <w:i/>
        </w:rPr>
        <w:t xml:space="preserve"> DE ATIZAPÁN DE</w:t>
      </w:r>
      <w:r w:rsidRPr="007B28C0">
        <w:rPr>
          <w:rFonts w:ascii="Palatino Linotype" w:eastAsia="Palatino Linotype" w:hAnsi="Palatino Linotype" w:cs="Palatino Linotype"/>
          <w:b/>
          <w:i/>
          <w:sz w:val="24"/>
          <w:szCs w:val="24"/>
        </w:rPr>
        <w:t xml:space="preserve"> </w:t>
      </w:r>
      <w:r w:rsidRPr="007B28C0">
        <w:rPr>
          <w:rFonts w:ascii="Palatino Linotype" w:eastAsia="Palatino Linotype" w:hAnsi="Palatino Linotype" w:cs="Palatino Linotype"/>
          <w:b/>
          <w:i/>
        </w:rPr>
        <w:t>ZARAGOZA ESTADO DE MÉXICO</w:t>
      </w:r>
    </w:p>
    <w:p w14:paraId="76BF13CD" w14:textId="77777777" w:rsidR="005C3A3A" w:rsidRPr="007B28C0" w:rsidRDefault="005C3A3A">
      <w:pPr>
        <w:spacing w:after="0" w:line="276" w:lineRule="auto"/>
        <w:ind w:right="900"/>
        <w:jc w:val="both"/>
        <w:rPr>
          <w:rFonts w:ascii="Palatino Linotype" w:eastAsia="Palatino Linotype" w:hAnsi="Palatino Linotype" w:cs="Palatino Linotype"/>
          <w:b/>
          <w:i/>
        </w:rPr>
      </w:pPr>
    </w:p>
    <w:p w14:paraId="1B678FCB"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Artículo 30.- El titular del Departamento de Catastro tendrá las siguientes funciones: </w:t>
      </w:r>
    </w:p>
    <w:p w14:paraId="6F041D02"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 </w:t>
      </w:r>
    </w:p>
    <w:p w14:paraId="0BD9D3C2"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III. Integrar y mantener actualizado el padrón y la cartografía catastral, a fin de facilitar la identificación, ubicación y valorización de los bienes inmuebles;</w:t>
      </w:r>
    </w:p>
    <w:p w14:paraId="3E9D8109"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3B6BFBA7"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De acuerdo a lo anterior, el Departamento de Catastro integrará y mantendrá actualizada la cartografía catastral. </w:t>
      </w:r>
    </w:p>
    <w:p w14:paraId="38A21727"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3D5EF2B5"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Además, resulta factible, esclarecer el significado de cartográfico, que de acuerdo a la Real Academia Española, menciona lo siguiente:</w:t>
      </w:r>
    </w:p>
    <w:p w14:paraId="7E91E4CA" w14:textId="77777777" w:rsidR="005C3A3A" w:rsidRPr="007B28C0" w:rsidRDefault="00794E9C">
      <w:pPr>
        <w:spacing w:after="0" w:line="360" w:lineRule="auto"/>
        <w:jc w:val="both"/>
        <w:rPr>
          <w:rFonts w:ascii="Palatino Linotype" w:eastAsia="Palatino Linotype" w:hAnsi="Palatino Linotype" w:cs="Palatino Linotype"/>
          <w:sz w:val="24"/>
          <w:szCs w:val="24"/>
        </w:rPr>
      </w:pPr>
      <w:hyperlink r:id="rId22">
        <w:r w:rsidR="00BD07C9" w:rsidRPr="007B28C0">
          <w:rPr>
            <w:rFonts w:ascii="Palatino Linotype" w:eastAsia="Palatino Linotype" w:hAnsi="Palatino Linotype" w:cs="Palatino Linotype"/>
            <w:sz w:val="24"/>
            <w:szCs w:val="24"/>
            <w:u w:val="single"/>
          </w:rPr>
          <w:t>https://dle.rae.es/cartograf%C3%ADa</w:t>
        </w:r>
      </w:hyperlink>
      <w:r w:rsidR="00BD07C9" w:rsidRPr="007B28C0">
        <w:rPr>
          <w:rFonts w:ascii="Palatino Linotype" w:eastAsia="Palatino Linotype" w:hAnsi="Palatino Linotype" w:cs="Palatino Linotype"/>
          <w:sz w:val="24"/>
          <w:szCs w:val="24"/>
        </w:rPr>
        <w:t xml:space="preserve"> </w:t>
      </w:r>
    </w:p>
    <w:p w14:paraId="3E030DD2"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636159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w:t>
      </w:r>
      <w:r w:rsidRPr="007B28C0">
        <w:rPr>
          <w:rFonts w:ascii="Palatino Linotype" w:eastAsia="Palatino Linotype" w:hAnsi="Palatino Linotype" w:cs="Palatino Linotype"/>
          <w:b/>
          <w:i/>
          <w:sz w:val="24"/>
          <w:szCs w:val="24"/>
        </w:rPr>
        <w:t>Arte de trazar mapas geográficos</w:t>
      </w:r>
      <w:r w:rsidRPr="007B28C0">
        <w:rPr>
          <w:rFonts w:ascii="Palatino Linotype" w:eastAsia="Palatino Linotype" w:hAnsi="Palatino Linotype" w:cs="Palatino Linotype"/>
          <w:sz w:val="24"/>
          <w:szCs w:val="24"/>
        </w:rPr>
        <w:t xml:space="preserve">”. </w:t>
      </w:r>
    </w:p>
    <w:p w14:paraId="33E8308E"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6D9B8F79"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ese tenor, se entiende que </w:t>
      </w: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 desarrolla planos catastrales geográficos, a efecto a fin de facilitar la identificación, ubicación y valorización de los bienes inmuebles, no obstante, el Manual Catastral del Estado de México, señala lo siguiente:</w:t>
      </w:r>
    </w:p>
    <w:p w14:paraId="03DC17A3"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2D83734D" w14:textId="77777777" w:rsidR="005C3A3A" w:rsidRPr="007B28C0" w:rsidRDefault="00BD07C9">
      <w:pPr>
        <w:spacing w:after="0" w:line="276" w:lineRule="auto"/>
        <w:ind w:left="851" w:right="900"/>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MANUAL CATASTRAL DEL ESTADO DE MÉXICO</w:t>
      </w:r>
    </w:p>
    <w:p w14:paraId="26EB1575" w14:textId="77777777" w:rsidR="005C3A3A" w:rsidRPr="007B28C0" w:rsidRDefault="005C3A3A">
      <w:pPr>
        <w:spacing w:after="0" w:line="276" w:lineRule="auto"/>
        <w:ind w:left="851" w:right="900"/>
        <w:jc w:val="both"/>
        <w:rPr>
          <w:rFonts w:ascii="Palatino Linotype" w:eastAsia="Palatino Linotype" w:hAnsi="Palatino Linotype" w:cs="Palatino Linotype"/>
          <w:b/>
          <w:i/>
        </w:rPr>
      </w:pPr>
    </w:p>
    <w:p w14:paraId="23A30418"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ACGC006.- Para la solicitud de productos catastrales, invariablemente, los usuarios deberán cubrir los siguientes requisitos:</w:t>
      </w:r>
    </w:p>
    <w:p w14:paraId="3FE0D759"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 </w:t>
      </w:r>
    </w:p>
    <w:p w14:paraId="2FB247E0"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 Solicitud por escrito o en el formato establecido. </w:t>
      </w:r>
    </w:p>
    <w:p w14:paraId="657C2E58" w14:textId="77777777" w:rsidR="005C3A3A" w:rsidRPr="007B28C0" w:rsidRDefault="00BD07C9">
      <w:pPr>
        <w:spacing w:after="0" w:line="276" w:lineRule="auto"/>
        <w:ind w:left="851" w:right="900"/>
        <w:jc w:val="both"/>
        <w:rPr>
          <w:rFonts w:ascii="Palatino Linotype" w:eastAsia="Palatino Linotype" w:hAnsi="Palatino Linotype" w:cs="Palatino Linotype"/>
          <w:b/>
          <w:i/>
        </w:rPr>
      </w:pPr>
      <w:r w:rsidRPr="007B28C0">
        <w:rPr>
          <w:rFonts w:ascii="Palatino Linotype" w:eastAsia="Palatino Linotype" w:hAnsi="Palatino Linotype" w:cs="Palatino Linotype"/>
          <w:i/>
        </w:rPr>
        <w:t>• Pago correspondiente por el producto solicitado</w:t>
      </w:r>
    </w:p>
    <w:p w14:paraId="680ADB3B" w14:textId="77777777" w:rsidR="005C3A3A" w:rsidRPr="007B28C0" w:rsidRDefault="005C3A3A">
      <w:pPr>
        <w:spacing w:after="0" w:line="276" w:lineRule="auto"/>
        <w:ind w:left="851" w:right="900"/>
        <w:jc w:val="both"/>
        <w:rPr>
          <w:rFonts w:ascii="Palatino Linotype" w:eastAsia="Palatino Linotype" w:hAnsi="Palatino Linotype" w:cs="Palatino Linotype"/>
          <w:b/>
          <w:i/>
        </w:rPr>
      </w:pPr>
    </w:p>
    <w:p w14:paraId="03894A8B"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II.4. PROCEDIMIENTO. Para efecto de la asignación de la clave catastral se deben considerar los siguientes elementos: </w:t>
      </w:r>
    </w:p>
    <w:p w14:paraId="44FD5D62" w14:textId="77777777" w:rsidR="005C3A3A" w:rsidRPr="007B28C0" w:rsidRDefault="005C3A3A">
      <w:pPr>
        <w:spacing w:after="0" w:line="276" w:lineRule="auto"/>
        <w:ind w:left="851" w:right="900"/>
        <w:jc w:val="both"/>
        <w:rPr>
          <w:rFonts w:ascii="Palatino Linotype" w:eastAsia="Palatino Linotype" w:hAnsi="Palatino Linotype" w:cs="Palatino Linotype"/>
          <w:i/>
        </w:rPr>
      </w:pPr>
    </w:p>
    <w:p w14:paraId="46F45CDB" w14:textId="77777777" w:rsidR="005C3A3A" w:rsidRPr="007B28C0" w:rsidRDefault="00BD07C9">
      <w:pPr>
        <w:spacing w:after="0" w:line="276" w:lineRule="auto"/>
        <w:ind w:left="851" w:right="900"/>
        <w:jc w:val="both"/>
        <w:rPr>
          <w:rFonts w:ascii="Palatino Linotype" w:eastAsia="Palatino Linotype" w:hAnsi="Palatino Linotype" w:cs="Palatino Linotype"/>
          <w:i/>
        </w:rPr>
      </w:pPr>
      <w:bookmarkStart w:id="1" w:name="_heading=h.30j0zll" w:colFirst="0" w:colLast="0"/>
      <w:bookmarkEnd w:id="1"/>
      <w:r w:rsidRPr="007B28C0">
        <w:rPr>
          <w:rFonts w:ascii="Palatino Linotype" w:eastAsia="Palatino Linotype" w:hAnsi="Palatino Linotype" w:cs="Palatino Linotype"/>
          <w:i/>
        </w:rPr>
        <w:t>a). Municipio Base de la división territorial y de la organización política del estado, investido de personalidad jurídica propia, está integrado por la comunidad establecida en su territorio y goza de autonomía tanto en su régimen interior, como en la libre administración de su hacienda pública, en términos de lo que establece el artículo 115 de la Constitución Política de los Estados Unidos Mexicanos.</w:t>
      </w:r>
    </w:p>
    <w:p w14:paraId="279B18C0"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lastRenderedPageBreak/>
        <w:t>b). Zona catastral Es la delimitación del territorio del municipio para efectos de administración y control catastral, en polígonos cerrados y continuos que agrupan a todas las manzanas catastrales que existen en el municipio, en función de límites físicos como son vialidades, accidentes topográficos, ríos y barrancas; se identifica con un código numérico de dos dígitos dentro del rango del 01 al 99 y está representada por el cuarto y quinto caracteres de la clave catastral.</w:t>
      </w:r>
    </w:p>
    <w:p w14:paraId="04113367" w14:textId="77777777" w:rsidR="005C3A3A" w:rsidRPr="007B28C0" w:rsidRDefault="005C3A3A">
      <w:pPr>
        <w:spacing w:after="0" w:line="276" w:lineRule="auto"/>
        <w:ind w:left="851" w:right="900"/>
        <w:jc w:val="both"/>
        <w:rPr>
          <w:rFonts w:ascii="Palatino Linotype" w:eastAsia="Palatino Linotype" w:hAnsi="Palatino Linotype" w:cs="Palatino Linotype"/>
          <w:i/>
        </w:rPr>
      </w:pPr>
    </w:p>
    <w:p w14:paraId="22EDABFE"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c). Manzana catastral Es la delimitación del terreno por vialidades, límites físicos, en polígono cerrado, conforme al número y dimensión de los inmuebles que se localizan en ella; se identifica con un código numérico de tres dígitos dentro del rango del 001 al 999 y está representada por los caracteres sexto a octavo de la clave catastral.</w:t>
      </w:r>
    </w:p>
    <w:p w14:paraId="12EC043F" w14:textId="77777777" w:rsidR="005C3A3A" w:rsidRPr="007B28C0" w:rsidRDefault="005C3A3A">
      <w:pPr>
        <w:spacing w:after="0" w:line="276" w:lineRule="auto"/>
        <w:ind w:left="851" w:right="900"/>
        <w:jc w:val="both"/>
        <w:rPr>
          <w:rFonts w:ascii="Palatino Linotype" w:eastAsia="Palatino Linotype" w:hAnsi="Palatino Linotype" w:cs="Palatino Linotype"/>
          <w:i/>
        </w:rPr>
      </w:pPr>
    </w:p>
    <w:p w14:paraId="036B979E"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d). Predio Es el inmueble urbano o rústico, con o sin construcciones, integrado o integrante de una manzana catastral, cuyos linderos forman un polígono cerrado delimitado por su colindancia con otros, así como por vialidades y límites físicos; se identifica con un código numérico de dos dígitos dentro del rango del 01 al 99 y </w:t>
      </w:r>
      <w:proofErr w:type="spellStart"/>
      <w:r w:rsidRPr="007B28C0">
        <w:rPr>
          <w:rFonts w:ascii="Palatino Linotype" w:eastAsia="Palatino Linotype" w:hAnsi="Palatino Linotype" w:cs="Palatino Linotype"/>
          <w:i/>
        </w:rPr>
        <w:t>esta</w:t>
      </w:r>
      <w:proofErr w:type="spellEnd"/>
      <w:r w:rsidRPr="007B28C0">
        <w:rPr>
          <w:rFonts w:ascii="Palatino Linotype" w:eastAsia="Palatino Linotype" w:hAnsi="Palatino Linotype" w:cs="Palatino Linotype"/>
          <w:i/>
        </w:rPr>
        <w:t xml:space="preserve"> representado por los caracteres noveno y décimo de clave catastral.</w:t>
      </w:r>
    </w:p>
    <w:p w14:paraId="51A43AC0" w14:textId="77777777" w:rsidR="005C3A3A" w:rsidRPr="007B28C0" w:rsidRDefault="005C3A3A">
      <w:pPr>
        <w:spacing w:after="0" w:line="276" w:lineRule="auto"/>
        <w:ind w:left="851" w:right="900"/>
        <w:jc w:val="both"/>
        <w:rPr>
          <w:rFonts w:ascii="Palatino Linotype" w:eastAsia="Palatino Linotype" w:hAnsi="Palatino Linotype" w:cs="Palatino Linotype"/>
          <w:i/>
        </w:rPr>
      </w:pPr>
    </w:p>
    <w:p w14:paraId="246EB3FD"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e). Condominio Un predio se constituye en condominio cuando cumple con las condiciones y características establecidas en el Código Administrativo del Estado de México y en la Ley que Regula el Régimen de Propiedad en Condominio en el Estado de México. Está conformado por unidades que cuentan con partes privativas y partes comunes. Para efectos de asignar la clave catastral se referirá exclusivamente a la unidad en su conjunto, y los elementos que las distinguen entre sí serán capturados como datos técnicos y administrativos del registro; en la clave se identifica con seis posiciones alfanuméricas, dos, para edificio (módulo, unidad o conjunto) y, cuatro, para departamento (vivienda, lote, local o casa).</w:t>
      </w:r>
    </w:p>
    <w:p w14:paraId="45FBBB64"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6550B3E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noProof/>
        </w:rPr>
        <w:lastRenderedPageBreak/>
        <w:drawing>
          <wp:inline distT="0" distB="0" distL="0" distR="0" wp14:anchorId="3D4D2917" wp14:editId="542E39E3">
            <wp:extent cx="5405504" cy="4697359"/>
            <wp:effectExtent l="0" t="0" r="0" b="0"/>
            <wp:docPr id="15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l="37717" t="21542" r="23199" b="18082"/>
                    <a:stretch>
                      <a:fillRect/>
                    </a:stretch>
                  </pic:blipFill>
                  <pic:spPr>
                    <a:xfrm>
                      <a:off x="0" y="0"/>
                      <a:ext cx="5405504" cy="4697359"/>
                    </a:xfrm>
                    <a:prstGeom prst="rect">
                      <a:avLst/>
                    </a:prstGeom>
                    <a:ln/>
                  </pic:spPr>
                </pic:pic>
              </a:graphicData>
            </a:graphic>
          </wp:inline>
        </w:drawing>
      </w:r>
    </w:p>
    <w:p w14:paraId="6413B209"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De conformidad a lo anterior, para la solicitud de productos catastrales, invariablemente, los usuarios deberá presentar solicitud por escrito o en el formato establecido y el pago correspondiente por el producto solicitado, además, para la asignación de la clave catastral se deben considerar mediante representación gráfica al Municipio, zona catastral, manzana catastral, el predio y el condominio, sin que se genere una representación gráfica por colonias o fraccionamiento, tal y como lo solicita el particular, además que estas se deben solicitar y pagar por los usuarios.</w:t>
      </w:r>
    </w:p>
    <w:p w14:paraId="62A1F7C8"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7AAB9ECD"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Aclarado lo anterior, resulta oportuno reiterar que la Tesorería Municipal en respuesta mencionó que no se encuentra en el catálogo de servicios que presta el Departamento de Catastro Municipal.</w:t>
      </w:r>
    </w:p>
    <w:p w14:paraId="24F814F0"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5C47F568" w14:textId="77777777" w:rsidR="005C3A3A" w:rsidRPr="007B28C0" w:rsidRDefault="00BD07C9">
      <w:pPr>
        <w:spacing w:after="0" w:line="360" w:lineRule="auto"/>
        <w:ind w:right="-93"/>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En este sentido conviene señalar que los sujetos obligados deben atender las solicitudes de información en términos de lo establecido en los artículos 12, segundo párrafo, y 24, último párrafo, de la Ley de Transparencia y Acceso a la Información Pública del Estado de México y Municipios, que son del tenor siguiente:</w:t>
      </w:r>
    </w:p>
    <w:p w14:paraId="4F9E75CA" w14:textId="77777777" w:rsidR="005C3A3A" w:rsidRPr="007B28C0" w:rsidRDefault="005C3A3A">
      <w:pPr>
        <w:spacing w:after="0" w:line="360" w:lineRule="auto"/>
        <w:ind w:right="-93"/>
        <w:jc w:val="both"/>
        <w:rPr>
          <w:rFonts w:ascii="Palatino Linotype" w:eastAsia="Palatino Linotype" w:hAnsi="Palatino Linotype" w:cs="Palatino Linotype"/>
          <w:sz w:val="24"/>
          <w:szCs w:val="24"/>
        </w:rPr>
      </w:pPr>
    </w:p>
    <w:p w14:paraId="0D19AC83" w14:textId="77777777" w:rsidR="005C3A3A" w:rsidRPr="007B28C0" w:rsidRDefault="00BD07C9">
      <w:pPr>
        <w:spacing w:after="0" w:line="276" w:lineRule="auto"/>
        <w:ind w:left="567" w:right="618"/>
        <w:jc w:val="both"/>
        <w:rPr>
          <w:rFonts w:ascii="Palatino Linotype" w:eastAsia="Palatino Linotype" w:hAnsi="Palatino Linotype" w:cs="Palatino Linotype"/>
          <w:i/>
        </w:rPr>
      </w:pPr>
      <w:r w:rsidRPr="007B28C0">
        <w:rPr>
          <w:rFonts w:ascii="Palatino Linotype" w:eastAsia="Palatino Linotype" w:hAnsi="Palatino Linotype" w:cs="Palatino Linotype"/>
          <w:b/>
          <w:i/>
        </w:rPr>
        <w:t>Artículo 12.</w:t>
      </w:r>
      <w:r w:rsidRPr="007B28C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w:t>
      </w:r>
    </w:p>
    <w:p w14:paraId="2CFBE72C" w14:textId="77777777" w:rsidR="005C3A3A" w:rsidRPr="007B28C0" w:rsidRDefault="005C3A3A">
      <w:pPr>
        <w:spacing w:after="0" w:line="276" w:lineRule="auto"/>
        <w:ind w:left="567" w:right="618"/>
        <w:jc w:val="both"/>
        <w:rPr>
          <w:rFonts w:ascii="Palatino Linotype" w:eastAsia="Palatino Linotype" w:hAnsi="Palatino Linotype" w:cs="Palatino Linotype"/>
          <w:i/>
        </w:rPr>
      </w:pPr>
    </w:p>
    <w:p w14:paraId="56E044B2" w14:textId="77777777" w:rsidR="005C3A3A" w:rsidRPr="007B28C0" w:rsidRDefault="00BD07C9">
      <w:pPr>
        <w:spacing w:after="0" w:line="276" w:lineRule="auto"/>
        <w:ind w:left="567" w:right="618"/>
        <w:jc w:val="both"/>
        <w:rPr>
          <w:rFonts w:ascii="Palatino Linotype" w:eastAsia="Palatino Linotype" w:hAnsi="Palatino Linotype" w:cs="Palatino Linotype"/>
          <w:i/>
        </w:rPr>
      </w:pPr>
      <w:r w:rsidRPr="007B28C0">
        <w:rPr>
          <w:rFonts w:ascii="Palatino Linotype" w:eastAsia="Palatino Linotype" w:hAnsi="Palatino Linotype" w:cs="Palatino Linotype"/>
          <w:b/>
          <w:i/>
          <w:u w:val="single"/>
        </w:rPr>
        <w:t xml:space="preserve">Los sujetos obligados sólo proporcionarán la información pública que se les requiera y que obre en sus archivos </w:t>
      </w:r>
      <w:r w:rsidRPr="007B28C0">
        <w:rPr>
          <w:rFonts w:ascii="Palatino Linotype" w:eastAsia="Palatino Linotype" w:hAnsi="Palatino Linotype" w:cs="Palatino Linotype"/>
          <w:i/>
          <w:u w:val="single"/>
        </w:rPr>
        <w:t>y en el estado en que ésta se encuentre.</w:t>
      </w:r>
      <w:r w:rsidRPr="007B28C0">
        <w:rPr>
          <w:rFonts w:ascii="Palatino Linotype" w:eastAsia="Palatino Linotype" w:hAnsi="Palatino Linotype" w:cs="Palatino Linotype"/>
          <w:i/>
        </w:rPr>
        <w:t xml:space="preserve"> La obligación de proporcionar información </w:t>
      </w:r>
      <w:r w:rsidRPr="007B28C0">
        <w:rPr>
          <w:rFonts w:ascii="Palatino Linotype" w:eastAsia="Palatino Linotype" w:hAnsi="Palatino Linotype" w:cs="Palatino Linotype"/>
          <w:b/>
          <w:i/>
          <w:u w:val="single"/>
        </w:rPr>
        <w:t>no comprende el procesamiento de la misma, ni el presentarla conforme al interés del solicitante; no estarán obligados a generarla,</w:t>
      </w:r>
      <w:r w:rsidRPr="007B28C0">
        <w:rPr>
          <w:rFonts w:ascii="Palatino Linotype" w:eastAsia="Palatino Linotype" w:hAnsi="Palatino Linotype" w:cs="Palatino Linotype"/>
          <w:i/>
        </w:rPr>
        <w:t xml:space="preserve"> resumirla, efectuar cálculos o practicar investigaciones.</w:t>
      </w:r>
    </w:p>
    <w:p w14:paraId="74B845F7" w14:textId="77777777" w:rsidR="005C3A3A" w:rsidRPr="007B28C0" w:rsidRDefault="005C3A3A">
      <w:pPr>
        <w:spacing w:after="0" w:line="276" w:lineRule="auto"/>
        <w:ind w:left="567" w:right="618"/>
        <w:jc w:val="both"/>
        <w:rPr>
          <w:rFonts w:ascii="Palatino Linotype" w:eastAsia="Palatino Linotype" w:hAnsi="Palatino Linotype" w:cs="Palatino Linotype"/>
          <w:b/>
          <w:i/>
        </w:rPr>
      </w:pPr>
    </w:p>
    <w:p w14:paraId="5C6104BF" w14:textId="77777777" w:rsidR="005C3A3A" w:rsidRPr="007B28C0" w:rsidRDefault="00BD07C9">
      <w:pPr>
        <w:spacing w:after="0" w:line="276" w:lineRule="auto"/>
        <w:ind w:left="567" w:right="618"/>
        <w:jc w:val="both"/>
        <w:rPr>
          <w:rFonts w:ascii="Palatino Linotype" w:eastAsia="Palatino Linotype" w:hAnsi="Palatino Linotype" w:cs="Palatino Linotype"/>
          <w:i/>
        </w:rPr>
      </w:pPr>
      <w:r w:rsidRPr="007B28C0">
        <w:rPr>
          <w:rFonts w:ascii="Palatino Linotype" w:eastAsia="Palatino Linotype" w:hAnsi="Palatino Linotype" w:cs="Palatino Linotype"/>
          <w:b/>
          <w:i/>
        </w:rPr>
        <w:t>Artículo 24.</w:t>
      </w:r>
      <w:r w:rsidRPr="007B28C0">
        <w:rPr>
          <w:rFonts w:ascii="Palatino Linotype" w:eastAsia="Palatino Linotype" w:hAnsi="Palatino Linotype" w:cs="Palatino Linotype"/>
          <w:i/>
        </w:rPr>
        <w:t xml:space="preserve"> Para el cumplimiento de los objetivos de esta Ley, los sujetos obligados deberán cumplir con las siguientes obligaciones, según corresponda, de acuerdo a su naturaleza:</w:t>
      </w:r>
    </w:p>
    <w:p w14:paraId="11000282" w14:textId="77777777" w:rsidR="005C3A3A" w:rsidRPr="007B28C0" w:rsidRDefault="00BD07C9">
      <w:pPr>
        <w:spacing w:after="0" w:line="276" w:lineRule="auto"/>
        <w:ind w:left="567" w:right="618"/>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486CF703" w14:textId="77777777" w:rsidR="005C3A3A" w:rsidRPr="007B28C0" w:rsidRDefault="00BD07C9">
      <w:pPr>
        <w:spacing w:after="0" w:line="276" w:lineRule="auto"/>
        <w:ind w:left="567" w:right="618"/>
        <w:jc w:val="both"/>
        <w:rPr>
          <w:rFonts w:ascii="Palatino Linotype" w:eastAsia="Palatino Linotype" w:hAnsi="Palatino Linotype" w:cs="Palatino Linotype"/>
          <w:b/>
          <w:i/>
          <w:u w:val="single"/>
        </w:rPr>
      </w:pPr>
      <w:r w:rsidRPr="007B28C0">
        <w:rPr>
          <w:rFonts w:ascii="Palatino Linotype" w:eastAsia="Palatino Linotype" w:hAnsi="Palatino Linotype" w:cs="Palatino Linotype"/>
          <w:i/>
        </w:rPr>
        <w:t xml:space="preserve">Los sujetos obligados </w:t>
      </w:r>
      <w:r w:rsidRPr="007B28C0">
        <w:rPr>
          <w:rFonts w:ascii="Palatino Linotype" w:eastAsia="Palatino Linotype" w:hAnsi="Palatino Linotype" w:cs="Palatino Linotype"/>
          <w:b/>
          <w:i/>
          <w:u w:val="single"/>
        </w:rPr>
        <w:t xml:space="preserve">solo proporcionarán la información pública que generen, administren o posean en el ejercicio de sus atribuciones. </w:t>
      </w:r>
    </w:p>
    <w:p w14:paraId="174D1A5D" w14:textId="77777777" w:rsidR="005C3A3A" w:rsidRPr="007B28C0" w:rsidRDefault="005C3A3A">
      <w:pPr>
        <w:spacing w:after="0" w:line="276" w:lineRule="auto"/>
        <w:ind w:left="567" w:right="618"/>
        <w:jc w:val="both"/>
        <w:rPr>
          <w:rFonts w:ascii="Palatino Linotype" w:eastAsia="Palatino Linotype" w:hAnsi="Palatino Linotype" w:cs="Palatino Linotype"/>
          <w:b/>
          <w:i/>
          <w:u w:val="single"/>
        </w:rPr>
      </w:pPr>
    </w:p>
    <w:p w14:paraId="03F92753"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Lo anterior, tiene sustento y se robustece con el Criterio número 03/17 emitido por el Instituto Nacional de Transparencia, Acceso a la Información y Protección de Datos Personales (INAI), que se inserta a continuación:</w:t>
      </w:r>
    </w:p>
    <w:p w14:paraId="08663DD9" w14:textId="77777777" w:rsidR="005C3A3A" w:rsidRPr="007B28C0" w:rsidRDefault="005C3A3A">
      <w:pPr>
        <w:spacing w:after="0" w:line="360" w:lineRule="auto"/>
        <w:ind w:left="567" w:right="616"/>
        <w:jc w:val="both"/>
        <w:rPr>
          <w:rFonts w:ascii="Palatino Linotype" w:eastAsia="Palatino Linotype" w:hAnsi="Palatino Linotype" w:cs="Palatino Linotype"/>
          <w:sz w:val="24"/>
          <w:szCs w:val="24"/>
        </w:rPr>
      </w:pPr>
    </w:p>
    <w:p w14:paraId="555F6521" w14:textId="77777777" w:rsidR="005C3A3A" w:rsidRPr="007B28C0" w:rsidRDefault="00BD07C9">
      <w:pPr>
        <w:spacing w:after="0" w:line="276" w:lineRule="auto"/>
        <w:ind w:left="567" w:right="618"/>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No existe obligación de elaborar documentos ad hoc para atender las solicitudes de acceso a la información. </w:t>
      </w:r>
      <w:r w:rsidRPr="007B28C0">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7B77EC6" w14:textId="77777777" w:rsidR="005C3A3A" w:rsidRPr="007B28C0" w:rsidRDefault="005C3A3A">
      <w:pPr>
        <w:spacing w:after="0" w:line="276" w:lineRule="auto"/>
        <w:ind w:left="567" w:right="618"/>
        <w:jc w:val="both"/>
        <w:rPr>
          <w:rFonts w:ascii="Palatino Linotype" w:eastAsia="Palatino Linotype" w:hAnsi="Palatino Linotype" w:cs="Palatino Linotype"/>
          <w:b/>
          <w:i/>
        </w:rPr>
      </w:pPr>
    </w:p>
    <w:p w14:paraId="65875F53" w14:textId="77777777" w:rsidR="005C3A3A" w:rsidRPr="007B28C0" w:rsidRDefault="00BD07C9">
      <w:pPr>
        <w:spacing w:after="0" w:line="276" w:lineRule="auto"/>
        <w:ind w:left="567" w:right="618"/>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Resoluciones:</w:t>
      </w:r>
    </w:p>
    <w:p w14:paraId="1560D47D" w14:textId="77777777" w:rsidR="005C3A3A" w:rsidRPr="007B28C0" w:rsidRDefault="00BD07C9">
      <w:pPr>
        <w:numPr>
          <w:ilvl w:val="0"/>
          <w:numId w:val="2"/>
        </w:numPr>
        <w:spacing w:after="0" w:line="276" w:lineRule="auto"/>
        <w:ind w:right="618"/>
        <w:jc w:val="both"/>
        <w:rPr>
          <w:rFonts w:ascii="Palatino Linotype" w:eastAsia="Palatino Linotype" w:hAnsi="Palatino Linotype" w:cs="Palatino Linotype"/>
          <w:i/>
        </w:rPr>
      </w:pPr>
      <w:r w:rsidRPr="007B28C0">
        <w:rPr>
          <w:rFonts w:ascii="Palatino Linotype" w:eastAsia="Palatino Linotype" w:hAnsi="Palatino Linotype" w:cs="Palatino Linotype"/>
          <w:b/>
          <w:i/>
        </w:rPr>
        <w:t>RRA 0050/16.</w:t>
      </w:r>
      <w:r w:rsidRPr="007B28C0">
        <w:rPr>
          <w:rFonts w:ascii="Palatino Linotype" w:eastAsia="Palatino Linotype" w:hAnsi="Palatino Linotype" w:cs="Palatino Linotype"/>
          <w:i/>
        </w:rPr>
        <w:t xml:space="preserve"> Instituto Nacional para la Evaluación de la Educación. 13 julio de 2016. Por unanimidad. Comisionado Ponente: Francisco Javier Acuña Llamas.</w:t>
      </w:r>
    </w:p>
    <w:p w14:paraId="3EC47103" w14:textId="77777777" w:rsidR="005C3A3A" w:rsidRPr="007B28C0" w:rsidRDefault="00BD07C9">
      <w:pPr>
        <w:numPr>
          <w:ilvl w:val="0"/>
          <w:numId w:val="2"/>
        </w:numPr>
        <w:spacing w:after="0" w:line="276" w:lineRule="auto"/>
        <w:ind w:right="618"/>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RRA 0310/16. </w:t>
      </w:r>
      <w:r w:rsidRPr="007B28C0">
        <w:rPr>
          <w:rFonts w:ascii="Palatino Linotype" w:eastAsia="Palatino Linotype" w:hAnsi="Palatino Linotype" w:cs="Palatino Linotype"/>
          <w:i/>
        </w:rPr>
        <w:t>Instituto Nacional de Transparencia, Acceso a la Información y Protección de Datos Personales. 10 de agosto de 2016. Por unanimidad. Comisionada Ponente. Areli Cano Guadiana.</w:t>
      </w:r>
    </w:p>
    <w:p w14:paraId="1130635F" w14:textId="77777777" w:rsidR="005C3A3A" w:rsidRPr="007B28C0" w:rsidRDefault="00BD07C9">
      <w:pPr>
        <w:numPr>
          <w:ilvl w:val="0"/>
          <w:numId w:val="2"/>
        </w:numPr>
        <w:spacing w:after="0" w:line="276" w:lineRule="auto"/>
        <w:ind w:right="618"/>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RRA 1889/16. </w:t>
      </w:r>
      <w:r w:rsidRPr="007B28C0">
        <w:rPr>
          <w:rFonts w:ascii="Palatino Linotype" w:eastAsia="Palatino Linotype" w:hAnsi="Palatino Linotype" w:cs="Palatino Linotype"/>
          <w:i/>
        </w:rPr>
        <w:t>Secretaría de Hacienda y Crédito Público. 05 de octubre de 2016. Por unanimidad. Comisionada Ponente. Ximena Puente de la Mora.</w:t>
      </w:r>
    </w:p>
    <w:p w14:paraId="086100D7" w14:textId="77777777" w:rsidR="005C3A3A" w:rsidRPr="007B28C0" w:rsidRDefault="005C3A3A">
      <w:pPr>
        <w:spacing w:after="0" w:line="360" w:lineRule="auto"/>
        <w:ind w:left="567" w:right="616"/>
        <w:jc w:val="both"/>
        <w:rPr>
          <w:rFonts w:ascii="Palatino Linotype" w:eastAsia="Palatino Linotype" w:hAnsi="Palatino Linotype" w:cs="Palatino Linotype"/>
          <w:sz w:val="24"/>
          <w:szCs w:val="24"/>
        </w:rPr>
      </w:pPr>
    </w:p>
    <w:p w14:paraId="0C69FCF8"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Así, y de conformidad con lo antes señalado, </w:t>
      </w: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 xml:space="preserve"> sólo proporcionará la información que obra en sus archivos, lo que a </w:t>
      </w:r>
      <w:r w:rsidRPr="007B28C0">
        <w:rPr>
          <w:rFonts w:ascii="Palatino Linotype" w:eastAsia="Palatino Linotype" w:hAnsi="Palatino Linotype" w:cs="Palatino Linotype"/>
          <w:i/>
          <w:sz w:val="24"/>
          <w:szCs w:val="24"/>
        </w:rPr>
        <w:t>contrario sensu</w:t>
      </w:r>
      <w:r w:rsidRPr="007B28C0">
        <w:rPr>
          <w:rFonts w:ascii="Palatino Linotype" w:eastAsia="Palatino Linotype" w:hAnsi="Palatino Linotype" w:cs="Palatino Linotype"/>
          <w:sz w:val="24"/>
          <w:szCs w:val="24"/>
        </w:rPr>
        <w:t xml:space="preserve"> significa que no se está obligado a proporcionar lo que no obre en sus archivos, situación que se actualiza en el presente asunto, motivo por el cual se colma el </w:t>
      </w:r>
      <w:r w:rsidRPr="007B28C0">
        <w:rPr>
          <w:rFonts w:ascii="Palatino Linotype" w:eastAsia="Palatino Linotype" w:hAnsi="Palatino Linotype" w:cs="Palatino Linotype"/>
          <w:sz w:val="24"/>
          <w:szCs w:val="24"/>
        </w:rPr>
        <w:lastRenderedPageBreak/>
        <w:t>derecho de acceso a la información pública del particular, en este punto de la solicitud.</w:t>
      </w:r>
    </w:p>
    <w:p w14:paraId="591A66CC" w14:textId="77777777" w:rsidR="005C3A3A" w:rsidRPr="007B28C0" w:rsidRDefault="005C3A3A">
      <w:pPr>
        <w:spacing w:line="360" w:lineRule="auto"/>
        <w:ind w:right="49"/>
        <w:jc w:val="both"/>
        <w:rPr>
          <w:rFonts w:ascii="Palatino Linotype" w:eastAsia="Palatino Linotype" w:hAnsi="Palatino Linotype" w:cs="Palatino Linotype"/>
          <w:sz w:val="24"/>
          <w:szCs w:val="24"/>
        </w:rPr>
      </w:pPr>
    </w:p>
    <w:tbl>
      <w:tblPr>
        <w:tblStyle w:val="ab"/>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410"/>
        <w:gridCol w:w="2409"/>
        <w:gridCol w:w="2268"/>
      </w:tblGrid>
      <w:tr w:rsidR="007B28C0" w:rsidRPr="007B28C0" w14:paraId="1CCE1D81" w14:textId="77777777">
        <w:tc>
          <w:tcPr>
            <w:tcW w:w="2100" w:type="dxa"/>
            <w:shd w:val="clear" w:color="auto" w:fill="BFBFBF"/>
          </w:tcPr>
          <w:p w14:paraId="64E67C7E"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Información requerida.</w:t>
            </w:r>
          </w:p>
        </w:tc>
        <w:tc>
          <w:tcPr>
            <w:tcW w:w="2410" w:type="dxa"/>
            <w:shd w:val="clear" w:color="auto" w:fill="BFBFBF"/>
          </w:tcPr>
          <w:p w14:paraId="7942EC8D"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Respuesta</w:t>
            </w:r>
          </w:p>
        </w:tc>
        <w:tc>
          <w:tcPr>
            <w:tcW w:w="2409" w:type="dxa"/>
            <w:shd w:val="clear" w:color="auto" w:fill="BFBFBF"/>
          </w:tcPr>
          <w:p w14:paraId="1779C3F4"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 xml:space="preserve">Inconformidad </w:t>
            </w:r>
          </w:p>
        </w:tc>
        <w:tc>
          <w:tcPr>
            <w:tcW w:w="2268" w:type="dxa"/>
            <w:shd w:val="clear" w:color="auto" w:fill="BFBFBF"/>
          </w:tcPr>
          <w:p w14:paraId="355F1C51" w14:textId="77777777" w:rsidR="005C3A3A" w:rsidRPr="007B28C0" w:rsidRDefault="00BD07C9">
            <w:pPr>
              <w:spacing w:before="240" w:after="240"/>
              <w:ind w:firstLine="114"/>
              <w:jc w:val="center"/>
              <w:rPr>
                <w:rFonts w:ascii="Palatino Linotype" w:eastAsia="Palatino Linotype" w:hAnsi="Palatino Linotype" w:cs="Palatino Linotype"/>
                <w:b/>
                <w:i/>
                <w:sz w:val="18"/>
                <w:szCs w:val="18"/>
              </w:rPr>
            </w:pPr>
            <w:r w:rsidRPr="007B28C0">
              <w:rPr>
                <w:rFonts w:ascii="Palatino Linotype" w:eastAsia="Palatino Linotype" w:hAnsi="Palatino Linotype" w:cs="Palatino Linotype"/>
                <w:b/>
                <w:i/>
                <w:sz w:val="18"/>
                <w:szCs w:val="18"/>
              </w:rPr>
              <w:t>Informe justificado.</w:t>
            </w:r>
          </w:p>
        </w:tc>
      </w:tr>
      <w:tr w:rsidR="007B28C0" w:rsidRPr="007B28C0" w14:paraId="580710A5"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2A4E9BAE"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4.- Copia Simple y Certificada de la Licencias de Uso del Suelo, </w:t>
            </w:r>
            <w:r w:rsidRPr="007B28C0">
              <w:rPr>
                <w:rFonts w:ascii="Palatino Linotype" w:eastAsia="Palatino Linotype" w:hAnsi="Palatino Linotype" w:cs="Palatino Linotype"/>
                <w:b/>
                <w:sz w:val="18"/>
                <w:szCs w:val="18"/>
                <w:u w:val="single"/>
              </w:rPr>
              <w:t>actual 2022</w:t>
            </w:r>
            <w:r w:rsidRPr="007B28C0">
              <w:rPr>
                <w:rFonts w:ascii="Palatino Linotype" w:eastAsia="Palatino Linotype" w:hAnsi="Palatino Linotype" w:cs="Palatino Linotype"/>
                <w:sz w:val="18"/>
                <w:szCs w:val="18"/>
              </w:rPr>
              <w:t>, a favor de Operadora de Colegios La Salle, S.C. con domicilio en Retorno de Perdiz No. 70, Manzana XII, Lotes (Nota.- 63, 64 y 65), Fraccionamiento Mayorazgos del Bosque, superficie del lote 19,811.33 m2.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4B7366F"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Subdirector de  Planeación Territorial y Urbana menciona  que dicha información obra no obra en sus expedientes ya que es atribución de la Subdirección de Planeación Urbana.</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FFA19"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Pretextan no tener las mismas.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11A4648"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Director General de Ordenamiento Territorial y Urbano menciona que no se cuenta con expediente de cambio de uso de suelo del predio señalado del año 2022 ya que depende de que sea solicitado por un contribuyente.</w:t>
            </w:r>
          </w:p>
        </w:tc>
      </w:tr>
      <w:tr w:rsidR="007B28C0" w:rsidRPr="007B28C0" w14:paraId="6928775E"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221677A3"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5.- Copia Simple y Certificada del Expediente Técnico soporte para la emisión de la Licencia de Uso del Suelo, </w:t>
            </w:r>
            <w:r w:rsidRPr="007B28C0">
              <w:rPr>
                <w:rFonts w:ascii="Palatino Linotype" w:eastAsia="Palatino Linotype" w:hAnsi="Palatino Linotype" w:cs="Palatino Linotype"/>
                <w:b/>
                <w:sz w:val="18"/>
                <w:szCs w:val="18"/>
                <w:u w:val="single"/>
              </w:rPr>
              <w:t>actual 2022</w:t>
            </w:r>
            <w:r w:rsidRPr="007B28C0">
              <w:rPr>
                <w:rFonts w:ascii="Palatino Linotype" w:eastAsia="Palatino Linotype" w:hAnsi="Palatino Linotype" w:cs="Palatino Linotype"/>
                <w:sz w:val="18"/>
                <w:szCs w:val="18"/>
              </w:rPr>
              <w:t xml:space="preserve">, a favor de Operadora de Colegios La Salle, S.C. con domicilio en Retorno de Perdiz No. 70, Manzana XII, Lotes (Nota.- 63, 64 y 65), Fraccionamiento Mayorazgos del </w:t>
            </w:r>
            <w:r w:rsidRPr="007B28C0">
              <w:rPr>
                <w:rFonts w:ascii="Palatino Linotype" w:eastAsia="Palatino Linotype" w:hAnsi="Palatino Linotype" w:cs="Palatino Linotype"/>
                <w:sz w:val="18"/>
                <w:szCs w:val="18"/>
              </w:rPr>
              <w:lastRenderedPageBreak/>
              <w:t>Bosque, superficie del lote 19,811.33 m2. Nota.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2F87F0E"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lastRenderedPageBreak/>
              <w:t>El Subdirector de  Planeación Territorial y Urbana menciona  que dicha información obra no obra en sus expedientes ya que es atribución de la Subdirección de Planeación Urbana.</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22F29EF"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Pretextan no tener las mismas.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668743E"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Director General de Ordenamiento Territorial y Urbano menciona que no se cuenta con expediente de cambio de uso de suelo del predio señalado del año 2022 ya que depende de que sea solicitado por un contribuyente.</w:t>
            </w:r>
          </w:p>
          <w:p w14:paraId="70402DC3" w14:textId="77777777" w:rsidR="005C3A3A" w:rsidRPr="007B28C0" w:rsidRDefault="005C3A3A">
            <w:pPr>
              <w:spacing w:before="240" w:after="240"/>
              <w:jc w:val="both"/>
              <w:rPr>
                <w:rFonts w:ascii="Palatino Linotype" w:eastAsia="Palatino Linotype" w:hAnsi="Palatino Linotype" w:cs="Palatino Linotype"/>
                <w:sz w:val="18"/>
                <w:szCs w:val="18"/>
              </w:rPr>
            </w:pPr>
          </w:p>
        </w:tc>
      </w:tr>
      <w:tr w:rsidR="007B28C0" w:rsidRPr="007B28C0" w14:paraId="6A1109DD"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50782FC8"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lastRenderedPageBreak/>
              <w:t>9- Copia Simple y Certificada del Expediente Técnico soporte de la Reglamentación emitida para el uso y aprovechamiento del suelo, correspondiente a la autorización del cambio de uso de suelo habitacional H333.A por el de vialidad, en relación del lote no. 60, manzana 12, de la calle retorno de perdiz, en el fraccionamiento Mayorazgos del Bosque.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DCDF54E"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Subdirector de Planeación Territorial y Urbana menciona que dicha información obra no obra en sus expedientes ya que es atribución de la Subdirección de Planeación Urbana.</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1488F85"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Contestan que no cuentan con dicha información.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7B6C784"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Director General de Ordenamiento Territorial y Desarrollo Urbano, menciona que no se cuentan con expedientes para el cambio de uso de suelo del predio señalado, del año 2022 ya que depende de que sea solicitado por un contribuyente.</w:t>
            </w:r>
          </w:p>
        </w:tc>
      </w:tr>
      <w:tr w:rsidR="007B28C0" w:rsidRPr="007B28C0" w14:paraId="34E3A8A3"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2AB4473E"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10- Copia Simple y Certificada del Expediente Técnico soporte de la autorización para la apertura y prolongación de vialidad, del lote No. 60, manzana 12, de la calle retorno de perdiz, en el fraccionamiento Mayorazgos del Bosque.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11DD4D6"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Subdirector de Planeación Territorial y Urbana menciona que dicha información obra no obra en sus expedientes ya que es atribución de la Subdirección de Planeación Urbana.</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07B023D"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Contestan que no cuentan con dicha información.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A11B89A"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Director General de Ordenamiento Territorial y Desarrollo Urbano menciona que no se ha autorizado apertura o prolongación de la vía solicitada</w:t>
            </w:r>
          </w:p>
        </w:tc>
      </w:tr>
      <w:tr w:rsidR="007B28C0" w:rsidRPr="007B28C0" w14:paraId="0DB6E15B"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1CC95400"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1- Copia Simple y Certificada de la Licencia de Funcionamiento actual </w:t>
            </w:r>
            <w:r w:rsidRPr="007B28C0">
              <w:rPr>
                <w:rFonts w:ascii="Palatino Linotype" w:eastAsia="Palatino Linotype" w:hAnsi="Palatino Linotype" w:cs="Palatino Linotype"/>
                <w:sz w:val="18"/>
                <w:szCs w:val="18"/>
              </w:rPr>
              <w:lastRenderedPageBreak/>
              <w:t>(2022), a favor de Operadora de Colegios La Salle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2A85538"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lastRenderedPageBreak/>
              <w:t xml:space="preserve">La tesorería municipal menciona que no cuenta </w:t>
            </w:r>
            <w:r w:rsidRPr="007B28C0">
              <w:rPr>
                <w:rFonts w:ascii="Palatino Linotype" w:eastAsia="Palatino Linotype" w:hAnsi="Palatino Linotype" w:cs="Palatino Linotype"/>
                <w:sz w:val="18"/>
                <w:szCs w:val="18"/>
              </w:rPr>
              <w:lastRenderedPageBreak/>
              <w:t xml:space="preserve">con licencia de funcionamiento 2022.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EDA41A6"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lastRenderedPageBreak/>
              <w:t>pretexta no tener dicha documentación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6156454"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Ratifica.</w:t>
            </w:r>
          </w:p>
        </w:tc>
      </w:tr>
      <w:tr w:rsidR="007B28C0" w:rsidRPr="007B28C0" w14:paraId="4B33B631"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3BF016AF"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lastRenderedPageBreak/>
              <w:t>2.- Copia Simple y Certificada del Expediente Técnico soporte para la emisión de la Licencia de Funcionamiento actual (2022), a favor de Operadora de Colegios La Salle, S.C.</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4A2FB03"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La tesorería municipal menciona que no cuenta con licencia de funcionamiento 2022.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B8467D8"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pretexta no tener dicha documentación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190CDCB"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Ratifica.</w:t>
            </w:r>
          </w:p>
        </w:tc>
      </w:tr>
    </w:tbl>
    <w:p w14:paraId="19E160A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76459AE4"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De acuerdo a la respuesta y al informe justificado remitido por </w:t>
      </w: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 resulta conveniente señalar la siguiente normatividad:</w:t>
      </w:r>
    </w:p>
    <w:p w14:paraId="67540DD1" w14:textId="77777777" w:rsidR="005C3A3A" w:rsidRPr="007B28C0" w:rsidRDefault="005C3A3A">
      <w:pPr>
        <w:spacing w:after="0" w:line="276" w:lineRule="auto"/>
        <w:ind w:right="900"/>
        <w:jc w:val="both"/>
        <w:rPr>
          <w:rFonts w:ascii="Palatino Linotype" w:eastAsia="Palatino Linotype" w:hAnsi="Palatino Linotype" w:cs="Palatino Linotype"/>
          <w:i/>
        </w:rPr>
      </w:pPr>
    </w:p>
    <w:p w14:paraId="1EA307D5" w14:textId="77777777" w:rsidR="005C3A3A" w:rsidRPr="007B28C0" w:rsidRDefault="00BD07C9">
      <w:pPr>
        <w:spacing w:after="0" w:line="276" w:lineRule="auto"/>
        <w:ind w:left="851" w:right="900"/>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 xml:space="preserve">BANDO MUNICIPAL DE ATIZAPÁN DE ZARAGOZA 2022 </w:t>
      </w:r>
    </w:p>
    <w:p w14:paraId="6F704859" w14:textId="77777777" w:rsidR="005C3A3A" w:rsidRPr="007B28C0" w:rsidRDefault="005C3A3A">
      <w:pPr>
        <w:spacing w:after="0" w:line="276" w:lineRule="auto"/>
        <w:ind w:left="851" w:right="900"/>
        <w:jc w:val="both"/>
        <w:rPr>
          <w:rFonts w:ascii="Palatino Linotype" w:eastAsia="Palatino Linotype" w:hAnsi="Palatino Linotype" w:cs="Palatino Linotype"/>
          <w:b/>
          <w:i/>
        </w:rPr>
      </w:pPr>
    </w:p>
    <w:p w14:paraId="41947398"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De la Dirección de Ordenamiento Territorial y Desarrollo Urbano</w:t>
      </w:r>
    </w:p>
    <w:p w14:paraId="77237265" w14:textId="77777777" w:rsidR="005C3A3A" w:rsidRPr="007B28C0" w:rsidRDefault="005C3A3A">
      <w:pPr>
        <w:spacing w:after="0" w:line="276" w:lineRule="auto"/>
        <w:ind w:left="851" w:right="900"/>
        <w:jc w:val="both"/>
        <w:rPr>
          <w:rFonts w:ascii="Palatino Linotype" w:eastAsia="Palatino Linotype" w:hAnsi="Palatino Linotype" w:cs="Palatino Linotype"/>
          <w:i/>
        </w:rPr>
      </w:pPr>
    </w:p>
    <w:p w14:paraId="25E88747"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ARTÍCULO 57.- La Dirección de Ordenamiento Territorial y Desarrollo Urbano tendrá a su cargo planear</w:t>
      </w:r>
      <w:r w:rsidRPr="007B28C0">
        <w:rPr>
          <w:rFonts w:ascii="Palatino Linotype" w:eastAsia="Palatino Linotype" w:hAnsi="Palatino Linotype" w:cs="Palatino Linotype"/>
          <w:b/>
          <w:i/>
        </w:rPr>
        <w:t>, formular, ejecutar, conducir y vigilar las políticas públicas municipales en materia de asentamientos humanos, ordenamiento territorial, desarrollo urbano e imagen urbana, que permitan aprovechar las potencialidades del municipio</w:t>
      </w:r>
      <w:r w:rsidRPr="007B28C0">
        <w:rPr>
          <w:rFonts w:ascii="Palatino Linotype" w:eastAsia="Palatino Linotype" w:hAnsi="Palatino Linotype" w:cs="Palatino Linotype"/>
          <w:i/>
        </w:rPr>
        <w:t xml:space="preserve"> y promuevan la inclusión, la competitividad, la sostenibilidad, la resiliencia urbana y el desarrollo social y regional. En el ámbito de su competencia, tendrá a su cargo vigilar el cumplimiento de las leyes, códigos, reglamentos, planes, programas y demás disposiciones administrativas aplicables en la materia, así como </w:t>
      </w:r>
      <w:r w:rsidRPr="007B28C0">
        <w:rPr>
          <w:rFonts w:ascii="Palatino Linotype" w:eastAsia="Palatino Linotype" w:hAnsi="Palatino Linotype" w:cs="Palatino Linotype"/>
          <w:b/>
          <w:i/>
        </w:rPr>
        <w:t>expedir las autorizaciones, permisos, licencias, constancias, dictámenes y demás trámites relacionados, en materia de utilización y aprovechamiento del suelo</w:t>
      </w:r>
      <w:r w:rsidRPr="007B28C0">
        <w:rPr>
          <w:rFonts w:ascii="Palatino Linotype" w:eastAsia="Palatino Linotype" w:hAnsi="Palatino Linotype" w:cs="Palatino Linotype"/>
          <w:i/>
        </w:rPr>
        <w:t xml:space="preserve"> con fines urbanos, de las construcciones privadas que se realicen en el </w:t>
      </w:r>
      <w:r w:rsidRPr="007B28C0">
        <w:rPr>
          <w:rFonts w:ascii="Palatino Linotype" w:eastAsia="Palatino Linotype" w:hAnsi="Palatino Linotype" w:cs="Palatino Linotype"/>
          <w:i/>
        </w:rPr>
        <w:lastRenderedPageBreak/>
        <w:t>territorio municipal, garantizando que estas, satisfagan condiciones de seguridad, habitabilidad, funcionalidad, calidad, higiene, sustentabilidad y de integración armónica al contexto urbano y natural, así como de las obras en la vía pública, y los anuncios que para su instalación requiera de alguna estructura, equipo o elementos de fijación.</w:t>
      </w:r>
    </w:p>
    <w:p w14:paraId="649A6890"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12AA37E1"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Por lo anterior, el Director de Desarrollo Urbano o el Titular de la Unidad Administrativa equivalente que en este caso es el Director General de Ordenamiento Territorial y Urbano, es responsable de formular, ejecutar, conducir y vigilar las políticas públicas municipales en materia de asentamientos humanos, ordenamiento territorial, desarrollo urbano e imagen urbana, que permitan aprovechar las potencialidades del municipio, además, analizara las licencias de uso de suelo y planea, formula, ejecuta, conduce y vigila las políticas públicas municipales en materia de asentamientos humanos, ordenamiento territorial, desarrollo urbano e imagen urbana, por lo que tendrá a su cargo el vigilar el cumplimiento de las constancias, dictámenes y demás trámites relacionados, en materia de utilización y aprovechamiento del suelo con fines urbanos de las obras en la vía pública.</w:t>
      </w:r>
    </w:p>
    <w:p w14:paraId="272E64DE"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39E05FFB"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Ahora bien es de resaltar que la autorización para la apertura y prolongación de vialidad, se cita lo siguiente:</w:t>
      </w:r>
    </w:p>
    <w:p w14:paraId="6FCEF706"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71E78F06" w14:textId="77777777" w:rsidR="005C3A3A" w:rsidRPr="007B28C0" w:rsidRDefault="00BD07C9">
      <w:pPr>
        <w:spacing w:after="0" w:line="276" w:lineRule="auto"/>
        <w:ind w:left="851" w:right="900"/>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CÓDIGO ADMINISTRATIVO DEL ESTADO DE MÉXICO</w:t>
      </w:r>
    </w:p>
    <w:p w14:paraId="5B66BE1B" w14:textId="77777777" w:rsidR="005C3A3A" w:rsidRPr="007B28C0" w:rsidRDefault="005C3A3A">
      <w:pPr>
        <w:spacing w:after="0" w:line="276" w:lineRule="auto"/>
        <w:ind w:left="851" w:right="900"/>
        <w:jc w:val="both"/>
        <w:rPr>
          <w:rFonts w:ascii="Palatino Linotype" w:eastAsia="Palatino Linotype" w:hAnsi="Palatino Linotype" w:cs="Palatino Linotype"/>
          <w:i/>
        </w:rPr>
      </w:pPr>
    </w:p>
    <w:p w14:paraId="0F98056D"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lastRenderedPageBreak/>
        <w:t>Artículo 5.7.</w:t>
      </w:r>
      <w:r w:rsidRPr="007B28C0">
        <w:rPr>
          <w:rFonts w:ascii="Palatino Linotype" w:eastAsia="Palatino Linotype" w:hAnsi="Palatino Linotype" w:cs="Palatino Linotype"/>
          <w:i/>
        </w:rPr>
        <w:t xml:space="preserve"> Son autoridades para la aplicación de este Libro el Gobernador del Estado, la Secretaría de Desarrollo Urbano y Obra, la Secretaría de Movilidad y los municipios.</w:t>
      </w:r>
    </w:p>
    <w:p w14:paraId="5614E47D" w14:textId="77777777" w:rsidR="005C3A3A" w:rsidRPr="007B28C0" w:rsidRDefault="005C3A3A">
      <w:pPr>
        <w:spacing w:after="0" w:line="276" w:lineRule="auto"/>
        <w:ind w:left="851" w:right="900"/>
        <w:jc w:val="both"/>
        <w:rPr>
          <w:rFonts w:ascii="Palatino Linotype" w:eastAsia="Palatino Linotype" w:hAnsi="Palatino Linotype" w:cs="Palatino Linotype"/>
          <w:i/>
        </w:rPr>
      </w:pPr>
    </w:p>
    <w:p w14:paraId="7A8E6A98"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t>Artículo 5.9.</w:t>
      </w:r>
      <w:r w:rsidRPr="007B28C0">
        <w:rPr>
          <w:rFonts w:ascii="Palatino Linotype" w:eastAsia="Palatino Linotype" w:hAnsi="Palatino Linotype" w:cs="Palatino Linotype"/>
          <w:i/>
        </w:rPr>
        <w:t xml:space="preserve"> La Secretaría tendrá las atribuciones siguientes:</w:t>
      </w:r>
    </w:p>
    <w:p w14:paraId="449C4B98"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3B0CE228"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VIII. Autorizar la apertura, prolongación, ampliación o modificación de vías públicas de competencia municipal, no previstas en los planes municipales de desarrollo urbano;</w:t>
      </w:r>
    </w:p>
    <w:p w14:paraId="784CED7F"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3A402097"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Además en la Ventanilla Electrónica Única del Gobierno del Estado de México, misma que se observa que el trámite de apertura, prolongación, ampliación o cualquier modificación de vías públicas, es solicitada por los Municipios, como se aprecia en la siguiente captura de pantalla:</w:t>
      </w:r>
    </w:p>
    <w:p w14:paraId="492F19A5"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2EF7B226" w14:textId="77777777" w:rsidR="005C3A3A" w:rsidRPr="007B28C0" w:rsidRDefault="00794E9C">
      <w:pPr>
        <w:spacing w:after="0" w:line="360" w:lineRule="auto"/>
        <w:ind w:right="49"/>
        <w:jc w:val="both"/>
        <w:rPr>
          <w:rFonts w:ascii="Palatino Linotype" w:eastAsia="Palatino Linotype" w:hAnsi="Palatino Linotype" w:cs="Palatino Linotype"/>
          <w:sz w:val="24"/>
          <w:szCs w:val="24"/>
        </w:rPr>
      </w:pPr>
      <w:hyperlink r:id="rId24">
        <w:r w:rsidR="00BD07C9" w:rsidRPr="007B28C0">
          <w:rPr>
            <w:rFonts w:ascii="Palatino Linotype" w:eastAsia="Palatino Linotype" w:hAnsi="Palatino Linotype" w:cs="Palatino Linotype"/>
            <w:sz w:val="24"/>
            <w:szCs w:val="24"/>
            <w:u w:val="single"/>
          </w:rPr>
          <w:t>https://qaventanilla.edomex.gob.mx/TramitesyServicios/Tramite?tram=1140&amp;cont=0</w:t>
        </w:r>
      </w:hyperlink>
      <w:r w:rsidR="00BD07C9" w:rsidRPr="007B28C0">
        <w:rPr>
          <w:rFonts w:ascii="Palatino Linotype" w:eastAsia="Palatino Linotype" w:hAnsi="Palatino Linotype" w:cs="Palatino Linotype"/>
          <w:sz w:val="24"/>
          <w:szCs w:val="24"/>
        </w:rPr>
        <w:t xml:space="preserve"> </w:t>
      </w:r>
    </w:p>
    <w:p w14:paraId="6F7A2229"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noProof/>
        </w:rPr>
        <w:lastRenderedPageBreak/>
        <w:drawing>
          <wp:inline distT="0" distB="0" distL="0" distR="0" wp14:anchorId="0C6F8DD6" wp14:editId="2EA11273">
            <wp:extent cx="6059509" cy="3574371"/>
            <wp:effectExtent l="0" t="0" r="0" b="0"/>
            <wp:docPr id="1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l="20309" t="10012" r="21152" b="36286"/>
                    <a:stretch>
                      <a:fillRect/>
                    </a:stretch>
                  </pic:blipFill>
                  <pic:spPr>
                    <a:xfrm>
                      <a:off x="0" y="0"/>
                      <a:ext cx="6059509" cy="3574371"/>
                    </a:xfrm>
                    <a:prstGeom prst="rect">
                      <a:avLst/>
                    </a:prstGeom>
                    <a:ln/>
                  </pic:spPr>
                </pic:pic>
              </a:graphicData>
            </a:graphic>
          </wp:inline>
        </w:drawing>
      </w:r>
      <w:r w:rsidRPr="007B28C0">
        <w:rPr>
          <w:noProof/>
        </w:rPr>
        <mc:AlternateContent>
          <mc:Choice Requires="wpg">
            <w:drawing>
              <wp:anchor distT="0" distB="0" distL="114300" distR="114300" simplePos="0" relativeHeight="251660288" behindDoc="0" locked="0" layoutInCell="1" hidden="0" allowOverlap="1" wp14:anchorId="744D9918" wp14:editId="5FF72D52">
                <wp:simplePos x="0" y="0"/>
                <wp:positionH relativeFrom="column">
                  <wp:posOffset>1473200</wp:posOffset>
                </wp:positionH>
                <wp:positionV relativeFrom="paragraph">
                  <wp:posOffset>3149600</wp:posOffset>
                </wp:positionV>
                <wp:extent cx="4570730" cy="409575"/>
                <wp:effectExtent l="0" t="0" r="0" b="0"/>
                <wp:wrapNone/>
                <wp:docPr id="126" name="Rectángulo 126"/>
                <wp:cNvGraphicFramePr/>
                <a:graphic xmlns:a="http://schemas.openxmlformats.org/drawingml/2006/main">
                  <a:graphicData uri="http://schemas.microsoft.com/office/word/2010/wordprocessingShape">
                    <wps:wsp>
                      <wps:cNvSpPr/>
                      <wps:spPr>
                        <a:xfrm>
                          <a:off x="3079685" y="3594263"/>
                          <a:ext cx="4532630" cy="371475"/>
                        </a:xfrm>
                        <a:prstGeom prst="rect">
                          <a:avLst/>
                        </a:prstGeom>
                        <a:noFill/>
                        <a:ln w="38100" cap="flat" cmpd="sng">
                          <a:solidFill>
                            <a:srgbClr val="FF0000"/>
                          </a:solidFill>
                          <a:prstDash val="solid"/>
                          <a:miter lim="800000"/>
                          <a:headEnd type="none" w="sm" len="sm"/>
                          <a:tailEnd type="none" w="sm" len="sm"/>
                        </a:ln>
                      </wps:spPr>
                      <wps:txbx>
                        <w:txbxContent>
                          <w:p w14:paraId="7C93C0C4" w14:textId="77777777" w:rsidR="005C3A3A" w:rsidRDefault="005C3A3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1473200</wp:posOffset>
                </wp:positionH>
                <wp:positionV relativeFrom="paragraph">
                  <wp:posOffset>3149600</wp:posOffset>
                </wp:positionV>
                <wp:extent cx="4570730" cy="409575"/>
                <wp:effectExtent b="0" l="0" r="0" t="0"/>
                <wp:wrapNone/>
                <wp:docPr id="126" name="image28.png"/>
                <a:graphic>
                  <a:graphicData uri="http://schemas.openxmlformats.org/drawingml/2006/picture">
                    <pic:pic>
                      <pic:nvPicPr>
                        <pic:cNvPr id="0" name="image28.png"/>
                        <pic:cNvPicPr preferRelativeResize="0"/>
                      </pic:nvPicPr>
                      <pic:blipFill>
                        <a:blip r:embed="rId26"/>
                        <a:srcRect/>
                        <a:stretch>
                          <a:fillRect/>
                        </a:stretch>
                      </pic:blipFill>
                      <pic:spPr>
                        <a:xfrm>
                          <a:off x="0" y="0"/>
                          <a:ext cx="4570730" cy="409575"/>
                        </a:xfrm>
                        <a:prstGeom prst="rect"/>
                        <a:ln/>
                      </pic:spPr>
                    </pic:pic>
                  </a:graphicData>
                </a:graphic>
              </wp:anchor>
            </w:drawing>
          </mc:Fallback>
        </mc:AlternateContent>
      </w:r>
    </w:p>
    <w:p w14:paraId="3B7D6E3D"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55FAF100"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No obstante, si bien es cierto que no genera dicho documento, puede poseerlo o administrarlo, siendo aplicable, el Criterio de interpretación en el orden administrativo número CRITERIO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6FC7AD9"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6F01953F" w14:textId="77777777" w:rsidR="005C3A3A" w:rsidRPr="007B28C0" w:rsidRDefault="00BD07C9">
      <w:pPr>
        <w:spacing w:after="0" w:line="276" w:lineRule="auto"/>
        <w:ind w:left="851" w:right="899"/>
        <w:jc w:val="both"/>
        <w:rPr>
          <w:rFonts w:ascii="Palatino Linotype" w:eastAsia="Palatino Linotype" w:hAnsi="Palatino Linotype" w:cs="Palatino Linotype"/>
          <w:b/>
          <w:i/>
        </w:rPr>
      </w:pPr>
      <w:r w:rsidRPr="007B28C0">
        <w:rPr>
          <w:rFonts w:ascii="Palatino Linotype" w:eastAsia="Palatino Linotype" w:hAnsi="Palatino Linotype" w:cs="Palatino Linotype"/>
          <w:b/>
        </w:rPr>
        <w:t>“</w:t>
      </w:r>
      <w:r w:rsidRPr="007B28C0">
        <w:rPr>
          <w:rFonts w:ascii="Palatino Linotype" w:eastAsia="Palatino Linotype" w:hAnsi="Palatino Linotype" w:cs="Palatino Linotype"/>
          <w:b/>
          <w:i/>
        </w:rPr>
        <w:t>CRITERIO 0002-11</w:t>
      </w:r>
    </w:p>
    <w:p w14:paraId="2AC7777E" w14:textId="77777777" w:rsidR="005C3A3A" w:rsidRPr="007B28C0" w:rsidRDefault="00BD07C9">
      <w:pPr>
        <w:spacing w:after="0" w:line="276" w:lineRule="auto"/>
        <w:ind w:left="851" w:right="899"/>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 xml:space="preserve">INFORMACIÓN PÚBLICA, CONCEPTO DE, EN MATERIA DE TRANSPARENCIA. INTERPRETACIÓN SISTEMÁTICA DE LOS </w:t>
      </w:r>
      <w:r w:rsidRPr="007B28C0">
        <w:rPr>
          <w:rFonts w:ascii="Palatino Linotype" w:eastAsia="Palatino Linotype" w:hAnsi="Palatino Linotype" w:cs="Palatino Linotype"/>
          <w:b/>
          <w:i/>
        </w:rPr>
        <w:lastRenderedPageBreak/>
        <w:t>ARTÍCULOS 2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3FDBF0" w14:textId="77777777" w:rsidR="005C3A3A" w:rsidRPr="007B28C0" w:rsidRDefault="005C3A3A">
      <w:pPr>
        <w:spacing w:after="0" w:line="276" w:lineRule="auto"/>
        <w:ind w:left="851" w:right="899"/>
        <w:jc w:val="both"/>
        <w:rPr>
          <w:rFonts w:ascii="Palatino Linotype" w:eastAsia="Palatino Linotype" w:hAnsi="Palatino Linotype" w:cs="Palatino Linotype"/>
          <w:b/>
          <w:i/>
        </w:rPr>
      </w:pPr>
    </w:p>
    <w:p w14:paraId="49E564BF" w14:textId="77777777" w:rsidR="005C3A3A" w:rsidRPr="007B28C0" w:rsidRDefault="00BD07C9">
      <w:pPr>
        <w:spacing w:after="0" w:line="276" w:lineRule="auto"/>
        <w:ind w:left="851" w:right="899"/>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En consecuencia el acceso a la información se refiere a que se cumplan cualquiera de los siguientes tres supuestos:</w:t>
      </w:r>
    </w:p>
    <w:p w14:paraId="0056D612" w14:textId="77777777" w:rsidR="005C3A3A" w:rsidRPr="007B28C0" w:rsidRDefault="005C3A3A">
      <w:pPr>
        <w:spacing w:after="0" w:line="276" w:lineRule="auto"/>
        <w:ind w:left="851" w:right="899"/>
        <w:jc w:val="both"/>
        <w:rPr>
          <w:rFonts w:ascii="Palatino Linotype" w:eastAsia="Palatino Linotype" w:hAnsi="Palatino Linotype" w:cs="Palatino Linotype"/>
          <w:b/>
          <w:i/>
        </w:rPr>
      </w:pPr>
    </w:p>
    <w:p w14:paraId="1E5F2C7C" w14:textId="77777777" w:rsidR="005C3A3A" w:rsidRPr="007B28C0" w:rsidRDefault="00BD07C9">
      <w:pPr>
        <w:spacing w:after="0" w:line="276" w:lineRule="auto"/>
        <w:ind w:left="851" w:right="899"/>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443A5083" w14:textId="77777777" w:rsidR="005C3A3A" w:rsidRPr="007B28C0" w:rsidRDefault="00BD07C9">
      <w:pPr>
        <w:spacing w:after="0" w:line="276" w:lineRule="auto"/>
        <w:ind w:left="851" w:right="899"/>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0C2F940D" w14:textId="77777777" w:rsidR="005C3A3A" w:rsidRPr="007B28C0" w:rsidRDefault="00BD07C9">
      <w:pPr>
        <w:spacing w:after="0" w:line="276" w:lineRule="auto"/>
        <w:ind w:left="851" w:right="899"/>
        <w:jc w:val="both"/>
        <w:rPr>
          <w:rFonts w:ascii="Palatino Linotype" w:eastAsia="Palatino Linotype" w:hAnsi="Palatino Linotype" w:cs="Palatino Linotype"/>
          <w:i/>
        </w:rPr>
      </w:pPr>
      <w:r w:rsidRPr="007B28C0">
        <w:rPr>
          <w:rFonts w:ascii="Palatino Linotype" w:eastAsia="Palatino Linotype" w:hAnsi="Palatino Linotype" w:cs="Palatino Linotype"/>
          <w:b/>
          <w:i/>
        </w:rPr>
        <w:t>3) Que se trate de información registrada en cualquier soporte documental, que en ejercicio de las atribuciones conferidas, se encuentre en posesión de los Sujetos Obligados.</w:t>
      </w:r>
      <w:r w:rsidRPr="007B28C0">
        <w:rPr>
          <w:rFonts w:ascii="Palatino Linotype" w:eastAsia="Palatino Linotype" w:hAnsi="Palatino Linotype" w:cs="Palatino Linotype"/>
          <w:i/>
        </w:rPr>
        <w:t xml:space="preserve">” </w:t>
      </w:r>
    </w:p>
    <w:p w14:paraId="184F5DC3" w14:textId="77777777" w:rsidR="005C3A3A" w:rsidRPr="007B28C0" w:rsidRDefault="005C3A3A">
      <w:pPr>
        <w:spacing w:after="0" w:line="360" w:lineRule="auto"/>
        <w:ind w:right="49"/>
        <w:jc w:val="both"/>
        <w:rPr>
          <w:rFonts w:ascii="Palatino Linotype" w:eastAsia="Palatino Linotype" w:hAnsi="Palatino Linotype" w:cs="Palatino Linotype"/>
          <w:i/>
          <w:sz w:val="24"/>
          <w:szCs w:val="24"/>
        </w:rPr>
      </w:pPr>
    </w:p>
    <w:p w14:paraId="37CCCDAB"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Por lo que se observa que a pesar de no generar la información solicitada, posee y administra, sin embargo, dice que no cuenta con dicha documentación.</w:t>
      </w:r>
    </w:p>
    <w:p w14:paraId="46FAEC11" w14:textId="77777777" w:rsidR="005C3A3A" w:rsidRPr="007B28C0" w:rsidRDefault="005C3A3A">
      <w:pPr>
        <w:spacing w:after="0" w:line="360" w:lineRule="auto"/>
        <w:ind w:right="51"/>
        <w:jc w:val="both"/>
        <w:rPr>
          <w:rFonts w:ascii="Palatino Linotype" w:eastAsia="Palatino Linotype" w:hAnsi="Palatino Linotype" w:cs="Palatino Linotype"/>
          <w:sz w:val="24"/>
          <w:szCs w:val="24"/>
        </w:rPr>
      </w:pPr>
    </w:p>
    <w:p w14:paraId="233F24F0"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Continuando con el marco normativo aplicable a los puntos de la solicitud en análisis se señala la siguiente reglamentación. </w:t>
      </w:r>
    </w:p>
    <w:p w14:paraId="4878E015"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603957C0" w14:textId="77777777" w:rsidR="005C3A3A" w:rsidRPr="007B28C0" w:rsidRDefault="00BD07C9">
      <w:pPr>
        <w:spacing w:after="0" w:line="276" w:lineRule="auto"/>
        <w:ind w:left="851" w:right="900"/>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REGLAMENTO INTERNO DE LA DIRECCIÓN DE DESARROLLO ECONÓMICO DEL H. AYUNTAMIENTO DE ATIZAPÁN DE ZARAGOZA, ESTADO DE MÉXICO.</w:t>
      </w:r>
    </w:p>
    <w:p w14:paraId="12E83D97"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lastRenderedPageBreak/>
        <w:t>Artículo 2. Para efectos del presente Reglamento, se entiende por:</w:t>
      </w:r>
    </w:p>
    <w:p w14:paraId="728F7F5A"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06159410"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XII. Licencia de Funcionamiento: Al documento que </w:t>
      </w:r>
      <w:r w:rsidRPr="007B28C0">
        <w:rPr>
          <w:rFonts w:ascii="Palatino Linotype" w:eastAsia="Palatino Linotype" w:hAnsi="Palatino Linotype" w:cs="Palatino Linotype"/>
        </w:rPr>
        <w:t xml:space="preserve">emite </w:t>
      </w:r>
      <w:r w:rsidRPr="007B28C0">
        <w:rPr>
          <w:rFonts w:ascii="Palatino Linotype" w:eastAsia="Palatino Linotype" w:hAnsi="Palatino Linotype" w:cs="Palatino Linotype"/>
          <w:i/>
          <w:u w:val="single"/>
        </w:rPr>
        <w:t>la Tesorería Municipal a</w:t>
      </w:r>
      <w:r w:rsidRPr="007B28C0">
        <w:rPr>
          <w:rFonts w:ascii="Palatino Linotype" w:eastAsia="Palatino Linotype" w:hAnsi="Palatino Linotype" w:cs="Palatino Linotype"/>
          <w:i/>
        </w:rPr>
        <w:t xml:space="preserve"> través de la Subdirección de Normatividad y Verificación, por el cual autoriza a una persona física o jurídica colectiva a desarrollar actividades económicas;</w:t>
      </w:r>
    </w:p>
    <w:p w14:paraId="04DDE0BD" w14:textId="77777777" w:rsidR="005C3A3A" w:rsidRPr="007B28C0" w:rsidRDefault="005C3A3A">
      <w:pPr>
        <w:spacing w:after="0" w:line="360" w:lineRule="auto"/>
        <w:ind w:right="49"/>
        <w:jc w:val="both"/>
        <w:rPr>
          <w:rFonts w:ascii="Palatino Linotype" w:eastAsia="Palatino Linotype" w:hAnsi="Palatino Linotype" w:cs="Palatino Linotype"/>
          <w:strike/>
          <w:sz w:val="24"/>
          <w:szCs w:val="24"/>
        </w:rPr>
      </w:pPr>
    </w:p>
    <w:p w14:paraId="4F036B9B"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La Tesorería Municipal, a través de la Subdirección de Normatividad y Verificación autoriza las licencias de funcionamiento a una persona física o jurídica colectiva a efecto de desarrollar actividades económicas.</w:t>
      </w:r>
    </w:p>
    <w:p w14:paraId="5143F4F2" w14:textId="77777777" w:rsidR="005C3A3A" w:rsidRPr="007B28C0" w:rsidRDefault="005C3A3A">
      <w:pPr>
        <w:spacing w:after="0" w:line="360" w:lineRule="auto"/>
        <w:ind w:right="49"/>
        <w:jc w:val="both"/>
        <w:rPr>
          <w:rFonts w:ascii="Palatino Linotype" w:eastAsia="Palatino Linotype" w:hAnsi="Palatino Linotype" w:cs="Palatino Linotype"/>
        </w:rPr>
      </w:pPr>
    </w:p>
    <w:p w14:paraId="3718C760"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Aclarado lo anterior, de acuerdo con la respuesta emitida por </w:t>
      </w:r>
      <w:r w:rsidRPr="007B28C0">
        <w:rPr>
          <w:rFonts w:ascii="Palatino Linotype" w:eastAsia="Palatino Linotype" w:hAnsi="Palatino Linotype" w:cs="Palatino Linotype"/>
          <w:b/>
          <w:sz w:val="24"/>
          <w:szCs w:val="24"/>
        </w:rPr>
        <w:t xml:space="preserve">EL SUJETO OBLIGADO </w:t>
      </w:r>
      <w:r w:rsidRPr="007B28C0">
        <w:rPr>
          <w:rFonts w:ascii="Palatino Linotype" w:eastAsia="Palatino Linotype" w:hAnsi="Palatino Linotype" w:cs="Palatino Linotype"/>
          <w:sz w:val="24"/>
          <w:szCs w:val="24"/>
        </w:rPr>
        <w:t xml:space="preserve">en estos puntos de la solicitud, toda vez que no posee, administra ni genera la información requerida por el particular, constituye un hecho negativo; entonces, si se considera el hecho negativo, es obvio que este no puede fácticamente obrar en los archivos del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 ya que no puede probarse por ser lógica y materialmente imposible.</w:t>
      </w:r>
    </w:p>
    <w:p w14:paraId="4CA57116" w14:textId="77777777" w:rsidR="005C3A3A" w:rsidRPr="007B28C0" w:rsidRDefault="005C3A3A">
      <w:pPr>
        <w:spacing w:after="0" w:line="360" w:lineRule="auto"/>
        <w:jc w:val="both"/>
        <w:rPr>
          <w:rFonts w:ascii="Times New Roman" w:eastAsia="Times New Roman" w:hAnsi="Times New Roman" w:cs="Times New Roman"/>
          <w:sz w:val="24"/>
          <w:szCs w:val="24"/>
        </w:rPr>
      </w:pPr>
    </w:p>
    <w:p w14:paraId="01F03036"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Asimismo, no se trata de un caso por el cual la negación del hecho implique la afirmación del mismo, simplemente se está ante una notoria y evidente inexistencia fáctica de la información solicitada. </w:t>
      </w:r>
    </w:p>
    <w:p w14:paraId="76764B93"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33E3CF1"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Encontrándonos ante un hecho negativo, destacando entonces que el Pleno de este Organismo Garante, ha sostenido que ante la presencia de un hecho negativo, resultaría innecesaria una declaratoria de inexistencia en términos de los artículos </w:t>
      </w:r>
      <w:r w:rsidRPr="007B28C0">
        <w:rPr>
          <w:rFonts w:ascii="Palatino Linotype" w:eastAsia="Palatino Linotype" w:hAnsi="Palatino Linotype" w:cs="Palatino Linotype"/>
          <w:sz w:val="24"/>
          <w:szCs w:val="24"/>
        </w:rPr>
        <w:lastRenderedPageBreak/>
        <w:t>19, 169 y 170 de la Ley de Transparencia y Acceso a la Información Pública del Estado de México y Municipios, y ante una hecho negativo resulta aplicable la siguiente tesis:</w:t>
      </w:r>
    </w:p>
    <w:p w14:paraId="75B4C1BD" w14:textId="77777777" w:rsidR="005C3A3A" w:rsidRPr="007B28C0" w:rsidRDefault="005C3A3A">
      <w:pPr>
        <w:spacing w:after="0" w:line="360" w:lineRule="auto"/>
        <w:jc w:val="both"/>
        <w:rPr>
          <w:rFonts w:ascii="Times New Roman" w:eastAsia="Times New Roman" w:hAnsi="Times New Roman" w:cs="Times New Roman"/>
          <w:sz w:val="24"/>
          <w:szCs w:val="24"/>
        </w:rPr>
      </w:pPr>
    </w:p>
    <w:p w14:paraId="327967D9" w14:textId="77777777" w:rsidR="005C3A3A" w:rsidRPr="007B28C0" w:rsidRDefault="00BD07C9">
      <w:pPr>
        <w:tabs>
          <w:tab w:val="left" w:pos="7938"/>
        </w:tabs>
        <w:spacing w:after="0" w:line="360" w:lineRule="auto"/>
        <w:ind w:left="860" w:right="560"/>
        <w:jc w:val="both"/>
        <w:rPr>
          <w:rFonts w:ascii="Times New Roman" w:eastAsia="Times New Roman" w:hAnsi="Times New Roman" w:cs="Times New Roman"/>
          <w:sz w:val="24"/>
          <w:szCs w:val="24"/>
        </w:rPr>
      </w:pPr>
      <w:r w:rsidRPr="007B28C0">
        <w:rPr>
          <w:rFonts w:ascii="Palatino Linotype" w:eastAsia="Palatino Linotype" w:hAnsi="Palatino Linotype" w:cs="Palatino Linotype"/>
          <w:b/>
          <w:i/>
        </w:rPr>
        <w:t>“HECHOS NEGATIVOS, NO SON SUSCEPTIBLES DE DEMOSTRACIÓN.</w:t>
      </w:r>
    </w:p>
    <w:p w14:paraId="7691B0CB" w14:textId="77777777" w:rsidR="005C3A3A" w:rsidRPr="007B28C0" w:rsidRDefault="00BD07C9">
      <w:pPr>
        <w:tabs>
          <w:tab w:val="left" w:pos="7938"/>
        </w:tabs>
        <w:spacing w:after="0" w:line="360" w:lineRule="auto"/>
        <w:ind w:left="860" w:right="560"/>
        <w:jc w:val="both"/>
        <w:rPr>
          <w:rFonts w:ascii="Times New Roman" w:eastAsia="Times New Roman" w:hAnsi="Times New Roman" w:cs="Times New Roman"/>
          <w:sz w:val="24"/>
          <w:szCs w:val="24"/>
        </w:rPr>
      </w:pPr>
      <w:r w:rsidRPr="007B28C0">
        <w:rPr>
          <w:rFonts w:ascii="Palatino Linotype" w:eastAsia="Palatino Linotype" w:hAnsi="Palatino Linotype" w:cs="Palatino Linotype"/>
          <w:i/>
        </w:rPr>
        <w:t xml:space="preserve">Tratándose de un hecho negativo, el Juez no tiene </w:t>
      </w:r>
      <w:proofErr w:type="spellStart"/>
      <w:r w:rsidRPr="007B28C0">
        <w:rPr>
          <w:rFonts w:ascii="Palatino Linotype" w:eastAsia="Palatino Linotype" w:hAnsi="Palatino Linotype" w:cs="Palatino Linotype"/>
          <w:i/>
        </w:rPr>
        <w:t>por que</w:t>
      </w:r>
      <w:proofErr w:type="spellEnd"/>
      <w:r w:rsidRPr="007B28C0">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4E384818" w14:textId="77777777" w:rsidR="005C3A3A" w:rsidRPr="007B28C0" w:rsidRDefault="00BD07C9">
      <w:pPr>
        <w:tabs>
          <w:tab w:val="left" w:pos="7938"/>
        </w:tabs>
        <w:spacing w:after="0" w:line="360" w:lineRule="auto"/>
        <w:ind w:left="860" w:right="560"/>
        <w:jc w:val="both"/>
        <w:rPr>
          <w:rFonts w:ascii="Palatino Linotype" w:eastAsia="Palatino Linotype" w:hAnsi="Palatino Linotype" w:cs="Palatino Linotype"/>
          <w:i/>
        </w:rPr>
      </w:pPr>
      <w:r w:rsidRPr="007B28C0">
        <w:rPr>
          <w:rFonts w:ascii="Palatino Linotype" w:eastAsia="Palatino Linotype" w:hAnsi="Palatino Linotype" w:cs="Palatino Linotype"/>
          <w:i/>
        </w:rPr>
        <w:t>Amparo en revisión 2022/61. José García Florín (Menor). 9 de octubre de 1961. Cinco votos. Ponente: José Rivera Pérez Campos.”</w:t>
      </w:r>
    </w:p>
    <w:p w14:paraId="60328D5E" w14:textId="77777777" w:rsidR="005C3A3A" w:rsidRPr="007B28C0" w:rsidRDefault="005C3A3A">
      <w:pPr>
        <w:spacing w:after="0" w:line="360" w:lineRule="auto"/>
        <w:ind w:left="860" w:right="560"/>
        <w:jc w:val="both"/>
        <w:rPr>
          <w:rFonts w:ascii="Times New Roman" w:eastAsia="Times New Roman" w:hAnsi="Times New Roman" w:cs="Times New Roman"/>
          <w:sz w:val="24"/>
          <w:szCs w:val="24"/>
        </w:rPr>
      </w:pPr>
    </w:p>
    <w:p w14:paraId="0E664863"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Además, y de conformidad con lo establecido en el artículo 12 de la Ley de Transparencia y Acceso a la Información Pública del Estado de México y Municipios, anteriormente invocado el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 xml:space="preserve"> sólo proporcionará la información que obra en sus archivos, lo que a</w:t>
      </w:r>
      <w:r w:rsidRPr="007B28C0">
        <w:rPr>
          <w:rFonts w:ascii="Palatino Linotype" w:eastAsia="Palatino Linotype" w:hAnsi="Palatino Linotype" w:cs="Palatino Linotype"/>
          <w:i/>
          <w:sz w:val="24"/>
          <w:szCs w:val="24"/>
        </w:rPr>
        <w:t xml:space="preserve"> contrario sensu</w:t>
      </w:r>
      <w:r w:rsidRPr="007B28C0">
        <w:rPr>
          <w:rFonts w:ascii="Palatino Linotype" w:eastAsia="Palatino Linotype" w:hAnsi="Palatino Linotype" w:cs="Palatino Linotype"/>
          <w:sz w:val="24"/>
          <w:szCs w:val="24"/>
        </w:rPr>
        <w:t xml:space="preserve"> significa que no se está obligado a proporcionar lo que no obre en sus archivos; motivo por el cual se colma el derecho de acceso a la información pública del particular en esta parte de la solicitud.</w:t>
      </w:r>
    </w:p>
    <w:p w14:paraId="04F3AD66"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134FD4B6"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No pasa desapercibido mencionar, que este Organismo Garante no está facultado para pronunciarse sobre</w:t>
      </w:r>
      <w:r w:rsidRPr="007B28C0">
        <w:rPr>
          <w:rFonts w:ascii="Times New Roman" w:eastAsia="Times New Roman" w:hAnsi="Times New Roman" w:cs="Times New Roman"/>
          <w:sz w:val="28"/>
          <w:szCs w:val="28"/>
        </w:rPr>
        <w:t xml:space="preserve"> </w:t>
      </w:r>
      <w:r w:rsidRPr="007B28C0">
        <w:rPr>
          <w:rFonts w:ascii="Palatino Linotype" w:eastAsia="Palatino Linotype" w:hAnsi="Palatino Linotype" w:cs="Palatino Linotype"/>
          <w:sz w:val="24"/>
          <w:szCs w:val="24"/>
        </w:rPr>
        <w:t>la veracidad de la información que los Sujetos Obligados de conformidad al criterio 31-10 emitido por el ahora Instituto Nacional de Transparencia, Acceso a la Información y Protección de Datos Personales, citado con antelación.</w:t>
      </w:r>
    </w:p>
    <w:p w14:paraId="789FF57F" w14:textId="77777777" w:rsidR="005C3A3A" w:rsidRPr="007B28C0" w:rsidRDefault="00BD07C9">
      <w:pPr>
        <w:spacing w:after="0" w:line="360" w:lineRule="auto"/>
        <w:jc w:val="both"/>
        <w:rPr>
          <w:rFonts w:ascii="Palatino Linotype" w:eastAsia="Palatino Linotype" w:hAnsi="Palatino Linotype" w:cs="Palatino Linotype"/>
          <w:i/>
        </w:rPr>
      </w:pPr>
      <w:r w:rsidRPr="007B28C0">
        <w:rPr>
          <w:rFonts w:ascii="Palatino Linotype" w:eastAsia="Palatino Linotype" w:hAnsi="Palatino Linotype" w:cs="Palatino Linotype"/>
          <w:sz w:val="24"/>
          <w:szCs w:val="24"/>
        </w:rPr>
        <w:lastRenderedPageBreak/>
        <w:t xml:space="preserve">Circunstancia por las que se tienen por colmados los puntos de la solicitud analizados.  </w:t>
      </w:r>
    </w:p>
    <w:tbl>
      <w:tblPr>
        <w:tblStyle w:val="ac"/>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410"/>
        <w:gridCol w:w="2409"/>
        <w:gridCol w:w="2268"/>
      </w:tblGrid>
      <w:tr w:rsidR="007B28C0" w:rsidRPr="007B28C0" w14:paraId="7879C14E" w14:textId="77777777">
        <w:tc>
          <w:tcPr>
            <w:tcW w:w="2100" w:type="dxa"/>
            <w:tcBorders>
              <w:top w:val="single" w:sz="4" w:space="0" w:color="000000"/>
              <w:left w:val="single" w:sz="4" w:space="0" w:color="000000"/>
              <w:bottom w:val="single" w:sz="4" w:space="0" w:color="000000"/>
              <w:right w:val="single" w:sz="4" w:space="0" w:color="000000"/>
            </w:tcBorders>
            <w:shd w:val="clear" w:color="auto" w:fill="AEAAAA"/>
          </w:tcPr>
          <w:p w14:paraId="2B9A0FDC"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Información requerida.</w:t>
            </w:r>
          </w:p>
        </w:tc>
        <w:tc>
          <w:tcPr>
            <w:tcW w:w="2410" w:type="dxa"/>
            <w:tcBorders>
              <w:top w:val="single" w:sz="4" w:space="0" w:color="000000"/>
              <w:left w:val="single" w:sz="4" w:space="0" w:color="000000"/>
              <w:bottom w:val="single" w:sz="4" w:space="0" w:color="000000"/>
              <w:right w:val="single" w:sz="4" w:space="0" w:color="000000"/>
            </w:tcBorders>
            <w:shd w:val="clear" w:color="auto" w:fill="AEAAAA"/>
          </w:tcPr>
          <w:p w14:paraId="505F352D"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Respuesta</w:t>
            </w:r>
          </w:p>
        </w:tc>
        <w:tc>
          <w:tcPr>
            <w:tcW w:w="2409" w:type="dxa"/>
            <w:tcBorders>
              <w:top w:val="single" w:sz="4" w:space="0" w:color="000000"/>
              <w:left w:val="single" w:sz="4" w:space="0" w:color="000000"/>
              <w:bottom w:val="single" w:sz="4" w:space="0" w:color="000000"/>
              <w:right w:val="single" w:sz="4" w:space="0" w:color="000000"/>
            </w:tcBorders>
            <w:shd w:val="clear" w:color="auto" w:fill="AEAAAA"/>
          </w:tcPr>
          <w:p w14:paraId="6F87D969"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Inconformidad</w:t>
            </w:r>
          </w:p>
        </w:tc>
        <w:tc>
          <w:tcPr>
            <w:tcW w:w="2268" w:type="dxa"/>
            <w:tcBorders>
              <w:top w:val="single" w:sz="4" w:space="0" w:color="000000"/>
              <w:left w:val="single" w:sz="4" w:space="0" w:color="000000"/>
              <w:bottom w:val="single" w:sz="4" w:space="0" w:color="000000"/>
              <w:right w:val="single" w:sz="4" w:space="0" w:color="000000"/>
            </w:tcBorders>
            <w:shd w:val="clear" w:color="auto" w:fill="AEAAAA"/>
          </w:tcPr>
          <w:p w14:paraId="49AC77B9"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Informe justificado.</w:t>
            </w:r>
          </w:p>
        </w:tc>
      </w:tr>
      <w:tr w:rsidR="007B28C0" w:rsidRPr="007B28C0" w14:paraId="4BF681E9"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71F9CA04"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6- Copia Simple y Certificada del expediente técnico soporte de la fusión de los predios 63, 64 y 65, manzana 12, de la calle retorno de perdiz, en el fraccionamiento Mayorazgos del Bosque, en el municipio de Atizapán de Zaragoza Estado de México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6C7DEE3"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El Subdirector de Planeación Territorial y Urbana señala que no obra en sus expedientes, ya que dicho trámite lo lleva a cabo la Secretaría de Desarrollo Urbano y Obra a través de la Dirección General de Operación y Control Urbano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CBE5F71"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Pretextan no tener las mismas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E6035A2"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 El Director General de Ordenamiento Territorial y Urbano no se cuenta con expedientes de los predios.</w:t>
            </w:r>
          </w:p>
        </w:tc>
      </w:tr>
    </w:tbl>
    <w:p w14:paraId="4AE29D70"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72BEAAB3"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primer lugar, es de recordar que se pronunció el Director General de Ordenamiento Territorial y Urbano, del cual se han citado sus atribuciones en los puntos que anteceden al presente, resultando oportuno citar la siguiente Reglamentación: </w:t>
      </w:r>
    </w:p>
    <w:p w14:paraId="17A78D24"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11DE5827" w14:textId="77777777" w:rsidR="005C3A3A" w:rsidRPr="007B28C0" w:rsidRDefault="00BD07C9">
      <w:pPr>
        <w:spacing w:after="0" w:line="360" w:lineRule="auto"/>
        <w:ind w:left="851" w:right="900"/>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REGLAMENTO INTERIOR DE LA SECRETARÍA DE DESARROLLO URBANO Y METROPOLITANO</w:t>
      </w:r>
    </w:p>
    <w:p w14:paraId="19E87AE1"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Artículo 12. Corresponde a la Dirección General de Operación y Control Urbano, las atribuciones siguientes:</w:t>
      </w:r>
    </w:p>
    <w:p w14:paraId="06BED1C0"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61815537" w14:textId="77777777" w:rsidR="005C3A3A" w:rsidRPr="007B28C0" w:rsidRDefault="00BD07C9">
      <w:pPr>
        <w:spacing w:after="0" w:line="276"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III. </w:t>
      </w:r>
      <w:r w:rsidRPr="007B28C0">
        <w:rPr>
          <w:rFonts w:ascii="Palatino Linotype" w:eastAsia="Palatino Linotype" w:hAnsi="Palatino Linotype" w:cs="Palatino Linotype"/>
          <w:b/>
          <w:i/>
          <w:u w:val="single"/>
        </w:rPr>
        <w:t>Aprobar los proyectos de lotificación de conjuntos urbanos y condominios;</w:t>
      </w:r>
    </w:p>
    <w:p w14:paraId="39AF0E1A" w14:textId="77777777" w:rsidR="005C3A3A" w:rsidRPr="007B28C0" w:rsidRDefault="00BD07C9">
      <w:pPr>
        <w:spacing w:after="0" w:line="276" w:lineRule="auto"/>
        <w:ind w:left="851" w:right="900"/>
        <w:jc w:val="both"/>
        <w:rPr>
          <w:rFonts w:ascii="Palatino Linotype" w:eastAsia="Palatino Linotype" w:hAnsi="Palatino Linotype" w:cs="Palatino Linotype"/>
          <w:b/>
          <w:i/>
          <w:u w:val="single"/>
        </w:rPr>
      </w:pPr>
      <w:r w:rsidRPr="007B28C0">
        <w:rPr>
          <w:rFonts w:ascii="Palatino Linotype" w:eastAsia="Palatino Linotype" w:hAnsi="Palatino Linotype" w:cs="Palatino Linotype"/>
          <w:i/>
        </w:rPr>
        <w:lastRenderedPageBreak/>
        <w:t>IV</w:t>
      </w:r>
      <w:r w:rsidRPr="007B28C0">
        <w:rPr>
          <w:rFonts w:ascii="Palatino Linotype" w:eastAsia="Palatino Linotype" w:hAnsi="Palatino Linotype" w:cs="Palatino Linotype"/>
          <w:b/>
          <w:i/>
          <w:u w:val="single"/>
        </w:rPr>
        <w:t xml:space="preserve">. Autorizar fusiones, subdivisiones y relotificaciones de predios, así como su modificación, subrogación del titular, revocación, extinción por renuncia de su titular, subrogación de derechos y obligaciones, </w:t>
      </w:r>
      <w:proofErr w:type="spellStart"/>
      <w:r w:rsidRPr="007B28C0">
        <w:rPr>
          <w:rFonts w:ascii="Palatino Linotype" w:eastAsia="Palatino Linotype" w:hAnsi="Palatino Linotype" w:cs="Palatino Linotype"/>
          <w:b/>
          <w:i/>
          <w:u w:val="single"/>
        </w:rPr>
        <w:t>causahabiencia</w:t>
      </w:r>
      <w:proofErr w:type="spellEnd"/>
      <w:r w:rsidRPr="007B28C0">
        <w:rPr>
          <w:rFonts w:ascii="Palatino Linotype" w:eastAsia="Palatino Linotype" w:hAnsi="Palatino Linotype" w:cs="Palatino Linotype"/>
          <w:b/>
          <w:i/>
          <w:u w:val="single"/>
        </w:rPr>
        <w:t>, o cualquier otro que sea necesario expedir en términos de las disposiciones jurídicas aplicables;</w:t>
      </w:r>
    </w:p>
    <w:p w14:paraId="0BBCBD3C" w14:textId="77777777" w:rsidR="005C3A3A" w:rsidRPr="007B28C0" w:rsidRDefault="005C3A3A">
      <w:pPr>
        <w:spacing w:after="0" w:line="360" w:lineRule="auto"/>
        <w:ind w:left="851" w:right="900"/>
        <w:jc w:val="both"/>
        <w:rPr>
          <w:rFonts w:ascii="Palatino Linotype" w:eastAsia="Palatino Linotype" w:hAnsi="Palatino Linotype" w:cs="Palatino Linotype"/>
          <w:b/>
          <w:i/>
          <w:u w:val="single"/>
        </w:rPr>
      </w:pPr>
    </w:p>
    <w:p w14:paraId="62B46CB4"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Por su parte la Dirección General de Operación y Control Urbano aprueba los proyectos de lotificación de conjuntos urbanos y condominio, además de autorizar </w:t>
      </w:r>
      <w:r w:rsidRPr="007B28C0">
        <w:rPr>
          <w:rFonts w:ascii="Palatino Linotype" w:eastAsia="Palatino Linotype" w:hAnsi="Palatino Linotype" w:cs="Palatino Linotype"/>
          <w:sz w:val="24"/>
          <w:szCs w:val="24"/>
          <w:u w:val="single"/>
        </w:rPr>
        <w:t>fusiones,</w:t>
      </w:r>
      <w:r w:rsidRPr="007B28C0">
        <w:rPr>
          <w:rFonts w:ascii="Palatino Linotype" w:eastAsia="Palatino Linotype" w:hAnsi="Palatino Linotype" w:cs="Palatino Linotype"/>
          <w:sz w:val="24"/>
          <w:szCs w:val="24"/>
        </w:rPr>
        <w:t xml:space="preserve"> subdivisiones y re lotificaciones </w:t>
      </w:r>
      <w:r w:rsidRPr="007B28C0">
        <w:rPr>
          <w:rFonts w:ascii="Palatino Linotype" w:eastAsia="Palatino Linotype" w:hAnsi="Palatino Linotype" w:cs="Palatino Linotype"/>
          <w:sz w:val="24"/>
          <w:szCs w:val="24"/>
          <w:u w:val="single"/>
        </w:rPr>
        <w:t>de predios</w:t>
      </w:r>
      <w:r w:rsidRPr="007B28C0">
        <w:rPr>
          <w:rFonts w:ascii="Palatino Linotype" w:eastAsia="Palatino Linotype" w:hAnsi="Palatino Linotype" w:cs="Palatino Linotype"/>
          <w:sz w:val="24"/>
          <w:szCs w:val="24"/>
        </w:rPr>
        <w:t xml:space="preserve">, así como su modificación, subrogación del titular, revocación, extinción por renuncia de su titular, subrogación de derechos y obligaciones, consecuentemente, se advierte que </w:t>
      </w:r>
      <w:r w:rsidRPr="007B28C0">
        <w:rPr>
          <w:rFonts w:ascii="Palatino Linotype" w:eastAsia="Palatino Linotype" w:hAnsi="Palatino Linotype" w:cs="Palatino Linotype"/>
          <w:b/>
          <w:sz w:val="24"/>
          <w:szCs w:val="24"/>
        </w:rPr>
        <w:t>EL</w:t>
      </w: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b/>
          <w:sz w:val="24"/>
          <w:szCs w:val="24"/>
        </w:rPr>
        <w:t xml:space="preserve">SUJETO OBLIGADO, </w:t>
      </w:r>
      <w:r w:rsidRPr="007B28C0">
        <w:rPr>
          <w:rFonts w:ascii="Palatino Linotype" w:eastAsia="Palatino Linotype" w:hAnsi="Palatino Linotype" w:cs="Palatino Linotype"/>
          <w:sz w:val="24"/>
          <w:szCs w:val="24"/>
        </w:rPr>
        <w:t xml:space="preserve">resulta incompetente para tener en sus archivos la información relativa a la fusión de predios señalada. </w:t>
      </w:r>
    </w:p>
    <w:p w14:paraId="3EBB214A"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2BF8DCF0" w14:textId="77777777" w:rsidR="005C3A3A" w:rsidRPr="007B28C0" w:rsidRDefault="00BD07C9">
      <w:pPr>
        <w:spacing w:after="0" w:line="360" w:lineRule="auto"/>
        <w:ind w:right="-147"/>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Lo que se robustece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fecha siete de abril de dos mil veintidós en el Periódico Oficial “Gaceta del Gobierno”, tal como se muestra a continuación: </w:t>
      </w:r>
    </w:p>
    <w:p w14:paraId="0540C0DA"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noProof/>
        </w:rPr>
        <w:drawing>
          <wp:inline distT="0" distB="0" distL="0" distR="0" wp14:anchorId="28928984" wp14:editId="18B267EB">
            <wp:extent cx="5779743" cy="359437"/>
            <wp:effectExtent l="0" t="0" r="0" b="0"/>
            <wp:docPr id="151" name="image1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2.png" descr="Texto&#10;&#10;Descripción generada automáticamente con confianza media"/>
                    <pic:cNvPicPr preferRelativeResize="0"/>
                  </pic:nvPicPr>
                  <pic:blipFill>
                    <a:blip r:embed="rId27"/>
                    <a:srcRect l="16803" t="59747" r="14969" b="32710"/>
                    <a:stretch>
                      <a:fillRect/>
                    </a:stretch>
                  </pic:blipFill>
                  <pic:spPr>
                    <a:xfrm>
                      <a:off x="0" y="0"/>
                      <a:ext cx="5779743" cy="359437"/>
                    </a:xfrm>
                    <a:prstGeom prst="rect">
                      <a:avLst/>
                    </a:prstGeom>
                    <a:ln/>
                  </pic:spPr>
                </pic:pic>
              </a:graphicData>
            </a:graphic>
          </wp:inline>
        </w:drawing>
      </w:r>
    </w:p>
    <w:p w14:paraId="2033209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noProof/>
        </w:rPr>
        <w:drawing>
          <wp:inline distT="0" distB="0" distL="0" distR="0" wp14:anchorId="0F49697B" wp14:editId="0E6055A0">
            <wp:extent cx="5715000" cy="571500"/>
            <wp:effectExtent l="0" t="0" r="0" b="0"/>
            <wp:docPr id="1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l="20876" t="32891" r="33299" b="58961"/>
                    <a:stretch>
                      <a:fillRect/>
                    </a:stretch>
                  </pic:blipFill>
                  <pic:spPr>
                    <a:xfrm>
                      <a:off x="0" y="0"/>
                      <a:ext cx="5715000" cy="571500"/>
                    </a:xfrm>
                    <a:prstGeom prst="rect">
                      <a:avLst/>
                    </a:prstGeom>
                    <a:ln/>
                  </pic:spPr>
                </pic:pic>
              </a:graphicData>
            </a:graphic>
          </wp:inline>
        </w:drawing>
      </w:r>
    </w:p>
    <w:p w14:paraId="64773ACB"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noProof/>
        </w:rPr>
        <w:lastRenderedPageBreak/>
        <w:drawing>
          <wp:inline distT="0" distB="0" distL="0" distR="0" wp14:anchorId="20C1889C" wp14:editId="3BA285F7">
            <wp:extent cx="5786216" cy="524254"/>
            <wp:effectExtent l="0" t="0" r="0" b="0"/>
            <wp:docPr id="1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l="4786" t="66084" r="44637" b="25768"/>
                    <a:stretch>
                      <a:fillRect/>
                    </a:stretch>
                  </pic:blipFill>
                  <pic:spPr>
                    <a:xfrm>
                      <a:off x="0" y="0"/>
                      <a:ext cx="5786216" cy="524254"/>
                    </a:xfrm>
                    <a:prstGeom prst="rect">
                      <a:avLst/>
                    </a:prstGeom>
                    <a:ln/>
                  </pic:spPr>
                </pic:pic>
              </a:graphicData>
            </a:graphic>
          </wp:inline>
        </w:drawing>
      </w:r>
    </w:p>
    <w:p w14:paraId="4D175F14"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noProof/>
        </w:rPr>
        <w:drawing>
          <wp:inline distT="0" distB="0" distL="0" distR="0" wp14:anchorId="64FA1E88" wp14:editId="6A724462">
            <wp:extent cx="5984803" cy="464337"/>
            <wp:effectExtent l="0" t="0" r="0" b="0"/>
            <wp:docPr id="1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l="12049" t="55220" r="28886" b="36633"/>
                    <a:stretch>
                      <a:fillRect/>
                    </a:stretch>
                  </pic:blipFill>
                  <pic:spPr>
                    <a:xfrm>
                      <a:off x="0" y="0"/>
                      <a:ext cx="5984803" cy="464337"/>
                    </a:xfrm>
                    <a:prstGeom prst="rect">
                      <a:avLst/>
                    </a:prstGeom>
                    <a:ln/>
                  </pic:spPr>
                </pic:pic>
              </a:graphicData>
            </a:graphic>
          </wp:inline>
        </w:drawing>
      </w:r>
    </w:p>
    <w:p w14:paraId="14A75A3C" w14:textId="77777777" w:rsidR="005C3A3A" w:rsidRPr="007B28C0" w:rsidRDefault="00BD07C9">
      <w:pPr>
        <w:spacing w:after="0" w:line="360" w:lineRule="auto"/>
        <w:ind w:right="-147"/>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Conforme a lo anterior, se advierte que </w:t>
      </w:r>
      <w:r w:rsidRPr="007B28C0">
        <w:rPr>
          <w:rFonts w:ascii="Palatino Linotype" w:eastAsia="Palatino Linotype" w:hAnsi="Palatino Linotype" w:cs="Palatino Linotype"/>
          <w:b/>
          <w:sz w:val="24"/>
          <w:szCs w:val="24"/>
        </w:rPr>
        <w:t>EL</w:t>
      </w: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 xml:space="preserve"> no tiene atribuciones para contar con la información peticionada, toda vez que es información de un sujeto obligado diverso es decir a la Secretaría de Desarrollo Urbano y Obra. </w:t>
      </w:r>
    </w:p>
    <w:p w14:paraId="733D6CB6" w14:textId="77777777" w:rsidR="005C3A3A" w:rsidRPr="007B28C0" w:rsidRDefault="005C3A3A">
      <w:pPr>
        <w:spacing w:after="0" w:line="360" w:lineRule="auto"/>
        <w:ind w:right="-147"/>
        <w:jc w:val="both"/>
        <w:rPr>
          <w:rFonts w:ascii="Palatino Linotype" w:eastAsia="Palatino Linotype" w:hAnsi="Palatino Linotype" w:cs="Palatino Linotype"/>
          <w:sz w:val="24"/>
          <w:szCs w:val="24"/>
        </w:rPr>
      </w:pPr>
    </w:p>
    <w:p w14:paraId="168075C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Resultando aplicable el criterio 13/17 emitido por el Pleno del Instituto Nacional de Transparencia, Acceso a la Información y Protección de Datos Personales, el cual, para pronta referencia se reproduce a continuación:</w:t>
      </w:r>
    </w:p>
    <w:p w14:paraId="59344B0F" w14:textId="77777777" w:rsidR="005C3A3A" w:rsidRPr="007B28C0" w:rsidRDefault="005C3A3A">
      <w:pPr>
        <w:spacing w:after="0" w:line="360" w:lineRule="auto"/>
        <w:jc w:val="both"/>
        <w:rPr>
          <w:rFonts w:ascii="Palatino Linotype" w:eastAsia="Palatino Linotype" w:hAnsi="Palatino Linotype" w:cs="Palatino Linotype"/>
        </w:rPr>
      </w:pPr>
    </w:p>
    <w:p w14:paraId="46305584"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“Incompetencia.</w:t>
      </w:r>
      <w:r w:rsidRPr="007B28C0">
        <w:rPr>
          <w:rFonts w:ascii="Palatino Linotype" w:eastAsia="Palatino Linotype" w:hAnsi="Palatino Linotype" w:cs="Palatino Linotype"/>
          <w:i/>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474D8557" w14:textId="77777777" w:rsidR="005C3A3A" w:rsidRPr="007B28C0" w:rsidRDefault="005C3A3A">
      <w:pPr>
        <w:widowControl w:val="0"/>
        <w:tabs>
          <w:tab w:val="left" w:pos="1276"/>
        </w:tabs>
        <w:spacing w:after="0" w:line="360" w:lineRule="auto"/>
        <w:jc w:val="both"/>
        <w:rPr>
          <w:rFonts w:ascii="Palatino Linotype" w:eastAsia="Palatino Linotype" w:hAnsi="Palatino Linotype" w:cs="Palatino Linotype"/>
          <w:sz w:val="28"/>
          <w:szCs w:val="28"/>
        </w:rPr>
      </w:pPr>
    </w:p>
    <w:p w14:paraId="04013306"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tal virtud, la </w:t>
      </w:r>
      <w:r w:rsidRPr="007B28C0">
        <w:rPr>
          <w:rFonts w:ascii="Palatino Linotype" w:eastAsia="Palatino Linotype" w:hAnsi="Palatino Linotype" w:cs="Palatino Linotype"/>
          <w:b/>
          <w:sz w:val="24"/>
          <w:szCs w:val="24"/>
        </w:rPr>
        <w:t xml:space="preserve">incompetencia </w:t>
      </w:r>
      <w:r w:rsidRPr="007B28C0">
        <w:rPr>
          <w:rFonts w:ascii="Palatino Linotype" w:eastAsia="Palatino Linotype" w:hAnsi="Palatino Linotype" w:cs="Palatino Linotype"/>
          <w:sz w:val="24"/>
          <w:szCs w:val="24"/>
        </w:rPr>
        <w:t>implica que, de conformidad con las atribuciones conferidas al sujeto obligado, no habría razón por la cual este deba contar con la información solicitada, en cuyo caso, tendría que orientar al particular para que acuda a la instancia competente.</w:t>
      </w:r>
    </w:p>
    <w:p w14:paraId="3D0F2D8B"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A530876" w14:textId="77777777" w:rsidR="005C3A3A" w:rsidRPr="007B28C0" w:rsidRDefault="00BD07C9">
      <w:pPr>
        <w:tabs>
          <w:tab w:val="left" w:pos="142"/>
          <w:tab w:val="left" w:pos="284"/>
        </w:tabs>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Ahora bien, en cuanto hace a la Declaración de Incompetencia la Ley de Transparencia y Acceso a la Información Pública del Estado de México, establece, en los artículos 49, fracción II y 167, lo siguiente: </w:t>
      </w:r>
    </w:p>
    <w:p w14:paraId="2E785DFA" w14:textId="77777777" w:rsidR="005C3A3A" w:rsidRPr="007B28C0" w:rsidRDefault="005C3A3A">
      <w:pPr>
        <w:tabs>
          <w:tab w:val="left" w:pos="142"/>
          <w:tab w:val="left" w:pos="284"/>
        </w:tabs>
        <w:spacing w:line="360" w:lineRule="auto"/>
        <w:jc w:val="both"/>
        <w:rPr>
          <w:rFonts w:ascii="Palatino Linotype" w:eastAsia="Palatino Linotype" w:hAnsi="Palatino Linotype" w:cs="Palatino Linotype"/>
        </w:rPr>
      </w:pPr>
    </w:p>
    <w:p w14:paraId="5ABA01C2"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 “</w:t>
      </w:r>
      <w:r w:rsidRPr="007B28C0">
        <w:rPr>
          <w:rFonts w:ascii="Palatino Linotype" w:eastAsia="Palatino Linotype" w:hAnsi="Palatino Linotype" w:cs="Palatino Linotype"/>
          <w:b/>
          <w:i/>
        </w:rPr>
        <w:t>Artículo 49.</w:t>
      </w:r>
      <w:r w:rsidRPr="007B28C0">
        <w:rPr>
          <w:rFonts w:ascii="Palatino Linotype" w:eastAsia="Palatino Linotype" w:hAnsi="Palatino Linotype" w:cs="Palatino Linotype"/>
          <w:i/>
        </w:rPr>
        <w:t xml:space="preserve"> </w:t>
      </w:r>
      <w:r w:rsidRPr="007B28C0">
        <w:rPr>
          <w:rFonts w:ascii="Palatino Linotype" w:eastAsia="Palatino Linotype" w:hAnsi="Palatino Linotype" w:cs="Palatino Linotype"/>
          <w:b/>
          <w:i/>
        </w:rPr>
        <w:t>Los Comités de Transparencia</w:t>
      </w:r>
      <w:r w:rsidRPr="007B28C0">
        <w:rPr>
          <w:rFonts w:ascii="Palatino Linotype" w:eastAsia="Palatino Linotype" w:hAnsi="Palatino Linotype" w:cs="Palatino Linotype"/>
          <w:i/>
        </w:rPr>
        <w:t xml:space="preserve"> tendrán las siguientes atribuciones:</w:t>
      </w:r>
    </w:p>
    <w:p w14:paraId="2CE24353"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w:t>
      </w:r>
    </w:p>
    <w:p w14:paraId="7F3D8471"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II.</w:t>
      </w:r>
      <w:r w:rsidRPr="007B28C0">
        <w:t xml:space="preserve"> </w:t>
      </w:r>
      <w:r w:rsidRPr="007B28C0">
        <w:rPr>
          <w:rFonts w:ascii="Palatino Linotype" w:eastAsia="Palatino Linotype" w:hAnsi="Palatino Linotype" w:cs="Palatino Linotype"/>
          <w:b/>
          <w:i/>
        </w:rPr>
        <w:t>Confirmar, modificar o revocar</w:t>
      </w:r>
      <w:r w:rsidRPr="007B28C0">
        <w:rPr>
          <w:rFonts w:ascii="Palatino Linotype" w:eastAsia="Palatino Linotype" w:hAnsi="Palatino Linotype" w:cs="Palatino Linotype"/>
          <w:i/>
        </w:rPr>
        <w:t xml:space="preserve"> las determinaciones que en materia de ampliación del plazo de respuesta, clasificación de la información </w:t>
      </w:r>
      <w:r w:rsidRPr="007B28C0">
        <w:rPr>
          <w:rFonts w:ascii="Palatino Linotype" w:eastAsia="Palatino Linotype" w:hAnsi="Palatino Linotype" w:cs="Palatino Linotype"/>
          <w:b/>
          <w:i/>
        </w:rPr>
        <w:t>y declaración</w:t>
      </w:r>
      <w:r w:rsidRPr="007B28C0">
        <w:rPr>
          <w:rFonts w:ascii="Palatino Linotype" w:eastAsia="Palatino Linotype" w:hAnsi="Palatino Linotype" w:cs="Palatino Linotype"/>
          <w:i/>
        </w:rPr>
        <w:t xml:space="preserve"> de inexistencia o </w:t>
      </w:r>
      <w:r w:rsidRPr="007B28C0">
        <w:rPr>
          <w:rFonts w:ascii="Palatino Linotype" w:eastAsia="Palatino Linotype" w:hAnsi="Palatino Linotype" w:cs="Palatino Linotype"/>
          <w:b/>
          <w:i/>
        </w:rPr>
        <w:t>de incompetencia realicen los titulares de las áreas de los sujetos obligados;</w:t>
      </w:r>
    </w:p>
    <w:p w14:paraId="760ED337"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w:t>
      </w:r>
    </w:p>
    <w:p w14:paraId="31C9E209"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Artículo 167</w:t>
      </w:r>
      <w:r w:rsidRPr="007B28C0">
        <w:rPr>
          <w:rFonts w:ascii="Palatino Linotype" w:eastAsia="Palatino Linotype" w:hAnsi="Palatino Linotype" w:cs="Palatino Linotype"/>
          <w:i/>
        </w:rPr>
        <w:t xml:space="preserve">. </w:t>
      </w:r>
      <w:r w:rsidRPr="007B28C0">
        <w:rPr>
          <w:rFonts w:ascii="Palatino Linotype" w:eastAsia="Palatino Linotype" w:hAnsi="Palatino Linotype" w:cs="Palatino Linotype"/>
          <w:b/>
          <w:i/>
        </w:rPr>
        <w:t>Cuando las unidades de transparencia determinen la notoria incompetencia</w:t>
      </w:r>
      <w:r w:rsidRPr="007B28C0">
        <w:rPr>
          <w:rFonts w:ascii="Palatino Linotype" w:eastAsia="Palatino Linotype" w:hAnsi="Palatino Linotype" w:cs="Palatino Linotype"/>
          <w:i/>
        </w:rPr>
        <w:t xml:space="preserve"> por parte de los sujetos obligados, dentro del ámbito de aplicación, para atender la solicitud de acceso a la información, </w:t>
      </w:r>
      <w:r w:rsidRPr="007B28C0">
        <w:rPr>
          <w:rFonts w:ascii="Palatino Linotype" w:eastAsia="Palatino Linotype" w:hAnsi="Palatino Linotype" w:cs="Palatino Linotype"/>
          <w:b/>
          <w:i/>
        </w:rPr>
        <w:t>deberán comunicarlo al solicitante, dentro de los tres días hábiles posteriores a la recepción de la solicitud</w:t>
      </w:r>
      <w:r w:rsidRPr="007B28C0">
        <w:rPr>
          <w:rFonts w:ascii="Palatino Linotype" w:eastAsia="Palatino Linotype" w:hAnsi="Palatino Linotype" w:cs="Palatino Linotype"/>
          <w:i/>
        </w:rPr>
        <w:t xml:space="preserve"> y, </w:t>
      </w:r>
      <w:r w:rsidRPr="007B28C0">
        <w:rPr>
          <w:rFonts w:ascii="Palatino Linotype" w:eastAsia="Palatino Linotype" w:hAnsi="Palatino Linotype" w:cs="Palatino Linotype"/>
          <w:b/>
          <w:i/>
        </w:rPr>
        <w:t>en su caso orientar al solicitante, el o los sujetos obligados competentes.</w:t>
      </w:r>
    </w:p>
    <w:p w14:paraId="28F15341" w14:textId="77777777" w:rsidR="005C3A3A" w:rsidRPr="007B28C0" w:rsidRDefault="005C3A3A">
      <w:pPr>
        <w:tabs>
          <w:tab w:val="left" w:pos="142"/>
          <w:tab w:val="left" w:pos="284"/>
        </w:tabs>
        <w:spacing w:after="0" w:line="360" w:lineRule="auto"/>
        <w:ind w:left="567" w:right="990"/>
        <w:jc w:val="both"/>
        <w:rPr>
          <w:rFonts w:ascii="Palatino Linotype" w:eastAsia="Palatino Linotype" w:hAnsi="Palatino Linotype" w:cs="Palatino Linotype"/>
          <w:b/>
          <w:i/>
          <w:sz w:val="24"/>
          <w:szCs w:val="24"/>
        </w:rPr>
      </w:pPr>
    </w:p>
    <w:p w14:paraId="4D13B23D" w14:textId="77777777" w:rsidR="005C3A3A" w:rsidRPr="007B28C0" w:rsidRDefault="00BD07C9">
      <w:pPr>
        <w:tabs>
          <w:tab w:val="left" w:pos="142"/>
          <w:tab w:val="left" w:pos="284"/>
        </w:tabs>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posteriores a la recepción de la solicitud y, en su caso, orientar al solicitante respecto de los sujetos obligados competentes. </w:t>
      </w:r>
    </w:p>
    <w:p w14:paraId="07A9AEE5" w14:textId="77777777" w:rsidR="005C3A3A" w:rsidRPr="007B28C0" w:rsidRDefault="005C3A3A">
      <w:pPr>
        <w:tabs>
          <w:tab w:val="left" w:pos="142"/>
          <w:tab w:val="left" w:pos="284"/>
        </w:tabs>
        <w:spacing w:after="0" w:line="360" w:lineRule="auto"/>
        <w:jc w:val="both"/>
        <w:rPr>
          <w:rFonts w:ascii="Palatino Linotype" w:eastAsia="Palatino Linotype" w:hAnsi="Palatino Linotype" w:cs="Palatino Linotype"/>
          <w:sz w:val="24"/>
          <w:szCs w:val="24"/>
        </w:rPr>
      </w:pPr>
    </w:p>
    <w:p w14:paraId="13A74DC7" w14:textId="77777777" w:rsidR="005C3A3A" w:rsidRPr="007B28C0" w:rsidRDefault="00BD07C9">
      <w:pPr>
        <w:spacing w:after="0" w:line="360" w:lineRule="auto"/>
        <w:ind w:right="18"/>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Como sustento de lo anterior, resulta aplicable el Criterio 20/20, emitido por el Instituto Nacional de Transparencia, Acceso a la Información, y Protección de Datos Personales, INAI, que lleva por rubro y texto los siguientes:  </w:t>
      </w:r>
    </w:p>
    <w:p w14:paraId="145F82D1" w14:textId="77777777" w:rsidR="005C3A3A" w:rsidRPr="007B28C0" w:rsidRDefault="005C3A3A">
      <w:pPr>
        <w:spacing w:after="0" w:line="360" w:lineRule="auto"/>
        <w:ind w:left="851" w:right="900"/>
        <w:jc w:val="both"/>
        <w:rPr>
          <w:rFonts w:ascii="Palatino Linotype" w:eastAsia="Palatino Linotype" w:hAnsi="Palatino Linotype" w:cs="Palatino Linotype"/>
          <w:b/>
          <w:i/>
        </w:rPr>
      </w:pPr>
    </w:p>
    <w:p w14:paraId="2F2A5642" w14:textId="77777777" w:rsidR="005C3A3A" w:rsidRPr="007B28C0" w:rsidRDefault="00BD07C9">
      <w:pPr>
        <w:spacing w:after="0" w:line="276" w:lineRule="auto"/>
        <w:ind w:left="567"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“Declaración de incompetencia por parte del Comité, cuando no sea notoria o manifiesta.</w:t>
      </w:r>
      <w:r w:rsidRPr="007B28C0">
        <w:rPr>
          <w:rFonts w:ascii="Palatino Linotype" w:eastAsia="Palatino Linotype" w:hAnsi="Palatino Linotype" w:cs="Palatino Linotype"/>
          <w:i/>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063BDCA6" w14:textId="77777777" w:rsidR="005C3A3A" w:rsidRPr="007B28C0" w:rsidRDefault="005C3A3A">
      <w:pPr>
        <w:spacing w:line="276" w:lineRule="auto"/>
        <w:ind w:left="567" w:right="900"/>
        <w:jc w:val="both"/>
        <w:rPr>
          <w:rFonts w:ascii="Palatino Linotype" w:eastAsia="Palatino Linotype" w:hAnsi="Palatino Linotype" w:cs="Palatino Linotype"/>
          <w:i/>
        </w:rPr>
      </w:pPr>
    </w:p>
    <w:p w14:paraId="418C8866" w14:textId="77777777" w:rsidR="005C3A3A" w:rsidRPr="007B28C0" w:rsidRDefault="00BD07C9">
      <w:pPr>
        <w:tabs>
          <w:tab w:val="left" w:pos="142"/>
          <w:tab w:val="left" w:pos="284"/>
        </w:tabs>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7B28C0">
        <w:rPr>
          <w:rFonts w:ascii="Palatino Linotype" w:eastAsia="Palatino Linotype" w:hAnsi="Palatino Linotype" w:cs="Palatino Linotype"/>
          <w:b/>
          <w:sz w:val="24"/>
          <w:szCs w:val="24"/>
        </w:rPr>
        <w:t xml:space="preserve"> </w:t>
      </w:r>
      <w:r w:rsidRPr="007B28C0">
        <w:rPr>
          <w:rFonts w:ascii="Palatino Linotype" w:eastAsia="Palatino Linotype" w:hAnsi="Palatino Linotype" w:cs="Palatino Linotype"/>
          <w:sz w:val="24"/>
          <w:szCs w:val="24"/>
        </w:rPr>
        <w:t>duda razonable sobre la administración del documento materia de la solicitud de información, como se lee enseguida:</w:t>
      </w:r>
    </w:p>
    <w:p w14:paraId="47597E75" w14:textId="77777777" w:rsidR="005C3A3A" w:rsidRPr="007B28C0" w:rsidRDefault="005C3A3A">
      <w:pPr>
        <w:spacing w:after="0" w:line="276" w:lineRule="auto"/>
        <w:ind w:left="851" w:right="900"/>
        <w:jc w:val="both"/>
        <w:rPr>
          <w:rFonts w:ascii="Palatino Linotype" w:eastAsia="Palatino Linotype" w:hAnsi="Palatino Linotype" w:cs="Palatino Linotype"/>
          <w:b/>
          <w:i/>
        </w:rPr>
      </w:pPr>
    </w:p>
    <w:p w14:paraId="4F551A55" w14:textId="77777777" w:rsidR="005C3A3A" w:rsidRPr="007B28C0" w:rsidRDefault="00BD07C9">
      <w:pPr>
        <w:spacing w:after="0" w:line="276" w:lineRule="auto"/>
        <w:ind w:left="567" w:right="845"/>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“DECLARATORIA DE INCOMPETENCIA DEL SUJETO OBLIGADO. SUPUESTO PARA CONFIRMARLA POR ACUERDO DEL COMITÉ DE TRANSPARENCIA. </w:t>
      </w:r>
      <w:r w:rsidRPr="007B28C0">
        <w:rPr>
          <w:rFonts w:ascii="Palatino Linotype" w:eastAsia="Palatino Linotype" w:hAnsi="Palatino Linotype" w:cs="Palatino Linotype"/>
          <w:i/>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7B28C0">
        <w:rPr>
          <w:rFonts w:ascii="Palatino Linotype" w:eastAsia="Palatino Linotype" w:hAnsi="Palatino Linotype" w:cs="Palatino Linotype"/>
          <w:b/>
          <w:i/>
        </w:rPr>
        <w:t xml:space="preserve">al ejercer el derecho de acceso a la información pública cabe la posibilidad de que existan atribuciones concurrentes entre dos o más Sujetos Obligados que </w:t>
      </w:r>
      <w:r w:rsidRPr="007B28C0">
        <w:rPr>
          <w:rFonts w:ascii="Palatino Linotype" w:eastAsia="Palatino Linotype" w:hAnsi="Palatino Linotype" w:cs="Palatino Linotype"/>
          <w:b/>
          <w:i/>
          <w:u w:val="single"/>
        </w:rPr>
        <w:t xml:space="preserve">impiden determinar dentro del término legal de tres </w:t>
      </w:r>
      <w:r w:rsidRPr="007B28C0">
        <w:rPr>
          <w:rFonts w:ascii="Palatino Linotype" w:eastAsia="Palatino Linotype" w:hAnsi="Palatino Linotype" w:cs="Palatino Linotype"/>
          <w:b/>
          <w:i/>
          <w:u w:val="single"/>
        </w:rPr>
        <w:lastRenderedPageBreak/>
        <w:t>días hábiles</w:t>
      </w:r>
      <w:r w:rsidRPr="007B28C0">
        <w:rPr>
          <w:rFonts w:ascii="Palatino Linotype" w:eastAsia="Palatino Linotype" w:hAnsi="Palatino Linotype" w:cs="Palatino Linotype"/>
          <w:b/>
          <w:i/>
        </w:rPr>
        <w:t>, si se posee o no la información por el Sujeto Obligado requerid</w:t>
      </w:r>
      <w:r w:rsidRPr="007B28C0">
        <w:rPr>
          <w:rFonts w:ascii="Palatino Linotype" w:eastAsia="Palatino Linotype" w:hAnsi="Palatino Linotype" w:cs="Palatino Linotype"/>
          <w:i/>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0EE001D4" w14:textId="77777777" w:rsidR="005C3A3A" w:rsidRPr="007B28C0" w:rsidRDefault="005C3A3A">
      <w:pPr>
        <w:spacing w:after="0" w:line="360" w:lineRule="auto"/>
        <w:jc w:val="both"/>
        <w:rPr>
          <w:rFonts w:ascii="Palatino Linotype" w:eastAsia="Palatino Linotype" w:hAnsi="Palatino Linotype" w:cs="Palatino Linotype"/>
        </w:rPr>
      </w:pPr>
    </w:p>
    <w:p w14:paraId="42B2D86A" w14:textId="77777777" w:rsidR="005C3A3A" w:rsidRPr="007B28C0" w:rsidRDefault="00BD07C9">
      <w:pPr>
        <w:spacing w:after="0" w:line="360" w:lineRule="auto"/>
        <w:jc w:val="both"/>
        <w:rPr>
          <w:rFonts w:ascii="Palatino Linotype" w:eastAsia="Palatino Linotype" w:hAnsi="Palatino Linotype" w:cs="Palatino Linotype"/>
          <w:b/>
          <w:sz w:val="24"/>
          <w:szCs w:val="24"/>
          <w:u w:val="single"/>
        </w:rPr>
      </w:pPr>
      <w:r w:rsidRPr="007B28C0">
        <w:rPr>
          <w:rFonts w:ascii="Palatino Linotype" w:eastAsia="Palatino Linotype" w:hAnsi="Palatino Linotype" w:cs="Palatino Linotype"/>
          <w:sz w:val="24"/>
          <w:szCs w:val="24"/>
        </w:rPr>
        <w:t xml:space="preserve">En lo que respecta al presente asunto, se advierte que la solicitud de información fue presentada en fecha </w:t>
      </w:r>
      <w:r w:rsidRPr="007B28C0">
        <w:rPr>
          <w:rFonts w:ascii="Palatino Linotype" w:eastAsia="Palatino Linotype" w:hAnsi="Palatino Linotype" w:cs="Palatino Linotype"/>
          <w:b/>
          <w:sz w:val="24"/>
          <w:szCs w:val="24"/>
        </w:rPr>
        <w:t>once de octubre de dos mil veintidós</w:t>
      </w:r>
      <w:r w:rsidRPr="007B28C0">
        <w:rPr>
          <w:rFonts w:ascii="Palatino Linotype" w:eastAsia="Palatino Linotype" w:hAnsi="Palatino Linotype" w:cs="Palatino Linotype"/>
          <w:sz w:val="24"/>
          <w:szCs w:val="24"/>
        </w:rPr>
        <w:t xml:space="preserve"> y </w:t>
      </w: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 xml:space="preserve"> declinó su competencia el </w:t>
      </w:r>
      <w:r w:rsidRPr="007B28C0">
        <w:rPr>
          <w:rFonts w:ascii="Palatino Linotype" w:eastAsia="Palatino Linotype" w:hAnsi="Palatino Linotype" w:cs="Palatino Linotype"/>
          <w:b/>
          <w:sz w:val="24"/>
          <w:szCs w:val="24"/>
        </w:rPr>
        <w:t>once de noviembre</w:t>
      </w: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b/>
          <w:sz w:val="24"/>
          <w:szCs w:val="24"/>
        </w:rPr>
        <w:t>del dos mil veintidós</w:t>
      </w:r>
      <w:r w:rsidRPr="007B28C0">
        <w:rPr>
          <w:rFonts w:ascii="Palatino Linotype" w:eastAsia="Palatino Linotype" w:hAnsi="Palatino Linotype" w:cs="Palatino Linotype"/>
          <w:sz w:val="24"/>
          <w:szCs w:val="24"/>
        </w:rPr>
        <w:t xml:space="preserve">, es decir, al vigésimo segundo día siguiente a la fecha de presentación de la solicitud de información, es por lo que, </w:t>
      </w:r>
      <w:r w:rsidRPr="007B28C0">
        <w:rPr>
          <w:rFonts w:ascii="Palatino Linotype" w:eastAsia="Palatino Linotype" w:hAnsi="Palatino Linotype" w:cs="Palatino Linotype"/>
          <w:b/>
          <w:sz w:val="24"/>
          <w:szCs w:val="24"/>
          <w:u w:val="single"/>
        </w:rPr>
        <w:t>al no haber cumplido con el plazo de tres días</w:t>
      </w:r>
      <w:r w:rsidRPr="007B28C0">
        <w:rPr>
          <w:rFonts w:ascii="Palatino Linotype" w:eastAsia="Palatino Linotype" w:hAnsi="Palatino Linotype" w:cs="Palatino Linotype"/>
          <w:sz w:val="24"/>
          <w:szCs w:val="24"/>
        </w:rPr>
        <w:t xml:space="preserve"> que otorga la Ley en la materia para señalar su falta de atribuciones, competencias y funciones para generar y administrar lo solicitado, </w:t>
      </w:r>
      <w:r w:rsidRPr="007B28C0">
        <w:rPr>
          <w:rFonts w:ascii="Palatino Linotype" w:eastAsia="Palatino Linotype" w:hAnsi="Palatino Linotype" w:cs="Palatino Linotype"/>
          <w:b/>
          <w:sz w:val="24"/>
          <w:szCs w:val="24"/>
          <w:u w:val="single"/>
        </w:rPr>
        <w:t xml:space="preserve">resulta procedente ordenar una declaratoria formal de incompetencia. </w:t>
      </w:r>
    </w:p>
    <w:p w14:paraId="62252F66" w14:textId="77777777" w:rsidR="005C3A3A" w:rsidRPr="007B28C0" w:rsidRDefault="005C3A3A">
      <w:pPr>
        <w:spacing w:after="0" w:line="360" w:lineRule="auto"/>
        <w:jc w:val="both"/>
        <w:rPr>
          <w:rFonts w:ascii="Palatino Linotype" w:eastAsia="Palatino Linotype" w:hAnsi="Palatino Linotype" w:cs="Palatino Linotype"/>
          <w:b/>
          <w:sz w:val="24"/>
          <w:szCs w:val="24"/>
          <w:u w:val="single"/>
        </w:rPr>
      </w:pPr>
    </w:p>
    <w:p w14:paraId="4798548A"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Por lo anterior se determina ordenar el acuerdo mediante el cual se confirme la incompetencia declarada por el Subdirector de Planeación Territorial y Urbana, </w:t>
      </w:r>
      <w:r w:rsidRPr="007B28C0">
        <w:rPr>
          <w:rFonts w:ascii="Palatino Linotype" w:eastAsia="Palatino Linotype" w:hAnsi="Palatino Linotype" w:cs="Palatino Linotype"/>
          <w:sz w:val="24"/>
          <w:szCs w:val="24"/>
        </w:rPr>
        <w:lastRenderedPageBreak/>
        <w:t xml:space="preserve">respecto a este punto de la solicitud de información presentada por </w:t>
      </w:r>
      <w:r w:rsidRPr="007B28C0">
        <w:rPr>
          <w:rFonts w:ascii="Palatino Linotype" w:eastAsia="Palatino Linotype" w:hAnsi="Palatino Linotype" w:cs="Palatino Linotype"/>
          <w:b/>
          <w:sz w:val="24"/>
          <w:szCs w:val="24"/>
        </w:rPr>
        <w:t>LA PARTE RECURRENTE</w:t>
      </w:r>
      <w:r w:rsidRPr="007B28C0">
        <w:rPr>
          <w:rFonts w:ascii="Palatino Linotype" w:eastAsia="Palatino Linotype" w:hAnsi="Palatino Linotype" w:cs="Palatino Linotype"/>
          <w:sz w:val="24"/>
          <w:szCs w:val="24"/>
        </w:rPr>
        <w:t xml:space="preserve">. </w:t>
      </w:r>
    </w:p>
    <w:p w14:paraId="39F00EF8" w14:textId="77777777" w:rsidR="005C3A3A" w:rsidRPr="007B28C0" w:rsidRDefault="005C3A3A">
      <w:pPr>
        <w:spacing w:after="0" w:line="360" w:lineRule="auto"/>
        <w:jc w:val="both"/>
        <w:rPr>
          <w:rFonts w:ascii="Palatino Linotype" w:eastAsia="Palatino Linotype" w:hAnsi="Palatino Linotype" w:cs="Palatino Linotype"/>
          <w:sz w:val="24"/>
          <w:szCs w:val="24"/>
        </w:rPr>
      </w:pPr>
    </w:p>
    <w:tbl>
      <w:tblPr>
        <w:tblStyle w:val="ad"/>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410"/>
        <w:gridCol w:w="2409"/>
        <w:gridCol w:w="2268"/>
      </w:tblGrid>
      <w:tr w:rsidR="007B28C0" w:rsidRPr="007B28C0" w14:paraId="759A5AC7" w14:textId="77777777">
        <w:tc>
          <w:tcPr>
            <w:tcW w:w="2100" w:type="dxa"/>
            <w:tcBorders>
              <w:top w:val="single" w:sz="4" w:space="0" w:color="000000"/>
              <w:left w:val="single" w:sz="4" w:space="0" w:color="000000"/>
              <w:bottom w:val="single" w:sz="4" w:space="0" w:color="000000"/>
              <w:right w:val="single" w:sz="4" w:space="0" w:color="000000"/>
            </w:tcBorders>
            <w:shd w:val="clear" w:color="auto" w:fill="AEAAAA"/>
          </w:tcPr>
          <w:p w14:paraId="497B1BF5"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Información requerida.</w:t>
            </w:r>
          </w:p>
        </w:tc>
        <w:tc>
          <w:tcPr>
            <w:tcW w:w="2410" w:type="dxa"/>
            <w:tcBorders>
              <w:top w:val="single" w:sz="4" w:space="0" w:color="000000"/>
              <w:left w:val="single" w:sz="4" w:space="0" w:color="000000"/>
              <w:bottom w:val="single" w:sz="4" w:space="0" w:color="000000"/>
              <w:right w:val="single" w:sz="4" w:space="0" w:color="000000"/>
            </w:tcBorders>
            <w:shd w:val="clear" w:color="auto" w:fill="AEAAAA"/>
          </w:tcPr>
          <w:p w14:paraId="12EC5402"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Respuesta</w:t>
            </w:r>
          </w:p>
        </w:tc>
        <w:tc>
          <w:tcPr>
            <w:tcW w:w="2409" w:type="dxa"/>
            <w:tcBorders>
              <w:top w:val="single" w:sz="4" w:space="0" w:color="000000"/>
              <w:left w:val="single" w:sz="4" w:space="0" w:color="000000"/>
              <w:bottom w:val="single" w:sz="4" w:space="0" w:color="000000"/>
              <w:right w:val="single" w:sz="4" w:space="0" w:color="000000"/>
            </w:tcBorders>
            <w:shd w:val="clear" w:color="auto" w:fill="AEAAAA"/>
          </w:tcPr>
          <w:p w14:paraId="0F5F8794"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Inconformidad</w:t>
            </w:r>
          </w:p>
        </w:tc>
        <w:tc>
          <w:tcPr>
            <w:tcW w:w="2268" w:type="dxa"/>
            <w:tcBorders>
              <w:top w:val="single" w:sz="4" w:space="0" w:color="000000"/>
              <w:left w:val="single" w:sz="4" w:space="0" w:color="000000"/>
              <w:bottom w:val="single" w:sz="4" w:space="0" w:color="000000"/>
              <w:right w:val="single" w:sz="4" w:space="0" w:color="000000"/>
            </w:tcBorders>
            <w:shd w:val="clear" w:color="auto" w:fill="AEAAAA"/>
          </w:tcPr>
          <w:p w14:paraId="5EE0EABE"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Informe justificado.</w:t>
            </w:r>
          </w:p>
        </w:tc>
      </w:tr>
      <w:tr w:rsidR="007B28C0" w:rsidRPr="007B28C0" w14:paraId="658BB61B"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3D9989BE"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7- Copia Simple y Certificada del Expediente Técnico soporte para la emisión de la Constancia de Alineamiento y Número Oficial No. 02438/04/12,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64604D5"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Subdirector de Planeación Territorial y Urbana menciona que dicha información obra no obra en sus expedientes ya que es atribución de la Subdirección de Planeación Urbana.</w:t>
            </w:r>
          </w:p>
          <w:p w14:paraId="07342BCF" w14:textId="77777777" w:rsidR="005C3A3A" w:rsidRPr="007B28C0" w:rsidRDefault="005C3A3A">
            <w:pPr>
              <w:spacing w:before="240" w:after="240"/>
              <w:jc w:val="both"/>
              <w:rPr>
                <w:rFonts w:ascii="Palatino Linotype" w:eastAsia="Palatino Linotype" w:hAnsi="Palatino Linotype" w:cs="Palatino Linotype"/>
                <w:sz w:val="18"/>
                <w:szCs w:val="18"/>
              </w:rPr>
            </w:pPr>
          </w:p>
          <w:p w14:paraId="77816229" w14:textId="77777777" w:rsidR="005C3A3A" w:rsidRPr="007B28C0" w:rsidRDefault="005C3A3A">
            <w:pPr>
              <w:spacing w:before="240" w:after="240"/>
              <w:jc w:val="both"/>
              <w:rPr>
                <w:rFonts w:ascii="Palatino Linotype" w:eastAsia="Palatino Linotype" w:hAnsi="Palatino Linotype" w:cs="Palatino Linotype"/>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99FC76A"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Pretexta no tener dicha documentación,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1B2058C"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Director General de Ordenamiento Territorial y Urbano señala que se localizó constancia de alineamiento y número oficial 02438/04/12 por lo que en caso de requerir copia certificada, señala el lugar, días y horarios para el cobro de la información, por lo que una vez realizado el pago, se aprobara su versión pública por el Comité de Transparencia.</w:t>
            </w:r>
          </w:p>
        </w:tc>
      </w:tr>
      <w:tr w:rsidR="007B28C0" w:rsidRPr="007B28C0" w14:paraId="11D7088E"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3BD61961"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8- Copia Simple y Certificada de la Ubicación precisa (dirección real), y el estatus real, del Colegios La Salle, S.C. Hacienda Arboledas.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F986379"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El Subdirector de Planeación Territorial y Urbana menciona señala que conforme a lo establecido en el artículo 10.35 del libro décimo octavo del Código Administrativo, se deberá solicitar la constancia de alineamiento y número oficial, trámite que deberá realizarse en la Dirección de Ordenamiento Territorial y Desarrollo Urbano </w:t>
            </w:r>
          </w:p>
          <w:p w14:paraId="342CEC81" w14:textId="77777777" w:rsidR="005C3A3A" w:rsidRPr="007B28C0" w:rsidRDefault="005C3A3A">
            <w:pPr>
              <w:spacing w:before="240" w:after="240"/>
              <w:jc w:val="both"/>
              <w:rPr>
                <w:rFonts w:ascii="Palatino Linotype" w:eastAsia="Palatino Linotype" w:hAnsi="Palatino Linotype" w:cs="Palatino Linotype"/>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A79D8A5"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lastRenderedPageBreak/>
              <w:t>Pretexta no tener dicha documentación,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F790C3A"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En la constancia de alineamiento y número oficial, se precisa la ubicación exacta. </w:t>
            </w:r>
          </w:p>
        </w:tc>
      </w:tr>
    </w:tbl>
    <w:p w14:paraId="016FF041"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3E6097B9"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Conforme a lo antes precisado, se toma en consideración, lo siguiente:</w:t>
      </w:r>
    </w:p>
    <w:p w14:paraId="1AA97132"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71685A10" w14:textId="77777777" w:rsidR="005C3A3A" w:rsidRPr="007B28C0" w:rsidRDefault="00BD07C9">
      <w:pPr>
        <w:spacing w:after="0" w:line="276" w:lineRule="auto"/>
        <w:ind w:left="851" w:right="851"/>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CÓDIGO ADMINISTRATIVO DEL ESTADO DE MÉXICO.</w:t>
      </w:r>
    </w:p>
    <w:p w14:paraId="4B53FBEB" w14:textId="77777777" w:rsidR="005C3A3A" w:rsidRPr="007B28C0" w:rsidRDefault="005C3A3A">
      <w:pPr>
        <w:spacing w:after="0" w:line="276" w:lineRule="auto"/>
        <w:ind w:left="851" w:right="851"/>
        <w:jc w:val="both"/>
        <w:rPr>
          <w:rFonts w:ascii="Palatino Linotype" w:eastAsia="Palatino Linotype" w:hAnsi="Palatino Linotype" w:cs="Palatino Linotype"/>
          <w:i/>
        </w:rPr>
      </w:pPr>
    </w:p>
    <w:p w14:paraId="6FF4339F"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Artículo 18.35.- La constancia de alineamiento y número oficial es el documento expedido por los municipios, que tiene por objeto delimitar la colindancia de un inmueble determinado con respecto a la vía pública adyacente, así como precisar sus restricciones de construcción y el número oficial que le corresponde.</w:t>
      </w:r>
    </w:p>
    <w:p w14:paraId="066D3F05" w14:textId="77777777" w:rsidR="005C3A3A" w:rsidRPr="007B28C0" w:rsidRDefault="005C3A3A">
      <w:pPr>
        <w:spacing w:after="0" w:line="276" w:lineRule="auto"/>
        <w:ind w:left="851" w:right="851"/>
        <w:jc w:val="both"/>
        <w:rPr>
          <w:rFonts w:ascii="Palatino Linotype" w:eastAsia="Palatino Linotype" w:hAnsi="Palatino Linotype" w:cs="Palatino Linotype"/>
          <w:i/>
        </w:rPr>
      </w:pPr>
    </w:p>
    <w:p w14:paraId="281757CB"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La constancia se podrá otorgar para ambos o para uno u otro servicio, de acuerdo a la solicitud del interesado, la cual se acompañará del croquis de localización y del documento que acredite la propiedad o posesión del inmueble respectivo.</w:t>
      </w:r>
    </w:p>
    <w:p w14:paraId="228FCA55" w14:textId="77777777" w:rsidR="005C3A3A" w:rsidRPr="007B28C0" w:rsidRDefault="005C3A3A">
      <w:pPr>
        <w:spacing w:after="0" w:line="276" w:lineRule="auto"/>
        <w:ind w:left="851" w:right="851"/>
        <w:jc w:val="both"/>
        <w:rPr>
          <w:rFonts w:ascii="Palatino Linotype" w:eastAsia="Palatino Linotype" w:hAnsi="Palatino Linotype" w:cs="Palatino Linotype"/>
          <w:i/>
        </w:rPr>
      </w:pPr>
    </w:p>
    <w:p w14:paraId="0151F294"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La solicitud de emisión de la constancia podrá hacerse de manera física o electrónica. Para ello, el solicitante podrá presentar los documentos que se describen en el párrafo anterior en formato electrónico</w:t>
      </w:r>
    </w:p>
    <w:p w14:paraId="3FD3C71F"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3A8AC24F"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Conforme a lo anterior, la constancia de alineamiento y número oficial es el documento expedido por los municipios, que tienen por objeto delimitar la colindancia de un inmueble determinado, por lo que dicha constancia se podrá otorgar de acuerdo a la solicitud del interesado, la cual se acompañara del </w:t>
      </w:r>
      <w:r w:rsidRPr="007B28C0">
        <w:rPr>
          <w:rFonts w:ascii="Palatino Linotype" w:eastAsia="Palatino Linotype" w:hAnsi="Palatino Linotype" w:cs="Palatino Linotype"/>
          <w:b/>
          <w:sz w:val="24"/>
          <w:szCs w:val="24"/>
          <w:u w:val="single"/>
        </w:rPr>
        <w:t>croquis de localización y del documento que acredite la propiedad</w:t>
      </w:r>
      <w:r w:rsidRPr="007B28C0">
        <w:rPr>
          <w:rFonts w:ascii="Palatino Linotype" w:eastAsia="Palatino Linotype" w:hAnsi="Palatino Linotype" w:cs="Palatino Linotype"/>
          <w:sz w:val="24"/>
          <w:szCs w:val="24"/>
        </w:rPr>
        <w:t xml:space="preserve"> o posesión del inmueble. </w:t>
      </w:r>
    </w:p>
    <w:p w14:paraId="784D3207"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448534DF"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Aunado a ello, en la cédula de información del trámite de la constancia de alineamiento y número oficial, señala los datos requeridos: </w:t>
      </w:r>
    </w:p>
    <w:p w14:paraId="454A3271"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4A7DF450" w14:textId="77777777" w:rsidR="005C3A3A" w:rsidRPr="007B28C0" w:rsidRDefault="00794E9C">
      <w:pPr>
        <w:spacing w:after="0" w:line="360" w:lineRule="auto"/>
        <w:ind w:right="49"/>
        <w:jc w:val="both"/>
        <w:rPr>
          <w:rFonts w:ascii="Palatino Linotype" w:eastAsia="Palatino Linotype" w:hAnsi="Palatino Linotype" w:cs="Palatino Linotype"/>
          <w:sz w:val="24"/>
          <w:szCs w:val="24"/>
        </w:rPr>
      </w:pPr>
      <w:hyperlink r:id="rId31">
        <w:r w:rsidR="00BD07C9" w:rsidRPr="007B28C0">
          <w:rPr>
            <w:rFonts w:ascii="Palatino Linotype" w:eastAsia="Palatino Linotype" w:hAnsi="Palatino Linotype" w:cs="Palatino Linotype"/>
            <w:sz w:val="24"/>
            <w:szCs w:val="24"/>
            <w:u w:val="single"/>
          </w:rPr>
          <w:t>https://atizapan.gob.mx/wp-content/uploads/2022/04/CONSTA1-1.pdf</w:t>
        </w:r>
      </w:hyperlink>
      <w:r w:rsidR="00BD07C9" w:rsidRPr="007B28C0">
        <w:rPr>
          <w:rFonts w:ascii="Palatino Linotype" w:eastAsia="Palatino Linotype" w:hAnsi="Palatino Linotype" w:cs="Palatino Linotype"/>
          <w:sz w:val="24"/>
          <w:szCs w:val="24"/>
        </w:rPr>
        <w:t xml:space="preserve"> </w:t>
      </w:r>
      <w:r w:rsidR="00BD07C9" w:rsidRPr="007B28C0">
        <w:rPr>
          <w:noProof/>
        </w:rPr>
        <mc:AlternateContent>
          <mc:Choice Requires="wpg">
            <w:drawing>
              <wp:anchor distT="0" distB="0" distL="114300" distR="114300" simplePos="0" relativeHeight="251661312" behindDoc="0" locked="0" layoutInCell="1" hidden="0" allowOverlap="1" wp14:anchorId="3CB662E8" wp14:editId="3BFD290F">
                <wp:simplePos x="0" y="0"/>
                <wp:positionH relativeFrom="column">
                  <wp:posOffset>-139699</wp:posOffset>
                </wp:positionH>
                <wp:positionV relativeFrom="paragraph">
                  <wp:posOffset>406400</wp:posOffset>
                </wp:positionV>
                <wp:extent cx="5705475" cy="5724525"/>
                <wp:effectExtent l="0" t="0" r="0" b="0"/>
                <wp:wrapNone/>
                <wp:docPr id="128" name="Conector recto de flecha 128"/>
                <wp:cNvGraphicFramePr/>
                <a:graphic xmlns:a="http://schemas.openxmlformats.org/drawingml/2006/main">
                  <a:graphicData uri="http://schemas.microsoft.com/office/word/2010/wordprocessingShape">
                    <wps:wsp>
                      <wps:cNvCnPr/>
                      <wps:spPr>
                        <a:xfrm>
                          <a:off x="2512313" y="936788"/>
                          <a:ext cx="5667375" cy="5686425"/>
                        </a:xfrm>
                        <a:prstGeom prst="straightConnector1">
                          <a:avLst/>
                        </a:prstGeom>
                        <a:noFill/>
                        <a:ln w="38100"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-139699</wp:posOffset>
                </wp:positionH>
                <wp:positionV relativeFrom="paragraph">
                  <wp:posOffset>406400</wp:posOffset>
                </wp:positionV>
                <wp:extent cx="5705475" cy="5724525"/>
                <wp:effectExtent b="0" l="0" r="0" t="0"/>
                <wp:wrapNone/>
                <wp:docPr id="128" name="image30.png"/>
                <a:graphic>
                  <a:graphicData uri="http://schemas.openxmlformats.org/drawingml/2006/picture">
                    <pic:pic>
                      <pic:nvPicPr>
                        <pic:cNvPr id="0" name="image30.png"/>
                        <pic:cNvPicPr preferRelativeResize="0"/>
                      </pic:nvPicPr>
                      <pic:blipFill>
                        <a:blip r:embed="rId32"/>
                        <a:srcRect/>
                        <a:stretch>
                          <a:fillRect/>
                        </a:stretch>
                      </pic:blipFill>
                      <pic:spPr>
                        <a:xfrm>
                          <a:off x="0" y="0"/>
                          <a:ext cx="5705475" cy="5724525"/>
                        </a:xfrm>
                        <a:prstGeom prst="rect"/>
                        <a:ln/>
                      </pic:spPr>
                    </pic:pic>
                  </a:graphicData>
                </a:graphic>
              </wp:anchor>
            </w:drawing>
          </mc:Fallback>
        </mc:AlternateContent>
      </w:r>
    </w:p>
    <w:p w14:paraId="5D12840B"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noProof/>
        </w:rPr>
        <w:lastRenderedPageBreak/>
        <w:drawing>
          <wp:inline distT="0" distB="0" distL="0" distR="0" wp14:anchorId="7A1D08ED" wp14:editId="46EC5C31">
            <wp:extent cx="5647640" cy="7002310"/>
            <wp:effectExtent l="0" t="0" r="0" b="0"/>
            <wp:docPr id="15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l="42957" t="16687" r="27814" b="8677"/>
                    <a:stretch>
                      <a:fillRect/>
                    </a:stretch>
                  </pic:blipFill>
                  <pic:spPr>
                    <a:xfrm>
                      <a:off x="0" y="0"/>
                      <a:ext cx="5647640" cy="7002310"/>
                    </a:xfrm>
                    <a:prstGeom prst="rect">
                      <a:avLst/>
                    </a:prstGeom>
                    <a:ln/>
                  </pic:spPr>
                </pic:pic>
              </a:graphicData>
            </a:graphic>
          </wp:inline>
        </w:drawing>
      </w:r>
      <w:r w:rsidRPr="007B28C0">
        <w:rPr>
          <w:noProof/>
        </w:rPr>
        <mc:AlternateContent>
          <mc:Choice Requires="wpg">
            <w:drawing>
              <wp:anchor distT="0" distB="0" distL="114300" distR="114300" simplePos="0" relativeHeight="251662336" behindDoc="0" locked="0" layoutInCell="1" hidden="0" allowOverlap="1" wp14:anchorId="74999372" wp14:editId="42BA7FD7">
                <wp:simplePos x="0" y="0"/>
                <wp:positionH relativeFrom="column">
                  <wp:posOffset>-101599</wp:posOffset>
                </wp:positionH>
                <wp:positionV relativeFrom="paragraph">
                  <wp:posOffset>5715000</wp:posOffset>
                </wp:positionV>
                <wp:extent cx="5829300" cy="1247775"/>
                <wp:effectExtent l="0" t="0" r="0" b="0"/>
                <wp:wrapNone/>
                <wp:docPr id="132" name="Rectángulo 132"/>
                <wp:cNvGraphicFramePr/>
                <a:graphic xmlns:a="http://schemas.openxmlformats.org/drawingml/2006/main">
                  <a:graphicData uri="http://schemas.microsoft.com/office/word/2010/wordprocessingShape">
                    <wps:wsp>
                      <wps:cNvSpPr/>
                      <wps:spPr>
                        <a:xfrm>
                          <a:off x="2450400" y="3175163"/>
                          <a:ext cx="5791200" cy="1209675"/>
                        </a:xfrm>
                        <a:prstGeom prst="rect">
                          <a:avLst/>
                        </a:prstGeom>
                        <a:noFill/>
                        <a:ln w="38100" cap="flat" cmpd="sng">
                          <a:solidFill>
                            <a:srgbClr val="FF0000"/>
                          </a:solidFill>
                          <a:prstDash val="solid"/>
                          <a:miter lim="800000"/>
                          <a:headEnd type="none" w="sm" len="sm"/>
                          <a:tailEnd type="none" w="sm" len="sm"/>
                        </a:ln>
                      </wps:spPr>
                      <wps:txbx>
                        <w:txbxContent>
                          <w:p w14:paraId="65E1672F" w14:textId="77777777" w:rsidR="005C3A3A" w:rsidRDefault="005C3A3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-101599</wp:posOffset>
                </wp:positionH>
                <wp:positionV relativeFrom="paragraph">
                  <wp:posOffset>5715000</wp:posOffset>
                </wp:positionV>
                <wp:extent cx="5829300" cy="1247775"/>
                <wp:effectExtent b="0" l="0" r="0" t="0"/>
                <wp:wrapNone/>
                <wp:docPr id="132" name="image34.png"/>
                <a:graphic>
                  <a:graphicData uri="http://schemas.openxmlformats.org/drawingml/2006/picture">
                    <pic:pic>
                      <pic:nvPicPr>
                        <pic:cNvPr id="0" name="image34.png"/>
                        <pic:cNvPicPr preferRelativeResize="0"/>
                      </pic:nvPicPr>
                      <pic:blipFill>
                        <a:blip r:embed="rId34"/>
                        <a:srcRect/>
                        <a:stretch>
                          <a:fillRect/>
                        </a:stretch>
                      </pic:blipFill>
                      <pic:spPr>
                        <a:xfrm>
                          <a:off x="0" y="0"/>
                          <a:ext cx="5829300" cy="1247775"/>
                        </a:xfrm>
                        <a:prstGeom prst="rect"/>
                        <a:ln/>
                      </pic:spPr>
                    </pic:pic>
                  </a:graphicData>
                </a:graphic>
              </wp:anchor>
            </w:drawing>
          </mc:Fallback>
        </mc:AlternateContent>
      </w:r>
    </w:p>
    <w:p w14:paraId="2A6071D0"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Por consiguiente, es notable determinar, que los datos que se obtienen y que se requieren para solicitar la constancia de alineamiento y número oficial, son de carácter confidencial, esto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0FB0DE8" w14:textId="77777777" w:rsidR="005C3A3A" w:rsidRPr="007B28C0" w:rsidRDefault="005C3A3A">
      <w:pPr>
        <w:spacing w:after="0" w:line="360" w:lineRule="auto"/>
        <w:ind w:right="-93"/>
        <w:jc w:val="both"/>
        <w:rPr>
          <w:rFonts w:ascii="Palatino Linotype" w:eastAsia="Palatino Linotype" w:hAnsi="Palatino Linotype" w:cs="Palatino Linotype"/>
          <w:sz w:val="24"/>
          <w:szCs w:val="24"/>
        </w:rPr>
      </w:pPr>
    </w:p>
    <w:p w14:paraId="4A5152D9" w14:textId="77777777" w:rsidR="005C3A3A" w:rsidRPr="007B28C0" w:rsidRDefault="00BD07C9">
      <w:pPr>
        <w:spacing w:after="0" w:line="360" w:lineRule="auto"/>
        <w:ind w:right="-93"/>
        <w:jc w:val="both"/>
        <w:rPr>
          <w:rFonts w:ascii="Palatino Linotype" w:eastAsia="Palatino Linotype" w:hAnsi="Palatino Linotype" w:cs="Palatino Linotype"/>
          <w:b/>
          <w:sz w:val="24"/>
          <w:szCs w:val="24"/>
        </w:rPr>
      </w:pPr>
      <w:r w:rsidRPr="007B28C0">
        <w:rPr>
          <w:rFonts w:ascii="Palatino Linotype" w:eastAsia="Palatino Linotype" w:hAnsi="Palatino Linotype" w:cs="Palatino Linotype"/>
          <w:sz w:val="24"/>
          <w:szCs w:val="24"/>
        </w:rPr>
        <w:t>De la misma manera, lo establece el artículo 29 del Código Civil Federal, al precisar que el domicilio de personas físicas</w:t>
      </w:r>
      <w:r w:rsidRPr="007B28C0">
        <w:rPr>
          <w:rFonts w:ascii="Palatino Linotype" w:eastAsia="Palatino Linotype" w:hAnsi="Palatino Linotype" w:cs="Palatino Linotype"/>
          <w:b/>
          <w:sz w:val="24"/>
          <w:szCs w:val="24"/>
        </w:rPr>
        <w:t>, es el lugar donde residen habitualmente, el lugar del centro principal de sus negocios, donde residan o el lugar donde se encuentren.</w:t>
      </w:r>
    </w:p>
    <w:p w14:paraId="2CE4394E" w14:textId="77777777" w:rsidR="005C3A3A" w:rsidRPr="007B28C0" w:rsidRDefault="005C3A3A">
      <w:pPr>
        <w:spacing w:after="0" w:line="360" w:lineRule="auto"/>
        <w:jc w:val="both"/>
        <w:rPr>
          <w:rFonts w:ascii="Palatino Linotype" w:eastAsia="Palatino Linotype" w:hAnsi="Palatino Linotype" w:cs="Palatino Linotype"/>
          <w:b/>
          <w:sz w:val="24"/>
          <w:szCs w:val="24"/>
        </w:rPr>
      </w:pPr>
    </w:p>
    <w:p w14:paraId="4A774372" w14:textId="77777777" w:rsidR="005C3A3A" w:rsidRPr="007B28C0" w:rsidRDefault="00BD07C9">
      <w:pPr>
        <w:spacing w:after="0" w:line="360" w:lineRule="auto"/>
        <w:ind w:right="-93"/>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ese contexto, la dirección o domicilio es el lugar en donde reside habitualmente, por lo que, permite hacerlo identificable y ubicable, propiciando que pueda ser molestado,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C634BA6" w14:textId="77777777" w:rsidR="005C3A3A" w:rsidRPr="007B28C0" w:rsidRDefault="005C3A3A">
      <w:pPr>
        <w:spacing w:after="0" w:line="360" w:lineRule="auto"/>
        <w:ind w:right="-93"/>
        <w:jc w:val="both"/>
        <w:rPr>
          <w:rFonts w:ascii="Palatino Linotype" w:eastAsia="Palatino Linotype" w:hAnsi="Palatino Linotype" w:cs="Palatino Linotype"/>
          <w:sz w:val="24"/>
          <w:szCs w:val="24"/>
        </w:rPr>
      </w:pPr>
    </w:p>
    <w:p w14:paraId="6859F3F9" w14:textId="77777777" w:rsidR="005C3A3A" w:rsidRPr="007B28C0" w:rsidRDefault="00BD07C9">
      <w:pPr>
        <w:spacing w:after="0" w:line="360" w:lineRule="auto"/>
        <w:ind w:right="-93"/>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La misma suerte corre la constancia de alineamiento y número oficial y el documento que acredite la propiedad o posesión del inmueble, es de señalar que estos documentos guardan la naturaleza de privado, pues no abona en nada a la </w:t>
      </w:r>
      <w:r w:rsidRPr="007B28C0">
        <w:rPr>
          <w:rFonts w:ascii="Palatino Linotype" w:eastAsia="Palatino Linotype" w:hAnsi="Palatino Linotype" w:cs="Palatino Linotype"/>
          <w:sz w:val="24"/>
          <w:szCs w:val="24"/>
        </w:rPr>
        <w:lastRenderedPageBreak/>
        <w:t>transparencia, ni rinde cuentas de la forma de actuar en el servicio público, al contrario la hace ubicable en su carácter de particular, por lo que, se concluye que el acta constitutiva y el documento con el que se acredite la propiedad guarda la naturaleza de privado.</w:t>
      </w:r>
    </w:p>
    <w:p w14:paraId="5DF17B09" w14:textId="77777777" w:rsidR="005C3A3A" w:rsidRPr="007B28C0" w:rsidRDefault="005C3A3A">
      <w:pPr>
        <w:spacing w:after="0" w:line="360" w:lineRule="auto"/>
        <w:ind w:right="-93"/>
        <w:jc w:val="both"/>
        <w:rPr>
          <w:rFonts w:ascii="Palatino Linotype" w:eastAsia="Palatino Linotype" w:hAnsi="Palatino Linotype" w:cs="Palatino Linotype"/>
          <w:sz w:val="24"/>
          <w:szCs w:val="24"/>
        </w:rPr>
      </w:pPr>
    </w:p>
    <w:p w14:paraId="1409F179" w14:textId="77777777" w:rsidR="005C3A3A" w:rsidRPr="007B28C0" w:rsidRDefault="00BD07C9">
      <w:pPr>
        <w:spacing w:after="0" w:line="360" w:lineRule="auto"/>
        <w:ind w:right="-93"/>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Además, en los documentos se pueden observar nombres particulares, mismo que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7B28C0">
        <w:rPr>
          <w:rFonts w:ascii="Palatino Linotype" w:eastAsia="Palatino Linotype" w:hAnsi="Palatino Linotype" w:cs="Palatino Linotype"/>
          <w:i/>
          <w:sz w:val="24"/>
          <w:szCs w:val="24"/>
        </w:rPr>
        <w:t>per se</w:t>
      </w:r>
      <w:r w:rsidRPr="007B28C0">
        <w:rPr>
          <w:rFonts w:ascii="Palatino Linotype" w:eastAsia="Palatino Linotype" w:hAnsi="Palatino Linotype" w:cs="Palatino Linotype"/>
          <w:sz w:val="24"/>
          <w:szCs w:val="24"/>
        </w:rPr>
        <w:t xml:space="preserve"> es un elemento que hace a una persona física identificada o identificable. </w:t>
      </w:r>
    </w:p>
    <w:p w14:paraId="5C816355" w14:textId="77777777" w:rsidR="005C3A3A" w:rsidRPr="007B28C0" w:rsidRDefault="005C3A3A">
      <w:pPr>
        <w:spacing w:after="0" w:line="360" w:lineRule="auto"/>
        <w:ind w:right="-93"/>
        <w:jc w:val="both"/>
        <w:rPr>
          <w:rFonts w:ascii="Palatino Linotype" w:eastAsia="Palatino Linotype" w:hAnsi="Palatino Linotype" w:cs="Palatino Linotype"/>
          <w:sz w:val="24"/>
          <w:szCs w:val="24"/>
        </w:rPr>
      </w:pPr>
    </w:p>
    <w:p w14:paraId="6ACC8C71" w14:textId="77777777" w:rsidR="005C3A3A" w:rsidRPr="007B28C0" w:rsidRDefault="00BD07C9">
      <w:pPr>
        <w:spacing w:after="0" w:line="360" w:lineRule="auto"/>
        <w:ind w:right="-93"/>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Por las consideraciones antes señaladas, se actualiza el supuesto previsto en el artículo 143, fracción I, de la Ley de Transparencia y Acceso a la Información Pública del Estado de México y Municipios, en consecuencia se ordena el acuerdo de clasificación en su totalidad del expediente técnico soporte para la emisión de la constancia de alineamiento y número Oficial como confidencial, de conformidad a la Ley de Transparencia y Acceso a la Información Pública del Estado de México y Municipios, en la que dispone lo siguiente:</w:t>
      </w:r>
    </w:p>
    <w:p w14:paraId="4434BFB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6ABA247" w14:textId="77777777" w:rsidR="005C3A3A" w:rsidRPr="007B28C0" w:rsidRDefault="00BD07C9">
      <w:pPr>
        <w:spacing w:after="24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Artículo 3. Para los efectos de la presente Ley se entenderá por:</w:t>
      </w:r>
    </w:p>
    <w:p w14:paraId="717D4C9D" w14:textId="77777777" w:rsidR="005C3A3A" w:rsidRPr="007B28C0" w:rsidRDefault="00BD07C9">
      <w:pPr>
        <w:spacing w:before="240" w:after="24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6EF12688" w14:textId="77777777" w:rsidR="005C3A3A" w:rsidRPr="007B28C0" w:rsidRDefault="00BD07C9">
      <w:pPr>
        <w:spacing w:before="240" w:after="24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lastRenderedPageBreak/>
        <w:t>IX. Datos personales: La información concerniente a una persona, identificada o identificable según lo dispuesto por la Ley de Protección de Datos Personales del Estado de México;</w:t>
      </w:r>
    </w:p>
    <w:p w14:paraId="34602738" w14:textId="77777777" w:rsidR="005C3A3A" w:rsidRPr="007B28C0" w:rsidRDefault="00BD07C9">
      <w:pPr>
        <w:spacing w:before="240" w:after="24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67CD53E7" w14:textId="77777777" w:rsidR="005C3A3A" w:rsidRPr="007B28C0" w:rsidRDefault="00BD07C9">
      <w:pPr>
        <w:spacing w:before="240" w:after="240" w:line="36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B18A679" w14:textId="77777777" w:rsidR="005C3A3A" w:rsidRPr="007B28C0" w:rsidRDefault="00BD07C9">
      <w:pPr>
        <w:spacing w:before="240" w:after="0" w:line="360" w:lineRule="auto"/>
        <w:ind w:left="851" w:right="900"/>
        <w:jc w:val="both"/>
        <w:rPr>
          <w:rFonts w:ascii="Palatino Linotype" w:eastAsia="Palatino Linotype" w:hAnsi="Palatino Linotype" w:cs="Palatino Linotype"/>
          <w:i/>
          <w:sz w:val="24"/>
          <w:szCs w:val="24"/>
        </w:rPr>
      </w:pPr>
      <w:r w:rsidRPr="007B28C0">
        <w:rPr>
          <w:rFonts w:ascii="Palatino Linotype" w:eastAsia="Palatino Linotype" w:hAnsi="Palatino Linotype" w:cs="Palatino Linotype"/>
          <w:i/>
        </w:rPr>
        <w:t>Artículo 91. El acceso a la información pública será restringido excepcionalmente, cuando ésta sea clasificada como reservada o confidencial.</w:t>
      </w:r>
    </w:p>
    <w:p w14:paraId="0BB75CD5"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47107E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De igual forma resulta relevante mencionar que debe contar con las formalidades establecidas en los Lineamientos Generales en Materia de Clasificación y Desclasificación de la Información, así como para la Elaboración de Versiones Públicas:</w:t>
      </w:r>
    </w:p>
    <w:p w14:paraId="4F4A2A46" w14:textId="77777777" w:rsidR="005C3A3A" w:rsidRPr="007B28C0" w:rsidRDefault="005C3A3A">
      <w:pPr>
        <w:shd w:val="clear" w:color="auto" w:fill="FFFFFF"/>
        <w:spacing w:after="80" w:line="240" w:lineRule="auto"/>
        <w:ind w:left="851" w:right="900"/>
        <w:jc w:val="both"/>
        <w:rPr>
          <w:rFonts w:ascii="Palatino Linotype" w:eastAsia="Palatino Linotype" w:hAnsi="Palatino Linotype" w:cs="Palatino Linotype"/>
          <w:b/>
          <w:i/>
        </w:rPr>
      </w:pPr>
    </w:p>
    <w:p w14:paraId="6B44A016" w14:textId="77777777" w:rsidR="005C3A3A" w:rsidRPr="007B28C0" w:rsidRDefault="00BD07C9">
      <w:pPr>
        <w:shd w:val="clear" w:color="auto" w:fill="FFFFFF"/>
        <w:spacing w:after="80" w:line="24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t>Quincuagésimo. </w:t>
      </w:r>
      <w:r w:rsidRPr="007B28C0">
        <w:rPr>
          <w:rFonts w:ascii="Palatino Linotype" w:eastAsia="Palatino Linotype" w:hAnsi="Palatino Linotype" w:cs="Palatino Linotype"/>
          <w:i/>
        </w:rPr>
        <w:t>Los titulares de las áreas de los sujetos obligados podrán utilizar los formatos contenidos en el presente Capítulo como modelo para señalar la clasificación de documentos o expedientes, sin perjuicio de que establezcan los propios.</w:t>
      </w:r>
    </w:p>
    <w:p w14:paraId="42BE51F8" w14:textId="77777777" w:rsidR="005C3A3A" w:rsidRPr="007B28C0" w:rsidRDefault="00BD07C9">
      <w:pPr>
        <w:shd w:val="clear" w:color="auto" w:fill="FFFFFF"/>
        <w:spacing w:after="80" w:line="24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t>Quincuagésimo primero.</w:t>
      </w:r>
      <w:r w:rsidRPr="007B28C0">
        <w:rPr>
          <w:rFonts w:ascii="Palatino Linotype" w:eastAsia="Palatino Linotype" w:hAnsi="Palatino Linotype" w:cs="Palatino Linotype"/>
          <w:i/>
        </w:rPr>
        <w:t> La leyenda en los documentos clasificados indicará:</w:t>
      </w:r>
    </w:p>
    <w:p w14:paraId="1A5B792D" w14:textId="77777777" w:rsidR="005C3A3A" w:rsidRPr="007B28C0" w:rsidRDefault="00BD07C9">
      <w:pPr>
        <w:shd w:val="clear" w:color="auto" w:fill="FFFFFF"/>
        <w:spacing w:after="80" w:line="24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t>I.</w:t>
      </w:r>
      <w:r w:rsidRPr="007B28C0">
        <w:rPr>
          <w:rFonts w:ascii="Palatino Linotype" w:eastAsia="Palatino Linotype" w:hAnsi="Palatino Linotype" w:cs="Palatino Linotype"/>
          <w:i/>
          <w:sz w:val="24"/>
          <w:szCs w:val="24"/>
        </w:rPr>
        <w:t>        </w:t>
      </w:r>
      <w:r w:rsidRPr="007B28C0">
        <w:rPr>
          <w:rFonts w:ascii="Palatino Linotype" w:eastAsia="Palatino Linotype" w:hAnsi="Palatino Linotype" w:cs="Palatino Linotype"/>
          <w:i/>
        </w:rPr>
        <w:t>La fecha de sesión del Comité de Transparencia en donde se confirmó la clasificación, en su caso;</w:t>
      </w:r>
    </w:p>
    <w:p w14:paraId="42448445" w14:textId="77777777" w:rsidR="005C3A3A" w:rsidRPr="007B28C0" w:rsidRDefault="00BD07C9">
      <w:pPr>
        <w:shd w:val="clear" w:color="auto" w:fill="FFFFFF"/>
        <w:spacing w:after="80" w:line="24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t>II.</w:t>
      </w:r>
      <w:r w:rsidRPr="007B28C0">
        <w:rPr>
          <w:rFonts w:ascii="Palatino Linotype" w:eastAsia="Palatino Linotype" w:hAnsi="Palatino Linotype" w:cs="Palatino Linotype"/>
          <w:i/>
          <w:sz w:val="24"/>
          <w:szCs w:val="24"/>
        </w:rPr>
        <w:t>       </w:t>
      </w:r>
      <w:r w:rsidRPr="007B28C0">
        <w:rPr>
          <w:rFonts w:ascii="Palatino Linotype" w:eastAsia="Palatino Linotype" w:hAnsi="Palatino Linotype" w:cs="Palatino Linotype"/>
          <w:i/>
        </w:rPr>
        <w:t>El nombre del área;</w:t>
      </w:r>
    </w:p>
    <w:p w14:paraId="59932B7F" w14:textId="77777777" w:rsidR="005C3A3A" w:rsidRPr="007B28C0" w:rsidRDefault="00BD07C9">
      <w:pPr>
        <w:shd w:val="clear" w:color="auto" w:fill="FFFFFF"/>
        <w:spacing w:after="80" w:line="24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t>III.</w:t>
      </w:r>
      <w:r w:rsidRPr="007B28C0">
        <w:rPr>
          <w:rFonts w:ascii="Palatino Linotype" w:eastAsia="Palatino Linotype" w:hAnsi="Palatino Linotype" w:cs="Palatino Linotype"/>
          <w:i/>
          <w:sz w:val="24"/>
          <w:szCs w:val="24"/>
        </w:rPr>
        <w:t>      </w:t>
      </w:r>
      <w:r w:rsidRPr="007B28C0">
        <w:rPr>
          <w:rFonts w:ascii="Palatino Linotype" w:eastAsia="Palatino Linotype" w:hAnsi="Palatino Linotype" w:cs="Palatino Linotype"/>
          <w:i/>
        </w:rPr>
        <w:t>La palabra reservado o confidencial;</w:t>
      </w:r>
    </w:p>
    <w:p w14:paraId="7DF89E92" w14:textId="77777777" w:rsidR="005C3A3A" w:rsidRPr="007B28C0" w:rsidRDefault="00BD07C9">
      <w:pPr>
        <w:shd w:val="clear" w:color="auto" w:fill="FFFFFF"/>
        <w:spacing w:after="80" w:line="24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lastRenderedPageBreak/>
        <w:t>IV.</w:t>
      </w:r>
      <w:r w:rsidRPr="007B28C0">
        <w:rPr>
          <w:rFonts w:ascii="Palatino Linotype" w:eastAsia="Palatino Linotype" w:hAnsi="Palatino Linotype" w:cs="Palatino Linotype"/>
          <w:i/>
          <w:sz w:val="24"/>
          <w:szCs w:val="24"/>
        </w:rPr>
        <w:t>      </w:t>
      </w:r>
      <w:r w:rsidRPr="007B28C0">
        <w:rPr>
          <w:rFonts w:ascii="Palatino Linotype" w:eastAsia="Palatino Linotype" w:hAnsi="Palatino Linotype" w:cs="Palatino Linotype"/>
          <w:i/>
        </w:rPr>
        <w:t>Las partes o secciones reservadas o confidenciales, en su caso;</w:t>
      </w:r>
    </w:p>
    <w:p w14:paraId="45E83569" w14:textId="77777777" w:rsidR="005C3A3A" w:rsidRPr="007B28C0" w:rsidRDefault="00BD07C9">
      <w:pPr>
        <w:shd w:val="clear" w:color="auto" w:fill="FFFFFF"/>
        <w:spacing w:after="80" w:line="24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t>V.</w:t>
      </w:r>
      <w:r w:rsidRPr="007B28C0">
        <w:rPr>
          <w:rFonts w:ascii="Palatino Linotype" w:eastAsia="Palatino Linotype" w:hAnsi="Palatino Linotype" w:cs="Palatino Linotype"/>
          <w:i/>
          <w:sz w:val="24"/>
          <w:szCs w:val="24"/>
        </w:rPr>
        <w:t>       </w:t>
      </w:r>
      <w:r w:rsidRPr="007B28C0">
        <w:rPr>
          <w:rFonts w:ascii="Palatino Linotype" w:eastAsia="Palatino Linotype" w:hAnsi="Palatino Linotype" w:cs="Palatino Linotype"/>
          <w:i/>
        </w:rPr>
        <w:t>El fundamento legal;</w:t>
      </w:r>
    </w:p>
    <w:p w14:paraId="7855C60C" w14:textId="77777777" w:rsidR="005C3A3A" w:rsidRPr="007B28C0" w:rsidRDefault="00BD07C9">
      <w:pPr>
        <w:shd w:val="clear" w:color="auto" w:fill="FFFFFF"/>
        <w:spacing w:after="80" w:line="24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t>VI.</w:t>
      </w:r>
      <w:r w:rsidRPr="007B28C0">
        <w:rPr>
          <w:rFonts w:ascii="Palatino Linotype" w:eastAsia="Palatino Linotype" w:hAnsi="Palatino Linotype" w:cs="Palatino Linotype"/>
          <w:i/>
          <w:sz w:val="24"/>
          <w:szCs w:val="24"/>
        </w:rPr>
        <w:t>      </w:t>
      </w:r>
      <w:r w:rsidRPr="007B28C0">
        <w:rPr>
          <w:rFonts w:ascii="Palatino Linotype" w:eastAsia="Palatino Linotype" w:hAnsi="Palatino Linotype" w:cs="Palatino Linotype"/>
          <w:i/>
        </w:rPr>
        <w:t>El periodo de reserva, y</w:t>
      </w:r>
    </w:p>
    <w:p w14:paraId="0D9BB073" w14:textId="77777777" w:rsidR="005C3A3A" w:rsidRPr="007B28C0" w:rsidRDefault="00BD07C9">
      <w:pPr>
        <w:shd w:val="clear" w:color="auto" w:fill="FFFFFF"/>
        <w:spacing w:after="80" w:line="24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t>VII.</w:t>
      </w:r>
      <w:r w:rsidRPr="007B28C0">
        <w:rPr>
          <w:rFonts w:ascii="Palatino Linotype" w:eastAsia="Palatino Linotype" w:hAnsi="Palatino Linotype" w:cs="Palatino Linotype"/>
          <w:i/>
          <w:sz w:val="24"/>
          <w:szCs w:val="24"/>
        </w:rPr>
        <w:t>     </w:t>
      </w:r>
      <w:r w:rsidRPr="007B28C0">
        <w:rPr>
          <w:rFonts w:ascii="Palatino Linotype" w:eastAsia="Palatino Linotype" w:hAnsi="Palatino Linotype" w:cs="Palatino Linotype"/>
          <w:i/>
        </w:rPr>
        <w:t>La rúbrica del titular del área.</w:t>
      </w:r>
    </w:p>
    <w:p w14:paraId="28CCE972"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Motivo por el que se ordena la clasificación como confidencial en su totalidad del expediente técnico soporte para la emisión de la Constancia de Alineamiento y Número Oficial No. 02438/04/12.</w:t>
      </w:r>
    </w:p>
    <w:p w14:paraId="582480B2"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tbl>
      <w:tblPr>
        <w:tblStyle w:val="ae"/>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410"/>
        <w:gridCol w:w="2409"/>
        <w:gridCol w:w="2268"/>
      </w:tblGrid>
      <w:tr w:rsidR="007B28C0" w:rsidRPr="007B28C0" w14:paraId="49079A78" w14:textId="77777777">
        <w:tc>
          <w:tcPr>
            <w:tcW w:w="2100" w:type="dxa"/>
            <w:tcBorders>
              <w:top w:val="single" w:sz="4" w:space="0" w:color="000000"/>
              <w:left w:val="single" w:sz="4" w:space="0" w:color="000000"/>
              <w:bottom w:val="single" w:sz="4" w:space="0" w:color="000000"/>
              <w:right w:val="single" w:sz="4" w:space="0" w:color="000000"/>
            </w:tcBorders>
            <w:shd w:val="clear" w:color="auto" w:fill="A6A6A6"/>
          </w:tcPr>
          <w:p w14:paraId="0B6A150B"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Información requerida.</w:t>
            </w:r>
          </w:p>
        </w:tc>
        <w:tc>
          <w:tcPr>
            <w:tcW w:w="2410" w:type="dxa"/>
            <w:tcBorders>
              <w:top w:val="single" w:sz="4" w:space="0" w:color="000000"/>
              <w:left w:val="single" w:sz="4" w:space="0" w:color="000000"/>
              <w:bottom w:val="single" w:sz="4" w:space="0" w:color="000000"/>
              <w:right w:val="single" w:sz="4" w:space="0" w:color="000000"/>
            </w:tcBorders>
            <w:shd w:val="clear" w:color="auto" w:fill="A6A6A6"/>
          </w:tcPr>
          <w:p w14:paraId="7FB5FB71"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Respuesta</w:t>
            </w:r>
          </w:p>
        </w:tc>
        <w:tc>
          <w:tcPr>
            <w:tcW w:w="2409" w:type="dxa"/>
            <w:tcBorders>
              <w:top w:val="single" w:sz="4" w:space="0" w:color="000000"/>
              <w:left w:val="single" w:sz="4" w:space="0" w:color="000000"/>
              <w:bottom w:val="single" w:sz="4" w:space="0" w:color="000000"/>
              <w:right w:val="single" w:sz="4" w:space="0" w:color="000000"/>
            </w:tcBorders>
            <w:shd w:val="clear" w:color="auto" w:fill="A6A6A6"/>
          </w:tcPr>
          <w:p w14:paraId="037C23F4"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Inconformidad</w:t>
            </w:r>
          </w:p>
        </w:tc>
        <w:tc>
          <w:tcPr>
            <w:tcW w:w="2268" w:type="dxa"/>
            <w:tcBorders>
              <w:top w:val="single" w:sz="4" w:space="0" w:color="000000"/>
              <w:left w:val="single" w:sz="4" w:space="0" w:color="000000"/>
              <w:bottom w:val="single" w:sz="4" w:space="0" w:color="000000"/>
              <w:right w:val="single" w:sz="4" w:space="0" w:color="000000"/>
            </w:tcBorders>
            <w:shd w:val="clear" w:color="auto" w:fill="A6A6A6"/>
          </w:tcPr>
          <w:p w14:paraId="4C7BEB88"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Informe justificado.</w:t>
            </w:r>
          </w:p>
        </w:tc>
      </w:tr>
      <w:tr w:rsidR="007B28C0" w:rsidRPr="007B28C0" w14:paraId="47D84C58"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43BDD42C"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D).- 1.- Copia Simple y Certificada del </w:t>
            </w:r>
          </w:p>
          <w:p w14:paraId="64816902"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2.- Copia Simple y Certificada del Expediente Técnico soporte para la emisión del Visto Bueno </w:t>
            </w:r>
            <w:r w:rsidRPr="007B28C0">
              <w:rPr>
                <w:rFonts w:ascii="Palatino Linotype" w:eastAsia="Palatino Linotype" w:hAnsi="Palatino Linotype" w:cs="Palatino Linotype"/>
                <w:b/>
                <w:sz w:val="18"/>
                <w:szCs w:val="18"/>
              </w:rPr>
              <w:t xml:space="preserve">actual (2022), </w:t>
            </w:r>
            <w:r w:rsidRPr="007B28C0">
              <w:rPr>
                <w:rFonts w:ascii="Palatino Linotype" w:eastAsia="Palatino Linotype" w:hAnsi="Palatino Linotype" w:cs="Palatino Linotype"/>
                <w:sz w:val="18"/>
                <w:szCs w:val="18"/>
              </w:rPr>
              <w:t>a favor de Operadora de Colegios La Salle, S.C.</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3A66770"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Coordinador Municipal de Protección Civil, Bomberos y Medio Ambiente señala que se deberá de acudir a las oficinas del enlace Jurídico de la Coordinación de Protección Civil, para que le sea generada la respectiva orden de pago por concepto de expedición de copias simples y certificadas, por lo que una vez que acredité el pago de derechos con el recibo de pago expedido por el Tesorero Municipal se someterá al Comité de Transparencia la versión pública correspondiente.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1DB1B3D"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No anexaron la contestación correspondiente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B0CE0C"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Ratifica.</w:t>
            </w:r>
          </w:p>
          <w:p w14:paraId="42DD88DD" w14:textId="77777777" w:rsidR="005C3A3A" w:rsidRPr="007B28C0" w:rsidRDefault="005C3A3A">
            <w:pPr>
              <w:spacing w:before="240" w:after="240"/>
              <w:jc w:val="both"/>
              <w:rPr>
                <w:rFonts w:ascii="Palatino Linotype" w:eastAsia="Palatino Linotype" w:hAnsi="Palatino Linotype" w:cs="Palatino Linotype"/>
                <w:sz w:val="18"/>
                <w:szCs w:val="18"/>
              </w:rPr>
            </w:pPr>
          </w:p>
        </w:tc>
      </w:tr>
    </w:tbl>
    <w:p w14:paraId="4FF59F70"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1CF272DE" w14:textId="77777777" w:rsidR="005C3A3A" w:rsidRPr="007B28C0" w:rsidRDefault="00BD07C9">
      <w:pPr>
        <w:spacing w:after="0" w:line="360" w:lineRule="auto"/>
        <w:ind w:right="-28"/>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razón a lo aludido, se deduce que cuenta con la información solicitada, sin embargo, referente al expediente que de soporte al expediente técnico, </w:t>
      </w:r>
      <w:r w:rsidRPr="007B28C0">
        <w:rPr>
          <w:rFonts w:ascii="Palatino Linotype" w:eastAsia="Palatino Linotype" w:hAnsi="Palatino Linotype" w:cs="Palatino Linotype"/>
        </w:rPr>
        <w:t xml:space="preserve">podemos decir </w:t>
      </w:r>
      <w:r w:rsidRPr="007B28C0">
        <w:rPr>
          <w:rFonts w:ascii="Palatino Linotype" w:eastAsia="Palatino Linotype" w:hAnsi="Palatino Linotype" w:cs="Palatino Linotype"/>
          <w:sz w:val="24"/>
          <w:szCs w:val="24"/>
        </w:rPr>
        <w:lastRenderedPageBreak/>
        <w:t>que al ser un trámite, se debe integrar un expediente en donde contenga de manera de ejemplo, los siguientes requisitos:</w:t>
      </w:r>
    </w:p>
    <w:p w14:paraId="1C2D66B3"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14C98F69" w14:textId="77777777" w:rsidR="005C3A3A" w:rsidRPr="007B28C0" w:rsidRDefault="00794E9C">
      <w:pPr>
        <w:spacing w:after="0" w:line="360" w:lineRule="auto"/>
        <w:ind w:right="49"/>
        <w:jc w:val="both"/>
        <w:rPr>
          <w:rFonts w:ascii="Palatino Linotype" w:eastAsia="Palatino Linotype" w:hAnsi="Palatino Linotype" w:cs="Palatino Linotype"/>
          <w:sz w:val="24"/>
          <w:szCs w:val="24"/>
        </w:rPr>
      </w:pPr>
      <w:hyperlink r:id="rId35">
        <w:r w:rsidR="00BD07C9" w:rsidRPr="007B28C0">
          <w:rPr>
            <w:rFonts w:ascii="Palatino Linotype" w:eastAsia="Palatino Linotype" w:hAnsi="Palatino Linotype" w:cs="Palatino Linotype"/>
            <w:sz w:val="24"/>
            <w:szCs w:val="24"/>
            <w:u w:val="single"/>
          </w:rPr>
          <w:t>https://sistemas2.edomex.gob.mx/TramitesyServicios/Tramite?tram=19688&amp;cont=0</w:t>
        </w:r>
      </w:hyperlink>
      <w:r w:rsidR="00BD07C9" w:rsidRPr="007B28C0">
        <w:rPr>
          <w:rFonts w:ascii="Palatino Linotype" w:eastAsia="Palatino Linotype" w:hAnsi="Palatino Linotype" w:cs="Palatino Linotype"/>
          <w:sz w:val="24"/>
          <w:szCs w:val="24"/>
        </w:rPr>
        <w:t xml:space="preserve"> </w:t>
      </w:r>
    </w:p>
    <w:p w14:paraId="138F7355"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noProof/>
        </w:rPr>
        <w:drawing>
          <wp:inline distT="0" distB="0" distL="0" distR="0" wp14:anchorId="07C725AA" wp14:editId="7DFC93F7">
            <wp:extent cx="5601842" cy="4471499"/>
            <wp:effectExtent l="0" t="0" r="0" b="0"/>
            <wp:docPr id="1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l="21163" t="13956" r="21321" b="4429"/>
                    <a:stretch>
                      <a:fillRect/>
                    </a:stretch>
                  </pic:blipFill>
                  <pic:spPr>
                    <a:xfrm>
                      <a:off x="0" y="0"/>
                      <a:ext cx="5601842" cy="4471499"/>
                    </a:xfrm>
                    <a:prstGeom prst="rect">
                      <a:avLst/>
                    </a:prstGeom>
                    <a:ln/>
                  </pic:spPr>
                </pic:pic>
              </a:graphicData>
            </a:graphic>
          </wp:inline>
        </w:drawing>
      </w:r>
    </w:p>
    <w:p w14:paraId="01484299"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No pasa desapercibido que de los requisitos que integran el expediente que se ordena, se advierte que debe presentar una identificación oficial; por consiguiente, este Organismo Garante considera que el documento que acreditara dicha </w:t>
      </w:r>
      <w:r w:rsidRPr="007B28C0">
        <w:rPr>
          <w:rFonts w:ascii="Palatino Linotype" w:eastAsia="Palatino Linotype" w:hAnsi="Palatino Linotype" w:cs="Palatino Linotype"/>
          <w:sz w:val="24"/>
          <w:szCs w:val="24"/>
        </w:rPr>
        <w:lastRenderedPageBreak/>
        <w:t>circunstancia sería la credencial de elector; sin embargo, dicho documento contiene elementos de seguridad como fotografía digitalizada, banda magnética e identificación holográfica, domicilio, RFC, huella dactilar, entre otros, los cuales deben ser protegidos mediante su clasificación como confidencial en su totalidad, ya que por su naturaleza jurídica contienen datos deben ser clasificados como confidenciales, lo anterior, como a continuación se precisa:</w:t>
      </w:r>
    </w:p>
    <w:p w14:paraId="4C2F9C55"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598D3DEC"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Por lo que se refiere a 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1A8D7242"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F651A8E" w14:textId="77777777" w:rsidR="005C3A3A" w:rsidRPr="007B28C0" w:rsidRDefault="00BD07C9">
      <w:pPr>
        <w:tabs>
          <w:tab w:val="left" w:pos="8222"/>
        </w:tabs>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r w:rsidRPr="007B28C0">
        <w:rPr>
          <w:rFonts w:ascii="Palatino Linotype" w:eastAsia="Palatino Linotype" w:hAnsi="Palatino Linotype" w:cs="Palatino Linotype"/>
          <w:b/>
          <w:i/>
        </w:rPr>
        <w:t>Artículo 156</w:t>
      </w:r>
      <w:r w:rsidRPr="007B28C0">
        <w:rPr>
          <w:rFonts w:ascii="Palatino Linotype" w:eastAsia="Palatino Linotype" w:hAnsi="Palatino Linotype" w:cs="Palatino Linotype"/>
          <w:i/>
        </w:rPr>
        <w:t>.</w:t>
      </w:r>
    </w:p>
    <w:p w14:paraId="24B8857E" w14:textId="77777777" w:rsidR="005C3A3A" w:rsidRPr="007B28C0" w:rsidRDefault="00BD07C9">
      <w:pPr>
        <w:tabs>
          <w:tab w:val="left" w:pos="8222"/>
        </w:tabs>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1.</w:t>
      </w:r>
      <w:r w:rsidRPr="007B28C0">
        <w:rPr>
          <w:rFonts w:ascii="Palatino Linotype" w:eastAsia="Palatino Linotype" w:hAnsi="Palatino Linotype" w:cs="Palatino Linotype"/>
          <w:i/>
        </w:rPr>
        <w:t xml:space="preserve"> </w:t>
      </w:r>
      <w:r w:rsidRPr="007B28C0">
        <w:rPr>
          <w:rFonts w:ascii="Palatino Linotype" w:eastAsia="Palatino Linotype" w:hAnsi="Palatino Linotype" w:cs="Palatino Linotype"/>
          <w:b/>
          <w:i/>
          <w:u w:val="single"/>
        </w:rPr>
        <w:t>La credencial para votar deberá contener, cuando menos, los siguientes datos del elector</w:t>
      </w:r>
      <w:r w:rsidRPr="007B28C0">
        <w:rPr>
          <w:rFonts w:ascii="Palatino Linotype" w:eastAsia="Palatino Linotype" w:hAnsi="Palatino Linotype" w:cs="Palatino Linotype"/>
          <w:i/>
        </w:rPr>
        <w:t>:</w:t>
      </w:r>
    </w:p>
    <w:p w14:paraId="55E5E653" w14:textId="77777777" w:rsidR="005C3A3A" w:rsidRPr="007B28C0" w:rsidRDefault="00BD07C9">
      <w:pPr>
        <w:tabs>
          <w:tab w:val="left" w:pos="8222"/>
        </w:tabs>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6FC1D6CA" w14:textId="77777777" w:rsidR="005C3A3A" w:rsidRPr="007B28C0" w:rsidRDefault="00BD07C9">
      <w:pPr>
        <w:tabs>
          <w:tab w:val="left" w:pos="8222"/>
        </w:tabs>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d) </w:t>
      </w:r>
      <w:r w:rsidRPr="007B28C0">
        <w:rPr>
          <w:rFonts w:ascii="Palatino Linotype" w:eastAsia="Palatino Linotype" w:hAnsi="Palatino Linotype" w:cs="Palatino Linotype"/>
          <w:b/>
          <w:i/>
          <w:u w:val="single"/>
        </w:rPr>
        <w:t>Domicilio</w:t>
      </w:r>
      <w:r w:rsidRPr="007B28C0">
        <w:rPr>
          <w:rFonts w:ascii="Palatino Linotype" w:eastAsia="Palatino Linotype" w:hAnsi="Palatino Linotype" w:cs="Palatino Linotype"/>
          <w:i/>
        </w:rPr>
        <w:t>;</w:t>
      </w:r>
    </w:p>
    <w:p w14:paraId="7A59FF03" w14:textId="77777777" w:rsidR="005C3A3A" w:rsidRPr="007B28C0" w:rsidRDefault="00BD07C9">
      <w:pPr>
        <w:tabs>
          <w:tab w:val="left" w:pos="8222"/>
        </w:tabs>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69990B33" w14:textId="77777777" w:rsidR="005C3A3A" w:rsidRPr="007B28C0" w:rsidRDefault="00BD07C9">
      <w:pPr>
        <w:tabs>
          <w:tab w:val="left" w:pos="8222"/>
        </w:tabs>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g) </w:t>
      </w:r>
      <w:r w:rsidRPr="007B28C0">
        <w:rPr>
          <w:rFonts w:ascii="Palatino Linotype" w:eastAsia="Palatino Linotype" w:hAnsi="Palatino Linotype" w:cs="Palatino Linotype"/>
          <w:b/>
          <w:i/>
        </w:rPr>
        <w:t>Firma</w:t>
      </w:r>
      <w:r w:rsidRPr="007B28C0">
        <w:rPr>
          <w:rFonts w:ascii="Palatino Linotype" w:eastAsia="Palatino Linotype" w:hAnsi="Palatino Linotype" w:cs="Palatino Linotype"/>
          <w:i/>
        </w:rPr>
        <w:t xml:space="preserve">, </w:t>
      </w:r>
      <w:r w:rsidRPr="007B28C0">
        <w:rPr>
          <w:rFonts w:ascii="Palatino Linotype" w:eastAsia="Palatino Linotype" w:hAnsi="Palatino Linotype" w:cs="Palatino Linotype"/>
          <w:b/>
          <w:i/>
          <w:u w:val="single"/>
        </w:rPr>
        <w:t>huella digital</w:t>
      </w:r>
      <w:r w:rsidRPr="007B28C0">
        <w:rPr>
          <w:rFonts w:ascii="Palatino Linotype" w:eastAsia="Palatino Linotype" w:hAnsi="Palatino Linotype" w:cs="Palatino Linotype"/>
          <w:i/>
        </w:rPr>
        <w:t xml:space="preserve"> y </w:t>
      </w:r>
      <w:r w:rsidRPr="007B28C0">
        <w:rPr>
          <w:rFonts w:ascii="Palatino Linotype" w:eastAsia="Palatino Linotype" w:hAnsi="Palatino Linotype" w:cs="Palatino Linotype"/>
          <w:b/>
          <w:i/>
          <w:u w:val="single"/>
        </w:rPr>
        <w:t>fotografía del elector</w:t>
      </w:r>
      <w:r w:rsidRPr="007B28C0">
        <w:rPr>
          <w:rFonts w:ascii="Palatino Linotype" w:eastAsia="Palatino Linotype" w:hAnsi="Palatino Linotype" w:cs="Palatino Linotype"/>
          <w:i/>
        </w:rPr>
        <w:t>;</w:t>
      </w:r>
    </w:p>
    <w:p w14:paraId="2F4FA022" w14:textId="77777777" w:rsidR="005C3A3A" w:rsidRPr="007B28C0" w:rsidRDefault="00BD07C9">
      <w:pPr>
        <w:tabs>
          <w:tab w:val="left" w:pos="8222"/>
        </w:tabs>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1CBF14D1" w14:textId="77777777" w:rsidR="005C3A3A" w:rsidRPr="007B28C0" w:rsidRDefault="00BD07C9">
      <w:pPr>
        <w:tabs>
          <w:tab w:val="left" w:pos="8222"/>
        </w:tabs>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i) </w:t>
      </w:r>
      <w:r w:rsidRPr="007B28C0">
        <w:rPr>
          <w:rFonts w:ascii="Palatino Linotype" w:eastAsia="Palatino Linotype" w:hAnsi="Palatino Linotype" w:cs="Palatino Linotype"/>
          <w:b/>
          <w:i/>
          <w:u w:val="single"/>
        </w:rPr>
        <w:t>Clave Única del Registro de Población</w:t>
      </w:r>
      <w:r w:rsidRPr="007B28C0">
        <w:rPr>
          <w:rFonts w:ascii="Palatino Linotype" w:eastAsia="Palatino Linotype" w:hAnsi="Palatino Linotype" w:cs="Palatino Linotype"/>
          <w:i/>
        </w:rPr>
        <w:t>. ” (Sic)</w:t>
      </w:r>
    </w:p>
    <w:p w14:paraId="698E4EF2" w14:textId="77777777" w:rsidR="005C3A3A" w:rsidRPr="007B28C0" w:rsidRDefault="005C3A3A">
      <w:pPr>
        <w:tabs>
          <w:tab w:val="left" w:pos="8222"/>
        </w:tabs>
        <w:spacing w:after="0" w:line="276" w:lineRule="auto"/>
        <w:ind w:left="851" w:right="851"/>
        <w:jc w:val="both"/>
        <w:rPr>
          <w:rFonts w:ascii="Palatino Linotype" w:eastAsia="Palatino Linotype" w:hAnsi="Palatino Linotype" w:cs="Palatino Linotype"/>
          <w:i/>
        </w:rPr>
      </w:pPr>
    </w:p>
    <w:p w14:paraId="13777C86"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Así, el conocimiento de dichos datos afecta la esfera más íntima de su Titular, en razón de que su utilización indebida pueda dar origen a un riesgo grave para éste.</w:t>
      </w:r>
    </w:p>
    <w:p w14:paraId="69F0D5A7"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5741519E" w14:textId="77777777" w:rsidR="005C3A3A" w:rsidRPr="007B28C0" w:rsidRDefault="00BD07C9">
      <w:pPr>
        <w:spacing w:after="0" w:line="360" w:lineRule="auto"/>
        <w:jc w:val="both"/>
        <w:rPr>
          <w:rFonts w:ascii="Palatino Linotype" w:eastAsia="Palatino Linotype" w:hAnsi="Palatino Linotype" w:cs="Palatino Linotype"/>
        </w:rPr>
      </w:pPr>
      <w:r w:rsidRPr="007B28C0">
        <w:rPr>
          <w:noProof/>
        </w:rPr>
        <w:drawing>
          <wp:anchor distT="0" distB="0" distL="0" distR="0" simplePos="0" relativeHeight="251663360" behindDoc="1" locked="0" layoutInCell="1" hidden="0" allowOverlap="1" wp14:anchorId="5DC5672F" wp14:editId="79146B09">
            <wp:simplePos x="0" y="0"/>
            <wp:positionH relativeFrom="column">
              <wp:posOffset>0</wp:posOffset>
            </wp:positionH>
            <wp:positionV relativeFrom="paragraph">
              <wp:posOffset>2095626</wp:posOffset>
            </wp:positionV>
            <wp:extent cx="5766428" cy="2617756"/>
            <wp:effectExtent l="0" t="0" r="0" b="0"/>
            <wp:wrapNone/>
            <wp:docPr id="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b="2758"/>
                    <a:stretch>
                      <a:fillRect/>
                    </a:stretch>
                  </pic:blipFill>
                  <pic:spPr>
                    <a:xfrm>
                      <a:off x="0" y="0"/>
                      <a:ext cx="5766428" cy="2617756"/>
                    </a:xfrm>
                    <a:prstGeom prst="rect">
                      <a:avLst/>
                    </a:prstGeom>
                    <a:ln/>
                  </pic:spPr>
                </pic:pic>
              </a:graphicData>
            </a:graphic>
          </wp:anchor>
        </w:drawing>
      </w:r>
    </w:p>
    <w:p w14:paraId="7FE4EE17" w14:textId="77777777" w:rsidR="005C3A3A" w:rsidRPr="007B28C0" w:rsidRDefault="00BD07C9">
      <w:pPr>
        <w:spacing w:after="240" w:line="360" w:lineRule="auto"/>
        <w:jc w:val="both"/>
        <w:rPr>
          <w:rFonts w:ascii="Palatino Linotype" w:eastAsia="Palatino Linotype" w:hAnsi="Palatino Linotype" w:cs="Palatino Linotype"/>
        </w:rPr>
      </w:pPr>
      <w:r w:rsidRPr="007B28C0">
        <w:rPr>
          <w:noProof/>
        </w:rPr>
        <w:drawing>
          <wp:anchor distT="0" distB="0" distL="0" distR="0" simplePos="0" relativeHeight="251664384" behindDoc="1" locked="0" layoutInCell="1" hidden="0" allowOverlap="1" wp14:anchorId="1F5B26DE" wp14:editId="06EECA06">
            <wp:simplePos x="0" y="0"/>
            <wp:positionH relativeFrom="column">
              <wp:posOffset>520</wp:posOffset>
            </wp:positionH>
            <wp:positionV relativeFrom="paragraph">
              <wp:posOffset>16675</wp:posOffset>
            </wp:positionV>
            <wp:extent cx="5769348" cy="2842549"/>
            <wp:effectExtent l="0" t="0" r="0" b="0"/>
            <wp:wrapNone/>
            <wp:docPr id="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b="2758"/>
                    <a:stretch>
                      <a:fillRect/>
                    </a:stretch>
                  </pic:blipFill>
                  <pic:spPr>
                    <a:xfrm>
                      <a:off x="0" y="0"/>
                      <a:ext cx="5769348" cy="2842549"/>
                    </a:xfrm>
                    <a:prstGeom prst="rect">
                      <a:avLst/>
                    </a:prstGeom>
                    <a:ln/>
                  </pic:spPr>
                </pic:pic>
              </a:graphicData>
            </a:graphic>
          </wp:anchor>
        </w:drawing>
      </w:r>
    </w:p>
    <w:p w14:paraId="0C8EE471" w14:textId="77777777" w:rsidR="005C3A3A" w:rsidRPr="007B28C0" w:rsidRDefault="005C3A3A">
      <w:pPr>
        <w:spacing w:before="240" w:after="240" w:line="360" w:lineRule="auto"/>
        <w:jc w:val="both"/>
        <w:rPr>
          <w:rFonts w:ascii="Palatino Linotype" w:eastAsia="Palatino Linotype" w:hAnsi="Palatino Linotype" w:cs="Palatino Linotype"/>
        </w:rPr>
      </w:pPr>
    </w:p>
    <w:p w14:paraId="60DE6EBB" w14:textId="77777777" w:rsidR="005C3A3A" w:rsidRPr="007B28C0" w:rsidRDefault="005C3A3A">
      <w:pPr>
        <w:spacing w:before="240" w:after="240" w:line="360" w:lineRule="auto"/>
        <w:jc w:val="both"/>
        <w:rPr>
          <w:rFonts w:ascii="Palatino Linotype" w:eastAsia="Palatino Linotype" w:hAnsi="Palatino Linotype" w:cs="Palatino Linotype"/>
        </w:rPr>
      </w:pPr>
    </w:p>
    <w:p w14:paraId="504AF82A" w14:textId="77777777" w:rsidR="005C3A3A" w:rsidRPr="007B28C0" w:rsidRDefault="005C3A3A">
      <w:pPr>
        <w:spacing w:before="240" w:after="240" w:line="360" w:lineRule="auto"/>
        <w:jc w:val="both"/>
        <w:rPr>
          <w:rFonts w:ascii="Palatino Linotype" w:eastAsia="Palatino Linotype" w:hAnsi="Palatino Linotype" w:cs="Palatino Linotype"/>
        </w:rPr>
      </w:pPr>
    </w:p>
    <w:p w14:paraId="671F433D" w14:textId="77777777" w:rsidR="005C3A3A" w:rsidRPr="007B28C0" w:rsidRDefault="005C3A3A">
      <w:pPr>
        <w:spacing w:before="240" w:after="240" w:line="360" w:lineRule="auto"/>
        <w:ind w:right="49"/>
        <w:jc w:val="center"/>
        <w:rPr>
          <w:rFonts w:ascii="Palatino Linotype" w:eastAsia="Palatino Linotype" w:hAnsi="Palatino Linotype" w:cs="Palatino Linotype"/>
        </w:rPr>
      </w:pPr>
    </w:p>
    <w:p w14:paraId="35636F26" w14:textId="77777777" w:rsidR="005C3A3A" w:rsidRPr="007B28C0" w:rsidRDefault="005C3A3A">
      <w:pPr>
        <w:spacing w:before="240" w:after="240" w:line="360" w:lineRule="auto"/>
        <w:jc w:val="both"/>
        <w:rPr>
          <w:rFonts w:ascii="Palatino Linotype" w:eastAsia="Palatino Linotype" w:hAnsi="Palatino Linotype" w:cs="Palatino Linotype"/>
        </w:rPr>
      </w:pPr>
    </w:p>
    <w:p w14:paraId="42ABE58A" w14:textId="77777777" w:rsidR="005C3A3A" w:rsidRPr="007B28C0" w:rsidRDefault="005C3A3A">
      <w:pPr>
        <w:spacing w:before="240" w:after="240" w:line="360" w:lineRule="auto"/>
        <w:jc w:val="both"/>
        <w:rPr>
          <w:rFonts w:ascii="Palatino Linotype" w:eastAsia="Palatino Linotype" w:hAnsi="Palatino Linotype" w:cs="Palatino Linotype"/>
        </w:rPr>
      </w:pPr>
    </w:p>
    <w:p w14:paraId="5791A5B7" w14:textId="77777777" w:rsidR="005C3A3A" w:rsidRPr="007B28C0" w:rsidRDefault="005C3A3A">
      <w:pPr>
        <w:spacing w:before="240" w:after="240" w:line="360" w:lineRule="auto"/>
        <w:jc w:val="both"/>
        <w:rPr>
          <w:rFonts w:ascii="Palatino Linotype" w:eastAsia="Palatino Linotype" w:hAnsi="Palatino Linotype" w:cs="Palatino Linotype"/>
        </w:rPr>
      </w:pPr>
    </w:p>
    <w:p w14:paraId="098F3B5F" w14:textId="77777777" w:rsidR="005C3A3A" w:rsidRPr="007B28C0" w:rsidRDefault="005C3A3A">
      <w:pPr>
        <w:spacing w:before="240" w:after="240" w:line="360" w:lineRule="auto"/>
        <w:jc w:val="both"/>
        <w:rPr>
          <w:rFonts w:ascii="Palatino Linotype" w:eastAsia="Palatino Linotype" w:hAnsi="Palatino Linotype" w:cs="Palatino Linotype"/>
        </w:rPr>
      </w:pPr>
    </w:p>
    <w:p w14:paraId="56E54F7A" w14:textId="77777777" w:rsidR="005C3A3A" w:rsidRPr="007B28C0" w:rsidRDefault="005C3A3A">
      <w:pPr>
        <w:spacing w:before="240" w:after="240" w:line="360" w:lineRule="auto"/>
        <w:jc w:val="both"/>
        <w:rPr>
          <w:rFonts w:ascii="Palatino Linotype" w:eastAsia="Palatino Linotype" w:hAnsi="Palatino Linotype" w:cs="Palatino Linotype"/>
        </w:rPr>
      </w:pPr>
    </w:p>
    <w:p w14:paraId="3626DC5A" w14:textId="77777777" w:rsidR="005C3A3A" w:rsidRPr="007B28C0" w:rsidRDefault="005C3A3A">
      <w:pPr>
        <w:spacing w:before="240" w:after="240" w:line="360" w:lineRule="auto"/>
        <w:jc w:val="both"/>
        <w:rPr>
          <w:rFonts w:ascii="Palatino Linotype" w:eastAsia="Palatino Linotype" w:hAnsi="Palatino Linotype" w:cs="Palatino Linotype"/>
        </w:rPr>
      </w:pPr>
    </w:p>
    <w:p w14:paraId="0BE04B28" w14:textId="77777777" w:rsidR="005C3A3A" w:rsidRPr="007B28C0" w:rsidRDefault="00BD07C9">
      <w:pPr>
        <w:spacing w:before="240"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 credencial/</w:t>
      </w:r>
      <w:proofErr w:type="spellStart"/>
      <w:r w:rsidRPr="007B28C0">
        <w:rPr>
          <w:rFonts w:ascii="Palatino Linotype" w:eastAsia="Palatino Linotype" w:hAnsi="Palatino Linotype" w:cs="Palatino Linotype"/>
          <w:sz w:val="24"/>
          <w:szCs w:val="24"/>
        </w:rPr>
        <w:t>ABC_credenciales</w:t>
      </w:r>
      <w:proofErr w:type="spellEnd"/>
      <w:r w:rsidRPr="007B28C0">
        <w:rPr>
          <w:rFonts w:ascii="Palatino Linotype" w:eastAsia="Palatino Linotype" w:hAnsi="Palatino Linotype" w:cs="Palatino Linotype"/>
          <w:sz w:val="24"/>
          <w:szCs w:val="24"/>
        </w:rPr>
        <w:t xml:space="preserve">_ INE_2015.pdf, como se muestra a continuación, en su parte medular: </w:t>
      </w:r>
    </w:p>
    <w:p w14:paraId="36AFE492" w14:textId="77777777" w:rsidR="005C3A3A" w:rsidRPr="007B28C0" w:rsidRDefault="00BD07C9">
      <w:pPr>
        <w:spacing w:after="240" w:line="360" w:lineRule="auto"/>
        <w:jc w:val="center"/>
        <w:rPr>
          <w:rFonts w:ascii="Palatino Linotype" w:eastAsia="Palatino Linotype" w:hAnsi="Palatino Linotype" w:cs="Palatino Linotype"/>
        </w:rPr>
      </w:pPr>
      <w:r w:rsidRPr="007B28C0">
        <w:rPr>
          <w:rFonts w:ascii="Palatino Linotype" w:eastAsia="Palatino Linotype" w:hAnsi="Palatino Linotype" w:cs="Palatino Linotype"/>
          <w:noProof/>
        </w:rPr>
        <w:drawing>
          <wp:inline distT="0" distB="0" distL="0" distR="0" wp14:anchorId="11C90493" wp14:editId="67C13E50">
            <wp:extent cx="5934360" cy="1963320"/>
            <wp:effectExtent l="0" t="0" r="0" b="0"/>
            <wp:docPr id="15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rcRect/>
                    <a:stretch>
                      <a:fillRect/>
                    </a:stretch>
                  </pic:blipFill>
                  <pic:spPr>
                    <a:xfrm>
                      <a:off x="0" y="0"/>
                      <a:ext cx="5934360" cy="1963320"/>
                    </a:xfrm>
                    <a:prstGeom prst="rect">
                      <a:avLst/>
                    </a:prstGeom>
                    <a:ln/>
                  </pic:spPr>
                </pic:pic>
              </a:graphicData>
            </a:graphic>
          </wp:inline>
        </w:drawing>
      </w:r>
      <w:r w:rsidRPr="007B28C0">
        <w:rPr>
          <w:noProof/>
        </w:rPr>
        <mc:AlternateContent>
          <mc:Choice Requires="wpg">
            <w:drawing>
              <wp:anchor distT="0" distB="0" distL="114300" distR="114300" simplePos="0" relativeHeight="251665408" behindDoc="0" locked="0" layoutInCell="1" hidden="0" allowOverlap="1" wp14:anchorId="7B8064C4" wp14:editId="07A6AE04">
                <wp:simplePos x="0" y="0"/>
                <wp:positionH relativeFrom="column">
                  <wp:posOffset>1257300</wp:posOffset>
                </wp:positionH>
                <wp:positionV relativeFrom="paragraph">
                  <wp:posOffset>266700</wp:posOffset>
                </wp:positionV>
                <wp:extent cx="2745759" cy="355600"/>
                <wp:effectExtent l="0" t="0" r="0" b="0"/>
                <wp:wrapNone/>
                <wp:docPr id="129" name="Rectángulo 129"/>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14:paraId="25CDAF9A" w14:textId="77777777" w:rsidR="005C3A3A" w:rsidRDefault="005C3A3A">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1257300</wp:posOffset>
                </wp:positionH>
                <wp:positionV relativeFrom="paragraph">
                  <wp:posOffset>266700</wp:posOffset>
                </wp:positionV>
                <wp:extent cx="2745759" cy="355600"/>
                <wp:effectExtent b="0" l="0" r="0" t="0"/>
                <wp:wrapNone/>
                <wp:docPr id="129" name="image31.png"/>
                <a:graphic>
                  <a:graphicData uri="http://schemas.openxmlformats.org/drawingml/2006/picture">
                    <pic:pic>
                      <pic:nvPicPr>
                        <pic:cNvPr id="0" name="image31.png"/>
                        <pic:cNvPicPr preferRelativeResize="0"/>
                      </pic:nvPicPr>
                      <pic:blipFill>
                        <a:blip r:embed="rId39"/>
                        <a:srcRect/>
                        <a:stretch>
                          <a:fillRect/>
                        </a:stretch>
                      </pic:blipFill>
                      <pic:spPr>
                        <a:xfrm>
                          <a:off x="0" y="0"/>
                          <a:ext cx="2745759" cy="355600"/>
                        </a:xfrm>
                        <a:prstGeom prst="rect"/>
                        <a:ln/>
                      </pic:spPr>
                    </pic:pic>
                  </a:graphicData>
                </a:graphic>
              </wp:anchor>
            </w:drawing>
          </mc:Fallback>
        </mc:AlternateContent>
      </w:r>
      <w:r w:rsidRPr="007B28C0">
        <w:rPr>
          <w:noProof/>
        </w:rPr>
        <mc:AlternateContent>
          <mc:Choice Requires="wpg">
            <w:drawing>
              <wp:anchor distT="0" distB="0" distL="114300" distR="114300" simplePos="0" relativeHeight="251666432" behindDoc="0" locked="0" layoutInCell="1" hidden="0" allowOverlap="1" wp14:anchorId="206E77D7" wp14:editId="48F84946">
                <wp:simplePos x="0" y="0"/>
                <wp:positionH relativeFrom="column">
                  <wp:posOffset>177800</wp:posOffset>
                </wp:positionH>
                <wp:positionV relativeFrom="paragraph">
                  <wp:posOffset>774700</wp:posOffset>
                </wp:positionV>
                <wp:extent cx="821424" cy="582589"/>
                <wp:effectExtent l="0" t="0" r="0" b="0"/>
                <wp:wrapNone/>
                <wp:docPr id="131" name="Rectángulo 131"/>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14:paraId="65BE54B3" w14:textId="77777777" w:rsidR="005C3A3A" w:rsidRDefault="005C3A3A">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177800</wp:posOffset>
                </wp:positionH>
                <wp:positionV relativeFrom="paragraph">
                  <wp:posOffset>774700</wp:posOffset>
                </wp:positionV>
                <wp:extent cx="821424" cy="582589"/>
                <wp:effectExtent b="0" l="0" r="0" t="0"/>
                <wp:wrapNone/>
                <wp:docPr id="131" name="image33.png"/>
                <a:graphic>
                  <a:graphicData uri="http://schemas.openxmlformats.org/drawingml/2006/picture">
                    <pic:pic>
                      <pic:nvPicPr>
                        <pic:cNvPr id="0" name="image33.png"/>
                        <pic:cNvPicPr preferRelativeResize="0"/>
                      </pic:nvPicPr>
                      <pic:blipFill>
                        <a:blip r:embed="rId40"/>
                        <a:srcRect/>
                        <a:stretch>
                          <a:fillRect/>
                        </a:stretch>
                      </pic:blipFill>
                      <pic:spPr>
                        <a:xfrm>
                          <a:off x="0" y="0"/>
                          <a:ext cx="821424" cy="582589"/>
                        </a:xfrm>
                        <a:prstGeom prst="rect"/>
                        <a:ln/>
                      </pic:spPr>
                    </pic:pic>
                  </a:graphicData>
                </a:graphic>
              </wp:anchor>
            </w:drawing>
          </mc:Fallback>
        </mc:AlternateContent>
      </w:r>
    </w:p>
    <w:p w14:paraId="14E080DF" w14:textId="77777777" w:rsidR="005C3A3A" w:rsidRPr="007B28C0" w:rsidRDefault="00BD07C9">
      <w:pPr>
        <w:widowControl w:val="0"/>
        <w:spacing w:before="240" w:after="240" w:line="360" w:lineRule="auto"/>
        <w:jc w:val="center"/>
        <w:rPr>
          <w:rFonts w:ascii="Palatino Linotype" w:eastAsia="Palatino Linotype" w:hAnsi="Palatino Linotype" w:cs="Palatino Linotype"/>
        </w:rPr>
      </w:pPr>
      <w:r w:rsidRPr="007B28C0">
        <w:rPr>
          <w:rFonts w:ascii="Palatino Linotype" w:eastAsia="Palatino Linotype" w:hAnsi="Palatino Linotype" w:cs="Palatino Linotype"/>
          <w:noProof/>
        </w:rPr>
        <w:drawing>
          <wp:inline distT="0" distB="0" distL="0" distR="0" wp14:anchorId="781FD7EB" wp14:editId="78AB5C3C">
            <wp:extent cx="5844648" cy="2591513"/>
            <wp:effectExtent l="0" t="0" r="0" b="0"/>
            <wp:docPr id="1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5844648" cy="2591513"/>
                    </a:xfrm>
                    <a:prstGeom prst="rect">
                      <a:avLst/>
                    </a:prstGeom>
                    <a:ln/>
                  </pic:spPr>
                </pic:pic>
              </a:graphicData>
            </a:graphic>
          </wp:inline>
        </w:drawing>
      </w:r>
      <w:r w:rsidRPr="007B28C0">
        <w:rPr>
          <w:noProof/>
        </w:rPr>
        <mc:AlternateContent>
          <mc:Choice Requires="wpg">
            <w:drawing>
              <wp:anchor distT="0" distB="0" distL="114300" distR="114300" simplePos="0" relativeHeight="251667456" behindDoc="0" locked="0" layoutInCell="1" hidden="0" allowOverlap="1" wp14:anchorId="60FE7264" wp14:editId="1C774544">
                <wp:simplePos x="0" y="0"/>
                <wp:positionH relativeFrom="column">
                  <wp:posOffset>1104900</wp:posOffset>
                </wp:positionH>
                <wp:positionV relativeFrom="paragraph">
                  <wp:posOffset>165100</wp:posOffset>
                </wp:positionV>
                <wp:extent cx="2561514" cy="507526"/>
                <wp:effectExtent l="0" t="0" r="0" b="0"/>
                <wp:wrapNone/>
                <wp:docPr id="127" name="Rectángulo 127"/>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14:paraId="7068113D" w14:textId="77777777" w:rsidR="005C3A3A" w:rsidRDefault="005C3A3A">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1104900</wp:posOffset>
                </wp:positionH>
                <wp:positionV relativeFrom="paragraph">
                  <wp:posOffset>165100</wp:posOffset>
                </wp:positionV>
                <wp:extent cx="2561514" cy="507526"/>
                <wp:effectExtent b="0" l="0" r="0" t="0"/>
                <wp:wrapNone/>
                <wp:docPr id="127" name="image29.png"/>
                <a:graphic>
                  <a:graphicData uri="http://schemas.openxmlformats.org/drawingml/2006/picture">
                    <pic:pic>
                      <pic:nvPicPr>
                        <pic:cNvPr id="0" name="image29.png"/>
                        <pic:cNvPicPr preferRelativeResize="0"/>
                      </pic:nvPicPr>
                      <pic:blipFill>
                        <a:blip r:embed="rId42"/>
                        <a:srcRect/>
                        <a:stretch>
                          <a:fillRect/>
                        </a:stretch>
                      </pic:blipFill>
                      <pic:spPr>
                        <a:xfrm>
                          <a:off x="0" y="0"/>
                          <a:ext cx="2561514" cy="507526"/>
                        </a:xfrm>
                        <a:prstGeom prst="rect"/>
                        <a:ln/>
                      </pic:spPr>
                    </pic:pic>
                  </a:graphicData>
                </a:graphic>
              </wp:anchor>
            </w:drawing>
          </mc:Fallback>
        </mc:AlternateContent>
      </w:r>
      <w:r w:rsidRPr="007B28C0">
        <w:rPr>
          <w:noProof/>
        </w:rPr>
        <mc:AlternateContent>
          <mc:Choice Requires="wpg">
            <w:drawing>
              <wp:anchor distT="0" distB="0" distL="114300" distR="114300" simplePos="0" relativeHeight="251668480" behindDoc="0" locked="0" layoutInCell="1" hidden="0" allowOverlap="1" wp14:anchorId="26A8FA80" wp14:editId="3B9ECE34">
                <wp:simplePos x="0" y="0"/>
                <wp:positionH relativeFrom="column">
                  <wp:posOffset>1104900</wp:posOffset>
                </wp:positionH>
                <wp:positionV relativeFrom="paragraph">
                  <wp:posOffset>1206500</wp:posOffset>
                </wp:positionV>
                <wp:extent cx="2561514" cy="393700"/>
                <wp:effectExtent l="0" t="0" r="0" b="0"/>
                <wp:wrapNone/>
                <wp:docPr id="124" name="Rectángulo 124"/>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14:paraId="7DC0B0FC" w14:textId="77777777" w:rsidR="005C3A3A" w:rsidRDefault="005C3A3A">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1104900</wp:posOffset>
                </wp:positionH>
                <wp:positionV relativeFrom="paragraph">
                  <wp:posOffset>1206500</wp:posOffset>
                </wp:positionV>
                <wp:extent cx="2561514" cy="393700"/>
                <wp:effectExtent b="0" l="0" r="0" t="0"/>
                <wp:wrapNone/>
                <wp:docPr id="124" name="image26.png"/>
                <a:graphic>
                  <a:graphicData uri="http://schemas.openxmlformats.org/drawingml/2006/picture">
                    <pic:pic>
                      <pic:nvPicPr>
                        <pic:cNvPr id="0" name="image26.png"/>
                        <pic:cNvPicPr preferRelativeResize="0"/>
                      </pic:nvPicPr>
                      <pic:blipFill>
                        <a:blip r:embed="rId43"/>
                        <a:srcRect/>
                        <a:stretch>
                          <a:fillRect/>
                        </a:stretch>
                      </pic:blipFill>
                      <pic:spPr>
                        <a:xfrm>
                          <a:off x="0" y="0"/>
                          <a:ext cx="2561514" cy="393700"/>
                        </a:xfrm>
                        <a:prstGeom prst="rect"/>
                        <a:ln/>
                      </pic:spPr>
                    </pic:pic>
                  </a:graphicData>
                </a:graphic>
              </wp:anchor>
            </w:drawing>
          </mc:Fallback>
        </mc:AlternateContent>
      </w:r>
      <w:r w:rsidRPr="007B28C0">
        <w:rPr>
          <w:noProof/>
        </w:rPr>
        <mc:AlternateContent>
          <mc:Choice Requires="wpg">
            <w:drawing>
              <wp:anchor distT="0" distB="0" distL="114300" distR="114300" simplePos="0" relativeHeight="251669504" behindDoc="0" locked="0" layoutInCell="1" hidden="0" allowOverlap="1" wp14:anchorId="5659623A" wp14:editId="3E1A33E5">
                <wp:simplePos x="0" y="0"/>
                <wp:positionH relativeFrom="column">
                  <wp:posOffset>342900</wp:posOffset>
                </wp:positionH>
                <wp:positionV relativeFrom="paragraph">
                  <wp:posOffset>342900</wp:posOffset>
                </wp:positionV>
                <wp:extent cx="432464" cy="1913245"/>
                <wp:effectExtent l="0" t="0" r="0" b="0"/>
                <wp:wrapNone/>
                <wp:docPr id="130" name="Rectángulo 130"/>
                <wp:cNvGraphicFramePr/>
                <a:graphic xmlns:a="http://schemas.openxmlformats.org/drawingml/2006/main">
                  <a:graphicData uri="http://schemas.microsoft.com/office/word/2010/wordprocessingShape">
                    <wps:wsp>
                      <wps:cNvSpPr/>
                      <wps:spPr>
                        <a:xfrm>
                          <a:off x="5158343" y="2851953"/>
                          <a:ext cx="375314" cy="1856095"/>
                        </a:xfrm>
                        <a:prstGeom prst="rect">
                          <a:avLst/>
                        </a:prstGeom>
                        <a:noFill/>
                        <a:ln w="19050" cap="flat" cmpd="sng">
                          <a:solidFill>
                            <a:srgbClr val="FF0000"/>
                          </a:solidFill>
                          <a:prstDash val="solid"/>
                          <a:miter lim="800000"/>
                          <a:headEnd type="none" w="sm" len="sm"/>
                          <a:tailEnd type="none" w="sm" len="sm"/>
                        </a:ln>
                      </wps:spPr>
                      <wps:txbx>
                        <w:txbxContent>
                          <w:p w14:paraId="51E0D46D" w14:textId="77777777" w:rsidR="005C3A3A" w:rsidRDefault="005C3A3A">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342900</wp:posOffset>
                </wp:positionV>
                <wp:extent cx="432464" cy="1913245"/>
                <wp:effectExtent b="0" l="0" r="0" t="0"/>
                <wp:wrapNone/>
                <wp:docPr id="130" name="image32.png"/>
                <a:graphic>
                  <a:graphicData uri="http://schemas.openxmlformats.org/drawingml/2006/picture">
                    <pic:pic>
                      <pic:nvPicPr>
                        <pic:cNvPr id="0" name="image32.png"/>
                        <pic:cNvPicPr preferRelativeResize="0"/>
                      </pic:nvPicPr>
                      <pic:blipFill>
                        <a:blip r:embed="rId44"/>
                        <a:srcRect/>
                        <a:stretch>
                          <a:fillRect/>
                        </a:stretch>
                      </pic:blipFill>
                      <pic:spPr>
                        <a:xfrm>
                          <a:off x="0" y="0"/>
                          <a:ext cx="432464" cy="1913245"/>
                        </a:xfrm>
                        <a:prstGeom prst="rect"/>
                        <a:ln/>
                      </pic:spPr>
                    </pic:pic>
                  </a:graphicData>
                </a:graphic>
              </wp:anchor>
            </w:drawing>
          </mc:Fallback>
        </mc:AlternateContent>
      </w:r>
    </w:p>
    <w:p w14:paraId="03BC9799" w14:textId="77777777" w:rsidR="005C3A3A" w:rsidRPr="007B28C0" w:rsidRDefault="00BD07C9">
      <w:pPr>
        <w:widowControl w:val="0"/>
        <w:spacing w:before="240"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75107EFA" w14:textId="77777777" w:rsidR="005C3A3A" w:rsidRPr="007B28C0" w:rsidRDefault="005C3A3A">
      <w:pPr>
        <w:widowControl w:val="0"/>
        <w:spacing w:after="0" w:line="360" w:lineRule="auto"/>
        <w:jc w:val="both"/>
        <w:rPr>
          <w:rFonts w:ascii="Palatino Linotype" w:eastAsia="Palatino Linotype" w:hAnsi="Palatino Linotype" w:cs="Palatino Linotype"/>
          <w:sz w:val="24"/>
          <w:szCs w:val="24"/>
        </w:rPr>
      </w:pPr>
    </w:p>
    <w:p w14:paraId="14E43815" w14:textId="77777777" w:rsidR="005C3A3A" w:rsidRPr="007B28C0" w:rsidRDefault="00BD07C9">
      <w:pPr>
        <w:widowControl w:val="0"/>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el caso de la edad, se trata de un dato personal sensible que concierne únicamente a su titular, al corresponder a su esfera más íntima. </w:t>
      </w:r>
    </w:p>
    <w:p w14:paraId="12482977" w14:textId="77777777" w:rsidR="005C3A3A" w:rsidRPr="007B28C0" w:rsidRDefault="005C3A3A">
      <w:pPr>
        <w:widowControl w:val="0"/>
        <w:spacing w:after="0" w:line="360" w:lineRule="auto"/>
        <w:jc w:val="both"/>
        <w:rPr>
          <w:rFonts w:ascii="Palatino Linotype" w:eastAsia="Palatino Linotype" w:hAnsi="Palatino Linotype" w:cs="Palatino Linotype"/>
          <w:sz w:val="24"/>
          <w:szCs w:val="24"/>
        </w:rPr>
      </w:pPr>
    </w:p>
    <w:p w14:paraId="756B77AB" w14:textId="77777777" w:rsidR="005C3A3A" w:rsidRPr="007B28C0" w:rsidRDefault="00BD07C9">
      <w:pPr>
        <w:widowControl w:val="0"/>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36DAD93A" w14:textId="77777777" w:rsidR="005C3A3A" w:rsidRPr="007B28C0" w:rsidRDefault="005C3A3A">
      <w:pPr>
        <w:widowControl w:val="0"/>
        <w:spacing w:after="0" w:line="360" w:lineRule="auto"/>
        <w:jc w:val="both"/>
        <w:rPr>
          <w:rFonts w:ascii="Palatino Linotype" w:eastAsia="Palatino Linotype" w:hAnsi="Palatino Linotype" w:cs="Palatino Linotype"/>
          <w:sz w:val="24"/>
          <w:szCs w:val="24"/>
        </w:rPr>
      </w:pPr>
    </w:p>
    <w:p w14:paraId="04CC5486" w14:textId="77777777" w:rsidR="005C3A3A" w:rsidRPr="007B28C0" w:rsidRDefault="00BD07C9">
      <w:pPr>
        <w:widowControl w:val="0"/>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Por lo que se refiere a la CURP</w:t>
      </w:r>
      <w:r w:rsidRPr="007B28C0">
        <w:rPr>
          <w:rFonts w:ascii="Palatino Linotype" w:eastAsia="Palatino Linotype" w:hAnsi="Palatino Linotype" w:cs="Palatino Linotype"/>
          <w:b/>
          <w:sz w:val="24"/>
          <w:szCs w:val="24"/>
        </w:rPr>
        <w:t xml:space="preserve">, </w:t>
      </w:r>
      <w:r w:rsidRPr="007B28C0">
        <w:rPr>
          <w:rFonts w:ascii="Palatino Linotype" w:eastAsia="Palatino Linotype" w:hAnsi="Palatino Linotype" w:cs="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DD352FA" w14:textId="77777777" w:rsidR="005C3A3A" w:rsidRPr="007B28C0" w:rsidRDefault="005C3A3A">
      <w:pPr>
        <w:widowControl w:val="0"/>
        <w:spacing w:after="0" w:line="360" w:lineRule="auto"/>
        <w:jc w:val="both"/>
        <w:rPr>
          <w:rFonts w:ascii="Palatino Linotype" w:eastAsia="Palatino Linotype" w:hAnsi="Palatino Linotype" w:cs="Palatino Linotype"/>
          <w:sz w:val="24"/>
          <w:szCs w:val="24"/>
        </w:rPr>
      </w:pPr>
    </w:p>
    <w:p w14:paraId="1F230070"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Lo anterior, tiene sustento en los artículos 86 y 91 de la Ley General de Población, la cual señala lo siguiente:</w:t>
      </w:r>
    </w:p>
    <w:p w14:paraId="1CD48455"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FE57AD6"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lastRenderedPageBreak/>
        <w:t>“</w:t>
      </w:r>
      <w:r w:rsidRPr="007B28C0">
        <w:rPr>
          <w:rFonts w:ascii="Palatino Linotype" w:eastAsia="Palatino Linotype" w:hAnsi="Palatino Linotype" w:cs="Palatino Linotype"/>
          <w:b/>
          <w:i/>
        </w:rPr>
        <w:t xml:space="preserve">Artículo 86. </w:t>
      </w:r>
      <w:r w:rsidRPr="007B28C0">
        <w:rPr>
          <w:rFonts w:ascii="Palatino Linotype" w:eastAsia="Palatino Linotype" w:hAnsi="Palatino Linotype" w:cs="Palatino Linotype"/>
          <w:i/>
        </w:rPr>
        <w:t>El Registro Nacional de Población tiene como finalidad registrar a cada una de las personas que integran la población del país, con los datos que permitan certificar y acreditar fehacientemente su identidad.</w:t>
      </w:r>
    </w:p>
    <w:p w14:paraId="41A621EF" w14:textId="77777777" w:rsidR="005C3A3A" w:rsidRPr="007B28C0" w:rsidRDefault="005C3A3A">
      <w:pPr>
        <w:spacing w:after="0" w:line="276" w:lineRule="auto"/>
        <w:ind w:left="851" w:right="851"/>
        <w:jc w:val="both"/>
        <w:rPr>
          <w:rFonts w:ascii="Palatino Linotype" w:eastAsia="Palatino Linotype" w:hAnsi="Palatino Linotype" w:cs="Palatino Linotype"/>
          <w:b/>
          <w:i/>
        </w:rPr>
      </w:pPr>
    </w:p>
    <w:p w14:paraId="1D709E86"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b/>
          <w:i/>
        </w:rPr>
        <w:t>Artículo 91. Al incorporar a una persona en el Registro Nacional de Población</w:t>
      </w:r>
      <w:r w:rsidRPr="007B28C0">
        <w:rPr>
          <w:rFonts w:ascii="Palatino Linotype" w:eastAsia="Palatino Linotype" w:hAnsi="Palatino Linotype" w:cs="Palatino Linotype"/>
          <w:i/>
        </w:rPr>
        <w:t xml:space="preserve">, se le asignará una clave </w:t>
      </w:r>
      <w:r w:rsidRPr="007B28C0">
        <w:rPr>
          <w:rFonts w:ascii="Palatino Linotype" w:eastAsia="Palatino Linotype" w:hAnsi="Palatino Linotype" w:cs="Palatino Linotype"/>
          <w:b/>
          <w:i/>
        </w:rPr>
        <w:t>que se denominará Clave Única de Registro de Población</w:t>
      </w:r>
      <w:r w:rsidRPr="007B28C0">
        <w:rPr>
          <w:rFonts w:ascii="Palatino Linotype" w:eastAsia="Palatino Linotype" w:hAnsi="Palatino Linotype" w:cs="Palatino Linotype"/>
          <w:i/>
        </w:rPr>
        <w:t xml:space="preserve">. </w:t>
      </w:r>
      <w:r w:rsidRPr="007B28C0">
        <w:rPr>
          <w:rFonts w:ascii="Palatino Linotype" w:eastAsia="Palatino Linotype" w:hAnsi="Palatino Linotype" w:cs="Palatino Linotype"/>
          <w:b/>
          <w:i/>
        </w:rPr>
        <w:t>Esta servirá para</w:t>
      </w:r>
      <w:r w:rsidRPr="007B28C0">
        <w:rPr>
          <w:rFonts w:ascii="Palatino Linotype" w:eastAsia="Palatino Linotype" w:hAnsi="Palatino Linotype" w:cs="Palatino Linotype"/>
          <w:i/>
        </w:rPr>
        <w:t xml:space="preserve"> registrarla e </w:t>
      </w:r>
      <w:r w:rsidRPr="007B28C0">
        <w:rPr>
          <w:rFonts w:ascii="Palatino Linotype" w:eastAsia="Palatino Linotype" w:hAnsi="Palatino Linotype" w:cs="Palatino Linotype"/>
          <w:b/>
          <w:i/>
        </w:rPr>
        <w:t>identificarla en forma individual</w:t>
      </w:r>
      <w:r w:rsidRPr="007B28C0">
        <w:rPr>
          <w:rFonts w:ascii="Palatino Linotype" w:eastAsia="Palatino Linotype" w:hAnsi="Palatino Linotype" w:cs="Palatino Linotype"/>
          <w:i/>
        </w:rPr>
        <w:t>.”(Sic)</w:t>
      </w:r>
    </w:p>
    <w:p w14:paraId="047E4636" w14:textId="77777777" w:rsidR="005C3A3A" w:rsidRPr="007B28C0" w:rsidRDefault="005C3A3A">
      <w:pPr>
        <w:ind w:left="851" w:right="851"/>
        <w:jc w:val="both"/>
        <w:rPr>
          <w:rFonts w:ascii="Palatino Linotype" w:eastAsia="Palatino Linotype" w:hAnsi="Palatino Linotype" w:cs="Palatino Linotype"/>
          <w:i/>
        </w:rPr>
      </w:pPr>
    </w:p>
    <w:p w14:paraId="7B583CB0" w14:textId="77777777" w:rsidR="005C3A3A" w:rsidRPr="007B28C0" w:rsidRDefault="00BD07C9">
      <w:pPr>
        <w:spacing w:before="160"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031D1930" w14:textId="77777777" w:rsidR="005C3A3A" w:rsidRPr="007B28C0" w:rsidRDefault="005C3A3A">
      <w:pPr>
        <w:spacing w:after="0" w:line="360" w:lineRule="auto"/>
        <w:jc w:val="both"/>
        <w:rPr>
          <w:rFonts w:ascii="Palatino Linotype" w:eastAsia="Palatino Linotype" w:hAnsi="Palatino Linotype" w:cs="Palatino Linotype"/>
          <w:sz w:val="32"/>
          <w:szCs w:val="32"/>
        </w:rPr>
      </w:pPr>
    </w:p>
    <w:p w14:paraId="0E5BF39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Al respecto, el INAI, a través del Criterio 18/17 de la Segunda Época, señala literalmente lo siguiente:</w:t>
      </w:r>
    </w:p>
    <w:p w14:paraId="789DE28B"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5C08DFC9"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r w:rsidRPr="007B28C0">
        <w:rPr>
          <w:rFonts w:ascii="Palatino Linotype" w:eastAsia="Palatino Linotype" w:hAnsi="Palatino Linotype" w:cs="Palatino Linotype"/>
          <w:b/>
          <w:i/>
        </w:rPr>
        <w:t>Clave Única de Registro de Población (CURP).</w:t>
      </w:r>
      <w:r w:rsidRPr="007B28C0">
        <w:rPr>
          <w:rFonts w:ascii="Palatino Linotype" w:eastAsia="Palatino Linotype" w:hAnsi="Palatino Linotype" w:cs="Palatino Linotype"/>
          <w:i/>
        </w:rPr>
        <w:t xml:space="preserve"> </w:t>
      </w:r>
      <w:r w:rsidRPr="007B28C0">
        <w:rPr>
          <w:rFonts w:ascii="Palatino Linotype" w:eastAsia="Palatino Linotype" w:hAnsi="Palatino Linotype" w:cs="Palatino Linotype"/>
          <w:b/>
          <w:i/>
        </w:rPr>
        <w:t>La Clave Única de Registro de Población se integra por datos personales que sólo conciernen al particular titular</w:t>
      </w:r>
      <w:r w:rsidRPr="007B28C0">
        <w:rPr>
          <w:rFonts w:ascii="Palatino Linotype" w:eastAsia="Palatino Linotype" w:hAnsi="Palatino Linotype" w:cs="Palatino Linotype"/>
          <w:i/>
        </w:rPr>
        <w:t xml:space="preserve"> de la misma, </w:t>
      </w:r>
      <w:r w:rsidRPr="007B28C0">
        <w:rPr>
          <w:rFonts w:ascii="Palatino Linotype" w:eastAsia="Palatino Linotype" w:hAnsi="Palatino Linotype" w:cs="Palatino Linotype"/>
          <w:b/>
          <w:i/>
        </w:rPr>
        <w:t>como lo son su nombre, apellidos, fecha de nacimiento, lugar de nacimiento y sexo</w:t>
      </w:r>
      <w:r w:rsidRPr="007B28C0">
        <w:rPr>
          <w:rFonts w:ascii="Palatino Linotype" w:eastAsia="Palatino Linotype" w:hAnsi="Palatino Linotype" w:cs="Palatino Linotype"/>
          <w:i/>
        </w:rPr>
        <w:t xml:space="preserve">. Dichos datos, constituyen </w:t>
      </w:r>
      <w:r w:rsidRPr="007B28C0">
        <w:rPr>
          <w:rFonts w:ascii="Palatino Linotype" w:eastAsia="Palatino Linotype" w:hAnsi="Palatino Linotype" w:cs="Palatino Linotype"/>
          <w:i/>
        </w:rPr>
        <w:lastRenderedPageBreak/>
        <w:t xml:space="preserve">información que distingue plenamente a una persona física del resto de los habitantes del país, </w:t>
      </w:r>
      <w:r w:rsidRPr="007B28C0">
        <w:rPr>
          <w:rFonts w:ascii="Palatino Linotype" w:eastAsia="Palatino Linotype" w:hAnsi="Palatino Linotype" w:cs="Palatino Linotype"/>
          <w:b/>
          <w:i/>
        </w:rPr>
        <w:t>por lo que la CURP está considerada como información confidencial</w:t>
      </w:r>
      <w:r w:rsidRPr="007B28C0">
        <w:rPr>
          <w:rFonts w:ascii="Palatino Linotype" w:eastAsia="Palatino Linotype" w:hAnsi="Palatino Linotype" w:cs="Palatino Linotype"/>
          <w:i/>
        </w:rPr>
        <w:t xml:space="preserve">. </w:t>
      </w:r>
    </w:p>
    <w:p w14:paraId="5B7E146F"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Resoluciones:</w:t>
      </w:r>
    </w:p>
    <w:p w14:paraId="0EE2CE2E"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 RRA 3995/16. Secretaría de la Defensa Nacional. 1 de febrero de 2017. Por unanimidad. Comisionado Ponente </w:t>
      </w:r>
      <w:proofErr w:type="spellStart"/>
      <w:r w:rsidRPr="007B28C0">
        <w:rPr>
          <w:rFonts w:ascii="Palatino Linotype" w:eastAsia="Palatino Linotype" w:hAnsi="Palatino Linotype" w:cs="Palatino Linotype"/>
          <w:i/>
        </w:rPr>
        <w:t>Rosendoevgueni</w:t>
      </w:r>
      <w:proofErr w:type="spellEnd"/>
      <w:r w:rsidRPr="007B28C0">
        <w:rPr>
          <w:rFonts w:ascii="Palatino Linotype" w:eastAsia="Palatino Linotype" w:hAnsi="Palatino Linotype" w:cs="Palatino Linotype"/>
          <w:i/>
        </w:rPr>
        <w:t xml:space="preserve"> Monterrey </w:t>
      </w:r>
      <w:proofErr w:type="spellStart"/>
      <w:r w:rsidRPr="007B28C0">
        <w:rPr>
          <w:rFonts w:ascii="Palatino Linotype" w:eastAsia="Palatino Linotype" w:hAnsi="Palatino Linotype" w:cs="Palatino Linotype"/>
          <w:i/>
        </w:rPr>
        <w:t>Chepov</w:t>
      </w:r>
      <w:proofErr w:type="spellEnd"/>
      <w:r w:rsidRPr="007B28C0">
        <w:rPr>
          <w:rFonts w:ascii="Palatino Linotype" w:eastAsia="Palatino Linotype" w:hAnsi="Palatino Linotype" w:cs="Palatino Linotype"/>
          <w:i/>
        </w:rPr>
        <w:t>.</w:t>
      </w:r>
    </w:p>
    <w:p w14:paraId="2E0C64BF"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 RRA 0937/17. Senado de la República. 15 de marzo de 2017. Por unanimidad. Comisionada Ponente Ximena Puente de la Mora. </w:t>
      </w:r>
    </w:p>
    <w:p w14:paraId="2C81C968" w14:textId="77777777" w:rsidR="005C3A3A" w:rsidRPr="007B28C0" w:rsidRDefault="00BD07C9">
      <w:pPr>
        <w:spacing w:after="0" w:line="276" w:lineRule="auto"/>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 RRA 0478/17. Secretaría de Relaciones Exteriores. 26 de abril de 2017. Por unanimidad. Comisionada Ponente Areli Cano Guadiana.” (Sic)</w:t>
      </w:r>
    </w:p>
    <w:p w14:paraId="0A186257" w14:textId="77777777" w:rsidR="005C3A3A" w:rsidRPr="007B28C0" w:rsidRDefault="005C3A3A">
      <w:pPr>
        <w:ind w:left="851" w:right="851"/>
        <w:jc w:val="both"/>
        <w:rPr>
          <w:rFonts w:ascii="Palatino Linotype" w:eastAsia="Palatino Linotype" w:hAnsi="Palatino Linotype" w:cs="Palatino Linotype"/>
          <w:i/>
        </w:rPr>
      </w:pPr>
    </w:p>
    <w:p w14:paraId="648168FD" w14:textId="77777777" w:rsidR="005C3A3A" w:rsidRPr="007B28C0" w:rsidRDefault="00BD07C9">
      <w:pPr>
        <w:spacing w:before="160"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3A59364"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214493C" w14:textId="77777777" w:rsidR="005C3A3A" w:rsidRPr="007B28C0" w:rsidRDefault="00BD07C9">
      <w:pPr>
        <w:spacing w:after="0" w:line="360" w:lineRule="auto"/>
        <w:ind w:right="-93"/>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Además pues no abona en nada a la transparencia, ni rinde cuentas de la forma de actuar en el servicio público, al contrario la hace ubicable en su carácter de particular, por lo que, se concluye que el acta constitutiva y el documento con el que se acredite la propiedad guarda la naturaleza de privado.</w:t>
      </w:r>
    </w:p>
    <w:p w14:paraId="2F4A3779"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D3EEB08"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En lo que corresponde a la huella dactilar,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45">
        <w:r w:rsidRPr="007B28C0">
          <w:rPr>
            <w:rFonts w:ascii="Palatino Linotype" w:eastAsia="Palatino Linotype" w:hAnsi="Palatino Linotype" w:cs="Palatino Linotype"/>
            <w:sz w:val="24"/>
            <w:szCs w:val="24"/>
            <w:u w:val="single"/>
          </w:rPr>
          <w:t>https://docplayer.es/5455342-Nuevas-tecnologias-biometricas-instituto-nacional-de-ciencias-penales-procuraduria-general-de-la-republica-version-1-0.html</w:t>
        </w:r>
      </w:hyperlink>
      <w:r w:rsidRPr="007B28C0">
        <w:rPr>
          <w:rFonts w:ascii="Palatino Linotype" w:eastAsia="Palatino Linotype" w:hAnsi="Palatino Linotype" w:cs="Palatino Linotype"/>
          <w:sz w:val="24"/>
          <w:szCs w:val="24"/>
        </w:rPr>
        <w:t xml:space="preserve">, se indica que existen tres principios fundamentales para la identificación de las huellas dactilares, a saber: </w:t>
      </w:r>
    </w:p>
    <w:p w14:paraId="01CB761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757DFE35" w14:textId="77777777" w:rsidR="005C3A3A" w:rsidRPr="007B28C0" w:rsidRDefault="00BD07C9">
      <w:pPr>
        <w:numPr>
          <w:ilvl w:val="0"/>
          <w:numId w:val="3"/>
        </w:numPr>
        <w:spacing w:after="0" w:line="360" w:lineRule="auto"/>
        <w:ind w:right="474"/>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Primer principio. La huella es una característica individual. No hay dos huellas con características en las crestas que sean idénticas. </w:t>
      </w:r>
    </w:p>
    <w:p w14:paraId="7D8E3DC0" w14:textId="77777777" w:rsidR="005C3A3A" w:rsidRPr="007B28C0" w:rsidRDefault="005C3A3A">
      <w:pPr>
        <w:spacing w:after="0" w:line="360" w:lineRule="auto"/>
        <w:ind w:right="474"/>
        <w:jc w:val="both"/>
        <w:rPr>
          <w:rFonts w:ascii="Palatino Linotype" w:eastAsia="Palatino Linotype" w:hAnsi="Palatino Linotype" w:cs="Palatino Linotype"/>
          <w:sz w:val="24"/>
          <w:szCs w:val="24"/>
        </w:rPr>
      </w:pPr>
    </w:p>
    <w:p w14:paraId="54E3E150" w14:textId="77777777" w:rsidR="005C3A3A" w:rsidRPr="007B28C0" w:rsidRDefault="00BD07C9">
      <w:pPr>
        <w:numPr>
          <w:ilvl w:val="0"/>
          <w:numId w:val="3"/>
        </w:numPr>
        <w:spacing w:after="0" w:line="360" w:lineRule="auto"/>
        <w:ind w:right="474"/>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Segundo principio. Una huella permanece sin cambios durante toda la vida de un individuo (sin embargo, puede adquirir cicatrices o cualquier otra deformación que impida su identificación clara). </w:t>
      </w:r>
    </w:p>
    <w:p w14:paraId="4547AFED" w14:textId="77777777" w:rsidR="005C3A3A" w:rsidRPr="007B28C0" w:rsidRDefault="005C3A3A">
      <w:pPr>
        <w:spacing w:after="0" w:line="360" w:lineRule="auto"/>
        <w:ind w:right="474"/>
        <w:jc w:val="both"/>
        <w:rPr>
          <w:rFonts w:ascii="Palatino Linotype" w:eastAsia="Palatino Linotype" w:hAnsi="Palatino Linotype" w:cs="Palatino Linotype"/>
          <w:sz w:val="24"/>
          <w:szCs w:val="24"/>
        </w:rPr>
      </w:pPr>
    </w:p>
    <w:p w14:paraId="6A34E638" w14:textId="77777777" w:rsidR="005C3A3A" w:rsidRPr="007B28C0" w:rsidRDefault="00BD07C9">
      <w:pPr>
        <w:numPr>
          <w:ilvl w:val="0"/>
          <w:numId w:val="3"/>
        </w:numPr>
        <w:spacing w:after="0" w:line="360" w:lineRule="auto"/>
        <w:ind w:right="474"/>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Tercer principio. Las huellas tienen patrones que se forman con sus crestas, lo que hace posible clasificarlas sistemáticamente para agilizar las búsquedas. </w:t>
      </w:r>
    </w:p>
    <w:p w14:paraId="0A70EB5B" w14:textId="77777777" w:rsidR="005C3A3A" w:rsidRPr="007B28C0" w:rsidRDefault="005C3A3A">
      <w:pPr>
        <w:pBdr>
          <w:top w:val="nil"/>
          <w:left w:val="nil"/>
          <w:bottom w:val="nil"/>
          <w:right w:val="nil"/>
          <w:between w:val="nil"/>
        </w:pBdr>
        <w:spacing w:after="0" w:line="360" w:lineRule="auto"/>
        <w:ind w:left="708"/>
        <w:rPr>
          <w:rFonts w:ascii="Palatino Linotype" w:eastAsia="Palatino Linotype" w:hAnsi="Palatino Linotype" w:cs="Palatino Linotype"/>
          <w:sz w:val="24"/>
          <w:szCs w:val="24"/>
        </w:rPr>
      </w:pPr>
    </w:p>
    <w:p w14:paraId="2901C2F3"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43A0A34B"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4A544D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14:paraId="534FE392" w14:textId="77777777" w:rsidR="005C3A3A" w:rsidRPr="007B28C0" w:rsidRDefault="005C3A3A">
      <w:pPr>
        <w:spacing w:after="0" w:line="360" w:lineRule="auto"/>
        <w:jc w:val="both"/>
        <w:rPr>
          <w:rFonts w:ascii="Palatino Linotype" w:eastAsia="Palatino Linotype" w:hAnsi="Palatino Linotype" w:cs="Palatino Linotype"/>
        </w:rPr>
      </w:pPr>
    </w:p>
    <w:p w14:paraId="3ADA3999" w14:textId="77777777" w:rsidR="005C3A3A" w:rsidRPr="007B28C0" w:rsidRDefault="00BD07C9">
      <w:pPr>
        <w:spacing w:after="0" w:line="276" w:lineRule="auto"/>
        <w:ind w:left="567" w:right="567"/>
        <w:jc w:val="both"/>
        <w:rPr>
          <w:rFonts w:ascii="Palatino Linotype" w:eastAsia="Palatino Linotype" w:hAnsi="Palatino Linotype" w:cs="Palatino Linotype"/>
          <w:i/>
        </w:rPr>
      </w:pPr>
      <w:r w:rsidRPr="007B28C0">
        <w:rPr>
          <w:rFonts w:ascii="Palatino Linotype" w:eastAsia="Palatino Linotype" w:hAnsi="Palatino Linotype" w:cs="Palatino Linotype"/>
          <w:b/>
          <w:i/>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7B28C0">
        <w:rPr>
          <w:rFonts w:ascii="Palatino Linotype" w:eastAsia="Palatino Linotype" w:hAnsi="Palatino Linotype" w:cs="Palatino Linotype"/>
          <w:i/>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w:t>
      </w:r>
      <w:r w:rsidRPr="007B28C0">
        <w:rPr>
          <w:rFonts w:ascii="Palatino Linotype" w:eastAsia="Palatino Linotype" w:hAnsi="Palatino Linotype" w:cs="Palatino Linotype"/>
          <w:i/>
        </w:rPr>
        <w:lastRenderedPageBreak/>
        <w:t>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contrato.(Sic)</w:t>
      </w:r>
    </w:p>
    <w:p w14:paraId="60E06916"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C2C6E46"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 En la actualidad existen sistemas denominados AFIS por sus siglas en inglés </w:t>
      </w:r>
      <w:proofErr w:type="spellStart"/>
      <w:r w:rsidRPr="007B28C0">
        <w:rPr>
          <w:rFonts w:ascii="Palatino Linotype" w:eastAsia="Palatino Linotype" w:hAnsi="Palatino Linotype" w:cs="Palatino Linotype"/>
          <w:i/>
          <w:sz w:val="24"/>
          <w:szCs w:val="24"/>
        </w:rPr>
        <w:t>Automated</w:t>
      </w:r>
      <w:proofErr w:type="spellEnd"/>
      <w:r w:rsidRPr="007B28C0">
        <w:rPr>
          <w:rFonts w:ascii="Palatino Linotype" w:eastAsia="Palatino Linotype" w:hAnsi="Palatino Linotype" w:cs="Palatino Linotype"/>
          <w:i/>
          <w:sz w:val="24"/>
          <w:szCs w:val="24"/>
        </w:rPr>
        <w:t xml:space="preserve"> </w:t>
      </w:r>
      <w:proofErr w:type="spellStart"/>
      <w:r w:rsidRPr="007B28C0">
        <w:rPr>
          <w:rFonts w:ascii="Palatino Linotype" w:eastAsia="Palatino Linotype" w:hAnsi="Palatino Linotype" w:cs="Palatino Linotype"/>
          <w:i/>
          <w:sz w:val="24"/>
          <w:szCs w:val="24"/>
        </w:rPr>
        <w:t>Fingerprint</w:t>
      </w:r>
      <w:proofErr w:type="spellEnd"/>
      <w:r w:rsidRPr="007B28C0">
        <w:rPr>
          <w:rFonts w:ascii="Palatino Linotype" w:eastAsia="Palatino Linotype" w:hAnsi="Palatino Linotype" w:cs="Palatino Linotype"/>
          <w:i/>
          <w:sz w:val="24"/>
          <w:szCs w:val="24"/>
        </w:rPr>
        <w:t xml:space="preserve"> </w:t>
      </w:r>
      <w:proofErr w:type="spellStart"/>
      <w:r w:rsidRPr="007B28C0">
        <w:rPr>
          <w:rFonts w:ascii="Palatino Linotype" w:eastAsia="Palatino Linotype" w:hAnsi="Palatino Linotype" w:cs="Palatino Linotype"/>
          <w:i/>
          <w:sz w:val="24"/>
          <w:szCs w:val="24"/>
        </w:rPr>
        <w:t>Identification</w:t>
      </w:r>
      <w:proofErr w:type="spellEnd"/>
      <w:r w:rsidRPr="007B28C0">
        <w:rPr>
          <w:rFonts w:ascii="Palatino Linotype" w:eastAsia="Palatino Linotype" w:hAnsi="Palatino Linotype" w:cs="Palatino Linotype"/>
          <w:i/>
          <w:sz w:val="24"/>
          <w:szCs w:val="24"/>
        </w:rPr>
        <w:t xml:space="preserve"> </w:t>
      </w:r>
      <w:proofErr w:type="spellStart"/>
      <w:r w:rsidRPr="007B28C0">
        <w:rPr>
          <w:rFonts w:ascii="Palatino Linotype" w:eastAsia="Palatino Linotype" w:hAnsi="Palatino Linotype" w:cs="Palatino Linotype"/>
          <w:i/>
          <w:sz w:val="24"/>
          <w:szCs w:val="24"/>
        </w:rPr>
        <w:t>System</w:t>
      </w:r>
      <w:proofErr w:type="spellEnd"/>
      <w:r w:rsidRPr="007B28C0">
        <w:rPr>
          <w:rFonts w:ascii="Palatino Linotype" w:eastAsia="Palatino Linotype" w:hAnsi="Palatino Linotype" w:cs="Palatino Linotype"/>
          <w:sz w:val="24"/>
          <w:szCs w:val="24"/>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6F8F41E1"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65DF3565"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w:t>
      </w:r>
      <w:r w:rsidRPr="007B28C0">
        <w:rPr>
          <w:rFonts w:ascii="Palatino Linotype" w:eastAsia="Palatino Linotype" w:hAnsi="Palatino Linotype" w:cs="Palatino Linotype"/>
          <w:sz w:val="24"/>
          <w:szCs w:val="24"/>
        </w:rPr>
        <w:lastRenderedPageBreak/>
        <w:t xml:space="preserve">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3F1049D2"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6EECC6DE"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0C961ABA"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758C1095"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19651B1E"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56CE1275"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Aunado a ello, el expediente también se conforma por diversos documentos que no abonan en nada a la transparencia, ni rinde cuentas de la forma de actuar en el servicio público, ya que va encaminada a la funcionabilidad de una persona jurídico colectiva, debiendo clasificar los demás documentos que integran el expediente del </w:t>
      </w:r>
      <w:r w:rsidRPr="007B28C0">
        <w:rPr>
          <w:rFonts w:ascii="Palatino Linotype" w:eastAsia="Palatino Linotype" w:hAnsi="Palatino Linotype" w:cs="Palatino Linotype"/>
          <w:sz w:val="24"/>
          <w:szCs w:val="24"/>
        </w:rPr>
        <w:lastRenderedPageBreak/>
        <w:t>visto bueno solicitado en términos del artículo 143, fracción I, de la Ley de Transparencia y Acceso a la Información Pública del Estado de México y Municipios.</w:t>
      </w:r>
    </w:p>
    <w:p w14:paraId="3AA6F410"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31EDD052"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Siendo los únicos documentos en proceder su entrega son el visto bueno solicitado y el visto bueno que se generó con anterioridad, en términos del considerando quinto de la presente resolución. </w:t>
      </w:r>
    </w:p>
    <w:p w14:paraId="0B5DB0B6"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2450DE35"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Por lo antes expuesto, </w:t>
      </w:r>
      <w:r w:rsidRPr="007B28C0">
        <w:rPr>
          <w:rFonts w:ascii="Palatino Linotype" w:eastAsia="Palatino Linotype" w:hAnsi="Palatino Linotype" w:cs="Palatino Linotype"/>
          <w:b/>
          <w:sz w:val="24"/>
          <w:szCs w:val="24"/>
        </w:rPr>
        <w:t xml:space="preserve">EL SUJETO OBLIGADO </w:t>
      </w:r>
      <w:r w:rsidRPr="007B28C0">
        <w:rPr>
          <w:rFonts w:ascii="Palatino Linotype" w:eastAsia="Palatino Linotype" w:hAnsi="Palatino Linotype" w:cs="Palatino Linotype"/>
          <w:sz w:val="24"/>
          <w:szCs w:val="24"/>
        </w:rPr>
        <w:t>señala lugar para solicitar la orden de pago, ya que las solicitó mediante copias simples y certificadas el particular.</w:t>
      </w:r>
    </w:p>
    <w:p w14:paraId="4D69518C"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5C6A4DD6"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relación a las copias simples, es de recordar que también requirió la información vía SAIMEX, por lo que la entrega de la información vía SAIMEX permitirá que </w:t>
      </w:r>
      <w:r w:rsidRPr="007B28C0">
        <w:rPr>
          <w:rFonts w:ascii="Palatino Linotype" w:eastAsia="Palatino Linotype" w:hAnsi="Palatino Linotype" w:cs="Palatino Linotype"/>
          <w:b/>
          <w:sz w:val="24"/>
          <w:szCs w:val="24"/>
        </w:rPr>
        <w:t xml:space="preserve">LA PARTE RECURRENTE </w:t>
      </w:r>
      <w:r w:rsidRPr="007B28C0">
        <w:rPr>
          <w:rFonts w:ascii="Palatino Linotype" w:eastAsia="Palatino Linotype" w:hAnsi="Palatino Linotype" w:cs="Palatino Linotype"/>
          <w:sz w:val="24"/>
          <w:szCs w:val="24"/>
        </w:rPr>
        <w:t xml:space="preserve">puede acceder a las copias simples, con la impresión de la información que se haga mediante el SAIMEX. </w:t>
      </w:r>
    </w:p>
    <w:p w14:paraId="7538ECBF"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23DF4BB5"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En tal sentido, en el presente caso, la entrega de la información</w:t>
      </w:r>
      <w:r w:rsidRPr="007B28C0">
        <w:rPr>
          <w:rFonts w:ascii="Palatino Linotype" w:eastAsia="Palatino Linotype" w:hAnsi="Palatino Linotype" w:cs="Palatino Linotype"/>
          <w:b/>
          <w:sz w:val="24"/>
          <w:szCs w:val="24"/>
        </w:rPr>
        <w:t xml:space="preserve">, </w:t>
      </w:r>
      <w:r w:rsidRPr="007B28C0">
        <w:rPr>
          <w:rFonts w:ascii="Palatino Linotype" w:eastAsia="Palatino Linotype" w:hAnsi="Palatino Linotype" w:cs="Palatino Linotype"/>
          <w:sz w:val="24"/>
          <w:szCs w:val="24"/>
        </w:rPr>
        <w:t xml:space="preserve">a través de </w:t>
      </w:r>
      <w:r w:rsidRPr="007B28C0">
        <w:rPr>
          <w:rFonts w:ascii="Palatino Linotype" w:eastAsia="Palatino Linotype" w:hAnsi="Palatino Linotype" w:cs="Palatino Linotype"/>
          <w:b/>
          <w:sz w:val="24"/>
          <w:szCs w:val="24"/>
        </w:rPr>
        <w:t>copia certificada</w:t>
      </w:r>
      <w:r w:rsidRPr="007B28C0">
        <w:rPr>
          <w:rFonts w:ascii="Palatino Linotype" w:eastAsia="Palatino Linotype" w:hAnsi="Palatino Linotype" w:cs="Palatino Linotype"/>
          <w:sz w:val="24"/>
          <w:szCs w:val="24"/>
        </w:rPr>
        <w:t xml:space="preserve">, como ha sido adelantado, dicha modalidad de entrega recae en el supuesto previsto en el artículo 174 fracciones I, III y párrafo segundo de la Ley de Transparencia y Acceso a la Información Pública del Estado de México y Municipios, citado con antelación. </w:t>
      </w:r>
    </w:p>
    <w:p w14:paraId="48681D05"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5D2E207B"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Asimismo, se precisa que las cuotas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14:paraId="4DA0FC74"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401CBF4" w14:textId="77777777" w:rsidR="005C3A3A" w:rsidRPr="007B28C0" w:rsidRDefault="00BD07C9">
      <w:pPr>
        <w:spacing w:after="0" w:line="360" w:lineRule="auto"/>
        <w:ind w:firstLine="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14:paraId="43FA1300" w14:textId="77777777" w:rsidR="005C3A3A" w:rsidRPr="007B28C0" w:rsidRDefault="005C3A3A">
      <w:pPr>
        <w:spacing w:after="0" w:line="360" w:lineRule="auto"/>
        <w:ind w:firstLine="1"/>
        <w:jc w:val="both"/>
        <w:rPr>
          <w:rFonts w:ascii="Palatino Linotype" w:eastAsia="Palatino Linotype" w:hAnsi="Palatino Linotype" w:cs="Palatino Linotype"/>
          <w:sz w:val="24"/>
          <w:szCs w:val="24"/>
        </w:rPr>
      </w:pPr>
    </w:p>
    <w:p w14:paraId="6BB7CC27" w14:textId="77777777" w:rsidR="005C3A3A" w:rsidRPr="007B28C0" w:rsidRDefault="00BD07C9">
      <w:pPr>
        <w:spacing w:after="80" w:line="360" w:lineRule="auto"/>
        <w:ind w:firstLine="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Así, se tiene que el cobro por la certificación de los documentos a entregar, es un ingreso al que tienen derecho los municipios y su destino es cubrir el gasto público y demás obligaciones a su cargo, toda vez que es una ganancia lícita que se debe </w:t>
      </w:r>
      <w:r w:rsidRPr="007B28C0">
        <w:rPr>
          <w:rFonts w:ascii="Palatino Linotype" w:eastAsia="Palatino Linotype" w:hAnsi="Palatino Linotype" w:cs="Palatino Linotype"/>
          <w:sz w:val="24"/>
          <w:szCs w:val="24"/>
        </w:rPr>
        <w:lastRenderedPageBreak/>
        <w:t xml:space="preserve">obtener con el cumplimiento de la obligación de la parte </w:t>
      </w:r>
      <w:r w:rsidRPr="007B28C0">
        <w:rPr>
          <w:rFonts w:ascii="Palatino Linotype" w:eastAsia="Palatino Linotype" w:hAnsi="Palatino Linotype" w:cs="Palatino Linotype"/>
          <w:b/>
          <w:sz w:val="24"/>
          <w:szCs w:val="24"/>
        </w:rPr>
        <w:t>Recurrente</w:t>
      </w:r>
      <w:r w:rsidRPr="007B28C0">
        <w:rPr>
          <w:rFonts w:ascii="Palatino Linotype" w:eastAsia="Palatino Linotype" w:hAnsi="Palatino Linotype" w:cs="Palatino Linotype"/>
          <w:sz w:val="24"/>
          <w:szCs w:val="24"/>
        </w:rPr>
        <w:t xml:space="preserve"> a realizar el pago establecido en el artículo 148, fracción II del Código Financiero.</w:t>
      </w:r>
    </w:p>
    <w:p w14:paraId="051FD641" w14:textId="77777777" w:rsidR="005C3A3A" w:rsidRPr="007B28C0" w:rsidRDefault="00BD07C9">
      <w:pPr>
        <w:spacing w:before="80" w:after="240"/>
        <w:jc w:val="center"/>
      </w:pPr>
      <w:r w:rsidRPr="007B28C0">
        <w:rPr>
          <w:noProof/>
        </w:rPr>
        <w:drawing>
          <wp:inline distT="0" distB="0" distL="0" distR="0" wp14:anchorId="0E45B674" wp14:editId="237546F3">
            <wp:extent cx="5791200" cy="3638550"/>
            <wp:effectExtent l="0" t="0" r="0" b="0"/>
            <wp:docPr id="1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5791200" cy="3638550"/>
                    </a:xfrm>
                    <a:prstGeom prst="rect">
                      <a:avLst/>
                    </a:prstGeom>
                    <a:ln/>
                  </pic:spPr>
                </pic:pic>
              </a:graphicData>
            </a:graphic>
          </wp:inline>
        </w:drawing>
      </w:r>
    </w:p>
    <w:p w14:paraId="316B2640" w14:textId="77777777" w:rsidR="005C3A3A" w:rsidRPr="007B28C0" w:rsidRDefault="00BD07C9">
      <w:pPr>
        <w:spacing w:before="240"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En este sentido, es evidente que la entrega de la información a la particular mediante copias certificadas, procederá una vez que se acredite el pago de derechos correspondiente.</w:t>
      </w:r>
    </w:p>
    <w:p w14:paraId="76A72649"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0574B1D7" w14:textId="77777777" w:rsidR="005C3A3A" w:rsidRPr="007B28C0" w:rsidRDefault="00BD07C9">
      <w:pPr>
        <w:spacing w:after="24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En este sentido se señala que el monto por concepto de derechos, como se lee en el referido precepto legal del Código Financiero, se calcula tomando en consideración la Unidad de Medida y Actualización, UMA, como la referencia económica en pesos para determinar la cuantía del pago de las obligaciones y supuestos previstos en las leyes federales, de las entidades federativas, así como en las disposiciones </w:t>
      </w:r>
      <w:r w:rsidRPr="007B28C0">
        <w:rPr>
          <w:rFonts w:ascii="Palatino Linotype" w:eastAsia="Palatino Linotype" w:hAnsi="Palatino Linotype" w:cs="Palatino Linotype"/>
          <w:sz w:val="24"/>
          <w:szCs w:val="24"/>
        </w:rPr>
        <w:lastRenderedPageBreak/>
        <w:t>jurídicas que emanen de todas las anteriores, que es determinado en cada ejercicio fiscal por el Instituto Nacional de Estadística y Geografía, INEGI, cuyo valor actual es por la cantidad de $103.74 diarios, como se observa en seguida:</w:t>
      </w:r>
      <w:r w:rsidRPr="007B28C0">
        <w:rPr>
          <w:noProof/>
        </w:rPr>
        <w:drawing>
          <wp:inline distT="0" distB="0" distL="0" distR="0" wp14:anchorId="652FA4B4" wp14:editId="6FCE71B8">
            <wp:extent cx="5703694" cy="3194196"/>
            <wp:effectExtent l="0" t="0" r="0" b="0"/>
            <wp:docPr id="1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l="33945" t="22631" r="19721" b="28183"/>
                    <a:stretch>
                      <a:fillRect/>
                    </a:stretch>
                  </pic:blipFill>
                  <pic:spPr>
                    <a:xfrm>
                      <a:off x="0" y="0"/>
                      <a:ext cx="5703694" cy="3194196"/>
                    </a:xfrm>
                    <a:prstGeom prst="rect">
                      <a:avLst/>
                    </a:prstGeom>
                    <a:ln/>
                  </pic:spPr>
                </pic:pic>
              </a:graphicData>
            </a:graphic>
          </wp:inline>
        </w:drawing>
      </w:r>
    </w:p>
    <w:p w14:paraId="68D72732" w14:textId="77777777" w:rsidR="005C3A3A" w:rsidRPr="007B28C0" w:rsidRDefault="00BD07C9">
      <w:pPr>
        <w:spacing w:before="240"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Así, los derechos por la certificación de la primera hoja, equivalen a 0.850 veces el valor diario de la Unidad de Medida y Actualización vigente, mientras que los derechos para cada una de las subsecuentes equivalen a 0.417 veces el valor diario de la Unidad de Medida y Actualización vigente, es decir, $88.179 la primera hoja, y $43.12374 cada una de las hojas subsecuentes.</w:t>
      </w:r>
    </w:p>
    <w:p w14:paraId="21079BCE" w14:textId="77777777" w:rsidR="005C3A3A" w:rsidRPr="007B28C0" w:rsidRDefault="005C3A3A">
      <w:pPr>
        <w:spacing w:after="0" w:line="360" w:lineRule="auto"/>
        <w:jc w:val="both"/>
        <w:rPr>
          <w:rFonts w:ascii="Palatino Linotype" w:eastAsia="Palatino Linotype" w:hAnsi="Palatino Linotype" w:cs="Palatino Linotype"/>
          <w:b/>
          <w:sz w:val="24"/>
          <w:szCs w:val="24"/>
        </w:rPr>
      </w:pPr>
    </w:p>
    <w:p w14:paraId="3BF1043B" w14:textId="77777777" w:rsidR="005C3A3A" w:rsidRPr="007B28C0" w:rsidRDefault="00BD07C9">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No obstante a lo anterior, de la solicitud de información se desprende que la persona solicitante requirió como modalidad de entrega de la información el SAIMEX, </w:t>
      </w:r>
      <w:r w:rsidRPr="007B28C0">
        <w:rPr>
          <w:rFonts w:ascii="Palatino Linotype" w:eastAsia="Palatino Linotype" w:hAnsi="Palatino Linotype" w:cs="Palatino Linotype"/>
          <w:sz w:val="24"/>
          <w:szCs w:val="24"/>
        </w:rPr>
        <w:lastRenderedPageBreak/>
        <w:t>sistema que tiene como propósito facilitar en la entidad el ejercicio del derecho humano de acceso a la información pública, de forma sencilla y gratuita.</w:t>
      </w:r>
    </w:p>
    <w:p w14:paraId="283C0F78" w14:textId="77777777" w:rsidR="005C3A3A" w:rsidRPr="007B28C0" w:rsidRDefault="005C3A3A">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232A45BD" w14:textId="77777777" w:rsidR="005C3A3A" w:rsidRPr="007B28C0" w:rsidRDefault="00BD07C9">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7B28C0">
        <w:rPr>
          <w:noProof/>
        </w:rPr>
        <w:drawing>
          <wp:inline distT="0" distB="0" distL="0" distR="0" wp14:anchorId="5DED8200" wp14:editId="7BA1120A">
            <wp:extent cx="5555833" cy="830131"/>
            <wp:effectExtent l="0" t="0" r="0" b="0"/>
            <wp:docPr id="1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l="30380" t="50089" r="31771" b="39856"/>
                    <a:stretch>
                      <a:fillRect/>
                    </a:stretch>
                  </pic:blipFill>
                  <pic:spPr>
                    <a:xfrm>
                      <a:off x="0" y="0"/>
                      <a:ext cx="5555833" cy="830131"/>
                    </a:xfrm>
                    <a:prstGeom prst="rect">
                      <a:avLst/>
                    </a:prstGeom>
                    <a:ln/>
                  </pic:spPr>
                </pic:pic>
              </a:graphicData>
            </a:graphic>
          </wp:inline>
        </w:drawing>
      </w:r>
    </w:p>
    <w:p w14:paraId="27C220A7" w14:textId="77777777" w:rsidR="005C3A3A" w:rsidRPr="007B28C0" w:rsidRDefault="005C3A3A">
      <w:pPr>
        <w:spacing w:after="0" w:line="360" w:lineRule="auto"/>
        <w:jc w:val="both"/>
        <w:rPr>
          <w:rFonts w:ascii="Palatino Linotype" w:eastAsia="Palatino Linotype" w:hAnsi="Palatino Linotype" w:cs="Palatino Linotype"/>
          <w:b/>
          <w:sz w:val="24"/>
          <w:szCs w:val="24"/>
        </w:rPr>
      </w:pPr>
    </w:p>
    <w:p w14:paraId="5D6B7AF6" w14:textId="77777777" w:rsidR="005C3A3A" w:rsidRPr="007B28C0" w:rsidRDefault="00BD07C9">
      <w:pPr>
        <w:spacing w:after="0" w:line="360" w:lineRule="auto"/>
        <w:ind w:right="51"/>
        <w:jc w:val="both"/>
        <w:rPr>
          <w:rFonts w:ascii="Palatino Linotype" w:eastAsia="Palatino Linotype" w:hAnsi="Palatino Linotype" w:cs="Palatino Linotype"/>
          <w:b/>
          <w:sz w:val="24"/>
          <w:szCs w:val="24"/>
        </w:rPr>
      </w:pPr>
      <w:r w:rsidRPr="007B28C0">
        <w:rPr>
          <w:rFonts w:ascii="Palatino Linotype" w:eastAsia="Palatino Linotype" w:hAnsi="Palatino Linotype" w:cs="Palatino Linotype"/>
          <w:sz w:val="24"/>
          <w:szCs w:val="24"/>
        </w:rPr>
        <w:t>Asimismo, se precisa que para la entrega de la información certificada tal y como fue solicitada por el particular, debemos tener en cuenta que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que en el caso de que la información se haya solicitado en una modalidad que sea técnicamente factible y que constituya un costo de reproducción, los Sujetos Obligados deberán hacer del conocimiento de los particulares</w:t>
      </w:r>
      <w:r w:rsidRPr="007B28C0">
        <w:rPr>
          <w:rFonts w:ascii="Palatino Linotype" w:eastAsia="Palatino Linotype" w:hAnsi="Palatino Linotype" w:cs="Palatino Linotype"/>
          <w:b/>
          <w:sz w:val="24"/>
          <w:szCs w:val="24"/>
        </w:rPr>
        <w:t xml:space="preserve"> </w:t>
      </w:r>
      <w:r w:rsidRPr="007B28C0">
        <w:rPr>
          <w:rFonts w:ascii="Palatino Linotype" w:eastAsia="Palatino Linotype" w:hAnsi="Palatino Linotype" w:cs="Palatino Linotype"/>
          <w:sz w:val="24"/>
          <w:szCs w:val="24"/>
        </w:rPr>
        <w:t>previamente</w:t>
      </w:r>
      <w:r w:rsidRPr="007B28C0">
        <w:rPr>
          <w:rFonts w:ascii="Palatino Linotype" w:eastAsia="Palatino Linotype" w:hAnsi="Palatino Linotype" w:cs="Palatino Linotype"/>
          <w:b/>
          <w:sz w:val="24"/>
          <w:szCs w:val="24"/>
        </w:rPr>
        <w:t>, el costo total por la reproducción y certificación de la información requerida,</w:t>
      </w:r>
      <w:r w:rsidRPr="007B28C0">
        <w:rPr>
          <w:rFonts w:ascii="Palatino Linotype" w:eastAsia="Palatino Linotype" w:hAnsi="Palatino Linotype" w:cs="Palatino Linotype"/>
          <w:sz w:val="24"/>
          <w:szCs w:val="24"/>
        </w:rPr>
        <w:t xml:space="preserve"> </w:t>
      </w:r>
      <w:r w:rsidRPr="007B28C0">
        <w:rPr>
          <w:rFonts w:ascii="Palatino Linotype" w:eastAsia="Palatino Linotype" w:hAnsi="Palatino Linotype" w:cs="Palatino Linotype"/>
          <w:b/>
          <w:sz w:val="24"/>
          <w:szCs w:val="24"/>
        </w:rPr>
        <w:t xml:space="preserve">así como el procedimiento para la entrega de la misma en el que se establezca: procedimiento para realizar el pago correspondiente, lugar, día y horarios en los que podrá presentarse a recoger las copias certificadas y el nombre del o los servidores públicos que le atenderán, </w:t>
      </w:r>
      <w:r w:rsidRPr="007B28C0">
        <w:rPr>
          <w:rFonts w:ascii="Palatino Linotype" w:eastAsia="Palatino Linotype" w:hAnsi="Palatino Linotype" w:cs="Palatino Linotype"/>
          <w:b/>
          <w:sz w:val="24"/>
          <w:szCs w:val="24"/>
          <w:u w:val="single"/>
        </w:rPr>
        <w:t>situación que en el presente caso no aconteció</w:t>
      </w:r>
      <w:r w:rsidRPr="007B28C0">
        <w:rPr>
          <w:rFonts w:ascii="Palatino Linotype" w:eastAsia="Palatino Linotype" w:hAnsi="Palatino Linotype" w:cs="Palatino Linotype"/>
          <w:b/>
          <w:sz w:val="24"/>
          <w:szCs w:val="24"/>
        </w:rPr>
        <w:t xml:space="preserve">.  </w:t>
      </w:r>
    </w:p>
    <w:p w14:paraId="7F591677" w14:textId="77777777" w:rsidR="005C3A3A" w:rsidRPr="007B28C0" w:rsidRDefault="005C3A3A">
      <w:pPr>
        <w:spacing w:after="0" w:line="360" w:lineRule="auto"/>
        <w:ind w:right="51"/>
        <w:jc w:val="both"/>
        <w:rPr>
          <w:rFonts w:ascii="Palatino Linotype" w:eastAsia="Palatino Linotype" w:hAnsi="Palatino Linotype" w:cs="Palatino Linotype"/>
          <w:b/>
          <w:sz w:val="24"/>
          <w:szCs w:val="24"/>
        </w:rPr>
      </w:pPr>
    </w:p>
    <w:p w14:paraId="17BFD10A" w14:textId="77777777" w:rsidR="005C3A3A" w:rsidRPr="007B28C0" w:rsidRDefault="00BD07C9">
      <w:pPr>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Asimismo, no debe perderse de vista el contenido del artículo 166 de la Ley de Transparencia y Acceso a la Información Pública del Estado de México y Municipios, que señala a la literalidad lo siguiente:</w:t>
      </w:r>
    </w:p>
    <w:p w14:paraId="34C31F36" w14:textId="77777777" w:rsidR="005C3A3A" w:rsidRPr="007B28C0" w:rsidRDefault="005C3A3A">
      <w:pPr>
        <w:spacing w:after="0" w:line="360" w:lineRule="auto"/>
        <w:ind w:right="51"/>
        <w:jc w:val="both"/>
        <w:rPr>
          <w:rFonts w:ascii="Palatino Linotype" w:eastAsia="Palatino Linotype" w:hAnsi="Palatino Linotype" w:cs="Palatino Linotype"/>
          <w:sz w:val="24"/>
          <w:szCs w:val="24"/>
        </w:rPr>
      </w:pPr>
    </w:p>
    <w:p w14:paraId="3C912565" w14:textId="77777777" w:rsidR="005C3A3A" w:rsidRPr="007B28C0" w:rsidRDefault="00BD07C9">
      <w:pPr>
        <w:spacing w:after="120"/>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r w:rsidRPr="007B28C0">
        <w:rPr>
          <w:rFonts w:ascii="Palatino Linotype" w:eastAsia="Palatino Linotype" w:hAnsi="Palatino Linotype" w:cs="Palatino Linotype"/>
          <w:b/>
          <w:i/>
        </w:rPr>
        <w:t>Artículo 166</w:t>
      </w:r>
      <w:r w:rsidRPr="007B28C0">
        <w:rPr>
          <w:rFonts w:ascii="Palatino Linotype" w:eastAsia="Palatino Linotype" w:hAnsi="Palatino Linotype" w:cs="Palatino Linotype"/>
          <w:i/>
        </w:rPr>
        <w:t xml:space="preserve">. La obligación de acceso a la información pública se tendrá por cumplida </w:t>
      </w:r>
      <w:r w:rsidRPr="007B28C0">
        <w:rPr>
          <w:rFonts w:ascii="Palatino Linotype" w:eastAsia="Palatino Linotype" w:hAnsi="Palatino Linotype" w:cs="Palatino Linotype"/>
          <w:b/>
          <w:i/>
        </w:rPr>
        <w:t xml:space="preserve">cuando el solicitante tenga a su disposición la información requerida, </w:t>
      </w:r>
      <w:r w:rsidRPr="007B28C0">
        <w:rPr>
          <w:rFonts w:ascii="Palatino Linotype" w:eastAsia="Palatino Linotype" w:hAnsi="Palatino Linotype" w:cs="Palatino Linotype"/>
          <w:i/>
        </w:rPr>
        <w:t>o cuando realice la consulta de la misma en el lugar en el que ésta se localice.</w:t>
      </w:r>
    </w:p>
    <w:p w14:paraId="2754782C" w14:textId="77777777" w:rsidR="005C3A3A" w:rsidRPr="007B28C0" w:rsidRDefault="00BD07C9">
      <w:pPr>
        <w:spacing w:before="120" w:after="120"/>
        <w:ind w:left="851" w:right="851"/>
        <w:jc w:val="both"/>
        <w:rPr>
          <w:rFonts w:ascii="Palatino Linotype" w:eastAsia="Palatino Linotype" w:hAnsi="Palatino Linotype" w:cs="Palatino Linotype"/>
          <w:b/>
          <w:i/>
        </w:rPr>
      </w:pPr>
      <w:r w:rsidRPr="007B28C0">
        <w:rPr>
          <w:rFonts w:ascii="Palatino Linotype" w:eastAsia="Palatino Linotype" w:hAnsi="Palatino Linotype" w:cs="Palatino Linotype"/>
          <w:b/>
          <w:i/>
          <w:u w:val="single"/>
        </w:rPr>
        <w:t>La Unidad de Transparencia tendrá disponible la información solicitada</w:t>
      </w:r>
      <w:r w:rsidRPr="007B28C0">
        <w:rPr>
          <w:rFonts w:ascii="Palatino Linotype" w:eastAsia="Palatino Linotype" w:hAnsi="Palatino Linotype" w:cs="Palatino Linotype"/>
          <w:b/>
          <w:i/>
        </w:rPr>
        <w:t>, durante un plazo mínimo de sesenta días hábiles, contado a partir de que el solicitante hubiere realizado, en su caso, el pago respectivo, el cual deberá efectuarse en un plazo no mayor a treinta días hábiles.</w:t>
      </w:r>
    </w:p>
    <w:p w14:paraId="6E92F9B6" w14:textId="77777777" w:rsidR="005C3A3A" w:rsidRPr="007B28C0" w:rsidRDefault="00BD07C9">
      <w:pPr>
        <w:spacing w:before="120" w:after="120"/>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Transcurridos dichos plazos, si los solicitantes no acuden a recibir la información requerida los sujetos obligados darán por concluida la solicitud y procederán, de ser el caso, a la destrucción del material en el que se reprodujo la información.</w:t>
      </w:r>
    </w:p>
    <w:p w14:paraId="1782B122" w14:textId="77777777" w:rsidR="005C3A3A" w:rsidRPr="007B28C0" w:rsidRDefault="00BD07C9">
      <w:pPr>
        <w:spacing w:before="120" w:after="120"/>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w:t>
      </w:r>
    </w:p>
    <w:p w14:paraId="0BD21C21" w14:textId="77777777" w:rsidR="005C3A3A" w:rsidRPr="007B28C0" w:rsidRDefault="00BD07C9">
      <w:pPr>
        <w:spacing w:before="120" w:after="120"/>
        <w:ind w:left="851" w:right="851"/>
        <w:jc w:val="both"/>
        <w:rPr>
          <w:rFonts w:ascii="Palatino Linotype" w:eastAsia="Palatino Linotype" w:hAnsi="Palatino Linotype" w:cs="Palatino Linotype"/>
          <w:i/>
        </w:rPr>
      </w:pPr>
      <w:r w:rsidRPr="007B28C0">
        <w:rPr>
          <w:rFonts w:ascii="Palatino Linotype" w:eastAsia="Palatino Linotype" w:hAnsi="Palatino Linotype" w:cs="Palatino Linotype"/>
          <w:i/>
        </w:rPr>
        <w:t>Una vez entregada la información, el solicitante acusará recibo por escrito, dándose por terminado el trámite de acceso a la información.”</w:t>
      </w:r>
    </w:p>
    <w:p w14:paraId="168DC900" w14:textId="77777777" w:rsidR="005C3A3A" w:rsidRPr="007B28C0" w:rsidRDefault="005C3A3A">
      <w:pPr>
        <w:spacing w:before="120" w:after="0" w:line="360" w:lineRule="auto"/>
        <w:ind w:right="49"/>
        <w:jc w:val="both"/>
        <w:rPr>
          <w:rFonts w:ascii="Palatino Linotype" w:eastAsia="Palatino Linotype" w:hAnsi="Palatino Linotype" w:cs="Palatino Linotype"/>
          <w:sz w:val="24"/>
          <w:szCs w:val="24"/>
        </w:rPr>
      </w:pPr>
    </w:p>
    <w:p w14:paraId="5864C284"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Razón por la cual,</w:t>
      </w:r>
      <w:r w:rsidRPr="007B28C0">
        <w:rPr>
          <w:rFonts w:ascii="Palatino Linotype" w:eastAsia="Palatino Linotype" w:hAnsi="Palatino Linotype" w:cs="Palatino Linotype"/>
          <w:b/>
          <w:sz w:val="24"/>
          <w:szCs w:val="24"/>
        </w:rPr>
        <w:t xml:space="preserve"> </w:t>
      </w:r>
      <w:r w:rsidRPr="007B28C0">
        <w:rPr>
          <w:rFonts w:ascii="Palatino Linotype" w:eastAsia="Palatino Linotype" w:hAnsi="Palatino Linotype" w:cs="Palatino Linotype"/>
          <w:sz w:val="24"/>
          <w:szCs w:val="24"/>
        </w:rPr>
        <w:t xml:space="preserve">para dar cumplimiento a la presente resolución, el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 xml:space="preserve"> deberá hacer del conocimiento de la parte </w:t>
      </w:r>
      <w:r w:rsidRPr="007B28C0">
        <w:rPr>
          <w:rFonts w:ascii="Palatino Linotype" w:eastAsia="Palatino Linotype" w:hAnsi="Palatino Linotype" w:cs="Palatino Linotype"/>
          <w:b/>
          <w:sz w:val="24"/>
          <w:szCs w:val="24"/>
        </w:rPr>
        <w:t>RECURRENTE</w:t>
      </w:r>
      <w:r w:rsidRPr="007B28C0">
        <w:rPr>
          <w:rFonts w:ascii="Palatino Linotype" w:eastAsia="Palatino Linotype" w:hAnsi="Palatino Linotype" w:cs="Palatino Linotype"/>
          <w:sz w:val="24"/>
          <w:szCs w:val="24"/>
        </w:rPr>
        <w:t xml:space="preserve">, vía SAIMEX y correo electrónico, </w:t>
      </w:r>
      <w:r w:rsidRPr="007B28C0">
        <w:rPr>
          <w:rFonts w:ascii="Palatino Linotype" w:eastAsia="Palatino Linotype" w:hAnsi="Palatino Linotype" w:cs="Palatino Linotype"/>
          <w:b/>
          <w:sz w:val="24"/>
          <w:szCs w:val="24"/>
          <w:u w:val="single"/>
        </w:rPr>
        <w:t>el costo por la reproducción y certificación de la información requerida</w:t>
      </w:r>
      <w:r w:rsidRPr="007B28C0">
        <w:rPr>
          <w:rFonts w:ascii="Palatino Linotype" w:eastAsia="Palatino Linotype" w:hAnsi="Palatino Linotype" w:cs="Palatino Linotype"/>
          <w:sz w:val="24"/>
          <w:szCs w:val="24"/>
        </w:rPr>
        <w:t xml:space="preserve">, así como el procedimiento para la entrega de la misma una vez que haya efectuado el pago por concepto de derechos, en el que se establezca: </w:t>
      </w:r>
      <w:r w:rsidRPr="007B28C0">
        <w:rPr>
          <w:rFonts w:ascii="Palatino Linotype" w:eastAsia="Palatino Linotype" w:hAnsi="Palatino Linotype" w:cs="Palatino Linotype"/>
          <w:sz w:val="24"/>
          <w:szCs w:val="24"/>
        </w:rPr>
        <w:lastRenderedPageBreak/>
        <w:t>lugar, día y horarios en los que podrá presentarse a recoger las copias certificadas, así como  el nombre del o los servidores públicos que le atenderán.</w:t>
      </w:r>
    </w:p>
    <w:p w14:paraId="2C8720AA"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56FCE403"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También lo es que,  en materia de acceso a la información la certificación </w:t>
      </w:r>
      <w:r w:rsidRPr="007B28C0">
        <w:rPr>
          <w:rFonts w:ascii="Palatino Linotype" w:eastAsia="Palatino Linotype" w:hAnsi="Palatino Linotype" w:cs="Palatino Linotype"/>
          <w:b/>
          <w:sz w:val="24"/>
          <w:szCs w:val="24"/>
        </w:rPr>
        <w:t>únicamente por efecto constatar que la copia certificada que se entrega es una reproducción fiel del documento -original o copia simple- que obra en los archivos de la dependencia</w:t>
      </w:r>
      <w:r w:rsidRPr="007B28C0">
        <w:rPr>
          <w:rFonts w:ascii="Palatino Linotype" w:eastAsia="Palatino Linotype" w:hAnsi="Palatino Linotype" w:cs="Palatino Linotype"/>
          <w:sz w:val="24"/>
          <w:szCs w:val="24"/>
        </w:rPr>
        <w:t xml:space="preserve"> o entidad requerida, en ese orden de ideas, </w:t>
      </w:r>
      <w:r w:rsidRPr="007B28C0">
        <w:rPr>
          <w:rFonts w:ascii="Palatino Linotype" w:eastAsia="Palatino Linotype" w:hAnsi="Palatino Linotype" w:cs="Palatino Linotype"/>
          <w:b/>
          <w:sz w:val="24"/>
          <w:szCs w:val="24"/>
          <w:u w:val="single"/>
        </w:rPr>
        <w:t>la certificación, para efectos de acceso a la información, no tiene como propósito que el documento certificado haga las veces de un original,</w:t>
      </w:r>
      <w:r w:rsidRPr="007B28C0">
        <w:rPr>
          <w:rFonts w:ascii="Palatino Linotype" w:eastAsia="Palatino Linotype" w:hAnsi="Palatino Linotype" w:cs="Palatino Linotype"/>
          <w:sz w:val="24"/>
          <w:szCs w:val="24"/>
        </w:rPr>
        <w:t xml:space="preserve"> sino dejar evidencia de que los documentos obran en los archivos de los sujetos obligados, tal cual se encuentran, lo cual deberá quedar precisado en la leyenda de certificación correspondiente. </w:t>
      </w:r>
    </w:p>
    <w:p w14:paraId="3EC42127"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538BBC0" w14:textId="77777777" w:rsidR="005C3A3A" w:rsidRPr="007B28C0" w:rsidRDefault="00BD07C9">
      <w:pPr>
        <w:spacing w:after="0" w:line="360" w:lineRule="auto"/>
        <w:ind w:right="49"/>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Sirve de fundamentación a lo antes expresado, el criterio 06/2017 emitido por el Instituto Nacional de Transparencia, Acceso a la Información y Protección de Datos Personales: </w:t>
      </w:r>
    </w:p>
    <w:p w14:paraId="6C875B69" w14:textId="77777777" w:rsidR="005C3A3A" w:rsidRPr="007B28C0" w:rsidRDefault="00BD07C9">
      <w:pPr>
        <w:spacing w:after="0" w:line="240" w:lineRule="auto"/>
        <w:ind w:left="851" w:right="900"/>
        <w:jc w:val="both"/>
        <w:rPr>
          <w:rFonts w:ascii="Palatino Linotype" w:eastAsia="Palatino Linotype" w:hAnsi="Palatino Linotype" w:cs="Palatino Linotype"/>
          <w:i/>
        </w:rPr>
      </w:pPr>
      <w:r w:rsidRPr="007B28C0">
        <w:rPr>
          <w:rFonts w:ascii="Palatino Linotype" w:eastAsia="Palatino Linotype" w:hAnsi="Palatino Linotype" w:cs="Palatino Linotype"/>
          <w:b/>
          <w:i/>
        </w:rPr>
        <w:t xml:space="preserve">Copias certificadas, como modalidad de entrega en la Ley Federal de Transparencia y Acceso a la Información Pública corrobora que el documento es una copia fiel del que obra en los archivos del sujeto obligado. </w:t>
      </w:r>
      <w:r w:rsidRPr="007B28C0">
        <w:rPr>
          <w:rFonts w:ascii="Palatino Linotype" w:eastAsia="Palatino Linotype" w:hAnsi="Palatino Linotype" w:cs="Palatino Linotype"/>
          <w:i/>
        </w:rPr>
        <w:t xml:space="preserve">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w:t>
      </w:r>
      <w:r w:rsidRPr="007B28C0">
        <w:rPr>
          <w:rFonts w:ascii="Palatino Linotype" w:eastAsia="Palatino Linotype" w:hAnsi="Palatino Linotype" w:cs="Palatino Linotype"/>
          <w:i/>
        </w:rPr>
        <w:lastRenderedPageBreak/>
        <w:t>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14:paraId="1FCAC0DC" w14:textId="77777777" w:rsidR="005C3A3A" w:rsidRPr="007B28C0" w:rsidRDefault="005C3A3A">
      <w:pPr>
        <w:spacing w:after="0" w:line="240" w:lineRule="auto"/>
        <w:jc w:val="both"/>
        <w:rPr>
          <w:rFonts w:ascii="Palatino Linotype" w:eastAsia="Palatino Linotype" w:hAnsi="Palatino Linotype" w:cs="Palatino Linotype"/>
          <w:i/>
        </w:rPr>
      </w:pPr>
    </w:p>
    <w:p w14:paraId="4055792F" w14:textId="77777777" w:rsidR="005C3A3A" w:rsidRPr="007B28C0" w:rsidRDefault="00BD07C9">
      <w:pPr>
        <w:spacing w:after="0" w:line="240" w:lineRule="auto"/>
        <w:ind w:left="851" w:right="851"/>
        <w:jc w:val="both"/>
        <w:rPr>
          <w:rFonts w:ascii="Palatino Linotype" w:eastAsia="Palatino Linotype" w:hAnsi="Palatino Linotype" w:cs="Palatino Linotype"/>
          <w:b/>
          <w:i/>
        </w:rPr>
      </w:pPr>
      <w:r w:rsidRPr="007B28C0">
        <w:rPr>
          <w:rFonts w:ascii="Palatino Linotype" w:eastAsia="Palatino Linotype" w:hAnsi="Palatino Linotype" w:cs="Palatino Linotype"/>
          <w:b/>
          <w:i/>
        </w:rPr>
        <w:t>Precedentes:</w:t>
      </w:r>
    </w:p>
    <w:p w14:paraId="2A16E1EF" w14:textId="77777777" w:rsidR="005C3A3A" w:rsidRPr="007B28C0" w:rsidRDefault="00BD07C9">
      <w:pPr>
        <w:numPr>
          <w:ilvl w:val="0"/>
          <w:numId w:val="4"/>
        </w:numPr>
        <w:pBdr>
          <w:top w:val="nil"/>
          <w:left w:val="nil"/>
          <w:bottom w:val="nil"/>
          <w:right w:val="nil"/>
          <w:between w:val="nil"/>
        </w:pBdr>
        <w:spacing w:after="0" w:line="240" w:lineRule="auto"/>
        <w:ind w:left="851" w:right="851" w:firstLine="0"/>
        <w:jc w:val="both"/>
        <w:rPr>
          <w:rFonts w:ascii="Palatino Linotype" w:eastAsia="Palatino Linotype" w:hAnsi="Palatino Linotype" w:cs="Palatino Linotype"/>
          <w:i/>
        </w:rPr>
      </w:pPr>
      <w:r w:rsidRPr="007B28C0">
        <w:rPr>
          <w:rFonts w:ascii="Palatino Linotype" w:eastAsia="Palatino Linotype" w:hAnsi="Palatino Linotype" w:cs="Palatino Linotype"/>
          <w:i/>
        </w:rPr>
        <w:t>Acceso a la información pública. RRA 1291/16. Sesión del 07 de septiembre de 2016. Votación por unanimidad. Sin votos disidentes o particulares. Partido Encuentro Social. Comisionado Ponente Oscar Mauricio Guerra Ford.</w:t>
      </w:r>
    </w:p>
    <w:p w14:paraId="4AE649D7" w14:textId="77777777" w:rsidR="005C3A3A" w:rsidRPr="007B28C0" w:rsidRDefault="00BD07C9">
      <w:pPr>
        <w:numPr>
          <w:ilvl w:val="0"/>
          <w:numId w:val="4"/>
        </w:numPr>
        <w:pBdr>
          <w:top w:val="nil"/>
          <w:left w:val="nil"/>
          <w:bottom w:val="nil"/>
          <w:right w:val="nil"/>
          <w:between w:val="nil"/>
        </w:pBdr>
        <w:spacing w:after="0" w:line="240" w:lineRule="auto"/>
        <w:ind w:left="851" w:right="851" w:firstLine="0"/>
        <w:jc w:val="both"/>
        <w:rPr>
          <w:rFonts w:ascii="Palatino Linotype" w:eastAsia="Palatino Linotype" w:hAnsi="Palatino Linotype" w:cs="Palatino Linotype"/>
          <w:i/>
        </w:rPr>
      </w:pPr>
      <w:r w:rsidRPr="007B28C0">
        <w:rPr>
          <w:rFonts w:ascii="Palatino Linotype" w:eastAsia="Palatino Linotype" w:hAnsi="Palatino Linotype" w:cs="Palatino Linotype"/>
          <w:i/>
        </w:rPr>
        <w:t>Acceso a la información pública. RRA 1541/16. Sesión del 14 de septiembre de 2016. Votación por unanimidad. Sin votos disidentes o particulares. Secretaría de Agricultura, Ganadería, Desarrollo Rural, Pesca y Alimentación. Comisionado Ponente Francisco Javier Acuña Llamas.</w:t>
      </w:r>
      <w:r w:rsidRPr="007B28C0">
        <w:rPr>
          <w:rFonts w:ascii="Palatino Linotype" w:eastAsia="Palatino Linotype" w:hAnsi="Palatino Linotype" w:cs="Palatino Linotype"/>
          <w:b/>
          <w:i/>
        </w:rPr>
        <w:t xml:space="preserve"> </w:t>
      </w:r>
    </w:p>
    <w:p w14:paraId="7FABA9E6" w14:textId="77777777" w:rsidR="005C3A3A" w:rsidRPr="007B28C0" w:rsidRDefault="00BD07C9">
      <w:pPr>
        <w:numPr>
          <w:ilvl w:val="0"/>
          <w:numId w:val="4"/>
        </w:numPr>
        <w:pBdr>
          <w:top w:val="nil"/>
          <w:left w:val="nil"/>
          <w:bottom w:val="nil"/>
          <w:right w:val="nil"/>
          <w:between w:val="nil"/>
        </w:pBdr>
        <w:spacing w:after="0" w:line="240" w:lineRule="auto"/>
        <w:ind w:left="851" w:right="851" w:firstLine="0"/>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Acceso a la información pública. RRA 1657/16. Sesión del 05 de octubre de 2016. Votación por unanimidad. Sin votos disidentes o particulares. Universidad Nacional Autónoma de México. Comisionado Ponente </w:t>
      </w:r>
      <w:proofErr w:type="spellStart"/>
      <w:r w:rsidRPr="007B28C0">
        <w:rPr>
          <w:rFonts w:ascii="Palatino Linotype" w:eastAsia="Palatino Linotype" w:hAnsi="Palatino Linotype" w:cs="Palatino Linotype"/>
          <w:i/>
        </w:rPr>
        <w:t>Rosendoevgueni</w:t>
      </w:r>
      <w:proofErr w:type="spellEnd"/>
      <w:r w:rsidRPr="007B28C0">
        <w:rPr>
          <w:rFonts w:ascii="Palatino Linotype" w:eastAsia="Palatino Linotype" w:hAnsi="Palatino Linotype" w:cs="Palatino Linotype"/>
          <w:i/>
        </w:rPr>
        <w:t xml:space="preserve"> Monterrey </w:t>
      </w:r>
      <w:proofErr w:type="spellStart"/>
      <w:r w:rsidRPr="007B28C0">
        <w:rPr>
          <w:rFonts w:ascii="Palatino Linotype" w:eastAsia="Palatino Linotype" w:hAnsi="Palatino Linotype" w:cs="Palatino Linotype"/>
          <w:i/>
        </w:rPr>
        <w:t>Chepov</w:t>
      </w:r>
      <w:proofErr w:type="spellEnd"/>
    </w:p>
    <w:p w14:paraId="77A1D2DD" w14:textId="77777777" w:rsidR="005C3A3A" w:rsidRPr="007B28C0" w:rsidRDefault="005C3A3A">
      <w:pPr>
        <w:pBdr>
          <w:top w:val="nil"/>
          <w:left w:val="nil"/>
          <w:bottom w:val="nil"/>
          <w:right w:val="nil"/>
          <w:between w:val="nil"/>
        </w:pBdr>
        <w:spacing w:after="0" w:line="240" w:lineRule="auto"/>
        <w:ind w:left="714"/>
        <w:jc w:val="both"/>
        <w:rPr>
          <w:rFonts w:ascii="Palatino Linotype" w:eastAsia="Palatino Linotype" w:hAnsi="Palatino Linotype" w:cs="Palatino Linotype"/>
          <w:i/>
        </w:rPr>
      </w:pPr>
    </w:p>
    <w:p w14:paraId="1623614C" w14:textId="77777777" w:rsidR="005C3A3A" w:rsidRPr="007B28C0" w:rsidRDefault="00BD07C9">
      <w:pPr>
        <w:spacing w:before="240"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Ahora bien, por las circunstancias específicas de haber sido solicitada la información de manera certificada, ésta tiene que ser entregada/remitida de manera física a efecto de satisfacer dicha característica, lo cual efectivamente no se lograría satisfacer de remitirse de manera digital, no siendo viable su remisión colocándola mediante el escaneo, ya que la certificación requerida perdería su formalidad y característica.</w:t>
      </w:r>
    </w:p>
    <w:p w14:paraId="66586192"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tbl>
      <w:tblPr>
        <w:tblStyle w:val="af"/>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410"/>
        <w:gridCol w:w="2409"/>
        <w:gridCol w:w="2268"/>
      </w:tblGrid>
      <w:tr w:rsidR="007B28C0" w:rsidRPr="007B28C0" w14:paraId="1FBD009C" w14:textId="77777777">
        <w:tc>
          <w:tcPr>
            <w:tcW w:w="2100" w:type="dxa"/>
            <w:tcBorders>
              <w:top w:val="single" w:sz="4" w:space="0" w:color="000000"/>
              <w:left w:val="single" w:sz="4" w:space="0" w:color="000000"/>
              <w:bottom w:val="single" w:sz="4" w:space="0" w:color="000000"/>
              <w:right w:val="single" w:sz="4" w:space="0" w:color="000000"/>
            </w:tcBorders>
            <w:shd w:val="clear" w:color="auto" w:fill="AEAAAA"/>
          </w:tcPr>
          <w:p w14:paraId="67A40A62"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Información requerida.</w:t>
            </w:r>
          </w:p>
        </w:tc>
        <w:tc>
          <w:tcPr>
            <w:tcW w:w="2410" w:type="dxa"/>
            <w:tcBorders>
              <w:top w:val="single" w:sz="4" w:space="0" w:color="000000"/>
              <w:left w:val="single" w:sz="4" w:space="0" w:color="000000"/>
              <w:bottom w:val="single" w:sz="4" w:space="0" w:color="000000"/>
              <w:right w:val="single" w:sz="4" w:space="0" w:color="000000"/>
            </w:tcBorders>
            <w:shd w:val="clear" w:color="auto" w:fill="AEAAAA"/>
          </w:tcPr>
          <w:p w14:paraId="1B2F4478"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Respuesta</w:t>
            </w:r>
          </w:p>
        </w:tc>
        <w:tc>
          <w:tcPr>
            <w:tcW w:w="2409" w:type="dxa"/>
            <w:tcBorders>
              <w:top w:val="single" w:sz="4" w:space="0" w:color="000000"/>
              <w:left w:val="single" w:sz="4" w:space="0" w:color="000000"/>
              <w:bottom w:val="single" w:sz="4" w:space="0" w:color="000000"/>
              <w:right w:val="single" w:sz="4" w:space="0" w:color="000000"/>
            </w:tcBorders>
            <w:shd w:val="clear" w:color="auto" w:fill="AEAAAA"/>
          </w:tcPr>
          <w:p w14:paraId="7F627486"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Inconformidad</w:t>
            </w:r>
          </w:p>
        </w:tc>
        <w:tc>
          <w:tcPr>
            <w:tcW w:w="2268" w:type="dxa"/>
            <w:tcBorders>
              <w:top w:val="single" w:sz="4" w:space="0" w:color="000000"/>
              <w:left w:val="single" w:sz="4" w:space="0" w:color="000000"/>
              <w:bottom w:val="single" w:sz="4" w:space="0" w:color="000000"/>
              <w:right w:val="single" w:sz="4" w:space="0" w:color="000000"/>
            </w:tcBorders>
            <w:shd w:val="clear" w:color="auto" w:fill="AEAAAA"/>
          </w:tcPr>
          <w:p w14:paraId="7F1D3D13" w14:textId="77777777" w:rsidR="005C3A3A" w:rsidRPr="007B28C0" w:rsidRDefault="00BD07C9">
            <w:pPr>
              <w:spacing w:before="240" w:after="240"/>
              <w:jc w:val="center"/>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Informe justificado.</w:t>
            </w:r>
          </w:p>
        </w:tc>
      </w:tr>
      <w:tr w:rsidR="007B28C0" w:rsidRPr="007B28C0" w14:paraId="34E0593E"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30CD1A25"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lastRenderedPageBreak/>
              <w:t xml:space="preserve">3.- Copia Simple y Certificada del seguimiento que se le dio al Oficio No. </w:t>
            </w:r>
            <w:proofErr w:type="spellStart"/>
            <w:r w:rsidRPr="007B28C0">
              <w:rPr>
                <w:rFonts w:ascii="Palatino Linotype" w:eastAsia="Palatino Linotype" w:hAnsi="Palatino Linotype" w:cs="Palatino Linotype"/>
                <w:sz w:val="18"/>
                <w:szCs w:val="18"/>
              </w:rPr>
              <w:t>DPCEyB</w:t>
            </w:r>
            <w:proofErr w:type="spellEnd"/>
            <w:r w:rsidRPr="007B28C0">
              <w:rPr>
                <w:rFonts w:ascii="Palatino Linotype" w:eastAsia="Palatino Linotype" w:hAnsi="Palatino Linotype" w:cs="Palatino Linotype"/>
                <w:sz w:val="18"/>
                <w:szCs w:val="18"/>
              </w:rPr>
              <w:t xml:space="preserve">/NR/28/2016, de fecha 09 de agosto de 2016.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770BD21"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El Coordinador de Protección Civil, Bomberos, y Medio Ambiente, mencionó que ordeno una búsqueda exhaustiva en los archivos de su Coordinación Municipal, sin que se encontrara el Oficio </w:t>
            </w:r>
            <w:proofErr w:type="spellStart"/>
            <w:r w:rsidRPr="007B28C0">
              <w:rPr>
                <w:rFonts w:ascii="Palatino Linotype" w:eastAsia="Palatino Linotype" w:hAnsi="Palatino Linotype" w:cs="Palatino Linotype"/>
                <w:sz w:val="18"/>
                <w:szCs w:val="18"/>
              </w:rPr>
              <w:t>DPCEyB</w:t>
            </w:r>
            <w:proofErr w:type="spellEnd"/>
            <w:r w:rsidRPr="007B28C0">
              <w:rPr>
                <w:rFonts w:ascii="Palatino Linotype" w:eastAsia="Palatino Linotype" w:hAnsi="Palatino Linotype" w:cs="Palatino Linotype"/>
                <w:sz w:val="18"/>
                <w:szCs w:val="18"/>
              </w:rPr>
              <w:t>/NR/28/2016 de fecha nueve de agosto de dos mil dieciséis emitido por el Coordinador de Protección Civil y Bomberos.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B1483F6"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Expidió dichos Oficios y pretexta no encontrar dicha documentación.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D176090"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Ratifica.</w:t>
            </w:r>
          </w:p>
        </w:tc>
      </w:tr>
      <w:tr w:rsidR="007B28C0" w:rsidRPr="007B28C0" w14:paraId="71AA78A1" w14:textId="77777777">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1DCC6CC7"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 xml:space="preserve">4.- Copia Simple y Certificada del seguimiento que se le dio al Oficio No. DPCEYB/SPC/1015/2014, de fecha 05 de diciembre de 2014, emitido por el </w:t>
            </w:r>
            <w:proofErr w:type="spellStart"/>
            <w:r w:rsidRPr="007B28C0">
              <w:rPr>
                <w:rFonts w:ascii="Palatino Linotype" w:eastAsia="Palatino Linotype" w:hAnsi="Palatino Linotype" w:cs="Palatino Linotype"/>
                <w:sz w:val="18"/>
                <w:szCs w:val="18"/>
              </w:rPr>
              <w:t>Cmdte</w:t>
            </w:r>
            <w:proofErr w:type="spellEnd"/>
            <w:r w:rsidRPr="007B28C0">
              <w:rPr>
                <w:rFonts w:ascii="Palatino Linotype" w:eastAsia="Palatino Linotype" w:hAnsi="Palatino Linotype" w:cs="Palatino Linotype"/>
                <w:sz w:val="18"/>
                <w:szCs w:val="18"/>
              </w:rPr>
              <w:t>. Héctor Elorriaga Mejía.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675CC2F"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El Coordinador de Protección Civil, Bomberos, y Medio Ambiente, mencionó que ordeno una búsqueda exhaustiva en los archivos de su Coordinación Municipal, sin que se encontrara el oficio DPCEYB/SPC/1015/2014 de fecha cinco de diciembre de dos mil catorce emitido por el Comandante de Director de Protección Civil, Ecología y Bomberos.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0270243"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Expidió dichos Oficios y pretexta no encontrar dicha documentación,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8EA05A" w14:textId="77777777" w:rsidR="005C3A3A" w:rsidRPr="007B28C0" w:rsidRDefault="00BD07C9">
            <w:pPr>
              <w:spacing w:before="240" w:after="240"/>
              <w:jc w:val="both"/>
              <w:rPr>
                <w:rFonts w:ascii="Palatino Linotype" w:eastAsia="Palatino Linotype" w:hAnsi="Palatino Linotype" w:cs="Palatino Linotype"/>
                <w:sz w:val="18"/>
                <w:szCs w:val="18"/>
              </w:rPr>
            </w:pPr>
            <w:r w:rsidRPr="007B28C0">
              <w:rPr>
                <w:rFonts w:ascii="Palatino Linotype" w:eastAsia="Palatino Linotype" w:hAnsi="Palatino Linotype" w:cs="Palatino Linotype"/>
                <w:sz w:val="18"/>
                <w:szCs w:val="18"/>
              </w:rPr>
              <w:t>Ratifica.</w:t>
            </w:r>
          </w:p>
        </w:tc>
      </w:tr>
    </w:tbl>
    <w:p w14:paraId="33E2B3D2" w14:textId="77777777" w:rsidR="005C3A3A" w:rsidRPr="007B28C0" w:rsidRDefault="005C3A3A">
      <w:pPr>
        <w:spacing w:after="0" w:line="360" w:lineRule="auto"/>
        <w:ind w:right="49"/>
        <w:jc w:val="both"/>
        <w:rPr>
          <w:rFonts w:ascii="Palatino Linotype" w:eastAsia="Palatino Linotype" w:hAnsi="Palatino Linotype" w:cs="Palatino Linotype"/>
          <w:sz w:val="24"/>
          <w:szCs w:val="24"/>
        </w:rPr>
      </w:pPr>
    </w:p>
    <w:p w14:paraId="1B195888"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366619B2"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05F495AA" w14:textId="77777777" w:rsidR="005C3A3A" w:rsidRPr="007B28C0" w:rsidRDefault="00BD07C9">
      <w:pPr>
        <w:spacing w:after="0" w:line="360" w:lineRule="auto"/>
        <w:ind w:right="49"/>
        <w:jc w:val="both"/>
        <w:rPr>
          <w:rFonts w:ascii="Palatino Linotype" w:eastAsia="Palatino Linotype" w:hAnsi="Palatino Linotype" w:cs="Palatino Linotype"/>
          <w:i/>
        </w:rPr>
      </w:pPr>
      <w:r w:rsidRPr="007B28C0">
        <w:rPr>
          <w:rFonts w:ascii="Palatino Linotype" w:eastAsia="Palatino Linotype" w:hAnsi="Palatino Linotype" w:cs="Palatino Linotype"/>
          <w:sz w:val="24"/>
          <w:szCs w:val="24"/>
        </w:rPr>
        <w:lastRenderedPageBreak/>
        <w:t xml:space="preserve">Al respecto, toda vez que no posee, administra ni genera la información requerida por el particular, constituye un hecho negativo, esto bajos las consideraciones antes señalas, motivo, por el que se tiene por colmado este punto de la solicitud. </w:t>
      </w:r>
    </w:p>
    <w:p w14:paraId="131E3FA0" w14:textId="77777777" w:rsidR="005C3A3A" w:rsidRPr="007B28C0" w:rsidRDefault="005C3A3A">
      <w:pPr>
        <w:spacing w:after="0" w:line="360" w:lineRule="auto"/>
        <w:ind w:right="49"/>
        <w:jc w:val="both"/>
        <w:rPr>
          <w:rFonts w:ascii="Palatino Linotype" w:eastAsia="Palatino Linotype" w:hAnsi="Palatino Linotype" w:cs="Palatino Linotype"/>
          <w:i/>
        </w:rPr>
      </w:pPr>
    </w:p>
    <w:p w14:paraId="0A7B9EB1" w14:textId="77777777" w:rsidR="005C3A3A" w:rsidRPr="007B28C0" w:rsidRDefault="00BD07C9">
      <w:pPr>
        <w:spacing w:after="0" w:line="360" w:lineRule="auto"/>
        <w:ind w:right="-9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QUINTO. VERSIÓN PÚBLICA.</w:t>
      </w:r>
      <w:r w:rsidRPr="007B28C0">
        <w:rPr>
          <w:rFonts w:ascii="Palatino Linotype" w:eastAsia="Palatino Linotype" w:hAnsi="Palatino Linotype" w:cs="Palatino Linotype"/>
          <w:b/>
          <w:sz w:val="28"/>
          <w:szCs w:val="28"/>
        </w:rPr>
        <w:t xml:space="preserve"> </w:t>
      </w:r>
      <w:r w:rsidRPr="007B28C0">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7B28C0">
        <w:rPr>
          <w:rFonts w:ascii="Palatino Linotype" w:eastAsia="Palatino Linotype" w:hAnsi="Palatino Linotype" w:cs="Palatino Linotype"/>
          <w:b/>
          <w:sz w:val="24"/>
          <w:szCs w:val="24"/>
        </w:rPr>
        <w:t xml:space="preserve">SUJETO OBLIGADO </w:t>
      </w:r>
      <w:r w:rsidRPr="007B28C0">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43839D4E" w14:textId="77777777" w:rsidR="005C3A3A" w:rsidRPr="007B28C0" w:rsidRDefault="005C3A3A">
      <w:pPr>
        <w:spacing w:after="0" w:line="360" w:lineRule="auto"/>
        <w:ind w:right="-91"/>
        <w:jc w:val="both"/>
        <w:rPr>
          <w:rFonts w:ascii="Palatino Linotype" w:eastAsia="Palatino Linotype" w:hAnsi="Palatino Linotype" w:cs="Palatino Linotype"/>
          <w:sz w:val="24"/>
          <w:szCs w:val="24"/>
        </w:rPr>
      </w:pPr>
    </w:p>
    <w:p w14:paraId="2B368B3C"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68844BA"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4C17BCC" w14:textId="77777777" w:rsidR="005C3A3A" w:rsidRPr="007B28C0" w:rsidRDefault="00BD07C9">
      <w:pPr>
        <w:spacing w:after="0" w:line="360" w:lineRule="auto"/>
        <w:ind w:left="851" w:right="902"/>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r w:rsidRPr="007B28C0">
        <w:rPr>
          <w:rFonts w:ascii="Palatino Linotype" w:eastAsia="Palatino Linotype" w:hAnsi="Palatino Linotype" w:cs="Palatino Linotype"/>
          <w:b/>
          <w:i/>
        </w:rPr>
        <w:t>Artículo 3</w:t>
      </w:r>
      <w:r w:rsidRPr="007B28C0">
        <w:rPr>
          <w:rFonts w:ascii="Palatino Linotype" w:eastAsia="Palatino Linotype" w:hAnsi="Palatino Linotype" w:cs="Palatino Linotype"/>
          <w:i/>
        </w:rPr>
        <w:t>. Para los efectos de la presente Ley se entenderá por:</w:t>
      </w:r>
    </w:p>
    <w:p w14:paraId="5DB70DFC" w14:textId="77777777" w:rsidR="005C3A3A" w:rsidRPr="007B28C0" w:rsidRDefault="00BD07C9">
      <w:pPr>
        <w:spacing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52A06452"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IX. Datos personales</w:t>
      </w:r>
      <w:r w:rsidRPr="007B28C0">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6E358D94"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XX. Información clasificada</w:t>
      </w:r>
      <w:r w:rsidRPr="007B28C0">
        <w:rPr>
          <w:rFonts w:ascii="Palatino Linotype" w:eastAsia="Palatino Linotype" w:hAnsi="Palatino Linotype" w:cs="Palatino Linotype"/>
          <w:i/>
        </w:rPr>
        <w:t>: Aquella considerada por la presente Ley como reservada o confidencial;</w:t>
      </w:r>
    </w:p>
    <w:p w14:paraId="17856745"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lastRenderedPageBreak/>
        <w:t xml:space="preserve">XXI. Información confidencial: </w:t>
      </w:r>
      <w:r w:rsidRPr="007B28C0">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3D78952"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XLV. Versión pública:</w:t>
      </w:r>
      <w:r w:rsidRPr="007B28C0">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2EBC0507"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7E19A94B"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Artículo 91.</w:t>
      </w:r>
      <w:r w:rsidRPr="007B28C0">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9809496"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Artículo 132.</w:t>
      </w:r>
      <w:r w:rsidRPr="007B28C0">
        <w:rPr>
          <w:rFonts w:ascii="Palatino Linotype" w:eastAsia="Palatino Linotype" w:hAnsi="Palatino Linotype" w:cs="Palatino Linotype"/>
          <w:i/>
        </w:rPr>
        <w:t xml:space="preserve"> La clasificación de la información se llevará a cabo en el momento en que:</w:t>
      </w:r>
    </w:p>
    <w:p w14:paraId="14D11F87"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I</w:t>
      </w:r>
      <w:r w:rsidRPr="007B28C0">
        <w:rPr>
          <w:rFonts w:ascii="Palatino Linotype" w:eastAsia="Palatino Linotype" w:hAnsi="Palatino Linotype" w:cs="Palatino Linotype"/>
          <w:i/>
        </w:rPr>
        <w:t>. Se reciba una solicitud de acceso a la información;</w:t>
      </w:r>
    </w:p>
    <w:p w14:paraId="35B33A23"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II.</w:t>
      </w:r>
      <w:r w:rsidRPr="007B28C0">
        <w:rPr>
          <w:rFonts w:ascii="Palatino Linotype" w:eastAsia="Palatino Linotype" w:hAnsi="Palatino Linotype" w:cs="Palatino Linotype"/>
          <w:i/>
        </w:rPr>
        <w:t xml:space="preserve"> Se determine mediante resolución de autoridad competente; o</w:t>
      </w:r>
    </w:p>
    <w:p w14:paraId="37CA1E1E"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III.</w:t>
      </w:r>
      <w:r w:rsidRPr="007B28C0">
        <w:rPr>
          <w:rFonts w:ascii="Palatino Linotype" w:eastAsia="Palatino Linotype" w:hAnsi="Palatino Linotype" w:cs="Palatino Linotype"/>
          <w:i/>
        </w:rPr>
        <w:t xml:space="preserve"> Se generen versiones públicas para dar cumplimiento a las obligaciones de transparencia previstas en esta Ley.</w:t>
      </w:r>
    </w:p>
    <w:p w14:paraId="5FF230B9"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i/>
        </w:rPr>
        <w:t>[…]</w:t>
      </w:r>
    </w:p>
    <w:p w14:paraId="69442284"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Artículo 143</w:t>
      </w:r>
      <w:r w:rsidRPr="007B28C0">
        <w:rPr>
          <w:rFonts w:ascii="Palatino Linotype" w:eastAsia="Palatino Linotype" w:hAnsi="Palatino Linotype" w:cs="Palatino Linotype"/>
          <w:i/>
        </w:rPr>
        <w:t>. Para los efectos de esta Ley se considera información confidencial, la clasificada como tal, de manera permanente, por su naturaleza, cuando:</w:t>
      </w:r>
    </w:p>
    <w:p w14:paraId="75ECFEB6"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I.</w:t>
      </w:r>
      <w:r w:rsidRPr="007B28C0">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1FF48760"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II.</w:t>
      </w:r>
      <w:r w:rsidRPr="007B28C0">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2FA4013"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b/>
          <w:i/>
        </w:rPr>
        <w:t>III.</w:t>
      </w:r>
      <w:r w:rsidRPr="007B28C0">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5578D658"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i/>
        </w:rPr>
        <w:lastRenderedPageBreak/>
        <w:t>La información confidencial no estará sujeta a temporalidad alguna y sólo podrán tener acceso a ella los titulares de la misma, sus representantes y los servidores públicos facultados para ello.</w:t>
      </w:r>
    </w:p>
    <w:p w14:paraId="17C3C5B7" w14:textId="77777777" w:rsidR="005C3A3A" w:rsidRPr="007B28C0" w:rsidRDefault="00BD07C9">
      <w:pPr>
        <w:spacing w:before="120" w:after="120"/>
        <w:ind w:left="1134" w:right="902"/>
        <w:jc w:val="both"/>
        <w:rPr>
          <w:rFonts w:ascii="Palatino Linotype" w:eastAsia="Palatino Linotype" w:hAnsi="Palatino Linotype" w:cs="Palatino Linotype"/>
          <w:i/>
        </w:rPr>
      </w:pPr>
      <w:r w:rsidRPr="007B28C0">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4C84BC7F" w14:textId="77777777" w:rsidR="005C3A3A" w:rsidRPr="007B28C0" w:rsidRDefault="005C3A3A">
      <w:pPr>
        <w:spacing w:before="120" w:after="120"/>
        <w:ind w:left="851" w:right="902"/>
        <w:jc w:val="both"/>
        <w:rPr>
          <w:rFonts w:ascii="Palatino Linotype" w:eastAsia="Palatino Linotype" w:hAnsi="Palatino Linotype" w:cs="Palatino Linotype"/>
          <w:i/>
          <w:sz w:val="24"/>
          <w:szCs w:val="24"/>
        </w:rPr>
      </w:pPr>
    </w:p>
    <w:p w14:paraId="1B4024C3"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Al respecto, se destaca que la versión pública que elabore el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7B28C0">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7B28C0">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6CF1167" w14:textId="77777777" w:rsidR="005C3A3A" w:rsidRPr="007B28C0" w:rsidRDefault="005C3A3A">
      <w:pPr>
        <w:spacing w:after="0" w:line="360" w:lineRule="auto"/>
        <w:ind w:left="709" w:right="709"/>
        <w:jc w:val="both"/>
        <w:rPr>
          <w:rFonts w:ascii="Palatino Linotype" w:eastAsia="Palatino Linotype" w:hAnsi="Palatino Linotype" w:cs="Palatino Linotype"/>
          <w:sz w:val="24"/>
          <w:szCs w:val="24"/>
        </w:rPr>
      </w:pPr>
    </w:p>
    <w:p w14:paraId="50DB579C" w14:textId="77777777" w:rsidR="005C3A3A" w:rsidRPr="007B28C0" w:rsidRDefault="00BD07C9">
      <w:pPr>
        <w:pBdr>
          <w:top w:val="nil"/>
          <w:left w:val="nil"/>
          <w:bottom w:val="nil"/>
          <w:right w:val="nil"/>
          <w:between w:val="nil"/>
        </w:pBdr>
        <w:spacing w:after="0" w:line="360" w:lineRule="auto"/>
        <w:ind w:left="709" w:right="709"/>
        <w:jc w:val="both"/>
      </w:pPr>
      <w:r w:rsidRPr="007B28C0">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09BCE88C"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i/>
        </w:rPr>
        <w:t>“</w:t>
      </w:r>
      <w:r w:rsidRPr="007B28C0">
        <w:rPr>
          <w:rFonts w:ascii="Palatino Linotype" w:eastAsia="Palatino Linotype" w:hAnsi="Palatino Linotype" w:cs="Palatino Linotype"/>
          <w:b/>
          <w:i/>
        </w:rPr>
        <w:t>Segundo.-</w:t>
      </w:r>
      <w:r w:rsidRPr="007B28C0">
        <w:rPr>
          <w:rFonts w:ascii="Palatino Linotype" w:eastAsia="Palatino Linotype" w:hAnsi="Palatino Linotype" w:cs="Palatino Linotype"/>
          <w:i/>
        </w:rPr>
        <w:t xml:space="preserve"> Para efectos de los presentes Lineamientos Generales, se entenderá por:</w:t>
      </w:r>
    </w:p>
    <w:p w14:paraId="2F31F36A"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b/>
          <w:i/>
        </w:rPr>
        <w:t>XVIII.</w:t>
      </w:r>
      <w:r w:rsidRPr="007B28C0">
        <w:rPr>
          <w:rFonts w:ascii="Palatino Linotype" w:eastAsia="Palatino Linotype" w:hAnsi="Palatino Linotype" w:cs="Palatino Linotype"/>
          <w:i/>
        </w:rPr>
        <w:t xml:space="preserve"> </w:t>
      </w:r>
      <w:r w:rsidRPr="007B28C0">
        <w:rPr>
          <w:rFonts w:ascii="Palatino Linotype" w:eastAsia="Palatino Linotype" w:hAnsi="Palatino Linotype" w:cs="Palatino Linotype"/>
          <w:b/>
          <w:i/>
        </w:rPr>
        <w:t>Versión pública:</w:t>
      </w:r>
      <w:r w:rsidRPr="007B28C0">
        <w:rPr>
          <w:rFonts w:ascii="Palatino Linotype" w:eastAsia="Palatino Linotype" w:hAnsi="Palatino Linotype" w:cs="Palatino Linotype"/>
          <w:i/>
        </w:rPr>
        <w:t xml:space="preserve"> El documento a partir del que se otorga acceso a la información, en el que se testan partes o secciones clasificadas, indicando el contenido </w:t>
      </w:r>
      <w:r w:rsidRPr="007B28C0">
        <w:rPr>
          <w:rFonts w:ascii="Palatino Linotype" w:eastAsia="Palatino Linotype" w:hAnsi="Palatino Linotype" w:cs="Palatino Linotype"/>
          <w:i/>
        </w:rPr>
        <w:lastRenderedPageBreak/>
        <w:t xml:space="preserve">de éstas de manera genérica, </w:t>
      </w:r>
      <w:r w:rsidRPr="007B28C0">
        <w:rPr>
          <w:rFonts w:ascii="Palatino Linotype" w:eastAsia="Palatino Linotype" w:hAnsi="Palatino Linotype" w:cs="Palatino Linotype"/>
          <w:b/>
          <w:i/>
          <w:u w:val="single"/>
        </w:rPr>
        <w:t>fundando y motivando la</w:t>
      </w:r>
      <w:r w:rsidRPr="007B28C0">
        <w:rPr>
          <w:rFonts w:ascii="Palatino Linotype" w:eastAsia="Palatino Linotype" w:hAnsi="Palatino Linotype" w:cs="Palatino Linotype"/>
          <w:i/>
        </w:rPr>
        <w:t xml:space="preserve"> reserva o </w:t>
      </w:r>
      <w:r w:rsidRPr="007B28C0">
        <w:rPr>
          <w:rFonts w:ascii="Palatino Linotype" w:eastAsia="Palatino Linotype" w:hAnsi="Palatino Linotype" w:cs="Palatino Linotype"/>
          <w:b/>
          <w:i/>
          <w:u w:val="single"/>
        </w:rPr>
        <w:t>confidencialidad</w:t>
      </w:r>
      <w:r w:rsidRPr="007B28C0">
        <w:rPr>
          <w:rFonts w:ascii="Palatino Linotype" w:eastAsia="Palatino Linotype" w:hAnsi="Palatino Linotype" w:cs="Palatino Linotype"/>
          <w:i/>
        </w:rPr>
        <w:t>, a través de la resolución que para tal efecto emita el Comité de Transparencia.</w:t>
      </w:r>
    </w:p>
    <w:p w14:paraId="2A53F7F6"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b/>
          <w:i/>
        </w:rPr>
        <w:t>Cuarto.</w:t>
      </w:r>
      <w:r w:rsidRPr="007B28C0">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25C52A9"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5ADC035F"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b/>
          <w:i/>
        </w:rPr>
        <w:t>Quinto.</w:t>
      </w:r>
      <w:r w:rsidRPr="007B28C0">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57A3598"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b/>
          <w:i/>
        </w:rPr>
        <w:t>…</w:t>
      </w:r>
    </w:p>
    <w:p w14:paraId="7C66D923"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b/>
          <w:i/>
        </w:rPr>
        <w:t>Séptimo.</w:t>
      </w:r>
      <w:r w:rsidRPr="007B28C0">
        <w:rPr>
          <w:rFonts w:ascii="Palatino Linotype" w:eastAsia="Palatino Linotype" w:hAnsi="Palatino Linotype" w:cs="Palatino Linotype"/>
          <w:i/>
        </w:rPr>
        <w:t xml:space="preserve"> La clasificación de la información se llevará a cabo en el momento en que:</w:t>
      </w:r>
    </w:p>
    <w:p w14:paraId="10A51A84"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b/>
          <w:i/>
        </w:rPr>
        <w:t>I.</w:t>
      </w:r>
      <w:r w:rsidRPr="007B28C0">
        <w:rPr>
          <w:rFonts w:ascii="Palatino Linotype" w:eastAsia="Palatino Linotype" w:hAnsi="Palatino Linotype" w:cs="Palatino Linotype"/>
          <w:i/>
        </w:rPr>
        <w:t xml:space="preserve"> Se reciba una solicitud de acceso a la información;</w:t>
      </w:r>
    </w:p>
    <w:p w14:paraId="28F6E4BD"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b/>
          <w:i/>
        </w:rPr>
        <w:t>II.</w:t>
      </w:r>
      <w:r w:rsidRPr="007B28C0">
        <w:rPr>
          <w:rFonts w:ascii="Palatino Linotype" w:eastAsia="Palatino Linotype" w:hAnsi="Palatino Linotype" w:cs="Palatino Linotype"/>
          <w:i/>
        </w:rPr>
        <w:t xml:space="preserve"> Se  determine mediante resolución del Comité de Transparencia, el órgano garante </w:t>
      </w:r>
    </w:p>
    <w:p w14:paraId="22B1F5A3"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i/>
        </w:rPr>
        <w:t>competente, o en cumplimiento a una sentencia del Poder Judicial; o</w:t>
      </w:r>
    </w:p>
    <w:p w14:paraId="202932ED"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b/>
          <w:i/>
        </w:rPr>
        <w:t>III.</w:t>
      </w:r>
      <w:r w:rsidRPr="007B28C0">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793773A"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1F51D0B4"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b/>
          <w:i/>
        </w:rPr>
        <w:t>Octavo.</w:t>
      </w:r>
      <w:r w:rsidRPr="007B28C0">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C03AB2"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i/>
        </w:rPr>
        <w:lastRenderedPageBreak/>
        <w:t>Para motivar la clasificación se deberán señalar las razones o circunstancias especiales que lo llevaron a concluir que el caso particular se ajusta al supuesto previsto por la norma legal invocada como fundamento.</w:t>
      </w:r>
    </w:p>
    <w:p w14:paraId="09988613"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B5C3E5A"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b/>
          <w:i/>
        </w:rPr>
        <w:t>Noveno.</w:t>
      </w:r>
      <w:r w:rsidRPr="007B28C0">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CD0C60E"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b/>
          <w:i/>
        </w:rPr>
        <w:t>Décimo.</w:t>
      </w:r>
      <w:r w:rsidRPr="007B28C0">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04AEC3D"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6555C23D"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b/>
          <w:i/>
        </w:rPr>
        <w:t>Décimo primero.</w:t>
      </w:r>
      <w:r w:rsidRPr="007B28C0">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6099573" w14:textId="77777777" w:rsidR="005C3A3A" w:rsidRPr="007B28C0" w:rsidRDefault="005C3A3A">
      <w:pPr>
        <w:pBdr>
          <w:top w:val="nil"/>
          <w:left w:val="nil"/>
          <w:bottom w:val="nil"/>
          <w:right w:val="nil"/>
          <w:between w:val="nil"/>
        </w:pBdr>
        <w:spacing w:after="0" w:line="276" w:lineRule="auto"/>
        <w:ind w:right="709"/>
        <w:jc w:val="both"/>
      </w:pPr>
    </w:p>
    <w:p w14:paraId="58B716D8" w14:textId="77777777" w:rsidR="005C3A3A" w:rsidRPr="007B28C0" w:rsidRDefault="00BD07C9">
      <w:pPr>
        <w:pBdr>
          <w:top w:val="nil"/>
          <w:left w:val="nil"/>
          <w:bottom w:val="nil"/>
          <w:right w:val="nil"/>
          <w:between w:val="nil"/>
        </w:pBdr>
        <w:spacing w:after="0" w:line="276" w:lineRule="auto"/>
        <w:ind w:left="709" w:right="709"/>
        <w:jc w:val="both"/>
      </w:pPr>
      <w:r w:rsidRPr="007B28C0">
        <w:rPr>
          <w:rFonts w:ascii="Palatino Linotype" w:eastAsia="Palatino Linotype" w:hAnsi="Palatino Linotype" w:cs="Palatino Linotype"/>
          <w:i/>
        </w:rPr>
        <w:t>[…]</w:t>
      </w:r>
    </w:p>
    <w:p w14:paraId="02F453E9" w14:textId="77777777" w:rsidR="005C3A3A" w:rsidRPr="007B28C0" w:rsidRDefault="005C3A3A">
      <w:pPr>
        <w:pBdr>
          <w:top w:val="nil"/>
          <w:left w:val="nil"/>
          <w:bottom w:val="nil"/>
          <w:right w:val="nil"/>
          <w:between w:val="nil"/>
        </w:pBdr>
        <w:spacing w:after="0" w:line="276" w:lineRule="auto"/>
        <w:ind w:right="709"/>
        <w:rPr>
          <w:rFonts w:ascii="Palatino Linotype" w:eastAsia="Palatino Linotype" w:hAnsi="Palatino Linotype" w:cs="Palatino Linotype"/>
          <w:b/>
          <w:i/>
        </w:rPr>
      </w:pPr>
    </w:p>
    <w:p w14:paraId="7243B349" w14:textId="77777777" w:rsidR="005C3A3A" w:rsidRPr="007B28C0" w:rsidRDefault="00BD07C9">
      <w:pPr>
        <w:pBdr>
          <w:top w:val="nil"/>
          <w:left w:val="nil"/>
          <w:bottom w:val="nil"/>
          <w:right w:val="nil"/>
          <w:between w:val="nil"/>
        </w:pBdr>
        <w:spacing w:after="0" w:line="276" w:lineRule="auto"/>
        <w:ind w:left="709" w:right="709"/>
        <w:jc w:val="center"/>
      </w:pPr>
      <w:r w:rsidRPr="007B28C0">
        <w:rPr>
          <w:rFonts w:ascii="Palatino Linotype" w:eastAsia="Palatino Linotype" w:hAnsi="Palatino Linotype" w:cs="Palatino Linotype"/>
          <w:b/>
          <w:i/>
        </w:rPr>
        <w:t>CAPÍTULO VIII</w:t>
      </w:r>
    </w:p>
    <w:p w14:paraId="2A41E6B8" w14:textId="77777777" w:rsidR="005C3A3A" w:rsidRPr="007B28C0" w:rsidRDefault="00BD07C9">
      <w:pPr>
        <w:pBdr>
          <w:top w:val="nil"/>
          <w:left w:val="nil"/>
          <w:bottom w:val="nil"/>
          <w:right w:val="nil"/>
          <w:between w:val="nil"/>
        </w:pBdr>
        <w:spacing w:after="0" w:line="276" w:lineRule="auto"/>
        <w:ind w:left="709" w:right="709"/>
        <w:jc w:val="center"/>
        <w:rPr>
          <w:rFonts w:ascii="Palatino Linotype" w:eastAsia="Palatino Linotype" w:hAnsi="Palatino Linotype" w:cs="Palatino Linotype"/>
          <w:b/>
          <w:i/>
        </w:rPr>
      </w:pPr>
      <w:r w:rsidRPr="007B28C0">
        <w:rPr>
          <w:rFonts w:ascii="Palatino Linotype" w:eastAsia="Palatino Linotype" w:hAnsi="Palatino Linotype" w:cs="Palatino Linotype"/>
          <w:b/>
          <w:i/>
        </w:rPr>
        <w:t>DE LOS ELEMENTOS PARA LA CLASIFICACIÓN</w:t>
      </w:r>
    </w:p>
    <w:p w14:paraId="3D3CDA50"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b/>
          <w:i/>
        </w:rPr>
        <w:t>Quincuagésimo</w:t>
      </w:r>
      <w:r w:rsidRPr="007B28C0">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w:t>
      </w:r>
      <w:r w:rsidRPr="007B28C0">
        <w:rPr>
          <w:rFonts w:ascii="Palatino Linotype" w:eastAsia="Palatino Linotype" w:hAnsi="Palatino Linotype" w:cs="Palatino Linotype"/>
          <w:i/>
        </w:rPr>
        <w:lastRenderedPageBreak/>
        <w:t>documentos o expedientes, siempre y cuando cumplan lo establecido en los presentes Lineamientos, así como en las correspondientes Leyes Generales.</w:t>
      </w:r>
    </w:p>
    <w:p w14:paraId="6290151D"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b/>
          <w:i/>
        </w:rPr>
        <w:t>Quincuagésimo primero</w:t>
      </w:r>
      <w:r w:rsidRPr="007B28C0">
        <w:rPr>
          <w:rFonts w:ascii="Palatino Linotype" w:eastAsia="Palatino Linotype" w:hAnsi="Palatino Linotype" w:cs="Palatino Linotype"/>
          <w:i/>
        </w:rPr>
        <w:t>. Toda acta del Comité de Transparencia deberá contener:</w:t>
      </w:r>
    </w:p>
    <w:p w14:paraId="4C86E282"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I. El número de sesión y fecha; </w:t>
      </w:r>
    </w:p>
    <w:p w14:paraId="6DAC816C"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II. El nombre del área que solicitó la clasificación de información;</w:t>
      </w:r>
    </w:p>
    <w:p w14:paraId="0DEDF12B"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III. La fundamentación legal y motivación correspondiente;</w:t>
      </w:r>
    </w:p>
    <w:p w14:paraId="7C49A581"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IV. La resolución o resoluciones aprobadas; y</w:t>
      </w:r>
    </w:p>
    <w:p w14:paraId="305F507B"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V. La rúbrica o firma digital de cada integrante del Comité de Transparencia. </w:t>
      </w:r>
    </w:p>
    <w:p w14:paraId="539F5A05"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234D5BC4"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I. Los motivos y razonamientos que sustenten la confirmación o modificación de la prueba de daño;</w:t>
      </w:r>
    </w:p>
    <w:p w14:paraId="69C641E5"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II. Descripción de las partes o secciones reservadas, en caso de clasificación parcial;</w:t>
      </w:r>
    </w:p>
    <w:p w14:paraId="75DAEA45"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III. El periodo por el que mantendrá su clasificación y fecha de expiración; y</w:t>
      </w:r>
    </w:p>
    <w:p w14:paraId="6A5A5179"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IV. El nombre del titular y área encargada de realizar la versión pública del documento, en su caso.</w:t>
      </w:r>
    </w:p>
    <w:p w14:paraId="25F48B44"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318F704B"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66D3B6C0"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b/>
          <w:i/>
        </w:rPr>
        <w:t>Quincuagésimo segundo</w:t>
      </w:r>
      <w:r w:rsidRPr="007B28C0">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316C4DB"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7B8AEEFB"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I. Fijar la fecha en que se elaboró la versión pública y la fecha en la cual el Comité de Transparencia confirmó dicha versión;</w:t>
      </w:r>
    </w:p>
    <w:p w14:paraId="1BFF02D4"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211C4B5F"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lastRenderedPageBreak/>
        <w:t>III. Señalar las personas o instancias autorizadas a acceder a la información clasificada.</w:t>
      </w:r>
    </w:p>
    <w:p w14:paraId="55843282" w14:textId="77777777" w:rsidR="005C3A3A" w:rsidRPr="007B28C0" w:rsidRDefault="00BD07C9">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4B928B81" w14:textId="77777777" w:rsidR="005C3A3A" w:rsidRPr="007B28C0" w:rsidRDefault="00BD07C9">
      <w:pPr>
        <w:pBdr>
          <w:top w:val="nil"/>
          <w:left w:val="nil"/>
          <w:bottom w:val="nil"/>
          <w:right w:val="nil"/>
          <w:between w:val="nil"/>
        </w:pBdr>
        <w:spacing w:line="276" w:lineRule="auto"/>
        <w:ind w:left="709" w:right="709"/>
        <w:jc w:val="both"/>
      </w:pPr>
      <w:r w:rsidRPr="007B28C0">
        <w:rPr>
          <w:rFonts w:ascii="Palatino Linotype" w:eastAsia="Palatino Linotype" w:hAnsi="Palatino Linotype" w:cs="Palatino Linotype"/>
          <w:b/>
          <w:i/>
        </w:rPr>
        <w:t xml:space="preserve">Quincuagésimo tercero. </w:t>
      </w:r>
      <w:r w:rsidRPr="007B28C0">
        <w:rPr>
          <w:rFonts w:ascii="Palatino Linotype" w:eastAsia="Palatino Linotype" w:hAnsi="Palatino Linotype" w:cs="Palatino Linotype"/>
          <w:b/>
          <w:i/>
          <w:u w:val="single"/>
        </w:rPr>
        <w:t>El formato para señalar la clasificación de un documento o expediente que contenga información reservada, es el siguiente:</w:t>
      </w:r>
    </w:p>
    <w:tbl>
      <w:tblPr>
        <w:tblStyle w:val="af0"/>
        <w:tblW w:w="8833" w:type="dxa"/>
        <w:jc w:val="center"/>
        <w:tblInd w:w="0" w:type="dxa"/>
        <w:tblLayout w:type="fixed"/>
        <w:tblLook w:val="0400" w:firstRow="0" w:lastRow="0" w:firstColumn="0" w:lastColumn="0" w:noHBand="0" w:noVBand="1"/>
      </w:tblPr>
      <w:tblGrid>
        <w:gridCol w:w="1660"/>
        <w:gridCol w:w="1980"/>
        <w:gridCol w:w="5193"/>
      </w:tblGrid>
      <w:tr w:rsidR="007B28C0" w:rsidRPr="007B28C0" w14:paraId="12F989FC"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4FFEAB61" w14:textId="77777777" w:rsidR="005C3A3A" w:rsidRPr="007B28C0" w:rsidRDefault="005C3A3A"/>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018812"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E0097"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b/>
                <w:i/>
              </w:rPr>
              <w:t>Dónde:</w:t>
            </w:r>
          </w:p>
        </w:tc>
      </w:tr>
      <w:tr w:rsidR="007B28C0" w:rsidRPr="007B28C0" w14:paraId="2917077F"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2F3608"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388E32"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B40455" w14:textId="77777777" w:rsidR="005C3A3A" w:rsidRPr="007B28C0" w:rsidRDefault="00BD07C9">
            <w:pPr>
              <w:pBdr>
                <w:top w:val="nil"/>
                <w:left w:val="nil"/>
                <w:bottom w:val="nil"/>
                <w:right w:val="nil"/>
                <w:between w:val="nil"/>
              </w:pBdr>
              <w:jc w:val="both"/>
            </w:pPr>
            <w:r w:rsidRPr="007B28C0">
              <w:rPr>
                <w:rFonts w:ascii="Palatino Linotype" w:eastAsia="Palatino Linotype" w:hAnsi="Palatino Linotype" w:cs="Palatino Linotype"/>
                <w:i/>
              </w:rPr>
              <w:t>Se anotará la fecha en la que el Comité de Transparencia confirmó la clasificación del documento o expediente, en su caso.</w:t>
            </w:r>
          </w:p>
        </w:tc>
      </w:tr>
      <w:tr w:rsidR="007B28C0" w:rsidRPr="007B28C0" w14:paraId="4775A9C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876C13" w14:textId="77777777" w:rsidR="005C3A3A" w:rsidRPr="007B28C0" w:rsidRDefault="005C3A3A">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4A060C"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6B8A1" w14:textId="77777777" w:rsidR="005C3A3A" w:rsidRPr="007B28C0" w:rsidRDefault="00BD07C9">
            <w:pPr>
              <w:pBdr>
                <w:top w:val="nil"/>
                <w:left w:val="nil"/>
                <w:bottom w:val="nil"/>
                <w:right w:val="nil"/>
                <w:between w:val="nil"/>
              </w:pBdr>
              <w:jc w:val="both"/>
            </w:pPr>
            <w:r w:rsidRPr="007B28C0">
              <w:rPr>
                <w:rFonts w:ascii="Palatino Linotype" w:eastAsia="Palatino Linotype" w:hAnsi="Palatino Linotype" w:cs="Palatino Linotype"/>
                <w:i/>
              </w:rPr>
              <w:t>Se señalará el nombre del área del cual es titular quien clasifica.</w:t>
            </w:r>
          </w:p>
        </w:tc>
      </w:tr>
      <w:tr w:rsidR="007B28C0" w:rsidRPr="007B28C0" w14:paraId="31BDAEB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FF9828" w14:textId="77777777" w:rsidR="005C3A3A" w:rsidRPr="007B28C0" w:rsidRDefault="005C3A3A">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CEDFA"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C2798C" w14:textId="77777777" w:rsidR="005C3A3A" w:rsidRPr="007B28C0" w:rsidRDefault="00BD07C9">
            <w:pPr>
              <w:pBdr>
                <w:top w:val="nil"/>
                <w:left w:val="nil"/>
                <w:bottom w:val="nil"/>
                <w:right w:val="nil"/>
                <w:between w:val="nil"/>
              </w:pBdr>
              <w:jc w:val="both"/>
            </w:pPr>
            <w:r w:rsidRPr="007B28C0">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7B28C0" w:rsidRPr="007B28C0" w14:paraId="1E1E220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E4D841" w14:textId="77777777" w:rsidR="005C3A3A" w:rsidRPr="007B28C0" w:rsidRDefault="005C3A3A">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928C7"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AE3B1A" w14:textId="77777777" w:rsidR="005C3A3A" w:rsidRPr="007B28C0" w:rsidRDefault="00BD07C9">
            <w:pPr>
              <w:pBdr>
                <w:top w:val="nil"/>
                <w:left w:val="nil"/>
                <w:bottom w:val="nil"/>
                <w:right w:val="nil"/>
                <w:between w:val="nil"/>
              </w:pBdr>
              <w:jc w:val="both"/>
            </w:pPr>
            <w:r w:rsidRPr="007B28C0">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7B28C0" w:rsidRPr="007B28C0" w14:paraId="622D7EC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B0D68" w14:textId="77777777" w:rsidR="005C3A3A" w:rsidRPr="007B28C0" w:rsidRDefault="005C3A3A">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0DF320"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4C9C5" w14:textId="77777777" w:rsidR="005C3A3A" w:rsidRPr="007B28C0" w:rsidRDefault="00BD07C9">
            <w:pPr>
              <w:pBdr>
                <w:top w:val="nil"/>
                <w:left w:val="nil"/>
                <w:bottom w:val="nil"/>
                <w:right w:val="nil"/>
                <w:between w:val="nil"/>
              </w:pBdr>
              <w:jc w:val="both"/>
            </w:pPr>
            <w:r w:rsidRPr="007B28C0">
              <w:rPr>
                <w:rFonts w:ascii="Palatino Linotype" w:eastAsia="Palatino Linotype" w:hAnsi="Palatino Linotype" w:cs="Palatino Linotype"/>
                <w:i/>
              </w:rPr>
              <w:t>Se señalará el nombre del ordenamiento, el o los artículos, fracción(es), párrafo(s) con base en los cuales se sustente la reserva.</w:t>
            </w:r>
          </w:p>
        </w:tc>
      </w:tr>
      <w:tr w:rsidR="007B28C0" w:rsidRPr="007B28C0" w14:paraId="2C3D91B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58E02" w14:textId="77777777" w:rsidR="005C3A3A" w:rsidRPr="007B28C0" w:rsidRDefault="005C3A3A">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05A3EB"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6E22E5" w14:textId="77777777" w:rsidR="005C3A3A" w:rsidRPr="007B28C0" w:rsidRDefault="00BD07C9">
            <w:pPr>
              <w:pBdr>
                <w:top w:val="nil"/>
                <w:left w:val="nil"/>
                <w:bottom w:val="nil"/>
                <w:right w:val="nil"/>
                <w:between w:val="nil"/>
              </w:pBdr>
              <w:jc w:val="both"/>
            </w:pPr>
            <w:r w:rsidRPr="007B28C0">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7B28C0" w:rsidRPr="007B28C0" w14:paraId="3CDE3E9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0B2B2F" w14:textId="77777777" w:rsidR="005C3A3A" w:rsidRPr="007B28C0" w:rsidRDefault="005C3A3A">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849BE4"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D504B" w14:textId="77777777" w:rsidR="005C3A3A" w:rsidRPr="007B28C0" w:rsidRDefault="00BD07C9">
            <w:pPr>
              <w:pBdr>
                <w:top w:val="nil"/>
                <w:left w:val="nil"/>
                <w:bottom w:val="nil"/>
                <w:right w:val="nil"/>
                <w:between w:val="nil"/>
              </w:pBdr>
              <w:jc w:val="both"/>
            </w:pPr>
            <w:r w:rsidRPr="007B28C0">
              <w:rPr>
                <w:rFonts w:ascii="Palatino Linotype" w:eastAsia="Palatino Linotype" w:hAnsi="Palatino Linotype" w:cs="Palatino Linotype"/>
                <w:i/>
              </w:rPr>
              <w:t>Rúbrica autógrafa o firma digital de quien clasifica.</w:t>
            </w:r>
          </w:p>
        </w:tc>
      </w:tr>
      <w:tr w:rsidR="007B28C0" w:rsidRPr="007B28C0" w14:paraId="52743BA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4E00F" w14:textId="77777777" w:rsidR="005C3A3A" w:rsidRPr="007B28C0" w:rsidRDefault="005C3A3A">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45CD0"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98EB2" w14:textId="77777777" w:rsidR="005C3A3A" w:rsidRPr="007B28C0" w:rsidRDefault="00BD07C9">
            <w:pPr>
              <w:pBdr>
                <w:top w:val="nil"/>
                <w:left w:val="nil"/>
                <w:bottom w:val="nil"/>
                <w:right w:val="nil"/>
                <w:between w:val="nil"/>
              </w:pBdr>
              <w:jc w:val="both"/>
            </w:pPr>
            <w:r w:rsidRPr="007B28C0">
              <w:rPr>
                <w:rFonts w:ascii="Palatino Linotype" w:eastAsia="Palatino Linotype" w:hAnsi="Palatino Linotype" w:cs="Palatino Linotype"/>
                <w:i/>
              </w:rPr>
              <w:t>Se anotará la fecha en que se desclasifica el documento.</w:t>
            </w:r>
          </w:p>
        </w:tc>
      </w:tr>
      <w:tr w:rsidR="007B28C0" w:rsidRPr="007B28C0" w14:paraId="5695748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221CBC" w14:textId="77777777" w:rsidR="005C3A3A" w:rsidRPr="007B28C0" w:rsidRDefault="005C3A3A">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53DAD" w14:textId="77777777" w:rsidR="005C3A3A" w:rsidRPr="007B28C0" w:rsidRDefault="00BD07C9">
            <w:pPr>
              <w:pBdr>
                <w:top w:val="nil"/>
                <w:left w:val="nil"/>
                <w:bottom w:val="nil"/>
                <w:right w:val="nil"/>
                <w:between w:val="nil"/>
              </w:pBdr>
              <w:jc w:val="center"/>
            </w:pPr>
            <w:r w:rsidRPr="007B28C0">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0BE679" w14:textId="77777777" w:rsidR="005C3A3A" w:rsidRPr="007B28C0" w:rsidRDefault="00BD07C9">
            <w:pPr>
              <w:pBdr>
                <w:top w:val="nil"/>
                <w:left w:val="nil"/>
                <w:bottom w:val="nil"/>
                <w:right w:val="nil"/>
                <w:between w:val="nil"/>
              </w:pBdr>
              <w:jc w:val="both"/>
            </w:pPr>
            <w:r w:rsidRPr="007B28C0">
              <w:rPr>
                <w:rFonts w:ascii="Palatino Linotype" w:eastAsia="Palatino Linotype" w:hAnsi="Palatino Linotype" w:cs="Palatino Linotype"/>
                <w:i/>
              </w:rPr>
              <w:t>Rúbrica autógrafa o firma digital de quien desclasifica.</w:t>
            </w:r>
          </w:p>
        </w:tc>
      </w:tr>
      <w:tr w:rsidR="005C3A3A" w:rsidRPr="007B28C0" w14:paraId="2D0FE119" w14:textId="77777777">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A3CD83" w14:textId="77777777" w:rsidR="005C3A3A" w:rsidRPr="007B28C0" w:rsidRDefault="005C3A3A">
            <w:pPr>
              <w:widowControl w:val="0"/>
              <w:pBdr>
                <w:top w:val="nil"/>
                <w:left w:val="nil"/>
                <w:bottom w:val="nil"/>
                <w:right w:val="nil"/>
                <w:between w:val="nil"/>
              </w:pBdr>
              <w:spacing w:after="0" w:line="276" w:lineRule="auto"/>
            </w:pPr>
          </w:p>
        </w:tc>
      </w:tr>
    </w:tbl>
    <w:p w14:paraId="553B52FF" w14:textId="77777777" w:rsidR="005C3A3A" w:rsidRPr="007B28C0" w:rsidRDefault="005C3A3A">
      <w:pPr>
        <w:pBdr>
          <w:top w:val="nil"/>
          <w:left w:val="nil"/>
          <w:bottom w:val="nil"/>
          <w:right w:val="nil"/>
          <w:between w:val="nil"/>
        </w:pBdr>
        <w:ind w:left="709" w:right="709"/>
        <w:jc w:val="both"/>
        <w:rPr>
          <w:rFonts w:ascii="Palatino Linotype" w:eastAsia="Palatino Linotype" w:hAnsi="Palatino Linotype" w:cs="Palatino Linotype"/>
          <w:sz w:val="24"/>
          <w:szCs w:val="24"/>
        </w:rPr>
      </w:pPr>
    </w:p>
    <w:p w14:paraId="5FEBF573" w14:textId="77777777" w:rsidR="005C3A3A" w:rsidRPr="007B28C0" w:rsidRDefault="00BD07C9">
      <w:pPr>
        <w:pBdr>
          <w:top w:val="nil"/>
          <w:left w:val="nil"/>
          <w:bottom w:val="nil"/>
          <w:right w:val="nil"/>
          <w:between w:val="nil"/>
        </w:pBdr>
        <w:ind w:left="709" w:right="709"/>
        <w:jc w:val="both"/>
        <w:rPr>
          <w:rFonts w:ascii="Palatino Linotype" w:eastAsia="Palatino Linotype" w:hAnsi="Palatino Linotype" w:cs="Palatino Linotype"/>
          <w:i/>
        </w:rPr>
      </w:pPr>
      <w:r w:rsidRPr="007B28C0">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A341D6E" w14:textId="77777777" w:rsidR="005C3A3A" w:rsidRPr="007B28C0" w:rsidRDefault="00BD07C9">
      <w:pPr>
        <w:pBdr>
          <w:top w:val="nil"/>
          <w:left w:val="nil"/>
          <w:bottom w:val="nil"/>
          <w:right w:val="nil"/>
          <w:between w:val="nil"/>
        </w:pBdr>
        <w:ind w:left="709" w:right="709"/>
        <w:jc w:val="both"/>
      </w:pPr>
      <w:r w:rsidRPr="007B28C0">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7B28C0">
        <w:rPr>
          <w:rFonts w:ascii="Palatino Linotype" w:eastAsia="Palatino Linotype" w:hAnsi="Palatino Linotype" w:cs="Palatino Linotype"/>
          <w:i/>
        </w:rPr>
        <w:t>testado</w:t>
      </w:r>
      <w:proofErr w:type="spellEnd"/>
      <w:r w:rsidRPr="007B28C0">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7B28C0">
        <w:t>.</w:t>
      </w:r>
    </w:p>
    <w:p w14:paraId="3C5A114D"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6656990D"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233A7F03"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627502A" w14:textId="77777777" w:rsidR="005C3A3A" w:rsidRPr="007B28C0" w:rsidRDefault="00BD07C9">
      <w:pPr>
        <w:shd w:val="clear" w:color="auto" w:fill="FFFFFF"/>
        <w:spacing w:after="0" w:line="360" w:lineRule="auto"/>
        <w:ind w:right="51"/>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w:t>
      </w:r>
      <w:r w:rsidRPr="007B28C0">
        <w:rPr>
          <w:rFonts w:ascii="Palatino Linotype" w:eastAsia="Palatino Linotype" w:hAnsi="Palatino Linotype" w:cs="Palatino Linotype"/>
          <w:sz w:val="24"/>
          <w:szCs w:val="24"/>
        </w:rPr>
        <w:lastRenderedPageBreak/>
        <w:t xml:space="preserve">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7B28C0">
        <w:rPr>
          <w:rFonts w:ascii="Palatino Linotype" w:eastAsia="Palatino Linotype" w:hAnsi="Palatino Linotype" w:cs="Palatino Linotype"/>
          <w:b/>
          <w:sz w:val="24"/>
          <w:szCs w:val="24"/>
        </w:rPr>
        <w:t>LA PARTE RECURRENTE</w:t>
      </w:r>
      <w:r w:rsidRPr="007B28C0">
        <w:rPr>
          <w:rFonts w:ascii="Palatino Linotype" w:eastAsia="Palatino Linotype" w:hAnsi="Palatino Linotype" w:cs="Palatino Linotype"/>
          <w:sz w:val="24"/>
          <w:szCs w:val="24"/>
        </w:rPr>
        <w:t>.</w:t>
      </w:r>
    </w:p>
    <w:p w14:paraId="7D3B05F7" w14:textId="77777777" w:rsidR="005C3A3A" w:rsidRPr="007B28C0" w:rsidRDefault="005C3A3A">
      <w:pPr>
        <w:shd w:val="clear" w:color="auto" w:fill="FFFFFF"/>
        <w:spacing w:after="0" w:line="360" w:lineRule="auto"/>
        <w:ind w:right="51"/>
        <w:jc w:val="both"/>
        <w:rPr>
          <w:rFonts w:ascii="Palatino Linotype" w:eastAsia="Palatino Linotype" w:hAnsi="Palatino Linotype" w:cs="Palatino Linotype"/>
          <w:sz w:val="24"/>
          <w:szCs w:val="24"/>
        </w:rPr>
      </w:pPr>
    </w:p>
    <w:p w14:paraId="5C60C319"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No pasa desapercibido mencionar que en el expediente solicitado, puede obrar información que no se encuentra relacionada con el ejercicio de un cargo público, sino con el ejercicio de los derechos personales de su titular, como puede ser identificaciones oficiales, contratos celebrados entre particulares y documentación que pueda hacer identificable a los particulares, por lo que se estima que dichos documentos deben ser clasificados como información confidencial en su totalidad, al considerar que actualiza la causal de clasificación establecida en el artículo 143, fracción I, de la Ley de Transparencia y Acceso a la Información Pública del Estado de México y Municipios, para el caso de que el </w:t>
      </w:r>
      <w:r w:rsidRPr="007B28C0">
        <w:rPr>
          <w:rFonts w:ascii="Palatino Linotype" w:eastAsia="Palatino Linotype" w:hAnsi="Palatino Linotype" w:cs="Palatino Linotype"/>
          <w:b/>
          <w:sz w:val="24"/>
          <w:szCs w:val="24"/>
        </w:rPr>
        <w:t xml:space="preserve">SUJETO OBLIGADO </w:t>
      </w:r>
      <w:r w:rsidRPr="007B28C0">
        <w:rPr>
          <w:rFonts w:ascii="Palatino Linotype" w:eastAsia="Palatino Linotype" w:hAnsi="Palatino Linotype" w:cs="Palatino Linotype"/>
          <w:sz w:val="24"/>
          <w:szCs w:val="24"/>
        </w:rPr>
        <w:t>lo administre o posea en sus archivos.</w:t>
      </w:r>
    </w:p>
    <w:p w14:paraId="0729855B"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5EED9D6B"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w:t>
      </w:r>
      <w:r w:rsidRPr="007B28C0">
        <w:rPr>
          <w:rFonts w:ascii="Palatino Linotype" w:eastAsia="Palatino Linotype" w:hAnsi="Palatino Linotype" w:cs="Palatino Linotype"/>
          <w:sz w:val="24"/>
          <w:szCs w:val="24"/>
        </w:rPr>
        <w:lastRenderedPageBreak/>
        <w:t>de México y Municipios permite la elaboración de versiones públicas en las que se suprima aquella información relacionada con la vida privada.</w:t>
      </w:r>
    </w:p>
    <w:p w14:paraId="5CBCF5E6" w14:textId="77777777" w:rsidR="005C3A3A" w:rsidRPr="007B28C0" w:rsidRDefault="00BD07C9">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8326533" w14:textId="77777777" w:rsidR="005C3A3A" w:rsidRPr="007B28C0" w:rsidRDefault="005C3A3A">
      <w:pPr>
        <w:spacing w:after="0" w:line="360" w:lineRule="auto"/>
        <w:jc w:val="both"/>
        <w:rPr>
          <w:rFonts w:ascii="Times New Roman" w:eastAsia="Times New Roman" w:hAnsi="Times New Roman" w:cs="Times New Roman"/>
          <w:sz w:val="24"/>
          <w:szCs w:val="24"/>
        </w:rPr>
      </w:pPr>
    </w:p>
    <w:p w14:paraId="20613DE8" w14:textId="77777777" w:rsidR="005C3A3A" w:rsidRPr="007B28C0" w:rsidRDefault="00BD07C9">
      <w:pPr>
        <w:spacing w:after="0" w:line="360" w:lineRule="auto"/>
        <w:ind w:left="-142" w:right="51"/>
        <w:jc w:val="center"/>
        <w:rPr>
          <w:rFonts w:ascii="Palatino Linotype" w:eastAsia="Palatino Linotype" w:hAnsi="Palatino Linotype" w:cs="Palatino Linotype"/>
          <w:b/>
          <w:sz w:val="28"/>
          <w:szCs w:val="28"/>
        </w:rPr>
      </w:pPr>
      <w:r w:rsidRPr="007B28C0">
        <w:rPr>
          <w:rFonts w:ascii="Palatino Linotype" w:eastAsia="Palatino Linotype" w:hAnsi="Palatino Linotype" w:cs="Palatino Linotype"/>
          <w:b/>
          <w:sz w:val="28"/>
          <w:szCs w:val="28"/>
        </w:rPr>
        <w:t>R E S U E L V E:</w:t>
      </w:r>
    </w:p>
    <w:p w14:paraId="4D90A1BB" w14:textId="77777777" w:rsidR="005C3A3A" w:rsidRPr="007B28C0" w:rsidRDefault="005C3A3A">
      <w:pPr>
        <w:spacing w:after="0" w:line="360" w:lineRule="auto"/>
        <w:ind w:left="-142" w:right="51"/>
        <w:jc w:val="center"/>
        <w:rPr>
          <w:rFonts w:ascii="Palatino Linotype" w:eastAsia="Palatino Linotype" w:hAnsi="Palatino Linotype" w:cs="Palatino Linotype"/>
          <w:b/>
          <w:sz w:val="24"/>
          <w:szCs w:val="24"/>
        </w:rPr>
      </w:pPr>
    </w:p>
    <w:p w14:paraId="40996278" w14:textId="77777777" w:rsidR="005C3A3A" w:rsidRPr="007B28C0" w:rsidRDefault="00BD07C9">
      <w:pPr>
        <w:spacing w:after="0" w:line="360" w:lineRule="auto"/>
        <w:jc w:val="both"/>
        <w:rPr>
          <w:rFonts w:ascii="Palatino Linotype" w:eastAsia="Palatino Linotype" w:hAnsi="Palatino Linotype" w:cs="Palatino Linotype"/>
          <w:b/>
          <w:sz w:val="24"/>
          <w:szCs w:val="24"/>
        </w:rPr>
      </w:pPr>
      <w:r w:rsidRPr="007B28C0">
        <w:rPr>
          <w:rFonts w:ascii="Palatino Linotype" w:eastAsia="Palatino Linotype" w:hAnsi="Palatino Linotype" w:cs="Palatino Linotype"/>
          <w:b/>
          <w:sz w:val="24"/>
          <w:szCs w:val="24"/>
        </w:rPr>
        <w:t xml:space="preserve">PRIMERO. </w:t>
      </w:r>
      <w:r w:rsidRPr="007B28C0">
        <w:rPr>
          <w:rFonts w:ascii="Palatino Linotype" w:eastAsia="Palatino Linotype" w:hAnsi="Palatino Linotype" w:cs="Palatino Linotype"/>
          <w:sz w:val="24"/>
          <w:szCs w:val="24"/>
        </w:rPr>
        <w:t xml:space="preserve">Resultan fundados los motivos de inconformidad hechos valer por </w:t>
      </w:r>
      <w:r w:rsidRPr="007B28C0">
        <w:rPr>
          <w:rFonts w:ascii="Palatino Linotype" w:eastAsia="Palatino Linotype" w:hAnsi="Palatino Linotype" w:cs="Palatino Linotype"/>
          <w:b/>
          <w:sz w:val="24"/>
          <w:szCs w:val="24"/>
        </w:rPr>
        <w:t>LA PARTE RECURRENTE</w:t>
      </w:r>
      <w:r w:rsidRPr="007B28C0">
        <w:rPr>
          <w:rFonts w:ascii="Palatino Linotype" w:eastAsia="Palatino Linotype" w:hAnsi="Palatino Linotype" w:cs="Palatino Linotype"/>
          <w:sz w:val="24"/>
          <w:szCs w:val="24"/>
        </w:rPr>
        <w:t xml:space="preserve"> en el Recurso de Revisión </w:t>
      </w:r>
      <w:r w:rsidRPr="007B28C0">
        <w:rPr>
          <w:rFonts w:ascii="Palatino Linotype" w:eastAsia="Palatino Linotype" w:hAnsi="Palatino Linotype" w:cs="Palatino Linotype"/>
          <w:b/>
          <w:sz w:val="24"/>
          <w:szCs w:val="24"/>
        </w:rPr>
        <w:t xml:space="preserve">16614/INFOEM/IP/RR/2022, </w:t>
      </w:r>
      <w:r w:rsidRPr="007B28C0">
        <w:rPr>
          <w:rFonts w:ascii="Palatino Linotype" w:eastAsia="Palatino Linotype" w:hAnsi="Palatino Linotype" w:cs="Palatino Linotype"/>
          <w:sz w:val="24"/>
          <w:szCs w:val="24"/>
        </w:rPr>
        <w:t xml:space="preserve">por lo que, en términos del considerando </w:t>
      </w:r>
      <w:r w:rsidRPr="007B28C0">
        <w:rPr>
          <w:rFonts w:ascii="Palatino Linotype" w:eastAsia="Palatino Linotype" w:hAnsi="Palatino Linotype" w:cs="Palatino Linotype"/>
          <w:b/>
          <w:sz w:val="24"/>
          <w:szCs w:val="24"/>
        </w:rPr>
        <w:t xml:space="preserve">Cuarto </w:t>
      </w:r>
      <w:r w:rsidRPr="007B28C0">
        <w:rPr>
          <w:rFonts w:ascii="Palatino Linotype" w:eastAsia="Palatino Linotype" w:hAnsi="Palatino Linotype" w:cs="Palatino Linotype"/>
          <w:sz w:val="24"/>
          <w:szCs w:val="24"/>
        </w:rPr>
        <w:t xml:space="preserve">de esta resolución, se </w:t>
      </w:r>
      <w:r w:rsidRPr="007B28C0">
        <w:rPr>
          <w:rFonts w:ascii="Palatino Linotype" w:eastAsia="Palatino Linotype" w:hAnsi="Palatino Linotype" w:cs="Palatino Linotype"/>
          <w:b/>
          <w:sz w:val="24"/>
          <w:szCs w:val="24"/>
        </w:rPr>
        <w:t xml:space="preserve">MODIFICA </w:t>
      </w:r>
      <w:r w:rsidRPr="007B28C0">
        <w:rPr>
          <w:rFonts w:ascii="Palatino Linotype" w:eastAsia="Palatino Linotype" w:hAnsi="Palatino Linotype" w:cs="Palatino Linotype"/>
          <w:sz w:val="24"/>
          <w:szCs w:val="24"/>
        </w:rPr>
        <w:t xml:space="preserve">la respuesta emitida por el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w:t>
      </w:r>
    </w:p>
    <w:p w14:paraId="57635FC6"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1A5E0207" w14:textId="77777777" w:rsidR="005C3A3A" w:rsidRPr="007B28C0" w:rsidRDefault="00BD07C9">
      <w:pPr>
        <w:spacing w:after="0" w:line="360" w:lineRule="auto"/>
        <w:jc w:val="both"/>
        <w:rPr>
          <w:rFonts w:ascii="Palatino Linotype" w:eastAsia="Palatino Linotype" w:hAnsi="Palatino Linotype" w:cs="Palatino Linotype"/>
          <w:sz w:val="24"/>
          <w:szCs w:val="24"/>
        </w:rPr>
      </w:pPr>
      <w:bookmarkStart w:id="2" w:name="_heading=h.kelgs2428oa6" w:colFirst="0" w:colLast="0"/>
      <w:bookmarkEnd w:id="2"/>
      <w:r w:rsidRPr="007B28C0">
        <w:rPr>
          <w:rFonts w:ascii="Palatino Linotype" w:eastAsia="Palatino Linotype" w:hAnsi="Palatino Linotype" w:cs="Palatino Linotype"/>
          <w:b/>
          <w:sz w:val="24"/>
          <w:szCs w:val="24"/>
        </w:rPr>
        <w:t xml:space="preserve">SEGUNDO. </w:t>
      </w:r>
      <w:r w:rsidRPr="007B28C0">
        <w:rPr>
          <w:rFonts w:ascii="Palatino Linotype" w:eastAsia="Palatino Linotype" w:hAnsi="Palatino Linotype" w:cs="Palatino Linotype"/>
          <w:sz w:val="24"/>
          <w:szCs w:val="24"/>
        </w:rPr>
        <w:t>Se</w:t>
      </w:r>
      <w:r w:rsidRPr="007B28C0">
        <w:rPr>
          <w:rFonts w:ascii="Palatino Linotype" w:eastAsia="Palatino Linotype" w:hAnsi="Palatino Linotype" w:cs="Palatino Linotype"/>
          <w:b/>
          <w:sz w:val="24"/>
          <w:szCs w:val="24"/>
        </w:rPr>
        <w:t xml:space="preserve"> ORDENA </w:t>
      </w:r>
      <w:r w:rsidRPr="007B28C0">
        <w:rPr>
          <w:rFonts w:ascii="Palatino Linotype" w:eastAsia="Palatino Linotype" w:hAnsi="Palatino Linotype" w:cs="Palatino Linotype"/>
          <w:sz w:val="24"/>
          <w:szCs w:val="24"/>
        </w:rPr>
        <w:t xml:space="preserve">al </w:t>
      </w:r>
      <w:r w:rsidRPr="007B28C0">
        <w:rPr>
          <w:rFonts w:ascii="Palatino Linotype" w:eastAsia="Palatino Linotype" w:hAnsi="Palatino Linotype" w:cs="Palatino Linotype"/>
          <w:b/>
          <w:sz w:val="24"/>
          <w:szCs w:val="24"/>
        </w:rPr>
        <w:t>SUJETO OBLIGADO</w:t>
      </w:r>
      <w:r w:rsidRPr="007B28C0">
        <w:rPr>
          <w:rFonts w:ascii="Palatino Linotype" w:eastAsia="Palatino Linotype" w:hAnsi="Palatino Linotype" w:cs="Palatino Linotype"/>
          <w:sz w:val="24"/>
          <w:szCs w:val="24"/>
        </w:rPr>
        <w:t xml:space="preserve"> en términos del Considerando </w:t>
      </w:r>
      <w:r w:rsidRPr="007B28C0">
        <w:rPr>
          <w:rFonts w:ascii="Palatino Linotype" w:eastAsia="Palatino Linotype" w:hAnsi="Palatino Linotype" w:cs="Palatino Linotype"/>
          <w:b/>
          <w:sz w:val="24"/>
          <w:szCs w:val="24"/>
        </w:rPr>
        <w:t xml:space="preserve">Cuarto y Quinto </w:t>
      </w:r>
      <w:r w:rsidRPr="007B28C0">
        <w:rPr>
          <w:rFonts w:ascii="Palatino Linotype" w:eastAsia="Palatino Linotype" w:hAnsi="Palatino Linotype" w:cs="Palatino Linotype"/>
          <w:sz w:val="24"/>
          <w:szCs w:val="24"/>
        </w:rPr>
        <w:t xml:space="preserve">de esta resolución, haga entrega de ser procedente en versión pública, vía </w:t>
      </w:r>
      <w:r w:rsidRPr="007B28C0">
        <w:rPr>
          <w:rFonts w:ascii="Palatino Linotype" w:eastAsia="Palatino Linotype" w:hAnsi="Palatino Linotype" w:cs="Palatino Linotype"/>
          <w:b/>
          <w:sz w:val="24"/>
          <w:szCs w:val="24"/>
        </w:rPr>
        <w:t>SAIMEX</w:t>
      </w:r>
      <w:r w:rsidRPr="007B28C0">
        <w:rPr>
          <w:rFonts w:ascii="Palatino Linotype" w:eastAsia="Palatino Linotype" w:hAnsi="Palatino Linotype" w:cs="Palatino Linotype"/>
          <w:sz w:val="24"/>
          <w:szCs w:val="24"/>
        </w:rPr>
        <w:t>, y en su caso copias certificadas (con costo)  de lo siguiente:</w:t>
      </w:r>
    </w:p>
    <w:p w14:paraId="23808AE1" w14:textId="77777777" w:rsidR="005C3A3A" w:rsidRPr="007B28C0" w:rsidRDefault="005C3A3A">
      <w:pPr>
        <w:pBdr>
          <w:top w:val="nil"/>
          <w:left w:val="nil"/>
          <w:bottom w:val="nil"/>
          <w:right w:val="nil"/>
          <w:between w:val="nil"/>
        </w:pBdr>
        <w:spacing w:after="0"/>
        <w:rPr>
          <w:rFonts w:ascii="Palatino Linotype" w:eastAsia="Palatino Linotype" w:hAnsi="Palatino Linotype" w:cs="Palatino Linotype"/>
          <w:sz w:val="24"/>
          <w:szCs w:val="24"/>
        </w:rPr>
      </w:pPr>
    </w:p>
    <w:p w14:paraId="155CA665" w14:textId="77777777" w:rsidR="005C3A3A" w:rsidRPr="007B28C0" w:rsidRDefault="00BD07C9">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Planos por zonas o sectores, los planos correspondientes a las 12 poligonales y los planos E-1 “Clasificación Territorial” y E-2 “Estructura Urbanas y Uso de suelo”.</w:t>
      </w:r>
    </w:p>
    <w:p w14:paraId="1E681D34" w14:textId="77777777" w:rsidR="005C3A3A" w:rsidRPr="007B28C0" w:rsidRDefault="005C3A3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B350353" w14:textId="77777777" w:rsidR="005C3A3A" w:rsidRPr="007B28C0" w:rsidRDefault="00BD07C9">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lastRenderedPageBreak/>
        <w:t xml:space="preserve">Acuerdo que emita el Comité de Transparencia mediante el que confirme la declaratoria de incompetencia del SUJETO OBLIGADO, respecto al expediente técnico soporte de la fusión de los predios 63, 64 y 65  manzana 12, de la calle retorno de perdiz, en el fraccionamiento Mayorazgos del Bosque, en el municipio de Atizapán de Zaragoza Estado de México. </w:t>
      </w:r>
    </w:p>
    <w:p w14:paraId="5BCD39CD" w14:textId="77777777" w:rsidR="005C3A3A" w:rsidRPr="007B28C0" w:rsidRDefault="005C3A3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B2F6595" w14:textId="77777777" w:rsidR="005C3A3A" w:rsidRPr="007B28C0" w:rsidRDefault="00BD07C9">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Acuerdo emitido por el Comité de Transparencia en donde se funde y motive la clasificación de la información como confidencial del expediente técnico soporte para la emisión de la Constancia de Alineamiento y Número Oficial No. 02438/04/12 y del expediente Técnico soporte para la emisión del Visto Bueno actual (2022), a favor de Operadora de Colegios La Salle, S.C. por tratarse de datos personales con fundamento en el artículo 143, fracción I de la Ley de Transparencia y Acceso a la Información Pública del Estado de México y Municipios.</w:t>
      </w:r>
    </w:p>
    <w:p w14:paraId="1458E57D" w14:textId="77777777" w:rsidR="005C3A3A" w:rsidRPr="007B28C0" w:rsidRDefault="005C3A3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168B6AA" w14:textId="77777777" w:rsidR="005C3A3A" w:rsidRPr="007B28C0" w:rsidRDefault="00BD07C9">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i/>
        </w:rPr>
      </w:pPr>
      <w:r w:rsidRPr="007B28C0">
        <w:rPr>
          <w:rFonts w:ascii="Palatino Linotype" w:eastAsia="Palatino Linotype" w:hAnsi="Palatino Linotype" w:cs="Palatino Linotype"/>
          <w:sz w:val="24"/>
          <w:szCs w:val="24"/>
        </w:rPr>
        <w:t xml:space="preserve">El Visto Bueno de Protección Civil del año 2022 y del expediente que lo conforma, el visto bueno de protección civil del año anterior, a favor de Operadora de Colegios La Salle, S.C. </w:t>
      </w:r>
    </w:p>
    <w:p w14:paraId="193471D3" w14:textId="77777777" w:rsidR="005C3A3A" w:rsidRPr="007B28C0" w:rsidRDefault="005C3A3A">
      <w:pPr>
        <w:rPr>
          <w:rFonts w:ascii="Palatino Linotype" w:eastAsia="Palatino Linotype" w:hAnsi="Palatino Linotype" w:cs="Palatino Linotype"/>
          <w:i/>
        </w:rPr>
      </w:pPr>
    </w:p>
    <w:p w14:paraId="0BFF6BDF" w14:textId="77777777" w:rsidR="005C3A3A" w:rsidRPr="007B28C0" w:rsidRDefault="00BD07C9">
      <w:pPr>
        <w:pBdr>
          <w:top w:val="nil"/>
          <w:left w:val="nil"/>
          <w:bottom w:val="nil"/>
          <w:right w:val="nil"/>
          <w:between w:val="nil"/>
        </w:pBdr>
        <w:spacing w:after="0" w:line="276" w:lineRule="auto"/>
        <w:jc w:val="both"/>
        <w:rPr>
          <w:rFonts w:ascii="Palatino Linotype" w:eastAsia="Palatino Linotype" w:hAnsi="Palatino Linotype" w:cs="Palatino Linotype"/>
          <w:i/>
        </w:rPr>
      </w:pPr>
      <w:r w:rsidRPr="007B28C0">
        <w:rPr>
          <w:rFonts w:ascii="Palatino Linotype" w:eastAsia="Palatino Linotype" w:hAnsi="Palatino Linotype" w:cs="Palatino Linotype"/>
          <w:i/>
        </w:rPr>
        <w:t xml:space="preserve">Para la entrega de la información a través de copias certificadas, EL SUJETO OBLIGADO, deberá notificar a LA PARTE RECURRENTE, a través del SAIMEX, el costo total por la certificación de la información que se ordena, así como el procedimiento para la entrega de la misma en el que se </w:t>
      </w:r>
      <w:r w:rsidRPr="007B28C0">
        <w:rPr>
          <w:rFonts w:ascii="Palatino Linotype" w:eastAsia="Palatino Linotype" w:hAnsi="Palatino Linotype" w:cs="Palatino Linotype"/>
          <w:i/>
        </w:rPr>
        <w:lastRenderedPageBreak/>
        <w:t>establezca: procedimiento para realizar el pago correspondiente, lugar, día y horarios en los que podrá presentarse a recoger las copias certificadas y el nombre del o los servidores públicos que le atenderán.</w:t>
      </w:r>
    </w:p>
    <w:p w14:paraId="60D9F0AC" w14:textId="77777777" w:rsidR="005C3A3A" w:rsidRPr="007B28C0" w:rsidRDefault="005C3A3A">
      <w:pPr>
        <w:rPr>
          <w:rFonts w:ascii="Palatino Linotype" w:eastAsia="Palatino Linotype" w:hAnsi="Palatino Linotype" w:cs="Palatino Linotype"/>
          <w:i/>
        </w:rPr>
      </w:pPr>
    </w:p>
    <w:p w14:paraId="23F2EC33" w14:textId="77777777" w:rsidR="005C3A3A" w:rsidRPr="007B28C0" w:rsidRDefault="00BD07C9">
      <w:pPr>
        <w:pBdr>
          <w:top w:val="nil"/>
          <w:left w:val="nil"/>
          <w:bottom w:val="nil"/>
          <w:right w:val="nil"/>
          <w:between w:val="nil"/>
        </w:pBdr>
        <w:spacing w:after="0" w:line="276" w:lineRule="auto"/>
        <w:jc w:val="both"/>
        <w:rPr>
          <w:rFonts w:ascii="Palatino Linotype" w:eastAsia="Palatino Linotype" w:hAnsi="Palatino Linotype" w:cs="Palatino Linotype"/>
          <w:i/>
        </w:rPr>
      </w:pPr>
      <w:r w:rsidRPr="007B28C0">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395C21B7" w14:textId="77777777" w:rsidR="005C3A3A" w:rsidRPr="007B28C0" w:rsidRDefault="005C3A3A">
      <w:pPr>
        <w:pBdr>
          <w:top w:val="nil"/>
          <w:left w:val="nil"/>
          <w:bottom w:val="nil"/>
          <w:right w:val="nil"/>
          <w:between w:val="nil"/>
        </w:pBdr>
        <w:ind w:left="720"/>
        <w:rPr>
          <w:rFonts w:ascii="Palatino Linotype" w:eastAsia="Palatino Linotype" w:hAnsi="Palatino Linotype" w:cs="Palatino Linotype"/>
          <w:b/>
          <w:sz w:val="24"/>
          <w:szCs w:val="24"/>
        </w:rPr>
      </w:pPr>
    </w:p>
    <w:p w14:paraId="1E86445F" w14:textId="77777777" w:rsidR="005C3A3A" w:rsidRPr="007B28C0" w:rsidRDefault="00BD07C9">
      <w:pPr>
        <w:spacing w:before="240" w:after="24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 xml:space="preserve">TERCERO.  Notifíquese vía SAIMEX, </w:t>
      </w:r>
      <w:r w:rsidRPr="007B28C0">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F9B0A7" w14:textId="77777777" w:rsidR="005C3A3A" w:rsidRPr="007B28C0" w:rsidRDefault="005C3A3A">
      <w:pPr>
        <w:spacing w:before="240" w:after="0" w:line="360" w:lineRule="auto"/>
        <w:jc w:val="both"/>
        <w:rPr>
          <w:rFonts w:ascii="Palatino Linotype" w:eastAsia="Palatino Linotype" w:hAnsi="Palatino Linotype" w:cs="Palatino Linotype"/>
          <w:b/>
          <w:sz w:val="24"/>
          <w:szCs w:val="24"/>
        </w:rPr>
      </w:pPr>
    </w:p>
    <w:p w14:paraId="48FABCBA"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t xml:space="preserve">CUARTO. </w:t>
      </w:r>
      <w:r w:rsidRPr="007B28C0">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7B28C0">
        <w:rPr>
          <w:rFonts w:ascii="Palatino Linotype" w:eastAsia="Palatino Linotype" w:hAnsi="Palatino Linotype" w:cs="Palatino Linotype"/>
          <w:b/>
          <w:sz w:val="24"/>
          <w:szCs w:val="24"/>
        </w:rPr>
        <w:t>EL SUJETO OBLIGADO</w:t>
      </w:r>
      <w:r w:rsidRPr="007B28C0">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5626FF0A"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b/>
          <w:sz w:val="24"/>
          <w:szCs w:val="24"/>
        </w:rPr>
        <w:lastRenderedPageBreak/>
        <w:t xml:space="preserve">QUINTO. Notifíquese vía SAIMEX, </w:t>
      </w:r>
      <w:r w:rsidRPr="007B28C0">
        <w:rPr>
          <w:rFonts w:ascii="Palatino Linotype" w:eastAsia="Palatino Linotype" w:hAnsi="Palatino Linotype" w:cs="Palatino Linotype"/>
          <w:sz w:val="24"/>
          <w:szCs w:val="24"/>
        </w:rPr>
        <w:t xml:space="preserve">a </w:t>
      </w:r>
      <w:r w:rsidRPr="007B28C0">
        <w:rPr>
          <w:rFonts w:ascii="Palatino Linotype" w:eastAsia="Palatino Linotype" w:hAnsi="Palatino Linotype" w:cs="Palatino Linotype"/>
          <w:b/>
          <w:sz w:val="24"/>
          <w:szCs w:val="24"/>
        </w:rPr>
        <w:t>LA PARTE RECURRENTE</w:t>
      </w:r>
      <w:r w:rsidRPr="007B28C0">
        <w:rPr>
          <w:rFonts w:ascii="Palatino Linotype" w:eastAsia="Palatino Linotype" w:hAnsi="Palatino Linotype" w:cs="Palatino Linotype"/>
          <w:sz w:val="24"/>
          <w:szCs w:val="24"/>
        </w:rPr>
        <w:t xml:space="preserve"> la presente resolución, así como, que de conformidad con lo establecido en el artículo 196 de</w:t>
      </w:r>
    </w:p>
    <w:p w14:paraId="311309CF"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426C289C" w14:textId="77777777" w:rsidR="005C3A3A" w:rsidRPr="007B28C0" w:rsidRDefault="005C3A3A">
      <w:pPr>
        <w:spacing w:after="0" w:line="360" w:lineRule="auto"/>
        <w:jc w:val="both"/>
        <w:rPr>
          <w:rFonts w:ascii="Palatino Linotype" w:eastAsia="Palatino Linotype" w:hAnsi="Palatino Linotype" w:cs="Palatino Linotype"/>
          <w:sz w:val="24"/>
          <w:szCs w:val="24"/>
        </w:rPr>
      </w:pPr>
    </w:p>
    <w:p w14:paraId="4A5EBD6A" w14:textId="77777777" w:rsidR="005C3A3A" w:rsidRPr="007B28C0" w:rsidRDefault="00BD07C9">
      <w:pPr>
        <w:spacing w:after="0" w:line="360" w:lineRule="auto"/>
        <w:jc w:val="both"/>
        <w:rPr>
          <w:rFonts w:ascii="Palatino Linotype" w:eastAsia="Palatino Linotype" w:hAnsi="Palatino Linotype" w:cs="Palatino Linotype"/>
          <w:sz w:val="24"/>
          <w:szCs w:val="24"/>
        </w:rPr>
      </w:pPr>
      <w:r w:rsidRPr="007B28C0">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 CELEBRADA EL TRECE DE SEPTIEMBRE DE DOS MIL VEINTITRÉS, ANTE EL SECRETARIO TÉCNICO DEL PLENO, ALEXIS TAPIA RAMÍREZ</w:t>
      </w:r>
    </w:p>
    <w:p w14:paraId="2F95760F" w14:textId="77777777" w:rsidR="005C3A3A" w:rsidRPr="007B28C0" w:rsidRDefault="005C3A3A">
      <w:pPr>
        <w:spacing w:after="0" w:line="360" w:lineRule="auto"/>
        <w:ind w:right="49"/>
        <w:jc w:val="both"/>
        <w:rPr>
          <w:rFonts w:ascii="Palatino Linotype" w:eastAsia="Palatino Linotype" w:hAnsi="Palatino Linotype" w:cs="Palatino Linotype"/>
          <w:i/>
        </w:rPr>
      </w:pPr>
    </w:p>
    <w:p w14:paraId="13DEDC2B" w14:textId="77777777" w:rsidR="007B28C0" w:rsidRPr="007B28C0" w:rsidRDefault="007B28C0">
      <w:pPr>
        <w:spacing w:after="0" w:line="360" w:lineRule="auto"/>
        <w:ind w:right="49"/>
        <w:jc w:val="both"/>
        <w:rPr>
          <w:rFonts w:ascii="Palatino Linotype" w:eastAsia="Palatino Linotype" w:hAnsi="Palatino Linotype" w:cs="Palatino Linotype"/>
          <w:i/>
        </w:rPr>
      </w:pPr>
    </w:p>
    <w:p w14:paraId="67B1125E" w14:textId="77777777" w:rsidR="007B28C0" w:rsidRPr="007B28C0" w:rsidRDefault="007B28C0">
      <w:pPr>
        <w:spacing w:after="0" w:line="360" w:lineRule="auto"/>
        <w:ind w:right="49"/>
        <w:jc w:val="both"/>
        <w:rPr>
          <w:rFonts w:ascii="Palatino Linotype" w:eastAsia="Palatino Linotype" w:hAnsi="Palatino Linotype" w:cs="Palatino Linotype"/>
          <w:i/>
        </w:rPr>
      </w:pPr>
    </w:p>
    <w:p w14:paraId="0F1A9B8F" w14:textId="77777777" w:rsidR="007B28C0" w:rsidRPr="007B28C0" w:rsidRDefault="007B28C0">
      <w:pPr>
        <w:spacing w:after="0" w:line="360" w:lineRule="auto"/>
        <w:ind w:right="49"/>
        <w:jc w:val="both"/>
        <w:rPr>
          <w:rFonts w:ascii="Palatino Linotype" w:eastAsia="Palatino Linotype" w:hAnsi="Palatino Linotype" w:cs="Palatino Linotype"/>
          <w:i/>
        </w:rPr>
      </w:pPr>
    </w:p>
    <w:p w14:paraId="0ACE76A6" w14:textId="77777777" w:rsidR="007B28C0" w:rsidRPr="007B28C0" w:rsidRDefault="007B28C0">
      <w:pPr>
        <w:spacing w:after="0" w:line="360" w:lineRule="auto"/>
        <w:ind w:right="49"/>
        <w:jc w:val="both"/>
        <w:rPr>
          <w:rFonts w:ascii="Palatino Linotype" w:eastAsia="Palatino Linotype" w:hAnsi="Palatino Linotype" w:cs="Palatino Linotype"/>
          <w:i/>
        </w:rPr>
      </w:pPr>
    </w:p>
    <w:p w14:paraId="2DAA6C89" w14:textId="77777777" w:rsidR="007B28C0" w:rsidRPr="007B28C0" w:rsidRDefault="007B28C0">
      <w:pPr>
        <w:spacing w:after="0" w:line="360" w:lineRule="auto"/>
        <w:ind w:right="49"/>
        <w:jc w:val="both"/>
        <w:rPr>
          <w:rFonts w:ascii="Palatino Linotype" w:eastAsia="Palatino Linotype" w:hAnsi="Palatino Linotype" w:cs="Palatino Linotype"/>
          <w:i/>
        </w:rPr>
      </w:pPr>
    </w:p>
    <w:p w14:paraId="7E12A061" w14:textId="77777777" w:rsidR="007B28C0" w:rsidRPr="007B28C0" w:rsidRDefault="007B28C0">
      <w:pPr>
        <w:spacing w:after="0" w:line="360" w:lineRule="auto"/>
        <w:ind w:right="49"/>
        <w:jc w:val="both"/>
        <w:rPr>
          <w:rFonts w:ascii="Palatino Linotype" w:eastAsia="Palatino Linotype" w:hAnsi="Palatino Linotype" w:cs="Palatino Linotype"/>
          <w:i/>
        </w:rPr>
      </w:pPr>
    </w:p>
    <w:sectPr w:rsidR="007B28C0" w:rsidRPr="007B28C0">
      <w:headerReference w:type="default" r:id="rId49"/>
      <w:footerReference w:type="default" r:id="rId50"/>
      <w:headerReference w:type="first" r:id="rId51"/>
      <w:footerReference w:type="first" r:id="rId52"/>
      <w:pgSz w:w="12240" w:h="15840"/>
      <w:pgMar w:top="1417" w:right="1750"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7E468" w14:textId="77777777" w:rsidR="00561CA5" w:rsidRDefault="00561CA5">
      <w:pPr>
        <w:spacing w:after="0" w:line="240" w:lineRule="auto"/>
      </w:pPr>
      <w:r>
        <w:separator/>
      </w:r>
    </w:p>
  </w:endnote>
  <w:endnote w:type="continuationSeparator" w:id="0">
    <w:p w14:paraId="68DC07D0" w14:textId="77777777" w:rsidR="00561CA5" w:rsidRDefault="00561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C75D5" w14:textId="77777777" w:rsidR="005C3A3A" w:rsidRDefault="00BD07C9">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94E9C">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94E9C">
      <w:rPr>
        <w:rFonts w:ascii="Arial" w:eastAsia="Arial" w:hAnsi="Arial" w:cs="Arial"/>
        <w:b/>
        <w:noProof/>
        <w:color w:val="000000"/>
        <w:sz w:val="20"/>
        <w:szCs w:val="20"/>
      </w:rPr>
      <w:t>115</w:t>
    </w:r>
    <w:r>
      <w:rPr>
        <w:rFonts w:ascii="Arial" w:eastAsia="Arial" w:hAnsi="Arial" w:cs="Arial"/>
        <w:b/>
        <w:color w:val="000000"/>
        <w:sz w:val="20"/>
        <w:szCs w:val="20"/>
      </w:rPr>
      <w:fldChar w:fldCharType="end"/>
    </w:r>
  </w:p>
  <w:p w14:paraId="4F4169A9" w14:textId="77777777" w:rsidR="005C3A3A" w:rsidRDefault="005C3A3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13166" w14:textId="77777777" w:rsidR="005C3A3A" w:rsidRDefault="00BD07C9">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94E9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94E9C">
      <w:rPr>
        <w:rFonts w:ascii="Arial" w:eastAsia="Arial" w:hAnsi="Arial" w:cs="Arial"/>
        <w:b/>
        <w:noProof/>
        <w:color w:val="000000"/>
        <w:sz w:val="20"/>
        <w:szCs w:val="20"/>
      </w:rPr>
      <w:t>115</w:t>
    </w:r>
    <w:r>
      <w:rPr>
        <w:rFonts w:ascii="Arial" w:eastAsia="Arial" w:hAnsi="Arial" w:cs="Arial"/>
        <w:b/>
        <w:color w:val="000000"/>
        <w:sz w:val="20"/>
        <w:szCs w:val="20"/>
      </w:rPr>
      <w:fldChar w:fldCharType="end"/>
    </w:r>
  </w:p>
  <w:p w14:paraId="68C0DBE3" w14:textId="77777777" w:rsidR="005C3A3A" w:rsidRDefault="005C3A3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E0D87" w14:textId="77777777" w:rsidR="00561CA5" w:rsidRDefault="00561CA5">
      <w:pPr>
        <w:spacing w:after="0" w:line="240" w:lineRule="auto"/>
      </w:pPr>
      <w:r>
        <w:separator/>
      </w:r>
    </w:p>
  </w:footnote>
  <w:footnote w:type="continuationSeparator" w:id="0">
    <w:p w14:paraId="4E33C539" w14:textId="77777777" w:rsidR="00561CA5" w:rsidRDefault="00561CA5">
      <w:pPr>
        <w:spacing w:after="0" w:line="240" w:lineRule="auto"/>
      </w:pPr>
      <w:r>
        <w:continuationSeparator/>
      </w:r>
    </w:p>
  </w:footnote>
  <w:footnote w:id="1">
    <w:p w14:paraId="553E7BED" w14:textId="77777777" w:rsidR="005C3A3A" w:rsidRDefault="00BD07C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592506CB" w14:textId="77777777" w:rsidR="005C3A3A" w:rsidRDefault="00BD07C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C826F76" w14:textId="77777777" w:rsidR="005C3A3A" w:rsidRDefault="00BD07C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8DE27" w14:textId="77777777" w:rsidR="005C3A3A" w:rsidRDefault="005C3A3A">
    <w:pPr>
      <w:widowControl w:val="0"/>
      <w:pBdr>
        <w:top w:val="nil"/>
        <w:left w:val="nil"/>
        <w:bottom w:val="nil"/>
        <w:right w:val="nil"/>
        <w:between w:val="nil"/>
      </w:pBdr>
      <w:spacing w:after="0" w:line="276" w:lineRule="auto"/>
      <w:rPr>
        <w:color w:val="000000"/>
      </w:rPr>
    </w:pPr>
  </w:p>
  <w:tbl>
    <w:tblPr>
      <w:tblStyle w:val="af2"/>
      <w:tblW w:w="10273" w:type="dxa"/>
      <w:tblInd w:w="-1281" w:type="dxa"/>
      <w:tblLayout w:type="fixed"/>
      <w:tblLook w:val="0400" w:firstRow="0" w:lastRow="0" w:firstColumn="0" w:lastColumn="0" w:noHBand="0" w:noVBand="1"/>
    </w:tblPr>
    <w:tblGrid>
      <w:gridCol w:w="5716"/>
      <w:gridCol w:w="4557"/>
    </w:tblGrid>
    <w:tr w:rsidR="005C3A3A" w14:paraId="62D64BE7" w14:textId="77777777">
      <w:trPr>
        <w:trHeight w:val="246"/>
      </w:trPr>
      <w:tc>
        <w:tcPr>
          <w:tcW w:w="5716" w:type="dxa"/>
        </w:tcPr>
        <w:p w14:paraId="3A3F638D" w14:textId="77777777" w:rsidR="005C3A3A" w:rsidRDefault="00BD07C9">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14:paraId="2CDAD97D" w14:textId="77777777" w:rsidR="005C3A3A" w:rsidRDefault="00BD07C9">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16614/INFOEM/IP/RR/2022.</w:t>
          </w:r>
        </w:p>
      </w:tc>
    </w:tr>
    <w:tr w:rsidR="005C3A3A" w14:paraId="22646CBB" w14:textId="77777777">
      <w:trPr>
        <w:trHeight w:val="212"/>
      </w:trPr>
      <w:tc>
        <w:tcPr>
          <w:tcW w:w="5716" w:type="dxa"/>
        </w:tcPr>
        <w:p w14:paraId="522ABF4C" w14:textId="77777777" w:rsidR="005C3A3A" w:rsidRDefault="00BD07C9">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4CF9B368" w14:textId="77777777" w:rsidR="005C3A3A" w:rsidRDefault="005C3A3A">
          <w:pPr>
            <w:spacing w:after="120"/>
            <w:ind w:left="-252" w:firstLine="567"/>
            <w:jc w:val="right"/>
            <w:rPr>
              <w:rFonts w:ascii="Palatino Linotype" w:eastAsia="Palatino Linotype" w:hAnsi="Palatino Linotype" w:cs="Palatino Linotype"/>
            </w:rPr>
          </w:pPr>
        </w:p>
      </w:tc>
    </w:tr>
    <w:tr w:rsidR="005C3A3A" w14:paraId="048369F2" w14:textId="77777777">
      <w:trPr>
        <w:trHeight w:val="264"/>
      </w:trPr>
      <w:tc>
        <w:tcPr>
          <w:tcW w:w="5716" w:type="dxa"/>
        </w:tcPr>
        <w:p w14:paraId="01AC1482" w14:textId="77777777" w:rsidR="005C3A3A" w:rsidRDefault="00BD07C9">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419B7925" w14:textId="77777777" w:rsidR="005C3A3A" w:rsidRDefault="00BD07C9">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Atizapán de Zaragoza</w:t>
          </w:r>
        </w:p>
      </w:tc>
    </w:tr>
    <w:tr w:rsidR="005C3A3A" w14:paraId="445CB5D1" w14:textId="77777777">
      <w:trPr>
        <w:trHeight w:val="373"/>
      </w:trPr>
      <w:tc>
        <w:tcPr>
          <w:tcW w:w="5716" w:type="dxa"/>
        </w:tcPr>
        <w:p w14:paraId="408429CD" w14:textId="77777777" w:rsidR="005C3A3A" w:rsidRDefault="00BD07C9">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294482DA" w14:textId="77777777" w:rsidR="005C3A3A" w:rsidRDefault="00BD07C9">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33B7FDD9" w14:textId="77777777" w:rsidR="005C3A3A" w:rsidRDefault="00BD07C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2842CF0" wp14:editId="43BCAC35">
          <wp:simplePos x="0" y="0"/>
          <wp:positionH relativeFrom="column">
            <wp:posOffset>-750568</wp:posOffset>
          </wp:positionH>
          <wp:positionV relativeFrom="paragraph">
            <wp:posOffset>-1357628</wp:posOffset>
          </wp:positionV>
          <wp:extent cx="7353300" cy="8658225"/>
          <wp:effectExtent l="0" t="0" r="0" b="0"/>
          <wp:wrapNone/>
          <wp:docPr id="1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DAD1F" w14:textId="77777777" w:rsidR="005C3A3A" w:rsidRDefault="00BD07C9">
    <w:pPr>
      <w:widowControl w:val="0"/>
      <w:pBdr>
        <w:top w:val="nil"/>
        <w:left w:val="nil"/>
        <w:bottom w:val="nil"/>
        <w:right w:val="nil"/>
        <w:between w:val="nil"/>
      </w:pBdr>
      <w:spacing w:after="0" w:line="276" w:lineRule="auto"/>
      <w:rPr>
        <w:rFonts w:ascii="Palatino Linotype" w:eastAsia="Palatino Linotype" w:hAnsi="Palatino Linotype" w:cs="Palatino Linotype"/>
        <w:i/>
        <w:color w:val="000000"/>
        <w:sz w:val="16"/>
        <w:szCs w:val="16"/>
      </w:rPr>
    </w:pPr>
    <w:r>
      <w:rPr>
        <w:noProof/>
      </w:rPr>
      <w:drawing>
        <wp:anchor distT="0" distB="0" distL="0" distR="0" simplePos="0" relativeHeight="251659264" behindDoc="1" locked="0" layoutInCell="1" hidden="0" allowOverlap="1" wp14:anchorId="38274FDC" wp14:editId="572F8642">
          <wp:simplePos x="0" y="0"/>
          <wp:positionH relativeFrom="column">
            <wp:posOffset>-1080134</wp:posOffset>
          </wp:positionH>
          <wp:positionV relativeFrom="paragraph">
            <wp:posOffset>-27304</wp:posOffset>
          </wp:positionV>
          <wp:extent cx="7353300" cy="8658225"/>
          <wp:effectExtent l="0" t="0" r="0" b="0"/>
          <wp:wrapNone/>
          <wp:docPr id="1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f1"/>
      <w:tblW w:w="10273" w:type="dxa"/>
      <w:tblInd w:w="-1281" w:type="dxa"/>
      <w:tblLayout w:type="fixed"/>
      <w:tblLook w:val="0400" w:firstRow="0" w:lastRow="0" w:firstColumn="0" w:lastColumn="0" w:noHBand="0" w:noVBand="1"/>
    </w:tblPr>
    <w:tblGrid>
      <w:gridCol w:w="5716"/>
      <w:gridCol w:w="4557"/>
    </w:tblGrid>
    <w:tr w:rsidR="005C3A3A" w14:paraId="635F958A" w14:textId="77777777">
      <w:trPr>
        <w:trHeight w:val="246"/>
      </w:trPr>
      <w:tc>
        <w:tcPr>
          <w:tcW w:w="5716" w:type="dxa"/>
        </w:tcPr>
        <w:p w14:paraId="79778A99" w14:textId="77777777" w:rsidR="005C3A3A" w:rsidRDefault="00BD07C9">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14:paraId="7A0D1806" w14:textId="77777777" w:rsidR="005C3A3A" w:rsidRDefault="00BD07C9">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16614/INFOEM/IP/RR/2022.</w:t>
          </w:r>
        </w:p>
      </w:tc>
    </w:tr>
    <w:tr w:rsidR="005C3A3A" w14:paraId="06A7557B" w14:textId="77777777">
      <w:trPr>
        <w:trHeight w:val="212"/>
      </w:trPr>
      <w:tc>
        <w:tcPr>
          <w:tcW w:w="5716" w:type="dxa"/>
        </w:tcPr>
        <w:p w14:paraId="64F8B69B" w14:textId="77777777" w:rsidR="005C3A3A" w:rsidRDefault="00BD07C9">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34825298" w14:textId="5654CD47" w:rsidR="005C3A3A" w:rsidRDefault="00794E9C" w:rsidP="00794E9C">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 XXXXXXX XXXX XXXXXX</w:t>
          </w:r>
        </w:p>
      </w:tc>
    </w:tr>
    <w:tr w:rsidR="005C3A3A" w14:paraId="7E98D07E" w14:textId="77777777">
      <w:trPr>
        <w:trHeight w:val="264"/>
      </w:trPr>
      <w:tc>
        <w:tcPr>
          <w:tcW w:w="5716" w:type="dxa"/>
        </w:tcPr>
        <w:p w14:paraId="5C87155E" w14:textId="77777777" w:rsidR="005C3A3A" w:rsidRDefault="00BD07C9">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454B8E24" w14:textId="77777777" w:rsidR="005C3A3A" w:rsidRDefault="00BD07C9">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Atizapán de Zaragoza</w:t>
          </w:r>
        </w:p>
      </w:tc>
    </w:tr>
    <w:tr w:rsidR="005C3A3A" w14:paraId="749E6018" w14:textId="77777777">
      <w:trPr>
        <w:trHeight w:val="373"/>
      </w:trPr>
      <w:tc>
        <w:tcPr>
          <w:tcW w:w="5716" w:type="dxa"/>
        </w:tcPr>
        <w:p w14:paraId="478374AC" w14:textId="77777777" w:rsidR="005C3A3A" w:rsidRDefault="00BD07C9">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191FD0EA" w14:textId="77777777" w:rsidR="005C3A3A" w:rsidRDefault="00BD07C9">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7AD976AC" w14:textId="77777777" w:rsidR="005C3A3A" w:rsidRDefault="005C3A3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202B5C"/>
    <w:multiLevelType w:val="multilevel"/>
    <w:tmpl w:val="2D00E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83B789A"/>
    <w:multiLevelType w:val="multilevel"/>
    <w:tmpl w:val="1C12533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4CBA457A"/>
    <w:multiLevelType w:val="multilevel"/>
    <w:tmpl w:val="3F900B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4FC7F97"/>
    <w:multiLevelType w:val="multilevel"/>
    <w:tmpl w:val="3804598A"/>
    <w:lvl w:ilvl="0">
      <w:start w:val="4"/>
      <w:numFmt w:val="bullet"/>
      <w:lvlText w:val="-"/>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4">
    <w:nsid w:val="631A2367"/>
    <w:multiLevelType w:val="multilevel"/>
    <w:tmpl w:val="BB5C3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E30385E"/>
    <w:multiLevelType w:val="multilevel"/>
    <w:tmpl w:val="41B65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3A"/>
    <w:rsid w:val="000F64AF"/>
    <w:rsid w:val="00143E6F"/>
    <w:rsid w:val="00561CA5"/>
    <w:rsid w:val="005C3A3A"/>
    <w:rsid w:val="00794E9C"/>
    <w:rsid w:val="007B28C0"/>
    <w:rsid w:val="00BC585A"/>
    <w:rsid w:val="00BD07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CE14E"/>
  <w15:docId w15:val="{49A15E03-7876-4177-941C-7FE76A270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3E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B614D"/>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9B614D"/>
  </w:style>
  <w:style w:type="paragraph" w:styleId="Piedepgina">
    <w:name w:val="footer"/>
    <w:basedOn w:val="Normal"/>
    <w:link w:val="PiedepginaCar"/>
    <w:uiPriority w:val="99"/>
    <w:unhideWhenUsed/>
    <w:rsid w:val="009B614D"/>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9B614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47F5C"/>
    <w:pPr>
      <w:ind w:left="720"/>
      <w:contextualSpacing/>
    </w:pPr>
  </w:style>
  <w:style w:type="character" w:styleId="Hipervnculo">
    <w:name w:val="Hyperlink"/>
    <w:basedOn w:val="Fuentedeprrafopredeter"/>
    <w:uiPriority w:val="99"/>
    <w:unhideWhenUsed/>
    <w:rsid w:val="00147F5C"/>
    <w:rPr>
      <w:color w:val="0000FF"/>
      <w:u w:val="single"/>
    </w:rPr>
  </w:style>
  <w:style w:type="character" w:styleId="Hipervnculovisitado">
    <w:name w:val="FollowedHyperlink"/>
    <w:basedOn w:val="Fuentedeprrafopredeter"/>
    <w:uiPriority w:val="99"/>
    <w:semiHidden/>
    <w:unhideWhenUsed/>
    <w:rsid w:val="00C85571"/>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62AD"/>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D361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185"/>
    <w:rPr>
      <w:rFonts w:ascii="Segoe UI" w:hAnsi="Segoe UI" w:cs="Segoe UI"/>
      <w:sz w:val="18"/>
      <w:szCs w:val="1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28.png"/><Relationship Id="rId39" Type="http://schemas.openxmlformats.org/officeDocument/2006/relationships/image" Target="media/image31.png"/><Relationship Id="rId21" Type="http://schemas.openxmlformats.org/officeDocument/2006/relationships/image" Target="media/image9.png"/><Relationship Id="rId34" Type="http://schemas.openxmlformats.org/officeDocument/2006/relationships/image" Target="media/image34.png"/><Relationship Id="rId42" Type="http://schemas.openxmlformats.org/officeDocument/2006/relationships/image" Target="media/image29.png"/><Relationship Id="rId47" Type="http://schemas.openxmlformats.org/officeDocument/2006/relationships/image" Target="media/image22.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hyperlink" Target="https://saimex.org.mx/saimex/solicitud/downloadAttach/1643796.page" TargetMode="External"/><Relationship Id="rId24" Type="http://schemas.openxmlformats.org/officeDocument/2006/relationships/hyperlink" Target="https://qaventanilla.edomex.gob.mx/TramitesyServicios/Tramite?tram=1140&amp;cont=0" TargetMode="External"/><Relationship Id="rId32" Type="http://schemas.openxmlformats.org/officeDocument/2006/relationships/image" Target="media/image30.png"/><Relationship Id="rId37"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hyperlink" Target="https://docplayer.es/5455342-Nuevas-tecnologias-biometricas-instituto-nacional-de-ciencias-penales-procuraduria-general-de-la-republica-version-1-0.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25.png"/><Relationship Id="rId31" Type="http://schemas.openxmlformats.org/officeDocument/2006/relationships/hyperlink" Target="https://atizapan.gob.mx/wp-content/uploads/2022/04/CONSTA1-1.pdf" TargetMode="External"/><Relationship Id="rId44" Type="http://schemas.openxmlformats.org/officeDocument/2006/relationships/image" Target="media/image32.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7.png"/><Relationship Id="rId22" Type="http://schemas.openxmlformats.org/officeDocument/2006/relationships/hyperlink" Target="https://dle.rae.es/cartograf%C3%ADa"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sistemas2.edomex.gob.mx/TramitesyServicios/Tramite?tram=19688&amp;cont=0" TargetMode="External"/><Relationship Id="rId43" Type="http://schemas.openxmlformats.org/officeDocument/2006/relationships/image" Target="media/image26.png"/><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seduo.edomex.gob.mx/atizapan_zaragoza"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1.png"/><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gislacion.edomex.gob.mx/sites/legislacion.edomex.gob.mx/files/files/pdf/gct/2022/sep122.pdf"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uLHnMm5xvmrHcTD3lJ9AMuLltw==">CgMxLjAyCWguMzBqMHpsbDIOaC5rZWxnczI0MjhvYTY4AHIhMWFGcWotQ1c3OFNyU2tnU2JySlZUTWpNbHpEWmI5b2st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24640</Words>
  <Characters>135520</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2023-09-15T19:23:00Z</cp:lastPrinted>
  <dcterms:created xsi:type="dcterms:W3CDTF">2023-09-26T23:08:00Z</dcterms:created>
  <dcterms:modified xsi:type="dcterms:W3CDTF">2023-09-26T23:08:00Z</dcterms:modified>
</cp:coreProperties>
</file>