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tyjcwt"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cuatro de mayo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14204/INFOEM/IP/RR/2022</w:t>
      </w:r>
      <w:r w:rsidDel="00000000" w:rsidR="00000000" w:rsidRPr="00000000">
        <w:rPr>
          <w:rFonts w:ascii="Palatino Linotype" w:cs="Palatino Linotype" w:eastAsia="Palatino Linotype" w:hAnsi="Palatino Linotype"/>
          <w:rtl w:val="0"/>
        </w:rPr>
        <w:t xml:space="preserve">, interpuesto por persona que no proporcionó nombre quien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será identificado en su calidad de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Almoloya de Juárez,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8"/>
          <w:szCs w:val="28"/>
        </w:rPr>
      </w:pPr>
      <w:bookmarkStart w:colFirst="0" w:colLast="0" w:name="_heading=h.3znysh7" w:id="1"/>
      <w:bookmarkEnd w:id="1"/>
      <w:r w:rsidDel="00000000" w:rsidR="00000000" w:rsidRPr="00000000">
        <w:rPr>
          <w:rFonts w:ascii="Palatino Linotype" w:cs="Palatino Linotype" w:eastAsia="Palatino Linotype" w:hAnsi="Palatino Linotype"/>
          <w:b w:val="1"/>
          <w:rtl w:val="0"/>
        </w:rPr>
        <w:t xml:space="preserve">I. A N T E C E D E N T E S</w:t>
      </w:r>
      <w:r w:rsidDel="00000000" w:rsidR="00000000" w:rsidRPr="00000000">
        <w:rPr>
          <w:rtl w:val="0"/>
        </w:rPr>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once de agosto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la solicitud de acceso a la información pública registrada con el número </w:t>
      </w:r>
      <w:r w:rsidDel="00000000" w:rsidR="00000000" w:rsidRPr="00000000">
        <w:rPr>
          <w:rFonts w:ascii="Palatino Linotype" w:cs="Palatino Linotype" w:eastAsia="Palatino Linotype" w:hAnsi="Palatino Linotype"/>
          <w:b w:val="1"/>
          <w:rtl w:val="0"/>
        </w:rPr>
        <w:t xml:space="preserve">00250/ALMOJU/IP/2022,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616" w:firstLine="0"/>
        <w:jc w:val="both"/>
        <w:rPr>
          <w:rFonts w:ascii="Palatino Linotype" w:cs="Palatino Linotype" w:eastAsia="Palatino Linotype" w:hAnsi="Palatino Linotype"/>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“A TRAVÉS DEL EJERCICIO DE DERECHO A LA INFORMACIÓN SOLICITO SABER CUÁNTO GANABA EL ANTERIOR PRESIDENTE LUIS MAYA DORO, ASÍ COMO EL SUELDO QUE RECIBÍA Y EL CARGO QUE OCUPÓ LUIS ANGEL MAYA JIMÉNEZ Y EL SUELDO QUE PERCIBIÓ LA EXTESORERA ROSA MARÍA QUIROZ PRADO.”(Sic)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primero de septiembre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información en los términos siguientes:</w:t>
      </w:r>
    </w:p>
    <w:p w:rsidR="00000000" w:rsidDel="00000000" w:rsidP="00000000" w:rsidRDefault="00000000" w:rsidRPr="00000000" w14:paraId="00000009">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A">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los artículos 4, 12 y 59 de la Ley de Transparencia y Acceso a la Información Pública del Estado de México y Municipios , se adjunta respuesta del Coordinador del área de Recursos Humanos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83" w:right="6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dos de septiembre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inconforme con la respuesta, interpuso el recurso de revisión en el que expresó lo siguiente:</w:t>
      </w:r>
      <w:r w:rsidDel="00000000" w:rsidR="00000000" w:rsidRPr="00000000">
        <w:rPr>
          <w:rtl w:val="0"/>
        </w:rPr>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i w:val="1"/>
          <w:sz w:val="2"/>
          <w:szCs w:val="2"/>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tl w:val="0"/>
        </w:rPr>
      </w:r>
    </w:p>
    <w:p w:rsidR="00000000" w:rsidDel="00000000" w:rsidP="00000000" w:rsidRDefault="00000000" w:rsidRPr="00000000" w14:paraId="0000000E">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A LA SOLICITUD 00250/ALMOJU/IP/2022 “(Sic)</w:t>
      </w:r>
    </w:p>
    <w:p w:rsidR="00000000" w:rsidDel="00000000" w:rsidP="00000000" w:rsidRDefault="00000000" w:rsidRPr="00000000" w14:paraId="0000000F">
      <w:pPr>
        <w:spacing w:after="240" w:before="240" w:line="360" w:lineRule="auto"/>
        <w:ind w:right="61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Razones o motivos de inconformidad</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10">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TITULAR DE LA UNIDAD DE TRANSPARENCIA, HACE DE MI CONOCIMIENTO LO SIGUIENTE: "En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4, 12 y 59 de la Ley de Transparencia y Acceso a la Información Pública del Estado de México y Municipios , se adjunta respuesta del Coordinador del área de Recursos Humanos" NO OBSTANTE, AL REVISAR LA RESPUESTA EN LA PLATAFORMA, SE DESPRENDE QUE NO HAY "ARCHIVO ADJUNTO" COMO SEÑALA LA TITULAR, DÉJANDO SIN RESPUESTA MI SOLICITUD, AUNDADO A LO ANTERIOR, COMO SE DESPRENDE A LA FECHA HA TRASCURRIDO EL PLAZO QUE SEÑALA LA LEY PARA DAR CUMPLIMIENTO POR PARTE DEL SUJETO OBLIGADO. RAZÓN POR LA CUAL Y, AL NO ESTAR DE ACUERDO CON LA RESPUESTA (QUE NO HAY RESPUESTA), EJERZO MI DERECHO A INTERPONER EL RECURSO CORRESPONDIENTE..."(Sic)</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12">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en el formato de recurso de revisión remitió el archivo electrónico identificado como:</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ab/>
        <w:t xml:space="preserve">SCREEN_ALM.docx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documental en la que se incluye en imagen una captura de pantalla con la respuesta que le fue proporcionada por parte del Sujeto Obligado. </w:t>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sz w:val="28"/>
          <w:szCs w:val="28"/>
          <w:rtl w:val="0"/>
        </w:rPr>
        <w:t xml:space="preserve"> El</w:t>
      </w:r>
      <w:r w:rsidDel="00000000" w:rsidR="00000000" w:rsidRPr="00000000">
        <w:rPr>
          <w:rFonts w:ascii="Palatino Linotype" w:cs="Palatino Linotype" w:eastAsia="Palatino Linotype" w:hAnsi="Palatino Linotype"/>
          <w:b w:val="1"/>
          <w:rtl w:val="0"/>
        </w:rPr>
        <w:t xml:space="preserve"> siete de septiembre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r w:rsidDel="00000000" w:rsidR="00000000" w:rsidRPr="00000000">
        <w:rPr>
          <w:rtl w:val="0"/>
        </w:rPr>
      </w:r>
    </w:p>
    <w:p w:rsidR="00000000" w:rsidDel="00000000" w:rsidP="00000000" w:rsidRDefault="00000000" w:rsidRPr="00000000" w14:paraId="00000016">
      <w:pPr>
        <w:widowControl w:val="0"/>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ocho de septiembre de dos mil veintidós </w:t>
      </w:r>
      <w:r w:rsidDel="00000000" w:rsidR="00000000" w:rsidRPr="00000000">
        <w:rPr>
          <w:rFonts w:ascii="Palatino Linotype" w:cs="Palatino Linotype" w:eastAsia="Palatino Linotype" w:hAnsi="Palatino Linotype"/>
          <w:rtl w:val="0"/>
        </w:rPr>
        <w:t xml:space="preserve">la parte recurrente haciendo uso de la garantía de sus alegatos, remitió el archivo electrónico denominado “ALEGATOS_INFOEM.docx” en cuyo contenido  refiere: </w:t>
      </w:r>
      <w:r w:rsidDel="00000000" w:rsidR="00000000" w:rsidRPr="00000000">
        <w:rPr>
          <w:rFonts w:ascii="Palatino Linotype" w:cs="Palatino Linotype" w:eastAsia="Palatino Linotype" w:hAnsi="Palatino Linotype"/>
          <w:i w:val="1"/>
          <w:rtl w:val="0"/>
        </w:rPr>
        <w:t xml:space="preserve">“EL ACCESO A LA INFORMACIÓN ES UN DERECHO QUE TODAS LAS PERSONAS TENEMOS Y, AL QUE LAS AUTORIDADES EN EL ÁMBITO DE SUS FUNCIONES ESTÁN OBLIGADOS A PROPORCIONAR, DERIVADO DE ELLO, AL NEGARSE LA INFORMACIÓN, AL ABSTENERSE DE DAR CONTESTACIÓN A LAS PREGUNTAS QUE LOS CIUDADANOS TENEMOS, SE VULNERA EL FIN PARA EL QUE FUE CREADA LA NORMATIVADA Y POR TANTO, TAMBIÉN SE VUELNERA EL DERECHO, EN ESTE CASO, EL DEL SUSCRITO PARA SABER LO REQUERIDO, ADEMÁS LA INFORMACIÓN SOLICITADA, TENDRÍA QUE OBRAR EN EL PORTAL CORRESPONDIENTE.</w:t>
      </w:r>
    </w:p>
    <w:p w:rsidR="00000000" w:rsidDel="00000000" w:rsidP="00000000" w:rsidRDefault="00000000" w:rsidRPr="00000000" w14:paraId="00000017">
      <w:pPr>
        <w:widowControl w:val="0"/>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ELLO, A USTEDES COMISIONADOS, LES PIDO CONMINEN AL SUJETO OBLIGADO A HACER LA ENTREGA DE LA INFORMACIÓN, ELLO CON LA FINALIDAD DE CONTINUAR VULNERANDO MI DERECHO FUNDAMENTAL.”</w:t>
      </w:r>
    </w:p>
    <w:p w:rsidR="00000000" w:rsidDel="00000000" w:rsidP="00000000" w:rsidRDefault="00000000" w:rsidRPr="00000000" w14:paraId="00000018">
      <w:pPr>
        <w:widowControl w:val="0"/>
        <w:spacing w:after="240" w:before="240" w:line="360" w:lineRule="auto"/>
        <w:jc w:val="both"/>
        <w:rPr>
          <w:rFonts w:ascii="Palatino Linotype" w:cs="Palatino Linotype" w:eastAsia="Palatino Linotype" w:hAnsi="Palatino Linotype"/>
          <w:i w:val="1"/>
          <w:sz w:val="6"/>
          <w:szCs w:val="6"/>
        </w:rPr>
      </w:pPr>
      <w:r w:rsidDel="00000000" w:rsidR="00000000" w:rsidRPr="00000000">
        <w:rPr>
          <w:rtl w:val="0"/>
        </w:rPr>
      </w:r>
    </w:p>
    <w:p w:rsidR="00000000" w:rsidDel="00000000" w:rsidP="00000000" w:rsidRDefault="00000000" w:rsidRPr="00000000" w14:paraId="00000019">
      <w:pPr>
        <w:widowControl w:val="0"/>
        <w:spacing w:after="240" w:before="240" w:line="36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cinco de octubre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en informe justificado el archivo electrónico identificado como:</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0" w:line="360" w:lineRule="auto"/>
        <w:ind w:left="1080" w:right="0" w:hanging="36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ab/>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Resp sol 250 2022.PDF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documental en archivo electrónico en el que se incluye el oficio PMA/CRH/HCV/028/2022 de fecha 16 de agosto del 2022, suscrito por el Coordinador de Recursos Humanos por vía del cual  señala:</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el expresidente Luis Maya Doro percibía un suelo neto mensual de 72, 965.58;</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en lo tocante al sueldo y al cargo que ocupó Luis Ángel Maya Jiménez, informa que dentro de los archivos que obran dentro de esa Coordinación no se encontró registro alguno respecto de la información requerida; y,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108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por lo que corresponde al sueldo que percibió la extesorera Rosa María Quiroz Prado, la cual ocupo el cargo de Tesorera Municipal percibiendo un salario mensual de 34, 000. </w:t>
      </w:r>
    </w:p>
    <w:p w:rsidR="00000000" w:rsidDel="00000000" w:rsidP="00000000" w:rsidRDefault="00000000" w:rsidRPr="00000000" w14:paraId="0000001E">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virtud de que fue modificada la respuesta que había sido entregada en su origen, en fecha 18 de abril de 2022, con fundamento en el artículo 185, fracción III de la Ley de Transparencia y Acceso a la Información Pública del Estado de México y Municipios, se acordó poner a  disposición de la parte recurrente el informe justificado, para que en el plazo de tres días hábiles siguientes al día de la fecha manifieste a través del Sistema de Acceso a la Información Mexiquense, lo que a su derecho conviniera en relación a las apuntaciones novedosas hechas, sin que la parte recurrente se pronunciara. </w:t>
      </w:r>
    </w:p>
    <w:p w:rsidR="00000000" w:rsidDel="00000000" w:rsidP="00000000" w:rsidRDefault="00000000" w:rsidRPr="00000000" w14:paraId="0000001F">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plazo para emitir resolución.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dieciocho de abril de la presente anualidad</w:t>
      </w:r>
      <w:r w:rsidDel="00000000" w:rsidR="00000000" w:rsidRPr="00000000">
        <w:rPr>
          <w:rFonts w:ascii="Palatino Linotype" w:cs="Palatino Linotype" w:eastAsia="Palatino Linotype" w:hAnsi="Palatino Linotype"/>
          <w:rtl w:val="0"/>
        </w:rPr>
        <w:t xml:space="preserve">, este Instituto con fundamento en el artículo 181, párrafo tercero, de la Ley de Transparencia y Acceso a la Información Pública del Estado de México y Municipios, determinó ampliar el plazo para emitir la presente resolución. </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5">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6">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7">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8">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veinticuatro de abril de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1">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2">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5">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información el </w:t>
      </w:r>
      <w:r w:rsidDel="00000000" w:rsidR="00000000" w:rsidRPr="00000000">
        <w:rPr>
          <w:rFonts w:ascii="Palatino Linotype" w:cs="Palatino Linotype" w:eastAsia="Palatino Linotype" w:hAnsi="Palatino Linotype"/>
          <w:b w:val="1"/>
          <w:rtl w:val="0"/>
        </w:rPr>
        <w:t xml:space="preserve">uno de septiembre de dos mil veintidós, </w:t>
      </w:r>
      <w:r w:rsidDel="00000000" w:rsidR="00000000" w:rsidRPr="00000000">
        <w:rPr>
          <w:rFonts w:ascii="Palatino Linotype" w:cs="Palatino Linotype" w:eastAsia="Palatino Linotype" w:hAnsi="Palatino Linotype"/>
          <w:rtl w:val="0"/>
        </w:rPr>
        <w:t xml:space="preserve">mientras que el recurso de revisión se interpuso el día </w:t>
      </w:r>
      <w:r w:rsidDel="00000000" w:rsidR="00000000" w:rsidRPr="00000000">
        <w:rPr>
          <w:rFonts w:ascii="Palatino Linotype" w:cs="Palatino Linotype" w:eastAsia="Palatino Linotype" w:hAnsi="Palatino Linotype"/>
          <w:b w:val="1"/>
          <w:rtl w:val="0"/>
        </w:rPr>
        <w:t xml:space="preserve">dos de septiembre de dos mil veintidós</w:t>
      </w:r>
      <w:r w:rsidDel="00000000" w:rsidR="00000000" w:rsidRPr="00000000">
        <w:rPr>
          <w:rFonts w:ascii="Palatino Linotype" w:cs="Palatino Linotype" w:eastAsia="Palatino Linotype" w:hAnsi="Palatino Linotype"/>
          <w:rtl w:val="0"/>
        </w:rPr>
        <w:t xml:space="preserve">, esto es, al día hábil siguiente en que tuvo conocimiento de la respuesta impugnada.</w:t>
      </w:r>
      <w:r w:rsidDel="00000000" w:rsidR="00000000" w:rsidRPr="00000000">
        <w:rPr>
          <w:rtl w:val="0"/>
        </w:rPr>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suma importancia mencionar que, si bien 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8">
      <w:pPr>
        <w:spacing w:after="120" w:before="120"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Asimismo, se acreditan los elementos formales exigidos por el artículo 180 de la Ley de Transparencia y Acceso a la Información Pública del Estado de México y Municipios, en atención a que fueron presentados mediante el formato visible en el</w:t>
      </w:r>
      <w:r w:rsidDel="00000000" w:rsidR="00000000" w:rsidRPr="00000000">
        <w:rPr>
          <w:rFonts w:ascii="Palatino Linotype" w:cs="Palatino Linotype" w:eastAsia="Palatino Linotype" w:hAnsi="Palatino Linotype"/>
          <w:b w:val="1"/>
          <w:rtl w:val="0"/>
        </w:rPr>
        <w:t xml:space="preserve"> SAIMEX. </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3B">
      <w:pPr>
        <w:tabs>
          <w:tab w:val="left" w:leader="none"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C">
      <w:pPr>
        <w:tabs>
          <w:tab w:val="left" w:leader="none" w:pos="7088"/>
        </w:tabs>
        <w:spacing w:after="120" w:before="120"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3D">
      <w:pPr>
        <w:tabs>
          <w:tab w:val="left" w:leader="none" w:pos="7088"/>
        </w:tabs>
        <w:spacing w:after="120" w:before="120"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negativa a la información solicitada;</w:t>
        <w:br w:type="textWrapping"/>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b w:val="1"/>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F">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0">
      <w:pPr>
        <w:tabs>
          <w:tab w:val="left" w:leader="none" w:pos="709"/>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1">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2">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9">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E">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54">
      <w:pPr>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56">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7">
      <w:pPr>
        <w:spacing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A">
      <w:pPr>
        <w:ind w:left="851"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5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5E">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6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66">
      <w:pPr>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6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8">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6A">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7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2">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w:t>
      </w:r>
      <w:r w:rsidDel="00000000" w:rsidR="00000000" w:rsidRPr="00000000">
        <w:rPr>
          <w:rFonts w:ascii="Palatino Linotype" w:cs="Palatino Linotype" w:eastAsia="Palatino Linotype" w:hAnsi="Palatino Linotype"/>
          <w:b w:val="1"/>
          <w:i w:val="1"/>
          <w:sz w:val="22"/>
          <w:szCs w:val="22"/>
          <w:u w:val="single"/>
          <w:rtl w:val="0"/>
        </w:rPr>
        <w:t xml:space="preserve">registro que documente el ejercicio de las facultades, funciones y competencias de los sujetos obligados</w:t>
      </w:r>
      <w:r w:rsidDel="00000000" w:rsidR="00000000" w:rsidRPr="00000000">
        <w:rPr>
          <w:rFonts w:ascii="Palatino Linotype" w:cs="Palatino Linotype" w:eastAsia="Palatino Linotype" w:hAnsi="Palatino Linotype"/>
          <w:i w:val="1"/>
          <w:sz w:val="22"/>
          <w:szCs w:val="22"/>
          <w:rtl w:val="0"/>
        </w:rPr>
        <w:t xml:space="preserve">, sus servidores públicos e integrantes, sin importar su fuente o fecha de elaboración. Los documentos podrán estar en cualquier medio, sea escrito, impreso, sonoro, visual, </w:t>
      </w:r>
      <w:r w:rsidDel="00000000" w:rsidR="00000000" w:rsidRPr="00000000">
        <w:rPr>
          <w:rFonts w:ascii="Palatino Linotype" w:cs="Palatino Linotype" w:eastAsia="Palatino Linotype" w:hAnsi="Palatino Linotype"/>
          <w:b w:val="1"/>
          <w:i w:val="1"/>
          <w:sz w:val="22"/>
          <w:szCs w:val="22"/>
          <w:u w:val="single"/>
          <w:rtl w:val="0"/>
        </w:rPr>
        <w:t xml:space="preserve">electrónico, informático</w:t>
      </w:r>
      <w:r w:rsidDel="00000000" w:rsidR="00000000" w:rsidRPr="00000000">
        <w:rPr>
          <w:rFonts w:ascii="Palatino Linotype" w:cs="Palatino Linotype" w:eastAsia="Palatino Linotype" w:hAnsi="Palatino Linotype"/>
          <w:i w:val="1"/>
          <w:sz w:val="22"/>
          <w:szCs w:val="22"/>
          <w:rtl w:val="0"/>
        </w:rPr>
        <w:t xml:space="preserve"> u holográfico…” (Sic)</w:t>
      </w:r>
    </w:p>
    <w:p w:rsidR="00000000" w:rsidDel="00000000" w:rsidP="00000000" w:rsidRDefault="00000000" w:rsidRPr="00000000" w14:paraId="00000076">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8">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Agotado lo anterior,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la solicitud planteada por el particular, así como de la respuesta que fue entregada por el Sujeto Obligado y los motivos de informidad planteados por el recurrente en el recurso de revisión que ahora se analiza, se precisa que a manera de resumen en el siguiente cuadro: </w:t>
      </w:r>
    </w:p>
    <w:tbl>
      <w:tblPr>
        <w:tblStyle w:val="Table1"/>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418"/>
        <w:gridCol w:w="1417"/>
        <w:gridCol w:w="2127"/>
        <w:gridCol w:w="1559"/>
        <w:tblGridChange w:id="0">
          <w:tblGrid>
            <w:gridCol w:w="2263"/>
            <w:gridCol w:w="1418"/>
            <w:gridCol w:w="1417"/>
            <w:gridCol w:w="2127"/>
            <w:gridCol w:w="1559"/>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Solicitud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Respuesta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6"/>
                <w:szCs w:val="16"/>
                <w:rtl w:val="0"/>
              </w:rPr>
              <w:t xml:space="preserve">Motivos de inconformidad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Informe Justificado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Observaciones </w:t>
            </w:r>
          </w:p>
        </w:tc>
      </w:tr>
      <w:tr>
        <w:trPr>
          <w:cantSplit w:val="0"/>
          <w:trHeight w:val="7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 Cuánto ganaba el anterior presidente  Luis Maya Doro;</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3"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88">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ii) Sueldo que recibía y el cargo que ocupó Luis Ángel Maya Jiménez; y,  </w:t>
            </w:r>
          </w:p>
          <w:p w:rsidR="00000000" w:rsidDel="00000000" w:rsidP="00000000" w:rsidRDefault="00000000" w:rsidRPr="00000000" w14:paraId="00000089">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8A">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iii) Sueldo que percibió la</w:t>
            </w:r>
          </w:p>
          <w:p w:rsidR="00000000" w:rsidDel="00000000" w:rsidP="00000000" w:rsidRDefault="00000000" w:rsidRPr="00000000" w14:paraId="0000008B">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extesorera Rosa María Quiroz Prado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Informa que remite la respuesta sin que adjuntara la documental que daba cuenta.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jc w:val="both"/>
              <w:rPr>
                <w:rFonts w:ascii="Palatino Linotype" w:cs="Palatino Linotype" w:eastAsia="Palatino Linotype" w:hAnsi="Palatino Linotype"/>
                <w:sz w:val="14"/>
                <w:szCs w:val="14"/>
              </w:rPr>
            </w:pPr>
            <w:r w:rsidDel="00000000" w:rsidR="00000000" w:rsidRPr="00000000">
              <w:rPr>
                <w:rFonts w:ascii="Palatino Linotype" w:cs="Palatino Linotype" w:eastAsia="Palatino Linotype" w:hAnsi="Palatino Linotype"/>
                <w:sz w:val="14"/>
                <w:szCs w:val="14"/>
                <w:rtl w:val="0"/>
              </w:rPr>
              <w:t xml:space="preserve">Que el Sujeto Obligado no le proporcionó la información requerida.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jc w:val="both"/>
              <w:rPr>
                <w:rFonts w:ascii="Palatino Linotype" w:cs="Palatino Linotype" w:eastAsia="Palatino Linotype" w:hAnsi="Palatino Linotype"/>
                <w:sz w:val="14"/>
                <w:szCs w:val="14"/>
              </w:rPr>
            </w:pPr>
            <w:r w:rsidDel="00000000" w:rsidR="00000000" w:rsidRPr="00000000">
              <w:rPr>
                <w:rFonts w:ascii="Palatino Linotype" w:cs="Palatino Linotype" w:eastAsia="Palatino Linotype" w:hAnsi="Palatino Linotype"/>
                <w:sz w:val="14"/>
                <w:szCs w:val="14"/>
                <w:rtl w:val="0"/>
              </w:rPr>
              <w:t xml:space="preserve">Que el expresidente Luis Maya Doro percibía un suelo neto mensual de 72, 965.58;</w:t>
            </w:r>
          </w:p>
          <w:p w:rsidR="00000000" w:rsidDel="00000000" w:rsidP="00000000" w:rsidRDefault="00000000" w:rsidRPr="00000000" w14:paraId="0000008F">
            <w:pPr>
              <w:jc w:val="both"/>
              <w:rPr>
                <w:rFonts w:ascii="Palatino Linotype" w:cs="Palatino Linotype" w:eastAsia="Palatino Linotype" w:hAnsi="Palatino Linotype"/>
                <w:sz w:val="14"/>
                <w:szCs w:val="14"/>
              </w:rPr>
            </w:pPr>
            <w:r w:rsidDel="00000000" w:rsidR="00000000" w:rsidRPr="00000000">
              <w:rPr>
                <w:rtl w:val="0"/>
              </w:rPr>
            </w:r>
          </w:p>
          <w:p w:rsidR="00000000" w:rsidDel="00000000" w:rsidP="00000000" w:rsidRDefault="00000000" w:rsidRPr="00000000" w14:paraId="00000090">
            <w:pPr>
              <w:jc w:val="both"/>
              <w:rPr>
                <w:rFonts w:ascii="Palatino Linotype" w:cs="Palatino Linotype" w:eastAsia="Palatino Linotype" w:hAnsi="Palatino Linotype"/>
                <w:sz w:val="14"/>
                <w:szCs w:val="14"/>
              </w:rPr>
            </w:pPr>
            <w:r w:rsidDel="00000000" w:rsidR="00000000" w:rsidRPr="00000000">
              <w:rPr>
                <w:rFonts w:ascii="Palatino Linotype" w:cs="Palatino Linotype" w:eastAsia="Palatino Linotype" w:hAnsi="Palatino Linotype"/>
                <w:sz w:val="14"/>
                <w:szCs w:val="14"/>
                <w:rtl w:val="0"/>
              </w:rPr>
              <w:t xml:space="preserve">Que en lo tocante al sueldo y al cargo que ocupó Luis Ángel Maya Jiménez, informa que dentro de los archivos que obran dentro de esa Coordinación no se encontró registro alguno respecto de la información requerida; y, </w:t>
            </w:r>
          </w:p>
          <w:p w:rsidR="00000000" w:rsidDel="00000000" w:rsidP="00000000" w:rsidRDefault="00000000" w:rsidRPr="00000000" w14:paraId="00000091">
            <w:pPr>
              <w:jc w:val="both"/>
              <w:rPr>
                <w:rFonts w:ascii="Palatino Linotype" w:cs="Palatino Linotype" w:eastAsia="Palatino Linotype" w:hAnsi="Palatino Linotype"/>
                <w:sz w:val="14"/>
                <w:szCs w:val="14"/>
              </w:rPr>
            </w:pPr>
            <w:r w:rsidDel="00000000" w:rsidR="00000000" w:rsidRPr="00000000">
              <w:rPr>
                <w:rtl w:val="0"/>
              </w:rPr>
            </w:r>
          </w:p>
          <w:p w:rsidR="00000000" w:rsidDel="00000000" w:rsidP="00000000" w:rsidRDefault="00000000" w:rsidRPr="00000000" w14:paraId="00000092">
            <w:pPr>
              <w:jc w:val="both"/>
              <w:rPr>
                <w:rFonts w:ascii="Palatino Linotype" w:cs="Palatino Linotype" w:eastAsia="Palatino Linotype" w:hAnsi="Palatino Linotype"/>
                <w:sz w:val="14"/>
                <w:szCs w:val="14"/>
              </w:rPr>
            </w:pPr>
            <w:r w:rsidDel="00000000" w:rsidR="00000000" w:rsidRPr="00000000">
              <w:rPr>
                <w:rFonts w:ascii="Palatino Linotype" w:cs="Palatino Linotype" w:eastAsia="Palatino Linotype" w:hAnsi="Palatino Linotype"/>
                <w:sz w:val="14"/>
                <w:szCs w:val="14"/>
                <w:rtl w:val="0"/>
              </w:rPr>
              <w:t xml:space="preserve">Que por lo que corresponde al sueldo que percibió la extesorera Rosa María Quiroz Prado, la cual ocupo el cargo de Tesorera Municipal percibiendo un salario mensual de 34, 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4">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5">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6">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7">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98">
            <w:pPr>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Cumple</w:t>
            </w:r>
          </w:p>
        </w:tc>
      </w:tr>
    </w:tbl>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cuadro a detalle que antecede, respecto de los incisos i) y ii)  previo al análisis de la información que fue remitida por el Sujeto Obligado mediante Informe Justificado, resulta de importancia señalar que los artículos 82, 83 y 84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establecen respeto al tema que se analiza, lo siguiente:</w:t>
      </w:r>
    </w:p>
    <w:bookmarkStart w:colFirst="0" w:colLast="0" w:name="bookmark=id.gjdgxs" w:id="5"/>
    <w:bookmarkEnd w:id="5"/>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82.-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Salario es la retribución que debe pagar el patrón al trabajador por su trabajo.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bookmarkStart w:colFirst="0" w:colLast="0" w:name="bookmark=id.30j0zll" w:id="6"/>
    <w:bookmarkEnd w:id="6"/>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83.-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salario puede fijarse por unidad de tiempo, por unidad de obra, por comisión, a precio alzado o de cualquier otra manera.</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bookmarkStart w:colFirst="0" w:colLast="0" w:name="bookmark=id.1fob9te" w:id="7"/>
    <w:bookmarkEnd w:id="7"/>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Artículo 84.- El salario se integra con los pagos hechos en efectivo por cuota diaria, gratificaciones, percepciones, habitación, primas, comisiones, prestaciones en especie y cualquiera otra cantidad o prestación que se entregue al trabajador por su trabajo</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su parte, el artículo 71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del Estado Libre y Soberano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dispone en lo relativo al sueldo de los servidores públicos lo siguiente: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71. El sueldo es la retribución que la institución pública debe pagar al servidor público por los servicios prestados.”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importante traer a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efectos de este Código, Ley de Ingresos del Estado y del Presupuesto de Egresos se entenderá por:</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XXXII. Remuneración: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000000" w:rsidDel="00000000" w:rsidP="00000000" w:rsidRDefault="00000000" w:rsidRPr="00000000" w14:paraId="000000B1">
      <w:pPr>
        <w:spacing w:after="1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B4">
      <w:pPr>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5">
      <w:pPr>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sólo proporcionarán la información pública que se les requiera y que obre en sus archivos</w:t>
      </w:r>
      <w:r w:rsidDel="00000000" w:rsidR="00000000" w:rsidRPr="00000000">
        <w:rPr>
          <w:rFonts w:ascii="Palatino Linotype" w:cs="Palatino Linotype" w:eastAsia="Palatino Linotype" w:hAnsi="Palatino Linotype"/>
          <w:i w:val="1"/>
          <w:sz w:val="22"/>
          <w:szCs w:val="22"/>
          <w:rtl w:val="0"/>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B6">
      <w:pPr>
        <w:spacing w:after="16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al existir un pronunciamiento por parte del sujeto Obligado en específico por el área de Coordinación de Recursos Humanos,  por vía del cual señala los sueldos que ostentaban tanto el presidente municipal referido como la entonces tesorera Municipal, tal y como se observa en la imagen siguiente: </w:t>
      </w:r>
    </w:p>
    <w:p w:rsidR="00000000" w:rsidDel="00000000" w:rsidP="00000000" w:rsidRDefault="00000000" w:rsidRPr="00000000" w14:paraId="000000B8">
      <w:pPr>
        <w:spacing w:after="16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26405" cy="2131225"/>
            <wp:effectExtent b="0" l="0" r="0" t="0"/>
            <wp:docPr id="35" name="image2.png"/>
            <a:graphic>
              <a:graphicData uri="http://schemas.openxmlformats.org/drawingml/2006/picture">
                <pic:pic>
                  <pic:nvPicPr>
                    <pic:cNvPr id="0" name="image2.png"/>
                    <pic:cNvPicPr preferRelativeResize="0"/>
                  </pic:nvPicPr>
                  <pic:blipFill>
                    <a:blip r:embed="rId8"/>
                    <a:srcRect b="0" l="0" r="0" t="63731"/>
                    <a:stretch>
                      <a:fillRect/>
                    </a:stretch>
                  </pic:blipFill>
                  <pic:spPr>
                    <a:xfrm>
                      <a:off x="0" y="0"/>
                      <a:ext cx="5526405" cy="21312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1295400</wp:posOffset>
                </wp:positionV>
                <wp:extent cx="5321162" cy="860231"/>
                <wp:effectExtent b="0" l="0" r="0" t="0"/>
                <wp:wrapNone/>
                <wp:docPr id="32" name=""/>
                <a:graphic>
                  <a:graphicData uri="http://schemas.microsoft.com/office/word/2010/wordprocessingShape">
                    <wps:wsp>
                      <wps:cNvSpPr/>
                      <wps:cNvPr id="2" name="Shape 2"/>
                      <wps:spPr>
                        <a:xfrm>
                          <a:off x="2713994" y="3378460"/>
                          <a:ext cx="5264012" cy="803081"/>
                        </a:xfrm>
                        <a:prstGeom prst="rect">
                          <a:avLst/>
                        </a:prstGeom>
                        <a:noFill/>
                        <a:ln cap="flat" cmpd="sng" w="571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1295400</wp:posOffset>
                </wp:positionV>
                <wp:extent cx="5321162" cy="860231"/>
                <wp:effectExtent b="0" l="0" r="0" t="0"/>
                <wp:wrapNone/>
                <wp:docPr id="3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321162" cy="860231"/>
                        </a:xfrm>
                        <a:prstGeom prst="rect"/>
                        <a:ln/>
                      </pic:spPr>
                    </pic:pic>
                  </a:graphicData>
                </a:graphic>
              </wp:anchor>
            </w:drawing>
          </mc:Fallback>
        </mc:AlternateContent>
      </w:r>
    </w:p>
    <w:p w:rsidR="00000000" w:rsidDel="00000000" w:rsidP="00000000" w:rsidRDefault="00000000" w:rsidRPr="00000000" w14:paraId="000000BA">
      <w:pPr>
        <w:spacing w:after="16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todo lo anterior, conviene subrayar que, este Órgano Garante conforme al artículo 36, que otorga la Ley de la Materia, no se encuentra facultado para pronunciarse acerca de la veracidad de la información remitida por los Sujetos Obligados.</w:t>
      </w:r>
    </w:p>
    <w:p w:rsidR="00000000" w:rsidDel="00000000" w:rsidP="00000000" w:rsidRDefault="00000000" w:rsidRPr="00000000" w14:paraId="000000BC">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000000" w:rsidDel="00000000" w:rsidP="00000000" w:rsidRDefault="00000000" w:rsidRPr="00000000" w14:paraId="000000BD">
      <w:pPr>
        <w:spacing w:after="160" w:line="259"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000000" w:rsidDel="00000000" w:rsidP="00000000" w:rsidRDefault="00000000" w:rsidRPr="00000000" w14:paraId="000000BE">
      <w:pPr>
        <w:spacing w:after="160" w:line="259"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31/10</w:t>
      </w:r>
    </w:p>
    <w:p w:rsidR="00000000" w:rsidDel="00000000" w:rsidP="00000000" w:rsidRDefault="00000000" w:rsidRPr="00000000" w14:paraId="000000BF">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tienen por colmada la pretensión del hoy Recurrente respecto de los puntos i) y ii).</w:t>
      </w:r>
    </w:p>
    <w:p w:rsidR="00000000" w:rsidDel="00000000" w:rsidP="00000000" w:rsidRDefault="00000000" w:rsidRPr="00000000" w14:paraId="000000C1">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en lo tocante al incisos ii) del cuadro que antecede por vía del cual el particular desea conocer el cargo y el sueldo inherentes a la persona referida como servidor público adscrito al ayuntamiento de Almoloya de Juárez.</w:t>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adecuado análisis del requerimiento del particular, es necesario hacer  referencia al procedimiento de búsqueda que deben seguir los sujetos obligados para localizar la información el cual  encuentra previsto en los numerales 160 y 162 de la  </w:t>
      </w:r>
      <w:r w:rsidDel="00000000" w:rsidR="00000000" w:rsidRPr="00000000">
        <w:rPr>
          <w:rFonts w:ascii="Palatino Linotype" w:cs="Palatino Linotype" w:eastAsia="Palatino Linotype" w:hAnsi="Palatino Linotype"/>
          <w:sz w:val="22"/>
          <w:szCs w:val="22"/>
          <w:rtl w:val="0"/>
        </w:rPr>
        <w:t xml:space="preserve">Ley de Transparencia y Acceso a la Información Pública del Estado de México y Municipios, que se detalla a continuación:</w:t>
      </w: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numPr>
          <w:ilvl w:val="0"/>
          <w:numId w:val="4"/>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C7">
      <w:pP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numPr>
          <w:ilvl w:val="0"/>
          <w:numId w:val="4"/>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es importante enfatizar que la respuesta deriva de la Unidad Administrativa que en términos del Manual General de Organización de la Administración Municipal de Almoloya de Juárez dentro de sus atribuciones se encuentra el brindar apoyo administrativo, técnico y humano, a los servidores públicos que conforman la Administración Pública Municipal; esto es, la respuesta deriva del Servidor Público con las facultades, competencias y funciones para generar, poseer o administrar la documentación requerida en la solicitud de información.</w:t>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toda vez que no posee, administra ni genera la información requerida por el particular, constituye un hecho negativo; entonces, si se considera el hecho negativo, es obvio que éste no puede fácticamente obrar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ya que no puede probarse por ser lógica y materialmente imposible.</w:t>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ante una hecho negativo resulta aplicable la siguiente tesis:</w:t>
      </w:r>
    </w:p>
    <w:p w:rsidR="00000000" w:rsidDel="00000000" w:rsidP="00000000" w:rsidRDefault="00000000" w:rsidRPr="00000000" w14:paraId="000000D1">
      <w:pPr>
        <w:ind w:left="851"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HECHOS NEGATIVOS, NO SON SUSCEPTIBLES DE DEMOSTRACIÓN. </w:t>
      </w:r>
    </w:p>
    <w:p w:rsidR="00000000" w:rsidDel="00000000" w:rsidP="00000000" w:rsidRDefault="00000000" w:rsidRPr="00000000" w14:paraId="000000D2">
      <w:pPr>
        <w:ind w:left="851"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un hecho negativo, el Juez no tiene por que invocar prueba alguna de la que se desprenda, ya que es bien sabido que esta clase de hechos no son susceptibles de demostración.</w:t>
      </w:r>
    </w:p>
    <w:p w:rsidR="00000000" w:rsidDel="00000000" w:rsidP="00000000" w:rsidRDefault="00000000" w:rsidRPr="00000000" w14:paraId="000000D3">
      <w:pPr>
        <w:ind w:left="851"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Amparo en revisión 2022/61. José García Florín (Menor). 9 de octubre de 1961. Cinco votos. Ponente: José Rivera Pérez Campos.”</w:t>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y de conformidad con lo establecido en el artículo 12 de la </w:t>
      </w: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rtl w:val="0"/>
        </w:rPr>
        <w:t xml:space="preserve">, anteriormente invocado,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únicamente proporcionará la información que obra en sus archivos,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w:t>
      </w:r>
    </w:p>
    <w:p w:rsidR="00000000" w:rsidDel="00000000" w:rsidP="00000000" w:rsidRDefault="00000000" w:rsidRPr="00000000" w14:paraId="000000D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tal sentido, este Organismo Garante tiene por satisfecho el requerimiento sobre el cual se inconformó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al momento de interponer el Recurso de Revisión;  ya que a través del informe justificado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respondió al planteamiento formulado en la solicitud de información.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En consecuencia, ante la información adicional y precisa remitida vía informe justificado, conviene hacer alusión a lo que señala el artículo 192, fracción III de la Ley de Transparencia y Acceso a la Información Pública del Estado de México y Municipios vigente, a saber:</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before="240" w:lineRule="auto"/>
        <w:ind w:left="851" w:right="90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será sobreseído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 todo o en parte,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una vez admitido, se actualicen alguno de los siguientes supuestos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before="240" w:lineRule="auto"/>
        <w:ind w:left="1134" w:right="90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240" w:before="240" w:lineRule="auto"/>
        <w:ind w:left="1134" w:right="900" w:firstLine="0"/>
        <w:jc w:val="both"/>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De lo establecido en el precepto legal citado se advierte que el sobreseimiento del recurso de revisión procede en los siguientes casos:</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before="240" w:lineRule="auto"/>
        <w:ind w:left="284" w:firstLine="0"/>
        <w:jc w:val="both"/>
        <w:rPr/>
      </w:pPr>
      <w:r w:rsidDel="00000000" w:rsidR="00000000" w:rsidRPr="00000000">
        <w:rPr>
          <w:rFonts w:ascii="Palatino Linotype" w:cs="Palatino Linotype" w:eastAsia="Palatino Linotype" w:hAnsi="Palatino Linotype"/>
          <w:rtl w:val="0"/>
        </w:rPr>
        <w:t xml:space="preserve">a) Cuando el Sujeto Obligado modifique el acto impugnado. </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before="240" w:lineRule="auto"/>
        <w:ind w:left="284" w:firstLine="0"/>
        <w:jc w:val="both"/>
        <w:rPr/>
      </w:pPr>
      <w:r w:rsidDel="00000000" w:rsidR="00000000" w:rsidRPr="00000000">
        <w:rPr>
          <w:rFonts w:ascii="Palatino Linotype" w:cs="Palatino Linotype" w:eastAsia="Palatino Linotype" w:hAnsi="Palatino Linotype"/>
          <w:rtl w:val="0"/>
        </w:rPr>
        <w:t xml:space="preserve">b) Cuando el Sujeto Obligado revoque el acto impugnado; </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Quedando en ambos casos el acto combatido sin materia o sin efectos.</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Como se observa de lo anterior, un acto impugnado es modificado en aquellos casos en los que el Sujeto Obligado después de haber otorgado una respuesta, o haber omitido hacerlo (acto de no hacer), emite una o una diversa de manera posterior y en esta subsanó las deficiencias que hubiera tenido, quedando satisfecho el derecho accionado por la parte recurrente.</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En este orden de ideas, un acto impugnado queda sin efectos, cuando aun existiendo jurídicamente (esto es, que no se ha modificado, ni revocado) ya no genera ninguna consecuencia legal.</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En tanto que, un acto impugnado queda sin materia, cuando ha sido satisfecha la pretensión del recurrente de manera que el Sujeto Obligado entrega una respuesta completa aunque sea posterior a los términos previstos en la ley y mediante ésta concede la información solicitada.</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Ahora bien, en el caso concreto, es evidente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modificó su respuesta, ya que, a través de su pronunciamiento emitido en la etapa de manifestaciones, atendió el planteamiento formulado en la solicitud inicial. </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cuando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antes de que se dicte resolución definitiva, remite información a la  que en un primer momento omitió enviar; el recurso de revisión que al efecto se haya interpuesto queda sin materia lo que imposibilita el estudio de fondo de la </w:t>
      </w:r>
      <w:r w:rsidDel="00000000" w:rsidR="00000000" w:rsidRPr="00000000">
        <w:rPr>
          <w:rFonts w:ascii="Palatino Linotype" w:cs="Palatino Linotype" w:eastAsia="Palatino Linotype" w:hAnsi="Palatino Linotype"/>
          <w:i w:val="1"/>
          <w:rtl w:val="0"/>
        </w:rPr>
        <w:t xml:space="preserve">litis</w:t>
      </w:r>
      <w:r w:rsidDel="00000000" w:rsidR="00000000" w:rsidRPr="00000000">
        <w:rPr>
          <w:rFonts w:ascii="Palatino Linotype" w:cs="Palatino Linotype" w:eastAsia="Palatino Linotype" w:hAnsi="Palatino Linotype"/>
          <w:rtl w:val="0"/>
        </w:rPr>
        <w:t xml:space="preserve"> planteada, debido a que la afectación en su esfera de derechos fue restituida por la propia autoridad que emitió el acto motivo de impugnación.</w:t>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Por lo tanto, para que se actualice el sobreseimiento de un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puede entregar o completar la información al momento de rendir su </w:t>
      </w:r>
      <w:r w:rsidDel="00000000" w:rsidR="00000000" w:rsidRPr="00000000">
        <w:rPr>
          <w:rFonts w:ascii="Palatino Linotype" w:cs="Palatino Linotype" w:eastAsia="Palatino Linotype" w:hAnsi="Palatino Linotype"/>
          <w:b w:val="1"/>
          <w:u w:val="single"/>
          <w:rtl w:val="0"/>
        </w:rPr>
        <w:t xml:space="preserve">informe de justificación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dentro de los siete días</w:t>
      </w:r>
      <w:r w:rsidDel="00000000" w:rsidR="00000000" w:rsidRPr="00000000">
        <w:rPr>
          <w:rFonts w:ascii="Palatino Linotype" w:cs="Palatino Linotype" w:eastAsia="Palatino Linotype" w:hAnsi="Palatino Linotype"/>
          <w:rtl w:val="0"/>
        </w:rPr>
        <w:t xml:space="preserve"> previstos para manifestar lo que a su derecho convenga, </w:t>
      </w:r>
      <w:r w:rsidDel="00000000" w:rsidR="00000000" w:rsidRPr="00000000">
        <w:rPr>
          <w:rFonts w:ascii="Palatino Linotype" w:cs="Palatino Linotype" w:eastAsia="Palatino Linotype" w:hAnsi="Palatino Linotype"/>
          <w:b w:val="1"/>
          <w:u w:val="single"/>
          <w:rtl w:val="0"/>
        </w:rPr>
        <w:t xml:space="preserve">lo anterior también puede ocurrir si entrega la información después de ese lapso, pero antes del cierre de instrucción. </w:t>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Pleno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 la información enviada,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u w:val="single"/>
          <w:rtl w:val="0"/>
        </w:rPr>
        <w:t xml:space="preserve">el acto que le dio origen al recurso de revisión, por lo que trae como consecuencia que el mismo quede sin materia</w:t>
      </w:r>
      <w:r w:rsidDel="00000000" w:rsidR="00000000" w:rsidRPr="00000000">
        <w:rPr>
          <w:rFonts w:ascii="Palatino Linotype" w:cs="Palatino Linotype" w:eastAsia="Palatino Linotype" w:hAnsi="Palatino Linotype"/>
          <w:rtl w:val="0"/>
        </w:rPr>
        <w:t xml:space="preserve">, actualizándose de este modo, la hipótesis jurídica contenida en la </w:t>
      </w:r>
      <w:r w:rsidDel="00000000" w:rsidR="00000000" w:rsidRPr="00000000">
        <w:rPr>
          <w:rFonts w:ascii="Palatino Linotype" w:cs="Palatino Linotype" w:eastAsia="Palatino Linotype" w:hAnsi="Palatino Linotype"/>
          <w:b w:val="1"/>
          <w:rtl w:val="0"/>
        </w:rPr>
        <w:t xml:space="preserve">fracción III</w:t>
      </w:r>
      <w:r w:rsidDel="00000000" w:rsidR="00000000" w:rsidRPr="00000000">
        <w:rPr>
          <w:rFonts w:ascii="Palatino Linotype" w:cs="Palatino Linotype" w:eastAsia="Palatino Linotype" w:hAnsi="Palatino Linotype"/>
          <w:rtl w:val="0"/>
        </w:rPr>
        <w:t xml:space="preserve"> del citado artículo </w:t>
      </w:r>
      <w:r w:rsidDel="00000000" w:rsidR="00000000" w:rsidRPr="00000000">
        <w:rPr>
          <w:rFonts w:ascii="Palatino Linotype" w:cs="Palatino Linotype" w:eastAsia="Palatino Linotype" w:hAnsi="Palatino Linotype"/>
          <w:b w:val="1"/>
          <w:rtl w:val="0"/>
        </w:rPr>
        <w:t xml:space="preserve">192</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Del="00000000" w:rsidR="00000000" w:rsidRPr="00000000">
        <w:rPr>
          <w:rFonts w:ascii="Palatino Linotype" w:cs="Palatino Linotype" w:eastAsia="Palatino Linotype" w:hAnsi="Palatino Linotype"/>
          <w:b w:val="1"/>
          <w:rtl w:val="0"/>
        </w:rPr>
        <w:t xml:space="preserve">SOBRESEIMIENTO, NO PERMITE ENTRAR AL ESTUDIO DE LAS CUESTIONES DE FONDO</w:t>
      </w:r>
      <w:r w:rsidDel="00000000" w:rsidR="00000000" w:rsidRPr="00000000">
        <w:rPr>
          <w:rtl w:val="0"/>
        </w:rPr>
      </w:r>
    </w:p>
    <w:p w:rsidR="00000000" w:rsidDel="00000000" w:rsidP="00000000" w:rsidRDefault="00000000" w:rsidRPr="00000000" w14:paraId="000000EC">
      <w:pPr>
        <w:tabs>
          <w:tab w:val="left" w:leader="none" w:pos="7938"/>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en términos del artículo 186 fracción I este Pleno determina el </w:t>
      </w:r>
      <w:r w:rsidDel="00000000" w:rsidR="00000000" w:rsidRPr="00000000">
        <w:rPr>
          <w:rFonts w:ascii="Palatino Linotype" w:cs="Palatino Linotype" w:eastAsia="Palatino Linotype" w:hAnsi="Palatino Linotype"/>
          <w:b w:val="1"/>
          <w:rtl w:val="0"/>
        </w:rPr>
        <w:t xml:space="preserve">Sobreseimiento </w:t>
      </w:r>
      <w:r w:rsidDel="00000000" w:rsidR="00000000" w:rsidRPr="00000000">
        <w:rPr>
          <w:rFonts w:ascii="Palatino Linotype" w:cs="Palatino Linotype" w:eastAsia="Palatino Linotype" w:hAnsi="Palatino Linotype"/>
          <w:rtl w:val="0"/>
        </w:rPr>
        <w:t xml:space="preserve">del presente recurso de revisión, toda vez que la afectación al derecho de acceso a la información pública establecido constitucionalmente a favor del particular ha sido resarcida al proporcionar la información que ha sido observada por este Organismo Garante.</w:t>
      </w:r>
    </w:p>
    <w:p w:rsidR="00000000" w:rsidDel="00000000" w:rsidP="00000000" w:rsidRDefault="00000000" w:rsidRPr="00000000" w14:paraId="000000EE">
      <w:pPr>
        <w:spacing w:after="240"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E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6"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160" w:line="360" w:lineRule="auto"/>
        <w:jc w:val="both"/>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SOBRESEE</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14204/INFOEM/IP/RR/2022 </w:t>
      </w:r>
      <w:r w:rsidDel="00000000" w:rsidR="00000000" w:rsidRPr="00000000">
        <w:rPr>
          <w:rFonts w:ascii="Palatino Linotype" w:cs="Palatino Linotype" w:eastAsia="Palatino Linotype" w:hAnsi="Palatino Linotype"/>
          <w:rtl w:val="0"/>
        </w:rPr>
        <w:t xml:space="preserve">conforme al artículo 192 fracción III de la Ley de Transparencia y Acceso a la Información Pública del Estado de México y Municipios, porque al </w:t>
      </w:r>
      <w:r w:rsidDel="00000000" w:rsidR="00000000" w:rsidRPr="00000000">
        <w:rPr>
          <w:rFonts w:ascii="Palatino Linotype" w:cs="Palatino Linotype" w:eastAsia="Palatino Linotype" w:hAnsi="Palatino Linotype"/>
          <w:b w:val="1"/>
          <w:rtl w:val="0"/>
        </w:rPr>
        <w:t xml:space="preserve">modificar la respuesta a través del informe justificado,</w:t>
      </w:r>
      <w:r w:rsidDel="00000000" w:rsidR="00000000" w:rsidRPr="00000000">
        <w:rPr>
          <w:rFonts w:ascii="Palatino Linotype" w:cs="Palatino Linotype" w:eastAsia="Palatino Linotype" w:hAnsi="Palatino Linotype"/>
          <w:rtl w:val="0"/>
        </w:rPr>
        <w:t xml:space="preserve"> el recurso de revisión quedó sin materia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vía SAIMEX</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 </w:t>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rtl w:val="0"/>
        </w:rPr>
        <w:t xml:space="preserve">Notifíquese a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DE MAYO DE DOS MIL VEINTITRÉS, ANTE EL SECRETARIO TÉCNICO DEL PLENO, ALEXIS TAPIA RAMÍREZ.</w:t>
      </w:r>
      <w:r w:rsidDel="00000000" w:rsidR="00000000" w:rsidRPr="00000000">
        <w:rPr>
          <w:rtl w:val="0"/>
        </w:rPr>
      </w:r>
    </w:p>
    <w:p w:rsidR="00000000" w:rsidDel="00000000" w:rsidP="00000000" w:rsidRDefault="00000000" w:rsidRPr="00000000" w14:paraId="000000F8">
      <w:pPr>
        <w:spacing w:line="360" w:lineRule="auto"/>
        <w:jc w:val="both"/>
        <w:rPr/>
      </w:pPr>
      <w:r w:rsidDel="00000000" w:rsidR="00000000" w:rsidRPr="00000000">
        <w:rPr>
          <w:rtl w:val="0"/>
        </w:rPr>
      </w:r>
    </w:p>
    <w:p w:rsidR="00000000" w:rsidDel="00000000" w:rsidP="00000000" w:rsidRDefault="00000000" w:rsidRPr="00000000" w14:paraId="000000F9">
      <w:pPr>
        <w:spacing w:line="360" w:lineRule="auto"/>
        <w:jc w:val="both"/>
        <w:rPr/>
      </w:pPr>
      <w:r w:rsidDel="00000000" w:rsidR="00000000" w:rsidRPr="00000000">
        <w:rPr>
          <w:rtl w:val="0"/>
        </w:rPr>
      </w:r>
    </w:p>
    <w:p w:rsidR="00000000" w:rsidDel="00000000" w:rsidP="00000000" w:rsidRDefault="00000000" w:rsidRPr="00000000" w14:paraId="000000FA">
      <w:pPr>
        <w:spacing w:line="360" w:lineRule="auto"/>
        <w:jc w:val="both"/>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0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19. Se presume que la información debe existir si se refiere a las facultades, competencias y funciones que los ordenamientos jurídicos aplicables otorgan a los sujetos obligados.</w:t>
      </w:r>
    </w:p>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Artículo 169. Cuando la información no se encuentre en los archivos del sujeto obligado, el Comité de Transparencia: </w:t>
      </w:r>
    </w:p>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 Analizará el caso y tomará las medidas necesarias para localizar la información; </w:t>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Expedirá una resolución que confirme la inexistencia del documento; </w:t>
      </w:r>
    </w:p>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IV. Notificará al órgano interno de control o equivalente del sujeto obligado quien, en su caso, deberá iniciar el procedimiento de responsabilidad administrativa que corresponda.</w:t>
      </w:r>
    </w:p>
    <w:p w:rsidR="00000000" w:rsidDel="00000000" w:rsidP="00000000" w:rsidRDefault="00000000" w:rsidRPr="00000000" w14:paraId="0000011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000000" w:rsidDel="00000000" w:rsidP="00000000" w:rsidRDefault="00000000" w:rsidRPr="00000000" w14:paraId="0000011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…(Sic)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-1079144</wp:posOffset>
          </wp:positionH>
          <wp:positionV relativeFrom="paragraph">
            <wp:posOffset>-644524</wp:posOffset>
          </wp:positionV>
          <wp:extent cx="7809865" cy="10165715"/>
          <wp:effectExtent b="0" l="0" r="0" t="0"/>
          <wp:wrapNone/>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2762.0" w:type="dxa"/>
      <w:tblLayout w:type="fixed"/>
      <w:tblLook w:val="0400"/>
    </w:tblPr>
    <w:tblGrid>
      <w:gridCol w:w="2551"/>
      <w:gridCol w:w="3544"/>
      <w:tblGridChange w:id="0">
        <w:tblGrid>
          <w:gridCol w:w="2551"/>
          <w:gridCol w:w="3544"/>
        </w:tblGrid>
      </w:tblGridChange>
    </w:tblGrid>
    <w:tr>
      <w:trPr>
        <w:cantSplit w:val="0"/>
        <w:tblHeader w:val="0"/>
      </w:trPr>
      <w:tc>
        <w:tcPr>
          <w:shd w:fill="auto" w:val="clear"/>
          <w:vAlign w:val="center"/>
        </w:tcPr>
        <w:p w:rsidR="00000000" w:rsidDel="00000000" w:rsidP="00000000" w:rsidRDefault="00000000" w:rsidRPr="00000000" w14:paraId="0000011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19">
          <w:pPr>
            <w:tabs>
              <w:tab w:val="left" w:leader="none" w:pos="3153"/>
            </w:tabs>
            <w:ind w:left="-4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14204/INFOEM/IP/RR/2022</w:t>
          </w:r>
        </w:p>
      </w:tc>
    </w:tr>
    <w:tr>
      <w:trPr>
        <w:cantSplit w:val="0"/>
        <w:trHeight w:val="130" w:hRule="atLeast"/>
        <w:tblHeader w:val="0"/>
      </w:trPr>
      <w:tc>
        <w:tcPr>
          <w:shd w:fill="auto" w:val="clear"/>
          <w:vAlign w:val="center"/>
        </w:tcPr>
        <w:p w:rsidR="00000000" w:rsidDel="00000000" w:rsidP="00000000" w:rsidRDefault="00000000" w:rsidRPr="00000000" w14:paraId="0000011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11B">
          <w:pPr>
            <w:jc w:val="both"/>
            <w:rPr>
              <w:rFonts w:ascii="Palatino Linotype" w:cs="Palatino Linotype" w:eastAsia="Palatino Linotype" w:hAnsi="Palatino Linotype"/>
              <w:b w:val="1"/>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1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1D">
          <w:pPr>
            <w:ind w:right="176"/>
            <w:jc w:val="both"/>
            <w:rPr>
              <w:rFonts w:ascii="Palatino Linotype" w:cs="Palatino Linotype" w:eastAsia="Palatino Linotype" w:hAnsi="Palatino Linotype"/>
              <w:b w:val="1"/>
              <w:sz w:val="10"/>
              <w:szCs w:val="10"/>
            </w:rPr>
          </w:pPr>
          <w:r w:rsidDel="00000000" w:rsidR="00000000" w:rsidRPr="00000000">
            <w:rPr>
              <w:rtl w:val="0"/>
            </w:rPr>
          </w:r>
        </w:p>
        <w:p w:rsidR="00000000" w:rsidDel="00000000" w:rsidP="00000000" w:rsidRDefault="00000000" w:rsidRPr="00000000" w14:paraId="0000011E">
          <w:pPr>
            <w:ind w:left="-45" w:right="17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Almoloya de Juárez</w:t>
          </w:r>
        </w:p>
      </w:tc>
    </w:tr>
    <w:tr>
      <w:trPr>
        <w:cantSplit w:val="0"/>
        <w:tblHeader w:val="0"/>
      </w:trPr>
      <w:tc>
        <w:tcPr>
          <w:shd w:fill="auto" w:val="clear"/>
          <w:vAlign w:val="center"/>
        </w:tcPr>
        <w:p w:rsidR="00000000" w:rsidDel="00000000" w:rsidP="00000000" w:rsidRDefault="00000000" w:rsidRPr="00000000" w14:paraId="0000011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20">
          <w:pPr>
            <w:ind w:left="-45" w:right="-53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-396395</wp:posOffset>
          </wp:positionV>
          <wp:extent cx="7809865" cy="10165715"/>
          <wp:effectExtent b="0" l="0" r="0" t="0"/>
          <wp:wrapNone/>
          <wp:docPr id="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2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24">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14204/INFOEM/IP/RR/2022</w:t>
          </w:r>
        </w:p>
      </w:tc>
    </w:tr>
    <w:tr>
      <w:trPr>
        <w:cantSplit w:val="0"/>
        <w:trHeight w:val="228" w:hRule="atLeast"/>
        <w:tblHeader w:val="0"/>
      </w:trPr>
      <w:tc>
        <w:tcPr>
          <w:shd w:fill="auto" w:val="clear"/>
          <w:vAlign w:val="center"/>
        </w:tcPr>
        <w:p w:rsidR="00000000" w:rsidDel="00000000" w:rsidP="00000000" w:rsidRDefault="00000000" w:rsidRPr="00000000" w14:paraId="0000012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26">
          <w:pPr>
            <w:ind w:right="176"/>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Almoloya de Juárez</w:t>
          </w:r>
        </w:p>
      </w:tc>
    </w:tr>
    <w:tr>
      <w:trPr>
        <w:cantSplit w:val="0"/>
        <w:trHeight w:val="311" w:hRule="atLeast"/>
        <w:tblHeader w:val="0"/>
      </w:trPr>
      <w:tc>
        <w:tcPr>
          <w:shd w:fill="auto" w:val="clear"/>
          <w:vAlign w:val="center"/>
        </w:tcPr>
        <w:p w:rsidR="00000000" w:rsidDel="00000000" w:rsidP="00000000" w:rsidRDefault="00000000" w:rsidRPr="00000000" w14:paraId="00000127">
          <w:pPr>
            <w:ind w:right="-1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28">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29">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table" w:styleId="12" w:customStyle="1">
    <w:name w:val="12"/>
    <w:basedOn w:val="TableNormal10"/>
    <w:rPr>
      <w:sz w:val="22"/>
      <w:szCs w:val="22"/>
    </w:rPr>
    <w:tblPr>
      <w:tblStyleRowBandSize w:val="1"/>
      <w:tblStyleColBandSize w:val="1"/>
      <w:tblCellMar>
        <w:left w:w="108.0" w:type="dxa"/>
        <w:right w:w="108.0" w:type="dxa"/>
      </w:tblCellMar>
    </w:tblPr>
  </w:style>
  <w:style w:type="table" w:styleId="11" w:customStyle="1">
    <w:name w:val="11"/>
    <w:basedOn w:val="TableNormal10"/>
    <w:rPr>
      <w:sz w:val="22"/>
      <w:szCs w:val="22"/>
    </w:rPr>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0" w:customStyle="1">
    <w:name w:val="10"/>
    <w:basedOn w:val="TableNormal10"/>
    <w:tblPr>
      <w:tblStyleRowBandSize w:val="1"/>
      <w:tblStyleColBandSize w:val="1"/>
      <w:tblCellMar>
        <w:left w:w="115.0" w:type="dxa"/>
        <w:right w:w="115.0" w:type="dxa"/>
      </w:tblCellMar>
    </w:tblPr>
  </w:style>
  <w:style w:type="table" w:styleId="9" w:customStyle="1">
    <w:name w:val="9"/>
    <w:basedOn w:val="TableNormal10"/>
    <w:tblPr>
      <w:tblStyleRowBandSize w:val="1"/>
      <w:tblStyleColBandSize w:val="1"/>
      <w:tblCellMar>
        <w:left w:w="115.0" w:type="dxa"/>
        <w:right w:w="115.0" w:type="dxa"/>
      </w:tblCellMar>
    </w:tblPr>
  </w:style>
  <w:style w:type="table" w:styleId="8" w:customStyle="1">
    <w:name w:val="8"/>
    <w:basedOn w:val="TableNormal10"/>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7" w:customStyle="1">
    <w:name w:val="7"/>
    <w:basedOn w:val="TableNormal10"/>
    <w:rPr>
      <w:sz w:val="22"/>
      <w:szCs w:val="22"/>
    </w:rPr>
    <w:tblPr>
      <w:tblStyleRowBandSize w:val="1"/>
      <w:tblStyleColBandSize w:val="1"/>
      <w:tblCellMar>
        <w:left w:w="115.0" w:type="dxa"/>
        <w:right w:w="115.0" w:type="dxa"/>
      </w:tblCellMar>
    </w:tblPr>
  </w:style>
  <w:style w:type="table" w:styleId="6" w:customStyle="1">
    <w:name w:val="6"/>
    <w:basedOn w:val="TableNormal10"/>
    <w:rPr>
      <w:sz w:val="22"/>
      <w:szCs w:val="22"/>
    </w:rPr>
    <w:tblPr>
      <w:tblStyleRowBandSize w:val="1"/>
      <w:tblStyleColBandSize w:val="1"/>
      <w:tblCellMar>
        <w:left w:w="115.0" w:type="dxa"/>
        <w:right w:w="115.0" w:type="dxa"/>
      </w:tblCellMar>
    </w:tblPr>
  </w:style>
  <w:style w:type="table" w:styleId="5" w:customStyle="1">
    <w:name w:val="5"/>
    <w:basedOn w:val="TableNormal2"/>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2"/>
    <w:rPr>
      <w:sz w:val="22"/>
      <w:szCs w:val="22"/>
    </w:rPr>
    <w:tblPr>
      <w:tblStyleRowBandSize w:val="1"/>
      <w:tblStyleColBandSize w:val="1"/>
      <w:tblCellMar>
        <w:left w:w="115.0" w:type="dxa"/>
        <w:right w:w="115.0" w:type="dxa"/>
      </w:tblCellMar>
    </w:tblPr>
  </w:style>
  <w:style w:type="table" w:styleId="3" w:customStyle="1">
    <w:name w:val="3"/>
    <w:basedOn w:val="TableNormal2"/>
    <w:rPr>
      <w:sz w:val="22"/>
      <w:szCs w:val="22"/>
    </w:rPr>
    <w:tblPr>
      <w:tblStyleRowBandSize w:val="1"/>
      <w:tblStyleColBandSize w:val="1"/>
      <w:tblCellMar>
        <w:left w:w="115.0" w:type="dxa"/>
        <w:right w:w="115.0" w:type="dxa"/>
      </w:tblCellMar>
    </w:tblPr>
  </w:style>
  <w:style w:type="table" w:styleId="2" w:customStyle="1">
    <w:name w:val="2"/>
    <w:basedOn w:val="TableNormal3"/>
    <w:rPr>
      <w:sz w:val="22"/>
      <w:szCs w:val="22"/>
    </w:rPr>
    <w:tblPr>
      <w:tblStyleRowBandSize w:val="1"/>
      <w:tblStyleColBandSize w:val="1"/>
      <w:tblCellMar>
        <w:left w:w="115.0" w:type="dxa"/>
        <w:right w:w="115.0" w:type="dxa"/>
      </w:tblCellMar>
    </w:tblPr>
  </w:style>
  <w:style w:type="table" w:styleId="1" w:customStyle="1">
    <w:name w:val="1"/>
    <w:basedOn w:val="TableNormal3"/>
    <w:rPr>
      <w:sz w:val="22"/>
      <w:szCs w:val="22"/>
    </w:rPr>
    <w:tblPr>
      <w:tblStyleRowBandSize w:val="1"/>
      <w:tblStyleColBandSize w:val="1"/>
      <w:tblCellMar>
        <w:left w:w="115.0" w:type="dxa"/>
        <w:right w:w="115.0" w:type="dxa"/>
      </w:tblCellMar>
    </w:tblPr>
  </w:style>
  <w:style w:type="table" w:styleId="Tablaconcuadrcula1" w:customStyle="1">
    <w:name w:val="Tabla con cuadrícula1"/>
    <w:basedOn w:val="Tablanormal"/>
    <w:next w:val="Tablaconcuadrcula"/>
    <w:uiPriority w:val="59"/>
    <w:rsid w:val="001F195A"/>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1"/>
    <w:rPr>
      <w:rFonts w:ascii="Calibri" w:cs="Calibri" w:eastAsia="Calibri" w:hAnsi="Calibri"/>
      <w:sz w:val="22"/>
      <w:szCs w:val="22"/>
    </w:rPr>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70.0" w:type="dxa"/>
        <w:right w:w="70.0" w:type="dxa"/>
      </w:tblCellMar>
    </w:tblPr>
  </w:style>
  <w:style w:type="table" w:styleId="a2" w:customStyle="1">
    <w:basedOn w:val="TableNormal1"/>
    <w:rPr>
      <w:sz w:val="22"/>
      <w:szCs w:val="22"/>
    </w:rPr>
    <w:tblPr>
      <w:tblStyleRowBandSize w:val="1"/>
      <w:tblStyleColBandSize w:val="1"/>
      <w:tblCellMar>
        <w:left w:w="115.0" w:type="dxa"/>
        <w:right w:w="115.0" w:type="dxa"/>
      </w:tblCellMar>
    </w:tblPr>
  </w:style>
  <w:style w:type="table" w:styleId="a3" w:customStyle="1">
    <w:basedOn w:val="TableNormal1"/>
    <w:rPr>
      <w:sz w:val="22"/>
      <w:szCs w:val="22"/>
    </w:rPr>
    <w:tblPr>
      <w:tblStyleRowBandSize w:val="1"/>
      <w:tblStyleColBandSize w:val="1"/>
      <w:tblCellMar>
        <w:left w:w="115.0" w:type="dxa"/>
        <w:right w:w="115.0" w:type="dxa"/>
      </w:tblCellMar>
    </w:tblPr>
  </w:style>
  <w:style w:type="table" w:styleId="a4"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5"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282C5F"/>
    <w:pPr>
      <w:numPr>
        <w:numId w:val="10"/>
      </w:numPr>
      <w:contextualSpacing w:val="1"/>
    </w:pPr>
  </w:style>
  <w:style w:type="paragraph" w:styleId="INFOEM" w:customStyle="1">
    <w:name w:val="INFOEM"/>
    <w:basedOn w:val="Normal"/>
    <w:qFormat w:val="1"/>
    <w:rsid w:val="00B3155A"/>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q00taTwD8MevjnDLJZPp7lltZg==">CgMxLjAyCGgudHlqY3d0MgloLjN6bnlzaDcyCGguZ2pkZ3hzMgloLjFmb2I5dGUyCWguMmV0OTJwMDIJaWQuZ2pkZ3hzMgppZC4zMGowemxsMgppZC4xZm9iOXRlOAByITFfaG5hTm8wMWNNXzBjTnlqTmdsMHdYOENPNlZxSjRXeQ==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2023-05-15T18:34:00Z</dcterms:created>
  <dc:creator>iMac</dc:creator>
</cp:coreProperties>
</file>