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EBBB1"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doce de octubre de dos mil veintitrés. </w:t>
      </w:r>
    </w:p>
    <w:p w14:paraId="30533C8F"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044709D4"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Visto el expediente relativo al recurso de revisión </w:t>
      </w:r>
      <w:r>
        <w:rPr>
          <w:rFonts w:ascii="Palatino Linotype" w:eastAsia="Palatino Linotype" w:hAnsi="Palatino Linotype" w:cs="Palatino Linotype"/>
          <w:b/>
          <w:sz w:val="24"/>
          <w:szCs w:val="24"/>
        </w:rPr>
        <w:t>03819/INFOEM/IP/RR/2023</w:t>
      </w:r>
      <w:r>
        <w:rPr>
          <w:rFonts w:ascii="Palatino Linotype" w:eastAsia="Palatino Linotype" w:hAnsi="Palatino Linotype" w:cs="Palatino Linotype"/>
          <w:sz w:val="24"/>
          <w:szCs w:val="24"/>
        </w:rPr>
        <w:t xml:space="preserve">, interpuesto por </w:t>
      </w:r>
      <w:r>
        <w:rPr>
          <w:rFonts w:ascii="Palatino Linotype" w:eastAsia="Palatino Linotype" w:hAnsi="Palatino Linotype" w:cs="Palatino Linotype"/>
          <w:b/>
          <w:sz w:val="24"/>
          <w:szCs w:val="24"/>
        </w:rPr>
        <w:t>una persona usuaria del Sistema de Acceso a la Información Mexiquense</w:t>
      </w:r>
      <w:r>
        <w:rPr>
          <w:rFonts w:ascii="Palatino Linotype" w:eastAsia="Palatino Linotype" w:hAnsi="Palatino Linotype" w:cs="Palatino Linotype"/>
          <w:sz w:val="24"/>
          <w:szCs w:val="24"/>
        </w:rPr>
        <w:t xml:space="preserve">, al cual en lo sucesivo se le denominará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la respuesta a su solicitud de información identificada con número de folio </w:t>
      </w:r>
      <w:r>
        <w:rPr>
          <w:rFonts w:ascii="Palatino Linotype" w:eastAsia="Palatino Linotype" w:hAnsi="Palatino Linotype" w:cs="Palatino Linotype"/>
          <w:b/>
          <w:sz w:val="24"/>
          <w:szCs w:val="24"/>
        </w:rPr>
        <w:t>00437/ECATEPEC/IP/2023</w:t>
      </w:r>
      <w:r>
        <w:rPr>
          <w:rFonts w:ascii="Palatino Linotype" w:eastAsia="Palatino Linotype" w:hAnsi="Palatino Linotype" w:cs="Palatino Linotype"/>
          <w:sz w:val="24"/>
          <w:szCs w:val="24"/>
        </w:rPr>
        <w:t xml:space="preserve"> proporcionada por parte del </w:t>
      </w:r>
      <w:r>
        <w:rPr>
          <w:rFonts w:ascii="Palatino Linotype" w:eastAsia="Palatino Linotype" w:hAnsi="Palatino Linotype" w:cs="Palatino Linotype"/>
          <w:b/>
          <w:sz w:val="24"/>
          <w:szCs w:val="24"/>
        </w:rPr>
        <w:t>Ayuntamiento de Ecatepec de Morelos</w:t>
      </w:r>
      <w:r>
        <w:rPr>
          <w:rFonts w:ascii="Palatino Linotype" w:eastAsia="Palatino Linotype" w:hAnsi="Palatino Linotype" w:cs="Palatino Linotype"/>
          <w:sz w:val="24"/>
          <w:szCs w:val="24"/>
        </w:rPr>
        <w:t xml:space="preserve"> en lo sucesivo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se procede a dictar la presente resolución, con base en los siguientes:</w:t>
      </w:r>
    </w:p>
    <w:p w14:paraId="3450AF42"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16603505" w14:textId="77777777" w:rsidR="001D78BA" w:rsidRDefault="000E0C9C">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w:t>
      </w:r>
      <w:r>
        <w:rPr>
          <w:rFonts w:ascii="Palatino Linotype" w:eastAsia="Palatino Linotype" w:hAnsi="Palatino Linotype" w:cs="Palatino Linotype"/>
          <w:b/>
          <w:sz w:val="24"/>
          <w:szCs w:val="24"/>
        </w:rPr>
        <w:tab/>
        <w:t>A N T E C E D E N T E S</w:t>
      </w:r>
    </w:p>
    <w:p w14:paraId="03DEC395"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1401D88A" w14:textId="77777777" w:rsidR="001D78BA" w:rsidRDefault="000E0C9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bookmarkStart w:id="0" w:name="_heading=h.30j0zll" w:colFirst="0" w:colLast="0"/>
      <w:bookmarkEnd w:id="0"/>
      <w:r>
        <w:rPr>
          <w:rFonts w:ascii="Palatino Linotype" w:eastAsia="Palatino Linotype" w:hAnsi="Palatino Linotype" w:cs="Palatino Linotype"/>
          <w:b/>
          <w:color w:val="000000"/>
          <w:sz w:val="24"/>
          <w:szCs w:val="24"/>
        </w:rPr>
        <w:t>Solicitud de acceso a la información.</w:t>
      </w:r>
      <w:r>
        <w:rPr>
          <w:rFonts w:ascii="Palatino Linotype" w:eastAsia="Palatino Linotype" w:hAnsi="Palatino Linotype" w:cs="Palatino Linotype"/>
          <w:color w:val="000000"/>
          <w:sz w:val="24"/>
          <w:szCs w:val="24"/>
        </w:rPr>
        <w:t xml:space="preserve"> Con fecha </w:t>
      </w:r>
      <w:r>
        <w:rPr>
          <w:rFonts w:ascii="Palatino Linotype" w:eastAsia="Palatino Linotype" w:hAnsi="Palatino Linotype" w:cs="Palatino Linotype"/>
          <w:b/>
          <w:color w:val="000000"/>
          <w:sz w:val="24"/>
          <w:szCs w:val="24"/>
        </w:rPr>
        <w:t xml:space="preserve">dieciséis de mayo de dos mil </w:t>
      </w:r>
      <w:proofErr w:type="gramStart"/>
      <w:r>
        <w:rPr>
          <w:rFonts w:ascii="Palatino Linotype" w:eastAsia="Palatino Linotype" w:hAnsi="Palatino Linotype" w:cs="Palatino Linotype"/>
          <w:b/>
          <w:color w:val="000000"/>
          <w:sz w:val="24"/>
          <w:szCs w:val="24"/>
        </w:rPr>
        <w:t>veintitrés</w:t>
      </w:r>
      <w:r>
        <w:rPr>
          <w:rFonts w:ascii="Palatino Linotype" w:eastAsia="Palatino Linotype" w:hAnsi="Palatino Linotype" w:cs="Palatino Linotype"/>
          <w:color w:val="000000"/>
          <w:sz w:val="24"/>
          <w:szCs w:val="24"/>
        </w:rPr>
        <w:t>,  la</w:t>
      </w:r>
      <w:proofErr w:type="gramEnd"/>
      <w:r>
        <w:rPr>
          <w:rFonts w:ascii="Palatino Linotype" w:eastAsia="Palatino Linotype" w:hAnsi="Palatino Linotype" w:cs="Palatino Linotype"/>
          <w:color w:val="000000"/>
          <w:sz w:val="24"/>
          <w:szCs w:val="24"/>
        </w:rPr>
        <w:t xml:space="preserve">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formuló solicitud de acceso a información pública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25DCDC75"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2502426E" w14:textId="77777777" w:rsidR="001D78BA" w:rsidRDefault="000E0C9C">
      <w:pPr>
        <w:spacing w:after="0" w:line="360" w:lineRule="auto"/>
        <w:ind w:left="567" w:right="560"/>
        <w:jc w:val="both"/>
        <w:rPr>
          <w:rFonts w:ascii="Palatino Linotype" w:eastAsia="Palatino Linotype" w:hAnsi="Palatino Linotype" w:cs="Palatino Linotype"/>
          <w:i/>
        </w:rPr>
      </w:pPr>
      <w:bookmarkStart w:id="1" w:name="_heading=h.1fob9te" w:colFirst="0" w:colLast="0"/>
      <w:bookmarkEnd w:id="1"/>
      <w:r>
        <w:rPr>
          <w:rFonts w:ascii="Palatino Linotype" w:eastAsia="Palatino Linotype" w:hAnsi="Palatino Linotype" w:cs="Palatino Linotype"/>
          <w:i/>
        </w:rPr>
        <w:t xml:space="preserve">Es de mi interés conocer cuántas personas están adscritas, en su calidad de personal sindicalizado y de confianza, a cada </w:t>
      </w:r>
      <w:proofErr w:type="spellStart"/>
      <w:r>
        <w:rPr>
          <w:rFonts w:ascii="Palatino Linotype" w:eastAsia="Palatino Linotype" w:hAnsi="Palatino Linotype" w:cs="Palatino Linotype"/>
          <w:i/>
        </w:rPr>
        <w:t>regiduria</w:t>
      </w:r>
      <w:proofErr w:type="spellEnd"/>
      <w:r>
        <w:rPr>
          <w:rFonts w:ascii="Palatino Linotype" w:eastAsia="Palatino Linotype" w:hAnsi="Palatino Linotype" w:cs="Palatino Linotype"/>
          <w:i/>
        </w:rPr>
        <w:t xml:space="preserve"> y sindicatura del Ayuntamiento de Ecatepec de Morelos</w:t>
      </w:r>
    </w:p>
    <w:p w14:paraId="62BB4C34"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Modalidad elegida para la entrega de la información:</w:t>
      </w:r>
      <w:r>
        <w:rPr>
          <w:rFonts w:ascii="Palatino Linotype" w:eastAsia="Palatino Linotype" w:hAnsi="Palatino Linotype" w:cs="Palatino Linotype"/>
          <w:sz w:val="24"/>
          <w:szCs w:val="24"/>
        </w:rPr>
        <w:t xml:space="preserve"> a través del Sistema de Acceso a la Información Mexiquense (SAIMEX). </w:t>
      </w:r>
    </w:p>
    <w:p w14:paraId="4667435A" w14:textId="77777777" w:rsidR="001D78BA" w:rsidRDefault="001D78B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28FB315" w14:textId="77777777" w:rsidR="001D78BA" w:rsidRDefault="000E0C9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Respuesta a la solicitud de información.</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no emitió respuesta. </w:t>
      </w:r>
    </w:p>
    <w:p w14:paraId="5DD5E8DF" w14:textId="77777777" w:rsidR="001D78BA" w:rsidRDefault="001D78B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2538E59" w14:textId="77777777" w:rsidR="001D78BA" w:rsidRDefault="000E0C9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Recurso de revisión.</w:t>
      </w:r>
      <w:r>
        <w:rPr>
          <w:rFonts w:ascii="Palatino Linotype" w:eastAsia="Palatino Linotype" w:hAnsi="Palatino Linotype" w:cs="Palatino Linotype"/>
          <w:color w:val="000000"/>
          <w:sz w:val="24"/>
          <w:szCs w:val="24"/>
        </w:rPr>
        <w:t xml:space="preserve"> El Particular, derivado de la falta de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interpuso Recurso de Revisión a través del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treinta de junio de dos mil veintitrés</w:t>
      </w:r>
      <w:r>
        <w:rPr>
          <w:rFonts w:ascii="Palatino Linotype" w:eastAsia="Palatino Linotype" w:hAnsi="Palatino Linotype" w:cs="Palatino Linotype"/>
          <w:color w:val="000000"/>
          <w:sz w:val="24"/>
          <w:szCs w:val="24"/>
        </w:rPr>
        <w:t>, a través del cual expresó lo siguiente:</w:t>
      </w:r>
    </w:p>
    <w:p w14:paraId="0A88ED4A" w14:textId="77777777" w:rsidR="001D78BA" w:rsidRDefault="001D78BA">
      <w:p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p>
    <w:p w14:paraId="4203D439" w14:textId="77777777" w:rsidR="001D78BA" w:rsidRDefault="000E0C9C">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 xml:space="preserve">Acto impugnado. </w:t>
      </w:r>
      <w:r>
        <w:rPr>
          <w:rFonts w:ascii="Palatino Linotype" w:eastAsia="Palatino Linotype" w:hAnsi="Palatino Linotype" w:cs="Palatino Linotype"/>
          <w:i/>
          <w:color w:val="000000"/>
        </w:rPr>
        <w:t>“El sujeto obligado no presentó la información solicitada”.</w:t>
      </w:r>
    </w:p>
    <w:p w14:paraId="27F16C38" w14:textId="77777777" w:rsidR="001D78BA" w:rsidRDefault="001D78BA">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color w:val="000000"/>
        </w:rPr>
      </w:pPr>
    </w:p>
    <w:p w14:paraId="73D16E31" w14:textId="77777777" w:rsidR="001D78BA" w:rsidRDefault="000E0C9C">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 xml:space="preserve">Razones o motivos de la inconformidad: </w:t>
      </w:r>
      <w:r>
        <w:rPr>
          <w:rFonts w:ascii="Palatino Linotype" w:eastAsia="Palatino Linotype" w:hAnsi="Palatino Linotype" w:cs="Palatino Linotype"/>
          <w:i/>
          <w:color w:val="000000"/>
        </w:rPr>
        <w:t>“El sujeto obligado no respondió a la solicitud presentada</w:t>
      </w:r>
    </w:p>
    <w:p w14:paraId="447D4370" w14:textId="77777777" w:rsidR="001D78BA" w:rsidRDefault="001D78BA">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sz w:val="24"/>
          <w:szCs w:val="24"/>
        </w:rPr>
      </w:pPr>
    </w:p>
    <w:p w14:paraId="1491006C" w14:textId="77777777" w:rsidR="001D78BA" w:rsidRDefault="000E0C9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Turno.</w:t>
      </w:r>
      <w:r>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color w:val="000000"/>
          <w:sz w:val="24"/>
          <w:szCs w:val="24"/>
        </w:rPr>
        <w:t>03819/INFOEM/IP/RR/2023</w:t>
      </w:r>
      <w:r>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9C9F5D2" w14:textId="77777777" w:rsidR="001D78BA" w:rsidRDefault="001D78B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3E830CF" w14:textId="77777777" w:rsidR="001D78BA" w:rsidRDefault="000E0C9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Admisión del recurso de revisión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cinco de julio de dos mil veintitrés</w:t>
      </w:r>
      <w:r>
        <w:rPr>
          <w:rFonts w:ascii="Palatino Linotype" w:eastAsia="Palatino Linotype" w:hAnsi="Palatino Linotype" w:cs="Palatino Linotype"/>
          <w:color w:val="000000"/>
          <w:sz w:val="24"/>
          <w:szCs w:val="24"/>
        </w:rPr>
        <w:t xml:space="preserve">, la Comisionada Ponente admitió a trámite el recurso de revisión que ahora </w:t>
      </w:r>
      <w:r>
        <w:rPr>
          <w:rFonts w:ascii="Palatino Linotype" w:eastAsia="Palatino Linotype" w:hAnsi="Palatino Linotype" w:cs="Palatino Linotype"/>
          <w:color w:val="000000"/>
          <w:sz w:val="24"/>
          <w:szCs w:val="24"/>
        </w:rPr>
        <w:lastRenderedPageBreak/>
        <w:t xml:space="preserve">se resuelve, dando un plazo máximo de siete días hábiles para que las partes manifestaran lo que a su derecho resultara conveniente, ofrecieran pruebas, formularan alegatos y el Sujeto Obligado presentara su informe justificado. </w:t>
      </w:r>
    </w:p>
    <w:p w14:paraId="2DA565E5" w14:textId="77777777" w:rsidR="001D78BA" w:rsidRDefault="001D78BA">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3D42BCDC" w14:textId="77777777" w:rsidR="001D78BA" w:rsidRDefault="000E0C9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4"/>
          <w:szCs w:val="24"/>
        </w:rPr>
        <w:t xml:space="preserve">Informe Justificado. </w:t>
      </w:r>
      <w:r>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color w:val="000000"/>
          <w:sz w:val="24"/>
          <w:szCs w:val="24"/>
        </w:rPr>
        <w:t>diez de julio de dos mil veintitrés</w:t>
      </w:r>
      <w:r>
        <w:rPr>
          <w:rFonts w:ascii="Palatino Linotype" w:eastAsia="Palatino Linotype" w:hAnsi="Palatino Linotype" w:cs="Palatino Linotype"/>
          <w:color w:val="000000"/>
          <w:sz w:val="24"/>
          <w:szCs w:val="24"/>
        </w:rPr>
        <w:t xml:space="preserve">, el Sujeto Obligado rindió su informe justificado, a través de lo siguiente: </w:t>
      </w:r>
    </w:p>
    <w:p w14:paraId="44542661" w14:textId="77777777" w:rsidR="001D78BA" w:rsidRDefault="001D78B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B5124A3" w14:textId="77777777" w:rsidR="001D78BA" w:rsidRDefault="000E0C9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Oficio de fecha diez de julio de dos mil veintitrés, signado por la Titular de la Unidad de Transparencia, mediante el cual informa que se adjunta la respuesta remitida por la Dirección de Administración. </w:t>
      </w:r>
    </w:p>
    <w:p w14:paraId="22F77368" w14:textId="77777777" w:rsidR="001D78BA" w:rsidRDefault="000E0C9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de fecha cuatro de julio de dos mil veintitrés, signado por la </w:t>
      </w:r>
      <w:proofErr w:type="gramStart"/>
      <w:r>
        <w:rPr>
          <w:rFonts w:ascii="Palatino Linotype" w:eastAsia="Palatino Linotype" w:hAnsi="Palatino Linotype" w:cs="Palatino Linotype"/>
          <w:color w:val="000000"/>
        </w:rPr>
        <w:t>Subdirectora</w:t>
      </w:r>
      <w:proofErr w:type="gramEnd"/>
      <w:r>
        <w:rPr>
          <w:rFonts w:ascii="Palatino Linotype" w:eastAsia="Palatino Linotype" w:hAnsi="Palatino Linotype" w:cs="Palatino Linotype"/>
          <w:color w:val="000000"/>
        </w:rPr>
        <w:t xml:space="preserve"> de Recursos Humanos, mediante el cual remite lo siguiente:</w:t>
      </w:r>
    </w:p>
    <w:p w14:paraId="0A132FBB" w14:textId="77777777" w:rsidR="001D78BA" w:rsidRDefault="000E0C9C">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469C7BCE" wp14:editId="7C466ABE">
            <wp:extent cx="4313977" cy="2306658"/>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313977" cy="2306658"/>
                    </a:xfrm>
                    <a:prstGeom prst="rect">
                      <a:avLst/>
                    </a:prstGeom>
                    <a:ln/>
                  </pic:spPr>
                </pic:pic>
              </a:graphicData>
            </a:graphic>
          </wp:inline>
        </w:drawing>
      </w:r>
    </w:p>
    <w:p w14:paraId="1D1ACF56" w14:textId="77777777" w:rsidR="001D78BA" w:rsidRDefault="000E0C9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2890C4C6" w14:textId="77777777" w:rsidR="001D78BA" w:rsidRDefault="000E0C9C">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Documentos que se hicieron del conocimiento de la parte Recurrente en fecha </w:t>
      </w:r>
      <w:r>
        <w:rPr>
          <w:rFonts w:ascii="Palatino Linotype" w:eastAsia="Palatino Linotype" w:hAnsi="Palatino Linotype" w:cs="Palatino Linotype"/>
          <w:b/>
          <w:color w:val="000000"/>
        </w:rPr>
        <w:t xml:space="preserve">cuatro de octubre de dos mil veintitrés. </w:t>
      </w:r>
    </w:p>
    <w:p w14:paraId="54D9B20D" w14:textId="77777777" w:rsidR="001D78BA" w:rsidRDefault="001D78BA">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3E90798F" w14:textId="77777777" w:rsidR="001D78BA" w:rsidRDefault="000E0C9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parte Recurrente no rindió manifestaciones. </w:t>
      </w:r>
    </w:p>
    <w:p w14:paraId="47943ED0" w14:textId="77777777" w:rsidR="001D78BA" w:rsidRDefault="000E0C9C">
      <w:pPr>
        <w:numPr>
          <w:ilvl w:val="0"/>
          <w:numId w:val="2"/>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Ampliación de plazo:</w:t>
      </w:r>
      <w:r>
        <w:rPr>
          <w:rFonts w:ascii="Palatino Linotype" w:eastAsia="Palatino Linotype" w:hAnsi="Palatino Linotype" w:cs="Palatino Linotype"/>
          <w:color w:val="000000"/>
          <w:sz w:val="24"/>
          <w:szCs w:val="24"/>
        </w:rPr>
        <w:t xml:space="preserve"> El</w:t>
      </w:r>
      <w:r>
        <w:rPr>
          <w:rFonts w:ascii="Palatino Linotype" w:eastAsia="Palatino Linotype" w:hAnsi="Palatino Linotype" w:cs="Palatino Linotype"/>
          <w:b/>
          <w:color w:val="000000"/>
          <w:sz w:val="24"/>
          <w:szCs w:val="24"/>
        </w:rPr>
        <w:t xml:space="preserve"> cuatro de octubre de dos mil veintitrés</w:t>
      </w:r>
      <w:r>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D3A7F91"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683C9485"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71AB104"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5605EC93"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51A2A3"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22D91BE3"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0F90AE"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2E4C69"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293632E2"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F4AE0AB"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1699CE6D" w14:textId="77777777" w:rsidR="001D78BA" w:rsidRDefault="000E0C9C">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sz w:val="24"/>
          <w:szCs w:val="24"/>
        </w:rPr>
        <w:t>a</w:t>
      </w:r>
      <w:r>
        <w:rPr>
          <w:rFonts w:ascii="Palatino Linotype" w:eastAsia="Palatino Linotype" w:hAnsi="Palatino Linotype" w:cs="Palatino Linotype"/>
          <w:b/>
        </w:rPr>
        <w:t>)    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590D7F5" w14:textId="77777777" w:rsidR="001D78BA" w:rsidRDefault="000E0C9C">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Acciones u omisiones del interesado.</w:t>
      </w:r>
    </w:p>
    <w:p w14:paraId="40B999DC" w14:textId="77777777" w:rsidR="001D78BA" w:rsidRDefault="000E0C9C">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c)  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2B506E2E" w14:textId="77777777" w:rsidR="001D78BA" w:rsidRDefault="000E0C9C">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xml:space="preserve"> Violación a sus derechos humanos.</w:t>
      </w:r>
    </w:p>
    <w:p w14:paraId="479FABB5"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538B2627"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43997C"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6863F26D"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Argumento que encuentra sustento en la jurisprudencia P./J. 32/92 emitida por el Pleno de la Suprema Corte de Justicia de la Nación de rubro “</w:t>
      </w:r>
      <w:r>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14:paraId="5D582B45"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1A80D095"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CEA7CA"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4507CB0C"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7055CF5"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03CBF56E" w14:textId="77777777" w:rsidR="001D78BA" w:rsidRDefault="000E0C9C">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429328F2" w14:textId="77777777" w:rsidR="001D78BA" w:rsidRDefault="000E0C9C">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296974B" w14:textId="77777777" w:rsidR="001D78BA" w:rsidRDefault="000E0C9C">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“PLAZO RAZONABLE PARA RESOLVER. CONCEPTO Y ELEMENTOS QUE LO INTEGRAN A LA LUZ DEL DERECHO INTERNACIONAL DE LOS DERECHOS HUMANOS.”,</w:t>
      </w:r>
      <w:r>
        <w:rPr>
          <w:rFonts w:ascii="Palatino Linotype" w:eastAsia="Palatino Linotype" w:hAnsi="Palatino Linotype" w:cs="Palatino Linotype"/>
        </w:rPr>
        <w:t xml:space="preserve"> visible en el Seminario Judicial de la Federación y su gaceta, con el registro digital 2002350.</w:t>
      </w:r>
    </w:p>
    <w:p w14:paraId="0636E7C0" w14:textId="77777777" w:rsidR="001D78BA" w:rsidRDefault="001D78B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03655984" w14:textId="77777777" w:rsidR="001D78BA" w:rsidRDefault="000E0C9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6227C93C" w14:textId="77777777" w:rsidR="001D78BA" w:rsidRDefault="001D78B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B5FEA0D" w14:textId="77777777" w:rsidR="001D78BA" w:rsidRDefault="000E0C9C">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Cierre de instrucción</w:t>
      </w:r>
      <w:r>
        <w:rPr>
          <w:rFonts w:ascii="Palatino Linotype" w:eastAsia="Palatino Linotype" w:hAnsi="Palatino Linotype" w:cs="Palatino Linotype"/>
          <w:color w:val="000000"/>
          <w:sz w:val="24"/>
          <w:szCs w:val="24"/>
        </w:rPr>
        <w:t xml:space="preserve">. En fecha </w:t>
      </w:r>
      <w:r>
        <w:rPr>
          <w:rFonts w:ascii="Palatino Linotype" w:eastAsia="Palatino Linotype" w:hAnsi="Palatino Linotype" w:cs="Palatino Linotype"/>
          <w:b/>
          <w:color w:val="000000"/>
          <w:sz w:val="24"/>
          <w:szCs w:val="24"/>
        </w:rPr>
        <w:t>diez de octubre de dos mil veintitrés</w:t>
      </w:r>
      <w:r>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19A2B3BD" w14:textId="77777777" w:rsidR="001D78BA" w:rsidRDefault="001D78B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1D62A49"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6020F714"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6BB39BD2"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646DB428"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5FA55FE2" w14:textId="77777777" w:rsidR="001D78BA" w:rsidRDefault="000E0C9C">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w:t>
      </w:r>
      <w:r>
        <w:rPr>
          <w:rFonts w:ascii="Palatino Linotype" w:eastAsia="Palatino Linotype" w:hAnsi="Palatino Linotype" w:cs="Palatino Linotype"/>
          <w:b/>
          <w:sz w:val="24"/>
          <w:szCs w:val="24"/>
        </w:rPr>
        <w:tab/>
        <w:t>C O N S I D E R A N D O:</w:t>
      </w:r>
    </w:p>
    <w:p w14:paraId="665C5CE2"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006426A4"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2B2192" w14:textId="77777777" w:rsidR="001D78BA" w:rsidRDefault="001D78BA">
      <w:pPr>
        <w:spacing w:after="0" w:line="360" w:lineRule="auto"/>
        <w:ind w:right="49"/>
        <w:jc w:val="both"/>
        <w:rPr>
          <w:rFonts w:ascii="Palatino Linotype" w:eastAsia="Palatino Linotype" w:hAnsi="Palatino Linotype" w:cs="Palatino Linotype"/>
          <w:sz w:val="28"/>
          <w:szCs w:val="28"/>
        </w:rPr>
      </w:pPr>
    </w:p>
    <w:p w14:paraId="1AB3962A"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 Oportunidad y Procedibilidad del Recurso de Revisión</w:t>
      </w:r>
      <w:r>
        <w:rPr>
          <w:rFonts w:ascii="Palatino Linotype" w:eastAsia="Palatino Linotype" w:hAnsi="Palatino Linotype" w:cs="Palatino Linotype"/>
          <w:sz w:val="24"/>
          <w:szCs w:val="24"/>
        </w:rPr>
        <w:t>. Por cuanto hace a la oportunidad del recurso de revisión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w:t>
      </w:r>
      <w:r>
        <w:rPr>
          <w:rFonts w:ascii="Palatino Linotype" w:eastAsia="Palatino Linotype" w:hAnsi="Palatino Linotype" w:cs="Palatino Linotype"/>
          <w:sz w:val="24"/>
          <w:szCs w:val="24"/>
        </w:rPr>
        <w:lastRenderedPageBreak/>
        <w:t>Obligados entreguen la respuesta a la solicitud de información, esta se considera negada; por lo que al solicitante le asiste el derecho para presentar el recurso de revisión en cualquier momento.</w:t>
      </w:r>
    </w:p>
    <w:p w14:paraId="76948CFD" w14:textId="77777777" w:rsidR="001D78BA" w:rsidRDefault="001D78BA">
      <w:pPr>
        <w:spacing w:after="0" w:line="360" w:lineRule="auto"/>
        <w:jc w:val="both"/>
        <w:rPr>
          <w:rFonts w:ascii="Palatino Linotype" w:eastAsia="Palatino Linotype" w:hAnsi="Palatino Linotype" w:cs="Palatino Linotype"/>
          <w:sz w:val="24"/>
          <w:szCs w:val="24"/>
        </w:rPr>
      </w:pPr>
    </w:p>
    <w:p w14:paraId="3BF1CDE8"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 lo anterior, se constituye la figura jurídica de la </w:t>
      </w:r>
      <w:r>
        <w:rPr>
          <w:rFonts w:ascii="Palatino Linotype" w:eastAsia="Palatino Linotype" w:hAnsi="Palatino Linotype" w:cs="Palatino Linotype"/>
          <w:b/>
          <w:sz w:val="24"/>
          <w:szCs w:val="24"/>
        </w:rPr>
        <w:t>NEGATIVA FICTA</w:t>
      </w:r>
      <w:r>
        <w:rPr>
          <w:rFonts w:ascii="Palatino Linotype" w:eastAsia="Palatino Linotype" w:hAnsi="Palatino Linotype" w:cs="Palatino Linotype"/>
          <w:sz w:val="24"/>
          <w:szCs w:val="24"/>
        </w:rPr>
        <w:t>, cuya esencia consiste en atribuir un efecto negativo al silencio de la autoridad administrativa frente a las instancias y solicitudes que hagan los particulares.</w:t>
      </w:r>
    </w:p>
    <w:p w14:paraId="46750AD5" w14:textId="77777777" w:rsidR="001D78BA" w:rsidRDefault="001D78BA">
      <w:pPr>
        <w:spacing w:after="0" w:line="360" w:lineRule="auto"/>
        <w:jc w:val="both"/>
        <w:rPr>
          <w:rFonts w:ascii="Palatino Linotype" w:eastAsia="Palatino Linotype" w:hAnsi="Palatino Linotype" w:cs="Palatino Linotype"/>
          <w:sz w:val="24"/>
          <w:szCs w:val="24"/>
        </w:rPr>
      </w:pPr>
    </w:p>
    <w:p w14:paraId="132D6725"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en el presente recurso de revisión se actualizó la negativa ficta por parte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al no haber respondido 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4FDAC125" w14:textId="77777777" w:rsidR="001D78BA" w:rsidRDefault="001D78BA">
      <w:pPr>
        <w:spacing w:after="0" w:line="360" w:lineRule="auto"/>
        <w:jc w:val="both"/>
        <w:rPr>
          <w:rFonts w:ascii="Palatino Linotype" w:eastAsia="Palatino Linotype" w:hAnsi="Palatino Linotype" w:cs="Palatino Linotype"/>
          <w:sz w:val="24"/>
          <w:szCs w:val="24"/>
        </w:rPr>
      </w:pPr>
    </w:p>
    <w:p w14:paraId="163085F4"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 a ello se le suma lo previsto en el párrafo segundo del artículo 178, párrafo segundo de la Ley de Transparencia y Acceso a la Información Pública del Estado de México y Municipios, </w:t>
      </w:r>
    </w:p>
    <w:p w14:paraId="5E8FAF7D" w14:textId="77777777" w:rsidR="001D78BA" w:rsidRDefault="001D78BA">
      <w:pPr>
        <w:spacing w:after="0" w:line="360" w:lineRule="auto"/>
        <w:jc w:val="both"/>
        <w:rPr>
          <w:rFonts w:ascii="Palatino Linotype" w:eastAsia="Palatino Linotype" w:hAnsi="Palatino Linotype" w:cs="Palatino Linotype"/>
          <w:sz w:val="24"/>
          <w:szCs w:val="24"/>
        </w:rPr>
      </w:pPr>
    </w:p>
    <w:p w14:paraId="494C440C" w14:textId="77777777" w:rsidR="001D78BA" w:rsidRDefault="000E0C9C">
      <w:pPr>
        <w:spacing w:after="0" w:line="276" w:lineRule="auto"/>
        <w:ind w:left="567" w:right="615"/>
        <w:jc w:val="both"/>
        <w:rPr>
          <w:rFonts w:ascii="Palatino Linotype" w:eastAsia="Palatino Linotype" w:hAnsi="Palatino Linotype" w:cs="Palatino Linotype"/>
          <w:i/>
        </w:rPr>
      </w:pPr>
      <w:r>
        <w:rPr>
          <w:rFonts w:ascii="Palatino Linotype" w:eastAsia="Palatino Linotype" w:hAnsi="Palatino Linotype" w:cs="Palatino Linotype"/>
          <w:b/>
          <w:i/>
        </w:rPr>
        <w:t>Artículo 178.</w:t>
      </w:r>
      <w:r>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0DDB60F2" w14:textId="77777777" w:rsidR="001D78BA" w:rsidRDefault="001D78BA">
      <w:pPr>
        <w:spacing w:after="0" w:line="276" w:lineRule="auto"/>
        <w:ind w:left="567" w:right="615"/>
        <w:jc w:val="both"/>
        <w:rPr>
          <w:rFonts w:ascii="Palatino Linotype" w:eastAsia="Palatino Linotype" w:hAnsi="Palatino Linotype" w:cs="Palatino Linotype"/>
          <w:i/>
        </w:rPr>
      </w:pPr>
    </w:p>
    <w:p w14:paraId="3422DC90" w14:textId="77777777" w:rsidR="001D78BA" w:rsidRDefault="000E0C9C">
      <w:pPr>
        <w:spacing w:after="0" w:line="276" w:lineRule="auto"/>
        <w:ind w:left="567" w:right="615"/>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 falta de respuesta del sujeto obligado, dentro de los plazos establecidos en esta Ley, a una solicitud de acceso a la información pública, el recurso podrá ser </w:t>
      </w:r>
      <w:r>
        <w:rPr>
          <w:rFonts w:ascii="Palatino Linotype" w:eastAsia="Palatino Linotype" w:hAnsi="Palatino Linotype" w:cs="Palatino Linotype"/>
          <w:b/>
          <w:i/>
        </w:rPr>
        <w:lastRenderedPageBreak/>
        <w:t>interpuesto en cualquier momento, acompañado con el documento que pruebe la fecha en que presentó la solicitud.</w:t>
      </w:r>
    </w:p>
    <w:p w14:paraId="38744014"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encuentra sustento en el Criterio 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ECB08D8" w14:textId="77777777" w:rsidR="001D78BA" w:rsidRDefault="001D78BA">
      <w:pPr>
        <w:spacing w:after="0" w:line="360" w:lineRule="auto"/>
        <w:jc w:val="both"/>
        <w:rPr>
          <w:i/>
          <w:sz w:val="24"/>
          <w:szCs w:val="24"/>
        </w:rPr>
      </w:pPr>
    </w:p>
    <w:p w14:paraId="2E1F2E8C" w14:textId="77777777" w:rsidR="001D78BA" w:rsidRDefault="000E0C9C">
      <w:pPr>
        <w:spacing w:after="0"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CRITERIO 0001-15. NEGATIVA FICTA. PLAZO PARA INTERPONER EL RECURSO DE REVISIÓN TRATÁNDOSE DE</w:t>
      </w:r>
      <w:r>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D496FCC" w14:textId="77777777" w:rsidR="001D78BA" w:rsidRDefault="001D78BA">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FF0000"/>
          <w:sz w:val="24"/>
          <w:szCs w:val="24"/>
        </w:rPr>
      </w:pPr>
    </w:p>
    <w:p w14:paraId="0552D522"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de suma importancia mencionar que si bien, la parte no proporcionó un nombre o seudónimo para ser identificado como se advierte en el detalle de seguimiento del Sistema de Acceso a la Información Mexiquense, no es motivo para archivar la solicitud de acceso a la información pública como concluida, conforme a lo previsto en </w:t>
      </w:r>
      <w:r>
        <w:rPr>
          <w:rFonts w:ascii="Palatino Linotype" w:eastAsia="Palatino Linotype" w:hAnsi="Palatino Linotype" w:cs="Palatino Linotype"/>
          <w:sz w:val="24"/>
          <w:szCs w:val="24"/>
        </w:rPr>
        <w:lastRenderedPageBreak/>
        <w:t>el artículo 155, penúltimo párrafo de la Ley de Transparencia y Acceso a la Información Pública del Estado de México y Municipios que establece lo siguiente:</w:t>
      </w:r>
    </w:p>
    <w:p w14:paraId="55C71BBE" w14:textId="77777777" w:rsidR="001D78BA" w:rsidRDefault="000E0C9C">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"Las solicitudes</w:t>
      </w:r>
      <w:r>
        <w:rPr>
          <w:rFonts w:ascii="Palatino Linotype" w:eastAsia="Palatino Linotype" w:hAnsi="Palatino Linotype" w:cs="Palatino Linotype"/>
          <w:b/>
          <w:i/>
        </w:rPr>
        <w:t xml:space="preserve"> </w:t>
      </w:r>
      <w:r>
        <w:rPr>
          <w:rFonts w:ascii="Palatino Linotype" w:eastAsia="Palatino Linotype" w:hAnsi="Palatino Linotype" w:cs="Palatino Linotype"/>
          <w:b/>
          <w:i/>
          <w:u w:val="single"/>
        </w:rPr>
        <w:t>anónimas</w:t>
      </w:r>
      <w:r>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5280302C" w14:textId="77777777" w:rsidR="001D78BA" w:rsidRDefault="001D78BA">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FF0000"/>
          <w:sz w:val="24"/>
          <w:szCs w:val="24"/>
        </w:rPr>
      </w:pPr>
    </w:p>
    <w:p w14:paraId="1AC4F442" w14:textId="77777777" w:rsidR="001D78BA" w:rsidRDefault="000E0C9C">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w:t>
      </w:r>
    </w:p>
    <w:p w14:paraId="10DB4D83" w14:textId="77777777" w:rsidR="001D78BA" w:rsidRDefault="001D78BA">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p>
    <w:p w14:paraId="483963A5" w14:textId="77777777" w:rsidR="001D78BA" w:rsidRDefault="000E0C9C">
      <w:pPr>
        <w:spacing w:after="0" w:line="360" w:lineRule="auto"/>
        <w:jc w:val="both"/>
        <w:rPr>
          <w:rFonts w:ascii="Quattrocento Sans" w:eastAsia="Quattrocento Sans" w:hAnsi="Quattrocento Sans" w:cs="Quattrocento Sans"/>
          <w:sz w:val="24"/>
          <w:szCs w:val="24"/>
        </w:rPr>
      </w:pPr>
      <w:r>
        <w:rPr>
          <w:rFonts w:ascii="Palatino Linotype" w:eastAsia="Palatino Linotype" w:hAnsi="Palatino Linotype" w:cs="Palatino Linotype"/>
          <w:sz w:val="24"/>
          <w:szCs w:val="24"/>
        </w:rPr>
        <w:t xml:space="preserve">Ahora bien, resulta procedente la interposición del recurso de revisión, según lo aducido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en términos del artículo 179, fracción VII del ordenamiento legal de la materia, que a la letra dice:</w:t>
      </w:r>
    </w:p>
    <w:p w14:paraId="5CB08E9A" w14:textId="77777777" w:rsidR="001D78BA" w:rsidRDefault="001D78BA">
      <w:pPr>
        <w:spacing w:after="0" w:line="360" w:lineRule="auto"/>
        <w:ind w:left="993" w:right="1041"/>
        <w:jc w:val="both"/>
        <w:rPr>
          <w:rFonts w:ascii="Palatino Linotype" w:eastAsia="Palatino Linotype" w:hAnsi="Palatino Linotype" w:cs="Palatino Linotype"/>
          <w:i/>
          <w:sz w:val="24"/>
          <w:szCs w:val="24"/>
        </w:rPr>
      </w:pPr>
    </w:p>
    <w:p w14:paraId="7C5B85BB" w14:textId="77777777" w:rsidR="001D78BA" w:rsidRDefault="000E0C9C">
      <w:pPr>
        <w:spacing w:after="0" w:line="276" w:lineRule="auto"/>
        <w:ind w:left="567" w:right="615"/>
        <w:jc w:val="both"/>
        <w:rPr>
          <w:rFonts w:ascii="Palatino Linotype" w:eastAsia="Palatino Linotype" w:hAnsi="Palatino Linotype" w:cs="Palatino Linotype"/>
        </w:rPr>
      </w:pPr>
      <w:r>
        <w:rPr>
          <w:rFonts w:ascii="Palatino Linotype" w:eastAsia="Palatino Linotype" w:hAnsi="Palatino Linotype" w:cs="Palatino Linotype"/>
          <w:i/>
        </w:rPr>
        <w:t>“</w:t>
      </w:r>
      <w:r>
        <w:rPr>
          <w:rFonts w:ascii="Palatino Linotype" w:eastAsia="Palatino Linotype" w:hAnsi="Palatino Linotype" w:cs="Palatino Linotype"/>
          <w:b/>
        </w:rPr>
        <w:t>Artículo 179.</w:t>
      </w:r>
      <w:r>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rPr>
        <w:t> </w:t>
      </w:r>
    </w:p>
    <w:p w14:paraId="5E264454" w14:textId="77777777" w:rsidR="001D78BA" w:rsidRDefault="000E0C9C">
      <w:pPr>
        <w:spacing w:after="0" w:line="276" w:lineRule="auto"/>
        <w:ind w:left="567" w:right="615"/>
        <w:jc w:val="both"/>
        <w:rPr>
          <w:rFonts w:ascii="Palatino Linotype" w:eastAsia="Palatino Linotype" w:hAnsi="Palatino Linotype" w:cs="Palatino Linotype"/>
        </w:rPr>
      </w:pPr>
      <w:r>
        <w:rPr>
          <w:rFonts w:ascii="Palatino Linotype" w:eastAsia="Palatino Linotype" w:hAnsi="Palatino Linotype" w:cs="Palatino Linotype"/>
        </w:rPr>
        <w:t>…</w:t>
      </w:r>
    </w:p>
    <w:p w14:paraId="7D182BD8" w14:textId="77777777" w:rsidR="001D78BA" w:rsidRDefault="000E0C9C">
      <w:pPr>
        <w:numPr>
          <w:ilvl w:val="0"/>
          <w:numId w:val="1"/>
        </w:numPr>
        <w:spacing w:after="0" w:line="276" w:lineRule="auto"/>
        <w:ind w:left="567" w:right="615" w:hanging="87"/>
        <w:jc w:val="both"/>
        <w:rPr>
          <w:rFonts w:ascii="Palatino Linotype" w:eastAsia="Palatino Linotype" w:hAnsi="Palatino Linotype" w:cs="Palatino Linotype"/>
          <w:i/>
        </w:rPr>
      </w:pPr>
      <w:r>
        <w:rPr>
          <w:rFonts w:ascii="Palatino Linotype" w:eastAsia="Palatino Linotype" w:hAnsi="Palatino Linotype" w:cs="Palatino Linotype"/>
          <w:i/>
        </w:rPr>
        <w:t>La falta de respuesta a una solicitud de acceso a la información</w:t>
      </w:r>
    </w:p>
    <w:p w14:paraId="2356FBCD" w14:textId="77777777" w:rsidR="001D78BA" w:rsidRDefault="001D78BA">
      <w:pPr>
        <w:spacing w:after="0" w:line="360" w:lineRule="auto"/>
        <w:jc w:val="both"/>
        <w:rPr>
          <w:rFonts w:ascii="Palatino Linotype" w:eastAsia="Palatino Linotype" w:hAnsi="Palatino Linotype" w:cs="Palatino Linotype"/>
          <w:i/>
        </w:rPr>
      </w:pPr>
    </w:p>
    <w:p w14:paraId="5B06A48A"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Análisis de las causales de sobreseimiento. </w:t>
      </w:r>
      <w:r>
        <w:rPr>
          <w:rFonts w:ascii="Palatino Linotype" w:eastAsia="Palatino Linotype" w:hAnsi="Palatino Linotype" w:cs="Palatino Linotype"/>
          <w:sz w:val="24"/>
          <w:szCs w:val="24"/>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w:t>
      </w:r>
      <w:r>
        <w:rPr>
          <w:rFonts w:ascii="Palatino Linotype" w:eastAsia="Palatino Linotype" w:hAnsi="Palatino Linotype" w:cs="Palatino Linotype"/>
          <w:sz w:val="24"/>
          <w:szCs w:val="24"/>
        </w:rPr>
        <w:lastRenderedPageBreak/>
        <w:t>inmersos en el artículo 9 de Ley de Transparencia y Acceso a la Información Pública del Estado de México y Municipios, en correlación con la seguridad jurídica que debe generar lo actuado ante este Organismo Garante.</w:t>
      </w:r>
    </w:p>
    <w:p w14:paraId="28E31D66"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BEB8EAC" w14:textId="77777777" w:rsidR="001D78BA" w:rsidRDefault="001D78BA">
      <w:pPr>
        <w:spacing w:after="0" w:line="360" w:lineRule="auto"/>
        <w:jc w:val="both"/>
        <w:rPr>
          <w:rFonts w:ascii="Palatino Linotype" w:eastAsia="Palatino Linotype" w:hAnsi="Palatino Linotype" w:cs="Palatino Linotype"/>
          <w:sz w:val="24"/>
          <w:szCs w:val="24"/>
        </w:rPr>
      </w:pPr>
    </w:p>
    <w:p w14:paraId="06CD344E"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del análisis de la solicitud de información pública que motivó el recurso de revisión que ahora se resuelve, se advierte que la parte Recurrente requirió la siguiente información: </w:t>
      </w:r>
    </w:p>
    <w:p w14:paraId="095C4352"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338F4FFF" w14:textId="77777777" w:rsidR="001D78BA" w:rsidRDefault="000E0C9C">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Número de personas que están adscritas, en su calidad de personal sindicalizado y de confianza, a cada Regiduría y Sindicatura del Ayuntamiento de Ecatepec de Morelos.</w:t>
      </w:r>
    </w:p>
    <w:p w14:paraId="1BFCADC0" w14:textId="77777777" w:rsidR="001D78BA" w:rsidRDefault="001D78BA">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color w:val="000000"/>
        </w:rPr>
      </w:pPr>
    </w:p>
    <w:p w14:paraId="47A2567F" w14:textId="77777777" w:rsidR="001D78BA" w:rsidRDefault="000E0C9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Sujeto Obligado, fue omiso en remitir respuesta. </w:t>
      </w:r>
    </w:p>
    <w:p w14:paraId="39DD255F"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73EF822E" w14:textId="77777777" w:rsidR="001D78BA" w:rsidRDefault="000E0C9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Derivado de ello, el Particular se inconformó medularmente por la falta de respuesta a la solicitud de información.  </w:t>
      </w:r>
    </w:p>
    <w:p w14:paraId="4662024A"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38FEBA28" w14:textId="77777777" w:rsidR="001D78BA" w:rsidRDefault="000E0C9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Posteriormente, mediante informe justificado, el Sujeto Obligado, a través de la Dirección de Administración proporcionó la siguiente información: </w:t>
      </w:r>
    </w:p>
    <w:p w14:paraId="1F38723D" w14:textId="77777777" w:rsidR="001D78BA" w:rsidRDefault="000E0C9C">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14:anchorId="347A0438" wp14:editId="4800A24C">
            <wp:extent cx="3941026" cy="3061958"/>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941026" cy="3061958"/>
                    </a:xfrm>
                    <a:prstGeom prst="rect">
                      <a:avLst/>
                    </a:prstGeom>
                    <a:ln/>
                  </pic:spPr>
                </pic:pic>
              </a:graphicData>
            </a:graphic>
          </wp:inline>
        </w:drawing>
      </w:r>
    </w:p>
    <w:p w14:paraId="5383629A" w14:textId="77777777" w:rsidR="001D78BA" w:rsidRDefault="001D78B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26AA2FB" w14:textId="77777777" w:rsidR="001D78BA" w:rsidRDefault="000E0C9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Dicho lo anterior, se procede a contextualizar la información requerida por la parte Recurrente, para ello, es importante traer a colación lo que establece la Ley de Trabajo de los servidores públicos del Estado de México y Municipios que precisa lo siguiente: </w:t>
      </w:r>
    </w:p>
    <w:p w14:paraId="7FFB6CBE" w14:textId="77777777" w:rsidR="001D78BA" w:rsidRDefault="001D78BA">
      <w:pPr>
        <w:spacing w:after="0" w:line="360" w:lineRule="auto"/>
        <w:jc w:val="both"/>
        <w:rPr>
          <w:rFonts w:ascii="Palatino Linotype" w:eastAsia="Palatino Linotype" w:hAnsi="Palatino Linotype" w:cs="Palatino Linotype"/>
          <w:color w:val="000000"/>
          <w:sz w:val="24"/>
          <w:szCs w:val="24"/>
        </w:rPr>
      </w:pPr>
    </w:p>
    <w:p w14:paraId="6B87B513"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4</w:t>
      </w:r>
      <w:r>
        <w:rPr>
          <w:rFonts w:ascii="Palatino Linotype" w:eastAsia="Palatino Linotype" w:hAnsi="Palatino Linotype" w:cs="Palatino Linotype"/>
          <w:i/>
        </w:rPr>
        <w:t>. Para efectos de esta ley se entiende:</w:t>
      </w:r>
    </w:p>
    <w:p w14:paraId="503A8413" w14:textId="77777777" w:rsidR="001D78BA" w:rsidRDefault="000E0C9C">
      <w:pPr>
        <w:spacing w:after="0" w:line="276" w:lineRule="auto"/>
        <w:ind w:left="567" w:right="56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rPr>
        <w:t>…</w:t>
      </w:r>
    </w:p>
    <w:p w14:paraId="6FE9B593"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VI. Servidor Público:</w:t>
      </w:r>
      <w:r>
        <w:rPr>
          <w:rFonts w:ascii="Palatino Linotype" w:eastAsia="Palatino Linotype" w:hAnsi="Palatino Linotype" w:cs="Palatino Linotype"/>
          <w:i/>
        </w:rPr>
        <w:t xml:space="preserve"> A toda persona física que preste a una institución pública un trabajo personal subordinado de carácter material o intelectual, o de ambos géneros, mediante el pago de un sueldo. </w:t>
      </w:r>
    </w:p>
    <w:p w14:paraId="73E7BF16"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VII. Trabajador:</w:t>
      </w:r>
      <w:r>
        <w:rPr>
          <w:rFonts w:ascii="Palatino Linotype" w:eastAsia="Palatino Linotype" w:hAnsi="Palatino Linotype" w:cs="Palatino Linotype"/>
          <w:i/>
        </w:rPr>
        <w:t xml:space="preserve"> la persona física que presta sus servicios, en forma subordinada, en el Subsistema Educativo Federalizado, mediante el pago de un sueldo o salario.</w:t>
      </w:r>
    </w:p>
    <w:p w14:paraId="1C9AA468" w14:textId="77777777" w:rsidR="001D78BA" w:rsidRDefault="000E0C9C">
      <w:pPr>
        <w:spacing w:after="0" w:line="276" w:lineRule="auto"/>
        <w:ind w:left="567" w:right="56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rPr>
        <w:t>…</w:t>
      </w:r>
    </w:p>
    <w:p w14:paraId="73A1F588"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 </w:t>
      </w:r>
    </w:p>
    <w:p w14:paraId="275554C0"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xml:space="preserve"> Los servidores públicos se clasifican en generales y de confianza, los cuales, de acuerdo con la duración de sus relaciones de trabajo pueden ser: por tiempo u obra determinados o por tiempo indeterminado.</w:t>
      </w:r>
    </w:p>
    <w:p w14:paraId="0FA1046C" w14:textId="77777777" w:rsidR="001D78BA" w:rsidRDefault="001D78BA">
      <w:pPr>
        <w:spacing w:after="0" w:line="276" w:lineRule="auto"/>
        <w:ind w:left="567" w:right="560"/>
        <w:jc w:val="both"/>
        <w:rPr>
          <w:rFonts w:ascii="Palatino Linotype" w:eastAsia="Palatino Linotype" w:hAnsi="Palatino Linotype" w:cs="Palatino Linotype"/>
          <w:i/>
        </w:rPr>
      </w:pPr>
    </w:p>
    <w:p w14:paraId="2F335F54"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9</w:t>
      </w:r>
      <w:r>
        <w:rPr>
          <w:rFonts w:ascii="Palatino Linotype" w:eastAsia="Palatino Linotype" w:hAnsi="Palatino Linotype" w:cs="Palatino Linotype"/>
          <w:i/>
        </w:rPr>
        <w:t xml:space="preserve">. Para los efectos del artículo anterior y la debida calificación de puestos de confianza, se entenderán como funciones de: </w:t>
      </w:r>
    </w:p>
    <w:p w14:paraId="60DCE6EA"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 Dirección, aquéllas que ejerzan los servidores públicos responsables de conducir las actividades de los demás, ya sea en toda una institución pública o en alguna de sus dependencias o unidades administrativas; </w:t>
      </w:r>
    </w:p>
    <w:p w14:paraId="15939134"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II. Inspección, vigilancia, auditoría y fiscalización, aquéllas que se realicen a efecto de conocer, examinar, verificar, controlar o sancionar las acciones a cargo de las instituciones públicas o de sus dependencias o unidades administrativas; </w:t>
      </w:r>
    </w:p>
    <w:p w14:paraId="59362479"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III. Asesoría, la asistencia técnica o profesional que se brinde mediante consejos, opiniones o dictámenes, a los titulares de las instituciones públicas o de sus dependencias y unidades administrativas; IV. Procuración de justicia, las relativas a la investigación y persecución de los delitos del fuero común y al ejercicio de la acción penal para proteger los intereses de la sociedad; </w:t>
      </w:r>
    </w:p>
    <w:p w14:paraId="0D2212B9"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V. Administración de justicia, aquéllas que se refieren al ejercicio de la función jurisdiccional; </w:t>
      </w:r>
    </w:p>
    <w:p w14:paraId="6F34F1BC"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VI. Protección civil, aquéllas que tengan por objeto prevenir y atender a la población en casos de riesgo, siniestro o desastre; </w:t>
      </w:r>
    </w:p>
    <w:p w14:paraId="5D2AB1C8"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VII. Representación, aquéllas que se refieren a la facultad legal de actuar a nombre de los titulares de las instituciones públicas o de sus dependencias; y </w:t>
      </w:r>
    </w:p>
    <w:p w14:paraId="49F3227E"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VIII. Manejo de recursos, aquéllas que impliquen la facultad legal o administrativa de decidir o determinar su aplicación o destino.</w:t>
      </w:r>
    </w:p>
    <w:p w14:paraId="0F7F17A4" w14:textId="77777777" w:rsidR="001D78BA" w:rsidRDefault="001D78BA">
      <w:pPr>
        <w:spacing w:after="0" w:line="276" w:lineRule="auto"/>
        <w:ind w:left="567" w:right="560"/>
        <w:jc w:val="both"/>
        <w:rPr>
          <w:rFonts w:ascii="Palatino Linotype" w:eastAsia="Palatino Linotype" w:hAnsi="Palatino Linotype" w:cs="Palatino Linotype"/>
          <w:b/>
          <w:i/>
        </w:rPr>
      </w:pPr>
    </w:p>
    <w:p w14:paraId="19BA9638"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87.</w:t>
      </w:r>
      <w:r>
        <w:rPr>
          <w:rFonts w:ascii="Palatino Linotype" w:eastAsia="Palatino Linotype" w:hAnsi="Palatino Linotype" w:cs="Palatino Linotype"/>
          <w:i/>
        </w:rPr>
        <w:t xml:space="preserve"> Los servidores públicos generales por tiempo indeterminado tendrán, además, los siguientes derechos:</w:t>
      </w:r>
    </w:p>
    <w:p w14:paraId="26219931" w14:textId="77777777" w:rsidR="001D78BA" w:rsidRDefault="000E0C9C">
      <w:pPr>
        <w:spacing w:after="0" w:line="276" w:lineRule="auto"/>
        <w:ind w:left="567" w:right="560"/>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 xml:space="preserve"> I. Afiliarse al sindicato correspondiente; </w:t>
      </w:r>
    </w:p>
    <w:p w14:paraId="71FEC523"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II. Tratar por sí o por conducto de su representación sindical los asuntos relativos al servicio; </w:t>
      </w:r>
    </w:p>
    <w:p w14:paraId="55DDD5D6" w14:textId="77777777" w:rsidR="001D78BA" w:rsidRDefault="000E0C9C">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III. Obtener ascensos, de acuerdo a las disposiciones escalafonarias aplicables; y IV. Obtener becas para sus hijos, en términos de las disposiciones relativas; V. Obtener licencias para desempeñar comisiones sindicales o para ocupar cargos de elección popular; V</w:t>
      </w:r>
    </w:p>
    <w:p w14:paraId="3A6151FA" w14:textId="77777777" w:rsidR="001D78BA" w:rsidRDefault="000E0C9C">
      <w:pPr>
        <w:spacing w:after="0" w:line="276" w:lineRule="auto"/>
        <w:ind w:left="567" w:right="56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rPr>
        <w:t>I. Recibir los reglamentos correspondientes.</w:t>
      </w:r>
    </w:p>
    <w:p w14:paraId="4292B87D" w14:textId="77777777" w:rsidR="001D78BA" w:rsidRDefault="001D78BA">
      <w:pPr>
        <w:spacing w:after="0" w:line="360" w:lineRule="auto"/>
        <w:jc w:val="both"/>
        <w:rPr>
          <w:rFonts w:ascii="Palatino Linotype" w:eastAsia="Palatino Linotype" w:hAnsi="Palatino Linotype" w:cs="Palatino Linotype"/>
          <w:color w:val="000000"/>
          <w:sz w:val="24"/>
          <w:szCs w:val="24"/>
        </w:rPr>
      </w:pPr>
    </w:p>
    <w:p w14:paraId="11BC76FE" w14:textId="77777777" w:rsidR="001D78BA" w:rsidRDefault="000E0C9C">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otro lado, el Bando Municipal de Ecatepec establece que:</w:t>
      </w:r>
    </w:p>
    <w:p w14:paraId="062DB11D"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21F059EA" w14:textId="77777777" w:rsidR="001D78BA" w:rsidRDefault="000E0C9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rPr>
        <w:t>Artículo 28.</w:t>
      </w:r>
      <w:r>
        <w:rPr>
          <w:rFonts w:ascii="Palatino Linotype" w:eastAsia="Palatino Linotype" w:hAnsi="Palatino Linotype" w:cs="Palatino Linotype"/>
          <w:i/>
        </w:rPr>
        <w:t xml:space="preserve"> El Gobierno y la Administración del Municipio de Ecatepec de Morelos están depositados en un cuerpo colegiado y deliberante que se denomina H. Ayuntamiento, actualmente integrado por un presidente, un síndico y siete regidores, electos por planilla según el principio de mayoría relativa; asimismo, de un síndico y cinco regidores designados según el principio de representación proporcional, quienes cuentan con las facultades y obligaciones que les otorgan la Constitución Política de los Estados Unidos Mexicanos, la particular del Estado, la Ley Orgánica Municipal del Estado de México y demás disposiciones legales vigentes aplicables.</w:t>
      </w:r>
    </w:p>
    <w:p w14:paraId="1CB61836"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10CB9DEC" w14:textId="77777777" w:rsidR="001D78BA" w:rsidRDefault="000E0C9C">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lo anterior, se advierte que el Ayuntamiento se integra por los siguientes Síndicos y Regidores: </w:t>
      </w:r>
    </w:p>
    <w:p w14:paraId="6E761317"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42C74793" w14:textId="77777777" w:rsidR="001D78BA" w:rsidRDefault="000E0C9C">
      <w:pPr>
        <w:pBdr>
          <w:top w:val="nil"/>
          <w:left w:val="nil"/>
          <w:bottom w:val="nil"/>
          <w:right w:val="nil"/>
          <w:between w:val="nil"/>
        </w:pBdr>
        <w:spacing w:after="0" w:line="360" w:lineRule="auto"/>
        <w:ind w:right="-15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lastRenderedPageBreak/>
        <w:drawing>
          <wp:inline distT="0" distB="0" distL="0" distR="0" wp14:anchorId="5B5F2229" wp14:editId="6BAE75F4">
            <wp:extent cx="4391638" cy="268642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391638" cy="2686425"/>
                    </a:xfrm>
                    <a:prstGeom prst="rect">
                      <a:avLst/>
                    </a:prstGeom>
                    <a:ln/>
                  </pic:spPr>
                </pic:pic>
              </a:graphicData>
            </a:graphic>
          </wp:inline>
        </w:drawing>
      </w:r>
    </w:p>
    <w:p w14:paraId="7211B3BB" w14:textId="77777777" w:rsidR="001D78BA" w:rsidRDefault="000E0C9C">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Asimismo, es de destacar que el Ayuntamiento de Ecatepec contará con una Dirección de Administración, la cual de conformidad con el artículo 50 de su Bando Municipal, esta tendrá la siguiente finalidad: </w:t>
      </w:r>
    </w:p>
    <w:p w14:paraId="2C290B44"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3DA1ECC5" w14:textId="77777777" w:rsidR="001D78BA" w:rsidRDefault="000E0C9C">
      <w:pPr>
        <w:pBdr>
          <w:top w:val="nil"/>
          <w:left w:val="nil"/>
          <w:bottom w:val="nil"/>
          <w:right w:val="nil"/>
          <w:between w:val="nil"/>
        </w:pBdr>
        <w:spacing w:after="0" w:line="276" w:lineRule="auto"/>
        <w:ind w:left="567" w:right="560"/>
        <w:jc w:val="center"/>
        <w:rPr>
          <w:rFonts w:ascii="Palatino Linotype" w:eastAsia="Palatino Linotype" w:hAnsi="Palatino Linotype" w:cs="Palatino Linotype"/>
          <w:b/>
          <w:i/>
        </w:rPr>
      </w:pPr>
      <w:r>
        <w:rPr>
          <w:rFonts w:ascii="Palatino Linotype" w:eastAsia="Palatino Linotype" w:hAnsi="Palatino Linotype" w:cs="Palatino Linotype"/>
          <w:b/>
          <w:i/>
        </w:rPr>
        <w:t>De la Dirección de Administración</w:t>
      </w:r>
    </w:p>
    <w:p w14:paraId="08051CD5" w14:textId="77777777" w:rsidR="001D78BA" w:rsidRDefault="000E0C9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rPr>
        <w:t>Artículo 50.</w:t>
      </w:r>
      <w:r>
        <w:rPr>
          <w:rFonts w:ascii="Palatino Linotype" w:eastAsia="Palatino Linotype" w:hAnsi="Palatino Linotype" w:cs="Palatino Linotype"/>
          <w:i/>
        </w:rPr>
        <w:t xml:space="preserve"> La Dirección de Administración proveerá los recursos humanos, materiales y servicios a las diversas áreas que conforman la Administración Pública Municipal y asignará a estas, previa autorización del </w:t>
      </w:r>
      <w:proofErr w:type="gramStart"/>
      <w:r>
        <w:rPr>
          <w:rFonts w:ascii="Palatino Linotype" w:eastAsia="Palatino Linotype" w:hAnsi="Palatino Linotype" w:cs="Palatino Linotype"/>
          <w:i/>
        </w:rPr>
        <w:t>Presidente</w:t>
      </w:r>
      <w:proofErr w:type="gramEnd"/>
      <w:r>
        <w:rPr>
          <w:rFonts w:ascii="Palatino Linotype" w:eastAsia="Palatino Linotype" w:hAnsi="Palatino Linotype" w:cs="Palatino Linotype"/>
          <w:i/>
        </w:rPr>
        <w:t xml:space="preserve"> Municipal Constitucional, el personal capacitado que requiera para el cumplimiento de sus atribuciones, llevando el registro del mismo. También calculará el monto de los salarios; establecerá programas de capacitación; atenderá las relaciones laborales en coordinación con la Dirección Jurídica y Consultiva; asimismo, llevará a cabo los procedimientos de adquisiciones de bienes y servicios; y en general, cumplirá con todas las atribuciones que le otorguen las disposiciones legales que regulen sus actividades.</w:t>
      </w:r>
    </w:p>
    <w:p w14:paraId="472FD3FF"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10E4B575" w14:textId="77777777" w:rsidR="001D78BA" w:rsidRDefault="000E0C9C">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 así que, se colige que el Sujeto Obligado cuenta con atribuciones, facultades y competencias para generar, administrar y poseer la información requerida, pues los servidores públicos pueden ostentar la categoría como generales y de confianza, además </w:t>
      </w:r>
      <w:r>
        <w:rPr>
          <w:rFonts w:ascii="Palatino Linotype" w:eastAsia="Palatino Linotype" w:hAnsi="Palatino Linotype" w:cs="Palatino Linotype"/>
          <w:color w:val="000000"/>
          <w:sz w:val="24"/>
          <w:szCs w:val="24"/>
        </w:rPr>
        <w:lastRenderedPageBreak/>
        <w:t xml:space="preserve">de ello, el Ayuntamiento de Ecatepec cuenta con una unidad administrativa cuyas funciones se relacionan con lo solicitado. </w:t>
      </w:r>
    </w:p>
    <w:p w14:paraId="3111F87C"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1976829E" w14:textId="77777777" w:rsidR="001D78BA" w:rsidRDefault="000E0C9C">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en atención a los agravios hechos valer por la parte Recurrente, en relación con la falta de respuesta a su solicitud de información, se tiene que la solicitud de información fue registrada en el Sistema de Acceso a la Información Mexiquense el </w:t>
      </w:r>
      <w:r>
        <w:rPr>
          <w:rFonts w:ascii="Palatino Linotype" w:eastAsia="Palatino Linotype" w:hAnsi="Palatino Linotype" w:cs="Palatino Linotype"/>
          <w:b/>
          <w:color w:val="000000"/>
          <w:sz w:val="24"/>
          <w:szCs w:val="24"/>
        </w:rPr>
        <w:t>dieciséis de mayo de dos mil veintitrés</w:t>
      </w:r>
      <w:r>
        <w:rPr>
          <w:rFonts w:ascii="Palatino Linotype" w:eastAsia="Palatino Linotype" w:hAnsi="Palatino Linotype" w:cs="Palatino Linotype"/>
          <w:color w:val="000000"/>
          <w:sz w:val="24"/>
          <w:szCs w:val="24"/>
        </w:rPr>
        <w:t xml:space="preserve">, por lo que, el Sujeto Obligado tenía hasta el </w:t>
      </w:r>
      <w:r>
        <w:rPr>
          <w:rFonts w:ascii="Palatino Linotype" w:eastAsia="Palatino Linotype" w:hAnsi="Palatino Linotype" w:cs="Palatino Linotype"/>
          <w:b/>
          <w:color w:val="000000"/>
          <w:sz w:val="24"/>
          <w:szCs w:val="24"/>
        </w:rPr>
        <w:t>seis de junio de dos mil veintitrés</w:t>
      </w:r>
      <w:r>
        <w:rPr>
          <w:rFonts w:ascii="Palatino Linotype" w:eastAsia="Palatino Linotype" w:hAnsi="Palatino Linotype" w:cs="Palatino Linotype"/>
          <w:color w:val="000000"/>
          <w:sz w:val="24"/>
          <w:szCs w:val="24"/>
        </w:rPr>
        <w:t xml:space="preserve"> para emitir respuesta o en caso, de haber solicitado una ampliación de plazo contaba hasta el </w:t>
      </w:r>
      <w:r>
        <w:rPr>
          <w:rFonts w:ascii="Palatino Linotype" w:eastAsia="Palatino Linotype" w:hAnsi="Palatino Linotype" w:cs="Palatino Linotype"/>
          <w:b/>
          <w:color w:val="000000"/>
          <w:sz w:val="24"/>
          <w:szCs w:val="24"/>
        </w:rPr>
        <w:t>quince de junio de dos mil veintitrés</w:t>
      </w:r>
      <w:r>
        <w:rPr>
          <w:rFonts w:ascii="Palatino Linotype" w:eastAsia="Palatino Linotype" w:hAnsi="Palatino Linotype" w:cs="Palatino Linotype"/>
          <w:color w:val="000000"/>
          <w:sz w:val="24"/>
          <w:szCs w:val="24"/>
        </w:rPr>
        <w:t xml:space="preserve">, tal como se aprecia a continuación: </w:t>
      </w:r>
    </w:p>
    <w:p w14:paraId="727DAB81"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5A297856" w14:textId="77777777" w:rsidR="001D78BA" w:rsidRDefault="000E0C9C">
      <w:pPr>
        <w:pBdr>
          <w:top w:val="nil"/>
          <w:left w:val="nil"/>
          <w:bottom w:val="nil"/>
          <w:right w:val="nil"/>
          <w:between w:val="nil"/>
        </w:pBdr>
        <w:spacing w:after="0" w:line="360" w:lineRule="auto"/>
        <w:ind w:right="-150"/>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14:anchorId="1EF00389" wp14:editId="78C455D7">
            <wp:extent cx="5005725" cy="2936067"/>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005725" cy="2936067"/>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1F1E065A" wp14:editId="5DE67E3D">
                <wp:simplePos x="0" y="0"/>
                <wp:positionH relativeFrom="column">
                  <wp:posOffset>406400</wp:posOffset>
                </wp:positionH>
                <wp:positionV relativeFrom="paragraph">
                  <wp:posOffset>1930400</wp:posOffset>
                </wp:positionV>
                <wp:extent cx="5095875" cy="1000125"/>
                <wp:effectExtent l="0" t="0" r="0" b="0"/>
                <wp:wrapNone/>
                <wp:docPr id="11" name="Rectángulo 11"/>
                <wp:cNvGraphicFramePr/>
                <a:graphic xmlns:a="http://schemas.openxmlformats.org/drawingml/2006/main">
                  <a:graphicData uri="http://schemas.microsoft.com/office/word/2010/wordprocessingShape">
                    <wps:wsp>
                      <wps:cNvSpPr/>
                      <wps:spPr>
                        <a:xfrm>
                          <a:off x="2817113" y="3298988"/>
                          <a:ext cx="5057775" cy="962025"/>
                        </a:xfrm>
                        <a:prstGeom prst="rect">
                          <a:avLst/>
                        </a:prstGeom>
                        <a:noFill/>
                        <a:ln w="38100" cap="flat" cmpd="sng">
                          <a:solidFill>
                            <a:srgbClr val="FF0000"/>
                          </a:solidFill>
                          <a:prstDash val="solid"/>
                          <a:miter lim="800000"/>
                          <a:headEnd type="none" w="sm" len="sm"/>
                          <a:tailEnd type="none" w="sm" len="sm"/>
                        </a:ln>
                      </wps:spPr>
                      <wps:txbx>
                        <w:txbxContent>
                          <w:p w14:paraId="11199B79" w14:textId="77777777" w:rsidR="001D78BA" w:rsidRDefault="001D78B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406400</wp:posOffset>
                </wp:positionH>
                <wp:positionV relativeFrom="paragraph">
                  <wp:posOffset>1930400</wp:posOffset>
                </wp:positionV>
                <wp:extent cx="5095875" cy="1000125"/>
                <wp:effectExtent b="0" l="0" r="0" t="0"/>
                <wp:wrapNone/>
                <wp:docPr id="1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095875" cy="1000125"/>
                        </a:xfrm>
                        <a:prstGeom prst="rect"/>
                        <a:ln/>
                      </pic:spPr>
                    </pic:pic>
                  </a:graphicData>
                </a:graphic>
              </wp:anchor>
            </w:drawing>
          </mc:Fallback>
        </mc:AlternateContent>
      </w:r>
    </w:p>
    <w:p w14:paraId="03FA5A7B"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366DCEFD" w14:textId="77777777" w:rsidR="001D78BA" w:rsidRDefault="000E0C9C">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No obstante, de las actuaciones que integran el expediente electrónico, en efecto, se observa que el Sujeto Obligado no emitió respuesta en el plazo establecido. </w:t>
      </w:r>
    </w:p>
    <w:p w14:paraId="2DAAA37E" w14:textId="77777777" w:rsidR="001D78BA" w:rsidRDefault="001D78BA">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064EDB9D" w14:textId="77777777" w:rsidR="001D78BA" w:rsidRDefault="000E0C9C">
      <w:pPr>
        <w:spacing w:after="0" w:line="360" w:lineRule="auto"/>
        <w:ind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ese sentido, se colige que los agravios hechos valer por la parte Recurrente devienen </w:t>
      </w:r>
      <w:r>
        <w:rPr>
          <w:rFonts w:ascii="Palatino Linotype" w:eastAsia="Palatino Linotype" w:hAnsi="Palatino Linotype" w:cs="Palatino Linotype"/>
          <w:b/>
          <w:sz w:val="24"/>
          <w:szCs w:val="24"/>
        </w:rPr>
        <w:t xml:space="preserve">FUNDADOS. </w:t>
      </w:r>
    </w:p>
    <w:p w14:paraId="1A4BCA6A"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68A0F6B5"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Posteriormente, el Sujeto Obligado, a través de la unidad administrativa competente, a </w:t>
      </w:r>
      <w:proofErr w:type="gramStart"/>
      <w:r>
        <w:rPr>
          <w:rFonts w:ascii="Palatino Linotype" w:eastAsia="Palatino Linotype" w:hAnsi="Palatino Linotype" w:cs="Palatino Linotype"/>
          <w:sz w:val="24"/>
          <w:szCs w:val="24"/>
        </w:rPr>
        <w:t>saber</w:t>
      </w:r>
      <w:proofErr w:type="gramEnd"/>
      <w:r>
        <w:rPr>
          <w:rFonts w:ascii="Palatino Linotype" w:eastAsia="Palatino Linotype" w:hAnsi="Palatino Linotype" w:cs="Palatino Linotype"/>
          <w:sz w:val="24"/>
          <w:szCs w:val="24"/>
        </w:rPr>
        <w:t xml:space="preserve"> la Dirección de Administración atendió los requerimientos hechos por la parte Recurrente, a través de su informe justificado, en virtud de que, proporcionó el número de servidores públicos tanto de confianza como sindicalizados que se encuentran adscritos a las sindicaturas y regidurías que conforman el Ayuntamiento, tal como se muestra:</w:t>
      </w:r>
    </w:p>
    <w:p w14:paraId="0225726C" w14:textId="77777777" w:rsidR="001D78BA" w:rsidRDefault="000E0C9C">
      <w:pP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14:anchorId="6E85D84D" wp14:editId="1FC802A0">
            <wp:extent cx="4387203" cy="3465237"/>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387203" cy="3465237"/>
                    </a:xfrm>
                    <a:prstGeom prst="rect">
                      <a:avLst/>
                    </a:prstGeom>
                    <a:ln/>
                  </pic:spPr>
                </pic:pic>
              </a:graphicData>
            </a:graphic>
          </wp:inline>
        </w:drawing>
      </w:r>
    </w:p>
    <w:p w14:paraId="71A34597"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1FB1A014" w14:textId="77777777" w:rsidR="001D78BA" w:rsidRDefault="000E0C9C">
      <w:pPr>
        <w:spacing w:after="0" w:line="360" w:lineRule="auto"/>
        <w:ind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 xml:space="preserve"> </w:t>
      </w:r>
      <w:r>
        <w:rPr>
          <w:rFonts w:ascii="Palatino Linotype" w:eastAsia="Palatino Linotype" w:hAnsi="Palatino Linotype" w:cs="Palatino Linotype"/>
          <w:sz w:val="24"/>
          <w:szCs w:val="24"/>
        </w:rPr>
        <w:t xml:space="preserve">Por lo anterior, este Organismo Garante colige que los requerimientos de la parte Recurrente fueron debidamente atendidos, mediante informe justificado, por lo que, </w:t>
      </w:r>
      <w:r>
        <w:rPr>
          <w:rFonts w:ascii="Palatino Linotype" w:eastAsia="Palatino Linotype" w:hAnsi="Palatino Linotype" w:cs="Palatino Linotype"/>
          <w:b/>
          <w:sz w:val="24"/>
          <w:szCs w:val="24"/>
        </w:rPr>
        <w:t xml:space="preserve">se tienen por colmados. </w:t>
      </w:r>
    </w:p>
    <w:p w14:paraId="7C56F129" w14:textId="77777777" w:rsidR="001D78BA" w:rsidRDefault="001D78BA">
      <w:pPr>
        <w:spacing w:after="0" w:line="360" w:lineRule="auto"/>
        <w:ind w:right="49"/>
        <w:jc w:val="both"/>
        <w:rPr>
          <w:rFonts w:ascii="Palatino Linotype" w:eastAsia="Palatino Linotype" w:hAnsi="Palatino Linotype" w:cs="Palatino Linotype"/>
          <w:b/>
          <w:sz w:val="24"/>
          <w:szCs w:val="24"/>
        </w:rPr>
      </w:pPr>
    </w:p>
    <w:p w14:paraId="2E6EA031"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650439A9"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6E24FBA2" w14:textId="77777777" w:rsidR="001D78BA" w:rsidRDefault="000E0C9C">
      <w:pPr>
        <w:spacing w:after="0" w:line="276" w:lineRule="auto"/>
        <w:ind w:left="567" w:right="84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El Instituto Federal de Acceso a la Información y Protección de Datos no cuenta con facultades para pronunciarse respecto de la veracidad de los documentos proporcionados por los sujetos obligados. </w:t>
      </w:r>
      <w:r>
        <w:rPr>
          <w:rFonts w:ascii="Palatino Linotype" w:eastAsia="Palatino Linotype" w:hAnsi="Palatino Linotype" w:cs="Palatino Linotype"/>
          <w:i/>
          <w:color w:val="00000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D65DA1"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09D2B2FF" w14:textId="77777777" w:rsidR="001D78BA" w:rsidRDefault="000E0C9C">
      <w:pPr>
        <w:spacing w:after="0" w:line="360" w:lineRule="auto"/>
        <w:ind w:right="49"/>
        <w:jc w:val="both"/>
        <w:rPr>
          <w:rFonts w:ascii="Palatino Linotype" w:eastAsia="Palatino Linotype" w:hAnsi="Palatino Linotype" w:cs="Palatino Linotype"/>
          <w:strike/>
          <w:color w:val="FF0000"/>
          <w:sz w:val="24"/>
          <w:szCs w:val="24"/>
        </w:rPr>
      </w:pPr>
      <w:r>
        <w:rPr>
          <w:rFonts w:ascii="Palatino Linotype" w:eastAsia="Palatino Linotype" w:hAnsi="Palatino Linotype" w:cs="Palatino Linotype"/>
          <w:sz w:val="24"/>
          <w:szCs w:val="24"/>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proporcionó el número de servidores públicos tanto de confianza como sindicalizados </w:t>
      </w:r>
      <w:r>
        <w:rPr>
          <w:rFonts w:ascii="Palatino Linotype" w:eastAsia="Palatino Linotype" w:hAnsi="Palatino Linotype" w:cs="Palatino Linotype"/>
          <w:sz w:val="24"/>
          <w:szCs w:val="24"/>
        </w:rPr>
        <w:lastRenderedPageBreak/>
        <w:t xml:space="preserve">que se encuentran adscritos a las sindicaturas y regidurías que conforman el Ayuntamiento, colmó el requerimiento de la parte Solicitante. </w:t>
      </w:r>
    </w:p>
    <w:p w14:paraId="73299B61" w14:textId="77777777" w:rsidR="001D78BA" w:rsidRDefault="001D78BA">
      <w:pPr>
        <w:spacing w:after="0" w:line="360" w:lineRule="auto"/>
        <w:ind w:right="49"/>
        <w:jc w:val="both"/>
        <w:rPr>
          <w:rFonts w:ascii="Palatino Linotype" w:eastAsia="Palatino Linotype" w:hAnsi="Palatino Linotype" w:cs="Palatino Linotype"/>
          <w:strike/>
          <w:color w:val="FF0000"/>
          <w:sz w:val="24"/>
          <w:szCs w:val="24"/>
        </w:rPr>
      </w:pPr>
    </w:p>
    <w:p w14:paraId="1E3AC1AA"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ello,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F24601D" w14:textId="77777777" w:rsidR="001D78BA" w:rsidRDefault="001D78BA">
      <w:pPr>
        <w:spacing w:after="0" w:line="360" w:lineRule="auto"/>
        <w:ind w:right="49"/>
        <w:jc w:val="both"/>
        <w:rPr>
          <w:rFonts w:ascii="Palatino Linotype" w:eastAsia="Palatino Linotype" w:hAnsi="Palatino Linotype" w:cs="Palatino Linotype"/>
        </w:rPr>
      </w:pPr>
    </w:p>
    <w:p w14:paraId="41880BB5" w14:textId="77777777" w:rsidR="001D78BA" w:rsidRDefault="000E0C9C">
      <w:pPr>
        <w:spacing w:after="0" w:line="360" w:lineRule="auto"/>
        <w:ind w:right="900" w:firstLine="567"/>
        <w:jc w:val="both"/>
      </w:pPr>
      <w:r>
        <w:rPr>
          <w:rFonts w:ascii="Palatino Linotype" w:eastAsia="Palatino Linotype" w:hAnsi="Palatino Linotype" w:cs="Palatino Linotype"/>
        </w:rPr>
        <w:t>a) Cuando el sujeto obligado modifique el acto impugnado y;</w:t>
      </w:r>
    </w:p>
    <w:p w14:paraId="1B35EA0F" w14:textId="77777777" w:rsidR="001D78BA" w:rsidRDefault="000E0C9C">
      <w:pPr>
        <w:spacing w:after="0" w:line="360" w:lineRule="auto"/>
        <w:ind w:right="900" w:firstLine="567"/>
        <w:jc w:val="both"/>
      </w:pPr>
      <w:r>
        <w:rPr>
          <w:rFonts w:ascii="Palatino Linotype" w:eastAsia="Palatino Linotype" w:hAnsi="Palatino Linotype" w:cs="Palatino Linotype"/>
        </w:rPr>
        <w:t>b) Cuando el sujeto obligado revoque el acto impugnado.</w:t>
      </w:r>
    </w:p>
    <w:p w14:paraId="7E6109FA" w14:textId="77777777" w:rsidR="001D78BA" w:rsidRDefault="001D78BA">
      <w:pPr>
        <w:spacing w:after="0" w:line="360" w:lineRule="auto"/>
        <w:jc w:val="both"/>
        <w:rPr>
          <w:rFonts w:ascii="Palatino Linotype" w:eastAsia="Palatino Linotype" w:hAnsi="Palatino Linotype" w:cs="Palatino Linotype"/>
          <w:sz w:val="24"/>
          <w:szCs w:val="24"/>
        </w:rPr>
      </w:pPr>
    </w:p>
    <w:p w14:paraId="6BC8B56D"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Quedando en ambos casos el acto combatido sin materia o sin efectos.</w:t>
      </w:r>
    </w:p>
    <w:p w14:paraId="0DE50F4F" w14:textId="77777777" w:rsidR="001D78BA" w:rsidRDefault="001D78BA">
      <w:pPr>
        <w:spacing w:after="0" w:line="360" w:lineRule="auto"/>
        <w:jc w:val="both"/>
        <w:rPr>
          <w:sz w:val="24"/>
          <w:szCs w:val="24"/>
        </w:rPr>
      </w:pPr>
    </w:p>
    <w:p w14:paraId="27891527"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observa de lo anterior, un acto impugnado es </w:t>
      </w:r>
      <w:r>
        <w:rPr>
          <w:rFonts w:ascii="Palatino Linotype" w:eastAsia="Palatino Linotype" w:hAnsi="Palatino Linotype" w:cs="Palatino Linotype"/>
          <w:b/>
          <w:sz w:val="24"/>
          <w:szCs w:val="24"/>
        </w:rPr>
        <w:t>modificado</w:t>
      </w:r>
      <w:r>
        <w:rPr>
          <w:rFonts w:ascii="Palatino Linotype" w:eastAsia="Palatino Linotype" w:hAnsi="Palatino Linotype" w:cs="Palatino Linotype"/>
          <w:sz w:val="24"/>
          <w:szCs w:val="24"/>
        </w:rPr>
        <w:t xml:space="preserve"> en aquellos casos en los que el sujeto obligado </w:t>
      </w:r>
      <w:r>
        <w:rPr>
          <w:rFonts w:ascii="Palatino Linotype" w:eastAsia="Palatino Linotype" w:hAnsi="Palatino Linotype" w:cs="Palatino Linotype"/>
          <w:b/>
          <w:sz w:val="24"/>
          <w:szCs w:val="24"/>
          <w:u w:val="single"/>
        </w:rPr>
        <w:t>subsana las deficiencias que hubiera tenido en primer momento</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quedando satisfecho el derecho subjetivo accionado por la parte recurrente. </w:t>
      </w:r>
    </w:p>
    <w:p w14:paraId="50FD4FA2" w14:textId="77777777" w:rsidR="001D78BA" w:rsidRDefault="001D78BA">
      <w:pPr>
        <w:spacing w:after="0" w:line="360" w:lineRule="auto"/>
        <w:jc w:val="both"/>
        <w:rPr>
          <w:rFonts w:ascii="Palatino Linotype" w:eastAsia="Palatino Linotype" w:hAnsi="Palatino Linotype" w:cs="Palatino Linotype"/>
          <w:sz w:val="24"/>
          <w:szCs w:val="24"/>
        </w:rPr>
      </w:pPr>
    </w:p>
    <w:p w14:paraId="20E4EB38"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hace a la</w:t>
      </w:r>
      <w:r>
        <w:rPr>
          <w:rFonts w:ascii="Palatino Linotype" w:eastAsia="Palatino Linotype" w:hAnsi="Palatino Linotype" w:cs="Palatino Linotype"/>
          <w:b/>
          <w:sz w:val="24"/>
          <w:szCs w:val="24"/>
        </w:rPr>
        <w:t xml:space="preserve"> revocación</w:t>
      </w:r>
      <w:r>
        <w:rPr>
          <w:rFonts w:ascii="Palatino Linotype" w:eastAsia="Palatino Linotype" w:hAnsi="Palatino Linotype" w:cs="Palatino Linotype"/>
          <w:sz w:val="24"/>
          <w:szCs w:val="24"/>
        </w:rPr>
        <w:t>, esta se actualiza cuando 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14:paraId="0920965E" w14:textId="77777777" w:rsidR="001D78BA" w:rsidRDefault="001D78BA">
      <w:pPr>
        <w:spacing w:after="0" w:line="360" w:lineRule="auto"/>
        <w:jc w:val="both"/>
        <w:rPr>
          <w:rFonts w:ascii="Palatino Linotype" w:eastAsia="Palatino Linotype" w:hAnsi="Palatino Linotype" w:cs="Palatino Linotype"/>
          <w:sz w:val="24"/>
          <w:szCs w:val="24"/>
        </w:rPr>
      </w:pPr>
    </w:p>
    <w:p w14:paraId="42355184"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tenor, un acto impugnado queda sin efectos, cuando aun existiendo jurídicamente ya no genera ninguna consecuencia legal.</w:t>
      </w:r>
    </w:p>
    <w:p w14:paraId="128505BB" w14:textId="77777777" w:rsidR="001D78BA" w:rsidRDefault="001D78BA">
      <w:pPr>
        <w:spacing w:after="0" w:line="360" w:lineRule="auto"/>
        <w:jc w:val="both"/>
        <w:rPr>
          <w:rFonts w:ascii="Palatino Linotype" w:eastAsia="Palatino Linotype" w:hAnsi="Palatino Linotype" w:cs="Palatino Linotype"/>
          <w:sz w:val="24"/>
          <w:szCs w:val="24"/>
        </w:rPr>
      </w:pPr>
    </w:p>
    <w:p w14:paraId="14398312"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tanto, en el presente caso toda vez que el Sujeto Obligado mediante informe justificado, a través de su unidad administrativa competente, proporcionó el número de servidores públicos tanto de confianza como sindicalizados que se encuentran adscritos a las sindicaturas y regidurías que conforman el Ayuntamiento; dejó sin materia el presente recurso de revisión, actualizándose entonces la causal prevista en la fracción III del artículo 192 de la Ley de la Materia vigente en la Entidad. </w:t>
      </w:r>
    </w:p>
    <w:p w14:paraId="7D65FC7D"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4C943508" w14:textId="77777777" w:rsidR="001D78BA" w:rsidRDefault="000E0C9C">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CC343DA" w14:textId="77777777" w:rsidR="001D78BA" w:rsidRDefault="001D78BA">
      <w:pPr>
        <w:spacing w:after="0" w:line="360" w:lineRule="auto"/>
        <w:ind w:right="49"/>
        <w:jc w:val="both"/>
        <w:rPr>
          <w:rFonts w:ascii="Palatino Linotype" w:eastAsia="Palatino Linotype" w:hAnsi="Palatino Linotype" w:cs="Palatino Linotype"/>
          <w:sz w:val="24"/>
          <w:szCs w:val="24"/>
        </w:rPr>
      </w:pPr>
    </w:p>
    <w:p w14:paraId="1A0EFB22" w14:textId="77777777" w:rsidR="001D78BA" w:rsidRDefault="000E0C9C">
      <w:pPr>
        <w:numPr>
          <w:ilvl w:val="0"/>
          <w:numId w:val="5"/>
        </w:numPr>
        <w:pBdr>
          <w:top w:val="nil"/>
          <w:left w:val="nil"/>
          <w:bottom w:val="nil"/>
          <w:right w:val="nil"/>
          <w:between w:val="nil"/>
        </w:pBdr>
        <w:spacing w:after="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BC5016C" w14:textId="77777777" w:rsidR="001D78BA" w:rsidRDefault="001D78BA">
      <w:pPr>
        <w:pBdr>
          <w:top w:val="nil"/>
          <w:left w:val="nil"/>
          <w:bottom w:val="nil"/>
          <w:right w:val="nil"/>
          <w:between w:val="nil"/>
        </w:pBdr>
        <w:spacing w:after="0" w:line="360" w:lineRule="auto"/>
        <w:ind w:left="1080"/>
        <w:rPr>
          <w:rFonts w:ascii="Palatino Linotype" w:eastAsia="Palatino Linotype" w:hAnsi="Palatino Linotype" w:cs="Palatino Linotype"/>
          <w:b/>
          <w:color w:val="000000"/>
          <w:sz w:val="24"/>
          <w:szCs w:val="24"/>
        </w:rPr>
      </w:pPr>
    </w:p>
    <w:p w14:paraId="5FD45D4E" w14:textId="77777777" w:rsidR="001D78BA" w:rsidRDefault="000E0C9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 xml:space="preserve">SOBRESEE </w:t>
      </w:r>
      <w:r>
        <w:rPr>
          <w:rFonts w:ascii="Palatino Linotype" w:eastAsia="Palatino Linotype" w:hAnsi="Palatino Linotype" w:cs="Palatino Linotype"/>
          <w:sz w:val="24"/>
          <w:szCs w:val="24"/>
        </w:rPr>
        <w:t>el recurso de revisión número</w:t>
      </w:r>
      <w:r>
        <w:rPr>
          <w:rFonts w:ascii="Palatino Linotype" w:eastAsia="Palatino Linotype" w:hAnsi="Palatino Linotype" w:cs="Palatino Linotype"/>
          <w:b/>
          <w:sz w:val="24"/>
          <w:szCs w:val="24"/>
        </w:rPr>
        <w:t xml:space="preserve"> 03819/INFOEM/IP/RR/2023</w:t>
      </w:r>
      <w:r>
        <w:rPr>
          <w:rFonts w:ascii="Palatino Linotype" w:eastAsia="Palatino Linotype" w:hAnsi="Palatino Linotype" w:cs="Palatino Linotype"/>
          <w:sz w:val="24"/>
          <w:szCs w:val="24"/>
        </w:rPr>
        <w:t xml:space="preserve">, porque al colmar la pretensión de la parte Recurrente mediante informe justificado, el medio de impugnación quedó sin materia, de conformidad con lo dispuesto en la fracción III del artículo 192 de la Ley de Transparencia de la Entidad, en términos del </w:t>
      </w:r>
      <w:r>
        <w:rPr>
          <w:rFonts w:ascii="Palatino Linotype" w:eastAsia="Palatino Linotype" w:hAnsi="Palatino Linotype" w:cs="Palatino Linotype"/>
          <w:b/>
          <w:sz w:val="24"/>
          <w:szCs w:val="24"/>
        </w:rPr>
        <w:t>Considerando Tercero</w:t>
      </w:r>
      <w:r>
        <w:rPr>
          <w:rFonts w:ascii="Palatino Linotype" w:eastAsia="Palatino Linotype" w:hAnsi="Palatino Linotype" w:cs="Palatino Linotype"/>
          <w:sz w:val="24"/>
          <w:szCs w:val="24"/>
        </w:rPr>
        <w:t xml:space="preserve"> de la presente resolución.</w:t>
      </w:r>
    </w:p>
    <w:p w14:paraId="710C67B4" w14:textId="77777777" w:rsidR="001D78BA" w:rsidRDefault="001D78BA">
      <w:pPr>
        <w:spacing w:after="0" w:line="360" w:lineRule="auto"/>
        <w:jc w:val="both"/>
        <w:rPr>
          <w:rFonts w:ascii="Palatino Linotype" w:eastAsia="Palatino Linotype" w:hAnsi="Palatino Linotype" w:cs="Palatino Linotype"/>
          <w:sz w:val="24"/>
          <w:szCs w:val="24"/>
        </w:rPr>
      </w:pPr>
    </w:p>
    <w:p w14:paraId="03F35397" w14:textId="77777777" w:rsidR="001D78BA" w:rsidRDefault="000E0C9C">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 xml:space="preserve">SEGUNDO. Notifíquese </w:t>
      </w:r>
      <w:r>
        <w:rPr>
          <w:rFonts w:ascii="Palatino Linotype" w:eastAsia="Palatino Linotype" w:hAnsi="Palatino Linotype" w:cs="Palatino Linotype"/>
          <w:sz w:val="24"/>
          <w:szCs w:val="24"/>
        </w:rPr>
        <w:t xml:space="preserve">a través del Sistema de Acceso a la Información Mexiquense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la presente resolución a la Titular de la Unidad de Transparencia del</w:t>
      </w:r>
      <w:r>
        <w:rPr>
          <w:rFonts w:ascii="Palatino Linotype" w:eastAsia="Palatino Linotype" w:hAnsi="Palatino Linotype" w:cs="Palatino Linotype"/>
          <w:b/>
          <w:sz w:val="24"/>
          <w:szCs w:val="24"/>
        </w:rPr>
        <w:t xml:space="preserve"> SUJETO OBLIGADO. </w:t>
      </w:r>
    </w:p>
    <w:p w14:paraId="28DA6A40" w14:textId="77777777" w:rsidR="001D78BA" w:rsidRDefault="001D78BA">
      <w:pPr>
        <w:spacing w:after="0" w:line="360" w:lineRule="auto"/>
        <w:jc w:val="both"/>
        <w:rPr>
          <w:rFonts w:ascii="Palatino Linotype" w:eastAsia="Palatino Linotype" w:hAnsi="Palatino Linotype" w:cs="Palatino Linotype"/>
          <w:b/>
          <w:sz w:val="24"/>
          <w:szCs w:val="24"/>
        </w:rPr>
      </w:pPr>
    </w:p>
    <w:p w14:paraId="5E2ADB09" w14:textId="77777777" w:rsidR="001D78BA" w:rsidRDefault="000E0C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4"/>
          <w:szCs w:val="24"/>
        </w:rPr>
        <w:t xml:space="preserve">TERCERO. Notifíquese a través </w:t>
      </w:r>
      <w:r>
        <w:rPr>
          <w:rFonts w:ascii="Palatino Linotype" w:eastAsia="Palatino Linotype" w:hAnsi="Palatino Linotype" w:cs="Palatino Linotype"/>
          <w:sz w:val="24"/>
          <w:szCs w:val="24"/>
        </w:rPr>
        <w:t>del Sistema de Acceso a la Información Mexiquense</w:t>
      </w:r>
      <w:r>
        <w:rPr>
          <w:rFonts w:ascii="Palatino Linotype" w:eastAsia="Palatino Linotype" w:hAnsi="Palatino Linotype" w:cs="Palatino Linotype"/>
          <w:color w:val="980000"/>
          <w:sz w:val="24"/>
          <w:szCs w:val="24"/>
        </w:rPr>
        <w:t xml:space="preserve"> </w:t>
      </w:r>
      <w:r>
        <w:rPr>
          <w:rFonts w:ascii="Palatino Linotype" w:eastAsia="Palatino Linotype" w:hAnsi="Palatino Linotype" w:cs="Palatino Linotype"/>
          <w:sz w:val="24"/>
          <w:szCs w:val="24"/>
        </w:rPr>
        <w:t xml:space="preserve">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r>
        <w:rPr>
          <w:rFonts w:ascii="Palatino Linotype" w:eastAsia="Palatino Linotype" w:hAnsi="Palatino Linotype" w:cs="Palatino Linotype"/>
        </w:rPr>
        <w:t>.</w:t>
      </w:r>
    </w:p>
    <w:p w14:paraId="2D21D48B" w14:textId="77777777" w:rsidR="001D78BA" w:rsidRDefault="001D78BA">
      <w:pPr>
        <w:spacing w:line="360" w:lineRule="auto"/>
        <w:jc w:val="both"/>
        <w:rPr>
          <w:rFonts w:ascii="Palatino Linotype" w:eastAsia="Palatino Linotype" w:hAnsi="Palatino Linotype" w:cs="Palatino Linotype"/>
        </w:rPr>
      </w:pPr>
    </w:p>
    <w:p w14:paraId="05E39E09" w14:textId="77777777" w:rsidR="001D78BA" w:rsidRDefault="000E0C9C">
      <w:pPr>
        <w:spacing w:after="0" w:line="360" w:lineRule="auto"/>
        <w:ind w:right="-93"/>
        <w:jc w:val="both"/>
        <w:rPr>
          <w:rFonts w:ascii="Palatino Linotype" w:eastAsia="Palatino Linotype" w:hAnsi="Palatino Linotype" w:cs="Palatino Linotype"/>
          <w:sz w:val="24"/>
          <w:szCs w:val="24"/>
        </w:rPr>
      </w:pPr>
      <w:bookmarkStart w:id="2" w:name="_heading=h.2et92p0" w:colFirst="0" w:colLast="0"/>
      <w:bookmarkEnd w:id="2"/>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52588">
        <w:rPr>
          <w:rFonts w:ascii="Palatino Linotype" w:eastAsia="Palatino Linotype" w:hAnsi="Palatino Linotype" w:cs="Palatino Linotype"/>
          <w:sz w:val="24"/>
          <w:szCs w:val="24"/>
        </w:rPr>
        <w:t xml:space="preserve"> AUSENCIA JUSTIFICADA,</w:t>
      </w:r>
      <w:r>
        <w:rPr>
          <w:rFonts w:ascii="Palatino Linotype" w:eastAsia="Palatino Linotype" w:hAnsi="Palatino Linotype" w:cs="Palatino Linotype"/>
          <w:sz w:val="24"/>
          <w:szCs w:val="24"/>
        </w:rPr>
        <w:t xml:space="preserve"> LUIS GUSTAVO PARRA NORIEGA Y GUADALUPE RAMÍREZ PEÑA; EN LA TRIGÉSIMA SÉPTIMA SESIÓN ORDINARIA CELEBRADA EL DOCE DE OCTUBRE DE DOS MIL VEINTITRÉS, ANTE EL SECRETARIO TÉCNICO DEL PLENO ALEXIS TAPIA RAMÍREZ.</w:t>
      </w:r>
    </w:p>
    <w:p w14:paraId="083261F7"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0FE4F808"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5E0C0054"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0D7583EA"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705262F9"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23ABE8CA"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150E4A74"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604AF90A"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3740D79D"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4D9C79DA"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06FB758B"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77D904B3"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5B963180"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2BF5D9B0"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11ACF4C8"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333746D8"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6AA58A0F"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6BAE4720"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17EB8320"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411216B3"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6DFDB414" w14:textId="77777777" w:rsidR="00552588" w:rsidRDefault="00552588">
      <w:pPr>
        <w:spacing w:after="0" w:line="360" w:lineRule="auto"/>
        <w:ind w:right="-93"/>
        <w:jc w:val="both"/>
        <w:rPr>
          <w:rFonts w:ascii="Palatino Linotype" w:eastAsia="Palatino Linotype" w:hAnsi="Palatino Linotype" w:cs="Palatino Linotype"/>
          <w:sz w:val="24"/>
          <w:szCs w:val="24"/>
        </w:rPr>
      </w:pPr>
    </w:p>
    <w:p w14:paraId="38F2686A" w14:textId="77777777" w:rsidR="00552588" w:rsidRDefault="00552588">
      <w:pPr>
        <w:spacing w:after="0" w:line="360" w:lineRule="auto"/>
        <w:ind w:right="-93"/>
        <w:jc w:val="both"/>
        <w:rPr>
          <w:rFonts w:ascii="Palatino Linotype" w:eastAsia="Palatino Linotype" w:hAnsi="Palatino Linotype" w:cs="Palatino Linotype"/>
          <w:sz w:val="24"/>
          <w:szCs w:val="24"/>
        </w:rPr>
      </w:pPr>
    </w:p>
    <w:sectPr w:rsidR="00552588">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B6D79" w14:textId="77777777" w:rsidR="00376447" w:rsidRDefault="00376447">
      <w:pPr>
        <w:spacing w:after="0" w:line="240" w:lineRule="auto"/>
      </w:pPr>
      <w:r>
        <w:separator/>
      </w:r>
    </w:p>
  </w:endnote>
  <w:endnote w:type="continuationSeparator" w:id="0">
    <w:p w14:paraId="36F70BCB" w14:textId="77777777" w:rsidR="00376447" w:rsidRDefault="003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6FEF" w14:textId="77777777" w:rsidR="001D78BA" w:rsidRDefault="000E0C9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2623">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2623">
      <w:rPr>
        <w:b/>
        <w:noProof/>
        <w:color w:val="000000"/>
        <w:sz w:val="24"/>
        <w:szCs w:val="24"/>
      </w:rPr>
      <w:t>23</w:t>
    </w:r>
    <w:r>
      <w:rPr>
        <w:b/>
        <w:color w:val="000000"/>
        <w:sz w:val="24"/>
        <w:szCs w:val="24"/>
      </w:rPr>
      <w:fldChar w:fldCharType="end"/>
    </w:r>
  </w:p>
  <w:p w14:paraId="6EF7EF0D" w14:textId="77777777" w:rsidR="001D78BA" w:rsidRDefault="001D78B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A5F2" w14:textId="77777777" w:rsidR="001D78BA" w:rsidRDefault="000E0C9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262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2623">
      <w:rPr>
        <w:b/>
        <w:noProof/>
        <w:color w:val="000000"/>
        <w:sz w:val="24"/>
        <w:szCs w:val="24"/>
      </w:rPr>
      <w:t>23</w:t>
    </w:r>
    <w:r>
      <w:rPr>
        <w:b/>
        <w:color w:val="000000"/>
        <w:sz w:val="24"/>
        <w:szCs w:val="24"/>
      </w:rPr>
      <w:fldChar w:fldCharType="end"/>
    </w:r>
  </w:p>
  <w:p w14:paraId="36371460" w14:textId="77777777" w:rsidR="001D78BA" w:rsidRDefault="001D78B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8951" w14:textId="77777777" w:rsidR="00376447" w:rsidRDefault="00376447">
      <w:pPr>
        <w:spacing w:after="0" w:line="240" w:lineRule="auto"/>
      </w:pPr>
      <w:r>
        <w:separator/>
      </w:r>
    </w:p>
  </w:footnote>
  <w:footnote w:type="continuationSeparator" w:id="0">
    <w:p w14:paraId="1FEFB997" w14:textId="77777777" w:rsidR="00376447" w:rsidRDefault="003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AD2C" w14:textId="77777777" w:rsidR="001D78BA" w:rsidRDefault="000E0C9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1535CC95" wp14:editId="4BF619F0">
          <wp:simplePos x="0" y="0"/>
          <wp:positionH relativeFrom="column">
            <wp:posOffset>-746122</wp:posOffset>
          </wp:positionH>
          <wp:positionV relativeFrom="paragraph">
            <wp:posOffset>-448307</wp:posOffset>
          </wp:positionV>
          <wp:extent cx="7809876" cy="10165823"/>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1D78BA" w14:paraId="0B8BE2C0" w14:textId="77777777">
      <w:tc>
        <w:tcPr>
          <w:tcW w:w="2551" w:type="dxa"/>
          <w:vAlign w:val="center"/>
        </w:tcPr>
        <w:p w14:paraId="32CB32B3"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864BBF8"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03819/INFOEM/IP/RR/2023</w:t>
          </w:r>
        </w:p>
      </w:tc>
    </w:tr>
    <w:tr w:rsidR="001D78BA" w14:paraId="0C4D0679" w14:textId="77777777">
      <w:trPr>
        <w:trHeight w:val="228"/>
      </w:trPr>
      <w:tc>
        <w:tcPr>
          <w:tcW w:w="2551" w:type="dxa"/>
          <w:vAlign w:val="center"/>
        </w:tcPr>
        <w:p w14:paraId="1086A86F"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8F86525" w14:textId="77777777" w:rsidR="001D78BA" w:rsidRDefault="000E0C9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Ecatepec de Morelos</w:t>
          </w:r>
        </w:p>
      </w:tc>
    </w:tr>
    <w:tr w:rsidR="001D78BA" w14:paraId="5288D039" w14:textId="77777777">
      <w:tc>
        <w:tcPr>
          <w:tcW w:w="2551" w:type="dxa"/>
          <w:vAlign w:val="center"/>
        </w:tcPr>
        <w:p w14:paraId="01FE151F"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B7CEC7B"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5A90B9D" w14:textId="77777777" w:rsidR="001D78BA" w:rsidRDefault="001D78B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90C0" w14:textId="77777777" w:rsidR="001D78BA" w:rsidRDefault="000E0C9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B4DF3AA" wp14:editId="388994AE">
          <wp:simplePos x="0" y="0"/>
          <wp:positionH relativeFrom="column">
            <wp:posOffset>-713102</wp:posOffset>
          </wp:positionH>
          <wp:positionV relativeFrom="paragraph">
            <wp:posOffset>-364487</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1D78BA" w14:paraId="282DFCD6" w14:textId="77777777">
      <w:tc>
        <w:tcPr>
          <w:tcW w:w="2551" w:type="dxa"/>
          <w:vAlign w:val="center"/>
        </w:tcPr>
        <w:p w14:paraId="4731C840"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BDC296C"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03819/INFOEM/IP/RR/2023</w:t>
          </w:r>
        </w:p>
      </w:tc>
    </w:tr>
    <w:tr w:rsidR="001D78BA" w14:paraId="287471EB" w14:textId="77777777">
      <w:tc>
        <w:tcPr>
          <w:tcW w:w="2551" w:type="dxa"/>
          <w:vAlign w:val="center"/>
        </w:tcPr>
        <w:p w14:paraId="0749671A"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2604FD41" w14:textId="77777777" w:rsidR="001D78BA" w:rsidRDefault="001D78BA">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p>
      </w:tc>
    </w:tr>
    <w:tr w:rsidR="001D78BA" w14:paraId="29BCA3D1" w14:textId="77777777">
      <w:trPr>
        <w:trHeight w:val="228"/>
      </w:trPr>
      <w:tc>
        <w:tcPr>
          <w:tcW w:w="2551" w:type="dxa"/>
          <w:vAlign w:val="center"/>
        </w:tcPr>
        <w:p w14:paraId="16430CE8"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552CD2A" w14:textId="77777777" w:rsidR="001D78BA" w:rsidRDefault="001D78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4959687" w14:textId="77777777" w:rsidR="001D78BA" w:rsidRDefault="000E0C9C">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Ecatepec de Mor</w:t>
          </w:r>
          <w:r>
            <w:rPr>
              <w:rFonts w:ascii="Palatino Linotype" w:eastAsia="Palatino Linotype" w:hAnsi="Palatino Linotype" w:cs="Palatino Linotype"/>
              <w:b/>
            </w:rPr>
            <w:t>elos</w:t>
          </w:r>
        </w:p>
      </w:tc>
    </w:tr>
    <w:tr w:rsidR="001D78BA" w14:paraId="7987E1BA" w14:textId="77777777">
      <w:tc>
        <w:tcPr>
          <w:tcW w:w="2551" w:type="dxa"/>
          <w:vAlign w:val="center"/>
        </w:tcPr>
        <w:p w14:paraId="44E55C9F"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E1F157B" w14:textId="77777777" w:rsidR="001D78BA" w:rsidRDefault="000E0C9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CEB98CD" w14:textId="77777777" w:rsidR="001D78BA" w:rsidRDefault="000E0C9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C8F"/>
    <w:multiLevelType w:val="multilevel"/>
    <w:tmpl w:val="2AE85110"/>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43D61"/>
    <w:multiLevelType w:val="multilevel"/>
    <w:tmpl w:val="EF1A6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826139"/>
    <w:multiLevelType w:val="multilevel"/>
    <w:tmpl w:val="03B451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A7005F"/>
    <w:multiLevelType w:val="multilevel"/>
    <w:tmpl w:val="EAA8E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E15329"/>
    <w:multiLevelType w:val="multilevel"/>
    <w:tmpl w:val="2794D2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BA"/>
    <w:rsid w:val="000E0C9C"/>
    <w:rsid w:val="001D78BA"/>
    <w:rsid w:val="00376447"/>
    <w:rsid w:val="00505DB8"/>
    <w:rsid w:val="00552588"/>
    <w:rsid w:val="00A85C84"/>
    <w:rsid w:val="00E926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CB0A"/>
  <w15:docId w15:val="{7E9815E1-6DD9-4B51-88DE-2EA8A060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4A78AA"/>
    <w:rPr>
      <w:color w:val="605E5C"/>
      <w:shd w:val="clear" w:color="auto" w:fill="E1DFDD"/>
    </w:rPr>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30TbUs0XOldLQk407uyyk3mLEw==">CgMxLjAyCWguMzBqMHpsbDIJaC4xZm9iOXRlMgloLjJldDkycDA4AHIhMUtxSkhBVWptU1laU1FrQXI2OFoyeUM1SC1FTDkzMFdJ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4611</Words>
  <Characters>25361</Characters>
  <Application>Microsoft Office Word</Application>
  <DocSecurity>4</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2023-10-16T18:12:00Z</cp:lastPrinted>
  <dcterms:created xsi:type="dcterms:W3CDTF">2023-10-27T20:18:00Z</dcterms:created>
  <dcterms:modified xsi:type="dcterms:W3CDTF">2023-10-27T20:18:00Z</dcterms:modified>
</cp:coreProperties>
</file>