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A617" w14:textId="77777777" w:rsidR="00FF35B6"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3702259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w:t>
      </w:r>
      <w:r w:rsidR="000D2E93">
        <w:rPr>
          <w:rFonts w:eastAsia="Palatino Linotype" w:cs="Palatino Linotype"/>
          <w:color w:val="000000"/>
          <w:szCs w:val="24"/>
        </w:rPr>
        <w:t xml:space="preserve">a </w:t>
      </w:r>
      <w:r w:rsidR="0025417E">
        <w:rPr>
          <w:rFonts w:eastAsia="Palatino Linotype" w:cs="Palatino Linotype"/>
          <w:color w:val="000000"/>
          <w:szCs w:val="24"/>
        </w:rPr>
        <w:t>veintinueve</w:t>
      </w:r>
      <w:r w:rsidR="00837E77">
        <w:rPr>
          <w:rFonts w:eastAsia="Palatino Linotype" w:cs="Palatino Linotype"/>
          <w:color w:val="000000"/>
          <w:szCs w:val="24"/>
        </w:rPr>
        <w:t xml:space="preserve"> de marzo</w:t>
      </w:r>
      <w:r w:rsidR="006C7E69">
        <w:rPr>
          <w:rFonts w:eastAsia="Palatino Linotype" w:cs="Palatino Linotype"/>
          <w:color w:val="000000"/>
          <w:szCs w:val="24"/>
        </w:rPr>
        <w:t xml:space="preserve"> de dos mil veintitrés</w:t>
      </w:r>
      <w:r w:rsidR="001C1BF4">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1D0D9BD7" w14:textId="4F00A08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165CA1">
        <w:rPr>
          <w:rFonts w:eastAsia="Palatino Linotype" w:cs="Palatino Linotype"/>
          <w:b/>
          <w:color w:val="000000"/>
          <w:szCs w:val="24"/>
        </w:rPr>
        <w:t>1</w:t>
      </w:r>
      <w:r w:rsidR="0025417E">
        <w:rPr>
          <w:rFonts w:eastAsia="Palatino Linotype" w:cs="Palatino Linotype"/>
          <w:b/>
          <w:color w:val="000000"/>
          <w:szCs w:val="24"/>
        </w:rPr>
        <w:t>6965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430C63">
        <w:rPr>
          <w:rFonts w:eastAsia="Palatino Linotype" w:cs="Palatino Linotype"/>
          <w:color w:val="000000"/>
          <w:szCs w:val="24"/>
        </w:rPr>
        <w:t xml:space="preserve">r </w:t>
      </w:r>
      <w:r w:rsidR="0025417E">
        <w:rPr>
          <w:rFonts w:eastAsia="Palatino Linotype" w:cs="Palatino Linotype"/>
          <w:b/>
          <w:bCs/>
          <w:color w:val="000000"/>
          <w:szCs w:val="24"/>
        </w:rPr>
        <w:t>una persona de manera anónima</w:t>
      </w:r>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w:t>
      </w:r>
      <w:r w:rsidR="00165CA1">
        <w:rPr>
          <w:rFonts w:eastAsia="Palatino Linotype" w:cs="Palatino Linotype"/>
          <w:color w:val="000000"/>
          <w:szCs w:val="24"/>
        </w:rPr>
        <w:t>e</w:t>
      </w:r>
      <w:r w:rsidR="0025417E">
        <w:rPr>
          <w:rFonts w:eastAsia="Palatino Linotype" w:cs="Palatino Linotype"/>
          <w:color w:val="000000"/>
          <w:szCs w:val="24"/>
        </w:rPr>
        <w:t xml:space="preserve"> </w:t>
      </w:r>
      <w:r w:rsidR="00FF35B6">
        <w:rPr>
          <w:rFonts w:eastAsia="Palatino Linotype" w:cs="Palatino Linotype"/>
          <w:color w:val="000000"/>
          <w:szCs w:val="24"/>
        </w:rPr>
        <w:t>l</w:t>
      </w:r>
      <w:r w:rsidR="0025417E">
        <w:rPr>
          <w:rFonts w:eastAsia="Palatino Linotype" w:cs="Palatino Linotype"/>
          <w:color w:val="000000"/>
          <w:szCs w:val="24"/>
        </w:rPr>
        <w:t>a</w:t>
      </w:r>
      <w:r w:rsidRPr="006922F5">
        <w:rPr>
          <w:rFonts w:eastAsia="Palatino Linotype" w:cs="Palatino Linotype"/>
          <w:color w:val="000000"/>
          <w:szCs w:val="24"/>
        </w:rPr>
        <w:t xml:space="preserve"> </w:t>
      </w:r>
      <w:r w:rsidR="0025417E">
        <w:rPr>
          <w:rFonts w:eastAsia="Palatino Linotype" w:cs="Palatino Linotype"/>
          <w:b/>
          <w:color w:val="000000"/>
          <w:szCs w:val="24"/>
        </w:rPr>
        <w:t>Secretaría de Finanzas</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1E95456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FF35B6">
        <w:rPr>
          <w:rFonts w:eastAsia="Palatino Linotype" w:cs="Palatino Linotype"/>
          <w:color w:val="000000"/>
          <w:szCs w:val="24"/>
        </w:rPr>
        <w:t xml:space="preserve">primero de </w:t>
      </w:r>
      <w:r w:rsidR="0025417E">
        <w:rPr>
          <w:rFonts w:eastAsia="Palatino Linotype" w:cs="Palatino Linotype"/>
          <w:color w:val="000000"/>
          <w:szCs w:val="24"/>
        </w:rPr>
        <w:t xml:space="preserve">noviembre </w:t>
      </w:r>
      <w:r w:rsidR="0051074E" w:rsidRPr="006922F5">
        <w:rPr>
          <w:rFonts w:eastAsia="Palatino Linotype" w:cs="Palatino Linotype"/>
          <w:color w:val="000000"/>
          <w:szCs w:val="24"/>
        </w:rPr>
        <w:t>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25417E" w:rsidRPr="0025417E">
        <w:rPr>
          <w:rFonts w:eastAsia="Palatino Linotype" w:cs="Palatino Linotype"/>
          <w:b/>
          <w:bCs/>
          <w:color w:val="000000"/>
          <w:szCs w:val="24"/>
        </w:rPr>
        <w:t>00500/SF/IP/2022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5B42531D" w:rsidR="00A970D5" w:rsidRPr="006922F5" w:rsidRDefault="00A970D5" w:rsidP="006922F5">
      <w:pPr>
        <w:pStyle w:val="Fundamentos"/>
      </w:pPr>
      <w:r w:rsidRPr="006922F5">
        <w:t>“</w:t>
      </w:r>
      <w:r w:rsidR="0025417E" w:rsidRPr="0025417E">
        <w:t xml:space="preserve">de acuerdo a la gubernatura, esta dependencia cuenta con la siguiente información que se le solicita: información de los gastos por concepto de viáticos del gobernador, Alfredo del Mazo Maza para asistir a Roma, e ir al Vaticano donde se reunió con varias personalidades, entre ellas el Cardenal Pietro </w:t>
      </w:r>
      <w:proofErr w:type="spellStart"/>
      <w:r w:rsidR="0025417E" w:rsidRPr="0025417E">
        <w:t>Parolin</w:t>
      </w:r>
      <w:proofErr w:type="spellEnd"/>
      <w:r w:rsidR="0025417E" w:rsidRPr="0025417E">
        <w:t>, Secretario de Estado del Vaticano, al respecto también le solicito lo siguiente: reporte de gastos; personas que lo acompañaron, de su familia y de su equipo de trabajo; evidencia de la compra de los boletos de avión de los que asistieron; evidencia de los gastos en hospedaje; evidencia de los gastos por concepto de alimentación y transporte; agenda de trabajo e itinerario del viaje; otros lugares visitados; sobre otros gastos.</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lastRenderedPageBreak/>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474DB373" w14:textId="77777777" w:rsidR="00430C63" w:rsidRDefault="00430C63" w:rsidP="006922F5">
      <w:pPr>
        <w:pBdr>
          <w:top w:val="nil"/>
          <w:left w:val="nil"/>
          <w:bottom w:val="nil"/>
          <w:right w:val="nil"/>
          <w:between w:val="nil"/>
        </w:pBdr>
        <w:contextualSpacing/>
        <w:rPr>
          <w:rFonts w:eastAsia="Palatino Linotype" w:cs="Palatino Linotype"/>
          <w:color w:val="000000"/>
          <w:szCs w:val="24"/>
        </w:rPr>
      </w:pPr>
    </w:p>
    <w:p w14:paraId="1A7B55DB" w14:textId="78C0B9FF" w:rsidR="0025417E" w:rsidRPr="0025417E" w:rsidRDefault="0025417E"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 la solicitud de información se anexó el documento denominado </w:t>
      </w:r>
      <w:r w:rsidRPr="0025417E">
        <w:rPr>
          <w:rFonts w:eastAsia="Palatino Linotype" w:cs="Palatino Linotype"/>
          <w:b/>
          <w:color w:val="000000"/>
          <w:szCs w:val="24"/>
        </w:rPr>
        <w:t>“0235 respuesta (1).</w:t>
      </w:r>
      <w:proofErr w:type="spellStart"/>
      <w:r w:rsidRPr="0025417E">
        <w:rPr>
          <w:rFonts w:eastAsia="Palatino Linotype" w:cs="Palatino Linotype"/>
          <w:b/>
          <w:color w:val="000000"/>
          <w:szCs w:val="24"/>
        </w:rPr>
        <w:t>pdf</w:t>
      </w:r>
      <w:proofErr w:type="spellEnd"/>
      <w:r w:rsidRPr="0025417E">
        <w:rPr>
          <w:rFonts w:eastAsia="Palatino Linotype" w:cs="Palatino Linotype"/>
          <w:b/>
          <w:color w:val="000000"/>
          <w:szCs w:val="24"/>
        </w:rPr>
        <w:t>”</w:t>
      </w:r>
      <w:r>
        <w:rPr>
          <w:rFonts w:eastAsia="Palatino Linotype" w:cs="Palatino Linotype"/>
          <w:color w:val="000000"/>
          <w:szCs w:val="24"/>
        </w:rPr>
        <w:t xml:space="preserve">, que consiste en el oficio número UTG/00272/2022, suscrito por el Titular de la Unidad de Transparencia de la Gubernatura del Estado de México, mediante el cual se dio respuesta a la solicitud 00235/GUBERNA/IP/2022 en el sentido de declararse incompetente y orientó al Recurrente a dirigir su solicitud a la Secretaría de Finanzas, la cual </w:t>
      </w:r>
      <w:r>
        <w:rPr>
          <w:rFonts w:eastAsia="Palatino Linotype" w:cs="Palatino Linotype"/>
          <w:b/>
          <w:color w:val="000000"/>
          <w:szCs w:val="24"/>
        </w:rPr>
        <w:t>posiblemente cuente con la información requerida</w:t>
      </w:r>
      <w:r>
        <w:rPr>
          <w:rFonts w:eastAsia="Palatino Linotype" w:cs="Palatino Linotype"/>
          <w:color w:val="000000"/>
          <w:szCs w:val="24"/>
        </w:rPr>
        <w:t>.</w:t>
      </w:r>
    </w:p>
    <w:p w14:paraId="08996FA1" w14:textId="77777777" w:rsidR="0025417E" w:rsidRPr="00EE3066" w:rsidRDefault="0025417E"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6922F5" w:rsidRDefault="00EE3066"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54BDC7B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E7513F">
        <w:rPr>
          <w:rFonts w:eastAsia="Palatino Linotype" w:cs="Palatino Linotype"/>
          <w:color w:val="000000"/>
          <w:szCs w:val="24"/>
        </w:rPr>
        <w:t>veinticuatro de noviembre</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8B6054F" w14:textId="77777777" w:rsidR="00E7513F" w:rsidRDefault="00A970D5" w:rsidP="00E7513F">
      <w:pPr>
        <w:pStyle w:val="Fundamentos"/>
      </w:pPr>
      <w:r w:rsidRPr="0037112D">
        <w:t>“</w:t>
      </w:r>
      <w:r w:rsidR="00E7513F">
        <w:t>En respuesta a la solicitud recibida, nos permitimos hacer de su conocimiento que con fundamento en el artículo 53, Fracciones: II, V y VI de la Ley de Transparencia y Acceso a la Información Pública del Estado de México y Municipios, le contestamos que:</w:t>
      </w:r>
    </w:p>
    <w:p w14:paraId="0A4A7935" w14:textId="77777777" w:rsidR="00E7513F" w:rsidRDefault="00E7513F" w:rsidP="00E7513F">
      <w:pPr>
        <w:pStyle w:val="Fundamentos"/>
      </w:pPr>
    </w:p>
    <w:p w14:paraId="3FE4A9EF" w14:textId="44C56B95" w:rsidR="00A970D5" w:rsidRPr="00E7513F" w:rsidRDefault="00E7513F" w:rsidP="00E7513F">
      <w:pPr>
        <w:pStyle w:val="Fundamentos"/>
      </w:pPr>
      <w:r>
        <w:t>Sobre el particular, sírvase encontrar en archivo adjunto copia del oficio de notificación número 20700004S/UT-2029/2022 mediante el cual se detalla lo referente a su solicitud. Asimismo, se hace de su conocimiento que el Comité de Transparencia mediante Acuerdo CT-2022-0121 ha tenido a bien confirmar la clasificación como información confidencial de los datos personales que obran en los documentos señalados.</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6F444B78"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E7513F">
        <w:rPr>
          <w:rFonts w:eastAsia="Palatino Linotype" w:cs="Palatino Linotype"/>
          <w:color w:val="000000"/>
          <w:szCs w:val="24"/>
        </w:rPr>
        <w:t>adjuntó a su respuesta los</w:t>
      </w:r>
      <w:r w:rsidR="00165CA1">
        <w:rPr>
          <w:rFonts w:eastAsia="Palatino Linotype" w:cs="Palatino Linotype"/>
          <w:color w:val="000000"/>
          <w:szCs w:val="24"/>
        </w:rPr>
        <w:t xml:space="preserve"> documento</w:t>
      </w:r>
      <w:r w:rsidR="00E7513F">
        <w:rPr>
          <w:rFonts w:eastAsia="Palatino Linotype" w:cs="Palatino Linotype"/>
          <w:color w:val="000000"/>
          <w:szCs w:val="24"/>
        </w:rPr>
        <w:t>s</w:t>
      </w:r>
      <w:r w:rsidR="00165CA1">
        <w:rPr>
          <w:rFonts w:eastAsia="Palatino Linotype" w:cs="Palatino Linotype"/>
          <w:color w:val="000000"/>
          <w:szCs w:val="24"/>
        </w:rPr>
        <w:t xml:space="preserve"> denominado</w:t>
      </w:r>
      <w:r w:rsidR="00E7513F">
        <w:rPr>
          <w:rFonts w:eastAsia="Palatino Linotype" w:cs="Palatino Linotype"/>
          <w:color w:val="000000"/>
          <w:szCs w:val="24"/>
        </w:rPr>
        <w:t>s</w:t>
      </w:r>
      <w:r>
        <w:rPr>
          <w:rFonts w:eastAsia="Palatino Linotype" w:cs="Palatino Linotype"/>
          <w:color w:val="000000"/>
          <w:szCs w:val="24"/>
        </w:rPr>
        <w:t xml:space="preserve"> </w:t>
      </w:r>
      <w:r>
        <w:rPr>
          <w:rFonts w:eastAsia="Palatino Linotype" w:cs="Palatino Linotype"/>
          <w:b/>
          <w:bCs/>
          <w:color w:val="000000"/>
          <w:szCs w:val="24"/>
        </w:rPr>
        <w:t>“</w:t>
      </w:r>
      <w:r w:rsidR="00E7513F">
        <w:rPr>
          <w:rFonts w:eastAsia="Palatino Linotype" w:cs="Palatino Linotype"/>
          <w:b/>
          <w:bCs/>
          <w:color w:val="000000"/>
          <w:szCs w:val="24"/>
        </w:rPr>
        <w:t>UIPPE 500.pdf”</w:t>
      </w:r>
      <w:r w:rsidR="00E7513F" w:rsidRPr="00E7513F">
        <w:rPr>
          <w:rFonts w:eastAsia="Palatino Linotype" w:cs="Palatino Linotype"/>
          <w:bCs/>
          <w:color w:val="000000"/>
          <w:szCs w:val="24"/>
        </w:rPr>
        <w:t xml:space="preserve"> y</w:t>
      </w:r>
      <w:r w:rsidR="00E7513F">
        <w:rPr>
          <w:rFonts w:eastAsia="Palatino Linotype" w:cs="Palatino Linotype"/>
          <w:b/>
          <w:bCs/>
          <w:color w:val="000000"/>
          <w:szCs w:val="24"/>
        </w:rPr>
        <w:t xml:space="preserve"> “500 UAAG</w:t>
      </w:r>
      <w:r>
        <w:rPr>
          <w:rFonts w:eastAsia="Palatino Linotype" w:cs="Palatino Linotype"/>
          <w:b/>
          <w:bCs/>
          <w:color w:val="000000"/>
          <w:szCs w:val="24"/>
        </w:rPr>
        <w:t>.pdf”</w:t>
      </w:r>
      <w:r>
        <w:rPr>
          <w:rFonts w:eastAsia="Palatino Linotype" w:cs="Palatino Linotype"/>
          <w:color w:val="000000"/>
          <w:szCs w:val="24"/>
        </w:rPr>
        <w:t xml:space="preserve">, </w:t>
      </w:r>
      <w:r w:rsidR="00E7513F">
        <w:rPr>
          <w:rFonts w:eastAsia="Palatino Linotype" w:cs="Palatino Linotype"/>
          <w:color w:val="000000"/>
          <w:szCs w:val="24"/>
        </w:rPr>
        <w:t>cuyo contenido</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w:t>
      </w:r>
      <w:r w:rsidR="00E7513F">
        <w:rPr>
          <w:rFonts w:eastAsia="Palatino Linotype" w:cs="Palatino Linotype"/>
          <w:color w:val="000000"/>
          <w:szCs w:val="24"/>
        </w:rPr>
        <w:t xml:space="preserve"> de las partes; no obstante,</w:t>
      </w:r>
      <w:r w:rsidR="009B321A">
        <w:rPr>
          <w:rFonts w:eastAsia="Palatino Linotype" w:cs="Palatino Linotype"/>
          <w:color w:val="000000"/>
          <w:szCs w:val="24"/>
        </w:rPr>
        <w:t xml:space="preserve">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6922F5" w:rsidRDefault="00EE306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34E7530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E7513F">
        <w:rPr>
          <w:rFonts w:eastAsia="Palatino Linotype" w:cs="Palatino Linotype"/>
          <w:color w:val="000000"/>
          <w:szCs w:val="24"/>
        </w:rPr>
        <w:t>veintiocho de noviembre</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165CA1">
        <w:rPr>
          <w:rFonts w:eastAsia="Palatino Linotype" w:cs="Palatino Linotype"/>
          <w:b/>
          <w:color w:val="000000"/>
          <w:szCs w:val="24"/>
        </w:rPr>
        <w:t>1</w:t>
      </w:r>
      <w:r w:rsidR="00E7513F">
        <w:rPr>
          <w:rFonts w:eastAsia="Palatino Linotype" w:cs="Palatino Linotype"/>
          <w:b/>
          <w:color w:val="000000"/>
          <w:szCs w:val="24"/>
        </w:rPr>
        <w:t>6965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C1594CB" w:rsidR="00A970D5" w:rsidRPr="006922F5" w:rsidRDefault="00A970D5" w:rsidP="006922F5">
      <w:pPr>
        <w:pStyle w:val="Fundamentos"/>
        <w:rPr>
          <w:b/>
        </w:rPr>
      </w:pPr>
      <w:r w:rsidRPr="006922F5">
        <w:t>“</w:t>
      </w:r>
      <w:r w:rsidR="00E7513F" w:rsidRPr="00E7513F">
        <w:t>No entregó la información solicitada</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6541B533" w:rsidR="00A970D5" w:rsidRPr="006922F5" w:rsidRDefault="00A970D5" w:rsidP="006922F5">
      <w:pPr>
        <w:pStyle w:val="Fundamentos"/>
      </w:pPr>
      <w:r w:rsidRPr="006922F5">
        <w:t>“</w:t>
      </w:r>
      <w:r w:rsidR="00E7513F" w:rsidRPr="00E7513F">
        <w:t>de acuerdo a la gubernatura, esta dependencia cuenta con la siguiente información que se solicitó; sin embargo, no se otorgó evidencia sobre los gastos por concepto de viáticos del gobernador, Alfredo del Mazo Maza durante su visita, tampoco se dio información sobre personas que lo acompañaron, de su familia y de su equipo de trabajo; evidencia de la compra de los boletos de avión de los que asistieron; evidencia de los gastos en hospedaje; evidencia de los gastos por concepto de alimentación y transporte. De acuerdo a la ley en la materia, la dependencia debe otorgar la información que se genera, en caso de no contar con ella dirigir al usuario al área correspondiente o declarar la inexistencia de la misma, pero no transparentó la información solicitada ni cumplió con ninguna de las anteriores especificaciones que marca la Ley.</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6922F5" w:rsidRDefault="007B3F26"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0A78CAD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E7513F">
        <w:rPr>
          <w:rFonts w:eastAsia="Palatino Linotype" w:cs="Palatino Linotype"/>
          <w:color w:val="000000"/>
          <w:szCs w:val="24"/>
        </w:rPr>
        <w:t>dos</w:t>
      </w:r>
      <w:r w:rsidR="008B507B">
        <w:rPr>
          <w:rFonts w:eastAsia="Palatino Linotype" w:cs="Palatino Linotype"/>
          <w:color w:val="000000"/>
          <w:szCs w:val="24"/>
        </w:rPr>
        <w:t xml:space="preserve"> de diciembre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 xml:space="preserve">de dos mil </w:t>
      </w:r>
      <w:r w:rsidR="00285A94" w:rsidRPr="006922F5">
        <w:rPr>
          <w:rFonts w:eastAsia="Palatino Linotype" w:cs="Palatino Linotype"/>
          <w:color w:val="000000"/>
          <w:szCs w:val="24"/>
        </w:rPr>
        <w:lastRenderedPageBreak/>
        <w:t>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6922F5" w:rsidRDefault="007B3F26"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66AE3ACB" w14:textId="6FD1ECAC" w:rsidR="00E7513F" w:rsidRPr="009849E0" w:rsidRDefault="00E7513F" w:rsidP="00E7513F">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abierta la etapa de instrucción, se observa</w:t>
      </w:r>
      <w:r w:rsidRPr="000719E4">
        <w:rPr>
          <w:rFonts w:eastAsia="Palatino Linotype" w:cs="Palatino Linotype"/>
          <w:color w:val="000000"/>
          <w:szCs w:val="24"/>
        </w:rPr>
        <w:t xml:space="preserve"> </w:t>
      </w:r>
      <w:r w:rsidRPr="006F65AC">
        <w:rPr>
          <w:rFonts w:eastAsia="Palatino Linotype" w:cs="Palatino Linotype"/>
          <w:color w:val="000000"/>
          <w:szCs w:val="24"/>
        </w:rPr>
        <w:t xml:space="preserve">que en fecha </w:t>
      </w:r>
      <w:r>
        <w:rPr>
          <w:rFonts w:eastAsia="Palatino Linotype" w:cs="Palatino Linotype"/>
          <w:color w:val="000000"/>
          <w:szCs w:val="24"/>
        </w:rPr>
        <w:t xml:space="preserve">doce de diciembre </w:t>
      </w:r>
      <w:r w:rsidRPr="006F65AC">
        <w:rPr>
          <w:rFonts w:eastAsia="Palatino Linotype" w:cs="Palatino Linotype"/>
          <w:color w:val="000000"/>
          <w:szCs w:val="24"/>
        </w:rPr>
        <w:t>de dos mil veintidós</w:t>
      </w:r>
      <w:r>
        <w:rPr>
          <w:rFonts w:eastAsia="Palatino Linotype" w:cs="Palatino Linotype"/>
          <w:color w:val="000000"/>
          <w:szCs w:val="24"/>
        </w:rPr>
        <w:t xml:space="preserve"> y tres de marzo de dos mil veintitrés</w:t>
      </w:r>
      <w:r w:rsidRPr="006F65AC">
        <w:rPr>
          <w:rFonts w:eastAsia="Palatino Linotype" w:cs="Palatino Linotype"/>
          <w:color w:val="000000"/>
          <w:szCs w:val="24"/>
        </w:rPr>
        <w:t>, el Sujeto Obligado rindió su Informe Justificado, consistente en</w:t>
      </w:r>
      <w:r w:rsidRPr="000719E4">
        <w:rPr>
          <w:rFonts w:eastAsia="Palatino Linotype" w:cs="Palatino Linotype"/>
          <w:color w:val="000000"/>
          <w:szCs w:val="24"/>
        </w:rPr>
        <w:t xml:space="preserve"> </w:t>
      </w:r>
      <w:r>
        <w:rPr>
          <w:rFonts w:eastAsia="Palatino Linotype" w:cs="Palatino Linotype"/>
          <w:color w:val="000000"/>
          <w:szCs w:val="24"/>
        </w:rPr>
        <w:t>los</w:t>
      </w:r>
      <w:r w:rsidRPr="000719E4">
        <w:rPr>
          <w:rFonts w:eastAsia="Palatino Linotype" w:cs="Palatino Linotype"/>
          <w:color w:val="000000"/>
          <w:szCs w:val="24"/>
        </w:rPr>
        <w:t xml:space="preserve"> </w:t>
      </w:r>
      <w:r w:rsidRPr="006F65AC">
        <w:rPr>
          <w:rFonts w:eastAsia="Palatino Linotype" w:cs="Palatino Linotype"/>
          <w:color w:val="000000"/>
          <w:szCs w:val="24"/>
        </w:rPr>
        <w:t>documento</w:t>
      </w:r>
      <w:r>
        <w:rPr>
          <w:rFonts w:eastAsia="Palatino Linotype" w:cs="Palatino Linotype"/>
          <w:color w:val="000000"/>
          <w:szCs w:val="24"/>
        </w:rPr>
        <w:t>s</w:t>
      </w:r>
      <w:r w:rsidRPr="006F65AC">
        <w:rPr>
          <w:rFonts w:eastAsia="Palatino Linotype" w:cs="Palatino Linotype"/>
          <w:color w:val="000000"/>
          <w:szCs w:val="24"/>
        </w:rPr>
        <w:t xml:space="preserve"> denominado</w:t>
      </w:r>
      <w:r>
        <w:rPr>
          <w:rFonts w:eastAsia="Palatino Linotype" w:cs="Palatino Linotype"/>
          <w:color w:val="000000"/>
          <w:szCs w:val="24"/>
        </w:rPr>
        <w:t xml:space="preserve">s </w:t>
      </w:r>
      <w:r w:rsidRPr="002806D1">
        <w:rPr>
          <w:rFonts w:eastAsia="Palatino Linotype" w:cs="Palatino Linotype"/>
          <w:b/>
          <w:color w:val="000000"/>
          <w:szCs w:val="24"/>
        </w:rPr>
        <w:t>“</w:t>
      </w:r>
      <w:r>
        <w:rPr>
          <w:rFonts w:eastAsia="Palatino Linotype" w:cs="Palatino Linotype"/>
          <w:b/>
          <w:color w:val="000000"/>
          <w:szCs w:val="24"/>
        </w:rPr>
        <w:t>Informe Justificado RR 16965-2022</w:t>
      </w:r>
      <w:r w:rsidRPr="002806D1">
        <w:rPr>
          <w:rFonts w:eastAsia="Palatino Linotype" w:cs="Palatino Linotype"/>
          <w:b/>
          <w:color w:val="000000"/>
          <w:szCs w:val="24"/>
        </w:rPr>
        <w:t>.pdf”</w:t>
      </w:r>
      <w:r>
        <w:rPr>
          <w:rFonts w:eastAsia="Palatino Linotype" w:cs="Palatino Linotype"/>
          <w:color w:val="000000"/>
          <w:szCs w:val="24"/>
        </w:rPr>
        <w:t>,</w:t>
      </w:r>
      <w:r w:rsidRPr="002806D1">
        <w:rPr>
          <w:rFonts w:eastAsia="Palatino Linotype" w:cs="Palatino Linotype"/>
          <w:b/>
          <w:color w:val="000000"/>
          <w:szCs w:val="24"/>
        </w:rPr>
        <w:t xml:space="preserve"> “</w:t>
      </w:r>
      <w:r w:rsidR="000447C3">
        <w:rPr>
          <w:rFonts w:eastAsia="Palatino Linotype" w:cs="Palatino Linotype"/>
          <w:b/>
          <w:color w:val="000000"/>
          <w:szCs w:val="24"/>
        </w:rPr>
        <w:t>16965RR-500 UAAG</w:t>
      </w:r>
      <w:r w:rsidRPr="002806D1">
        <w:rPr>
          <w:rFonts w:eastAsia="Palatino Linotype" w:cs="Palatino Linotype"/>
          <w:b/>
          <w:color w:val="000000"/>
          <w:szCs w:val="24"/>
        </w:rPr>
        <w:t>.pdf”</w:t>
      </w:r>
      <w:r>
        <w:rPr>
          <w:rFonts w:eastAsia="Palatino Linotype" w:cs="Palatino Linotype"/>
          <w:color w:val="000000"/>
          <w:szCs w:val="24"/>
        </w:rPr>
        <w:t>,</w:t>
      </w:r>
      <w:r w:rsidRPr="002806D1">
        <w:rPr>
          <w:rFonts w:eastAsia="Palatino Linotype" w:cs="Palatino Linotype"/>
          <w:b/>
          <w:color w:val="000000"/>
          <w:szCs w:val="24"/>
        </w:rPr>
        <w:t xml:space="preserve"> “</w:t>
      </w:r>
      <w:r w:rsidR="000447C3">
        <w:rPr>
          <w:rFonts w:eastAsia="Palatino Linotype" w:cs="Palatino Linotype"/>
          <w:b/>
          <w:color w:val="000000"/>
          <w:szCs w:val="24"/>
        </w:rPr>
        <w:t>CT-2022-0121</w:t>
      </w:r>
      <w:r w:rsidRPr="002806D1">
        <w:rPr>
          <w:rFonts w:eastAsia="Palatino Linotype" w:cs="Palatino Linotype"/>
          <w:b/>
          <w:color w:val="000000"/>
          <w:szCs w:val="24"/>
        </w:rPr>
        <w:t>.pdf”</w:t>
      </w:r>
      <w:r>
        <w:rPr>
          <w:rFonts w:eastAsia="Palatino Linotype" w:cs="Palatino Linotype"/>
          <w:color w:val="000000"/>
          <w:szCs w:val="24"/>
        </w:rPr>
        <w:t xml:space="preserve"> y</w:t>
      </w:r>
      <w:r w:rsidRPr="000719E4">
        <w:rPr>
          <w:rFonts w:eastAsia="Palatino Linotype" w:cs="Palatino Linotype"/>
          <w:color w:val="000000"/>
          <w:szCs w:val="24"/>
        </w:rPr>
        <w:t xml:space="preserve"> </w:t>
      </w:r>
      <w:r w:rsidRPr="006F65AC">
        <w:rPr>
          <w:rFonts w:eastAsia="Palatino Linotype" w:cs="Palatino Linotype"/>
          <w:b/>
          <w:bCs/>
          <w:color w:val="000000"/>
          <w:szCs w:val="24"/>
        </w:rPr>
        <w:t>“</w:t>
      </w:r>
      <w:r w:rsidR="000447C3">
        <w:rPr>
          <w:rFonts w:eastAsia="Palatino Linotype" w:cs="Palatino Linotype"/>
          <w:b/>
          <w:bCs/>
          <w:color w:val="000000"/>
          <w:szCs w:val="24"/>
        </w:rPr>
        <w:t>RR 16965-2022</w:t>
      </w:r>
      <w:r>
        <w:rPr>
          <w:rFonts w:eastAsia="Palatino Linotype" w:cs="Palatino Linotype"/>
          <w:b/>
          <w:bCs/>
          <w:color w:val="000000"/>
          <w:szCs w:val="24"/>
        </w:rPr>
        <w:t>.pdf</w:t>
      </w:r>
      <w:r w:rsidRPr="006F65AC">
        <w:rPr>
          <w:rFonts w:eastAsia="Palatino Linotype" w:cs="Palatino Linotype"/>
          <w:b/>
          <w:bCs/>
          <w:color w:val="000000"/>
          <w:szCs w:val="24"/>
        </w:rPr>
        <w:t>”</w:t>
      </w:r>
      <w:r>
        <w:rPr>
          <w:rFonts w:eastAsia="Palatino Linotype" w:cs="Palatino Linotype"/>
          <w:color w:val="000000"/>
          <w:szCs w:val="24"/>
        </w:rPr>
        <w:t>, los cuales</w:t>
      </w:r>
      <w:r w:rsidRPr="000719E4">
        <w:rPr>
          <w:rFonts w:eastAsia="Palatino Linotype" w:cs="Palatino Linotype"/>
          <w:color w:val="000000"/>
          <w:szCs w:val="24"/>
        </w:rPr>
        <w:t xml:space="preserve"> </w:t>
      </w:r>
      <w:r w:rsidRPr="006F65AC">
        <w:rPr>
          <w:rFonts w:eastAsia="Palatino Linotype" w:cs="Palatino Linotype"/>
          <w:color w:val="000000"/>
          <w:szCs w:val="24"/>
        </w:rPr>
        <w:t>fue</w:t>
      </w:r>
      <w:r>
        <w:rPr>
          <w:rFonts w:eastAsia="Palatino Linotype" w:cs="Palatino Linotype"/>
          <w:color w:val="000000"/>
          <w:szCs w:val="24"/>
        </w:rPr>
        <w:t>ron</w:t>
      </w:r>
      <w:r w:rsidRPr="006F65AC">
        <w:rPr>
          <w:rFonts w:eastAsia="Palatino Linotype" w:cs="Palatino Linotype"/>
          <w:color w:val="000000"/>
          <w:szCs w:val="24"/>
        </w:rPr>
        <w:t xml:space="preserve"> puesto</w:t>
      </w:r>
      <w:r>
        <w:rPr>
          <w:rFonts w:eastAsia="Palatino Linotype" w:cs="Palatino Linotype"/>
          <w:color w:val="000000"/>
          <w:szCs w:val="24"/>
        </w:rPr>
        <w:t>s</w:t>
      </w:r>
      <w:r w:rsidRPr="006F65AC">
        <w:rPr>
          <w:rFonts w:eastAsia="Palatino Linotype" w:cs="Palatino Linotype"/>
          <w:color w:val="000000"/>
          <w:szCs w:val="24"/>
        </w:rPr>
        <w:t xml:space="preserve"> a la vista del</w:t>
      </w:r>
      <w:r w:rsidRPr="000719E4">
        <w:rPr>
          <w:rFonts w:eastAsia="Palatino Linotype" w:cs="Palatino Linotype"/>
          <w:color w:val="000000"/>
          <w:szCs w:val="24"/>
        </w:rPr>
        <w:t xml:space="preserve"> </w:t>
      </w:r>
      <w:r w:rsidRPr="006F65AC">
        <w:rPr>
          <w:rFonts w:eastAsia="Palatino Linotype" w:cs="Palatino Linotype"/>
          <w:color w:val="000000"/>
          <w:szCs w:val="24"/>
        </w:rPr>
        <w:t>Recurrente mediante acuerdo de fecha</w:t>
      </w:r>
      <w:r w:rsidRPr="000719E4">
        <w:rPr>
          <w:rFonts w:eastAsia="Palatino Linotype" w:cs="Palatino Linotype"/>
          <w:color w:val="000000"/>
          <w:szCs w:val="24"/>
        </w:rPr>
        <w:t xml:space="preserve"> </w:t>
      </w:r>
      <w:r>
        <w:rPr>
          <w:rFonts w:eastAsia="Palatino Linotype" w:cs="Palatino Linotype"/>
          <w:color w:val="000000"/>
          <w:szCs w:val="24"/>
        </w:rPr>
        <w:t xml:space="preserve">dieciséis de diciembre de dos mil </w:t>
      </w:r>
      <w:r w:rsidRPr="00BD05DD">
        <w:rPr>
          <w:rFonts w:eastAsia="Palatino Linotype" w:cs="Palatino Linotype"/>
          <w:color w:val="000000"/>
          <w:szCs w:val="24"/>
        </w:rPr>
        <w:t>veintidós</w:t>
      </w:r>
      <w:r w:rsidR="000447C3" w:rsidRPr="00BD05DD">
        <w:rPr>
          <w:rFonts w:eastAsia="Palatino Linotype" w:cs="Palatino Linotype"/>
          <w:color w:val="000000"/>
          <w:szCs w:val="24"/>
        </w:rPr>
        <w:t xml:space="preserve"> y </w:t>
      </w:r>
      <w:r w:rsidR="00E802ED" w:rsidRPr="00BD05DD">
        <w:rPr>
          <w:rFonts w:eastAsia="Palatino Linotype" w:cs="Palatino Linotype"/>
          <w:color w:val="000000"/>
          <w:szCs w:val="24"/>
        </w:rPr>
        <w:t>veintitrés</w:t>
      </w:r>
      <w:r w:rsidR="000447C3" w:rsidRPr="00BD05DD">
        <w:rPr>
          <w:rFonts w:eastAsia="Palatino Linotype" w:cs="Palatino Linotype"/>
          <w:color w:val="000000"/>
          <w:szCs w:val="24"/>
        </w:rPr>
        <w:t xml:space="preserve"> de marzo de dos mil veintitrés</w:t>
      </w:r>
      <w:r w:rsidRPr="00BD05DD">
        <w:rPr>
          <w:rFonts w:eastAsia="Palatino Linotype" w:cs="Palatino Linotype"/>
          <w:color w:val="000000"/>
          <w:szCs w:val="24"/>
        </w:rPr>
        <w:t>, en términos</w:t>
      </w:r>
      <w:r w:rsidRPr="006F65AC">
        <w:rPr>
          <w:rFonts w:eastAsia="Palatino Linotype" w:cs="Palatino Linotype"/>
          <w:color w:val="000000"/>
          <w:szCs w:val="24"/>
        </w:rPr>
        <w:t xml:space="preserve"> de la fracción III del artículo 185 de la Ley de Transparencia y Acceso a la Información Pública del Estado de México y Municipios, otorgando al</w:t>
      </w:r>
      <w:r w:rsidRPr="000719E4">
        <w:rPr>
          <w:rFonts w:eastAsia="Palatino Linotype" w:cs="Palatino Linotype"/>
          <w:color w:val="000000"/>
          <w:szCs w:val="24"/>
        </w:rPr>
        <w:t xml:space="preserve"> </w:t>
      </w:r>
      <w:r w:rsidRPr="006F65AC">
        <w:rPr>
          <w:rFonts w:eastAsia="Palatino Linotype" w:cs="Palatino Linotype"/>
          <w:color w:val="000000"/>
          <w:szCs w:val="24"/>
        </w:rPr>
        <w:t>particular un término de tres días para manifestar lo que a</w:t>
      </w:r>
      <w:r>
        <w:rPr>
          <w:rFonts w:eastAsia="Palatino Linotype" w:cs="Palatino Linotype"/>
          <w:color w:val="000000"/>
          <w:szCs w:val="24"/>
        </w:rPr>
        <w:t xml:space="preserve"> su derecho conviniera. Por su</w:t>
      </w:r>
      <w:r w:rsidRPr="006F65AC">
        <w:rPr>
          <w:rFonts w:eastAsia="Palatino Linotype" w:cs="Palatino Linotype"/>
          <w:color w:val="000000"/>
          <w:szCs w:val="24"/>
        </w:rPr>
        <w:t xml:space="preserve"> parte, </w:t>
      </w:r>
      <w:r>
        <w:rPr>
          <w:rFonts w:eastAsia="Palatino Linotype" w:cs="Palatino Linotype"/>
          <w:color w:val="000000"/>
          <w:szCs w:val="24"/>
        </w:rPr>
        <w:t>el Recurrente no realizó manifestaciones, vertió alegatos ni presentó pruebas que a su derecho convinieran. El contenido de ambos documentos será analizado en el estudio correspondiente.</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28663B7C" w:rsidR="00A914F3" w:rsidRPr="006922F5" w:rsidRDefault="000447C3" w:rsidP="006922F5">
      <w:pPr>
        <w:pStyle w:val="Ttulo2"/>
        <w:rPr>
          <w:rFonts w:eastAsiaTheme="minorHAnsi"/>
          <w:lang w:eastAsia="en-US"/>
        </w:rPr>
      </w:pPr>
      <w:r>
        <w:rPr>
          <w:rFonts w:eastAsiaTheme="minorHAnsi"/>
          <w:lang w:eastAsia="en-US"/>
        </w:rPr>
        <w:t>SEXT</w:t>
      </w:r>
      <w:r w:rsidR="007B3F26">
        <w:rPr>
          <w:rFonts w:eastAsiaTheme="minorHAnsi"/>
          <w:lang w:eastAsia="en-US"/>
        </w:rPr>
        <w:t>O</w:t>
      </w:r>
      <w:r w:rsidR="00A914F3" w:rsidRPr="006922F5">
        <w:rPr>
          <w:rFonts w:eastAsiaTheme="minorHAnsi"/>
          <w:lang w:eastAsia="en-US"/>
        </w:rPr>
        <w:t>. De la ampliación del término para resolver.</w:t>
      </w:r>
    </w:p>
    <w:p w14:paraId="2B961806" w14:textId="539F2338"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A942FA">
        <w:rPr>
          <w:rFonts w:eastAsiaTheme="minorHAnsi" w:cstheme="minorBidi"/>
          <w:szCs w:val="24"/>
          <w:lang w:eastAsia="en-US"/>
        </w:rPr>
        <w:t xml:space="preserve">fecha </w:t>
      </w:r>
      <w:r w:rsidR="000447C3">
        <w:rPr>
          <w:rFonts w:eastAsiaTheme="minorHAnsi" w:cstheme="minorBidi"/>
          <w:szCs w:val="24"/>
          <w:lang w:eastAsia="en-US"/>
        </w:rPr>
        <w:t>primero</w:t>
      </w:r>
      <w:r w:rsidR="00C006C6">
        <w:rPr>
          <w:rFonts w:eastAsiaTheme="minorHAnsi" w:cstheme="minorBidi"/>
          <w:szCs w:val="24"/>
          <w:lang w:eastAsia="en-US"/>
        </w:rPr>
        <w:t xml:space="preserve"> de febrero</w:t>
      </w:r>
      <w:r w:rsidR="009F1E25" w:rsidRPr="006922F5">
        <w:rPr>
          <w:rFonts w:eastAsiaTheme="minorHAnsi" w:cstheme="minorBidi"/>
          <w:szCs w:val="24"/>
          <w:lang w:eastAsia="en-US"/>
        </w:rPr>
        <w:t xml:space="preserve"> de dos mil veinti</w:t>
      </w:r>
      <w:r w:rsidR="00C006C6">
        <w:rPr>
          <w:rFonts w:eastAsiaTheme="minorHAnsi" w:cstheme="minorBidi"/>
          <w:szCs w:val="24"/>
          <w:lang w:eastAsia="en-US"/>
        </w:rPr>
        <w:t>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426859BB" w14:textId="77777777" w:rsidR="00A914F3" w:rsidRDefault="00A914F3" w:rsidP="006922F5">
      <w:pPr>
        <w:pBdr>
          <w:top w:val="nil"/>
          <w:left w:val="nil"/>
          <w:bottom w:val="nil"/>
          <w:right w:val="nil"/>
          <w:between w:val="nil"/>
        </w:pBdr>
        <w:contextualSpacing/>
        <w:rPr>
          <w:rFonts w:eastAsia="Palatino Linotype" w:cs="Palatino Linotype"/>
          <w:color w:val="000000"/>
          <w:szCs w:val="24"/>
        </w:rPr>
      </w:pPr>
    </w:p>
    <w:p w14:paraId="0C1FB5F9"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 xml:space="preserve">Este organismo garante no pasa por alto justificar, </w:t>
      </w:r>
      <w:r w:rsidRPr="009A4D87">
        <w:rPr>
          <w:rFonts w:eastAsiaTheme="minorHAnsi" w:cstheme="minorBidi"/>
          <w:bCs/>
          <w:szCs w:val="24"/>
          <w:lang w:val="es-MX" w:eastAsia="en-US"/>
        </w:rPr>
        <w:t xml:space="preserve">que el plazo para emitir resolución en el presente asunto </w:t>
      </w:r>
      <w:r w:rsidRPr="009A4D87">
        <w:rPr>
          <w:rFonts w:eastAsiaTheme="minorHAnsi" w:cstheme="minorBidi"/>
          <w:szCs w:val="24"/>
          <w:lang w:val="es-MX" w:eastAsia="en-US"/>
        </w:rPr>
        <w:t xml:space="preserve">encuentra justificación en el alto número de recursos de revisión recibidos dentro del primer semestre del año dos mil veintidós, que, en comparación con </w:t>
      </w:r>
      <w:r w:rsidRPr="009A4D87">
        <w:rPr>
          <w:rFonts w:eastAsiaTheme="minorHAnsi" w:cstheme="minorBidi"/>
          <w:szCs w:val="24"/>
          <w:lang w:val="es-MX" w:eastAsia="en-US"/>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94B739" w14:textId="77777777" w:rsidR="009A4D87" w:rsidRPr="009A4D87" w:rsidRDefault="009A4D87" w:rsidP="009A4D87">
      <w:pPr>
        <w:rPr>
          <w:rFonts w:eastAsiaTheme="minorHAnsi" w:cstheme="minorBidi"/>
          <w:szCs w:val="24"/>
          <w:lang w:val="es-MX" w:eastAsia="en-US"/>
        </w:rPr>
      </w:pPr>
    </w:p>
    <w:p w14:paraId="5F45D9AA"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 xml:space="preserve">Por ello, es menester precisar que si bien se ha excedido el plazo para resolver el presente medio de impugnación, de conformidad con la ley de la materia, </w:t>
      </w:r>
      <w:r w:rsidRPr="009A4D87">
        <w:rPr>
          <w:rFonts w:eastAsiaTheme="minorHAnsi" w:cstheme="minorBidi"/>
          <w:bCs/>
          <w:szCs w:val="24"/>
          <w:lang w:val="es-MX" w:eastAsia="en-US"/>
        </w:rPr>
        <w:t>el plazo para emitir resolución</w:t>
      </w:r>
      <w:r w:rsidRPr="009A4D87">
        <w:rPr>
          <w:rFonts w:eastAsiaTheme="minorHAnsi" w:cstheme="minorBidi"/>
          <w:szCs w:val="24"/>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5BC29B9" w14:textId="77777777" w:rsidR="009A4D87" w:rsidRPr="009A4D87" w:rsidRDefault="009A4D87" w:rsidP="009A4D87">
      <w:pPr>
        <w:rPr>
          <w:rFonts w:eastAsiaTheme="minorHAnsi" w:cstheme="minorBidi"/>
          <w:szCs w:val="24"/>
          <w:lang w:val="es-MX" w:eastAsia="en-US"/>
        </w:rPr>
      </w:pPr>
    </w:p>
    <w:p w14:paraId="6E996550"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D0965E" w14:textId="77777777" w:rsidR="009A4D87" w:rsidRPr="009A4D87" w:rsidRDefault="009A4D87" w:rsidP="009A4D87">
      <w:pPr>
        <w:rPr>
          <w:rFonts w:eastAsiaTheme="minorHAnsi" w:cstheme="minorBidi"/>
          <w:szCs w:val="24"/>
          <w:lang w:val="es-MX" w:eastAsia="en-US"/>
        </w:rPr>
      </w:pPr>
    </w:p>
    <w:p w14:paraId="162541A2"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53A125" w14:textId="77777777" w:rsidR="009A4D87" w:rsidRPr="009A4D87" w:rsidRDefault="009A4D87" w:rsidP="009A4D87">
      <w:pPr>
        <w:rPr>
          <w:rFonts w:eastAsiaTheme="minorHAnsi" w:cstheme="minorBidi"/>
          <w:szCs w:val="24"/>
          <w:lang w:val="es-MX" w:eastAsia="en-US"/>
        </w:rPr>
      </w:pPr>
    </w:p>
    <w:p w14:paraId="5959D23F"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Por ello, excepcionalmente, si un asunto es resuelto con posterioridad a los plazos señalados por la norma debe analizarse la razonabilidad del tiempo necesario para su resolución, atentos a los siguientes criterios:</w:t>
      </w:r>
    </w:p>
    <w:p w14:paraId="65E39180" w14:textId="77777777" w:rsidR="009A4D87" w:rsidRPr="009A4D87" w:rsidRDefault="009A4D87" w:rsidP="009A4D87">
      <w:pPr>
        <w:rPr>
          <w:rFonts w:eastAsiaTheme="minorHAnsi" w:cstheme="minorBidi"/>
          <w:szCs w:val="24"/>
          <w:lang w:val="es-MX" w:eastAsia="en-US"/>
        </w:rPr>
      </w:pPr>
    </w:p>
    <w:p w14:paraId="6651DACD"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Complejidad del asunto: La complejidad de la prueba, la pluralidad de sujetos procesales, el tiempo transcurrido, las características y contexto del recurso.</w:t>
      </w:r>
    </w:p>
    <w:p w14:paraId="6D43DB9D"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Actividad Procesal del interesado: Acciones u omisiones del interesado.</w:t>
      </w:r>
    </w:p>
    <w:p w14:paraId="5F4CFA83"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Conducta de la Autoridad: Las Acciones u omisiones realizadas en el procedimiento. Así como si la autoridad actuó con la debida diligencia.</w:t>
      </w:r>
    </w:p>
    <w:p w14:paraId="273363C2"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La afectación generada en la situación jurídica de la persona involucrada en el proceso: Violación a sus derechos humanos.</w:t>
      </w:r>
    </w:p>
    <w:p w14:paraId="7986E017" w14:textId="77777777" w:rsidR="009A4D87" w:rsidRPr="009A4D87" w:rsidRDefault="009A4D87" w:rsidP="009A4D87">
      <w:pPr>
        <w:rPr>
          <w:rFonts w:eastAsiaTheme="minorHAnsi" w:cstheme="minorBidi"/>
          <w:szCs w:val="24"/>
          <w:lang w:val="es-MX" w:eastAsia="en-US"/>
        </w:rPr>
      </w:pPr>
    </w:p>
    <w:p w14:paraId="464FD1A9"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2B0B3F" w14:textId="77777777" w:rsidR="009A4D87" w:rsidRPr="009A4D87" w:rsidRDefault="009A4D87" w:rsidP="009A4D87">
      <w:pPr>
        <w:rPr>
          <w:rFonts w:eastAsiaTheme="minorHAnsi" w:cstheme="minorBidi"/>
          <w:szCs w:val="24"/>
          <w:lang w:val="es-MX" w:eastAsia="en-US"/>
        </w:rPr>
      </w:pPr>
    </w:p>
    <w:p w14:paraId="315B5B56"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CBB801" w14:textId="77777777" w:rsidR="009A4D87" w:rsidRPr="009A4D87" w:rsidRDefault="009A4D87" w:rsidP="009A4D87">
      <w:pPr>
        <w:rPr>
          <w:rFonts w:eastAsiaTheme="minorHAnsi" w:cstheme="minorBidi"/>
          <w:szCs w:val="24"/>
          <w:lang w:val="es-MX" w:eastAsia="en-US"/>
        </w:rPr>
      </w:pPr>
    </w:p>
    <w:p w14:paraId="5A5EB5F5"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 xml:space="preserve">Razones por las cuales cabe concluir que, la resolución al recurso de revisión se solventa hasta esta fecha, debido a que existe una excesiva carga de trabajo en desproporción a la </w:t>
      </w:r>
      <w:r w:rsidRPr="009A4D87">
        <w:rPr>
          <w:rFonts w:eastAsiaTheme="minorHAnsi" w:cstheme="minorBidi"/>
          <w:szCs w:val="24"/>
          <w:lang w:val="es-MX" w:eastAsia="en-US"/>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776FA9" w14:textId="77777777" w:rsidR="009A4D87" w:rsidRPr="009A4D87" w:rsidRDefault="009A4D87" w:rsidP="009A4D87">
      <w:pPr>
        <w:rPr>
          <w:rFonts w:eastAsiaTheme="minorHAnsi" w:cstheme="minorBidi"/>
          <w:szCs w:val="24"/>
          <w:lang w:val="es-MX" w:eastAsia="en-US"/>
        </w:rPr>
      </w:pPr>
    </w:p>
    <w:p w14:paraId="4703A9AB"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Al respecto, también son de considerar los criterios sostenidos por el Cuarto Tribunal Colegiado en Materia Administrativa del Primer Circuito, cuyos rubros y datos de identificación son los siguientes:</w:t>
      </w:r>
    </w:p>
    <w:p w14:paraId="7290E7F3" w14:textId="77777777" w:rsidR="009A4D87" w:rsidRPr="009A4D87" w:rsidRDefault="009A4D87" w:rsidP="009A4D87">
      <w:pPr>
        <w:rPr>
          <w:rFonts w:eastAsiaTheme="minorHAnsi" w:cstheme="minorBidi"/>
          <w:szCs w:val="24"/>
          <w:lang w:val="es-MX" w:eastAsia="en-US"/>
        </w:rPr>
      </w:pPr>
    </w:p>
    <w:p w14:paraId="3C1F4585"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“PLAZO RAZONABLE PARA RESOLVER. DIMENSIÓN Y EFECTOS DE ESTE CONCEPTO CUANDO SE ADUCE EXCESIVA CARGA DE TRABAJO.” consultable en el Seminario Judicial de la Federación y su gaceta, con el registro digital 2002351.</w:t>
      </w:r>
    </w:p>
    <w:p w14:paraId="16BADD0E" w14:textId="77777777" w:rsidR="009A4D87" w:rsidRPr="009A4D87" w:rsidRDefault="009A4D87" w:rsidP="009A4D87">
      <w:pPr>
        <w:rPr>
          <w:rFonts w:eastAsiaTheme="minorHAnsi" w:cstheme="minorBidi"/>
          <w:szCs w:val="24"/>
          <w:lang w:val="es-MX" w:eastAsia="en-US"/>
        </w:rPr>
      </w:pPr>
    </w:p>
    <w:p w14:paraId="19BF1E7B"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“PLAZO RAZONABLE PARA RESOLVER. CONCEPTO Y ELEMENTOS QUE LO INTEGRAN A LA LUZ DEL DERECHO INTERNACIONAL DE LOS DERECHOS HUMANOS.”, visible en el Seminario Judicial de la Federación y su gaceta, con el registro digital 2002350.</w:t>
      </w:r>
    </w:p>
    <w:p w14:paraId="54011798" w14:textId="77777777" w:rsidR="009A4D87" w:rsidRPr="009A4D87" w:rsidRDefault="009A4D87" w:rsidP="009A4D87">
      <w:pPr>
        <w:rPr>
          <w:rFonts w:eastAsiaTheme="minorHAnsi" w:cstheme="minorBidi"/>
          <w:szCs w:val="24"/>
          <w:lang w:val="es-MX" w:eastAsia="en-US"/>
        </w:rPr>
      </w:pPr>
    </w:p>
    <w:p w14:paraId="48F303ED" w14:textId="77777777" w:rsidR="009A4D87" w:rsidRPr="009A4D87" w:rsidRDefault="009A4D87" w:rsidP="009A4D87">
      <w:pPr>
        <w:rPr>
          <w:rFonts w:eastAsiaTheme="minorHAnsi" w:cstheme="minorBidi"/>
          <w:bCs/>
          <w:szCs w:val="24"/>
          <w:lang w:val="es-MX" w:eastAsia="en-US"/>
        </w:rPr>
      </w:pPr>
      <w:r w:rsidRPr="009A4D87">
        <w:rPr>
          <w:rFonts w:eastAsiaTheme="minorHAnsi" w:cstheme="minorBidi"/>
          <w:bCs/>
          <w:szCs w:val="24"/>
          <w:lang w:val="es-MX"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496F7BF6" w14:textId="77777777" w:rsidR="000447C3" w:rsidRPr="006922F5" w:rsidRDefault="000447C3" w:rsidP="000447C3">
      <w:pPr>
        <w:pStyle w:val="Ttulo2"/>
        <w:rPr>
          <w:rFonts w:eastAsia="Palatino Linotype"/>
        </w:rPr>
      </w:pPr>
      <w:r w:rsidRPr="006922F5">
        <w:rPr>
          <w:rFonts w:eastAsia="Palatino Linotype"/>
        </w:rPr>
        <w:t>S</w:t>
      </w:r>
      <w:r>
        <w:rPr>
          <w:rFonts w:eastAsia="Palatino Linotype"/>
        </w:rPr>
        <w:t>EXTO</w:t>
      </w:r>
      <w:r w:rsidRPr="006922F5">
        <w:rPr>
          <w:rFonts w:eastAsia="Palatino Linotype"/>
        </w:rPr>
        <w:t>. Del cierre de instrucción.</w:t>
      </w:r>
    </w:p>
    <w:p w14:paraId="54F37976" w14:textId="7573E647" w:rsidR="000447C3" w:rsidRPr="006922F5" w:rsidRDefault="000447C3" w:rsidP="000447C3">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w:t>
      </w:r>
      <w:r>
        <w:rPr>
          <w:rFonts w:eastAsia="Palatino Linotype" w:cs="Palatino Linotype"/>
          <w:color w:val="000000"/>
          <w:szCs w:val="24"/>
        </w:rPr>
        <w:t>ez transcurrido el término</w:t>
      </w:r>
      <w:r w:rsidRPr="006922F5">
        <w:rPr>
          <w:rFonts w:eastAsia="Palatino Linotype" w:cs="Palatino Linotype"/>
          <w:color w:val="000000"/>
          <w:szCs w:val="24"/>
        </w:rPr>
        <w:t xml:space="preserve">, se decretó el cierre de instrucción en fecha </w:t>
      </w:r>
      <w:r w:rsidRPr="00BD05DD">
        <w:rPr>
          <w:rFonts w:eastAsia="Palatino Linotype" w:cs="Palatino Linotype"/>
          <w:color w:val="000000"/>
          <w:szCs w:val="24"/>
        </w:rPr>
        <w:t>veint</w:t>
      </w:r>
      <w:r w:rsidR="003F3972" w:rsidRPr="00BD05DD">
        <w:rPr>
          <w:rFonts w:eastAsia="Palatino Linotype" w:cs="Palatino Linotype"/>
          <w:color w:val="000000"/>
          <w:szCs w:val="24"/>
        </w:rPr>
        <w:t>inueve de marzo</w:t>
      </w:r>
      <w:r w:rsidRPr="00BD05DD">
        <w:rPr>
          <w:rFonts w:eastAsia="Palatino Linotype" w:cs="Palatino Linotype"/>
          <w:color w:val="000000"/>
          <w:szCs w:val="24"/>
        </w:rPr>
        <w:t xml:space="preserve"> de dos mil veintitrés, en términos</w:t>
      </w:r>
      <w:r w:rsidRPr="006922F5">
        <w:rPr>
          <w:rFonts w:eastAsia="Palatino Linotype" w:cs="Palatino Linotype"/>
          <w:color w:val="000000"/>
          <w:szCs w:val="24"/>
        </w:rPr>
        <w:t xml:space="preserve"> del artículo 185 fracción VI de la Ley de Transparencia y Acceso a la Información Pública del Estado de México y Municipios, iniciando el término legal para dictar resolución definitiva del asunto.</w:t>
      </w:r>
    </w:p>
    <w:p w14:paraId="1B878FB1" w14:textId="77777777" w:rsidR="000447C3" w:rsidRPr="006922F5" w:rsidRDefault="000447C3" w:rsidP="000447C3">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59A6B85" w14:textId="77777777" w:rsidR="000447C3" w:rsidRPr="006967F6" w:rsidRDefault="000447C3" w:rsidP="000447C3">
      <w:pPr>
        <w:pStyle w:val="Ttulo2"/>
        <w:rPr>
          <w:rFonts w:eastAsia="Palatino Linotype"/>
        </w:rPr>
      </w:pPr>
      <w:r>
        <w:rPr>
          <w:rFonts w:eastAsia="Palatino Linotype"/>
        </w:rPr>
        <w:t>TERCERO</w:t>
      </w:r>
      <w:r w:rsidRPr="006922F5">
        <w:rPr>
          <w:rFonts w:eastAsia="Palatino Linotype"/>
        </w:rPr>
        <w:t xml:space="preserve">. </w:t>
      </w:r>
      <w:r w:rsidRPr="006967F6">
        <w:rPr>
          <w:rFonts w:eastAsia="Palatino Linotype"/>
        </w:rPr>
        <w:t>Cuestiones de previo y especial pronunciamiento.</w:t>
      </w:r>
    </w:p>
    <w:p w14:paraId="101B7362" w14:textId="77777777" w:rsidR="000447C3" w:rsidRPr="006967F6" w:rsidRDefault="000447C3" w:rsidP="000447C3">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08263492" w14:textId="77777777" w:rsidR="000447C3" w:rsidRPr="006967F6" w:rsidRDefault="000447C3" w:rsidP="000447C3">
      <w:pPr>
        <w:rPr>
          <w:rFonts w:eastAsia="Palatino Linotype" w:cs="Palatino Linotype"/>
          <w:szCs w:val="24"/>
        </w:rPr>
      </w:pPr>
    </w:p>
    <w:p w14:paraId="3CBB80D5"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 xml:space="preserve">Artículo 180. </w:t>
      </w:r>
      <w:r w:rsidRPr="006967F6">
        <w:rPr>
          <w:rFonts w:eastAsia="Palatino Linotype" w:cs="Palatino Linotype"/>
          <w:i/>
          <w:sz w:val="22"/>
        </w:rPr>
        <w:t>El recurso de revisión contendrá:</w:t>
      </w:r>
    </w:p>
    <w:p w14:paraId="004A4346"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3C038A6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EE07CAF"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351C3ECF"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17A26125"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4B758907"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7716C168"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3F06BA4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002412AE" w14:textId="77777777" w:rsidR="000447C3" w:rsidRPr="006967F6" w:rsidRDefault="000447C3" w:rsidP="000447C3">
      <w:pPr>
        <w:spacing w:line="240" w:lineRule="auto"/>
        <w:ind w:left="567" w:right="567"/>
        <w:rPr>
          <w:rFonts w:eastAsia="Palatino Linotype" w:cs="Palatino Linotype"/>
          <w:i/>
          <w:sz w:val="22"/>
        </w:rPr>
      </w:pPr>
    </w:p>
    <w:p w14:paraId="02ED4022"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62C1FE31" w14:textId="77777777" w:rsidR="000447C3" w:rsidRPr="006967F6" w:rsidRDefault="000447C3" w:rsidP="000447C3">
      <w:pPr>
        <w:spacing w:line="240" w:lineRule="auto"/>
        <w:ind w:left="567" w:right="567"/>
        <w:rPr>
          <w:rFonts w:eastAsia="Palatino Linotype" w:cs="Palatino Linotype"/>
          <w:i/>
          <w:sz w:val="22"/>
        </w:rPr>
      </w:pPr>
    </w:p>
    <w:p w14:paraId="47417B99"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362F8662" w14:textId="77777777" w:rsidR="000447C3" w:rsidRPr="006967F6" w:rsidRDefault="000447C3" w:rsidP="000447C3">
      <w:pPr>
        <w:spacing w:line="240" w:lineRule="auto"/>
        <w:ind w:left="567" w:right="567"/>
        <w:rPr>
          <w:rFonts w:eastAsia="Palatino Linotype" w:cs="Palatino Linotype"/>
          <w:i/>
          <w:sz w:val="22"/>
        </w:rPr>
      </w:pPr>
    </w:p>
    <w:p w14:paraId="5843235C"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22B05E62" w14:textId="77777777" w:rsidR="000447C3" w:rsidRPr="006967F6" w:rsidRDefault="000447C3" w:rsidP="000447C3">
      <w:pPr>
        <w:rPr>
          <w:rFonts w:eastAsia="Palatino Linotype" w:cs="Palatino Linotype"/>
          <w:b/>
          <w:i/>
          <w:szCs w:val="24"/>
        </w:rPr>
      </w:pPr>
    </w:p>
    <w:p w14:paraId="6321A6E6" w14:textId="3ADFB25A" w:rsidR="000447C3" w:rsidRPr="006967F6" w:rsidRDefault="000447C3" w:rsidP="000447C3">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w:t>
      </w:r>
      <w:r>
        <w:rPr>
          <w:rFonts w:eastAsia="Palatino Linotype" w:cs="Palatino Linotype"/>
          <w:szCs w:val="24"/>
        </w:rPr>
        <w:t xml:space="preserve">no </w:t>
      </w:r>
      <w:r w:rsidRPr="006967F6">
        <w:rPr>
          <w:rFonts w:eastAsia="Palatino Linotype" w:cs="Palatino Linotype"/>
          <w:szCs w:val="24"/>
        </w:rPr>
        <w:t>se identificó</w:t>
      </w:r>
      <w:r>
        <w:rPr>
          <w:rFonts w:eastAsia="Palatino Linotype" w:cs="Palatino Linotype"/>
          <w:szCs w:val="24"/>
        </w:rPr>
        <w:t xml:space="preserve"> de manera alguna</w:t>
      </w:r>
      <w:r w:rsidRPr="006967F6">
        <w:rPr>
          <w:rFonts w:eastAsia="Palatino Linotype" w:cs="Palatino Linotype"/>
          <w:b/>
          <w:szCs w:val="24"/>
        </w:rPr>
        <w:t>.</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D0CA278" w14:textId="77777777" w:rsidR="000447C3" w:rsidRPr="006967F6" w:rsidRDefault="000447C3" w:rsidP="000447C3">
      <w:pPr>
        <w:rPr>
          <w:rFonts w:eastAsia="Palatino Linotype" w:cs="Palatino Linotype"/>
          <w:szCs w:val="24"/>
        </w:rPr>
      </w:pPr>
    </w:p>
    <w:p w14:paraId="08C1921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50D39B2" w14:textId="77777777" w:rsidR="000447C3" w:rsidRPr="006967F6" w:rsidRDefault="000447C3" w:rsidP="000447C3">
      <w:pPr>
        <w:spacing w:line="240" w:lineRule="auto"/>
        <w:ind w:left="567" w:right="567"/>
        <w:rPr>
          <w:rFonts w:eastAsia="Palatino Linotype" w:cs="Palatino Linotype"/>
          <w:i/>
          <w:sz w:val="22"/>
        </w:rPr>
      </w:pPr>
    </w:p>
    <w:p w14:paraId="676B18E2"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2A69149"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1B2068AD" w14:textId="77777777" w:rsidR="000447C3" w:rsidRPr="006967F6" w:rsidRDefault="000447C3" w:rsidP="000447C3">
      <w:pPr>
        <w:rPr>
          <w:rFonts w:eastAsia="Palatino Linotype" w:cs="Palatino Linotype"/>
          <w:szCs w:val="24"/>
        </w:rPr>
      </w:pPr>
    </w:p>
    <w:p w14:paraId="455C6F71" w14:textId="77777777" w:rsidR="000447C3" w:rsidRPr="006967F6" w:rsidRDefault="000447C3" w:rsidP="000447C3">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62C1D8B" w14:textId="77777777" w:rsidR="000447C3" w:rsidRPr="006967F6" w:rsidRDefault="000447C3" w:rsidP="000447C3">
      <w:pPr>
        <w:rPr>
          <w:rFonts w:eastAsia="Palatino Linotype" w:cs="Palatino Linotype"/>
          <w:szCs w:val="24"/>
        </w:rPr>
      </w:pPr>
    </w:p>
    <w:p w14:paraId="657608A7" w14:textId="77777777" w:rsidR="000447C3" w:rsidRPr="006967F6" w:rsidRDefault="000447C3" w:rsidP="000447C3">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7C36E07B"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04ECB83"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49E2521B"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lastRenderedPageBreak/>
        <w:t xml:space="preserve">Para efectos de lo dispuesto en el presente artículo se observará lo siguiente: </w:t>
      </w:r>
    </w:p>
    <w:p w14:paraId="0A74B6C5"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3A9458B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681B4FD2"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AD21D1A"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9B36B46" w14:textId="77777777" w:rsidR="000447C3" w:rsidRPr="006967F6" w:rsidRDefault="000447C3" w:rsidP="000447C3">
      <w:pPr>
        <w:spacing w:line="240" w:lineRule="auto"/>
        <w:ind w:left="567" w:right="567"/>
        <w:rPr>
          <w:rFonts w:eastAsia="Palatino Linotype" w:cs="Palatino Linotype"/>
          <w:i/>
          <w:sz w:val="22"/>
        </w:rPr>
      </w:pPr>
    </w:p>
    <w:p w14:paraId="23274DF3" w14:textId="77777777" w:rsidR="000447C3" w:rsidRPr="006967F6" w:rsidRDefault="000447C3" w:rsidP="000447C3">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35E61DDF"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814CF7F"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31693306"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BD738A2"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7AA4755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23595CC" w14:textId="77777777" w:rsidR="000447C3" w:rsidRPr="006967F6" w:rsidRDefault="000447C3" w:rsidP="000447C3">
      <w:pPr>
        <w:spacing w:line="240" w:lineRule="auto"/>
        <w:ind w:left="567" w:right="567"/>
        <w:rPr>
          <w:rFonts w:eastAsia="Palatino Linotype" w:cs="Palatino Linotype"/>
          <w:i/>
          <w:sz w:val="22"/>
        </w:rPr>
      </w:pPr>
    </w:p>
    <w:p w14:paraId="2CC05FD8"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29A5CD" w14:textId="77777777" w:rsidR="000447C3" w:rsidRPr="006967F6" w:rsidRDefault="000447C3" w:rsidP="000447C3">
      <w:pPr>
        <w:spacing w:line="240" w:lineRule="auto"/>
        <w:ind w:left="567" w:right="567"/>
        <w:rPr>
          <w:rFonts w:eastAsia="Palatino Linotype" w:cs="Palatino Linotype"/>
          <w:i/>
          <w:sz w:val="22"/>
        </w:rPr>
      </w:pPr>
    </w:p>
    <w:p w14:paraId="37CA9C7D"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72E23A5A"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6BE591D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117FA55"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FEB6F02"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360EA1A7"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lastRenderedPageBreak/>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A5C5C4E"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w:t>
      </w:r>
    </w:p>
    <w:p w14:paraId="744E17F7" w14:textId="77777777" w:rsidR="000447C3" w:rsidRPr="006967F6" w:rsidRDefault="000447C3" w:rsidP="000447C3">
      <w:pPr>
        <w:ind w:left="567" w:right="567"/>
        <w:rPr>
          <w:rFonts w:eastAsia="Palatino Linotype" w:cs="Palatino Linotype"/>
          <w:szCs w:val="24"/>
        </w:rPr>
      </w:pPr>
    </w:p>
    <w:p w14:paraId="72FA53B1" w14:textId="77777777" w:rsidR="000447C3" w:rsidRPr="006967F6" w:rsidRDefault="000447C3" w:rsidP="000447C3">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08699BF9" w14:textId="77777777" w:rsidR="000447C3" w:rsidRPr="006967F6" w:rsidRDefault="000447C3" w:rsidP="000447C3">
      <w:pPr>
        <w:spacing w:line="240" w:lineRule="auto"/>
        <w:ind w:left="567" w:right="567"/>
        <w:rPr>
          <w:rFonts w:eastAsia="Palatino Linotype" w:cs="Palatino Linotype"/>
          <w:szCs w:val="24"/>
        </w:rPr>
      </w:pPr>
    </w:p>
    <w:p w14:paraId="56915DDF"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CB199E" w14:textId="77777777" w:rsidR="000447C3" w:rsidRPr="006967F6" w:rsidRDefault="000447C3" w:rsidP="000447C3">
      <w:pPr>
        <w:spacing w:line="240" w:lineRule="auto"/>
        <w:ind w:left="567" w:right="567"/>
        <w:rPr>
          <w:rFonts w:eastAsia="Palatino Linotype" w:cs="Palatino Linotype"/>
          <w:i/>
          <w:sz w:val="22"/>
        </w:rPr>
      </w:pPr>
    </w:p>
    <w:p w14:paraId="07A2819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0514FE0" w14:textId="77777777" w:rsidR="000447C3" w:rsidRPr="006967F6" w:rsidRDefault="000447C3" w:rsidP="000447C3">
      <w:pPr>
        <w:spacing w:line="240" w:lineRule="auto"/>
        <w:ind w:left="567" w:right="567"/>
        <w:rPr>
          <w:rFonts w:eastAsia="Palatino Linotype" w:cs="Palatino Linotype"/>
          <w:i/>
          <w:sz w:val="22"/>
        </w:rPr>
      </w:pPr>
    </w:p>
    <w:p w14:paraId="4A7200B1" w14:textId="77777777" w:rsidR="000447C3" w:rsidRPr="006967F6" w:rsidRDefault="000447C3" w:rsidP="000447C3">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291689C" w14:textId="77777777" w:rsidR="000447C3" w:rsidRPr="006967F6" w:rsidRDefault="000447C3" w:rsidP="000447C3">
      <w:pPr>
        <w:ind w:left="567" w:right="567"/>
        <w:rPr>
          <w:rFonts w:eastAsia="Palatino Linotype" w:cs="Palatino Linotype"/>
          <w:szCs w:val="24"/>
        </w:rPr>
      </w:pPr>
    </w:p>
    <w:p w14:paraId="6F66F685" w14:textId="77777777" w:rsidR="000447C3" w:rsidRPr="006967F6" w:rsidRDefault="000447C3" w:rsidP="000447C3">
      <w:pPr>
        <w:rPr>
          <w:rFonts w:eastAsia="Palatino Linotype" w:cs="Palatino Linotype"/>
          <w:szCs w:val="24"/>
        </w:rPr>
      </w:pPr>
      <w:r w:rsidRPr="006967F6">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967F6">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5C0C41F4" w14:textId="77777777" w:rsidR="000447C3" w:rsidRPr="006967F6" w:rsidRDefault="000447C3" w:rsidP="000447C3">
      <w:pPr>
        <w:rPr>
          <w:rFonts w:eastAsia="Palatino Linotype" w:cs="Palatino Linotype"/>
          <w:szCs w:val="24"/>
        </w:rPr>
      </w:pPr>
    </w:p>
    <w:p w14:paraId="5D4B0E5F" w14:textId="77777777" w:rsidR="000447C3" w:rsidRPr="006967F6" w:rsidRDefault="000447C3" w:rsidP="000447C3">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220A75CD" w14:textId="77777777" w:rsidR="000447C3" w:rsidRDefault="000447C3" w:rsidP="006922F5">
      <w:pPr>
        <w:pBdr>
          <w:top w:val="nil"/>
          <w:left w:val="nil"/>
          <w:bottom w:val="nil"/>
          <w:right w:val="nil"/>
          <w:between w:val="nil"/>
        </w:pBdr>
        <w:contextualSpacing/>
        <w:rPr>
          <w:rFonts w:eastAsia="Palatino Linotype" w:cs="Palatino Linotype"/>
          <w:color w:val="000000"/>
          <w:szCs w:val="24"/>
        </w:rPr>
      </w:pPr>
    </w:p>
    <w:p w14:paraId="6D04F852" w14:textId="03795FBF" w:rsidR="00A970D5" w:rsidRPr="006922F5" w:rsidRDefault="000447C3"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522A0104" w14:textId="77777777" w:rsidR="007E2411" w:rsidRPr="007E2411" w:rsidRDefault="007E2411" w:rsidP="007E2411">
      <w:pPr>
        <w:pBdr>
          <w:top w:val="nil"/>
          <w:left w:val="nil"/>
          <w:bottom w:val="nil"/>
          <w:right w:val="nil"/>
          <w:between w:val="nil"/>
        </w:pBdr>
        <w:contextualSpacing/>
        <w:rPr>
          <w:rFonts w:eastAsia="Palatino Linotype" w:cs="Palatino Linotype"/>
          <w:color w:val="000000"/>
          <w:szCs w:val="24"/>
        </w:rPr>
      </w:pPr>
      <w:r w:rsidRPr="007E241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3075CE7F" w14:textId="77777777" w:rsidR="007E2411" w:rsidRPr="007E2411" w:rsidRDefault="007E2411" w:rsidP="007E2411">
      <w:pPr>
        <w:pBdr>
          <w:top w:val="nil"/>
          <w:left w:val="nil"/>
          <w:bottom w:val="nil"/>
          <w:right w:val="nil"/>
          <w:between w:val="nil"/>
        </w:pBdr>
        <w:contextualSpacing/>
        <w:rPr>
          <w:rFonts w:eastAsia="Palatino Linotype" w:cs="Palatino Linotype"/>
          <w:color w:val="000000"/>
          <w:szCs w:val="24"/>
        </w:rPr>
      </w:pPr>
    </w:p>
    <w:p w14:paraId="327FA206" w14:textId="77777777" w:rsidR="007E2411" w:rsidRPr="007E2411" w:rsidRDefault="007E2411" w:rsidP="007E2411">
      <w:pPr>
        <w:pBdr>
          <w:top w:val="nil"/>
          <w:left w:val="nil"/>
          <w:bottom w:val="nil"/>
          <w:right w:val="nil"/>
          <w:between w:val="nil"/>
        </w:pBdr>
        <w:contextualSpacing/>
        <w:rPr>
          <w:rFonts w:eastAsia="Palatino Linotype" w:cs="Palatino Linotype"/>
          <w:color w:val="000000"/>
          <w:szCs w:val="24"/>
        </w:rPr>
      </w:pPr>
      <w:r w:rsidRPr="007E2411">
        <w:rPr>
          <w:rFonts w:eastAsia="Palatino Linotype" w:cs="Palatino Linotype"/>
          <w:color w:val="000000"/>
          <w:szCs w:val="24"/>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65778962" w14:textId="77777777" w:rsidR="007E2411" w:rsidRPr="007E2411" w:rsidRDefault="007E2411" w:rsidP="007E2411">
      <w:pPr>
        <w:pBdr>
          <w:top w:val="nil"/>
          <w:left w:val="nil"/>
          <w:bottom w:val="nil"/>
          <w:right w:val="nil"/>
          <w:between w:val="nil"/>
        </w:pBdr>
        <w:contextualSpacing/>
        <w:rPr>
          <w:rFonts w:eastAsia="Palatino Linotype" w:cs="Palatino Linotype"/>
          <w:color w:val="000000"/>
          <w:szCs w:val="24"/>
        </w:rPr>
      </w:pPr>
    </w:p>
    <w:p w14:paraId="707D9DF5" w14:textId="35DE6033" w:rsidR="00A970D5" w:rsidRPr="006922F5" w:rsidRDefault="007E2411" w:rsidP="007E2411">
      <w:pPr>
        <w:pBdr>
          <w:top w:val="nil"/>
          <w:left w:val="nil"/>
          <w:bottom w:val="nil"/>
          <w:right w:val="nil"/>
          <w:between w:val="nil"/>
        </w:pBdr>
        <w:contextualSpacing/>
        <w:rPr>
          <w:rFonts w:eastAsia="Palatino Linotype" w:cs="Palatino Linotype"/>
          <w:color w:val="000000"/>
          <w:szCs w:val="24"/>
        </w:rPr>
      </w:pPr>
      <w:r w:rsidRPr="007E2411">
        <w:rPr>
          <w:rFonts w:eastAsia="Palatino Linotype" w:cs="Palatino Linotype"/>
          <w:color w:val="000000"/>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504FE207" w:rsidR="00A970D5" w:rsidRPr="006922F5" w:rsidRDefault="000447C3" w:rsidP="006922F5">
      <w:pPr>
        <w:pStyle w:val="Ttulo2"/>
        <w:rPr>
          <w:rFonts w:eastAsia="Palatino Linotype"/>
        </w:rPr>
      </w:pPr>
      <w:r>
        <w:rPr>
          <w:rFonts w:eastAsia="Palatino Linotype"/>
        </w:rPr>
        <w:t>QUIN</w:t>
      </w:r>
      <w:r w:rsidR="006D438A">
        <w:rPr>
          <w:rFonts w:eastAsia="Palatino Linotype"/>
        </w:rPr>
        <w:t>TO</w:t>
      </w:r>
      <w:r w:rsidR="00A970D5" w:rsidRPr="006922F5">
        <w:rPr>
          <w:rFonts w:eastAsia="Palatino Linotype"/>
        </w:rPr>
        <w:t>. Estudio y resolución del asunto.</w:t>
      </w:r>
    </w:p>
    <w:p w14:paraId="09550687" w14:textId="77777777" w:rsidR="007E2411" w:rsidRPr="00C82353" w:rsidRDefault="007E2411" w:rsidP="007E2411">
      <w:pPr>
        <w:rPr>
          <w:rFonts w:eastAsiaTheme="minorHAnsi" w:cstheme="minorBidi"/>
          <w:szCs w:val="24"/>
          <w:lang w:eastAsia="en-US"/>
        </w:rPr>
      </w:pPr>
      <w:r w:rsidRPr="00C82353">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DE820A4" w14:textId="77777777" w:rsidR="007E2411" w:rsidRPr="00C82353" w:rsidRDefault="007E2411" w:rsidP="007E2411">
      <w:pPr>
        <w:rPr>
          <w:rFonts w:eastAsiaTheme="minorHAnsi" w:cstheme="minorBidi"/>
          <w:szCs w:val="24"/>
          <w:lang w:eastAsia="en-US"/>
        </w:rPr>
      </w:pPr>
    </w:p>
    <w:p w14:paraId="6D3904DF" w14:textId="77777777" w:rsidR="007E2411" w:rsidRPr="00C82353" w:rsidRDefault="007E2411" w:rsidP="007E2411">
      <w:pPr>
        <w:rPr>
          <w:rFonts w:eastAsiaTheme="minorHAnsi" w:cstheme="minorBidi"/>
          <w:szCs w:val="24"/>
          <w:lang w:eastAsia="en-US"/>
        </w:rPr>
      </w:pPr>
      <w:r w:rsidRPr="00C82353">
        <w:rPr>
          <w:rFonts w:eastAsiaTheme="minorHAnsi" w:cstheme="minorBidi"/>
          <w:szCs w:val="24"/>
          <w:lang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F7CE249" w14:textId="77777777" w:rsidR="007E2411" w:rsidRPr="00C82353" w:rsidRDefault="007E2411" w:rsidP="007E2411">
      <w:pPr>
        <w:rPr>
          <w:rFonts w:eastAsiaTheme="minorHAnsi" w:cstheme="minorBidi"/>
          <w:szCs w:val="24"/>
          <w:lang w:eastAsia="en-US"/>
        </w:rPr>
      </w:pPr>
    </w:p>
    <w:p w14:paraId="3501ED5A" w14:textId="77777777" w:rsidR="007E2411" w:rsidRPr="00C82353" w:rsidRDefault="007E2411" w:rsidP="007E2411">
      <w:pPr>
        <w:rPr>
          <w:rFonts w:eastAsiaTheme="minorHAnsi" w:cstheme="minorBidi"/>
          <w:szCs w:val="24"/>
          <w:lang w:eastAsia="en-US"/>
        </w:rPr>
      </w:pPr>
      <w:r w:rsidRPr="00C82353">
        <w:rPr>
          <w:rFonts w:eastAsiaTheme="minorHAnsi" w:cstheme="minorBidi"/>
          <w:szCs w:val="24"/>
          <w:lang w:eastAsia="en-US"/>
        </w:rPr>
        <w:lastRenderedPageBreak/>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21B2938" w14:textId="77777777" w:rsidR="00A970D5" w:rsidRPr="00B461BF"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4DEE4845" w:rsidR="001C4CBF" w:rsidRPr="00B461BF" w:rsidRDefault="00A970D5" w:rsidP="00C006C6">
      <w:pPr>
        <w:pBdr>
          <w:top w:val="nil"/>
          <w:left w:val="nil"/>
          <w:bottom w:val="nil"/>
          <w:right w:val="nil"/>
          <w:between w:val="nil"/>
        </w:pBdr>
        <w:contextualSpacing/>
        <w:rPr>
          <w:rFonts w:eastAsia="Palatino Linotype" w:cs="Palatino Linotype"/>
          <w:color w:val="000000"/>
          <w:szCs w:val="24"/>
        </w:rPr>
      </w:pPr>
      <w:r w:rsidRPr="00B461BF">
        <w:rPr>
          <w:rFonts w:eastAsia="Palatino Linotype" w:cs="Palatino Linotype"/>
          <w:color w:val="000000"/>
          <w:szCs w:val="24"/>
        </w:rPr>
        <w:t>Por tanto</w:t>
      </w:r>
      <w:r w:rsidR="007F3F9F" w:rsidRPr="00B461BF">
        <w:rPr>
          <w:rFonts w:eastAsia="Palatino Linotype" w:cs="Palatino Linotype"/>
          <w:color w:val="000000"/>
          <w:szCs w:val="24"/>
        </w:rPr>
        <w:t xml:space="preserve">, es conveniente recordar que </w:t>
      </w:r>
      <w:r w:rsidR="006D438A" w:rsidRPr="00B461BF">
        <w:rPr>
          <w:rFonts w:eastAsia="Palatino Linotype" w:cs="Palatino Linotype"/>
          <w:color w:val="000000"/>
          <w:szCs w:val="24"/>
        </w:rPr>
        <w:t>el</w:t>
      </w:r>
      <w:r w:rsidRPr="00B461BF">
        <w:rPr>
          <w:rFonts w:eastAsia="Palatino Linotype" w:cs="Palatino Linotype"/>
          <w:color w:val="000000"/>
          <w:szCs w:val="24"/>
        </w:rPr>
        <w:t xml:space="preserve"> hoy Recurrente </w:t>
      </w:r>
      <w:r w:rsidR="00AE3BE0" w:rsidRPr="00B461BF">
        <w:rPr>
          <w:rFonts w:eastAsia="Palatino Linotype" w:cs="Palatino Linotype"/>
          <w:color w:val="000000"/>
          <w:szCs w:val="24"/>
        </w:rPr>
        <w:t>requirió</w:t>
      </w:r>
      <w:r w:rsidR="00CF6592" w:rsidRPr="00B461BF">
        <w:rPr>
          <w:rFonts w:eastAsia="Palatino Linotype" w:cs="Palatino Linotype"/>
          <w:color w:val="000000"/>
          <w:szCs w:val="24"/>
        </w:rPr>
        <w:t xml:space="preserve"> </w:t>
      </w:r>
      <w:r w:rsidR="00C006C6" w:rsidRPr="00B461BF">
        <w:rPr>
          <w:rFonts w:eastAsia="Palatino Linotype" w:cs="Palatino Linotype"/>
          <w:color w:val="000000"/>
          <w:szCs w:val="24"/>
        </w:rPr>
        <w:t xml:space="preserve">del Sujeto Obligado </w:t>
      </w:r>
      <w:r w:rsidR="00EB30B5" w:rsidRPr="00B461BF">
        <w:rPr>
          <w:rFonts w:eastAsia="Palatino Linotype" w:cs="Palatino Linotype"/>
          <w:color w:val="000000"/>
          <w:szCs w:val="24"/>
        </w:rPr>
        <w:t>la información de los gastos por conceptos de viáticos del Gobernador del Estado de México para su asistencia a Roma y el Vaticano, así como el reporte de gastos; personas que lo acompañaron, familiares y miembros del equipo de trabajo; evidencia de la compra de los boletos de avión de las personas que asistieron; evidencia de los gastos de hospedaje, alimentación y transporte; agenda de trabajo e itinerario del viaje; información de otros lugares visitados y otros gastos realizados..</w:t>
      </w:r>
    </w:p>
    <w:p w14:paraId="01262F3E" w14:textId="77777777" w:rsidR="00413FC2" w:rsidRPr="00B461BF"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37214775" w:rsidR="009308DA" w:rsidRPr="00B461BF" w:rsidRDefault="00A970D5" w:rsidP="00B62DEC">
      <w:pPr>
        <w:pBdr>
          <w:top w:val="nil"/>
          <w:left w:val="nil"/>
          <w:bottom w:val="nil"/>
          <w:right w:val="nil"/>
          <w:between w:val="nil"/>
        </w:pBdr>
        <w:contextualSpacing/>
        <w:rPr>
          <w:rFonts w:eastAsia="Palatino Linotype" w:cs="Palatino Linotype"/>
          <w:color w:val="000000"/>
          <w:szCs w:val="24"/>
        </w:rPr>
      </w:pPr>
      <w:r w:rsidRPr="00B461BF">
        <w:rPr>
          <w:rFonts w:eastAsia="Palatino Linotype" w:cs="Palatino Linotype"/>
          <w:color w:val="000000"/>
          <w:szCs w:val="24"/>
        </w:rPr>
        <w:t xml:space="preserve">A dicha solicitud, el Sujeto Obligado </w:t>
      </w:r>
      <w:r w:rsidR="001C4CBF" w:rsidRPr="00B461BF">
        <w:rPr>
          <w:rFonts w:eastAsia="Palatino Linotype" w:cs="Palatino Linotype"/>
          <w:color w:val="000000"/>
          <w:szCs w:val="24"/>
        </w:rPr>
        <w:t xml:space="preserve">respondió </w:t>
      </w:r>
      <w:r w:rsidR="00CD1DF7">
        <w:rPr>
          <w:rFonts w:eastAsia="Palatino Linotype" w:cs="Palatino Linotype"/>
          <w:color w:val="000000"/>
          <w:szCs w:val="24"/>
        </w:rPr>
        <w:t xml:space="preserve">con la </w:t>
      </w:r>
      <w:r w:rsidR="00BA7C85" w:rsidRPr="00B461BF">
        <w:rPr>
          <w:rFonts w:eastAsia="Palatino Linotype" w:cs="Palatino Linotype"/>
          <w:color w:val="000000"/>
          <w:szCs w:val="24"/>
        </w:rPr>
        <w:t>entrega de</w:t>
      </w:r>
      <w:r w:rsidR="00CD1DF7">
        <w:rPr>
          <w:rFonts w:eastAsia="Palatino Linotype" w:cs="Palatino Linotype"/>
          <w:color w:val="000000"/>
          <w:szCs w:val="24"/>
        </w:rPr>
        <w:t xml:space="preserve"> </w:t>
      </w:r>
      <w:r w:rsidR="00BA7C85" w:rsidRPr="00B461BF">
        <w:rPr>
          <w:rFonts w:eastAsia="Palatino Linotype" w:cs="Palatino Linotype"/>
          <w:color w:val="000000"/>
          <w:szCs w:val="24"/>
        </w:rPr>
        <w:t>l</w:t>
      </w:r>
      <w:r w:rsidR="00CD1DF7">
        <w:rPr>
          <w:rFonts w:eastAsia="Palatino Linotype" w:cs="Palatino Linotype"/>
          <w:color w:val="000000"/>
          <w:szCs w:val="24"/>
        </w:rPr>
        <w:t>os</w:t>
      </w:r>
      <w:r w:rsidR="00BA7C85" w:rsidRPr="00B461BF">
        <w:rPr>
          <w:rFonts w:eastAsia="Palatino Linotype" w:cs="Palatino Linotype"/>
          <w:color w:val="000000"/>
          <w:szCs w:val="24"/>
        </w:rPr>
        <w:t xml:space="preserve"> siguiente</w:t>
      </w:r>
      <w:r w:rsidR="00CD1DF7">
        <w:rPr>
          <w:rFonts w:eastAsia="Palatino Linotype" w:cs="Palatino Linotype"/>
          <w:color w:val="000000"/>
          <w:szCs w:val="24"/>
        </w:rPr>
        <w:t>s</w:t>
      </w:r>
      <w:r w:rsidR="00BA7C85" w:rsidRPr="00B461BF">
        <w:rPr>
          <w:rFonts w:eastAsia="Palatino Linotype" w:cs="Palatino Linotype"/>
          <w:color w:val="000000"/>
          <w:szCs w:val="24"/>
        </w:rPr>
        <w:t xml:space="preserve"> documento</w:t>
      </w:r>
      <w:r w:rsidR="00CD1DF7">
        <w:rPr>
          <w:rFonts w:eastAsia="Palatino Linotype" w:cs="Palatino Linotype"/>
          <w:color w:val="000000"/>
          <w:szCs w:val="24"/>
        </w:rPr>
        <w:t>s</w:t>
      </w:r>
      <w:r w:rsidR="00A978AF" w:rsidRPr="00B461BF">
        <w:rPr>
          <w:rFonts w:eastAsia="Palatino Linotype" w:cs="Palatino Linotype"/>
          <w:color w:val="000000"/>
          <w:szCs w:val="24"/>
        </w:rPr>
        <w:t>:</w:t>
      </w:r>
    </w:p>
    <w:p w14:paraId="34CF62B0" w14:textId="1309BD00" w:rsidR="00A978AF" w:rsidRPr="00B461BF" w:rsidRDefault="00A978AF" w:rsidP="00B62DEC">
      <w:pPr>
        <w:pBdr>
          <w:top w:val="nil"/>
          <w:left w:val="nil"/>
          <w:bottom w:val="nil"/>
          <w:right w:val="nil"/>
          <w:between w:val="nil"/>
        </w:pBdr>
        <w:contextualSpacing/>
        <w:rPr>
          <w:rFonts w:eastAsia="Palatino Linotype" w:cs="Palatino Linotype"/>
          <w:color w:val="000000"/>
          <w:szCs w:val="24"/>
        </w:rPr>
      </w:pPr>
    </w:p>
    <w:p w14:paraId="1EB51FEF" w14:textId="5785F385" w:rsidR="009F7F22" w:rsidRPr="00C94678" w:rsidRDefault="00EB30B5" w:rsidP="00C94678">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C94678">
        <w:rPr>
          <w:rFonts w:eastAsia="Palatino Linotype" w:cs="Palatino Linotype"/>
          <w:b/>
          <w:bCs/>
          <w:color w:val="000000"/>
        </w:rPr>
        <w:lastRenderedPageBreak/>
        <w:t>UIPPE 500</w:t>
      </w:r>
      <w:r w:rsidR="00E650E0" w:rsidRPr="00C94678">
        <w:rPr>
          <w:rFonts w:eastAsia="Palatino Linotype" w:cs="Palatino Linotype"/>
          <w:b/>
          <w:bCs/>
          <w:color w:val="000000"/>
        </w:rPr>
        <w:t>.pdf</w:t>
      </w:r>
      <w:r w:rsidR="00166D47" w:rsidRPr="00C94678">
        <w:rPr>
          <w:rFonts w:eastAsia="Palatino Linotype" w:cs="Palatino Linotype"/>
          <w:bCs/>
          <w:color w:val="000000"/>
        </w:rPr>
        <w:t xml:space="preserve">. </w:t>
      </w:r>
      <w:r w:rsidRPr="00C94678">
        <w:rPr>
          <w:rFonts w:eastAsia="Palatino Linotype" w:cs="Palatino Linotype"/>
          <w:bCs/>
          <w:color w:val="000000"/>
        </w:rPr>
        <w:t>Oficio número 20700004S/UT-2029/2022, emitido por el Jefe de la UIPPE y Titular de la Unidad de Transparencia, con el cual se hizo del conocimiento la respuesta de la servidora pública habilitada de la Unidad de Apoyo a la Administración General.</w:t>
      </w:r>
    </w:p>
    <w:p w14:paraId="4957553C" w14:textId="041DE27D" w:rsidR="00EB30B5" w:rsidRDefault="00EB30B5" w:rsidP="00C94678">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C94678">
        <w:rPr>
          <w:rFonts w:eastAsia="Palatino Linotype" w:cs="Palatino Linotype"/>
          <w:b/>
          <w:color w:val="000000"/>
        </w:rPr>
        <w:t>500 UAAG.pdf</w:t>
      </w:r>
      <w:r w:rsidRPr="00C94678">
        <w:rPr>
          <w:rFonts w:eastAsia="Palatino Linotype" w:cs="Palatino Linotype"/>
          <w:color w:val="000000"/>
        </w:rPr>
        <w:t xml:space="preserve">. </w:t>
      </w:r>
      <w:r w:rsidR="00C94678" w:rsidRPr="00C94678">
        <w:rPr>
          <w:rFonts w:eastAsia="Palatino Linotype" w:cs="Palatino Linotype"/>
          <w:color w:val="000000"/>
        </w:rPr>
        <w:t>Oficio número 20701002A/695/2022 suscrito por la Coordinadora de Administración y servidora pública habilitada de la Unidad de Apoyo a la Administración General</w:t>
      </w:r>
      <w:r w:rsidR="00C94678">
        <w:rPr>
          <w:rFonts w:eastAsia="Palatino Linotype" w:cs="Palatino Linotype"/>
          <w:color w:val="000000"/>
        </w:rPr>
        <w:t xml:space="preserve">, mediante el cual informó las respuestas emitidas por </w:t>
      </w:r>
      <w:r w:rsidR="00103B80">
        <w:rPr>
          <w:rFonts w:eastAsia="Palatino Linotype" w:cs="Palatino Linotype"/>
          <w:color w:val="000000"/>
        </w:rPr>
        <w:t xml:space="preserve">a) </w:t>
      </w:r>
      <w:r w:rsidR="00615D95">
        <w:rPr>
          <w:rFonts w:eastAsia="Palatino Linotype" w:cs="Palatino Linotype"/>
          <w:color w:val="000000"/>
        </w:rPr>
        <w:t>el Coordinador</w:t>
      </w:r>
      <w:r w:rsidR="00C94678">
        <w:rPr>
          <w:rFonts w:eastAsia="Palatino Linotype" w:cs="Palatino Linotype"/>
          <w:color w:val="000000"/>
        </w:rPr>
        <w:t xml:space="preserve"> de Asuntos I</w:t>
      </w:r>
      <w:r w:rsidR="00B461BF">
        <w:rPr>
          <w:rFonts w:eastAsia="Palatino Linotype" w:cs="Palatino Linotype"/>
          <w:color w:val="000000"/>
        </w:rPr>
        <w:t>nternacionales</w:t>
      </w:r>
      <w:r w:rsidR="00615D95">
        <w:rPr>
          <w:rFonts w:eastAsia="Palatino Linotype" w:cs="Palatino Linotype"/>
          <w:color w:val="000000"/>
        </w:rPr>
        <w:t xml:space="preserve"> quien manifestó que se hacía del conocimiento el itinerario de trabajo que se llevó a cabo en la ciudad de Roma Italia, adjuntando el oficio y anexo de actividades; </w:t>
      </w:r>
      <w:r w:rsidR="00103B80">
        <w:rPr>
          <w:rFonts w:eastAsia="Palatino Linotype" w:cs="Palatino Linotype"/>
          <w:color w:val="000000"/>
        </w:rPr>
        <w:t xml:space="preserve">b) </w:t>
      </w:r>
      <w:r w:rsidR="00615D95">
        <w:rPr>
          <w:rFonts w:eastAsia="Palatino Linotype" w:cs="Palatino Linotype"/>
          <w:color w:val="000000"/>
        </w:rPr>
        <w:t xml:space="preserve">el Coordinador </w:t>
      </w:r>
      <w:r w:rsidR="00B461BF">
        <w:rPr>
          <w:rFonts w:eastAsia="Palatino Linotype" w:cs="Palatino Linotype"/>
          <w:color w:val="000000"/>
        </w:rPr>
        <w:t xml:space="preserve">de Agenda, </w:t>
      </w:r>
      <w:r w:rsidR="00103B80">
        <w:rPr>
          <w:rFonts w:eastAsia="Palatino Linotype" w:cs="Palatino Linotype"/>
          <w:color w:val="000000"/>
        </w:rPr>
        <w:t xml:space="preserve">quien manifestó que la información no obra en los archivos de esa Coordinación, no obstante, por lo que hace específicamente  a la agenda, se señaló que la información puede ser consultada en la página </w:t>
      </w:r>
      <w:hyperlink r:id="rId8" w:history="1">
        <w:r w:rsidR="00103B80" w:rsidRPr="00D17845">
          <w:rPr>
            <w:rStyle w:val="Hipervnculo"/>
            <w:rFonts w:eastAsia="Palatino Linotype" w:cs="Palatino Linotype"/>
          </w:rPr>
          <w:t>www.gem.gob.mx/agenda2018/</w:t>
        </w:r>
      </w:hyperlink>
      <w:r w:rsidR="00103B80">
        <w:rPr>
          <w:rFonts w:eastAsia="Palatino Linotype" w:cs="Palatino Linotype"/>
          <w:color w:val="000000"/>
        </w:rPr>
        <w:t xml:space="preserve">; c) </w:t>
      </w:r>
      <w:r w:rsidR="00615D95">
        <w:rPr>
          <w:rFonts w:eastAsia="Palatino Linotype" w:cs="Palatino Linotype"/>
          <w:color w:val="000000"/>
        </w:rPr>
        <w:t xml:space="preserve">el Coordinador </w:t>
      </w:r>
      <w:r w:rsidR="00B461BF">
        <w:rPr>
          <w:rFonts w:eastAsia="Palatino Linotype" w:cs="Palatino Linotype"/>
          <w:color w:val="000000"/>
        </w:rPr>
        <w:t>de Giras, Logística y Seguridad</w:t>
      </w:r>
      <w:r w:rsidR="00615D95">
        <w:rPr>
          <w:rFonts w:eastAsia="Palatino Linotype" w:cs="Palatino Linotype"/>
          <w:color w:val="000000"/>
        </w:rPr>
        <w:t xml:space="preserve">, quien manifestó que después de </w:t>
      </w:r>
      <w:r w:rsidR="00103B80">
        <w:rPr>
          <w:rFonts w:eastAsia="Palatino Linotype" w:cs="Palatino Linotype"/>
          <w:color w:val="000000"/>
        </w:rPr>
        <w:t>una búsqueda exhaustiva y razonable en los archivos que obran en esa Coordinación , no se encontró información contenida en cualquier expresión documental de la solicitud referida;</w:t>
      </w:r>
      <w:r w:rsidR="00B461BF">
        <w:rPr>
          <w:rFonts w:eastAsia="Palatino Linotype" w:cs="Palatino Linotype"/>
          <w:color w:val="000000"/>
        </w:rPr>
        <w:t xml:space="preserve"> y </w:t>
      </w:r>
      <w:r w:rsidR="00103B80">
        <w:rPr>
          <w:rFonts w:eastAsia="Palatino Linotype" w:cs="Palatino Linotype"/>
          <w:color w:val="000000"/>
        </w:rPr>
        <w:t xml:space="preserve">c) </w:t>
      </w:r>
      <w:r w:rsidR="00615D95">
        <w:rPr>
          <w:rFonts w:eastAsia="Palatino Linotype" w:cs="Palatino Linotype"/>
          <w:color w:val="000000"/>
        </w:rPr>
        <w:t xml:space="preserve">el </w:t>
      </w:r>
      <w:r w:rsidR="00103B80">
        <w:rPr>
          <w:rFonts w:eastAsia="Palatino Linotype" w:cs="Palatino Linotype"/>
          <w:color w:val="000000"/>
        </w:rPr>
        <w:t>Subcoordinador</w:t>
      </w:r>
      <w:r w:rsidR="00B461BF">
        <w:rPr>
          <w:rFonts w:eastAsia="Palatino Linotype" w:cs="Palatino Linotype"/>
          <w:color w:val="000000"/>
        </w:rPr>
        <w:t xml:space="preserve"> de Recursos Financieros de la Coordinación de Administración, </w:t>
      </w:r>
      <w:r w:rsidR="00103B80">
        <w:rPr>
          <w:rFonts w:eastAsia="Palatino Linotype" w:cs="Palatino Linotype"/>
          <w:color w:val="000000"/>
        </w:rPr>
        <w:t xml:space="preserve">quien remitió </w:t>
      </w:r>
      <w:r w:rsidR="009A2DE8">
        <w:rPr>
          <w:rFonts w:eastAsia="Palatino Linotype" w:cs="Palatino Linotype"/>
          <w:color w:val="000000"/>
        </w:rPr>
        <w:t xml:space="preserve">en versión pública los </w:t>
      </w:r>
      <w:r w:rsidR="00103B80">
        <w:rPr>
          <w:rFonts w:eastAsia="Palatino Linotype" w:cs="Palatino Linotype"/>
          <w:color w:val="000000"/>
        </w:rPr>
        <w:t xml:space="preserve">comprobantes de pago respecto al reporte de gastos, evidencia de la compra de boletos de avión, evidencia de gastos de hospedaje, gastos por concepto de alimentación y transporte, sobre otras gastos y documentos que motivan y justifican la gira de trabajo a la ciudad de Roma del </w:t>
      </w:r>
      <w:r w:rsidR="007E2411">
        <w:rPr>
          <w:rFonts w:eastAsia="Palatino Linotype" w:cs="Palatino Linotype"/>
          <w:color w:val="000000"/>
        </w:rPr>
        <w:t>Coordinador de Asuntos Internacionales.</w:t>
      </w:r>
    </w:p>
    <w:p w14:paraId="31B9B5C4" w14:textId="77777777" w:rsidR="00166D47" w:rsidRDefault="00166D47" w:rsidP="006922F5">
      <w:pPr>
        <w:pBdr>
          <w:top w:val="nil"/>
          <w:left w:val="nil"/>
          <w:bottom w:val="nil"/>
          <w:right w:val="nil"/>
          <w:between w:val="nil"/>
        </w:pBdr>
        <w:contextualSpacing/>
        <w:rPr>
          <w:rFonts w:eastAsia="Palatino Linotype" w:cs="Palatino Linotype"/>
          <w:color w:val="000000"/>
          <w:szCs w:val="24"/>
        </w:rPr>
      </w:pPr>
    </w:p>
    <w:p w14:paraId="6128DFF4" w14:textId="335BE7E2"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BA7C85">
        <w:rPr>
          <w:rFonts w:eastAsia="Palatino Linotype" w:cs="Palatino Linotype"/>
          <w:color w:val="000000"/>
          <w:szCs w:val="24"/>
        </w:rPr>
        <w:t>que</w:t>
      </w:r>
      <w:r w:rsidR="00E923A8">
        <w:rPr>
          <w:rFonts w:eastAsia="Palatino Linotype" w:cs="Palatino Linotype"/>
          <w:color w:val="000000"/>
          <w:szCs w:val="24"/>
        </w:rPr>
        <w:t xml:space="preserve"> no se entregó la información solicitada</w:t>
      </w:r>
      <w:r w:rsidR="003A4262">
        <w:rPr>
          <w:rFonts w:eastAsia="Palatino Linotype" w:cs="Palatino Linotype"/>
          <w:color w:val="000000"/>
          <w:szCs w:val="24"/>
        </w:rPr>
        <w:t>; dando como razones o motivos de inconformidad que</w:t>
      </w:r>
      <w:r w:rsidR="00C170D0">
        <w:rPr>
          <w:rFonts w:eastAsia="Palatino Linotype" w:cs="Palatino Linotype"/>
          <w:color w:val="000000"/>
          <w:szCs w:val="24"/>
        </w:rPr>
        <w:t xml:space="preserve"> </w:t>
      </w:r>
      <w:r w:rsidR="0031495A">
        <w:rPr>
          <w:rFonts w:eastAsia="Palatino Linotype" w:cs="Palatino Linotype"/>
          <w:color w:val="000000"/>
          <w:szCs w:val="24"/>
        </w:rPr>
        <w:t>de acuerdo a la gubernatura, el Sujeto Obligado cuenta con la información, por lo que la dependencia debe otorgar la información que se genera y en caso de no contar con ella dirigir al usuario al área correspondiente o declarar la inexistencia de la misma, pero no se transparentó la información solicitada ni cumplió con ninguna de las anteriores especificaciones que marca la Ley.</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78D37559" w:rsidR="005B5434" w:rsidRDefault="0031495A" w:rsidP="006922F5">
      <w:pPr>
        <w:pBdr>
          <w:top w:val="nil"/>
          <w:left w:val="nil"/>
          <w:bottom w:val="nil"/>
          <w:right w:val="nil"/>
          <w:between w:val="nil"/>
        </w:pBdr>
        <w:contextualSpacing/>
      </w:pPr>
      <w:r>
        <w:t>Durante la etapa de instrucción, el Sujeto Obligado rindió su Informe Justificado mediante la entrega de los siguientes documentos:</w:t>
      </w:r>
    </w:p>
    <w:p w14:paraId="6349D309" w14:textId="77777777" w:rsidR="0031495A" w:rsidRDefault="0031495A" w:rsidP="006922F5">
      <w:pPr>
        <w:pBdr>
          <w:top w:val="nil"/>
          <w:left w:val="nil"/>
          <w:bottom w:val="nil"/>
          <w:right w:val="nil"/>
          <w:between w:val="nil"/>
        </w:pBdr>
        <w:contextualSpacing/>
      </w:pPr>
    </w:p>
    <w:p w14:paraId="2231FC47" w14:textId="03C3055B" w:rsidR="0031495A" w:rsidRDefault="0031495A" w:rsidP="0031495A">
      <w:pPr>
        <w:pStyle w:val="Prrafodelista"/>
        <w:numPr>
          <w:ilvl w:val="0"/>
          <w:numId w:val="37"/>
        </w:numPr>
        <w:pBdr>
          <w:top w:val="nil"/>
          <w:left w:val="nil"/>
          <w:bottom w:val="nil"/>
          <w:right w:val="nil"/>
          <w:between w:val="nil"/>
        </w:pBdr>
        <w:contextualSpacing/>
      </w:pPr>
      <w:r w:rsidRPr="0031495A">
        <w:rPr>
          <w:b/>
        </w:rPr>
        <w:t>Informe Justificado RR 16965-2022.pdf</w:t>
      </w:r>
      <w:r>
        <w:t>.</w:t>
      </w:r>
      <w:r w:rsidR="00163E5B">
        <w:t xml:space="preserve"> Informe Justificado remitido por el Titular de la Unidad de Transparencia, mediante el cual se refutaron las razones o motivos de inconformidad conforme a la respuesta de la servidora pública habilitada de la Unidad de Apoyo a la Administración General</w:t>
      </w:r>
      <w:r w:rsidR="003944D6">
        <w:t>.</w:t>
      </w:r>
    </w:p>
    <w:p w14:paraId="04C36D4B" w14:textId="48190DE2" w:rsidR="0031495A" w:rsidRDefault="0031495A" w:rsidP="0031495A">
      <w:pPr>
        <w:pStyle w:val="Prrafodelista"/>
        <w:numPr>
          <w:ilvl w:val="0"/>
          <w:numId w:val="37"/>
        </w:numPr>
        <w:pBdr>
          <w:top w:val="nil"/>
          <w:left w:val="nil"/>
          <w:bottom w:val="nil"/>
          <w:right w:val="nil"/>
          <w:between w:val="nil"/>
        </w:pBdr>
        <w:contextualSpacing/>
      </w:pPr>
      <w:r w:rsidRPr="0031495A">
        <w:rPr>
          <w:b/>
        </w:rPr>
        <w:t>16965RR-500 UAAG.pdf</w:t>
      </w:r>
      <w:r>
        <w:t>.</w:t>
      </w:r>
      <w:r w:rsidR="003944D6">
        <w:t xml:space="preserve"> Oficio número 20701002A/730/2022 suscrito por la Coordinadora de Administración y servidora pública habilitada de la Unidad de Apoyo a la Administración General, con el que se informó que, contrario a lo señalado por el Recurrente, sí se entregó la información solicitada y con la que se cuenta en los archivos de las diversas unidades administrativas que conforman esa Unidad,</w:t>
      </w:r>
      <w:r w:rsidR="009A2DE8">
        <w:t xml:space="preserve"> en razón de que si bien es cierto que la Unidad se encarga de las giras de trabajo, audiencias y atención ciudadana del Titular del Ejecutivo del Gobierno </w:t>
      </w:r>
      <w:r w:rsidR="009A2DE8">
        <w:lastRenderedPageBreak/>
        <w:t>del Estado, así como proveer oportunamente de los elementos necesarios que requiera para la realización de sus actividades, también lo es que la Gubernatura manifestó que el Sujeto Obligado posiblemente cuenta con la información, lo que implica que la Gubernatura no afirmó que se cuente con la información, sino que existe la posibilidad de que así sea; por lo que se turnó la solicitud a las áreas competentes la cuales remitieron sus respuesta y la información con la que cada una cuenta; asimismo, no es procedente la declaración de inexistencia debido a que el ejercicio de la atribución de brindar apoyo a ciertas acciones del Titular del Ejecutivo requiere que la Gubernatura haya hecho un requerimiento para que realizaran las gestiones necesarias, lo que no sucedió; por lo anterior, se ratificaron todas y cada una de las partes de la respuesta a la solicitud de información.</w:t>
      </w:r>
    </w:p>
    <w:p w14:paraId="43164B3F" w14:textId="5AC33DF8" w:rsidR="0031495A" w:rsidRDefault="0031495A" w:rsidP="0031495A">
      <w:pPr>
        <w:pStyle w:val="Prrafodelista"/>
        <w:numPr>
          <w:ilvl w:val="0"/>
          <w:numId w:val="37"/>
        </w:numPr>
        <w:pBdr>
          <w:top w:val="nil"/>
          <w:left w:val="nil"/>
          <w:bottom w:val="nil"/>
          <w:right w:val="nil"/>
          <w:between w:val="nil"/>
        </w:pBdr>
        <w:contextualSpacing/>
      </w:pPr>
      <w:r w:rsidRPr="0031495A">
        <w:rPr>
          <w:b/>
        </w:rPr>
        <w:t>CT-2022-0121.pdf</w:t>
      </w:r>
      <w:r>
        <w:t>.</w:t>
      </w:r>
      <w:r w:rsidR="00980847">
        <w:t xml:space="preserve"> Acuerdo emitido por el Comité de Transparencia número CT-2022-0121, con el que se clasificaron como información confidencial los datos personales consistentes en firma de prestador de servicios y números de cuentas bancarias personales del servidor público contenidos en los reportes de gastos de hospedaje, gastos por concepto de alimentación y transporte, así como los documentos que motivan y justifican la gira de trabajo a Roma, Italia.</w:t>
      </w:r>
    </w:p>
    <w:p w14:paraId="06AB1210" w14:textId="5E28CEC7" w:rsidR="0031495A" w:rsidRDefault="0031495A" w:rsidP="0031495A">
      <w:pPr>
        <w:pStyle w:val="Prrafodelista"/>
        <w:numPr>
          <w:ilvl w:val="0"/>
          <w:numId w:val="37"/>
        </w:numPr>
        <w:pBdr>
          <w:top w:val="nil"/>
          <w:left w:val="nil"/>
          <w:bottom w:val="nil"/>
          <w:right w:val="nil"/>
          <w:between w:val="nil"/>
        </w:pBdr>
        <w:contextualSpacing/>
      </w:pPr>
      <w:r w:rsidRPr="0031495A">
        <w:rPr>
          <w:b/>
        </w:rPr>
        <w:t>RR 16965-2022.pdf</w:t>
      </w:r>
      <w:r>
        <w:t>.</w:t>
      </w:r>
      <w:r w:rsidR="00EB39B9">
        <w:t xml:space="preserve"> Oficio número 20701002A/173/2023, emitido por la Coordinadora de Administración y servidora pública habilitada de la Unidad de Apoyo a la Administración General, por medio del cual se reiteran las respuesta del Coordinador de Asuntos Internacionales, Coordinador de Giras, Logística y Seguridad y el Coordinador de Agenda, así como lo referido por el Subcoordinador de Recursos Financieros de la Coordinación de Administración quien informó que no se encontró información contenida en cualquier expresión </w:t>
      </w:r>
      <w:r w:rsidR="00EB39B9">
        <w:lastRenderedPageBreak/>
        <w:t xml:space="preserve">documental por concepto de viáticos del gobernador Alfredo del Mazo Maza para asistir al Vaticano, ya que es necesario que la Gubernatura requiera a la Unidad de Apoyo a la Administración General que se realicen las gestiones necesarias, situación que no aconteció; por lo que, observando el </w:t>
      </w:r>
      <w:proofErr w:type="spellStart"/>
      <w:r w:rsidR="00EB39B9">
        <w:t>princiío</w:t>
      </w:r>
      <w:proofErr w:type="spellEnd"/>
      <w:r w:rsidR="00EB39B9">
        <w:t xml:space="preserve"> de máxima publicidad, se remitieron los comprobantes generados y documentos que motivaron y fundamentaron la gira del Coordinador de Asuntos Internaciones, además de que se entregó el siguiente cuadro para mejor comprensión de la respuesta:</w:t>
      </w:r>
    </w:p>
    <w:p w14:paraId="5E918055" w14:textId="77777777" w:rsidR="00EB39B9" w:rsidRDefault="00EB39B9" w:rsidP="00EB39B9">
      <w:pPr>
        <w:pBdr>
          <w:top w:val="nil"/>
          <w:left w:val="nil"/>
          <w:bottom w:val="nil"/>
          <w:right w:val="nil"/>
          <w:between w:val="nil"/>
        </w:pBdr>
        <w:spacing w:line="240" w:lineRule="auto"/>
        <w:contextualSpacing/>
      </w:pPr>
    </w:p>
    <w:p w14:paraId="4B7C59DC" w14:textId="48F41AB5" w:rsidR="00EB39B9" w:rsidRDefault="00EB39B9" w:rsidP="00EB39B9">
      <w:pPr>
        <w:pBdr>
          <w:top w:val="nil"/>
          <w:left w:val="nil"/>
          <w:bottom w:val="nil"/>
          <w:right w:val="nil"/>
          <w:between w:val="nil"/>
        </w:pBdr>
        <w:spacing w:line="240" w:lineRule="auto"/>
        <w:contextualSpacing/>
      </w:pPr>
      <w:r w:rsidRPr="00EB39B9">
        <w:rPr>
          <w:noProof/>
          <w:lang w:val="es-MX"/>
        </w:rPr>
        <w:drawing>
          <wp:inline distT="0" distB="0" distL="0" distR="0" wp14:anchorId="57B15BEF" wp14:editId="302779AC">
            <wp:extent cx="5939790" cy="2889885"/>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2889885"/>
                    </a:xfrm>
                    <a:prstGeom prst="rect">
                      <a:avLst/>
                    </a:prstGeom>
                  </pic:spPr>
                </pic:pic>
              </a:graphicData>
            </a:graphic>
          </wp:inline>
        </w:drawing>
      </w:r>
    </w:p>
    <w:p w14:paraId="7C902209" w14:textId="26BF2510" w:rsidR="00EB39B9" w:rsidRDefault="00EB39B9" w:rsidP="00EB39B9">
      <w:pPr>
        <w:pBdr>
          <w:top w:val="nil"/>
          <w:left w:val="nil"/>
          <w:bottom w:val="nil"/>
          <w:right w:val="nil"/>
          <w:between w:val="nil"/>
        </w:pBdr>
        <w:spacing w:line="240" w:lineRule="auto"/>
        <w:contextualSpacing/>
      </w:pPr>
      <w:r w:rsidRPr="00EB39B9">
        <w:rPr>
          <w:noProof/>
          <w:lang w:val="es-MX"/>
        </w:rPr>
        <w:drawing>
          <wp:inline distT="0" distB="0" distL="0" distR="0" wp14:anchorId="0DFDA4AB" wp14:editId="573B46B7">
            <wp:extent cx="5981700" cy="17963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2804" cy="1808645"/>
                    </a:xfrm>
                    <a:prstGeom prst="rect">
                      <a:avLst/>
                    </a:prstGeom>
                  </pic:spPr>
                </pic:pic>
              </a:graphicData>
            </a:graphic>
          </wp:inline>
        </w:drawing>
      </w:r>
    </w:p>
    <w:p w14:paraId="4076C0A9" w14:textId="5B0D53A2" w:rsidR="00EB39B9" w:rsidRDefault="00627BD6" w:rsidP="00627BD6">
      <w:pPr>
        <w:pBdr>
          <w:top w:val="nil"/>
          <w:left w:val="nil"/>
          <w:bottom w:val="nil"/>
          <w:right w:val="nil"/>
          <w:between w:val="nil"/>
        </w:pBdr>
        <w:spacing w:line="240" w:lineRule="auto"/>
        <w:contextualSpacing/>
        <w:jc w:val="center"/>
      </w:pPr>
      <w:r w:rsidRPr="00627BD6">
        <w:rPr>
          <w:noProof/>
          <w:lang w:val="es-MX"/>
        </w:rPr>
        <w:lastRenderedPageBreak/>
        <w:drawing>
          <wp:inline distT="0" distB="0" distL="0" distR="0" wp14:anchorId="294E424C" wp14:editId="226E583B">
            <wp:extent cx="5743575" cy="53776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0455" cy="5384059"/>
                    </a:xfrm>
                    <a:prstGeom prst="rect">
                      <a:avLst/>
                    </a:prstGeom>
                  </pic:spPr>
                </pic:pic>
              </a:graphicData>
            </a:graphic>
          </wp:inline>
        </w:drawing>
      </w:r>
    </w:p>
    <w:p w14:paraId="26C9E3F2" w14:textId="2C1F5B51" w:rsidR="00EB39B9" w:rsidRDefault="00627BD6" w:rsidP="00627BD6">
      <w:pPr>
        <w:pBdr>
          <w:top w:val="nil"/>
          <w:left w:val="nil"/>
          <w:bottom w:val="nil"/>
          <w:right w:val="nil"/>
          <w:between w:val="nil"/>
        </w:pBdr>
        <w:spacing w:line="240" w:lineRule="auto"/>
        <w:contextualSpacing/>
        <w:jc w:val="center"/>
      </w:pPr>
      <w:r w:rsidRPr="00627BD6">
        <w:rPr>
          <w:noProof/>
          <w:lang w:val="es-MX"/>
        </w:rPr>
        <w:drawing>
          <wp:inline distT="0" distB="0" distL="0" distR="0" wp14:anchorId="49FF052F" wp14:editId="35BF19DB">
            <wp:extent cx="5753100" cy="192938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5195" cy="1940149"/>
                    </a:xfrm>
                    <a:prstGeom prst="rect">
                      <a:avLst/>
                    </a:prstGeom>
                  </pic:spPr>
                </pic:pic>
              </a:graphicData>
            </a:graphic>
          </wp:inline>
        </w:drawing>
      </w:r>
    </w:p>
    <w:p w14:paraId="2A3A7882" w14:textId="77777777" w:rsidR="00EB39B9" w:rsidRDefault="00EB39B9" w:rsidP="00A82CBF"/>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 xml:space="preserve">Los sujetos obligados deberán </w:t>
      </w:r>
      <w:r w:rsidRPr="006922F5">
        <w:rPr>
          <w:b/>
        </w:rPr>
        <w:lastRenderedPageBreak/>
        <w:t>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93CA3E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6669638F" w:rsidR="00C82268" w:rsidRPr="006922F5" w:rsidRDefault="00C82268" w:rsidP="006922F5">
      <w:pPr>
        <w:pStyle w:val="Fundamentos"/>
      </w:pPr>
    </w:p>
    <w:p w14:paraId="79FD530B" w14:textId="1189AFE1" w:rsidR="00C82268" w:rsidRPr="006922F5" w:rsidRDefault="00C82268" w:rsidP="006922F5">
      <w:pPr>
        <w:pStyle w:val="Fundamentos"/>
      </w:pPr>
      <w:r w:rsidRPr="006922F5">
        <w:rPr>
          <w:b/>
          <w:bCs/>
        </w:rPr>
        <w:t>I.</w:t>
      </w:r>
      <w:r w:rsidR="00BA7C85">
        <w:rPr>
          <w:b/>
          <w:bCs/>
        </w:rPr>
        <w:t xml:space="preserve"> </w:t>
      </w:r>
      <w:r w:rsidR="00441BFA">
        <w:t>El</w:t>
      </w:r>
      <w:r w:rsidR="001530E5" w:rsidRPr="006922F5">
        <w:t xml:space="preserve"> </w:t>
      </w:r>
      <w:r w:rsidR="00441BFA" w:rsidRPr="00441BFA">
        <w:t>Poder Ejecutivo del Estado de México, las dependencias, organismos auxiliares, órganos, entidades, fideicomisos y fondos públicos, así como la Procuraduría General de Justicia</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74CAD1A" w14:textId="428359FE" w:rsidR="00E345AC" w:rsidRPr="00A861DD" w:rsidRDefault="00A970D5" w:rsidP="00A861DD">
      <w:pPr>
        <w:pBdr>
          <w:top w:val="nil"/>
          <w:left w:val="nil"/>
          <w:bottom w:val="nil"/>
          <w:right w:val="nil"/>
          <w:between w:val="nil"/>
        </w:pBdr>
        <w:contextualSpacing/>
        <w:rPr>
          <w:rFonts w:eastAsia="Palatino Linotype" w:cs="Palatino Linotype"/>
          <w:color w:val="000000"/>
          <w:sz w:val="22"/>
        </w:rPr>
      </w:pPr>
      <w:r w:rsidRPr="006922F5">
        <w:rPr>
          <w:rFonts w:eastAsia="Palatino Linotype" w:cs="Palatino Linotype"/>
          <w:szCs w:val="24"/>
        </w:rPr>
        <w:t xml:space="preserve">En segundo término, </w:t>
      </w:r>
      <w:r w:rsidR="00A861DD">
        <w:rPr>
          <w:rFonts w:eastAsia="Palatino Linotype" w:cs="Palatino Linotype"/>
          <w:color w:val="000000"/>
          <w:szCs w:val="24"/>
        </w:rPr>
        <w:t xml:space="preserve">se tiene que </w:t>
      </w:r>
      <w:r w:rsidR="0022591F">
        <w:rPr>
          <w:rFonts w:eastAsia="Palatino Linotype" w:cs="Palatino Linotype"/>
          <w:szCs w:val="24"/>
        </w:rPr>
        <w:t>el Sujeto O</w:t>
      </w:r>
      <w:r w:rsidR="00E345AC">
        <w:rPr>
          <w:rFonts w:eastAsia="Palatino Linotype" w:cs="Palatino Linotype"/>
          <w:szCs w:val="24"/>
        </w:rPr>
        <w:t>bligado, mediante lo referido por el Coordinador de Asuntos Internacionales, el Coordinador de Giras, Logística y Seguridad, Coordinado de Agenda y el Subcoordinador de Recursos Financieros de la Coordinación Administrativa adscritos a la Unidad de Apoyo a la Administración General, manifestó que no se cuenta con la informaci</w:t>
      </w:r>
      <w:r w:rsidR="00B05858">
        <w:rPr>
          <w:rFonts w:eastAsia="Palatino Linotype" w:cs="Palatino Linotype"/>
          <w:szCs w:val="24"/>
        </w:rPr>
        <w:t xml:space="preserve">ón solicitada por el Recurrente; no obstante, atendiendo el principio de máxima publicidad, se hizo entrega de los comprobantes de pago respecto de la compra de boletos de avión, hospedaje, alimentos y transporte, así como de los </w:t>
      </w:r>
      <w:r w:rsidR="00B05858">
        <w:rPr>
          <w:rFonts w:eastAsia="Palatino Linotype" w:cs="Palatino Linotype"/>
          <w:szCs w:val="24"/>
        </w:rPr>
        <w:lastRenderedPageBreak/>
        <w:t>documentos que motivaron y fundamentaron la visita a la ciudad de Roma, Italia del Coordinador de Asuntos Internacionales.</w:t>
      </w:r>
    </w:p>
    <w:p w14:paraId="75700A25" w14:textId="77777777" w:rsidR="00B05858" w:rsidRDefault="00B05858" w:rsidP="00BF7B4F">
      <w:pPr>
        <w:contextualSpacing/>
        <w:rPr>
          <w:rFonts w:eastAsia="Palatino Linotype" w:cs="Palatino Linotype"/>
          <w:szCs w:val="24"/>
        </w:rPr>
      </w:pPr>
    </w:p>
    <w:p w14:paraId="1467DE7C" w14:textId="2EE38045" w:rsidR="00B05858" w:rsidRDefault="00B05858" w:rsidP="00BF7B4F">
      <w:pPr>
        <w:contextualSpacing/>
        <w:rPr>
          <w:rFonts w:eastAsia="Palatino Linotype" w:cs="Palatino Linotype"/>
          <w:szCs w:val="24"/>
        </w:rPr>
      </w:pPr>
      <w:r>
        <w:rPr>
          <w:rFonts w:eastAsia="Palatino Linotype" w:cs="Palatino Linotype"/>
          <w:szCs w:val="24"/>
        </w:rPr>
        <w:t>Es decir, el Sujeto Obligado no cuenta con la información solicitada en los términos planteados por el Recurrente, pues la solicitud fue atendida por la unidad administrativa que se consideró competente y turnada a las áreas que pudiesen generar la información, sin que se haya encontrado documento alguno que dé cuenta de los requerimientos del particular.</w:t>
      </w:r>
    </w:p>
    <w:p w14:paraId="352D88BD" w14:textId="77777777" w:rsidR="00B05858" w:rsidRDefault="00B05858" w:rsidP="00BF7B4F">
      <w:pPr>
        <w:contextualSpacing/>
        <w:rPr>
          <w:rFonts w:eastAsia="Palatino Linotype" w:cs="Palatino Linotype"/>
          <w:szCs w:val="24"/>
        </w:rPr>
      </w:pPr>
    </w:p>
    <w:p w14:paraId="68BCA716" w14:textId="69041410" w:rsidR="00B05858" w:rsidRDefault="00B05858" w:rsidP="00BF7B4F">
      <w:pPr>
        <w:contextualSpacing/>
        <w:rPr>
          <w:rFonts w:eastAsia="Palatino Linotype" w:cs="Palatino Linotype"/>
          <w:szCs w:val="24"/>
        </w:rPr>
      </w:pPr>
      <w:r>
        <w:rPr>
          <w:rFonts w:eastAsia="Palatino Linotype" w:cs="Palatino Linotype"/>
          <w:szCs w:val="24"/>
        </w:rPr>
        <w:t>Por lo anterior, conviene establece que el día veinticuatro de junio de dos mil dieciséis se publicó en el Periódico Oficial Gaceta del Gobierno el Manual de Organización de la Unidad de Apoyo a la Administración G</w:t>
      </w:r>
      <w:r w:rsidR="00392DAB">
        <w:rPr>
          <w:rFonts w:eastAsia="Palatino Linotype" w:cs="Palatino Linotype"/>
          <w:szCs w:val="24"/>
        </w:rPr>
        <w:t>eneral, en el que se establece que el objetivo general es planear, organizar y coordinar las actividades del titular del Ejecutivo Estatal, a fin de que la atención y el despacho de los asuntos de su competencia y responsabilidad se lleven a cabo de manera ágil y eficiente, así como proporcionar el apoyo de seguridad y logística que se requiera en los actos y eventos en que participe.</w:t>
      </w:r>
    </w:p>
    <w:p w14:paraId="5C828659" w14:textId="77777777" w:rsidR="00392DAB" w:rsidRDefault="00392DAB" w:rsidP="00BF7B4F">
      <w:pPr>
        <w:contextualSpacing/>
        <w:rPr>
          <w:rFonts w:eastAsia="Palatino Linotype" w:cs="Palatino Linotype"/>
          <w:szCs w:val="24"/>
        </w:rPr>
      </w:pPr>
    </w:p>
    <w:p w14:paraId="7CC26A9B" w14:textId="77777777" w:rsidR="00392DAB" w:rsidRDefault="00392DAB" w:rsidP="00392DAB">
      <w:pPr>
        <w:contextualSpacing/>
        <w:rPr>
          <w:rFonts w:eastAsia="Palatino Linotype" w:cs="Palatino Linotype"/>
          <w:szCs w:val="24"/>
        </w:rPr>
      </w:pPr>
      <w:r>
        <w:rPr>
          <w:rFonts w:eastAsia="Palatino Linotype" w:cs="Palatino Linotype"/>
          <w:szCs w:val="24"/>
        </w:rPr>
        <w:t xml:space="preserve">Así, dicho Manual establece que el objetivo de esa Unidad es proveer </w:t>
      </w:r>
      <w:r w:rsidRPr="00392DAB">
        <w:rPr>
          <w:rFonts w:eastAsia="Palatino Linotype" w:cs="Palatino Linotype"/>
          <w:szCs w:val="24"/>
        </w:rPr>
        <w:t>oportunamente de los elementos y recursos necesarios que se requieran para la realización de giras de trabajo, audiencias,</w:t>
      </w:r>
      <w:r>
        <w:rPr>
          <w:rFonts w:eastAsia="Palatino Linotype" w:cs="Palatino Linotype"/>
          <w:szCs w:val="24"/>
        </w:rPr>
        <w:t xml:space="preserve"> </w:t>
      </w:r>
      <w:r w:rsidRPr="00392DAB">
        <w:rPr>
          <w:rFonts w:eastAsia="Palatino Linotype" w:cs="Palatino Linotype"/>
          <w:szCs w:val="24"/>
        </w:rPr>
        <w:t>atención a la ciudadanía, así como coordinar la información política estratégica, y disponer lo necesario para salvaguardar la integridad</w:t>
      </w:r>
      <w:r>
        <w:rPr>
          <w:rFonts w:eastAsia="Palatino Linotype" w:cs="Palatino Linotype"/>
          <w:szCs w:val="24"/>
        </w:rPr>
        <w:t xml:space="preserve"> </w:t>
      </w:r>
      <w:r w:rsidRPr="00392DAB">
        <w:rPr>
          <w:rFonts w:eastAsia="Palatino Linotype" w:cs="Palatino Linotype"/>
          <w:szCs w:val="24"/>
        </w:rPr>
        <w:t>física de los participantes en los eventos y actos en los que asista el titular del Ejecutivo Estatal y coadyuvar en las relaciones diplomáticas</w:t>
      </w:r>
      <w:r>
        <w:rPr>
          <w:rFonts w:eastAsia="Palatino Linotype" w:cs="Palatino Linotype"/>
          <w:szCs w:val="24"/>
        </w:rPr>
        <w:t xml:space="preserve"> </w:t>
      </w:r>
      <w:r w:rsidRPr="00392DAB">
        <w:rPr>
          <w:rFonts w:eastAsia="Palatino Linotype" w:cs="Palatino Linotype"/>
          <w:szCs w:val="24"/>
        </w:rPr>
        <w:t>del Gobierno del Estado de México con agencias y organismos internacionales.</w:t>
      </w:r>
      <w:r>
        <w:rPr>
          <w:rFonts w:eastAsia="Palatino Linotype" w:cs="Palatino Linotype"/>
          <w:szCs w:val="24"/>
        </w:rPr>
        <w:t xml:space="preserve"> </w:t>
      </w:r>
    </w:p>
    <w:p w14:paraId="678E04C9" w14:textId="77777777" w:rsidR="00392DAB" w:rsidRDefault="00392DAB" w:rsidP="00392DAB">
      <w:pPr>
        <w:contextualSpacing/>
        <w:rPr>
          <w:rFonts w:eastAsia="Palatino Linotype" w:cs="Palatino Linotype"/>
          <w:szCs w:val="24"/>
        </w:rPr>
      </w:pPr>
    </w:p>
    <w:p w14:paraId="1668EAB0" w14:textId="5E9CC43D" w:rsidR="00392DAB" w:rsidRDefault="00392DAB" w:rsidP="00392DAB">
      <w:pPr>
        <w:contextualSpacing/>
        <w:rPr>
          <w:rFonts w:eastAsia="Palatino Linotype" w:cs="Palatino Linotype"/>
          <w:szCs w:val="24"/>
        </w:rPr>
      </w:pPr>
      <w:r>
        <w:rPr>
          <w:rFonts w:eastAsia="Palatino Linotype" w:cs="Palatino Linotype"/>
          <w:szCs w:val="24"/>
        </w:rPr>
        <w:t>Para lograr lo anterior, la Unidad cuenta con otras áreas, entre ellas la Coordinación de Giras, Logística y Seguridad que es la que está encargada de planear, dirigir y coordinar las giras de trabajo, así como controlar las acciones de logística y seguridad, necesarias para la realización de los actos y eventos del titular del Ejecutivo Estatal, supervisando su adecuado desarrollo; la Coordinación de Agenda tiene como objetivo planear y supervisar las actividades que el Titular del Ejecutivo Estatal apruebe incorporar en su agenda de trabajo, manteniendo informados a los titulares de las dependencias y organismos auxiliares de la administración pública estatal de la realización de las mismas, así como coordinar la audiencia privada. Mientras que la Coordinación de Asuntos Internacionales se encarga de coordinar y promover todas aquellas acciones que busquen construir y fortalecer vínculos de cooperación con las diversas dependencia, organismos e instituciones públicas o privadas, nacionales o internacionales, que permitan construir una agenda en común, con intereses compartidos o complementarios, orientados al desarrollo de la entidad y a la proyección de su imagen y presencia en el exterior.</w:t>
      </w:r>
    </w:p>
    <w:p w14:paraId="3F213C57" w14:textId="77777777" w:rsidR="00392DAB" w:rsidRDefault="00392DAB" w:rsidP="00392DAB">
      <w:pPr>
        <w:contextualSpacing/>
        <w:rPr>
          <w:rFonts w:eastAsia="Palatino Linotype" w:cs="Palatino Linotype"/>
          <w:szCs w:val="24"/>
        </w:rPr>
      </w:pPr>
    </w:p>
    <w:p w14:paraId="7914A9D2" w14:textId="1C54EEC9" w:rsidR="00392DAB" w:rsidRDefault="00392DAB" w:rsidP="00392DAB">
      <w:pPr>
        <w:contextualSpacing/>
        <w:rPr>
          <w:rFonts w:eastAsia="Palatino Linotype" w:cs="Palatino Linotype"/>
          <w:szCs w:val="24"/>
        </w:rPr>
      </w:pPr>
      <w:r>
        <w:rPr>
          <w:rFonts w:eastAsia="Palatino Linotype" w:cs="Palatino Linotype"/>
          <w:szCs w:val="24"/>
        </w:rPr>
        <w:t xml:space="preserve">Asimismo, el Manual en cita </w:t>
      </w:r>
      <w:r w:rsidR="00CA033E">
        <w:rPr>
          <w:rFonts w:eastAsia="Palatino Linotype" w:cs="Palatino Linotype"/>
          <w:szCs w:val="24"/>
        </w:rPr>
        <w:t xml:space="preserve">estipula que la </w:t>
      </w:r>
      <w:proofErr w:type="spellStart"/>
      <w:r w:rsidR="00CA033E">
        <w:rPr>
          <w:rFonts w:eastAsia="Palatino Linotype" w:cs="Palatino Linotype"/>
          <w:szCs w:val="24"/>
        </w:rPr>
        <w:t>Subcoordinación</w:t>
      </w:r>
      <w:proofErr w:type="spellEnd"/>
      <w:r w:rsidR="00CA033E">
        <w:rPr>
          <w:rFonts w:eastAsia="Palatino Linotype" w:cs="Palatino Linotype"/>
          <w:szCs w:val="24"/>
        </w:rPr>
        <w:t xml:space="preserve"> de Recursos Financieros tiene como objetivo controlar y vigilar el adecuado ejercicio del presupuesto autorizado a la Gubernatura y a la Unidad de Apoyo a la Administración General, observando y cumpliendo las disposiciones que se emitan en la materia, así como realizar los registros contables de los recursos ejercidos para contar con información financiera y presupuestal actualizada y confiable; y tiene entre sus funciones recibir y registrar contablemente los comprobantes de gastos generados por la operación de las unidades administrativas de </w:t>
      </w:r>
      <w:r w:rsidR="00CA033E">
        <w:rPr>
          <w:rFonts w:eastAsia="Palatino Linotype" w:cs="Palatino Linotype"/>
          <w:szCs w:val="24"/>
        </w:rPr>
        <w:lastRenderedPageBreak/>
        <w:t>la Gubernatura y de la Unidad</w:t>
      </w:r>
      <w:r w:rsidR="00A861DD">
        <w:rPr>
          <w:rFonts w:eastAsia="Palatino Linotype" w:cs="Palatino Linotype"/>
          <w:szCs w:val="24"/>
        </w:rPr>
        <w:t xml:space="preserve">, así como tramitar, registrar y controlar ingresos y egresos por concepto de fondo revolvente, </w:t>
      </w:r>
      <w:r w:rsidR="00A861DD">
        <w:rPr>
          <w:rFonts w:eastAsia="Palatino Linotype" w:cs="Palatino Linotype"/>
          <w:b/>
          <w:szCs w:val="24"/>
        </w:rPr>
        <w:t>gastos a comprobar y gastos de viaje de la Gubernatura</w:t>
      </w:r>
      <w:r w:rsidR="00A861DD">
        <w:rPr>
          <w:rFonts w:eastAsia="Palatino Linotype" w:cs="Palatino Linotype"/>
          <w:szCs w:val="24"/>
        </w:rPr>
        <w:t xml:space="preserve"> y de la Unidad.</w:t>
      </w:r>
    </w:p>
    <w:p w14:paraId="576016BB" w14:textId="77777777" w:rsidR="00A861DD" w:rsidRDefault="00A861DD" w:rsidP="00392DAB">
      <w:pPr>
        <w:contextualSpacing/>
        <w:rPr>
          <w:rFonts w:eastAsia="Palatino Linotype" w:cs="Palatino Linotype"/>
          <w:szCs w:val="24"/>
        </w:rPr>
      </w:pPr>
    </w:p>
    <w:p w14:paraId="01594940" w14:textId="7D5C4B4A" w:rsidR="00A861DD" w:rsidRDefault="00A861DD" w:rsidP="00392DAB">
      <w:pPr>
        <w:contextualSpacing/>
        <w:rPr>
          <w:rFonts w:eastAsia="Palatino Linotype" w:cs="Palatino Linotype"/>
          <w:szCs w:val="24"/>
        </w:rPr>
      </w:pPr>
      <w:r>
        <w:rPr>
          <w:rFonts w:eastAsia="Palatino Linotype" w:cs="Palatino Linotype"/>
          <w:szCs w:val="24"/>
        </w:rPr>
        <w:t>Por tanto, se debe considerar que la respuesta fue emitida por las unidades administrativas competentes; de tal forma que al haber manifestado que luego de una búsqueda exhaustiva y razonable dentro de sus archivos no se encontró información relacionada con la solicitud de información se debe entender que no se generó, administró o poseyó la documentación solicitada.</w:t>
      </w:r>
    </w:p>
    <w:p w14:paraId="3D338AB0" w14:textId="77777777" w:rsidR="00A861DD" w:rsidRDefault="00A861DD" w:rsidP="00392DAB">
      <w:pPr>
        <w:contextualSpacing/>
        <w:rPr>
          <w:rFonts w:eastAsia="Palatino Linotype" w:cs="Palatino Linotype"/>
          <w:szCs w:val="24"/>
        </w:rPr>
      </w:pPr>
    </w:p>
    <w:p w14:paraId="175167AB" w14:textId="77777777" w:rsidR="00A861DD" w:rsidRPr="00D63146" w:rsidRDefault="00A861DD" w:rsidP="00A861DD">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lang w:val="es-ES"/>
        </w:rPr>
        <w:t xml:space="preserve">De tal forma que la respuesta del Sujeto Obligado </w:t>
      </w:r>
      <w:r w:rsidRPr="00D63146">
        <w:rPr>
          <w:rFonts w:ascii="Palatino Linotype" w:eastAsiaTheme="minorHAnsi" w:hAnsi="Palatino Linotype" w:cstheme="minorHAnsi"/>
          <w:lang w:eastAsia="en-US"/>
        </w:rPr>
        <w:t>se traduce en un pron</w:t>
      </w:r>
      <w:r>
        <w:rPr>
          <w:rFonts w:ascii="Palatino Linotype" w:eastAsiaTheme="minorHAnsi" w:hAnsi="Palatino Linotype" w:cstheme="minorHAnsi"/>
          <w:lang w:eastAsia="en-US"/>
        </w:rPr>
        <w:t>unciamiento en sentido negativo;</w:t>
      </w:r>
      <w:r w:rsidRPr="00D63146">
        <w:rPr>
          <w:rFonts w:ascii="Palatino Linotype" w:eastAsiaTheme="minorHAnsi" w:hAnsi="Palatino Linotype" w:cstheme="minorHAnsi"/>
          <w:lang w:eastAsia="en-US"/>
        </w:rPr>
        <w:t xml:space="preserve"> es decir, </w:t>
      </w:r>
      <w:r w:rsidRPr="00D63146">
        <w:rPr>
          <w:rFonts w:ascii="Palatino Linotype" w:eastAsiaTheme="minorHAnsi" w:hAnsi="Palatino Linotype" w:cstheme="minorBidi"/>
          <w:lang w:eastAsia="en-US"/>
        </w:rPr>
        <w:t xml:space="preserve">se concluye que la respuesta constituye hechos negativos, pues no se ha generado, poseído o administrado </w:t>
      </w:r>
      <w:r>
        <w:rPr>
          <w:rFonts w:ascii="Palatino Linotype" w:eastAsiaTheme="minorHAnsi" w:hAnsi="Palatino Linotype" w:cstheme="minorBidi"/>
          <w:lang w:eastAsia="en-US"/>
        </w:rPr>
        <w:t>el documento relativo</w:t>
      </w:r>
      <w:r w:rsidRPr="00D63146">
        <w:rPr>
          <w:rFonts w:ascii="Palatino Linotype" w:eastAsiaTheme="minorHAnsi" w:hAnsi="Palatino Linotype" w:cstheme="minorBidi"/>
          <w:lang w:eastAsia="en-US"/>
        </w:rPr>
        <w:t xml:space="preserve"> a lo solicitado por el Recurrente. </w:t>
      </w:r>
      <w:r w:rsidRPr="00D63146">
        <w:rPr>
          <w:rFonts w:ascii="Palatino Linotype" w:eastAsiaTheme="minorHAnsi" w:hAnsi="Palatino Linotype" w:cs="Arial"/>
        </w:rPr>
        <w:t>A</w:t>
      </w:r>
      <w:r>
        <w:rPr>
          <w:rFonts w:ascii="Palatino Linotype" w:eastAsiaTheme="minorHAnsi" w:hAnsi="Palatino Linotype" w:cs="Arial"/>
        </w:rPr>
        <w:t xml:space="preserve">sí, </w:t>
      </w:r>
      <w:r w:rsidRPr="00D63146">
        <w:rPr>
          <w:rFonts w:ascii="Palatino Linotype" w:eastAsiaTheme="minorHAnsi" w:hAnsi="Palatino Linotype" w:cs="Arial"/>
        </w:rPr>
        <w:t>el Pleno de este Órgano Garante ha sostenido que</w:t>
      </w:r>
      <w:r>
        <w:rPr>
          <w:rFonts w:ascii="Palatino Linotype" w:eastAsiaTheme="minorHAnsi" w:hAnsi="Palatino Linotype" w:cs="Arial"/>
        </w:rPr>
        <w:t xml:space="preserve"> ante un hecho negativo</w:t>
      </w:r>
      <w:r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2902C544" w14:textId="77777777" w:rsidR="00A861DD" w:rsidRPr="00A861DD" w:rsidRDefault="00A861DD" w:rsidP="00A861DD"/>
    <w:p w14:paraId="6A5699BE" w14:textId="77777777" w:rsidR="00A861DD" w:rsidRPr="00A861DD" w:rsidRDefault="00A861DD" w:rsidP="00A861DD">
      <w:pPr>
        <w:pStyle w:val="Fundamentos"/>
        <w:rPr>
          <w:b/>
        </w:rPr>
      </w:pPr>
      <w:r w:rsidRPr="00A861DD">
        <w:rPr>
          <w:b/>
        </w:rPr>
        <w:t xml:space="preserve">HECHOS NEGATIVOS, NO SON SUSCEPTIBLES DE DEMOSTRACIÓN. </w:t>
      </w:r>
    </w:p>
    <w:p w14:paraId="1754F846" w14:textId="77777777" w:rsidR="00A861DD" w:rsidRPr="00A861DD" w:rsidRDefault="00A861DD" w:rsidP="00A861DD">
      <w:pPr>
        <w:pStyle w:val="Fundamentos"/>
      </w:pPr>
      <w:r w:rsidRPr="00A861DD">
        <w:t>Tratándose de un hecho negativo, el Juez no tiene por qué invocar prueba alguna de la que se desprenda, ya que es bien sabido que esta clase de hechos no son susceptibles de demostración.</w:t>
      </w:r>
    </w:p>
    <w:p w14:paraId="31C55EA3" w14:textId="77777777" w:rsidR="00A861DD" w:rsidRPr="00A861DD" w:rsidRDefault="00A861DD" w:rsidP="00A861DD"/>
    <w:p w14:paraId="7BCC5872" w14:textId="77777777" w:rsidR="00A861DD" w:rsidRPr="00D63146" w:rsidRDefault="00A861DD" w:rsidP="00A861DD">
      <w:pPr>
        <w:rPr>
          <w:rFonts w:eastAsiaTheme="minorHAnsi" w:cstheme="minorBidi"/>
          <w:szCs w:val="24"/>
          <w:lang w:eastAsia="en-US"/>
        </w:rPr>
      </w:pPr>
      <w:r>
        <w:rPr>
          <w:rFonts w:eastAsiaTheme="minorHAnsi" w:cstheme="minorBidi"/>
          <w:szCs w:val="24"/>
        </w:rPr>
        <w:t xml:space="preserve">Además, </w:t>
      </w:r>
      <w:r w:rsidRPr="00D63146">
        <w:rPr>
          <w:rFonts w:eastAsiaTheme="minorHAnsi" w:cstheme="minorBidi"/>
          <w:szCs w:val="24"/>
        </w:rPr>
        <w:t>de conformidad con lo establecido en el artículo 12 de la Ley de</w:t>
      </w:r>
      <w:r>
        <w:rPr>
          <w:rFonts w:eastAsiaTheme="minorHAnsi" w:cstheme="minorBidi"/>
          <w:szCs w:val="24"/>
        </w:rPr>
        <w:t xml:space="preserve"> la materia</w:t>
      </w:r>
      <w:r w:rsidRPr="00D63146">
        <w:rPr>
          <w:rFonts w:eastAsiaTheme="minorHAnsi" w:cstheme="minorBidi"/>
          <w:szCs w:val="24"/>
        </w:rPr>
        <w:t>, el Sujeto Obligado sólo proporcionará la información que obra en sus archivos, lo que</w:t>
      </w:r>
      <w:r>
        <w:rPr>
          <w:rFonts w:eastAsiaTheme="minorHAnsi" w:cstheme="minorBidi"/>
          <w:szCs w:val="24"/>
        </w:rPr>
        <w:t xml:space="preserve"> </w:t>
      </w:r>
      <w:r w:rsidRPr="00D63146">
        <w:rPr>
          <w:rFonts w:eastAsiaTheme="minorHAnsi" w:cstheme="minorBidi"/>
          <w:i/>
          <w:szCs w:val="24"/>
        </w:rPr>
        <w:t xml:space="preserve">a </w:t>
      </w:r>
      <w:r w:rsidRPr="00D63146">
        <w:rPr>
          <w:rFonts w:eastAsiaTheme="minorHAnsi" w:cstheme="minorBidi"/>
          <w:i/>
          <w:szCs w:val="24"/>
        </w:rPr>
        <w:lastRenderedPageBreak/>
        <w:t>contrario sensu</w:t>
      </w:r>
      <w:r>
        <w:rPr>
          <w:rFonts w:eastAsiaTheme="minorHAnsi" w:cstheme="minorBidi"/>
          <w:szCs w:val="24"/>
        </w:rPr>
        <w:t xml:space="preserve"> significa que no</w:t>
      </w:r>
      <w:r w:rsidRPr="00D63146">
        <w:rPr>
          <w:rFonts w:eastAsiaTheme="minorHAnsi" w:cstheme="minorBidi"/>
          <w:szCs w:val="24"/>
        </w:rPr>
        <w:t xml:space="preserve"> está obligado a proporcionar lo que no obre en sus archivos.</w:t>
      </w:r>
    </w:p>
    <w:p w14:paraId="696A0752" w14:textId="77777777" w:rsidR="00A861DD" w:rsidRPr="00D63146" w:rsidRDefault="00A861DD" w:rsidP="00A861DD">
      <w:pPr>
        <w:rPr>
          <w:rFonts w:eastAsiaTheme="minorHAnsi" w:cstheme="minorBidi"/>
          <w:szCs w:val="24"/>
          <w:lang w:eastAsia="en-US"/>
        </w:rPr>
      </w:pPr>
    </w:p>
    <w:p w14:paraId="23A7C303" w14:textId="77777777" w:rsidR="00A861DD" w:rsidRPr="00D63146" w:rsidRDefault="00A861DD" w:rsidP="00A861DD">
      <w:pPr>
        <w:rPr>
          <w:rFonts w:eastAsiaTheme="minorHAnsi" w:cstheme="minorBidi"/>
          <w:szCs w:val="24"/>
          <w:lang w:eastAsia="en-US"/>
        </w:rPr>
      </w:pPr>
      <w:r w:rsidRPr="00D63146">
        <w:rPr>
          <w:rFonts w:eastAsiaTheme="minorHAnsi" w:cstheme="minorBidi"/>
          <w:szCs w:val="24"/>
          <w:lang w:eastAsia="en-US"/>
        </w:rPr>
        <w:t>Asimismo, se destaca que el Sujeto Obligad</w:t>
      </w:r>
      <w:r>
        <w:rPr>
          <w:rFonts w:eastAsiaTheme="minorHAnsi" w:cstheme="minorBidi"/>
          <w:szCs w:val="24"/>
          <w:lang w:eastAsia="en-US"/>
        </w:rPr>
        <w:t>o emitió un pronunciamiento. Por ende</w:t>
      </w:r>
      <w:r w:rsidRPr="00D63146">
        <w:rPr>
          <w:rFonts w:eastAsiaTheme="minorHAnsi" w:cstheme="minorBidi"/>
          <w:szCs w:val="24"/>
          <w:lang w:eastAsia="en-US"/>
        </w:rPr>
        <w:t>, a</w:t>
      </w:r>
      <w:r>
        <w:rPr>
          <w:rFonts w:eastAsiaTheme="minorHAnsi" w:cstheme="minorBidi"/>
          <w:szCs w:val="24"/>
          <w:lang w:eastAsia="en-US"/>
        </w:rPr>
        <w:t>l existir un pronunciamiento, aú</w:t>
      </w:r>
      <w:r w:rsidRPr="00D63146">
        <w:rPr>
          <w:rFonts w:eastAsiaTheme="minorHAnsi" w:cstheme="minorBidi"/>
          <w:szCs w:val="24"/>
          <w:lang w:eastAsia="en-US"/>
        </w:rPr>
        <w:t xml:space="preserve">n en sentido negativo por parte del Sujeto Obligado, </w:t>
      </w:r>
      <w:r w:rsidRPr="00D63146">
        <w:rPr>
          <w:rFonts w:eastAsiaTheme="minorHAnsi" w:cstheme="minorBidi"/>
          <w:szCs w:val="24"/>
        </w:rPr>
        <w:t>este Órgano Garante estima conveniente señalar que no está facultado para manifestarse sobre la veracidad de la información proporcionada, ya que no existe precepto legal alguna en la Ley de la Materia que permita, vía recur</w:t>
      </w:r>
      <w:r>
        <w:rPr>
          <w:rFonts w:eastAsiaTheme="minorHAnsi" w:cstheme="minorBidi"/>
          <w:szCs w:val="24"/>
        </w:rPr>
        <w:t>so de revisión, que se pronuncie</w:t>
      </w:r>
      <w:r w:rsidRPr="00D63146">
        <w:rPr>
          <w:rFonts w:eastAsiaTheme="minorHAnsi" w:cstheme="minorBidi"/>
          <w:szCs w:val="24"/>
        </w:rPr>
        <w:t xml:space="preserve"> al respecto. Por analogía, sirve de apo</w:t>
      </w:r>
      <w:r>
        <w:rPr>
          <w:rFonts w:eastAsiaTheme="minorHAnsi" w:cstheme="minorBidi"/>
          <w:szCs w:val="24"/>
        </w:rPr>
        <w:t>yo a lo anterior el Criterio 31/</w:t>
      </w:r>
      <w:r w:rsidRPr="00D63146">
        <w:rPr>
          <w:rFonts w:eastAsiaTheme="minorHAnsi" w:cstheme="minorBidi"/>
          <w:szCs w:val="24"/>
        </w:rPr>
        <w:t>10 emitido por el entonces Instituto Federal de Accesos a la Información y Protección de Datos, que a la letra establece lo siguiente:</w:t>
      </w:r>
    </w:p>
    <w:p w14:paraId="75F104FB" w14:textId="77777777" w:rsidR="00A861DD" w:rsidRPr="00D63146" w:rsidRDefault="00A861DD" w:rsidP="00A861DD">
      <w:pPr>
        <w:rPr>
          <w:rFonts w:eastAsiaTheme="minorHAnsi" w:cstheme="minorBidi"/>
          <w:szCs w:val="24"/>
        </w:rPr>
      </w:pPr>
    </w:p>
    <w:p w14:paraId="3A59088C" w14:textId="77777777" w:rsidR="00A861DD" w:rsidRPr="00D63146" w:rsidRDefault="00A861DD" w:rsidP="00A861DD">
      <w:pPr>
        <w:pStyle w:val="Fundamentos"/>
        <w:rPr>
          <w:rFonts w:cstheme="minorBidi"/>
          <w:lang w:eastAsia="en-US"/>
        </w:rPr>
      </w:pPr>
      <w:r w:rsidRPr="00A861DD">
        <w:rPr>
          <w:b/>
        </w:rPr>
        <w:t>EL INSTITUTO FEDERAL DE ACCESO A LA INFORMACIÓN Y PROTECCIÓN DE DATOS NO CUENTA CON FACULTADES PARA PRONUNCIARSE RESPECTO DE LA VERACIDAD DE LOS DOCUMENTOS PROPORCIONADOS POR LOS SUJETOS OBLIGADOS.</w:t>
      </w:r>
      <w:r w:rsidRPr="00D63146">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4A9A3FA" w14:textId="77777777" w:rsidR="00A861DD" w:rsidRPr="00D63146" w:rsidRDefault="00A861DD" w:rsidP="00A861DD">
      <w:pPr>
        <w:rPr>
          <w:rFonts w:eastAsiaTheme="minorHAnsi" w:cs="Arial"/>
          <w:szCs w:val="24"/>
          <w:lang w:eastAsia="en-US"/>
        </w:rPr>
      </w:pPr>
    </w:p>
    <w:p w14:paraId="58C14F6A" w14:textId="56F1A18B" w:rsidR="00A861DD" w:rsidRDefault="00A861DD" w:rsidP="00A861DD">
      <w:pPr>
        <w:contextualSpacing/>
        <w:rPr>
          <w:rFonts w:eastAsiaTheme="minorHAnsi" w:cs="Arial"/>
          <w:szCs w:val="24"/>
          <w:lang w:eastAsia="en-US"/>
        </w:rPr>
      </w:pPr>
      <w:r w:rsidRPr="00D63146">
        <w:rPr>
          <w:rFonts w:eastAsiaTheme="minorHAnsi" w:cs="Arial"/>
          <w:szCs w:val="24"/>
          <w:lang w:eastAsia="en-US"/>
        </w:rPr>
        <w:t xml:space="preserve">De tal forma que el Sujeto Obligado realizó un pronunciamiento con el cual respondió a la solicitud realizada por el hoy Recurrente, cuyo sentido no transgrede el derecho de </w:t>
      </w:r>
      <w:r w:rsidRPr="00D63146">
        <w:rPr>
          <w:rFonts w:eastAsiaTheme="minorHAnsi" w:cs="Arial"/>
          <w:szCs w:val="24"/>
          <w:lang w:eastAsia="en-US"/>
        </w:rPr>
        <w:lastRenderedPageBreak/>
        <w:t>acceso a la información del particular debido a que el Sujeto Obligado no está constreñido a generar, poseer o administrar la información solicitada</w:t>
      </w:r>
      <w:r>
        <w:rPr>
          <w:rFonts w:eastAsiaTheme="minorHAnsi" w:cs="Arial"/>
          <w:szCs w:val="24"/>
          <w:lang w:eastAsia="en-US"/>
        </w:rPr>
        <w:t>.</w:t>
      </w:r>
    </w:p>
    <w:p w14:paraId="5D7E723E" w14:textId="77777777" w:rsidR="00A861DD" w:rsidRDefault="00A861DD" w:rsidP="00A861DD">
      <w:pPr>
        <w:contextualSpacing/>
        <w:rPr>
          <w:rFonts w:eastAsiaTheme="minorHAnsi" w:cs="Arial"/>
          <w:szCs w:val="24"/>
          <w:lang w:eastAsia="en-US"/>
        </w:rPr>
      </w:pPr>
    </w:p>
    <w:p w14:paraId="0ECF365A" w14:textId="3B883F09" w:rsidR="00A861DD" w:rsidRDefault="00A861DD" w:rsidP="00A861DD">
      <w:pPr>
        <w:contextualSpacing/>
        <w:rPr>
          <w:rFonts w:eastAsiaTheme="minorHAnsi" w:cs="Arial"/>
          <w:szCs w:val="24"/>
          <w:lang w:eastAsia="en-US"/>
        </w:rPr>
      </w:pPr>
      <w:r>
        <w:rPr>
          <w:rFonts w:eastAsiaTheme="minorHAnsi" w:cs="Arial"/>
          <w:szCs w:val="24"/>
          <w:lang w:eastAsia="en-US"/>
        </w:rPr>
        <w:t>En esa tesitura, no se soslaya que el Recurrente manifestó en su recurso de revisión que tampoco se le hizo entrega de la declaratoria de inexistencia; empero, se estima necesario traer a colación lo estipulado en el segundo párrafo del artículo 19 de la Ley de Transparencia estatal, en el que se dispone lo siguiente:</w:t>
      </w:r>
    </w:p>
    <w:p w14:paraId="74E7173B" w14:textId="77777777" w:rsidR="00A861DD" w:rsidRDefault="00A861DD" w:rsidP="00A861DD">
      <w:pPr>
        <w:contextualSpacing/>
        <w:rPr>
          <w:rFonts w:eastAsiaTheme="minorHAnsi" w:cs="Arial"/>
          <w:szCs w:val="24"/>
          <w:lang w:eastAsia="en-US"/>
        </w:rPr>
      </w:pPr>
    </w:p>
    <w:p w14:paraId="69D4EA42" w14:textId="77777777" w:rsidR="00A861DD" w:rsidRPr="00A861DD" w:rsidRDefault="00A861DD" w:rsidP="00A861DD">
      <w:pPr>
        <w:pStyle w:val="Fundamentos"/>
        <w:rPr>
          <w:lang w:val="es-MX"/>
        </w:rPr>
      </w:pPr>
      <w:r w:rsidRPr="00A861DD">
        <w:rPr>
          <w:b/>
          <w:lang w:val="es-MX"/>
        </w:rPr>
        <w:t xml:space="preserve">Artículo 19. </w:t>
      </w:r>
      <w:r w:rsidRPr="00A861DD">
        <w:rPr>
          <w:lang w:val="es-MX"/>
        </w:rPr>
        <w:t>Se presume que la información debe existir si se refiere a las facultades, competencias y funciones que los ordenamientos jurídicos aplicables otorgan a los sujetos obligados.</w:t>
      </w:r>
    </w:p>
    <w:p w14:paraId="282BC609" w14:textId="77777777" w:rsidR="00A861DD" w:rsidRPr="00A861DD" w:rsidRDefault="00A861DD" w:rsidP="00A861DD">
      <w:pPr>
        <w:pStyle w:val="Fundamentos"/>
        <w:rPr>
          <w:lang w:val="es-MX"/>
        </w:rPr>
      </w:pPr>
    </w:p>
    <w:p w14:paraId="32591BDD" w14:textId="77777777" w:rsidR="00A861DD" w:rsidRPr="00A861DD" w:rsidRDefault="00A861DD" w:rsidP="00A861DD">
      <w:pPr>
        <w:pStyle w:val="Fundamentos"/>
        <w:rPr>
          <w:lang w:val="es-MX"/>
        </w:rPr>
      </w:pPr>
      <w:r w:rsidRPr="006A1E9B">
        <w:rPr>
          <w:b/>
          <w:u w:val="single"/>
          <w:lang w:val="es-MX"/>
        </w:rPr>
        <w:t>En los casos en que ciertas facultades, competencias o funciones no se hayan ejercido, se debe motivar la respuesta en función de las causas que motiven tal circunstancia</w:t>
      </w:r>
      <w:r w:rsidRPr="00A861DD">
        <w:rPr>
          <w:lang w:val="es-MX"/>
        </w:rPr>
        <w:t>.</w:t>
      </w:r>
    </w:p>
    <w:p w14:paraId="1F8EC9E6" w14:textId="77777777" w:rsidR="00A861DD" w:rsidRPr="00A861DD" w:rsidRDefault="00A861DD" w:rsidP="00A861DD">
      <w:pPr>
        <w:pStyle w:val="Fundamentos"/>
        <w:rPr>
          <w:lang w:val="es-MX"/>
        </w:rPr>
      </w:pPr>
    </w:p>
    <w:p w14:paraId="43E44383" w14:textId="77777777" w:rsidR="00A861DD" w:rsidRPr="00A861DD" w:rsidRDefault="00A861DD" w:rsidP="00A861DD">
      <w:pPr>
        <w:pStyle w:val="Fundamentos"/>
        <w:rPr>
          <w:lang w:val="es-MX"/>
        </w:rPr>
      </w:pPr>
      <w:r w:rsidRPr="00A861DD">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0731FE7" w14:textId="77777777" w:rsidR="00A861DD" w:rsidRPr="00A861DD" w:rsidRDefault="00A861DD" w:rsidP="00A861DD">
      <w:pPr>
        <w:contextualSpacing/>
        <w:rPr>
          <w:rFonts w:eastAsia="Palatino Linotype" w:cs="Palatino Linotype"/>
          <w:szCs w:val="24"/>
        </w:rPr>
      </w:pPr>
    </w:p>
    <w:p w14:paraId="630181E5" w14:textId="473318B4" w:rsidR="00E345AC" w:rsidRDefault="006A1E9B" w:rsidP="00BF7B4F">
      <w:pPr>
        <w:contextualSpacing/>
        <w:rPr>
          <w:rFonts w:eastAsia="Palatino Linotype" w:cs="Palatino Linotype"/>
          <w:szCs w:val="24"/>
        </w:rPr>
      </w:pPr>
      <w:r>
        <w:rPr>
          <w:rFonts w:eastAsia="Palatino Linotype" w:cs="Palatino Linotype"/>
          <w:szCs w:val="24"/>
        </w:rPr>
        <w:t>Así, del párrafo referido se desprende que existen facultades, competencia o funciones que aun teniéndolas pueden no ser ejercidas, esto porque sean potestativas o, como en el presente caso, deben ser solicitadas por alguna otra área o persona, es decir, se realizan a petición de parte.</w:t>
      </w:r>
    </w:p>
    <w:p w14:paraId="74DFC26F" w14:textId="77777777" w:rsidR="006A1E9B" w:rsidRDefault="006A1E9B" w:rsidP="00BF7B4F">
      <w:pPr>
        <w:contextualSpacing/>
        <w:rPr>
          <w:rFonts w:eastAsia="Palatino Linotype" w:cs="Palatino Linotype"/>
          <w:szCs w:val="24"/>
        </w:rPr>
      </w:pPr>
    </w:p>
    <w:p w14:paraId="0E479F50" w14:textId="3BB93E04" w:rsidR="006A1E9B" w:rsidRDefault="006A1E9B" w:rsidP="00BF7B4F">
      <w:pPr>
        <w:contextualSpacing/>
        <w:rPr>
          <w:rFonts w:eastAsia="Palatino Linotype" w:cs="Palatino Linotype"/>
          <w:szCs w:val="24"/>
        </w:rPr>
      </w:pPr>
      <w:r>
        <w:rPr>
          <w:rFonts w:eastAsia="Palatino Linotype" w:cs="Palatino Linotype"/>
          <w:szCs w:val="24"/>
        </w:rPr>
        <w:t xml:space="preserve">Lo anterior fue referido por el Sujeto Obligado en su Informe Justificado al momento de señalar que para que se haya generado la documentación era necesario que la Gubernatura realizara un requerimiento a la Unidad de Apoyo a la Administración </w:t>
      </w:r>
      <w:r>
        <w:rPr>
          <w:rFonts w:eastAsia="Palatino Linotype" w:cs="Palatino Linotype"/>
          <w:szCs w:val="24"/>
        </w:rPr>
        <w:lastRenderedPageBreak/>
        <w:t>General, sin que lo anterior haya acontecido; por tanto, resulta improcedente ordenar la entrega de una declaratoria de inexistencia emitida por el Comité de Transparencia, en virtud de que la información solicitada se genera a petici</w:t>
      </w:r>
      <w:r w:rsidR="00D72BF9">
        <w:rPr>
          <w:rFonts w:eastAsia="Palatino Linotype" w:cs="Palatino Linotype"/>
          <w:szCs w:val="24"/>
        </w:rPr>
        <w:t>ón de parte.</w:t>
      </w:r>
    </w:p>
    <w:p w14:paraId="4C8CEAD5" w14:textId="77777777" w:rsidR="00D72BF9" w:rsidRDefault="00D72BF9" w:rsidP="00BF7B4F">
      <w:pPr>
        <w:contextualSpacing/>
        <w:rPr>
          <w:rFonts w:eastAsia="Palatino Linotype" w:cs="Palatino Linotype"/>
          <w:szCs w:val="24"/>
        </w:rPr>
      </w:pPr>
    </w:p>
    <w:p w14:paraId="5519BCE0" w14:textId="2296F408" w:rsidR="00D72BF9" w:rsidRDefault="00D72BF9" w:rsidP="00BF7B4F">
      <w:pPr>
        <w:contextualSpacing/>
        <w:rPr>
          <w:rFonts w:eastAsia="Palatino Linotype" w:cs="Palatino Linotype"/>
          <w:szCs w:val="24"/>
        </w:rPr>
      </w:pPr>
      <w:r>
        <w:rPr>
          <w:rFonts w:eastAsia="Palatino Linotype" w:cs="Palatino Linotype"/>
          <w:szCs w:val="24"/>
        </w:rPr>
        <w:t>Por otra parte, no pasa desapercibido que el Sujeto Obligado remitió información y documentos generados por la gira de trabajo del Coordinador de Asuntos Internacionales a la ciudad de Roma, Italia. Al respecto, se debe señalar que dicha información no fue requerida por el hoy Recurrente; no obstante, el Sujeto Obligado hizo entrega de la misma por ser la única que guarda relación con la documentación requerida por el particular y con apego al principio de máxima publicidad.</w:t>
      </w:r>
    </w:p>
    <w:p w14:paraId="6905E7B5" w14:textId="77777777" w:rsidR="00D72BF9" w:rsidRDefault="00D72BF9" w:rsidP="00BF7B4F">
      <w:pPr>
        <w:contextualSpacing/>
        <w:rPr>
          <w:rFonts w:eastAsia="Palatino Linotype" w:cs="Palatino Linotype"/>
          <w:szCs w:val="24"/>
        </w:rPr>
      </w:pPr>
    </w:p>
    <w:p w14:paraId="141C9241" w14:textId="19BDA4C3" w:rsidR="00D72BF9" w:rsidRDefault="00D72BF9" w:rsidP="00BF7B4F">
      <w:pPr>
        <w:contextualSpacing/>
        <w:rPr>
          <w:rFonts w:eastAsia="Palatino Linotype" w:cs="Palatino Linotype"/>
          <w:szCs w:val="24"/>
        </w:rPr>
      </w:pPr>
      <w:r>
        <w:rPr>
          <w:rFonts w:eastAsia="Palatino Linotype" w:cs="Palatino Linotype"/>
          <w:szCs w:val="24"/>
        </w:rPr>
        <w:t>Empero, dicha información fue entregada en un primer momento en versión pública sin que se acompañara del acuerdo emitido por el Comité de Transparencia mediante el cual se aprobó la clasificación de los datos que aparecen testados; situación que fue subsanada al momento de rendirse el Informe Justificado en el que se remitió el acuerdo CT-2022-0121 de fecha dieciocho de noviembre de dos mil veintidós.</w:t>
      </w:r>
    </w:p>
    <w:p w14:paraId="1B667C6C" w14:textId="77777777" w:rsidR="00D72BF9" w:rsidRDefault="00D72BF9" w:rsidP="00BF7B4F">
      <w:pPr>
        <w:contextualSpacing/>
        <w:rPr>
          <w:rFonts w:eastAsia="Palatino Linotype" w:cs="Palatino Linotype"/>
          <w:szCs w:val="24"/>
        </w:rPr>
      </w:pPr>
    </w:p>
    <w:p w14:paraId="45BFFBD3" w14:textId="60C607A7" w:rsidR="00D72BF9" w:rsidRDefault="00D72BF9" w:rsidP="00BF7B4F">
      <w:pPr>
        <w:contextualSpacing/>
        <w:rPr>
          <w:rFonts w:eastAsia="Palatino Linotype" w:cs="Palatino Linotype"/>
          <w:szCs w:val="24"/>
        </w:rPr>
      </w:pPr>
      <w:r>
        <w:rPr>
          <w:rFonts w:eastAsia="Palatino Linotype" w:cs="Palatino Linotype"/>
          <w:szCs w:val="24"/>
        </w:rPr>
        <w:t xml:space="preserve">De tal forma que, una vez que se remitió el acuerdo que da sustento a la versión pública de los documentos remitidos en respuesta, subsanando la vulneración al derecho de acceso a la información de Recurrente, así como que se hizo del conocimiento del particular que la Gubernatura no realizó ningún requerimiento relativo a un viaje del titular del Ejecutivo Estatal al Vaticano, se debe considerar que la pretensión del Recurrente </w:t>
      </w:r>
      <w:r w:rsidR="007E696A">
        <w:rPr>
          <w:rFonts w:eastAsia="Palatino Linotype" w:cs="Palatino Linotype"/>
          <w:szCs w:val="24"/>
        </w:rPr>
        <w:t xml:space="preserve">se tiene por atendida y colmada </w:t>
      </w:r>
      <w:r>
        <w:rPr>
          <w:rFonts w:eastAsia="Palatino Linotype" w:cs="Palatino Linotype"/>
          <w:szCs w:val="24"/>
        </w:rPr>
        <w:t>a plenitud.</w:t>
      </w:r>
    </w:p>
    <w:p w14:paraId="4BE106D5" w14:textId="77777777" w:rsidR="00E345AC" w:rsidRDefault="00E345AC" w:rsidP="00BF7B4F">
      <w:pPr>
        <w:contextualSpacing/>
        <w:rPr>
          <w:rFonts w:eastAsia="Palatino Linotype" w:cs="Palatino Linotype"/>
          <w:szCs w:val="24"/>
        </w:rPr>
      </w:pPr>
    </w:p>
    <w:p w14:paraId="2ACDA46C" w14:textId="387F122E" w:rsidR="00E923A8" w:rsidRPr="00C82353" w:rsidRDefault="00E923A8" w:rsidP="00E923A8">
      <w:pPr>
        <w:rPr>
          <w:rFonts w:eastAsiaTheme="minorHAnsi" w:cstheme="minorBidi"/>
          <w:szCs w:val="24"/>
          <w:lang w:eastAsia="en-US"/>
        </w:rPr>
      </w:pPr>
      <w:r w:rsidRPr="00C82353">
        <w:rPr>
          <w:rFonts w:eastAsiaTheme="minorHAnsi" w:cstheme="minorBidi"/>
          <w:szCs w:val="24"/>
          <w:lang w:eastAsia="en-US"/>
        </w:rPr>
        <w:lastRenderedPageBreak/>
        <w:t xml:space="preserve">En conclusión, toda vez que el Sujeto Obligado modificó la respuesta otorgada a la solicitud de información </w:t>
      </w:r>
      <w:r w:rsidR="007E696A" w:rsidRPr="007E696A">
        <w:rPr>
          <w:rFonts w:eastAsia="Palatino Linotype" w:cs="Palatino Linotype"/>
          <w:b/>
          <w:bCs/>
          <w:color w:val="000000"/>
          <w:szCs w:val="24"/>
        </w:rPr>
        <w:t>00500/SF/IP/2022</w:t>
      </w:r>
      <w:r w:rsidRPr="00C82353">
        <w:rPr>
          <w:rFonts w:eastAsia="Palatino Linotype" w:cs="Palatino Linotype"/>
          <w:color w:val="000000"/>
          <w:szCs w:val="24"/>
        </w:rPr>
        <w:t xml:space="preserve"> al</w:t>
      </w:r>
      <w:r>
        <w:rPr>
          <w:rFonts w:eastAsia="Palatino Linotype" w:cs="Palatino Linotype"/>
          <w:color w:val="000000"/>
          <w:szCs w:val="24"/>
        </w:rPr>
        <w:t xml:space="preserve"> hacer entrega del acuerdo </w:t>
      </w:r>
      <w:r w:rsidR="007E696A">
        <w:rPr>
          <w:rFonts w:eastAsia="Palatino Linotype" w:cs="Palatino Linotype"/>
          <w:color w:val="000000"/>
          <w:szCs w:val="24"/>
        </w:rPr>
        <w:t xml:space="preserve">que da sustentó a la versión pública de los documentos proporcionados en respuesta y se hizo de su conocimiento que la Gubernatura no realizó ningún requerimiento relacionada con </w:t>
      </w:r>
      <w:r w:rsidR="007E696A">
        <w:rPr>
          <w:rFonts w:eastAsia="Palatino Linotype" w:cs="Palatino Linotype"/>
          <w:szCs w:val="24"/>
        </w:rPr>
        <w:t>un viaje del titular del Ejecutivo Estatal al Vaticano</w:t>
      </w:r>
      <w:r>
        <w:rPr>
          <w:rFonts w:eastAsia="Palatino Linotype" w:cs="Palatino Linotype"/>
          <w:color w:val="000000"/>
          <w:szCs w:val="24"/>
        </w:rPr>
        <w:t xml:space="preserve">, se considera </w:t>
      </w:r>
      <w:r w:rsidRPr="00C82353">
        <w:rPr>
          <w:rFonts w:eastAsiaTheme="minorHAnsi" w:cstheme="minorBidi"/>
          <w:szCs w:val="24"/>
          <w:lang w:eastAsia="en-US"/>
        </w:rPr>
        <w:t>que no existen ya extremos legales para la procedencia del recurso, lo que conlleva a decret</w:t>
      </w:r>
      <w:r>
        <w:rPr>
          <w:rFonts w:eastAsiaTheme="minorHAnsi" w:cstheme="minorBidi"/>
          <w:szCs w:val="24"/>
          <w:lang w:eastAsia="en-US"/>
        </w:rPr>
        <w:t>ar el sobreseimiento. 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2E297BA8" w14:textId="77777777" w:rsidR="00E923A8" w:rsidRPr="002E0E09" w:rsidRDefault="00E923A8" w:rsidP="00E923A8">
      <w:pPr>
        <w:rPr>
          <w:rFonts w:eastAsiaTheme="minorHAnsi" w:cstheme="minorBidi"/>
          <w:szCs w:val="24"/>
          <w:lang w:eastAsia="en-US"/>
        </w:rPr>
      </w:pPr>
    </w:p>
    <w:p w14:paraId="0879AD42" w14:textId="77777777" w:rsidR="00E923A8" w:rsidRPr="00C82353" w:rsidRDefault="00E923A8" w:rsidP="00E923A8">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3EF86C8E" w14:textId="77777777" w:rsidR="00E923A8" w:rsidRPr="00C82353" w:rsidRDefault="00E923A8" w:rsidP="00E923A8">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5B696A89" w14:textId="77777777" w:rsidR="00E923A8" w:rsidRPr="00C82353" w:rsidRDefault="00E923A8" w:rsidP="00E923A8">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El sujeto obligado responsable del acto lo modifique</w:t>
      </w:r>
      <w:r w:rsidRPr="665C2826">
        <w:rPr>
          <w:rFonts w:eastAsiaTheme="minorEastAsia" w:cstheme="minorBidi"/>
          <w:b/>
          <w:bCs/>
          <w:i/>
          <w:iCs/>
          <w:sz w:val="22"/>
          <w:lang w:val="es-ES" w:eastAsia="en-US"/>
        </w:rPr>
        <w:t xml:space="preserve"> </w:t>
      </w:r>
      <w:r w:rsidRPr="665C2826">
        <w:rPr>
          <w:rFonts w:eastAsiaTheme="minorEastAsia" w:cstheme="minorBidi"/>
          <w:i/>
          <w:iCs/>
          <w:sz w:val="22"/>
          <w:lang w:val="es-ES" w:eastAsia="en-US"/>
        </w:rPr>
        <w:t>o revoque</w:t>
      </w:r>
      <w:r w:rsidRPr="665C2826">
        <w:rPr>
          <w:rFonts w:eastAsiaTheme="minorEastAsia" w:cstheme="minorBidi"/>
          <w:b/>
          <w:bCs/>
          <w:i/>
          <w:iCs/>
          <w:sz w:val="22"/>
          <w:lang w:val="es-ES" w:eastAsia="en-US"/>
        </w:rPr>
        <w:t xml:space="preserve"> </w:t>
      </w:r>
      <w:r w:rsidRPr="665C2826">
        <w:rPr>
          <w:rFonts w:eastAsiaTheme="minorEastAsia" w:cstheme="minorBidi"/>
          <w:b/>
          <w:bCs/>
          <w:i/>
          <w:iCs/>
          <w:sz w:val="22"/>
          <w:u w:val="single"/>
          <w:lang w:val="es-ES" w:eastAsia="en-US"/>
        </w:rPr>
        <w:t>de tal manera que el recurso de revisión quede sin materia</w:t>
      </w:r>
      <w:r w:rsidRPr="665C2826">
        <w:rPr>
          <w:rFonts w:eastAsiaTheme="minorEastAsia" w:cstheme="minorBidi"/>
          <w:b/>
          <w:bCs/>
          <w:i/>
          <w:iCs/>
          <w:sz w:val="22"/>
          <w:lang w:val="es-ES" w:eastAsia="en-US"/>
        </w:rPr>
        <w:t>;</w:t>
      </w:r>
    </w:p>
    <w:p w14:paraId="7628F9A2" w14:textId="77777777" w:rsidR="00E923A8" w:rsidRPr="00C82353" w:rsidRDefault="00E923A8" w:rsidP="00E923A8">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1CFDC353" w14:textId="77777777" w:rsidR="00E923A8" w:rsidRPr="002E0E09" w:rsidRDefault="00E923A8" w:rsidP="00E923A8">
      <w:pPr>
        <w:rPr>
          <w:rFonts w:eastAsiaTheme="minorHAnsi" w:cstheme="minorBidi"/>
          <w:szCs w:val="24"/>
          <w:lang w:eastAsia="en-US"/>
        </w:rPr>
      </w:pPr>
    </w:p>
    <w:p w14:paraId="4E3B0A36" w14:textId="77777777" w:rsidR="00E923A8" w:rsidRDefault="00E923A8" w:rsidP="00E923A8">
      <w:pPr>
        <w:rPr>
          <w:rFonts w:eastAsiaTheme="minorHAnsi" w:cstheme="minorBidi"/>
          <w:szCs w:val="24"/>
          <w:lang w:eastAsia="en-US"/>
        </w:rPr>
      </w:pPr>
      <w:r w:rsidRPr="00C82353">
        <w:rPr>
          <w:rFonts w:eastAsiaTheme="minorHAnsi" w:cstheme="minorBidi"/>
          <w:szCs w:val="24"/>
          <w:lang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4A03A943" w14:textId="77777777" w:rsidR="00E923A8" w:rsidRPr="00C82353" w:rsidRDefault="00E923A8" w:rsidP="00E923A8">
      <w:pPr>
        <w:rPr>
          <w:rFonts w:eastAsiaTheme="minorHAnsi" w:cstheme="minorBidi"/>
          <w:szCs w:val="24"/>
          <w:lang w:eastAsia="en-US"/>
        </w:rPr>
      </w:pPr>
    </w:p>
    <w:p w14:paraId="09813B8C" w14:textId="77777777" w:rsidR="00E923A8" w:rsidRPr="00C82353" w:rsidRDefault="00E923A8" w:rsidP="00E923A8">
      <w:pPr>
        <w:rPr>
          <w:rFonts w:eastAsiaTheme="minorHAnsi" w:cstheme="minorBidi"/>
          <w:szCs w:val="24"/>
          <w:lang w:eastAsia="en-US"/>
        </w:rPr>
      </w:pPr>
      <w:r w:rsidRPr="00C82353">
        <w:rPr>
          <w:rFonts w:eastAsiaTheme="minorHAnsi" w:cstheme="minorBidi"/>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58A0AFE4" w14:textId="77777777" w:rsidR="00E923A8" w:rsidRPr="00C82353" w:rsidRDefault="00E923A8" w:rsidP="00E923A8">
      <w:pPr>
        <w:rPr>
          <w:rFonts w:eastAsiaTheme="minorHAnsi" w:cstheme="minorBidi"/>
          <w:szCs w:val="24"/>
          <w:lang w:eastAsia="en-US"/>
        </w:rPr>
      </w:pPr>
    </w:p>
    <w:p w14:paraId="27889499" w14:textId="77777777" w:rsidR="00E923A8" w:rsidRPr="00C82353" w:rsidRDefault="00E923A8" w:rsidP="00E923A8">
      <w:pPr>
        <w:jc w:val="center"/>
        <w:rPr>
          <w:rFonts w:eastAsiaTheme="minorHAnsi" w:cstheme="minorBidi"/>
          <w:b/>
          <w:bCs/>
          <w:spacing w:val="60"/>
          <w:sz w:val="28"/>
          <w:szCs w:val="28"/>
          <w:lang w:eastAsia="en-US"/>
        </w:rPr>
      </w:pPr>
      <w:r w:rsidRPr="00C82353">
        <w:rPr>
          <w:rFonts w:eastAsiaTheme="minorHAnsi" w:cstheme="minorBidi"/>
          <w:b/>
          <w:bCs/>
          <w:spacing w:val="60"/>
          <w:sz w:val="28"/>
          <w:szCs w:val="28"/>
          <w:lang w:eastAsia="en-US"/>
        </w:rPr>
        <w:t>RESUELVE</w:t>
      </w:r>
    </w:p>
    <w:p w14:paraId="3DB97219" w14:textId="77777777" w:rsidR="00E923A8" w:rsidRPr="00C82353" w:rsidRDefault="00E923A8" w:rsidP="00E923A8">
      <w:pPr>
        <w:rPr>
          <w:rFonts w:eastAsiaTheme="minorHAnsi" w:cstheme="minorBidi"/>
          <w:b/>
          <w:bCs/>
          <w:spacing w:val="60"/>
          <w:szCs w:val="24"/>
          <w:lang w:eastAsia="en-US"/>
        </w:rPr>
      </w:pPr>
    </w:p>
    <w:p w14:paraId="0E5AEB9F" w14:textId="7AE72B80" w:rsidR="00E923A8" w:rsidRPr="00C82353" w:rsidRDefault="00E923A8" w:rsidP="00E923A8">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7E696A">
        <w:rPr>
          <w:rFonts w:eastAsiaTheme="minorHAnsi" w:cs="Arial"/>
          <w:b/>
          <w:szCs w:val="24"/>
          <w:lang w:eastAsia="en-US"/>
        </w:rPr>
        <w:t>16965</w:t>
      </w:r>
      <w:r w:rsidRPr="00C82353">
        <w:rPr>
          <w:rFonts w:eastAsiaTheme="minorHAnsi" w:cs="Arial"/>
          <w:b/>
          <w:szCs w:val="24"/>
          <w:lang w:eastAsia="en-US"/>
        </w:rPr>
        <w:t>/INFOEM/IP/RR/2022</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Pr>
          <w:rFonts w:eastAsiaTheme="minorHAnsi" w:cs="Arial"/>
          <w:b/>
          <w:szCs w:val="24"/>
          <w:lang w:eastAsia="en-US"/>
        </w:rPr>
        <w:t>Considerando QUINT</w:t>
      </w:r>
      <w:r w:rsidRPr="00C82353">
        <w:rPr>
          <w:rFonts w:eastAsiaTheme="minorHAnsi" w:cs="Arial"/>
          <w:b/>
          <w:szCs w:val="24"/>
          <w:lang w:eastAsia="en-US"/>
        </w:rPr>
        <w:t>O</w:t>
      </w:r>
      <w:r w:rsidRPr="00C82353">
        <w:rPr>
          <w:rFonts w:eastAsiaTheme="minorHAnsi" w:cs="Arial"/>
          <w:szCs w:val="24"/>
          <w:lang w:eastAsia="en-US"/>
        </w:rPr>
        <w:t xml:space="preserve"> de la presente resolución.</w:t>
      </w:r>
    </w:p>
    <w:p w14:paraId="510DF1A0" w14:textId="77777777" w:rsidR="00E923A8" w:rsidRPr="00C82353" w:rsidRDefault="00E923A8" w:rsidP="00E923A8">
      <w:pPr>
        <w:rPr>
          <w:rFonts w:eastAsiaTheme="minorHAnsi" w:cs="Arial"/>
          <w:szCs w:val="24"/>
          <w:lang w:eastAsia="en-US"/>
        </w:rPr>
      </w:pPr>
    </w:p>
    <w:p w14:paraId="1EFB702D" w14:textId="77777777" w:rsidR="00E923A8" w:rsidRPr="00C82353" w:rsidRDefault="00E923A8" w:rsidP="00E923A8">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2F0B3B27" w14:textId="77777777" w:rsidR="00E923A8" w:rsidRPr="00C82353" w:rsidRDefault="00E923A8" w:rsidP="00E923A8">
      <w:pPr>
        <w:rPr>
          <w:rFonts w:eastAsiaTheme="minorHAnsi" w:cs="Arial"/>
          <w:szCs w:val="24"/>
          <w:lang w:eastAsia="en-US"/>
        </w:rPr>
      </w:pPr>
    </w:p>
    <w:p w14:paraId="5CE9019C" w14:textId="77777777" w:rsidR="00E923A8" w:rsidRDefault="00E923A8" w:rsidP="00E923A8">
      <w:pPr>
        <w:contextualSpacing/>
      </w:pPr>
      <w:r w:rsidRPr="00C82353">
        <w:rPr>
          <w:rFonts w:eastAsiaTheme="minorHAnsi" w:cs="Arial"/>
          <w:b/>
          <w:szCs w:val="24"/>
          <w:lang w:eastAsia="en-US"/>
        </w:rPr>
        <w:t>TERCERO. Notifíquese</w:t>
      </w:r>
      <w:r w:rsidRPr="00C82353">
        <w:rPr>
          <w:rFonts w:eastAsiaTheme="minorHAnsi" w:cs="Arial"/>
          <w:szCs w:val="24"/>
          <w:lang w:eastAsia="en-US"/>
        </w:rPr>
        <w:t xml:space="preserve"> la presente resolución a</w:t>
      </w:r>
      <w:r>
        <w:rPr>
          <w:rFonts w:eastAsiaTheme="minorHAnsi" w:cs="Arial"/>
          <w:szCs w:val="24"/>
          <w:lang w:eastAsia="en-US"/>
        </w:rPr>
        <w:t>l</w:t>
      </w:r>
      <w:r w:rsidRPr="00C82353">
        <w:rPr>
          <w:rFonts w:eastAsiaTheme="minorHAnsi" w:cs="Arial"/>
          <w:szCs w:val="24"/>
          <w:lang w:eastAsia="en-US"/>
        </w:rPr>
        <w:t xml:space="preserve"> Recurrente</w:t>
      </w:r>
      <w:r w:rsidRPr="00C82353">
        <w:t xml:space="preserve"> </w:t>
      </w:r>
      <w:r w:rsidRPr="00C82353">
        <w:rPr>
          <w:rFonts w:eastAsiaTheme="minorHAnsi" w:cs="Arial"/>
          <w:szCs w:val="24"/>
          <w:lang w:eastAsia="en-US"/>
        </w:rPr>
        <w:t xml:space="preserve">a través del Sistema de Acceso a la Información Mexiquense (SAIMEX), </w:t>
      </w:r>
      <w:r w:rsidRPr="00B42ED1">
        <w:rPr>
          <w:rFonts w:eastAsia="Palatino Linotype" w:cs="Palatino Linotype"/>
          <w:color w:val="000000"/>
          <w:szCs w:val="24"/>
          <w:lang w:val="es-MX"/>
        </w:rPr>
        <w:t>y hágase de</w:t>
      </w:r>
      <w:r>
        <w:rPr>
          <w:rFonts w:eastAsia="Palatino Linotype" w:cs="Palatino Linotype"/>
          <w:color w:val="000000"/>
          <w:szCs w:val="24"/>
          <w:lang w:val="es-MX"/>
        </w:rPr>
        <w:t xml:space="preserve"> su </w:t>
      </w:r>
      <w:r w:rsidRPr="00B42ED1">
        <w:rPr>
          <w:rFonts w:eastAsia="Palatino Linotype" w:cs="Palatino Linotype"/>
          <w:color w:val="000000"/>
          <w:szCs w:val="24"/>
          <w:lang w:val="es-MX"/>
        </w:rPr>
        <w:t>conocimiento, que de conformidad con lo establecido en el artículo 196, de la Ley de</w:t>
      </w:r>
      <w:r>
        <w:rPr>
          <w:rFonts w:eastAsia="Palatino Linotype" w:cs="Palatino Linotype"/>
          <w:color w:val="000000"/>
          <w:szCs w:val="24"/>
          <w:lang w:val="es-MX"/>
        </w:rPr>
        <w:t xml:space="preserve"> </w:t>
      </w:r>
      <w:r w:rsidRPr="00B42ED1">
        <w:rPr>
          <w:rFonts w:eastAsia="Palatino Linotype" w:cs="Palatino Linotype"/>
          <w:color w:val="000000"/>
          <w:szCs w:val="24"/>
          <w:lang w:val="es-MX"/>
        </w:rPr>
        <w:t>Transparencia y Acceso a la Información Pública del Estado de México y Municipios,</w:t>
      </w:r>
      <w:r>
        <w:rPr>
          <w:rFonts w:eastAsia="Palatino Linotype" w:cs="Palatino Linotype"/>
          <w:color w:val="000000"/>
          <w:szCs w:val="24"/>
          <w:lang w:val="es-MX"/>
        </w:rPr>
        <w:t xml:space="preserve"> </w:t>
      </w:r>
      <w:r w:rsidRPr="00B42ED1">
        <w:rPr>
          <w:rFonts w:eastAsia="Palatino Linotype" w:cs="Palatino Linotype"/>
          <w:color w:val="000000"/>
          <w:szCs w:val="24"/>
          <w:lang w:val="es-MX"/>
        </w:rPr>
        <w:t>podrá promover el Juicio de Amparo en los términos de las leyes aplicables; o en su</w:t>
      </w:r>
      <w:r>
        <w:rPr>
          <w:rFonts w:eastAsia="Palatino Linotype" w:cs="Palatino Linotype"/>
          <w:color w:val="000000"/>
          <w:szCs w:val="24"/>
          <w:lang w:val="es-MX"/>
        </w:rPr>
        <w:t xml:space="preserve"> </w:t>
      </w:r>
      <w:r w:rsidRPr="00B42ED1">
        <w:rPr>
          <w:rFonts w:eastAsia="Palatino Linotype" w:cs="Palatino Linotype"/>
          <w:color w:val="000000"/>
          <w:szCs w:val="24"/>
          <w:lang w:val="es-MX"/>
        </w:rPr>
        <w:t>caso, interponer recurso de inconformidad de conformidad con el artículo 159 y 160,</w:t>
      </w:r>
      <w:r>
        <w:rPr>
          <w:rFonts w:eastAsia="Palatino Linotype" w:cs="Palatino Linotype"/>
          <w:color w:val="000000"/>
          <w:szCs w:val="24"/>
          <w:lang w:val="es-MX"/>
        </w:rPr>
        <w:t xml:space="preserve"> </w:t>
      </w:r>
      <w:r w:rsidRPr="00B42ED1">
        <w:rPr>
          <w:rFonts w:eastAsia="Palatino Linotype" w:cs="Palatino Linotype"/>
          <w:color w:val="000000"/>
          <w:szCs w:val="24"/>
          <w:lang w:val="es-MX"/>
        </w:rPr>
        <w:t>de la Ley General de Transparencia y Acceso a la Información Pública.</w:t>
      </w:r>
    </w:p>
    <w:p w14:paraId="7149165D" w14:textId="1BEBE573" w:rsidR="00B95178" w:rsidRPr="00B95178" w:rsidRDefault="00B95178" w:rsidP="00D72B70">
      <w:pPr>
        <w:rPr>
          <w:lang w:val="es-MX"/>
        </w:rPr>
      </w:pPr>
    </w:p>
    <w:p w14:paraId="20573BFF" w14:textId="29D59F2B" w:rsidR="00A970D5" w:rsidRPr="006922F5" w:rsidRDefault="00861D35"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w:t>
      </w:r>
      <w:r w:rsidR="006922F5">
        <w:rPr>
          <w:rFonts w:eastAsia="Palatino Linotype" w:cs="Palatino Linotype"/>
          <w:color w:val="000000"/>
          <w:szCs w:val="24"/>
        </w:rPr>
        <w:lastRenderedPageBreak/>
        <w:t xml:space="preserve">POR LOS COMISIONADOS JOSÉ MARTÍNEZ VILCHIS, MARÍA DEL ROSARIO MEJÍA AYALA, SHARON CRISTINA MORALES MARTÍNEZ, LUIS GUSTAVO PARRA NORIEGA Y GUADALUPE RAMÍREZ PEÑA, </w:t>
      </w:r>
      <w:r w:rsidR="006922F5" w:rsidRPr="00BD05DD">
        <w:rPr>
          <w:rFonts w:eastAsia="Palatino Linotype" w:cs="Palatino Linotype"/>
          <w:color w:val="000000"/>
          <w:szCs w:val="24"/>
        </w:rPr>
        <w:t xml:space="preserve">EN LA </w:t>
      </w:r>
      <w:r w:rsidR="00BD05DD" w:rsidRPr="00BD05DD">
        <w:rPr>
          <w:rFonts w:eastAsia="Palatino Linotype" w:cs="Palatino Linotype"/>
          <w:color w:val="000000"/>
          <w:szCs w:val="24"/>
        </w:rPr>
        <w:t>DÉCIMA SEGUNDA</w:t>
      </w:r>
      <w:r w:rsidR="002475C3" w:rsidRPr="00BD05DD">
        <w:rPr>
          <w:rFonts w:eastAsia="Palatino Linotype" w:cs="Palatino Linotype"/>
          <w:color w:val="000000"/>
          <w:szCs w:val="24"/>
        </w:rPr>
        <w:t xml:space="preserve"> </w:t>
      </w:r>
      <w:r w:rsidR="006922F5" w:rsidRPr="00BD05DD">
        <w:rPr>
          <w:rFonts w:eastAsia="Palatino Linotype" w:cs="Palatino Linotype"/>
          <w:color w:val="000000"/>
          <w:szCs w:val="24"/>
        </w:rPr>
        <w:t>SESIÓN ORDINARIA CELEBRADA EL</w:t>
      </w:r>
      <w:r w:rsidR="000D2E93" w:rsidRPr="00BD05DD">
        <w:rPr>
          <w:rFonts w:eastAsia="Palatino Linotype" w:cs="Palatino Linotype"/>
          <w:color w:val="000000"/>
          <w:szCs w:val="24"/>
        </w:rPr>
        <w:t xml:space="preserve"> </w:t>
      </w:r>
      <w:r w:rsidR="00BD05DD" w:rsidRPr="00BD05DD">
        <w:rPr>
          <w:rFonts w:eastAsia="Palatino Linotype" w:cs="Palatino Linotype"/>
          <w:color w:val="000000"/>
          <w:szCs w:val="24"/>
        </w:rPr>
        <w:t>VEINTINUEVE</w:t>
      </w:r>
      <w:r w:rsidR="00837E77" w:rsidRPr="00BD05DD">
        <w:rPr>
          <w:rFonts w:eastAsia="Palatino Linotype" w:cs="Palatino Linotype"/>
          <w:color w:val="000000"/>
          <w:szCs w:val="24"/>
        </w:rPr>
        <w:t xml:space="preserve"> DE MARZO</w:t>
      </w:r>
      <w:r w:rsidR="002475C3" w:rsidRPr="00BD05DD">
        <w:rPr>
          <w:rFonts w:eastAsia="Palatino Linotype" w:cs="Palatino Linotype"/>
          <w:color w:val="000000"/>
          <w:szCs w:val="24"/>
        </w:rPr>
        <w:t xml:space="preserve"> DE DOS MIL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sidR="006922F5">
        <w:rPr>
          <w:rFonts w:eastAsia="Palatino Linotype" w:cs="Palatino Linotype"/>
          <w:color w:val="000000"/>
          <w:szCs w:val="24"/>
        </w:rPr>
        <w:t>---------------------------------------------------------------------------------------------------------------------</w:t>
      </w:r>
      <w:r w:rsidR="00BB2A3A">
        <w:rPr>
          <w:rFonts w:eastAsia="Palatino Linotype" w:cs="Palatino Linotype"/>
          <w:color w:val="000000"/>
          <w:szCs w:val="24"/>
        </w:rPr>
        <w:t>---------------------</w:t>
      </w:r>
      <w:r w:rsidR="00B95178">
        <w:rPr>
          <w:rFonts w:eastAsia="Palatino Linotype" w:cs="Palatino Linotype"/>
          <w:color w:val="000000"/>
          <w:szCs w:val="24"/>
        </w:rPr>
        <w:t>----------------------------------------------------------------------------------------------------------------------------------------------------------------------------------------------------------------------------------------------------------------------------------------------------------------------------------------------------------------</w:t>
      </w:r>
      <w:r w:rsidR="002475C3">
        <w:rPr>
          <w:rFonts w:eastAsia="Palatino Linotype" w:cs="Palatino Linotype"/>
          <w:color w:val="000000"/>
          <w:szCs w:val="24"/>
        </w:rPr>
        <w:t>------------------------------------------</w:t>
      </w:r>
      <w:r w:rsidR="007E696A">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D667F" w14:textId="77777777" w:rsidR="00B76A11" w:rsidRDefault="00B76A11" w:rsidP="00F2498E">
      <w:pPr>
        <w:spacing w:line="240" w:lineRule="auto"/>
      </w:pPr>
      <w:r>
        <w:separator/>
      </w:r>
    </w:p>
  </w:endnote>
  <w:endnote w:type="continuationSeparator" w:id="0">
    <w:p w14:paraId="4ED9BE44" w14:textId="77777777" w:rsidR="00B76A11" w:rsidRDefault="00B76A11" w:rsidP="00F2498E">
      <w:pPr>
        <w:spacing w:line="240" w:lineRule="auto"/>
      </w:pPr>
      <w:r>
        <w:continuationSeparator/>
      </w:r>
    </w:p>
  </w:endnote>
  <w:endnote w:type="continuationNotice" w:id="1">
    <w:p w14:paraId="488F094F" w14:textId="77777777" w:rsidR="00B76A11" w:rsidRDefault="00B76A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D72BF9" w:rsidRPr="00871A91" w:rsidRDefault="00D72BF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D64DB">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D64DB">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D72BF9" w:rsidRPr="00871A91" w:rsidRDefault="00D72BF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D64D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D64DB">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6D28" w14:textId="77777777" w:rsidR="00B76A11" w:rsidRDefault="00B76A11" w:rsidP="00F2498E">
      <w:pPr>
        <w:spacing w:line="240" w:lineRule="auto"/>
      </w:pPr>
      <w:r>
        <w:separator/>
      </w:r>
    </w:p>
  </w:footnote>
  <w:footnote w:type="continuationSeparator" w:id="0">
    <w:p w14:paraId="577943B8" w14:textId="77777777" w:rsidR="00B76A11" w:rsidRDefault="00B76A11" w:rsidP="00F2498E">
      <w:pPr>
        <w:spacing w:line="240" w:lineRule="auto"/>
      </w:pPr>
      <w:r>
        <w:continuationSeparator/>
      </w:r>
    </w:p>
  </w:footnote>
  <w:footnote w:type="continuationNotice" w:id="1">
    <w:p w14:paraId="2E1CF91F" w14:textId="77777777" w:rsidR="00B76A11" w:rsidRDefault="00B76A1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72BF9" w:rsidRDefault="001D64DB">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72BF9" w:rsidRPr="00B17577" w14:paraId="37B9EBDE" w14:textId="77777777" w:rsidTr="003938ED">
      <w:trPr>
        <w:trHeight w:val="227"/>
      </w:trPr>
      <w:tc>
        <w:tcPr>
          <w:tcW w:w="5103" w:type="dxa"/>
          <w:hideMark/>
        </w:tcPr>
        <w:p w14:paraId="4964FBC5" w14:textId="54CDA645" w:rsidR="00D72BF9" w:rsidRPr="00096248" w:rsidRDefault="00D72BF9"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A541130" w:rsidR="00D72BF9" w:rsidRPr="00096248" w:rsidRDefault="00D72BF9" w:rsidP="00011C4D">
          <w:pPr>
            <w:spacing w:after="120" w:line="240" w:lineRule="auto"/>
            <w:ind w:right="71"/>
            <w:jc w:val="right"/>
            <w:rPr>
              <w:rFonts w:cs="Arial"/>
              <w:b/>
              <w:szCs w:val="24"/>
            </w:rPr>
          </w:pPr>
          <w:r>
            <w:rPr>
              <w:rFonts w:cs="Arial"/>
              <w:b/>
              <w:bCs/>
              <w:szCs w:val="24"/>
            </w:rPr>
            <w:t>16965</w:t>
          </w:r>
          <w:r w:rsidRPr="00096248">
            <w:rPr>
              <w:rFonts w:cs="Arial"/>
              <w:b/>
              <w:bCs/>
              <w:szCs w:val="24"/>
            </w:rPr>
            <w:t>/INFOEM/IP/RR/202</w:t>
          </w:r>
          <w:r>
            <w:rPr>
              <w:rFonts w:cs="Arial"/>
              <w:b/>
              <w:bCs/>
              <w:szCs w:val="24"/>
            </w:rPr>
            <w:t>2</w:t>
          </w:r>
        </w:p>
      </w:tc>
    </w:tr>
    <w:tr w:rsidR="00D72BF9" w14:paraId="7591D3C9" w14:textId="77777777" w:rsidTr="003938ED">
      <w:trPr>
        <w:trHeight w:val="242"/>
      </w:trPr>
      <w:tc>
        <w:tcPr>
          <w:tcW w:w="5103" w:type="dxa"/>
          <w:hideMark/>
        </w:tcPr>
        <w:p w14:paraId="729A65A8" w14:textId="77777777" w:rsidR="00D72BF9" w:rsidRPr="00096248" w:rsidRDefault="00D72BF9"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67B11C7" w:rsidR="00D72BF9" w:rsidRPr="00096248" w:rsidRDefault="00D72BF9" w:rsidP="00011C4D">
          <w:pPr>
            <w:spacing w:after="120" w:line="240" w:lineRule="auto"/>
            <w:ind w:left="-81" w:right="71"/>
            <w:jc w:val="right"/>
            <w:rPr>
              <w:rFonts w:cs="Arial"/>
              <w:szCs w:val="24"/>
            </w:rPr>
          </w:pPr>
          <w:r>
            <w:rPr>
              <w:rFonts w:cs="Arial"/>
              <w:szCs w:val="24"/>
            </w:rPr>
            <w:t>Secretaría de Finanzas</w:t>
          </w:r>
        </w:p>
      </w:tc>
    </w:tr>
    <w:tr w:rsidR="00D72BF9" w:rsidRPr="00F63239" w14:paraId="037E914D" w14:textId="77777777" w:rsidTr="003938ED">
      <w:trPr>
        <w:trHeight w:val="342"/>
      </w:trPr>
      <w:tc>
        <w:tcPr>
          <w:tcW w:w="5103" w:type="dxa"/>
          <w:hideMark/>
        </w:tcPr>
        <w:p w14:paraId="7676B68F" w14:textId="64D69EAF" w:rsidR="00D72BF9" w:rsidRPr="00096248" w:rsidRDefault="00D72BF9"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D72BF9" w:rsidRDefault="00D72BF9"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D72BF9" w:rsidRPr="00711916" w:rsidRDefault="00D72BF9" w:rsidP="00011C4D">
          <w:pPr>
            <w:spacing w:after="120" w:line="240" w:lineRule="auto"/>
            <w:ind w:left="-486" w:right="71" w:firstLine="567"/>
            <w:jc w:val="right"/>
            <w:rPr>
              <w:rFonts w:cs="Arial"/>
              <w:sz w:val="2"/>
              <w:szCs w:val="2"/>
            </w:rPr>
          </w:pPr>
        </w:p>
      </w:tc>
    </w:tr>
  </w:tbl>
  <w:p w14:paraId="2998DBFD" w14:textId="25A9F426" w:rsidR="00D72BF9" w:rsidRPr="00871A91" w:rsidRDefault="001D64DB">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72BF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72BF9" w14:paraId="0F9FE9B6" w14:textId="77777777" w:rsidTr="003938ED">
      <w:trPr>
        <w:trHeight w:val="227"/>
      </w:trPr>
      <w:tc>
        <w:tcPr>
          <w:tcW w:w="5103" w:type="dxa"/>
          <w:hideMark/>
        </w:tcPr>
        <w:p w14:paraId="6D1D9D71" w14:textId="11150E5A" w:rsidR="00D72BF9" w:rsidRPr="00663A37" w:rsidRDefault="00D72BF9"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5D01259" w:rsidR="00D72BF9" w:rsidRPr="00C81ECD" w:rsidRDefault="00D72BF9" w:rsidP="00011C4D">
          <w:pPr>
            <w:spacing w:after="120" w:line="240" w:lineRule="auto"/>
            <w:ind w:left="-486" w:right="68" w:firstLine="558"/>
            <w:jc w:val="right"/>
            <w:rPr>
              <w:rFonts w:cs="Arial"/>
              <w:b/>
              <w:szCs w:val="24"/>
            </w:rPr>
          </w:pPr>
          <w:r>
            <w:rPr>
              <w:rFonts w:cs="Arial"/>
              <w:b/>
              <w:bCs/>
              <w:szCs w:val="24"/>
            </w:rPr>
            <w:t>16965</w:t>
          </w:r>
          <w:r w:rsidRPr="00C81ECD">
            <w:rPr>
              <w:rFonts w:cs="Arial"/>
              <w:b/>
              <w:bCs/>
              <w:szCs w:val="24"/>
            </w:rPr>
            <w:t>/INFOEM/IP/RR/2022</w:t>
          </w:r>
        </w:p>
      </w:tc>
    </w:tr>
    <w:tr w:rsidR="00D72BF9" w:rsidRPr="001F57CD" w14:paraId="1377D264" w14:textId="77777777" w:rsidTr="003938ED">
      <w:trPr>
        <w:trHeight w:val="196"/>
      </w:trPr>
      <w:tc>
        <w:tcPr>
          <w:tcW w:w="5103" w:type="dxa"/>
          <w:hideMark/>
        </w:tcPr>
        <w:p w14:paraId="04D597A1" w14:textId="77777777" w:rsidR="00D72BF9" w:rsidRPr="00663A37" w:rsidRDefault="00D72BF9"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CFE832E" w:rsidR="00D72BF9" w:rsidRPr="00663A37" w:rsidRDefault="001D64DB" w:rsidP="00011C4D">
          <w:pPr>
            <w:spacing w:after="120" w:line="240" w:lineRule="auto"/>
            <w:ind w:right="68"/>
            <w:jc w:val="right"/>
            <w:rPr>
              <w:rFonts w:cs="Arial"/>
              <w:szCs w:val="24"/>
            </w:rPr>
          </w:pPr>
          <w:proofErr w:type="spellStart"/>
          <w:r>
            <w:rPr>
              <w:rFonts w:cs="Arial"/>
              <w:szCs w:val="24"/>
            </w:rPr>
            <w:t>xxxx</w:t>
          </w:r>
          <w:proofErr w:type="spellEnd"/>
        </w:p>
      </w:tc>
    </w:tr>
    <w:tr w:rsidR="00D72BF9" w14:paraId="4DC11993" w14:textId="77777777" w:rsidTr="003938ED">
      <w:trPr>
        <w:trHeight w:val="242"/>
      </w:trPr>
      <w:tc>
        <w:tcPr>
          <w:tcW w:w="5103" w:type="dxa"/>
          <w:hideMark/>
        </w:tcPr>
        <w:p w14:paraId="76CEF1B5" w14:textId="77777777" w:rsidR="00D72BF9" w:rsidRPr="00663A37" w:rsidRDefault="00D72BF9"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17BA530" w:rsidR="00D72BF9" w:rsidRPr="00663A37" w:rsidRDefault="00D72BF9" w:rsidP="00011C4D">
          <w:pPr>
            <w:spacing w:after="120" w:line="240" w:lineRule="auto"/>
            <w:ind w:left="-70" w:right="68"/>
            <w:jc w:val="right"/>
            <w:rPr>
              <w:rFonts w:cs="Arial"/>
              <w:szCs w:val="24"/>
            </w:rPr>
          </w:pPr>
          <w:r>
            <w:rPr>
              <w:rFonts w:cs="Arial"/>
              <w:szCs w:val="24"/>
            </w:rPr>
            <w:t>Secretaría de Finanzas</w:t>
          </w:r>
        </w:p>
      </w:tc>
    </w:tr>
    <w:tr w:rsidR="00D72BF9" w14:paraId="5C2B511D" w14:textId="77777777" w:rsidTr="003938ED">
      <w:trPr>
        <w:trHeight w:val="342"/>
      </w:trPr>
      <w:tc>
        <w:tcPr>
          <w:tcW w:w="5103" w:type="dxa"/>
          <w:hideMark/>
        </w:tcPr>
        <w:p w14:paraId="03FEF68C" w14:textId="45E91CF4" w:rsidR="00D72BF9" w:rsidRPr="00663A37" w:rsidRDefault="00D72BF9"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72BF9" w:rsidRPr="00663A37" w:rsidRDefault="00D72BF9"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D72BF9" w:rsidRPr="00871A91" w:rsidRDefault="001D64DB">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2.6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D72BF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BECC0968"/>
    <w:lvl w:ilvl="0" w:tplc="51081D38">
      <w:start w:val="1"/>
      <w:numFmt w:val="decimal"/>
      <w:lvlText w:val="%1."/>
      <w:lvlJc w:val="left"/>
      <w:pPr>
        <w:ind w:left="709" w:hanging="425"/>
      </w:pPr>
      <w:rPr>
        <w:rFonts w:hint="default"/>
        <w:b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1694F42"/>
    <w:multiLevelType w:val="multilevel"/>
    <w:tmpl w:val="A8844D4A"/>
    <w:lvl w:ilvl="0">
      <w:start w:val="1"/>
      <w:numFmt w:val="decimal"/>
      <w:lvlText w:val="%1."/>
      <w:lvlJc w:val="left"/>
      <w:pPr>
        <w:ind w:left="709" w:hanging="425"/>
      </w:pPr>
      <w:rPr>
        <w:rFonts w:hint="default"/>
        <w:b w:val="0"/>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31F209D"/>
    <w:multiLevelType w:val="multilevel"/>
    <w:tmpl w:val="A3A8E0EC"/>
    <w:lvl w:ilvl="0">
      <w:start w:val="1"/>
      <w:numFmt w:val="decimal"/>
      <w:lvlText w:val="%1."/>
      <w:lvlJc w:val="left"/>
      <w:pPr>
        <w:ind w:left="709" w:hanging="425"/>
      </w:pPr>
      <w:rPr>
        <w:rFonts w:hint="default"/>
        <w:b w:val="0"/>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1"/>
  </w:num>
  <w:num w:numId="3">
    <w:abstractNumId w:val="4"/>
  </w:num>
  <w:num w:numId="4">
    <w:abstractNumId w:val="24"/>
  </w:num>
  <w:num w:numId="5">
    <w:abstractNumId w:val="21"/>
  </w:num>
  <w:num w:numId="6">
    <w:abstractNumId w:val="7"/>
  </w:num>
  <w:num w:numId="7">
    <w:abstractNumId w:val="28"/>
  </w:num>
  <w:num w:numId="8">
    <w:abstractNumId w:val="36"/>
  </w:num>
  <w:num w:numId="9">
    <w:abstractNumId w:val="30"/>
  </w:num>
  <w:num w:numId="10">
    <w:abstractNumId w:val="3"/>
  </w:num>
  <w:num w:numId="11">
    <w:abstractNumId w:val="26"/>
  </w:num>
  <w:num w:numId="12">
    <w:abstractNumId w:val="8"/>
  </w:num>
  <w:num w:numId="13">
    <w:abstractNumId w:val="9"/>
  </w:num>
  <w:num w:numId="14">
    <w:abstractNumId w:val="23"/>
  </w:num>
  <w:num w:numId="15">
    <w:abstractNumId w:val="12"/>
  </w:num>
  <w:num w:numId="16">
    <w:abstractNumId w:val="32"/>
  </w:num>
  <w:num w:numId="17">
    <w:abstractNumId w:val="34"/>
  </w:num>
  <w:num w:numId="18">
    <w:abstractNumId w:val="1"/>
  </w:num>
  <w:num w:numId="19">
    <w:abstractNumId w:val="29"/>
  </w:num>
  <w:num w:numId="20">
    <w:abstractNumId w:val="6"/>
  </w:num>
  <w:num w:numId="21">
    <w:abstractNumId w:val="19"/>
  </w:num>
  <w:num w:numId="22">
    <w:abstractNumId w:val="2"/>
  </w:num>
  <w:num w:numId="23">
    <w:abstractNumId w:val="0"/>
  </w:num>
  <w:num w:numId="24">
    <w:abstractNumId w:val="10"/>
  </w:num>
  <w:num w:numId="25">
    <w:abstractNumId w:val="13"/>
  </w:num>
  <w:num w:numId="26">
    <w:abstractNumId w:val="11"/>
  </w:num>
  <w:num w:numId="27">
    <w:abstractNumId w:val="35"/>
  </w:num>
  <w:num w:numId="28">
    <w:abstractNumId w:val="33"/>
  </w:num>
  <w:num w:numId="29">
    <w:abstractNumId w:val="5"/>
  </w:num>
  <w:num w:numId="30">
    <w:abstractNumId w:val="20"/>
  </w:num>
  <w:num w:numId="31">
    <w:abstractNumId w:val="27"/>
  </w:num>
  <w:num w:numId="32">
    <w:abstractNumId w:val="14"/>
  </w:num>
  <w:num w:numId="33">
    <w:abstractNumId w:val="15"/>
  </w:num>
  <w:num w:numId="34">
    <w:abstractNumId w:val="25"/>
  </w:num>
  <w:num w:numId="35">
    <w:abstractNumId w:val="18"/>
  </w:num>
  <w:num w:numId="36">
    <w:abstractNumId w:val="22"/>
  </w:num>
  <w:num w:numId="3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47C3"/>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B80"/>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3E5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4DB"/>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591F"/>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17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495A"/>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2DAB"/>
    <w:rsid w:val="00393884"/>
    <w:rsid w:val="003938ED"/>
    <w:rsid w:val="00393910"/>
    <w:rsid w:val="0039393F"/>
    <w:rsid w:val="00393CC5"/>
    <w:rsid w:val="00393F5B"/>
    <w:rsid w:val="003944D6"/>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3972"/>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1BFA"/>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5D95"/>
    <w:rsid w:val="006168EB"/>
    <w:rsid w:val="00616DEB"/>
    <w:rsid w:val="00620DE2"/>
    <w:rsid w:val="00624E9E"/>
    <w:rsid w:val="0062573B"/>
    <w:rsid w:val="006263D3"/>
    <w:rsid w:val="0062694E"/>
    <w:rsid w:val="00627BD6"/>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1E9B"/>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2411"/>
    <w:rsid w:val="007E38F1"/>
    <w:rsid w:val="007E3C2E"/>
    <w:rsid w:val="007E3F8B"/>
    <w:rsid w:val="007E648C"/>
    <w:rsid w:val="007E660F"/>
    <w:rsid w:val="007E696A"/>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1F3"/>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0847"/>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DE8"/>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2CBF"/>
    <w:rsid w:val="00A844B8"/>
    <w:rsid w:val="00A849C8"/>
    <w:rsid w:val="00A855BE"/>
    <w:rsid w:val="00A861DD"/>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858"/>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1BF"/>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76A11"/>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05D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678"/>
    <w:rsid w:val="00C9490F"/>
    <w:rsid w:val="00C9629D"/>
    <w:rsid w:val="00C96C19"/>
    <w:rsid w:val="00C96E34"/>
    <w:rsid w:val="00C97067"/>
    <w:rsid w:val="00C9717B"/>
    <w:rsid w:val="00C97465"/>
    <w:rsid w:val="00C9749B"/>
    <w:rsid w:val="00C97586"/>
    <w:rsid w:val="00CA033E"/>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1DF7"/>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2BF9"/>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5AC"/>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13F"/>
    <w:rsid w:val="00E75386"/>
    <w:rsid w:val="00E758A1"/>
    <w:rsid w:val="00E75DEB"/>
    <w:rsid w:val="00E76832"/>
    <w:rsid w:val="00E76D1F"/>
    <w:rsid w:val="00E77015"/>
    <w:rsid w:val="00E77017"/>
    <w:rsid w:val="00E802ED"/>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23A8"/>
    <w:rsid w:val="00E93276"/>
    <w:rsid w:val="00E93457"/>
    <w:rsid w:val="00E93F35"/>
    <w:rsid w:val="00EA04FB"/>
    <w:rsid w:val="00EA1F76"/>
    <w:rsid w:val="00EA4C1F"/>
    <w:rsid w:val="00EA5469"/>
    <w:rsid w:val="00EA5B2B"/>
    <w:rsid w:val="00EA7EA7"/>
    <w:rsid w:val="00EB0239"/>
    <w:rsid w:val="00EB0AFA"/>
    <w:rsid w:val="00EB2BE8"/>
    <w:rsid w:val="00EB2F9B"/>
    <w:rsid w:val="00EB30B5"/>
    <w:rsid w:val="00EB311C"/>
    <w:rsid w:val="00EB352A"/>
    <w:rsid w:val="00EB39B9"/>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gob.mx/agenda201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475A-0EDC-4C5C-8214-A5D29BCB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34</Pages>
  <Words>8586</Words>
  <Characters>47225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2019-06-13T15:30:00Z</cp:lastPrinted>
  <dcterms:created xsi:type="dcterms:W3CDTF">2023-03-13T21:40:00Z</dcterms:created>
  <dcterms:modified xsi:type="dcterms:W3CDTF">2023-04-20T19:32:00Z</dcterms:modified>
</cp:coreProperties>
</file>