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3B79B" w14:textId="093DFB03" w:rsidR="00DC64EA" w:rsidRPr="00192B4E" w:rsidRDefault="00DC64EA" w:rsidP="00DC64EA">
      <w:pPr>
        <w:spacing w:line="360" w:lineRule="auto"/>
        <w:jc w:val="both"/>
        <w:rPr>
          <w:rFonts w:ascii="Palatino Linotype" w:eastAsiaTheme="minorEastAsia" w:hAnsi="Palatino Linotype"/>
          <w:lang w:val="es-ES_tradnl" w:eastAsia="es-ES"/>
        </w:rPr>
      </w:pPr>
      <w:r w:rsidRPr="00192B4E">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w:t>
      </w:r>
      <w:r>
        <w:rPr>
          <w:rFonts w:ascii="Palatino Linotype" w:eastAsiaTheme="minorEastAsia" w:hAnsi="Palatino Linotype"/>
          <w:lang w:val="es-ES_tradnl" w:eastAsia="es-ES"/>
        </w:rPr>
        <w:t xml:space="preserve">e México; de fecha </w:t>
      </w:r>
      <w:r w:rsidR="00F7706B">
        <w:rPr>
          <w:rFonts w:ascii="Palatino Linotype" w:eastAsiaTheme="minorEastAsia" w:hAnsi="Palatino Linotype"/>
          <w:lang w:val="es-ES_tradnl" w:eastAsia="es-ES"/>
        </w:rPr>
        <w:t>cinco</w:t>
      </w:r>
      <w:r>
        <w:rPr>
          <w:rFonts w:ascii="Palatino Linotype" w:eastAsiaTheme="minorEastAsia" w:hAnsi="Palatino Linotype"/>
          <w:lang w:val="es-ES_tradnl" w:eastAsia="es-ES"/>
        </w:rPr>
        <w:t xml:space="preserve"> (</w:t>
      </w:r>
      <w:r w:rsidR="00F7706B">
        <w:rPr>
          <w:rFonts w:ascii="Palatino Linotype" w:eastAsiaTheme="minorEastAsia" w:hAnsi="Palatino Linotype"/>
          <w:lang w:val="es-ES_tradnl" w:eastAsia="es-ES"/>
        </w:rPr>
        <w:t>05</w:t>
      </w:r>
      <w:r>
        <w:rPr>
          <w:rFonts w:ascii="Palatino Linotype" w:eastAsiaTheme="minorEastAsia" w:hAnsi="Palatino Linotype"/>
          <w:lang w:val="es-ES_tradnl" w:eastAsia="es-ES"/>
        </w:rPr>
        <w:t xml:space="preserve">) de </w:t>
      </w:r>
      <w:r w:rsidR="009836E0">
        <w:rPr>
          <w:rFonts w:ascii="Palatino Linotype" w:eastAsiaTheme="minorEastAsia" w:hAnsi="Palatino Linotype"/>
          <w:lang w:val="es-ES_tradnl" w:eastAsia="es-ES"/>
        </w:rPr>
        <w:t>jul</w:t>
      </w:r>
      <w:r w:rsidR="00F7706B">
        <w:rPr>
          <w:rFonts w:ascii="Palatino Linotype" w:eastAsiaTheme="minorEastAsia" w:hAnsi="Palatino Linotype"/>
          <w:lang w:val="es-ES_tradnl" w:eastAsia="es-ES"/>
        </w:rPr>
        <w:t>io</w:t>
      </w:r>
      <w:r>
        <w:rPr>
          <w:rFonts w:ascii="Palatino Linotype" w:eastAsiaTheme="minorEastAsia" w:hAnsi="Palatino Linotype"/>
          <w:lang w:val="es-ES_tradnl" w:eastAsia="es-ES"/>
        </w:rPr>
        <w:t xml:space="preserve"> de dos mil veintitrés</w:t>
      </w:r>
      <w:r w:rsidRPr="00192B4E">
        <w:rPr>
          <w:rFonts w:ascii="Palatino Linotype" w:eastAsiaTheme="minorEastAsia" w:hAnsi="Palatino Linotype"/>
          <w:lang w:val="es-ES_tradnl" w:eastAsia="es-ES"/>
        </w:rPr>
        <w:t>.</w:t>
      </w:r>
    </w:p>
    <w:p w14:paraId="7E17B2CF" w14:textId="77777777" w:rsidR="00DC64EA" w:rsidRPr="00192B4E" w:rsidRDefault="00DC64EA" w:rsidP="00DC64EA">
      <w:pPr>
        <w:spacing w:line="360" w:lineRule="auto"/>
        <w:jc w:val="both"/>
        <w:rPr>
          <w:rFonts w:ascii="Palatino Linotype" w:eastAsiaTheme="minorEastAsia" w:hAnsi="Palatino Linotype"/>
          <w:lang w:val="es-ES_tradnl" w:eastAsia="es-ES"/>
        </w:rPr>
      </w:pPr>
    </w:p>
    <w:p w14:paraId="6E33B8FD" w14:textId="68DC9372" w:rsidR="00DC64EA" w:rsidRPr="00192B4E" w:rsidRDefault="00DC64EA" w:rsidP="00DC64EA">
      <w:pPr>
        <w:spacing w:line="360" w:lineRule="auto"/>
        <w:jc w:val="both"/>
        <w:rPr>
          <w:rFonts w:ascii="Palatino Linotype" w:hAnsi="Palatino Linotype"/>
        </w:rPr>
      </w:pPr>
      <w:r w:rsidRPr="00192B4E">
        <w:rPr>
          <w:rFonts w:ascii="Palatino Linotype" w:hAnsi="Palatino Linotype"/>
          <w:b/>
        </w:rPr>
        <w:t>VISTO</w:t>
      </w:r>
      <w:r w:rsidRPr="00192B4E">
        <w:rPr>
          <w:rFonts w:ascii="Palatino Linotype" w:hAnsi="Palatino Linotype"/>
        </w:rPr>
        <w:t xml:space="preserve"> el expediente electrónico formado con motivo del recurso de revisión </w:t>
      </w:r>
      <w:r w:rsidR="00F7706B">
        <w:rPr>
          <w:rFonts w:ascii="Palatino Linotype" w:hAnsi="Palatino Linotype"/>
          <w:b/>
        </w:rPr>
        <w:t>00663</w:t>
      </w:r>
      <w:r w:rsidR="008629FE">
        <w:rPr>
          <w:rFonts w:ascii="Palatino Linotype" w:hAnsi="Palatino Linotype"/>
          <w:b/>
        </w:rPr>
        <w:t>/INFOEM/IP/RR/2023</w:t>
      </w:r>
      <w:r w:rsidRPr="00192B4E">
        <w:rPr>
          <w:rFonts w:ascii="Palatino Linotype" w:hAnsi="Palatino Linotype"/>
          <w:b/>
        </w:rPr>
        <w:t>,</w:t>
      </w:r>
      <w:r w:rsidRPr="00192B4E">
        <w:rPr>
          <w:rFonts w:ascii="Palatino Linotype" w:hAnsi="Palatino Linotype" w:cs="Arial"/>
          <w:b/>
          <w:bCs/>
        </w:rPr>
        <w:t xml:space="preserve"> </w:t>
      </w:r>
      <w:r w:rsidRPr="00192B4E">
        <w:rPr>
          <w:rFonts w:ascii="Palatino Linotype" w:eastAsiaTheme="minorEastAsia" w:hAnsi="Palatino Linotype"/>
          <w:lang w:val="es-ES_tradnl" w:eastAsia="es-ES"/>
        </w:rPr>
        <w:t>promovido por</w:t>
      </w:r>
      <w:r w:rsidR="00F7706B">
        <w:rPr>
          <w:rFonts w:ascii="Palatino Linotype" w:eastAsiaTheme="minorEastAsia" w:hAnsi="Palatino Linotype"/>
          <w:b/>
          <w:bCs/>
          <w:lang w:eastAsia="es-ES"/>
        </w:rPr>
        <w:t xml:space="preserve"> </w:t>
      </w:r>
      <w:r w:rsidR="00BC0632">
        <w:rPr>
          <w:rFonts w:ascii="Palatino Linotype" w:eastAsiaTheme="minorEastAsia" w:hAnsi="Palatino Linotype"/>
          <w:b/>
          <w:bCs/>
          <w:lang w:eastAsia="es-ES"/>
        </w:rPr>
        <w:t xml:space="preserve">un Usuario del </w:t>
      </w:r>
      <w:r w:rsidR="00F51A47" w:rsidRPr="00F7706B">
        <w:rPr>
          <w:rFonts w:ascii="Palatino Linotype" w:eastAsia="Calibri" w:hAnsi="Palatino Linotype"/>
          <w:b/>
          <w:bCs/>
          <w:lang w:val="es-ES" w:eastAsia="es-ES"/>
        </w:rPr>
        <w:t>Sistema de Acceso a la Información Mexiquense (SAIMEX)</w:t>
      </w:r>
      <w:r w:rsidR="00F51A47">
        <w:rPr>
          <w:rFonts w:ascii="Palatino Linotype" w:eastAsia="Calibri" w:hAnsi="Palatino Linotype"/>
          <w:b/>
          <w:bCs/>
          <w:lang w:val="es-ES" w:eastAsia="es-ES"/>
        </w:rPr>
        <w:t xml:space="preserve">, </w:t>
      </w:r>
      <w:r w:rsidR="00F7706B" w:rsidRPr="00F7706B">
        <w:rPr>
          <w:rFonts w:ascii="Palatino Linotype" w:eastAsiaTheme="minorEastAsia" w:hAnsi="Palatino Linotype"/>
          <w:lang w:eastAsia="es-ES"/>
        </w:rPr>
        <w:t>qu</w:t>
      </w:r>
      <w:r w:rsidR="00F51A47">
        <w:rPr>
          <w:rFonts w:ascii="Palatino Linotype" w:eastAsiaTheme="minorEastAsia" w:hAnsi="Palatino Linotype"/>
          <w:lang w:eastAsia="es-ES"/>
        </w:rPr>
        <w:t>ien</w:t>
      </w:r>
      <w:r w:rsidR="00F7706B" w:rsidRPr="00F7706B">
        <w:rPr>
          <w:rFonts w:ascii="Palatino Linotype" w:eastAsiaTheme="minorEastAsia" w:hAnsi="Palatino Linotype"/>
          <w:lang w:eastAsia="es-ES"/>
        </w:rPr>
        <w:t xml:space="preserve"> no proporcionó nombre</w:t>
      </w:r>
      <w:r w:rsidR="00F51A47">
        <w:rPr>
          <w:rFonts w:ascii="Palatino Linotype" w:eastAsiaTheme="minorEastAsia" w:hAnsi="Palatino Linotype"/>
          <w:lang w:eastAsia="es-ES"/>
        </w:rPr>
        <w:t xml:space="preserve"> alguno</w:t>
      </w:r>
      <w:r w:rsidRPr="00F7706B">
        <w:rPr>
          <w:rFonts w:ascii="Palatino Linotype" w:eastAsiaTheme="minorEastAsia" w:hAnsi="Palatino Linotype"/>
          <w:lang w:val="es-ES" w:eastAsia="es-ES"/>
        </w:rPr>
        <w:t>,</w:t>
      </w:r>
      <w:r w:rsidRPr="00F7706B">
        <w:rPr>
          <w:rFonts w:ascii="Palatino Linotype" w:eastAsiaTheme="minorEastAsia" w:hAnsi="Palatino Linotype"/>
          <w:lang w:eastAsia="es-ES"/>
        </w:rPr>
        <w:t xml:space="preserve"> </w:t>
      </w:r>
      <w:r w:rsidRPr="00F7706B">
        <w:rPr>
          <w:rFonts w:ascii="Palatino Linotype" w:hAnsi="Palatino Linotype"/>
        </w:rPr>
        <w:t>en l</w:t>
      </w:r>
      <w:r w:rsidRPr="00192B4E">
        <w:rPr>
          <w:rFonts w:ascii="Palatino Linotype" w:hAnsi="Palatino Linotype"/>
        </w:rPr>
        <w:t>o sucesivo se identificará como</w:t>
      </w:r>
      <w:r w:rsidR="00F7706B">
        <w:rPr>
          <w:rFonts w:ascii="Palatino Linotype" w:hAnsi="Palatino Linotype"/>
        </w:rPr>
        <w:t xml:space="preserve"> el</w:t>
      </w:r>
      <w:r w:rsidRPr="00192B4E">
        <w:rPr>
          <w:rFonts w:ascii="Palatino Linotype" w:hAnsi="Palatino Linotype"/>
          <w:b/>
        </w:rPr>
        <w:t xml:space="preserve"> </w:t>
      </w:r>
      <w:r w:rsidRPr="00192B4E">
        <w:rPr>
          <w:rFonts w:ascii="Palatino Linotype" w:hAnsi="Palatino Linotype" w:cs="Arial"/>
          <w:b/>
        </w:rPr>
        <w:t>RECURRENTE</w:t>
      </w:r>
      <w:r w:rsidRPr="00192B4E">
        <w:rPr>
          <w:rFonts w:ascii="Palatino Linotype" w:hAnsi="Palatino Linotype" w:cs="Arial"/>
        </w:rPr>
        <w:t>, en contra de la respuesta de</w:t>
      </w:r>
      <w:r w:rsidR="00F7706B">
        <w:rPr>
          <w:rFonts w:ascii="Palatino Linotype" w:hAnsi="Palatino Linotype" w:cs="Arial"/>
        </w:rPr>
        <w:t xml:space="preserve">l </w:t>
      </w:r>
      <w:r w:rsidR="00F7706B" w:rsidRPr="00F7706B">
        <w:rPr>
          <w:rFonts w:ascii="Palatino Linotype" w:hAnsi="Palatino Linotype" w:cs="Arial"/>
          <w:b/>
          <w:bCs/>
        </w:rPr>
        <w:t>Ayuntamiento de San Mateo Atenco</w:t>
      </w:r>
      <w:r w:rsidRPr="00192B4E">
        <w:rPr>
          <w:rFonts w:ascii="Palatino Linotype" w:hAnsi="Palatino Linotype" w:cs="Arial"/>
          <w:b/>
        </w:rPr>
        <w:t>,</w:t>
      </w:r>
      <w:r w:rsidRPr="00192B4E">
        <w:rPr>
          <w:rFonts w:ascii="Palatino Linotype" w:hAnsi="Palatino Linotype"/>
          <w:b/>
        </w:rPr>
        <w:t xml:space="preserve"> </w:t>
      </w:r>
      <w:r w:rsidRPr="00192B4E">
        <w:rPr>
          <w:rFonts w:ascii="Palatino Linotype" w:hAnsi="Palatino Linotype"/>
        </w:rPr>
        <w:t xml:space="preserve">en </w:t>
      </w:r>
      <w:r w:rsidR="00F51A47">
        <w:rPr>
          <w:rFonts w:ascii="Palatino Linotype" w:hAnsi="Palatino Linotype"/>
        </w:rPr>
        <w:t>adelante</w:t>
      </w:r>
      <w:r w:rsidRPr="00192B4E">
        <w:rPr>
          <w:rFonts w:ascii="Palatino Linotype" w:hAnsi="Palatino Linotype"/>
        </w:rPr>
        <w:t xml:space="preserve"> el</w:t>
      </w:r>
      <w:r w:rsidRPr="00192B4E">
        <w:rPr>
          <w:rFonts w:ascii="Palatino Linotype" w:hAnsi="Palatino Linotype"/>
          <w:b/>
        </w:rPr>
        <w:t xml:space="preserve"> SUJETO OBLIGADO</w:t>
      </w:r>
      <w:r w:rsidRPr="00192B4E">
        <w:rPr>
          <w:rFonts w:ascii="Palatino Linotype" w:hAnsi="Palatino Linotype"/>
        </w:rPr>
        <w:t>, por lo que se procede a dictar la presente resolución, con base en los siguientes:</w:t>
      </w:r>
    </w:p>
    <w:p w14:paraId="514CC39C" w14:textId="77777777" w:rsidR="00DC64EA" w:rsidRPr="00192B4E" w:rsidRDefault="00DC64EA" w:rsidP="00DC64EA">
      <w:pPr>
        <w:spacing w:line="360" w:lineRule="auto"/>
        <w:jc w:val="both"/>
        <w:rPr>
          <w:rFonts w:ascii="Palatino Linotype" w:hAnsi="Palatino Linotype"/>
        </w:rPr>
      </w:pPr>
    </w:p>
    <w:p w14:paraId="08F921B3" w14:textId="77777777" w:rsidR="00DC64EA" w:rsidRPr="00192B4E" w:rsidRDefault="00DC64EA" w:rsidP="00DC64EA">
      <w:pPr>
        <w:keepNext/>
        <w:keepLines/>
        <w:spacing w:line="360" w:lineRule="auto"/>
        <w:jc w:val="center"/>
        <w:outlineLvl w:val="0"/>
        <w:rPr>
          <w:rFonts w:ascii="Palatino Linotype" w:eastAsiaTheme="majorEastAsia" w:hAnsi="Palatino Linotype" w:cstheme="majorBidi"/>
          <w:b/>
          <w:szCs w:val="32"/>
        </w:rPr>
      </w:pPr>
      <w:bookmarkStart w:id="0" w:name="_Toc83301633"/>
      <w:r w:rsidRPr="00192B4E">
        <w:rPr>
          <w:rFonts w:ascii="Palatino Linotype" w:eastAsiaTheme="majorEastAsia" w:hAnsi="Palatino Linotype" w:cstheme="majorBidi"/>
          <w:b/>
          <w:szCs w:val="32"/>
        </w:rPr>
        <w:t>ANTECEDENTES</w:t>
      </w:r>
      <w:bookmarkEnd w:id="0"/>
    </w:p>
    <w:p w14:paraId="588E8453" w14:textId="77777777" w:rsidR="00DC64EA" w:rsidRPr="00192B4E" w:rsidRDefault="00DC64EA" w:rsidP="00DC64EA">
      <w:pPr>
        <w:spacing w:line="360" w:lineRule="auto"/>
        <w:rPr>
          <w:rFonts w:ascii="Palatino Linotype" w:eastAsiaTheme="minorEastAsia" w:hAnsi="Palatino Linotype"/>
        </w:rPr>
      </w:pPr>
    </w:p>
    <w:p w14:paraId="6E775C1C" w14:textId="610AD840" w:rsidR="00DC64EA" w:rsidRPr="00192B4E" w:rsidRDefault="00DC64EA" w:rsidP="00DC64EA">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El nueve (</w:t>
      </w:r>
      <w:r w:rsidR="00F7706B">
        <w:rPr>
          <w:rFonts w:ascii="Palatino Linotype" w:eastAsia="Calibri" w:hAnsi="Palatino Linotype" w:cs="Arial"/>
          <w:lang w:val="es-ES" w:eastAsia="es-ES"/>
        </w:rPr>
        <w:t>0</w:t>
      </w:r>
      <w:r>
        <w:rPr>
          <w:rFonts w:ascii="Palatino Linotype" w:eastAsia="Calibri" w:hAnsi="Palatino Linotype" w:cs="Arial"/>
          <w:lang w:val="es-ES" w:eastAsia="es-ES"/>
        </w:rPr>
        <w:t xml:space="preserve">9) de </w:t>
      </w:r>
      <w:r w:rsidR="00F7706B">
        <w:rPr>
          <w:rFonts w:ascii="Palatino Linotype" w:eastAsia="Calibri" w:hAnsi="Palatino Linotype" w:cs="Arial"/>
          <w:lang w:val="es-ES" w:eastAsia="es-ES"/>
        </w:rPr>
        <w:t>enero</w:t>
      </w:r>
      <w:r>
        <w:rPr>
          <w:rFonts w:ascii="Palatino Linotype" w:eastAsia="Calibri" w:hAnsi="Palatino Linotype" w:cs="Arial"/>
          <w:lang w:val="es-ES" w:eastAsia="es-ES"/>
        </w:rPr>
        <w:t xml:space="preserve"> de dos mil veinti</w:t>
      </w:r>
      <w:r w:rsidR="00F7706B">
        <w:rPr>
          <w:rFonts w:ascii="Palatino Linotype" w:eastAsia="Calibri" w:hAnsi="Palatino Linotype" w:cs="Arial"/>
          <w:lang w:val="es-ES" w:eastAsia="es-ES"/>
        </w:rPr>
        <w:t>trés</w:t>
      </w:r>
      <w:r w:rsidRPr="00192B4E">
        <w:rPr>
          <w:rFonts w:ascii="Palatino Linotype" w:eastAsia="Calibri" w:hAnsi="Palatino Linotype" w:cs="Arial"/>
          <w:lang w:val="es-ES" w:eastAsia="es-ES"/>
        </w:rPr>
        <w:t>,</w:t>
      </w:r>
      <w:r w:rsidR="00F7706B">
        <w:rPr>
          <w:rFonts w:ascii="Palatino Linotype" w:eastAsia="Calibri" w:hAnsi="Palatino Linotype"/>
          <w:lang w:val="es-ES" w:eastAsia="es-ES"/>
        </w:rPr>
        <w:t xml:space="preserve"> el</w:t>
      </w:r>
      <w:r w:rsidRPr="00192B4E">
        <w:rPr>
          <w:rFonts w:ascii="Palatino Linotype" w:eastAsia="Calibri" w:hAnsi="Palatino Linotype"/>
          <w:b/>
          <w:lang w:val="es-ES" w:eastAsia="es-ES"/>
        </w:rPr>
        <w:t xml:space="preserve"> RECURRENTE</w:t>
      </w:r>
      <w:r w:rsidRPr="00192B4E">
        <w:rPr>
          <w:rFonts w:ascii="Palatino Linotype" w:eastAsiaTheme="minorEastAsia" w:hAnsi="Palatino Linotype"/>
          <w:b/>
          <w:lang w:val="es-ES_tradnl" w:eastAsia="es-ES"/>
        </w:rPr>
        <w:t>,</w:t>
      </w:r>
      <w:r w:rsidRPr="00192B4E">
        <w:rPr>
          <w:rFonts w:ascii="Palatino Linotype" w:eastAsia="Calibri" w:hAnsi="Palatino Linotype" w:cs="Arial"/>
          <w:lang w:val="es-ES" w:eastAsia="es-ES"/>
        </w:rPr>
        <w:t xml:space="preserve"> ante el </w:t>
      </w:r>
      <w:r w:rsidRPr="00192B4E">
        <w:rPr>
          <w:rFonts w:ascii="Palatino Linotype" w:eastAsia="Calibri" w:hAnsi="Palatino Linotype" w:cs="Arial"/>
          <w:b/>
          <w:lang w:val="es-ES" w:eastAsia="es-ES"/>
        </w:rPr>
        <w:t>SUJETO OBLIGADO</w:t>
      </w:r>
      <w:r w:rsidRPr="00192B4E">
        <w:rPr>
          <w:rFonts w:ascii="Palatino Linotype" w:eastAsia="Calibri" w:hAnsi="Palatino Linotype" w:cs="Arial"/>
          <w:lang w:val="es-ES_tradnl" w:eastAsia="es-ES"/>
        </w:rPr>
        <w:t xml:space="preserve"> vía </w:t>
      </w:r>
      <w:r w:rsidRPr="00192B4E">
        <w:rPr>
          <w:rFonts w:ascii="Palatino Linotype" w:eastAsia="Calibri" w:hAnsi="Palatino Linotype" w:cs="Arial"/>
          <w:lang w:val="es-ES" w:eastAsia="es-ES"/>
        </w:rPr>
        <w:t>Sistema de Acceso a la Información Mexiquense (</w:t>
      </w:r>
      <w:r w:rsidRPr="00192B4E">
        <w:rPr>
          <w:rFonts w:ascii="Palatino Linotype" w:eastAsia="Calibri" w:hAnsi="Palatino Linotype" w:cs="Arial"/>
          <w:b/>
          <w:lang w:val="es-ES" w:eastAsia="es-ES"/>
        </w:rPr>
        <w:t>SAIMEX)</w:t>
      </w:r>
      <w:r w:rsidRPr="00192B4E">
        <w:rPr>
          <w:rFonts w:ascii="Palatino Linotype" w:eastAsia="Calibri" w:hAnsi="Palatino Linotype" w:cs="Arial"/>
          <w:lang w:val="es-ES" w:eastAsia="es-ES"/>
        </w:rPr>
        <w:t xml:space="preserve">, presentó una solicitud de información registrada con el número </w:t>
      </w:r>
      <w:r w:rsidRPr="00DC64EA">
        <w:rPr>
          <w:rFonts w:ascii="Palatino Linotype" w:hAnsi="Palatino Linotype"/>
          <w:b/>
          <w:bCs/>
        </w:rPr>
        <w:t>000</w:t>
      </w:r>
      <w:r w:rsidR="00F7706B">
        <w:rPr>
          <w:rFonts w:ascii="Palatino Linotype" w:hAnsi="Palatino Linotype"/>
          <w:b/>
          <w:bCs/>
        </w:rPr>
        <w:t>02</w:t>
      </w:r>
      <w:r w:rsidRPr="00DC64EA">
        <w:rPr>
          <w:rFonts w:ascii="Palatino Linotype" w:hAnsi="Palatino Linotype"/>
          <w:b/>
          <w:bCs/>
        </w:rPr>
        <w:t>/</w:t>
      </w:r>
      <w:r w:rsidR="00F7706B">
        <w:rPr>
          <w:rFonts w:ascii="Palatino Linotype" w:hAnsi="Palatino Linotype"/>
          <w:b/>
          <w:bCs/>
        </w:rPr>
        <w:t>MATEOATE</w:t>
      </w:r>
      <w:r w:rsidRPr="00DC64EA">
        <w:rPr>
          <w:rFonts w:ascii="Palatino Linotype" w:hAnsi="Palatino Linotype"/>
          <w:b/>
          <w:bCs/>
        </w:rPr>
        <w:t>/IP/202</w:t>
      </w:r>
      <w:r w:rsidR="00F7706B">
        <w:rPr>
          <w:rFonts w:ascii="Palatino Linotype" w:hAnsi="Palatino Linotype"/>
          <w:b/>
          <w:bCs/>
        </w:rPr>
        <w:t>3</w:t>
      </w:r>
      <w:r w:rsidRPr="00192B4E">
        <w:rPr>
          <w:rFonts w:ascii="Palatino Linotype" w:eastAsiaTheme="minorEastAsia" w:hAnsi="Palatino Linotype"/>
          <w:b/>
          <w:lang w:val="es-ES_tradnl" w:eastAsia="es-ES"/>
        </w:rPr>
        <w:t xml:space="preserve">, </w:t>
      </w:r>
      <w:r w:rsidR="00F51A47">
        <w:rPr>
          <w:rFonts w:ascii="Palatino Linotype" w:eastAsia="Calibri" w:hAnsi="Palatino Linotype" w:cs="Arial"/>
          <w:lang w:val="es-ES" w:eastAsia="es-ES"/>
        </w:rPr>
        <w:t>en la que</w:t>
      </w:r>
      <w:r w:rsidRPr="00192B4E">
        <w:rPr>
          <w:rFonts w:ascii="Palatino Linotype" w:eastAsia="Calibri" w:hAnsi="Palatino Linotype" w:cs="Arial"/>
          <w:lang w:val="es-ES" w:eastAsia="es-ES"/>
        </w:rPr>
        <w:t xml:space="preserve"> solicitó lo siguiente:</w:t>
      </w:r>
    </w:p>
    <w:p w14:paraId="741596F4" w14:textId="77777777" w:rsidR="00DC64EA" w:rsidRPr="00192B4E" w:rsidRDefault="00DC64EA" w:rsidP="00DC64EA">
      <w:pPr>
        <w:spacing w:line="360" w:lineRule="auto"/>
        <w:contextualSpacing/>
        <w:jc w:val="both"/>
        <w:rPr>
          <w:rFonts w:ascii="Palatino Linotype" w:hAnsi="Palatino Linotype" w:cs="Arial"/>
          <w:lang w:val="es-ES" w:eastAsia="es-ES"/>
        </w:rPr>
      </w:pPr>
    </w:p>
    <w:p w14:paraId="7B4D0759" w14:textId="795CBFB0" w:rsidR="00DC64EA" w:rsidRPr="00F7706B" w:rsidRDefault="00DC64EA" w:rsidP="00F7706B">
      <w:pPr>
        <w:pStyle w:val="Prrafodelista"/>
        <w:ind w:left="567" w:right="567"/>
        <w:jc w:val="both"/>
        <w:rPr>
          <w:rFonts w:ascii="Palatino Linotype" w:hAnsi="Palatino Linotype"/>
          <w:i/>
          <w:color w:val="000000"/>
          <w:szCs w:val="22"/>
        </w:rPr>
      </w:pPr>
      <w:r w:rsidRPr="00F7706B">
        <w:rPr>
          <w:rFonts w:ascii="Palatino Linotype" w:hAnsi="Palatino Linotype"/>
          <w:i/>
          <w:color w:val="000000"/>
          <w:szCs w:val="22"/>
        </w:rPr>
        <w:t xml:space="preserve"> “</w:t>
      </w:r>
      <w:r w:rsidR="00F7706B" w:rsidRPr="00F7706B">
        <w:rPr>
          <w:rFonts w:ascii="Palatino Linotype" w:hAnsi="Palatino Linotype"/>
          <w:i/>
          <w:color w:val="000000"/>
          <w:szCs w:val="22"/>
        </w:rPr>
        <w:t xml:space="preserve">Proporcione la versión pública digital (preferentemente en formato PDF), de todos los contratos o pedidos formalizados entre la ciudadana </w:t>
      </w:r>
      <w:r w:rsidR="0033289F">
        <w:rPr>
          <w:rFonts w:ascii="Palatino Linotype" w:hAnsi="Palatino Linotype"/>
          <w:i/>
          <w:color w:val="000000"/>
          <w:szCs w:val="22"/>
        </w:rPr>
        <w:t xml:space="preserve">XXX </w:t>
      </w:r>
      <w:proofErr w:type="spellStart"/>
      <w:r w:rsidR="0033289F">
        <w:rPr>
          <w:rFonts w:ascii="Palatino Linotype" w:hAnsi="Palatino Linotype"/>
          <w:i/>
          <w:color w:val="000000"/>
          <w:szCs w:val="22"/>
        </w:rPr>
        <w:t>XXX</w:t>
      </w:r>
      <w:proofErr w:type="spellEnd"/>
      <w:r w:rsidR="0033289F">
        <w:rPr>
          <w:rFonts w:ascii="Palatino Linotype" w:hAnsi="Palatino Linotype"/>
          <w:i/>
          <w:color w:val="000000"/>
          <w:szCs w:val="22"/>
        </w:rPr>
        <w:t xml:space="preserve"> </w:t>
      </w:r>
      <w:proofErr w:type="spellStart"/>
      <w:r w:rsidR="0033289F">
        <w:rPr>
          <w:rFonts w:ascii="Palatino Linotype" w:hAnsi="Palatino Linotype"/>
          <w:i/>
          <w:color w:val="000000"/>
          <w:szCs w:val="22"/>
        </w:rPr>
        <w:t>XXX</w:t>
      </w:r>
      <w:proofErr w:type="spellEnd"/>
      <w:r w:rsidR="00F7706B" w:rsidRPr="00F7706B">
        <w:rPr>
          <w:rFonts w:ascii="Palatino Linotype" w:hAnsi="Palatino Linotype"/>
          <w:i/>
          <w:color w:val="000000"/>
          <w:szCs w:val="22"/>
        </w:rPr>
        <w:t xml:space="preserve"> y el sujeto obligado. Asimismo, proporcione cualquier documento que acredite que dichos contratos o pedidos fueron entregados a la ciudadana en comento.</w:t>
      </w:r>
      <w:r w:rsidRPr="00F7706B">
        <w:rPr>
          <w:rFonts w:ascii="Palatino Linotype" w:hAnsi="Palatino Linotype"/>
          <w:i/>
          <w:color w:val="000000"/>
          <w:szCs w:val="22"/>
        </w:rPr>
        <w:t xml:space="preserve">” (Sic) </w:t>
      </w:r>
    </w:p>
    <w:p w14:paraId="551FD326" w14:textId="77777777" w:rsidR="00DC64EA" w:rsidRDefault="00DC64EA" w:rsidP="00DC64EA">
      <w:pPr>
        <w:spacing w:line="360" w:lineRule="auto"/>
        <w:contextualSpacing/>
        <w:jc w:val="both"/>
        <w:rPr>
          <w:rFonts w:ascii="Palatino Linotype" w:eastAsia="Calibri" w:hAnsi="Palatino Linotype"/>
          <w:lang w:val="es-ES" w:eastAsia="es-ES"/>
        </w:rPr>
      </w:pPr>
    </w:p>
    <w:p w14:paraId="72C93B4D" w14:textId="77777777" w:rsidR="005A7ADD" w:rsidRDefault="005A7ADD" w:rsidP="00DC64EA">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Se señaló como modalidad de entrega a través del </w:t>
      </w:r>
      <w:r w:rsidRPr="00F7706B">
        <w:rPr>
          <w:rFonts w:ascii="Palatino Linotype" w:eastAsia="Calibri" w:hAnsi="Palatino Linotype"/>
          <w:b/>
          <w:bCs/>
          <w:lang w:val="es-ES" w:eastAsia="es-ES"/>
        </w:rPr>
        <w:t>Sistema de Acceso a la Información Mexiquense (SAIMEX).</w:t>
      </w:r>
    </w:p>
    <w:p w14:paraId="2CF4EE3D" w14:textId="77777777" w:rsidR="005A7ADD" w:rsidRDefault="005A7ADD" w:rsidP="005A7ADD">
      <w:pPr>
        <w:spacing w:line="360" w:lineRule="auto"/>
        <w:contextualSpacing/>
        <w:jc w:val="both"/>
        <w:rPr>
          <w:rFonts w:ascii="Palatino Linotype" w:eastAsia="Calibri" w:hAnsi="Palatino Linotype"/>
          <w:lang w:val="es-ES" w:eastAsia="es-ES"/>
        </w:rPr>
      </w:pPr>
    </w:p>
    <w:p w14:paraId="4B6457FA" w14:textId="16702DAB" w:rsidR="00DC64EA" w:rsidRDefault="00DC64EA" w:rsidP="00DC64EA">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lastRenderedPageBreak/>
        <w:t xml:space="preserve">El </w:t>
      </w:r>
      <w:r w:rsidR="00F7706B">
        <w:rPr>
          <w:rFonts w:ascii="Palatino Linotype" w:eastAsia="Calibri" w:hAnsi="Palatino Linotype"/>
          <w:lang w:val="es-ES" w:eastAsia="es-ES"/>
        </w:rPr>
        <w:t>n</w:t>
      </w:r>
      <w:r w:rsidR="002E02C2">
        <w:rPr>
          <w:rFonts w:ascii="Palatino Linotype" w:eastAsia="Calibri" w:hAnsi="Palatino Linotype"/>
          <w:lang w:val="es-ES" w:eastAsia="es-ES"/>
        </w:rPr>
        <w:t>ueve (</w:t>
      </w:r>
      <w:r w:rsidR="00F7706B">
        <w:rPr>
          <w:rFonts w:ascii="Palatino Linotype" w:eastAsia="Calibri" w:hAnsi="Palatino Linotype"/>
          <w:lang w:val="es-ES" w:eastAsia="es-ES"/>
        </w:rPr>
        <w:t>0</w:t>
      </w:r>
      <w:r w:rsidR="002E02C2">
        <w:rPr>
          <w:rFonts w:ascii="Palatino Linotype" w:eastAsia="Calibri" w:hAnsi="Palatino Linotype"/>
          <w:lang w:val="es-ES" w:eastAsia="es-ES"/>
        </w:rPr>
        <w:t xml:space="preserve">9) de </w:t>
      </w:r>
      <w:r w:rsidR="00F7706B">
        <w:rPr>
          <w:rFonts w:ascii="Palatino Linotype" w:eastAsia="Calibri" w:hAnsi="Palatino Linotype"/>
          <w:lang w:val="es-ES" w:eastAsia="es-ES"/>
        </w:rPr>
        <w:t>enero</w:t>
      </w:r>
      <w:r w:rsidR="002E02C2">
        <w:rPr>
          <w:rFonts w:ascii="Palatino Linotype" w:eastAsia="Calibri" w:hAnsi="Palatino Linotype"/>
          <w:lang w:val="es-ES" w:eastAsia="es-ES"/>
        </w:rPr>
        <w:t xml:space="preserve"> de dos mil veinti</w:t>
      </w:r>
      <w:r w:rsidR="00F7706B">
        <w:rPr>
          <w:rFonts w:ascii="Palatino Linotype" w:eastAsia="Calibri" w:hAnsi="Palatino Linotype"/>
          <w:lang w:val="es-ES" w:eastAsia="es-ES"/>
        </w:rPr>
        <w:t>trés</w:t>
      </w:r>
      <w:r>
        <w:rPr>
          <w:rFonts w:ascii="Palatino Linotype" w:eastAsia="Calibri" w:hAnsi="Palatino Linotype"/>
          <w:lang w:val="es-ES" w:eastAsia="es-ES"/>
        </w:rPr>
        <w:t xml:space="preserve">, se realizó un requerimiento al servidor público habilitado. </w:t>
      </w:r>
    </w:p>
    <w:p w14:paraId="6894B2E3" w14:textId="77777777" w:rsidR="00F7706B" w:rsidRDefault="00F7706B" w:rsidP="00F7706B">
      <w:pPr>
        <w:spacing w:line="360" w:lineRule="auto"/>
        <w:contextualSpacing/>
        <w:jc w:val="both"/>
        <w:rPr>
          <w:rFonts w:ascii="Palatino Linotype" w:eastAsia="Calibri" w:hAnsi="Palatino Linotype"/>
          <w:lang w:val="es-ES" w:eastAsia="es-ES"/>
        </w:rPr>
      </w:pPr>
    </w:p>
    <w:p w14:paraId="638FE60A" w14:textId="283EC4D2" w:rsidR="00DC64EA" w:rsidRDefault="00F7706B" w:rsidP="00DC64EA">
      <w:pPr>
        <w:spacing w:line="360" w:lineRule="auto"/>
        <w:contextualSpacing/>
        <w:jc w:val="both"/>
        <w:rPr>
          <w:rFonts w:ascii="Palatino Linotype" w:eastAsia="Calibri" w:hAnsi="Palatino Linotype"/>
          <w:lang w:val="es-ES" w:eastAsia="es-ES"/>
        </w:rPr>
      </w:pPr>
      <w:r>
        <w:rPr>
          <w:rFonts w:ascii="Palatino Linotype" w:eastAsia="Calibri" w:hAnsi="Palatino Linotype"/>
          <w:noProof/>
        </w:rPr>
        <w:drawing>
          <wp:inline distT="0" distB="0" distL="0" distR="0" wp14:anchorId="03CF1270" wp14:editId="484C0ECA">
            <wp:extent cx="5742940" cy="461645"/>
            <wp:effectExtent l="12700" t="12700" r="1016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5742940" cy="461645"/>
                    </a:xfrm>
                    <a:prstGeom prst="rect">
                      <a:avLst/>
                    </a:prstGeom>
                    <a:ln>
                      <a:solidFill>
                        <a:schemeClr val="tx1"/>
                      </a:solidFill>
                    </a:ln>
                  </pic:spPr>
                </pic:pic>
              </a:graphicData>
            </a:graphic>
          </wp:inline>
        </w:drawing>
      </w:r>
    </w:p>
    <w:p w14:paraId="0B1173A0" w14:textId="77777777" w:rsidR="00F7706B" w:rsidRPr="008B44D8" w:rsidRDefault="00F7706B" w:rsidP="00DC64EA">
      <w:pPr>
        <w:spacing w:line="360" w:lineRule="auto"/>
        <w:contextualSpacing/>
        <w:jc w:val="both"/>
        <w:rPr>
          <w:rFonts w:ascii="Palatino Linotype" w:eastAsia="Calibri" w:hAnsi="Palatino Linotype"/>
          <w:lang w:val="es-ES" w:eastAsia="es-ES"/>
        </w:rPr>
      </w:pPr>
    </w:p>
    <w:p w14:paraId="2278EDC5" w14:textId="21390F27" w:rsidR="00DC64EA" w:rsidRPr="00192B4E" w:rsidRDefault="00DC64EA" w:rsidP="00DC64EA">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 xml:space="preserve">El </w:t>
      </w:r>
      <w:r w:rsidR="00F7706B">
        <w:rPr>
          <w:rFonts w:ascii="Palatino Linotype" w:eastAsiaTheme="minorEastAsia" w:hAnsi="Palatino Linotype"/>
          <w:lang w:val="es-ES_tradnl" w:eastAsia="es-ES"/>
        </w:rPr>
        <w:t>treinta</w:t>
      </w:r>
      <w:r w:rsidR="002E02C2">
        <w:rPr>
          <w:rFonts w:ascii="Palatino Linotype" w:eastAsiaTheme="minorEastAsia" w:hAnsi="Palatino Linotype"/>
          <w:lang w:val="es-ES_tradnl" w:eastAsia="es-ES"/>
        </w:rPr>
        <w:t xml:space="preserve"> (</w:t>
      </w:r>
      <w:r w:rsidR="00F7706B">
        <w:rPr>
          <w:rFonts w:ascii="Palatino Linotype" w:eastAsiaTheme="minorEastAsia" w:hAnsi="Palatino Linotype"/>
          <w:lang w:val="es-ES_tradnl" w:eastAsia="es-ES"/>
        </w:rPr>
        <w:t>30</w:t>
      </w:r>
      <w:r w:rsidR="002E02C2">
        <w:rPr>
          <w:rFonts w:ascii="Palatino Linotype" w:eastAsiaTheme="minorEastAsia" w:hAnsi="Palatino Linotype"/>
          <w:lang w:val="es-ES_tradnl" w:eastAsia="es-ES"/>
        </w:rPr>
        <w:t xml:space="preserve">) de </w:t>
      </w:r>
      <w:r w:rsidR="00F7706B">
        <w:rPr>
          <w:rFonts w:ascii="Palatino Linotype" w:eastAsiaTheme="minorEastAsia" w:hAnsi="Palatino Linotype"/>
          <w:lang w:val="es-ES_tradnl" w:eastAsia="es-ES"/>
        </w:rPr>
        <w:t>enero</w:t>
      </w:r>
      <w:r w:rsidR="002E02C2">
        <w:rPr>
          <w:rFonts w:ascii="Palatino Linotype" w:eastAsiaTheme="minorEastAsia" w:hAnsi="Palatino Linotype"/>
          <w:lang w:val="es-ES_tradnl" w:eastAsia="es-ES"/>
        </w:rPr>
        <w:t xml:space="preserve"> de dos mil veinti</w:t>
      </w:r>
      <w:r w:rsidR="00F7706B">
        <w:rPr>
          <w:rFonts w:ascii="Palatino Linotype" w:eastAsiaTheme="minorEastAsia" w:hAnsi="Palatino Linotype"/>
          <w:lang w:val="es-ES_tradnl" w:eastAsia="es-ES"/>
        </w:rPr>
        <w:t>trés</w:t>
      </w:r>
      <w:r w:rsidRPr="00192B4E">
        <w:rPr>
          <w:rFonts w:ascii="Palatino Linotype" w:eastAsiaTheme="minorEastAsia" w:hAnsi="Palatino Linotype"/>
          <w:lang w:val="es-ES_tradnl" w:eastAsia="es-ES"/>
        </w:rPr>
        <w:t xml:space="preserve">, </w:t>
      </w:r>
      <w:r w:rsidRPr="00192B4E">
        <w:rPr>
          <w:rFonts w:ascii="Palatino Linotype" w:eastAsia="Calibri" w:hAnsi="Palatino Linotype"/>
          <w:lang w:val="es-ES" w:eastAsia="es-ES"/>
        </w:rPr>
        <w:t xml:space="preserve">el </w:t>
      </w:r>
      <w:r w:rsidRPr="00192B4E">
        <w:rPr>
          <w:rFonts w:ascii="Palatino Linotype" w:eastAsia="Calibri" w:hAnsi="Palatino Linotype" w:cs="Arial"/>
          <w:b/>
          <w:lang w:val="es-AR" w:eastAsia="es-ES"/>
        </w:rPr>
        <w:t>SUJETO OBLIGADO</w:t>
      </w:r>
      <w:r w:rsidRPr="00192B4E">
        <w:rPr>
          <w:rFonts w:ascii="Palatino Linotype" w:eastAsia="Calibri" w:hAnsi="Palatino Linotype" w:cs="Arial"/>
          <w:b/>
          <w:i/>
          <w:lang w:val="es-AR" w:eastAsia="es-ES"/>
        </w:rPr>
        <w:t xml:space="preserve"> </w:t>
      </w:r>
      <w:r w:rsidRPr="00192B4E">
        <w:rPr>
          <w:rFonts w:ascii="Palatino Linotype" w:hAnsi="Palatino Linotype" w:cs="Arial"/>
          <w:lang w:val="es-ES" w:eastAsia="es-ES"/>
        </w:rPr>
        <w:t>dio respuesta a la solicitud de información en los siguientes términos:</w:t>
      </w:r>
    </w:p>
    <w:p w14:paraId="144653C5" w14:textId="77777777" w:rsidR="00DC64EA" w:rsidRPr="00192B4E" w:rsidRDefault="00DC64EA" w:rsidP="00DC64EA">
      <w:pPr>
        <w:spacing w:line="360" w:lineRule="auto"/>
        <w:contextualSpacing/>
        <w:jc w:val="both"/>
        <w:rPr>
          <w:rFonts w:ascii="Palatino Linotype" w:eastAsia="Calibri" w:hAnsi="Palatino Linotype"/>
          <w:lang w:val="es-ES" w:eastAsia="es-ES"/>
        </w:rPr>
      </w:pPr>
    </w:p>
    <w:p w14:paraId="6AD41277" w14:textId="199BFF09" w:rsidR="00F951C6" w:rsidRPr="00F7706B" w:rsidRDefault="00F7706B" w:rsidP="00F7706B">
      <w:pPr>
        <w:ind w:left="567" w:right="567"/>
        <w:jc w:val="both"/>
        <w:rPr>
          <w:rFonts w:ascii="Palatino Linotype" w:hAnsi="Palatino Linotype"/>
          <w:i/>
          <w:iCs/>
          <w:sz w:val="22"/>
          <w:szCs w:val="22"/>
        </w:rPr>
      </w:pPr>
      <w:r w:rsidRPr="00F7706B">
        <w:rPr>
          <w:rFonts w:ascii="Palatino Linotype" w:hAnsi="Palatino Linotype"/>
          <w:i/>
          <w:iCs/>
          <w:sz w:val="22"/>
          <w:szCs w:val="22"/>
        </w:rPr>
        <w:t xml:space="preserve">“… Se </w:t>
      </w:r>
      <w:r w:rsidRPr="00F7706B">
        <w:rPr>
          <w:rFonts w:ascii="Palatino Linotype" w:hAnsi="Palatino Linotype"/>
          <w:i/>
          <w:iCs/>
          <w:color w:val="000000"/>
          <w:sz w:val="22"/>
          <w:szCs w:val="22"/>
        </w:rPr>
        <w:t>proporciona respuesta a la solicitud de folio 00002/MATEOATE/IP/2023 a través del oficio SMA/UIPPET/UT/0165/2023…” (Sic)</w:t>
      </w:r>
    </w:p>
    <w:p w14:paraId="4263EDE4" w14:textId="77777777" w:rsidR="00F7706B" w:rsidRPr="00F7706B" w:rsidRDefault="00F7706B" w:rsidP="00DC64EA">
      <w:pPr>
        <w:spacing w:line="360" w:lineRule="auto"/>
        <w:ind w:right="567"/>
        <w:jc w:val="both"/>
        <w:rPr>
          <w:rFonts w:ascii="Palatino Linotype" w:hAnsi="Palatino Linotype"/>
          <w:sz w:val="22"/>
          <w:szCs w:val="22"/>
        </w:rPr>
      </w:pPr>
    </w:p>
    <w:p w14:paraId="41952A18" w14:textId="127CB11D" w:rsidR="00F7706B" w:rsidRPr="00F7706B" w:rsidRDefault="00F7706B" w:rsidP="00DC64EA">
      <w:pPr>
        <w:spacing w:line="360" w:lineRule="auto"/>
        <w:ind w:right="567"/>
        <w:jc w:val="both"/>
        <w:rPr>
          <w:rFonts w:ascii="Palatino Linotype" w:hAnsi="Palatino Linotype"/>
          <w:sz w:val="22"/>
          <w:szCs w:val="22"/>
        </w:rPr>
      </w:pPr>
      <w:r w:rsidRPr="00F7706B">
        <w:rPr>
          <w:rFonts w:ascii="Palatino Linotype" w:hAnsi="Palatino Linotype"/>
          <w:sz w:val="22"/>
          <w:szCs w:val="22"/>
        </w:rPr>
        <w:t>Archivos electrónicos adjuntos:</w:t>
      </w:r>
    </w:p>
    <w:p w14:paraId="64D2A413" w14:textId="54A36992" w:rsidR="00DC64EA" w:rsidRPr="00F7706B" w:rsidRDefault="00DC64EA" w:rsidP="00F7706B">
      <w:pPr>
        <w:spacing w:line="360" w:lineRule="auto"/>
        <w:ind w:right="567"/>
        <w:rPr>
          <w:rFonts w:ascii="Palatino Linotype" w:hAnsi="Palatino Linotype"/>
          <w:b/>
          <w:bCs/>
          <w:color w:val="000000" w:themeColor="text1"/>
          <w:sz w:val="22"/>
          <w:szCs w:val="22"/>
        </w:rPr>
      </w:pPr>
    </w:p>
    <w:p w14:paraId="5A048D30" w14:textId="564C4454" w:rsidR="00F7706B" w:rsidRDefault="000534E8" w:rsidP="00A67AED">
      <w:pPr>
        <w:ind w:left="567" w:right="539"/>
        <w:jc w:val="both"/>
        <w:rPr>
          <w:rFonts w:ascii="Palatino Linotype" w:hAnsi="Palatino Linotype"/>
          <w:b/>
          <w:bCs/>
          <w:color w:val="000000" w:themeColor="text1"/>
          <w:sz w:val="22"/>
          <w:szCs w:val="22"/>
        </w:rPr>
      </w:pPr>
      <w:hyperlink r:id="rId8" w:tgtFrame="_blank" w:history="1">
        <w:r w:rsidR="00F7706B" w:rsidRPr="00F7706B">
          <w:rPr>
            <w:rStyle w:val="Hipervnculo"/>
            <w:rFonts w:ascii="Palatino Linotype" w:hAnsi="Palatino Linotype" w:cs="Arial"/>
            <w:b/>
            <w:bCs/>
            <w:color w:val="000000" w:themeColor="text1"/>
            <w:sz w:val="22"/>
            <w:szCs w:val="22"/>
            <w:u w:val="none"/>
          </w:rPr>
          <w:t>REQUERIMIENTO NO.0002.pdf</w:t>
        </w:r>
      </w:hyperlink>
      <w:r w:rsidR="00F7706B" w:rsidRPr="00F7706B">
        <w:rPr>
          <w:rFonts w:ascii="Palatino Linotype" w:hAnsi="Palatino Linotype"/>
          <w:b/>
          <w:bCs/>
          <w:color w:val="000000" w:themeColor="text1"/>
          <w:sz w:val="22"/>
          <w:szCs w:val="22"/>
        </w:rPr>
        <w:t>:</w:t>
      </w:r>
      <w:r w:rsidR="00F7706B">
        <w:rPr>
          <w:rFonts w:ascii="Palatino Linotype" w:hAnsi="Palatino Linotype"/>
          <w:b/>
          <w:bCs/>
          <w:color w:val="000000" w:themeColor="text1"/>
          <w:sz w:val="22"/>
          <w:szCs w:val="22"/>
        </w:rPr>
        <w:t xml:space="preserve"> </w:t>
      </w:r>
      <w:r w:rsidR="00F7706B" w:rsidRPr="00A67AED">
        <w:rPr>
          <w:rFonts w:ascii="Palatino Linotype" w:hAnsi="Palatino Linotype"/>
          <w:color w:val="000000" w:themeColor="text1"/>
          <w:sz w:val="22"/>
          <w:szCs w:val="22"/>
        </w:rPr>
        <w:t>Documento de dos (02) fojas, consistente en la copia digitalizada del oficio del 10 de enero de 2023</w:t>
      </w:r>
      <w:r w:rsidR="00A67AED" w:rsidRPr="00A67AED">
        <w:rPr>
          <w:rFonts w:ascii="Palatino Linotype" w:hAnsi="Palatino Linotype"/>
          <w:color w:val="000000" w:themeColor="text1"/>
          <w:sz w:val="22"/>
          <w:szCs w:val="22"/>
        </w:rPr>
        <w:t>, suscrito y signado por el Jefe del Departamento de Control Patrimonial y Recursos Materiales, por med</w:t>
      </w:r>
      <w:r w:rsidR="00605BA2">
        <w:rPr>
          <w:rFonts w:ascii="Palatino Linotype" w:hAnsi="Palatino Linotype"/>
          <w:color w:val="000000" w:themeColor="text1"/>
          <w:sz w:val="22"/>
          <w:szCs w:val="22"/>
        </w:rPr>
        <w:t>i</w:t>
      </w:r>
      <w:r w:rsidR="00A67AED" w:rsidRPr="00A67AED">
        <w:rPr>
          <w:rFonts w:ascii="Palatino Linotype" w:hAnsi="Palatino Linotype"/>
          <w:color w:val="000000" w:themeColor="text1"/>
          <w:sz w:val="22"/>
          <w:szCs w:val="22"/>
        </w:rPr>
        <w:t>o del cual, informó que después de una búsqueda exhaustiva dentro de los archivos de la Unidad a su cargo, no se encontró ningún proveedor o prestador de servicios con el nombre referido por el Particular a través de la solicitud de información, por tanto, no hay información que proporcionar.</w:t>
      </w:r>
    </w:p>
    <w:p w14:paraId="120C245D" w14:textId="77777777" w:rsidR="00A67AED" w:rsidRPr="00F7706B" w:rsidRDefault="00A67AED" w:rsidP="00A67AED">
      <w:pPr>
        <w:ind w:left="567" w:right="539"/>
        <w:jc w:val="both"/>
        <w:rPr>
          <w:rFonts w:ascii="Palatino Linotype" w:hAnsi="Palatino Linotype" w:cs="Arial"/>
          <w:b/>
          <w:bCs/>
          <w:color w:val="000000" w:themeColor="text1"/>
          <w:sz w:val="22"/>
          <w:szCs w:val="22"/>
        </w:rPr>
      </w:pPr>
    </w:p>
    <w:p w14:paraId="1C15DD2F" w14:textId="46E62C12" w:rsidR="00F7706B" w:rsidRPr="00F7706B" w:rsidRDefault="000534E8" w:rsidP="00A67AED">
      <w:pPr>
        <w:ind w:left="567" w:right="539"/>
        <w:jc w:val="both"/>
        <w:rPr>
          <w:rFonts w:ascii="Palatino Linotype" w:hAnsi="Palatino Linotype"/>
          <w:b/>
          <w:bCs/>
          <w:color w:val="000000" w:themeColor="text1"/>
          <w:sz w:val="22"/>
          <w:szCs w:val="22"/>
        </w:rPr>
      </w:pPr>
      <w:hyperlink r:id="rId9" w:tgtFrame="_blank" w:history="1">
        <w:proofErr w:type="spellStart"/>
        <w:r w:rsidR="00F7706B" w:rsidRPr="00F7706B">
          <w:rPr>
            <w:rStyle w:val="Hipervnculo"/>
            <w:rFonts w:ascii="Palatino Linotype" w:hAnsi="Palatino Linotype" w:cs="Arial"/>
            <w:b/>
            <w:bCs/>
            <w:color w:val="000000" w:themeColor="text1"/>
            <w:sz w:val="22"/>
            <w:szCs w:val="22"/>
            <w:u w:val="none"/>
          </w:rPr>
          <w:t>resp</w:t>
        </w:r>
        <w:proofErr w:type="spellEnd"/>
        <w:r w:rsidR="00F7706B" w:rsidRPr="00F7706B">
          <w:rPr>
            <w:rStyle w:val="Hipervnculo"/>
            <w:rFonts w:ascii="Palatino Linotype" w:hAnsi="Palatino Linotype" w:cs="Arial"/>
            <w:b/>
            <w:bCs/>
            <w:color w:val="000000" w:themeColor="text1"/>
            <w:sz w:val="22"/>
            <w:szCs w:val="22"/>
            <w:u w:val="none"/>
          </w:rPr>
          <w:t xml:space="preserve"> 2.pdf</w:t>
        </w:r>
      </w:hyperlink>
      <w:r w:rsidR="00F7706B">
        <w:rPr>
          <w:rFonts w:ascii="Palatino Linotype" w:hAnsi="Palatino Linotype"/>
          <w:b/>
          <w:bCs/>
          <w:color w:val="000000" w:themeColor="text1"/>
          <w:sz w:val="22"/>
          <w:szCs w:val="22"/>
        </w:rPr>
        <w:t>:</w:t>
      </w:r>
      <w:r w:rsidR="00A67AED">
        <w:rPr>
          <w:rFonts w:ascii="Palatino Linotype" w:hAnsi="Palatino Linotype"/>
          <w:b/>
          <w:bCs/>
          <w:color w:val="000000" w:themeColor="text1"/>
          <w:sz w:val="22"/>
          <w:szCs w:val="22"/>
        </w:rPr>
        <w:t xml:space="preserve"> </w:t>
      </w:r>
      <w:r w:rsidR="00A67AED" w:rsidRPr="00A67AED">
        <w:rPr>
          <w:rFonts w:ascii="Palatino Linotype" w:hAnsi="Palatino Linotype"/>
          <w:color w:val="000000" w:themeColor="text1"/>
          <w:sz w:val="22"/>
          <w:szCs w:val="22"/>
        </w:rPr>
        <w:t>Documento de una (01) foja, consiste</w:t>
      </w:r>
      <w:r w:rsidR="00605BA2">
        <w:rPr>
          <w:rFonts w:ascii="Palatino Linotype" w:hAnsi="Palatino Linotype"/>
          <w:color w:val="000000" w:themeColor="text1"/>
          <w:sz w:val="22"/>
          <w:szCs w:val="22"/>
        </w:rPr>
        <w:t>n</w:t>
      </w:r>
      <w:r w:rsidR="00A67AED" w:rsidRPr="00A67AED">
        <w:rPr>
          <w:rFonts w:ascii="Palatino Linotype" w:hAnsi="Palatino Linotype"/>
          <w:color w:val="000000" w:themeColor="text1"/>
          <w:sz w:val="22"/>
          <w:szCs w:val="22"/>
        </w:rPr>
        <w:t>te en la copia digitalizada del oficio del 30 de enero de 2023, suscrito y signado por la Titular de la Unidad e Transparencia, por medio del cual, anexó la respuesta emitida por el Servidor Público Habilitado competente.</w:t>
      </w:r>
    </w:p>
    <w:p w14:paraId="2EE874EF" w14:textId="77777777" w:rsidR="00F951C6" w:rsidRPr="00192B4E" w:rsidRDefault="00F951C6" w:rsidP="00DC64EA">
      <w:pPr>
        <w:spacing w:line="360" w:lineRule="auto"/>
        <w:ind w:right="567"/>
        <w:jc w:val="both"/>
        <w:rPr>
          <w:rFonts w:ascii="Palatino Linotype" w:hAnsi="Palatino Linotype"/>
          <w:b/>
        </w:rPr>
      </w:pPr>
    </w:p>
    <w:p w14:paraId="26DAC78C" w14:textId="261C0AF3" w:rsidR="00DC64EA" w:rsidRPr="00192B4E" w:rsidRDefault="00DC64EA" w:rsidP="00DC64E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92B4E">
        <w:rPr>
          <w:rFonts w:ascii="Palatino Linotype" w:eastAsia="Calibri" w:hAnsi="Palatino Linotype" w:cs="Arial"/>
          <w:lang w:val="es-AR" w:eastAsia="es-ES"/>
        </w:rPr>
        <w:t xml:space="preserve">El </w:t>
      </w:r>
      <w:r w:rsidR="00A67AED">
        <w:rPr>
          <w:rFonts w:ascii="Palatino Linotype" w:eastAsia="Calibri" w:hAnsi="Palatino Linotype" w:cs="Arial"/>
          <w:lang w:val="es-AR" w:eastAsia="es-ES"/>
        </w:rPr>
        <w:t>ocho</w:t>
      </w:r>
      <w:r w:rsidR="00BB02F4">
        <w:rPr>
          <w:rFonts w:ascii="Palatino Linotype" w:eastAsia="Calibri" w:hAnsi="Palatino Linotype" w:cs="Arial"/>
          <w:lang w:val="es-AR" w:eastAsia="es-ES"/>
        </w:rPr>
        <w:t xml:space="preserve"> (</w:t>
      </w:r>
      <w:r w:rsidR="00A67AED">
        <w:rPr>
          <w:rFonts w:ascii="Palatino Linotype" w:eastAsia="Calibri" w:hAnsi="Palatino Linotype" w:cs="Arial"/>
          <w:lang w:val="es-AR" w:eastAsia="es-ES"/>
        </w:rPr>
        <w:t>08</w:t>
      </w:r>
      <w:r w:rsidR="00BB02F4">
        <w:rPr>
          <w:rFonts w:ascii="Palatino Linotype" w:eastAsia="Calibri" w:hAnsi="Palatino Linotype" w:cs="Arial"/>
          <w:lang w:val="es-AR" w:eastAsia="es-ES"/>
        </w:rPr>
        <w:t xml:space="preserve">) de </w:t>
      </w:r>
      <w:r w:rsidR="00A67AED">
        <w:rPr>
          <w:rFonts w:ascii="Palatino Linotype" w:eastAsia="Calibri" w:hAnsi="Palatino Linotype" w:cs="Arial"/>
          <w:lang w:val="es-AR" w:eastAsia="es-ES"/>
        </w:rPr>
        <w:t>febrero</w:t>
      </w:r>
      <w:r w:rsidRPr="00192B4E">
        <w:rPr>
          <w:rFonts w:ascii="Palatino Linotype" w:eastAsia="Calibri" w:hAnsi="Palatino Linotype" w:cs="Arial"/>
          <w:lang w:val="es-AR" w:eastAsia="es-ES"/>
        </w:rPr>
        <w:t xml:space="preserve"> de dos mil veinti</w:t>
      </w:r>
      <w:r w:rsidR="00A67AED">
        <w:rPr>
          <w:rFonts w:ascii="Palatino Linotype" w:eastAsia="Calibri" w:hAnsi="Palatino Linotype" w:cs="Arial"/>
          <w:lang w:val="es-AR" w:eastAsia="es-ES"/>
        </w:rPr>
        <w:t>trés</w:t>
      </w:r>
      <w:r w:rsidRPr="00192B4E">
        <w:rPr>
          <w:rFonts w:ascii="Palatino Linotype" w:hAnsi="Palatino Linotype" w:cs="Arial"/>
          <w:lang w:val="es-ES" w:eastAsia="es-ES"/>
        </w:rPr>
        <w:t>,</w:t>
      </w:r>
      <w:r w:rsidR="00A67AED">
        <w:rPr>
          <w:rFonts w:ascii="Palatino Linotype" w:hAnsi="Palatino Linotype" w:cs="Arial"/>
          <w:lang w:val="es-ES" w:eastAsia="es-ES"/>
        </w:rPr>
        <w:t xml:space="preserve"> el</w:t>
      </w:r>
      <w:r w:rsidRPr="00192B4E">
        <w:rPr>
          <w:rFonts w:ascii="Palatino Linotype" w:eastAsiaTheme="minorEastAsia" w:hAnsi="Palatino Linotype"/>
          <w:b/>
          <w:lang w:val="es-ES_tradnl" w:eastAsia="es-ES"/>
        </w:rPr>
        <w:t xml:space="preserve"> RECURRENTE</w:t>
      </w:r>
      <w:r w:rsidRPr="00192B4E">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32260DB7" w14:textId="77777777" w:rsidR="00DC64EA" w:rsidRPr="00192B4E" w:rsidRDefault="00DC64EA" w:rsidP="00DC64EA">
      <w:pPr>
        <w:spacing w:line="360" w:lineRule="auto"/>
        <w:ind w:left="567" w:right="567"/>
        <w:contextualSpacing/>
        <w:rPr>
          <w:rFonts w:ascii="Palatino Linotype" w:eastAsiaTheme="minorEastAsia" w:hAnsi="Palatino Linotype" w:cs="Arial"/>
          <w:i/>
          <w:lang w:val="es-ES_tradnl" w:eastAsia="es-ES"/>
        </w:rPr>
      </w:pPr>
    </w:p>
    <w:p w14:paraId="78E906BC" w14:textId="1A22A234" w:rsidR="00DC64EA" w:rsidRPr="00A67AED" w:rsidRDefault="00DC64EA" w:rsidP="00A67AED">
      <w:pPr>
        <w:ind w:left="567" w:right="567"/>
        <w:contextualSpacing/>
        <w:jc w:val="both"/>
        <w:rPr>
          <w:rFonts w:ascii="Palatino Linotype" w:eastAsia="Calibri" w:hAnsi="Palatino Linotype" w:cs="Arial"/>
          <w:i/>
          <w:sz w:val="22"/>
          <w:szCs w:val="22"/>
          <w:lang w:val="es-ES" w:eastAsia="es-ES"/>
        </w:rPr>
      </w:pPr>
      <w:r w:rsidRPr="00A67AED">
        <w:rPr>
          <w:rFonts w:ascii="Palatino Linotype" w:eastAsiaTheme="minorEastAsia" w:hAnsi="Palatino Linotype"/>
          <w:b/>
          <w:sz w:val="22"/>
          <w:szCs w:val="22"/>
          <w:lang w:val="es-ES_tradnl" w:eastAsia="es-ES"/>
        </w:rPr>
        <w:lastRenderedPageBreak/>
        <w:t>Acto impugnado</w:t>
      </w:r>
      <w:r w:rsidRPr="00A67AED">
        <w:rPr>
          <w:rFonts w:ascii="Palatino Linotype" w:eastAsiaTheme="minorEastAsia" w:hAnsi="Palatino Linotype"/>
          <w:b/>
          <w:i/>
          <w:sz w:val="22"/>
          <w:szCs w:val="22"/>
          <w:lang w:val="es-ES_tradnl" w:eastAsia="es-ES"/>
        </w:rPr>
        <w:t>:</w:t>
      </w:r>
      <w:r w:rsidRPr="00A67AED">
        <w:rPr>
          <w:rFonts w:ascii="Palatino Linotype" w:hAnsi="Palatino Linotype"/>
          <w:i/>
          <w:color w:val="000000"/>
          <w:sz w:val="22"/>
          <w:szCs w:val="22"/>
        </w:rPr>
        <w:t xml:space="preserve"> “</w:t>
      </w:r>
      <w:r w:rsidR="00A67AED" w:rsidRPr="00A67AED">
        <w:rPr>
          <w:rFonts w:ascii="Palatino Linotype" w:hAnsi="Palatino Linotype"/>
          <w:i/>
          <w:color w:val="000000"/>
          <w:sz w:val="22"/>
          <w:szCs w:val="22"/>
        </w:rPr>
        <w:t>La declaración de inexistencia de la información no fue realizada mediante Comité de Transparencia, ni fundada, ni motivada. Aunado a ello, es inverosímil que se afirme la inexistencia de la misma, toda vez que sí han existido erogaciones realizadas a la persona física en comento. Se solicita verificar la información.</w:t>
      </w:r>
      <w:r w:rsidRPr="00A67AED">
        <w:rPr>
          <w:rFonts w:ascii="Palatino Linotype" w:hAnsi="Palatino Linotype"/>
          <w:i/>
          <w:color w:val="000000"/>
          <w:sz w:val="22"/>
          <w:szCs w:val="22"/>
        </w:rPr>
        <w:t>” (Sic)</w:t>
      </w:r>
    </w:p>
    <w:p w14:paraId="1EB451A9" w14:textId="77777777" w:rsidR="00DC64EA" w:rsidRPr="00A67AED" w:rsidRDefault="00DC64EA" w:rsidP="00A67AED">
      <w:pPr>
        <w:ind w:left="567" w:right="567"/>
        <w:contextualSpacing/>
        <w:jc w:val="both"/>
        <w:rPr>
          <w:rFonts w:ascii="Palatino Linotype" w:eastAsia="Calibri" w:hAnsi="Palatino Linotype" w:cs="Arial"/>
          <w:sz w:val="22"/>
          <w:szCs w:val="22"/>
          <w:lang w:val="es-ES" w:eastAsia="es-ES"/>
        </w:rPr>
      </w:pPr>
    </w:p>
    <w:p w14:paraId="06AD8183" w14:textId="505319E5" w:rsidR="00DC64EA" w:rsidRPr="00A67AED" w:rsidRDefault="00DC64EA" w:rsidP="00A67AED">
      <w:pPr>
        <w:ind w:left="567" w:right="567"/>
        <w:contextualSpacing/>
        <w:jc w:val="both"/>
        <w:rPr>
          <w:rFonts w:ascii="Palatino Linotype" w:hAnsi="Palatino Linotype"/>
          <w:i/>
          <w:color w:val="000000"/>
          <w:sz w:val="22"/>
          <w:szCs w:val="22"/>
        </w:rPr>
      </w:pPr>
      <w:r w:rsidRPr="00A67AED">
        <w:rPr>
          <w:rFonts w:ascii="Palatino Linotype" w:eastAsiaTheme="minorEastAsia" w:hAnsi="Palatino Linotype"/>
          <w:b/>
          <w:sz w:val="22"/>
          <w:szCs w:val="22"/>
          <w:lang w:val="es-ES_tradnl" w:eastAsia="es-ES"/>
        </w:rPr>
        <w:t xml:space="preserve">Razones o Motivos de inconformidad: </w:t>
      </w:r>
      <w:r w:rsidRPr="00A67AED">
        <w:rPr>
          <w:rFonts w:ascii="Palatino Linotype" w:eastAsiaTheme="minorEastAsia" w:hAnsi="Palatino Linotype"/>
          <w:i/>
          <w:sz w:val="22"/>
          <w:szCs w:val="22"/>
          <w:lang w:val="es-ES_tradnl" w:eastAsia="es-ES"/>
        </w:rPr>
        <w:t>“</w:t>
      </w:r>
      <w:r w:rsidR="00A67AED" w:rsidRPr="00A67AED">
        <w:rPr>
          <w:rFonts w:ascii="Palatino Linotype" w:eastAsiaTheme="minorEastAsia" w:hAnsi="Palatino Linotype"/>
          <w:i/>
          <w:sz w:val="22"/>
          <w:szCs w:val="22"/>
          <w:lang w:eastAsia="es-ES"/>
        </w:rPr>
        <w:t xml:space="preserve">La </w:t>
      </w:r>
      <w:r w:rsidR="00A67AED" w:rsidRPr="00A67AED">
        <w:rPr>
          <w:rFonts w:ascii="Palatino Linotype" w:hAnsi="Palatino Linotype"/>
          <w:i/>
          <w:color w:val="000000"/>
          <w:sz w:val="22"/>
          <w:szCs w:val="22"/>
        </w:rPr>
        <w:t>declaración de inexistencia de la información no fue realizada mediante Comité de Transparencia, ni fundada, ni motivada. Aunado a ello, es inverosímil que se afirme la inexistencia de la misma, toda vez que sí han existido erogaciones realizadas a la persona física en comento. Se solicita verificar la información.</w:t>
      </w:r>
      <w:r w:rsidRPr="00A67AED">
        <w:rPr>
          <w:rFonts w:ascii="Palatino Linotype" w:eastAsiaTheme="minorEastAsia" w:hAnsi="Palatino Linotype"/>
          <w:i/>
          <w:sz w:val="22"/>
          <w:szCs w:val="22"/>
          <w:lang w:eastAsia="es-ES"/>
        </w:rPr>
        <w:t>” (Sic)</w:t>
      </w:r>
    </w:p>
    <w:bookmarkEnd w:id="1"/>
    <w:bookmarkEnd w:id="2"/>
    <w:bookmarkEnd w:id="3"/>
    <w:p w14:paraId="494E2C25" w14:textId="77777777" w:rsidR="00BB02F4" w:rsidRDefault="00BB02F4" w:rsidP="00DC64EA">
      <w:pPr>
        <w:tabs>
          <w:tab w:val="left" w:pos="6197"/>
        </w:tabs>
        <w:spacing w:line="360" w:lineRule="auto"/>
        <w:jc w:val="both"/>
        <w:rPr>
          <w:rFonts w:ascii="Palatino Linotype" w:eastAsia="Calibri" w:hAnsi="Palatino Linotype" w:cs="Arial"/>
          <w:lang w:val="es-AR" w:eastAsia="es-ES"/>
        </w:rPr>
      </w:pPr>
    </w:p>
    <w:p w14:paraId="4724BBDC" w14:textId="77777777" w:rsidR="00DC64EA" w:rsidRPr="00192B4E" w:rsidRDefault="00DC64EA" w:rsidP="00DC64EA">
      <w:pPr>
        <w:numPr>
          <w:ilvl w:val="0"/>
          <w:numId w:val="1"/>
        </w:numPr>
        <w:spacing w:line="360" w:lineRule="auto"/>
        <w:ind w:left="0" w:firstLine="0"/>
        <w:contextualSpacing/>
        <w:jc w:val="both"/>
        <w:rPr>
          <w:rFonts w:ascii="Palatino Linotype" w:eastAsia="Calibri" w:hAnsi="Palatino Linotype" w:cs="Arial"/>
          <w:lang w:val="es-AR" w:eastAsia="es-ES"/>
        </w:rPr>
      </w:pPr>
      <w:r w:rsidRPr="00192B4E">
        <w:rPr>
          <w:rFonts w:ascii="Palatino Linotype" w:hAnsi="Palatino Linotype" w:cs="Arial"/>
          <w:lang w:val="es-ES" w:eastAsia="es-ES"/>
        </w:rPr>
        <w:t xml:space="preserve">Se registró el recurso de revisión bajo el número de expediente </w:t>
      </w:r>
      <w:r w:rsidRPr="00192B4E">
        <w:rPr>
          <w:rFonts w:ascii="Palatino Linotype" w:eastAsiaTheme="minorEastAsia" w:hAnsi="Palatino Linotype" w:cs="Arial"/>
          <w:bCs/>
          <w:lang w:val="es-ES_tradnl" w:eastAsia="es-ES"/>
        </w:rPr>
        <w:t xml:space="preserve">al rubro indicado, asimismo con fundamento en lo dispuesto por el </w:t>
      </w:r>
      <w:r w:rsidRPr="00192B4E">
        <w:rPr>
          <w:rFonts w:ascii="Palatino Linotype" w:eastAsia="Calibri" w:hAnsi="Palatino Linotype" w:cs="Arial"/>
          <w:lang w:val="es-ES" w:eastAsia="es-ES"/>
        </w:rPr>
        <w:t xml:space="preserve">artículo 185 fracción I de la </w:t>
      </w:r>
      <w:r w:rsidRPr="00192B4E">
        <w:rPr>
          <w:rFonts w:ascii="Palatino Linotype" w:eastAsia="Calibri" w:hAnsi="Palatino Linotype" w:cs="Arial"/>
          <w:b/>
          <w:lang w:val="es-ES" w:eastAsia="es-ES"/>
        </w:rPr>
        <w:t xml:space="preserve">Ley de Transparencia y Acceso a la Información Pública del Estado de México y Municipios </w:t>
      </w:r>
      <w:r w:rsidRPr="00192B4E">
        <w:rPr>
          <w:rFonts w:ascii="Palatino Linotype" w:hAnsi="Palatino Linotype" w:cs="Arial"/>
          <w:lang w:val="es-ES" w:eastAsia="es-ES"/>
        </w:rPr>
        <w:t xml:space="preserve">se turnó a la </w:t>
      </w:r>
      <w:r w:rsidRPr="00192B4E">
        <w:rPr>
          <w:rFonts w:ascii="Palatino Linotype" w:hAnsi="Palatino Linotype" w:cs="Arial"/>
          <w:b/>
          <w:lang w:val="es-ES" w:eastAsia="es-ES"/>
        </w:rPr>
        <w:t xml:space="preserve">Comisionada María del Rosario Mejía Ayala, </w:t>
      </w:r>
      <w:r w:rsidRPr="00192B4E">
        <w:rPr>
          <w:rFonts w:ascii="Palatino Linotype" w:hAnsi="Palatino Linotype" w:cs="Arial"/>
          <w:lang w:val="es-ES" w:eastAsia="es-ES"/>
        </w:rPr>
        <w:t xml:space="preserve">con el objeto de </w:t>
      </w:r>
      <w:r w:rsidRPr="00192B4E">
        <w:rPr>
          <w:rFonts w:ascii="Palatino Linotype" w:hAnsi="Palatino Linotype" w:cs="Arial"/>
          <w:lang w:eastAsia="es-ES"/>
        </w:rPr>
        <w:t xml:space="preserve">su análisis. </w:t>
      </w:r>
    </w:p>
    <w:p w14:paraId="6747BDE9" w14:textId="77777777" w:rsidR="00DC64EA" w:rsidRPr="00192B4E" w:rsidRDefault="00DC64EA" w:rsidP="00DC64EA">
      <w:pPr>
        <w:spacing w:line="360" w:lineRule="auto"/>
        <w:contextualSpacing/>
        <w:jc w:val="both"/>
        <w:rPr>
          <w:rFonts w:ascii="Palatino Linotype" w:eastAsia="Calibri" w:hAnsi="Palatino Linotype" w:cs="Arial"/>
          <w:lang w:val="es-AR" w:eastAsia="es-ES"/>
        </w:rPr>
      </w:pPr>
    </w:p>
    <w:p w14:paraId="464D8F6D" w14:textId="1620F058" w:rsidR="00DC64EA" w:rsidRPr="00192B4E" w:rsidRDefault="00F51A47" w:rsidP="00DC64EA">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w:t>
      </w:r>
      <w:r w:rsidR="00DC64EA" w:rsidRPr="00192B4E">
        <w:rPr>
          <w:rFonts w:ascii="Palatino Linotype" w:eastAsia="Calibri" w:hAnsi="Palatino Linotype" w:cs="Arial"/>
          <w:lang w:val="es-ES" w:eastAsia="es-ES"/>
        </w:rPr>
        <w:t xml:space="preserve"> </w:t>
      </w:r>
      <w:r>
        <w:rPr>
          <w:rFonts w:ascii="Palatino Linotype" w:eastAsia="Calibri" w:hAnsi="Palatino Linotype" w:cs="Arial"/>
          <w:lang w:val="es-ES" w:eastAsia="es-ES"/>
        </w:rPr>
        <w:t>comisionado p</w:t>
      </w:r>
      <w:r w:rsidR="00DC64EA" w:rsidRPr="00192B4E">
        <w:rPr>
          <w:rFonts w:ascii="Palatino Linotype" w:eastAsia="Calibri" w:hAnsi="Palatino Linotype" w:cs="Arial"/>
          <w:lang w:val="es-ES" w:eastAsia="es-ES"/>
        </w:rPr>
        <w:t xml:space="preserve">onente con fundamento en lo dispuesto por el artículo 185 fracción II de la ley de la materia, a través del acuerdo de admisión del </w:t>
      </w:r>
      <w:r w:rsidR="00A67AED">
        <w:rPr>
          <w:rFonts w:ascii="Palatino Linotype" w:eastAsia="Calibri" w:hAnsi="Palatino Linotype" w:cs="Arial"/>
          <w:lang w:val="es-ES" w:eastAsia="es-ES"/>
        </w:rPr>
        <w:t>catorce</w:t>
      </w:r>
      <w:r w:rsidR="00C97BBF">
        <w:rPr>
          <w:rFonts w:ascii="Palatino Linotype" w:eastAsia="Calibri" w:hAnsi="Palatino Linotype" w:cs="Arial"/>
          <w:lang w:val="es-ES" w:eastAsia="es-ES"/>
        </w:rPr>
        <w:t xml:space="preserve"> (1</w:t>
      </w:r>
      <w:r w:rsidR="00A67AED">
        <w:rPr>
          <w:rFonts w:ascii="Palatino Linotype" w:eastAsia="Calibri" w:hAnsi="Palatino Linotype" w:cs="Arial"/>
          <w:lang w:val="es-ES" w:eastAsia="es-ES"/>
        </w:rPr>
        <w:t>4</w:t>
      </w:r>
      <w:r w:rsidR="00C97BBF">
        <w:rPr>
          <w:rFonts w:ascii="Palatino Linotype" w:eastAsia="Calibri" w:hAnsi="Palatino Linotype" w:cs="Arial"/>
          <w:lang w:val="es-ES" w:eastAsia="es-ES"/>
        </w:rPr>
        <w:t xml:space="preserve">) de </w:t>
      </w:r>
      <w:r w:rsidR="00A67AED">
        <w:rPr>
          <w:rFonts w:ascii="Palatino Linotype" w:eastAsia="Calibri" w:hAnsi="Palatino Linotype" w:cs="Arial"/>
          <w:lang w:val="es-ES" w:eastAsia="es-ES"/>
        </w:rPr>
        <w:t>febrero</w:t>
      </w:r>
      <w:r w:rsidR="00C97BBF">
        <w:rPr>
          <w:rFonts w:ascii="Palatino Linotype" w:eastAsia="Calibri" w:hAnsi="Palatino Linotype" w:cs="Arial"/>
          <w:lang w:val="es-ES" w:eastAsia="es-ES"/>
        </w:rPr>
        <w:t xml:space="preserve"> de dos mil veinti</w:t>
      </w:r>
      <w:r w:rsidR="00A67AED">
        <w:rPr>
          <w:rFonts w:ascii="Palatino Linotype" w:eastAsia="Calibri" w:hAnsi="Palatino Linotype" w:cs="Arial"/>
          <w:lang w:val="es-ES" w:eastAsia="es-ES"/>
        </w:rPr>
        <w:t>trés</w:t>
      </w:r>
      <w:r w:rsidR="00DC64EA" w:rsidRPr="00192B4E">
        <w:rPr>
          <w:rFonts w:ascii="Palatino Linotype" w:eastAsia="Calibri" w:hAnsi="Palatino Linotype" w:cs="Arial"/>
          <w:lang w:val="es-ES" w:eastAsia="es-ES"/>
        </w:rPr>
        <w:t xml:space="preserve">, puso a disposición de las partes el expediente electrónico </w:t>
      </w:r>
      <w:r w:rsidR="00DC64EA" w:rsidRPr="00192B4E">
        <w:rPr>
          <w:rFonts w:ascii="Palatino Linotype" w:eastAsia="Calibri" w:hAnsi="Palatino Linotype" w:cs="Arial"/>
          <w:lang w:val="es-ES_tradnl" w:eastAsia="es-ES"/>
        </w:rPr>
        <w:t xml:space="preserve">vía </w:t>
      </w:r>
      <w:r w:rsidR="00DC64EA" w:rsidRPr="00192B4E">
        <w:rPr>
          <w:rFonts w:ascii="Palatino Linotype" w:eastAsia="Calibri" w:hAnsi="Palatino Linotype" w:cs="Arial"/>
          <w:b/>
          <w:lang w:val="es-ES" w:eastAsia="es-ES"/>
        </w:rPr>
        <w:t>SAIMEX</w:t>
      </w:r>
      <w:r w:rsidR="00803D44">
        <w:rPr>
          <w:rFonts w:ascii="Palatino Linotype" w:eastAsia="Calibri" w:hAnsi="Palatino Linotype" w:cs="Arial"/>
          <w:b/>
          <w:lang w:val="es-ES" w:eastAsia="es-ES"/>
        </w:rPr>
        <w:t>,</w:t>
      </w:r>
      <w:r w:rsidR="00DC64EA" w:rsidRPr="00192B4E">
        <w:rPr>
          <w:rFonts w:ascii="Palatino Linotype" w:eastAsia="Calibri" w:hAnsi="Palatino Linotype" w:cs="Arial"/>
          <w:b/>
          <w:lang w:val="es-ES" w:eastAsia="es-ES"/>
        </w:rPr>
        <w:t xml:space="preserve"> </w:t>
      </w:r>
      <w:r w:rsidR="00DC64EA" w:rsidRPr="00192B4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DC64EA" w:rsidRPr="00192B4E">
        <w:rPr>
          <w:rFonts w:ascii="Palatino Linotype" w:eastAsia="Calibri" w:hAnsi="Palatino Linotype" w:cs="Arial"/>
          <w:b/>
          <w:lang w:val="es-ES" w:eastAsia="es-ES"/>
        </w:rPr>
        <w:t>SUJETO OBLIGADO</w:t>
      </w:r>
      <w:r w:rsidR="00803D44">
        <w:rPr>
          <w:rFonts w:ascii="Palatino Linotype" w:eastAsia="Calibri" w:hAnsi="Palatino Linotype" w:cs="Arial"/>
          <w:b/>
          <w:lang w:val="es-ES" w:eastAsia="es-ES"/>
        </w:rPr>
        <w:t>,</w:t>
      </w:r>
      <w:r w:rsidR="00DC64EA" w:rsidRPr="00192B4E">
        <w:rPr>
          <w:rFonts w:ascii="Palatino Linotype" w:eastAsia="Calibri" w:hAnsi="Palatino Linotype" w:cs="Arial"/>
          <w:lang w:val="es-ES" w:eastAsia="es-ES"/>
        </w:rPr>
        <w:t xml:space="preserve"> presentara el informe justificado procedente. </w:t>
      </w:r>
    </w:p>
    <w:p w14:paraId="28842523" w14:textId="77777777" w:rsidR="00DC64EA" w:rsidRPr="00192B4E" w:rsidRDefault="00DC64EA" w:rsidP="00DC64EA">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52B0A54A" w14:textId="5ED614EC" w:rsidR="00DC64EA" w:rsidRPr="00A67AED" w:rsidRDefault="00DC64EA" w:rsidP="00DC64EA">
      <w:pPr>
        <w:numPr>
          <w:ilvl w:val="0"/>
          <w:numId w:val="1"/>
        </w:numPr>
        <w:spacing w:line="360" w:lineRule="auto"/>
        <w:ind w:left="0" w:firstLine="0"/>
        <w:contextualSpacing/>
        <w:jc w:val="both"/>
        <w:rPr>
          <w:rFonts w:ascii="Palatino Linotype" w:eastAsiaTheme="minorEastAsia" w:hAnsi="Palatino Linotype"/>
          <w:b/>
          <w:sz w:val="22"/>
          <w:szCs w:val="22"/>
          <w:u w:val="single"/>
          <w:lang w:val="es-ES_tradnl" w:eastAsia="es-ES"/>
        </w:rPr>
      </w:pPr>
      <w:r w:rsidRPr="00132D7A">
        <w:rPr>
          <w:rFonts w:ascii="Palatino Linotype" w:eastAsia="Calibri" w:hAnsi="Palatino Linotype" w:cs="Arial"/>
          <w:lang w:val="es-ES" w:eastAsia="es-ES"/>
        </w:rPr>
        <w:t xml:space="preserve">De las constancias en el expediente electrónico SAIMEX, se advierte que el </w:t>
      </w:r>
      <w:r w:rsidR="00A67AED" w:rsidRPr="00A67AED">
        <w:rPr>
          <w:rFonts w:ascii="Palatino Linotype" w:eastAsia="Calibri" w:hAnsi="Palatino Linotype" w:cs="Arial"/>
          <w:b/>
          <w:bCs/>
          <w:lang w:val="es-ES" w:eastAsia="es-ES"/>
        </w:rPr>
        <w:t>RECURRENTE</w:t>
      </w:r>
      <w:r w:rsidRPr="00132D7A">
        <w:rPr>
          <w:rFonts w:ascii="Palatino Linotype" w:eastAsia="Calibri" w:hAnsi="Palatino Linotype" w:cs="Arial"/>
          <w:lang w:val="es-ES" w:eastAsia="es-ES"/>
        </w:rPr>
        <w:t xml:space="preserve"> no realizó manifestaciones, no ofreció pruebas o alegatos que convinieran a su de</w:t>
      </w:r>
      <w:r w:rsidR="00803D44">
        <w:rPr>
          <w:rFonts w:ascii="Palatino Linotype" w:eastAsia="Calibri" w:hAnsi="Palatino Linotype" w:cs="Arial"/>
          <w:lang w:val="es-ES" w:eastAsia="es-ES"/>
        </w:rPr>
        <w:t>recho convinieran; por su parte</w:t>
      </w:r>
      <w:r w:rsidRPr="00132D7A">
        <w:rPr>
          <w:rFonts w:ascii="Palatino Linotype" w:eastAsia="Calibri" w:hAnsi="Palatino Linotype" w:cs="Arial"/>
          <w:lang w:val="es-ES" w:eastAsia="es-ES"/>
        </w:rPr>
        <w:t xml:space="preserve"> el </w:t>
      </w:r>
      <w:r w:rsidR="00A67AED" w:rsidRPr="00A67AED">
        <w:rPr>
          <w:rFonts w:ascii="Palatino Linotype" w:eastAsia="Calibri" w:hAnsi="Palatino Linotype" w:cs="Arial"/>
          <w:b/>
          <w:bCs/>
          <w:lang w:val="es-ES" w:eastAsia="es-ES"/>
        </w:rPr>
        <w:t>SUJETO OBLIGADO</w:t>
      </w:r>
      <w:r w:rsidR="00803D44">
        <w:rPr>
          <w:rFonts w:ascii="Palatino Linotype" w:eastAsia="Calibri" w:hAnsi="Palatino Linotype" w:cs="Arial"/>
          <w:b/>
          <w:bCs/>
          <w:lang w:val="es-ES" w:eastAsia="es-ES"/>
        </w:rPr>
        <w:t>,</w:t>
      </w:r>
      <w:r w:rsidR="00A67AED" w:rsidRPr="00132D7A">
        <w:rPr>
          <w:rFonts w:ascii="Palatino Linotype" w:eastAsia="Calibri" w:hAnsi="Palatino Linotype" w:cs="Arial"/>
          <w:lang w:val="es-ES" w:eastAsia="es-ES"/>
        </w:rPr>
        <w:t xml:space="preserve"> </w:t>
      </w:r>
      <w:r w:rsidR="00A67AED">
        <w:rPr>
          <w:rFonts w:ascii="Palatino Linotype" w:eastAsia="Calibri" w:hAnsi="Palatino Linotype" w:cs="Arial"/>
          <w:lang w:val="es-ES" w:eastAsia="es-ES"/>
        </w:rPr>
        <w:t xml:space="preserve">no </w:t>
      </w:r>
      <w:r w:rsidR="00C97BBF" w:rsidRPr="00132D7A">
        <w:rPr>
          <w:rFonts w:ascii="Palatino Linotype" w:eastAsia="Calibri" w:hAnsi="Palatino Linotype" w:cs="Arial"/>
          <w:lang w:val="es-ES" w:eastAsia="es-ES"/>
        </w:rPr>
        <w:t xml:space="preserve">remitió </w:t>
      </w:r>
      <w:r w:rsidR="00A67AED">
        <w:rPr>
          <w:rFonts w:ascii="Palatino Linotype" w:eastAsia="Calibri" w:hAnsi="Palatino Linotype" w:cs="Arial"/>
          <w:lang w:val="es-ES" w:eastAsia="es-ES"/>
        </w:rPr>
        <w:t xml:space="preserve">el </w:t>
      </w:r>
      <w:r w:rsidR="00C97BBF" w:rsidRPr="00132D7A">
        <w:rPr>
          <w:rFonts w:ascii="Palatino Linotype" w:eastAsia="Calibri" w:hAnsi="Palatino Linotype" w:cs="Arial"/>
          <w:lang w:val="es-ES" w:eastAsia="es-ES"/>
        </w:rPr>
        <w:t xml:space="preserve">informe justificado </w:t>
      </w:r>
      <w:r w:rsidR="00A67AED">
        <w:rPr>
          <w:rFonts w:ascii="Palatino Linotype" w:eastAsia="Calibri" w:hAnsi="Palatino Linotype" w:cs="Arial"/>
          <w:lang w:val="es-ES" w:eastAsia="es-ES"/>
        </w:rPr>
        <w:t>correspondiente.</w:t>
      </w:r>
    </w:p>
    <w:p w14:paraId="5DC1E937" w14:textId="545BB2CC" w:rsidR="00132D7A" w:rsidRDefault="00132D7A" w:rsidP="00DC64E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132D7A">
        <w:rPr>
          <w:rFonts w:ascii="Palatino Linotype" w:eastAsiaTheme="minorEastAsia" w:hAnsi="Palatino Linotype"/>
          <w:lang w:val="es-ES_tradnl" w:eastAsia="es-ES"/>
        </w:rPr>
        <w:lastRenderedPageBreak/>
        <w:t xml:space="preserve">El </w:t>
      </w:r>
      <w:r w:rsidR="00A67AED">
        <w:rPr>
          <w:rFonts w:ascii="Palatino Linotype" w:eastAsiaTheme="minorEastAsia" w:hAnsi="Palatino Linotype"/>
          <w:lang w:val="es-ES_tradnl" w:eastAsia="es-ES"/>
        </w:rPr>
        <w:t>nueve</w:t>
      </w:r>
      <w:r w:rsidRPr="00132D7A">
        <w:rPr>
          <w:rFonts w:ascii="Palatino Linotype" w:eastAsiaTheme="minorEastAsia" w:hAnsi="Palatino Linotype"/>
          <w:lang w:val="es-ES_tradnl" w:eastAsia="es-ES"/>
        </w:rPr>
        <w:t xml:space="preserve"> (</w:t>
      </w:r>
      <w:r w:rsidR="00A67AED">
        <w:rPr>
          <w:rFonts w:ascii="Palatino Linotype" w:eastAsiaTheme="minorEastAsia" w:hAnsi="Palatino Linotype"/>
          <w:lang w:val="es-ES_tradnl" w:eastAsia="es-ES"/>
        </w:rPr>
        <w:t>09</w:t>
      </w:r>
      <w:r w:rsidRPr="00132D7A">
        <w:rPr>
          <w:rFonts w:ascii="Palatino Linotype" w:eastAsiaTheme="minorEastAsia" w:hAnsi="Palatino Linotype"/>
          <w:lang w:val="es-ES_tradnl" w:eastAsia="es-ES"/>
        </w:rPr>
        <w:t xml:space="preserve">) de </w:t>
      </w:r>
      <w:r w:rsidR="00A67AED">
        <w:rPr>
          <w:rFonts w:ascii="Palatino Linotype" w:eastAsiaTheme="minorEastAsia" w:hAnsi="Palatino Linotype"/>
          <w:lang w:val="es-ES_tradnl" w:eastAsia="es-ES"/>
        </w:rPr>
        <w:t>mayo</w:t>
      </w:r>
      <w:r w:rsidRPr="00132D7A">
        <w:rPr>
          <w:rFonts w:ascii="Palatino Linotype" w:eastAsiaTheme="minorEastAsia" w:hAnsi="Palatino Linotype"/>
          <w:lang w:val="es-ES_tradnl" w:eastAsia="es-ES"/>
        </w:rPr>
        <w:t xml:space="preserve"> de dos mil veinti</w:t>
      </w:r>
      <w:r w:rsidR="00A67AED">
        <w:rPr>
          <w:rFonts w:ascii="Palatino Linotype" w:eastAsiaTheme="minorEastAsia" w:hAnsi="Palatino Linotype"/>
          <w:lang w:val="es-ES_tradnl" w:eastAsia="es-ES"/>
        </w:rPr>
        <w:t>trés</w:t>
      </w:r>
      <w:r w:rsidRPr="00132D7A">
        <w:rPr>
          <w:rFonts w:ascii="Palatino Linotype" w:eastAsiaTheme="minorEastAsia" w:hAnsi="Palatino Linotype"/>
          <w:lang w:val="es-ES_tradnl" w:eastAsia="es-ES"/>
        </w:rPr>
        <w:t>, se notific</w:t>
      </w:r>
      <w:r>
        <w:rPr>
          <w:rFonts w:ascii="Palatino Linotype" w:eastAsiaTheme="minorEastAsia" w:hAnsi="Palatino Linotype"/>
          <w:lang w:val="es-ES_tradnl" w:eastAsia="es-ES"/>
        </w:rPr>
        <w:t>ó el acuerdo media</w:t>
      </w:r>
      <w:r w:rsidRPr="00132D7A">
        <w:rPr>
          <w:rFonts w:ascii="Palatino Linotype" w:eastAsiaTheme="minorEastAsia" w:hAnsi="Palatino Linotype"/>
          <w:lang w:val="es-ES_tradnl" w:eastAsia="es-ES"/>
        </w:rPr>
        <w:t xml:space="preserve">nte el cual se aprobó la ampliación del recurso de revisión para emitir resolución por un plazo de quince días. </w:t>
      </w:r>
    </w:p>
    <w:p w14:paraId="731CBAF2" w14:textId="77777777" w:rsidR="00132D7A" w:rsidRDefault="00132D7A" w:rsidP="00132D7A">
      <w:pPr>
        <w:spacing w:line="360" w:lineRule="auto"/>
        <w:contextualSpacing/>
        <w:jc w:val="both"/>
        <w:rPr>
          <w:rFonts w:ascii="Palatino Linotype" w:eastAsiaTheme="minorEastAsia" w:hAnsi="Palatino Linotype"/>
          <w:lang w:val="es-ES_tradnl" w:eastAsia="es-ES"/>
        </w:rPr>
      </w:pPr>
    </w:p>
    <w:p w14:paraId="303CB932" w14:textId="77777777" w:rsidR="00132D7A" w:rsidRPr="005E1BA7" w:rsidRDefault="00132D7A" w:rsidP="00132D7A">
      <w:pPr>
        <w:numPr>
          <w:ilvl w:val="0"/>
          <w:numId w:val="1"/>
        </w:numPr>
        <w:spacing w:line="360" w:lineRule="auto"/>
        <w:ind w:left="0" w:firstLine="0"/>
        <w:contextualSpacing/>
        <w:jc w:val="both"/>
        <w:rPr>
          <w:rFonts w:ascii="Palatino Linotype" w:eastAsia="MS Mincho" w:hAnsi="Palatino Linotype"/>
          <w:b/>
        </w:rPr>
      </w:pPr>
      <w:r w:rsidRPr="005E1BA7">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4998091" w14:textId="77777777" w:rsidR="00132D7A" w:rsidRPr="005E1BA7" w:rsidRDefault="00132D7A" w:rsidP="00132D7A">
      <w:pPr>
        <w:spacing w:line="360" w:lineRule="auto"/>
        <w:rPr>
          <w:rFonts w:ascii="Palatino Linotype" w:hAnsi="Palatino Linotype"/>
        </w:rPr>
      </w:pPr>
    </w:p>
    <w:p w14:paraId="2FE60681" w14:textId="77777777" w:rsidR="00132D7A" w:rsidRPr="005E1BA7" w:rsidRDefault="00132D7A" w:rsidP="00132D7A">
      <w:pPr>
        <w:numPr>
          <w:ilvl w:val="0"/>
          <w:numId w:val="1"/>
        </w:numPr>
        <w:spacing w:line="360" w:lineRule="auto"/>
        <w:ind w:left="0" w:firstLine="0"/>
        <w:contextualSpacing/>
        <w:jc w:val="both"/>
        <w:rPr>
          <w:rFonts w:ascii="Palatino Linotype" w:eastAsia="MS Mincho" w:hAnsi="Palatino Linotype"/>
          <w:b/>
        </w:rPr>
      </w:pPr>
      <w:r w:rsidRPr="005E1BA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69455D0" w14:textId="77777777" w:rsidR="00132D7A" w:rsidRPr="005E1BA7" w:rsidRDefault="00132D7A" w:rsidP="00132D7A">
      <w:pPr>
        <w:spacing w:line="360" w:lineRule="auto"/>
        <w:rPr>
          <w:rFonts w:ascii="Palatino Linotype" w:hAnsi="Palatino Linotype"/>
        </w:rPr>
      </w:pPr>
    </w:p>
    <w:p w14:paraId="23ACC2F6" w14:textId="77777777" w:rsidR="00132D7A" w:rsidRPr="005E1BA7" w:rsidRDefault="00132D7A" w:rsidP="00132D7A">
      <w:pPr>
        <w:numPr>
          <w:ilvl w:val="0"/>
          <w:numId w:val="1"/>
        </w:numPr>
        <w:spacing w:line="360" w:lineRule="auto"/>
        <w:ind w:left="0" w:firstLine="0"/>
        <w:contextualSpacing/>
        <w:jc w:val="both"/>
        <w:rPr>
          <w:rFonts w:ascii="Palatino Linotype" w:eastAsia="MS Mincho" w:hAnsi="Palatino Linotype"/>
          <w:b/>
        </w:rPr>
      </w:pPr>
      <w:r w:rsidRPr="005E1BA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C02C43" w14:textId="77777777" w:rsidR="00132D7A" w:rsidRPr="005E1BA7" w:rsidRDefault="00132D7A" w:rsidP="00132D7A">
      <w:pPr>
        <w:spacing w:line="360" w:lineRule="auto"/>
        <w:rPr>
          <w:rFonts w:ascii="Palatino Linotype" w:hAnsi="Palatino Linotype"/>
        </w:rPr>
      </w:pPr>
    </w:p>
    <w:p w14:paraId="286ED877" w14:textId="77777777" w:rsidR="00132D7A" w:rsidRPr="005E1BA7" w:rsidRDefault="00132D7A" w:rsidP="00132D7A">
      <w:pPr>
        <w:numPr>
          <w:ilvl w:val="0"/>
          <w:numId w:val="1"/>
        </w:numPr>
        <w:spacing w:line="360" w:lineRule="auto"/>
        <w:ind w:left="0" w:firstLine="0"/>
        <w:contextualSpacing/>
        <w:jc w:val="both"/>
        <w:rPr>
          <w:rFonts w:ascii="Palatino Linotype" w:eastAsia="MS Mincho" w:hAnsi="Palatino Linotype"/>
          <w:b/>
        </w:rPr>
      </w:pPr>
      <w:r w:rsidRPr="005E1BA7">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7303B4" w14:textId="77777777" w:rsidR="00132D7A" w:rsidRPr="005E1BA7" w:rsidRDefault="00132D7A" w:rsidP="00132D7A">
      <w:pPr>
        <w:spacing w:line="360" w:lineRule="auto"/>
        <w:rPr>
          <w:rFonts w:ascii="Palatino Linotype" w:hAnsi="Palatino Linotype"/>
        </w:rPr>
      </w:pPr>
    </w:p>
    <w:p w14:paraId="3A61EC41" w14:textId="77777777" w:rsidR="00132D7A" w:rsidRPr="005E1BA7" w:rsidRDefault="00132D7A" w:rsidP="00132D7A">
      <w:pPr>
        <w:numPr>
          <w:ilvl w:val="0"/>
          <w:numId w:val="1"/>
        </w:numPr>
        <w:spacing w:line="360" w:lineRule="auto"/>
        <w:ind w:left="0" w:firstLine="0"/>
        <w:contextualSpacing/>
        <w:jc w:val="both"/>
        <w:rPr>
          <w:rFonts w:ascii="Palatino Linotype" w:eastAsia="MS Mincho" w:hAnsi="Palatino Linotype"/>
          <w:b/>
        </w:rPr>
      </w:pPr>
      <w:r w:rsidRPr="005E1BA7">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9B1479D" w14:textId="77777777" w:rsidR="00132D7A" w:rsidRPr="005E1BA7" w:rsidRDefault="00132D7A" w:rsidP="00132D7A">
      <w:pPr>
        <w:spacing w:line="360" w:lineRule="auto"/>
        <w:rPr>
          <w:rFonts w:ascii="Palatino Linotype" w:hAnsi="Palatino Linotype"/>
        </w:rPr>
      </w:pPr>
    </w:p>
    <w:p w14:paraId="01152F40" w14:textId="77777777" w:rsidR="00132D7A" w:rsidRPr="005E1BA7" w:rsidRDefault="00132D7A" w:rsidP="00A67AED">
      <w:pPr>
        <w:pStyle w:val="Prrafodelista"/>
        <w:numPr>
          <w:ilvl w:val="0"/>
          <w:numId w:val="12"/>
        </w:numPr>
        <w:ind w:left="851" w:right="539" w:hanging="284"/>
        <w:jc w:val="both"/>
        <w:rPr>
          <w:rFonts w:ascii="Palatino Linotype" w:hAnsi="Palatino Linotype"/>
        </w:rPr>
      </w:pPr>
      <w:r w:rsidRPr="005E1BA7">
        <w:rPr>
          <w:rFonts w:ascii="Palatino Linotype" w:hAnsi="Palatino Linotype"/>
        </w:rPr>
        <w:t xml:space="preserve">Complejidad del Asunto: La complejidad de la prueba, la pluralidad de sujetos procesales, el tiempo transcurrido, las características y contexto del recurso. </w:t>
      </w:r>
    </w:p>
    <w:p w14:paraId="24C25C3B" w14:textId="77777777" w:rsidR="00132D7A" w:rsidRPr="005E1BA7" w:rsidRDefault="00132D7A" w:rsidP="00A67AED">
      <w:pPr>
        <w:pStyle w:val="Prrafodelista"/>
        <w:ind w:left="851" w:right="539" w:hanging="284"/>
        <w:jc w:val="both"/>
        <w:rPr>
          <w:rFonts w:ascii="Palatino Linotype" w:hAnsi="Palatino Linotype"/>
        </w:rPr>
      </w:pPr>
    </w:p>
    <w:p w14:paraId="4F58FCD4" w14:textId="77777777" w:rsidR="00132D7A" w:rsidRPr="005E1BA7" w:rsidRDefault="00132D7A" w:rsidP="00A67AED">
      <w:pPr>
        <w:pStyle w:val="Prrafodelista"/>
        <w:numPr>
          <w:ilvl w:val="0"/>
          <w:numId w:val="12"/>
        </w:numPr>
        <w:ind w:left="851" w:right="539" w:hanging="284"/>
        <w:jc w:val="both"/>
        <w:rPr>
          <w:rFonts w:ascii="Palatino Linotype" w:hAnsi="Palatino Linotype"/>
        </w:rPr>
      </w:pPr>
      <w:r w:rsidRPr="005E1BA7">
        <w:rPr>
          <w:rFonts w:ascii="Palatino Linotype" w:hAnsi="Palatino Linotype"/>
        </w:rPr>
        <w:t>Actividad Procesal del interesado. Acciones u omisiones del interesado.</w:t>
      </w:r>
    </w:p>
    <w:p w14:paraId="23E83B9A" w14:textId="77777777" w:rsidR="00132D7A" w:rsidRPr="005E1BA7" w:rsidRDefault="00132D7A" w:rsidP="00A67AED">
      <w:pPr>
        <w:ind w:left="851" w:right="539" w:hanging="284"/>
        <w:jc w:val="both"/>
        <w:rPr>
          <w:rFonts w:ascii="Palatino Linotype" w:hAnsi="Palatino Linotype"/>
        </w:rPr>
      </w:pPr>
    </w:p>
    <w:p w14:paraId="1F43585E" w14:textId="77777777" w:rsidR="00132D7A" w:rsidRPr="005E1BA7" w:rsidRDefault="00132D7A" w:rsidP="00A67AED">
      <w:pPr>
        <w:pStyle w:val="Prrafodelista"/>
        <w:numPr>
          <w:ilvl w:val="0"/>
          <w:numId w:val="12"/>
        </w:numPr>
        <w:ind w:left="851" w:right="539" w:hanging="284"/>
        <w:jc w:val="both"/>
        <w:rPr>
          <w:rFonts w:ascii="Palatino Linotype" w:hAnsi="Palatino Linotype"/>
        </w:rPr>
      </w:pPr>
      <w:r w:rsidRPr="005E1BA7">
        <w:rPr>
          <w:rFonts w:ascii="Palatino Linotype" w:hAnsi="Palatino Linotype"/>
        </w:rPr>
        <w:t>Conducta de la Autoridad: Las Acciones u omisiones realizadas en el procedimiento. Así como si la autoridad actuó con la debida diligencia.</w:t>
      </w:r>
    </w:p>
    <w:p w14:paraId="75A1C452" w14:textId="77777777" w:rsidR="00132D7A" w:rsidRPr="005E1BA7" w:rsidRDefault="00132D7A" w:rsidP="00A67AED">
      <w:pPr>
        <w:pStyle w:val="Prrafodelista"/>
        <w:ind w:left="851" w:right="539" w:hanging="284"/>
        <w:rPr>
          <w:rFonts w:ascii="Palatino Linotype" w:hAnsi="Palatino Linotype"/>
        </w:rPr>
      </w:pPr>
    </w:p>
    <w:p w14:paraId="59F56424" w14:textId="77777777" w:rsidR="00132D7A" w:rsidRPr="005E1BA7" w:rsidRDefault="00132D7A" w:rsidP="00A67AED">
      <w:pPr>
        <w:ind w:left="851" w:right="539" w:hanging="284"/>
        <w:jc w:val="both"/>
        <w:rPr>
          <w:rFonts w:ascii="Palatino Linotype" w:hAnsi="Palatino Linotype"/>
        </w:rPr>
      </w:pPr>
      <w:r w:rsidRPr="005E1BA7">
        <w:rPr>
          <w:rFonts w:ascii="Palatino Linotype" w:hAnsi="Palatino Linotype"/>
        </w:rPr>
        <w:t>d) La afectación generada en la situación jurídica de la persona involucrada en el proceso: Violación a sus derechos humanos.</w:t>
      </w:r>
    </w:p>
    <w:p w14:paraId="360F97B7" w14:textId="77777777" w:rsidR="00132D7A" w:rsidRPr="005E1BA7" w:rsidRDefault="00132D7A" w:rsidP="00132D7A">
      <w:pPr>
        <w:spacing w:line="360" w:lineRule="auto"/>
        <w:rPr>
          <w:rFonts w:ascii="Palatino Linotype" w:hAnsi="Palatino Linotype"/>
        </w:rPr>
      </w:pPr>
    </w:p>
    <w:p w14:paraId="0F3C0AC5" w14:textId="77777777" w:rsidR="00132D7A" w:rsidRPr="005E1BA7" w:rsidRDefault="00132D7A" w:rsidP="00132D7A">
      <w:pPr>
        <w:numPr>
          <w:ilvl w:val="0"/>
          <w:numId w:val="1"/>
        </w:numPr>
        <w:spacing w:line="360" w:lineRule="auto"/>
        <w:ind w:left="0" w:firstLine="0"/>
        <w:contextualSpacing/>
        <w:jc w:val="both"/>
        <w:rPr>
          <w:rFonts w:ascii="Palatino Linotype" w:eastAsia="MS Mincho" w:hAnsi="Palatino Linotype"/>
          <w:b/>
        </w:rPr>
      </w:pPr>
      <w:r w:rsidRPr="005E1BA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75DF64" w14:textId="77777777" w:rsidR="00132D7A" w:rsidRPr="005E1BA7" w:rsidRDefault="00132D7A" w:rsidP="00132D7A">
      <w:pPr>
        <w:spacing w:line="360" w:lineRule="auto"/>
        <w:jc w:val="both"/>
        <w:rPr>
          <w:rFonts w:ascii="Palatino Linotype" w:eastAsia="MS Mincho" w:hAnsi="Palatino Linotype"/>
          <w:b/>
        </w:rPr>
      </w:pPr>
    </w:p>
    <w:p w14:paraId="7E07BF2A" w14:textId="77777777" w:rsidR="00132D7A" w:rsidRPr="005E1BA7" w:rsidRDefault="00132D7A" w:rsidP="00132D7A">
      <w:pPr>
        <w:numPr>
          <w:ilvl w:val="0"/>
          <w:numId w:val="1"/>
        </w:numPr>
        <w:spacing w:line="360" w:lineRule="auto"/>
        <w:ind w:left="0" w:firstLine="0"/>
        <w:contextualSpacing/>
        <w:jc w:val="both"/>
        <w:rPr>
          <w:rFonts w:ascii="Palatino Linotype" w:eastAsia="MS Mincho" w:hAnsi="Palatino Linotype"/>
          <w:b/>
        </w:rPr>
      </w:pPr>
      <w:r w:rsidRPr="005E1BA7">
        <w:rPr>
          <w:rFonts w:ascii="Palatino Linotype" w:hAnsi="Palatino Linotype"/>
        </w:rPr>
        <w:t>Argumento que encuentra sustento en la jurisprudencia P</w:t>
      </w:r>
      <w:proofErr w:type="gramStart"/>
      <w:r w:rsidRPr="005E1BA7">
        <w:rPr>
          <w:rFonts w:ascii="Palatino Linotype" w:hAnsi="Palatino Linotype"/>
        </w:rPr>
        <w:t>./</w:t>
      </w:r>
      <w:proofErr w:type="gramEnd"/>
      <w:r w:rsidRPr="005E1BA7">
        <w:rPr>
          <w:rFonts w:ascii="Palatino Linotype" w:hAnsi="Palatino Linotype"/>
        </w:rPr>
        <w:t xml:space="preserve">J. 32/92 emitida por el Pleno de la Suprema Corte de Justicia de la Nación de rubro </w:t>
      </w:r>
      <w:r w:rsidRPr="005E1BA7">
        <w:rPr>
          <w:rFonts w:ascii="Palatino Linotype" w:hAnsi="Palatino Linotype"/>
          <w:i/>
        </w:rPr>
        <w:t xml:space="preserve">“TÉRMINOS </w:t>
      </w:r>
      <w:r w:rsidRPr="005E1BA7">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5E1BA7">
        <w:rPr>
          <w:rFonts w:ascii="Palatino Linotype" w:hAnsi="Palatino Linotype"/>
        </w:rPr>
        <w:t>, visible en la Gaceta del Seminario Judicial de la Federación con el registro digital 205635.</w:t>
      </w:r>
    </w:p>
    <w:p w14:paraId="0A3DA52C" w14:textId="77777777" w:rsidR="00132D7A" w:rsidRPr="005E1BA7" w:rsidRDefault="00132D7A" w:rsidP="00132D7A">
      <w:pPr>
        <w:spacing w:line="360" w:lineRule="auto"/>
        <w:rPr>
          <w:rFonts w:ascii="Palatino Linotype" w:hAnsi="Palatino Linotype"/>
        </w:rPr>
      </w:pPr>
    </w:p>
    <w:p w14:paraId="79F646A6" w14:textId="77777777" w:rsidR="00132D7A" w:rsidRPr="005E1BA7" w:rsidRDefault="00132D7A" w:rsidP="00132D7A">
      <w:pPr>
        <w:numPr>
          <w:ilvl w:val="0"/>
          <w:numId w:val="1"/>
        </w:numPr>
        <w:spacing w:line="360" w:lineRule="auto"/>
        <w:ind w:left="0" w:firstLine="0"/>
        <w:contextualSpacing/>
        <w:jc w:val="both"/>
        <w:rPr>
          <w:rFonts w:ascii="Palatino Linotype" w:eastAsia="MS Mincho" w:hAnsi="Palatino Linotype"/>
          <w:b/>
        </w:rPr>
      </w:pPr>
      <w:r w:rsidRPr="005E1BA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013AF3" w14:textId="77777777" w:rsidR="00132D7A" w:rsidRPr="005E1BA7" w:rsidRDefault="00132D7A" w:rsidP="00132D7A">
      <w:pPr>
        <w:spacing w:line="360" w:lineRule="auto"/>
        <w:rPr>
          <w:rFonts w:ascii="Palatino Linotype" w:hAnsi="Palatino Linotype"/>
        </w:rPr>
      </w:pPr>
    </w:p>
    <w:p w14:paraId="623F64CD" w14:textId="77777777" w:rsidR="00132D7A" w:rsidRPr="005E1BA7" w:rsidRDefault="00132D7A" w:rsidP="00132D7A">
      <w:pPr>
        <w:numPr>
          <w:ilvl w:val="0"/>
          <w:numId w:val="1"/>
        </w:numPr>
        <w:spacing w:line="360" w:lineRule="auto"/>
        <w:ind w:left="0" w:firstLine="0"/>
        <w:contextualSpacing/>
        <w:jc w:val="both"/>
        <w:rPr>
          <w:rFonts w:ascii="Palatino Linotype" w:eastAsia="MS Mincho" w:hAnsi="Palatino Linotype"/>
          <w:b/>
        </w:rPr>
      </w:pPr>
      <w:r w:rsidRPr="005E1BA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50AF54C" w14:textId="77777777" w:rsidR="00132D7A" w:rsidRPr="005E1BA7" w:rsidRDefault="00132D7A" w:rsidP="00132D7A">
      <w:pPr>
        <w:spacing w:line="360" w:lineRule="auto"/>
        <w:rPr>
          <w:rFonts w:ascii="Palatino Linotype" w:hAnsi="Palatino Linotype"/>
        </w:rPr>
      </w:pPr>
    </w:p>
    <w:p w14:paraId="007142E0" w14:textId="77777777" w:rsidR="00132D7A" w:rsidRPr="005E1BA7" w:rsidRDefault="00132D7A" w:rsidP="00132D7A">
      <w:pPr>
        <w:numPr>
          <w:ilvl w:val="0"/>
          <w:numId w:val="1"/>
        </w:numPr>
        <w:spacing w:line="360" w:lineRule="auto"/>
        <w:ind w:left="0" w:firstLine="0"/>
        <w:contextualSpacing/>
        <w:jc w:val="both"/>
        <w:rPr>
          <w:rFonts w:ascii="Palatino Linotype" w:eastAsia="MS Mincho" w:hAnsi="Palatino Linotype"/>
          <w:b/>
        </w:rPr>
      </w:pPr>
      <w:r w:rsidRPr="005E1BA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41F2BD2" w14:textId="77777777" w:rsidR="00132D7A" w:rsidRPr="005E1BA7" w:rsidRDefault="00132D7A" w:rsidP="00132D7A">
      <w:pPr>
        <w:spacing w:line="360" w:lineRule="auto"/>
        <w:jc w:val="both"/>
        <w:rPr>
          <w:rFonts w:ascii="Palatino Linotype" w:hAnsi="Palatino Linotype"/>
        </w:rPr>
      </w:pPr>
    </w:p>
    <w:p w14:paraId="0AE0E3B8" w14:textId="77777777" w:rsidR="00132D7A" w:rsidRPr="00132D7A" w:rsidRDefault="00132D7A" w:rsidP="00A67AED">
      <w:pPr>
        <w:ind w:left="567" w:right="822"/>
        <w:jc w:val="both"/>
        <w:rPr>
          <w:rFonts w:ascii="Palatino Linotype" w:hAnsi="Palatino Linotype"/>
          <w:sz w:val="22"/>
        </w:rPr>
      </w:pPr>
      <w:r w:rsidRPr="00132D7A">
        <w:rPr>
          <w:rFonts w:ascii="Palatino Linotype" w:hAnsi="Palatino Linotype"/>
          <w:sz w:val="22"/>
        </w:rPr>
        <w:lastRenderedPageBreak/>
        <w:t xml:space="preserve"> </w:t>
      </w:r>
      <w:r w:rsidRPr="00132D7A">
        <w:rPr>
          <w:rFonts w:ascii="Palatino Linotype" w:hAnsi="Palatino Linotype"/>
          <w:i/>
          <w:sz w:val="22"/>
        </w:rPr>
        <w:t>“PLAZO RAZONABLE PARA RESOLVER. DIMENSIÓN Y EFECTOS DE ESTE CONCEPTO CUANDO SE ADUCE EXCESIVA CARGA DE TRABAJO.”</w:t>
      </w:r>
      <w:r w:rsidRPr="00132D7A">
        <w:rPr>
          <w:rFonts w:ascii="Palatino Linotype" w:hAnsi="Palatino Linotype"/>
          <w:sz w:val="22"/>
        </w:rPr>
        <w:t xml:space="preserve"> consultable en el Seminario Judicial de la Federación y su gaceta, con el registro digital 2002351.</w:t>
      </w:r>
    </w:p>
    <w:p w14:paraId="708CD34F" w14:textId="77777777" w:rsidR="00132D7A" w:rsidRPr="00132D7A" w:rsidRDefault="00132D7A" w:rsidP="00A67AED">
      <w:pPr>
        <w:ind w:left="567" w:right="822"/>
        <w:jc w:val="both"/>
        <w:rPr>
          <w:rFonts w:ascii="Palatino Linotype" w:hAnsi="Palatino Linotype"/>
          <w:b/>
          <w:sz w:val="22"/>
        </w:rPr>
      </w:pPr>
    </w:p>
    <w:p w14:paraId="65936E80" w14:textId="5CE70D8E" w:rsidR="00132D7A" w:rsidRDefault="00132D7A" w:rsidP="00A67AED">
      <w:pPr>
        <w:ind w:left="567" w:right="822"/>
        <w:jc w:val="both"/>
        <w:rPr>
          <w:rFonts w:ascii="Palatino Linotype" w:hAnsi="Palatino Linotype"/>
          <w:sz w:val="22"/>
        </w:rPr>
      </w:pPr>
      <w:r w:rsidRPr="00132D7A">
        <w:rPr>
          <w:rFonts w:ascii="Palatino Linotype" w:hAnsi="Palatino Linotype"/>
          <w:i/>
          <w:sz w:val="22"/>
        </w:rPr>
        <w:t>“PLAZO RAZONABLE PARA RESOLVER. CONCEPTO Y ELEMENTOS QUE LO INTEGRAN A LA LUZ DEL DERECHO INTERNACIONAL DE LOS DERECHOS HUMANOS.”</w:t>
      </w:r>
      <w:r w:rsidRPr="00132D7A">
        <w:rPr>
          <w:rFonts w:ascii="Palatino Linotype" w:hAnsi="Palatino Linotype"/>
          <w:sz w:val="22"/>
        </w:rPr>
        <w:t>, visible en el Seminario Judicial de la Federación y su gaceta, con el registro digital 2002350.</w:t>
      </w:r>
    </w:p>
    <w:p w14:paraId="26FFEB6F" w14:textId="77777777" w:rsidR="00A67AED" w:rsidRPr="00132D7A" w:rsidRDefault="00A67AED" w:rsidP="00A67AED">
      <w:pPr>
        <w:spacing w:line="360" w:lineRule="auto"/>
        <w:ind w:right="822"/>
        <w:jc w:val="both"/>
        <w:rPr>
          <w:rFonts w:ascii="Palatino Linotype" w:hAnsi="Palatino Linotype"/>
          <w:sz w:val="22"/>
        </w:rPr>
      </w:pPr>
    </w:p>
    <w:p w14:paraId="64032334" w14:textId="77777777" w:rsidR="00132D7A" w:rsidRPr="00132D7A" w:rsidRDefault="00132D7A" w:rsidP="00132D7A">
      <w:pPr>
        <w:pStyle w:val="Prrafodelista"/>
        <w:numPr>
          <w:ilvl w:val="0"/>
          <w:numId w:val="1"/>
        </w:numPr>
        <w:spacing w:line="360" w:lineRule="auto"/>
        <w:ind w:left="0" w:right="-28" w:firstLine="0"/>
        <w:jc w:val="both"/>
        <w:rPr>
          <w:rFonts w:ascii="Palatino Linotype" w:hAnsi="Palatino Linotype"/>
          <w:sz w:val="24"/>
        </w:rPr>
      </w:pPr>
      <w:r w:rsidRPr="00132D7A">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14:paraId="676A61A6" w14:textId="77777777" w:rsidR="00132D7A" w:rsidRPr="00132D7A" w:rsidRDefault="00132D7A" w:rsidP="00132D7A">
      <w:pPr>
        <w:spacing w:line="360" w:lineRule="auto"/>
        <w:contextualSpacing/>
        <w:jc w:val="both"/>
        <w:rPr>
          <w:rFonts w:ascii="Palatino Linotype" w:eastAsiaTheme="minorEastAsia" w:hAnsi="Palatino Linotype"/>
          <w:lang w:val="es-ES_tradnl" w:eastAsia="es-ES"/>
        </w:rPr>
      </w:pPr>
    </w:p>
    <w:p w14:paraId="7730FC63" w14:textId="7DC059A7" w:rsidR="00DC64EA" w:rsidRPr="00192B4E" w:rsidRDefault="00DC64EA" w:rsidP="00DC64E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92B4E">
        <w:rPr>
          <w:rFonts w:ascii="Palatino Linotype" w:eastAsiaTheme="minorEastAsia" w:hAnsi="Palatino Linotype"/>
          <w:lang w:val="es-ES_tradnl" w:eastAsia="es-ES"/>
        </w:rPr>
        <w:t>El Comisionado Ponente decretó el cierre de instrucción</w:t>
      </w:r>
      <w:r w:rsidRPr="00192B4E">
        <w:rPr>
          <w:rFonts w:ascii="Palatino Linotype" w:eastAsiaTheme="minorEastAsia" w:hAnsi="Palatino Linotype" w:cs="Arial"/>
          <w:lang w:val="es-ES_tradnl" w:eastAsia="es-ES"/>
        </w:rPr>
        <w:t xml:space="preserve"> </w:t>
      </w:r>
      <w:r w:rsidRPr="00192B4E">
        <w:rPr>
          <w:rFonts w:ascii="Palatino Linotype" w:eastAsiaTheme="minorEastAsia" w:hAnsi="Palatino Linotype"/>
          <w:lang w:val="es-ES_tradnl" w:eastAsia="es-ES"/>
        </w:rPr>
        <w:t>mediante el acuerdo d</w:t>
      </w:r>
      <w:r>
        <w:rPr>
          <w:rFonts w:ascii="Palatino Linotype" w:eastAsiaTheme="minorEastAsia" w:hAnsi="Palatino Linotype"/>
          <w:lang w:val="es-ES_tradnl" w:eastAsia="es-ES"/>
        </w:rPr>
        <w:t xml:space="preserve">e fecha </w:t>
      </w:r>
      <w:r w:rsidR="00132D7A">
        <w:rPr>
          <w:rFonts w:ascii="Palatino Linotype" w:eastAsiaTheme="minorEastAsia" w:hAnsi="Palatino Linotype"/>
          <w:lang w:val="es-ES_tradnl" w:eastAsia="es-ES"/>
        </w:rPr>
        <w:t>veinti</w:t>
      </w:r>
      <w:r w:rsidR="002F0BFB">
        <w:rPr>
          <w:rFonts w:ascii="Palatino Linotype" w:eastAsiaTheme="minorEastAsia" w:hAnsi="Palatino Linotype"/>
          <w:lang w:val="es-ES_tradnl" w:eastAsia="es-ES"/>
        </w:rPr>
        <w:t>nueve</w:t>
      </w:r>
      <w:r w:rsidR="00132D7A">
        <w:rPr>
          <w:rFonts w:ascii="Palatino Linotype" w:eastAsiaTheme="minorEastAsia" w:hAnsi="Palatino Linotype"/>
          <w:lang w:val="es-ES_tradnl" w:eastAsia="es-ES"/>
        </w:rPr>
        <w:t xml:space="preserve"> (2</w:t>
      </w:r>
      <w:r w:rsidR="002F0BFB">
        <w:rPr>
          <w:rFonts w:ascii="Palatino Linotype" w:eastAsiaTheme="minorEastAsia" w:hAnsi="Palatino Linotype"/>
          <w:lang w:val="es-ES_tradnl" w:eastAsia="es-ES"/>
        </w:rPr>
        <w:t>9</w:t>
      </w:r>
      <w:r w:rsidR="00132D7A">
        <w:rPr>
          <w:rFonts w:ascii="Palatino Linotype" w:eastAsiaTheme="minorEastAsia" w:hAnsi="Palatino Linotype"/>
          <w:lang w:val="es-ES_tradnl" w:eastAsia="es-ES"/>
        </w:rPr>
        <w:t xml:space="preserve">) de </w:t>
      </w:r>
      <w:r w:rsidR="002F0BFB">
        <w:rPr>
          <w:rFonts w:ascii="Palatino Linotype" w:eastAsiaTheme="minorEastAsia" w:hAnsi="Palatino Linotype"/>
          <w:lang w:val="es-ES_tradnl" w:eastAsia="es-ES"/>
        </w:rPr>
        <w:t>junio</w:t>
      </w:r>
      <w:r>
        <w:rPr>
          <w:rFonts w:ascii="Palatino Linotype" w:eastAsiaTheme="minorEastAsia" w:hAnsi="Palatino Linotype"/>
          <w:lang w:val="es-ES_tradnl" w:eastAsia="es-ES"/>
        </w:rPr>
        <w:t xml:space="preserve"> de dos mil veintitrés</w:t>
      </w:r>
      <w:r w:rsidRPr="00192B4E">
        <w:rPr>
          <w:rFonts w:ascii="Palatino Linotype" w:eastAsiaTheme="minorEastAsia" w:hAnsi="Palatino Linotype"/>
          <w:lang w:val="es-ES_tradnl" w:eastAsia="es-ES"/>
        </w:rPr>
        <w:t xml:space="preserve">. </w:t>
      </w:r>
      <w:r w:rsidR="002F0BFB">
        <w:rPr>
          <w:rFonts w:ascii="Palatino Linotype" w:eastAsiaTheme="minorEastAsia" w:hAnsi="Palatino Linotype"/>
          <w:lang w:val="es-ES_tradnl" w:eastAsia="es-ES"/>
        </w:rPr>
        <w:t>---------------------------------------</w:t>
      </w:r>
    </w:p>
    <w:p w14:paraId="2D4F4F10" w14:textId="77777777" w:rsidR="00DC64EA" w:rsidRPr="00192B4E" w:rsidRDefault="00DC64EA" w:rsidP="00DC64EA">
      <w:pPr>
        <w:spacing w:line="360" w:lineRule="auto"/>
        <w:contextualSpacing/>
        <w:jc w:val="both"/>
        <w:rPr>
          <w:rFonts w:ascii="Palatino Linotype" w:eastAsiaTheme="minorEastAsia" w:hAnsi="Palatino Linotype"/>
          <w:b/>
          <w:u w:val="single"/>
          <w:lang w:val="es-ES_tradnl" w:eastAsia="es-ES"/>
        </w:rPr>
      </w:pPr>
    </w:p>
    <w:p w14:paraId="5698DE45" w14:textId="77777777" w:rsidR="00DC64EA" w:rsidRPr="00192B4E" w:rsidRDefault="00DC64EA" w:rsidP="00DC64EA">
      <w:pPr>
        <w:keepNext/>
        <w:keepLines/>
        <w:spacing w:line="360" w:lineRule="auto"/>
        <w:jc w:val="center"/>
        <w:outlineLvl w:val="0"/>
        <w:rPr>
          <w:rFonts w:ascii="Palatino Linotype" w:eastAsiaTheme="majorEastAsia" w:hAnsi="Palatino Linotype" w:cstheme="majorBidi"/>
        </w:rPr>
      </w:pPr>
      <w:bookmarkStart w:id="4" w:name="_Toc83301634"/>
      <w:r w:rsidRPr="00192B4E">
        <w:rPr>
          <w:rFonts w:ascii="Palatino Linotype" w:eastAsiaTheme="majorEastAsia" w:hAnsi="Palatino Linotype" w:cstheme="majorBidi"/>
          <w:b/>
        </w:rPr>
        <w:t>CONSIDERANDO</w:t>
      </w:r>
      <w:bookmarkEnd w:id="4"/>
      <w:r w:rsidRPr="00192B4E">
        <w:rPr>
          <w:rFonts w:ascii="Palatino Linotype" w:eastAsiaTheme="majorEastAsia" w:hAnsi="Palatino Linotype" w:cstheme="majorBidi"/>
          <w:b/>
        </w:rPr>
        <w:t xml:space="preserve"> </w:t>
      </w:r>
    </w:p>
    <w:p w14:paraId="4193E584" w14:textId="77777777" w:rsidR="00DC64EA" w:rsidRPr="00192B4E" w:rsidRDefault="00DC64EA" w:rsidP="00DC64EA">
      <w:pPr>
        <w:spacing w:line="360" w:lineRule="auto"/>
        <w:rPr>
          <w:rFonts w:ascii="Palatino Linotype" w:eastAsiaTheme="minorEastAsia" w:hAnsi="Palatino Linotype"/>
        </w:rPr>
      </w:pPr>
    </w:p>
    <w:p w14:paraId="61D8DABC" w14:textId="77777777" w:rsidR="00DC64EA" w:rsidRPr="00192B4E" w:rsidRDefault="00DC64EA" w:rsidP="00DC64EA">
      <w:pPr>
        <w:keepNext/>
        <w:keepLines/>
        <w:spacing w:line="360" w:lineRule="auto"/>
        <w:outlineLvl w:val="1"/>
        <w:rPr>
          <w:rFonts w:ascii="Palatino Linotype" w:eastAsiaTheme="majorEastAsia" w:hAnsi="Palatino Linotype" w:cstheme="majorBidi"/>
          <w:b/>
          <w:szCs w:val="26"/>
        </w:rPr>
      </w:pPr>
      <w:bookmarkStart w:id="5" w:name="_Toc83301635"/>
      <w:r w:rsidRPr="00192B4E">
        <w:rPr>
          <w:rFonts w:ascii="Palatino Linotype" w:eastAsiaTheme="majorEastAsia" w:hAnsi="Palatino Linotype" w:cstheme="majorBidi"/>
          <w:b/>
          <w:szCs w:val="26"/>
        </w:rPr>
        <w:t>PRIMERO. De la competencia</w:t>
      </w:r>
      <w:bookmarkEnd w:id="5"/>
    </w:p>
    <w:p w14:paraId="574C39B5" w14:textId="77777777" w:rsidR="00DC64EA" w:rsidRPr="00192B4E" w:rsidRDefault="00DC64EA" w:rsidP="00DC64EA">
      <w:pPr>
        <w:keepNext/>
        <w:keepLines/>
        <w:spacing w:line="360" w:lineRule="auto"/>
        <w:outlineLvl w:val="1"/>
        <w:rPr>
          <w:rFonts w:ascii="Palatino Linotype" w:eastAsiaTheme="majorEastAsia" w:hAnsi="Palatino Linotype" w:cstheme="majorBidi"/>
          <w:b/>
          <w:bCs/>
          <w:spacing w:val="60"/>
          <w:szCs w:val="26"/>
        </w:rPr>
      </w:pPr>
    </w:p>
    <w:p w14:paraId="224EC5AC" w14:textId="77777777" w:rsidR="00DC64EA" w:rsidRPr="00192B4E" w:rsidRDefault="00DC64EA" w:rsidP="00DC64EA">
      <w:pPr>
        <w:numPr>
          <w:ilvl w:val="0"/>
          <w:numId w:val="1"/>
        </w:numPr>
        <w:spacing w:line="360" w:lineRule="auto"/>
        <w:ind w:left="0" w:firstLine="0"/>
        <w:contextualSpacing/>
        <w:jc w:val="both"/>
        <w:rPr>
          <w:rFonts w:ascii="Palatino Linotype" w:eastAsia="Calibri" w:hAnsi="Palatino Linotype"/>
          <w:lang w:eastAsia="es-ES"/>
        </w:rPr>
      </w:pPr>
      <w:r w:rsidRPr="00192B4E">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192B4E">
        <w:rPr>
          <w:rFonts w:ascii="Palatino Linotype" w:eastAsia="Calibri" w:hAnsi="Palatino Linotype"/>
          <w:b/>
          <w:lang w:val="es-ES" w:eastAsia="es-ES"/>
        </w:rPr>
        <w:t>Constitución Política de los Estados Unidos Mexicanos</w:t>
      </w:r>
      <w:r w:rsidRPr="00192B4E">
        <w:rPr>
          <w:rFonts w:ascii="Palatino Linotype" w:eastAsia="Calibri" w:hAnsi="Palatino Linotype"/>
          <w:lang w:val="es-ES" w:eastAsia="es-ES"/>
        </w:rPr>
        <w:t xml:space="preserve">; 5, </w:t>
      </w:r>
      <w:r w:rsidRPr="00192B4E">
        <w:rPr>
          <w:rFonts w:ascii="Palatino Linotype" w:eastAsia="Calibri" w:hAnsi="Palatino Linotype"/>
          <w:lang w:eastAsia="es-ES"/>
        </w:rPr>
        <w:t xml:space="preserve">párrafos trigésimo, trigésimo primero y trigésimo segundo, fracciones I, II, III, IV y V de la </w:t>
      </w:r>
      <w:r w:rsidRPr="00192B4E">
        <w:rPr>
          <w:rFonts w:ascii="Palatino Linotype" w:eastAsia="Calibri" w:hAnsi="Palatino Linotype"/>
          <w:b/>
          <w:lang w:eastAsia="es-ES"/>
        </w:rPr>
        <w:t>Constitución Política del Estado Libre y Soberano de México</w:t>
      </w:r>
      <w:r w:rsidRPr="00192B4E">
        <w:rPr>
          <w:rFonts w:ascii="Palatino Linotype" w:eastAsia="Calibri" w:hAnsi="Palatino Linotype"/>
          <w:b/>
          <w:lang w:val="es-ES" w:eastAsia="es-ES"/>
        </w:rPr>
        <w:t>;</w:t>
      </w:r>
      <w:r w:rsidRPr="00192B4E">
        <w:rPr>
          <w:rFonts w:ascii="Palatino Linotype" w:eastAsia="Calibri" w:hAnsi="Palatino Linotype"/>
          <w:lang w:val="es-ES" w:eastAsia="es-ES"/>
        </w:rPr>
        <w:t xml:space="preserve"> 1, 3 fracción I, 82, 97, 98, 119, 123, 124, 127, 128 y 133 </w:t>
      </w:r>
      <w:r w:rsidRPr="00192B4E">
        <w:rPr>
          <w:rFonts w:ascii="Palatino Linotype" w:eastAsia="Calibri" w:hAnsi="Palatino Linotype"/>
          <w:b/>
          <w:lang w:eastAsia="es-ES"/>
        </w:rPr>
        <w:t xml:space="preserve">Ley de Protección de Datos Personales en Posesión de Sujetos </w:t>
      </w:r>
      <w:r w:rsidRPr="00192B4E">
        <w:rPr>
          <w:rFonts w:ascii="Palatino Linotype" w:eastAsia="Calibri" w:hAnsi="Palatino Linotype"/>
          <w:b/>
          <w:lang w:eastAsia="es-ES"/>
        </w:rPr>
        <w:lastRenderedPageBreak/>
        <w:t>Obligados del Estado de México y Municipios</w:t>
      </w:r>
      <w:r w:rsidRPr="00192B4E">
        <w:rPr>
          <w:rFonts w:ascii="Palatino Linotype" w:eastAsia="Calibri" w:hAnsi="Palatino Linotype"/>
          <w:lang w:val="es-ES" w:eastAsia="es-ES"/>
        </w:rPr>
        <w:t xml:space="preserve">; y 10, 7, 9 fracciones I y XXIV, y 11 del </w:t>
      </w:r>
      <w:r w:rsidRPr="00192B4E">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4302270F" w14:textId="77777777" w:rsidR="00DC64EA" w:rsidRPr="00192B4E" w:rsidRDefault="00DC64EA" w:rsidP="00DC64EA">
      <w:pPr>
        <w:spacing w:line="360" w:lineRule="auto"/>
        <w:contextualSpacing/>
        <w:jc w:val="both"/>
        <w:rPr>
          <w:rFonts w:ascii="Palatino Linotype" w:eastAsiaTheme="minorEastAsia" w:hAnsi="Palatino Linotype"/>
          <w:lang w:val="es-ES_tradnl" w:eastAsia="es-ES"/>
        </w:rPr>
      </w:pPr>
    </w:p>
    <w:p w14:paraId="44A1408B" w14:textId="77777777" w:rsidR="00DC64EA" w:rsidRPr="00192B4E" w:rsidRDefault="00DC64EA" w:rsidP="00DC64EA">
      <w:pPr>
        <w:keepNext/>
        <w:keepLines/>
        <w:spacing w:line="360" w:lineRule="auto"/>
        <w:outlineLvl w:val="1"/>
        <w:rPr>
          <w:rFonts w:ascii="Palatino Linotype" w:eastAsiaTheme="majorEastAsia" w:hAnsi="Palatino Linotype" w:cstheme="majorBidi"/>
          <w:b/>
          <w:szCs w:val="26"/>
        </w:rPr>
      </w:pPr>
      <w:bookmarkStart w:id="6" w:name="_Toc83301636"/>
      <w:r w:rsidRPr="00192B4E">
        <w:rPr>
          <w:rFonts w:ascii="Palatino Linotype" w:eastAsiaTheme="majorEastAsia" w:hAnsi="Palatino Linotype" w:cstheme="majorBidi"/>
          <w:b/>
          <w:szCs w:val="26"/>
        </w:rPr>
        <w:t>SEGUNDO. De la oportunidad y procedencia.</w:t>
      </w:r>
      <w:bookmarkEnd w:id="6"/>
    </w:p>
    <w:p w14:paraId="7935E305" w14:textId="77777777" w:rsidR="00DC64EA" w:rsidRPr="00192B4E" w:rsidRDefault="00DC64EA" w:rsidP="00DC64EA">
      <w:pPr>
        <w:spacing w:line="360" w:lineRule="auto"/>
        <w:rPr>
          <w:rFonts w:ascii="Palatino Linotype" w:eastAsiaTheme="minorEastAsia" w:hAnsi="Palatino Linotype"/>
        </w:rPr>
      </w:pPr>
    </w:p>
    <w:p w14:paraId="23531E72" w14:textId="55ED7DE5" w:rsidR="00DC64EA" w:rsidRPr="00841C07" w:rsidRDefault="00DC64EA" w:rsidP="00DC64E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libri" w:hAnsi="Palatino Linotype" w:cs="Arial"/>
          <w:lang w:val="es-ES_tradnl" w:eastAsia="es-ES"/>
        </w:rPr>
        <w:t xml:space="preserve">El medio de impugnación fue presentado a través del </w:t>
      </w:r>
      <w:r w:rsidRPr="00192B4E">
        <w:rPr>
          <w:rFonts w:ascii="Palatino Linotype" w:eastAsia="Calibri" w:hAnsi="Palatino Linotype" w:cs="Arial"/>
          <w:b/>
          <w:lang w:val="es-ES_tradnl" w:eastAsia="es-ES"/>
        </w:rPr>
        <w:t>SAIMEX,</w:t>
      </w:r>
      <w:r w:rsidRPr="00192B4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92B4E">
        <w:rPr>
          <w:rFonts w:ascii="Palatino Linotype" w:eastAsia="Calibri" w:hAnsi="Palatino Linotype" w:cs="Arial"/>
          <w:b/>
          <w:lang w:val="es-ES_tradnl" w:eastAsia="es-ES"/>
        </w:rPr>
        <w:t>SUJETO OBLIGADO</w:t>
      </w:r>
      <w:r w:rsidR="00803D44">
        <w:rPr>
          <w:rFonts w:ascii="Palatino Linotype" w:eastAsia="Calibri" w:hAnsi="Palatino Linotype" w:cs="Arial"/>
          <w:b/>
          <w:lang w:val="es-ES_tradnl" w:eastAsia="es-ES"/>
        </w:rPr>
        <w:t>,</w:t>
      </w:r>
      <w:r w:rsidRPr="00192B4E">
        <w:rPr>
          <w:rFonts w:ascii="Palatino Linotype" w:eastAsia="Calibri" w:hAnsi="Palatino Linotype" w:cs="Arial"/>
          <w:lang w:val="es-ES_tradnl" w:eastAsia="es-ES"/>
        </w:rPr>
        <w:t xml:space="preserve"> entregó respuesta a la solicitud el </w:t>
      </w:r>
      <w:r w:rsidR="002F0BFB">
        <w:rPr>
          <w:rFonts w:ascii="Palatino Linotype" w:eastAsia="Calibri" w:hAnsi="Palatino Linotype" w:cs="Arial"/>
          <w:lang w:val="es-ES_tradnl" w:eastAsia="es-ES"/>
        </w:rPr>
        <w:t>treinta</w:t>
      </w:r>
      <w:r w:rsidR="00132D7A">
        <w:rPr>
          <w:rFonts w:ascii="Palatino Linotype" w:eastAsia="Calibri" w:hAnsi="Palatino Linotype" w:cs="Arial"/>
          <w:lang w:val="es-ES_tradnl" w:eastAsia="es-ES"/>
        </w:rPr>
        <w:t xml:space="preserve"> (</w:t>
      </w:r>
      <w:r w:rsidR="002F0BFB">
        <w:rPr>
          <w:rFonts w:ascii="Palatino Linotype" w:eastAsia="Calibri" w:hAnsi="Palatino Linotype" w:cs="Arial"/>
          <w:lang w:val="es-ES_tradnl" w:eastAsia="es-ES"/>
        </w:rPr>
        <w:t>30</w:t>
      </w:r>
      <w:r w:rsidR="00132D7A">
        <w:rPr>
          <w:rFonts w:ascii="Palatino Linotype" w:eastAsia="Calibri" w:hAnsi="Palatino Linotype" w:cs="Arial"/>
          <w:lang w:val="es-ES_tradnl" w:eastAsia="es-ES"/>
        </w:rPr>
        <w:t xml:space="preserve">) de </w:t>
      </w:r>
      <w:r w:rsidR="002F0BFB">
        <w:rPr>
          <w:rFonts w:ascii="Palatino Linotype" w:eastAsia="Calibri" w:hAnsi="Palatino Linotype" w:cs="Arial"/>
          <w:lang w:val="es-ES_tradnl" w:eastAsia="es-ES"/>
        </w:rPr>
        <w:t>enero</w:t>
      </w:r>
      <w:r w:rsidR="00132D7A">
        <w:rPr>
          <w:rFonts w:ascii="Palatino Linotype" w:eastAsia="Calibri" w:hAnsi="Palatino Linotype" w:cs="Arial"/>
          <w:lang w:val="es-ES_tradnl" w:eastAsia="es-ES"/>
        </w:rPr>
        <w:t xml:space="preserve"> de dos mil veinti</w:t>
      </w:r>
      <w:r w:rsidR="002F0BFB">
        <w:rPr>
          <w:rFonts w:ascii="Palatino Linotype" w:eastAsia="Calibri" w:hAnsi="Palatino Linotype" w:cs="Arial"/>
          <w:lang w:val="es-ES_tradnl" w:eastAsia="es-ES"/>
        </w:rPr>
        <w:t>trés</w:t>
      </w:r>
      <w:r w:rsidRPr="00192B4E">
        <w:rPr>
          <w:rFonts w:ascii="Palatino Linotype" w:eastAsia="Calibri" w:hAnsi="Palatino Linotype" w:cs="Arial"/>
          <w:lang w:val="es-ES_tradnl" w:eastAsia="es-ES"/>
        </w:rPr>
        <w:t xml:space="preserve">, </w:t>
      </w:r>
      <w:r w:rsidRPr="00192B4E">
        <w:rPr>
          <w:rFonts w:ascii="Palatino Linotype" w:eastAsiaTheme="minorEastAsia" w:hAnsi="Palatino Linotype" w:cs="Arial"/>
          <w:lang w:val="es-ES_tradnl" w:eastAsia="es-ES"/>
        </w:rPr>
        <w:t xml:space="preserve">de tal forma que el plazo para interponer el recurso de revisión transcurrió del </w:t>
      </w:r>
      <w:r w:rsidR="002F0BFB">
        <w:rPr>
          <w:rFonts w:ascii="Palatino Linotype" w:eastAsiaTheme="minorEastAsia" w:hAnsi="Palatino Linotype" w:cs="Arial"/>
          <w:lang w:val="es-ES_tradnl" w:eastAsia="es-ES"/>
        </w:rPr>
        <w:t>treinta y uno</w:t>
      </w:r>
      <w:r w:rsidR="00132D7A">
        <w:rPr>
          <w:rFonts w:ascii="Palatino Linotype" w:eastAsiaTheme="minorEastAsia" w:hAnsi="Palatino Linotype" w:cs="Arial"/>
          <w:lang w:val="es-ES_tradnl" w:eastAsia="es-ES"/>
        </w:rPr>
        <w:t xml:space="preserve"> (</w:t>
      </w:r>
      <w:r w:rsidR="002F0BFB">
        <w:rPr>
          <w:rFonts w:ascii="Palatino Linotype" w:eastAsiaTheme="minorEastAsia" w:hAnsi="Palatino Linotype" w:cs="Arial"/>
          <w:lang w:val="es-ES_tradnl" w:eastAsia="es-ES"/>
        </w:rPr>
        <w:t>31</w:t>
      </w:r>
      <w:r w:rsidR="00132D7A">
        <w:rPr>
          <w:rFonts w:ascii="Palatino Linotype" w:eastAsiaTheme="minorEastAsia" w:hAnsi="Palatino Linotype" w:cs="Arial"/>
          <w:lang w:val="es-ES_tradnl" w:eastAsia="es-ES"/>
        </w:rPr>
        <w:t xml:space="preserve">) </w:t>
      </w:r>
      <w:r w:rsidR="002F0BFB">
        <w:rPr>
          <w:rFonts w:ascii="Palatino Linotype" w:eastAsiaTheme="minorEastAsia" w:hAnsi="Palatino Linotype" w:cs="Arial"/>
          <w:lang w:val="es-ES_tradnl" w:eastAsia="es-ES"/>
        </w:rPr>
        <w:t xml:space="preserve">de enero </w:t>
      </w:r>
      <w:r w:rsidR="00132D7A">
        <w:rPr>
          <w:rFonts w:ascii="Palatino Linotype" w:eastAsiaTheme="minorEastAsia" w:hAnsi="Palatino Linotype" w:cs="Arial"/>
          <w:lang w:val="es-ES_tradnl" w:eastAsia="es-ES"/>
        </w:rPr>
        <w:t>al veinti</w:t>
      </w:r>
      <w:r w:rsidR="002F0BFB">
        <w:rPr>
          <w:rFonts w:ascii="Palatino Linotype" w:eastAsiaTheme="minorEastAsia" w:hAnsi="Palatino Linotype" w:cs="Arial"/>
          <w:lang w:val="es-ES_tradnl" w:eastAsia="es-ES"/>
        </w:rPr>
        <w:t xml:space="preserve">uno </w:t>
      </w:r>
      <w:r w:rsidR="00132D7A">
        <w:rPr>
          <w:rFonts w:ascii="Palatino Linotype" w:eastAsiaTheme="minorEastAsia" w:hAnsi="Palatino Linotype" w:cs="Arial"/>
          <w:lang w:val="es-ES_tradnl" w:eastAsia="es-ES"/>
        </w:rPr>
        <w:t>(2</w:t>
      </w:r>
      <w:r w:rsidR="002F0BFB">
        <w:rPr>
          <w:rFonts w:ascii="Palatino Linotype" w:eastAsiaTheme="minorEastAsia" w:hAnsi="Palatino Linotype" w:cs="Arial"/>
          <w:lang w:val="es-ES_tradnl" w:eastAsia="es-ES"/>
        </w:rPr>
        <w:t>1</w:t>
      </w:r>
      <w:r w:rsidR="00132D7A">
        <w:rPr>
          <w:rFonts w:ascii="Palatino Linotype" w:eastAsiaTheme="minorEastAsia" w:hAnsi="Palatino Linotype" w:cs="Arial"/>
          <w:lang w:val="es-ES_tradnl" w:eastAsia="es-ES"/>
        </w:rPr>
        <w:t xml:space="preserve">) de </w:t>
      </w:r>
      <w:r w:rsidR="002F0BFB">
        <w:rPr>
          <w:rFonts w:ascii="Palatino Linotype" w:eastAsiaTheme="minorEastAsia" w:hAnsi="Palatino Linotype" w:cs="Arial"/>
          <w:lang w:val="es-ES_tradnl" w:eastAsia="es-ES"/>
        </w:rPr>
        <w:t>febrero</w:t>
      </w:r>
      <w:r w:rsidR="00132D7A">
        <w:rPr>
          <w:rFonts w:ascii="Palatino Linotype" w:eastAsiaTheme="minorEastAsia" w:hAnsi="Palatino Linotype" w:cs="Arial"/>
          <w:lang w:val="es-ES_tradnl" w:eastAsia="es-ES"/>
        </w:rPr>
        <w:t xml:space="preserve"> de dos mil veinti</w:t>
      </w:r>
      <w:r w:rsidR="002F0BFB">
        <w:rPr>
          <w:rFonts w:ascii="Palatino Linotype" w:eastAsiaTheme="minorEastAsia" w:hAnsi="Palatino Linotype" w:cs="Arial"/>
          <w:lang w:val="es-ES_tradnl" w:eastAsia="es-ES"/>
        </w:rPr>
        <w:t>trés</w:t>
      </w:r>
      <w:r w:rsidRPr="00192B4E">
        <w:rPr>
          <w:rFonts w:ascii="Palatino Linotype" w:eastAsiaTheme="minorEastAsia" w:hAnsi="Palatino Linotype" w:cs="Arial"/>
          <w:lang w:val="es-ES_tradnl" w:eastAsia="es-ES"/>
        </w:rPr>
        <w:t xml:space="preserve">; en consecuencia, presentó su inconformidad el día </w:t>
      </w:r>
      <w:r w:rsidR="002F0BFB">
        <w:rPr>
          <w:rFonts w:ascii="Palatino Linotype" w:eastAsiaTheme="minorEastAsia" w:hAnsi="Palatino Linotype" w:cs="Arial"/>
          <w:lang w:val="es-ES_tradnl" w:eastAsia="es-ES"/>
        </w:rPr>
        <w:t xml:space="preserve">ocho </w:t>
      </w:r>
      <w:r w:rsidR="00132D7A">
        <w:rPr>
          <w:rFonts w:ascii="Palatino Linotype" w:eastAsiaTheme="minorEastAsia" w:hAnsi="Palatino Linotype" w:cs="Arial"/>
          <w:lang w:val="es-ES_tradnl" w:eastAsia="es-ES"/>
        </w:rPr>
        <w:t>(</w:t>
      </w:r>
      <w:r w:rsidR="002F0BFB">
        <w:rPr>
          <w:rFonts w:ascii="Palatino Linotype" w:eastAsiaTheme="minorEastAsia" w:hAnsi="Palatino Linotype" w:cs="Arial"/>
          <w:lang w:val="es-ES_tradnl" w:eastAsia="es-ES"/>
        </w:rPr>
        <w:t>08</w:t>
      </w:r>
      <w:r w:rsidR="00132D7A">
        <w:rPr>
          <w:rFonts w:ascii="Palatino Linotype" w:eastAsiaTheme="minorEastAsia" w:hAnsi="Palatino Linotype" w:cs="Arial"/>
          <w:lang w:val="es-ES_tradnl" w:eastAsia="es-ES"/>
        </w:rPr>
        <w:t xml:space="preserve">) de </w:t>
      </w:r>
      <w:r w:rsidR="002F0BFB">
        <w:rPr>
          <w:rFonts w:ascii="Palatino Linotype" w:eastAsiaTheme="minorEastAsia" w:hAnsi="Palatino Linotype" w:cs="Arial"/>
          <w:lang w:val="es-ES_tradnl" w:eastAsia="es-ES"/>
        </w:rPr>
        <w:t>febrero</w:t>
      </w:r>
      <w:r w:rsidR="00132D7A">
        <w:rPr>
          <w:rFonts w:ascii="Palatino Linotype" w:eastAsiaTheme="minorEastAsia" w:hAnsi="Palatino Linotype" w:cs="Arial"/>
          <w:lang w:val="es-ES_tradnl" w:eastAsia="es-ES"/>
        </w:rPr>
        <w:t xml:space="preserve"> de dos mil veinti</w:t>
      </w:r>
      <w:r w:rsidR="002F0BFB">
        <w:rPr>
          <w:rFonts w:ascii="Palatino Linotype" w:eastAsiaTheme="minorEastAsia" w:hAnsi="Palatino Linotype" w:cs="Arial"/>
          <w:lang w:val="es-ES_tradnl" w:eastAsia="es-ES"/>
        </w:rPr>
        <w:t>trés</w:t>
      </w:r>
      <w:r w:rsidRPr="00192B4E">
        <w:rPr>
          <w:rFonts w:ascii="Palatino Linotype" w:eastAsiaTheme="minorEastAsia" w:hAnsi="Palatino Linotype" w:cs="Arial"/>
          <w:lang w:val="es-ES_tradnl" w:eastAsia="es-ES"/>
        </w:rPr>
        <w:t xml:space="preserve">, por lo que se encuentra dentro de los márgenes temporales previstos en el artículo 178 de la </w:t>
      </w:r>
      <w:r w:rsidRPr="00192B4E">
        <w:rPr>
          <w:rFonts w:ascii="Palatino Linotype" w:eastAsiaTheme="minorEastAsia" w:hAnsi="Palatino Linotype" w:cs="Arial"/>
          <w:b/>
          <w:lang w:val="es-ES_tradnl" w:eastAsia="es-ES"/>
        </w:rPr>
        <w:t xml:space="preserve">Ley de Transparencia y Acceso a la Información Pública del Estado de México y Municipios </w:t>
      </w:r>
      <w:r w:rsidRPr="00192B4E">
        <w:rPr>
          <w:rFonts w:ascii="Palatino Linotype" w:eastAsiaTheme="minorEastAsia" w:hAnsi="Palatino Linotype" w:cs="Arial"/>
          <w:lang w:val="es-ES_tradnl" w:eastAsia="es-ES"/>
        </w:rPr>
        <w:t>vigente.</w:t>
      </w:r>
    </w:p>
    <w:p w14:paraId="133C1310" w14:textId="77777777" w:rsidR="002F0BFB" w:rsidRPr="002F0BFB" w:rsidRDefault="002F0BFB" w:rsidP="002F0BFB">
      <w:pPr>
        <w:spacing w:line="360" w:lineRule="auto"/>
        <w:ind w:right="49"/>
        <w:contextualSpacing/>
        <w:jc w:val="both"/>
        <w:rPr>
          <w:rFonts w:ascii="Palatino Linotype" w:eastAsiaTheme="minorEastAsia" w:hAnsi="Palatino Linotype"/>
          <w:lang w:val="es-ES_tradnl" w:eastAsia="es-ES"/>
        </w:rPr>
      </w:pPr>
    </w:p>
    <w:p w14:paraId="5D4FA488" w14:textId="0D29AF70" w:rsidR="00DC64EA" w:rsidRPr="00192B4E" w:rsidRDefault="00DC64EA" w:rsidP="00DC64E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5367DE15" w14:textId="77777777" w:rsidR="00DC64EA" w:rsidRPr="00192B4E" w:rsidRDefault="00DC64EA" w:rsidP="00DC64EA">
      <w:pPr>
        <w:spacing w:line="360" w:lineRule="auto"/>
        <w:ind w:right="49"/>
        <w:contextualSpacing/>
        <w:jc w:val="both"/>
        <w:rPr>
          <w:rFonts w:ascii="Palatino Linotype" w:eastAsia="MS Gothic" w:hAnsi="Palatino Linotype" w:cstheme="majorBidi"/>
          <w:lang w:eastAsia="es-ES"/>
        </w:rPr>
      </w:pPr>
      <w:bookmarkStart w:id="10" w:name="_Toc65713731"/>
      <w:bookmarkStart w:id="11" w:name="_Toc94119614"/>
    </w:p>
    <w:p w14:paraId="52BF9BF4" w14:textId="77777777" w:rsidR="00DC64EA" w:rsidRPr="00841C07" w:rsidRDefault="00DC64EA" w:rsidP="00DC64EA">
      <w:pPr>
        <w:keepNext/>
        <w:keepLines/>
        <w:spacing w:before="240" w:line="360" w:lineRule="auto"/>
        <w:outlineLvl w:val="0"/>
        <w:rPr>
          <w:rFonts w:ascii="Palatino Linotype" w:eastAsiaTheme="majorEastAsia" w:hAnsi="Palatino Linotype" w:cstheme="majorBidi"/>
          <w:b/>
          <w:szCs w:val="32"/>
        </w:rPr>
      </w:pPr>
      <w:bookmarkStart w:id="12" w:name="_Toc82017149"/>
      <w:bookmarkStart w:id="13" w:name="_Toc497905366"/>
      <w:bookmarkStart w:id="14" w:name="_Toc495427547"/>
      <w:bookmarkStart w:id="15" w:name="_Toc466377653"/>
      <w:bookmarkStart w:id="16" w:name="_Toc466371865"/>
      <w:bookmarkEnd w:id="7"/>
      <w:bookmarkEnd w:id="8"/>
      <w:bookmarkEnd w:id="9"/>
      <w:bookmarkEnd w:id="10"/>
      <w:bookmarkEnd w:id="11"/>
      <w:r w:rsidRPr="00C81126">
        <w:rPr>
          <w:rFonts w:ascii="Palatino Linotype" w:eastAsiaTheme="majorEastAsia" w:hAnsi="Palatino Linotype" w:cstheme="majorBidi"/>
          <w:b/>
          <w:szCs w:val="32"/>
        </w:rPr>
        <w:t>TERCERO. De las causales del sobreseimiento.</w:t>
      </w:r>
      <w:bookmarkEnd w:id="12"/>
    </w:p>
    <w:p w14:paraId="1BCEAEB1" w14:textId="77777777" w:rsidR="00A21C56" w:rsidRPr="00A21C56" w:rsidRDefault="00DC64EA" w:rsidP="00A21C56">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50481C">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w:t>
      </w:r>
      <w:r w:rsidRPr="0050481C">
        <w:rPr>
          <w:rFonts w:ascii="Palatino Linotype" w:hAnsi="Palatino Linotype" w:cs="Arial"/>
          <w:sz w:val="24"/>
          <w:szCs w:val="23"/>
        </w:rPr>
        <w:lastRenderedPageBreak/>
        <w:t xml:space="preserve">de </w:t>
      </w:r>
      <w:r w:rsidRPr="0050481C">
        <w:rPr>
          <w:rFonts w:ascii="Palatino Linotype" w:eastAsia="Calibri" w:hAnsi="Palatino Linotype" w:cs="Arial"/>
          <w:sz w:val="24"/>
        </w:rPr>
        <w:t>Transparencia, Acceso a la Información Pública del Estado de México y Municipios</w:t>
      </w:r>
      <w:r w:rsidRPr="0050481C">
        <w:rPr>
          <w:rFonts w:ascii="Palatino Linotype" w:hAnsi="Palatino Linotype" w:cs="Arial"/>
          <w:sz w:val="24"/>
          <w:szCs w:val="23"/>
        </w:rPr>
        <w:t xml:space="preserve">, y determinar la confirmación; revocación o modificación; </w:t>
      </w:r>
      <w:proofErr w:type="spellStart"/>
      <w:r w:rsidRPr="0050481C">
        <w:rPr>
          <w:rFonts w:ascii="Palatino Linotype" w:hAnsi="Palatino Linotype" w:cs="Arial"/>
          <w:sz w:val="24"/>
          <w:szCs w:val="23"/>
        </w:rPr>
        <w:t>desechamiento</w:t>
      </w:r>
      <w:proofErr w:type="spellEnd"/>
      <w:r w:rsidRPr="0050481C">
        <w:rPr>
          <w:rFonts w:ascii="Palatino Linotype" w:hAnsi="Palatino Linotype" w:cs="Arial"/>
          <w:sz w:val="24"/>
          <w:szCs w:val="23"/>
        </w:rPr>
        <w:t xml:space="preserve"> o </w:t>
      </w:r>
      <w:r w:rsidRPr="00803D44">
        <w:rPr>
          <w:rFonts w:ascii="Palatino Linotype" w:hAnsi="Palatino Linotype" w:cs="Arial"/>
          <w:sz w:val="24"/>
          <w:szCs w:val="23"/>
        </w:rPr>
        <w:t>sobreseimiento</w:t>
      </w:r>
      <w:r w:rsidRPr="0050481C">
        <w:rPr>
          <w:rFonts w:ascii="Palatino Linotype" w:hAnsi="Palatino Linotype" w:cs="Arial"/>
          <w:sz w:val="24"/>
          <w:szCs w:val="23"/>
        </w:rPr>
        <w:t xml:space="preserve">; y, en su caso, ordenar la entrega de la información respecto a la falta de respuesta por parte del </w:t>
      </w:r>
      <w:r w:rsidRPr="0050481C">
        <w:rPr>
          <w:rFonts w:ascii="Palatino Linotype" w:hAnsi="Palatino Linotype" w:cs="Arial"/>
          <w:b/>
          <w:sz w:val="24"/>
          <w:szCs w:val="23"/>
        </w:rPr>
        <w:t>SUJETO</w:t>
      </w:r>
      <w:r w:rsidRPr="0050481C">
        <w:rPr>
          <w:rFonts w:ascii="Palatino Linotype" w:hAnsi="Palatino Linotype" w:cs="Arial"/>
          <w:sz w:val="24"/>
          <w:szCs w:val="23"/>
        </w:rPr>
        <w:t xml:space="preserve"> </w:t>
      </w:r>
      <w:r w:rsidRPr="0050481C">
        <w:rPr>
          <w:rFonts w:ascii="Palatino Linotype" w:hAnsi="Palatino Linotype" w:cs="Arial"/>
          <w:b/>
          <w:sz w:val="24"/>
          <w:szCs w:val="23"/>
        </w:rPr>
        <w:t>OBLIGADO</w:t>
      </w:r>
      <w:r w:rsidRPr="0050481C">
        <w:rPr>
          <w:rFonts w:ascii="Palatino Linotype" w:hAnsi="Palatino Linotype" w:cs="Arial"/>
          <w:sz w:val="24"/>
          <w:szCs w:val="23"/>
        </w:rPr>
        <w:t>.</w:t>
      </w:r>
    </w:p>
    <w:p w14:paraId="631087FA" w14:textId="77777777" w:rsidR="00A21C56" w:rsidRPr="00A21C56" w:rsidRDefault="00A21C56" w:rsidP="00A21C56">
      <w:pPr>
        <w:pStyle w:val="Prrafodelista"/>
        <w:tabs>
          <w:tab w:val="left" w:pos="284"/>
          <w:tab w:val="left" w:pos="426"/>
        </w:tabs>
        <w:spacing w:before="240" w:after="240" w:line="360" w:lineRule="auto"/>
        <w:ind w:left="0" w:right="49"/>
        <w:jc w:val="both"/>
        <w:rPr>
          <w:rFonts w:ascii="Palatino Linotype" w:hAnsi="Palatino Linotype" w:cs="Arial"/>
          <w:sz w:val="24"/>
        </w:rPr>
      </w:pPr>
    </w:p>
    <w:p w14:paraId="0C3D6D32" w14:textId="30C233C2" w:rsidR="00A21C56" w:rsidRPr="00A21C56" w:rsidRDefault="00A21C56" w:rsidP="00A21C56">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8"/>
        </w:rPr>
      </w:pPr>
      <w:r w:rsidRPr="00A21C56">
        <w:rPr>
          <w:rFonts w:ascii="Palatino Linotype" w:hAnsi="Palatino Linotype"/>
          <w:sz w:val="24"/>
        </w:rPr>
        <w:t>En primer término es necesario referir la solicitud de información ya que de</w:t>
      </w:r>
      <w:r w:rsidRPr="00A21C56">
        <w:rPr>
          <w:rFonts w:ascii="Palatino Linotype" w:hAnsi="Palatino Linotype"/>
          <w:spacing w:val="1"/>
          <w:sz w:val="24"/>
        </w:rPr>
        <w:t xml:space="preserve"> </w:t>
      </w:r>
      <w:r w:rsidRPr="00A21C56">
        <w:rPr>
          <w:rFonts w:ascii="Palatino Linotype" w:hAnsi="Palatino Linotype"/>
          <w:sz w:val="24"/>
        </w:rPr>
        <w:t xml:space="preserve">ella deriva por un lado el procedimiento de acceso a la información ante </w:t>
      </w:r>
      <w:r w:rsidRPr="00A21C56">
        <w:rPr>
          <w:rFonts w:ascii="Palatino Linotype" w:hAnsi="Palatino Linotype"/>
          <w:b/>
          <w:sz w:val="24"/>
        </w:rPr>
        <w:t>EL SUJETO</w:t>
      </w:r>
      <w:r w:rsidRPr="00A21C56">
        <w:rPr>
          <w:rFonts w:ascii="Palatino Linotype" w:hAnsi="Palatino Linotype"/>
          <w:b/>
          <w:spacing w:val="1"/>
          <w:sz w:val="24"/>
        </w:rPr>
        <w:t xml:space="preserve"> </w:t>
      </w:r>
      <w:r w:rsidRPr="00A21C56">
        <w:rPr>
          <w:rFonts w:ascii="Palatino Linotype" w:hAnsi="Palatino Linotype"/>
          <w:b/>
          <w:sz w:val="24"/>
        </w:rPr>
        <w:t>OBLIGADO</w:t>
      </w:r>
      <w:r w:rsidRPr="00A21C56">
        <w:rPr>
          <w:rFonts w:ascii="Palatino Linotype" w:hAnsi="Palatino Linotype"/>
          <w:sz w:val="24"/>
        </w:rPr>
        <w:t>, y por otro lado el tema sobre el que versara el estudio y resolución del presente Recurso de Revisión ante</w:t>
      </w:r>
      <w:r w:rsidRPr="00A21C56">
        <w:rPr>
          <w:rFonts w:ascii="Palatino Linotype" w:hAnsi="Palatino Linotype"/>
          <w:spacing w:val="1"/>
          <w:sz w:val="24"/>
        </w:rPr>
        <w:t xml:space="preserve"> </w:t>
      </w:r>
      <w:r w:rsidRPr="00A21C56">
        <w:rPr>
          <w:rFonts w:ascii="Palatino Linotype" w:hAnsi="Palatino Linotype"/>
          <w:sz w:val="24"/>
        </w:rPr>
        <w:t>este Órgano Garante; siendo indispensable resaltar la innegable necesidad de señalar el texto de la</w:t>
      </w:r>
      <w:r w:rsidRPr="00A21C56">
        <w:rPr>
          <w:rFonts w:ascii="Palatino Linotype" w:hAnsi="Palatino Linotype"/>
          <w:spacing w:val="1"/>
          <w:sz w:val="24"/>
        </w:rPr>
        <w:t xml:space="preserve"> </w:t>
      </w:r>
      <w:r w:rsidRPr="00A21C56">
        <w:rPr>
          <w:rFonts w:ascii="Palatino Linotype" w:hAnsi="Palatino Linotype"/>
          <w:sz w:val="24"/>
        </w:rPr>
        <w:t>solicitud, porque no se podría entender el derecho de Acceso a la Información sin la</w:t>
      </w:r>
      <w:r w:rsidRPr="00A21C56">
        <w:rPr>
          <w:rFonts w:ascii="Palatino Linotype" w:hAnsi="Palatino Linotype"/>
          <w:spacing w:val="1"/>
          <w:sz w:val="24"/>
        </w:rPr>
        <w:t xml:space="preserve"> </w:t>
      </w:r>
      <w:r w:rsidRPr="00A21C56">
        <w:rPr>
          <w:rFonts w:ascii="Palatino Linotype" w:hAnsi="Palatino Linotype"/>
          <w:sz w:val="24"/>
        </w:rPr>
        <w:t>existencia de solicitudes de información, ya que éste es el objeto de la transparencia específica en cada Recurso de Revisión;</w:t>
      </w:r>
      <w:r w:rsidRPr="00A21C56">
        <w:rPr>
          <w:rFonts w:ascii="Palatino Linotype" w:hAnsi="Palatino Linotype"/>
          <w:spacing w:val="1"/>
          <w:sz w:val="24"/>
        </w:rPr>
        <w:t xml:space="preserve"> </w:t>
      </w:r>
      <w:r w:rsidRPr="00A21C56">
        <w:rPr>
          <w:rFonts w:ascii="Palatino Linotype" w:hAnsi="Palatino Linotype"/>
          <w:sz w:val="24"/>
        </w:rPr>
        <w:t>por ello es de notoria importancia el trabajo de interpretación que</w:t>
      </w:r>
      <w:r w:rsidRPr="00A21C56">
        <w:rPr>
          <w:rFonts w:ascii="Palatino Linotype" w:hAnsi="Palatino Linotype"/>
          <w:spacing w:val="1"/>
          <w:sz w:val="24"/>
        </w:rPr>
        <w:t xml:space="preserve"> </w:t>
      </w:r>
      <w:r w:rsidRPr="00A21C56">
        <w:rPr>
          <w:rFonts w:ascii="Palatino Linotype" w:hAnsi="Palatino Linotype"/>
          <w:sz w:val="24"/>
        </w:rPr>
        <w:t>se le dé</w:t>
      </w:r>
      <w:r w:rsidR="00803D44">
        <w:rPr>
          <w:rFonts w:ascii="Palatino Linotype" w:hAnsi="Palatino Linotype"/>
          <w:sz w:val="24"/>
        </w:rPr>
        <w:t xml:space="preserve"> a una solicitud de información</w:t>
      </w:r>
      <w:r w:rsidRPr="00A21C56">
        <w:rPr>
          <w:rFonts w:ascii="Palatino Linotype" w:hAnsi="Palatino Linotype"/>
          <w:sz w:val="24"/>
        </w:rPr>
        <w:t xml:space="preserve"> ya que </w:t>
      </w:r>
      <w:r w:rsidRPr="00A21C56">
        <w:rPr>
          <w:rFonts w:ascii="Palatino Linotype" w:hAnsi="Palatino Linotype"/>
          <w:b/>
          <w:sz w:val="24"/>
        </w:rPr>
        <w:t>EL SUJETO OBLIGADO</w:t>
      </w:r>
      <w:r w:rsidR="00803D44">
        <w:rPr>
          <w:rFonts w:ascii="Palatino Linotype" w:hAnsi="Palatino Linotype"/>
          <w:b/>
          <w:sz w:val="24"/>
        </w:rPr>
        <w:t>,</w:t>
      </w:r>
      <w:r w:rsidRPr="00A21C56">
        <w:rPr>
          <w:rFonts w:ascii="Palatino Linotype" w:hAnsi="Palatino Linotype"/>
          <w:b/>
          <w:sz w:val="24"/>
        </w:rPr>
        <w:t xml:space="preserve"> </w:t>
      </w:r>
      <w:r w:rsidRPr="00A21C56">
        <w:rPr>
          <w:rFonts w:ascii="Palatino Linotype" w:hAnsi="Palatino Linotype"/>
          <w:sz w:val="24"/>
        </w:rPr>
        <w:t>puede considerar</w:t>
      </w:r>
      <w:r w:rsidRPr="00A21C56">
        <w:rPr>
          <w:rFonts w:ascii="Palatino Linotype" w:hAnsi="Palatino Linotype"/>
          <w:spacing w:val="1"/>
          <w:sz w:val="24"/>
        </w:rPr>
        <w:t xml:space="preserve"> </w:t>
      </w:r>
      <w:r w:rsidRPr="00A21C56">
        <w:rPr>
          <w:rFonts w:ascii="Palatino Linotype" w:hAnsi="Palatino Linotype"/>
          <w:sz w:val="24"/>
        </w:rPr>
        <w:t>una</w:t>
      </w:r>
      <w:r w:rsidRPr="00A21C56">
        <w:rPr>
          <w:rFonts w:ascii="Palatino Linotype" w:hAnsi="Palatino Linotype"/>
          <w:spacing w:val="-2"/>
          <w:sz w:val="24"/>
        </w:rPr>
        <w:t xml:space="preserve"> </w:t>
      </w:r>
      <w:r w:rsidRPr="00A21C56">
        <w:rPr>
          <w:rFonts w:ascii="Palatino Linotype" w:hAnsi="Palatino Linotype"/>
          <w:sz w:val="24"/>
        </w:rPr>
        <w:t>circunstancia</w:t>
      </w:r>
      <w:r w:rsidRPr="00A21C56">
        <w:rPr>
          <w:rFonts w:ascii="Palatino Linotype" w:hAnsi="Palatino Linotype"/>
          <w:spacing w:val="-2"/>
          <w:sz w:val="24"/>
        </w:rPr>
        <w:t xml:space="preserve"> </w:t>
      </w:r>
      <w:r w:rsidRPr="00A21C56">
        <w:rPr>
          <w:rFonts w:ascii="Palatino Linotype" w:hAnsi="Palatino Linotype"/>
          <w:sz w:val="24"/>
        </w:rPr>
        <w:t>en</w:t>
      </w:r>
      <w:r w:rsidRPr="00A21C56">
        <w:rPr>
          <w:rFonts w:ascii="Palatino Linotype" w:hAnsi="Palatino Linotype"/>
          <w:spacing w:val="-2"/>
          <w:sz w:val="24"/>
        </w:rPr>
        <w:t xml:space="preserve"> </w:t>
      </w:r>
      <w:r w:rsidRPr="00A21C56">
        <w:rPr>
          <w:rFonts w:ascii="Palatino Linotype" w:hAnsi="Palatino Linotype"/>
          <w:sz w:val="24"/>
        </w:rPr>
        <w:t>particular</w:t>
      </w:r>
      <w:r w:rsidRPr="00A21C56">
        <w:rPr>
          <w:rFonts w:ascii="Palatino Linotype" w:hAnsi="Palatino Linotype"/>
          <w:spacing w:val="-2"/>
          <w:sz w:val="24"/>
        </w:rPr>
        <w:t xml:space="preserve"> </w:t>
      </w:r>
      <w:r w:rsidRPr="00A21C56">
        <w:rPr>
          <w:rFonts w:ascii="Palatino Linotype" w:hAnsi="Palatino Linotype"/>
          <w:sz w:val="24"/>
        </w:rPr>
        <w:t>diversa</w:t>
      </w:r>
      <w:r w:rsidRPr="00A21C56">
        <w:rPr>
          <w:rFonts w:ascii="Palatino Linotype" w:hAnsi="Palatino Linotype"/>
          <w:spacing w:val="-2"/>
          <w:sz w:val="24"/>
        </w:rPr>
        <w:t xml:space="preserve"> </w:t>
      </w:r>
      <w:r w:rsidRPr="00A21C56">
        <w:rPr>
          <w:rFonts w:ascii="Palatino Linotype" w:hAnsi="Palatino Linotype"/>
          <w:sz w:val="24"/>
        </w:rPr>
        <w:t>a</w:t>
      </w:r>
      <w:r w:rsidRPr="00A21C56">
        <w:rPr>
          <w:rFonts w:ascii="Palatino Linotype" w:hAnsi="Palatino Linotype"/>
          <w:spacing w:val="-2"/>
          <w:sz w:val="24"/>
        </w:rPr>
        <w:t xml:space="preserve"> </w:t>
      </w:r>
      <w:r w:rsidRPr="00A21C56">
        <w:rPr>
          <w:rFonts w:ascii="Palatino Linotype" w:hAnsi="Palatino Linotype"/>
          <w:sz w:val="24"/>
        </w:rPr>
        <w:t>la</w:t>
      </w:r>
      <w:r w:rsidRPr="00A21C56">
        <w:rPr>
          <w:rFonts w:ascii="Palatino Linotype" w:hAnsi="Palatino Linotype"/>
          <w:spacing w:val="-2"/>
          <w:sz w:val="24"/>
        </w:rPr>
        <w:t xml:space="preserve"> </w:t>
      </w:r>
      <w:r w:rsidRPr="00A21C56">
        <w:rPr>
          <w:rFonts w:ascii="Palatino Linotype" w:hAnsi="Palatino Linotype"/>
          <w:sz w:val="24"/>
        </w:rPr>
        <w:t>que</w:t>
      </w:r>
      <w:r w:rsidRPr="00A21C56">
        <w:rPr>
          <w:rFonts w:ascii="Palatino Linotype" w:hAnsi="Palatino Linotype"/>
          <w:spacing w:val="-2"/>
          <w:sz w:val="24"/>
        </w:rPr>
        <w:t xml:space="preserve"> </w:t>
      </w:r>
      <w:r w:rsidRPr="00A21C56">
        <w:rPr>
          <w:rFonts w:ascii="Palatino Linotype" w:hAnsi="Palatino Linotype"/>
          <w:sz w:val="24"/>
        </w:rPr>
        <w:t>el</w:t>
      </w:r>
      <w:r w:rsidRPr="00A21C56">
        <w:rPr>
          <w:rFonts w:ascii="Palatino Linotype" w:hAnsi="Palatino Linotype"/>
          <w:spacing w:val="-2"/>
          <w:sz w:val="24"/>
        </w:rPr>
        <w:t xml:space="preserve"> </w:t>
      </w:r>
      <w:r w:rsidRPr="00A21C56">
        <w:rPr>
          <w:rFonts w:ascii="Palatino Linotype" w:hAnsi="Palatino Linotype"/>
          <w:sz w:val="24"/>
        </w:rPr>
        <w:t>particular</w:t>
      </w:r>
      <w:r w:rsidRPr="00A21C56">
        <w:rPr>
          <w:rFonts w:ascii="Palatino Linotype" w:hAnsi="Palatino Linotype"/>
          <w:spacing w:val="-2"/>
          <w:sz w:val="24"/>
        </w:rPr>
        <w:t xml:space="preserve"> </w:t>
      </w:r>
      <w:r w:rsidRPr="00A21C56">
        <w:rPr>
          <w:rFonts w:ascii="Palatino Linotype" w:hAnsi="Palatino Linotype"/>
          <w:sz w:val="24"/>
        </w:rPr>
        <w:t>objetivamente</w:t>
      </w:r>
      <w:r w:rsidRPr="00A21C56">
        <w:rPr>
          <w:rFonts w:ascii="Palatino Linotype" w:hAnsi="Palatino Linotype"/>
          <w:spacing w:val="-2"/>
          <w:sz w:val="24"/>
        </w:rPr>
        <w:t xml:space="preserve"> </w:t>
      </w:r>
      <w:r w:rsidRPr="00A21C56">
        <w:rPr>
          <w:rFonts w:ascii="Palatino Linotype" w:hAnsi="Palatino Linotype"/>
          <w:sz w:val="24"/>
        </w:rPr>
        <w:t>requiere.</w:t>
      </w:r>
    </w:p>
    <w:p w14:paraId="2B92D5CE" w14:textId="77777777" w:rsidR="00A21C56" w:rsidRPr="00A21C56" w:rsidRDefault="00A21C56" w:rsidP="00A21C56">
      <w:pPr>
        <w:pStyle w:val="Prrafodelista"/>
        <w:tabs>
          <w:tab w:val="left" w:pos="284"/>
          <w:tab w:val="left" w:pos="426"/>
        </w:tabs>
        <w:spacing w:before="240" w:after="240" w:line="360" w:lineRule="auto"/>
        <w:ind w:left="0" w:right="49"/>
        <w:jc w:val="both"/>
        <w:rPr>
          <w:rFonts w:ascii="Palatino Linotype" w:hAnsi="Palatino Linotype" w:cs="Arial"/>
          <w:sz w:val="28"/>
        </w:rPr>
      </w:pPr>
    </w:p>
    <w:p w14:paraId="5811E9B7" w14:textId="65894D7F" w:rsidR="002F0BFB" w:rsidRPr="002F0BFB" w:rsidRDefault="00A21C56" w:rsidP="0045083A">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32"/>
        </w:rPr>
      </w:pPr>
      <w:r w:rsidRPr="00A21C56">
        <w:rPr>
          <w:rFonts w:ascii="Palatino Linotype" w:hAnsi="Palatino Linotype" w:cs="Arial"/>
          <w:color w:val="000000" w:themeColor="text1"/>
          <w:sz w:val="24"/>
        </w:rPr>
        <w:t xml:space="preserve">Por lo que, para efectos de mejor estudio y comprensión, </w:t>
      </w:r>
      <w:r w:rsidR="002F0BFB">
        <w:rPr>
          <w:rFonts w:ascii="Palatino Linotype" w:hAnsi="Palatino Linotype" w:cs="Arial"/>
          <w:color w:val="000000" w:themeColor="text1"/>
          <w:sz w:val="24"/>
        </w:rPr>
        <w:t>resulta conveniente reiterar que el Particular solicitó al Ayuntamiento de San Mateo Atenco, lo siguiente:</w:t>
      </w:r>
    </w:p>
    <w:p w14:paraId="3C408A11" w14:textId="77777777" w:rsidR="002F0BFB" w:rsidRPr="002F0BFB" w:rsidRDefault="002F0BFB" w:rsidP="002F0BFB">
      <w:pPr>
        <w:pStyle w:val="Prrafodelista"/>
        <w:rPr>
          <w:rFonts w:ascii="Palatino Linotype" w:hAnsi="Palatino Linotype" w:cs="Arial"/>
          <w:sz w:val="32"/>
        </w:rPr>
      </w:pPr>
    </w:p>
    <w:p w14:paraId="75E2D474" w14:textId="6C1BD9FE" w:rsidR="002F0BFB" w:rsidRPr="00F7706B" w:rsidRDefault="002F0BFB" w:rsidP="002F0BFB">
      <w:pPr>
        <w:pStyle w:val="Prrafodelista"/>
        <w:ind w:left="567" w:right="567"/>
        <w:jc w:val="both"/>
        <w:rPr>
          <w:rFonts w:ascii="Palatino Linotype" w:hAnsi="Palatino Linotype"/>
          <w:i/>
          <w:color w:val="000000"/>
          <w:szCs w:val="22"/>
        </w:rPr>
      </w:pPr>
      <w:r w:rsidRPr="00F7706B">
        <w:rPr>
          <w:rFonts w:ascii="Palatino Linotype" w:hAnsi="Palatino Linotype"/>
          <w:i/>
          <w:color w:val="000000"/>
          <w:szCs w:val="22"/>
        </w:rPr>
        <w:t xml:space="preserve">“Proporcione la versión pública digital (preferentemente en formato PDF), </w:t>
      </w:r>
      <w:r w:rsidRPr="00586AEF">
        <w:rPr>
          <w:rFonts w:ascii="Palatino Linotype" w:hAnsi="Palatino Linotype"/>
          <w:b/>
          <w:bCs/>
          <w:i/>
          <w:color w:val="000000"/>
          <w:szCs w:val="22"/>
        </w:rPr>
        <w:t xml:space="preserve">de todos los contratos o pedidos formalizados entre la ciudadana </w:t>
      </w:r>
      <w:r w:rsidR="006A2601">
        <w:rPr>
          <w:rFonts w:ascii="Palatino Linotype" w:hAnsi="Palatino Linotype"/>
          <w:b/>
          <w:bCs/>
          <w:i/>
          <w:color w:val="000000"/>
          <w:szCs w:val="22"/>
        </w:rPr>
        <w:t xml:space="preserve">XXX </w:t>
      </w:r>
      <w:proofErr w:type="spellStart"/>
      <w:r w:rsidR="006A2601">
        <w:rPr>
          <w:rFonts w:ascii="Palatino Linotype" w:hAnsi="Palatino Linotype"/>
          <w:b/>
          <w:bCs/>
          <w:i/>
          <w:color w:val="000000"/>
          <w:szCs w:val="22"/>
        </w:rPr>
        <w:t>XXX</w:t>
      </w:r>
      <w:proofErr w:type="spellEnd"/>
      <w:r w:rsidR="006A2601">
        <w:rPr>
          <w:rFonts w:ascii="Palatino Linotype" w:hAnsi="Palatino Linotype"/>
          <w:b/>
          <w:bCs/>
          <w:i/>
          <w:color w:val="000000"/>
          <w:szCs w:val="22"/>
        </w:rPr>
        <w:t xml:space="preserve"> </w:t>
      </w:r>
      <w:proofErr w:type="spellStart"/>
      <w:r w:rsidR="006A2601">
        <w:rPr>
          <w:rFonts w:ascii="Palatino Linotype" w:hAnsi="Palatino Linotype"/>
          <w:b/>
          <w:bCs/>
          <w:i/>
          <w:color w:val="000000"/>
          <w:szCs w:val="22"/>
        </w:rPr>
        <w:t>XXX</w:t>
      </w:r>
      <w:bookmarkStart w:id="17" w:name="_GoBack"/>
      <w:bookmarkEnd w:id="17"/>
      <w:proofErr w:type="spellEnd"/>
      <w:r w:rsidRPr="00586AEF">
        <w:rPr>
          <w:rFonts w:ascii="Palatino Linotype" w:hAnsi="Palatino Linotype"/>
          <w:b/>
          <w:bCs/>
          <w:i/>
          <w:color w:val="000000"/>
          <w:szCs w:val="22"/>
        </w:rPr>
        <w:t xml:space="preserve"> y el sujeto obligado. Asimismo, proporcione cualquier documento que acredite que dichos contratos o pedidos fueron entregados a la ciudadana en comento</w:t>
      </w:r>
      <w:r w:rsidRPr="00F7706B">
        <w:rPr>
          <w:rFonts w:ascii="Palatino Linotype" w:hAnsi="Palatino Linotype"/>
          <w:i/>
          <w:color w:val="000000"/>
          <w:szCs w:val="22"/>
        </w:rPr>
        <w:t xml:space="preserve">.” (Sic) </w:t>
      </w:r>
    </w:p>
    <w:p w14:paraId="423FEFE4" w14:textId="77777777" w:rsidR="002F0BFB" w:rsidRPr="00586AEF" w:rsidRDefault="002F0BFB" w:rsidP="00586AEF">
      <w:pPr>
        <w:rPr>
          <w:rFonts w:ascii="Palatino Linotype" w:hAnsi="Palatino Linotype" w:cs="Arial"/>
          <w:color w:val="000000" w:themeColor="text1"/>
        </w:rPr>
      </w:pPr>
    </w:p>
    <w:p w14:paraId="6EF979F6" w14:textId="434DCE64" w:rsidR="00586AEF" w:rsidRDefault="00586AEF" w:rsidP="00586AEF">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szCs w:val="21"/>
        </w:rPr>
      </w:pPr>
      <w:r w:rsidRPr="00586AEF">
        <w:rPr>
          <w:rFonts w:ascii="Palatino Linotype" w:hAnsi="Palatino Linotype" w:cs="Arial"/>
          <w:sz w:val="24"/>
          <w:szCs w:val="21"/>
        </w:rPr>
        <w:t xml:space="preserve">En </w:t>
      </w:r>
      <w:r w:rsidR="00803D44">
        <w:rPr>
          <w:rFonts w:ascii="Palatino Linotype" w:hAnsi="Palatino Linotype" w:cs="Arial"/>
          <w:sz w:val="24"/>
        </w:rPr>
        <w:t>respuesta</w:t>
      </w:r>
      <w:r w:rsidRPr="00586AEF">
        <w:rPr>
          <w:rFonts w:ascii="Palatino Linotype" w:hAnsi="Palatino Linotype" w:cs="Arial"/>
          <w:sz w:val="24"/>
        </w:rPr>
        <w:t xml:space="preserve"> el </w:t>
      </w:r>
      <w:r w:rsidRPr="00586AEF">
        <w:rPr>
          <w:rFonts w:ascii="Palatino Linotype" w:hAnsi="Palatino Linotype" w:cs="Arial"/>
          <w:b/>
          <w:bCs/>
          <w:sz w:val="24"/>
        </w:rPr>
        <w:t>SUJETO OBLIGADO</w:t>
      </w:r>
      <w:r w:rsidR="00803D44">
        <w:rPr>
          <w:rFonts w:ascii="Palatino Linotype" w:hAnsi="Palatino Linotype" w:cs="Arial"/>
          <w:b/>
          <w:bCs/>
          <w:sz w:val="24"/>
        </w:rPr>
        <w:t>,</w:t>
      </w:r>
      <w:r w:rsidRPr="00586AEF">
        <w:rPr>
          <w:rFonts w:ascii="Palatino Linotype" w:hAnsi="Palatino Linotype" w:cs="Arial"/>
          <w:sz w:val="24"/>
        </w:rPr>
        <w:t xml:space="preserve"> por medio del </w:t>
      </w:r>
      <w:r w:rsidRPr="00586AEF">
        <w:rPr>
          <w:rFonts w:ascii="Palatino Linotype" w:hAnsi="Palatino Linotype"/>
          <w:color w:val="000000" w:themeColor="text1"/>
          <w:sz w:val="24"/>
        </w:rPr>
        <w:t xml:space="preserve">Jefe del Departamento de Control Patrimonial y Recursos Materiales, informó que después de realizar una </w:t>
      </w:r>
      <w:r w:rsidRPr="00586AEF">
        <w:rPr>
          <w:rFonts w:ascii="Palatino Linotype" w:hAnsi="Palatino Linotype"/>
          <w:color w:val="000000" w:themeColor="text1"/>
          <w:sz w:val="24"/>
        </w:rPr>
        <w:lastRenderedPageBreak/>
        <w:t xml:space="preserve">búsqueda exhaustiva dentro de los archivos de la Unidad a su cargo, </w:t>
      </w:r>
      <w:r w:rsidRPr="00586AEF">
        <w:rPr>
          <w:rFonts w:ascii="Palatino Linotype" w:hAnsi="Palatino Linotype"/>
          <w:b/>
          <w:bCs/>
          <w:color w:val="000000" w:themeColor="text1"/>
          <w:sz w:val="24"/>
        </w:rPr>
        <w:t>no se encontró ningún proveedor o prestador de servicios con el nombre referido por el Particular a través de la solicitud de información,</w:t>
      </w:r>
      <w:r w:rsidRPr="00586AEF">
        <w:rPr>
          <w:rFonts w:ascii="Palatino Linotype" w:hAnsi="Palatino Linotype"/>
          <w:color w:val="000000" w:themeColor="text1"/>
          <w:sz w:val="24"/>
        </w:rPr>
        <w:t xml:space="preserve"> por tanto, </w:t>
      </w:r>
      <w:r w:rsidRPr="00586AEF">
        <w:rPr>
          <w:rFonts w:ascii="Palatino Linotype" w:hAnsi="Palatino Linotype"/>
          <w:b/>
          <w:bCs/>
          <w:color w:val="000000" w:themeColor="text1"/>
          <w:sz w:val="24"/>
        </w:rPr>
        <w:t>no hay información que proporcionar.</w:t>
      </w:r>
    </w:p>
    <w:p w14:paraId="7726C0AE" w14:textId="77777777" w:rsidR="00586AEF" w:rsidRPr="00586AEF" w:rsidRDefault="00586AEF" w:rsidP="00586AEF">
      <w:pPr>
        <w:pStyle w:val="Prrafodelista"/>
        <w:tabs>
          <w:tab w:val="left" w:pos="284"/>
          <w:tab w:val="left" w:pos="426"/>
        </w:tabs>
        <w:spacing w:before="240" w:after="240" w:line="360" w:lineRule="auto"/>
        <w:ind w:left="0" w:right="49"/>
        <w:jc w:val="both"/>
        <w:rPr>
          <w:rFonts w:ascii="Palatino Linotype" w:hAnsi="Palatino Linotype" w:cs="Arial"/>
          <w:sz w:val="24"/>
          <w:szCs w:val="21"/>
        </w:rPr>
      </w:pPr>
    </w:p>
    <w:p w14:paraId="1883639B" w14:textId="3AA36E46" w:rsidR="00552B27" w:rsidRPr="00586AEF" w:rsidRDefault="00552B27" w:rsidP="00586AEF">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8"/>
          <w:szCs w:val="22"/>
        </w:rPr>
      </w:pPr>
      <w:r w:rsidRPr="00586AEF">
        <w:rPr>
          <w:rFonts w:ascii="Palatino Linotype" w:hAnsi="Palatino Linotype" w:cs="Arial"/>
          <w:sz w:val="24"/>
          <w:szCs w:val="28"/>
          <w:lang w:val="es-ES"/>
        </w:rPr>
        <w:t>Ante tal respuesta,</w:t>
      </w:r>
      <w:r w:rsidR="00C5551A">
        <w:rPr>
          <w:rFonts w:ascii="Palatino Linotype" w:hAnsi="Palatino Linotype" w:cs="Arial"/>
          <w:sz w:val="24"/>
          <w:szCs w:val="28"/>
          <w:lang w:val="es-ES"/>
        </w:rPr>
        <w:t xml:space="preserve"> </w:t>
      </w:r>
      <w:r w:rsidR="00586AEF">
        <w:rPr>
          <w:rFonts w:ascii="Palatino Linotype" w:hAnsi="Palatino Linotype" w:cs="Arial"/>
          <w:sz w:val="24"/>
          <w:szCs w:val="28"/>
          <w:lang w:val="es-ES"/>
        </w:rPr>
        <w:t>el</w:t>
      </w:r>
      <w:r w:rsidRPr="00586AEF">
        <w:rPr>
          <w:rFonts w:ascii="Palatino Linotype" w:hAnsi="Palatino Linotype" w:cs="Arial"/>
          <w:b/>
          <w:sz w:val="24"/>
          <w:szCs w:val="28"/>
          <w:lang w:val="es-ES"/>
        </w:rPr>
        <w:t xml:space="preserve"> RECURRENTE </w:t>
      </w:r>
      <w:r w:rsidRPr="00586AEF">
        <w:rPr>
          <w:rFonts w:ascii="Palatino Linotype" w:hAnsi="Palatino Linotype" w:cs="Arial"/>
          <w:sz w:val="24"/>
          <w:szCs w:val="28"/>
          <w:lang w:val="es-ES"/>
        </w:rPr>
        <w:t>interpuso el presente Recurso de Revisión materia del presente estudio, el en que manifestó</w:t>
      </w:r>
      <w:r w:rsidR="00586AEF" w:rsidRPr="00586AEF">
        <w:rPr>
          <w:rFonts w:ascii="Palatino Linotype" w:hAnsi="Palatino Linotype" w:cs="Arial"/>
          <w:sz w:val="24"/>
          <w:szCs w:val="28"/>
          <w:lang w:val="es-ES"/>
        </w:rPr>
        <w:t xml:space="preserve"> como razones o motivos de </w:t>
      </w:r>
      <w:r w:rsidRPr="00586AEF">
        <w:rPr>
          <w:rFonts w:ascii="Palatino Linotype" w:hAnsi="Palatino Linotype" w:cs="Arial"/>
          <w:color w:val="000000" w:themeColor="text1"/>
          <w:sz w:val="24"/>
          <w:szCs w:val="28"/>
        </w:rPr>
        <w:t xml:space="preserve">inconformidad: </w:t>
      </w:r>
    </w:p>
    <w:p w14:paraId="0390FA98" w14:textId="77777777" w:rsidR="00552B27" w:rsidRPr="00F15861" w:rsidRDefault="00552B27" w:rsidP="00552B27">
      <w:pPr>
        <w:pStyle w:val="Prrafodelista"/>
        <w:ind w:left="644"/>
        <w:jc w:val="both"/>
        <w:rPr>
          <w:rFonts w:ascii="Palatino Linotype" w:hAnsi="Palatino Linotype" w:cs="Arial"/>
          <w:color w:val="000000" w:themeColor="text1"/>
        </w:rPr>
      </w:pPr>
    </w:p>
    <w:p w14:paraId="0318D129" w14:textId="77777777" w:rsidR="00586AEF" w:rsidRPr="00A67AED" w:rsidRDefault="00586AEF" w:rsidP="00586AEF">
      <w:pPr>
        <w:ind w:left="567" w:right="567"/>
        <w:contextualSpacing/>
        <w:jc w:val="both"/>
        <w:rPr>
          <w:rFonts w:ascii="Palatino Linotype" w:hAnsi="Palatino Linotype"/>
          <w:i/>
          <w:color w:val="000000"/>
          <w:sz w:val="22"/>
          <w:szCs w:val="22"/>
        </w:rPr>
      </w:pPr>
      <w:r w:rsidRPr="00A67AED">
        <w:rPr>
          <w:rFonts w:ascii="Palatino Linotype" w:eastAsiaTheme="minorEastAsia" w:hAnsi="Palatino Linotype"/>
          <w:i/>
          <w:sz w:val="22"/>
          <w:szCs w:val="22"/>
          <w:lang w:val="es-ES_tradnl" w:eastAsia="es-ES"/>
        </w:rPr>
        <w:t>“</w:t>
      </w:r>
      <w:r w:rsidRPr="00C5551A">
        <w:rPr>
          <w:rFonts w:ascii="Palatino Linotype" w:eastAsiaTheme="minorEastAsia" w:hAnsi="Palatino Linotype"/>
          <w:b/>
          <w:bCs/>
          <w:i/>
          <w:sz w:val="22"/>
          <w:szCs w:val="22"/>
          <w:lang w:eastAsia="es-ES"/>
        </w:rPr>
        <w:t xml:space="preserve">La </w:t>
      </w:r>
      <w:r w:rsidRPr="00C5551A">
        <w:rPr>
          <w:rFonts w:ascii="Palatino Linotype" w:hAnsi="Palatino Linotype"/>
          <w:b/>
          <w:bCs/>
          <w:i/>
          <w:color w:val="000000"/>
          <w:sz w:val="22"/>
          <w:szCs w:val="22"/>
        </w:rPr>
        <w:t>declaración de inexistencia de la información no fue realizada mediante Comité de Transparencia, ni fundada, ni motivada</w:t>
      </w:r>
      <w:r w:rsidRPr="00A67AED">
        <w:rPr>
          <w:rFonts w:ascii="Palatino Linotype" w:hAnsi="Palatino Linotype"/>
          <w:i/>
          <w:color w:val="000000"/>
          <w:sz w:val="22"/>
          <w:szCs w:val="22"/>
        </w:rPr>
        <w:t xml:space="preserve">. Aunado a ello, </w:t>
      </w:r>
      <w:r w:rsidRPr="00C5551A">
        <w:rPr>
          <w:rFonts w:ascii="Palatino Linotype" w:hAnsi="Palatino Linotype"/>
          <w:b/>
          <w:bCs/>
          <w:i/>
          <w:color w:val="000000"/>
          <w:sz w:val="22"/>
          <w:szCs w:val="22"/>
          <w:u w:val="single"/>
        </w:rPr>
        <w:t>es inverosímil que se afirme la inexistencia de la misma,</w:t>
      </w:r>
      <w:r w:rsidRPr="00C5551A">
        <w:rPr>
          <w:rFonts w:ascii="Palatino Linotype" w:hAnsi="Palatino Linotype"/>
          <w:b/>
          <w:bCs/>
          <w:i/>
          <w:color w:val="000000"/>
          <w:sz w:val="22"/>
          <w:szCs w:val="22"/>
        </w:rPr>
        <w:t xml:space="preserve"> toda vez que sí han existido erogaciones realizadas a la persona física en comento. </w:t>
      </w:r>
      <w:r w:rsidRPr="00C5551A">
        <w:rPr>
          <w:rFonts w:ascii="Palatino Linotype" w:hAnsi="Palatino Linotype"/>
          <w:b/>
          <w:bCs/>
          <w:i/>
          <w:color w:val="000000"/>
          <w:sz w:val="22"/>
          <w:szCs w:val="22"/>
          <w:u w:val="single"/>
        </w:rPr>
        <w:t>Se solicita verificar la información</w:t>
      </w:r>
      <w:r w:rsidRPr="00C5551A">
        <w:rPr>
          <w:rFonts w:ascii="Palatino Linotype" w:hAnsi="Palatino Linotype"/>
          <w:b/>
          <w:bCs/>
          <w:i/>
          <w:color w:val="000000"/>
          <w:sz w:val="22"/>
          <w:szCs w:val="22"/>
        </w:rPr>
        <w:t>.</w:t>
      </w:r>
      <w:r w:rsidRPr="00A67AED">
        <w:rPr>
          <w:rFonts w:ascii="Palatino Linotype" w:eastAsiaTheme="minorEastAsia" w:hAnsi="Palatino Linotype"/>
          <w:i/>
          <w:sz w:val="22"/>
          <w:szCs w:val="22"/>
          <w:lang w:eastAsia="es-ES"/>
        </w:rPr>
        <w:t>” (Sic)</w:t>
      </w:r>
    </w:p>
    <w:p w14:paraId="5828E688" w14:textId="77777777" w:rsidR="009A3FC8" w:rsidRPr="00586AEF" w:rsidRDefault="009A3FC8" w:rsidP="00586AEF">
      <w:pPr>
        <w:ind w:right="899"/>
        <w:jc w:val="both"/>
        <w:rPr>
          <w:rFonts w:ascii="Palatino Linotype" w:hAnsi="Palatino Linotype" w:cs="Arial"/>
          <w:i/>
          <w:color w:val="000000" w:themeColor="text1"/>
        </w:rPr>
      </w:pPr>
    </w:p>
    <w:p w14:paraId="6CB14123" w14:textId="5799CB2F" w:rsidR="00586AEF" w:rsidRPr="00586AEF" w:rsidRDefault="00586AEF" w:rsidP="00586AEF">
      <w:pPr>
        <w:pStyle w:val="Prrafodelista"/>
        <w:numPr>
          <w:ilvl w:val="0"/>
          <w:numId w:val="1"/>
        </w:numPr>
        <w:spacing w:line="360" w:lineRule="auto"/>
        <w:ind w:left="0" w:firstLine="0"/>
        <w:jc w:val="both"/>
        <w:rPr>
          <w:rFonts w:ascii="Palatino Linotype" w:hAnsi="Palatino Linotype"/>
          <w:bCs/>
          <w:color w:val="000000" w:themeColor="text1"/>
          <w:sz w:val="24"/>
        </w:rPr>
      </w:pPr>
      <w:r w:rsidRPr="00586AEF">
        <w:rPr>
          <w:rFonts w:ascii="Palatino Linotype" w:hAnsi="Palatino Linotype"/>
          <w:bCs/>
          <w:color w:val="000000" w:themeColor="text1"/>
          <w:sz w:val="24"/>
        </w:rPr>
        <w:t xml:space="preserve">Expuesto lo anterior, resulta necesario precisar que </w:t>
      </w:r>
      <w:r w:rsidRPr="00586AEF">
        <w:rPr>
          <w:rFonts w:ascii="Palatino Linotype" w:hAnsi="Palatino Linotype"/>
          <w:sz w:val="24"/>
        </w:rPr>
        <w:t xml:space="preserve">al haber existido un pronunciamiento por parte del </w:t>
      </w:r>
      <w:r w:rsidRPr="00586AEF">
        <w:rPr>
          <w:rFonts w:ascii="Palatino Linotype" w:hAnsi="Palatino Linotype"/>
          <w:b/>
          <w:bCs/>
          <w:sz w:val="24"/>
        </w:rPr>
        <w:t>SUJETO OBLIGADO</w:t>
      </w:r>
      <w:r w:rsidRPr="00586AEF">
        <w:rPr>
          <w:rFonts w:ascii="Palatino Linotype" w:hAnsi="Palatino Linotype"/>
          <w:sz w:val="24"/>
        </w:rPr>
        <w:t xml:space="preserve">, aún más del Servidor Público Habilitado competente, a quien le fue requerida la información por la Titular de la Unidad de Transparencia, se obvia que no puede fácticamente obrar en los archivos del </w:t>
      </w:r>
      <w:r w:rsidRPr="00586AEF">
        <w:rPr>
          <w:rFonts w:ascii="Palatino Linotype" w:hAnsi="Palatino Linotype"/>
          <w:b/>
          <w:bCs/>
          <w:sz w:val="24"/>
        </w:rPr>
        <w:t>SUJETO OBLIGADO</w:t>
      </w:r>
      <w:r w:rsidRPr="00586AEF">
        <w:rPr>
          <w:rFonts w:ascii="Palatino Linotype" w:hAnsi="Palatino Linotype"/>
          <w:sz w:val="24"/>
        </w:rPr>
        <w:t>, ya que no puede probarse por ser lógica y materialmente imposible, en razón de que, al no haber generado dicha información, no la posee, no la administra, ni cuenta con la misma.</w:t>
      </w:r>
    </w:p>
    <w:p w14:paraId="54A16C92" w14:textId="77777777" w:rsidR="00586AEF" w:rsidRDefault="00586AEF" w:rsidP="00586AEF">
      <w:pPr>
        <w:pStyle w:val="Prrafodelista"/>
        <w:spacing w:line="360" w:lineRule="auto"/>
        <w:ind w:left="0"/>
        <w:jc w:val="both"/>
        <w:rPr>
          <w:rFonts w:ascii="Palatino Linotype" w:hAnsi="Palatino Linotype"/>
          <w:bCs/>
          <w:color w:val="000000" w:themeColor="text1"/>
          <w:sz w:val="24"/>
        </w:rPr>
      </w:pPr>
    </w:p>
    <w:p w14:paraId="237AE9C4" w14:textId="3C38919B" w:rsidR="00586AEF" w:rsidRPr="00586AEF" w:rsidRDefault="00586AEF" w:rsidP="009A3FC8">
      <w:pPr>
        <w:pStyle w:val="Prrafodelista"/>
        <w:numPr>
          <w:ilvl w:val="0"/>
          <w:numId w:val="1"/>
        </w:numPr>
        <w:spacing w:line="360" w:lineRule="auto"/>
        <w:ind w:left="0" w:firstLine="0"/>
        <w:jc w:val="both"/>
        <w:rPr>
          <w:rFonts w:ascii="Palatino Linotype" w:hAnsi="Palatino Linotype"/>
          <w:bCs/>
          <w:color w:val="000000" w:themeColor="text1"/>
          <w:sz w:val="24"/>
        </w:rPr>
      </w:pPr>
      <w:r w:rsidRPr="00586AEF">
        <w:rPr>
          <w:rFonts w:ascii="Palatino Linotype" w:hAnsi="Palatino Linotype"/>
          <w:bCs/>
          <w:color w:val="000000" w:themeColor="text1"/>
          <w:sz w:val="24"/>
        </w:rPr>
        <w:t xml:space="preserve">Asimismo, </w:t>
      </w:r>
      <w:r w:rsidRPr="00586AEF">
        <w:rPr>
          <w:rFonts w:ascii="Palatino Linotype" w:hAnsi="Palatino Linotype"/>
          <w:sz w:val="24"/>
        </w:rPr>
        <w:t>no se trata de un caso por el cual la negación del hecho implique la afirmación de este, simplemente se está ante una notoria y evidente inexistencia fáctica de la información solicitada.</w:t>
      </w:r>
    </w:p>
    <w:p w14:paraId="6136B874" w14:textId="77777777" w:rsidR="00586AEF" w:rsidRPr="00586AEF" w:rsidRDefault="00586AEF" w:rsidP="00586AEF">
      <w:pPr>
        <w:pStyle w:val="Prrafodelista"/>
        <w:spacing w:line="360" w:lineRule="auto"/>
        <w:ind w:left="0"/>
        <w:jc w:val="both"/>
        <w:rPr>
          <w:rFonts w:ascii="Palatino Linotype" w:hAnsi="Palatino Linotype"/>
          <w:bCs/>
          <w:color w:val="000000" w:themeColor="text1"/>
          <w:sz w:val="24"/>
        </w:rPr>
      </w:pPr>
    </w:p>
    <w:p w14:paraId="2A508C7C" w14:textId="1AF39E15" w:rsidR="00586AEF" w:rsidRPr="00586AEF" w:rsidRDefault="00586AEF" w:rsidP="009A3FC8">
      <w:pPr>
        <w:pStyle w:val="Prrafodelista"/>
        <w:numPr>
          <w:ilvl w:val="0"/>
          <w:numId w:val="1"/>
        </w:numPr>
        <w:spacing w:line="360" w:lineRule="auto"/>
        <w:ind w:left="0" w:firstLine="0"/>
        <w:jc w:val="both"/>
        <w:rPr>
          <w:rFonts w:ascii="Palatino Linotype" w:hAnsi="Palatino Linotype"/>
          <w:bCs/>
          <w:color w:val="000000" w:themeColor="text1"/>
          <w:sz w:val="24"/>
        </w:rPr>
      </w:pPr>
      <w:r w:rsidRPr="00586AEF">
        <w:rPr>
          <w:rFonts w:ascii="Palatino Linotype" w:hAnsi="Palatino Linotype"/>
          <w:bCs/>
          <w:color w:val="000000" w:themeColor="text1"/>
          <w:sz w:val="24"/>
        </w:rPr>
        <w:lastRenderedPageBreak/>
        <w:t xml:space="preserve">Por ello, </w:t>
      </w:r>
      <w:r w:rsidRPr="00586AEF">
        <w:rPr>
          <w:rFonts w:ascii="Palatino Linotype" w:hAnsi="Palatino Linotype"/>
          <w:sz w:val="24"/>
        </w:rPr>
        <w:t xml:space="preserve">de conformidad con lo establecido en el artículo 12 de la Ley de Transparencia y Acceso a la Información Pública del Estado de México y Municipios el </w:t>
      </w:r>
      <w:r w:rsidRPr="00586AEF">
        <w:rPr>
          <w:rFonts w:ascii="Palatino Linotype" w:hAnsi="Palatino Linotype"/>
          <w:b/>
          <w:bCs/>
          <w:sz w:val="24"/>
        </w:rPr>
        <w:t>SUJETO OBLIGADO</w:t>
      </w:r>
      <w:r w:rsidR="00803D44">
        <w:rPr>
          <w:rFonts w:ascii="Palatino Linotype" w:hAnsi="Palatino Linotype"/>
          <w:b/>
          <w:bCs/>
          <w:sz w:val="24"/>
        </w:rPr>
        <w:t>,</w:t>
      </w:r>
      <w:r w:rsidRPr="00586AEF">
        <w:rPr>
          <w:rFonts w:ascii="Palatino Linotype" w:hAnsi="Palatino Linotype"/>
          <w:sz w:val="24"/>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5F222193" w14:textId="3F074F34" w:rsidR="00586AEF" w:rsidRDefault="00586AEF" w:rsidP="00586AEF">
      <w:pPr>
        <w:pStyle w:val="Prrafodelista"/>
        <w:spacing w:line="360" w:lineRule="auto"/>
        <w:ind w:left="0"/>
        <w:jc w:val="both"/>
        <w:rPr>
          <w:rFonts w:ascii="Palatino Linotype" w:hAnsi="Palatino Linotype"/>
          <w:bCs/>
          <w:color w:val="000000" w:themeColor="text1"/>
          <w:sz w:val="24"/>
        </w:rPr>
      </w:pPr>
    </w:p>
    <w:p w14:paraId="167651BD" w14:textId="102B6418" w:rsidR="00586AEF" w:rsidRPr="00586AEF" w:rsidRDefault="00586AEF" w:rsidP="00586AEF">
      <w:pPr>
        <w:ind w:left="567" w:right="565"/>
        <w:jc w:val="both"/>
        <w:rPr>
          <w:rFonts w:ascii="Palatino Linotype" w:eastAsia="Calibri" w:hAnsi="Palatino Linotype" w:cs="Arial"/>
          <w:color w:val="000000" w:themeColor="text1"/>
          <w:sz w:val="22"/>
          <w:szCs w:val="22"/>
        </w:rPr>
      </w:pPr>
      <w:r w:rsidRPr="00586AEF">
        <w:rPr>
          <w:rFonts w:ascii="Palatino Linotype" w:hAnsi="Palatino Linotype"/>
          <w:b/>
          <w:bCs/>
          <w:sz w:val="22"/>
          <w:szCs w:val="22"/>
        </w:rPr>
        <w:t>HECHOS NEGATIVOS, NO SON SUSCEPTIBLES DE DEMOSTRACIÓN.</w:t>
      </w:r>
      <w:r w:rsidRPr="00586AEF">
        <w:rPr>
          <w:rFonts w:ascii="Palatino Linotype" w:hAnsi="Palatino Linotype"/>
          <w:sz w:val="22"/>
          <w:szCs w:val="22"/>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7D086671" w14:textId="77777777" w:rsidR="00586AEF" w:rsidRDefault="00586AEF" w:rsidP="00586AEF">
      <w:pPr>
        <w:pStyle w:val="Prrafodelista"/>
        <w:spacing w:line="360" w:lineRule="auto"/>
        <w:ind w:left="0"/>
        <w:jc w:val="both"/>
        <w:rPr>
          <w:rFonts w:ascii="Palatino Linotype" w:hAnsi="Palatino Linotype"/>
          <w:bCs/>
          <w:color w:val="000000" w:themeColor="text1"/>
          <w:sz w:val="24"/>
        </w:rPr>
      </w:pPr>
    </w:p>
    <w:p w14:paraId="43CFC06A" w14:textId="23C42F86" w:rsidR="00586AEF" w:rsidRPr="00586AEF" w:rsidRDefault="00586AEF" w:rsidP="009A3FC8">
      <w:pPr>
        <w:pStyle w:val="Prrafodelista"/>
        <w:numPr>
          <w:ilvl w:val="0"/>
          <w:numId w:val="1"/>
        </w:numPr>
        <w:spacing w:line="360" w:lineRule="auto"/>
        <w:ind w:left="0" w:firstLine="0"/>
        <w:jc w:val="both"/>
        <w:rPr>
          <w:rFonts w:ascii="Palatino Linotype" w:hAnsi="Palatino Linotype"/>
          <w:bCs/>
          <w:color w:val="000000" w:themeColor="text1"/>
          <w:sz w:val="24"/>
        </w:rPr>
      </w:pPr>
      <w:r w:rsidRPr="00586AEF">
        <w:rPr>
          <w:rFonts w:ascii="Palatino Linotype" w:hAnsi="Palatino Linotype"/>
          <w:bCs/>
          <w:color w:val="000000" w:themeColor="text1"/>
          <w:sz w:val="24"/>
        </w:rPr>
        <w:t xml:space="preserve">De </w:t>
      </w:r>
      <w:r w:rsidRPr="00586AEF">
        <w:rPr>
          <w:rFonts w:ascii="Palatino Linotype" w:hAnsi="Palatino Linotype"/>
          <w:sz w:val="24"/>
        </w:rPr>
        <w:t>igual forma, es aplicable el criterio 7/2017, emitido en la Segunda Época por el Instituto Nacional de Transparencia, Acceso a la Información y Protección de Datos Personales (INAI), el cual señala lo siguiente:</w:t>
      </w:r>
    </w:p>
    <w:p w14:paraId="385FDFF4" w14:textId="635ECBA4" w:rsidR="00586AEF" w:rsidRDefault="00586AEF" w:rsidP="00586AEF">
      <w:pPr>
        <w:spacing w:line="360" w:lineRule="auto"/>
        <w:jc w:val="both"/>
        <w:rPr>
          <w:rFonts w:ascii="Palatino Linotype" w:hAnsi="Palatino Linotype"/>
          <w:bCs/>
          <w:color w:val="000000" w:themeColor="text1"/>
        </w:rPr>
      </w:pPr>
    </w:p>
    <w:p w14:paraId="46B735A2" w14:textId="3AE8149D" w:rsidR="00586AEF" w:rsidRPr="00586AEF" w:rsidRDefault="00586AEF" w:rsidP="00586AEF">
      <w:pPr>
        <w:pStyle w:val="Prrafodelista"/>
        <w:ind w:left="567" w:right="616"/>
        <w:jc w:val="both"/>
        <w:rPr>
          <w:rFonts w:ascii="Palatino Linotype" w:eastAsia="Calibri" w:hAnsi="Palatino Linotype" w:cs="Arial"/>
          <w:color w:val="000000" w:themeColor="text1"/>
          <w:szCs w:val="22"/>
        </w:rPr>
      </w:pPr>
      <w:r w:rsidRPr="002C0D1C">
        <w:rPr>
          <w:rFonts w:ascii="Palatino Linotype" w:hAnsi="Palatino Linotype"/>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w:t>
      </w:r>
      <w:r w:rsidRPr="002C0D1C">
        <w:rPr>
          <w:rFonts w:ascii="Palatino Linotype" w:hAnsi="Palatino Linotype"/>
          <w:szCs w:val="22"/>
        </w:rPr>
        <w:lastRenderedPageBreak/>
        <w:t xml:space="preserve">que ésta debe obrar en sus archivos, no será necesario que el Comité de Transparencia emita una resolución que confirme la inexistencia de la información. </w:t>
      </w:r>
    </w:p>
    <w:p w14:paraId="0FC67D2A" w14:textId="77777777" w:rsidR="00586AEF" w:rsidRDefault="00586AEF" w:rsidP="00586AEF">
      <w:pPr>
        <w:pStyle w:val="Prrafodelista"/>
        <w:spacing w:line="360" w:lineRule="auto"/>
        <w:ind w:left="0"/>
        <w:jc w:val="both"/>
        <w:rPr>
          <w:rFonts w:ascii="Palatino Linotype" w:hAnsi="Palatino Linotype"/>
          <w:bCs/>
          <w:color w:val="000000" w:themeColor="text1"/>
          <w:sz w:val="24"/>
        </w:rPr>
      </w:pPr>
    </w:p>
    <w:p w14:paraId="3420C62D" w14:textId="55BFA852" w:rsidR="009A3FC8" w:rsidRPr="009A3FC8" w:rsidRDefault="00586AEF" w:rsidP="009A3FC8">
      <w:pPr>
        <w:pStyle w:val="Prrafodelista"/>
        <w:numPr>
          <w:ilvl w:val="0"/>
          <w:numId w:val="1"/>
        </w:numPr>
        <w:spacing w:line="360" w:lineRule="auto"/>
        <w:ind w:left="0" w:firstLine="0"/>
        <w:jc w:val="both"/>
        <w:rPr>
          <w:rFonts w:ascii="Palatino Linotype" w:hAnsi="Palatino Linotype"/>
          <w:bCs/>
          <w:color w:val="000000" w:themeColor="text1"/>
          <w:sz w:val="24"/>
        </w:rPr>
      </w:pPr>
      <w:r>
        <w:rPr>
          <w:rFonts w:ascii="Palatino Linotype" w:hAnsi="Palatino Linotype"/>
          <w:bCs/>
          <w:color w:val="000000" w:themeColor="text1"/>
          <w:sz w:val="24"/>
        </w:rPr>
        <w:t>Ahora bien, e</w:t>
      </w:r>
      <w:r w:rsidR="009A3FC8" w:rsidRPr="009A3FC8">
        <w:rPr>
          <w:rFonts w:ascii="Palatino Linotype" w:hAnsi="Palatino Linotype"/>
          <w:bCs/>
          <w:color w:val="000000" w:themeColor="text1"/>
          <w:sz w:val="24"/>
        </w:rPr>
        <w:t>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685F6CDC" w14:textId="77777777" w:rsidR="009A3FC8" w:rsidRPr="009A3FC8" w:rsidRDefault="009A3FC8" w:rsidP="009A3FC8">
      <w:pPr>
        <w:pStyle w:val="Prrafodelista"/>
        <w:spacing w:line="360" w:lineRule="auto"/>
        <w:ind w:left="0"/>
        <w:jc w:val="both"/>
        <w:rPr>
          <w:rFonts w:ascii="Palatino Linotype" w:hAnsi="Palatino Linotype"/>
          <w:bCs/>
          <w:color w:val="000000" w:themeColor="text1"/>
          <w:sz w:val="24"/>
        </w:rPr>
      </w:pPr>
    </w:p>
    <w:p w14:paraId="2FE01CD3" w14:textId="77777777" w:rsidR="009A3FC8" w:rsidRPr="009A3FC8" w:rsidRDefault="009A3FC8" w:rsidP="009A3FC8">
      <w:pPr>
        <w:pStyle w:val="Prrafodelista"/>
        <w:numPr>
          <w:ilvl w:val="0"/>
          <w:numId w:val="1"/>
        </w:numPr>
        <w:spacing w:line="360" w:lineRule="auto"/>
        <w:ind w:left="0" w:firstLine="0"/>
        <w:jc w:val="both"/>
        <w:rPr>
          <w:rFonts w:ascii="Palatino Linotype" w:hAnsi="Palatino Linotype"/>
          <w:bCs/>
          <w:color w:val="000000" w:themeColor="text1"/>
          <w:sz w:val="24"/>
        </w:rPr>
      </w:pPr>
      <w:r w:rsidRPr="009A3FC8">
        <w:rPr>
          <w:rFonts w:ascii="Palatino Linotype" w:hAnsi="Palatino Linotype"/>
          <w:bCs/>
          <w:color w:val="000000" w:themeColor="text1"/>
          <w:sz w:val="24"/>
        </w:rPr>
        <w:t xml:space="preserve">Lo anterior es así, en atención a que como se ha expuesto, las manifestaciones de las que se duele el </w:t>
      </w:r>
      <w:r w:rsidRPr="009A3FC8">
        <w:rPr>
          <w:rFonts w:ascii="Palatino Linotype" w:hAnsi="Palatino Linotype"/>
          <w:b/>
          <w:color w:val="000000" w:themeColor="text1"/>
          <w:sz w:val="24"/>
        </w:rPr>
        <w:t>RECURRENTE</w:t>
      </w:r>
      <w:r w:rsidRPr="009A3FC8">
        <w:rPr>
          <w:rFonts w:ascii="Palatino Linotype" w:hAnsi="Palatino Linotype"/>
          <w:bCs/>
          <w:color w:val="000000" w:themeColor="text1"/>
          <w:sz w:val="24"/>
        </w:rPr>
        <w:t xml:space="preserve"> deben llevar un perjuicio o motivo de inconformidad, que es lo que constituye la lesión, menoscabo o afectación que una persona sufre en sus derechos en virtud de la emisión de un acto de autoridad. </w:t>
      </w:r>
    </w:p>
    <w:p w14:paraId="43BE8984" w14:textId="77777777" w:rsidR="009A3FC8" w:rsidRPr="009A3FC8" w:rsidRDefault="009A3FC8" w:rsidP="009A3FC8">
      <w:pPr>
        <w:pStyle w:val="Prrafodelista"/>
        <w:spacing w:line="360" w:lineRule="auto"/>
        <w:ind w:left="0"/>
        <w:jc w:val="both"/>
        <w:rPr>
          <w:rFonts w:ascii="Palatino Linotype" w:hAnsi="Palatino Linotype"/>
          <w:bCs/>
          <w:color w:val="000000" w:themeColor="text1"/>
          <w:sz w:val="24"/>
        </w:rPr>
      </w:pPr>
    </w:p>
    <w:p w14:paraId="7FAE7600" w14:textId="2EBB1976" w:rsidR="009A3FC8" w:rsidRPr="009A3FC8" w:rsidRDefault="009A3FC8" w:rsidP="009A3FC8">
      <w:pPr>
        <w:pStyle w:val="Prrafodelista"/>
        <w:numPr>
          <w:ilvl w:val="0"/>
          <w:numId w:val="1"/>
        </w:numPr>
        <w:spacing w:line="360" w:lineRule="auto"/>
        <w:ind w:left="0" w:firstLine="0"/>
        <w:jc w:val="both"/>
        <w:rPr>
          <w:rFonts w:ascii="Palatino Linotype" w:hAnsi="Palatino Linotype" w:cs="Arial"/>
          <w:sz w:val="24"/>
        </w:rPr>
      </w:pPr>
      <w:r w:rsidRPr="009A3FC8">
        <w:rPr>
          <w:rFonts w:ascii="Palatino Linotype" w:hAnsi="Palatino Linotype" w:cs="Arial"/>
          <w:color w:val="000000" w:themeColor="text1"/>
          <w:sz w:val="24"/>
        </w:rPr>
        <w:t xml:space="preserve">Por lo que, del análisis realizado a las manifestaciones vertidas por el </w:t>
      </w:r>
      <w:r w:rsidR="00C5551A">
        <w:rPr>
          <w:rFonts w:ascii="Palatino Linotype" w:hAnsi="Palatino Linotype" w:cs="Arial"/>
          <w:color w:val="000000" w:themeColor="text1"/>
          <w:sz w:val="24"/>
        </w:rPr>
        <w:t>P</w:t>
      </w:r>
      <w:r w:rsidRPr="009A3FC8">
        <w:rPr>
          <w:rFonts w:ascii="Palatino Linotype" w:hAnsi="Palatino Linotype" w:cs="Arial"/>
          <w:color w:val="000000" w:themeColor="text1"/>
          <w:sz w:val="24"/>
        </w:rPr>
        <w:t>articular como acto impugnado; así como razones o motivos de inconformidad, este Órgano Garante advierte que impugna la veracidad de la información proporcionada</w:t>
      </w:r>
      <w:r w:rsidRPr="009A3FC8">
        <w:rPr>
          <w:rFonts w:ascii="Palatino Linotype" w:eastAsia="Arial Unicode MS" w:hAnsi="Palatino Linotype" w:cs="Arial"/>
          <w:sz w:val="24"/>
        </w:rPr>
        <w:t xml:space="preserve">; situación que actualiza la causal de improcedencia establecida en el artículo 191 fracción V, de la </w:t>
      </w:r>
      <w:r w:rsidRPr="009A3FC8">
        <w:rPr>
          <w:rFonts w:ascii="Palatino Linotype" w:hAnsi="Palatino Linotype" w:cs="Arial"/>
          <w:sz w:val="24"/>
        </w:rPr>
        <w:t>Ley de Transparencia y Acceso a la Información Pública del Estado de México y Municipios; que a la letra dice:</w:t>
      </w:r>
    </w:p>
    <w:p w14:paraId="62F1D12A" w14:textId="77777777" w:rsidR="009A3FC8" w:rsidRPr="009A3FC8" w:rsidRDefault="009A3FC8" w:rsidP="009A3FC8">
      <w:pPr>
        <w:pStyle w:val="Prrafodelista"/>
        <w:autoSpaceDE w:val="0"/>
        <w:autoSpaceDN w:val="0"/>
        <w:adjustRightInd w:val="0"/>
        <w:ind w:left="644" w:right="49"/>
        <w:jc w:val="both"/>
        <w:rPr>
          <w:rFonts w:ascii="Palatino Linotype" w:hAnsi="Palatino Linotype" w:cs="Arial"/>
        </w:rPr>
      </w:pPr>
    </w:p>
    <w:p w14:paraId="71F21923" w14:textId="77777777" w:rsidR="009A3FC8" w:rsidRPr="009A3FC8" w:rsidRDefault="009A3FC8" w:rsidP="00C5551A">
      <w:pPr>
        <w:pStyle w:val="Prrafodelista"/>
        <w:ind w:left="567" w:right="901"/>
        <w:jc w:val="both"/>
        <w:rPr>
          <w:rFonts w:ascii="Palatino Linotype" w:hAnsi="Palatino Linotype" w:cs="Arial"/>
          <w:i/>
          <w:szCs w:val="22"/>
        </w:rPr>
      </w:pPr>
      <w:r w:rsidRPr="009A3FC8">
        <w:rPr>
          <w:rFonts w:ascii="Palatino Linotype" w:hAnsi="Palatino Linotype" w:cs="Arial"/>
          <w:i/>
          <w:szCs w:val="22"/>
        </w:rPr>
        <w:t>“</w:t>
      </w:r>
      <w:r w:rsidRPr="009A3FC8">
        <w:rPr>
          <w:rFonts w:ascii="Palatino Linotype" w:hAnsi="Palatino Linotype" w:cs="Arial"/>
          <w:b/>
          <w:i/>
          <w:szCs w:val="22"/>
        </w:rPr>
        <w:t xml:space="preserve">Artículo 191. </w:t>
      </w:r>
      <w:r w:rsidRPr="009A3FC8">
        <w:rPr>
          <w:rFonts w:ascii="Palatino Linotype" w:hAnsi="Palatino Linotype" w:cs="Arial"/>
          <w:i/>
          <w:szCs w:val="22"/>
        </w:rPr>
        <w:t>El recurso será desechado por improcedente cuando:</w:t>
      </w:r>
    </w:p>
    <w:p w14:paraId="6FBB4E98" w14:textId="77777777" w:rsidR="009A3FC8" w:rsidRPr="009A3FC8" w:rsidRDefault="009A3FC8" w:rsidP="00C5551A">
      <w:pPr>
        <w:pStyle w:val="Prrafodelista"/>
        <w:ind w:left="567" w:right="901"/>
        <w:jc w:val="both"/>
        <w:rPr>
          <w:rFonts w:ascii="Palatino Linotype" w:hAnsi="Palatino Linotype" w:cs="Arial"/>
          <w:i/>
          <w:szCs w:val="22"/>
        </w:rPr>
      </w:pPr>
      <w:r w:rsidRPr="009A3FC8">
        <w:rPr>
          <w:rFonts w:ascii="Palatino Linotype" w:hAnsi="Palatino Linotype" w:cs="Arial"/>
          <w:i/>
          <w:szCs w:val="22"/>
        </w:rPr>
        <w:t>(…)</w:t>
      </w:r>
    </w:p>
    <w:p w14:paraId="7FC31939" w14:textId="77777777" w:rsidR="009A3FC8" w:rsidRPr="009A3FC8" w:rsidRDefault="009A3FC8" w:rsidP="00C5551A">
      <w:pPr>
        <w:pStyle w:val="Prrafodelista"/>
        <w:ind w:left="567" w:right="901"/>
        <w:jc w:val="both"/>
        <w:rPr>
          <w:rFonts w:ascii="Palatino Linotype" w:hAnsi="Palatino Linotype" w:cs="Arial"/>
          <w:b/>
          <w:i/>
          <w:szCs w:val="22"/>
        </w:rPr>
      </w:pPr>
      <w:r w:rsidRPr="009A3FC8">
        <w:rPr>
          <w:rFonts w:ascii="Palatino Linotype" w:hAnsi="Palatino Linotype" w:cs="Arial"/>
          <w:b/>
          <w:i/>
          <w:szCs w:val="22"/>
        </w:rPr>
        <w:t>V. Se impugne la veracidad de la información proporcionada;</w:t>
      </w:r>
    </w:p>
    <w:p w14:paraId="7AAB9138" w14:textId="77777777" w:rsidR="009A3FC8" w:rsidRDefault="009A3FC8" w:rsidP="00C5551A">
      <w:pPr>
        <w:pStyle w:val="Prrafodelista"/>
        <w:ind w:left="567" w:right="901"/>
        <w:jc w:val="both"/>
        <w:rPr>
          <w:rFonts w:ascii="Palatino Linotype" w:hAnsi="Palatino Linotype" w:cs="Arial"/>
          <w:i/>
          <w:szCs w:val="22"/>
        </w:rPr>
      </w:pPr>
      <w:r w:rsidRPr="009A3FC8">
        <w:rPr>
          <w:rFonts w:ascii="Palatino Linotype" w:hAnsi="Palatino Linotype" w:cs="Arial"/>
          <w:i/>
          <w:szCs w:val="22"/>
        </w:rPr>
        <w:t>(…)</w:t>
      </w:r>
      <w:r>
        <w:rPr>
          <w:rFonts w:ascii="Palatino Linotype" w:hAnsi="Palatino Linotype" w:cs="Arial"/>
          <w:i/>
          <w:szCs w:val="22"/>
        </w:rPr>
        <w:t>”</w:t>
      </w:r>
    </w:p>
    <w:p w14:paraId="2C127409" w14:textId="77777777" w:rsidR="00C5551A" w:rsidRPr="00C5551A" w:rsidRDefault="00C5551A" w:rsidP="00C5551A">
      <w:pPr>
        <w:pStyle w:val="Prrafodelista"/>
        <w:spacing w:line="360" w:lineRule="auto"/>
        <w:ind w:left="0"/>
        <w:jc w:val="both"/>
        <w:rPr>
          <w:rFonts w:ascii="Palatino Linotype" w:hAnsi="Palatino Linotype" w:cs="Arial"/>
          <w:sz w:val="24"/>
        </w:rPr>
      </w:pPr>
    </w:p>
    <w:p w14:paraId="4994ED31" w14:textId="1E688DBE" w:rsidR="001130B8" w:rsidRPr="001130B8" w:rsidRDefault="001130B8" w:rsidP="001130B8">
      <w:pPr>
        <w:pStyle w:val="Prrafodelista"/>
        <w:numPr>
          <w:ilvl w:val="0"/>
          <w:numId w:val="1"/>
        </w:numPr>
        <w:spacing w:line="360" w:lineRule="auto"/>
        <w:ind w:left="0" w:firstLine="0"/>
        <w:jc w:val="both"/>
        <w:rPr>
          <w:rFonts w:ascii="Palatino Linotype" w:hAnsi="Palatino Linotype" w:cs="Arial"/>
          <w:sz w:val="24"/>
        </w:rPr>
      </w:pPr>
      <w:r w:rsidRPr="001130B8">
        <w:rPr>
          <w:rFonts w:ascii="Palatino Linotype" w:hAnsi="Palatino Linotype" w:cs="Arial"/>
          <w:sz w:val="24"/>
        </w:rPr>
        <w:lastRenderedPageBreak/>
        <w:t xml:space="preserve">Ahora bien, es importante precisar que en atención a lo previsto en el artículo 179 de la Ley de Transparencia y Acceso a la Información Pública del Estado de México y Municipios, el </w:t>
      </w:r>
      <w:r w:rsidRPr="001130B8">
        <w:rPr>
          <w:rFonts w:ascii="Palatino Linotype" w:hAnsi="Palatino Linotype"/>
          <w:color w:val="000000" w:themeColor="text1"/>
          <w:sz w:val="24"/>
        </w:rPr>
        <w:t xml:space="preserve">Instituto de Transparencia, Acceso a la Información Pública y Protección de Datos Personales del Estado de México y Municipios, funge </w:t>
      </w:r>
      <w:r w:rsidRPr="001130B8">
        <w:rPr>
          <w:rFonts w:ascii="Palatino Linotype" w:hAnsi="Palatino Linotype" w:cs="Arial"/>
          <w:sz w:val="24"/>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715C452B" w14:textId="77777777" w:rsidR="001130B8" w:rsidRPr="001130B8" w:rsidRDefault="001130B8" w:rsidP="001130B8">
      <w:pPr>
        <w:pStyle w:val="Prrafodelista"/>
        <w:ind w:left="644"/>
        <w:jc w:val="both"/>
        <w:rPr>
          <w:rFonts w:ascii="Palatino Linotype" w:hAnsi="Palatino Linotype" w:cs="Arial"/>
        </w:rPr>
      </w:pPr>
    </w:p>
    <w:p w14:paraId="7BD670B0" w14:textId="77777777" w:rsidR="001130B8" w:rsidRPr="001130B8" w:rsidRDefault="001130B8" w:rsidP="001130B8">
      <w:pPr>
        <w:pStyle w:val="Prrafodelista"/>
        <w:tabs>
          <w:tab w:val="left" w:pos="8222"/>
        </w:tabs>
        <w:spacing w:line="276" w:lineRule="auto"/>
        <w:ind w:left="851" w:right="992"/>
        <w:jc w:val="both"/>
        <w:rPr>
          <w:rFonts w:ascii="Palatino Linotype" w:hAnsi="Palatino Linotype" w:cs="Arial"/>
          <w:i/>
        </w:rPr>
      </w:pPr>
      <w:r w:rsidRPr="001130B8">
        <w:rPr>
          <w:rFonts w:ascii="Palatino Linotype" w:hAnsi="Palatino Linotype" w:cs="Arial"/>
          <w:i/>
        </w:rPr>
        <w:t>“</w:t>
      </w:r>
      <w:r w:rsidRPr="001130B8">
        <w:rPr>
          <w:rFonts w:ascii="Palatino Linotype" w:hAnsi="Palatino Linotype" w:cs="Arial"/>
          <w:b/>
          <w:i/>
        </w:rPr>
        <w:t>Artículo 179</w:t>
      </w:r>
      <w:r w:rsidRPr="001130B8">
        <w:rPr>
          <w:rFonts w:ascii="Palatino Linotype" w:hAnsi="Palatino Linotype" w:cs="Arial"/>
          <w:i/>
        </w:rPr>
        <w:t>. El Recurso de Revisión es un medio de protección que la Ley otorga a los particulares, para hacer valer su derecho de acceso a la Información Pública, y procederá en contra de las siguientes causas:</w:t>
      </w:r>
    </w:p>
    <w:p w14:paraId="6CAE09B2" w14:textId="77777777" w:rsidR="001130B8" w:rsidRPr="001130B8" w:rsidRDefault="001130B8" w:rsidP="001130B8">
      <w:pPr>
        <w:pStyle w:val="Prrafodelista"/>
        <w:spacing w:line="276" w:lineRule="auto"/>
        <w:ind w:left="851" w:right="992"/>
        <w:jc w:val="both"/>
        <w:rPr>
          <w:rFonts w:ascii="Palatino Linotype" w:hAnsi="Palatino Linotype" w:cs="Arial"/>
          <w:i/>
        </w:rPr>
      </w:pPr>
      <w:r w:rsidRPr="001130B8">
        <w:rPr>
          <w:rFonts w:ascii="Palatino Linotype" w:hAnsi="Palatino Linotype" w:cs="Arial"/>
          <w:i/>
        </w:rPr>
        <w:t>I. La negativa a la información solicitada;</w:t>
      </w:r>
    </w:p>
    <w:p w14:paraId="6BB6D1F2" w14:textId="77777777" w:rsidR="001130B8" w:rsidRPr="001130B8" w:rsidRDefault="001130B8" w:rsidP="001130B8">
      <w:pPr>
        <w:pStyle w:val="Prrafodelista"/>
        <w:spacing w:line="276" w:lineRule="auto"/>
        <w:ind w:left="851" w:right="992"/>
        <w:jc w:val="both"/>
        <w:rPr>
          <w:rFonts w:ascii="Palatino Linotype" w:hAnsi="Palatino Linotype" w:cs="Arial"/>
          <w:i/>
        </w:rPr>
      </w:pPr>
      <w:r w:rsidRPr="001130B8">
        <w:rPr>
          <w:rFonts w:ascii="Palatino Linotype" w:hAnsi="Palatino Linotype" w:cs="Arial"/>
          <w:i/>
        </w:rPr>
        <w:t>II. La clasificación de la información;</w:t>
      </w:r>
    </w:p>
    <w:p w14:paraId="5FA11A7D" w14:textId="77777777" w:rsidR="001130B8" w:rsidRPr="001130B8" w:rsidRDefault="001130B8" w:rsidP="001130B8">
      <w:pPr>
        <w:pStyle w:val="Prrafodelista"/>
        <w:spacing w:line="276" w:lineRule="auto"/>
        <w:ind w:left="851" w:right="992"/>
        <w:jc w:val="both"/>
        <w:rPr>
          <w:rFonts w:ascii="Palatino Linotype" w:hAnsi="Palatino Linotype" w:cs="Arial"/>
          <w:i/>
        </w:rPr>
      </w:pPr>
      <w:r w:rsidRPr="001130B8">
        <w:rPr>
          <w:rFonts w:ascii="Palatino Linotype" w:hAnsi="Palatino Linotype" w:cs="Arial"/>
          <w:i/>
        </w:rPr>
        <w:t>III. La declaración de inexistencia de la información;</w:t>
      </w:r>
    </w:p>
    <w:p w14:paraId="428204B4" w14:textId="77777777" w:rsidR="001130B8" w:rsidRPr="001130B8" w:rsidRDefault="001130B8" w:rsidP="001130B8">
      <w:pPr>
        <w:pStyle w:val="Prrafodelista"/>
        <w:spacing w:line="276" w:lineRule="auto"/>
        <w:ind w:left="851" w:right="992"/>
        <w:jc w:val="both"/>
        <w:rPr>
          <w:rFonts w:ascii="Palatino Linotype" w:hAnsi="Palatino Linotype" w:cs="Arial"/>
          <w:i/>
        </w:rPr>
      </w:pPr>
      <w:r w:rsidRPr="001130B8">
        <w:rPr>
          <w:rFonts w:ascii="Palatino Linotype" w:hAnsi="Palatino Linotype" w:cs="Arial"/>
          <w:i/>
        </w:rPr>
        <w:t>IV. La declaración de incompetencia por el sujeto obligado;</w:t>
      </w:r>
    </w:p>
    <w:p w14:paraId="10FB3852" w14:textId="77777777" w:rsidR="001130B8" w:rsidRPr="001130B8" w:rsidRDefault="001130B8" w:rsidP="001130B8">
      <w:pPr>
        <w:pStyle w:val="Prrafodelista"/>
        <w:spacing w:line="276" w:lineRule="auto"/>
        <w:ind w:left="851" w:right="992"/>
        <w:jc w:val="both"/>
        <w:rPr>
          <w:rFonts w:ascii="Palatino Linotype" w:hAnsi="Palatino Linotype" w:cs="Arial"/>
          <w:i/>
        </w:rPr>
      </w:pPr>
      <w:r w:rsidRPr="001130B8">
        <w:rPr>
          <w:rFonts w:ascii="Palatino Linotype" w:hAnsi="Palatino Linotype" w:cs="Arial"/>
          <w:i/>
        </w:rPr>
        <w:t>V. La entrega de información incompleta;</w:t>
      </w:r>
    </w:p>
    <w:p w14:paraId="10AC6DD8" w14:textId="77777777" w:rsidR="001130B8" w:rsidRPr="001130B8" w:rsidRDefault="001130B8" w:rsidP="001130B8">
      <w:pPr>
        <w:pStyle w:val="Prrafodelista"/>
        <w:spacing w:line="276" w:lineRule="auto"/>
        <w:ind w:left="851" w:right="992"/>
        <w:jc w:val="both"/>
        <w:rPr>
          <w:rFonts w:ascii="Palatino Linotype" w:hAnsi="Palatino Linotype" w:cs="Arial"/>
          <w:i/>
        </w:rPr>
      </w:pPr>
      <w:r w:rsidRPr="001130B8">
        <w:rPr>
          <w:rFonts w:ascii="Palatino Linotype" w:hAnsi="Palatino Linotype" w:cs="Arial"/>
          <w:i/>
        </w:rPr>
        <w:t>VI. La entrega de información que no corresponda con lo solicitado;</w:t>
      </w:r>
    </w:p>
    <w:p w14:paraId="41FEB8F5" w14:textId="77777777" w:rsidR="001130B8" w:rsidRPr="001130B8" w:rsidRDefault="001130B8" w:rsidP="001130B8">
      <w:pPr>
        <w:pStyle w:val="Prrafodelista"/>
        <w:spacing w:line="276" w:lineRule="auto"/>
        <w:ind w:left="851" w:right="992"/>
        <w:jc w:val="both"/>
        <w:rPr>
          <w:rFonts w:ascii="Palatino Linotype" w:hAnsi="Palatino Linotype" w:cs="Arial"/>
          <w:i/>
        </w:rPr>
      </w:pPr>
      <w:r w:rsidRPr="001130B8">
        <w:rPr>
          <w:rFonts w:ascii="Palatino Linotype" w:hAnsi="Palatino Linotype" w:cs="Arial"/>
          <w:i/>
        </w:rPr>
        <w:t>VII. La falta de respuesta a una solicitud de acceso a la información;</w:t>
      </w:r>
    </w:p>
    <w:p w14:paraId="640A5F66" w14:textId="77777777" w:rsidR="001130B8" w:rsidRPr="001130B8" w:rsidRDefault="001130B8" w:rsidP="001130B8">
      <w:pPr>
        <w:pStyle w:val="Prrafodelista"/>
        <w:tabs>
          <w:tab w:val="left" w:pos="8222"/>
        </w:tabs>
        <w:spacing w:line="276" w:lineRule="auto"/>
        <w:ind w:left="851" w:right="992"/>
        <w:jc w:val="both"/>
        <w:rPr>
          <w:rFonts w:ascii="Palatino Linotype" w:hAnsi="Palatino Linotype" w:cs="Arial"/>
          <w:i/>
        </w:rPr>
      </w:pPr>
      <w:r w:rsidRPr="001130B8">
        <w:rPr>
          <w:rFonts w:ascii="Palatino Linotype" w:hAnsi="Palatino Linotype" w:cs="Arial"/>
          <w:i/>
        </w:rPr>
        <w:t>VIII. La notificación, entrega o puesta a disposición de información en una modalidad o formato distinto al solicitado;</w:t>
      </w:r>
    </w:p>
    <w:p w14:paraId="7CFAC86F" w14:textId="77777777" w:rsidR="001130B8" w:rsidRPr="001130B8" w:rsidRDefault="001130B8" w:rsidP="001130B8">
      <w:pPr>
        <w:pStyle w:val="Prrafodelista"/>
        <w:tabs>
          <w:tab w:val="left" w:pos="8222"/>
        </w:tabs>
        <w:spacing w:line="276" w:lineRule="auto"/>
        <w:ind w:left="851" w:right="992"/>
        <w:jc w:val="both"/>
        <w:rPr>
          <w:rFonts w:ascii="Palatino Linotype" w:hAnsi="Palatino Linotype" w:cs="Arial"/>
          <w:i/>
        </w:rPr>
      </w:pPr>
      <w:r w:rsidRPr="001130B8">
        <w:rPr>
          <w:rFonts w:ascii="Palatino Linotype" w:hAnsi="Palatino Linotype" w:cs="Arial"/>
          <w:i/>
        </w:rPr>
        <w:t>IX. La entrega o puesta a disposición de información en un formato incomprensible y/o no accesible para el solicitante;</w:t>
      </w:r>
    </w:p>
    <w:p w14:paraId="3BE8383F" w14:textId="77777777" w:rsidR="001130B8" w:rsidRPr="001130B8" w:rsidRDefault="001130B8" w:rsidP="001130B8">
      <w:pPr>
        <w:pStyle w:val="Prrafodelista"/>
        <w:spacing w:line="276" w:lineRule="auto"/>
        <w:ind w:left="851" w:right="992"/>
        <w:jc w:val="both"/>
        <w:rPr>
          <w:rFonts w:ascii="Palatino Linotype" w:hAnsi="Palatino Linotype" w:cs="Arial"/>
          <w:i/>
        </w:rPr>
      </w:pPr>
      <w:r w:rsidRPr="001130B8">
        <w:rPr>
          <w:rFonts w:ascii="Palatino Linotype" w:hAnsi="Palatino Linotype" w:cs="Arial"/>
          <w:i/>
        </w:rPr>
        <w:t>X. Los costos o tiempos de entrega de la información;</w:t>
      </w:r>
    </w:p>
    <w:p w14:paraId="56C28E58" w14:textId="77777777" w:rsidR="001130B8" w:rsidRPr="001130B8" w:rsidRDefault="001130B8" w:rsidP="001130B8">
      <w:pPr>
        <w:pStyle w:val="Prrafodelista"/>
        <w:spacing w:line="276" w:lineRule="auto"/>
        <w:ind w:left="851" w:right="992"/>
        <w:jc w:val="both"/>
        <w:rPr>
          <w:rFonts w:ascii="Palatino Linotype" w:hAnsi="Palatino Linotype" w:cs="Arial"/>
          <w:i/>
        </w:rPr>
      </w:pPr>
      <w:r w:rsidRPr="001130B8">
        <w:rPr>
          <w:rFonts w:ascii="Palatino Linotype" w:hAnsi="Palatino Linotype" w:cs="Arial"/>
          <w:i/>
        </w:rPr>
        <w:t>XI. La falta de trámite a una solicitud;</w:t>
      </w:r>
    </w:p>
    <w:p w14:paraId="00DBAE6C" w14:textId="77777777" w:rsidR="001130B8" w:rsidRPr="001130B8" w:rsidRDefault="001130B8" w:rsidP="001130B8">
      <w:pPr>
        <w:pStyle w:val="Prrafodelista"/>
        <w:spacing w:line="276" w:lineRule="auto"/>
        <w:ind w:left="851" w:right="992"/>
        <w:jc w:val="both"/>
        <w:rPr>
          <w:rFonts w:ascii="Palatino Linotype" w:hAnsi="Palatino Linotype" w:cs="Arial"/>
          <w:i/>
        </w:rPr>
      </w:pPr>
      <w:r w:rsidRPr="001130B8">
        <w:rPr>
          <w:rFonts w:ascii="Palatino Linotype" w:hAnsi="Palatino Linotype" w:cs="Arial"/>
          <w:i/>
        </w:rPr>
        <w:t>XII. La negativa a permitir la consulta directa de la información;</w:t>
      </w:r>
    </w:p>
    <w:p w14:paraId="06BF20A8" w14:textId="77777777" w:rsidR="001130B8" w:rsidRPr="001130B8" w:rsidRDefault="001130B8" w:rsidP="001130B8">
      <w:pPr>
        <w:pStyle w:val="Prrafodelista"/>
        <w:tabs>
          <w:tab w:val="left" w:pos="8222"/>
        </w:tabs>
        <w:spacing w:line="276" w:lineRule="auto"/>
        <w:ind w:left="851" w:right="992"/>
        <w:jc w:val="both"/>
        <w:rPr>
          <w:rFonts w:ascii="Palatino Linotype" w:hAnsi="Palatino Linotype" w:cs="Arial"/>
          <w:i/>
        </w:rPr>
      </w:pPr>
      <w:r w:rsidRPr="001130B8">
        <w:rPr>
          <w:rFonts w:ascii="Palatino Linotype" w:hAnsi="Palatino Linotype" w:cs="Arial"/>
          <w:i/>
        </w:rPr>
        <w:t>XIII. La falta, deficiencia o insuficiencia de la fundamentación y/o motivación en la respuesta; y</w:t>
      </w:r>
    </w:p>
    <w:p w14:paraId="6D548214" w14:textId="77777777" w:rsidR="001130B8" w:rsidRPr="001130B8" w:rsidRDefault="001130B8" w:rsidP="001130B8">
      <w:pPr>
        <w:pStyle w:val="Prrafodelista"/>
        <w:spacing w:line="276" w:lineRule="auto"/>
        <w:ind w:left="851" w:right="992"/>
        <w:jc w:val="both"/>
        <w:rPr>
          <w:rFonts w:ascii="Palatino Linotype" w:hAnsi="Palatino Linotype" w:cs="Arial"/>
          <w:i/>
        </w:rPr>
      </w:pPr>
      <w:r w:rsidRPr="001130B8">
        <w:rPr>
          <w:rFonts w:ascii="Palatino Linotype" w:hAnsi="Palatino Linotype" w:cs="Arial"/>
          <w:i/>
        </w:rPr>
        <w:t>XIV. La orientación a un trámite específico.</w:t>
      </w:r>
    </w:p>
    <w:p w14:paraId="5E0F35AF" w14:textId="77777777" w:rsidR="001130B8" w:rsidRPr="001130B8" w:rsidRDefault="001130B8" w:rsidP="001130B8">
      <w:pPr>
        <w:pStyle w:val="Prrafodelista"/>
        <w:spacing w:line="276" w:lineRule="auto"/>
        <w:ind w:left="851" w:right="992"/>
        <w:jc w:val="both"/>
        <w:rPr>
          <w:rFonts w:ascii="Palatino Linotype" w:hAnsi="Palatino Linotype" w:cs="Arial"/>
          <w:i/>
        </w:rPr>
      </w:pPr>
    </w:p>
    <w:p w14:paraId="088B58EA" w14:textId="77777777" w:rsidR="001130B8" w:rsidRPr="001130B8" w:rsidRDefault="001130B8" w:rsidP="001130B8">
      <w:pPr>
        <w:pStyle w:val="Prrafodelista"/>
        <w:tabs>
          <w:tab w:val="left" w:pos="8222"/>
        </w:tabs>
        <w:spacing w:line="276" w:lineRule="auto"/>
        <w:ind w:left="851" w:right="992"/>
        <w:jc w:val="both"/>
        <w:rPr>
          <w:rFonts w:ascii="Palatino Linotype" w:hAnsi="Palatino Linotype" w:cs="Arial"/>
          <w:i/>
        </w:rPr>
      </w:pPr>
      <w:r w:rsidRPr="001130B8">
        <w:rPr>
          <w:rFonts w:ascii="Palatino Linotype" w:hAnsi="Palatino Linotype" w:cs="Arial"/>
          <w:i/>
        </w:rPr>
        <w:t xml:space="preserve">La respuesta que den los sujetos obligados derivada de la resolución a un Recurso de Revisión que proceda por las causales señaladas en las fracciones IV, VII, IX, X, </w:t>
      </w:r>
      <w:r w:rsidRPr="001130B8">
        <w:rPr>
          <w:rFonts w:ascii="Palatino Linotype" w:hAnsi="Palatino Linotype" w:cs="Arial"/>
          <w:i/>
        </w:rPr>
        <w:lastRenderedPageBreak/>
        <w:t>XI y XII es susceptible de ser impugnada de nueva cuenta, mediante Recurso de Revisión, ante el Instituto.” (Sic)</w:t>
      </w:r>
    </w:p>
    <w:p w14:paraId="64DEB06B" w14:textId="77777777" w:rsidR="001130B8" w:rsidRPr="00C5551A" w:rsidRDefault="001130B8" w:rsidP="00C5551A">
      <w:pPr>
        <w:jc w:val="both"/>
        <w:rPr>
          <w:rFonts w:ascii="Palatino Linotype" w:hAnsi="Palatino Linotype" w:cs="Arial"/>
        </w:rPr>
      </w:pPr>
    </w:p>
    <w:p w14:paraId="4E22E78A" w14:textId="77777777" w:rsidR="001130B8" w:rsidRPr="001130B8" w:rsidRDefault="001130B8" w:rsidP="001130B8">
      <w:pPr>
        <w:pStyle w:val="Prrafodelista"/>
        <w:numPr>
          <w:ilvl w:val="0"/>
          <w:numId w:val="1"/>
        </w:numPr>
        <w:spacing w:line="360" w:lineRule="auto"/>
        <w:ind w:left="0" w:firstLine="0"/>
        <w:jc w:val="both"/>
        <w:rPr>
          <w:rFonts w:ascii="Palatino Linotype" w:hAnsi="Palatino Linotype" w:cs="Arial"/>
          <w:sz w:val="24"/>
        </w:rPr>
      </w:pPr>
      <w:r w:rsidRPr="001130B8">
        <w:rPr>
          <w:rFonts w:ascii="Palatino Linotype" w:hAnsi="Palatino Linotype" w:cs="Arial"/>
          <w:sz w:val="24"/>
        </w:rPr>
        <w:t xml:space="preserve">Derivado del contenido del numeral citado en el párrafo que antecede, se advierte que no se encuentran dentro de citadas causales, alguna hipótesis que prevea la veracidad de la información. </w:t>
      </w:r>
    </w:p>
    <w:p w14:paraId="2C197DD7" w14:textId="77777777" w:rsidR="001130B8" w:rsidRPr="001130B8" w:rsidRDefault="001130B8" w:rsidP="001130B8">
      <w:pPr>
        <w:pStyle w:val="Prrafodelista"/>
        <w:spacing w:line="360" w:lineRule="auto"/>
        <w:ind w:left="0"/>
        <w:jc w:val="both"/>
        <w:rPr>
          <w:rFonts w:ascii="Palatino Linotype" w:hAnsi="Palatino Linotype" w:cs="Arial"/>
          <w:sz w:val="24"/>
        </w:rPr>
      </w:pPr>
    </w:p>
    <w:p w14:paraId="68FD5960" w14:textId="77777777" w:rsidR="001130B8" w:rsidRPr="001130B8" w:rsidRDefault="001130B8" w:rsidP="001130B8">
      <w:pPr>
        <w:pStyle w:val="Prrafodelista"/>
        <w:numPr>
          <w:ilvl w:val="0"/>
          <w:numId w:val="1"/>
        </w:numPr>
        <w:spacing w:line="360" w:lineRule="auto"/>
        <w:ind w:left="0" w:firstLine="0"/>
        <w:jc w:val="both"/>
        <w:rPr>
          <w:rFonts w:ascii="Palatino Linotype" w:hAnsi="Palatino Linotype" w:cs="Arial"/>
          <w:sz w:val="24"/>
        </w:rPr>
      </w:pPr>
      <w:r w:rsidRPr="001130B8">
        <w:rPr>
          <w:rFonts w:ascii="Palatino Linotype" w:hAnsi="Palatino Linotype" w:cs="Arial"/>
          <w:sz w:val="24"/>
        </w:rPr>
        <w:t>Derivado de lo anterior, es importante traer a contexto lo dispuesto en los artículos 186, 191 y 192 de la Ley de Transparencia y Acceso a la Información Pública del Estado de México y Municipios, los cuales disponen lo siguiente:</w:t>
      </w:r>
    </w:p>
    <w:p w14:paraId="5A5AA186" w14:textId="77777777" w:rsidR="001130B8" w:rsidRPr="001130B8" w:rsidRDefault="001130B8" w:rsidP="001130B8">
      <w:pPr>
        <w:pStyle w:val="Prrafodelista"/>
        <w:ind w:left="644"/>
        <w:jc w:val="both"/>
        <w:rPr>
          <w:rFonts w:ascii="Palatino Linotype" w:hAnsi="Palatino Linotype" w:cs="Arial"/>
        </w:rPr>
      </w:pPr>
    </w:p>
    <w:p w14:paraId="61F36FDD"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“Artículo 186. </w:t>
      </w:r>
      <w:r w:rsidRPr="001130B8">
        <w:rPr>
          <w:rFonts w:ascii="Palatino Linotype" w:eastAsiaTheme="minorEastAsia" w:hAnsi="Palatino Linotype" w:cs="Bookman Old Style"/>
          <w:i/>
          <w:szCs w:val="22"/>
        </w:rPr>
        <w:t>Las resoluciones del Instituto podrán:</w:t>
      </w:r>
    </w:p>
    <w:p w14:paraId="5317577D"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 </w:t>
      </w:r>
      <w:r w:rsidRPr="001130B8">
        <w:rPr>
          <w:rFonts w:ascii="Palatino Linotype" w:eastAsiaTheme="minorEastAsia" w:hAnsi="Palatino Linotype" w:cs="Bookman Old Style"/>
          <w:i/>
          <w:szCs w:val="22"/>
        </w:rPr>
        <w:t>Desechar o sobreseer el recurso;</w:t>
      </w:r>
    </w:p>
    <w:p w14:paraId="418426F5"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II. </w:t>
      </w:r>
      <w:r w:rsidRPr="001130B8">
        <w:rPr>
          <w:rFonts w:ascii="Palatino Linotype" w:eastAsiaTheme="minorEastAsia" w:hAnsi="Palatino Linotype" w:cs="Bookman Old Style"/>
          <w:i/>
          <w:szCs w:val="22"/>
        </w:rPr>
        <w:t>Confirmar la respuesta del sujeto obligado;</w:t>
      </w:r>
    </w:p>
    <w:p w14:paraId="05D768F6"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III. </w:t>
      </w:r>
      <w:r w:rsidRPr="001130B8">
        <w:rPr>
          <w:rFonts w:ascii="Palatino Linotype" w:eastAsiaTheme="minorEastAsia" w:hAnsi="Palatino Linotype" w:cs="Bookman Old Style"/>
          <w:i/>
          <w:szCs w:val="22"/>
        </w:rPr>
        <w:t>Revocar o modificar la respuesta del sujeto obligado; y</w:t>
      </w:r>
    </w:p>
    <w:p w14:paraId="33E264AF" w14:textId="77777777" w:rsidR="001130B8" w:rsidRPr="001130B8" w:rsidRDefault="001130B8" w:rsidP="001130B8">
      <w:pPr>
        <w:pStyle w:val="Prrafodelista"/>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IV. </w:t>
      </w:r>
      <w:r w:rsidRPr="001130B8">
        <w:rPr>
          <w:rFonts w:ascii="Palatino Linotype" w:eastAsiaTheme="minorEastAsia" w:hAnsi="Palatino Linotype" w:cs="Bookman Old Style"/>
          <w:i/>
          <w:szCs w:val="22"/>
        </w:rPr>
        <w:t>Ordenar la entrega de la información</w:t>
      </w:r>
    </w:p>
    <w:p w14:paraId="0F3D53B6" w14:textId="77777777" w:rsidR="001130B8" w:rsidRPr="001130B8" w:rsidRDefault="001130B8" w:rsidP="001130B8">
      <w:pPr>
        <w:pStyle w:val="Prrafodelista"/>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w:t>
      </w:r>
    </w:p>
    <w:p w14:paraId="3EC12131"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Bold"/>
          <w:b/>
          <w:bCs/>
          <w:i/>
          <w:szCs w:val="22"/>
        </w:rPr>
      </w:pPr>
    </w:p>
    <w:p w14:paraId="122337DC"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Artículo 191. </w:t>
      </w:r>
      <w:r w:rsidRPr="001130B8">
        <w:rPr>
          <w:rFonts w:ascii="Palatino Linotype" w:eastAsiaTheme="minorEastAsia" w:hAnsi="Palatino Linotype" w:cs="Bookman Old Style"/>
          <w:i/>
          <w:szCs w:val="22"/>
        </w:rPr>
        <w:t>El recurso será desechado por improcedente cuando:</w:t>
      </w:r>
    </w:p>
    <w:p w14:paraId="6C22AB57"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 </w:t>
      </w:r>
      <w:r w:rsidRPr="001130B8">
        <w:rPr>
          <w:rFonts w:ascii="Palatino Linotype" w:eastAsiaTheme="minorEastAsia" w:hAnsi="Palatino Linotype" w:cs="Bookman Old Style"/>
          <w:i/>
          <w:szCs w:val="22"/>
        </w:rPr>
        <w:t>Sea extemporáneo por haber transcurrido el plazo establecido en la presente Ley, a partir de la respuesta;</w:t>
      </w:r>
    </w:p>
    <w:p w14:paraId="09142032"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II. </w:t>
      </w:r>
      <w:r w:rsidRPr="001130B8">
        <w:rPr>
          <w:rFonts w:ascii="Palatino Linotype" w:eastAsiaTheme="minorEastAsia" w:hAnsi="Palatino Linotype" w:cs="Bookman Old Style"/>
          <w:i/>
          <w:szCs w:val="22"/>
        </w:rPr>
        <w:t>Se esté tramitando ante el Poder Judicial de la Federación algún recurso o medio de defensa interpuesto por el recurrente;</w:t>
      </w:r>
    </w:p>
    <w:p w14:paraId="6423CDBE"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III. </w:t>
      </w:r>
      <w:r w:rsidRPr="001130B8">
        <w:rPr>
          <w:rFonts w:ascii="Palatino Linotype" w:eastAsiaTheme="minorEastAsia" w:hAnsi="Palatino Linotype" w:cs="Bookman Old Style"/>
          <w:i/>
          <w:szCs w:val="22"/>
        </w:rPr>
        <w:t>No actualice alguno de los supuestos previstos en la presente Ley;</w:t>
      </w:r>
    </w:p>
    <w:p w14:paraId="4C98D8F9"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IV. </w:t>
      </w:r>
      <w:r w:rsidRPr="001130B8">
        <w:rPr>
          <w:rFonts w:ascii="Palatino Linotype" w:eastAsiaTheme="minorEastAsia" w:hAnsi="Palatino Linotype" w:cs="Bookman Old Style"/>
          <w:i/>
          <w:szCs w:val="22"/>
        </w:rPr>
        <w:t>No se haya desahogado la prevención en los términos establecidos en la presente Ley;</w:t>
      </w:r>
    </w:p>
    <w:p w14:paraId="1EC8B854"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V. </w:t>
      </w:r>
      <w:r w:rsidRPr="001130B8">
        <w:rPr>
          <w:rFonts w:ascii="Palatino Linotype" w:eastAsiaTheme="minorEastAsia" w:hAnsi="Palatino Linotype" w:cs="Bookman Old Style"/>
          <w:b/>
          <w:i/>
          <w:szCs w:val="22"/>
        </w:rPr>
        <w:t>Se impugne la veracidad de la información proporcionada</w:t>
      </w:r>
      <w:r w:rsidRPr="001130B8">
        <w:rPr>
          <w:rFonts w:ascii="Palatino Linotype" w:eastAsiaTheme="minorEastAsia" w:hAnsi="Palatino Linotype" w:cs="Bookman Old Style"/>
          <w:i/>
          <w:szCs w:val="22"/>
        </w:rPr>
        <w:t>;</w:t>
      </w:r>
    </w:p>
    <w:p w14:paraId="15542943"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VI. </w:t>
      </w:r>
      <w:r w:rsidRPr="001130B8">
        <w:rPr>
          <w:rFonts w:ascii="Palatino Linotype" w:eastAsiaTheme="minorEastAsia" w:hAnsi="Palatino Linotype" w:cs="Bookman Old Style"/>
          <w:i/>
          <w:szCs w:val="22"/>
        </w:rPr>
        <w:t>Se trate de una consulta, o trámite en específico; y</w:t>
      </w:r>
    </w:p>
    <w:p w14:paraId="58BFB266"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VII. </w:t>
      </w:r>
      <w:r w:rsidRPr="001130B8">
        <w:rPr>
          <w:rFonts w:ascii="Palatino Linotype" w:eastAsiaTheme="minorEastAsia" w:hAnsi="Palatino Linotype" w:cs="Bookman Old Style"/>
          <w:i/>
          <w:szCs w:val="22"/>
        </w:rPr>
        <w:t>El recurrente amplíe su solicitud en el Recurso de Revisión, únicamente respecto de los nuevos contenidos.</w:t>
      </w:r>
    </w:p>
    <w:p w14:paraId="4D2BE2B3"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p>
    <w:p w14:paraId="27A4B93B"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lastRenderedPageBreak/>
        <w:t xml:space="preserve">Artículo 192. </w:t>
      </w:r>
      <w:r w:rsidRPr="001130B8">
        <w:rPr>
          <w:rFonts w:ascii="Palatino Linotype" w:eastAsiaTheme="minorEastAsia" w:hAnsi="Palatino Linotype" w:cs="Bookman Old Style"/>
          <w:i/>
          <w:szCs w:val="22"/>
        </w:rPr>
        <w:t>El recurso será sobreseído, en todo o en parte, cuando una vez admitido, se actualicen alguno de los siguientes supuestos:</w:t>
      </w:r>
    </w:p>
    <w:p w14:paraId="7562DBDB"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 </w:t>
      </w:r>
      <w:r w:rsidRPr="001130B8">
        <w:rPr>
          <w:rFonts w:ascii="Palatino Linotype" w:eastAsiaTheme="minorEastAsia" w:hAnsi="Palatino Linotype" w:cs="Bookman Old Style"/>
          <w:i/>
          <w:szCs w:val="22"/>
        </w:rPr>
        <w:t>El recurrente se desista expresamente del recurso;</w:t>
      </w:r>
    </w:p>
    <w:p w14:paraId="6C994F13"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II. </w:t>
      </w:r>
      <w:r w:rsidRPr="001130B8">
        <w:rPr>
          <w:rFonts w:ascii="Palatino Linotype" w:eastAsiaTheme="minorEastAsia" w:hAnsi="Palatino Linotype" w:cs="Bookman Old Style"/>
          <w:i/>
          <w:szCs w:val="22"/>
        </w:rPr>
        <w:t>El recurrente fallezca o, tratándose de personas jurídicas colectivas, se disuelva;</w:t>
      </w:r>
    </w:p>
    <w:p w14:paraId="507B891B"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III. </w:t>
      </w:r>
      <w:r w:rsidRPr="001130B8">
        <w:rPr>
          <w:rFonts w:ascii="Palatino Linotype" w:eastAsiaTheme="minorEastAsia" w:hAnsi="Palatino Linotype" w:cs="Bookman Old Style"/>
          <w:i/>
          <w:szCs w:val="22"/>
        </w:rPr>
        <w:t>El sujeto obligado responsable del acto lo modifique o revoque de tal manera que el Recurso de Revisión quede sin materia;</w:t>
      </w:r>
    </w:p>
    <w:p w14:paraId="2E47BEBB"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b/>
          <w:i/>
          <w:szCs w:val="22"/>
        </w:rPr>
      </w:pPr>
      <w:r w:rsidRPr="001130B8">
        <w:rPr>
          <w:rFonts w:ascii="Palatino Linotype" w:eastAsiaTheme="minorEastAsia" w:hAnsi="Palatino Linotype" w:cs="Bookman Old Style,Bold"/>
          <w:b/>
          <w:bCs/>
          <w:i/>
          <w:szCs w:val="22"/>
        </w:rPr>
        <w:t xml:space="preserve">IV. </w:t>
      </w:r>
      <w:r w:rsidRPr="001130B8">
        <w:rPr>
          <w:rFonts w:ascii="Palatino Linotype" w:eastAsiaTheme="minorEastAsia" w:hAnsi="Palatino Linotype" w:cs="Bookman Old Style"/>
          <w:b/>
          <w:i/>
          <w:szCs w:val="22"/>
        </w:rPr>
        <w:t>Admitido el Recurso de Revisión, aparezca alguna causal de improcedencia en los términos de la presente Ley; y</w:t>
      </w:r>
    </w:p>
    <w:p w14:paraId="116CD152" w14:textId="77777777" w:rsidR="001130B8" w:rsidRPr="001130B8"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szCs w:val="22"/>
        </w:rPr>
      </w:pPr>
      <w:r w:rsidRPr="001130B8">
        <w:rPr>
          <w:rFonts w:ascii="Palatino Linotype" w:eastAsiaTheme="minorEastAsia" w:hAnsi="Palatino Linotype" w:cs="Bookman Old Style,Bold"/>
          <w:b/>
          <w:bCs/>
          <w:i/>
          <w:szCs w:val="22"/>
        </w:rPr>
        <w:t xml:space="preserve">V. </w:t>
      </w:r>
      <w:r w:rsidRPr="001130B8">
        <w:rPr>
          <w:rFonts w:ascii="Palatino Linotype" w:eastAsiaTheme="minorEastAsia" w:hAnsi="Palatino Linotype" w:cs="Bookman Old Style"/>
          <w:i/>
          <w:szCs w:val="22"/>
        </w:rPr>
        <w:t>Cuando por cualquier motivo quede sin materia el recurso</w:t>
      </w:r>
      <w:r w:rsidRPr="001130B8">
        <w:rPr>
          <w:rFonts w:ascii="Palatino Linotype" w:eastAsiaTheme="minorEastAsia" w:hAnsi="Palatino Linotype" w:cs="Bookman Old Style"/>
          <w:szCs w:val="22"/>
        </w:rPr>
        <w:t>.”</w:t>
      </w:r>
    </w:p>
    <w:p w14:paraId="1D9B3730" w14:textId="77777777" w:rsidR="001130B8" w:rsidRPr="00C5551A" w:rsidRDefault="001130B8" w:rsidP="00C5551A">
      <w:pPr>
        <w:autoSpaceDE w:val="0"/>
        <w:autoSpaceDN w:val="0"/>
        <w:adjustRightInd w:val="0"/>
        <w:ind w:right="899"/>
        <w:jc w:val="both"/>
        <w:rPr>
          <w:rFonts w:ascii="Palatino Linotype" w:eastAsiaTheme="minorEastAsia" w:hAnsi="Palatino Linotype" w:cs="Bookman Old Style"/>
          <w:szCs w:val="22"/>
        </w:rPr>
      </w:pPr>
    </w:p>
    <w:p w14:paraId="66A0E11C" w14:textId="77777777" w:rsidR="001130B8" w:rsidRPr="001130B8" w:rsidRDefault="001130B8" w:rsidP="001130B8">
      <w:pPr>
        <w:pStyle w:val="Prrafodelista"/>
        <w:numPr>
          <w:ilvl w:val="0"/>
          <w:numId w:val="1"/>
        </w:numPr>
        <w:spacing w:line="360" w:lineRule="auto"/>
        <w:ind w:left="0" w:right="49" w:firstLine="0"/>
        <w:jc w:val="both"/>
        <w:rPr>
          <w:rFonts w:ascii="Palatino Linotype" w:hAnsi="Palatino Linotype" w:cs="Arial"/>
          <w:sz w:val="24"/>
        </w:rPr>
      </w:pPr>
      <w:r w:rsidRPr="001130B8">
        <w:rPr>
          <w:rFonts w:ascii="Palatino Linotype" w:hAnsi="Palatino Linotype" w:cs="Arial"/>
          <w:sz w:val="24"/>
        </w:rPr>
        <w:t xml:space="preserve">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sidRPr="001130B8">
        <w:rPr>
          <w:rFonts w:ascii="Palatino Linotype" w:hAnsi="Palatino Linotype" w:cs="Arial"/>
          <w:sz w:val="24"/>
        </w:rPr>
        <w:t>procedibilidad</w:t>
      </w:r>
      <w:proofErr w:type="spellEnd"/>
      <w:r w:rsidRPr="001130B8">
        <w:rPr>
          <w:rFonts w:ascii="Palatino Linotype" w:hAnsi="Palatino Linotype" w:cs="Arial"/>
          <w:sz w:val="24"/>
        </w:rPr>
        <w:t xml:space="preserve"> previstos en el artículo 179 de la Ley en la Materia.</w:t>
      </w:r>
    </w:p>
    <w:p w14:paraId="44E8E39C" w14:textId="77777777" w:rsidR="001130B8" w:rsidRPr="001130B8" w:rsidRDefault="001130B8" w:rsidP="001130B8">
      <w:pPr>
        <w:pStyle w:val="Prrafodelista"/>
        <w:spacing w:line="360" w:lineRule="auto"/>
        <w:ind w:left="0" w:right="49"/>
        <w:jc w:val="both"/>
        <w:rPr>
          <w:rFonts w:ascii="Palatino Linotype" w:hAnsi="Palatino Linotype" w:cs="Arial"/>
          <w:sz w:val="24"/>
        </w:rPr>
      </w:pPr>
    </w:p>
    <w:p w14:paraId="3570BBDA" w14:textId="77777777" w:rsidR="001130B8" w:rsidRPr="001130B8" w:rsidRDefault="001130B8" w:rsidP="001130B8">
      <w:pPr>
        <w:pStyle w:val="Prrafodelista"/>
        <w:numPr>
          <w:ilvl w:val="0"/>
          <w:numId w:val="1"/>
        </w:numPr>
        <w:spacing w:line="360" w:lineRule="auto"/>
        <w:ind w:left="0" w:right="49" w:firstLine="0"/>
        <w:jc w:val="both"/>
        <w:rPr>
          <w:rFonts w:ascii="Palatino Linotype" w:hAnsi="Palatino Linotype" w:cs="Arial"/>
          <w:sz w:val="24"/>
        </w:rPr>
      </w:pPr>
      <w:r w:rsidRPr="001130B8">
        <w:rPr>
          <w:rFonts w:ascii="Palatino Linotype" w:hAnsi="Palatino Linotype" w:cs="Arial"/>
          <w:sz w:val="24"/>
        </w:rPr>
        <w:t xml:space="preserve">Dentro de este orden de ideas, es evidente que no se puede invocar el precepto legal 191 de la Ley de Transparencia y Acceso a la Información Pública del Estado de México y Municipios, posterior a que ha sido admitido, determinando la actualización de un </w:t>
      </w:r>
      <w:proofErr w:type="spellStart"/>
      <w:r w:rsidRPr="001130B8">
        <w:rPr>
          <w:rFonts w:ascii="Palatino Linotype" w:hAnsi="Palatino Linotype" w:cs="Arial"/>
          <w:sz w:val="24"/>
        </w:rPr>
        <w:t>desechamiento</w:t>
      </w:r>
      <w:proofErr w:type="spellEnd"/>
      <w:r w:rsidRPr="001130B8">
        <w:rPr>
          <w:rStyle w:val="Refdenotaalpie"/>
          <w:rFonts w:ascii="Palatino Linotype" w:hAnsi="Palatino Linotype" w:cs="Arial"/>
          <w:sz w:val="24"/>
        </w:rPr>
        <w:footnoteReference w:id="1"/>
      </w:r>
      <w:r w:rsidRPr="001130B8">
        <w:rPr>
          <w:rFonts w:ascii="Palatino Linotype" w:hAnsi="Palatino Linotype" w:cs="Arial"/>
          <w:sz w:val="24"/>
        </w:rPr>
        <w:t>, porque sería subsecuente a la etapa procedimental en la que debió desecharse.</w:t>
      </w:r>
    </w:p>
    <w:p w14:paraId="40E36E6A" w14:textId="77777777" w:rsidR="001130B8" w:rsidRPr="001130B8" w:rsidRDefault="001130B8" w:rsidP="001130B8">
      <w:pPr>
        <w:pStyle w:val="Prrafodelista"/>
        <w:spacing w:line="360" w:lineRule="auto"/>
        <w:ind w:left="0" w:right="49"/>
        <w:jc w:val="both"/>
        <w:rPr>
          <w:rFonts w:ascii="Palatino Linotype" w:hAnsi="Palatino Linotype" w:cs="Arial"/>
          <w:sz w:val="24"/>
        </w:rPr>
      </w:pPr>
    </w:p>
    <w:p w14:paraId="700FB8A3" w14:textId="77777777" w:rsidR="001130B8" w:rsidRPr="001130B8" w:rsidRDefault="001130B8" w:rsidP="001130B8">
      <w:pPr>
        <w:pStyle w:val="Prrafodelista"/>
        <w:numPr>
          <w:ilvl w:val="0"/>
          <w:numId w:val="1"/>
        </w:numPr>
        <w:spacing w:line="360" w:lineRule="auto"/>
        <w:ind w:left="0" w:right="49" w:firstLine="0"/>
        <w:jc w:val="both"/>
        <w:rPr>
          <w:rFonts w:ascii="Palatino Linotype" w:hAnsi="Palatino Linotype" w:cs="Arial"/>
          <w:sz w:val="24"/>
        </w:rPr>
      </w:pPr>
      <w:r w:rsidRPr="001130B8">
        <w:rPr>
          <w:rFonts w:ascii="Palatino Linotype" w:hAnsi="Palatino Linotype" w:cs="Arial"/>
          <w:sz w:val="24"/>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262B4724" w14:textId="77777777" w:rsidR="001130B8" w:rsidRPr="001130B8" w:rsidRDefault="001130B8" w:rsidP="001130B8">
      <w:pPr>
        <w:pStyle w:val="Prrafodelista"/>
        <w:spacing w:line="360" w:lineRule="auto"/>
        <w:ind w:left="0" w:right="49"/>
        <w:jc w:val="both"/>
        <w:rPr>
          <w:rFonts w:ascii="Palatino Linotype" w:hAnsi="Palatino Linotype" w:cs="Arial"/>
          <w:sz w:val="24"/>
        </w:rPr>
      </w:pPr>
    </w:p>
    <w:p w14:paraId="655508B7" w14:textId="0F04579C" w:rsidR="001130B8" w:rsidRPr="001130B8" w:rsidRDefault="001130B8" w:rsidP="001130B8">
      <w:pPr>
        <w:pStyle w:val="Prrafodelista"/>
        <w:numPr>
          <w:ilvl w:val="0"/>
          <w:numId w:val="1"/>
        </w:numPr>
        <w:spacing w:line="360" w:lineRule="auto"/>
        <w:ind w:left="0" w:right="49" w:firstLine="0"/>
        <w:jc w:val="both"/>
        <w:rPr>
          <w:rFonts w:ascii="Palatino Linotype" w:hAnsi="Palatino Linotype" w:cs="Arial"/>
          <w:sz w:val="24"/>
        </w:rPr>
      </w:pPr>
      <w:r w:rsidRPr="001130B8">
        <w:rPr>
          <w:rFonts w:ascii="Palatino Linotype" w:hAnsi="Palatino Linotype" w:cs="Arial"/>
          <w:sz w:val="24"/>
        </w:rPr>
        <w:t xml:space="preserve">Del análisis de las constancias que obran en el expediente electrónico formado en el </w:t>
      </w:r>
      <w:r w:rsidRPr="001130B8">
        <w:rPr>
          <w:rFonts w:ascii="Palatino Linotype" w:hAnsi="Palatino Linotype" w:cs="Arial"/>
          <w:b/>
          <w:bCs/>
          <w:sz w:val="24"/>
        </w:rPr>
        <w:t>SAIMEX</w:t>
      </w:r>
      <w:r w:rsidR="00803D44">
        <w:rPr>
          <w:rFonts w:ascii="Palatino Linotype" w:hAnsi="Palatino Linotype" w:cs="Arial"/>
          <w:b/>
          <w:bCs/>
          <w:sz w:val="24"/>
        </w:rPr>
        <w:t>,</w:t>
      </w:r>
      <w:r w:rsidRPr="001130B8">
        <w:rPr>
          <w:rFonts w:ascii="Palatino Linotype" w:hAnsi="Palatino Linotype" w:cs="Arial"/>
          <w:b/>
          <w:bCs/>
          <w:sz w:val="24"/>
        </w:rPr>
        <w:t xml:space="preserve"> </w:t>
      </w:r>
      <w:r w:rsidRPr="001130B8">
        <w:rPr>
          <w:rFonts w:ascii="Palatino Linotype" w:hAnsi="Palatino Linotype" w:cs="Arial"/>
          <w:sz w:val="24"/>
        </w:rPr>
        <w:t xml:space="preserve">del Recurso de Revisión materia del presente estudio, se advierte que se actualiza la causal de </w:t>
      </w:r>
      <w:r w:rsidRPr="001130B8">
        <w:rPr>
          <w:rFonts w:ascii="Palatino Linotype" w:hAnsi="Palatino Linotype" w:cs="Arial"/>
          <w:b/>
          <w:bCs/>
          <w:sz w:val="24"/>
        </w:rPr>
        <w:t xml:space="preserve">sobreseimiento </w:t>
      </w:r>
      <w:r w:rsidRPr="001130B8">
        <w:rPr>
          <w:rFonts w:ascii="Palatino Linotype" w:hAnsi="Palatino Linotype" w:cs="Arial"/>
          <w:sz w:val="24"/>
        </w:rPr>
        <w:t>prevista en el artículo 192 fracción IV en relación con el artículo 191 fracción V de la Ley de Transparencia y Acceso a la Información Pública del Estado de México y Municipios,  lo anterior, por cómo se ha analizado en el presente estudio, no existen elementos de procedencia.</w:t>
      </w:r>
    </w:p>
    <w:p w14:paraId="0A3C501E" w14:textId="77777777" w:rsidR="001130B8" w:rsidRPr="001130B8" w:rsidRDefault="001130B8" w:rsidP="001130B8">
      <w:pPr>
        <w:pStyle w:val="Prrafodelista"/>
        <w:spacing w:line="360" w:lineRule="auto"/>
        <w:ind w:left="0"/>
        <w:jc w:val="both"/>
        <w:rPr>
          <w:rFonts w:ascii="Palatino Linotype" w:hAnsi="Palatino Linotype" w:cs="Arial"/>
          <w:sz w:val="24"/>
        </w:rPr>
      </w:pPr>
    </w:p>
    <w:p w14:paraId="46DA3723" w14:textId="77777777" w:rsidR="001130B8" w:rsidRPr="001130B8" w:rsidRDefault="001130B8" w:rsidP="001130B8">
      <w:pPr>
        <w:pStyle w:val="Prrafodelista"/>
        <w:numPr>
          <w:ilvl w:val="0"/>
          <w:numId w:val="1"/>
        </w:numPr>
        <w:spacing w:line="360" w:lineRule="auto"/>
        <w:ind w:left="0" w:right="49" w:firstLine="0"/>
        <w:jc w:val="both"/>
        <w:rPr>
          <w:rFonts w:ascii="Palatino Linotype" w:hAnsi="Palatino Linotype" w:cs="Arial"/>
          <w:sz w:val="24"/>
        </w:rPr>
      </w:pPr>
      <w:r w:rsidRPr="001130B8">
        <w:rPr>
          <w:rFonts w:ascii="Palatino Linotype" w:hAnsi="Palatino Linotype" w:cs="Arial"/>
          <w:sz w:val="24"/>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3C8201F2" w14:textId="77777777" w:rsidR="001130B8" w:rsidRPr="001130B8" w:rsidRDefault="001130B8" w:rsidP="001130B8">
      <w:pPr>
        <w:pStyle w:val="Prrafodelista"/>
        <w:ind w:left="644" w:right="49"/>
        <w:jc w:val="both"/>
        <w:rPr>
          <w:rFonts w:ascii="Palatino Linotype" w:hAnsi="Palatino Linotype" w:cs="Arial"/>
          <w:szCs w:val="22"/>
        </w:rPr>
      </w:pPr>
    </w:p>
    <w:p w14:paraId="62917EA6" w14:textId="77777777" w:rsidR="001130B8" w:rsidRDefault="001130B8" w:rsidP="001130B8">
      <w:pPr>
        <w:pStyle w:val="Prrafodelista"/>
        <w:autoSpaceDE w:val="0"/>
        <w:autoSpaceDN w:val="0"/>
        <w:adjustRightInd w:val="0"/>
        <w:spacing w:line="276" w:lineRule="auto"/>
        <w:ind w:left="644" w:right="899"/>
        <w:jc w:val="both"/>
        <w:rPr>
          <w:rFonts w:ascii="Palatino Linotype" w:hAnsi="Palatino Linotype" w:cs="Arial"/>
          <w:i/>
          <w:szCs w:val="22"/>
        </w:rPr>
      </w:pPr>
      <w:r w:rsidRPr="001130B8">
        <w:rPr>
          <w:rFonts w:ascii="Palatino Linotype" w:hAnsi="Palatino Linotype" w:cs="Arial"/>
          <w:b/>
          <w:i/>
          <w:szCs w:val="22"/>
        </w:rPr>
        <w:t xml:space="preserve">“IMPROCEDENCIA. ESTUDIO PREFERENCIAL DE LAS CAUSALES PREVISTAS EN EL ARTÍCULO 73 DE LA LEY DE AMPARO. </w:t>
      </w:r>
      <w:r w:rsidRPr="001130B8">
        <w:rPr>
          <w:rFonts w:ascii="Palatino Linotype" w:hAnsi="Palatino Linotype" w:cs="Arial"/>
          <w:i/>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62FAEDB9" w14:textId="77777777" w:rsidR="001130B8" w:rsidRPr="00C5551A" w:rsidRDefault="001130B8" w:rsidP="00C5551A">
      <w:pPr>
        <w:autoSpaceDE w:val="0"/>
        <w:autoSpaceDN w:val="0"/>
        <w:adjustRightInd w:val="0"/>
        <w:ind w:right="899"/>
        <w:jc w:val="both"/>
        <w:rPr>
          <w:rFonts w:ascii="Palatino Linotype" w:hAnsi="Palatino Linotype" w:cs="Arial"/>
          <w:i/>
          <w:szCs w:val="22"/>
        </w:rPr>
      </w:pPr>
    </w:p>
    <w:p w14:paraId="4F7EB3EA" w14:textId="77777777" w:rsidR="001130B8" w:rsidRPr="001130B8" w:rsidRDefault="001130B8" w:rsidP="001130B8">
      <w:pPr>
        <w:pStyle w:val="Prrafodelista"/>
        <w:numPr>
          <w:ilvl w:val="0"/>
          <w:numId w:val="1"/>
        </w:numPr>
        <w:spacing w:line="360" w:lineRule="auto"/>
        <w:ind w:left="0" w:right="49" w:firstLine="0"/>
        <w:jc w:val="both"/>
        <w:rPr>
          <w:rFonts w:ascii="Palatino Linotype" w:hAnsi="Palatino Linotype"/>
          <w:sz w:val="24"/>
        </w:rPr>
      </w:pPr>
      <w:r w:rsidRPr="001130B8">
        <w:rPr>
          <w:rFonts w:ascii="Palatino Linotype" w:hAnsi="Palatino Linotype"/>
          <w:sz w:val="24"/>
        </w:rPr>
        <w:lastRenderedPageBreak/>
        <w:t xml:space="preserve">Por ello, en términos del artículo 191, fracción I de la Ley de Transparencia y Acceso a la Información Pública del Estado de México y Municipios, este Órgano Garante considera procedente </w:t>
      </w:r>
      <w:r w:rsidRPr="001130B8">
        <w:rPr>
          <w:rFonts w:ascii="Palatino Linotype" w:hAnsi="Palatino Linotype"/>
          <w:b/>
          <w:sz w:val="24"/>
        </w:rPr>
        <w:t xml:space="preserve">SOBRESEER </w:t>
      </w:r>
      <w:r w:rsidRPr="001130B8">
        <w:rPr>
          <w:rFonts w:ascii="Palatino Linotype" w:hAnsi="Palatino Linotype"/>
          <w:sz w:val="24"/>
        </w:rPr>
        <w:t>el presente Recurso de Revisión, toda vez que se actualiza la fracción IV del artículo 192 del citado ordenamiento legal.</w:t>
      </w:r>
    </w:p>
    <w:p w14:paraId="4AC90374" w14:textId="77777777" w:rsidR="001130B8" w:rsidRPr="001130B8" w:rsidRDefault="001130B8" w:rsidP="001130B8">
      <w:pPr>
        <w:pStyle w:val="Prrafodelista"/>
        <w:spacing w:line="360" w:lineRule="auto"/>
        <w:ind w:left="0" w:right="49"/>
        <w:jc w:val="both"/>
        <w:rPr>
          <w:rFonts w:ascii="Palatino Linotype" w:hAnsi="Palatino Linotype"/>
          <w:sz w:val="24"/>
        </w:rPr>
      </w:pPr>
    </w:p>
    <w:p w14:paraId="1C96651D" w14:textId="77777777" w:rsidR="001130B8" w:rsidRPr="001130B8" w:rsidRDefault="001130B8" w:rsidP="001130B8">
      <w:pPr>
        <w:pStyle w:val="Prrafodelista"/>
        <w:numPr>
          <w:ilvl w:val="0"/>
          <w:numId w:val="1"/>
        </w:numPr>
        <w:spacing w:line="360" w:lineRule="auto"/>
        <w:ind w:left="0" w:firstLine="0"/>
        <w:jc w:val="both"/>
        <w:rPr>
          <w:rFonts w:ascii="Palatino Linotype" w:hAnsi="Palatino Linotype"/>
          <w:sz w:val="24"/>
        </w:rPr>
      </w:pPr>
      <w:r w:rsidRPr="001130B8">
        <w:rPr>
          <w:rFonts w:ascii="Palatino Linotype" w:hAnsi="Palatino Linotype" w:cs="Arial"/>
          <w:color w:val="000000"/>
          <w:sz w:val="24"/>
          <w:lang w:val="es-ES"/>
        </w:rPr>
        <w:t xml:space="preserve">Ahora bien, </w:t>
      </w:r>
      <w:r w:rsidRPr="001130B8">
        <w:rPr>
          <w:rFonts w:ascii="Palatino Linotype" w:hAnsi="Palatino Linotype"/>
          <w:sz w:val="24"/>
        </w:rPr>
        <w:t xml:space="preserve">es importante referir que al haber existido un pronunciamiento por parte del </w:t>
      </w:r>
      <w:r w:rsidRPr="001130B8">
        <w:rPr>
          <w:rFonts w:ascii="Palatino Linotype" w:hAnsi="Palatino Linotype"/>
          <w:b/>
          <w:sz w:val="24"/>
        </w:rPr>
        <w:t>SUJETO OBLIGADO</w:t>
      </w:r>
      <w:r w:rsidRPr="001130B8">
        <w:rPr>
          <w:rFonts w:ascii="Palatino Linotype" w:hAnsi="Palatino Linotype"/>
          <w:sz w:val="24"/>
        </w:rPr>
        <w:t xml:space="preserve">, a fin de dar respuesta a la solicitud planteada, este Instituto no está facultado para manifestarse sobre la veracidad de la información proporcionada, pues este Órgano Garante conforme al artículo 36 de la </w:t>
      </w:r>
      <w:r w:rsidRPr="001130B8">
        <w:rPr>
          <w:rFonts w:ascii="Palatino Linotype" w:hAnsi="Palatino Linotype" w:cs="Arial"/>
          <w:sz w:val="24"/>
        </w:rPr>
        <w:t>de la Ley de Transparencia y Acceso a la Información Pública del Estado de México y Municipios,</w:t>
      </w:r>
      <w:r w:rsidRPr="001130B8">
        <w:rPr>
          <w:rFonts w:ascii="Palatino Linotype" w:hAnsi="Palatino Linotype"/>
          <w:sz w:val="24"/>
        </w:rPr>
        <w:t xml:space="preserve"> no se encuentra facultado para pronunciarse acerca de la veracidad de la información remitida por los Sujetos Obligados.</w:t>
      </w:r>
    </w:p>
    <w:p w14:paraId="50B1D98F" w14:textId="77777777" w:rsidR="001130B8" w:rsidRPr="001130B8" w:rsidRDefault="001130B8" w:rsidP="001130B8">
      <w:pPr>
        <w:pStyle w:val="Prrafodelista"/>
        <w:spacing w:line="360" w:lineRule="auto"/>
        <w:ind w:left="0"/>
        <w:jc w:val="both"/>
        <w:rPr>
          <w:rFonts w:ascii="Palatino Linotype" w:hAnsi="Palatino Linotype" w:cs="Arial"/>
          <w:szCs w:val="20"/>
        </w:rPr>
      </w:pPr>
    </w:p>
    <w:p w14:paraId="51F41C7D" w14:textId="77777777" w:rsidR="001130B8" w:rsidRPr="001130B8" w:rsidRDefault="001130B8" w:rsidP="001130B8">
      <w:pPr>
        <w:pStyle w:val="Prrafodelista"/>
        <w:numPr>
          <w:ilvl w:val="0"/>
          <w:numId w:val="1"/>
        </w:numPr>
        <w:spacing w:line="360" w:lineRule="auto"/>
        <w:ind w:left="0" w:firstLine="0"/>
        <w:jc w:val="both"/>
        <w:rPr>
          <w:rFonts w:ascii="Palatino Linotype" w:hAnsi="Palatino Linotype" w:cs="Arial"/>
          <w:sz w:val="24"/>
        </w:rPr>
      </w:pPr>
      <w:r w:rsidRPr="001130B8">
        <w:rPr>
          <w:rFonts w:ascii="Palatino Linotype" w:hAnsi="Palatino Linotype" w:cs="Arial"/>
          <w:sz w:val="24"/>
        </w:rPr>
        <w:t xml:space="preserve">Para ello, sirve de sustento el criterio 31/10 emitido por el entonces Instituto Federal de Acceso a la Información y Protección de Datos, ahora Instituto Nacional de Acceso a la Información y Protección de Datos, el cual refiere: </w:t>
      </w:r>
    </w:p>
    <w:p w14:paraId="1CF5C393" w14:textId="77777777" w:rsidR="001130B8" w:rsidRPr="001130B8" w:rsidRDefault="001130B8" w:rsidP="001130B8">
      <w:pPr>
        <w:pStyle w:val="Prrafodelista"/>
        <w:ind w:left="644"/>
        <w:jc w:val="both"/>
        <w:rPr>
          <w:rFonts w:ascii="Palatino Linotype" w:hAnsi="Palatino Linotype" w:cs="Arial"/>
          <w:sz w:val="20"/>
          <w:szCs w:val="20"/>
        </w:rPr>
      </w:pPr>
    </w:p>
    <w:p w14:paraId="1B5CA1EA" w14:textId="77777777" w:rsidR="001130B8" w:rsidRPr="001130B8" w:rsidRDefault="001130B8" w:rsidP="001130B8">
      <w:pPr>
        <w:pStyle w:val="Prrafodelista"/>
        <w:tabs>
          <w:tab w:val="left" w:pos="8222"/>
        </w:tabs>
        <w:ind w:left="644" w:right="899"/>
        <w:jc w:val="both"/>
        <w:rPr>
          <w:rFonts w:ascii="Palatino Linotype" w:hAnsi="Palatino Linotype" w:cs="Arial"/>
          <w:b/>
          <w:i/>
        </w:rPr>
      </w:pPr>
      <w:r w:rsidRPr="001130B8">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1130B8">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w:t>
      </w:r>
      <w:r w:rsidRPr="001130B8">
        <w:rPr>
          <w:rFonts w:ascii="Palatino Linotype" w:hAnsi="Palatino Linotype" w:cs="Arial"/>
          <w:i/>
        </w:rPr>
        <w:lastRenderedPageBreak/>
        <w:t>Federal de Acceso a la Información y Protección de Datos conocer, vía recurso revisión, al respecto.</w:t>
      </w:r>
      <w:r w:rsidRPr="001130B8">
        <w:rPr>
          <w:rFonts w:ascii="Palatino Linotype" w:hAnsi="Palatino Linotype" w:cs="Arial"/>
          <w:b/>
          <w:i/>
        </w:rPr>
        <w:t>”</w:t>
      </w:r>
      <w:r w:rsidRPr="001130B8">
        <w:rPr>
          <w:rFonts w:ascii="Palatino Linotype" w:hAnsi="Palatino Linotype" w:cs="Arial"/>
          <w:i/>
        </w:rPr>
        <w:t xml:space="preserve"> (</w:t>
      </w:r>
      <w:proofErr w:type="gramStart"/>
      <w:r w:rsidRPr="001130B8">
        <w:rPr>
          <w:rFonts w:ascii="Palatino Linotype" w:hAnsi="Palatino Linotype" w:cs="Arial"/>
          <w:i/>
        </w:rPr>
        <w:t>sic</w:t>
      </w:r>
      <w:proofErr w:type="gramEnd"/>
      <w:r w:rsidRPr="001130B8">
        <w:rPr>
          <w:rFonts w:ascii="Palatino Linotype" w:hAnsi="Palatino Linotype" w:cs="Arial"/>
          <w:i/>
        </w:rPr>
        <w:t>)</w:t>
      </w:r>
    </w:p>
    <w:p w14:paraId="13F1B824" w14:textId="77777777" w:rsidR="001130B8" w:rsidRPr="001130B8" w:rsidRDefault="001130B8" w:rsidP="001130B8">
      <w:pPr>
        <w:pStyle w:val="Prrafodelista"/>
        <w:spacing w:line="360" w:lineRule="auto"/>
        <w:ind w:left="0"/>
        <w:jc w:val="both"/>
        <w:rPr>
          <w:rFonts w:ascii="Palatino Linotype" w:hAnsi="Palatino Linotype" w:cs="Arial"/>
          <w:sz w:val="24"/>
        </w:rPr>
      </w:pPr>
    </w:p>
    <w:p w14:paraId="3B31E863" w14:textId="77777777" w:rsidR="001130B8" w:rsidRDefault="001130B8" w:rsidP="001130B8">
      <w:pPr>
        <w:numPr>
          <w:ilvl w:val="0"/>
          <w:numId w:val="1"/>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04ACF75C" w14:textId="77777777" w:rsidR="001130B8" w:rsidRPr="00510EFC" w:rsidRDefault="001130B8" w:rsidP="001130B8">
      <w:pPr>
        <w:spacing w:line="360" w:lineRule="auto"/>
        <w:contextualSpacing/>
        <w:jc w:val="both"/>
        <w:rPr>
          <w:rFonts w:ascii="Palatino Linotype" w:eastAsia="Calibri" w:hAnsi="Palatino Linotype"/>
        </w:rPr>
      </w:pPr>
    </w:p>
    <w:p w14:paraId="7A9A2C48" w14:textId="77777777" w:rsidR="001130B8" w:rsidRPr="00640032" w:rsidRDefault="001130B8" w:rsidP="001130B8">
      <w:pPr>
        <w:numPr>
          <w:ilvl w:val="0"/>
          <w:numId w:val="1"/>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lang w:val="es-CO"/>
        </w:rPr>
        <w:t xml:space="preserve">Bajo ese tenor y en términos del artículo 186 fracción I este Pleno determina el </w:t>
      </w:r>
      <w:r w:rsidRPr="00640032">
        <w:rPr>
          <w:rFonts w:ascii="Palatino Linotype" w:eastAsia="Calibri" w:hAnsi="Palatino Linotype"/>
          <w:b/>
          <w:lang w:val="es-CO"/>
        </w:rPr>
        <w:t xml:space="preserve">SOBRESEIMIENTO </w:t>
      </w:r>
      <w:r w:rsidRPr="00640032">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14:paraId="07A1B847" w14:textId="77777777" w:rsidR="001130B8" w:rsidRPr="001130B8" w:rsidRDefault="001130B8" w:rsidP="001130B8">
      <w:pPr>
        <w:pStyle w:val="Prrafodelista"/>
        <w:spacing w:line="360" w:lineRule="auto"/>
        <w:ind w:left="0"/>
        <w:jc w:val="both"/>
        <w:rPr>
          <w:rFonts w:ascii="Palatino Linotype" w:hAnsi="Palatino Linotype" w:cs="Arial"/>
          <w:sz w:val="24"/>
        </w:rPr>
      </w:pPr>
    </w:p>
    <w:p w14:paraId="6227217B" w14:textId="77777777" w:rsidR="00DC64EA" w:rsidRPr="0053542C" w:rsidRDefault="00DC64EA" w:rsidP="00DC64EA">
      <w:pPr>
        <w:pStyle w:val="Prrafodelista"/>
        <w:numPr>
          <w:ilvl w:val="0"/>
          <w:numId w:val="1"/>
        </w:numPr>
        <w:spacing w:line="360" w:lineRule="auto"/>
        <w:ind w:left="0" w:firstLine="0"/>
        <w:jc w:val="both"/>
        <w:rPr>
          <w:rFonts w:ascii="Palatino Linotype" w:hAnsi="Palatino Linotype" w:cs="Arial"/>
          <w:sz w:val="24"/>
        </w:rPr>
      </w:pPr>
      <w:r w:rsidRPr="0053542C">
        <w:rPr>
          <w:rFonts w:ascii="Palatino Linotype" w:hAnsi="Palatino Linotype" w:cs="Arial"/>
          <w:color w:val="222222"/>
          <w:sz w:val="24"/>
          <w:lang w:val="es-ES_tradnl"/>
        </w:rPr>
        <w:t xml:space="preserve">Por lo anteriormente expuesto y fundado, este </w:t>
      </w:r>
      <w:r w:rsidRPr="0053542C">
        <w:rPr>
          <w:rFonts w:ascii="Palatino Linotype" w:hAnsi="Palatino Linotype" w:cs="Arial"/>
          <w:b/>
          <w:bCs/>
          <w:color w:val="222222"/>
          <w:sz w:val="24"/>
          <w:lang w:val="es-ES_tradnl"/>
        </w:rPr>
        <w:t>ÓRGANO GARANTE</w:t>
      </w:r>
      <w:r w:rsidRPr="0053542C">
        <w:rPr>
          <w:rFonts w:ascii="Palatino Linotype" w:hAnsi="Palatino Linotype" w:cs="Arial"/>
          <w:color w:val="222222"/>
          <w:sz w:val="24"/>
          <w:lang w:val="es-ES_tradnl"/>
        </w:rPr>
        <w:t xml:space="preserve"> emite los siguientes:</w:t>
      </w:r>
    </w:p>
    <w:p w14:paraId="123C538A" w14:textId="77777777" w:rsidR="00DC64EA" w:rsidRDefault="00DC64EA" w:rsidP="00DC64EA">
      <w:pPr>
        <w:pStyle w:val="Prrafodelista"/>
        <w:tabs>
          <w:tab w:val="left" w:pos="426"/>
        </w:tabs>
        <w:spacing w:before="240" w:after="240" w:line="360" w:lineRule="auto"/>
        <w:ind w:left="0" w:right="49"/>
        <w:jc w:val="both"/>
        <w:rPr>
          <w:rFonts w:ascii="Palatino Linotype" w:eastAsia="MS Mincho" w:hAnsi="Palatino Linotype"/>
          <w:color w:val="000000"/>
        </w:rPr>
      </w:pPr>
    </w:p>
    <w:p w14:paraId="2F5D7F2B" w14:textId="77777777" w:rsidR="00DC64EA" w:rsidRPr="00803D44" w:rsidRDefault="00DC64EA" w:rsidP="00DC64EA">
      <w:pPr>
        <w:pStyle w:val="Ttulo1"/>
        <w:spacing w:line="360" w:lineRule="auto"/>
        <w:jc w:val="center"/>
        <w:rPr>
          <w:rFonts w:ascii="Palatino Linotype" w:hAnsi="Palatino Linotype"/>
          <w:b/>
          <w:color w:val="000000" w:themeColor="text1"/>
          <w:szCs w:val="24"/>
        </w:rPr>
      </w:pPr>
      <w:bookmarkStart w:id="18" w:name="_Toc61470701"/>
      <w:r w:rsidRPr="00803D44">
        <w:rPr>
          <w:rFonts w:ascii="Palatino Linotype" w:hAnsi="Palatino Linotype"/>
          <w:b/>
          <w:color w:val="000000" w:themeColor="text1"/>
          <w:sz w:val="28"/>
          <w:szCs w:val="24"/>
        </w:rPr>
        <w:t>R E S O L U T I V O S</w:t>
      </w:r>
      <w:bookmarkEnd w:id="13"/>
      <w:bookmarkEnd w:id="14"/>
      <w:bookmarkEnd w:id="15"/>
      <w:bookmarkEnd w:id="16"/>
      <w:bookmarkEnd w:id="18"/>
    </w:p>
    <w:p w14:paraId="30E46AA4" w14:textId="77777777" w:rsidR="00DC64EA" w:rsidRDefault="00DC64EA" w:rsidP="00DC64EA">
      <w:pPr>
        <w:rPr>
          <w:lang w:eastAsia="en-US"/>
        </w:rPr>
      </w:pPr>
    </w:p>
    <w:p w14:paraId="45DBDD22" w14:textId="631D79AE" w:rsidR="00DC64EA" w:rsidRPr="0053542C" w:rsidRDefault="00DC64EA" w:rsidP="00DC64EA">
      <w:pPr>
        <w:spacing w:after="240" w:line="360" w:lineRule="auto"/>
        <w:jc w:val="both"/>
        <w:rPr>
          <w:rFonts w:ascii="Palatino Linotype" w:hAnsi="Palatino Linotype"/>
          <w:lang w:val="es-ES" w:eastAsia="es-ES"/>
        </w:rPr>
      </w:pPr>
      <w:r w:rsidRPr="0053542C">
        <w:rPr>
          <w:rFonts w:ascii="Palatino Linotype" w:hAnsi="Palatino Linotype"/>
          <w:b/>
          <w:lang w:val="es-ES" w:eastAsia="es-ES"/>
        </w:rPr>
        <w:t>PRIMERO.</w:t>
      </w:r>
      <w:r w:rsidRPr="0053542C">
        <w:rPr>
          <w:rFonts w:ascii="Palatino Linotype" w:hAnsi="Palatino Linotype"/>
          <w:lang w:val="es-ES" w:eastAsia="es-ES"/>
        </w:rPr>
        <w:t xml:space="preserve"> Se </w:t>
      </w:r>
      <w:r w:rsidRPr="0053542C">
        <w:rPr>
          <w:rFonts w:ascii="Palatino Linotype" w:hAnsi="Palatino Linotype"/>
          <w:b/>
          <w:lang w:val="es-ES" w:eastAsia="es-ES"/>
        </w:rPr>
        <w:t xml:space="preserve">SOBRESEE el </w:t>
      </w:r>
      <w:r w:rsidRPr="0053542C">
        <w:rPr>
          <w:rFonts w:ascii="Palatino Linotype" w:hAnsi="Palatino Linotype"/>
          <w:lang w:val="es-ES" w:eastAsia="es-ES"/>
        </w:rPr>
        <w:t xml:space="preserve">recurso de revisión número </w:t>
      </w:r>
      <w:r w:rsidR="0063630B">
        <w:rPr>
          <w:rFonts w:ascii="Palatino Linotype" w:hAnsi="Palatino Linotype"/>
          <w:b/>
          <w:lang w:val="es-ES" w:eastAsia="es-ES"/>
        </w:rPr>
        <w:t>00663</w:t>
      </w:r>
      <w:r w:rsidR="00B73954">
        <w:rPr>
          <w:rFonts w:ascii="Palatino Linotype" w:hAnsi="Palatino Linotype"/>
          <w:b/>
          <w:lang w:val="es-ES" w:eastAsia="es-ES"/>
        </w:rPr>
        <w:t>/INFOEM/IP/RR/202</w:t>
      </w:r>
      <w:r w:rsidR="0063630B">
        <w:rPr>
          <w:rFonts w:ascii="Palatino Linotype" w:hAnsi="Palatino Linotype"/>
          <w:b/>
          <w:lang w:val="es-ES" w:eastAsia="es-ES"/>
        </w:rPr>
        <w:t>3</w:t>
      </w:r>
      <w:r w:rsidRPr="0053542C">
        <w:rPr>
          <w:rFonts w:ascii="Palatino Linotype" w:hAnsi="Palatino Linotype"/>
          <w:lang w:val="es-ES" w:eastAsia="es-ES"/>
        </w:rPr>
        <w:t xml:space="preserve">, conforme al artículo </w:t>
      </w:r>
      <w:r w:rsidRPr="0053542C">
        <w:rPr>
          <w:rFonts w:ascii="Palatino Linotype" w:hAnsi="Palatino Linotype"/>
          <w:b/>
          <w:lang w:val="es-ES" w:eastAsia="es-ES"/>
        </w:rPr>
        <w:t>192 fracción IV</w:t>
      </w:r>
      <w:r w:rsidR="0063630B">
        <w:rPr>
          <w:rFonts w:ascii="Palatino Linotype" w:hAnsi="Palatino Linotype"/>
          <w:lang w:val="es-ES" w:eastAsia="es-ES"/>
        </w:rPr>
        <w:t xml:space="preserve"> </w:t>
      </w:r>
      <w:r w:rsidRPr="0053542C">
        <w:rPr>
          <w:rFonts w:ascii="Palatino Linotype" w:hAnsi="Palatino Linotype"/>
          <w:lang w:val="es-ES" w:eastAsia="es-ES"/>
        </w:rPr>
        <w:t xml:space="preserve">de la Ley de Transparencia y Acceso a la Información Pública del Estado de México y Municipios, en términos del </w:t>
      </w:r>
      <w:r w:rsidRPr="0053542C">
        <w:rPr>
          <w:rFonts w:ascii="Palatino Linotype" w:hAnsi="Palatino Linotype"/>
          <w:b/>
          <w:lang w:val="es-ES" w:eastAsia="es-ES"/>
        </w:rPr>
        <w:t>Considerando TERCERO</w:t>
      </w:r>
      <w:r w:rsidRPr="0053542C">
        <w:rPr>
          <w:rFonts w:ascii="Palatino Linotype" w:hAnsi="Palatino Linotype"/>
          <w:lang w:val="es-ES" w:eastAsia="es-ES"/>
        </w:rPr>
        <w:t xml:space="preserve"> de la presente resolución.</w:t>
      </w:r>
    </w:p>
    <w:p w14:paraId="1F3AEBF6" w14:textId="327AF371" w:rsidR="0063630B" w:rsidRPr="0053542C" w:rsidRDefault="00DC64EA" w:rsidP="00DC64EA">
      <w:pPr>
        <w:pStyle w:val="Sinespaciado"/>
        <w:spacing w:after="240" w:line="360" w:lineRule="auto"/>
        <w:jc w:val="both"/>
        <w:rPr>
          <w:rFonts w:ascii="Palatino Linotype" w:eastAsia="Calibri" w:hAnsi="Palatino Linotype" w:cs="Arial"/>
          <w:b/>
          <w:bCs/>
          <w:sz w:val="24"/>
          <w:lang w:val="es-ES"/>
        </w:rPr>
      </w:pPr>
      <w:r w:rsidRPr="0053542C">
        <w:rPr>
          <w:rFonts w:ascii="Palatino Linotype" w:eastAsia="Calibri" w:hAnsi="Palatino Linotype" w:cs="Arial"/>
          <w:b/>
          <w:bCs/>
          <w:sz w:val="24"/>
          <w:lang w:val="es-ES"/>
        </w:rPr>
        <w:t xml:space="preserve">SEGUNDO. REMÍTASE </w:t>
      </w:r>
      <w:r w:rsidRPr="0053542C">
        <w:rPr>
          <w:rFonts w:ascii="Palatino Linotype" w:eastAsia="Calibri" w:hAnsi="Palatino Linotype" w:cs="Arial"/>
          <w:bCs/>
          <w:sz w:val="24"/>
          <w:lang w:val="es-ES"/>
        </w:rPr>
        <w:t xml:space="preserve">a través del Sistema de Acceso a la Información Mexiquense </w:t>
      </w:r>
      <w:r w:rsidRPr="0053542C">
        <w:rPr>
          <w:rFonts w:ascii="Palatino Linotype" w:eastAsia="Calibri" w:hAnsi="Palatino Linotype" w:cs="Arial"/>
          <w:b/>
          <w:bCs/>
          <w:sz w:val="24"/>
          <w:lang w:val="es-ES"/>
        </w:rPr>
        <w:t xml:space="preserve">(SAIMEX) </w:t>
      </w:r>
      <w:r w:rsidRPr="0053542C">
        <w:rPr>
          <w:rFonts w:ascii="Palatino Linotype" w:eastAsia="Calibri" w:hAnsi="Palatino Linotype" w:cs="Arial"/>
          <w:bCs/>
          <w:sz w:val="24"/>
          <w:lang w:val="es-ES"/>
        </w:rPr>
        <w:t>la presente resolución al Titular de la Unidad de Transparencia del</w:t>
      </w:r>
      <w:r w:rsidRPr="0053542C">
        <w:rPr>
          <w:rFonts w:ascii="Palatino Linotype" w:eastAsia="Calibri" w:hAnsi="Palatino Linotype" w:cs="Arial"/>
          <w:b/>
          <w:bCs/>
          <w:sz w:val="24"/>
          <w:lang w:val="es-ES"/>
        </w:rPr>
        <w:t xml:space="preserve"> SUJETO OBLIGADO. </w:t>
      </w:r>
    </w:p>
    <w:p w14:paraId="2BFD9991" w14:textId="015F5E0F" w:rsidR="00DC64EA" w:rsidRPr="0053542C" w:rsidRDefault="00DC64EA" w:rsidP="00DC64EA">
      <w:pPr>
        <w:pStyle w:val="Sinespaciado"/>
        <w:spacing w:after="240" w:line="360" w:lineRule="auto"/>
        <w:jc w:val="both"/>
        <w:rPr>
          <w:rFonts w:ascii="Palatino Linotype" w:eastAsia="Times New Roman" w:hAnsi="Palatino Linotype" w:cs="Times New Roman"/>
          <w:color w:val="222222"/>
          <w:sz w:val="24"/>
          <w:lang w:val="es-ES" w:eastAsia="es-MX"/>
        </w:rPr>
      </w:pPr>
      <w:r w:rsidRPr="0053542C">
        <w:rPr>
          <w:rFonts w:ascii="Palatino Linotype" w:eastAsia="Times New Roman" w:hAnsi="Palatino Linotype" w:cs="Arial"/>
          <w:b/>
          <w:sz w:val="24"/>
        </w:rPr>
        <w:lastRenderedPageBreak/>
        <w:t xml:space="preserve">TERCERO. </w:t>
      </w:r>
      <w:r w:rsidRPr="0053542C">
        <w:rPr>
          <w:rFonts w:ascii="Palatino Linotype" w:eastAsia="Times New Roman" w:hAnsi="Palatino Linotype" w:cs="Times New Roman"/>
          <w:b/>
          <w:bCs/>
          <w:sz w:val="24"/>
          <w:lang w:val="es-ES"/>
        </w:rPr>
        <w:t>Notifíquese al RECURRENTE</w:t>
      </w:r>
      <w:r w:rsidRPr="0053542C">
        <w:rPr>
          <w:rFonts w:ascii="Palatino Linotype" w:hAnsi="Palatino Linotype"/>
          <w:b/>
          <w:sz w:val="24"/>
        </w:rPr>
        <w:t xml:space="preserve"> </w:t>
      </w:r>
      <w:r w:rsidRPr="0053542C">
        <w:rPr>
          <w:rFonts w:ascii="Palatino Linotype" w:eastAsia="Times New Roman" w:hAnsi="Palatino Linotype" w:cs="Times New Roman"/>
          <w:color w:val="222222"/>
          <w:sz w:val="24"/>
          <w:lang w:val="es-ES" w:eastAsia="es-MX"/>
        </w:rPr>
        <w:t>la presente resolución</w:t>
      </w:r>
      <w:r w:rsidR="00C5551A">
        <w:rPr>
          <w:rFonts w:ascii="Palatino Linotype" w:eastAsia="Times New Roman" w:hAnsi="Palatino Linotype" w:cs="Times New Roman"/>
          <w:color w:val="222222"/>
          <w:sz w:val="24"/>
          <w:lang w:val="es-ES" w:eastAsia="es-MX"/>
        </w:rPr>
        <w:t xml:space="preserve"> a través del </w:t>
      </w:r>
      <w:r w:rsidR="00C5551A" w:rsidRPr="00C5551A">
        <w:rPr>
          <w:rFonts w:ascii="Palatino Linotype" w:eastAsia="Times New Roman" w:hAnsi="Palatino Linotype" w:cs="Times New Roman"/>
          <w:b/>
          <w:bCs/>
          <w:color w:val="222222"/>
          <w:sz w:val="24"/>
          <w:lang w:val="es-ES" w:eastAsia="es-MX"/>
        </w:rPr>
        <w:t>SAIMEX.</w:t>
      </w:r>
    </w:p>
    <w:p w14:paraId="7FC98C04" w14:textId="31D9FCEF" w:rsidR="00DC64EA" w:rsidRPr="0063630B" w:rsidRDefault="00DC64EA" w:rsidP="0063630B">
      <w:pPr>
        <w:pStyle w:val="Prrafodelista"/>
        <w:spacing w:after="240" w:line="360" w:lineRule="auto"/>
        <w:ind w:left="0"/>
        <w:jc w:val="both"/>
        <w:rPr>
          <w:rFonts w:ascii="Palatino Linotype" w:eastAsia="MS Mincho" w:hAnsi="Palatino Linotype"/>
          <w:sz w:val="24"/>
          <w:lang w:val="es-ES" w:eastAsia="es-ES"/>
        </w:rPr>
      </w:pPr>
      <w:r w:rsidRPr="0053542C">
        <w:rPr>
          <w:rFonts w:ascii="Palatino Linotype" w:eastAsia="MS Mincho" w:hAnsi="Palatino Linotype"/>
          <w:b/>
          <w:sz w:val="24"/>
        </w:rPr>
        <w:t>CUARTO.</w:t>
      </w:r>
      <w:r w:rsidRPr="0053542C">
        <w:rPr>
          <w:rFonts w:ascii="Palatino Linotype" w:eastAsia="MS Mincho" w:hAnsi="Palatino Linotype"/>
          <w:sz w:val="24"/>
        </w:rPr>
        <w:t xml:space="preserve"> </w:t>
      </w:r>
      <w:r w:rsidRPr="0053542C">
        <w:rPr>
          <w:rFonts w:ascii="Palatino Linotype" w:eastAsia="MS Mincho" w:hAnsi="Palatino Linotype"/>
          <w:sz w:val="24"/>
          <w:lang w:val="es-ES"/>
        </w:rPr>
        <w:t xml:space="preserve">Se hace del conocimiento del </w:t>
      </w:r>
      <w:r w:rsidRPr="0053542C">
        <w:rPr>
          <w:rFonts w:ascii="Palatino Linotype" w:hAnsi="Palatino Linotype"/>
          <w:b/>
          <w:sz w:val="24"/>
        </w:rPr>
        <w:t xml:space="preserve">RECURRENTE </w:t>
      </w:r>
      <w:r w:rsidRPr="0053542C">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3542C">
        <w:rPr>
          <w:rFonts w:ascii="Palatino Linotype" w:eastAsia="MS Mincho" w:hAnsi="Palatino Linotype"/>
          <w:bCs/>
          <w:sz w:val="24"/>
          <w:lang w:val="es-ES"/>
        </w:rPr>
        <w:t xml:space="preserve">vía juicio de amparo </w:t>
      </w:r>
      <w:r w:rsidRPr="0053542C">
        <w:rPr>
          <w:rFonts w:ascii="Palatino Linotype" w:eastAsia="MS Mincho" w:hAnsi="Palatino Linotype"/>
          <w:sz w:val="24"/>
          <w:lang w:val="es-ES"/>
        </w:rPr>
        <w:t>en los términos de las leyes aplicables.</w:t>
      </w:r>
    </w:p>
    <w:p w14:paraId="01F6A5F2" w14:textId="63660C55" w:rsidR="0073463F" w:rsidRPr="008F5B3A" w:rsidRDefault="0073463F" w:rsidP="0073463F">
      <w:pPr>
        <w:spacing w:before="240" w:after="240" w:line="360" w:lineRule="auto"/>
        <w:ind w:firstLine="1"/>
        <w:jc w:val="both"/>
        <w:rPr>
          <w:rFonts w:ascii="Palatino Linotype" w:hAnsi="Palatino Linotype"/>
          <w:smallCaps/>
        </w:rPr>
      </w:pPr>
      <w:bookmarkStart w:id="19" w:name="_Hlk129792997"/>
      <w:r>
        <w:rPr>
          <w:rStyle w:val="Referenciasutil"/>
          <w:rFonts w:ascii="Palatino Linotype" w:eastAsiaTheme="majorEastAsia" w:hAnsi="Palatino Linotype"/>
          <w:color w:val="auto"/>
        </w:rPr>
        <w:t>ASÍ LO APROBÓ</w:t>
      </w:r>
      <w:r w:rsidRPr="008F5B3A">
        <w:rPr>
          <w:rStyle w:val="Referenciasutil"/>
          <w:rFonts w:ascii="Palatino Linotype" w:eastAsiaTheme="majorEastAsia" w:hAnsi="Palatino Linotype"/>
          <w:color w:val="auto"/>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Pr>
          <w:rStyle w:val="Referenciasutil"/>
          <w:rFonts w:ascii="Palatino Linotype" w:eastAsiaTheme="majorEastAsia" w:hAnsi="Palatino Linotype"/>
          <w:color w:val="auto"/>
        </w:rPr>
        <w:t>MÍREZ PEÑA;</w:t>
      </w:r>
      <w:r w:rsidRPr="008F5B3A">
        <w:rPr>
          <w:rStyle w:val="Referenciasutil"/>
          <w:rFonts w:ascii="Palatino Linotype" w:eastAsiaTheme="majorEastAsia" w:hAnsi="Palatino Linotype"/>
          <w:color w:val="auto"/>
        </w:rPr>
        <w:t xml:space="preserve"> EN LA </w:t>
      </w:r>
      <w:r w:rsidR="007B27A1">
        <w:rPr>
          <w:rStyle w:val="Referenciasutil"/>
          <w:rFonts w:ascii="Palatino Linotype" w:eastAsiaTheme="majorEastAsia" w:hAnsi="Palatino Linotype"/>
          <w:color w:val="auto"/>
        </w:rPr>
        <w:t>VI</w:t>
      </w:r>
      <w:r>
        <w:rPr>
          <w:rStyle w:val="Referenciasutil"/>
          <w:rFonts w:ascii="Palatino Linotype" w:eastAsiaTheme="majorEastAsia" w:hAnsi="Palatino Linotype"/>
          <w:color w:val="auto"/>
        </w:rPr>
        <w:t xml:space="preserve">GÉSIMA QUINTA </w:t>
      </w:r>
      <w:r w:rsidRPr="008F5B3A">
        <w:rPr>
          <w:rStyle w:val="Referenciasutil"/>
          <w:rFonts w:ascii="Palatino Linotype" w:eastAsiaTheme="majorEastAsia" w:hAnsi="Palatino Linotype"/>
          <w:color w:val="auto"/>
        </w:rPr>
        <w:t xml:space="preserve">SESIÓN ORDINARIA CELEBRADA EL </w:t>
      </w:r>
      <w:r>
        <w:rPr>
          <w:rStyle w:val="Referenciasutil"/>
          <w:rFonts w:ascii="Palatino Linotype" w:eastAsiaTheme="majorEastAsia" w:hAnsi="Palatino Linotype"/>
          <w:color w:val="auto"/>
        </w:rPr>
        <w:t>CINCO</w:t>
      </w:r>
      <w:r w:rsidRPr="008F5B3A">
        <w:rPr>
          <w:rStyle w:val="Referenciasutil"/>
          <w:rFonts w:ascii="Palatino Linotype" w:eastAsiaTheme="majorEastAsia" w:hAnsi="Palatino Linotype"/>
          <w:color w:val="auto"/>
        </w:rPr>
        <w:t xml:space="preserve"> (</w:t>
      </w:r>
      <w:r>
        <w:rPr>
          <w:rStyle w:val="Referenciasutil"/>
          <w:rFonts w:ascii="Palatino Linotype" w:eastAsiaTheme="majorEastAsia" w:hAnsi="Palatino Linotype"/>
          <w:color w:val="auto"/>
        </w:rPr>
        <w:t>05</w:t>
      </w:r>
      <w:r w:rsidRPr="008F5B3A">
        <w:rPr>
          <w:rStyle w:val="Referenciasutil"/>
          <w:rFonts w:ascii="Palatino Linotype" w:eastAsiaTheme="majorEastAsia" w:hAnsi="Palatino Linotype"/>
          <w:color w:val="auto"/>
        </w:rPr>
        <w:t xml:space="preserve">) DE </w:t>
      </w:r>
      <w:r>
        <w:rPr>
          <w:rStyle w:val="Referenciasutil"/>
          <w:rFonts w:ascii="Palatino Linotype" w:eastAsiaTheme="majorEastAsia" w:hAnsi="Palatino Linotype"/>
          <w:color w:val="auto"/>
        </w:rPr>
        <w:t>JULIO</w:t>
      </w:r>
      <w:r w:rsidRPr="008F5B3A">
        <w:rPr>
          <w:rStyle w:val="Referenciasutil"/>
          <w:rFonts w:ascii="Palatino Linotype" w:eastAsiaTheme="majorEastAsia" w:hAnsi="Palatino Linotype"/>
          <w:color w:val="auto"/>
        </w:rPr>
        <w:t xml:space="preserve"> DE DOS MIL VEINTITRÉS, ANTE EL SECRETARIO TÉCNICO DEL PLENO ALEXIS TAPIA RAMÍREZ. </w:t>
      </w:r>
      <w:bookmarkEnd w:id="19"/>
    </w:p>
    <w:p w14:paraId="07A43429" w14:textId="77777777" w:rsidR="00DC64EA" w:rsidRPr="00192B4E" w:rsidRDefault="00DC64EA" w:rsidP="00DC64EA">
      <w:pPr>
        <w:spacing w:line="360" w:lineRule="auto"/>
        <w:ind w:right="48"/>
        <w:rPr>
          <w:rFonts w:ascii="Palatino Linotype" w:hAnsi="Palatino Linotype"/>
        </w:rPr>
      </w:pPr>
    </w:p>
    <w:p w14:paraId="4171C4C3"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44964BB3"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54E2EA38"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2040382B"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5AB78A95"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4E4C627A"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636AAED2"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0EC19997"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342DED87"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60FE2C4F"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11F6AB7E"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3F1DBD9E"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73001CC1" w14:textId="77777777"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14:paraId="665C0774" w14:textId="77777777" w:rsidR="00DC64EA" w:rsidRPr="00192B4E" w:rsidRDefault="00DC64EA" w:rsidP="00DC64EA">
      <w:pPr>
        <w:spacing w:line="360" w:lineRule="auto"/>
        <w:rPr>
          <w:rFonts w:ascii="Palatino Linotype" w:hAnsi="Palatino Linotype"/>
        </w:rPr>
      </w:pPr>
    </w:p>
    <w:p w14:paraId="7396EA58" w14:textId="77777777" w:rsidR="00DC64EA" w:rsidRPr="00192B4E" w:rsidRDefault="00DC64EA" w:rsidP="00DC64EA">
      <w:pPr>
        <w:spacing w:line="360" w:lineRule="auto"/>
        <w:rPr>
          <w:rFonts w:ascii="Palatino Linotype" w:hAnsi="Palatino Linotype"/>
        </w:rPr>
      </w:pPr>
    </w:p>
    <w:p w14:paraId="7FA91FCF" w14:textId="77777777" w:rsidR="00DC64EA" w:rsidRPr="00192B4E" w:rsidRDefault="00DC64EA" w:rsidP="00DC64EA">
      <w:pPr>
        <w:spacing w:line="360" w:lineRule="auto"/>
        <w:rPr>
          <w:rFonts w:ascii="Palatino Linotype" w:hAnsi="Palatino Linotype"/>
        </w:rPr>
      </w:pPr>
    </w:p>
    <w:p w14:paraId="1636537E" w14:textId="77777777" w:rsidR="00DC64EA" w:rsidRPr="00192B4E" w:rsidRDefault="00DC64EA" w:rsidP="00DC64EA">
      <w:pPr>
        <w:spacing w:line="360" w:lineRule="auto"/>
        <w:rPr>
          <w:rFonts w:ascii="Palatino Linotype" w:hAnsi="Palatino Linotype"/>
        </w:rPr>
      </w:pPr>
    </w:p>
    <w:p w14:paraId="3D2DD606" w14:textId="77777777" w:rsidR="00DC64EA" w:rsidRPr="00192B4E" w:rsidRDefault="00DC64EA" w:rsidP="00DC64EA">
      <w:pPr>
        <w:spacing w:line="360" w:lineRule="auto"/>
        <w:rPr>
          <w:rFonts w:ascii="Palatino Linotype" w:hAnsi="Palatino Linotype"/>
        </w:rPr>
      </w:pPr>
    </w:p>
    <w:p w14:paraId="22788870" w14:textId="77777777" w:rsidR="00DC64EA" w:rsidRPr="00192B4E" w:rsidRDefault="00DC64EA" w:rsidP="00DC64EA">
      <w:pPr>
        <w:spacing w:line="360" w:lineRule="auto"/>
        <w:rPr>
          <w:rFonts w:ascii="Palatino Linotype" w:hAnsi="Palatino Linotype"/>
        </w:rPr>
      </w:pPr>
    </w:p>
    <w:p w14:paraId="0516E584" w14:textId="77777777" w:rsidR="00DC64EA" w:rsidRPr="00192B4E" w:rsidRDefault="00DC64EA" w:rsidP="00DC64EA">
      <w:pPr>
        <w:spacing w:line="360" w:lineRule="auto"/>
        <w:rPr>
          <w:rFonts w:ascii="Palatino Linotype" w:hAnsi="Palatino Linotype"/>
        </w:rPr>
      </w:pPr>
    </w:p>
    <w:p w14:paraId="5A6FAE9A" w14:textId="77777777" w:rsidR="00DC64EA" w:rsidRPr="00192B4E" w:rsidRDefault="00DC64EA" w:rsidP="00DC64EA">
      <w:pPr>
        <w:spacing w:line="360" w:lineRule="auto"/>
        <w:rPr>
          <w:rFonts w:ascii="Palatino Linotype" w:hAnsi="Palatino Linotype"/>
        </w:rPr>
      </w:pPr>
    </w:p>
    <w:p w14:paraId="098A25E3" w14:textId="77777777" w:rsidR="00DC64EA" w:rsidRPr="00192B4E" w:rsidRDefault="00DC64EA" w:rsidP="00DC64EA">
      <w:pPr>
        <w:spacing w:line="360" w:lineRule="auto"/>
        <w:rPr>
          <w:rFonts w:ascii="Palatino Linotype" w:hAnsi="Palatino Linotype"/>
        </w:rPr>
      </w:pPr>
    </w:p>
    <w:p w14:paraId="13DC2413" w14:textId="77777777" w:rsidR="004E1710" w:rsidRDefault="000534E8"/>
    <w:sectPr w:rsidR="004E1710" w:rsidSect="002C163A">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0723B" w14:textId="77777777" w:rsidR="000534E8" w:rsidRDefault="000534E8" w:rsidP="00DC64EA">
      <w:r>
        <w:separator/>
      </w:r>
    </w:p>
  </w:endnote>
  <w:endnote w:type="continuationSeparator" w:id="0">
    <w:p w14:paraId="1FB638F2" w14:textId="77777777" w:rsidR="000534E8" w:rsidRDefault="000534E8" w:rsidP="00DC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19494" w14:textId="77777777" w:rsidR="002C163A" w:rsidRDefault="00427991">
    <w:pPr>
      <w:pStyle w:val="Piedepgina"/>
      <w:jc w:val="right"/>
    </w:pPr>
    <w:r>
      <w:rPr>
        <w:lang w:val="es-ES"/>
      </w:rPr>
      <w:t xml:space="preserve">Página </w:t>
    </w:r>
    <w:r>
      <w:rPr>
        <w:b/>
        <w:bCs/>
      </w:rPr>
      <w:fldChar w:fldCharType="begin"/>
    </w:r>
    <w:r>
      <w:rPr>
        <w:b/>
        <w:bCs/>
      </w:rPr>
      <w:instrText>PAGE</w:instrText>
    </w:r>
    <w:r>
      <w:rPr>
        <w:b/>
        <w:bCs/>
      </w:rPr>
      <w:fldChar w:fldCharType="separate"/>
    </w:r>
    <w:r w:rsidR="00CF778B">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F778B">
      <w:rPr>
        <w:b/>
        <w:bCs/>
        <w:noProof/>
      </w:rPr>
      <w:t>20</w:t>
    </w:r>
    <w:r>
      <w:rPr>
        <w:b/>
        <w:bCs/>
      </w:rPr>
      <w:fldChar w:fldCharType="end"/>
    </w:r>
  </w:p>
  <w:p w14:paraId="314DF0C5" w14:textId="77777777" w:rsidR="002C163A" w:rsidRDefault="000534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F4E5A" w14:textId="77777777" w:rsidR="002C163A" w:rsidRDefault="00427991">
    <w:pPr>
      <w:pStyle w:val="Piedepgina"/>
      <w:jc w:val="right"/>
    </w:pPr>
    <w:r>
      <w:rPr>
        <w:lang w:val="es-ES"/>
      </w:rPr>
      <w:t xml:space="preserve">Página </w:t>
    </w:r>
    <w:r>
      <w:rPr>
        <w:b/>
        <w:bCs/>
      </w:rPr>
      <w:fldChar w:fldCharType="begin"/>
    </w:r>
    <w:r>
      <w:rPr>
        <w:b/>
        <w:bCs/>
      </w:rPr>
      <w:instrText>PAGE</w:instrText>
    </w:r>
    <w:r>
      <w:rPr>
        <w:b/>
        <w:bCs/>
      </w:rPr>
      <w:fldChar w:fldCharType="separate"/>
    </w:r>
    <w:r w:rsidR="006A260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A2601">
      <w:rPr>
        <w:b/>
        <w:bCs/>
        <w:noProof/>
      </w:rPr>
      <w:t>20</w:t>
    </w:r>
    <w:r>
      <w:rPr>
        <w:b/>
        <w:bCs/>
      </w:rPr>
      <w:fldChar w:fldCharType="end"/>
    </w:r>
  </w:p>
  <w:p w14:paraId="3C0DAF75" w14:textId="77777777" w:rsidR="002C163A" w:rsidRDefault="000534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01536" w14:textId="77777777" w:rsidR="000534E8" w:rsidRDefault="000534E8" w:rsidP="00DC64EA">
      <w:r>
        <w:separator/>
      </w:r>
    </w:p>
  </w:footnote>
  <w:footnote w:type="continuationSeparator" w:id="0">
    <w:p w14:paraId="04D38575" w14:textId="77777777" w:rsidR="000534E8" w:rsidRDefault="000534E8" w:rsidP="00DC64EA">
      <w:r>
        <w:continuationSeparator/>
      </w:r>
    </w:p>
  </w:footnote>
  <w:footnote w:id="1">
    <w:p w14:paraId="675C121C" w14:textId="77777777" w:rsidR="001130B8" w:rsidRPr="009568C3" w:rsidRDefault="001130B8" w:rsidP="001130B8">
      <w:pPr>
        <w:pStyle w:val="Textonotapie"/>
        <w:jc w:val="both"/>
        <w:rPr>
          <w:rFonts w:ascii="Palatino Linotype" w:hAnsi="Palatino Linotype"/>
          <w:i/>
          <w:sz w:val="16"/>
          <w:szCs w:val="16"/>
        </w:rPr>
      </w:pPr>
      <w:r>
        <w:rPr>
          <w:rStyle w:val="Refdenotaalpie"/>
        </w:rPr>
        <w:footnoteRef/>
      </w:r>
      <w:r>
        <w:t xml:space="preserve"> “</w:t>
      </w:r>
      <w:r w:rsidRPr="00D0051F">
        <w:rPr>
          <w:rFonts w:ascii="Palatino Linotype" w:hAnsi="Palatino Linotype"/>
          <w:i/>
          <w:sz w:val="16"/>
          <w:szCs w:val="16"/>
        </w:rPr>
        <w:t xml:space="preserve">DESISTIMIENTO DE LA DEMANDA DE AMPARO. CORRESPONDE PROVEER RESPECTO DE ÉL AL JUEZ DE DISTRITO CUANDO SE PLANTEA ESTANDO PENDIENTE LA RESOLUCIÓN DEL RECURSO DE REVISIÓN Y ÉSTE SE DESECHA. El </w:t>
      </w:r>
      <w:proofErr w:type="spellStart"/>
      <w:r w:rsidRPr="00D0051F">
        <w:rPr>
          <w:rFonts w:ascii="Palatino Linotype" w:hAnsi="Palatino Linotype"/>
          <w:i/>
          <w:sz w:val="16"/>
          <w:szCs w:val="16"/>
        </w:rPr>
        <w:t>desechamiento</w:t>
      </w:r>
      <w:proofErr w:type="spellEnd"/>
      <w:r w:rsidRPr="00D0051F">
        <w:rPr>
          <w:rFonts w:ascii="Palatino Linotype" w:hAnsi="Palatino Linotype"/>
          <w:i/>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77E64" w14:textId="77777777" w:rsidR="002C163A" w:rsidRDefault="000534E8">
    <w:pPr>
      <w:pStyle w:val="Encabezado"/>
    </w:pPr>
    <w:r>
      <w:rPr>
        <w:noProof/>
      </w:rPr>
      <w:pict w14:anchorId="52C7D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C163A" w:rsidRPr="005C106F" w14:paraId="6733901A" w14:textId="77777777" w:rsidTr="002C163A">
      <w:trPr>
        <w:trHeight w:val="1435"/>
      </w:trPr>
      <w:tc>
        <w:tcPr>
          <w:tcW w:w="2268" w:type="dxa"/>
          <w:shd w:val="clear" w:color="auto" w:fill="auto"/>
        </w:tcPr>
        <w:p w14:paraId="1AA76EC7" w14:textId="77777777" w:rsidR="002C163A" w:rsidRPr="005C106F" w:rsidRDefault="000534E8" w:rsidP="002C163A">
          <w:pPr>
            <w:tabs>
              <w:tab w:val="right" w:pos="4273"/>
            </w:tabs>
            <w:rPr>
              <w:rFonts w:ascii="Garamond" w:eastAsia="Calibri" w:hAnsi="Garamond"/>
              <w:sz w:val="16"/>
              <w:szCs w:val="16"/>
              <w:lang w:eastAsia="en-US"/>
            </w:rPr>
          </w:pPr>
        </w:p>
      </w:tc>
      <w:tc>
        <w:tcPr>
          <w:tcW w:w="6946" w:type="dxa"/>
          <w:shd w:val="clear" w:color="auto" w:fill="auto"/>
        </w:tcPr>
        <w:p w14:paraId="24519133" w14:textId="77777777" w:rsidR="002C163A" w:rsidRDefault="000534E8" w:rsidP="002C163A"/>
        <w:tbl>
          <w:tblPr>
            <w:tblW w:w="6662" w:type="dxa"/>
            <w:tblInd w:w="40" w:type="dxa"/>
            <w:tblLayout w:type="fixed"/>
            <w:tblLook w:val="0420" w:firstRow="1" w:lastRow="0" w:firstColumn="0" w:lastColumn="0" w:noHBand="0" w:noVBand="1"/>
          </w:tblPr>
          <w:tblGrid>
            <w:gridCol w:w="2551"/>
            <w:gridCol w:w="4111"/>
          </w:tblGrid>
          <w:tr w:rsidR="002C163A" w14:paraId="23172871" w14:textId="77777777" w:rsidTr="002C163A">
            <w:trPr>
              <w:trHeight w:val="150"/>
            </w:trPr>
            <w:tc>
              <w:tcPr>
                <w:tcW w:w="2551" w:type="dxa"/>
                <w:shd w:val="clear" w:color="auto" w:fill="auto"/>
              </w:tcPr>
              <w:p w14:paraId="683C2140" w14:textId="77777777" w:rsidR="002C163A" w:rsidRPr="00020E73" w:rsidRDefault="00427991"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65D47847" w14:textId="1F33EADC" w:rsidR="002C163A" w:rsidRPr="00020E73" w:rsidRDefault="00C5551A"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00663</w:t>
                </w:r>
                <w:r w:rsidR="00DC64EA">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2C163A" w14:paraId="36DFDAA9" w14:textId="77777777" w:rsidTr="002C163A">
            <w:trPr>
              <w:trHeight w:val="295"/>
            </w:trPr>
            <w:tc>
              <w:tcPr>
                <w:tcW w:w="2551" w:type="dxa"/>
                <w:shd w:val="clear" w:color="auto" w:fill="auto"/>
              </w:tcPr>
              <w:p w14:paraId="4A773910" w14:textId="77777777" w:rsidR="002C163A" w:rsidRPr="00020E73" w:rsidRDefault="00427991"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AD4F5A0" w14:textId="741494EB" w:rsidR="002C163A" w:rsidRPr="00D83B4B" w:rsidRDefault="00F7706B" w:rsidP="002C163A">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San Mateo Atenco</w:t>
                </w:r>
              </w:p>
            </w:tc>
          </w:tr>
          <w:tr w:rsidR="002C163A" w14:paraId="35E07D65" w14:textId="77777777" w:rsidTr="002C163A">
            <w:trPr>
              <w:trHeight w:val="295"/>
            </w:trPr>
            <w:tc>
              <w:tcPr>
                <w:tcW w:w="2551" w:type="dxa"/>
                <w:shd w:val="clear" w:color="auto" w:fill="auto"/>
              </w:tcPr>
              <w:p w14:paraId="44D44F93" w14:textId="77777777" w:rsidR="002C163A" w:rsidRPr="00020E73" w:rsidRDefault="00427991"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FFD8D80" w14:textId="77777777" w:rsidR="002C163A" w:rsidRPr="00020E73" w:rsidRDefault="00427991"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D2A2BD5" w14:textId="77777777" w:rsidR="002C163A" w:rsidRPr="00020E73" w:rsidRDefault="000534E8" w:rsidP="002C163A">
                <w:pPr>
                  <w:tabs>
                    <w:tab w:val="right" w:pos="8838"/>
                  </w:tabs>
                  <w:ind w:left="-108" w:right="171"/>
                  <w:jc w:val="both"/>
                  <w:rPr>
                    <w:rFonts w:ascii="Palatino Linotype" w:eastAsia="Calibri" w:hAnsi="Palatino Linotype" w:cs="Tahoma"/>
                    <w:b/>
                    <w:sz w:val="22"/>
                    <w:szCs w:val="22"/>
                    <w:lang w:val="es-ES" w:eastAsia="en-US"/>
                  </w:rPr>
                </w:pPr>
              </w:p>
            </w:tc>
          </w:tr>
        </w:tbl>
        <w:p w14:paraId="00375E91" w14:textId="77777777" w:rsidR="002C163A" w:rsidRPr="005C106F" w:rsidRDefault="000534E8" w:rsidP="002C163A">
          <w:pPr>
            <w:tabs>
              <w:tab w:val="right" w:pos="8838"/>
            </w:tabs>
            <w:ind w:left="-28"/>
            <w:jc w:val="both"/>
            <w:rPr>
              <w:rFonts w:ascii="Arial" w:eastAsia="Calibri" w:hAnsi="Arial" w:cs="Arial"/>
              <w:b/>
              <w:sz w:val="22"/>
              <w:szCs w:val="22"/>
              <w:lang w:eastAsia="en-US"/>
            </w:rPr>
          </w:pPr>
        </w:p>
      </w:tc>
    </w:tr>
  </w:tbl>
  <w:p w14:paraId="402C34D3" w14:textId="77777777" w:rsidR="002C163A" w:rsidRPr="00443C6B" w:rsidRDefault="000534E8" w:rsidP="002C163A">
    <w:pPr>
      <w:pStyle w:val="Encabezado"/>
      <w:rPr>
        <w:sz w:val="14"/>
      </w:rPr>
    </w:pPr>
    <w:r>
      <w:rPr>
        <w:noProof/>
        <w:sz w:val="14"/>
      </w:rPr>
      <w:pict w14:anchorId="166B7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C163A" w:rsidRPr="00330DA7" w14:paraId="6B63BD2C" w14:textId="77777777" w:rsidTr="002C163A">
      <w:trPr>
        <w:trHeight w:val="1435"/>
      </w:trPr>
      <w:tc>
        <w:tcPr>
          <w:tcW w:w="2268" w:type="dxa"/>
          <w:shd w:val="clear" w:color="auto" w:fill="auto"/>
        </w:tcPr>
        <w:p w14:paraId="134D0258" w14:textId="77777777" w:rsidR="002C163A" w:rsidRPr="00330DA7" w:rsidRDefault="000534E8"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C163A" w:rsidRPr="00330DA7" w14:paraId="2862E919" w14:textId="77777777" w:rsidTr="002C163A">
            <w:trPr>
              <w:trHeight w:val="144"/>
            </w:trPr>
            <w:tc>
              <w:tcPr>
                <w:tcW w:w="2444" w:type="dxa"/>
                <w:shd w:val="clear" w:color="auto" w:fill="auto"/>
              </w:tcPr>
              <w:p w14:paraId="0C5FB234" w14:textId="77777777" w:rsidR="002C163A" w:rsidRPr="00020E73" w:rsidRDefault="00427991"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4E442C43" w14:textId="7B3055CB" w:rsidR="002C163A" w:rsidRPr="00020E73" w:rsidRDefault="00F7706B"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00663</w:t>
                </w:r>
                <w:r w:rsidR="00DC64EA">
                  <w:rPr>
                    <w:rFonts w:ascii="Palatino Linotype" w:eastAsia="Calibri" w:hAnsi="Palatino Linotype" w:cs="Tahoma"/>
                    <w:sz w:val="22"/>
                    <w:szCs w:val="22"/>
                    <w:lang w:eastAsia="en-US"/>
                  </w:rPr>
                  <w:t>/INFOEM/IP/RR/202</w:t>
                </w:r>
                <w:r>
                  <w:rPr>
                    <w:rFonts w:ascii="Palatino Linotype" w:eastAsia="Calibri" w:hAnsi="Palatino Linotype" w:cs="Tahoma"/>
                    <w:sz w:val="22"/>
                    <w:szCs w:val="22"/>
                    <w:lang w:eastAsia="en-US"/>
                  </w:rPr>
                  <w:t>3</w:t>
                </w:r>
              </w:p>
            </w:tc>
          </w:tr>
          <w:tr w:rsidR="002C163A" w:rsidRPr="00330DA7" w14:paraId="55A2D4A0" w14:textId="77777777" w:rsidTr="002C163A">
            <w:trPr>
              <w:trHeight w:val="144"/>
            </w:trPr>
            <w:tc>
              <w:tcPr>
                <w:tcW w:w="2444" w:type="dxa"/>
                <w:shd w:val="clear" w:color="auto" w:fill="auto"/>
              </w:tcPr>
              <w:p w14:paraId="759526FD" w14:textId="77777777" w:rsidR="002C163A" w:rsidRPr="00020E73" w:rsidRDefault="00427991"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7605BFFA" w14:textId="08585665" w:rsidR="002C163A" w:rsidRPr="00DC64EA" w:rsidRDefault="000534E8" w:rsidP="002C163A">
                <w:pPr>
                  <w:tabs>
                    <w:tab w:val="left" w:pos="3122"/>
                    <w:tab w:val="right" w:pos="8838"/>
                  </w:tabs>
                  <w:ind w:left="-74" w:right="-105"/>
                  <w:jc w:val="both"/>
                  <w:rPr>
                    <w:rFonts w:ascii="Palatino Linotype" w:eastAsia="Calibri" w:hAnsi="Palatino Linotype" w:cs="Tahoma"/>
                    <w:sz w:val="22"/>
                    <w:szCs w:val="22"/>
                    <w:lang w:val="es-ES" w:eastAsia="en-US"/>
                  </w:rPr>
                </w:pPr>
              </w:p>
            </w:tc>
          </w:tr>
          <w:tr w:rsidR="002C163A" w:rsidRPr="00330DA7" w14:paraId="38720902" w14:textId="77777777" w:rsidTr="002C163A">
            <w:trPr>
              <w:trHeight w:val="283"/>
            </w:trPr>
            <w:tc>
              <w:tcPr>
                <w:tcW w:w="2444" w:type="dxa"/>
                <w:shd w:val="clear" w:color="auto" w:fill="auto"/>
              </w:tcPr>
              <w:p w14:paraId="62C3F33C" w14:textId="77777777" w:rsidR="002C163A" w:rsidRPr="00020E73" w:rsidRDefault="00427991"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2574155" w14:textId="429316E2" w:rsidR="002C163A" w:rsidRPr="00DC64EA" w:rsidRDefault="00F7706B" w:rsidP="008B44D8">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San Mateo Atenco</w:t>
                </w:r>
              </w:p>
            </w:tc>
          </w:tr>
          <w:tr w:rsidR="002C163A" w:rsidRPr="00330DA7" w14:paraId="79400796" w14:textId="77777777" w:rsidTr="002C163A">
            <w:trPr>
              <w:trHeight w:val="283"/>
            </w:trPr>
            <w:tc>
              <w:tcPr>
                <w:tcW w:w="2444" w:type="dxa"/>
                <w:shd w:val="clear" w:color="auto" w:fill="auto"/>
              </w:tcPr>
              <w:p w14:paraId="09D0753C" w14:textId="77777777" w:rsidR="002C163A" w:rsidRPr="00020E73" w:rsidRDefault="00427991"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D2E3AAB" w14:textId="77777777" w:rsidR="002C163A" w:rsidRPr="00020E73" w:rsidRDefault="00427991"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18D6A9F" w14:textId="77777777" w:rsidR="002C163A" w:rsidRPr="00020E73" w:rsidRDefault="000534E8" w:rsidP="002C163A">
                <w:pPr>
                  <w:tabs>
                    <w:tab w:val="right" w:pos="8838"/>
                  </w:tabs>
                  <w:ind w:left="-74" w:right="-105"/>
                  <w:jc w:val="both"/>
                  <w:rPr>
                    <w:rFonts w:ascii="Palatino Linotype" w:eastAsia="Calibri" w:hAnsi="Palatino Linotype" w:cs="Tahoma"/>
                    <w:b/>
                    <w:sz w:val="22"/>
                    <w:szCs w:val="22"/>
                    <w:lang w:val="es-ES" w:eastAsia="en-US"/>
                  </w:rPr>
                </w:pPr>
              </w:p>
            </w:tc>
          </w:tr>
        </w:tbl>
        <w:p w14:paraId="286FFDAE" w14:textId="77777777" w:rsidR="002C163A" w:rsidRPr="00330DA7" w:rsidRDefault="000534E8" w:rsidP="002C163A">
          <w:pPr>
            <w:tabs>
              <w:tab w:val="right" w:pos="8838"/>
            </w:tabs>
            <w:ind w:left="-28"/>
            <w:jc w:val="both"/>
            <w:rPr>
              <w:rFonts w:ascii="Arial" w:eastAsia="Calibri" w:hAnsi="Arial" w:cs="Arial"/>
              <w:b/>
              <w:sz w:val="22"/>
              <w:szCs w:val="22"/>
              <w:lang w:eastAsia="en-US"/>
            </w:rPr>
          </w:pPr>
        </w:p>
      </w:tc>
    </w:tr>
  </w:tbl>
  <w:p w14:paraId="6C5D2D54" w14:textId="77777777" w:rsidR="002C163A" w:rsidRPr="00827FA0" w:rsidRDefault="000534E8" w:rsidP="002C163A">
    <w:pPr>
      <w:pStyle w:val="Encabezado"/>
      <w:rPr>
        <w:sz w:val="2"/>
        <w:szCs w:val="22"/>
      </w:rPr>
    </w:pPr>
    <w:r>
      <w:rPr>
        <w:noProof/>
        <w:sz w:val="2"/>
        <w:szCs w:val="22"/>
      </w:rPr>
      <w:pict w14:anchorId="2430F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6843"/>
    <w:multiLevelType w:val="multilevel"/>
    <w:tmpl w:val="519A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C70A3"/>
    <w:multiLevelType w:val="multilevel"/>
    <w:tmpl w:val="D65C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05628"/>
    <w:multiLevelType w:val="multilevel"/>
    <w:tmpl w:val="1174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029F3"/>
    <w:multiLevelType w:val="multilevel"/>
    <w:tmpl w:val="1354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E50A3"/>
    <w:multiLevelType w:val="hybridMultilevel"/>
    <w:tmpl w:val="A094F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CBC0D5B"/>
    <w:multiLevelType w:val="multilevel"/>
    <w:tmpl w:val="00C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E06A81"/>
    <w:multiLevelType w:val="hybridMultilevel"/>
    <w:tmpl w:val="6B201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989293D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3D3B3C56"/>
    <w:multiLevelType w:val="hybridMultilevel"/>
    <w:tmpl w:val="EE54B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270231"/>
    <w:multiLevelType w:val="multilevel"/>
    <w:tmpl w:val="8B1C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375941"/>
    <w:multiLevelType w:val="multilevel"/>
    <w:tmpl w:val="D84E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13">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9"/>
  </w:num>
  <w:num w:numId="3">
    <w:abstractNumId w:val="0"/>
  </w:num>
  <w:num w:numId="4">
    <w:abstractNumId w:val="3"/>
  </w:num>
  <w:num w:numId="5">
    <w:abstractNumId w:val="2"/>
  </w:num>
  <w:num w:numId="6">
    <w:abstractNumId w:val="1"/>
  </w:num>
  <w:num w:numId="7">
    <w:abstractNumId w:val="6"/>
  </w:num>
  <w:num w:numId="8">
    <w:abstractNumId w:val="10"/>
  </w:num>
  <w:num w:numId="9">
    <w:abstractNumId w:val="11"/>
  </w:num>
  <w:num w:numId="10">
    <w:abstractNumId w:val="5"/>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EA"/>
    <w:rsid w:val="00007A3C"/>
    <w:rsid w:val="000534E8"/>
    <w:rsid w:val="000706D9"/>
    <w:rsid w:val="001130B8"/>
    <w:rsid w:val="00132D7A"/>
    <w:rsid w:val="001667F5"/>
    <w:rsid w:val="001B3FC4"/>
    <w:rsid w:val="00214EBE"/>
    <w:rsid w:val="002E02C2"/>
    <w:rsid w:val="002F0BFB"/>
    <w:rsid w:val="0033289F"/>
    <w:rsid w:val="00427991"/>
    <w:rsid w:val="0045083A"/>
    <w:rsid w:val="00460846"/>
    <w:rsid w:val="00552B27"/>
    <w:rsid w:val="00586AEF"/>
    <w:rsid w:val="005A7ADD"/>
    <w:rsid w:val="00605BA2"/>
    <w:rsid w:val="00614452"/>
    <w:rsid w:val="0063630B"/>
    <w:rsid w:val="00694A7D"/>
    <w:rsid w:val="006A2601"/>
    <w:rsid w:val="006D1A96"/>
    <w:rsid w:val="0073463F"/>
    <w:rsid w:val="0076643E"/>
    <w:rsid w:val="007B27A1"/>
    <w:rsid w:val="00803D44"/>
    <w:rsid w:val="008629FE"/>
    <w:rsid w:val="0086404F"/>
    <w:rsid w:val="009836E0"/>
    <w:rsid w:val="009A3FC8"/>
    <w:rsid w:val="00A21C56"/>
    <w:rsid w:val="00A67AED"/>
    <w:rsid w:val="00AD1194"/>
    <w:rsid w:val="00B73954"/>
    <w:rsid w:val="00B77081"/>
    <w:rsid w:val="00BB02F4"/>
    <w:rsid w:val="00BC0632"/>
    <w:rsid w:val="00C5551A"/>
    <w:rsid w:val="00C97BBF"/>
    <w:rsid w:val="00CC38F4"/>
    <w:rsid w:val="00CF778B"/>
    <w:rsid w:val="00D015A7"/>
    <w:rsid w:val="00D83B4B"/>
    <w:rsid w:val="00DC64EA"/>
    <w:rsid w:val="00F51A47"/>
    <w:rsid w:val="00F7706B"/>
    <w:rsid w:val="00F95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DEDA22"/>
  <w15:chartTrackingRefBased/>
  <w15:docId w15:val="{8CEC8027-0EDA-4C34-ACD1-AA343D7C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4E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C64E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4EA"/>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DC64EA"/>
    <w:pPr>
      <w:tabs>
        <w:tab w:val="center" w:pos="4419"/>
        <w:tab w:val="right" w:pos="8838"/>
      </w:tabs>
    </w:pPr>
  </w:style>
  <w:style w:type="character" w:customStyle="1" w:styleId="EncabezadoCar">
    <w:name w:val="Encabezado Car"/>
    <w:basedOn w:val="Fuentedeprrafopredeter"/>
    <w:link w:val="Encabezado"/>
    <w:uiPriority w:val="99"/>
    <w:rsid w:val="00DC64E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C64EA"/>
    <w:pPr>
      <w:tabs>
        <w:tab w:val="center" w:pos="4419"/>
        <w:tab w:val="right" w:pos="8838"/>
      </w:tabs>
    </w:pPr>
  </w:style>
  <w:style w:type="character" w:customStyle="1" w:styleId="PiedepginaCar">
    <w:name w:val="Pie de página Car"/>
    <w:basedOn w:val="Fuentedeprrafopredeter"/>
    <w:link w:val="Piedepgina"/>
    <w:uiPriority w:val="99"/>
    <w:rsid w:val="00DC64E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64E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C64E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C64EA"/>
    <w:rPr>
      <w:color w:val="0563C1"/>
      <w:u w:val="single"/>
    </w:rPr>
  </w:style>
  <w:style w:type="paragraph" w:styleId="Sinespaciado">
    <w:name w:val="No Spacing"/>
    <w:aliases w:val="Francesa,INAI"/>
    <w:link w:val="SinespaciadoCar"/>
    <w:uiPriority w:val="1"/>
    <w:qFormat/>
    <w:rsid w:val="00DC64EA"/>
    <w:pPr>
      <w:spacing w:after="0" w:line="240" w:lineRule="auto"/>
    </w:pPr>
    <w:rPr>
      <w:lang w:val="es-MX"/>
    </w:rPr>
  </w:style>
  <w:style w:type="character" w:customStyle="1" w:styleId="SinespaciadoCar">
    <w:name w:val="Sin espaciado Car"/>
    <w:aliases w:val="Francesa Car,INAI Car"/>
    <w:link w:val="Sinespaciado"/>
    <w:uiPriority w:val="1"/>
    <w:locked/>
    <w:rsid w:val="00DC64EA"/>
    <w:rPr>
      <w:lang w:val="es-MX"/>
    </w:rPr>
  </w:style>
  <w:style w:type="table" w:styleId="Tablaconcuadrcula">
    <w:name w:val="Table Grid"/>
    <w:basedOn w:val="Tablanormal"/>
    <w:uiPriority w:val="59"/>
    <w:rsid w:val="00A21C5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A21C56"/>
    <w:pPr>
      <w:spacing w:after="120"/>
    </w:pPr>
    <w:rPr>
      <w:lang w:val="es-ES" w:eastAsia="es-ES"/>
    </w:rPr>
  </w:style>
  <w:style w:type="character" w:customStyle="1" w:styleId="TextoindependienteCar">
    <w:name w:val="Texto independiente Car"/>
    <w:basedOn w:val="Fuentedeprrafopredeter"/>
    <w:link w:val="Textoindependiente"/>
    <w:uiPriority w:val="99"/>
    <w:rsid w:val="00A21C56"/>
    <w:rPr>
      <w:rFonts w:ascii="Times New Roman" w:eastAsia="Times New Roman" w:hAnsi="Times New Roman" w:cs="Times New Roman"/>
      <w:sz w:val="24"/>
      <w:szCs w:val="24"/>
      <w:lang w:eastAsia="es-ES"/>
    </w:rPr>
  </w:style>
  <w:style w:type="table" w:styleId="Tabladecuadrcula2">
    <w:name w:val="Grid Table 2"/>
    <w:basedOn w:val="Tablanormal"/>
    <w:uiPriority w:val="47"/>
    <w:rsid w:val="00A21C56"/>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3">
    <w:name w:val="Grid Table 4 Accent 3"/>
    <w:basedOn w:val="Tablanormal"/>
    <w:uiPriority w:val="49"/>
    <w:rsid w:val="00A21C56"/>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0B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0B8"/>
    <w:rPr>
      <w:sz w:val="20"/>
      <w:szCs w:val="20"/>
      <w:lang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130B8"/>
    <w:rPr>
      <w:vertAlign w:val="superscript"/>
    </w:rPr>
  </w:style>
  <w:style w:type="character" w:styleId="Hipervnculovisitado">
    <w:name w:val="FollowedHyperlink"/>
    <w:basedOn w:val="Fuentedeprrafopredeter"/>
    <w:uiPriority w:val="99"/>
    <w:semiHidden/>
    <w:unhideWhenUsed/>
    <w:rsid w:val="00F7706B"/>
    <w:rPr>
      <w:color w:val="954F72" w:themeColor="followedHyperlink"/>
      <w:u w:val="single"/>
    </w:rPr>
  </w:style>
  <w:style w:type="character" w:styleId="Referenciasutil">
    <w:name w:val="Subtle Reference"/>
    <w:basedOn w:val="Fuentedeprrafopredeter"/>
    <w:uiPriority w:val="31"/>
    <w:qFormat/>
    <w:rsid w:val="0073463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40518">
      <w:bodyDiv w:val="1"/>
      <w:marLeft w:val="0"/>
      <w:marRight w:val="0"/>
      <w:marTop w:val="0"/>
      <w:marBottom w:val="0"/>
      <w:divBdr>
        <w:top w:val="none" w:sz="0" w:space="0" w:color="auto"/>
        <w:left w:val="none" w:sz="0" w:space="0" w:color="auto"/>
        <w:bottom w:val="none" w:sz="0" w:space="0" w:color="auto"/>
        <w:right w:val="none" w:sz="0" w:space="0" w:color="auto"/>
      </w:divBdr>
    </w:div>
    <w:div w:id="245655511">
      <w:bodyDiv w:val="1"/>
      <w:marLeft w:val="0"/>
      <w:marRight w:val="0"/>
      <w:marTop w:val="0"/>
      <w:marBottom w:val="0"/>
      <w:divBdr>
        <w:top w:val="none" w:sz="0" w:space="0" w:color="auto"/>
        <w:left w:val="none" w:sz="0" w:space="0" w:color="auto"/>
        <w:bottom w:val="none" w:sz="0" w:space="0" w:color="auto"/>
        <w:right w:val="none" w:sz="0" w:space="0" w:color="auto"/>
      </w:divBdr>
    </w:div>
    <w:div w:id="318002769">
      <w:bodyDiv w:val="1"/>
      <w:marLeft w:val="0"/>
      <w:marRight w:val="0"/>
      <w:marTop w:val="0"/>
      <w:marBottom w:val="0"/>
      <w:divBdr>
        <w:top w:val="none" w:sz="0" w:space="0" w:color="auto"/>
        <w:left w:val="none" w:sz="0" w:space="0" w:color="auto"/>
        <w:bottom w:val="none" w:sz="0" w:space="0" w:color="auto"/>
        <w:right w:val="none" w:sz="0" w:space="0" w:color="auto"/>
      </w:divBdr>
    </w:div>
    <w:div w:id="1275409043">
      <w:bodyDiv w:val="1"/>
      <w:marLeft w:val="0"/>
      <w:marRight w:val="0"/>
      <w:marTop w:val="0"/>
      <w:marBottom w:val="0"/>
      <w:divBdr>
        <w:top w:val="none" w:sz="0" w:space="0" w:color="auto"/>
        <w:left w:val="none" w:sz="0" w:space="0" w:color="auto"/>
        <w:bottom w:val="none" w:sz="0" w:space="0" w:color="auto"/>
        <w:right w:val="none" w:sz="0" w:space="0" w:color="auto"/>
      </w:divBdr>
    </w:div>
    <w:div w:id="1394699384">
      <w:bodyDiv w:val="1"/>
      <w:marLeft w:val="0"/>
      <w:marRight w:val="0"/>
      <w:marTop w:val="0"/>
      <w:marBottom w:val="0"/>
      <w:divBdr>
        <w:top w:val="none" w:sz="0" w:space="0" w:color="auto"/>
        <w:left w:val="none" w:sz="0" w:space="0" w:color="auto"/>
        <w:bottom w:val="none" w:sz="0" w:space="0" w:color="auto"/>
        <w:right w:val="none" w:sz="0" w:space="0" w:color="auto"/>
      </w:divBdr>
    </w:div>
    <w:div w:id="1425422315">
      <w:bodyDiv w:val="1"/>
      <w:marLeft w:val="0"/>
      <w:marRight w:val="0"/>
      <w:marTop w:val="0"/>
      <w:marBottom w:val="0"/>
      <w:divBdr>
        <w:top w:val="none" w:sz="0" w:space="0" w:color="auto"/>
        <w:left w:val="none" w:sz="0" w:space="0" w:color="auto"/>
        <w:bottom w:val="none" w:sz="0" w:space="0" w:color="auto"/>
        <w:right w:val="none" w:sz="0" w:space="0" w:color="auto"/>
      </w:divBdr>
    </w:div>
    <w:div w:id="1912537421">
      <w:bodyDiv w:val="1"/>
      <w:marLeft w:val="0"/>
      <w:marRight w:val="0"/>
      <w:marTop w:val="0"/>
      <w:marBottom w:val="0"/>
      <w:divBdr>
        <w:top w:val="none" w:sz="0" w:space="0" w:color="auto"/>
        <w:left w:val="none" w:sz="0" w:space="0" w:color="auto"/>
        <w:bottom w:val="none" w:sz="0" w:space="0" w:color="auto"/>
        <w:right w:val="none" w:sz="0" w:space="0" w:color="auto"/>
      </w:divBdr>
    </w:div>
    <w:div w:id="21107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77401.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1695180.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20</Pages>
  <Words>4589</Words>
  <Characters>25240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2023-06-29T18:38:00Z</dcterms:created>
  <dcterms:modified xsi:type="dcterms:W3CDTF">2023-07-06T16:03:00Z</dcterms:modified>
</cp:coreProperties>
</file>