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6EFA" w:rsidRPr="00F41C57" w:rsidRDefault="0014696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sidRPr="00F41C57">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primero de noviembre de dos mil veintitrés. </w:t>
      </w:r>
    </w:p>
    <w:p w:rsidR="00886EFA" w:rsidRPr="00F41C57" w:rsidRDefault="00146962">
      <w:pPr>
        <w:spacing w:before="240" w:after="240"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b/>
        </w:rPr>
        <w:t>Vistos</w:t>
      </w:r>
      <w:r w:rsidRPr="00F41C57">
        <w:rPr>
          <w:rFonts w:ascii="Palatino Linotype" w:eastAsia="Palatino Linotype" w:hAnsi="Palatino Linotype" w:cs="Palatino Linotype"/>
        </w:rPr>
        <w:t xml:space="preserve"> los expedientes relativos a los recursos de revisión </w:t>
      </w:r>
      <w:hyperlink r:id="rId8">
        <w:r w:rsidRPr="00F41C57">
          <w:rPr>
            <w:rFonts w:ascii="Palatino Linotype" w:eastAsia="Palatino Linotype" w:hAnsi="Palatino Linotype" w:cs="Palatino Linotype"/>
            <w:b/>
          </w:rPr>
          <w:t>02274/INFOEM/IP/RR/202</w:t>
        </w:r>
      </w:hyperlink>
      <w:r w:rsidRPr="00F41C57">
        <w:rPr>
          <w:rFonts w:ascii="Palatino Linotype" w:eastAsia="Palatino Linotype" w:hAnsi="Palatino Linotype" w:cs="Palatino Linotype"/>
          <w:b/>
        </w:rPr>
        <w:t xml:space="preserve">3 y </w:t>
      </w:r>
      <w:hyperlink r:id="rId9">
        <w:r w:rsidRPr="00F41C57">
          <w:rPr>
            <w:rFonts w:ascii="Palatino Linotype" w:eastAsia="Palatino Linotype" w:hAnsi="Palatino Linotype" w:cs="Palatino Linotype"/>
            <w:b/>
          </w:rPr>
          <w:t>02275/INFOEM/IP/RR/202</w:t>
        </w:r>
      </w:hyperlink>
      <w:r w:rsidRPr="00F41C57">
        <w:rPr>
          <w:rFonts w:ascii="Palatino Linotype" w:eastAsia="Palatino Linotype" w:hAnsi="Palatino Linotype" w:cs="Palatino Linotype"/>
          <w:b/>
        </w:rPr>
        <w:t xml:space="preserve">3, </w:t>
      </w:r>
      <w:r w:rsidRPr="00F41C57">
        <w:rPr>
          <w:rFonts w:ascii="Palatino Linotype" w:eastAsia="Palatino Linotype" w:hAnsi="Palatino Linotype" w:cs="Palatino Linotype"/>
        </w:rPr>
        <w:t xml:space="preserve">interpuestos por </w:t>
      </w:r>
      <w:r w:rsidR="009671AF">
        <w:rPr>
          <w:rFonts w:ascii="Palatino Linotype" w:eastAsia="Palatino Linotype" w:hAnsi="Palatino Linotype" w:cs="Palatino Linotype"/>
          <w:b/>
        </w:rPr>
        <w:t>XXXXXX XXX XXXXXXXXXX</w:t>
      </w:r>
      <w:bookmarkStart w:id="0" w:name="_GoBack"/>
      <w:bookmarkEnd w:id="0"/>
      <w:r w:rsidRPr="00F41C57">
        <w:rPr>
          <w:rFonts w:ascii="Palatino Linotype" w:eastAsia="Palatino Linotype" w:hAnsi="Palatino Linotype" w:cs="Palatino Linotype"/>
        </w:rPr>
        <w:t xml:space="preserve">, a quien se le denominada la parte </w:t>
      </w:r>
      <w:r w:rsidRPr="00F41C57">
        <w:rPr>
          <w:rFonts w:ascii="Palatino Linotype" w:eastAsia="Palatino Linotype" w:hAnsi="Palatino Linotype" w:cs="Palatino Linotype"/>
          <w:b/>
        </w:rPr>
        <w:t>RECURRENTE</w:t>
      </w:r>
      <w:r w:rsidRPr="00F41C57">
        <w:rPr>
          <w:rFonts w:ascii="Palatino Linotype" w:eastAsia="Palatino Linotype" w:hAnsi="Palatino Linotype" w:cs="Palatino Linotype"/>
        </w:rPr>
        <w:t xml:space="preserve"> en contra de las respuestas a sus solicitudes de información con número de folio </w:t>
      </w:r>
      <w:r w:rsidRPr="00F41C57">
        <w:rPr>
          <w:rFonts w:ascii="Palatino Linotype" w:eastAsia="Palatino Linotype" w:hAnsi="Palatino Linotype" w:cs="Palatino Linotype"/>
          <w:b/>
        </w:rPr>
        <w:t xml:space="preserve">00191/ATIZARA/IP/2023 y 00190/ATIZARA/IP/2023, </w:t>
      </w:r>
      <w:r w:rsidRPr="00F41C57">
        <w:rPr>
          <w:rFonts w:ascii="Palatino Linotype" w:eastAsia="Palatino Linotype" w:hAnsi="Palatino Linotype" w:cs="Palatino Linotype"/>
        </w:rPr>
        <w:t>por parte del</w:t>
      </w:r>
      <w:r w:rsidRPr="00F41C57">
        <w:rPr>
          <w:rFonts w:ascii="Palatino Linotype" w:eastAsia="Palatino Linotype" w:hAnsi="Palatino Linotype" w:cs="Palatino Linotype"/>
          <w:b/>
        </w:rPr>
        <w:t xml:space="preserve"> Ayuntamiento de Atizapán de Zaragoza, </w:t>
      </w:r>
      <w:r w:rsidRPr="00F41C57">
        <w:rPr>
          <w:rFonts w:ascii="Palatino Linotype" w:eastAsia="Palatino Linotype" w:hAnsi="Palatino Linotype" w:cs="Palatino Linotype"/>
        </w:rPr>
        <w:t>en lo sucesivo el</w:t>
      </w:r>
      <w:r w:rsidRPr="00F41C57">
        <w:rPr>
          <w:rFonts w:ascii="Palatino Linotype" w:eastAsia="Palatino Linotype" w:hAnsi="Palatino Linotype" w:cs="Palatino Linotype"/>
          <w:b/>
        </w:rPr>
        <w:t xml:space="preserve"> SUJETO OBLIGADO; </w:t>
      </w:r>
      <w:r w:rsidRPr="00F41C57">
        <w:rPr>
          <w:rFonts w:ascii="Palatino Linotype" w:eastAsia="Palatino Linotype" w:hAnsi="Palatino Linotype" w:cs="Palatino Linotype"/>
        </w:rPr>
        <w:t>se procede a dictar la presente resolución, con base en los siguientes:</w:t>
      </w:r>
    </w:p>
    <w:p w:rsidR="00886EFA" w:rsidRPr="00F41C57" w:rsidRDefault="00146962">
      <w:pPr>
        <w:numPr>
          <w:ilvl w:val="0"/>
          <w:numId w:val="6"/>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sz w:val="22"/>
          <w:szCs w:val="22"/>
        </w:rPr>
      </w:pPr>
      <w:r w:rsidRPr="00F41C57">
        <w:rPr>
          <w:rFonts w:ascii="Palatino Linotype" w:eastAsia="Palatino Linotype" w:hAnsi="Palatino Linotype" w:cs="Palatino Linotype"/>
          <w:b/>
          <w:color w:val="000000"/>
          <w:sz w:val="22"/>
          <w:szCs w:val="22"/>
        </w:rPr>
        <w:t>A N T E C E D E N T E S:</w:t>
      </w:r>
    </w:p>
    <w:p w:rsidR="00886EFA" w:rsidRPr="00F41C57" w:rsidRDefault="00146962">
      <w:pPr>
        <w:spacing w:before="240" w:after="240"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b/>
        </w:rPr>
        <w:t xml:space="preserve">1. Solicitudes de acceso a la información. </w:t>
      </w:r>
      <w:r w:rsidRPr="00F41C57">
        <w:rPr>
          <w:rFonts w:ascii="Palatino Linotype" w:eastAsia="Palatino Linotype" w:hAnsi="Palatino Linotype" w:cs="Palatino Linotype"/>
        </w:rPr>
        <w:t xml:space="preserve">Con fecha veintinueve de marzo del dos mil veintitrés, la parte </w:t>
      </w:r>
      <w:r w:rsidRPr="00F41C57">
        <w:rPr>
          <w:rFonts w:ascii="Palatino Linotype" w:eastAsia="Palatino Linotype" w:hAnsi="Palatino Linotype" w:cs="Palatino Linotype"/>
          <w:b/>
        </w:rPr>
        <w:t>RECURRENTE</w:t>
      </w:r>
      <w:r w:rsidRPr="00F41C57">
        <w:rPr>
          <w:rFonts w:ascii="Palatino Linotype" w:eastAsia="Palatino Linotype" w:hAnsi="Palatino Linotype" w:cs="Palatino Linotype"/>
        </w:rPr>
        <w:t xml:space="preserve"> formuló solicitudes de acceso a información pública al </w:t>
      </w:r>
      <w:r w:rsidRPr="00F41C57">
        <w:rPr>
          <w:rFonts w:ascii="Palatino Linotype" w:eastAsia="Palatino Linotype" w:hAnsi="Palatino Linotype" w:cs="Palatino Linotype"/>
          <w:b/>
        </w:rPr>
        <w:t>SUJETO OBLIGADO</w:t>
      </w:r>
      <w:r w:rsidRPr="00F41C57">
        <w:rPr>
          <w:rFonts w:ascii="Palatino Linotype" w:eastAsia="Palatino Linotype" w:hAnsi="Palatino Linotype" w:cs="Palatino Linotype"/>
        </w:rPr>
        <w:t xml:space="preserve"> a través de la Plataforma Nacional de Transparencia vinculada al Sistema de Acceso a la Información Mexiquense (SAIMEX)</w:t>
      </w:r>
      <w:r w:rsidRPr="00F41C57">
        <w:rPr>
          <w:rFonts w:ascii="Palatino Linotype" w:eastAsia="Palatino Linotype" w:hAnsi="Palatino Linotype" w:cs="Palatino Linotype"/>
          <w:b/>
        </w:rPr>
        <w:t>,</w:t>
      </w:r>
      <w:r w:rsidRPr="00F41C57">
        <w:rPr>
          <w:rFonts w:ascii="Palatino Linotype" w:eastAsia="Palatino Linotype" w:hAnsi="Palatino Linotype" w:cs="Palatino Linotype"/>
        </w:rPr>
        <w:t xml:space="preserve"> requiriéndole lo siguiente:</w:t>
      </w:r>
    </w:p>
    <w:tbl>
      <w:tblPr>
        <w:tblStyle w:val="a"/>
        <w:tblW w:w="7429" w:type="dxa"/>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9"/>
        <w:gridCol w:w="4090"/>
      </w:tblGrid>
      <w:tr w:rsidR="00886EFA" w:rsidRPr="00F41C57">
        <w:tc>
          <w:tcPr>
            <w:tcW w:w="3339" w:type="dxa"/>
          </w:tcPr>
          <w:p w:rsidR="00886EFA" w:rsidRPr="00F41C57" w:rsidRDefault="00146962">
            <w:pPr>
              <w:spacing w:before="240" w:after="240"/>
              <w:jc w:val="both"/>
              <w:rPr>
                <w:rFonts w:ascii="Palatino Linotype" w:eastAsia="Palatino Linotype" w:hAnsi="Palatino Linotype" w:cs="Palatino Linotype"/>
                <w:i/>
                <w:color w:val="000000"/>
                <w:sz w:val="22"/>
                <w:szCs w:val="22"/>
              </w:rPr>
            </w:pPr>
            <w:r w:rsidRPr="00F41C57">
              <w:rPr>
                <w:rFonts w:ascii="Palatino Linotype" w:eastAsia="Palatino Linotype" w:hAnsi="Palatino Linotype" w:cs="Palatino Linotype"/>
                <w:b/>
                <w:sz w:val="22"/>
                <w:szCs w:val="22"/>
              </w:rPr>
              <w:t>Solicitud 00191/ATIZARA/IP/2023:</w:t>
            </w:r>
          </w:p>
        </w:tc>
        <w:tc>
          <w:tcPr>
            <w:tcW w:w="4090" w:type="dxa"/>
          </w:tcPr>
          <w:p w:rsidR="00886EFA" w:rsidRPr="00F41C57" w:rsidRDefault="00146962">
            <w:pPr>
              <w:spacing w:before="240" w:after="240"/>
              <w:jc w:val="both"/>
              <w:rPr>
                <w:rFonts w:ascii="Palatino Linotype" w:eastAsia="Palatino Linotype" w:hAnsi="Palatino Linotype" w:cs="Palatino Linotype"/>
                <w:i/>
                <w:color w:val="000000"/>
                <w:sz w:val="22"/>
                <w:szCs w:val="22"/>
              </w:rPr>
            </w:pPr>
            <w:r w:rsidRPr="00F41C57">
              <w:rPr>
                <w:rFonts w:ascii="Palatino Linotype" w:eastAsia="Palatino Linotype" w:hAnsi="Palatino Linotype" w:cs="Palatino Linotype"/>
                <w:i/>
                <w:color w:val="000000"/>
                <w:sz w:val="22"/>
                <w:szCs w:val="22"/>
              </w:rPr>
              <w:t xml:space="preserve">“Solicito las partidas en las </w:t>
            </w:r>
            <w:proofErr w:type="spellStart"/>
            <w:r w:rsidRPr="00F41C57">
              <w:rPr>
                <w:rFonts w:ascii="Palatino Linotype" w:eastAsia="Palatino Linotype" w:hAnsi="Palatino Linotype" w:cs="Palatino Linotype"/>
                <w:i/>
                <w:color w:val="000000"/>
                <w:sz w:val="22"/>
                <w:szCs w:val="22"/>
              </w:rPr>
              <w:t>qué</w:t>
            </w:r>
            <w:proofErr w:type="spellEnd"/>
            <w:r w:rsidRPr="00F41C57">
              <w:rPr>
                <w:rFonts w:ascii="Palatino Linotype" w:eastAsia="Palatino Linotype" w:hAnsi="Palatino Linotype" w:cs="Palatino Linotype"/>
                <w:i/>
                <w:color w:val="000000"/>
                <w:sz w:val="22"/>
                <w:szCs w:val="22"/>
              </w:rPr>
              <w:t xml:space="preserve"> se distribuyó la deuda adquirida” (Sic)</w:t>
            </w:r>
          </w:p>
        </w:tc>
      </w:tr>
      <w:tr w:rsidR="00886EFA" w:rsidRPr="00F41C57">
        <w:tc>
          <w:tcPr>
            <w:tcW w:w="3339" w:type="dxa"/>
          </w:tcPr>
          <w:p w:rsidR="00886EFA" w:rsidRPr="00F41C57" w:rsidRDefault="00146962">
            <w:pPr>
              <w:spacing w:before="240" w:after="240"/>
              <w:jc w:val="both"/>
              <w:rPr>
                <w:rFonts w:ascii="Palatino Linotype" w:eastAsia="Palatino Linotype" w:hAnsi="Palatino Linotype" w:cs="Palatino Linotype"/>
                <w:i/>
                <w:color w:val="000000"/>
                <w:sz w:val="22"/>
                <w:szCs w:val="22"/>
              </w:rPr>
            </w:pPr>
            <w:r w:rsidRPr="00F41C57">
              <w:rPr>
                <w:rFonts w:ascii="Palatino Linotype" w:eastAsia="Palatino Linotype" w:hAnsi="Palatino Linotype" w:cs="Palatino Linotype"/>
                <w:b/>
                <w:sz w:val="22"/>
                <w:szCs w:val="22"/>
              </w:rPr>
              <w:lastRenderedPageBreak/>
              <w:t>Solicitud 00190/ATIZARA/IP/2023:</w:t>
            </w:r>
          </w:p>
        </w:tc>
        <w:tc>
          <w:tcPr>
            <w:tcW w:w="4090" w:type="dxa"/>
          </w:tcPr>
          <w:p w:rsidR="00886EFA" w:rsidRPr="00F41C57" w:rsidRDefault="00146962">
            <w:pPr>
              <w:spacing w:before="240" w:after="240"/>
              <w:jc w:val="both"/>
              <w:rPr>
                <w:rFonts w:ascii="Palatino Linotype" w:eastAsia="Palatino Linotype" w:hAnsi="Palatino Linotype" w:cs="Palatino Linotype"/>
                <w:i/>
                <w:color w:val="000000"/>
                <w:sz w:val="22"/>
                <w:szCs w:val="22"/>
              </w:rPr>
            </w:pPr>
            <w:r w:rsidRPr="00F41C57">
              <w:rPr>
                <w:rFonts w:ascii="Palatino Linotype" w:eastAsia="Palatino Linotype" w:hAnsi="Palatino Linotype" w:cs="Palatino Linotype"/>
                <w:i/>
                <w:color w:val="000000"/>
                <w:sz w:val="22"/>
                <w:szCs w:val="22"/>
              </w:rPr>
              <w:t>“Solicito los pasivos adquiridos en el ejercicio 2022 y 2023” (Sic)</w:t>
            </w:r>
          </w:p>
        </w:tc>
      </w:tr>
    </w:tbl>
    <w:p w:rsidR="00886EFA" w:rsidRPr="00F41C57" w:rsidRDefault="00886EFA">
      <w:pPr>
        <w:spacing w:before="240" w:line="360" w:lineRule="auto"/>
        <w:jc w:val="both"/>
        <w:rPr>
          <w:rFonts w:ascii="Palatino Linotype" w:eastAsia="Palatino Linotype" w:hAnsi="Palatino Linotype" w:cs="Palatino Linotype"/>
          <w:b/>
        </w:rPr>
      </w:pPr>
    </w:p>
    <w:p w:rsidR="00886EFA" w:rsidRPr="00F41C57" w:rsidRDefault="00146962">
      <w:pPr>
        <w:spacing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b/>
        </w:rPr>
        <w:t xml:space="preserve">Modalidad elegida para la entrega de la información en cada una de las solicitudes: </w:t>
      </w:r>
      <w:r w:rsidRPr="00F41C57">
        <w:rPr>
          <w:rFonts w:ascii="Palatino Linotype" w:eastAsia="Palatino Linotype" w:hAnsi="Palatino Linotype" w:cs="Palatino Linotype"/>
        </w:rPr>
        <w:t xml:space="preserve">a través del </w:t>
      </w:r>
      <w:r w:rsidRPr="00F41C57">
        <w:rPr>
          <w:rFonts w:ascii="Palatino Linotype" w:eastAsia="Palatino Linotype" w:hAnsi="Palatino Linotype" w:cs="Palatino Linotype"/>
          <w:b/>
        </w:rPr>
        <w:t>SAIMEX.</w:t>
      </w:r>
    </w:p>
    <w:p w:rsidR="00886EFA" w:rsidRPr="00F41C57" w:rsidRDefault="00886EFA">
      <w:pPr>
        <w:spacing w:line="360" w:lineRule="auto"/>
        <w:jc w:val="both"/>
        <w:rPr>
          <w:rFonts w:ascii="Palatino Linotype" w:eastAsia="Palatino Linotype" w:hAnsi="Palatino Linotype" w:cs="Palatino Linotype"/>
          <w:b/>
        </w:rPr>
      </w:pPr>
    </w:p>
    <w:p w:rsidR="00886EFA" w:rsidRPr="00F41C57" w:rsidRDefault="00146962">
      <w:pPr>
        <w:spacing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b/>
        </w:rPr>
        <w:t xml:space="preserve">2. Respuestas. </w:t>
      </w:r>
      <w:r w:rsidRPr="00F41C57">
        <w:rPr>
          <w:rFonts w:ascii="Palatino Linotype" w:eastAsia="Palatino Linotype" w:hAnsi="Palatino Linotype" w:cs="Palatino Linotype"/>
        </w:rPr>
        <w:t xml:space="preserve">Con fecha veintiséis de abril del dos mil veintitrés el </w:t>
      </w:r>
      <w:r w:rsidRPr="00F41C57">
        <w:rPr>
          <w:rFonts w:ascii="Palatino Linotype" w:eastAsia="Palatino Linotype" w:hAnsi="Palatino Linotype" w:cs="Palatino Linotype"/>
          <w:b/>
        </w:rPr>
        <w:t>SUJETO OBLIGADO</w:t>
      </w:r>
      <w:r w:rsidRPr="00F41C57">
        <w:rPr>
          <w:rFonts w:ascii="Palatino Linotype" w:eastAsia="Palatino Linotype" w:hAnsi="Palatino Linotype" w:cs="Palatino Linotype"/>
        </w:rPr>
        <w:t xml:space="preserve"> envió sus respuestas a las solicitudes de acceso a la información a través del SAIMEX, contestando lo mismo a cada una de ellas, como se describe a continuación:</w:t>
      </w:r>
    </w:p>
    <w:p w:rsidR="00886EFA" w:rsidRPr="00F41C57" w:rsidRDefault="00886EFA">
      <w:pPr>
        <w:spacing w:line="360" w:lineRule="auto"/>
        <w:jc w:val="both"/>
        <w:rPr>
          <w:rFonts w:ascii="Palatino Linotype" w:eastAsia="Palatino Linotype" w:hAnsi="Palatino Linotype" w:cs="Palatino Linotype"/>
        </w:rPr>
      </w:pPr>
    </w:p>
    <w:p w:rsidR="00886EFA" w:rsidRPr="00F41C57" w:rsidRDefault="00146962">
      <w:pPr>
        <w:ind w:left="851" w:right="902"/>
        <w:jc w:val="both"/>
        <w:rPr>
          <w:rFonts w:ascii="Palatino Linotype" w:eastAsia="Palatino Linotype" w:hAnsi="Palatino Linotype" w:cs="Palatino Linotype"/>
          <w:i/>
          <w:color w:val="000000"/>
          <w:sz w:val="22"/>
          <w:szCs w:val="22"/>
        </w:rPr>
      </w:pPr>
      <w:r w:rsidRPr="00F41C57">
        <w:rPr>
          <w:rFonts w:ascii="Palatino Linotype" w:eastAsia="Palatino Linotype" w:hAnsi="Palatino Linotype" w:cs="Palatino Linotype"/>
          <w:i/>
          <w:color w:val="000000"/>
          <w:sz w:val="22"/>
          <w:szCs w:val="22"/>
        </w:rPr>
        <w:t>“SE ANEXA RESPUESTA” (Sic)</w:t>
      </w:r>
    </w:p>
    <w:p w:rsidR="00886EFA" w:rsidRPr="00F41C57" w:rsidRDefault="00886EFA">
      <w:pPr>
        <w:ind w:left="851" w:right="902"/>
        <w:jc w:val="both"/>
        <w:rPr>
          <w:rFonts w:ascii="Palatino Linotype" w:eastAsia="Palatino Linotype" w:hAnsi="Palatino Linotype" w:cs="Palatino Linotype"/>
          <w:i/>
          <w:sz w:val="22"/>
          <w:szCs w:val="22"/>
        </w:rPr>
      </w:pPr>
    </w:p>
    <w:p w:rsidR="00886EFA" w:rsidRPr="00F41C57" w:rsidRDefault="00146962">
      <w:pPr>
        <w:spacing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t>Adjuntando a sus respuestas los archivos electrónicos denominados:</w:t>
      </w:r>
    </w:p>
    <w:p w:rsidR="00886EFA" w:rsidRPr="00F41C57" w:rsidRDefault="00886EFA">
      <w:pPr>
        <w:spacing w:line="360" w:lineRule="auto"/>
        <w:jc w:val="both"/>
        <w:rPr>
          <w:rFonts w:ascii="Palatino Linotype" w:eastAsia="Palatino Linotype" w:hAnsi="Palatino Linotype" w:cs="Palatino Linotype"/>
        </w:rPr>
      </w:pPr>
    </w:p>
    <w:p w:rsidR="00886EFA" w:rsidRPr="00F41C57" w:rsidRDefault="00146962">
      <w:pPr>
        <w:spacing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t>“</w:t>
      </w:r>
      <w:hyperlink r:id="rId10">
        <w:r w:rsidRPr="00F41C57">
          <w:rPr>
            <w:rFonts w:ascii="Palatino Linotype" w:eastAsia="Palatino Linotype" w:hAnsi="Palatino Linotype" w:cs="Palatino Linotype"/>
          </w:rPr>
          <w:t>00191-1135-2023.pdf</w:t>
        </w:r>
      </w:hyperlink>
      <w:r w:rsidRPr="00F41C57">
        <w:rPr>
          <w:rFonts w:ascii="Palatino Linotype" w:eastAsia="Palatino Linotype" w:hAnsi="Palatino Linotype" w:cs="Palatino Linotype"/>
        </w:rPr>
        <w:t>”: el cual contiene el oficio número TM/1135/2023, por medio del cual el Tesorero Municipal del Ayuntamiento de Atizapán de Zaragoza, informó que la partida es la 9000 “Deuda Pública”, en términos del fundamento legal que señaló.</w:t>
      </w:r>
    </w:p>
    <w:p w:rsidR="00886EFA" w:rsidRPr="00F41C57" w:rsidRDefault="00886EFA">
      <w:pPr>
        <w:spacing w:line="360" w:lineRule="auto"/>
        <w:jc w:val="both"/>
        <w:rPr>
          <w:rFonts w:ascii="Palatino Linotype" w:eastAsia="Palatino Linotype" w:hAnsi="Palatino Linotype" w:cs="Palatino Linotype"/>
        </w:rPr>
      </w:pPr>
    </w:p>
    <w:p w:rsidR="00886EFA" w:rsidRPr="00F41C57" w:rsidRDefault="00146962">
      <w:pPr>
        <w:spacing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t>Asimismo informó que la información solicitada se encuentra publicada en la página del H. Ayuntamiento, bajo el siguiente link, tal como obra en los archivos de la Tesorería Municipal:</w:t>
      </w:r>
    </w:p>
    <w:p w:rsidR="00886EFA" w:rsidRPr="00F41C57" w:rsidRDefault="00886EFA">
      <w:pPr>
        <w:spacing w:line="360" w:lineRule="auto"/>
        <w:jc w:val="both"/>
        <w:rPr>
          <w:rFonts w:ascii="Palatino Linotype" w:eastAsia="Palatino Linotype" w:hAnsi="Palatino Linotype" w:cs="Palatino Linotype"/>
        </w:rPr>
      </w:pPr>
    </w:p>
    <w:p w:rsidR="00886EFA" w:rsidRPr="00F41C57" w:rsidRDefault="009671AF">
      <w:pPr>
        <w:spacing w:line="360" w:lineRule="auto"/>
        <w:jc w:val="both"/>
        <w:rPr>
          <w:rFonts w:ascii="Palatino Linotype" w:eastAsia="Palatino Linotype" w:hAnsi="Palatino Linotype" w:cs="Palatino Linotype"/>
        </w:rPr>
      </w:pPr>
      <w:hyperlink r:id="rId11">
        <w:r w:rsidR="00146962" w:rsidRPr="00F41C57">
          <w:rPr>
            <w:rFonts w:ascii="Palatino Linotype" w:eastAsia="Palatino Linotype" w:hAnsi="Palatino Linotype" w:cs="Palatino Linotype"/>
            <w:color w:val="0563C1"/>
            <w:u w:val="single"/>
          </w:rPr>
          <w:t>https://atizapan.gob.mx/</w:t>
        </w:r>
      </w:hyperlink>
    </w:p>
    <w:p w:rsidR="00886EFA" w:rsidRPr="00F41C57" w:rsidRDefault="009671AF">
      <w:pPr>
        <w:spacing w:line="360" w:lineRule="auto"/>
        <w:jc w:val="both"/>
        <w:rPr>
          <w:rFonts w:ascii="Palatino Linotype" w:eastAsia="Palatino Linotype" w:hAnsi="Palatino Linotype" w:cs="Palatino Linotype"/>
        </w:rPr>
      </w:pPr>
      <w:hyperlink r:id="rId12">
        <w:r w:rsidR="00146962" w:rsidRPr="00F41C57">
          <w:rPr>
            <w:rFonts w:ascii="Palatino Linotype" w:eastAsia="Palatino Linotype" w:hAnsi="Palatino Linotype" w:cs="Palatino Linotype"/>
            <w:color w:val="0563C1"/>
            <w:u w:val="single"/>
          </w:rPr>
          <w:t>https://atizapan.gob.mx/#</w:t>
        </w:r>
      </w:hyperlink>
    </w:p>
    <w:p w:rsidR="00886EFA" w:rsidRPr="00F41C57" w:rsidRDefault="009671AF">
      <w:pPr>
        <w:spacing w:line="360" w:lineRule="auto"/>
        <w:jc w:val="both"/>
        <w:rPr>
          <w:rFonts w:ascii="Palatino Linotype" w:eastAsia="Palatino Linotype" w:hAnsi="Palatino Linotype" w:cs="Palatino Linotype"/>
        </w:rPr>
      </w:pPr>
      <w:hyperlink r:id="rId13">
        <w:r w:rsidR="00146962" w:rsidRPr="00F41C57">
          <w:rPr>
            <w:rFonts w:ascii="Palatino Linotype" w:eastAsia="Palatino Linotype" w:hAnsi="Palatino Linotype" w:cs="Palatino Linotype"/>
            <w:color w:val="0563C1"/>
            <w:u w:val="single"/>
          </w:rPr>
          <w:t>https://atizapan.gob.mx/conac/</w:t>
        </w:r>
      </w:hyperlink>
    </w:p>
    <w:p w:rsidR="00886EFA" w:rsidRPr="00F41C57" w:rsidRDefault="00146962">
      <w:pPr>
        <w:spacing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t>https://atizapan.gob.mx/wp-content/uploads/2023/02/ESTADO-COMPARATIVO-PRESUPUESTAL-DE-EGRESOS.pdf</w:t>
      </w:r>
    </w:p>
    <w:p w:rsidR="00886EFA" w:rsidRPr="00F41C57" w:rsidRDefault="00146962">
      <w:pPr>
        <w:spacing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t xml:space="preserve"> </w:t>
      </w:r>
    </w:p>
    <w:p w:rsidR="00886EFA" w:rsidRPr="00F41C57" w:rsidRDefault="00146962">
      <w:pPr>
        <w:spacing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t>“</w:t>
      </w:r>
      <w:hyperlink r:id="rId14">
        <w:r w:rsidRPr="00F41C57">
          <w:rPr>
            <w:rFonts w:ascii="Palatino Linotype" w:eastAsia="Palatino Linotype" w:hAnsi="Palatino Linotype" w:cs="Palatino Linotype"/>
          </w:rPr>
          <w:t>00190-1134-2023.pdf</w:t>
        </w:r>
      </w:hyperlink>
      <w:r w:rsidRPr="00F41C57">
        <w:rPr>
          <w:rFonts w:ascii="Palatino Linotype" w:eastAsia="Palatino Linotype" w:hAnsi="Palatino Linotype" w:cs="Palatino Linotype"/>
        </w:rPr>
        <w:t xml:space="preserve">”, el cual contiene el oficio número TM/1134/2023, por medio del cual el Tesorero Municipal del Ayuntamiento de Atizapán de Zaragoza, informó </w:t>
      </w:r>
    </w:p>
    <w:p w:rsidR="00886EFA" w:rsidRPr="00F41C57" w:rsidRDefault="00146962">
      <w:pPr>
        <w:spacing w:line="360" w:lineRule="auto"/>
        <w:jc w:val="both"/>
        <w:rPr>
          <w:rFonts w:ascii="Palatino Linotype" w:eastAsia="Palatino Linotype" w:hAnsi="Palatino Linotype" w:cs="Palatino Linotype"/>
        </w:rPr>
      </w:pPr>
      <w:proofErr w:type="gramStart"/>
      <w:r w:rsidRPr="00F41C57">
        <w:rPr>
          <w:rFonts w:ascii="Palatino Linotype" w:eastAsia="Palatino Linotype" w:hAnsi="Palatino Linotype" w:cs="Palatino Linotype"/>
        </w:rPr>
        <w:t>que</w:t>
      </w:r>
      <w:proofErr w:type="gramEnd"/>
      <w:r w:rsidRPr="00F41C57">
        <w:rPr>
          <w:rFonts w:ascii="Palatino Linotype" w:eastAsia="Palatino Linotype" w:hAnsi="Palatino Linotype" w:cs="Palatino Linotype"/>
        </w:rPr>
        <w:t xml:space="preserve"> la información solicitada se encuentra publicada en la página del H. Ayuntamiento, bajo el siguiente link, tal como obra en los archivos de la Tesorería Municipal:</w:t>
      </w:r>
    </w:p>
    <w:p w:rsidR="00886EFA" w:rsidRPr="00F41C57" w:rsidRDefault="00886EFA">
      <w:pPr>
        <w:spacing w:line="360" w:lineRule="auto"/>
        <w:jc w:val="both"/>
        <w:rPr>
          <w:rFonts w:ascii="Palatino Linotype" w:eastAsia="Palatino Linotype" w:hAnsi="Palatino Linotype" w:cs="Palatino Linotype"/>
        </w:rPr>
      </w:pPr>
    </w:p>
    <w:p w:rsidR="00886EFA" w:rsidRPr="00F41C57" w:rsidRDefault="009671AF">
      <w:pPr>
        <w:spacing w:line="360" w:lineRule="auto"/>
        <w:jc w:val="both"/>
        <w:rPr>
          <w:rFonts w:ascii="Palatino Linotype" w:eastAsia="Palatino Linotype" w:hAnsi="Palatino Linotype" w:cs="Palatino Linotype"/>
        </w:rPr>
      </w:pPr>
      <w:hyperlink r:id="rId15">
        <w:r w:rsidR="00146962" w:rsidRPr="00F41C57">
          <w:rPr>
            <w:rFonts w:ascii="Palatino Linotype" w:eastAsia="Palatino Linotype" w:hAnsi="Palatino Linotype" w:cs="Palatino Linotype"/>
            <w:color w:val="0563C1"/>
            <w:u w:val="single"/>
          </w:rPr>
          <w:t>https://atizapan.gob.mx/</w:t>
        </w:r>
      </w:hyperlink>
    </w:p>
    <w:p w:rsidR="00886EFA" w:rsidRPr="00F41C57" w:rsidRDefault="009671AF">
      <w:pPr>
        <w:spacing w:line="360" w:lineRule="auto"/>
        <w:jc w:val="both"/>
        <w:rPr>
          <w:rFonts w:ascii="Palatino Linotype" w:eastAsia="Palatino Linotype" w:hAnsi="Palatino Linotype" w:cs="Palatino Linotype"/>
        </w:rPr>
      </w:pPr>
      <w:hyperlink r:id="rId16">
        <w:r w:rsidR="00146962" w:rsidRPr="00F41C57">
          <w:rPr>
            <w:rFonts w:ascii="Palatino Linotype" w:eastAsia="Palatino Linotype" w:hAnsi="Palatino Linotype" w:cs="Palatino Linotype"/>
            <w:color w:val="0563C1"/>
            <w:u w:val="single"/>
          </w:rPr>
          <w:t>https://atizapan.gob.mx/#</w:t>
        </w:r>
      </w:hyperlink>
    </w:p>
    <w:p w:rsidR="00886EFA" w:rsidRPr="00F41C57" w:rsidRDefault="009671AF">
      <w:pPr>
        <w:spacing w:line="360" w:lineRule="auto"/>
        <w:jc w:val="both"/>
        <w:rPr>
          <w:rFonts w:ascii="Palatino Linotype" w:eastAsia="Palatino Linotype" w:hAnsi="Palatino Linotype" w:cs="Palatino Linotype"/>
        </w:rPr>
      </w:pPr>
      <w:hyperlink r:id="rId17">
        <w:r w:rsidR="00146962" w:rsidRPr="00F41C57">
          <w:rPr>
            <w:rFonts w:ascii="Palatino Linotype" w:eastAsia="Palatino Linotype" w:hAnsi="Palatino Linotype" w:cs="Palatino Linotype"/>
            <w:color w:val="0563C1"/>
            <w:u w:val="single"/>
          </w:rPr>
          <w:t>https://atizapan.gob.mx/conac/</w:t>
        </w:r>
      </w:hyperlink>
    </w:p>
    <w:p w:rsidR="00886EFA" w:rsidRPr="00F41C57" w:rsidRDefault="009671AF">
      <w:pPr>
        <w:spacing w:line="360" w:lineRule="auto"/>
        <w:jc w:val="both"/>
        <w:rPr>
          <w:rFonts w:ascii="Palatino Linotype" w:eastAsia="Palatino Linotype" w:hAnsi="Palatino Linotype" w:cs="Palatino Linotype"/>
        </w:rPr>
      </w:pPr>
      <w:hyperlink r:id="rId18">
        <w:r w:rsidR="00146962" w:rsidRPr="00F41C57">
          <w:rPr>
            <w:rFonts w:ascii="Palatino Linotype" w:eastAsia="Palatino Linotype" w:hAnsi="Palatino Linotype" w:cs="Palatino Linotype"/>
            <w:color w:val="0563C1"/>
            <w:u w:val="single"/>
          </w:rPr>
          <w:t>https://atizapan.gob.mx/wp-content/uploads/2023/02/Estado-Analitico-de-la-Deuda-y-Otros-Pasivos.pdf</w:t>
        </w:r>
      </w:hyperlink>
      <w:r w:rsidR="00146962" w:rsidRPr="00F41C57">
        <w:rPr>
          <w:rFonts w:ascii="Palatino Linotype" w:eastAsia="Palatino Linotype" w:hAnsi="Palatino Linotype" w:cs="Palatino Linotype"/>
        </w:rPr>
        <w:t xml:space="preserve"> </w:t>
      </w:r>
    </w:p>
    <w:p w:rsidR="00886EFA" w:rsidRPr="00F41C57" w:rsidRDefault="00886EFA">
      <w:pPr>
        <w:spacing w:line="360" w:lineRule="auto"/>
        <w:jc w:val="both"/>
        <w:rPr>
          <w:rFonts w:ascii="Palatino Linotype" w:eastAsia="Palatino Linotype" w:hAnsi="Palatino Linotype" w:cs="Palatino Linotype"/>
        </w:rPr>
      </w:pPr>
    </w:p>
    <w:p w:rsidR="00886EFA" w:rsidRPr="00F41C57" w:rsidRDefault="00146962">
      <w:pPr>
        <w:spacing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b/>
        </w:rPr>
        <w:t xml:space="preserve">3. Interposición de los recursos de revisión. </w:t>
      </w:r>
      <w:r w:rsidRPr="00F41C57">
        <w:rPr>
          <w:rFonts w:ascii="Palatino Linotype" w:eastAsia="Palatino Linotype" w:hAnsi="Palatino Linotype" w:cs="Palatino Linotype"/>
        </w:rPr>
        <w:t xml:space="preserve">Inconforme el solicitante con las respuestas del </w:t>
      </w:r>
      <w:r w:rsidRPr="00F41C57">
        <w:rPr>
          <w:rFonts w:ascii="Palatino Linotype" w:eastAsia="Palatino Linotype" w:hAnsi="Palatino Linotype" w:cs="Palatino Linotype"/>
          <w:b/>
        </w:rPr>
        <w:t>SUJETO OBLIGADO</w:t>
      </w:r>
      <w:r w:rsidRPr="00F41C57">
        <w:rPr>
          <w:rFonts w:ascii="Palatino Linotype" w:eastAsia="Palatino Linotype" w:hAnsi="Palatino Linotype" w:cs="Palatino Linotype"/>
        </w:rPr>
        <w:t xml:space="preserve"> interpuso los recursos de revisión a través del SAIMEX en fecha veintisiete de abril del dos mil veintitrés, a través del cual expresó lo siguiente:</w:t>
      </w:r>
    </w:p>
    <w:p w:rsidR="00886EFA" w:rsidRPr="00F41C57" w:rsidRDefault="00886EFA">
      <w:pPr>
        <w:spacing w:after="240" w:line="360" w:lineRule="auto"/>
        <w:jc w:val="both"/>
        <w:rPr>
          <w:rFonts w:ascii="Palatino Linotype" w:eastAsia="Palatino Linotype" w:hAnsi="Palatino Linotype" w:cs="Palatino Linotype"/>
        </w:rPr>
      </w:pPr>
    </w:p>
    <w:tbl>
      <w:tblPr>
        <w:tblStyle w:val="a0"/>
        <w:tblW w:w="92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3119"/>
        <w:gridCol w:w="3021"/>
      </w:tblGrid>
      <w:tr w:rsidR="00886EFA" w:rsidRPr="00F41C57">
        <w:tc>
          <w:tcPr>
            <w:tcW w:w="3119" w:type="dxa"/>
            <w:shd w:val="clear" w:color="auto" w:fill="D9D9D9"/>
          </w:tcPr>
          <w:p w:rsidR="00886EFA" w:rsidRPr="00F41C57" w:rsidRDefault="00146962">
            <w:pPr>
              <w:jc w:val="center"/>
              <w:rPr>
                <w:rFonts w:ascii="Palatino Linotype" w:eastAsia="Palatino Linotype" w:hAnsi="Palatino Linotype" w:cs="Palatino Linotype"/>
                <w:b/>
                <w:sz w:val="20"/>
                <w:szCs w:val="20"/>
              </w:rPr>
            </w:pPr>
            <w:r w:rsidRPr="00F41C57">
              <w:rPr>
                <w:rFonts w:ascii="Palatino Linotype" w:eastAsia="Palatino Linotype" w:hAnsi="Palatino Linotype" w:cs="Palatino Linotype"/>
                <w:b/>
                <w:sz w:val="20"/>
                <w:szCs w:val="20"/>
              </w:rPr>
              <w:t>Número de solicitud</w:t>
            </w:r>
          </w:p>
        </w:tc>
        <w:tc>
          <w:tcPr>
            <w:tcW w:w="3119" w:type="dxa"/>
            <w:shd w:val="clear" w:color="auto" w:fill="D9D9D9"/>
            <w:vAlign w:val="center"/>
          </w:tcPr>
          <w:p w:rsidR="00886EFA" w:rsidRPr="00F41C57" w:rsidRDefault="00146962">
            <w:pPr>
              <w:jc w:val="center"/>
              <w:rPr>
                <w:rFonts w:ascii="Palatino Linotype" w:eastAsia="Palatino Linotype" w:hAnsi="Palatino Linotype" w:cs="Palatino Linotype"/>
                <w:b/>
                <w:sz w:val="20"/>
                <w:szCs w:val="20"/>
              </w:rPr>
            </w:pPr>
            <w:r w:rsidRPr="00F41C57">
              <w:rPr>
                <w:rFonts w:ascii="Palatino Linotype" w:eastAsia="Palatino Linotype" w:hAnsi="Palatino Linotype" w:cs="Palatino Linotype"/>
                <w:b/>
                <w:sz w:val="20"/>
                <w:szCs w:val="20"/>
              </w:rPr>
              <w:t>Acto impugnado.</w:t>
            </w:r>
          </w:p>
        </w:tc>
        <w:tc>
          <w:tcPr>
            <w:tcW w:w="3021" w:type="dxa"/>
            <w:shd w:val="clear" w:color="auto" w:fill="D9D9D9"/>
            <w:vAlign w:val="center"/>
          </w:tcPr>
          <w:p w:rsidR="00886EFA" w:rsidRPr="00F41C57" w:rsidRDefault="00146962">
            <w:pPr>
              <w:jc w:val="center"/>
              <w:rPr>
                <w:rFonts w:ascii="Palatino Linotype" w:eastAsia="Palatino Linotype" w:hAnsi="Palatino Linotype" w:cs="Palatino Linotype"/>
                <w:b/>
                <w:sz w:val="20"/>
                <w:szCs w:val="20"/>
              </w:rPr>
            </w:pPr>
            <w:r w:rsidRPr="00F41C57">
              <w:rPr>
                <w:rFonts w:ascii="Palatino Linotype" w:eastAsia="Palatino Linotype" w:hAnsi="Palatino Linotype" w:cs="Palatino Linotype"/>
                <w:b/>
                <w:sz w:val="20"/>
                <w:szCs w:val="20"/>
              </w:rPr>
              <w:t>Motivos de inconformidad.</w:t>
            </w:r>
          </w:p>
        </w:tc>
      </w:tr>
      <w:tr w:rsidR="00886EFA" w:rsidRPr="00F41C57">
        <w:tc>
          <w:tcPr>
            <w:tcW w:w="3119" w:type="dxa"/>
            <w:vAlign w:val="center"/>
          </w:tcPr>
          <w:p w:rsidR="00886EFA" w:rsidRPr="00F41C57" w:rsidRDefault="00146962">
            <w:pPr>
              <w:spacing w:before="120" w:after="120"/>
              <w:jc w:val="center"/>
              <w:rPr>
                <w:rFonts w:ascii="Palatino Linotype" w:eastAsia="Palatino Linotype" w:hAnsi="Palatino Linotype" w:cs="Palatino Linotype"/>
                <w:b/>
                <w:sz w:val="20"/>
                <w:szCs w:val="20"/>
              </w:rPr>
            </w:pPr>
            <w:r w:rsidRPr="00F41C57">
              <w:rPr>
                <w:rFonts w:ascii="Palatino Linotype" w:eastAsia="Palatino Linotype" w:hAnsi="Palatino Linotype" w:cs="Palatino Linotype"/>
                <w:b/>
                <w:sz w:val="20"/>
                <w:szCs w:val="20"/>
              </w:rPr>
              <w:t>02274/INFOEM/IP/RR/2023</w:t>
            </w:r>
          </w:p>
        </w:tc>
        <w:tc>
          <w:tcPr>
            <w:tcW w:w="3119" w:type="dxa"/>
            <w:shd w:val="clear" w:color="auto" w:fill="auto"/>
          </w:tcPr>
          <w:p w:rsidR="00886EFA" w:rsidRPr="00F41C57" w:rsidRDefault="00146962">
            <w:pPr>
              <w:jc w:val="both"/>
              <w:rPr>
                <w:rFonts w:ascii="Palatino Linotype" w:eastAsia="Palatino Linotype" w:hAnsi="Palatino Linotype" w:cs="Palatino Linotype"/>
                <w:i/>
                <w:sz w:val="20"/>
                <w:szCs w:val="20"/>
              </w:rPr>
            </w:pPr>
            <w:r w:rsidRPr="00F41C57">
              <w:rPr>
                <w:rFonts w:ascii="Palatino Linotype" w:eastAsia="Palatino Linotype" w:hAnsi="Palatino Linotype" w:cs="Palatino Linotype"/>
                <w:i/>
                <w:sz w:val="20"/>
                <w:szCs w:val="20"/>
              </w:rPr>
              <w:t>Niegan la información</w:t>
            </w:r>
          </w:p>
        </w:tc>
        <w:tc>
          <w:tcPr>
            <w:tcW w:w="3021" w:type="dxa"/>
            <w:shd w:val="clear" w:color="auto" w:fill="auto"/>
          </w:tcPr>
          <w:p w:rsidR="00886EFA" w:rsidRPr="00F41C57" w:rsidRDefault="00146962">
            <w:pPr>
              <w:jc w:val="both"/>
              <w:rPr>
                <w:rFonts w:ascii="Palatino Linotype" w:eastAsia="Palatino Linotype" w:hAnsi="Palatino Linotype" w:cs="Palatino Linotype"/>
                <w:i/>
                <w:sz w:val="20"/>
                <w:szCs w:val="20"/>
              </w:rPr>
            </w:pPr>
            <w:r w:rsidRPr="00F41C57">
              <w:rPr>
                <w:rFonts w:ascii="Palatino Linotype" w:eastAsia="Palatino Linotype" w:hAnsi="Palatino Linotype" w:cs="Palatino Linotype"/>
                <w:i/>
                <w:sz w:val="20"/>
                <w:szCs w:val="20"/>
              </w:rPr>
              <w:t>Niegan la información remitiendo un vínculo no solicitado y mucho menos conforme lo señalado en el artículo 161 de la Ley de transparencia.</w:t>
            </w:r>
          </w:p>
        </w:tc>
      </w:tr>
      <w:tr w:rsidR="00886EFA" w:rsidRPr="00F41C57">
        <w:tc>
          <w:tcPr>
            <w:tcW w:w="3119" w:type="dxa"/>
            <w:vAlign w:val="center"/>
          </w:tcPr>
          <w:p w:rsidR="00886EFA" w:rsidRPr="00F41C57" w:rsidRDefault="00146962">
            <w:pPr>
              <w:spacing w:before="120" w:after="120"/>
              <w:jc w:val="center"/>
              <w:rPr>
                <w:rFonts w:ascii="Palatino Linotype" w:eastAsia="Palatino Linotype" w:hAnsi="Palatino Linotype" w:cs="Palatino Linotype"/>
                <w:b/>
                <w:sz w:val="20"/>
                <w:szCs w:val="20"/>
              </w:rPr>
            </w:pPr>
            <w:r w:rsidRPr="00F41C57">
              <w:rPr>
                <w:rFonts w:ascii="Palatino Linotype" w:eastAsia="Palatino Linotype" w:hAnsi="Palatino Linotype" w:cs="Palatino Linotype"/>
                <w:b/>
                <w:sz w:val="20"/>
                <w:szCs w:val="20"/>
              </w:rPr>
              <w:t>02275/INFOEM/IP/RR/2023</w:t>
            </w:r>
          </w:p>
        </w:tc>
        <w:tc>
          <w:tcPr>
            <w:tcW w:w="3119" w:type="dxa"/>
            <w:shd w:val="clear" w:color="auto" w:fill="auto"/>
          </w:tcPr>
          <w:p w:rsidR="00886EFA" w:rsidRPr="00F41C57" w:rsidRDefault="00146962">
            <w:pPr>
              <w:jc w:val="both"/>
              <w:rPr>
                <w:rFonts w:ascii="Palatino Linotype" w:eastAsia="Palatino Linotype" w:hAnsi="Palatino Linotype" w:cs="Palatino Linotype"/>
                <w:i/>
                <w:sz w:val="20"/>
                <w:szCs w:val="20"/>
              </w:rPr>
            </w:pPr>
            <w:r w:rsidRPr="00F41C57">
              <w:rPr>
                <w:rFonts w:ascii="Palatino Linotype" w:eastAsia="Palatino Linotype" w:hAnsi="Palatino Linotype" w:cs="Palatino Linotype"/>
                <w:i/>
                <w:sz w:val="20"/>
                <w:szCs w:val="20"/>
              </w:rPr>
              <w:t>Niegan la información</w:t>
            </w:r>
          </w:p>
        </w:tc>
        <w:tc>
          <w:tcPr>
            <w:tcW w:w="3021" w:type="dxa"/>
            <w:shd w:val="clear" w:color="auto" w:fill="auto"/>
          </w:tcPr>
          <w:p w:rsidR="00886EFA" w:rsidRPr="00F41C57" w:rsidRDefault="00146962">
            <w:pPr>
              <w:jc w:val="both"/>
              <w:rPr>
                <w:rFonts w:ascii="Palatino Linotype" w:eastAsia="Palatino Linotype" w:hAnsi="Palatino Linotype" w:cs="Palatino Linotype"/>
                <w:i/>
                <w:sz w:val="20"/>
                <w:szCs w:val="20"/>
              </w:rPr>
            </w:pPr>
            <w:r w:rsidRPr="00F41C57">
              <w:rPr>
                <w:rFonts w:ascii="Palatino Linotype" w:eastAsia="Palatino Linotype" w:hAnsi="Palatino Linotype" w:cs="Palatino Linotype"/>
                <w:i/>
                <w:sz w:val="20"/>
                <w:szCs w:val="20"/>
              </w:rPr>
              <w:t>Mandan un vínculo que no solicité y que no cumple con los requisitos que señala el art 161 de la ley de transparencia.</w:t>
            </w:r>
          </w:p>
        </w:tc>
      </w:tr>
    </w:tbl>
    <w:p w:rsidR="00886EFA" w:rsidRPr="00F41C57" w:rsidRDefault="00886EFA">
      <w:pPr>
        <w:spacing w:line="360" w:lineRule="auto"/>
        <w:jc w:val="both"/>
        <w:rPr>
          <w:rFonts w:ascii="Palatino Linotype" w:eastAsia="Palatino Linotype" w:hAnsi="Palatino Linotype" w:cs="Palatino Linotype"/>
        </w:rPr>
      </w:pPr>
    </w:p>
    <w:p w:rsidR="00886EFA" w:rsidRPr="00F41C57" w:rsidRDefault="00146962">
      <w:pPr>
        <w:spacing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b/>
        </w:rPr>
        <w:t xml:space="preserve">4. Turno. </w:t>
      </w:r>
      <w:r w:rsidRPr="00F41C57">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Pr="00F41C57">
        <w:rPr>
          <w:rFonts w:ascii="Palatino Linotype" w:eastAsia="Palatino Linotype" w:hAnsi="Palatino Linotype" w:cs="Palatino Linotype"/>
          <w:b/>
        </w:rPr>
        <w:t xml:space="preserve">02274/INFOEM/IP/RR/2023, </w:t>
      </w:r>
      <w:r w:rsidRPr="00F41C57">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sidRPr="00F41C57">
        <w:rPr>
          <w:rFonts w:ascii="Palatino Linotype" w:eastAsia="Palatino Linotype" w:hAnsi="Palatino Linotype" w:cs="Palatino Linotype"/>
          <w:b/>
        </w:rPr>
        <w:t>Guadalupe Ramírez Peña</w:t>
      </w:r>
      <w:r w:rsidRPr="00F41C57">
        <w:rPr>
          <w:rFonts w:ascii="Palatino Linotype" w:eastAsia="Palatino Linotype" w:hAnsi="Palatino Linotype" w:cs="Palatino Linotype"/>
        </w:rPr>
        <w:t xml:space="preserve">, y el recurso de revisión número </w:t>
      </w:r>
      <w:r w:rsidRPr="00F41C57">
        <w:rPr>
          <w:rFonts w:ascii="Palatino Linotype" w:eastAsia="Palatino Linotype" w:hAnsi="Palatino Linotype" w:cs="Palatino Linotype"/>
          <w:b/>
        </w:rPr>
        <w:t xml:space="preserve">02275/INFOEM/IP/RR/2023, </w:t>
      </w:r>
      <w:r w:rsidRPr="00F41C57">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al  Comisionado </w:t>
      </w:r>
      <w:r w:rsidRPr="00F41C57">
        <w:rPr>
          <w:rFonts w:ascii="Palatino Linotype" w:eastAsia="Palatino Linotype" w:hAnsi="Palatino Linotype" w:cs="Palatino Linotype"/>
          <w:b/>
        </w:rPr>
        <w:t>José Martínez Vilchis</w:t>
      </w:r>
      <w:r w:rsidRPr="00F41C57">
        <w:rPr>
          <w:rFonts w:ascii="Palatino Linotype" w:eastAsia="Palatino Linotype" w:hAnsi="Palatino Linotype" w:cs="Palatino Linotype"/>
        </w:rPr>
        <w:t>, para su análisis, estudio, elaboración del proyecto y presentación ante el Pleno de este Instituto.</w:t>
      </w:r>
    </w:p>
    <w:p w:rsidR="00886EFA" w:rsidRPr="00F41C57" w:rsidRDefault="00886EFA">
      <w:pPr>
        <w:spacing w:line="360" w:lineRule="auto"/>
        <w:jc w:val="both"/>
        <w:rPr>
          <w:rFonts w:ascii="Palatino Linotype" w:eastAsia="Palatino Linotype" w:hAnsi="Palatino Linotype" w:cs="Palatino Linotype"/>
        </w:rPr>
      </w:pPr>
    </w:p>
    <w:p w:rsidR="00886EFA" w:rsidRPr="00F41C57" w:rsidRDefault="00146962">
      <w:pPr>
        <w:spacing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b/>
        </w:rPr>
        <w:t xml:space="preserve">5. Acumulación, </w:t>
      </w:r>
      <w:r w:rsidRPr="00F41C57">
        <w:rPr>
          <w:rFonts w:ascii="Palatino Linotype" w:eastAsia="Palatino Linotype" w:hAnsi="Palatino Linotype" w:cs="Palatino Linotype"/>
        </w:rPr>
        <w:t xml:space="preserve">en la Décima Séptima Sesión Ordinaria del Pleno de este Instituto de Transparencia, Acceso a la Información Pública y Protección de Datos Personales del Estado de México y Municipios, celebrada en fecha diez de mayo de dos mil veintitrés, al advertir la conexidad de causa y con la finalidad de evitar que se dicten </w:t>
      </w:r>
      <w:r w:rsidRPr="00F41C57">
        <w:rPr>
          <w:rFonts w:ascii="Palatino Linotype" w:eastAsia="Palatino Linotype" w:hAnsi="Palatino Linotype" w:cs="Palatino Linotype"/>
        </w:rPr>
        <w:lastRenderedPageBreak/>
        <w:t xml:space="preserve">resoluciones contradictorias, se acordó la acumulación de los recursos señalados en este fallo; determinando que fuera Ponente, la Comisionada </w:t>
      </w:r>
      <w:r w:rsidRPr="00F41C57">
        <w:rPr>
          <w:rFonts w:ascii="Palatino Linotype" w:eastAsia="Palatino Linotype" w:hAnsi="Palatino Linotype" w:cs="Palatino Linotype"/>
          <w:b/>
        </w:rPr>
        <w:t xml:space="preserve">Guadalupe Ramírez Peña; </w:t>
      </w:r>
      <w:r w:rsidRPr="00F41C57">
        <w:rPr>
          <w:rFonts w:ascii="Palatino Linotype" w:eastAsia="Palatino Linotype" w:hAnsi="Palatino Linotype" w:cs="Palatino Linotype"/>
        </w:rPr>
        <w:t>lo anterior de conformidad con el artículo 195 de la Ley de Transparencia y Acceso a la Información Pública del Estado de México y Municipios, y artículo 18 del Código de Procedimientos Administrativos del Estado de México de manera supletoria; los cuales a la letra establecen:</w:t>
      </w:r>
    </w:p>
    <w:p w:rsidR="00886EFA" w:rsidRPr="00F41C57" w:rsidRDefault="00886EFA">
      <w:pPr>
        <w:spacing w:line="360" w:lineRule="auto"/>
        <w:jc w:val="both"/>
        <w:rPr>
          <w:rFonts w:ascii="Palatino Linotype" w:eastAsia="Palatino Linotype" w:hAnsi="Palatino Linotype" w:cs="Palatino Linotype"/>
        </w:rPr>
      </w:pPr>
    </w:p>
    <w:p w:rsidR="00886EFA" w:rsidRPr="00F41C57" w:rsidRDefault="00146962">
      <w:pPr>
        <w:ind w:left="1134" w:right="1325"/>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i/>
          <w:sz w:val="22"/>
          <w:szCs w:val="22"/>
        </w:rPr>
        <w:t>“Artículo 195.- En la tramitación del recurso de revisión se aplicarán supletoriamente las disposiciones contenidas en el Código de Procedimientos Administrativos del Estado de México.” (Sic)</w:t>
      </w:r>
    </w:p>
    <w:p w:rsidR="00886EFA" w:rsidRPr="00F41C57" w:rsidRDefault="00886EFA">
      <w:pPr>
        <w:ind w:right="1325"/>
        <w:jc w:val="both"/>
        <w:rPr>
          <w:rFonts w:ascii="Palatino Linotype" w:eastAsia="Palatino Linotype" w:hAnsi="Palatino Linotype" w:cs="Palatino Linotype"/>
          <w:i/>
          <w:sz w:val="22"/>
          <w:szCs w:val="22"/>
        </w:rPr>
      </w:pPr>
    </w:p>
    <w:p w:rsidR="00886EFA" w:rsidRPr="00F41C57" w:rsidRDefault="00146962">
      <w:pPr>
        <w:ind w:left="1134" w:right="1327"/>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i/>
          <w:sz w:val="22"/>
          <w:szCs w:val="22"/>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 (Sic)</w:t>
      </w:r>
    </w:p>
    <w:p w:rsidR="00886EFA" w:rsidRPr="00F41C57" w:rsidRDefault="00886EFA">
      <w:pPr>
        <w:ind w:left="1134" w:right="1327"/>
        <w:jc w:val="both"/>
        <w:rPr>
          <w:rFonts w:ascii="Palatino Linotype" w:eastAsia="Palatino Linotype" w:hAnsi="Palatino Linotype" w:cs="Palatino Linotype"/>
          <w:i/>
          <w:sz w:val="22"/>
          <w:szCs w:val="22"/>
        </w:rPr>
      </w:pPr>
    </w:p>
    <w:p w:rsidR="00886EFA" w:rsidRPr="00F41C57" w:rsidRDefault="00146962">
      <w:pPr>
        <w:spacing w:after="240" w:line="360" w:lineRule="auto"/>
        <w:ind w:right="49"/>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b/>
        </w:rPr>
        <w:t xml:space="preserve">6. Admisión de los recursos de revisión: </w:t>
      </w:r>
      <w:r w:rsidRPr="00F41C57">
        <w:rPr>
          <w:rFonts w:ascii="Palatino Linotype" w:eastAsia="Palatino Linotype" w:hAnsi="Palatino Linotype" w:cs="Palatino Linotype"/>
        </w:rPr>
        <w:t xml:space="preserve">En fecha tres de mayo de dos mil veintitrés, la Comisionada ponente, admitió a trámite los recursos de revisión que ahora se resuelven, dando un plazo máximo de siete días hábiles para que las partes manifestaran lo que a su derecho resultara conveniente, ofrecieran pruebas, formularan alegatos y el Sujeto Obligado presentara su informe justificado. </w:t>
      </w:r>
    </w:p>
    <w:p w:rsidR="00886EFA" w:rsidRPr="00F41C57" w:rsidRDefault="00146962">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color w:val="000000"/>
        </w:rPr>
      </w:pPr>
      <w:r w:rsidRPr="00F41C57">
        <w:rPr>
          <w:rFonts w:ascii="Palatino Linotype" w:eastAsia="Palatino Linotype" w:hAnsi="Palatino Linotype" w:cs="Palatino Linotype"/>
          <w:b/>
          <w:color w:val="000000"/>
        </w:rPr>
        <w:t>7. Manifestaciones</w:t>
      </w:r>
      <w:r w:rsidRPr="00F41C57">
        <w:rPr>
          <w:rFonts w:ascii="Palatino Linotype" w:eastAsia="Palatino Linotype" w:hAnsi="Palatino Linotype" w:cs="Palatino Linotype"/>
          <w:color w:val="000000"/>
        </w:rPr>
        <w:t xml:space="preserve">: De las constancias que integran los expedientes en que se actúa se advierte que el </w:t>
      </w:r>
      <w:r w:rsidRPr="00F41C57">
        <w:rPr>
          <w:rFonts w:ascii="Palatino Linotype" w:eastAsia="Palatino Linotype" w:hAnsi="Palatino Linotype" w:cs="Palatino Linotype"/>
          <w:b/>
          <w:color w:val="000000"/>
        </w:rPr>
        <w:t>RECURRENTE</w:t>
      </w:r>
      <w:r w:rsidRPr="00F41C57">
        <w:rPr>
          <w:rFonts w:ascii="Palatino Linotype" w:eastAsia="Palatino Linotype" w:hAnsi="Palatino Linotype" w:cs="Palatino Linotype"/>
          <w:color w:val="000000"/>
        </w:rPr>
        <w:t xml:space="preserve"> fue omiso</w:t>
      </w:r>
      <w:r w:rsidRPr="00F41C57">
        <w:rPr>
          <w:rFonts w:ascii="Palatino Linotype" w:eastAsia="Palatino Linotype" w:hAnsi="Palatino Linotype" w:cs="Palatino Linotype"/>
          <w:color w:val="FF0000"/>
        </w:rPr>
        <w:t xml:space="preserve"> </w:t>
      </w:r>
      <w:r w:rsidRPr="00F41C57">
        <w:rPr>
          <w:rFonts w:ascii="Palatino Linotype" w:eastAsia="Palatino Linotype" w:hAnsi="Palatino Linotype" w:cs="Palatino Linotype"/>
          <w:color w:val="000000"/>
        </w:rPr>
        <w:t xml:space="preserve">en ofrecer pruebas o expresar alegatos; en términos del artículo 185 fracciones II de la ley que nos ocupa. </w:t>
      </w:r>
    </w:p>
    <w:p w:rsidR="00886EFA" w:rsidRPr="00F41C57" w:rsidRDefault="00146962">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color w:val="000000"/>
        </w:rPr>
      </w:pPr>
      <w:r w:rsidRPr="00F41C57">
        <w:rPr>
          <w:rFonts w:ascii="Palatino Linotype" w:eastAsia="Palatino Linotype" w:hAnsi="Palatino Linotype" w:cs="Palatino Linotype"/>
          <w:color w:val="000000"/>
        </w:rPr>
        <w:lastRenderedPageBreak/>
        <w:t xml:space="preserve">Por su parte el </w:t>
      </w:r>
      <w:r w:rsidRPr="00F41C57">
        <w:rPr>
          <w:rFonts w:ascii="Palatino Linotype" w:eastAsia="Palatino Linotype" w:hAnsi="Palatino Linotype" w:cs="Palatino Linotype"/>
          <w:b/>
          <w:color w:val="000000"/>
        </w:rPr>
        <w:t>SUJETO OBLIGADO</w:t>
      </w:r>
      <w:r w:rsidRPr="00F41C57">
        <w:rPr>
          <w:rFonts w:ascii="Palatino Linotype" w:eastAsia="Palatino Linotype" w:hAnsi="Palatino Linotype" w:cs="Palatino Linotype"/>
          <w:color w:val="000000"/>
        </w:rPr>
        <w:t>, en fecha quince de mayo del año en curso remitió los siguientes archivos electrónicos:</w:t>
      </w:r>
    </w:p>
    <w:p w:rsidR="00886EFA" w:rsidRPr="00F41C57" w:rsidRDefault="00886EFA">
      <w:pPr>
        <w:widowControl w:val="0"/>
        <w:spacing w:before="240" w:after="240" w:line="360" w:lineRule="auto"/>
        <w:jc w:val="both"/>
        <w:rPr>
          <w:rFonts w:ascii="Palatino Linotype" w:eastAsia="Palatino Linotype" w:hAnsi="Palatino Linotype" w:cs="Palatino Linotype"/>
        </w:rPr>
      </w:pPr>
    </w:p>
    <w:tbl>
      <w:tblPr>
        <w:tblStyle w:val="a1"/>
        <w:tblW w:w="92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6140"/>
      </w:tblGrid>
      <w:tr w:rsidR="00886EFA" w:rsidRPr="00F41C57">
        <w:tc>
          <w:tcPr>
            <w:tcW w:w="3119" w:type="dxa"/>
            <w:shd w:val="clear" w:color="auto" w:fill="D9D9D9"/>
          </w:tcPr>
          <w:p w:rsidR="00886EFA" w:rsidRPr="00F41C57" w:rsidRDefault="00146962">
            <w:pPr>
              <w:jc w:val="center"/>
              <w:rPr>
                <w:rFonts w:ascii="Palatino Linotype" w:eastAsia="Palatino Linotype" w:hAnsi="Palatino Linotype" w:cs="Palatino Linotype"/>
                <w:b/>
                <w:sz w:val="20"/>
                <w:szCs w:val="20"/>
              </w:rPr>
            </w:pPr>
            <w:r w:rsidRPr="00F41C57">
              <w:rPr>
                <w:rFonts w:ascii="Palatino Linotype" w:eastAsia="Palatino Linotype" w:hAnsi="Palatino Linotype" w:cs="Palatino Linotype"/>
                <w:b/>
                <w:sz w:val="20"/>
                <w:szCs w:val="20"/>
              </w:rPr>
              <w:t>Número de solicitud</w:t>
            </w:r>
          </w:p>
        </w:tc>
        <w:tc>
          <w:tcPr>
            <w:tcW w:w="6140" w:type="dxa"/>
            <w:shd w:val="clear" w:color="auto" w:fill="D9D9D9"/>
            <w:vAlign w:val="center"/>
          </w:tcPr>
          <w:p w:rsidR="00886EFA" w:rsidRPr="00F41C57" w:rsidRDefault="00146962">
            <w:pPr>
              <w:jc w:val="center"/>
              <w:rPr>
                <w:rFonts w:ascii="Palatino Linotype" w:eastAsia="Palatino Linotype" w:hAnsi="Palatino Linotype" w:cs="Palatino Linotype"/>
                <w:b/>
                <w:sz w:val="20"/>
                <w:szCs w:val="20"/>
              </w:rPr>
            </w:pPr>
            <w:r w:rsidRPr="00F41C57">
              <w:rPr>
                <w:rFonts w:ascii="Palatino Linotype" w:eastAsia="Palatino Linotype" w:hAnsi="Palatino Linotype" w:cs="Palatino Linotype"/>
                <w:b/>
                <w:sz w:val="20"/>
                <w:szCs w:val="20"/>
              </w:rPr>
              <w:t>Informe justificado</w:t>
            </w:r>
          </w:p>
        </w:tc>
      </w:tr>
      <w:tr w:rsidR="00886EFA" w:rsidRPr="00F41C57">
        <w:tc>
          <w:tcPr>
            <w:tcW w:w="3119" w:type="dxa"/>
            <w:vAlign w:val="center"/>
          </w:tcPr>
          <w:p w:rsidR="00886EFA" w:rsidRPr="00F41C57" w:rsidRDefault="00146962">
            <w:pPr>
              <w:spacing w:before="120" w:after="120"/>
              <w:jc w:val="center"/>
              <w:rPr>
                <w:rFonts w:ascii="Palatino Linotype" w:eastAsia="Palatino Linotype" w:hAnsi="Palatino Linotype" w:cs="Palatino Linotype"/>
                <w:b/>
                <w:sz w:val="20"/>
                <w:szCs w:val="20"/>
              </w:rPr>
            </w:pPr>
            <w:r w:rsidRPr="00F41C57">
              <w:rPr>
                <w:rFonts w:ascii="Palatino Linotype" w:eastAsia="Palatino Linotype" w:hAnsi="Palatino Linotype" w:cs="Palatino Linotype"/>
                <w:b/>
                <w:sz w:val="20"/>
                <w:szCs w:val="20"/>
              </w:rPr>
              <w:t>02274/INFOEM/IP/RR/2023</w:t>
            </w:r>
          </w:p>
        </w:tc>
        <w:tc>
          <w:tcPr>
            <w:tcW w:w="6140" w:type="dxa"/>
            <w:shd w:val="clear" w:color="auto" w:fill="auto"/>
          </w:tcPr>
          <w:p w:rsidR="00886EFA" w:rsidRPr="00F41C57" w:rsidRDefault="00886EFA">
            <w:pPr>
              <w:spacing w:before="240"/>
              <w:jc w:val="both"/>
              <w:rPr>
                <w:rFonts w:ascii="Palatino Linotype" w:eastAsia="Palatino Linotype" w:hAnsi="Palatino Linotype" w:cs="Palatino Linotype"/>
                <w:sz w:val="22"/>
                <w:szCs w:val="22"/>
              </w:rPr>
            </w:pPr>
          </w:p>
          <w:p w:rsidR="00886EFA" w:rsidRPr="00F41C57" w:rsidRDefault="00146962">
            <w:pPr>
              <w:widowControl w:val="0"/>
              <w:jc w:val="both"/>
              <w:rPr>
                <w:rFonts w:ascii="Palatino Linotype" w:eastAsia="Palatino Linotype" w:hAnsi="Palatino Linotype" w:cs="Palatino Linotype"/>
                <w:sz w:val="22"/>
                <w:szCs w:val="22"/>
              </w:rPr>
            </w:pPr>
            <w:r w:rsidRPr="00F41C57">
              <w:rPr>
                <w:rFonts w:ascii="Palatino Linotype" w:eastAsia="Palatino Linotype" w:hAnsi="Palatino Linotype" w:cs="Palatino Linotype"/>
                <w:sz w:val="22"/>
                <w:szCs w:val="22"/>
              </w:rPr>
              <w:t>“</w:t>
            </w:r>
            <w:hyperlink r:id="rId19">
              <w:r w:rsidRPr="00F41C57">
                <w:rPr>
                  <w:rFonts w:ascii="Palatino Linotype" w:eastAsia="Palatino Linotype" w:hAnsi="Palatino Linotype" w:cs="Palatino Linotype"/>
                  <w:sz w:val="22"/>
                  <w:szCs w:val="22"/>
                </w:rPr>
                <w:t>20230508123748796_0004.pd</w:t>
              </w:r>
            </w:hyperlink>
            <w:r w:rsidRPr="00F41C57">
              <w:rPr>
                <w:rFonts w:ascii="Palatino Linotype" w:eastAsia="Palatino Linotype" w:hAnsi="Palatino Linotype" w:cs="Palatino Linotype"/>
                <w:sz w:val="22"/>
                <w:szCs w:val="22"/>
              </w:rPr>
              <w:t xml:space="preserve">f”, el cual contiene el oficio número TM/1378/2023, por medio del cual el Tesorero Municipal del Ayuntamiento de Atizapán de Zaragoza, informó que no niega que cuenta con la información solicitada por el Recurrente, tal como lo refirió en el oficio de respuesta TM/1135/2023, en razón de que la información solicitada con relación a conocer las partidas en las que se distribuyó la deuda adquirida se encuentra publicada en la página del H. Ayuntamiento, se proporcionó mediante una liga electrónica que accede a la información solicitada, tal como obra en los archivos de esta Tesorería, remitiendo capturas de pantalla que indican el procedimiento para acceder a la información del link proporcionado. </w:t>
            </w:r>
          </w:p>
          <w:p w:rsidR="00886EFA" w:rsidRPr="00F41C57" w:rsidRDefault="00886EFA">
            <w:pPr>
              <w:widowControl w:val="0"/>
              <w:jc w:val="both"/>
              <w:rPr>
                <w:rFonts w:ascii="Palatino Linotype" w:eastAsia="Palatino Linotype" w:hAnsi="Palatino Linotype" w:cs="Palatino Linotype"/>
                <w:sz w:val="22"/>
                <w:szCs w:val="22"/>
              </w:rPr>
            </w:pPr>
          </w:p>
          <w:p w:rsidR="00886EFA" w:rsidRPr="00F41C57" w:rsidRDefault="00146962">
            <w:pPr>
              <w:widowControl w:val="0"/>
              <w:jc w:val="both"/>
              <w:rPr>
                <w:rFonts w:ascii="Palatino Linotype" w:eastAsia="Palatino Linotype" w:hAnsi="Palatino Linotype" w:cs="Palatino Linotype"/>
                <w:sz w:val="22"/>
                <w:szCs w:val="22"/>
              </w:rPr>
            </w:pPr>
            <w:r w:rsidRPr="00F41C57">
              <w:rPr>
                <w:rFonts w:ascii="Palatino Linotype" w:eastAsia="Palatino Linotype" w:hAnsi="Palatino Linotype" w:cs="Palatino Linotype"/>
                <w:sz w:val="22"/>
                <w:szCs w:val="22"/>
              </w:rPr>
              <w:t>Finalmente informó que la partida es la 9000, deuda pública.</w:t>
            </w:r>
          </w:p>
          <w:p w:rsidR="00886EFA" w:rsidRPr="00F41C57" w:rsidRDefault="00886EFA">
            <w:pPr>
              <w:widowControl w:val="0"/>
              <w:jc w:val="both"/>
              <w:rPr>
                <w:rFonts w:ascii="Palatino Linotype" w:eastAsia="Palatino Linotype" w:hAnsi="Palatino Linotype" w:cs="Palatino Linotype"/>
                <w:sz w:val="22"/>
                <w:szCs w:val="22"/>
              </w:rPr>
            </w:pPr>
          </w:p>
          <w:p w:rsidR="00886EFA" w:rsidRPr="00F41C57" w:rsidRDefault="00146962">
            <w:pPr>
              <w:widowControl w:val="0"/>
              <w:jc w:val="both"/>
              <w:rPr>
                <w:rFonts w:ascii="Palatino Linotype" w:eastAsia="Palatino Linotype" w:hAnsi="Palatino Linotype" w:cs="Palatino Linotype"/>
                <w:sz w:val="22"/>
                <w:szCs w:val="22"/>
              </w:rPr>
            </w:pPr>
            <w:r w:rsidRPr="00F41C57">
              <w:rPr>
                <w:rFonts w:ascii="Palatino Linotype" w:eastAsia="Palatino Linotype" w:hAnsi="Palatino Linotype" w:cs="Palatino Linotype"/>
                <w:sz w:val="22"/>
                <w:szCs w:val="22"/>
              </w:rPr>
              <w:t>“</w:t>
            </w:r>
            <w:hyperlink r:id="rId20">
              <w:r w:rsidRPr="00F41C57">
                <w:rPr>
                  <w:rFonts w:ascii="Palatino Linotype" w:eastAsia="Palatino Linotype" w:hAnsi="Palatino Linotype" w:cs="Palatino Linotype"/>
                  <w:sz w:val="22"/>
                  <w:szCs w:val="22"/>
                </w:rPr>
                <w:t>20230428164434977_0010.pdf</w:t>
              </w:r>
            </w:hyperlink>
            <w:r w:rsidRPr="00F41C57">
              <w:rPr>
                <w:rFonts w:ascii="Palatino Linotype" w:eastAsia="Palatino Linotype" w:hAnsi="Palatino Linotype" w:cs="Palatino Linotype"/>
                <w:sz w:val="22"/>
                <w:szCs w:val="22"/>
              </w:rPr>
              <w:t xml:space="preserve">”, el cual contiene el requerimiento por parte del Titular de la Unidad de Transparencia al Tesorero Municipal, ambos del </w:t>
            </w:r>
            <w:r w:rsidRPr="00F41C57">
              <w:rPr>
                <w:rFonts w:ascii="Palatino Linotype" w:eastAsia="Palatino Linotype" w:hAnsi="Palatino Linotype" w:cs="Palatino Linotype"/>
                <w:b/>
                <w:sz w:val="22"/>
                <w:szCs w:val="22"/>
              </w:rPr>
              <w:t>SUJETO OBLIGADO</w:t>
            </w:r>
            <w:r w:rsidRPr="00F41C57">
              <w:rPr>
                <w:rFonts w:ascii="Palatino Linotype" w:eastAsia="Palatino Linotype" w:hAnsi="Palatino Linotype" w:cs="Palatino Linotype"/>
                <w:sz w:val="22"/>
                <w:szCs w:val="22"/>
              </w:rPr>
              <w:t xml:space="preserve">, para que fundamentara y motivara la causa por la que fue atendida la información. </w:t>
            </w:r>
          </w:p>
          <w:p w:rsidR="00886EFA" w:rsidRPr="00F41C57" w:rsidRDefault="00886EFA">
            <w:pPr>
              <w:spacing w:after="240"/>
              <w:jc w:val="both"/>
              <w:rPr>
                <w:sz w:val="22"/>
                <w:szCs w:val="22"/>
              </w:rPr>
            </w:pPr>
          </w:p>
        </w:tc>
      </w:tr>
      <w:tr w:rsidR="00886EFA" w:rsidRPr="00F41C57">
        <w:tc>
          <w:tcPr>
            <w:tcW w:w="3119" w:type="dxa"/>
            <w:vAlign w:val="center"/>
          </w:tcPr>
          <w:p w:rsidR="00886EFA" w:rsidRPr="00F41C57" w:rsidRDefault="00146962">
            <w:pPr>
              <w:spacing w:before="120" w:after="120"/>
              <w:jc w:val="center"/>
              <w:rPr>
                <w:rFonts w:ascii="Palatino Linotype" w:eastAsia="Palatino Linotype" w:hAnsi="Palatino Linotype" w:cs="Palatino Linotype"/>
                <w:b/>
                <w:sz w:val="20"/>
                <w:szCs w:val="20"/>
              </w:rPr>
            </w:pPr>
            <w:r w:rsidRPr="00F41C57">
              <w:rPr>
                <w:rFonts w:ascii="Palatino Linotype" w:eastAsia="Palatino Linotype" w:hAnsi="Palatino Linotype" w:cs="Palatino Linotype"/>
                <w:b/>
                <w:sz w:val="20"/>
                <w:szCs w:val="20"/>
              </w:rPr>
              <w:t>02275/INFOEM/IP/RR/2023</w:t>
            </w:r>
          </w:p>
        </w:tc>
        <w:tc>
          <w:tcPr>
            <w:tcW w:w="6140" w:type="dxa"/>
            <w:shd w:val="clear" w:color="auto" w:fill="auto"/>
          </w:tcPr>
          <w:p w:rsidR="00886EFA" w:rsidRPr="00F41C57" w:rsidRDefault="00886EFA">
            <w:pPr>
              <w:spacing w:before="240"/>
              <w:jc w:val="both"/>
              <w:rPr>
                <w:rFonts w:ascii="Palatino Linotype" w:eastAsia="Palatino Linotype" w:hAnsi="Palatino Linotype" w:cs="Palatino Linotype"/>
                <w:sz w:val="20"/>
                <w:szCs w:val="20"/>
              </w:rPr>
            </w:pPr>
          </w:p>
          <w:p w:rsidR="00886EFA" w:rsidRPr="00F41C57" w:rsidRDefault="00146962">
            <w:pPr>
              <w:widowControl w:val="0"/>
              <w:jc w:val="both"/>
              <w:rPr>
                <w:rFonts w:ascii="Palatino Linotype" w:eastAsia="Palatino Linotype" w:hAnsi="Palatino Linotype" w:cs="Palatino Linotype"/>
                <w:sz w:val="22"/>
                <w:szCs w:val="22"/>
              </w:rPr>
            </w:pPr>
            <w:r w:rsidRPr="00F41C57">
              <w:rPr>
                <w:rFonts w:ascii="Palatino Linotype" w:eastAsia="Palatino Linotype" w:hAnsi="Palatino Linotype" w:cs="Palatino Linotype"/>
                <w:sz w:val="22"/>
                <w:szCs w:val="22"/>
              </w:rPr>
              <w:t>“</w:t>
            </w:r>
            <w:hyperlink r:id="rId21">
              <w:r w:rsidRPr="00F41C57">
                <w:rPr>
                  <w:rFonts w:ascii="Palatino Linotype" w:eastAsia="Palatino Linotype" w:hAnsi="Palatino Linotype" w:cs="Palatino Linotype"/>
                  <w:sz w:val="22"/>
                  <w:szCs w:val="22"/>
                </w:rPr>
                <w:t>20230428164434977_0009.pdf</w:t>
              </w:r>
            </w:hyperlink>
            <w:r w:rsidRPr="00F41C57">
              <w:rPr>
                <w:rFonts w:ascii="Palatino Linotype" w:eastAsia="Palatino Linotype" w:hAnsi="Palatino Linotype" w:cs="Palatino Linotype"/>
                <w:sz w:val="22"/>
                <w:szCs w:val="22"/>
              </w:rPr>
              <w:t xml:space="preserve">”, el cual contiene el oficio número TM/1377/2023, por medio del cual el Tesorero Municipal del Ayuntamiento de Atizapán de Zaragoza, informó que no niega que cuenta con la información </w:t>
            </w:r>
            <w:r w:rsidRPr="00F41C57">
              <w:rPr>
                <w:rFonts w:ascii="Palatino Linotype" w:eastAsia="Palatino Linotype" w:hAnsi="Palatino Linotype" w:cs="Palatino Linotype"/>
                <w:sz w:val="22"/>
                <w:szCs w:val="22"/>
              </w:rPr>
              <w:lastRenderedPageBreak/>
              <w:t xml:space="preserve">solicitada por el Recurrente, tal como lo refirió en el oficio de respuesta TM/1109/2023, en razón de que la información solicitada con relación a conocer los pasivos adquiridos en el ejercicio 2022 y 2023, se encuentra publicada en la página del H Ayuntamiento se proporcionó mediante una liga electrónica que accede a la información solicitada, tal como obra en los archivos de esta Tesorería, remitiendo capturas de pantalla que indican el procedimiento para acceder a la información del link proporcionado. </w:t>
            </w:r>
          </w:p>
          <w:p w:rsidR="00886EFA" w:rsidRPr="00F41C57" w:rsidRDefault="00886EFA">
            <w:pPr>
              <w:widowControl w:val="0"/>
              <w:jc w:val="both"/>
              <w:rPr>
                <w:rFonts w:ascii="Palatino Linotype" w:eastAsia="Palatino Linotype" w:hAnsi="Palatino Linotype" w:cs="Palatino Linotype"/>
                <w:sz w:val="22"/>
                <w:szCs w:val="22"/>
              </w:rPr>
            </w:pPr>
          </w:p>
          <w:p w:rsidR="00886EFA" w:rsidRPr="00F41C57" w:rsidRDefault="00146962">
            <w:pPr>
              <w:widowControl w:val="0"/>
              <w:jc w:val="both"/>
              <w:rPr>
                <w:rFonts w:ascii="Palatino Linotype" w:eastAsia="Palatino Linotype" w:hAnsi="Palatino Linotype" w:cs="Palatino Linotype"/>
                <w:b/>
                <w:sz w:val="22"/>
                <w:szCs w:val="22"/>
              </w:rPr>
            </w:pPr>
            <w:r w:rsidRPr="00F41C57">
              <w:rPr>
                <w:rFonts w:ascii="Palatino Linotype" w:eastAsia="Palatino Linotype" w:hAnsi="Palatino Linotype" w:cs="Palatino Linotype"/>
                <w:b/>
                <w:sz w:val="22"/>
                <w:szCs w:val="22"/>
              </w:rPr>
              <w:t xml:space="preserve">Por último señaló que los informes que remiten los Tesoreros Municipales al Órgano Superior de Fiscalización del Estado de México (OSFEM), debe contener todo lo relacionado al tema a examinar y toda vez que este Órgano es el encargado de fiscalizar la cuentas públicas de las entidades estatales, de acuerdo a lo que señala la Ley de Fiscalización Superior del Estado de México, la cual la faculta para crear los lineamientos, criterios, procedimientos, métodos y sistemas para las acciones de control y evaluación que se deben seguir para los informes trimestrales, según en términos del artículo 8 de la Ley de Fiscalización Superior del Estado de México, de conformidad con el acuerdo 05/2023 por el que los lineamientos, fechas de capacitación y calendarización para la integración, envió y entrega de los informes trimestrales del ejercicio fiscal 2023, de las entidades fiscalizables del Estado de México, al fecha de entrega de los informes correspondientes es del ocho al dieciséis de mayo del dos mil veintitrés, en la oficialía de parte del Órgano Superior de Fiscalización, por lo tanto la información no está disponible aún.  </w:t>
            </w:r>
          </w:p>
          <w:p w:rsidR="00886EFA" w:rsidRPr="00F41C57" w:rsidRDefault="00886EFA">
            <w:pPr>
              <w:widowControl w:val="0"/>
              <w:jc w:val="both"/>
              <w:rPr>
                <w:rFonts w:ascii="Palatino Linotype" w:eastAsia="Palatino Linotype" w:hAnsi="Palatino Linotype" w:cs="Palatino Linotype"/>
                <w:sz w:val="22"/>
                <w:szCs w:val="22"/>
              </w:rPr>
            </w:pPr>
          </w:p>
          <w:p w:rsidR="00886EFA" w:rsidRPr="00F41C57" w:rsidRDefault="00886EFA">
            <w:pPr>
              <w:widowControl w:val="0"/>
              <w:jc w:val="both"/>
              <w:rPr>
                <w:rFonts w:ascii="Palatino Linotype" w:eastAsia="Palatino Linotype" w:hAnsi="Palatino Linotype" w:cs="Palatino Linotype"/>
                <w:sz w:val="22"/>
                <w:szCs w:val="22"/>
              </w:rPr>
            </w:pPr>
          </w:p>
          <w:p w:rsidR="00886EFA" w:rsidRPr="00F41C57" w:rsidRDefault="00146962">
            <w:pPr>
              <w:widowControl w:val="0"/>
              <w:jc w:val="both"/>
              <w:rPr>
                <w:rFonts w:ascii="Palatino Linotype" w:eastAsia="Palatino Linotype" w:hAnsi="Palatino Linotype" w:cs="Palatino Linotype"/>
                <w:sz w:val="22"/>
                <w:szCs w:val="22"/>
              </w:rPr>
            </w:pPr>
            <w:r w:rsidRPr="00F41C57">
              <w:rPr>
                <w:rFonts w:ascii="Palatino Linotype" w:eastAsia="Palatino Linotype" w:hAnsi="Palatino Linotype" w:cs="Palatino Linotype"/>
                <w:sz w:val="22"/>
                <w:szCs w:val="22"/>
              </w:rPr>
              <w:t>“</w:t>
            </w:r>
            <w:hyperlink r:id="rId22">
              <w:r w:rsidRPr="00F41C57">
                <w:rPr>
                  <w:rFonts w:ascii="Palatino Linotype" w:eastAsia="Palatino Linotype" w:hAnsi="Palatino Linotype" w:cs="Palatino Linotype"/>
                  <w:sz w:val="22"/>
                  <w:szCs w:val="22"/>
                </w:rPr>
                <w:t>20230508123924006_0002.pd</w:t>
              </w:r>
            </w:hyperlink>
            <w:r w:rsidRPr="00F41C57">
              <w:rPr>
                <w:rFonts w:ascii="Palatino Linotype" w:eastAsia="Palatino Linotype" w:hAnsi="Palatino Linotype" w:cs="Palatino Linotype"/>
                <w:sz w:val="22"/>
                <w:szCs w:val="22"/>
              </w:rPr>
              <w:t xml:space="preserve">f”, el cual contiene el requerimiento por parte del Titular de la Unidad de Transparencia al Tesorero Municipal, ambos del </w:t>
            </w:r>
            <w:r w:rsidRPr="00F41C57">
              <w:rPr>
                <w:rFonts w:ascii="Palatino Linotype" w:eastAsia="Palatino Linotype" w:hAnsi="Palatino Linotype" w:cs="Palatino Linotype"/>
                <w:b/>
                <w:sz w:val="22"/>
                <w:szCs w:val="22"/>
              </w:rPr>
              <w:t>SUJETO OBLIGADO</w:t>
            </w:r>
            <w:r w:rsidRPr="00F41C57">
              <w:rPr>
                <w:rFonts w:ascii="Palatino Linotype" w:eastAsia="Palatino Linotype" w:hAnsi="Palatino Linotype" w:cs="Palatino Linotype"/>
                <w:sz w:val="22"/>
                <w:szCs w:val="22"/>
              </w:rPr>
              <w:t xml:space="preserve">, para que fundamentara y motivara la causa por la que fue atendida la información. </w:t>
            </w:r>
          </w:p>
          <w:p w:rsidR="00886EFA" w:rsidRPr="00F41C57" w:rsidRDefault="00886EFA">
            <w:pPr>
              <w:widowControl w:val="0"/>
              <w:spacing w:after="240"/>
              <w:jc w:val="both"/>
            </w:pPr>
          </w:p>
        </w:tc>
      </w:tr>
    </w:tbl>
    <w:p w:rsidR="00886EFA" w:rsidRPr="00F41C57" w:rsidRDefault="00886EFA">
      <w:pPr>
        <w:spacing w:after="240" w:line="360" w:lineRule="auto"/>
        <w:jc w:val="both"/>
        <w:rPr>
          <w:rFonts w:ascii="Palatino Linotype" w:eastAsia="Palatino Linotype" w:hAnsi="Palatino Linotype" w:cs="Palatino Linotype"/>
        </w:rPr>
      </w:pPr>
    </w:p>
    <w:p w:rsidR="00886EFA" w:rsidRPr="00F41C57" w:rsidRDefault="00146962">
      <w:pPr>
        <w:spacing w:after="240"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t xml:space="preserve">Los documentos que una vez analizados, se hicieron del conocimiento de la parte </w:t>
      </w:r>
      <w:r w:rsidRPr="00F41C57">
        <w:rPr>
          <w:rFonts w:ascii="Palatino Linotype" w:eastAsia="Palatino Linotype" w:hAnsi="Palatino Linotype" w:cs="Palatino Linotype"/>
          <w:b/>
        </w:rPr>
        <w:t>RECURRENTE</w:t>
      </w:r>
      <w:r w:rsidRPr="00F41C57">
        <w:rPr>
          <w:rFonts w:ascii="Palatino Linotype" w:eastAsia="Palatino Linotype" w:hAnsi="Palatino Linotype" w:cs="Palatino Linotype"/>
        </w:rPr>
        <w:t xml:space="preserve"> a efecto de que manifestara lo que a su derecho estimara conveniente, sin embargo, fue omiso en ejercer dicha prerrogativa en el plazo establecido para tal efecto.</w:t>
      </w:r>
    </w:p>
    <w:p w:rsidR="00886EFA" w:rsidRPr="00F41C57" w:rsidRDefault="00146962">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b/>
        </w:rPr>
        <w:t>8.-</w:t>
      </w:r>
      <w:r w:rsidRPr="00F41C57">
        <w:rPr>
          <w:rFonts w:ascii="Palatino Linotype" w:eastAsia="Palatino Linotype" w:hAnsi="Palatino Linotype" w:cs="Palatino Linotype"/>
        </w:rPr>
        <w:t xml:space="preserve"> </w:t>
      </w:r>
      <w:r w:rsidRPr="00F41C57">
        <w:rPr>
          <w:rFonts w:ascii="Palatino Linotype" w:eastAsia="Palatino Linotype" w:hAnsi="Palatino Linotype" w:cs="Palatino Linotype"/>
          <w:b/>
        </w:rPr>
        <w:t>Ampliaciones del plazo.</w:t>
      </w:r>
      <w:r w:rsidRPr="00F41C57">
        <w:rPr>
          <w:rFonts w:ascii="Palatino Linotype" w:eastAsia="Palatino Linotype" w:hAnsi="Palatino Linotype" w:cs="Palatino Linotype"/>
        </w:rPr>
        <w:t xml:space="preserve"> En fecha veintitrés de octubre del año dos mil veintitrés, con fundamento en el artículo 181, párrafo tercero de la Ley de Transparencia y Acceso a la Información Pública del Estado de México y Municipios, se acordó la ampliación del plazo para su resolución.</w:t>
      </w:r>
    </w:p>
    <w:p w:rsidR="00886EFA" w:rsidRPr="00F41C57" w:rsidRDefault="00146962">
      <w:pPr>
        <w:widowControl w:val="0"/>
        <w:spacing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rsidR="00886EFA" w:rsidRPr="00F41C57" w:rsidRDefault="00886EFA">
      <w:pPr>
        <w:spacing w:line="360" w:lineRule="auto"/>
        <w:jc w:val="both"/>
        <w:rPr>
          <w:rFonts w:ascii="Palatino Linotype" w:eastAsia="Palatino Linotype" w:hAnsi="Palatino Linotype" w:cs="Palatino Linotype"/>
        </w:rPr>
      </w:pPr>
    </w:p>
    <w:p w:rsidR="00886EFA" w:rsidRPr="00F41C57" w:rsidRDefault="00146962">
      <w:pPr>
        <w:spacing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w:t>
      </w:r>
      <w:r w:rsidRPr="00F41C57">
        <w:rPr>
          <w:rFonts w:ascii="Palatino Linotype" w:eastAsia="Palatino Linotype" w:hAnsi="Palatino Linotype" w:cs="Palatino Linotype"/>
        </w:rPr>
        <w:lastRenderedPageBreak/>
        <w:t>órganos jurisdiccionales federales, aplicables también en procedimientos análogos, como el que nos ocupa.</w:t>
      </w:r>
    </w:p>
    <w:p w:rsidR="00886EFA" w:rsidRPr="00F41C57" w:rsidRDefault="00886EFA">
      <w:pPr>
        <w:spacing w:line="360" w:lineRule="auto"/>
        <w:jc w:val="both"/>
        <w:rPr>
          <w:rFonts w:ascii="Palatino Linotype" w:eastAsia="Palatino Linotype" w:hAnsi="Palatino Linotype" w:cs="Palatino Linotype"/>
        </w:rPr>
      </w:pPr>
    </w:p>
    <w:p w:rsidR="00886EFA" w:rsidRPr="00F41C57" w:rsidRDefault="00146962">
      <w:pPr>
        <w:spacing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886EFA" w:rsidRPr="00F41C57" w:rsidRDefault="00886EFA">
      <w:pPr>
        <w:spacing w:line="360" w:lineRule="auto"/>
        <w:jc w:val="both"/>
        <w:rPr>
          <w:rFonts w:ascii="Palatino Linotype" w:eastAsia="Palatino Linotype" w:hAnsi="Palatino Linotype" w:cs="Palatino Linotype"/>
        </w:rPr>
      </w:pPr>
    </w:p>
    <w:p w:rsidR="00886EFA" w:rsidRPr="00F41C57" w:rsidRDefault="00146962">
      <w:pPr>
        <w:spacing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886EFA" w:rsidRPr="00F41C57" w:rsidRDefault="00886EFA">
      <w:pPr>
        <w:spacing w:line="360" w:lineRule="auto"/>
        <w:jc w:val="both"/>
        <w:rPr>
          <w:rFonts w:ascii="Palatino Linotype" w:eastAsia="Palatino Linotype" w:hAnsi="Palatino Linotype" w:cs="Palatino Linotype"/>
        </w:rPr>
      </w:pPr>
    </w:p>
    <w:p w:rsidR="00886EFA" w:rsidRPr="00F41C57" w:rsidRDefault="00146962">
      <w:pPr>
        <w:spacing w:line="360" w:lineRule="auto"/>
        <w:jc w:val="both"/>
        <w:rPr>
          <w:rFonts w:ascii="Palatino Linotype" w:eastAsia="Palatino Linotype" w:hAnsi="Palatino Linotype" w:cs="Palatino Linotype"/>
          <w:strike/>
          <w:color w:val="FF0000"/>
        </w:rPr>
      </w:pPr>
      <w:r w:rsidRPr="00F41C57">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886EFA" w:rsidRPr="00F41C57" w:rsidRDefault="00886EFA">
      <w:pPr>
        <w:spacing w:line="360" w:lineRule="auto"/>
        <w:jc w:val="both"/>
        <w:rPr>
          <w:rFonts w:ascii="Palatino Linotype" w:eastAsia="Palatino Linotype" w:hAnsi="Palatino Linotype" w:cs="Palatino Linotype"/>
        </w:rPr>
      </w:pPr>
    </w:p>
    <w:p w:rsidR="00886EFA" w:rsidRPr="00F41C57" w:rsidRDefault="00146962">
      <w:pPr>
        <w:numPr>
          <w:ilvl w:val="0"/>
          <w:numId w:val="1"/>
        </w:numPr>
        <w:spacing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886EFA" w:rsidRPr="00F41C57" w:rsidRDefault="00886EFA">
      <w:pPr>
        <w:spacing w:line="360" w:lineRule="auto"/>
        <w:ind w:left="927"/>
        <w:jc w:val="both"/>
        <w:rPr>
          <w:rFonts w:ascii="Palatino Linotype" w:eastAsia="Palatino Linotype" w:hAnsi="Palatino Linotype" w:cs="Palatino Linotype"/>
        </w:rPr>
      </w:pPr>
    </w:p>
    <w:p w:rsidR="00886EFA" w:rsidRPr="00F41C57" w:rsidRDefault="00146962">
      <w:pPr>
        <w:numPr>
          <w:ilvl w:val="0"/>
          <w:numId w:val="1"/>
        </w:numPr>
        <w:spacing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t>Actividad Procesal del interesado. Acciones u omisiones del interesado.</w:t>
      </w:r>
    </w:p>
    <w:p w:rsidR="00886EFA" w:rsidRPr="00F41C57" w:rsidRDefault="00886EFA">
      <w:pPr>
        <w:spacing w:line="360" w:lineRule="auto"/>
        <w:jc w:val="both"/>
        <w:rPr>
          <w:rFonts w:ascii="Palatino Linotype" w:eastAsia="Palatino Linotype" w:hAnsi="Palatino Linotype" w:cs="Palatino Linotype"/>
        </w:rPr>
      </w:pPr>
    </w:p>
    <w:p w:rsidR="00886EFA" w:rsidRPr="00F41C57" w:rsidRDefault="00146962">
      <w:pPr>
        <w:numPr>
          <w:ilvl w:val="0"/>
          <w:numId w:val="1"/>
        </w:numPr>
        <w:spacing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lastRenderedPageBreak/>
        <w:t>Conducta de la Autoridad: Las Acciones u omisiones realizadas en el procedimiento. Así como si la autoridad actuó con la debida diligencia.</w:t>
      </w:r>
    </w:p>
    <w:p w:rsidR="00886EFA" w:rsidRPr="00F41C57" w:rsidRDefault="00886EFA">
      <w:pPr>
        <w:spacing w:line="360" w:lineRule="auto"/>
        <w:ind w:left="708"/>
        <w:rPr>
          <w:rFonts w:ascii="Palatino Linotype" w:eastAsia="Palatino Linotype" w:hAnsi="Palatino Linotype" w:cs="Palatino Linotype"/>
        </w:rPr>
      </w:pPr>
    </w:p>
    <w:p w:rsidR="00886EFA" w:rsidRPr="00F41C57" w:rsidRDefault="00146962">
      <w:pPr>
        <w:spacing w:line="360" w:lineRule="auto"/>
        <w:ind w:left="567"/>
        <w:jc w:val="both"/>
        <w:rPr>
          <w:rFonts w:ascii="Palatino Linotype" w:eastAsia="Palatino Linotype" w:hAnsi="Palatino Linotype" w:cs="Palatino Linotype"/>
        </w:rPr>
      </w:pPr>
      <w:r w:rsidRPr="00F41C57">
        <w:rPr>
          <w:rFonts w:ascii="Palatino Linotype" w:eastAsia="Palatino Linotype" w:hAnsi="Palatino Linotype" w:cs="Palatino Linotype"/>
        </w:rPr>
        <w:t>d) La afectación generada en la situación jurídica de la persona involucrada en el proceso: Violación a sus derechos humanos.</w:t>
      </w:r>
    </w:p>
    <w:p w:rsidR="00886EFA" w:rsidRPr="00F41C57" w:rsidRDefault="00886EFA">
      <w:pPr>
        <w:spacing w:line="360" w:lineRule="auto"/>
        <w:jc w:val="both"/>
        <w:rPr>
          <w:rFonts w:ascii="Palatino Linotype" w:eastAsia="Palatino Linotype" w:hAnsi="Palatino Linotype" w:cs="Palatino Linotype"/>
        </w:rPr>
      </w:pPr>
    </w:p>
    <w:p w:rsidR="00886EFA" w:rsidRPr="00F41C57" w:rsidRDefault="00146962">
      <w:pPr>
        <w:spacing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886EFA" w:rsidRPr="00F41C57" w:rsidRDefault="00886EFA">
      <w:pPr>
        <w:spacing w:line="360" w:lineRule="auto"/>
        <w:jc w:val="both"/>
        <w:rPr>
          <w:rFonts w:ascii="Palatino Linotype" w:eastAsia="Palatino Linotype" w:hAnsi="Palatino Linotype" w:cs="Palatino Linotype"/>
        </w:rPr>
      </w:pPr>
    </w:p>
    <w:p w:rsidR="00886EFA" w:rsidRPr="00F41C57" w:rsidRDefault="00146962">
      <w:pPr>
        <w:spacing w:line="360" w:lineRule="auto"/>
        <w:jc w:val="both"/>
        <w:rPr>
          <w:rFonts w:ascii="Palatino Linotype" w:eastAsia="Palatino Linotype" w:hAnsi="Palatino Linotype" w:cs="Palatino Linotype"/>
          <w:b/>
        </w:rPr>
      </w:pPr>
      <w:r w:rsidRPr="00F41C57">
        <w:rPr>
          <w:rFonts w:ascii="Palatino Linotype" w:eastAsia="Palatino Linotype" w:hAnsi="Palatino Linotype" w:cs="Palatino Linotype"/>
        </w:rPr>
        <w:t>Argumento que encuentra sustento en la jurisprudencia P</w:t>
      </w:r>
      <w:proofErr w:type="gramStart"/>
      <w:r w:rsidRPr="00F41C57">
        <w:rPr>
          <w:rFonts w:ascii="Palatino Linotype" w:eastAsia="Palatino Linotype" w:hAnsi="Palatino Linotype" w:cs="Palatino Linotype"/>
        </w:rPr>
        <w:t>./</w:t>
      </w:r>
      <w:proofErr w:type="gramEnd"/>
      <w:r w:rsidRPr="00F41C57">
        <w:rPr>
          <w:rFonts w:ascii="Palatino Linotype" w:eastAsia="Palatino Linotype" w:hAnsi="Palatino Linotype" w:cs="Palatino Linotype"/>
        </w:rPr>
        <w:t xml:space="preserve">J. 32/92 emitida por el Pleno de la Suprema Corte de Justicia de la Nación de rubro </w:t>
      </w:r>
      <w:r w:rsidRPr="00F41C57">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F41C57">
        <w:rPr>
          <w:rFonts w:ascii="Palatino Linotype" w:eastAsia="Palatino Linotype" w:hAnsi="Palatino Linotype" w:cs="Palatino Linotype"/>
        </w:rPr>
        <w:t>, visible en la Gaceta del Seminario Judicial de la Federación con el registro digital 205635.</w:t>
      </w:r>
    </w:p>
    <w:p w:rsidR="00886EFA" w:rsidRPr="00F41C57" w:rsidRDefault="00886EFA">
      <w:pPr>
        <w:spacing w:line="360" w:lineRule="auto"/>
        <w:jc w:val="both"/>
        <w:rPr>
          <w:rFonts w:ascii="Palatino Linotype" w:eastAsia="Palatino Linotype" w:hAnsi="Palatino Linotype" w:cs="Palatino Linotype"/>
        </w:rPr>
      </w:pPr>
    </w:p>
    <w:p w:rsidR="00886EFA" w:rsidRPr="00F41C57" w:rsidRDefault="00146962">
      <w:pPr>
        <w:spacing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w:t>
      </w:r>
      <w:r w:rsidRPr="00F41C57">
        <w:rPr>
          <w:rFonts w:ascii="Palatino Linotype" w:eastAsia="Palatino Linotype" w:hAnsi="Palatino Linotype" w:cs="Palatino Linotype"/>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886EFA" w:rsidRPr="00F41C57" w:rsidRDefault="00886EFA">
      <w:pPr>
        <w:spacing w:line="360" w:lineRule="auto"/>
        <w:jc w:val="both"/>
        <w:rPr>
          <w:rFonts w:ascii="Palatino Linotype" w:eastAsia="Palatino Linotype" w:hAnsi="Palatino Linotype" w:cs="Palatino Linotype"/>
        </w:rPr>
      </w:pPr>
    </w:p>
    <w:p w:rsidR="00886EFA" w:rsidRPr="00F41C57" w:rsidRDefault="00146962">
      <w:pPr>
        <w:spacing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886EFA" w:rsidRPr="00F41C57" w:rsidRDefault="00886EFA">
      <w:pPr>
        <w:spacing w:line="360" w:lineRule="auto"/>
        <w:jc w:val="both"/>
        <w:rPr>
          <w:rFonts w:ascii="Palatino Linotype" w:eastAsia="Palatino Linotype" w:hAnsi="Palatino Linotype" w:cs="Palatino Linotype"/>
        </w:rPr>
      </w:pPr>
    </w:p>
    <w:p w:rsidR="00886EFA" w:rsidRPr="00F41C57" w:rsidRDefault="00146962">
      <w:pPr>
        <w:spacing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t xml:space="preserve"> </w:t>
      </w:r>
      <w:r w:rsidRPr="00F41C57">
        <w:rPr>
          <w:rFonts w:ascii="Palatino Linotype" w:eastAsia="Palatino Linotype" w:hAnsi="Palatino Linotype" w:cs="Palatino Linotype"/>
          <w:i/>
        </w:rPr>
        <w:t>“PLAZO RAZONABLE PARA RESOLVER. DIMENSIÓN Y EFECTOS DE ESTE CONCEPTO CUANDO SE ADUCE EXCESIVA CARGA DE TRABAJO.”</w:t>
      </w:r>
      <w:r w:rsidRPr="00F41C57">
        <w:rPr>
          <w:rFonts w:ascii="Palatino Linotype" w:eastAsia="Palatino Linotype" w:hAnsi="Palatino Linotype" w:cs="Palatino Linotype"/>
        </w:rPr>
        <w:t xml:space="preserve"> consultable en el Seminario Judicial de la Federación y su gaceta, con el registro digital 2002351.</w:t>
      </w:r>
    </w:p>
    <w:p w:rsidR="00886EFA" w:rsidRPr="00F41C57" w:rsidRDefault="00886EFA">
      <w:pPr>
        <w:spacing w:line="360" w:lineRule="auto"/>
        <w:jc w:val="both"/>
        <w:rPr>
          <w:rFonts w:ascii="Palatino Linotype" w:eastAsia="Palatino Linotype" w:hAnsi="Palatino Linotype" w:cs="Palatino Linotype"/>
          <w:b/>
        </w:rPr>
      </w:pPr>
    </w:p>
    <w:p w:rsidR="00886EFA" w:rsidRPr="00F41C57" w:rsidRDefault="00146962">
      <w:pPr>
        <w:spacing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i/>
        </w:rPr>
        <w:t>“PLAZO RAZONABLE PARA RESOLVER. CONCEPTO Y ELEMENTOS QUE LO INTEGRAN A LA LUZ DEL DERECHO INTERNACIONAL DE LOS DERECHOS HUMANOS.”</w:t>
      </w:r>
      <w:r w:rsidRPr="00F41C57">
        <w:rPr>
          <w:rFonts w:ascii="Palatino Linotype" w:eastAsia="Palatino Linotype" w:hAnsi="Palatino Linotype" w:cs="Palatino Linotype"/>
        </w:rPr>
        <w:t>, visible en el Seminario Judicial de la Federación y su gaceta, con el registro digital 2002350.</w:t>
      </w:r>
    </w:p>
    <w:p w:rsidR="00886EFA" w:rsidRPr="00F41C57" w:rsidRDefault="00886EFA">
      <w:pPr>
        <w:spacing w:line="360" w:lineRule="auto"/>
        <w:jc w:val="both"/>
        <w:rPr>
          <w:rFonts w:ascii="Palatino Linotype" w:eastAsia="Palatino Linotype" w:hAnsi="Palatino Linotype" w:cs="Palatino Linotype"/>
        </w:rPr>
      </w:pPr>
    </w:p>
    <w:p w:rsidR="00886EFA" w:rsidRPr="00F41C57" w:rsidRDefault="00146962">
      <w:pPr>
        <w:spacing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lastRenderedPageBreak/>
        <w:t>Por ello, este organismo garante comprometido con la tutela de los derechos humanos confiados, señala que este exceso de plazo legal para resolver el presente asunto, resulta de carácter excepcional.</w:t>
      </w:r>
    </w:p>
    <w:p w:rsidR="00886EFA" w:rsidRPr="00F41C57" w:rsidRDefault="00886EFA">
      <w:pPr>
        <w:tabs>
          <w:tab w:val="left" w:pos="426"/>
        </w:tabs>
        <w:spacing w:line="360" w:lineRule="auto"/>
        <w:jc w:val="both"/>
        <w:rPr>
          <w:rFonts w:ascii="Palatino Linotype" w:eastAsia="Palatino Linotype" w:hAnsi="Palatino Linotype" w:cs="Palatino Linotype"/>
          <w:b/>
        </w:rPr>
      </w:pPr>
    </w:p>
    <w:p w:rsidR="00886EFA" w:rsidRPr="00F41C57" w:rsidRDefault="00146962">
      <w:pPr>
        <w:tabs>
          <w:tab w:val="left" w:pos="426"/>
        </w:tabs>
        <w:spacing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b/>
        </w:rPr>
        <w:t xml:space="preserve">11. Cierre de instrucción. </w:t>
      </w:r>
      <w:r w:rsidRPr="00F41C57">
        <w:rPr>
          <w:rFonts w:ascii="Palatino Linotype" w:eastAsia="Palatino Linotype" w:hAnsi="Palatino Linotype" w:cs="Palatino Linotype"/>
        </w:rPr>
        <w:t>En fecha veintisiete de octubre del año dos mil veintitrés, la Comisionada ponente determinó los cierres de instrucción en términos de la fracción VI del artículo 185 de la Ley de Transparencia y Acceso a la Información Pública del Estado de México y Municipios.</w:t>
      </w:r>
    </w:p>
    <w:p w:rsidR="00886EFA" w:rsidRPr="00F41C57" w:rsidRDefault="00146962">
      <w:pPr>
        <w:spacing w:before="240" w:after="240"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t xml:space="preserve">En razón de que fueron debidamente sustanciados los expedientes electrónicos y no existe diligencia pendiente de desahogo, se emite la Resolución que conforme a Derecho proceda, de acuerdo con los siguientes: </w:t>
      </w:r>
    </w:p>
    <w:p w:rsidR="00886EFA" w:rsidRPr="00F41C57" w:rsidRDefault="00146962">
      <w:pPr>
        <w:numPr>
          <w:ilvl w:val="0"/>
          <w:numId w:val="6"/>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color w:val="000000"/>
          <w:sz w:val="22"/>
          <w:szCs w:val="22"/>
        </w:rPr>
      </w:pPr>
      <w:r w:rsidRPr="00F41C57">
        <w:rPr>
          <w:rFonts w:ascii="Palatino Linotype" w:eastAsia="Palatino Linotype" w:hAnsi="Palatino Linotype" w:cs="Palatino Linotype"/>
          <w:b/>
          <w:color w:val="000000"/>
          <w:sz w:val="22"/>
          <w:szCs w:val="22"/>
        </w:rPr>
        <w:t>C O N S I D E R A N D O:</w:t>
      </w:r>
    </w:p>
    <w:p w:rsidR="00886EFA" w:rsidRPr="00F41C57" w:rsidRDefault="00146962">
      <w:pPr>
        <w:spacing w:before="240" w:after="240"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b/>
        </w:rPr>
        <w:t xml:space="preserve">Primero. Competencia. </w:t>
      </w:r>
      <w:r w:rsidRPr="00F41C57">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los presentes recursos de revisión interpuestos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w:t>
      </w:r>
      <w:r w:rsidRPr="00F41C57">
        <w:rPr>
          <w:rFonts w:ascii="Palatino Linotype" w:eastAsia="Palatino Linotype" w:hAnsi="Palatino Linotype" w:cs="Palatino Linotype"/>
        </w:rPr>
        <w:lastRenderedPageBreak/>
        <w:t>del Reglamento Interior del Instituto de Transparencia, Acceso a la Información Pública y Protección de Datos Personales del Estado de México y Municipios.</w:t>
      </w:r>
    </w:p>
    <w:p w:rsidR="00886EFA" w:rsidRPr="00F41C57" w:rsidRDefault="00146962">
      <w:pPr>
        <w:spacing w:before="240" w:after="240"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b/>
        </w:rPr>
        <w:t xml:space="preserve">Segundo. Oportunidad y </w:t>
      </w:r>
      <w:proofErr w:type="spellStart"/>
      <w:r w:rsidRPr="00F41C57">
        <w:rPr>
          <w:rFonts w:ascii="Palatino Linotype" w:eastAsia="Palatino Linotype" w:hAnsi="Palatino Linotype" w:cs="Palatino Linotype"/>
          <w:b/>
        </w:rPr>
        <w:t>Procedibilidad</w:t>
      </w:r>
      <w:proofErr w:type="spellEnd"/>
      <w:r w:rsidRPr="00F41C57">
        <w:rPr>
          <w:rFonts w:ascii="Palatino Linotype" w:eastAsia="Palatino Linotype" w:hAnsi="Palatino Linotype" w:cs="Palatino Linotype"/>
          <w:b/>
        </w:rPr>
        <w:t xml:space="preserve"> de los Recursos de Revisión</w:t>
      </w:r>
      <w:r w:rsidRPr="00F41C57">
        <w:rPr>
          <w:rFonts w:ascii="Palatino Linotype" w:eastAsia="Palatino Linotype" w:hAnsi="Palatino Linotype" w:cs="Palatino Linotype"/>
        </w:rPr>
        <w:t xml:space="preserve">. De conformidad con los requisitos de Oportunidad y </w:t>
      </w:r>
      <w:proofErr w:type="spellStart"/>
      <w:r w:rsidRPr="00F41C57">
        <w:rPr>
          <w:rFonts w:ascii="Palatino Linotype" w:eastAsia="Palatino Linotype" w:hAnsi="Palatino Linotype" w:cs="Palatino Linotype"/>
        </w:rPr>
        <w:t>Procedibilidad</w:t>
      </w:r>
      <w:proofErr w:type="spellEnd"/>
      <w:r w:rsidRPr="00F41C57">
        <w:rPr>
          <w:rFonts w:ascii="Palatino Linotype" w:eastAsia="Palatino Linotype" w:hAnsi="Palatino Linotype" w:cs="Palatino Linotype"/>
        </w:rPr>
        <w:t xml:space="preserve"> que deben reunir los recursos de revisión interpuestos, previstos en los artículos 178 y 180 de la Ley de Transparencia y Acceso a la Información Pública del Estado de México y Municipios; en la especie se advierte que los presentes medios de impugnación fueron interpuestos dentro del plazo de quince días previsto en el primer artículo de referencia; toda vez que el </w:t>
      </w:r>
      <w:r w:rsidRPr="00F41C57">
        <w:rPr>
          <w:rFonts w:ascii="Palatino Linotype" w:eastAsia="Palatino Linotype" w:hAnsi="Palatino Linotype" w:cs="Palatino Linotype"/>
          <w:b/>
        </w:rPr>
        <w:t>SUJETO OBLIGADO</w:t>
      </w:r>
      <w:r w:rsidRPr="00F41C57">
        <w:rPr>
          <w:rFonts w:ascii="Palatino Linotype" w:eastAsia="Palatino Linotype" w:hAnsi="Palatino Linotype" w:cs="Palatino Linotype"/>
        </w:rPr>
        <w:t xml:space="preserve"> emitió sus respuestas a las solicitudes planteadas por la solicitante el veintiséis de abril del año dos mil veintitrés y la parte </w:t>
      </w:r>
      <w:r w:rsidRPr="00F41C57">
        <w:rPr>
          <w:rFonts w:ascii="Palatino Linotype" w:eastAsia="Palatino Linotype" w:hAnsi="Palatino Linotype" w:cs="Palatino Linotype"/>
          <w:b/>
        </w:rPr>
        <w:t>RECURRENTE</w:t>
      </w:r>
      <w:r w:rsidRPr="00F41C57">
        <w:rPr>
          <w:rFonts w:ascii="Palatino Linotype" w:eastAsia="Palatino Linotype" w:hAnsi="Palatino Linotype" w:cs="Palatino Linotype"/>
        </w:rPr>
        <w:t xml:space="preserve"> presentó recursos de revisión el veintisiete de abril del año dos mil veintitrés, esto es al primer día hábil siguiente de aquel en que tuvo conocimiento de la respuesta, evidenciándose que la interposición de los recursos se encuentra dentro de los márgenes temporales previstos en el citado precepto legal.</w:t>
      </w:r>
    </w:p>
    <w:p w:rsidR="00886EFA" w:rsidRPr="00F41C57" w:rsidRDefault="00146962">
      <w:pPr>
        <w:spacing w:before="240" w:after="240"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t xml:space="preserve">Por cuanto hace a la </w:t>
      </w:r>
      <w:proofErr w:type="spellStart"/>
      <w:r w:rsidRPr="00F41C57">
        <w:rPr>
          <w:rFonts w:ascii="Palatino Linotype" w:eastAsia="Palatino Linotype" w:hAnsi="Palatino Linotype" w:cs="Palatino Linotype"/>
        </w:rPr>
        <w:t>procedibilidad</w:t>
      </w:r>
      <w:proofErr w:type="spellEnd"/>
      <w:r w:rsidRPr="00F41C57">
        <w:rPr>
          <w:rFonts w:ascii="Palatino Linotype" w:eastAsia="Palatino Linotype" w:hAnsi="Palatino Linotype" w:cs="Palatino Linotype"/>
        </w:rPr>
        <w:t xml:space="preserve"> del recurso de revisión, es de suma importancia señalar que la parte </w:t>
      </w:r>
      <w:r w:rsidRPr="00F41C57">
        <w:rPr>
          <w:rFonts w:ascii="Palatino Linotype" w:eastAsia="Palatino Linotype" w:hAnsi="Palatino Linotype" w:cs="Palatino Linotype"/>
          <w:b/>
        </w:rPr>
        <w:t>RECURRENTE</w:t>
      </w:r>
      <w:r w:rsidRPr="00F41C57">
        <w:rPr>
          <w:rFonts w:ascii="Palatino Linotype" w:eastAsia="Palatino Linotype" w:hAnsi="Palatino Linotype" w:cs="Palatino Linotype"/>
        </w:rPr>
        <w:t>,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886EFA" w:rsidRPr="00F41C57" w:rsidRDefault="00146962">
      <w:pPr>
        <w:spacing w:before="240" w:after="240" w:line="276" w:lineRule="auto"/>
        <w:ind w:left="851" w:right="902"/>
        <w:jc w:val="both"/>
        <w:rPr>
          <w:rFonts w:ascii="Palatino Linotype" w:eastAsia="Palatino Linotype" w:hAnsi="Palatino Linotype" w:cs="Palatino Linotype"/>
          <w:i/>
        </w:rPr>
      </w:pPr>
      <w:r w:rsidRPr="00F41C57">
        <w:rPr>
          <w:rFonts w:ascii="Palatino Linotype" w:eastAsia="Palatino Linotype" w:hAnsi="Palatino Linotype" w:cs="Palatino Linotype"/>
          <w:i/>
        </w:rPr>
        <w:lastRenderedPageBreak/>
        <w:t>"</w:t>
      </w:r>
      <w:r w:rsidRPr="00F41C57">
        <w:rPr>
          <w:rFonts w:ascii="Palatino Linotype" w:eastAsia="Palatino Linotype" w:hAnsi="Palatino Linotype" w:cs="Palatino Linotype"/>
          <w:b/>
          <w:i/>
        </w:rPr>
        <w:t>Las solicitudes anónimas</w:t>
      </w:r>
      <w:r w:rsidRPr="00F41C57">
        <w:rPr>
          <w:rFonts w:ascii="Palatino Linotype" w:eastAsia="Palatino Linotype" w:hAnsi="Palatino Linotype" w:cs="Palatino Linotype"/>
          <w:i/>
        </w:rPr>
        <w:t xml:space="preserve">, con nombre incompleto o seudónimo </w:t>
      </w:r>
      <w:r w:rsidRPr="00F41C57">
        <w:rPr>
          <w:rFonts w:ascii="Palatino Linotype" w:eastAsia="Palatino Linotype" w:hAnsi="Palatino Linotype" w:cs="Palatino Linotype"/>
          <w:b/>
          <w:i/>
        </w:rPr>
        <w:t>serán procedentes para su trámite por parte del sujeto obligado ante quien se presente</w:t>
      </w:r>
      <w:r w:rsidRPr="00F41C57">
        <w:rPr>
          <w:rFonts w:ascii="Palatino Linotype" w:eastAsia="Palatino Linotype" w:hAnsi="Palatino Linotype" w:cs="Palatino Linotype"/>
          <w:i/>
        </w:rPr>
        <w:t>. No podrá requerirse información adicional con motivo del nombre proporcionado por el solicitante."(Sic)</w:t>
      </w:r>
    </w:p>
    <w:p w:rsidR="00886EFA" w:rsidRPr="00F41C57" w:rsidRDefault="00886EFA">
      <w:pPr>
        <w:spacing w:before="240" w:line="360" w:lineRule="auto"/>
        <w:jc w:val="both"/>
        <w:rPr>
          <w:rFonts w:ascii="Palatino Linotype" w:eastAsia="Palatino Linotype" w:hAnsi="Palatino Linotype" w:cs="Palatino Linotype"/>
          <w:color w:val="000000"/>
        </w:rPr>
      </w:pPr>
    </w:p>
    <w:p w:rsidR="00886EFA" w:rsidRPr="00F41C57" w:rsidRDefault="00146962">
      <w:pPr>
        <w:spacing w:after="240" w:line="360" w:lineRule="auto"/>
        <w:jc w:val="both"/>
        <w:rPr>
          <w:rFonts w:ascii="Palatino Linotype" w:eastAsia="Palatino Linotype" w:hAnsi="Palatino Linotype" w:cs="Palatino Linotype"/>
          <w:color w:val="000000"/>
        </w:rPr>
      </w:pPr>
      <w:r w:rsidRPr="00F41C57">
        <w:rPr>
          <w:rFonts w:ascii="Palatino Linotype" w:eastAsia="Palatino Linotype" w:hAnsi="Palatino Linotype" w:cs="Palatino Linotype"/>
          <w:color w:val="000000"/>
        </w:rPr>
        <w:t>Al mismo tiempo, tras la revisión de los formatos de interposición de los recursos, se concluye en la acreditación plena de todos y cada uno de los elementos formales exigidos por el artículo 180 de la Ley de Transparencia y Acceso a la Información Pública del Estado de México y Municipios, toda vez que fueron ingresados a través del SAIMEX.</w:t>
      </w:r>
    </w:p>
    <w:p w:rsidR="00886EFA" w:rsidRPr="00F41C57" w:rsidRDefault="00146962">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color w:val="000000"/>
        </w:rPr>
      </w:pPr>
      <w:r w:rsidRPr="00F41C57">
        <w:rPr>
          <w:rFonts w:ascii="Palatino Linotype" w:eastAsia="Palatino Linotype" w:hAnsi="Palatino Linotype" w:cs="Palatino Linotype"/>
          <w:color w:val="000000"/>
        </w:rPr>
        <w:t xml:space="preserve">Ahora bien, resulta procedente la interposición de los recursos revisión, según lo aducido por la parte </w:t>
      </w:r>
      <w:r w:rsidRPr="00F41C57">
        <w:rPr>
          <w:rFonts w:ascii="Palatino Linotype" w:eastAsia="Palatino Linotype" w:hAnsi="Palatino Linotype" w:cs="Palatino Linotype"/>
          <w:b/>
          <w:color w:val="000000"/>
        </w:rPr>
        <w:t>RECURRENTE</w:t>
      </w:r>
      <w:r w:rsidRPr="00F41C57">
        <w:rPr>
          <w:rFonts w:ascii="Palatino Linotype" w:eastAsia="Palatino Linotype" w:hAnsi="Palatino Linotype" w:cs="Palatino Linotype"/>
          <w:color w:val="000000"/>
        </w:rPr>
        <w:t xml:space="preserve"> en su acto impugnado como en sus motivos de inconformidad, de acuerdo al artículo 179 fracción I de la Ley de Transparencia y Acceso a la Información Pública del Estado de México y Municipios; que a la letra dice: </w:t>
      </w:r>
    </w:p>
    <w:p w:rsidR="00886EFA" w:rsidRPr="00F41C57" w:rsidRDefault="00146962">
      <w:pPr>
        <w:pBdr>
          <w:top w:val="nil"/>
          <w:left w:val="nil"/>
          <w:bottom w:val="nil"/>
          <w:right w:val="nil"/>
          <w:between w:val="nil"/>
        </w:pBdr>
        <w:spacing w:before="240"/>
        <w:ind w:left="851" w:right="618"/>
        <w:jc w:val="both"/>
        <w:rPr>
          <w:rFonts w:ascii="Palatino Linotype" w:eastAsia="Palatino Linotype" w:hAnsi="Palatino Linotype" w:cs="Palatino Linotype"/>
          <w:color w:val="000000"/>
        </w:rPr>
      </w:pPr>
      <w:r w:rsidRPr="00F41C57">
        <w:rPr>
          <w:rFonts w:ascii="Palatino Linotype" w:eastAsia="Palatino Linotype" w:hAnsi="Palatino Linotype" w:cs="Palatino Linotype"/>
          <w:b/>
          <w:i/>
          <w:color w:val="000000"/>
          <w:sz w:val="22"/>
          <w:szCs w:val="22"/>
        </w:rPr>
        <w:t>“Artículo 179</w:t>
      </w:r>
      <w:r w:rsidRPr="00F41C57">
        <w:rPr>
          <w:rFonts w:ascii="Palatino Linotype" w:eastAsia="Palatino Linotype" w:hAnsi="Palatino Linotype" w:cs="Palatino Linotype"/>
          <w:i/>
          <w:color w:val="000000"/>
          <w:sz w:val="22"/>
          <w:szCs w:val="22"/>
        </w:rPr>
        <w:t xml:space="preserve">. </w:t>
      </w:r>
      <w:r w:rsidRPr="00F41C57">
        <w:rPr>
          <w:rFonts w:ascii="Palatino Linotype" w:eastAsia="Palatino Linotype" w:hAnsi="Palatino Linotype" w:cs="Palatino Linotype"/>
          <w:b/>
          <w:i/>
          <w:color w:val="000000"/>
          <w:sz w:val="22"/>
          <w:szCs w:val="22"/>
        </w:rPr>
        <w:t>El recurso de revisión</w:t>
      </w:r>
      <w:r w:rsidRPr="00F41C57">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sidRPr="00F41C57">
        <w:rPr>
          <w:rFonts w:ascii="Palatino Linotype" w:eastAsia="Palatino Linotype" w:hAnsi="Palatino Linotype" w:cs="Palatino Linotype"/>
          <w:b/>
          <w:i/>
          <w:color w:val="000000"/>
          <w:sz w:val="22"/>
          <w:szCs w:val="22"/>
        </w:rPr>
        <w:t>, y procederá en contra de las siguientes causas</w:t>
      </w:r>
      <w:r w:rsidRPr="00F41C57">
        <w:rPr>
          <w:rFonts w:ascii="Palatino Linotype" w:eastAsia="Palatino Linotype" w:hAnsi="Palatino Linotype" w:cs="Palatino Linotype"/>
          <w:i/>
          <w:color w:val="000000"/>
          <w:sz w:val="22"/>
          <w:szCs w:val="22"/>
        </w:rPr>
        <w:t>:</w:t>
      </w:r>
    </w:p>
    <w:p w:rsidR="00886EFA" w:rsidRPr="00F41C57" w:rsidRDefault="00146962">
      <w:pPr>
        <w:numPr>
          <w:ilvl w:val="0"/>
          <w:numId w:val="2"/>
        </w:numPr>
        <w:pBdr>
          <w:top w:val="nil"/>
          <w:left w:val="nil"/>
          <w:bottom w:val="nil"/>
          <w:right w:val="nil"/>
          <w:between w:val="nil"/>
        </w:pBdr>
        <w:ind w:right="618"/>
        <w:jc w:val="both"/>
        <w:rPr>
          <w:rFonts w:ascii="Palatino Linotype" w:eastAsia="Palatino Linotype" w:hAnsi="Palatino Linotype" w:cs="Palatino Linotype"/>
          <w:i/>
          <w:color w:val="000000"/>
          <w:sz w:val="22"/>
          <w:szCs w:val="22"/>
        </w:rPr>
      </w:pPr>
      <w:r w:rsidRPr="00F41C57">
        <w:rPr>
          <w:rFonts w:ascii="Palatino Linotype" w:eastAsia="Palatino Linotype" w:hAnsi="Palatino Linotype" w:cs="Palatino Linotype"/>
          <w:i/>
          <w:color w:val="000000"/>
          <w:sz w:val="22"/>
          <w:szCs w:val="22"/>
        </w:rPr>
        <w:t>La negativa de la información solicitada… (Sic)</w:t>
      </w:r>
    </w:p>
    <w:p w:rsidR="00886EFA" w:rsidRPr="00F41C57" w:rsidRDefault="00886EFA">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p>
    <w:p w:rsidR="00886EFA" w:rsidRPr="00F41C57" w:rsidRDefault="00146962">
      <w:pPr>
        <w:pBdr>
          <w:top w:val="nil"/>
          <w:left w:val="nil"/>
          <w:bottom w:val="nil"/>
          <w:right w:val="nil"/>
          <w:between w:val="nil"/>
        </w:pBdr>
        <w:spacing w:after="240" w:line="360" w:lineRule="auto"/>
        <w:ind w:right="-150"/>
        <w:jc w:val="both"/>
        <w:rPr>
          <w:color w:val="000000"/>
        </w:rPr>
      </w:pPr>
      <w:r w:rsidRPr="00F41C57">
        <w:rPr>
          <w:rFonts w:ascii="Palatino Linotype" w:eastAsia="Palatino Linotype" w:hAnsi="Palatino Linotype" w:cs="Palatino Linotype"/>
          <w:b/>
          <w:color w:val="000000"/>
        </w:rPr>
        <w:t>Tercero. Materia de Revisión</w:t>
      </w:r>
      <w:r w:rsidRPr="00F41C57">
        <w:rPr>
          <w:rFonts w:ascii="Palatino Linotype" w:eastAsia="Palatino Linotype" w:hAnsi="Palatino Linotype" w:cs="Palatino Linotype"/>
          <w:color w:val="000000"/>
        </w:rPr>
        <w:t xml:space="preserve">: Con base en las constancias que obran en los expedientes en los que se actúa, este Instituto tiene la convicción de que la presente resolución tiene como objetivo central determinar si las respuestas proporcionadas por el </w:t>
      </w:r>
      <w:r w:rsidRPr="00F41C57">
        <w:rPr>
          <w:rFonts w:ascii="Palatino Linotype" w:eastAsia="Palatino Linotype" w:hAnsi="Palatino Linotype" w:cs="Palatino Linotype"/>
          <w:b/>
          <w:color w:val="000000"/>
        </w:rPr>
        <w:t>SUJETO OBLIGADO</w:t>
      </w:r>
      <w:r w:rsidRPr="00F41C57">
        <w:rPr>
          <w:rFonts w:ascii="Palatino Linotype" w:eastAsia="Palatino Linotype" w:hAnsi="Palatino Linotype" w:cs="Palatino Linotype"/>
          <w:color w:val="000000"/>
        </w:rPr>
        <w:t>, son correctas y suficientes para tener por atendidas las solicitudes de acceso a la información.</w:t>
      </w:r>
    </w:p>
    <w:p w:rsidR="00886EFA" w:rsidRPr="00F41C57" w:rsidRDefault="00146962">
      <w:pPr>
        <w:spacing w:before="240" w:after="240"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b/>
        </w:rPr>
        <w:lastRenderedPageBreak/>
        <w:t xml:space="preserve">Cuarto. Estudio de fondo del asunto. </w:t>
      </w:r>
      <w:r w:rsidRPr="00F41C57">
        <w:rPr>
          <w:rFonts w:ascii="Palatino Linotype" w:eastAsia="Palatino Linotype" w:hAnsi="Palatino Linotype" w:cs="Palatino Linotype"/>
        </w:rPr>
        <w:t xml:space="preserve">es conveniente analizar si las respuestas del </w:t>
      </w:r>
      <w:r w:rsidRPr="00F41C57">
        <w:rPr>
          <w:rFonts w:ascii="Palatino Linotype" w:eastAsia="Palatino Linotype" w:hAnsi="Palatino Linotype" w:cs="Palatino Linotype"/>
          <w:b/>
        </w:rPr>
        <w:t>SUJETO OBLIGADO</w:t>
      </w:r>
      <w:r w:rsidRPr="00F41C57">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w:t>
      </w:r>
      <w:r w:rsidRPr="00F41C57">
        <w:rPr>
          <w:rFonts w:ascii="Palatino Linotype" w:eastAsia="Palatino Linotype" w:hAnsi="Palatino Linotype" w:cs="Palatino Linotype"/>
          <w:color w:val="000000"/>
        </w:rPr>
        <w:t>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886EFA" w:rsidRPr="00F41C57" w:rsidRDefault="00146962">
      <w:pPr>
        <w:spacing w:before="240"/>
        <w:ind w:left="709" w:right="760"/>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i/>
          <w:sz w:val="22"/>
          <w:szCs w:val="22"/>
        </w:rPr>
        <w:t>“</w:t>
      </w:r>
      <w:r w:rsidRPr="00F41C57">
        <w:rPr>
          <w:rFonts w:ascii="Palatino Linotype" w:eastAsia="Palatino Linotype" w:hAnsi="Palatino Linotype" w:cs="Palatino Linotype"/>
          <w:b/>
          <w:i/>
          <w:sz w:val="22"/>
          <w:szCs w:val="22"/>
        </w:rPr>
        <w:t>Artículo 4.</w:t>
      </w:r>
      <w:r w:rsidRPr="00F41C57">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886EFA" w:rsidRPr="00F41C57" w:rsidRDefault="00146962">
      <w:pPr>
        <w:ind w:left="709" w:right="760"/>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F41C57">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886EFA" w:rsidRPr="00F41C57" w:rsidRDefault="00146962">
      <w:pPr>
        <w:ind w:left="709" w:right="760"/>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F41C57">
        <w:rPr>
          <w:rFonts w:ascii="Palatino Linotype" w:eastAsia="Palatino Linotype" w:hAnsi="Palatino Linotype" w:cs="Palatino Linotype"/>
          <w:i/>
          <w:sz w:val="22"/>
          <w:szCs w:val="22"/>
        </w:rPr>
        <w:t>.”(Sic)</w:t>
      </w:r>
    </w:p>
    <w:p w:rsidR="00886EFA" w:rsidRPr="00F41C57" w:rsidRDefault="00146962">
      <w:pPr>
        <w:spacing w:before="240" w:after="240"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t xml:space="preserve">De lo anterior, se desprende que los Sujetos Obligados tiene la obligación o deber de atender las solicitudes de acceso a la información pública que se les hagan de su conocimiento y proporcionar la información pública que obren en su poder </w:t>
      </w:r>
      <w:r w:rsidRPr="00F41C57">
        <w:rPr>
          <w:rFonts w:ascii="Palatino Linotype" w:eastAsia="Palatino Linotype" w:hAnsi="Palatino Linotype" w:cs="Palatino Linotype"/>
        </w:rPr>
        <w:lastRenderedPageBreak/>
        <w:t>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886EFA" w:rsidRPr="00F41C57" w:rsidRDefault="00146962">
      <w:pPr>
        <w:ind w:left="567" w:right="758"/>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i/>
          <w:sz w:val="22"/>
          <w:szCs w:val="22"/>
        </w:rPr>
        <w:t>“</w:t>
      </w:r>
      <w:r w:rsidRPr="00F41C57">
        <w:rPr>
          <w:rFonts w:ascii="Palatino Linotype" w:eastAsia="Palatino Linotype" w:hAnsi="Palatino Linotype" w:cs="Palatino Linotype"/>
          <w:b/>
          <w:i/>
          <w:sz w:val="22"/>
          <w:szCs w:val="22"/>
        </w:rPr>
        <w:t>Artículo12.-</w:t>
      </w:r>
      <w:r w:rsidRPr="00F41C57">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886EFA" w:rsidRPr="00F41C57" w:rsidRDefault="00146962">
      <w:pPr>
        <w:ind w:left="567" w:right="758"/>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F41C57">
        <w:rPr>
          <w:rFonts w:ascii="Palatino Linotype" w:eastAsia="Palatino Linotype" w:hAnsi="Palatino Linotype" w:cs="Palatino Linotype"/>
          <w:i/>
          <w:sz w:val="22"/>
          <w:szCs w:val="22"/>
        </w:rPr>
        <w:t xml:space="preserve">. </w:t>
      </w:r>
      <w:r w:rsidRPr="00F41C57">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886EFA" w:rsidRPr="00F41C57" w:rsidRDefault="00886EFA">
      <w:pPr>
        <w:spacing w:line="360" w:lineRule="auto"/>
        <w:ind w:right="-93"/>
        <w:jc w:val="both"/>
        <w:rPr>
          <w:rFonts w:ascii="Palatino Linotype" w:eastAsia="Palatino Linotype" w:hAnsi="Palatino Linotype" w:cs="Palatino Linotype"/>
          <w:color w:val="000000"/>
        </w:rPr>
      </w:pPr>
    </w:p>
    <w:p w:rsidR="00886EFA" w:rsidRPr="00F41C57" w:rsidRDefault="00146962">
      <w:pPr>
        <w:spacing w:line="360" w:lineRule="auto"/>
        <w:ind w:right="-93"/>
        <w:jc w:val="both"/>
        <w:rPr>
          <w:rFonts w:ascii="Palatino Linotype" w:eastAsia="Palatino Linotype" w:hAnsi="Palatino Linotype" w:cs="Palatino Linotype"/>
          <w:color w:val="000000"/>
        </w:rPr>
      </w:pPr>
      <w:r w:rsidRPr="00F41C57">
        <w:rPr>
          <w:rFonts w:ascii="Palatino Linotype" w:eastAsia="Palatino Linotype" w:hAnsi="Palatino Linotype" w:cs="Palatino Linotype"/>
          <w:color w:val="000000"/>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rsidR="00886EFA" w:rsidRPr="00F41C57" w:rsidRDefault="00886EFA">
      <w:pPr>
        <w:spacing w:line="360" w:lineRule="auto"/>
        <w:ind w:right="-93"/>
        <w:jc w:val="both"/>
        <w:rPr>
          <w:rFonts w:ascii="Palatino Linotype" w:eastAsia="Palatino Linotype" w:hAnsi="Palatino Linotype" w:cs="Palatino Linotype"/>
          <w:color w:val="000000"/>
        </w:rPr>
      </w:pPr>
    </w:p>
    <w:p w:rsidR="00886EFA" w:rsidRPr="00F41C57" w:rsidRDefault="00146962">
      <w:pPr>
        <w:spacing w:line="360" w:lineRule="auto"/>
        <w:jc w:val="both"/>
        <w:rPr>
          <w:rFonts w:ascii="Palatino Linotype" w:eastAsia="Palatino Linotype" w:hAnsi="Palatino Linotype" w:cs="Palatino Linotype"/>
          <w:color w:val="000000"/>
        </w:rPr>
      </w:pPr>
      <w:r w:rsidRPr="00F41C57">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p>
    <w:p w:rsidR="00886EFA" w:rsidRPr="00F41C57" w:rsidRDefault="00146962">
      <w:pPr>
        <w:spacing w:line="360" w:lineRule="auto"/>
        <w:jc w:val="both"/>
        <w:rPr>
          <w:rFonts w:ascii="Palatino Linotype" w:eastAsia="Palatino Linotype" w:hAnsi="Palatino Linotype" w:cs="Palatino Linotype"/>
          <w:b/>
          <w:color w:val="000000"/>
        </w:rPr>
      </w:pPr>
      <w:r w:rsidRPr="00F41C57">
        <w:rPr>
          <w:rFonts w:ascii="Palatino Linotype" w:eastAsia="Palatino Linotype" w:hAnsi="Palatino Linotype" w:cs="Palatino Linotype"/>
          <w:b/>
          <w:color w:val="000000"/>
        </w:rPr>
        <w:t xml:space="preserve"> </w:t>
      </w:r>
    </w:p>
    <w:p w:rsidR="00886EFA" w:rsidRPr="00F41C57" w:rsidRDefault="00146962">
      <w:pPr>
        <w:ind w:left="851" w:right="901"/>
        <w:jc w:val="both"/>
        <w:rPr>
          <w:rFonts w:ascii="Palatino Linotype" w:eastAsia="Palatino Linotype" w:hAnsi="Palatino Linotype" w:cs="Palatino Linotype"/>
          <w:i/>
          <w:color w:val="000000"/>
          <w:sz w:val="22"/>
          <w:szCs w:val="22"/>
        </w:rPr>
      </w:pPr>
      <w:r w:rsidRPr="00F41C57">
        <w:rPr>
          <w:rFonts w:ascii="Palatino Linotype" w:eastAsia="Palatino Linotype" w:hAnsi="Palatino Linotype" w:cs="Palatino Linotype"/>
          <w:i/>
          <w:color w:val="000000"/>
          <w:sz w:val="22"/>
          <w:szCs w:val="22"/>
        </w:rPr>
        <w:t>“</w:t>
      </w:r>
      <w:r w:rsidRPr="00F41C57">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sidRPr="00F41C57">
        <w:rPr>
          <w:rFonts w:ascii="Palatino Linotype" w:eastAsia="Palatino Linotype" w:hAnsi="Palatino Linotype" w:cs="Palatino Linotype"/>
          <w:i/>
          <w:color w:val="000000"/>
          <w:sz w:val="22"/>
          <w:szCs w:val="22"/>
        </w:rPr>
        <w:t xml:space="preserve"> Los artículos 129 de la Ley General </w:t>
      </w:r>
      <w:r w:rsidRPr="00F41C57">
        <w:rPr>
          <w:rFonts w:ascii="Palatino Linotype" w:eastAsia="Palatino Linotype" w:hAnsi="Palatino Linotype" w:cs="Palatino Linotype"/>
          <w:i/>
          <w:color w:val="000000"/>
          <w:sz w:val="22"/>
          <w:szCs w:val="22"/>
        </w:rPr>
        <w:lastRenderedPageBreak/>
        <w:t>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886EFA" w:rsidRPr="00F41C57" w:rsidRDefault="00146962">
      <w:pPr>
        <w:ind w:left="851" w:right="901"/>
        <w:jc w:val="both"/>
        <w:rPr>
          <w:rFonts w:ascii="Palatino Linotype" w:eastAsia="Palatino Linotype" w:hAnsi="Palatino Linotype" w:cs="Palatino Linotype"/>
          <w:i/>
          <w:color w:val="000000"/>
          <w:sz w:val="22"/>
          <w:szCs w:val="22"/>
        </w:rPr>
      </w:pPr>
      <w:r w:rsidRPr="00F41C57">
        <w:rPr>
          <w:rFonts w:ascii="Palatino Linotype" w:eastAsia="Palatino Linotype" w:hAnsi="Palatino Linotype" w:cs="Palatino Linotype"/>
          <w:i/>
          <w:color w:val="000000"/>
          <w:sz w:val="22"/>
          <w:szCs w:val="22"/>
        </w:rPr>
        <w:t xml:space="preserve">Resoluciones: </w:t>
      </w:r>
    </w:p>
    <w:p w:rsidR="00886EFA" w:rsidRPr="00F41C57" w:rsidRDefault="00146962">
      <w:pPr>
        <w:ind w:left="851" w:right="901"/>
        <w:jc w:val="both"/>
        <w:rPr>
          <w:rFonts w:ascii="Palatino Linotype" w:eastAsia="Palatino Linotype" w:hAnsi="Palatino Linotype" w:cs="Palatino Linotype"/>
          <w:i/>
          <w:color w:val="000000"/>
          <w:sz w:val="22"/>
          <w:szCs w:val="22"/>
        </w:rPr>
      </w:pPr>
      <w:r w:rsidRPr="00F41C57">
        <w:rPr>
          <w:rFonts w:ascii="Symbol" w:eastAsia="Symbol" w:hAnsi="Symbol" w:cs="Symbol"/>
          <w:i/>
          <w:color w:val="000000"/>
          <w:sz w:val="22"/>
          <w:szCs w:val="22"/>
        </w:rPr>
        <w:t>∙</w:t>
      </w:r>
      <w:r w:rsidRPr="00F41C57">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rsidR="00886EFA" w:rsidRPr="00F41C57" w:rsidRDefault="00146962">
      <w:pPr>
        <w:ind w:left="851" w:right="901"/>
        <w:jc w:val="both"/>
        <w:rPr>
          <w:rFonts w:ascii="Palatino Linotype" w:eastAsia="Palatino Linotype" w:hAnsi="Palatino Linotype" w:cs="Palatino Linotype"/>
          <w:i/>
          <w:color w:val="000000"/>
          <w:sz w:val="22"/>
          <w:szCs w:val="22"/>
        </w:rPr>
      </w:pPr>
      <w:r w:rsidRPr="00F41C57">
        <w:rPr>
          <w:rFonts w:ascii="Symbol" w:eastAsia="Symbol" w:hAnsi="Symbol" w:cs="Symbol"/>
          <w:i/>
          <w:color w:val="000000"/>
          <w:sz w:val="22"/>
          <w:szCs w:val="22"/>
        </w:rPr>
        <w:t>∙</w:t>
      </w:r>
      <w:r w:rsidRPr="00F41C57">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rsidR="00886EFA" w:rsidRPr="00F41C57" w:rsidRDefault="00146962">
      <w:pPr>
        <w:ind w:left="851" w:right="901"/>
        <w:jc w:val="both"/>
        <w:rPr>
          <w:rFonts w:ascii="Palatino Linotype" w:eastAsia="Palatino Linotype" w:hAnsi="Palatino Linotype" w:cs="Palatino Linotype"/>
          <w:i/>
          <w:color w:val="000000"/>
          <w:sz w:val="22"/>
          <w:szCs w:val="22"/>
        </w:rPr>
      </w:pPr>
      <w:r w:rsidRPr="00F41C57">
        <w:rPr>
          <w:rFonts w:ascii="Symbol" w:eastAsia="Symbol" w:hAnsi="Symbol" w:cs="Symbol"/>
          <w:i/>
          <w:color w:val="000000"/>
          <w:sz w:val="22"/>
          <w:szCs w:val="22"/>
        </w:rPr>
        <w:t>∙</w:t>
      </w:r>
      <w:r w:rsidRPr="00F41C57">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Mora.”(Sic)</w:t>
      </w:r>
    </w:p>
    <w:p w:rsidR="00886EFA" w:rsidRPr="00F41C57" w:rsidRDefault="00886EFA">
      <w:pPr>
        <w:spacing w:line="360" w:lineRule="auto"/>
        <w:jc w:val="both"/>
        <w:rPr>
          <w:rFonts w:ascii="Palatino Linotype" w:eastAsia="Palatino Linotype" w:hAnsi="Palatino Linotype" w:cs="Palatino Linotype"/>
        </w:rPr>
      </w:pPr>
    </w:p>
    <w:p w:rsidR="00886EFA" w:rsidRPr="00F41C57" w:rsidRDefault="00146962">
      <w:pPr>
        <w:spacing w:line="360" w:lineRule="auto"/>
        <w:jc w:val="both"/>
        <w:rPr>
          <w:rFonts w:ascii="Palatino Linotype" w:eastAsia="Palatino Linotype" w:hAnsi="Palatino Linotype" w:cs="Palatino Linotype"/>
          <w:strike/>
          <w:color w:val="FF0000"/>
        </w:rPr>
      </w:pPr>
      <w:r w:rsidRPr="00F41C57">
        <w:rPr>
          <w:rFonts w:ascii="Palatino Linotype" w:eastAsia="Palatino Linotype" w:hAnsi="Palatino Linotype" w:cs="Palatino Linotype"/>
        </w:rPr>
        <w:t xml:space="preserve">En esa tesitura, el artículo 24 en su último párrafo de la Ley de la Materia, dispone que los Sujetos Obligados </w:t>
      </w:r>
      <w:r w:rsidRPr="00F41C57">
        <w:rPr>
          <w:rFonts w:ascii="Palatino Linotype" w:eastAsia="Palatino Linotype" w:hAnsi="Palatino Linotype" w:cs="Palatino Linotype"/>
          <w:color w:val="000000"/>
        </w:rPr>
        <w:t xml:space="preserve">sólo proporcionarán la información pública que </w:t>
      </w:r>
      <w:r w:rsidRPr="00F41C57">
        <w:rPr>
          <w:rFonts w:ascii="Palatino Linotype" w:eastAsia="Palatino Linotype" w:hAnsi="Palatino Linotype" w:cs="Palatino Linotype"/>
        </w:rPr>
        <w:t>generen</w:t>
      </w:r>
      <w:r w:rsidRPr="00F41C57">
        <w:rPr>
          <w:rFonts w:ascii="Palatino Linotype" w:eastAsia="Palatino Linotype" w:hAnsi="Palatino Linotype" w:cs="Palatino Linotype"/>
          <w:color w:val="000000"/>
        </w:rPr>
        <w:t xml:space="preserve">, administren o posean en el ejercicio de sus atribuciones; por consiguiente, la información pública se encuentra a disposición de cualquier persona, lo que implica que es deber de los Sujetos Obligados, garantizar el Derecho de Acceso a la Información Pública, circunstancia que aconteció en el presente asunto que se analiza.  </w:t>
      </w:r>
    </w:p>
    <w:p w:rsidR="00886EFA" w:rsidRPr="00F41C57" w:rsidRDefault="00886EFA">
      <w:pPr>
        <w:spacing w:line="360" w:lineRule="auto"/>
        <w:jc w:val="both"/>
        <w:rPr>
          <w:rFonts w:ascii="Palatino Linotype" w:eastAsia="Palatino Linotype" w:hAnsi="Palatino Linotype" w:cs="Palatino Linotype"/>
          <w:color w:val="000000"/>
        </w:rPr>
      </w:pPr>
    </w:p>
    <w:p w:rsidR="00886EFA" w:rsidRPr="00F41C57" w:rsidRDefault="00146962">
      <w:pPr>
        <w:spacing w:line="360" w:lineRule="auto"/>
        <w:ind w:right="49"/>
        <w:jc w:val="both"/>
        <w:rPr>
          <w:rFonts w:ascii="Palatino Linotype" w:eastAsia="Palatino Linotype" w:hAnsi="Palatino Linotype" w:cs="Palatino Linotype"/>
        </w:rPr>
      </w:pPr>
      <w:r w:rsidRPr="00F41C57">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w:t>
      </w:r>
      <w:r w:rsidRPr="00F41C57">
        <w:rPr>
          <w:rFonts w:ascii="Palatino Linotype" w:eastAsia="Palatino Linotype" w:hAnsi="Palatino Linotype" w:cs="Palatino Linotype"/>
        </w:rPr>
        <w:lastRenderedPageBreak/>
        <w:t>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886EFA" w:rsidRPr="00F41C57" w:rsidRDefault="00886EFA">
      <w:pPr>
        <w:spacing w:line="360" w:lineRule="auto"/>
        <w:ind w:right="49"/>
        <w:jc w:val="both"/>
        <w:rPr>
          <w:rFonts w:ascii="Palatino Linotype" w:eastAsia="Palatino Linotype" w:hAnsi="Palatino Linotype" w:cs="Palatino Linotype"/>
        </w:rPr>
      </w:pPr>
    </w:p>
    <w:p w:rsidR="00886EFA" w:rsidRPr="00F41C57" w:rsidRDefault="00146962">
      <w:pPr>
        <w:spacing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886EFA" w:rsidRPr="00F41C57" w:rsidRDefault="00886EFA">
      <w:pPr>
        <w:ind w:left="851" w:right="899"/>
        <w:jc w:val="both"/>
        <w:rPr>
          <w:rFonts w:ascii="Palatino Linotype" w:eastAsia="Palatino Linotype" w:hAnsi="Palatino Linotype" w:cs="Palatino Linotype"/>
          <w:i/>
          <w:sz w:val="22"/>
          <w:szCs w:val="22"/>
        </w:rPr>
      </w:pPr>
    </w:p>
    <w:p w:rsidR="00886EFA" w:rsidRPr="00F41C57" w:rsidRDefault="00146962">
      <w:pPr>
        <w:ind w:left="851" w:right="899"/>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i/>
          <w:sz w:val="22"/>
          <w:szCs w:val="22"/>
        </w:rPr>
        <w:t>“</w:t>
      </w:r>
      <w:r w:rsidRPr="00F41C57">
        <w:rPr>
          <w:rFonts w:ascii="Palatino Linotype" w:eastAsia="Palatino Linotype" w:hAnsi="Palatino Linotype" w:cs="Palatino Linotype"/>
          <w:b/>
          <w:i/>
          <w:sz w:val="22"/>
          <w:szCs w:val="22"/>
        </w:rPr>
        <w:t xml:space="preserve">Artículo 3. </w:t>
      </w:r>
      <w:r w:rsidRPr="00F41C57">
        <w:rPr>
          <w:rFonts w:ascii="Palatino Linotype" w:eastAsia="Palatino Linotype" w:hAnsi="Palatino Linotype" w:cs="Palatino Linotype"/>
          <w:i/>
          <w:sz w:val="22"/>
          <w:szCs w:val="22"/>
        </w:rPr>
        <w:t>Para los efectos de la presente Ley se entenderá por:</w:t>
      </w:r>
    </w:p>
    <w:p w:rsidR="00886EFA" w:rsidRPr="00F41C57" w:rsidRDefault="00146962">
      <w:pPr>
        <w:ind w:left="851" w:right="899"/>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i/>
          <w:sz w:val="22"/>
          <w:szCs w:val="22"/>
        </w:rPr>
        <w:t>…</w:t>
      </w:r>
    </w:p>
    <w:p w:rsidR="00886EFA" w:rsidRPr="00F41C57" w:rsidRDefault="00146962">
      <w:pPr>
        <w:ind w:left="851" w:right="899"/>
        <w:jc w:val="both"/>
        <w:rPr>
          <w:rFonts w:ascii="Palatino Linotype" w:eastAsia="Palatino Linotype" w:hAnsi="Palatino Linotype" w:cs="Palatino Linotype"/>
          <w:i/>
          <w:color w:val="000000"/>
          <w:sz w:val="22"/>
          <w:szCs w:val="22"/>
        </w:rPr>
      </w:pPr>
      <w:r w:rsidRPr="00F41C57">
        <w:rPr>
          <w:rFonts w:ascii="Palatino Linotype" w:eastAsia="Palatino Linotype" w:hAnsi="Palatino Linotype" w:cs="Palatino Linotype"/>
          <w:b/>
          <w:i/>
          <w:color w:val="000000"/>
          <w:sz w:val="22"/>
          <w:szCs w:val="22"/>
        </w:rPr>
        <w:t>XI. Documento:</w:t>
      </w:r>
      <w:r w:rsidRPr="00F41C57">
        <w:rPr>
          <w:rFonts w:ascii="Palatino Linotype" w:eastAsia="Palatino Linotype" w:hAnsi="Palatino Linotype" w:cs="Palatino Linotype"/>
          <w:i/>
          <w:color w:val="000000"/>
          <w:sz w:val="22"/>
          <w:szCs w:val="22"/>
        </w:rPr>
        <w:t xml:space="preserve"> Los expedientes, reportes, estudios, actas</w:t>
      </w:r>
      <w:r w:rsidRPr="00F41C57">
        <w:rPr>
          <w:rFonts w:ascii="Palatino Linotype" w:eastAsia="Palatino Linotype" w:hAnsi="Palatino Linotype" w:cs="Palatino Linotype"/>
          <w:b/>
          <w:i/>
          <w:color w:val="000000"/>
          <w:sz w:val="22"/>
          <w:szCs w:val="22"/>
        </w:rPr>
        <w:t>,</w:t>
      </w:r>
      <w:r w:rsidRPr="00F41C57">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886EFA" w:rsidRPr="00F41C57" w:rsidRDefault="00886EFA">
      <w:pPr>
        <w:ind w:left="851" w:right="899"/>
        <w:jc w:val="both"/>
        <w:rPr>
          <w:rFonts w:ascii="Palatino Linotype" w:eastAsia="Palatino Linotype" w:hAnsi="Palatino Linotype" w:cs="Palatino Linotype"/>
          <w:sz w:val="22"/>
          <w:szCs w:val="22"/>
        </w:rPr>
      </w:pPr>
    </w:p>
    <w:p w:rsidR="00886EFA" w:rsidRPr="00F41C57" w:rsidRDefault="00146962">
      <w:pPr>
        <w:spacing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w:t>
      </w:r>
      <w:r w:rsidRPr="00F41C57">
        <w:rPr>
          <w:rFonts w:ascii="Palatino Linotype" w:eastAsia="Palatino Linotype" w:hAnsi="Palatino Linotype" w:cs="Palatino Linotype"/>
        </w:rPr>
        <w:lastRenderedPageBreak/>
        <w:t>Información Pública del Estado de México y Municipios; publicado en el Periódico Oficial del Gobierno del Estado Libre y Soberano de México “Gaceta del Gobierno”, el diecinueve de octubre de dos mil once, cuyo rubro y texto refieren lo siguiente:</w:t>
      </w:r>
    </w:p>
    <w:p w:rsidR="00886EFA" w:rsidRPr="00F41C57" w:rsidRDefault="00886EFA">
      <w:pPr>
        <w:ind w:left="851" w:right="899"/>
        <w:jc w:val="both"/>
        <w:rPr>
          <w:rFonts w:ascii="Palatino Linotype" w:eastAsia="Palatino Linotype" w:hAnsi="Palatino Linotype" w:cs="Palatino Linotype"/>
        </w:rPr>
      </w:pPr>
    </w:p>
    <w:p w:rsidR="00886EFA" w:rsidRPr="00F41C57" w:rsidRDefault="00146962">
      <w:pPr>
        <w:ind w:left="851" w:right="899"/>
        <w:jc w:val="both"/>
        <w:rPr>
          <w:rFonts w:ascii="Palatino Linotype" w:eastAsia="Palatino Linotype" w:hAnsi="Palatino Linotype" w:cs="Palatino Linotype"/>
          <w:b/>
          <w:i/>
          <w:sz w:val="22"/>
          <w:szCs w:val="22"/>
        </w:rPr>
      </w:pPr>
      <w:r w:rsidRPr="00F41C57">
        <w:rPr>
          <w:rFonts w:ascii="Palatino Linotype" w:eastAsia="Palatino Linotype" w:hAnsi="Palatino Linotype" w:cs="Palatino Linotype"/>
          <w:b/>
          <w:sz w:val="22"/>
          <w:szCs w:val="22"/>
        </w:rPr>
        <w:t>“</w:t>
      </w:r>
      <w:r w:rsidRPr="00F41C57">
        <w:rPr>
          <w:rFonts w:ascii="Palatino Linotype" w:eastAsia="Palatino Linotype" w:hAnsi="Palatino Linotype" w:cs="Palatino Linotype"/>
          <w:b/>
          <w:i/>
          <w:sz w:val="22"/>
          <w:szCs w:val="22"/>
        </w:rPr>
        <w:t>CRITERIO 0002-11</w:t>
      </w:r>
    </w:p>
    <w:p w:rsidR="00886EFA" w:rsidRPr="00F41C57" w:rsidRDefault="00146962">
      <w:pPr>
        <w:ind w:left="851" w:right="899"/>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F41C57">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886EFA" w:rsidRPr="00F41C57" w:rsidRDefault="00146962">
      <w:pPr>
        <w:ind w:left="851" w:right="899"/>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i/>
          <w:sz w:val="22"/>
          <w:szCs w:val="22"/>
        </w:rPr>
        <w:t>En consecuencia el acceso a la información se refiere a que se cumplan cualquiera de los siguientes tres supuestos:</w:t>
      </w:r>
    </w:p>
    <w:p w:rsidR="00886EFA" w:rsidRPr="00F41C57" w:rsidRDefault="00146962">
      <w:pPr>
        <w:ind w:left="851" w:right="899"/>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886EFA" w:rsidRPr="00F41C57" w:rsidRDefault="00146962">
      <w:pPr>
        <w:ind w:left="851" w:right="899"/>
        <w:jc w:val="both"/>
        <w:rPr>
          <w:rFonts w:ascii="Palatino Linotype" w:eastAsia="Palatino Linotype" w:hAnsi="Palatino Linotype" w:cs="Palatino Linotype"/>
          <w:b/>
          <w:i/>
          <w:sz w:val="22"/>
          <w:szCs w:val="22"/>
        </w:rPr>
      </w:pPr>
      <w:r w:rsidRPr="00F41C57">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886EFA" w:rsidRPr="00F41C57" w:rsidRDefault="00146962">
      <w:pPr>
        <w:ind w:left="851" w:right="899"/>
        <w:jc w:val="both"/>
        <w:rPr>
          <w:rFonts w:ascii="Palatino Linotype" w:eastAsia="Palatino Linotype" w:hAnsi="Palatino Linotype" w:cs="Palatino Linotype"/>
          <w:b/>
          <w:i/>
          <w:sz w:val="22"/>
          <w:szCs w:val="22"/>
        </w:rPr>
      </w:pPr>
      <w:r w:rsidRPr="00F41C57">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Obligados.”(Sic)</w:t>
      </w:r>
    </w:p>
    <w:p w:rsidR="00886EFA" w:rsidRPr="00F41C57" w:rsidRDefault="00146962">
      <w:pPr>
        <w:spacing w:before="240" w:after="240"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t>Ahora bien, del análisis de las solicitudes de información motivo de los recursos de revisión que ahora se resuelven, se advierte que la solicitante requirió al Ayuntamiento de Atizapán de Zaragoza, lo siguiente:</w:t>
      </w:r>
    </w:p>
    <w:p w:rsidR="00886EFA" w:rsidRPr="00F41C57" w:rsidRDefault="00146962">
      <w:pPr>
        <w:spacing w:before="240" w:after="240"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t>1.- Las partidas en las que se distribuyó la deuda adquirida.</w:t>
      </w:r>
    </w:p>
    <w:p w:rsidR="00886EFA" w:rsidRPr="00F41C57" w:rsidRDefault="00146962">
      <w:pPr>
        <w:spacing w:before="240" w:after="240"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t>2.- Los pasivos adquiridos en el ejercicio 2022 y 2023</w:t>
      </w:r>
    </w:p>
    <w:p w:rsidR="00886EFA" w:rsidRPr="00F41C57" w:rsidRDefault="00146962">
      <w:pPr>
        <w:spacing w:before="240" w:after="240"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lastRenderedPageBreak/>
        <w:t xml:space="preserve">Posteriormente, el </w:t>
      </w:r>
      <w:r w:rsidRPr="00F41C57">
        <w:rPr>
          <w:rFonts w:ascii="Palatino Linotype" w:eastAsia="Palatino Linotype" w:hAnsi="Palatino Linotype" w:cs="Palatino Linotype"/>
          <w:b/>
        </w:rPr>
        <w:t>SUJETO OBLIGADO</w:t>
      </w:r>
      <w:r w:rsidRPr="00F41C57">
        <w:rPr>
          <w:rFonts w:ascii="Palatino Linotype" w:eastAsia="Palatino Linotype" w:hAnsi="Palatino Linotype" w:cs="Palatino Linotype"/>
        </w:rPr>
        <w:t xml:space="preserve"> a través de su Tesorero Municipal, por una parte informó:</w:t>
      </w:r>
    </w:p>
    <w:p w:rsidR="00886EFA" w:rsidRPr="00F41C57" w:rsidRDefault="00146962">
      <w:pPr>
        <w:spacing w:before="240"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t>Que la partida es la 9000 “Deuda Pública”, en términos del fundamento legal que señaló.</w:t>
      </w:r>
    </w:p>
    <w:p w:rsidR="00886EFA" w:rsidRPr="00F41C57" w:rsidRDefault="00886EFA">
      <w:pPr>
        <w:spacing w:line="360" w:lineRule="auto"/>
        <w:jc w:val="both"/>
        <w:rPr>
          <w:rFonts w:ascii="Palatino Linotype" w:eastAsia="Palatino Linotype" w:hAnsi="Palatino Linotype" w:cs="Palatino Linotype"/>
        </w:rPr>
      </w:pPr>
    </w:p>
    <w:p w:rsidR="00886EFA" w:rsidRPr="00F41C57" w:rsidRDefault="00146962">
      <w:pPr>
        <w:spacing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t>Asimismo informó que la información solicitada se encuentra publicada en la página del H. Ayuntamiento, bajo el siguiente link, tal como obra en los archivos de la Tesorería Municipal:</w:t>
      </w:r>
    </w:p>
    <w:p w:rsidR="00886EFA" w:rsidRPr="00F41C57" w:rsidRDefault="00886EFA">
      <w:pPr>
        <w:spacing w:line="360" w:lineRule="auto"/>
        <w:jc w:val="both"/>
        <w:rPr>
          <w:rFonts w:ascii="Palatino Linotype" w:eastAsia="Palatino Linotype" w:hAnsi="Palatino Linotype" w:cs="Palatino Linotype"/>
        </w:rPr>
      </w:pPr>
    </w:p>
    <w:p w:rsidR="00886EFA" w:rsidRPr="00F41C57" w:rsidRDefault="009671AF">
      <w:pPr>
        <w:spacing w:line="360" w:lineRule="auto"/>
        <w:jc w:val="both"/>
        <w:rPr>
          <w:rFonts w:ascii="Palatino Linotype" w:eastAsia="Palatino Linotype" w:hAnsi="Palatino Linotype" w:cs="Palatino Linotype"/>
        </w:rPr>
      </w:pPr>
      <w:hyperlink r:id="rId23">
        <w:r w:rsidR="00146962" w:rsidRPr="00F41C57">
          <w:rPr>
            <w:rFonts w:ascii="Palatino Linotype" w:eastAsia="Palatino Linotype" w:hAnsi="Palatino Linotype" w:cs="Palatino Linotype"/>
            <w:color w:val="0563C1"/>
            <w:u w:val="single"/>
          </w:rPr>
          <w:t>https://atizapan.gob.mx/</w:t>
        </w:r>
      </w:hyperlink>
    </w:p>
    <w:p w:rsidR="00886EFA" w:rsidRPr="00F41C57" w:rsidRDefault="009671AF">
      <w:pPr>
        <w:spacing w:line="360" w:lineRule="auto"/>
        <w:jc w:val="both"/>
        <w:rPr>
          <w:rFonts w:ascii="Palatino Linotype" w:eastAsia="Palatino Linotype" w:hAnsi="Palatino Linotype" w:cs="Palatino Linotype"/>
        </w:rPr>
      </w:pPr>
      <w:hyperlink r:id="rId24">
        <w:r w:rsidR="00146962" w:rsidRPr="00F41C57">
          <w:rPr>
            <w:rFonts w:ascii="Palatino Linotype" w:eastAsia="Palatino Linotype" w:hAnsi="Palatino Linotype" w:cs="Palatino Linotype"/>
            <w:color w:val="0563C1"/>
            <w:u w:val="single"/>
          </w:rPr>
          <w:t>https://atizapan.gob.mx/#</w:t>
        </w:r>
      </w:hyperlink>
    </w:p>
    <w:p w:rsidR="00886EFA" w:rsidRPr="00F41C57" w:rsidRDefault="009671AF">
      <w:pPr>
        <w:spacing w:line="360" w:lineRule="auto"/>
        <w:jc w:val="both"/>
        <w:rPr>
          <w:rFonts w:ascii="Palatino Linotype" w:eastAsia="Palatino Linotype" w:hAnsi="Palatino Linotype" w:cs="Palatino Linotype"/>
        </w:rPr>
      </w:pPr>
      <w:hyperlink r:id="rId25">
        <w:r w:rsidR="00146962" w:rsidRPr="00F41C57">
          <w:rPr>
            <w:rFonts w:ascii="Palatino Linotype" w:eastAsia="Palatino Linotype" w:hAnsi="Palatino Linotype" w:cs="Palatino Linotype"/>
            <w:color w:val="0563C1"/>
            <w:u w:val="single"/>
          </w:rPr>
          <w:t>https://atizapan.gob.mx/conac/</w:t>
        </w:r>
      </w:hyperlink>
    </w:p>
    <w:p w:rsidR="00886EFA" w:rsidRPr="00F41C57" w:rsidRDefault="00146962">
      <w:pPr>
        <w:spacing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t>https://atizapan.gob.mx/wp-content/uploads/2023/02/ESTADO-COMPARATIVO-PRESUPUESTAL-DE-EGRESOS.pdf</w:t>
      </w:r>
    </w:p>
    <w:p w:rsidR="00886EFA" w:rsidRPr="00F41C57" w:rsidRDefault="00886EFA">
      <w:pPr>
        <w:spacing w:line="360" w:lineRule="auto"/>
        <w:jc w:val="both"/>
        <w:rPr>
          <w:rFonts w:ascii="Palatino Linotype" w:eastAsia="Palatino Linotype" w:hAnsi="Palatino Linotype" w:cs="Palatino Linotype"/>
        </w:rPr>
      </w:pPr>
    </w:p>
    <w:p w:rsidR="00886EFA" w:rsidRPr="00F41C57" w:rsidRDefault="00146962">
      <w:pPr>
        <w:spacing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t>Por otra parte, respecto de los pasivos adquiridos en el ejercicio 2022 y 2023, señaló que la información solicitada se encuentra publicada en la página del H. Ayuntamiento, bajo el siguiente link, tal como obra en los archivos de la Tesorería Municipal:</w:t>
      </w:r>
    </w:p>
    <w:p w:rsidR="00886EFA" w:rsidRPr="00F41C57" w:rsidRDefault="00886EFA">
      <w:pPr>
        <w:spacing w:line="360" w:lineRule="auto"/>
        <w:jc w:val="both"/>
        <w:rPr>
          <w:rFonts w:ascii="Palatino Linotype" w:eastAsia="Palatino Linotype" w:hAnsi="Palatino Linotype" w:cs="Palatino Linotype"/>
        </w:rPr>
      </w:pPr>
    </w:p>
    <w:p w:rsidR="00886EFA" w:rsidRPr="00F41C57" w:rsidRDefault="009671AF">
      <w:pPr>
        <w:spacing w:line="360" w:lineRule="auto"/>
        <w:jc w:val="both"/>
        <w:rPr>
          <w:rFonts w:ascii="Palatino Linotype" w:eastAsia="Palatino Linotype" w:hAnsi="Palatino Linotype" w:cs="Palatino Linotype"/>
        </w:rPr>
      </w:pPr>
      <w:hyperlink r:id="rId26">
        <w:r w:rsidR="00146962" w:rsidRPr="00F41C57">
          <w:rPr>
            <w:rFonts w:ascii="Palatino Linotype" w:eastAsia="Palatino Linotype" w:hAnsi="Palatino Linotype" w:cs="Palatino Linotype"/>
            <w:color w:val="0563C1"/>
            <w:u w:val="single"/>
          </w:rPr>
          <w:t>https://atizapan.gob.mx/</w:t>
        </w:r>
      </w:hyperlink>
    </w:p>
    <w:p w:rsidR="00886EFA" w:rsidRPr="00F41C57" w:rsidRDefault="009671AF">
      <w:pPr>
        <w:spacing w:line="360" w:lineRule="auto"/>
        <w:jc w:val="both"/>
        <w:rPr>
          <w:rFonts w:ascii="Palatino Linotype" w:eastAsia="Palatino Linotype" w:hAnsi="Palatino Linotype" w:cs="Palatino Linotype"/>
        </w:rPr>
      </w:pPr>
      <w:hyperlink r:id="rId27">
        <w:r w:rsidR="00146962" w:rsidRPr="00F41C57">
          <w:rPr>
            <w:rFonts w:ascii="Palatino Linotype" w:eastAsia="Palatino Linotype" w:hAnsi="Palatino Linotype" w:cs="Palatino Linotype"/>
            <w:color w:val="0563C1"/>
            <w:u w:val="single"/>
          </w:rPr>
          <w:t>https://atizapan.gob.mx/#</w:t>
        </w:r>
      </w:hyperlink>
    </w:p>
    <w:p w:rsidR="00886EFA" w:rsidRPr="00F41C57" w:rsidRDefault="009671AF">
      <w:pPr>
        <w:spacing w:line="360" w:lineRule="auto"/>
        <w:jc w:val="both"/>
        <w:rPr>
          <w:rFonts w:ascii="Palatino Linotype" w:eastAsia="Palatino Linotype" w:hAnsi="Palatino Linotype" w:cs="Palatino Linotype"/>
        </w:rPr>
      </w:pPr>
      <w:hyperlink r:id="rId28">
        <w:r w:rsidR="00146962" w:rsidRPr="00F41C57">
          <w:rPr>
            <w:rFonts w:ascii="Palatino Linotype" w:eastAsia="Palatino Linotype" w:hAnsi="Palatino Linotype" w:cs="Palatino Linotype"/>
            <w:color w:val="0563C1"/>
            <w:u w:val="single"/>
          </w:rPr>
          <w:t>https://atizapan.gob.mx/conac/</w:t>
        </w:r>
      </w:hyperlink>
    </w:p>
    <w:p w:rsidR="00886EFA" w:rsidRPr="00F41C57" w:rsidRDefault="009671AF">
      <w:pPr>
        <w:spacing w:line="360" w:lineRule="auto"/>
        <w:jc w:val="both"/>
        <w:rPr>
          <w:rFonts w:ascii="Palatino Linotype" w:eastAsia="Palatino Linotype" w:hAnsi="Palatino Linotype" w:cs="Palatino Linotype"/>
        </w:rPr>
      </w:pPr>
      <w:hyperlink r:id="rId29">
        <w:r w:rsidR="00146962" w:rsidRPr="00F41C57">
          <w:rPr>
            <w:rFonts w:ascii="Palatino Linotype" w:eastAsia="Palatino Linotype" w:hAnsi="Palatino Linotype" w:cs="Palatino Linotype"/>
            <w:color w:val="0563C1"/>
            <w:u w:val="single"/>
          </w:rPr>
          <w:t>https://atizapan.gob.mx/wp-content/uploads/2023/02/Estado-Analitico-de-la-Deuda-y-Otros-Pasivos.pdf</w:t>
        </w:r>
      </w:hyperlink>
      <w:r w:rsidR="00146962" w:rsidRPr="00F41C57">
        <w:rPr>
          <w:rFonts w:ascii="Palatino Linotype" w:eastAsia="Palatino Linotype" w:hAnsi="Palatino Linotype" w:cs="Palatino Linotype"/>
        </w:rPr>
        <w:t xml:space="preserve"> </w:t>
      </w:r>
    </w:p>
    <w:p w:rsidR="00886EFA" w:rsidRPr="00F41C57" w:rsidRDefault="00886EFA">
      <w:pPr>
        <w:shd w:val="clear" w:color="auto" w:fill="FFFFFF"/>
        <w:spacing w:line="360" w:lineRule="auto"/>
        <w:jc w:val="both"/>
        <w:rPr>
          <w:rFonts w:ascii="Palatino Linotype" w:eastAsia="Palatino Linotype" w:hAnsi="Palatino Linotype" w:cs="Palatino Linotype"/>
        </w:rPr>
      </w:pPr>
    </w:p>
    <w:p w:rsidR="00886EFA" w:rsidRPr="00F41C57" w:rsidRDefault="00146962">
      <w:pPr>
        <w:shd w:val="clear" w:color="auto" w:fill="FFFFFF"/>
        <w:spacing w:line="360" w:lineRule="auto"/>
        <w:jc w:val="both"/>
        <w:rPr>
          <w:rFonts w:ascii="Verdana" w:eastAsia="Verdana" w:hAnsi="Verdana" w:cs="Verdana"/>
          <w:i/>
          <w:color w:val="000000"/>
          <w:sz w:val="14"/>
          <w:szCs w:val="14"/>
        </w:rPr>
      </w:pPr>
      <w:r w:rsidRPr="00F41C57">
        <w:rPr>
          <w:rFonts w:ascii="Palatino Linotype" w:eastAsia="Palatino Linotype" w:hAnsi="Palatino Linotype" w:cs="Palatino Linotype"/>
        </w:rPr>
        <w:t>No conforme el particular con las respuestas, interpone los presentes recursos de revisión que se resuelven, en lo medular porque: “</w:t>
      </w:r>
      <w:r w:rsidRPr="00F41C57">
        <w:rPr>
          <w:rFonts w:ascii="Palatino Linotype" w:eastAsia="Palatino Linotype" w:hAnsi="Palatino Linotype" w:cs="Palatino Linotype"/>
          <w:i/>
        </w:rPr>
        <w:t>Niegan la información remitiendo un vínculo no solicitado y mucho menos conforme lo señalado en el artículo 161 de la Ley de transparencia.” (Sic)</w:t>
      </w:r>
    </w:p>
    <w:p w:rsidR="00886EFA" w:rsidRPr="00F41C57" w:rsidRDefault="00886EFA">
      <w:pPr>
        <w:shd w:val="clear" w:color="auto" w:fill="FFFFFF"/>
        <w:spacing w:line="360" w:lineRule="auto"/>
        <w:jc w:val="both"/>
        <w:rPr>
          <w:rFonts w:ascii="Palatino Linotype" w:eastAsia="Palatino Linotype" w:hAnsi="Palatino Linotype" w:cs="Palatino Linotype"/>
        </w:rPr>
      </w:pPr>
    </w:p>
    <w:p w:rsidR="00886EFA" w:rsidRPr="00F41C57" w:rsidRDefault="00146962">
      <w:pPr>
        <w:widowControl w:val="0"/>
        <w:spacing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t xml:space="preserve">Ante la interposición de los Recursos de Revisión, el </w:t>
      </w:r>
      <w:r w:rsidRPr="00F41C57">
        <w:rPr>
          <w:rFonts w:ascii="Palatino Linotype" w:eastAsia="Palatino Linotype" w:hAnsi="Palatino Linotype" w:cs="Palatino Linotype"/>
          <w:b/>
        </w:rPr>
        <w:t>SUJETO OBLIGADO</w:t>
      </w:r>
      <w:r w:rsidRPr="00F41C57">
        <w:rPr>
          <w:rFonts w:ascii="Palatino Linotype" w:eastAsia="Palatino Linotype" w:hAnsi="Palatino Linotype" w:cs="Palatino Linotype"/>
        </w:rPr>
        <w:t xml:space="preserve"> rindió sus informes justificados, en donde en el recurso de revisión número </w:t>
      </w:r>
      <w:r w:rsidRPr="00F41C57">
        <w:rPr>
          <w:rFonts w:ascii="Palatino Linotype" w:eastAsia="Palatino Linotype" w:hAnsi="Palatino Linotype" w:cs="Palatino Linotype"/>
          <w:b/>
        </w:rPr>
        <w:t>02274/INFOEM/IP/RR/2023</w:t>
      </w:r>
      <w:r w:rsidRPr="00F41C57">
        <w:rPr>
          <w:rFonts w:ascii="Palatino Linotype" w:eastAsia="Palatino Linotype" w:hAnsi="Palatino Linotype" w:cs="Palatino Linotype"/>
        </w:rPr>
        <w:t>, en lo medular ratifico su respuesta inicial.</w:t>
      </w:r>
    </w:p>
    <w:p w:rsidR="00886EFA" w:rsidRPr="00F41C57" w:rsidRDefault="00886EFA">
      <w:pPr>
        <w:widowControl w:val="0"/>
        <w:spacing w:line="360" w:lineRule="auto"/>
        <w:jc w:val="both"/>
        <w:rPr>
          <w:rFonts w:ascii="Palatino Linotype" w:eastAsia="Palatino Linotype" w:hAnsi="Palatino Linotype" w:cs="Palatino Linotype"/>
        </w:rPr>
      </w:pPr>
    </w:p>
    <w:p w:rsidR="00886EFA" w:rsidRPr="00F41C57" w:rsidRDefault="00146962">
      <w:pPr>
        <w:widowControl w:val="0"/>
        <w:spacing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t xml:space="preserve">Por lo que respecta al recurso de revisión número </w:t>
      </w:r>
      <w:r w:rsidRPr="00F41C57">
        <w:rPr>
          <w:rFonts w:ascii="Palatino Linotype" w:eastAsia="Palatino Linotype" w:hAnsi="Palatino Linotype" w:cs="Palatino Linotype"/>
          <w:b/>
        </w:rPr>
        <w:t>02275/INFOEM/IP/RR/2023</w:t>
      </w:r>
      <w:r w:rsidRPr="00F41C57">
        <w:rPr>
          <w:rFonts w:ascii="Palatino Linotype" w:eastAsia="Palatino Linotype" w:hAnsi="Palatino Linotype" w:cs="Palatino Linotype"/>
        </w:rPr>
        <w:t xml:space="preserve">, además de ratificar su respuesta inicial, señaló que los informes que remiten los Tesoreros Municipales al Órgano Superior de Fiscalización del Estado de México (OSFEM), debe contener todo lo relacionado al tema a examinar y toda vez que este Órgano es el encargado de fiscalizar la cuentas públicas de las entidades estatales, de acuerdo a lo que señala la Ley de Fiscalización Superior del Estado de México, la cual la faculta para crear los lineamientos, criterios, procedimientos, métodos y sistemas para las acciones de control y evaluación que se deben seguir para los informes trimestrales, según en términos del artículo 8 de la Ley de Fiscalización Superior del Estado de México, de conformidad con el acuerdo 05/2023 por el que los lineamientos, fechas de capacitación y calendarización para la integración, envió </w:t>
      </w:r>
      <w:r w:rsidRPr="00F41C57">
        <w:rPr>
          <w:rFonts w:ascii="Palatino Linotype" w:eastAsia="Palatino Linotype" w:hAnsi="Palatino Linotype" w:cs="Palatino Linotype"/>
        </w:rPr>
        <w:lastRenderedPageBreak/>
        <w:t xml:space="preserve">y entrega de los informes trimestrales del ejercicio fiscal 2023, de las entidades fiscalizables del Estado de México, al fecha de entrega de los informes correspondientes es del ocho al dieciséis de mayo del dos mil veintitrés, en la oficialía de parte del Órgano Superior de Fiscalización, por lo tanto la información no está disponible aún.  </w:t>
      </w:r>
    </w:p>
    <w:p w:rsidR="00886EFA" w:rsidRPr="00F41C57" w:rsidRDefault="00886EFA">
      <w:pPr>
        <w:widowControl w:val="0"/>
        <w:spacing w:line="360" w:lineRule="auto"/>
        <w:jc w:val="both"/>
        <w:rPr>
          <w:rFonts w:ascii="Palatino Linotype" w:eastAsia="Palatino Linotype" w:hAnsi="Palatino Linotype" w:cs="Palatino Linotype"/>
        </w:rPr>
      </w:pPr>
    </w:p>
    <w:p w:rsidR="00886EFA" w:rsidRPr="00F41C57" w:rsidRDefault="00146962">
      <w:pPr>
        <w:widowControl w:val="0"/>
        <w:spacing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t>Precisado lo anterior, se procede analizar cada recurso de revisión por separado en razón de que el particular en uno omito señalar temporalidad de la información y en el otro indico los años de la información que requería, de la siguiente manera:</w:t>
      </w:r>
    </w:p>
    <w:p w:rsidR="00886EFA" w:rsidRPr="00F41C57" w:rsidRDefault="00886EFA">
      <w:pPr>
        <w:widowControl w:val="0"/>
        <w:spacing w:line="360" w:lineRule="auto"/>
        <w:jc w:val="both"/>
        <w:rPr>
          <w:rFonts w:ascii="Palatino Linotype" w:eastAsia="Palatino Linotype" w:hAnsi="Palatino Linotype" w:cs="Palatino Linotype"/>
        </w:rPr>
      </w:pPr>
    </w:p>
    <w:p w:rsidR="00886EFA" w:rsidRPr="00F41C57" w:rsidRDefault="00146962">
      <w:pPr>
        <w:widowControl w:val="0"/>
        <w:spacing w:line="360" w:lineRule="auto"/>
        <w:jc w:val="both"/>
        <w:rPr>
          <w:rFonts w:ascii="Palatino Linotype" w:eastAsia="Palatino Linotype" w:hAnsi="Palatino Linotype" w:cs="Palatino Linotype"/>
          <w:b/>
          <w:u w:val="single"/>
        </w:rPr>
      </w:pPr>
      <w:r w:rsidRPr="00F41C57">
        <w:rPr>
          <w:rFonts w:ascii="Palatino Linotype" w:eastAsia="Palatino Linotype" w:hAnsi="Palatino Linotype" w:cs="Palatino Linotype"/>
          <w:b/>
          <w:u w:val="single"/>
        </w:rPr>
        <w:t>Recurso de revisión 02274/INFOEM/IP/RR/2023:</w:t>
      </w:r>
    </w:p>
    <w:p w:rsidR="00886EFA" w:rsidRPr="00F41C57" w:rsidRDefault="00886EFA">
      <w:pPr>
        <w:widowControl w:val="0"/>
        <w:spacing w:line="360" w:lineRule="auto"/>
        <w:jc w:val="both"/>
        <w:rPr>
          <w:rFonts w:ascii="Palatino Linotype" w:eastAsia="Palatino Linotype" w:hAnsi="Palatino Linotype" w:cs="Palatino Linotype"/>
          <w:b/>
          <w:u w:val="single"/>
        </w:rPr>
      </w:pPr>
    </w:p>
    <w:p w:rsidR="00886EFA" w:rsidRPr="00F41C57" w:rsidRDefault="00146962">
      <w:pPr>
        <w:widowControl w:val="0"/>
        <w:spacing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t xml:space="preserve">En el presenten asunto la parte </w:t>
      </w:r>
      <w:r w:rsidRPr="00F41C57">
        <w:rPr>
          <w:rFonts w:ascii="Palatino Linotype" w:eastAsia="Palatino Linotype" w:hAnsi="Palatino Linotype" w:cs="Palatino Linotype"/>
          <w:b/>
        </w:rPr>
        <w:t>RECURRENTE</w:t>
      </w:r>
      <w:r w:rsidRPr="00F41C57">
        <w:rPr>
          <w:rFonts w:ascii="Palatino Linotype" w:eastAsia="Palatino Linotype" w:hAnsi="Palatino Linotype" w:cs="Palatino Linotype"/>
        </w:rPr>
        <w:t xml:space="preserve">, en la solicitud número </w:t>
      </w:r>
      <w:r w:rsidRPr="00F41C57">
        <w:rPr>
          <w:rFonts w:ascii="Palatino Linotype" w:eastAsia="Palatino Linotype" w:hAnsi="Palatino Linotype" w:cs="Palatino Linotype"/>
          <w:b/>
        </w:rPr>
        <w:t>00191/ATIZARA/IP/2023</w:t>
      </w:r>
      <w:r w:rsidRPr="00F41C57">
        <w:rPr>
          <w:rFonts w:ascii="Palatino Linotype" w:eastAsia="Palatino Linotype" w:hAnsi="Palatino Linotype" w:cs="Palatino Linotype"/>
        </w:rPr>
        <w:t>, requirió lo siguiente:</w:t>
      </w:r>
    </w:p>
    <w:p w:rsidR="00886EFA" w:rsidRPr="00F41C57" w:rsidRDefault="00146962">
      <w:pPr>
        <w:widowControl w:val="0"/>
        <w:spacing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t>“Solicito las partidas en las que se distribuyó la deuda adquirida” (Sic)</w:t>
      </w:r>
    </w:p>
    <w:p w:rsidR="00886EFA" w:rsidRPr="00F41C57" w:rsidRDefault="00886EFA">
      <w:pPr>
        <w:widowControl w:val="0"/>
        <w:spacing w:line="360" w:lineRule="auto"/>
        <w:jc w:val="both"/>
        <w:rPr>
          <w:rFonts w:ascii="Palatino Linotype" w:eastAsia="Palatino Linotype" w:hAnsi="Palatino Linotype" w:cs="Palatino Linotype"/>
        </w:rPr>
      </w:pPr>
    </w:p>
    <w:p w:rsidR="00886EFA" w:rsidRPr="00F41C57" w:rsidRDefault="00146962">
      <w:pPr>
        <w:widowControl w:val="0"/>
        <w:spacing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t>De la respuesta se advierte que el Tesorero Municipal señaló que la partida es la 9000 “Deuda Pública”, en términos del fundamento legal que señaló.</w:t>
      </w:r>
    </w:p>
    <w:p w:rsidR="00886EFA" w:rsidRPr="00F41C57" w:rsidRDefault="00886EFA">
      <w:pPr>
        <w:spacing w:line="360" w:lineRule="auto"/>
        <w:jc w:val="both"/>
        <w:rPr>
          <w:rFonts w:ascii="Palatino Linotype" w:eastAsia="Palatino Linotype" w:hAnsi="Palatino Linotype" w:cs="Palatino Linotype"/>
        </w:rPr>
      </w:pPr>
    </w:p>
    <w:p w:rsidR="00886EFA" w:rsidRPr="00F41C57" w:rsidRDefault="00146962">
      <w:pPr>
        <w:spacing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t>Asimismo informó que la información solicitada se encuentra publicada en la página del H. Ayuntamiento, bajo el siguiente link, tal como obra en los archivos de la Tesorería Municipal:</w:t>
      </w:r>
    </w:p>
    <w:p w:rsidR="00886EFA" w:rsidRPr="00F41C57" w:rsidRDefault="00886EFA">
      <w:pPr>
        <w:spacing w:line="360" w:lineRule="auto"/>
        <w:jc w:val="both"/>
        <w:rPr>
          <w:rFonts w:ascii="Palatino Linotype" w:eastAsia="Palatino Linotype" w:hAnsi="Palatino Linotype" w:cs="Palatino Linotype"/>
          <w:color w:val="0563C1"/>
          <w:u w:val="single"/>
        </w:rPr>
      </w:pPr>
    </w:p>
    <w:p w:rsidR="00886EFA" w:rsidRPr="00F41C57" w:rsidRDefault="009671AF">
      <w:pPr>
        <w:spacing w:line="360" w:lineRule="auto"/>
        <w:jc w:val="both"/>
        <w:rPr>
          <w:rFonts w:ascii="Palatino Linotype" w:eastAsia="Palatino Linotype" w:hAnsi="Palatino Linotype" w:cs="Palatino Linotype"/>
        </w:rPr>
      </w:pPr>
      <w:hyperlink r:id="rId30">
        <w:r w:rsidR="00146962" w:rsidRPr="00F41C57">
          <w:rPr>
            <w:rFonts w:ascii="Palatino Linotype" w:eastAsia="Palatino Linotype" w:hAnsi="Palatino Linotype" w:cs="Palatino Linotype"/>
            <w:color w:val="0563C1"/>
            <w:u w:val="single"/>
          </w:rPr>
          <w:t>https://atizapan.gob.mx/</w:t>
        </w:r>
      </w:hyperlink>
    </w:p>
    <w:p w:rsidR="00886EFA" w:rsidRPr="00F41C57" w:rsidRDefault="009671AF">
      <w:pPr>
        <w:spacing w:line="360" w:lineRule="auto"/>
        <w:jc w:val="both"/>
        <w:rPr>
          <w:rFonts w:ascii="Palatino Linotype" w:eastAsia="Palatino Linotype" w:hAnsi="Palatino Linotype" w:cs="Palatino Linotype"/>
        </w:rPr>
      </w:pPr>
      <w:hyperlink r:id="rId31">
        <w:r w:rsidR="00146962" w:rsidRPr="00F41C57">
          <w:rPr>
            <w:rFonts w:ascii="Palatino Linotype" w:eastAsia="Palatino Linotype" w:hAnsi="Palatino Linotype" w:cs="Palatino Linotype"/>
            <w:color w:val="0563C1"/>
            <w:u w:val="single"/>
          </w:rPr>
          <w:t>https://atizapan.gob.mx/#</w:t>
        </w:r>
      </w:hyperlink>
    </w:p>
    <w:p w:rsidR="00886EFA" w:rsidRPr="00F41C57" w:rsidRDefault="009671AF">
      <w:pPr>
        <w:spacing w:line="360" w:lineRule="auto"/>
        <w:jc w:val="both"/>
        <w:rPr>
          <w:rFonts w:ascii="Palatino Linotype" w:eastAsia="Palatino Linotype" w:hAnsi="Palatino Linotype" w:cs="Palatino Linotype"/>
        </w:rPr>
      </w:pPr>
      <w:hyperlink r:id="rId32">
        <w:r w:rsidR="00146962" w:rsidRPr="00F41C57">
          <w:rPr>
            <w:rFonts w:ascii="Palatino Linotype" w:eastAsia="Palatino Linotype" w:hAnsi="Palatino Linotype" w:cs="Palatino Linotype"/>
            <w:color w:val="0563C1"/>
            <w:u w:val="single"/>
          </w:rPr>
          <w:t>https://atizapan.gob.mx/conac/</w:t>
        </w:r>
      </w:hyperlink>
    </w:p>
    <w:p w:rsidR="00886EFA" w:rsidRPr="00F41C57" w:rsidRDefault="00146962">
      <w:pPr>
        <w:spacing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t>https://atizapan.gob.mx/wp-content/uploads/2023/02/ESTADO-COMPARATIVO-PRESUPUESTAL-DE-EGRESOS.pdf</w:t>
      </w:r>
    </w:p>
    <w:p w:rsidR="00886EFA" w:rsidRPr="00F41C57" w:rsidRDefault="00886EFA">
      <w:pPr>
        <w:widowControl w:val="0"/>
        <w:spacing w:line="360" w:lineRule="auto"/>
        <w:jc w:val="both"/>
        <w:rPr>
          <w:rFonts w:ascii="Palatino Linotype" w:eastAsia="Palatino Linotype" w:hAnsi="Palatino Linotype" w:cs="Palatino Linotype"/>
        </w:rPr>
      </w:pPr>
    </w:p>
    <w:p w:rsidR="00886EFA" w:rsidRPr="00F41C57" w:rsidRDefault="00146962">
      <w:pPr>
        <w:spacing w:after="240" w:line="360" w:lineRule="auto"/>
        <w:ind w:right="51"/>
        <w:jc w:val="both"/>
        <w:rPr>
          <w:rFonts w:ascii="Palatino Linotype" w:eastAsia="Palatino Linotype" w:hAnsi="Palatino Linotype" w:cs="Palatino Linotype"/>
          <w:color w:val="000000"/>
        </w:rPr>
      </w:pPr>
      <w:r w:rsidRPr="00F41C57">
        <w:rPr>
          <w:rFonts w:ascii="Palatino Linotype" w:eastAsia="Palatino Linotype" w:hAnsi="Palatino Linotype" w:cs="Palatino Linotype"/>
          <w:color w:val="000000"/>
        </w:rPr>
        <w:t>Sobre los primeros tres link corresponden a lo siguiente:</w:t>
      </w:r>
    </w:p>
    <w:p w:rsidR="00886EFA" w:rsidRPr="00F41C57" w:rsidRDefault="009671AF">
      <w:pPr>
        <w:spacing w:before="240" w:line="360" w:lineRule="auto"/>
        <w:jc w:val="both"/>
        <w:rPr>
          <w:rFonts w:ascii="Palatino Linotype" w:eastAsia="Palatino Linotype" w:hAnsi="Palatino Linotype" w:cs="Palatino Linotype"/>
          <w:color w:val="0563C1"/>
          <w:u w:val="single"/>
        </w:rPr>
      </w:pPr>
      <w:hyperlink r:id="rId33">
        <w:r w:rsidR="00146962" w:rsidRPr="00F41C57">
          <w:rPr>
            <w:rFonts w:ascii="Palatino Linotype" w:eastAsia="Palatino Linotype" w:hAnsi="Palatino Linotype" w:cs="Palatino Linotype"/>
            <w:color w:val="0563C1"/>
            <w:u w:val="single"/>
          </w:rPr>
          <w:t>https://atizapan.gob.mx/</w:t>
        </w:r>
      </w:hyperlink>
      <w:r w:rsidR="00146962" w:rsidRPr="00F41C57">
        <w:rPr>
          <w:rFonts w:ascii="Palatino Linotype" w:eastAsia="Palatino Linotype" w:hAnsi="Palatino Linotype" w:cs="Palatino Linotype"/>
          <w:color w:val="0563C1"/>
          <w:u w:val="single"/>
        </w:rPr>
        <w:t xml:space="preserve"> y </w:t>
      </w:r>
      <w:hyperlink r:id="rId34">
        <w:r w:rsidR="00146962" w:rsidRPr="00F41C57">
          <w:rPr>
            <w:rFonts w:ascii="Palatino Linotype" w:eastAsia="Palatino Linotype" w:hAnsi="Palatino Linotype" w:cs="Palatino Linotype"/>
            <w:color w:val="0563C1"/>
            <w:u w:val="single"/>
          </w:rPr>
          <w:t>https://atizapan.gob.mx/#</w:t>
        </w:r>
      </w:hyperlink>
      <w:r w:rsidR="00146962" w:rsidRPr="00F41C57">
        <w:rPr>
          <w:rFonts w:ascii="Palatino Linotype" w:eastAsia="Palatino Linotype" w:hAnsi="Palatino Linotype" w:cs="Palatino Linotype"/>
          <w:color w:val="0563C1"/>
          <w:u w:val="single"/>
        </w:rPr>
        <w:t xml:space="preserve"> </w:t>
      </w:r>
    </w:p>
    <w:p w:rsidR="00886EFA" w:rsidRPr="00F41C57" w:rsidRDefault="00886EFA">
      <w:pPr>
        <w:spacing w:line="360" w:lineRule="auto"/>
        <w:jc w:val="both"/>
        <w:rPr>
          <w:rFonts w:ascii="Palatino Linotype" w:eastAsia="Palatino Linotype" w:hAnsi="Palatino Linotype" w:cs="Palatino Linotype"/>
          <w:color w:val="0563C1"/>
          <w:u w:val="single"/>
        </w:rPr>
      </w:pPr>
    </w:p>
    <w:p w:rsidR="00886EFA" w:rsidRPr="00F41C57" w:rsidRDefault="00886EFA">
      <w:pPr>
        <w:spacing w:line="360" w:lineRule="auto"/>
        <w:jc w:val="both"/>
      </w:pPr>
    </w:p>
    <w:p w:rsidR="00886EFA" w:rsidRPr="00F41C57" w:rsidRDefault="00146962">
      <w:pPr>
        <w:spacing w:line="360" w:lineRule="auto"/>
        <w:jc w:val="both"/>
        <w:rPr>
          <w:rFonts w:ascii="Palatino Linotype" w:eastAsia="Palatino Linotype" w:hAnsi="Palatino Linotype" w:cs="Palatino Linotype"/>
          <w:color w:val="0563C1"/>
          <w:u w:val="single"/>
        </w:rPr>
      </w:pPr>
      <w:r w:rsidRPr="00F41C57">
        <w:rPr>
          <w:noProof/>
          <w:lang w:val="es-MX" w:eastAsia="es-MX"/>
        </w:rPr>
        <w:lastRenderedPageBreak/>
        <w:drawing>
          <wp:inline distT="0" distB="0" distL="0" distR="0">
            <wp:extent cx="5496527" cy="4509298"/>
            <wp:effectExtent l="0" t="0" r="0" b="0"/>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a:srcRect l="17280" t="9868" r="11720" b="11319"/>
                    <a:stretch>
                      <a:fillRect/>
                    </a:stretch>
                  </pic:blipFill>
                  <pic:spPr>
                    <a:xfrm>
                      <a:off x="0" y="0"/>
                      <a:ext cx="5496527" cy="4509298"/>
                    </a:xfrm>
                    <a:prstGeom prst="rect">
                      <a:avLst/>
                    </a:prstGeom>
                    <a:ln/>
                  </pic:spPr>
                </pic:pic>
              </a:graphicData>
            </a:graphic>
          </wp:inline>
        </w:drawing>
      </w:r>
    </w:p>
    <w:p w:rsidR="00886EFA" w:rsidRPr="00F41C57" w:rsidRDefault="00886EFA">
      <w:pPr>
        <w:spacing w:line="360" w:lineRule="auto"/>
        <w:jc w:val="both"/>
        <w:rPr>
          <w:rFonts w:ascii="Palatino Linotype" w:eastAsia="Palatino Linotype" w:hAnsi="Palatino Linotype" w:cs="Palatino Linotype"/>
          <w:color w:val="0563C1"/>
          <w:u w:val="single"/>
        </w:rPr>
      </w:pPr>
    </w:p>
    <w:p w:rsidR="00886EFA" w:rsidRPr="00F41C57" w:rsidRDefault="009671AF">
      <w:pPr>
        <w:spacing w:line="360" w:lineRule="auto"/>
        <w:jc w:val="both"/>
        <w:rPr>
          <w:rFonts w:ascii="Palatino Linotype" w:eastAsia="Palatino Linotype" w:hAnsi="Palatino Linotype" w:cs="Palatino Linotype"/>
        </w:rPr>
      </w:pPr>
      <w:hyperlink r:id="rId36">
        <w:r w:rsidR="00146962" w:rsidRPr="00F41C57">
          <w:rPr>
            <w:rFonts w:ascii="Palatino Linotype" w:eastAsia="Palatino Linotype" w:hAnsi="Palatino Linotype" w:cs="Palatino Linotype"/>
            <w:color w:val="0563C1"/>
            <w:u w:val="single"/>
          </w:rPr>
          <w:t>https://atizapan.gob.mx/conac/</w:t>
        </w:r>
      </w:hyperlink>
    </w:p>
    <w:p w:rsidR="00886EFA" w:rsidRPr="00F41C57" w:rsidRDefault="00886EFA">
      <w:pPr>
        <w:spacing w:after="240" w:line="360" w:lineRule="auto"/>
        <w:ind w:right="51"/>
        <w:jc w:val="both"/>
        <w:rPr>
          <w:rFonts w:ascii="Palatino Linotype" w:eastAsia="Palatino Linotype" w:hAnsi="Palatino Linotype" w:cs="Palatino Linotype"/>
          <w:color w:val="000000"/>
        </w:rPr>
      </w:pPr>
    </w:p>
    <w:p w:rsidR="00886EFA" w:rsidRPr="00F41C57" w:rsidRDefault="00886EFA">
      <w:pPr>
        <w:spacing w:before="240" w:after="240" w:line="360" w:lineRule="auto"/>
        <w:ind w:right="51"/>
        <w:jc w:val="both"/>
      </w:pPr>
    </w:p>
    <w:p w:rsidR="00886EFA" w:rsidRPr="00F41C57" w:rsidRDefault="00146962">
      <w:pPr>
        <w:spacing w:before="240" w:after="240" w:line="360" w:lineRule="auto"/>
        <w:ind w:right="51"/>
        <w:jc w:val="both"/>
        <w:rPr>
          <w:rFonts w:ascii="Palatino Linotype" w:eastAsia="Palatino Linotype" w:hAnsi="Palatino Linotype" w:cs="Palatino Linotype"/>
          <w:color w:val="000000"/>
        </w:rPr>
      </w:pPr>
      <w:r w:rsidRPr="00F41C57">
        <w:rPr>
          <w:noProof/>
          <w:lang w:val="es-MX" w:eastAsia="es-MX"/>
        </w:rPr>
        <w:lastRenderedPageBreak/>
        <w:drawing>
          <wp:inline distT="0" distB="0" distL="0" distR="0">
            <wp:extent cx="5573892" cy="2953155"/>
            <wp:effectExtent l="0" t="0" r="0" b="0"/>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7"/>
                    <a:srcRect l="8595" t="9391" r="8325" b="6866"/>
                    <a:stretch>
                      <a:fillRect/>
                    </a:stretch>
                  </pic:blipFill>
                  <pic:spPr>
                    <a:xfrm>
                      <a:off x="0" y="0"/>
                      <a:ext cx="5573892" cy="2953155"/>
                    </a:xfrm>
                    <a:prstGeom prst="rect">
                      <a:avLst/>
                    </a:prstGeom>
                    <a:ln/>
                  </pic:spPr>
                </pic:pic>
              </a:graphicData>
            </a:graphic>
          </wp:inline>
        </w:drawing>
      </w:r>
    </w:p>
    <w:p w:rsidR="00886EFA" w:rsidRPr="00F41C57" w:rsidRDefault="00146962">
      <w:pPr>
        <w:spacing w:before="240" w:after="240" w:line="360" w:lineRule="auto"/>
        <w:ind w:right="49"/>
        <w:jc w:val="both"/>
        <w:rPr>
          <w:rFonts w:ascii="Palatino Linotype" w:eastAsia="Palatino Linotype" w:hAnsi="Palatino Linotype" w:cs="Palatino Linotype"/>
        </w:rPr>
      </w:pPr>
      <w:r w:rsidRPr="00F41C57">
        <w:rPr>
          <w:rFonts w:ascii="Palatino Linotype" w:eastAsia="Palatino Linotype" w:hAnsi="Palatino Linotype" w:cs="Palatino Linotype"/>
        </w:rPr>
        <w:t xml:space="preserve">En donde se observa que dicho enlace corresponde por una parte a la página del Ayuntamiento de Atizapán de Zaragoza y por otra parte a la misma página del </w:t>
      </w:r>
      <w:r w:rsidRPr="00F41C57">
        <w:rPr>
          <w:rFonts w:ascii="Palatino Linotype" w:eastAsia="Palatino Linotype" w:hAnsi="Palatino Linotype" w:cs="Palatino Linotype"/>
          <w:b/>
        </w:rPr>
        <w:t>SUJETO OBLIGADO</w:t>
      </w:r>
      <w:r w:rsidRPr="00F41C57">
        <w:rPr>
          <w:rFonts w:ascii="Palatino Linotype" w:eastAsia="Palatino Linotype" w:hAnsi="Palatino Linotype" w:cs="Palatino Linotype"/>
        </w:rPr>
        <w:t xml:space="preserve"> pero de transparencia del </w:t>
      </w:r>
      <w:r w:rsidRPr="00F41C57">
        <w:rPr>
          <w:rFonts w:ascii="Montserrat ExtraLight" w:eastAsia="Montserrat ExtraLight" w:hAnsi="Montserrat ExtraLight" w:cs="Montserrat ExtraLight"/>
          <w:color w:val="5F727F"/>
        </w:rPr>
        <w:t> </w:t>
      </w:r>
      <w:r w:rsidRPr="00F41C57">
        <w:rPr>
          <w:rFonts w:ascii="Palatino Linotype" w:eastAsia="Palatino Linotype" w:hAnsi="Palatino Linotype" w:cs="Palatino Linotype"/>
        </w:rPr>
        <w:t xml:space="preserve">Consejo Nacional de Armonización Contable, sin que se observe la información solicitada por el particular, además que tiene un cumulo de información lo que implica que el </w:t>
      </w:r>
      <w:r w:rsidRPr="00F41C57">
        <w:rPr>
          <w:rFonts w:ascii="Palatino Linotype" w:eastAsia="Palatino Linotype" w:hAnsi="Palatino Linotype" w:cs="Palatino Linotype"/>
          <w:b/>
        </w:rPr>
        <w:t>RECURRENTE</w:t>
      </w:r>
      <w:r w:rsidRPr="00F41C57">
        <w:rPr>
          <w:rFonts w:ascii="Palatino Linotype" w:eastAsia="Palatino Linotype" w:hAnsi="Palatino Linotype" w:cs="Palatino Linotype"/>
        </w:rPr>
        <w:t xml:space="preserve"> haga una búsqueda dentro de toda la información que yace en dichas ligas electrónicas; por consiguiente, no se colmó la pretensión de la parte </w:t>
      </w:r>
      <w:r w:rsidRPr="00F41C57">
        <w:rPr>
          <w:rFonts w:ascii="Palatino Linotype" w:eastAsia="Palatino Linotype" w:hAnsi="Palatino Linotype" w:cs="Palatino Linotype"/>
          <w:b/>
        </w:rPr>
        <w:t>RECURRENTE</w:t>
      </w:r>
      <w:r w:rsidRPr="00F41C57">
        <w:rPr>
          <w:rFonts w:ascii="Palatino Linotype" w:eastAsia="Palatino Linotype" w:hAnsi="Palatino Linotype" w:cs="Palatino Linotype"/>
        </w:rPr>
        <w:t xml:space="preserve"> y además no se le detalló el procedimiento específico de acceso a los datos solicitados.</w:t>
      </w:r>
    </w:p>
    <w:p w:rsidR="00886EFA" w:rsidRPr="00F41C57" w:rsidRDefault="00146962">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41C57">
        <w:rPr>
          <w:rFonts w:ascii="Palatino Linotype" w:eastAsia="Palatino Linotype" w:hAnsi="Palatino Linotype" w:cs="Palatino Linotype"/>
          <w:color w:val="000000"/>
        </w:rPr>
        <w:t xml:space="preserve">Lo anterior es así en virtud de lo establecido por los artículos 11 y 161 de la Ley de Transparencia y Acceso a la Información Pública del Estado de México y Municipios, en lo que se señalan las características que debe tener toda información entregada </w:t>
      </w:r>
      <w:r w:rsidRPr="00F41C57">
        <w:rPr>
          <w:rFonts w:ascii="Palatino Linotype" w:eastAsia="Palatino Linotype" w:hAnsi="Palatino Linotype" w:cs="Palatino Linotype"/>
          <w:color w:val="000000"/>
        </w:rPr>
        <w:lastRenderedPageBreak/>
        <w:t>por los sujetos obligados desde el momento de su generación, publicación y entrega, así como la forma en que se deberá consultar la información, señalando una fuente precisa y concreta, a saber:</w:t>
      </w:r>
    </w:p>
    <w:p w:rsidR="00886EFA" w:rsidRPr="00F41C57" w:rsidRDefault="00886EFA">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886EFA" w:rsidRPr="00F41C57" w:rsidRDefault="00146962">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sidRPr="00F41C57">
        <w:rPr>
          <w:rFonts w:ascii="Palatino Linotype" w:eastAsia="Palatino Linotype" w:hAnsi="Palatino Linotype" w:cs="Palatino Linotype"/>
          <w:b/>
          <w:i/>
          <w:color w:val="000000"/>
          <w:sz w:val="22"/>
          <w:szCs w:val="22"/>
        </w:rPr>
        <w:t>“Artículo 11.</w:t>
      </w:r>
      <w:r w:rsidRPr="00F41C57">
        <w:rPr>
          <w:rFonts w:ascii="Palatino Linotype" w:eastAsia="Palatino Linotype" w:hAnsi="Palatino Linotype" w:cs="Palatino Linotype"/>
          <w:i/>
          <w:color w:val="000000"/>
          <w:sz w:val="22"/>
          <w:szCs w:val="22"/>
        </w:rPr>
        <w:t xml:space="preserve"> </w:t>
      </w:r>
      <w:r w:rsidRPr="00F41C57">
        <w:rPr>
          <w:rFonts w:ascii="Palatino Linotype" w:eastAsia="Palatino Linotype" w:hAnsi="Palatino Linotype" w:cs="Palatino Linotype"/>
          <w:b/>
          <w:i/>
          <w:color w:val="000000"/>
          <w:sz w:val="22"/>
          <w:szCs w:val="22"/>
          <w:u w:val="single"/>
        </w:rPr>
        <w:t>En la generación, publicación y entrega de información se deberá garantizar que ésta sea accesible, actualizada, completa, congruente, confiable, verificable, veraz, integral, oportuna y expedita</w:t>
      </w:r>
      <w:r w:rsidRPr="00F41C57">
        <w:rPr>
          <w:rFonts w:ascii="Palatino Linotype" w:eastAsia="Palatino Linotype" w:hAnsi="Palatino Linotype" w:cs="Palatino Linotype"/>
          <w:i/>
          <w:color w:val="000000"/>
          <w:sz w:val="22"/>
          <w:szCs w:val="22"/>
        </w:rPr>
        <w:t>, sujeta a un claro régimen de excepciones que deberá estar definido y ser además legítima y estrictamente necesaria en una sociedad democrática, por lo que atenderá las necesidades del derecho de acceso a la información de toda persona.</w:t>
      </w:r>
    </w:p>
    <w:p w:rsidR="00886EFA" w:rsidRPr="00F41C57" w:rsidRDefault="00146962">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sidRPr="00F41C57">
        <w:rPr>
          <w:rFonts w:ascii="Palatino Linotype" w:eastAsia="Palatino Linotype" w:hAnsi="Palatino Linotype" w:cs="Palatino Linotype"/>
          <w:i/>
          <w:color w:val="000000"/>
          <w:sz w:val="22"/>
          <w:szCs w:val="22"/>
        </w:rPr>
        <w:t>[…]</w:t>
      </w:r>
    </w:p>
    <w:p w:rsidR="00886EFA" w:rsidRPr="00F41C57" w:rsidRDefault="00886EFA">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p>
    <w:p w:rsidR="00886EFA" w:rsidRPr="00F41C57" w:rsidRDefault="00146962">
      <w:pPr>
        <w:pBdr>
          <w:top w:val="nil"/>
          <w:left w:val="nil"/>
          <w:bottom w:val="nil"/>
          <w:right w:val="nil"/>
          <w:between w:val="nil"/>
        </w:pBdr>
        <w:ind w:left="567" w:right="567"/>
        <w:jc w:val="both"/>
        <w:rPr>
          <w:rFonts w:ascii="Palatino Linotype" w:eastAsia="Palatino Linotype" w:hAnsi="Palatino Linotype" w:cs="Palatino Linotype"/>
          <w:color w:val="000000"/>
          <w:sz w:val="22"/>
          <w:szCs w:val="22"/>
        </w:rPr>
      </w:pPr>
      <w:r w:rsidRPr="00F41C57">
        <w:rPr>
          <w:rFonts w:ascii="Palatino Linotype" w:eastAsia="Palatino Linotype" w:hAnsi="Palatino Linotype" w:cs="Palatino Linotype"/>
          <w:b/>
          <w:i/>
          <w:color w:val="000000"/>
          <w:sz w:val="22"/>
          <w:szCs w:val="22"/>
        </w:rPr>
        <w:t>Artículo 161.</w:t>
      </w:r>
      <w:r w:rsidRPr="00F41C57">
        <w:rPr>
          <w:rFonts w:ascii="Palatino Linotype" w:eastAsia="Palatino Linotype" w:hAnsi="Palatino Linotype" w:cs="Palatino Linotype"/>
          <w:i/>
          <w:color w:val="000000"/>
          <w:sz w:val="22"/>
          <w:szCs w:val="22"/>
        </w:rPr>
        <w:t xml:space="preserve"> </w:t>
      </w:r>
      <w:r w:rsidRPr="00F41C57">
        <w:rPr>
          <w:rFonts w:ascii="Palatino Linotype" w:eastAsia="Palatino Linotype" w:hAnsi="Palatino Linotype" w:cs="Palatino Linotype"/>
          <w:b/>
          <w:i/>
          <w:color w:val="000000"/>
          <w:sz w:val="22"/>
          <w:szCs w:val="22"/>
          <w:u w:val="single"/>
        </w:rPr>
        <w:t>Cuando la información requerida por el solicitante ya esté disponible al público</w:t>
      </w:r>
      <w:r w:rsidRPr="00F41C57">
        <w:rPr>
          <w:rFonts w:ascii="Palatino Linotype" w:eastAsia="Palatino Linotype" w:hAnsi="Palatino Linotype" w:cs="Palatino Linotype"/>
          <w:i/>
          <w:color w:val="000000"/>
          <w:sz w:val="22"/>
          <w:szCs w:val="22"/>
        </w:rPr>
        <w:t xml:space="preserve"> en medios impresos, tales como libros, compendios, trípticos, registros públicos, </w:t>
      </w:r>
      <w:r w:rsidRPr="00F41C57">
        <w:rPr>
          <w:rFonts w:ascii="Palatino Linotype" w:eastAsia="Palatino Linotype" w:hAnsi="Palatino Linotype" w:cs="Palatino Linotype"/>
          <w:b/>
          <w:i/>
          <w:color w:val="000000"/>
          <w:sz w:val="22"/>
          <w:szCs w:val="22"/>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rsidR="00886EFA" w:rsidRPr="00F41C57" w:rsidRDefault="00886EF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86EFA" w:rsidRPr="00F41C57" w:rsidRDefault="00146962">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41C57">
        <w:rPr>
          <w:rFonts w:ascii="Palatino Linotype" w:eastAsia="Palatino Linotype" w:hAnsi="Palatino Linotype" w:cs="Palatino Linotype"/>
          <w:color w:val="000000"/>
          <w:sz w:val="22"/>
          <w:szCs w:val="22"/>
        </w:rPr>
        <w:t xml:space="preserve">De los artículos transcritos se establecen las características que debe tener la información desde el momento de su generación, publicación y entrega; de igual manera se contempla el procedimiento a seguir por el </w:t>
      </w:r>
      <w:r w:rsidRPr="00F41C57">
        <w:rPr>
          <w:rFonts w:ascii="Palatino Linotype" w:eastAsia="Palatino Linotype" w:hAnsi="Palatino Linotype" w:cs="Palatino Linotype"/>
          <w:b/>
          <w:color w:val="000000"/>
          <w:sz w:val="22"/>
          <w:szCs w:val="22"/>
        </w:rPr>
        <w:t>SUJETO OBLIGADO</w:t>
      </w:r>
      <w:r w:rsidRPr="00F41C57">
        <w:rPr>
          <w:rFonts w:ascii="Palatino Linotype" w:eastAsia="Palatino Linotype" w:hAnsi="Palatino Linotype" w:cs="Palatino Linotype"/>
          <w:color w:val="000000"/>
          <w:sz w:val="22"/>
          <w:szCs w:val="22"/>
        </w:rPr>
        <w:t xml:space="preserve">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rsidR="00886EFA" w:rsidRPr="00F41C57" w:rsidRDefault="00146962">
      <w:pPr>
        <w:numPr>
          <w:ilvl w:val="0"/>
          <w:numId w:val="3"/>
        </w:numPr>
        <w:pBdr>
          <w:top w:val="nil"/>
          <w:left w:val="nil"/>
          <w:bottom w:val="nil"/>
          <w:right w:val="nil"/>
          <w:between w:val="nil"/>
        </w:pBdr>
        <w:ind w:left="1134" w:hanging="567"/>
        <w:jc w:val="both"/>
        <w:rPr>
          <w:rFonts w:ascii="Palatino Linotype" w:eastAsia="Palatino Linotype" w:hAnsi="Palatino Linotype" w:cs="Palatino Linotype"/>
          <w:color w:val="000000"/>
          <w:sz w:val="22"/>
          <w:szCs w:val="22"/>
        </w:rPr>
      </w:pPr>
      <w:r w:rsidRPr="00F41C57">
        <w:rPr>
          <w:rFonts w:ascii="Palatino Linotype" w:eastAsia="Palatino Linotype" w:hAnsi="Palatino Linotype" w:cs="Palatino Linotype"/>
          <w:color w:val="000000"/>
          <w:sz w:val="22"/>
          <w:szCs w:val="22"/>
        </w:rPr>
        <w:t>La fuente</w:t>
      </w:r>
    </w:p>
    <w:p w:rsidR="00886EFA" w:rsidRPr="00F41C57" w:rsidRDefault="00146962">
      <w:pPr>
        <w:numPr>
          <w:ilvl w:val="0"/>
          <w:numId w:val="3"/>
        </w:numPr>
        <w:pBdr>
          <w:top w:val="nil"/>
          <w:left w:val="nil"/>
          <w:bottom w:val="nil"/>
          <w:right w:val="nil"/>
          <w:between w:val="nil"/>
        </w:pBdr>
        <w:ind w:left="1134" w:hanging="567"/>
        <w:jc w:val="both"/>
        <w:rPr>
          <w:rFonts w:ascii="Palatino Linotype" w:eastAsia="Palatino Linotype" w:hAnsi="Palatino Linotype" w:cs="Palatino Linotype"/>
          <w:color w:val="000000"/>
          <w:sz w:val="22"/>
          <w:szCs w:val="22"/>
        </w:rPr>
      </w:pPr>
      <w:r w:rsidRPr="00F41C57">
        <w:rPr>
          <w:rFonts w:ascii="Palatino Linotype" w:eastAsia="Palatino Linotype" w:hAnsi="Palatino Linotype" w:cs="Palatino Linotype"/>
          <w:color w:val="000000"/>
          <w:sz w:val="22"/>
          <w:szCs w:val="22"/>
        </w:rPr>
        <w:t>El lugar y</w:t>
      </w:r>
    </w:p>
    <w:p w:rsidR="00886EFA" w:rsidRPr="00F41C57" w:rsidRDefault="00146962">
      <w:pPr>
        <w:numPr>
          <w:ilvl w:val="0"/>
          <w:numId w:val="3"/>
        </w:numPr>
        <w:pBdr>
          <w:top w:val="nil"/>
          <w:left w:val="nil"/>
          <w:bottom w:val="nil"/>
          <w:right w:val="nil"/>
          <w:between w:val="nil"/>
        </w:pBdr>
        <w:ind w:left="1134" w:hanging="567"/>
        <w:jc w:val="both"/>
        <w:rPr>
          <w:rFonts w:ascii="Palatino Linotype" w:eastAsia="Palatino Linotype" w:hAnsi="Palatino Linotype" w:cs="Palatino Linotype"/>
          <w:color w:val="000000"/>
          <w:sz w:val="22"/>
          <w:szCs w:val="22"/>
        </w:rPr>
      </w:pPr>
      <w:r w:rsidRPr="00F41C57">
        <w:rPr>
          <w:rFonts w:ascii="Palatino Linotype" w:eastAsia="Palatino Linotype" w:hAnsi="Palatino Linotype" w:cs="Palatino Linotype"/>
          <w:color w:val="000000"/>
          <w:sz w:val="22"/>
          <w:szCs w:val="22"/>
        </w:rPr>
        <w:t xml:space="preserve">La forma </w:t>
      </w:r>
    </w:p>
    <w:p w:rsidR="00886EFA" w:rsidRPr="00F41C57" w:rsidRDefault="00886EFA">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886EFA" w:rsidRPr="00F41C57" w:rsidRDefault="00146962">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41C57">
        <w:rPr>
          <w:rFonts w:ascii="Palatino Linotype" w:eastAsia="Palatino Linotype" w:hAnsi="Palatino Linotype" w:cs="Palatino Linotype"/>
          <w:color w:val="000000"/>
          <w:sz w:val="22"/>
          <w:szCs w:val="22"/>
        </w:rPr>
        <w:lastRenderedPageBreak/>
        <w:t>Asimismo, se establece que la fuente de la información deberá ser:</w:t>
      </w:r>
    </w:p>
    <w:p w:rsidR="00886EFA" w:rsidRPr="00F41C57" w:rsidRDefault="00146962">
      <w:pPr>
        <w:numPr>
          <w:ilvl w:val="0"/>
          <w:numId w:val="4"/>
        </w:numPr>
        <w:pBdr>
          <w:top w:val="nil"/>
          <w:left w:val="nil"/>
          <w:bottom w:val="nil"/>
          <w:right w:val="nil"/>
          <w:between w:val="nil"/>
        </w:pBdr>
        <w:ind w:left="1134" w:hanging="556"/>
        <w:jc w:val="both"/>
        <w:rPr>
          <w:rFonts w:ascii="Palatino Linotype" w:eastAsia="Palatino Linotype" w:hAnsi="Palatino Linotype" w:cs="Palatino Linotype"/>
          <w:color w:val="000000"/>
          <w:sz w:val="22"/>
          <w:szCs w:val="22"/>
        </w:rPr>
      </w:pPr>
      <w:r w:rsidRPr="00F41C57">
        <w:rPr>
          <w:rFonts w:ascii="Palatino Linotype" w:eastAsia="Palatino Linotype" w:hAnsi="Palatino Linotype" w:cs="Palatino Linotype"/>
          <w:color w:val="000000"/>
          <w:sz w:val="22"/>
          <w:szCs w:val="22"/>
        </w:rPr>
        <w:t>Precisa</w:t>
      </w:r>
    </w:p>
    <w:p w:rsidR="00886EFA" w:rsidRPr="00F41C57" w:rsidRDefault="00146962">
      <w:pPr>
        <w:numPr>
          <w:ilvl w:val="0"/>
          <w:numId w:val="4"/>
        </w:numPr>
        <w:pBdr>
          <w:top w:val="nil"/>
          <w:left w:val="nil"/>
          <w:bottom w:val="nil"/>
          <w:right w:val="nil"/>
          <w:between w:val="nil"/>
        </w:pBdr>
        <w:ind w:left="1134" w:hanging="556"/>
        <w:jc w:val="both"/>
        <w:rPr>
          <w:rFonts w:ascii="Palatino Linotype" w:eastAsia="Palatino Linotype" w:hAnsi="Palatino Linotype" w:cs="Palatino Linotype"/>
          <w:color w:val="000000"/>
          <w:sz w:val="22"/>
          <w:szCs w:val="22"/>
        </w:rPr>
      </w:pPr>
      <w:r w:rsidRPr="00F41C57">
        <w:rPr>
          <w:rFonts w:ascii="Palatino Linotype" w:eastAsia="Palatino Linotype" w:hAnsi="Palatino Linotype" w:cs="Palatino Linotype"/>
          <w:color w:val="000000"/>
          <w:sz w:val="22"/>
          <w:szCs w:val="22"/>
        </w:rPr>
        <w:t>Concreta</w:t>
      </w:r>
    </w:p>
    <w:p w:rsidR="00886EFA" w:rsidRPr="00F41C57" w:rsidRDefault="00146962">
      <w:pPr>
        <w:numPr>
          <w:ilvl w:val="0"/>
          <w:numId w:val="4"/>
        </w:numPr>
        <w:pBdr>
          <w:top w:val="nil"/>
          <w:left w:val="nil"/>
          <w:bottom w:val="nil"/>
          <w:right w:val="nil"/>
          <w:between w:val="nil"/>
        </w:pBdr>
        <w:ind w:left="1134" w:hanging="556"/>
        <w:jc w:val="both"/>
        <w:rPr>
          <w:rFonts w:ascii="Palatino Linotype" w:eastAsia="Palatino Linotype" w:hAnsi="Palatino Linotype" w:cs="Palatino Linotype"/>
          <w:color w:val="000000"/>
          <w:sz w:val="22"/>
          <w:szCs w:val="22"/>
        </w:rPr>
      </w:pPr>
      <w:r w:rsidRPr="00F41C57">
        <w:rPr>
          <w:rFonts w:ascii="Palatino Linotype" w:eastAsia="Palatino Linotype" w:hAnsi="Palatino Linotype" w:cs="Palatino Linotype"/>
          <w:b/>
          <w:color w:val="000000"/>
          <w:sz w:val="22"/>
          <w:szCs w:val="22"/>
        </w:rPr>
        <w:t>Y no debe implicar que el solicitante realice una búsqueda en toda la información que se encuentre disponible</w:t>
      </w:r>
      <w:r w:rsidRPr="00F41C57">
        <w:rPr>
          <w:rFonts w:ascii="Palatino Linotype" w:eastAsia="Palatino Linotype" w:hAnsi="Palatino Linotype" w:cs="Palatino Linotype"/>
          <w:color w:val="000000"/>
          <w:sz w:val="22"/>
          <w:szCs w:val="22"/>
        </w:rPr>
        <w:t>.</w:t>
      </w:r>
    </w:p>
    <w:p w:rsidR="00886EFA" w:rsidRPr="00F41C57" w:rsidRDefault="00886EFA">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886EFA" w:rsidRPr="00F41C57" w:rsidRDefault="00146962">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41C57">
        <w:rPr>
          <w:rFonts w:ascii="Palatino Linotype" w:eastAsia="Palatino Linotype" w:hAnsi="Palatino Linotype" w:cs="Palatino Linotype"/>
          <w:color w:val="000000"/>
          <w:sz w:val="22"/>
          <w:szCs w:val="22"/>
        </w:rPr>
        <w:t xml:space="preserve">Imperativos legales que establecen el procedimiento que debe seguir el </w:t>
      </w:r>
      <w:r w:rsidRPr="00F41C57">
        <w:rPr>
          <w:rFonts w:ascii="Palatino Linotype" w:eastAsia="Palatino Linotype" w:hAnsi="Palatino Linotype" w:cs="Palatino Linotype"/>
          <w:b/>
          <w:color w:val="000000"/>
          <w:sz w:val="22"/>
          <w:szCs w:val="22"/>
        </w:rPr>
        <w:t>SUJETO OBLIGADO</w:t>
      </w:r>
      <w:r w:rsidRPr="00F41C57">
        <w:rPr>
          <w:rFonts w:ascii="Palatino Linotype" w:eastAsia="Palatino Linotype" w:hAnsi="Palatino Linotype" w:cs="Palatino Linotype"/>
          <w:color w:val="000000"/>
          <w:sz w:val="22"/>
          <w:szCs w:val="22"/>
        </w:rPr>
        <w:t xml:space="preserve"> para que pueda tomarse como válida su orientación sobre la forma en que puede consultar la información requerida, y que, en el caso en concreto, no acontece; ello porque el </w:t>
      </w:r>
      <w:r w:rsidRPr="00F41C57">
        <w:rPr>
          <w:rFonts w:ascii="Palatino Linotype" w:eastAsia="Palatino Linotype" w:hAnsi="Palatino Linotype" w:cs="Palatino Linotype"/>
          <w:b/>
          <w:color w:val="000000"/>
          <w:sz w:val="22"/>
          <w:szCs w:val="22"/>
        </w:rPr>
        <w:t>SUJETO OBLIGADO</w:t>
      </w:r>
      <w:r w:rsidRPr="00F41C57">
        <w:rPr>
          <w:rFonts w:ascii="Palatino Linotype" w:eastAsia="Palatino Linotype" w:hAnsi="Palatino Linotype" w:cs="Palatino Linotype"/>
          <w:color w:val="000000"/>
          <w:sz w:val="22"/>
          <w:szCs w:val="22"/>
        </w:rPr>
        <w:t xml:space="preserve"> se limitó a indicar la dirección electrónica de su página oficial, sin que señalara puntualmente el procedimiento que el particular debe seguir para acceder a la información requerida, lo que implica que  la fuente no es precisa y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rsidR="00886EFA" w:rsidRPr="00F41C57" w:rsidRDefault="00886EFA">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886EFA" w:rsidRPr="00F41C57" w:rsidRDefault="00146962">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41C57">
        <w:rPr>
          <w:rFonts w:ascii="Palatino Linotype" w:eastAsia="Palatino Linotype" w:hAnsi="Palatino Linotype" w:cs="Palatino Linotype"/>
          <w:color w:val="000000"/>
          <w:sz w:val="22"/>
          <w:szCs w:val="22"/>
        </w:rPr>
        <w:t xml:space="preserve">No obstante mediante informe justificado preciso los pasos a seguir para llegar a la información solicitada; pero  de igual forma no fue preciso el </w:t>
      </w:r>
      <w:r w:rsidRPr="00F41C57">
        <w:rPr>
          <w:rFonts w:ascii="Palatino Linotype" w:eastAsia="Palatino Linotype" w:hAnsi="Palatino Linotype" w:cs="Palatino Linotype"/>
          <w:b/>
          <w:color w:val="000000"/>
          <w:sz w:val="22"/>
          <w:szCs w:val="22"/>
        </w:rPr>
        <w:t>SUJETO OBLIGADO</w:t>
      </w:r>
      <w:r w:rsidRPr="00F41C57">
        <w:rPr>
          <w:rFonts w:ascii="Palatino Linotype" w:eastAsia="Palatino Linotype" w:hAnsi="Palatino Linotype" w:cs="Palatino Linotype"/>
          <w:color w:val="000000"/>
          <w:sz w:val="22"/>
          <w:szCs w:val="22"/>
        </w:rPr>
        <w:t>, para que la parte RECURRENTE pudiera obtener la información requerida.</w:t>
      </w:r>
    </w:p>
    <w:p w:rsidR="00886EFA" w:rsidRPr="00F41C57" w:rsidRDefault="00146962">
      <w:pPr>
        <w:spacing w:before="240"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color w:val="000000"/>
        </w:rPr>
        <w:t xml:space="preserve">Sin embargo, mediante la liga electrónica </w:t>
      </w:r>
      <w:hyperlink r:id="rId38">
        <w:r w:rsidRPr="00F41C57">
          <w:rPr>
            <w:rFonts w:ascii="Palatino Linotype" w:eastAsia="Palatino Linotype" w:hAnsi="Palatino Linotype" w:cs="Palatino Linotype"/>
            <w:color w:val="0563C1"/>
            <w:u w:val="single"/>
          </w:rPr>
          <w:t>https://atizapan.gob.mx/wp-content/uploads/2023/02/ESTADO-COMPARATIVO-PRESUPUESTAL-DE-EGRESOS.pdf#</w:t>
        </w:r>
      </w:hyperlink>
      <w:r w:rsidRPr="00F41C57">
        <w:rPr>
          <w:rFonts w:ascii="Palatino Linotype" w:eastAsia="Palatino Linotype" w:hAnsi="Palatino Linotype" w:cs="Palatino Linotype"/>
        </w:rPr>
        <w:t>, el Tesorero Municipal del Ayuntamiento de Atizapán de Zaragoza, proporciono el Estado Comparativo Presupuestal de Egresos del año 2022, en donde se advierte la distribución de la partida 9000 correspondiente a la deuda pública como se observa a continuación:</w:t>
      </w:r>
    </w:p>
    <w:p w:rsidR="00886EFA" w:rsidRPr="00F41C57" w:rsidRDefault="00146962">
      <w:pPr>
        <w:spacing w:line="360" w:lineRule="auto"/>
        <w:jc w:val="both"/>
        <w:rPr>
          <w:rFonts w:ascii="Palatino Linotype" w:eastAsia="Palatino Linotype" w:hAnsi="Palatino Linotype" w:cs="Palatino Linotype"/>
        </w:rPr>
      </w:pPr>
      <w:r w:rsidRPr="00F41C57">
        <w:rPr>
          <w:noProof/>
          <w:lang w:val="es-MX" w:eastAsia="es-MX"/>
        </w:rPr>
        <w:lastRenderedPageBreak/>
        <w:drawing>
          <wp:inline distT="0" distB="0" distL="0" distR="0">
            <wp:extent cx="5490908" cy="3232799"/>
            <wp:effectExtent l="0" t="0" r="0" b="0"/>
            <wp:docPr id="3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9"/>
                    <a:srcRect l="21130" t="13686" r="5628" b="10831"/>
                    <a:stretch>
                      <a:fillRect/>
                    </a:stretch>
                  </pic:blipFill>
                  <pic:spPr>
                    <a:xfrm>
                      <a:off x="0" y="0"/>
                      <a:ext cx="5490908" cy="3232799"/>
                    </a:xfrm>
                    <a:prstGeom prst="rect">
                      <a:avLst/>
                    </a:prstGeom>
                    <a:ln/>
                  </pic:spPr>
                </pic:pic>
              </a:graphicData>
            </a:graphic>
          </wp:inline>
        </w:drawing>
      </w:r>
      <w:r w:rsidRPr="00F41C57">
        <w:rPr>
          <w:noProof/>
          <w:lang w:val="es-MX" w:eastAsia="es-MX"/>
        </w:rPr>
        <mc:AlternateContent>
          <mc:Choice Requires="wps">
            <w:drawing>
              <wp:anchor distT="0" distB="0" distL="114300" distR="114300" simplePos="0" relativeHeight="251658240" behindDoc="0" locked="0" layoutInCell="1" hidden="0" allowOverlap="1">
                <wp:simplePos x="0" y="0"/>
                <wp:positionH relativeFrom="column">
                  <wp:posOffset>101601</wp:posOffset>
                </wp:positionH>
                <wp:positionV relativeFrom="paragraph">
                  <wp:posOffset>685800</wp:posOffset>
                </wp:positionV>
                <wp:extent cx="241439" cy="2426956"/>
                <wp:effectExtent l="0" t="0" r="0" b="0"/>
                <wp:wrapNone/>
                <wp:docPr id="32" name="Rectángulo 32"/>
                <wp:cNvGraphicFramePr/>
                <a:graphic xmlns:a="http://schemas.openxmlformats.org/drawingml/2006/main">
                  <a:graphicData uri="http://schemas.microsoft.com/office/word/2010/wordprocessingShape">
                    <wps:wsp>
                      <wps:cNvSpPr/>
                      <wps:spPr>
                        <a:xfrm>
                          <a:off x="5237981" y="2579222"/>
                          <a:ext cx="216039" cy="2401556"/>
                        </a:xfrm>
                        <a:prstGeom prst="rect">
                          <a:avLst/>
                        </a:prstGeom>
                        <a:noFill/>
                        <a:ln w="25400" cap="flat" cmpd="sng">
                          <a:solidFill>
                            <a:srgbClr val="42719B"/>
                          </a:solidFill>
                          <a:prstDash val="solid"/>
                          <a:miter lim="800000"/>
                          <a:headEnd type="none" w="sm" len="sm"/>
                          <a:tailEnd type="none" w="sm" len="sm"/>
                        </a:ln>
                      </wps:spPr>
                      <wps:txbx>
                        <w:txbxContent>
                          <w:p w:rsidR="009671AF" w:rsidRDefault="009671AF">
                            <w:pPr>
                              <w:textDirection w:val="btLr"/>
                            </w:pPr>
                          </w:p>
                        </w:txbxContent>
                      </wps:txbx>
                      <wps:bodyPr spcFirstLastPara="1" wrap="square" lIns="91425" tIns="91425" rIns="91425" bIns="91425" anchor="ctr" anchorCtr="0">
                        <a:noAutofit/>
                      </wps:bodyPr>
                    </wps:wsp>
                  </a:graphicData>
                </a:graphic>
              </wp:anchor>
            </w:drawing>
          </mc:Choice>
          <mc:Fallback>
            <w:pict>
              <v:rect id="Rectángulo 32" o:spid="_x0000_s1026" style="position:absolute;left:0;text-align:left;margin-left:8pt;margin-top:54pt;width:19pt;height:191.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" filled="f" strokecolor="#42719b" strokeweight="2pt">
                <v:stroke startarrowwidth="narrow" startarrowlength="short" endarrowwidth="narrow" endarrowlength="short"/>
                <v:textbox inset="2.53958mm,2.53958mm,2.53958mm,2.53958mm">
                  <w:txbxContent>
                    <w:p w:rsidR="009671AF" w:rsidRDefault="009671AF">
                      <w:pPr>
                        <w:textDirection w:val="btLr"/>
                      </w:pPr>
                    </w:p>
                  </w:txbxContent>
                </v:textbox>
              </v:rect>
            </w:pict>
          </mc:Fallback>
        </mc:AlternateContent>
      </w:r>
    </w:p>
    <w:p w:rsidR="00886EFA" w:rsidRPr="00F41C57" w:rsidRDefault="00146962">
      <w:pPr>
        <w:spacing w:line="360" w:lineRule="auto"/>
        <w:jc w:val="both"/>
        <w:rPr>
          <w:rFonts w:ascii="Palatino Linotype" w:eastAsia="Palatino Linotype" w:hAnsi="Palatino Linotype" w:cs="Palatino Linotype"/>
        </w:rPr>
      </w:pPr>
      <w:r w:rsidRPr="00F41C57">
        <w:rPr>
          <w:noProof/>
          <w:lang w:val="es-MX" w:eastAsia="es-MX"/>
        </w:rPr>
        <w:drawing>
          <wp:inline distT="0" distB="0" distL="0" distR="0">
            <wp:extent cx="5687650" cy="3226979"/>
            <wp:effectExtent l="0" t="0" r="0" b="0"/>
            <wp:docPr id="4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0"/>
                    <a:srcRect l="21310" t="18621" r="6798" b="13016"/>
                    <a:stretch>
                      <a:fillRect/>
                    </a:stretch>
                  </pic:blipFill>
                  <pic:spPr>
                    <a:xfrm>
                      <a:off x="0" y="0"/>
                      <a:ext cx="5687650" cy="3226979"/>
                    </a:xfrm>
                    <a:prstGeom prst="rect">
                      <a:avLst/>
                    </a:prstGeom>
                    <a:ln/>
                  </pic:spPr>
                </pic:pic>
              </a:graphicData>
            </a:graphic>
          </wp:inline>
        </w:drawing>
      </w:r>
      <w:r w:rsidRPr="00F41C57">
        <w:rPr>
          <w:noProof/>
          <w:lang w:val="es-MX" w:eastAsia="es-MX"/>
        </w:rPr>
        <mc:AlternateContent>
          <mc:Choice Requires="wps">
            <w:drawing>
              <wp:anchor distT="0" distB="0" distL="114300" distR="114300" simplePos="0" relativeHeight="251659264" behindDoc="0" locked="0" layoutInCell="1" hidden="0" allowOverlap="1">
                <wp:simplePos x="0" y="0"/>
                <wp:positionH relativeFrom="column">
                  <wp:posOffset>88901</wp:posOffset>
                </wp:positionH>
                <wp:positionV relativeFrom="paragraph">
                  <wp:posOffset>914400</wp:posOffset>
                </wp:positionV>
                <wp:extent cx="241439" cy="2225968"/>
                <wp:effectExtent l="0" t="0" r="0" b="0"/>
                <wp:wrapNone/>
                <wp:docPr id="35" name="Rectángulo 35"/>
                <wp:cNvGraphicFramePr/>
                <a:graphic xmlns:a="http://schemas.openxmlformats.org/drawingml/2006/main">
                  <a:graphicData uri="http://schemas.microsoft.com/office/word/2010/wordprocessingShape">
                    <wps:wsp>
                      <wps:cNvSpPr/>
                      <wps:spPr>
                        <a:xfrm>
                          <a:off x="5237981" y="2679716"/>
                          <a:ext cx="216039" cy="2200568"/>
                        </a:xfrm>
                        <a:prstGeom prst="rect">
                          <a:avLst/>
                        </a:prstGeom>
                        <a:noFill/>
                        <a:ln w="25400" cap="flat" cmpd="sng">
                          <a:solidFill>
                            <a:srgbClr val="42719B"/>
                          </a:solidFill>
                          <a:prstDash val="solid"/>
                          <a:miter lim="800000"/>
                          <a:headEnd type="none" w="sm" len="sm"/>
                          <a:tailEnd type="none" w="sm" len="sm"/>
                        </a:ln>
                      </wps:spPr>
                      <wps:txbx>
                        <w:txbxContent>
                          <w:p w:rsidR="009671AF" w:rsidRDefault="009671AF">
                            <w:pPr>
                              <w:textDirection w:val="btLr"/>
                            </w:pPr>
                          </w:p>
                        </w:txbxContent>
                      </wps:txbx>
                      <wps:bodyPr spcFirstLastPara="1" wrap="square" lIns="91425" tIns="91425" rIns="91425" bIns="91425" anchor="ctr" anchorCtr="0">
                        <a:noAutofit/>
                      </wps:bodyPr>
                    </wps:wsp>
                  </a:graphicData>
                </a:graphic>
              </wp:anchor>
            </w:drawing>
          </mc:Choice>
          <mc:Fallback>
            <w:pict>
              <v:rect id="Rectángulo 35" o:spid="_x0000_s1027" style="position:absolute;left:0;text-align:left;margin-left:7pt;margin-top:1in;width:19pt;height:175.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" filled="f" strokecolor="#42719b" strokeweight="2pt">
                <v:stroke startarrowwidth="narrow" startarrowlength="short" endarrowwidth="narrow" endarrowlength="short"/>
                <v:textbox inset="2.53958mm,2.53958mm,2.53958mm,2.53958mm">
                  <w:txbxContent>
                    <w:p w:rsidR="009671AF" w:rsidRDefault="009671AF">
                      <w:pPr>
                        <w:textDirection w:val="btLr"/>
                      </w:pPr>
                    </w:p>
                  </w:txbxContent>
                </v:textbox>
              </v:rect>
            </w:pict>
          </mc:Fallback>
        </mc:AlternateContent>
      </w:r>
    </w:p>
    <w:p w:rsidR="00886EFA" w:rsidRPr="00F41C57" w:rsidRDefault="00886EFA">
      <w:pPr>
        <w:spacing w:after="240" w:line="360" w:lineRule="auto"/>
        <w:ind w:right="51"/>
        <w:jc w:val="both"/>
        <w:rPr>
          <w:rFonts w:ascii="Palatino Linotype" w:eastAsia="Palatino Linotype" w:hAnsi="Palatino Linotype" w:cs="Palatino Linotype"/>
          <w:color w:val="000000"/>
        </w:rPr>
      </w:pPr>
    </w:p>
    <w:p w:rsidR="00886EFA" w:rsidRPr="00F41C57" w:rsidRDefault="00146962">
      <w:pPr>
        <w:spacing w:before="240" w:after="240" w:line="360" w:lineRule="auto"/>
        <w:ind w:right="51"/>
        <w:jc w:val="both"/>
        <w:rPr>
          <w:rFonts w:ascii="Palatino Linotype" w:eastAsia="Palatino Linotype" w:hAnsi="Palatino Linotype" w:cs="Palatino Linotype"/>
          <w:color w:val="000000"/>
        </w:rPr>
      </w:pPr>
      <w:r w:rsidRPr="00F41C57">
        <w:rPr>
          <w:rFonts w:ascii="Palatino Linotype" w:eastAsia="Palatino Linotype" w:hAnsi="Palatino Linotype" w:cs="Palatino Linotype"/>
          <w:color w:val="000000"/>
        </w:rPr>
        <w:lastRenderedPageBreak/>
        <w:t>Partida 9000, que en términos del Manual para la Planeación, Programación y Presupuesto de Egresos Municipal para el Ejercicio Fiscal 2023, corresponde efectivamente a la deuda pública, como se establece a continuación:</w:t>
      </w:r>
    </w:p>
    <w:p w:rsidR="00886EFA" w:rsidRPr="00F41C57" w:rsidRDefault="00146962">
      <w:pPr>
        <w:tabs>
          <w:tab w:val="left" w:pos="709"/>
        </w:tabs>
        <w:ind w:left="851" w:right="851"/>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i/>
          <w:sz w:val="22"/>
          <w:szCs w:val="22"/>
        </w:rPr>
        <w:t>“9000 DEUDA PÚBLICA. Asignaciones destinadas a cubrir obligaciones por concepto de deuda pública interna y externa derivada de la contratación de empréstitos; incluye la amortización, los intereses, gastos y comisiones de la deuda pública, así como las erogaciones relacionadas con la emisión y/o contratación de deuda. Asimismo, incluye los adeudos de ejercicios fiscales anteriores (ADEFAS)</w:t>
      </w:r>
    </w:p>
    <w:p w:rsidR="00886EFA" w:rsidRPr="00F41C57" w:rsidRDefault="00146962">
      <w:pPr>
        <w:tabs>
          <w:tab w:val="left" w:pos="709"/>
        </w:tabs>
        <w:ind w:left="851" w:right="851"/>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i/>
          <w:sz w:val="22"/>
          <w:szCs w:val="22"/>
        </w:rPr>
        <w:t>…</w:t>
      </w:r>
    </w:p>
    <w:p w:rsidR="00886EFA" w:rsidRPr="00F41C57" w:rsidRDefault="00886EFA">
      <w:pPr>
        <w:tabs>
          <w:tab w:val="left" w:pos="709"/>
        </w:tabs>
        <w:ind w:left="851" w:right="851"/>
        <w:jc w:val="both"/>
      </w:pPr>
    </w:p>
    <w:p w:rsidR="00886EFA" w:rsidRPr="00F41C57" w:rsidRDefault="00146962">
      <w:pPr>
        <w:tabs>
          <w:tab w:val="left" w:pos="709"/>
        </w:tabs>
        <w:ind w:left="851" w:right="851"/>
        <w:jc w:val="both"/>
        <w:rPr>
          <w:rFonts w:ascii="Palatino Linotype" w:eastAsia="Palatino Linotype" w:hAnsi="Palatino Linotype" w:cs="Palatino Linotype"/>
          <w:i/>
          <w:sz w:val="22"/>
          <w:szCs w:val="22"/>
        </w:rPr>
      </w:pPr>
      <w:r w:rsidRPr="00F41C57">
        <w:rPr>
          <w:noProof/>
          <w:lang w:val="es-MX" w:eastAsia="es-MX"/>
        </w:rPr>
        <w:drawing>
          <wp:inline distT="0" distB="0" distL="0" distR="0">
            <wp:extent cx="4523857" cy="4705652"/>
            <wp:effectExtent l="0" t="0" r="0" b="0"/>
            <wp:docPr id="4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1"/>
                    <a:srcRect l="40206" t="15757" r="25325" b="18160"/>
                    <a:stretch>
                      <a:fillRect/>
                    </a:stretch>
                  </pic:blipFill>
                  <pic:spPr>
                    <a:xfrm>
                      <a:off x="0" y="0"/>
                      <a:ext cx="4523857" cy="4705652"/>
                    </a:xfrm>
                    <a:prstGeom prst="rect">
                      <a:avLst/>
                    </a:prstGeom>
                    <a:ln/>
                  </pic:spPr>
                </pic:pic>
              </a:graphicData>
            </a:graphic>
          </wp:inline>
        </w:drawing>
      </w:r>
    </w:p>
    <w:p w:rsidR="00886EFA" w:rsidRPr="00F41C57" w:rsidRDefault="00146962">
      <w:pPr>
        <w:spacing w:before="240" w:after="240" w:line="360" w:lineRule="auto"/>
        <w:ind w:left="851" w:right="51"/>
        <w:jc w:val="both"/>
        <w:rPr>
          <w:rFonts w:ascii="Palatino Linotype" w:eastAsia="Palatino Linotype" w:hAnsi="Palatino Linotype" w:cs="Palatino Linotype"/>
          <w:color w:val="000000"/>
        </w:rPr>
      </w:pPr>
      <w:r w:rsidRPr="00F41C57">
        <w:rPr>
          <w:noProof/>
          <w:lang w:val="es-MX" w:eastAsia="es-MX"/>
        </w:rPr>
        <w:lastRenderedPageBreak/>
        <w:drawing>
          <wp:inline distT="0" distB="0" distL="0" distR="0">
            <wp:extent cx="4636770" cy="3366198"/>
            <wp:effectExtent l="0" t="0" r="0" b="0"/>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2"/>
                    <a:srcRect l="41905" t="17190" r="27118" b="12434"/>
                    <a:stretch>
                      <a:fillRect/>
                    </a:stretch>
                  </pic:blipFill>
                  <pic:spPr>
                    <a:xfrm>
                      <a:off x="0" y="0"/>
                      <a:ext cx="4636770" cy="3366198"/>
                    </a:xfrm>
                    <a:prstGeom prst="rect">
                      <a:avLst/>
                    </a:prstGeom>
                    <a:ln/>
                  </pic:spPr>
                </pic:pic>
              </a:graphicData>
            </a:graphic>
          </wp:inline>
        </w:drawing>
      </w:r>
    </w:p>
    <w:p w:rsidR="00886EFA" w:rsidRPr="00F41C57" w:rsidRDefault="00146962">
      <w:pPr>
        <w:spacing w:before="240" w:after="240" w:line="360" w:lineRule="auto"/>
        <w:ind w:left="851" w:right="51"/>
        <w:jc w:val="both"/>
        <w:rPr>
          <w:rFonts w:ascii="Palatino Linotype" w:eastAsia="Palatino Linotype" w:hAnsi="Palatino Linotype" w:cs="Palatino Linotype"/>
          <w:color w:val="000000"/>
        </w:rPr>
      </w:pPr>
      <w:r w:rsidRPr="00F41C57">
        <w:rPr>
          <w:noProof/>
          <w:lang w:val="es-MX" w:eastAsia="es-MX"/>
        </w:rPr>
        <w:lastRenderedPageBreak/>
        <w:drawing>
          <wp:inline distT="0" distB="0" distL="0" distR="0">
            <wp:extent cx="4702245" cy="3628771"/>
            <wp:effectExtent l="0" t="0" r="0" b="0"/>
            <wp:docPr id="4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3"/>
                    <a:srcRect l="41909" t="32152" r="27201" b="10199"/>
                    <a:stretch>
                      <a:fillRect/>
                    </a:stretch>
                  </pic:blipFill>
                  <pic:spPr>
                    <a:xfrm>
                      <a:off x="0" y="0"/>
                      <a:ext cx="4702245" cy="3628771"/>
                    </a:xfrm>
                    <a:prstGeom prst="rect">
                      <a:avLst/>
                    </a:prstGeom>
                    <a:ln/>
                  </pic:spPr>
                </pic:pic>
              </a:graphicData>
            </a:graphic>
          </wp:inline>
        </w:drawing>
      </w:r>
    </w:p>
    <w:p w:rsidR="00886EFA" w:rsidRPr="00F41C57" w:rsidRDefault="00146962">
      <w:pPr>
        <w:spacing w:before="240" w:after="240" w:line="360" w:lineRule="auto"/>
        <w:ind w:right="51"/>
        <w:jc w:val="both"/>
        <w:rPr>
          <w:rFonts w:ascii="Palatino Linotype" w:eastAsia="Palatino Linotype" w:hAnsi="Palatino Linotype" w:cs="Palatino Linotype"/>
          <w:color w:val="000000"/>
        </w:rPr>
      </w:pPr>
      <w:r w:rsidRPr="00F41C57">
        <w:rPr>
          <w:rFonts w:ascii="Palatino Linotype" w:eastAsia="Palatino Linotype" w:hAnsi="Palatino Linotype" w:cs="Palatino Linotype"/>
          <w:color w:val="000000"/>
        </w:rPr>
        <w:t>Colmando con ello el derecho de acceso a la información pública del particular, en razón de que la Tesorería Municipal del Ayuntamiento de Atizapán de Zaragoza, es el área competente para conocer de la información en términos de lo señalado por el artículo 95 fracción IV, V, VI y VI Bis y 101 de la Ley Orgánica Municipal del Estado de México, que señala:</w:t>
      </w:r>
    </w:p>
    <w:p w:rsidR="00886EFA" w:rsidRPr="00F41C57" w:rsidRDefault="00146962">
      <w:pPr>
        <w:tabs>
          <w:tab w:val="left" w:pos="709"/>
        </w:tabs>
        <w:ind w:left="851" w:right="851"/>
        <w:jc w:val="both"/>
        <w:rPr>
          <w:rFonts w:ascii="Palatino Linotype" w:eastAsia="Palatino Linotype" w:hAnsi="Palatino Linotype" w:cs="Palatino Linotype"/>
          <w:b/>
          <w:i/>
          <w:sz w:val="22"/>
          <w:szCs w:val="22"/>
        </w:rPr>
      </w:pPr>
      <w:r w:rsidRPr="00F41C57">
        <w:rPr>
          <w:rFonts w:ascii="Palatino Linotype" w:eastAsia="Palatino Linotype" w:hAnsi="Palatino Linotype" w:cs="Palatino Linotype"/>
          <w:i/>
          <w:sz w:val="22"/>
          <w:szCs w:val="22"/>
        </w:rPr>
        <w:t xml:space="preserve">“Artículo 95.- </w:t>
      </w:r>
      <w:r w:rsidRPr="00F41C57">
        <w:rPr>
          <w:rFonts w:ascii="Palatino Linotype" w:eastAsia="Palatino Linotype" w:hAnsi="Palatino Linotype" w:cs="Palatino Linotype"/>
          <w:b/>
          <w:i/>
          <w:sz w:val="22"/>
          <w:szCs w:val="22"/>
        </w:rPr>
        <w:t>Son atribuciones del tesorero municipal:</w:t>
      </w:r>
    </w:p>
    <w:p w:rsidR="00886EFA" w:rsidRPr="00F41C57" w:rsidRDefault="00146962">
      <w:pPr>
        <w:tabs>
          <w:tab w:val="left" w:pos="709"/>
        </w:tabs>
        <w:ind w:left="851" w:right="851"/>
        <w:jc w:val="both"/>
        <w:rPr>
          <w:rFonts w:ascii="Palatino Linotype" w:eastAsia="Palatino Linotype" w:hAnsi="Palatino Linotype" w:cs="Palatino Linotype"/>
          <w:b/>
          <w:i/>
          <w:sz w:val="22"/>
          <w:szCs w:val="22"/>
        </w:rPr>
      </w:pPr>
      <w:r w:rsidRPr="00F41C57">
        <w:rPr>
          <w:rFonts w:ascii="Palatino Linotype" w:eastAsia="Palatino Linotype" w:hAnsi="Palatino Linotype" w:cs="Palatino Linotype"/>
          <w:b/>
          <w:i/>
          <w:sz w:val="22"/>
          <w:szCs w:val="22"/>
        </w:rPr>
        <w:t>…</w:t>
      </w:r>
    </w:p>
    <w:p w:rsidR="00886EFA" w:rsidRPr="00F41C57" w:rsidRDefault="00146962">
      <w:pPr>
        <w:tabs>
          <w:tab w:val="left" w:pos="709"/>
        </w:tabs>
        <w:ind w:left="851" w:right="851"/>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b/>
          <w:i/>
          <w:sz w:val="22"/>
          <w:szCs w:val="22"/>
        </w:rPr>
        <w:t>IV. Llevar los registros contables, financieros y administrativos</w:t>
      </w:r>
      <w:r w:rsidRPr="00F41C57">
        <w:rPr>
          <w:rFonts w:ascii="Palatino Linotype" w:eastAsia="Palatino Linotype" w:hAnsi="Palatino Linotype" w:cs="Palatino Linotype"/>
          <w:i/>
          <w:sz w:val="22"/>
          <w:szCs w:val="22"/>
        </w:rPr>
        <w:t xml:space="preserve"> </w:t>
      </w:r>
      <w:r w:rsidRPr="00F41C57">
        <w:rPr>
          <w:rFonts w:ascii="Palatino Linotype" w:eastAsia="Palatino Linotype" w:hAnsi="Palatino Linotype" w:cs="Palatino Linotype"/>
          <w:b/>
          <w:i/>
          <w:sz w:val="22"/>
          <w:szCs w:val="22"/>
        </w:rPr>
        <w:t>de los</w:t>
      </w:r>
      <w:r w:rsidRPr="00F41C57">
        <w:rPr>
          <w:rFonts w:ascii="Palatino Linotype" w:eastAsia="Palatino Linotype" w:hAnsi="Palatino Linotype" w:cs="Palatino Linotype"/>
          <w:i/>
          <w:sz w:val="22"/>
          <w:szCs w:val="22"/>
        </w:rPr>
        <w:t xml:space="preserve"> ingresos, </w:t>
      </w:r>
      <w:r w:rsidRPr="00F41C57">
        <w:rPr>
          <w:rFonts w:ascii="Palatino Linotype" w:eastAsia="Palatino Linotype" w:hAnsi="Palatino Linotype" w:cs="Palatino Linotype"/>
          <w:b/>
          <w:i/>
          <w:sz w:val="22"/>
          <w:szCs w:val="22"/>
        </w:rPr>
        <w:t>egresos</w:t>
      </w:r>
      <w:r w:rsidRPr="00F41C57">
        <w:rPr>
          <w:rFonts w:ascii="Palatino Linotype" w:eastAsia="Palatino Linotype" w:hAnsi="Palatino Linotype" w:cs="Palatino Linotype"/>
          <w:i/>
          <w:sz w:val="22"/>
          <w:szCs w:val="22"/>
        </w:rPr>
        <w:t>, e inventarios.</w:t>
      </w:r>
    </w:p>
    <w:p w:rsidR="00886EFA" w:rsidRPr="00F41C57" w:rsidRDefault="00146962">
      <w:pPr>
        <w:tabs>
          <w:tab w:val="left" w:pos="709"/>
        </w:tabs>
        <w:ind w:left="851" w:right="851"/>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i/>
          <w:sz w:val="22"/>
          <w:szCs w:val="22"/>
        </w:rPr>
        <w:t>V</w:t>
      </w:r>
      <w:r w:rsidRPr="00F41C57">
        <w:rPr>
          <w:rFonts w:ascii="Palatino Linotype" w:eastAsia="Palatino Linotype" w:hAnsi="Palatino Linotype" w:cs="Palatino Linotype"/>
          <w:b/>
          <w:i/>
          <w:sz w:val="22"/>
          <w:szCs w:val="22"/>
        </w:rPr>
        <w:t>. Proporcionar oportunamente al ayuntamiento todos los datos o informes que sean necesarios para la formulación del Presupuesto de Egresos Municipales</w:t>
      </w:r>
      <w:r w:rsidRPr="00F41C57">
        <w:rPr>
          <w:rFonts w:ascii="Palatino Linotype" w:eastAsia="Palatino Linotype" w:hAnsi="Palatino Linotype" w:cs="Palatino Linotype"/>
          <w:i/>
          <w:sz w:val="22"/>
          <w:szCs w:val="22"/>
        </w:rPr>
        <w:t xml:space="preserve">, vigilando que se ajuste a las disposiciones de esta Ley y otros ordenamientos aplicables; </w:t>
      </w:r>
    </w:p>
    <w:p w:rsidR="00886EFA" w:rsidRPr="00F41C57" w:rsidRDefault="00146962">
      <w:pPr>
        <w:tabs>
          <w:tab w:val="left" w:pos="709"/>
        </w:tabs>
        <w:ind w:left="851" w:right="851"/>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i/>
          <w:sz w:val="22"/>
          <w:szCs w:val="22"/>
        </w:rPr>
        <w:lastRenderedPageBreak/>
        <w:t xml:space="preserve">VI. Presentar anualmente al ayuntamiento un informe de la situación contable financiera de la Tesorería Municipal; </w:t>
      </w:r>
    </w:p>
    <w:p w:rsidR="00886EFA" w:rsidRPr="00F41C57" w:rsidRDefault="00146962">
      <w:pPr>
        <w:tabs>
          <w:tab w:val="left" w:pos="709"/>
        </w:tabs>
        <w:ind w:left="851" w:right="851"/>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b/>
          <w:i/>
          <w:sz w:val="22"/>
          <w:szCs w:val="22"/>
        </w:rPr>
        <w:t>VI Bis. Proporcionar para la formulación del proyecto de Presupuesto de Egresos</w:t>
      </w:r>
      <w:r w:rsidRPr="00F41C57">
        <w:rPr>
          <w:rFonts w:ascii="Palatino Linotype" w:eastAsia="Palatino Linotype" w:hAnsi="Palatino Linotype" w:cs="Palatino Linotype"/>
          <w:i/>
          <w:sz w:val="22"/>
          <w:szCs w:val="22"/>
        </w:rPr>
        <w:t xml:space="preserve"> Municipales la información financiera relativa a la solución o en su caso, el pago de los litigios laborales;</w:t>
      </w:r>
    </w:p>
    <w:p w:rsidR="00886EFA" w:rsidRPr="00F41C57" w:rsidRDefault="00146962">
      <w:pPr>
        <w:tabs>
          <w:tab w:val="left" w:pos="709"/>
        </w:tabs>
        <w:ind w:left="851" w:right="851"/>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i/>
          <w:sz w:val="22"/>
          <w:szCs w:val="22"/>
        </w:rPr>
        <w:t>…</w:t>
      </w:r>
    </w:p>
    <w:p w:rsidR="00886EFA" w:rsidRPr="00F41C57" w:rsidRDefault="00146962">
      <w:pPr>
        <w:tabs>
          <w:tab w:val="left" w:pos="709"/>
        </w:tabs>
        <w:ind w:left="851" w:right="851"/>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b/>
          <w:i/>
          <w:sz w:val="22"/>
          <w:szCs w:val="22"/>
        </w:rPr>
        <w:t>Artículo 101.- El proyecto del presupuesto de egresos se integrará básicamente con</w:t>
      </w:r>
      <w:r w:rsidRPr="00F41C57">
        <w:rPr>
          <w:rFonts w:ascii="Palatino Linotype" w:eastAsia="Palatino Linotype" w:hAnsi="Palatino Linotype" w:cs="Palatino Linotype"/>
          <w:i/>
          <w:sz w:val="22"/>
          <w:szCs w:val="22"/>
        </w:rPr>
        <w:t xml:space="preserve">: </w:t>
      </w:r>
    </w:p>
    <w:p w:rsidR="00886EFA" w:rsidRPr="00F41C57" w:rsidRDefault="00146962">
      <w:pPr>
        <w:tabs>
          <w:tab w:val="left" w:pos="709"/>
        </w:tabs>
        <w:ind w:left="851" w:right="851"/>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i/>
          <w:sz w:val="22"/>
          <w:szCs w:val="22"/>
        </w:rPr>
        <w:t xml:space="preserve">I. Los programas en que se señalen objetivos, metas y unidades responsables para su ejecución, así como la valuación estimada del programa; </w:t>
      </w:r>
    </w:p>
    <w:p w:rsidR="00886EFA" w:rsidRPr="00F41C57" w:rsidRDefault="00146962">
      <w:pPr>
        <w:tabs>
          <w:tab w:val="left" w:pos="709"/>
        </w:tabs>
        <w:ind w:left="851" w:right="851"/>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i/>
          <w:sz w:val="22"/>
          <w:szCs w:val="22"/>
        </w:rPr>
        <w:t xml:space="preserve">II. Estimación de los ingresos y gastos del ejercicio fiscal calendarizados; </w:t>
      </w:r>
    </w:p>
    <w:p w:rsidR="00886EFA" w:rsidRPr="00F41C57" w:rsidRDefault="00146962">
      <w:pPr>
        <w:tabs>
          <w:tab w:val="left" w:pos="709"/>
        </w:tabs>
        <w:ind w:left="851" w:right="851"/>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b/>
          <w:i/>
          <w:sz w:val="22"/>
          <w:szCs w:val="22"/>
        </w:rPr>
        <w:t>III. Situación de la deuda pública</w:t>
      </w:r>
      <w:r w:rsidRPr="00F41C57">
        <w:rPr>
          <w:rFonts w:ascii="Palatino Linotype" w:eastAsia="Palatino Linotype" w:hAnsi="Palatino Linotype" w:cs="Palatino Linotype"/>
          <w:i/>
          <w:sz w:val="22"/>
          <w:szCs w:val="22"/>
        </w:rPr>
        <w:t xml:space="preserve">, incluyendo el contingente económico de los litigios laborales en los que el ayuntamiento forme parte. </w:t>
      </w:r>
    </w:p>
    <w:p w:rsidR="00886EFA" w:rsidRPr="00F41C57" w:rsidRDefault="00146962">
      <w:pPr>
        <w:tabs>
          <w:tab w:val="left" w:pos="709"/>
        </w:tabs>
        <w:ind w:left="851" w:right="851"/>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i/>
          <w:sz w:val="22"/>
          <w:szCs w:val="22"/>
        </w:rPr>
        <w:t>El proyecto de presupuesto de egresos deberá realizarse con base en los criterios de proporcionalidad y equidad, considerando las necesidades básicas de las localidades que integran al municipio.” (Sic)</w:t>
      </w:r>
    </w:p>
    <w:p w:rsidR="00886EFA" w:rsidRPr="00F41C57" w:rsidRDefault="00146962">
      <w:pPr>
        <w:spacing w:before="240" w:after="240"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t>Lo que se robustece con lo señalado por el artículo 11 fracción V, VII y VIII del Reglamento Interno de la Tesorería Municipal del H. Ayuntamiento de Atizapán de Zaragoza del Estado de México, que señalan:</w:t>
      </w:r>
    </w:p>
    <w:p w:rsidR="00886EFA" w:rsidRPr="00F41C57" w:rsidRDefault="00146962">
      <w:pPr>
        <w:tabs>
          <w:tab w:val="left" w:pos="709"/>
        </w:tabs>
        <w:ind w:left="851" w:right="851"/>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i/>
          <w:sz w:val="22"/>
          <w:szCs w:val="22"/>
        </w:rPr>
        <w:t>“Artículo 11.- Además de las establecidas en las disposiciones legales aplicables el Tesorero tendrá las siguientes atribuciones:</w:t>
      </w:r>
    </w:p>
    <w:p w:rsidR="00886EFA" w:rsidRPr="00F41C57" w:rsidRDefault="00146962">
      <w:pPr>
        <w:tabs>
          <w:tab w:val="left" w:pos="709"/>
        </w:tabs>
        <w:ind w:left="851" w:right="851"/>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i/>
          <w:sz w:val="22"/>
          <w:szCs w:val="22"/>
        </w:rPr>
        <w:t>…</w:t>
      </w:r>
    </w:p>
    <w:p w:rsidR="00886EFA" w:rsidRPr="00F41C57" w:rsidRDefault="00146962">
      <w:pPr>
        <w:tabs>
          <w:tab w:val="left" w:pos="709"/>
        </w:tabs>
        <w:ind w:left="851" w:right="851"/>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b/>
          <w:i/>
          <w:sz w:val="22"/>
          <w:szCs w:val="22"/>
        </w:rPr>
        <w:t>V. Formular los proyectos de Egresos</w:t>
      </w:r>
      <w:r w:rsidRPr="00F41C57">
        <w:rPr>
          <w:rFonts w:ascii="Palatino Linotype" w:eastAsia="Palatino Linotype" w:hAnsi="Palatino Linotype" w:cs="Palatino Linotype"/>
          <w:i/>
          <w:sz w:val="22"/>
          <w:szCs w:val="22"/>
        </w:rPr>
        <w:t xml:space="preserve"> y pronóstico de Ingresos para cada ejercicio fiscal, cumpliendo el principio de equilibrio presupuestario;</w:t>
      </w:r>
    </w:p>
    <w:p w:rsidR="00886EFA" w:rsidRPr="00F41C57" w:rsidRDefault="00146962">
      <w:pPr>
        <w:tabs>
          <w:tab w:val="left" w:pos="709"/>
        </w:tabs>
        <w:ind w:left="851" w:right="851"/>
        <w:jc w:val="both"/>
        <w:rPr>
          <w:rFonts w:ascii="Palatino Linotype" w:eastAsia="Palatino Linotype" w:hAnsi="Palatino Linotype" w:cs="Palatino Linotype"/>
          <w:b/>
          <w:i/>
          <w:sz w:val="22"/>
          <w:szCs w:val="22"/>
        </w:rPr>
      </w:pPr>
      <w:r w:rsidRPr="00F41C57">
        <w:rPr>
          <w:rFonts w:ascii="Palatino Linotype" w:eastAsia="Palatino Linotype" w:hAnsi="Palatino Linotype" w:cs="Palatino Linotype"/>
          <w:i/>
          <w:sz w:val="22"/>
          <w:szCs w:val="22"/>
        </w:rPr>
        <w:t xml:space="preserve">VII. Asesorar a las dependencias de la Administración Pública Municipal, en la </w:t>
      </w:r>
      <w:r w:rsidRPr="00F41C57">
        <w:rPr>
          <w:rFonts w:ascii="Palatino Linotype" w:eastAsia="Palatino Linotype" w:hAnsi="Palatino Linotype" w:cs="Palatino Linotype"/>
          <w:b/>
          <w:i/>
          <w:sz w:val="22"/>
          <w:szCs w:val="22"/>
        </w:rPr>
        <w:t xml:space="preserve">formulación y programación de su anteproyecto de presupuesto de egresos de cada ejercicio fiscal; </w:t>
      </w:r>
    </w:p>
    <w:p w:rsidR="00886EFA" w:rsidRPr="00F41C57" w:rsidRDefault="00146962">
      <w:pPr>
        <w:tabs>
          <w:tab w:val="left" w:pos="709"/>
        </w:tabs>
        <w:ind w:left="851" w:right="851"/>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b/>
          <w:i/>
          <w:sz w:val="22"/>
          <w:szCs w:val="22"/>
        </w:rPr>
        <w:t>VIII. Integrar, revisar y validar conjuntamente con la UIPPE, los anteproyectos de presupuesto con base a resultados de las dependencias municipales</w:t>
      </w:r>
      <w:r w:rsidRPr="00F41C57">
        <w:rPr>
          <w:rFonts w:ascii="Palatino Linotype" w:eastAsia="Palatino Linotype" w:hAnsi="Palatino Linotype" w:cs="Palatino Linotype"/>
          <w:i/>
          <w:sz w:val="22"/>
          <w:szCs w:val="22"/>
        </w:rPr>
        <w:t>;” (Sic)</w:t>
      </w:r>
    </w:p>
    <w:p w:rsidR="00886EFA" w:rsidRPr="00F41C57" w:rsidRDefault="00886EFA">
      <w:pPr>
        <w:spacing w:after="120" w:line="360" w:lineRule="auto"/>
        <w:jc w:val="both"/>
        <w:rPr>
          <w:rFonts w:ascii="Palatino Linotype" w:eastAsia="Palatino Linotype" w:hAnsi="Palatino Linotype" w:cs="Palatino Linotype"/>
        </w:rPr>
      </w:pPr>
    </w:p>
    <w:p w:rsidR="00886EFA" w:rsidRPr="00F41C57" w:rsidRDefault="00146962">
      <w:pPr>
        <w:spacing w:after="120"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lastRenderedPageBreak/>
        <w:t>Máxime, que este 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rsidR="00886EFA" w:rsidRPr="00F41C57" w:rsidRDefault="00146962">
      <w:pPr>
        <w:spacing w:before="120" w:after="120"/>
        <w:ind w:left="851" w:right="851"/>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i/>
          <w:sz w:val="22"/>
          <w:szCs w:val="22"/>
        </w:rPr>
        <w:t>“</w:t>
      </w:r>
      <w:r w:rsidRPr="00F41C57">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F41C57">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respecto.”(Sic)</w:t>
      </w:r>
    </w:p>
    <w:p w:rsidR="00886EFA" w:rsidRPr="00F41C57" w:rsidRDefault="00146962">
      <w:pPr>
        <w:spacing w:after="240"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t xml:space="preserve">De lo anterior, este Órgano </w:t>
      </w:r>
      <w:proofErr w:type="spellStart"/>
      <w:r w:rsidRPr="00F41C57">
        <w:rPr>
          <w:rFonts w:ascii="Palatino Linotype" w:eastAsia="Palatino Linotype" w:hAnsi="Palatino Linotype" w:cs="Palatino Linotype"/>
        </w:rPr>
        <w:t>Resolutor</w:t>
      </w:r>
      <w:proofErr w:type="spellEnd"/>
      <w:r w:rsidRPr="00F41C57">
        <w:rPr>
          <w:rFonts w:ascii="Palatino Linotype" w:eastAsia="Palatino Linotype" w:hAnsi="Palatino Linotype" w:cs="Palatino Linotype"/>
        </w:rPr>
        <w:t xml:space="preserve">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886EFA" w:rsidRPr="00F41C57" w:rsidRDefault="00146962">
      <w:pPr>
        <w:spacing w:line="360" w:lineRule="auto"/>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color w:val="000000"/>
        </w:rPr>
        <w:t>Con base en lo precedente</w:t>
      </w:r>
      <w:r w:rsidRPr="00F41C57">
        <w:rPr>
          <w:rFonts w:ascii="Palatino Linotype" w:eastAsia="Palatino Linotype" w:hAnsi="Palatino Linotype" w:cs="Palatino Linotype"/>
        </w:rPr>
        <w:t xml:space="preserve">, se determina que la información proporcionada por el </w:t>
      </w:r>
      <w:r w:rsidRPr="00F41C57">
        <w:rPr>
          <w:rFonts w:ascii="Palatino Linotype" w:eastAsia="Palatino Linotype" w:hAnsi="Palatino Linotype" w:cs="Palatino Linotype"/>
          <w:b/>
        </w:rPr>
        <w:t>SUJETO OBLIGADO</w:t>
      </w:r>
      <w:r w:rsidRPr="00F41C57">
        <w:rPr>
          <w:rFonts w:ascii="Palatino Linotype" w:eastAsia="Palatino Linotype" w:hAnsi="Palatino Linotype" w:cs="Palatino Linotype"/>
        </w:rPr>
        <w:t xml:space="preserve"> en su respuesta, cumple con lo establecido por los artículos </w:t>
      </w:r>
      <w:r w:rsidRPr="00F41C57">
        <w:rPr>
          <w:rFonts w:ascii="Palatino Linotype" w:eastAsia="Palatino Linotype" w:hAnsi="Palatino Linotype" w:cs="Palatino Linotype"/>
        </w:rPr>
        <w:lastRenderedPageBreak/>
        <w:t xml:space="preserve">4, 12 y 24 último párrafo de la Ley de Transparencia y Acceso a la Información Pública del Estado de México y Municipios; por ello, los motivos de inconformidad acontecen infundados para modificar o revocar la respuesta del </w:t>
      </w:r>
      <w:r w:rsidRPr="00F41C57">
        <w:rPr>
          <w:rFonts w:ascii="Palatino Linotype" w:eastAsia="Palatino Linotype" w:hAnsi="Palatino Linotype" w:cs="Palatino Linotype"/>
          <w:b/>
        </w:rPr>
        <w:t>SUJETO OBLIGADO</w:t>
      </w:r>
      <w:r w:rsidRPr="00F41C57">
        <w:rPr>
          <w:rFonts w:ascii="Palatino Linotype" w:eastAsia="Palatino Linotype" w:hAnsi="Palatino Linotype" w:cs="Palatino Linotype"/>
        </w:rPr>
        <w:t xml:space="preserve">. </w:t>
      </w:r>
    </w:p>
    <w:p w:rsidR="00886EFA" w:rsidRPr="00F41C57" w:rsidRDefault="00146962">
      <w:pPr>
        <w:spacing w:before="240" w:after="240" w:line="360" w:lineRule="auto"/>
        <w:ind w:right="51"/>
        <w:jc w:val="both"/>
        <w:rPr>
          <w:rFonts w:ascii="Palatino Linotype" w:eastAsia="Palatino Linotype" w:hAnsi="Palatino Linotype" w:cs="Palatino Linotype"/>
        </w:rPr>
      </w:pPr>
      <w:r w:rsidRPr="00F41C57">
        <w:rPr>
          <w:rFonts w:ascii="Palatino Linotype" w:eastAsia="Palatino Linotype" w:hAnsi="Palatino Linotype" w:cs="Palatino Linotype"/>
        </w:rPr>
        <w:t xml:space="preserve">En consecuencia de todo lo anterior, y una vez analizada las constancias que integran el expediente en que se actúa, lo </w:t>
      </w:r>
      <w:r w:rsidRPr="00F41C57">
        <w:rPr>
          <w:rFonts w:ascii="Palatino Linotype" w:eastAsia="Palatino Linotype" w:hAnsi="Palatino Linotype" w:cs="Palatino Linotype"/>
          <w:b/>
        </w:rPr>
        <w:t>PROCEDENTE</w:t>
      </w:r>
      <w:r w:rsidRPr="00F41C57">
        <w:rPr>
          <w:rFonts w:ascii="Palatino Linotype" w:eastAsia="Palatino Linotype" w:hAnsi="Palatino Linotype" w:cs="Palatino Linotype"/>
        </w:rPr>
        <w:t xml:space="preserve"> es </w:t>
      </w:r>
      <w:r w:rsidRPr="00F41C57">
        <w:rPr>
          <w:rFonts w:ascii="Palatino Linotype" w:eastAsia="Palatino Linotype" w:hAnsi="Palatino Linotype" w:cs="Palatino Linotype"/>
          <w:b/>
        </w:rPr>
        <w:t>CONFIRMAR</w:t>
      </w:r>
      <w:r w:rsidRPr="00F41C57">
        <w:rPr>
          <w:rFonts w:ascii="Palatino Linotype" w:eastAsia="Palatino Linotype" w:hAnsi="Palatino Linotype" w:cs="Palatino Linotype"/>
        </w:rPr>
        <w:t xml:space="preserve"> la respuesta del </w:t>
      </w:r>
      <w:r w:rsidRPr="00F41C57">
        <w:rPr>
          <w:rFonts w:ascii="Palatino Linotype" w:eastAsia="Palatino Linotype" w:hAnsi="Palatino Linotype" w:cs="Palatino Linotype"/>
          <w:b/>
        </w:rPr>
        <w:t xml:space="preserve">SUJETO OBLIGADO, </w:t>
      </w:r>
      <w:r w:rsidRPr="00F41C57">
        <w:rPr>
          <w:rFonts w:ascii="Palatino Linotype" w:eastAsia="Palatino Linotype" w:hAnsi="Palatino Linotype" w:cs="Palatino Linotype"/>
        </w:rPr>
        <w:t xml:space="preserve">otorgada a la solicitud número </w:t>
      </w:r>
      <w:r w:rsidRPr="00F41C57">
        <w:rPr>
          <w:rFonts w:ascii="Palatino Linotype" w:eastAsia="Palatino Linotype" w:hAnsi="Palatino Linotype" w:cs="Palatino Linotype"/>
          <w:b/>
        </w:rPr>
        <w:t>00191/ATIZARA/IP/2023</w:t>
      </w:r>
      <w:r w:rsidRPr="00F41C57">
        <w:rPr>
          <w:rFonts w:ascii="Palatino Linotype" w:eastAsia="Palatino Linotype" w:hAnsi="Palatino Linotype" w:cs="Palatino Linotype"/>
        </w:rPr>
        <w:t>.</w:t>
      </w:r>
    </w:p>
    <w:p w:rsidR="00886EFA" w:rsidRPr="00F41C57" w:rsidRDefault="00146962">
      <w:pPr>
        <w:widowControl w:val="0"/>
        <w:spacing w:before="240" w:line="360" w:lineRule="auto"/>
        <w:jc w:val="both"/>
        <w:rPr>
          <w:rFonts w:ascii="Palatino Linotype" w:eastAsia="Palatino Linotype" w:hAnsi="Palatino Linotype" w:cs="Palatino Linotype"/>
          <w:b/>
          <w:u w:val="single"/>
        </w:rPr>
      </w:pPr>
      <w:r w:rsidRPr="00F41C57">
        <w:rPr>
          <w:rFonts w:ascii="Palatino Linotype" w:eastAsia="Palatino Linotype" w:hAnsi="Palatino Linotype" w:cs="Palatino Linotype"/>
          <w:b/>
          <w:u w:val="single"/>
        </w:rPr>
        <w:t>Recurso de revisión 02275/INFOEM/IP/RR/2023:</w:t>
      </w:r>
    </w:p>
    <w:p w:rsidR="00886EFA" w:rsidRPr="00F41C57" w:rsidRDefault="00886EFA">
      <w:pPr>
        <w:widowControl w:val="0"/>
        <w:spacing w:line="360" w:lineRule="auto"/>
        <w:jc w:val="both"/>
        <w:rPr>
          <w:rFonts w:ascii="Palatino Linotype" w:eastAsia="Palatino Linotype" w:hAnsi="Palatino Linotype" w:cs="Palatino Linotype"/>
        </w:rPr>
      </w:pPr>
    </w:p>
    <w:p w:rsidR="00886EFA" w:rsidRPr="00F41C57" w:rsidRDefault="00146962">
      <w:pPr>
        <w:widowControl w:val="0"/>
        <w:spacing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t xml:space="preserve">En el presenten asunto la parte </w:t>
      </w:r>
      <w:r w:rsidRPr="00F41C57">
        <w:rPr>
          <w:rFonts w:ascii="Palatino Linotype" w:eastAsia="Palatino Linotype" w:hAnsi="Palatino Linotype" w:cs="Palatino Linotype"/>
          <w:b/>
        </w:rPr>
        <w:t>RECURRENTE</w:t>
      </w:r>
      <w:r w:rsidRPr="00F41C57">
        <w:rPr>
          <w:rFonts w:ascii="Palatino Linotype" w:eastAsia="Palatino Linotype" w:hAnsi="Palatino Linotype" w:cs="Palatino Linotype"/>
        </w:rPr>
        <w:t xml:space="preserve">, en la solicitud número </w:t>
      </w:r>
      <w:r w:rsidRPr="00F41C57">
        <w:rPr>
          <w:rFonts w:ascii="Palatino Linotype" w:eastAsia="Palatino Linotype" w:hAnsi="Palatino Linotype" w:cs="Palatino Linotype"/>
          <w:b/>
        </w:rPr>
        <w:t>00190/ATIZARA/IP/2023</w:t>
      </w:r>
      <w:r w:rsidRPr="00F41C57">
        <w:rPr>
          <w:rFonts w:ascii="Palatino Linotype" w:eastAsia="Palatino Linotype" w:hAnsi="Palatino Linotype" w:cs="Palatino Linotype"/>
        </w:rPr>
        <w:t>, requirió lo siguiente:</w:t>
      </w:r>
    </w:p>
    <w:p w:rsidR="00886EFA" w:rsidRPr="00F41C57" w:rsidRDefault="00886EFA">
      <w:pPr>
        <w:widowControl w:val="0"/>
        <w:spacing w:line="360" w:lineRule="auto"/>
        <w:jc w:val="both"/>
        <w:rPr>
          <w:rFonts w:ascii="Palatino Linotype" w:eastAsia="Palatino Linotype" w:hAnsi="Palatino Linotype" w:cs="Palatino Linotype"/>
        </w:rPr>
      </w:pPr>
    </w:p>
    <w:p w:rsidR="00886EFA" w:rsidRPr="00F41C57" w:rsidRDefault="00146962">
      <w:pPr>
        <w:widowControl w:val="0"/>
        <w:spacing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t>“Solicito los pasivos adquiridos en el ejercicio 2022 y 2023” (Sic)</w:t>
      </w:r>
    </w:p>
    <w:p w:rsidR="00886EFA" w:rsidRPr="00F41C57" w:rsidRDefault="00886EFA">
      <w:pPr>
        <w:widowControl w:val="0"/>
        <w:spacing w:line="360" w:lineRule="auto"/>
        <w:jc w:val="both"/>
        <w:rPr>
          <w:rFonts w:ascii="Palatino Linotype" w:eastAsia="Palatino Linotype" w:hAnsi="Palatino Linotype" w:cs="Palatino Linotype"/>
        </w:rPr>
      </w:pPr>
    </w:p>
    <w:p w:rsidR="00886EFA" w:rsidRPr="00F41C57" w:rsidRDefault="00146962">
      <w:pPr>
        <w:widowControl w:val="0"/>
        <w:spacing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t>Antes de entrar al análisis de fondo del presente asunto, es necesario establecer la naturaleza de la información solicitada, comenzando que se entiende por “pasivos”, el cual es definido por el Diccionario de la Real Academia Española, como:</w:t>
      </w:r>
    </w:p>
    <w:p w:rsidR="00886EFA" w:rsidRPr="00F41C57" w:rsidRDefault="00886EFA">
      <w:pPr>
        <w:spacing w:line="360" w:lineRule="auto"/>
        <w:jc w:val="both"/>
        <w:rPr>
          <w:rFonts w:ascii="Palatino Linotype" w:eastAsia="Palatino Linotype" w:hAnsi="Palatino Linotype" w:cs="Palatino Linotype"/>
        </w:rPr>
      </w:pPr>
    </w:p>
    <w:p w:rsidR="00886EFA" w:rsidRPr="00F41C57" w:rsidRDefault="00146962">
      <w:pPr>
        <w:ind w:left="851" w:right="899"/>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i/>
          <w:sz w:val="22"/>
          <w:szCs w:val="22"/>
        </w:rPr>
        <w:t>“Valor monetario total de las deudas y compromisos que gravan a una empresa, institución o individuo, y que se reflejan en su contabilidad.” (Sic)</w:t>
      </w:r>
    </w:p>
    <w:p w:rsidR="00886EFA" w:rsidRPr="00F41C57" w:rsidRDefault="00146962">
      <w:pPr>
        <w:spacing w:before="240" w:after="240" w:line="360" w:lineRule="auto"/>
        <w:ind w:right="51"/>
        <w:jc w:val="both"/>
        <w:rPr>
          <w:rFonts w:ascii="Palatino Linotype" w:eastAsia="Palatino Linotype" w:hAnsi="Palatino Linotype" w:cs="Palatino Linotype"/>
        </w:rPr>
      </w:pPr>
      <w:r w:rsidRPr="00F41C57">
        <w:rPr>
          <w:rFonts w:ascii="Palatino Linotype" w:eastAsia="Palatino Linotype" w:hAnsi="Palatino Linotype" w:cs="Palatino Linotype"/>
        </w:rPr>
        <w:lastRenderedPageBreak/>
        <w:t>Esto es, la cantidad de dinero que se le debe a una persona física o jurídica colectiva por la prestación o venta de un servicio o bienes.</w:t>
      </w:r>
    </w:p>
    <w:p w:rsidR="00886EFA" w:rsidRPr="00F41C57" w:rsidRDefault="00146962">
      <w:pPr>
        <w:spacing w:before="240" w:after="240" w:line="360" w:lineRule="auto"/>
        <w:ind w:right="51"/>
        <w:jc w:val="both"/>
        <w:rPr>
          <w:rFonts w:ascii="Palatino Linotype" w:eastAsia="Palatino Linotype" w:hAnsi="Palatino Linotype" w:cs="Palatino Linotype"/>
        </w:rPr>
      </w:pPr>
      <w:bookmarkStart w:id="1" w:name="_heading=h.1fob9te" w:colFirst="0" w:colLast="0"/>
      <w:bookmarkEnd w:id="1"/>
      <w:r w:rsidRPr="00F41C57">
        <w:rPr>
          <w:rFonts w:ascii="Palatino Linotype" w:eastAsia="Palatino Linotype" w:hAnsi="Palatino Linotype" w:cs="Palatino Linotype"/>
        </w:rPr>
        <w:t>En ese sentido, sobre la deuda pública, es necesario señalar que artículo 117 fracción VIII de la Constitución Política de los Estados Unidos Mexicanos, establece que las obligaciones de deuda pública estarán destinadas al financiamiento de inversiones públicas productivas; a la prestación de servicios públicos que en forma directa o mediata generen recursos públicos, incluyendo sin limitar, la contratación de obligaciones de deuda para el pago de pasivos anteriores o la reestructuración de pasivos a cargo de los Municipios, por lo que no debe pasar desapercibido que el Código Financiero del Estado de México y Municipios establece que la deuda pública está constituida por las obligaciones de pasivo directas, indirectas o contingentes, derivadas de financiamientos a cargo de los entes públicos, sobre el particular es conveniente agregar que el artículo 259 fracción III del Código Financiero vigente en la entidad refiere lo siguiente:</w:t>
      </w:r>
    </w:p>
    <w:p w:rsidR="00886EFA" w:rsidRPr="00F41C57" w:rsidRDefault="00146962">
      <w:pPr>
        <w:tabs>
          <w:tab w:val="left" w:pos="709"/>
        </w:tabs>
        <w:ind w:left="851" w:right="851"/>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b/>
          <w:i/>
          <w:sz w:val="22"/>
          <w:szCs w:val="22"/>
        </w:rPr>
        <w:t>“Artículo 259.-</w:t>
      </w:r>
      <w:r w:rsidRPr="00F41C57">
        <w:rPr>
          <w:rFonts w:ascii="Palatino Linotype" w:eastAsia="Palatino Linotype" w:hAnsi="Palatino Linotype" w:cs="Palatino Linotype"/>
          <w:i/>
          <w:sz w:val="22"/>
          <w:szCs w:val="22"/>
        </w:rPr>
        <w:t xml:space="preserve"> La </w:t>
      </w:r>
      <w:r w:rsidRPr="00F41C57">
        <w:rPr>
          <w:rFonts w:ascii="Palatino Linotype" w:eastAsia="Palatino Linotype" w:hAnsi="Palatino Linotype" w:cs="Palatino Linotype"/>
          <w:b/>
          <w:i/>
          <w:sz w:val="22"/>
          <w:szCs w:val="22"/>
          <w:u w:val="single"/>
        </w:rPr>
        <w:t>deuda pública se integra</w:t>
      </w:r>
      <w:r w:rsidRPr="00F41C57">
        <w:rPr>
          <w:rFonts w:ascii="Palatino Linotype" w:eastAsia="Palatino Linotype" w:hAnsi="Palatino Linotype" w:cs="Palatino Linotype"/>
          <w:i/>
          <w:sz w:val="22"/>
          <w:szCs w:val="22"/>
        </w:rPr>
        <w:t xml:space="preserve"> por: </w:t>
      </w:r>
    </w:p>
    <w:p w:rsidR="00886EFA" w:rsidRPr="00F41C57" w:rsidRDefault="00146962">
      <w:pPr>
        <w:tabs>
          <w:tab w:val="left" w:pos="709"/>
        </w:tabs>
        <w:ind w:left="851" w:right="851"/>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b/>
          <w:i/>
          <w:sz w:val="22"/>
          <w:szCs w:val="22"/>
        </w:rPr>
        <w:t>…</w:t>
      </w:r>
    </w:p>
    <w:p w:rsidR="00886EFA" w:rsidRPr="00F41C57" w:rsidRDefault="00146962">
      <w:pPr>
        <w:tabs>
          <w:tab w:val="left" w:pos="709"/>
        </w:tabs>
        <w:ind w:left="851" w:right="851"/>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i/>
          <w:sz w:val="22"/>
          <w:szCs w:val="22"/>
        </w:rPr>
        <w:t xml:space="preserve">II. La deuda pública de los municipios: </w:t>
      </w:r>
    </w:p>
    <w:p w:rsidR="00886EFA" w:rsidRPr="00F41C57" w:rsidRDefault="00146962">
      <w:pPr>
        <w:tabs>
          <w:tab w:val="left" w:pos="709"/>
        </w:tabs>
        <w:ind w:left="851" w:right="851"/>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i/>
          <w:sz w:val="22"/>
          <w:szCs w:val="22"/>
        </w:rPr>
        <w:t xml:space="preserve">A). Directa, la que contraten los ayuntamientos. </w:t>
      </w:r>
    </w:p>
    <w:p w:rsidR="00886EFA" w:rsidRPr="00F41C57" w:rsidRDefault="00146962">
      <w:pPr>
        <w:tabs>
          <w:tab w:val="left" w:pos="709"/>
        </w:tabs>
        <w:ind w:left="851" w:right="851"/>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i/>
          <w:sz w:val="22"/>
          <w:szCs w:val="22"/>
        </w:rPr>
        <w:t xml:space="preserve">B). Indirecta, la que contraten los organismos públicos descentralizados municipales, empresas de participación municipal mayoritaria y fideicomisos en los que el fideicomitente sea el propio ayuntamiento. </w:t>
      </w:r>
    </w:p>
    <w:p w:rsidR="00886EFA" w:rsidRPr="00F41C57" w:rsidRDefault="00146962">
      <w:pPr>
        <w:tabs>
          <w:tab w:val="left" w:pos="709"/>
        </w:tabs>
        <w:ind w:left="851" w:right="851"/>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i/>
          <w:sz w:val="22"/>
          <w:szCs w:val="22"/>
        </w:rPr>
        <w:t>C). Contingente, cualquier financiamiento sin fuente o garantía de pago definida, que sea asumida de manera solidaria o subsidiaria por los municipios con sus respectivos organismos descentralizados y empresas de participación municipal mayoritaria.” (Sic)</w:t>
      </w:r>
    </w:p>
    <w:p w:rsidR="00886EFA" w:rsidRPr="00F41C57" w:rsidRDefault="00146962">
      <w:pPr>
        <w:tabs>
          <w:tab w:val="left" w:pos="709"/>
        </w:tabs>
        <w:spacing w:before="240" w:after="240"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lastRenderedPageBreak/>
        <w:t>En este mismo sentido es conveniente agregar que el numeral 273 del cuerpo legal en comento entre otras cosas refiere que todas las obligaciones de pasivo directas, indirectas y contingentes que contraigan los entes públicos, entre ellos el Ayuntamiento de Atizapán de Zaragoza, es considerado como obligación de transparencia en términos de lo señalado por el artículo 92 fracción XXVI de la Ley de la Materia, que señala:</w:t>
      </w:r>
    </w:p>
    <w:p w:rsidR="00886EFA" w:rsidRPr="00F41C57" w:rsidRDefault="00146962">
      <w:pPr>
        <w:tabs>
          <w:tab w:val="left" w:pos="709"/>
        </w:tabs>
        <w:ind w:left="851" w:right="851"/>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886EFA" w:rsidRPr="00F41C57" w:rsidRDefault="00146962">
      <w:pPr>
        <w:tabs>
          <w:tab w:val="left" w:pos="709"/>
        </w:tabs>
        <w:ind w:left="851" w:right="851"/>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i/>
          <w:sz w:val="22"/>
          <w:szCs w:val="22"/>
        </w:rPr>
        <w:t>…</w:t>
      </w:r>
    </w:p>
    <w:p w:rsidR="00886EFA" w:rsidRPr="00F41C57" w:rsidRDefault="00146962">
      <w:pPr>
        <w:tabs>
          <w:tab w:val="left" w:pos="709"/>
        </w:tabs>
        <w:ind w:left="851" w:right="851"/>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i/>
          <w:sz w:val="22"/>
          <w:szCs w:val="22"/>
        </w:rPr>
        <w:t>XXVI. La información relativa a la deuda pública, en términos de las disposiciones jurídicas aplicables…” (Sic)</w:t>
      </w:r>
    </w:p>
    <w:p w:rsidR="00886EFA" w:rsidRPr="00F41C57" w:rsidRDefault="00146962">
      <w:pPr>
        <w:spacing w:before="240" w:after="240"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t>Por otro lado, el Órgano Superior de Fiscalización del Estado de México (OSFEM), emite anualmente los Lineamientos para definir los criterios, formatos y documentación necesaria para presentar los informes trimestrales, donde se detalla la información en 4 módulos, los cuales deberán entregarse trimestralmente al OSFEM, y de los que destaca, en relación con el análisis que nos ocupa, el “Modulo 1”, dentro del cual se encuentra lo relativo a la deuda pública, como se observa en las siguiente imágenes que se inserta a continuación de manera ilustrativa:</w:t>
      </w:r>
    </w:p>
    <w:p w:rsidR="00886EFA" w:rsidRPr="00F41C57" w:rsidRDefault="00146962">
      <w:pPr>
        <w:spacing w:before="240" w:after="240" w:line="360" w:lineRule="auto"/>
        <w:jc w:val="both"/>
        <w:rPr>
          <w:rFonts w:ascii="Palatino Linotype" w:eastAsia="Palatino Linotype" w:hAnsi="Palatino Linotype" w:cs="Palatino Linotype"/>
        </w:rPr>
      </w:pPr>
      <w:r w:rsidRPr="00F41C57">
        <w:rPr>
          <w:noProof/>
          <w:lang w:val="es-MX" w:eastAsia="es-MX"/>
        </w:rPr>
        <w:lastRenderedPageBreak/>
        <w:drawing>
          <wp:inline distT="0" distB="0" distL="0" distR="0">
            <wp:extent cx="5490711" cy="7034435"/>
            <wp:effectExtent l="0" t="0" r="0" b="0"/>
            <wp:docPr id="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4"/>
                    <a:srcRect l="38309" t="12414" r="24760" b="7043"/>
                    <a:stretch>
                      <a:fillRect/>
                    </a:stretch>
                  </pic:blipFill>
                  <pic:spPr>
                    <a:xfrm>
                      <a:off x="0" y="0"/>
                      <a:ext cx="5490711" cy="7034435"/>
                    </a:xfrm>
                    <a:prstGeom prst="rect">
                      <a:avLst/>
                    </a:prstGeom>
                    <a:ln/>
                  </pic:spPr>
                </pic:pic>
              </a:graphicData>
            </a:graphic>
          </wp:inline>
        </w:drawing>
      </w:r>
    </w:p>
    <w:p w:rsidR="00886EFA" w:rsidRPr="00F41C57" w:rsidRDefault="00146962">
      <w:pPr>
        <w:spacing w:before="240" w:after="240" w:line="360" w:lineRule="auto"/>
        <w:jc w:val="both"/>
        <w:rPr>
          <w:rFonts w:ascii="Palatino Linotype" w:eastAsia="Palatino Linotype" w:hAnsi="Palatino Linotype" w:cs="Palatino Linotype"/>
        </w:rPr>
      </w:pPr>
      <w:r w:rsidRPr="00F41C57">
        <w:rPr>
          <w:noProof/>
          <w:lang w:val="es-MX" w:eastAsia="es-MX"/>
        </w:rPr>
        <w:lastRenderedPageBreak/>
        <w:drawing>
          <wp:inline distT="0" distB="0" distL="0" distR="0">
            <wp:extent cx="5370830" cy="2924175"/>
            <wp:effectExtent l="0" t="0" r="0" b="0"/>
            <wp:docPr id="4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5"/>
                    <a:srcRect l="38202" t="25016" r="23711" b="13260"/>
                    <a:stretch>
                      <a:fillRect/>
                    </a:stretch>
                  </pic:blipFill>
                  <pic:spPr>
                    <a:xfrm>
                      <a:off x="0" y="0"/>
                      <a:ext cx="5370830" cy="2924175"/>
                    </a:xfrm>
                    <a:prstGeom prst="rect">
                      <a:avLst/>
                    </a:prstGeom>
                    <a:ln/>
                  </pic:spPr>
                </pic:pic>
              </a:graphicData>
            </a:graphic>
          </wp:inline>
        </w:drawing>
      </w:r>
    </w:p>
    <w:p w:rsidR="00886EFA" w:rsidRPr="00F41C57" w:rsidRDefault="00146962">
      <w:pPr>
        <w:spacing w:before="240" w:after="240" w:line="360" w:lineRule="auto"/>
        <w:ind w:right="-142"/>
        <w:jc w:val="both"/>
        <w:rPr>
          <w:rFonts w:ascii="Palatino Linotype" w:eastAsia="Palatino Linotype" w:hAnsi="Palatino Linotype" w:cs="Palatino Linotype"/>
        </w:rPr>
      </w:pPr>
      <w:r w:rsidRPr="00F41C57">
        <w:rPr>
          <w:rFonts w:ascii="Palatino Linotype" w:eastAsia="Palatino Linotype" w:hAnsi="Palatino Linotype" w:cs="Palatino Linotype"/>
        </w:rPr>
        <w:t>Tal y como señalaron los citados lineamientos, la documentación anexa se encuentra regulada por los Lineamientos de Control Financiero y Administrativo para las Entidades Fiscalizables Municipales del Estado de México, los cuales tienen como objetivo el establecer las normas en materia de control financiero y administrativo en la obtención, administración y aplicación de los recursos públicos para las entidades fiscalizables municipales.</w:t>
      </w:r>
    </w:p>
    <w:p w:rsidR="00886EFA" w:rsidRPr="00F41C57" w:rsidRDefault="00146962">
      <w:pPr>
        <w:widowControl w:val="0"/>
        <w:spacing w:before="240"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t>Ahora bien de la respuesta se advierte que el Tesorero Municipal del Ayuntamiento de Atizapán de Zaragoza, señaló que la información solicitada se encuentra publicada en la página del H. Ayuntamiento, bajo el siguiente link, tal como obra en los archivos de la Tesorería Municipal:</w:t>
      </w:r>
    </w:p>
    <w:p w:rsidR="00886EFA" w:rsidRPr="00F41C57" w:rsidRDefault="00886EFA">
      <w:pPr>
        <w:spacing w:line="360" w:lineRule="auto"/>
        <w:jc w:val="both"/>
        <w:rPr>
          <w:rFonts w:ascii="Palatino Linotype" w:eastAsia="Palatino Linotype" w:hAnsi="Palatino Linotype" w:cs="Palatino Linotype"/>
        </w:rPr>
      </w:pPr>
    </w:p>
    <w:p w:rsidR="00886EFA" w:rsidRPr="00F41C57" w:rsidRDefault="009671AF">
      <w:pPr>
        <w:spacing w:line="360" w:lineRule="auto"/>
        <w:jc w:val="both"/>
        <w:rPr>
          <w:rFonts w:ascii="Palatino Linotype" w:eastAsia="Palatino Linotype" w:hAnsi="Palatino Linotype" w:cs="Palatino Linotype"/>
        </w:rPr>
      </w:pPr>
      <w:hyperlink r:id="rId46">
        <w:r w:rsidR="00146962" w:rsidRPr="00F41C57">
          <w:rPr>
            <w:rFonts w:ascii="Palatino Linotype" w:eastAsia="Palatino Linotype" w:hAnsi="Palatino Linotype" w:cs="Palatino Linotype"/>
            <w:color w:val="0563C1"/>
            <w:u w:val="single"/>
          </w:rPr>
          <w:t>https://atizapan.gob.mx/</w:t>
        </w:r>
      </w:hyperlink>
    </w:p>
    <w:p w:rsidR="00886EFA" w:rsidRPr="00F41C57" w:rsidRDefault="009671AF">
      <w:pPr>
        <w:spacing w:line="360" w:lineRule="auto"/>
        <w:jc w:val="both"/>
        <w:rPr>
          <w:rFonts w:ascii="Palatino Linotype" w:eastAsia="Palatino Linotype" w:hAnsi="Palatino Linotype" w:cs="Palatino Linotype"/>
        </w:rPr>
      </w:pPr>
      <w:hyperlink r:id="rId47">
        <w:r w:rsidR="00146962" w:rsidRPr="00F41C57">
          <w:rPr>
            <w:rFonts w:ascii="Palatino Linotype" w:eastAsia="Palatino Linotype" w:hAnsi="Palatino Linotype" w:cs="Palatino Linotype"/>
            <w:color w:val="0563C1"/>
            <w:u w:val="single"/>
          </w:rPr>
          <w:t>https://atizapan.gob.mx/#</w:t>
        </w:r>
      </w:hyperlink>
    </w:p>
    <w:p w:rsidR="00886EFA" w:rsidRPr="00F41C57" w:rsidRDefault="009671AF">
      <w:pPr>
        <w:spacing w:line="360" w:lineRule="auto"/>
        <w:jc w:val="both"/>
        <w:rPr>
          <w:rFonts w:ascii="Palatino Linotype" w:eastAsia="Palatino Linotype" w:hAnsi="Palatino Linotype" w:cs="Palatino Linotype"/>
        </w:rPr>
      </w:pPr>
      <w:hyperlink r:id="rId48">
        <w:r w:rsidR="00146962" w:rsidRPr="00F41C57">
          <w:rPr>
            <w:rFonts w:ascii="Palatino Linotype" w:eastAsia="Palatino Linotype" w:hAnsi="Palatino Linotype" w:cs="Palatino Linotype"/>
            <w:color w:val="0563C1"/>
            <w:u w:val="single"/>
          </w:rPr>
          <w:t>https://atizapan.gob.mx/conac/</w:t>
        </w:r>
      </w:hyperlink>
    </w:p>
    <w:p w:rsidR="00886EFA" w:rsidRPr="00F41C57" w:rsidRDefault="009671AF">
      <w:pPr>
        <w:spacing w:line="360" w:lineRule="auto"/>
        <w:jc w:val="both"/>
        <w:rPr>
          <w:rFonts w:ascii="Palatino Linotype" w:eastAsia="Palatino Linotype" w:hAnsi="Palatino Linotype" w:cs="Palatino Linotype"/>
        </w:rPr>
      </w:pPr>
      <w:hyperlink r:id="rId49">
        <w:r w:rsidR="00146962" w:rsidRPr="00F41C57">
          <w:rPr>
            <w:rFonts w:ascii="Palatino Linotype" w:eastAsia="Palatino Linotype" w:hAnsi="Palatino Linotype" w:cs="Palatino Linotype"/>
            <w:color w:val="0563C1"/>
            <w:u w:val="single"/>
          </w:rPr>
          <w:t>https://atizapan.gob.mx/wp-content/uploads/2023/02/Estado-Analitico-de-la-Deuda-y-Otros-Pasivos.pdf</w:t>
        </w:r>
      </w:hyperlink>
      <w:r w:rsidR="00146962" w:rsidRPr="00F41C57">
        <w:rPr>
          <w:rFonts w:ascii="Palatino Linotype" w:eastAsia="Palatino Linotype" w:hAnsi="Palatino Linotype" w:cs="Palatino Linotype"/>
        </w:rPr>
        <w:t xml:space="preserve"> </w:t>
      </w:r>
    </w:p>
    <w:p w:rsidR="00886EFA" w:rsidRPr="00F41C57" w:rsidRDefault="00886EFA">
      <w:pPr>
        <w:widowControl w:val="0"/>
        <w:spacing w:line="360" w:lineRule="auto"/>
        <w:jc w:val="both"/>
        <w:rPr>
          <w:rFonts w:ascii="Palatino Linotype" w:eastAsia="Palatino Linotype" w:hAnsi="Palatino Linotype" w:cs="Palatino Linotype"/>
        </w:rPr>
      </w:pPr>
    </w:p>
    <w:p w:rsidR="00886EFA" w:rsidRPr="00F41C57" w:rsidRDefault="00146962">
      <w:pPr>
        <w:spacing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color w:val="000000"/>
        </w:rPr>
        <w:t xml:space="preserve">Sobre los primeros tres link: </w:t>
      </w:r>
      <w:hyperlink r:id="rId50">
        <w:r w:rsidRPr="00F41C57">
          <w:rPr>
            <w:rFonts w:ascii="Palatino Linotype" w:eastAsia="Palatino Linotype" w:hAnsi="Palatino Linotype" w:cs="Palatino Linotype"/>
            <w:color w:val="0563C1"/>
            <w:u w:val="single"/>
          </w:rPr>
          <w:t>https://atizapan.gob.mx/</w:t>
        </w:r>
      </w:hyperlink>
      <w:r w:rsidRPr="00F41C57">
        <w:rPr>
          <w:rFonts w:ascii="Palatino Linotype" w:eastAsia="Palatino Linotype" w:hAnsi="Palatino Linotype" w:cs="Palatino Linotype"/>
          <w:color w:val="0563C1"/>
          <w:u w:val="single"/>
        </w:rPr>
        <w:t xml:space="preserve">, </w:t>
      </w:r>
      <w:hyperlink r:id="rId51">
        <w:r w:rsidRPr="00F41C57">
          <w:rPr>
            <w:rFonts w:ascii="Palatino Linotype" w:eastAsia="Palatino Linotype" w:hAnsi="Palatino Linotype" w:cs="Palatino Linotype"/>
            <w:color w:val="0563C1"/>
            <w:u w:val="single"/>
          </w:rPr>
          <w:t>https://atizapan.gob.mx/#</w:t>
        </w:r>
      </w:hyperlink>
      <w:r w:rsidRPr="00F41C57">
        <w:rPr>
          <w:rFonts w:ascii="Palatino Linotype" w:eastAsia="Palatino Linotype" w:hAnsi="Palatino Linotype" w:cs="Palatino Linotype"/>
          <w:color w:val="0563C1"/>
          <w:u w:val="single"/>
        </w:rPr>
        <w:t xml:space="preserve"> y</w:t>
      </w:r>
    </w:p>
    <w:p w:rsidR="00886EFA" w:rsidRPr="00F41C57" w:rsidRDefault="009671AF">
      <w:pPr>
        <w:spacing w:line="360" w:lineRule="auto"/>
        <w:jc w:val="both"/>
        <w:rPr>
          <w:rFonts w:ascii="Palatino Linotype" w:eastAsia="Palatino Linotype" w:hAnsi="Palatino Linotype" w:cs="Palatino Linotype"/>
          <w:b/>
          <w:u w:val="single"/>
        </w:rPr>
      </w:pPr>
      <w:hyperlink r:id="rId52">
        <w:r w:rsidR="00146962" w:rsidRPr="00F41C57">
          <w:rPr>
            <w:rFonts w:ascii="Palatino Linotype" w:eastAsia="Palatino Linotype" w:hAnsi="Palatino Linotype" w:cs="Palatino Linotype"/>
            <w:color w:val="0563C1"/>
            <w:u w:val="single"/>
          </w:rPr>
          <w:t>https://atizapan.gob.mx/conac/</w:t>
        </w:r>
      </w:hyperlink>
      <w:r w:rsidR="00146962" w:rsidRPr="00F41C57">
        <w:rPr>
          <w:rFonts w:ascii="Palatino Linotype" w:eastAsia="Palatino Linotype" w:hAnsi="Palatino Linotype" w:cs="Palatino Linotype"/>
          <w:color w:val="0563C1"/>
          <w:u w:val="single"/>
        </w:rPr>
        <w:t xml:space="preserve">, </w:t>
      </w:r>
      <w:r w:rsidR="00146962" w:rsidRPr="00F41C57">
        <w:rPr>
          <w:rFonts w:ascii="Palatino Linotype" w:eastAsia="Palatino Linotype" w:hAnsi="Palatino Linotype" w:cs="Palatino Linotype"/>
        </w:rPr>
        <w:t xml:space="preserve"> estos incumplen efectivamente con lo señalado por el artículo 161 de la Ley de la Materia, en términos de lo señalado en el recurso de revisión </w:t>
      </w:r>
      <w:r w:rsidR="00146962" w:rsidRPr="00F41C57">
        <w:rPr>
          <w:rFonts w:ascii="Palatino Linotype" w:eastAsia="Palatino Linotype" w:hAnsi="Palatino Linotype" w:cs="Palatino Linotype"/>
          <w:b/>
          <w:u w:val="single"/>
        </w:rPr>
        <w:t>02274/INFOEM/IP/RR/2023.</w:t>
      </w:r>
    </w:p>
    <w:p w:rsidR="00886EFA" w:rsidRPr="00F41C57" w:rsidRDefault="00886EFA">
      <w:pPr>
        <w:spacing w:line="360" w:lineRule="auto"/>
        <w:jc w:val="both"/>
        <w:rPr>
          <w:rFonts w:ascii="Palatino Linotype" w:eastAsia="Palatino Linotype" w:hAnsi="Palatino Linotype" w:cs="Palatino Linotype"/>
          <w:b/>
          <w:u w:val="single"/>
        </w:rPr>
      </w:pPr>
    </w:p>
    <w:p w:rsidR="00886EFA" w:rsidRPr="00F41C57" w:rsidRDefault="00146962">
      <w:pPr>
        <w:spacing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color w:val="000000"/>
        </w:rPr>
        <w:t xml:space="preserve">Sin embargo, mediante la liga electrónica </w:t>
      </w:r>
      <w:hyperlink r:id="rId53">
        <w:r w:rsidRPr="00F41C57">
          <w:rPr>
            <w:rFonts w:ascii="Palatino Linotype" w:eastAsia="Palatino Linotype" w:hAnsi="Palatino Linotype" w:cs="Palatino Linotype"/>
            <w:color w:val="0563C1"/>
            <w:u w:val="single"/>
          </w:rPr>
          <w:t>https://atizapan.gob.mx/wp-content/uploads/2023/02/Estado-Analitico-de-la-Deuda-y-Otros-Pasivos.pdf</w:t>
        </w:r>
      </w:hyperlink>
      <w:r w:rsidRPr="00F41C57">
        <w:rPr>
          <w:rFonts w:ascii="Palatino Linotype" w:eastAsia="Palatino Linotype" w:hAnsi="Palatino Linotype" w:cs="Palatino Linotype"/>
        </w:rPr>
        <w:t>, el Tesorero Municipal del Ayuntamiento de Atizapán de Zaragoza, proporciono el Estado Analítico de la Deuda y Otros Pasivos del ejercicio fiscal 2022, como se observa a continuación:</w:t>
      </w:r>
    </w:p>
    <w:p w:rsidR="00886EFA" w:rsidRPr="00F41C57" w:rsidRDefault="00146962">
      <w:pPr>
        <w:spacing w:line="360" w:lineRule="auto"/>
        <w:jc w:val="both"/>
        <w:rPr>
          <w:rFonts w:ascii="Palatino Linotype" w:eastAsia="Palatino Linotype" w:hAnsi="Palatino Linotype" w:cs="Palatino Linotype"/>
        </w:rPr>
      </w:pPr>
      <w:r w:rsidRPr="00F41C57">
        <w:rPr>
          <w:noProof/>
          <w:lang w:val="es-MX" w:eastAsia="es-MX"/>
        </w:rPr>
        <w:lastRenderedPageBreak/>
        <w:drawing>
          <wp:inline distT="0" distB="0" distL="0" distR="0">
            <wp:extent cx="5603829" cy="2853153"/>
            <wp:effectExtent l="0" t="0" r="0" b="0"/>
            <wp:docPr id="4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4"/>
                    <a:srcRect l="24533" t="13688" r="10732" b="5744"/>
                    <a:stretch>
                      <a:fillRect/>
                    </a:stretch>
                  </pic:blipFill>
                  <pic:spPr>
                    <a:xfrm>
                      <a:off x="0" y="0"/>
                      <a:ext cx="5603829" cy="2853153"/>
                    </a:xfrm>
                    <a:prstGeom prst="rect">
                      <a:avLst/>
                    </a:prstGeom>
                    <a:ln/>
                  </pic:spPr>
                </pic:pic>
              </a:graphicData>
            </a:graphic>
          </wp:inline>
        </w:drawing>
      </w:r>
    </w:p>
    <w:p w:rsidR="00886EFA" w:rsidRPr="00F41C57" w:rsidRDefault="00146962">
      <w:pPr>
        <w:spacing w:line="360" w:lineRule="auto"/>
        <w:jc w:val="both"/>
        <w:rPr>
          <w:rFonts w:ascii="Palatino Linotype" w:eastAsia="Palatino Linotype" w:hAnsi="Palatino Linotype" w:cs="Palatino Linotype"/>
          <w:b/>
          <w:u w:val="single"/>
        </w:rPr>
      </w:pPr>
      <w:r w:rsidRPr="00F41C57">
        <w:rPr>
          <w:rFonts w:ascii="Palatino Linotype" w:eastAsia="Palatino Linotype" w:hAnsi="Palatino Linotype" w:cs="Palatino Linotype"/>
          <w:color w:val="000000"/>
        </w:rPr>
        <w:t xml:space="preserve">Colmando con ello lo correspondiente al año 2022, en razón de que el área que proporcionó la información es fue la Tesorería Municipal del Ayuntamiento de Atizapán de Zaragoza, siendo el competente para conocer de la información solicitada en los términos precisados en el recurso de revisión número </w:t>
      </w:r>
      <w:r w:rsidRPr="00F41C57">
        <w:rPr>
          <w:rFonts w:ascii="Palatino Linotype" w:eastAsia="Palatino Linotype" w:hAnsi="Palatino Linotype" w:cs="Palatino Linotype"/>
          <w:b/>
          <w:u w:val="single"/>
        </w:rPr>
        <w:t>02274/INFOEM/IP/RR/2023.</w:t>
      </w:r>
    </w:p>
    <w:p w:rsidR="00886EFA" w:rsidRPr="00F41C57" w:rsidRDefault="00886EFA">
      <w:pPr>
        <w:spacing w:line="360" w:lineRule="auto"/>
        <w:jc w:val="both"/>
        <w:rPr>
          <w:rFonts w:ascii="Palatino Linotype" w:eastAsia="Palatino Linotype" w:hAnsi="Palatino Linotype" w:cs="Palatino Linotype"/>
          <w:color w:val="000000"/>
        </w:rPr>
      </w:pPr>
    </w:p>
    <w:p w:rsidR="00886EFA" w:rsidRPr="00F41C57" w:rsidRDefault="00146962">
      <w:pPr>
        <w:spacing w:line="360" w:lineRule="auto"/>
        <w:jc w:val="both"/>
        <w:rPr>
          <w:rFonts w:ascii="Palatino Linotype" w:eastAsia="Palatino Linotype" w:hAnsi="Palatino Linotype" w:cs="Palatino Linotype"/>
          <w:color w:val="000000"/>
        </w:rPr>
      </w:pPr>
      <w:r w:rsidRPr="00F41C57">
        <w:rPr>
          <w:rFonts w:ascii="Palatino Linotype" w:eastAsia="Palatino Linotype" w:hAnsi="Palatino Linotype" w:cs="Palatino Linotype"/>
          <w:color w:val="000000"/>
        </w:rPr>
        <w:t xml:space="preserve">En cambio de la solicitud de advierte que la parte </w:t>
      </w:r>
      <w:r w:rsidRPr="00F41C57">
        <w:rPr>
          <w:rFonts w:ascii="Palatino Linotype" w:eastAsia="Palatino Linotype" w:hAnsi="Palatino Linotype" w:cs="Palatino Linotype"/>
          <w:b/>
          <w:color w:val="000000"/>
        </w:rPr>
        <w:t>RECURRENTE</w:t>
      </w:r>
      <w:r w:rsidRPr="00F41C57">
        <w:rPr>
          <w:rFonts w:ascii="Palatino Linotype" w:eastAsia="Palatino Linotype" w:hAnsi="Palatino Linotype" w:cs="Palatino Linotype"/>
          <w:color w:val="000000"/>
        </w:rPr>
        <w:t xml:space="preserve">, solicitó la información también del año 2023 y tomando en consideración la fecha de la solicitud, la información solicitada del 2023, sería la correspondiente del primero de enero al veintinueve de marzo del año en curso. </w:t>
      </w:r>
    </w:p>
    <w:p w:rsidR="00886EFA" w:rsidRPr="00F41C57" w:rsidRDefault="00886EFA">
      <w:pPr>
        <w:spacing w:line="360" w:lineRule="auto"/>
        <w:jc w:val="both"/>
        <w:rPr>
          <w:rFonts w:ascii="Palatino Linotype" w:eastAsia="Palatino Linotype" w:hAnsi="Palatino Linotype" w:cs="Palatino Linotype"/>
          <w:color w:val="000000"/>
        </w:rPr>
      </w:pPr>
    </w:p>
    <w:p w:rsidR="00886EFA" w:rsidRPr="00F41C57" w:rsidRDefault="00146962">
      <w:pPr>
        <w:spacing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color w:val="000000"/>
        </w:rPr>
        <w:t xml:space="preserve">En ese sentido, regresando con la respuesta se advierte que el Tesorero Municipal del </w:t>
      </w:r>
      <w:r w:rsidRPr="00F41C57">
        <w:rPr>
          <w:rFonts w:ascii="Palatino Linotype" w:eastAsia="Palatino Linotype" w:hAnsi="Palatino Linotype" w:cs="Palatino Linotype"/>
          <w:b/>
          <w:color w:val="000000"/>
        </w:rPr>
        <w:t>SUJETO OBLIGADO</w:t>
      </w:r>
      <w:r w:rsidRPr="00F41C57">
        <w:rPr>
          <w:rFonts w:ascii="Palatino Linotype" w:eastAsia="Palatino Linotype" w:hAnsi="Palatino Linotype" w:cs="Palatino Linotype"/>
          <w:color w:val="000000"/>
        </w:rPr>
        <w:t xml:space="preserve">, colmo parte de la solicitud con el formato del </w:t>
      </w:r>
      <w:r w:rsidRPr="00F41C57">
        <w:rPr>
          <w:rFonts w:ascii="Palatino Linotype" w:eastAsia="Palatino Linotype" w:hAnsi="Palatino Linotype" w:cs="Palatino Linotype"/>
        </w:rPr>
        <w:t xml:space="preserve">Estado Analítico de la Deuda y Otros Pasivos, cuyo formato consiste en términos de los </w:t>
      </w:r>
      <w:r w:rsidRPr="00F41C57">
        <w:rPr>
          <w:rFonts w:ascii="Palatino Linotype" w:eastAsia="Palatino Linotype" w:hAnsi="Palatino Linotype" w:cs="Palatino Linotype"/>
        </w:rPr>
        <w:lastRenderedPageBreak/>
        <w:t>Lineamientos para definir los criterios, formatos y documentación necesaria para presentar los informes trimestrales, emitidos por el Órgano Superior de Fiscalización en lo siguiente:</w:t>
      </w:r>
      <w:r w:rsidRPr="00F41C57">
        <w:rPr>
          <w:noProof/>
          <w:lang w:val="es-MX" w:eastAsia="es-MX"/>
        </w:rPr>
        <mc:AlternateContent>
          <mc:Choice Requires="wpg">
            <w:drawing>
              <wp:anchor distT="0" distB="0" distL="114300" distR="114300" simplePos="0" relativeHeight="251660288" behindDoc="0" locked="0" layoutInCell="1" hidden="0" allowOverlap="1">
                <wp:simplePos x="0" y="0"/>
                <wp:positionH relativeFrom="column">
                  <wp:posOffset>38101</wp:posOffset>
                </wp:positionH>
                <wp:positionV relativeFrom="paragraph">
                  <wp:posOffset>1968500</wp:posOffset>
                </wp:positionV>
                <wp:extent cx="5465780" cy="2059389"/>
                <wp:effectExtent l="0" t="0" r="0" b="0"/>
                <wp:wrapNone/>
                <wp:docPr id="30" name="Conector recto de flecha 30"/>
                <wp:cNvGraphicFramePr/>
                <a:graphic xmlns:a="http://schemas.openxmlformats.org/drawingml/2006/main">
                  <a:graphicData uri="http://schemas.microsoft.com/office/word/2010/wordprocessingShape">
                    <wps:wsp>
                      <wps:cNvCnPr/>
                      <wps:spPr>
                        <a:xfrm>
                          <a:off x="2617873" y="2755068"/>
                          <a:ext cx="5456255" cy="2049864"/>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38101</wp:posOffset>
                </wp:positionH>
                <wp:positionV relativeFrom="paragraph">
                  <wp:posOffset>1968500</wp:posOffset>
                </wp:positionV>
                <wp:extent cx="5465780" cy="2059389"/>
                <wp:effectExtent b="0" l="0" r="0" t="0"/>
                <wp:wrapNone/>
                <wp:docPr id="30" name="image12.png"/>
                <a:graphic>
                  <a:graphicData uri="http://schemas.openxmlformats.org/drawingml/2006/picture">
                    <pic:pic>
                      <pic:nvPicPr>
                        <pic:cNvPr id="0" name="image12.png"/>
                        <pic:cNvPicPr preferRelativeResize="0"/>
                      </pic:nvPicPr>
                      <pic:blipFill>
                        <a:blip r:embed="rId57"/>
                        <a:srcRect/>
                        <a:stretch>
                          <a:fillRect/>
                        </a:stretch>
                      </pic:blipFill>
                      <pic:spPr>
                        <a:xfrm>
                          <a:off x="0" y="0"/>
                          <a:ext cx="5465780" cy="2059389"/>
                        </a:xfrm>
                        <a:prstGeom prst="rect"/>
                        <a:ln/>
                      </pic:spPr>
                    </pic:pic>
                  </a:graphicData>
                </a:graphic>
              </wp:anchor>
            </w:drawing>
          </mc:Fallback>
        </mc:AlternateContent>
      </w:r>
    </w:p>
    <w:p w:rsidR="00886EFA" w:rsidRPr="00F41C57" w:rsidRDefault="00146962">
      <w:pPr>
        <w:spacing w:line="360" w:lineRule="auto"/>
        <w:jc w:val="both"/>
        <w:rPr>
          <w:rFonts w:ascii="Palatino Linotype" w:eastAsia="Palatino Linotype" w:hAnsi="Palatino Linotype" w:cs="Palatino Linotype"/>
        </w:rPr>
      </w:pPr>
      <w:r w:rsidRPr="00F41C57">
        <w:rPr>
          <w:noProof/>
          <w:lang w:val="es-MX" w:eastAsia="es-MX"/>
        </w:rPr>
        <w:drawing>
          <wp:inline distT="0" distB="0" distL="0" distR="0">
            <wp:extent cx="5376733" cy="5417309"/>
            <wp:effectExtent l="0" t="0" r="0" b="0"/>
            <wp:docPr id="4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5"/>
                    <a:srcRect l="38202" t="25016" r="23711" b="13260"/>
                    <a:stretch>
                      <a:fillRect/>
                    </a:stretch>
                  </pic:blipFill>
                  <pic:spPr>
                    <a:xfrm>
                      <a:off x="0" y="0"/>
                      <a:ext cx="5376733" cy="5417309"/>
                    </a:xfrm>
                    <a:prstGeom prst="rect">
                      <a:avLst/>
                    </a:prstGeom>
                    <a:ln/>
                  </pic:spPr>
                </pic:pic>
              </a:graphicData>
            </a:graphic>
          </wp:inline>
        </w:drawing>
      </w:r>
      <w:r w:rsidRPr="00F41C57">
        <w:rPr>
          <w:noProof/>
          <w:lang w:val="es-MX" w:eastAsia="es-MX"/>
        </w:rPr>
        <mc:AlternateContent>
          <mc:Choice Requires="wps">
            <w:drawing>
              <wp:anchor distT="0" distB="0" distL="114300" distR="114300" simplePos="0" relativeHeight="251661312" behindDoc="0" locked="0" layoutInCell="1" hidden="0" allowOverlap="1">
                <wp:simplePos x="0" y="0"/>
                <wp:positionH relativeFrom="column">
                  <wp:posOffset>-12699</wp:posOffset>
                </wp:positionH>
                <wp:positionV relativeFrom="paragraph">
                  <wp:posOffset>304800</wp:posOffset>
                </wp:positionV>
                <wp:extent cx="5426075" cy="2346570"/>
                <wp:effectExtent l="0" t="0" r="0" b="0"/>
                <wp:wrapNone/>
                <wp:docPr id="31" name="Rectángulo 31"/>
                <wp:cNvGraphicFramePr/>
                <a:graphic xmlns:a="http://schemas.openxmlformats.org/drawingml/2006/main">
                  <a:graphicData uri="http://schemas.microsoft.com/office/word/2010/wordprocessingShape">
                    <wps:wsp>
                      <wps:cNvSpPr/>
                      <wps:spPr>
                        <a:xfrm>
                          <a:off x="2645663" y="2619415"/>
                          <a:ext cx="5400675" cy="2321170"/>
                        </a:xfrm>
                        <a:prstGeom prst="rect">
                          <a:avLst/>
                        </a:prstGeom>
                        <a:noFill/>
                        <a:ln w="25400" cap="flat" cmpd="sng">
                          <a:solidFill>
                            <a:srgbClr val="42719B"/>
                          </a:solidFill>
                          <a:prstDash val="solid"/>
                          <a:miter lim="800000"/>
                          <a:headEnd type="none" w="sm" len="sm"/>
                          <a:tailEnd type="none" w="sm" len="sm"/>
                        </a:ln>
                      </wps:spPr>
                      <wps:txbx>
                        <w:txbxContent>
                          <w:p w:rsidR="009671AF" w:rsidRDefault="009671AF">
                            <w:pPr>
                              <w:textDirection w:val="btLr"/>
                            </w:pPr>
                          </w:p>
                        </w:txbxContent>
                      </wps:txbx>
                      <wps:bodyPr spcFirstLastPara="1" wrap="square" lIns="91425" tIns="91425" rIns="91425" bIns="91425" anchor="ctr" anchorCtr="0">
                        <a:noAutofit/>
                      </wps:bodyPr>
                    </wps:wsp>
                  </a:graphicData>
                </a:graphic>
              </wp:anchor>
            </w:drawing>
          </mc:Choice>
          <mc:Fallback>
            <w:pict>
              <v:rect id="Rectángulo 31" o:spid="_x0000_s1028" style="position:absolute;left:0;text-align:left;margin-left:-1pt;margin-top:24pt;width:427.25pt;height:184.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" filled="f" strokecolor="#42719b" strokeweight="2pt">
                <v:stroke startarrowwidth="narrow" startarrowlength="short" endarrowwidth="narrow" endarrowlength="short"/>
                <v:textbox inset="2.53958mm,2.53958mm,2.53958mm,2.53958mm">
                  <w:txbxContent>
                    <w:p w:rsidR="009671AF" w:rsidRDefault="009671AF">
                      <w:pPr>
                        <w:textDirection w:val="btLr"/>
                      </w:pPr>
                    </w:p>
                  </w:txbxContent>
                </v:textbox>
              </v:rect>
            </w:pict>
          </mc:Fallback>
        </mc:AlternateContent>
      </w:r>
    </w:p>
    <w:p w:rsidR="00886EFA" w:rsidRPr="00F41C57" w:rsidRDefault="00146962">
      <w:pPr>
        <w:spacing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t xml:space="preserve">Es decir, que el Estado Analítico de la Deuda y Otros Pasivos, es el formato en donde se debe registrar la deuda pública interna y externa adquirida por los entes públicos, </w:t>
      </w:r>
      <w:r w:rsidRPr="00F41C57">
        <w:rPr>
          <w:rFonts w:ascii="Palatino Linotype" w:eastAsia="Palatino Linotype" w:hAnsi="Palatino Linotype" w:cs="Palatino Linotype"/>
        </w:rPr>
        <w:lastRenderedPageBreak/>
        <w:t xml:space="preserve">en este caso por el Ayuntamiento de Atizapán de Zaragoza, destacándose que dicho formato se debe generar mensualmente por parte del </w:t>
      </w:r>
      <w:r w:rsidRPr="00F41C57">
        <w:rPr>
          <w:rFonts w:ascii="Palatino Linotype" w:eastAsia="Palatino Linotype" w:hAnsi="Palatino Linotype" w:cs="Palatino Linotype"/>
          <w:b/>
        </w:rPr>
        <w:t>SUJETO OBLIGADO</w:t>
      </w:r>
      <w:r w:rsidRPr="00F41C57">
        <w:rPr>
          <w:rFonts w:ascii="Palatino Linotype" w:eastAsia="Palatino Linotype" w:hAnsi="Palatino Linotype" w:cs="Palatino Linotype"/>
        </w:rPr>
        <w:t xml:space="preserve"> y remitirla al Órgano Superior de Fiscalización del Estado de México de manera trimestral, como se observa en las siguientes imágenes:</w:t>
      </w:r>
    </w:p>
    <w:p w:rsidR="00886EFA" w:rsidRPr="00F41C57" w:rsidRDefault="00146962">
      <w:pPr>
        <w:spacing w:line="360" w:lineRule="auto"/>
        <w:jc w:val="both"/>
        <w:rPr>
          <w:rFonts w:ascii="Palatino Linotype" w:eastAsia="Palatino Linotype" w:hAnsi="Palatino Linotype" w:cs="Palatino Linotype"/>
        </w:rPr>
      </w:pPr>
      <w:r w:rsidRPr="00F41C57">
        <w:rPr>
          <w:noProof/>
          <w:lang w:val="es-MX" w:eastAsia="es-MX"/>
        </w:rPr>
        <w:drawing>
          <wp:inline distT="0" distB="0" distL="0" distR="0">
            <wp:extent cx="5370830" cy="2924175"/>
            <wp:effectExtent l="0" t="0" r="0" b="0"/>
            <wp:docPr id="4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5"/>
                    <a:srcRect l="38202" t="25016" r="23711" b="13260"/>
                    <a:stretch>
                      <a:fillRect/>
                    </a:stretch>
                  </pic:blipFill>
                  <pic:spPr>
                    <a:xfrm>
                      <a:off x="0" y="0"/>
                      <a:ext cx="5370830" cy="2924175"/>
                    </a:xfrm>
                    <a:prstGeom prst="rect">
                      <a:avLst/>
                    </a:prstGeom>
                    <a:ln/>
                  </pic:spPr>
                </pic:pic>
              </a:graphicData>
            </a:graphic>
          </wp:inline>
        </w:drawing>
      </w:r>
      <w:r w:rsidRPr="00F41C57">
        <w:rPr>
          <w:noProof/>
          <w:lang w:val="es-MX" w:eastAsia="es-MX"/>
        </w:rPr>
        <mc:AlternateContent>
          <mc:Choice Requires="wps">
            <w:drawing>
              <wp:anchor distT="0" distB="0" distL="114300" distR="114300" simplePos="0" relativeHeight="251662336" behindDoc="0" locked="0" layoutInCell="1" hidden="0" allowOverlap="1">
                <wp:simplePos x="0" y="0"/>
                <wp:positionH relativeFrom="column">
                  <wp:posOffset>4762500</wp:posOffset>
                </wp:positionH>
                <wp:positionV relativeFrom="paragraph">
                  <wp:posOffset>2006600</wp:posOffset>
                </wp:positionV>
                <wp:extent cx="414116" cy="418446"/>
                <wp:effectExtent l="0" t="0" r="0" b="0"/>
                <wp:wrapNone/>
                <wp:docPr id="34" name="Flecha izquierda 34"/>
                <wp:cNvGraphicFramePr/>
                <a:graphic xmlns:a="http://schemas.openxmlformats.org/drawingml/2006/main">
                  <a:graphicData uri="http://schemas.microsoft.com/office/word/2010/wordprocessingShape">
                    <wps:wsp>
                      <wps:cNvSpPr/>
                      <wps:spPr>
                        <a:xfrm rot="3139849">
                          <a:off x="5197787" y="3644347"/>
                          <a:ext cx="296426" cy="271306"/>
                        </a:xfrm>
                        <a:prstGeom prst="lef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9671AF" w:rsidRDefault="009671AF">
                            <w:pPr>
                              <w:textDirection w:val="btLr"/>
                            </w:pPr>
                          </w:p>
                        </w:txbxContent>
                      </wps:txbx>
                      <wps:bodyPr spcFirstLastPara="1" wrap="square" lIns="91425" tIns="91425" rIns="91425" bIns="91425" anchor="ctr" anchorCtr="0">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34" o:spid="_x0000_s1029" type="#_x0000_t66" style="position:absolute;left:0;text-align:left;margin-left:375pt;margin-top:158pt;width:32.6pt;height:32.95pt;rotation:3429552fd;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" adj="9885" fillcolor="#5b9bd5 [3204]" strokecolor="#42719b" strokeweight="1pt">
                <v:stroke startarrowwidth="narrow" startarrowlength="short" endarrowwidth="narrow" endarrowlength="short"/>
                <v:textbox inset="2.53958mm,2.53958mm,2.53958mm,2.53958mm">
                  <w:txbxContent>
                    <w:p w:rsidR="009671AF" w:rsidRDefault="009671AF">
                      <w:pPr>
                        <w:textDirection w:val="btLr"/>
                      </w:pPr>
                    </w:p>
                  </w:txbxContent>
                </v:textbox>
              </v:shape>
            </w:pict>
          </mc:Fallback>
        </mc:AlternateContent>
      </w:r>
    </w:p>
    <w:p w:rsidR="00886EFA" w:rsidRPr="00F41C57" w:rsidRDefault="00146962">
      <w:pPr>
        <w:spacing w:after="240" w:line="360" w:lineRule="auto"/>
        <w:jc w:val="both"/>
        <w:rPr>
          <w:rFonts w:ascii="Palatino Linotype" w:eastAsia="Palatino Linotype" w:hAnsi="Palatino Linotype" w:cs="Palatino Linotype"/>
        </w:rPr>
      </w:pPr>
      <w:r w:rsidRPr="00F41C57">
        <w:rPr>
          <w:noProof/>
          <w:lang w:val="es-MX" w:eastAsia="es-MX"/>
        </w:rPr>
        <w:lastRenderedPageBreak/>
        <w:drawing>
          <wp:inline distT="0" distB="0" distL="0" distR="0">
            <wp:extent cx="5499725" cy="3667553"/>
            <wp:effectExtent l="0" t="0" r="0" b="0"/>
            <wp:docPr id="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4"/>
                    <a:srcRect l="38309" t="12414" r="24760" b="7043"/>
                    <a:stretch>
                      <a:fillRect/>
                    </a:stretch>
                  </pic:blipFill>
                  <pic:spPr>
                    <a:xfrm>
                      <a:off x="0" y="0"/>
                      <a:ext cx="5499725" cy="3667553"/>
                    </a:xfrm>
                    <a:prstGeom prst="rect">
                      <a:avLst/>
                    </a:prstGeom>
                    <a:ln/>
                  </pic:spPr>
                </pic:pic>
              </a:graphicData>
            </a:graphic>
          </wp:inline>
        </w:drawing>
      </w:r>
      <w:r w:rsidRPr="00F41C57">
        <w:rPr>
          <w:noProof/>
          <w:lang w:val="es-MX" w:eastAsia="es-MX"/>
        </w:rPr>
        <mc:AlternateContent>
          <mc:Choice Requires="wps">
            <w:drawing>
              <wp:anchor distT="0" distB="0" distL="114300" distR="114300" simplePos="0" relativeHeight="251663360" behindDoc="0" locked="0" layoutInCell="1" hidden="0" allowOverlap="1">
                <wp:simplePos x="0" y="0"/>
                <wp:positionH relativeFrom="column">
                  <wp:posOffset>3556000</wp:posOffset>
                </wp:positionH>
                <wp:positionV relativeFrom="paragraph">
                  <wp:posOffset>177800</wp:posOffset>
                </wp:positionV>
                <wp:extent cx="484972" cy="329223"/>
                <wp:effectExtent l="0" t="0" r="0" b="0"/>
                <wp:wrapNone/>
                <wp:docPr id="33" name="Flecha izquierda 33"/>
                <wp:cNvGraphicFramePr/>
                <a:graphic xmlns:a="http://schemas.openxmlformats.org/drawingml/2006/main">
                  <a:graphicData uri="http://schemas.microsoft.com/office/word/2010/wordprocessingShape">
                    <wps:wsp>
                      <wps:cNvSpPr/>
                      <wps:spPr>
                        <a:xfrm>
                          <a:off x="5109864" y="3621739"/>
                          <a:ext cx="472272" cy="316523"/>
                        </a:xfrm>
                        <a:prstGeom prst="lef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9671AF" w:rsidRDefault="009671AF">
                            <w:pPr>
                              <w:textDirection w:val="btLr"/>
                            </w:pPr>
                          </w:p>
                        </w:txbxContent>
                      </wps:txbx>
                      <wps:bodyPr spcFirstLastPara="1" wrap="square" lIns="91425" tIns="91425" rIns="91425" bIns="91425" anchor="ctr" anchorCtr="0">
                        <a:noAutofit/>
                      </wps:bodyPr>
                    </wps:wsp>
                  </a:graphicData>
                </a:graphic>
              </wp:anchor>
            </w:drawing>
          </mc:Choice>
          <mc:Fallback>
            <w:pict>
              <v:shape id="Flecha izquierda 33" o:spid="_x0000_s1030" type="#_x0000_t66" style="position:absolute;left:0;text-align:left;margin-left:280pt;margin-top:14pt;width:38.2pt;height:25.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" adj="7238" fillcolor="#5b9bd5 [3204]" strokecolor="#42719b" strokeweight="1pt">
                <v:stroke startarrowwidth="narrow" startarrowlength="short" endarrowwidth="narrow" endarrowlength="short"/>
                <v:textbox inset="2.53958mm,2.53958mm,2.53958mm,2.53958mm">
                  <w:txbxContent>
                    <w:p w:rsidR="009671AF" w:rsidRDefault="009671AF">
                      <w:pPr>
                        <w:textDirection w:val="btLr"/>
                      </w:pPr>
                    </w:p>
                  </w:txbxContent>
                </v:textbox>
              </v:shape>
            </w:pict>
          </mc:Fallback>
        </mc:AlternateContent>
      </w:r>
    </w:p>
    <w:p w:rsidR="00886EFA" w:rsidRPr="00F41C57" w:rsidRDefault="00146962">
      <w:pPr>
        <w:spacing w:before="240" w:after="240"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t xml:space="preserve">De ahí que a la fecha de la solicitud el </w:t>
      </w:r>
      <w:r w:rsidRPr="00F41C57">
        <w:rPr>
          <w:rFonts w:ascii="Palatino Linotype" w:eastAsia="Palatino Linotype" w:hAnsi="Palatino Linotype" w:cs="Palatino Linotype"/>
          <w:b/>
        </w:rPr>
        <w:t>SUJETO OBLIGADO</w:t>
      </w:r>
      <w:r w:rsidRPr="00F41C57">
        <w:rPr>
          <w:rFonts w:ascii="Palatino Linotype" w:eastAsia="Palatino Linotype" w:hAnsi="Palatino Linotype" w:cs="Palatino Linotype"/>
        </w:rPr>
        <w:t xml:space="preserve">, ya debió tener dentro de sus archivos los pasivos adquiridos en los meses de enero y febrero del año dos mil veintitrés, razones por las cuales lo procedente será ordenar su entrega. </w:t>
      </w:r>
    </w:p>
    <w:p w:rsidR="00886EFA" w:rsidRPr="00F41C57" w:rsidRDefault="00146962">
      <w:pPr>
        <w:spacing w:before="240" w:after="240" w:line="360" w:lineRule="auto"/>
        <w:jc w:val="both"/>
        <w:rPr>
          <w:rFonts w:ascii="Palatino Linotype" w:eastAsia="Palatino Linotype" w:hAnsi="Palatino Linotype" w:cs="Palatino Linotype"/>
        </w:rPr>
      </w:pPr>
      <w:proofErr w:type="spellStart"/>
      <w:r w:rsidRPr="00F41C57">
        <w:rPr>
          <w:rFonts w:ascii="Palatino Linotype" w:eastAsia="Palatino Linotype" w:hAnsi="Palatino Linotype" w:cs="Palatino Linotype"/>
        </w:rPr>
        <w:t>Rrespecto</w:t>
      </w:r>
      <w:proofErr w:type="spellEnd"/>
      <w:r w:rsidRPr="00F41C57">
        <w:rPr>
          <w:rFonts w:ascii="Palatino Linotype" w:eastAsia="Palatino Linotype" w:hAnsi="Palatino Linotype" w:cs="Palatino Linotype"/>
        </w:rPr>
        <w:t xml:space="preserve"> del primero al veintinueve de marzo del dos mil veintitrés, no es procedente su entrega en razón de que a la fecha de la solicitud aún no había culminado el mes de marzo, ya que este se conforma de treinta y un días.</w:t>
      </w:r>
    </w:p>
    <w:p w:rsidR="00886EFA" w:rsidRPr="00F41C57" w:rsidRDefault="00146962">
      <w:pPr>
        <w:spacing w:before="240" w:after="240"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t xml:space="preserve">Finalmente en cuanto a la manifestación del Tesorero Municipal del </w:t>
      </w:r>
      <w:r w:rsidRPr="00F41C57">
        <w:rPr>
          <w:rFonts w:ascii="Palatino Linotype" w:eastAsia="Palatino Linotype" w:hAnsi="Palatino Linotype" w:cs="Palatino Linotype"/>
          <w:b/>
        </w:rPr>
        <w:t>SUJETO OBLIGADO</w:t>
      </w:r>
      <w:r w:rsidRPr="00F41C57">
        <w:rPr>
          <w:rFonts w:ascii="Palatino Linotype" w:eastAsia="Palatino Linotype" w:hAnsi="Palatino Linotype" w:cs="Palatino Linotype"/>
        </w:rPr>
        <w:t>, mediante informe justificado, en donde señaló:</w:t>
      </w:r>
    </w:p>
    <w:p w:rsidR="00886EFA" w:rsidRPr="00F41C57" w:rsidRDefault="00146962">
      <w:pPr>
        <w:widowControl w:val="0"/>
        <w:spacing w:before="240"/>
        <w:ind w:left="567" w:right="616"/>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i/>
          <w:sz w:val="22"/>
          <w:szCs w:val="22"/>
        </w:rPr>
        <w:t xml:space="preserve">“…los informes que remiten los Tesoreros Municipales al Órgano Superior de </w:t>
      </w:r>
      <w:r w:rsidRPr="00F41C57">
        <w:rPr>
          <w:rFonts w:ascii="Palatino Linotype" w:eastAsia="Palatino Linotype" w:hAnsi="Palatino Linotype" w:cs="Palatino Linotype"/>
          <w:i/>
          <w:sz w:val="22"/>
          <w:szCs w:val="22"/>
        </w:rPr>
        <w:lastRenderedPageBreak/>
        <w:t>Fiscalización del Estado de México (OSFEM), debe contener todo lo relacionado al tema a examinar y toda vez que este Órgano es el encargado de fiscalizar la cuentas públicas de las entidades estatales, de acuerdo a lo que señala la Ley de Fiscalización Superior del Estado de México, la cual la faculta para crear los lineamientos, criterios, procedimientos, métodos y sistemas para las acciones de control y evaluación que se deben seguir para los informes trimestrales, según en términos del artículo 8 de la Ley de Fiscalización Superior del Estado de México, de conformidad con el acuerdo 05/2023 por el que los lineamientos, fechas de capacitación y calendarización para la integración, envió y entrega de los informes trimestrales del ejercicio fiscal 2023, de las entidades fiscalizables del Estado de México, al fecha de entrega de los informes correspondientes es del ocho al dieciséis de mayo del dos mil veintitrés, en la oficialía de parte del Órgano Superior de Fiscalización, por lo tanto la información no está disponible aún…” (Sic)</w:t>
      </w:r>
    </w:p>
    <w:p w:rsidR="00886EFA" w:rsidRPr="00F41C57" w:rsidRDefault="00886EFA">
      <w:pPr>
        <w:spacing w:after="240" w:line="360" w:lineRule="auto"/>
        <w:jc w:val="both"/>
        <w:rPr>
          <w:rFonts w:ascii="Palatino Linotype" w:eastAsia="Palatino Linotype" w:hAnsi="Palatino Linotype" w:cs="Palatino Linotype"/>
          <w:i/>
        </w:rPr>
      </w:pPr>
    </w:p>
    <w:p w:rsidR="00886EFA" w:rsidRPr="00F41C57" w:rsidRDefault="00146962">
      <w:pPr>
        <w:spacing w:line="360" w:lineRule="auto"/>
        <w:ind w:right="49"/>
        <w:jc w:val="both"/>
        <w:rPr>
          <w:rFonts w:ascii="Palatino Linotype" w:eastAsia="Palatino Linotype" w:hAnsi="Palatino Linotype" w:cs="Palatino Linotype"/>
        </w:rPr>
      </w:pPr>
      <w:r w:rsidRPr="00F41C57">
        <w:rPr>
          <w:rFonts w:ascii="Palatino Linotype" w:eastAsia="Palatino Linotype" w:hAnsi="Palatino Linotype" w:cs="Palatino Linotype"/>
        </w:rPr>
        <w:t xml:space="preserve">Es de señalar que independientemente de la integración y fechas de entrega de los informes trimestrales por parte del </w:t>
      </w:r>
      <w:r w:rsidRPr="00F41C57">
        <w:rPr>
          <w:rFonts w:ascii="Palatino Linotype" w:eastAsia="Palatino Linotype" w:hAnsi="Palatino Linotype" w:cs="Palatino Linotype"/>
          <w:b/>
        </w:rPr>
        <w:t>SUJETO OBLIGADO</w:t>
      </w:r>
      <w:r w:rsidRPr="00F41C57">
        <w:rPr>
          <w:rFonts w:ascii="Palatino Linotype" w:eastAsia="Palatino Linotype" w:hAnsi="Palatino Linotype" w:cs="Palatino Linotype"/>
        </w:rPr>
        <w:t>, no debe ser un impedimento para entregar la información solicitada en el presente asunto, en razón de que como se acreditó el Ayuntamiento de Atizapán de Zaragoza, debió generar la información de sus pasivos adquiridos de manera mensual y a la fecha de la solicitud que fue el veintinueve de marzo del año en curso, ya debe obrar en sus archivos la información de sus pasivos adquiridos durante los meses de enero y febrero del año dos mil veintitrés, lo anterior en términos de lo señalado por el artículo 18 y primer párrafo del artículo 19 de la Ley de la Materia, que son del tenor literal siguiente:</w:t>
      </w:r>
    </w:p>
    <w:p w:rsidR="00886EFA" w:rsidRPr="00F41C57" w:rsidRDefault="00886EFA">
      <w:pPr>
        <w:ind w:left="851" w:right="902"/>
        <w:jc w:val="both"/>
        <w:rPr>
          <w:rFonts w:ascii="Palatino Linotype" w:eastAsia="Palatino Linotype" w:hAnsi="Palatino Linotype" w:cs="Palatino Linotype"/>
          <w:i/>
          <w:sz w:val="22"/>
          <w:szCs w:val="22"/>
        </w:rPr>
      </w:pPr>
    </w:p>
    <w:p w:rsidR="00886EFA" w:rsidRPr="00F41C57" w:rsidRDefault="00146962">
      <w:pPr>
        <w:ind w:left="567" w:right="902"/>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i/>
          <w:sz w:val="22"/>
          <w:szCs w:val="22"/>
        </w:rPr>
        <w:t>“</w:t>
      </w:r>
      <w:r w:rsidRPr="00F41C57">
        <w:rPr>
          <w:rFonts w:ascii="Palatino Linotype" w:eastAsia="Palatino Linotype" w:hAnsi="Palatino Linotype" w:cs="Palatino Linotype"/>
          <w:b/>
          <w:i/>
          <w:sz w:val="22"/>
          <w:szCs w:val="22"/>
        </w:rPr>
        <w:t>Artículo 18.</w:t>
      </w:r>
      <w:r w:rsidRPr="00F41C57">
        <w:rPr>
          <w:rFonts w:ascii="Palatino Linotype" w:eastAsia="Palatino Linotype" w:hAnsi="Palatino Linotype" w:cs="Palatino Linotype"/>
          <w:i/>
          <w:sz w:val="22"/>
          <w:szCs w:val="22"/>
        </w:rPr>
        <w:t xml:space="preserve"> Los sujetos obligados </w:t>
      </w:r>
      <w:r w:rsidRPr="00F41C57">
        <w:rPr>
          <w:rFonts w:ascii="Palatino Linotype" w:eastAsia="Palatino Linotype" w:hAnsi="Palatino Linotype" w:cs="Palatino Linotype"/>
          <w:b/>
          <w:i/>
          <w:sz w:val="22"/>
          <w:szCs w:val="22"/>
        </w:rPr>
        <w:t>deberán documentar todo acto</w:t>
      </w:r>
      <w:r w:rsidRPr="00F41C57">
        <w:rPr>
          <w:rFonts w:ascii="Palatino Linotype" w:eastAsia="Palatino Linotype" w:hAnsi="Palatino Linotype" w:cs="Palatino Linotype"/>
          <w:i/>
          <w:sz w:val="22"/>
          <w:szCs w:val="22"/>
        </w:rPr>
        <w:t xml:space="preserve"> </w:t>
      </w:r>
      <w:r w:rsidRPr="00F41C57">
        <w:rPr>
          <w:rFonts w:ascii="Palatino Linotype" w:eastAsia="Palatino Linotype" w:hAnsi="Palatino Linotype" w:cs="Palatino Linotype"/>
          <w:b/>
          <w:i/>
          <w:sz w:val="22"/>
          <w:szCs w:val="22"/>
        </w:rPr>
        <w:t>que derive del ejercicio de sus facultades, competencias o funciones</w:t>
      </w:r>
      <w:r w:rsidRPr="00F41C57">
        <w:rPr>
          <w:rFonts w:ascii="Palatino Linotype" w:eastAsia="Palatino Linotype" w:hAnsi="Palatino Linotype" w:cs="Palatino Linotype"/>
          <w:i/>
          <w:sz w:val="22"/>
          <w:szCs w:val="22"/>
        </w:rPr>
        <w:t>, considerando desde su origen la eventual publicidad y reutilización de la información que generen.</w:t>
      </w:r>
    </w:p>
    <w:p w:rsidR="00886EFA" w:rsidRPr="00F41C57" w:rsidRDefault="00886EFA">
      <w:pPr>
        <w:ind w:left="567" w:right="851"/>
        <w:jc w:val="both"/>
        <w:rPr>
          <w:rFonts w:ascii="Palatino Linotype" w:eastAsia="Palatino Linotype" w:hAnsi="Palatino Linotype" w:cs="Palatino Linotype"/>
          <w:i/>
          <w:sz w:val="22"/>
          <w:szCs w:val="22"/>
        </w:rPr>
      </w:pPr>
    </w:p>
    <w:p w:rsidR="00886EFA" w:rsidRPr="00F41C57" w:rsidRDefault="00146962">
      <w:pPr>
        <w:ind w:left="567" w:right="851"/>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b/>
          <w:i/>
          <w:sz w:val="22"/>
          <w:szCs w:val="22"/>
        </w:rPr>
        <w:lastRenderedPageBreak/>
        <w:t>Artículo 19. Se presume que la información debe existir si se refiere a las facultades, competencias y funciones que los ordenamientos jurídicos aplicables otorgan a los sujetos obligados</w:t>
      </w:r>
      <w:r w:rsidRPr="00F41C57">
        <w:rPr>
          <w:rFonts w:ascii="Palatino Linotype" w:eastAsia="Palatino Linotype" w:hAnsi="Palatino Linotype" w:cs="Palatino Linotype"/>
          <w:i/>
          <w:sz w:val="22"/>
          <w:szCs w:val="22"/>
        </w:rPr>
        <w:t>…”</w:t>
      </w:r>
    </w:p>
    <w:p w:rsidR="00886EFA" w:rsidRPr="00F41C57" w:rsidRDefault="00886EFA">
      <w:pPr>
        <w:widowControl w:val="0"/>
        <w:pBdr>
          <w:top w:val="nil"/>
          <w:left w:val="nil"/>
          <w:bottom w:val="nil"/>
          <w:right w:val="nil"/>
          <w:between w:val="nil"/>
        </w:pBdr>
        <w:shd w:val="clear" w:color="auto" w:fill="FFFFFF"/>
        <w:spacing w:after="120"/>
        <w:ind w:left="567" w:right="567"/>
        <w:jc w:val="both"/>
        <w:rPr>
          <w:rFonts w:ascii="Palatino Linotype" w:eastAsia="Palatino Linotype" w:hAnsi="Palatino Linotype" w:cs="Palatino Linotype"/>
          <w:i/>
          <w:color w:val="000000"/>
          <w:sz w:val="22"/>
          <w:szCs w:val="22"/>
        </w:rPr>
      </w:pPr>
    </w:p>
    <w:p w:rsidR="00886EFA" w:rsidRPr="00F41C57" w:rsidRDefault="00146962">
      <w:pPr>
        <w:spacing w:line="360" w:lineRule="auto"/>
        <w:jc w:val="both"/>
        <w:rPr>
          <w:rFonts w:ascii="Palatino Linotype" w:eastAsia="Palatino Linotype" w:hAnsi="Palatino Linotype" w:cs="Palatino Linotype"/>
        </w:rPr>
      </w:pPr>
      <w:bookmarkStart w:id="2" w:name="_heading=h.17dp8vu" w:colFirst="0" w:colLast="0"/>
      <w:bookmarkEnd w:id="2"/>
      <w:r w:rsidRPr="00F41C57">
        <w:rPr>
          <w:rFonts w:ascii="Palatino Linotype" w:eastAsia="Palatino Linotype" w:hAnsi="Palatino Linotype" w:cs="Palatino Linotype"/>
        </w:rPr>
        <w:t xml:space="preserve">De ahí que, la manifestación del </w:t>
      </w:r>
      <w:r w:rsidRPr="00F41C57">
        <w:rPr>
          <w:rFonts w:ascii="Palatino Linotype" w:eastAsia="Palatino Linotype" w:hAnsi="Palatino Linotype" w:cs="Palatino Linotype"/>
          <w:b/>
        </w:rPr>
        <w:t>SUJETO OBLIGADO</w:t>
      </w:r>
      <w:r w:rsidRPr="00F41C57">
        <w:rPr>
          <w:rFonts w:ascii="Palatino Linotype" w:eastAsia="Palatino Linotype" w:hAnsi="Palatino Linotype" w:cs="Palatino Linotype"/>
        </w:rPr>
        <w:t>, careció de los principios  de congruencia y exhaustividad, como refuerzo de lo anterior, resulta crucial el Criterio 02/17, emitido por el Pleno del Instituto Nacional de Transparencia y Acceso a la Información y Protección de Datos Personales, de título y texto siguientes:</w:t>
      </w:r>
    </w:p>
    <w:p w:rsidR="00886EFA" w:rsidRPr="00F41C57" w:rsidRDefault="00146962">
      <w:pPr>
        <w:spacing w:before="80" w:after="240"/>
        <w:ind w:left="567" w:right="900"/>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b/>
          <w:i/>
          <w:sz w:val="22"/>
          <w:szCs w:val="22"/>
        </w:rPr>
        <w:t xml:space="preserve">“Congruencia y exhaustividad. Sus alcances para garantizar el derecho de acceso a la información. </w:t>
      </w:r>
      <w:r w:rsidRPr="00F41C57">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F41C57">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F41C57">
        <w:rPr>
          <w:rFonts w:ascii="Palatino Linotype" w:eastAsia="Palatino Linotype" w:hAnsi="Palatino Linotype" w:cs="Palatino Linotype"/>
          <w:i/>
          <w:sz w:val="22"/>
          <w:szCs w:val="22"/>
        </w:rPr>
        <w:t xml:space="preserve">; mientras que </w:t>
      </w:r>
      <w:r w:rsidRPr="00F41C57">
        <w:rPr>
          <w:rFonts w:ascii="Palatino Linotype" w:eastAsia="Palatino Linotype" w:hAnsi="Palatino Linotype" w:cs="Palatino Linotype"/>
          <w:b/>
          <w:i/>
          <w:sz w:val="22"/>
          <w:szCs w:val="22"/>
        </w:rPr>
        <w:t>la exhaustividad significa que dicha respuesta se refiera expresamente a cada uno de los puntos solicitados</w:t>
      </w:r>
      <w:r w:rsidRPr="00F41C57">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rsidR="00886EFA" w:rsidRPr="00F41C57" w:rsidRDefault="00146962">
      <w:pPr>
        <w:spacing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t xml:space="preserve">Razones por las cuales lo procedente es ordenar el documento o documentos en donde consten los pasivos adquiridos por el Ayuntamiento de Atizapán de Zaragoza en los meses de enero y febrero del año 2023, en versión pública de ser procedente conforme a lo señalado por el considerando quinto del presente fallo. </w:t>
      </w:r>
    </w:p>
    <w:p w:rsidR="00886EFA" w:rsidRPr="00F41C57" w:rsidRDefault="00886EFA">
      <w:pPr>
        <w:spacing w:line="360" w:lineRule="auto"/>
        <w:jc w:val="both"/>
        <w:rPr>
          <w:rFonts w:ascii="Palatino Linotype" w:eastAsia="Palatino Linotype" w:hAnsi="Palatino Linotype" w:cs="Palatino Linotype"/>
        </w:rPr>
      </w:pPr>
    </w:p>
    <w:p w:rsidR="00886EFA" w:rsidRPr="00F41C57" w:rsidRDefault="00146962">
      <w:pPr>
        <w:spacing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b/>
        </w:rPr>
        <w:t xml:space="preserve">Quinto. Versión Pública. </w:t>
      </w:r>
      <w:r w:rsidRPr="00F41C57">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w:t>
      </w:r>
      <w:r w:rsidRPr="00F41C57">
        <w:rPr>
          <w:rFonts w:ascii="Palatino Linotype" w:eastAsia="Palatino Linotype" w:hAnsi="Palatino Linotype" w:cs="Palatino Linotype"/>
        </w:rPr>
        <w:lastRenderedPageBreak/>
        <w:t>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del RECURRENTE sin menoscabar el derecho a la protección de los datos personales de terceros.</w:t>
      </w:r>
    </w:p>
    <w:p w:rsidR="00886EFA" w:rsidRPr="00F41C57" w:rsidRDefault="00886EFA">
      <w:pPr>
        <w:spacing w:line="360" w:lineRule="auto"/>
        <w:jc w:val="both"/>
        <w:rPr>
          <w:rFonts w:ascii="Palatino Linotype" w:eastAsia="Palatino Linotype" w:hAnsi="Palatino Linotype" w:cs="Palatino Linotype"/>
        </w:rPr>
      </w:pPr>
    </w:p>
    <w:p w:rsidR="00886EFA" w:rsidRPr="00F41C57" w:rsidRDefault="00146962">
      <w:pPr>
        <w:spacing w:after="240" w:line="360" w:lineRule="auto"/>
        <w:ind w:right="50"/>
        <w:jc w:val="both"/>
        <w:rPr>
          <w:rFonts w:ascii="Palatino Linotype" w:eastAsia="Palatino Linotype" w:hAnsi="Palatino Linotype" w:cs="Palatino Linotype"/>
        </w:rPr>
      </w:pPr>
      <w:r w:rsidRPr="00F41C57">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rsidR="00886EFA" w:rsidRPr="00F41C57" w:rsidRDefault="00146962">
      <w:pPr>
        <w:ind w:left="993" w:right="1041"/>
        <w:jc w:val="both"/>
        <w:rPr>
          <w:rFonts w:ascii="Palatino Linotype" w:eastAsia="Palatino Linotype" w:hAnsi="Palatino Linotype" w:cs="Palatino Linotype"/>
          <w:b/>
          <w:i/>
          <w:sz w:val="22"/>
          <w:szCs w:val="22"/>
        </w:rPr>
      </w:pPr>
      <w:r w:rsidRPr="00F41C57">
        <w:rPr>
          <w:rFonts w:ascii="Palatino Linotype" w:eastAsia="Palatino Linotype" w:hAnsi="Palatino Linotype" w:cs="Palatino Linotype"/>
          <w:b/>
          <w:i/>
          <w:sz w:val="22"/>
          <w:szCs w:val="22"/>
        </w:rPr>
        <w:t xml:space="preserve"> “Artículo 3. Para los efectos de la presente Ley se entenderá por:</w:t>
      </w:r>
    </w:p>
    <w:p w:rsidR="00886EFA" w:rsidRPr="00F41C57" w:rsidRDefault="00146962">
      <w:pPr>
        <w:ind w:left="993" w:right="1041"/>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b/>
          <w:i/>
          <w:sz w:val="22"/>
          <w:szCs w:val="22"/>
        </w:rPr>
        <w:t>IX. Datos personales:</w:t>
      </w:r>
      <w:r w:rsidRPr="00F41C57">
        <w:rPr>
          <w:rFonts w:ascii="Palatino Linotype" w:eastAsia="Palatino Linotype" w:hAnsi="Palatino Linotype" w:cs="Palatino Linotype"/>
          <w:i/>
          <w:sz w:val="22"/>
          <w:szCs w:val="22"/>
        </w:rPr>
        <w:t xml:space="preserve"> </w:t>
      </w:r>
      <w:r w:rsidRPr="00F41C57">
        <w:rPr>
          <w:rFonts w:ascii="Palatino Linotype" w:eastAsia="Palatino Linotype" w:hAnsi="Palatino Linotype" w:cs="Palatino Linotype"/>
          <w:b/>
          <w:i/>
          <w:sz w:val="22"/>
          <w:szCs w:val="22"/>
        </w:rPr>
        <w:t>La información concerniente a una persona, identificada o identificable</w:t>
      </w:r>
      <w:r w:rsidRPr="00F41C57">
        <w:rPr>
          <w:rFonts w:ascii="Palatino Linotype" w:eastAsia="Palatino Linotype" w:hAnsi="Palatino Linotype" w:cs="Palatino Linotype"/>
          <w:i/>
          <w:sz w:val="22"/>
          <w:szCs w:val="22"/>
        </w:rPr>
        <w:t xml:space="preserve"> según lo dispuesto por la Ley de Protección de Datos Personales del Estado de México;</w:t>
      </w:r>
    </w:p>
    <w:p w:rsidR="00886EFA" w:rsidRPr="00F41C57" w:rsidRDefault="00146962">
      <w:pPr>
        <w:ind w:left="993" w:right="1041"/>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b/>
          <w:i/>
          <w:sz w:val="22"/>
          <w:szCs w:val="22"/>
        </w:rPr>
        <w:t>XX. Información clasificada:</w:t>
      </w:r>
      <w:r w:rsidRPr="00F41C57">
        <w:rPr>
          <w:rFonts w:ascii="Palatino Linotype" w:eastAsia="Palatino Linotype" w:hAnsi="Palatino Linotype" w:cs="Palatino Linotype"/>
          <w:i/>
          <w:sz w:val="22"/>
          <w:szCs w:val="22"/>
        </w:rPr>
        <w:t xml:space="preserve"> Aquella considerada por la presente Ley como reservada o confidencial;</w:t>
      </w:r>
    </w:p>
    <w:p w:rsidR="00886EFA" w:rsidRPr="00F41C57" w:rsidRDefault="00146962">
      <w:pPr>
        <w:ind w:left="993" w:right="1041"/>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b/>
          <w:i/>
          <w:sz w:val="22"/>
          <w:szCs w:val="22"/>
        </w:rPr>
        <w:t>XXXII. Protección de Datos Personales:</w:t>
      </w:r>
      <w:r w:rsidRPr="00F41C57">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rsidR="00886EFA" w:rsidRPr="00F41C57" w:rsidRDefault="00146962">
      <w:pPr>
        <w:ind w:left="993" w:right="1041"/>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b/>
          <w:i/>
          <w:sz w:val="22"/>
          <w:szCs w:val="22"/>
        </w:rPr>
        <w:t>XLV. Versión pública</w:t>
      </w:r>
      <w:r w:rsidRPr="00F41C57">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886EFA" w:rsidRPr="00F41C57" w:rsidRDefault="00886EFA">
      <w:pPr>
        <w:ind w:left="993" w:right="1041"/>
        <w:jc w:val="both"/>
        <w:rPr>
          <w:rFonts w:ascii="Palatino Linotype" w:eastAsia="Palatino Linotype" w:hAnsi="Palatino Linotype" w:cs="Palatino Linotype"/>
          <w:i/>
          <w:sz w:val="22"/>
          <w:szCs w:val="22"/>
        </w:rPr>
      </w:pPr>
    </w:p>
    <w:p w:rsidR="00886EFA" w:rsidRPr="00F41C57" w:rsidRDefault="00146962">
      <w:pPr>
        <w:ind w:left="993" w:right="1041"/>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b/>
          <w:i/>
          <w:sz w:val="22"/>
          <w:szCs w:val="22"/>
        </w:rPr>
        <w:t>“Artículo 6.</w:t>
      </w:r>
      <w:r w:rsidRPr="00F41C57">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w:t>
      </w:r>
      <w:r w:rsidRPr="00F41C57">
        <w:rPr>
          <w:rFonts w:ascii="Palatino Linotype" w:eastAsia="Palatino Linotype" w:hAnsi="Palatino Linotype" w:cs="Palatino Linotype"/>
          <w:i/>
          <w:sz w:val="22"/>
          <w:szCs w:val="22"/>
        </w:rPr>
        <w:lastRenderedPageBreak/>
        <w:t>en materia de datos personales, se deberá estar a lo dispuesto en las leyes de la materia.”</w:t>
      </w:r>
    </w:p>
    <w:p w:rsidR="00886EFA" w:rsidRPr="00F41C57" w:rsidRDefault="00886EFA">
      <w:pPr>
        <w:ind w:left="993" w:right="1041"/>
        <w:jc w:val="both"/>
        <w:rPr>
          <w:rFonts w:ascii="Palatino Linotype" w:eastAsia="Palatino Linotype" w:hAnsi="Palatino Linotype" w:cs="Palatino Linotype"/>
          <w:i/>
          <w:sz w:val="22"/>
          <w:szCs w:val="22"/>
        </w:rPr>
      </w:pPr>
    </w:p>
    <w:p w:rsidR="00886EFA" w:rsidRPr="00F41C57" w:rsidRDefault="00146962">
      <w:pPr>
        <w:ind w:left="993" w:right="1041"/>
        <w:jc w:val="both"/>
        <w:rPr>
          <w:rFonts w:ascii="Palatino Linotype" w:eastAsia="Palatino Linotype" w:hAnsi="Palatino Linotype" w:cs="Palatino Linotype"/>
          <w:b/>
          <w:i/>
          <w:sz w:val="22"/>
          <w:szCs w:val="22"/>
        </w:rPr>
      </w:pPr>
      <w:r w:rsidRPr="00F41C57">
        <w:rPr>
          <w:rFonts w:ascii="Palatino Linotype" w:eastAsia="Palatino Linotype" w:hAnsi="Palatino Linotype" w:cs="Palatino Linotype"/>
          <w:b/>
          <w:i/>
          <w:sz w:val="22"/>
          <w:szCs w:val="22"/>
        </w:rPr>
        <w:t>“Artículo 137.</w:t>
      </w:r>
      <w:r w:rsidRPr="00F41C57">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886EFA" w:rsidRPr="00F41C57" w:rsidRDefault="00886EFA">
      <w:pPr>
        <w:ind w:left="993" w:right="1041"/>
        <w:jc w:val="both"/>
        <w:rPr>
          <w:rFonts w:ascii="Palatino Linotype" w:eastAsia="Palatino Linotype" w:hAnsi="Palatino Linotype" w:cs="Palatino Linotype"/>
          <w:b/>
          <w:i/>
          <w:sz w:val="22"/>
          <w:szCs w:val="22"/>
        </w:rPr>
      </w:pPr>
    </w:p>
    <w:p w:rsidR="00886EFA" w:rsidRPr="00F41C57" w:rsidRDefault="00146962">
      <w:pPr>
        <w:ind w:left="993" w:right="1041"/>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b/>
          <w:i/>
          <w:sz w:val="22"/>
          <w:szCs w:val="22"/>
        </w:rPr>
        <w:t>“Artículo 143</w:t>
      </w:r>
      <w:r w:rsidRPr="00F41C57">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886EFA" w:rsidRPr="00F41C57" w:rsidRDefault="00146962">
      <w:pPr>
        <w:ind w:left="993" w:right="1041"/>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b/>
          <w:i/>
          <w:sz w:val="22"/>
          <w:szCs w:val="22"/>
        </w:rPr>
        <w:t>I.</w:t>
      </w:r>
      <w:r w:rsidRPr="00F41C57">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rsidR="00886EFA" w:rsidRPr="00F41C57" w:rsidRDefault="00146962">
      <w:pPr>
        <w:ind w:left="993" w:right="1041"/>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886EFA" w:rsidRPr="00F41C57" w:rsidRDefault="00146962">
      <w:pPr>
        <w:ind w:left="993" w:right="1041"/>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rsidR="00886EFA" w:rsidRPr="00F41C57" w:rsidRDefault="00886EFA">
      <w:pPr>
        <w:ind w:left="993" w:right="1041"/>
        <w:jc w:val="both"/>
        <w:rPr>
          <w:rFonts w:ascii="Palatino Linotype" w:eastAsia="Palatino Linotype" w:hAnsi="Palatino Linotype" w:cs="Palatino Linotype"/>
          <w:i/>
          <w:sz w:val="22"/>
          <w:szCs w:val="22"/>
        </w:rPr>
      </w:pPr>
    </w:p>
    <w:p w:rsidR="00886EFA" w:rsidRPr="00F41C57" w:rsidRDefault="00146962">
      <w:pPr>
        <w:spacing w:line="360" w:lineRule="auto"/>
        <w:ind w:right="51"/>
        <w:jc w:val="both"/>
        <w:rPr>
          <w:rFonts w:ascii="Palatino Linotype" w:eastAsia="Palatino Linotype" w:hAnsi="Palatino Linotype" w:cs="Palatino Linotype"/>
        </w:rPr>
      </w:pPr>
      <w:r w:rsidRPr="00F41C57">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del </w:t>
      </w:r>
      <w:r w:rsidRPr="00F41C57">
        <w:rPr>
          <w:rFonts w:ascii="Palatino Linotype" w:eastAsia="Palatino Linotype" w:hAnsi="Palatino Linotype" w:cs="Palatino Linotype"/>
          <w:b/>
        </w:rPr>
        <w:t>RECURRENTE</w:t>
      </w:r>
      <w:r w:rsidRPr="00F41C57">
        <w:rPr>
          <w:rFonts w:ascii="Palatino Linotype" w:eastAsia="Palatino Linotype" w:hAnsi="Palatino Linotype" w:cs="Palatino Linotype"/>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w:t>
      </w:r>
      <w:r w:rsidRPr="00F41C57">
        <w:rPr>
          <w:rFonts w:ascii="Palatino Linotype" w:eastAsia="Palatino Linotype" w:hAnsi="Palatino Linotype" w:cs="Palatino Linotype"/>
        </w:rPr>
        <w:lastRenderedPageBreak/>
        <w:t>un riesgo grave para aquel de acuerdo a lo que señala la fracción XII del artículo 4 de la Ley de Protección de Datos Personales en Posesión de Sujetos Obligados del Estado de México.</w:t>
      </w:r>
    </w:p>
    <w:p w:rsidR="00886EFA" w:rsidRPr="00F41C57" w:rsidRDefault="00886EFA">
      <w:pPr>
        <w:spacing w:line="360" w:lineRule="auto"/>
        <w:ind w:right="51"/>
        <w:jc w:val="both"/>
        <w:rPr>
          <w:rFonts w:ascii="Palatino Linotype" w:eastAsia="Palatino Linotype" w:hAnsi="Palatino Linotype" w:cs="Palatino Linotype"/>
        </w:rPr>
      </w:pPr>
    </w:p>
    <w:p w:rsidR="00886EFA" w:rsidRPr="00F41C57" w:rsidRDefault="00146962">
      <w:pPr>
        <w:spacing w:line="360" w:lineRule="auto"/>
        <w:ind w:right="51"/>
        <w:jc w:val="both"/>
        <w:rPr>
          <w:rFonts w:ascii="Palatino Linotype" w:eastAsia="Palatino Linotype" w:hAnsi="Palatino Linotype" w:cs="Palatino Linotype"/>
        </w:rPr>
      </w:pPr>
      <w:r w:rsidRPr="00F41C57">
        <w:rPr>
          <w:rFonts w:ascii="Palatino Linotype" w:eastAsia="Palatino Linotype" w:hAnsi="Palatino Linotype" w:cs="Palatino Linotype"/>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RPr="00F41C57">
        <w:rPr>
          <w:rFonts w:ascii="Palatino Linotype" w:eastAsia="Palatino Linotype" w:hAnsi="Palatino Linotype" w:cs="Palatino Linotype"/>
          <w:b/>
        </w:rPr>
        <w:t>SUJETO OBLIGADO</w:t>
      </w:r>
      <w:r w:rsidRPr="00F41C57">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rsidR="00886EFA" w:rsidRPr="00F41C57" w:rsidRDefault="00886EFA">
      <w:pPr>
        <w:spacing w:line="360" w:lineRule="auto"/>
        <w:ind w:right="51"/>
        <w:jc w:val="both"/>
        <w:rPr>
          <w:rFonts w:ascii="Palatino Linotype" w:eastAsia="Palatino Linotype" w:hAnsi="Palatino Linotype" w:cs="Palatino Linotype"/>
        </w:rPr>
      </w:pPr>
    </w:p>
    <w:p w:rsidR="00886EFA" w:rsidRPr="00F41C57" w:rsidRDefault="00146962">
      <w:pPr>
        <w:ind w:left="992" w:right="1043"/>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b/>
          <w:i/>
          <w:sz w:val="22"/>
          <w:szCs w:val="22"/>
        </w:rPr>
        <w:t>“Artículo 49.</w:t>
      </w:r>
      <w:r w:rsidRPr="00F41C57">
        <w:rPr>
          <w:rFonts w:ascii="Palatino Linotype" w:eastAsia="Palatino Linotype" w:hAnsi="Palatino Linotype" w:cs="Palatino Linotype"/>
          <w:i/>
          <w:sz w:val="22"/>
          <w:szCs w:val="22"/>
        </w:rPr>
        <w:t xml:space="preserve"> </w:t>
      </w:r>
      <w:r w:rsidRPr="00F41C57">
        <w:rPr>
          <w:rFonts w:ascii="Palatino Linotype" w:eastAsia="Palatino Linotype" w:hAnsi="Palatino Linotype" w:cs="Palatino Linotype"/>
          <w:b/>
          <w:i/>
          <w:sz w:val="22"/>
          <w:szCs w:val="22"/>
        </w:rPr>
        <w:t>Los Comités de Transparencia</w:t>
      </w:r>
      <w:r w:rsidRPr="00F41C57">
        <w:rPr>
          <w:rFonts w:ascii="Palatino Linotype" w:eastAsia="Palatino Linotype" w:hAnsi="Palatino Linotype" w:cs="Palatino Linotype"/>
          <w:i/>
          <w:sz w:val="22"/>
          <w:szCs w:val="22"/>
        </w:rPr>
        <w:t xml:space="preserve"> tendrán las siguientes atribuciones:</w:t>
      </w:r>
    </w:p>
    <w:p w:rsidR="00886EFA" w:rsidRPr="00F41C57" w:rsidRDefault="00146962">
      <w:pPr>
        <w:ind w:left="992" w:right="1043"/>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b/>
          <w:i/>
          <w:sz w:val="22"/>
          <w:szCs w:val="22"/>
        </w:rPr>
        <w:t>VIII. Aprobar, modificar o revocar la clasificación de la información</w:t>
      </w:r>
      <w:r w:rsidRPr="00F41C57">
        <w:rPr>
          <w:rFonts w:ascii="Palatino Linotype" w:eastAsia="Palatino Linotype" w:hAnsi="Palatino Linotype" w:cs="Palatino Linotype"/>
          <w:i/>
          <w:sz w:val="22"/>
          <w:szCs w:val="22"/>
        </w:rPr>
        <w:t>…”</w:t>
      </w:r>
    </w:p>
    <w:p w:rsidR="00886EFA" w:rsidRPr="00F41C57" w:rsidRDefault="00146962">
      <w:pPr>
        <w:ind w:left="992" w:right="1043"/>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i/>
          <w:sz w:val="22"/>
          <w:szCs w:val="22"/>
        </w:rPr>
        <w:t>“</w:t>
      </w:r>
      <w:r w:rsidRPr="00F41C57">
        <w:rPr>
          <w:rFonts w:ascii="Palatino Linotype" w:eastAsia="Palatino Linotype" w:hAnsi="Palatino Linotype" w:cs="Palatino Linotype"/>
          <w:b/>
          <w:i/>
          <w:sz w:val="22"/>
          <w:szCs w:val="22"/>
        </w:rPr>
        <w:t>Artículo 53.</w:t>
      </w:r>
      <w:r w:rsidRPr="00F41C57">
        <w:rPr>
          <w:rFonts w:ascii="Palatino Linotype" w:eastAsia="Palatino Linotype" w:hAnsi="Palatino Linotype" w:cs="Palatino Linotype"/>
          <w:i/>
          <w:sz w:val="22"/>
          <w:szCs w:val="22"/>
        </w:rPr>
        <w:t xml:space="preserve"> Las </w:t>
      </w:r>
      <w:r w:rsidRPr="00F41C57">
        <w:rPr>
          <w:rFonts w:ascii="Palatino Linotype" w:eastAsia="Palatino Linotype" w:hAnsi="Palatino Linotype" w:cs="Palatino Linotype"/>
          <w:b/>
          <w:i/>
          <w:sz w:val="22"/>
          <w:szCs w:val="22"/>
        </w:rPr>
        <w:t>Unidades de Transparencia</w:t>
      </w:r>
      <w:r w:rsidRPr="00F41C57">
        <w:rPr>
          <w:rFonts w:ascii="Palatino Linotype" w:eastAsia="Palatino Linotype" w:hAnsi="Palatino Linotype" w:cs="Palatino Linotype"/>
          <w:i/>
          <w:sz w:val="22"/>
          <w:szCs w:val="22"/>
        </w:rPr>
        <w:t xml:space="preserve"> tendrán las siguientes </w:t>
      </w:r>
      <w:r w:rsidRPr="00F41C57">
        <w:rPr>
          <w:rFonts w:ascii="Palatino Linotype" w:eastAsia="Palatino Linotype" w:hAnsi="Palatino Linotype" w:cs="Palatino Linotype"/>
          <w:b/>
          <w:i/>
          <w:sz w:val="22"/>
          <w:szCs w:val="22"/>
        </w:rPr>
        <w:t>funciones</w:t>
      </w:r>
      <w:r w:rsidRPr="00F41C57">
        <w:rPr>
          <w:rFonts w:ascii="Palatino Linotype" w:eastAsia="Palatino Linotype" w:hAnsi="Palatino Linotype" w:cs="Palatino Linotype"/>
          <w:i/>
          <w:sz w:val="22"/>
          <w:szCs w:val="22"/>
        </w:rPr>
        <w:t>:</w:t>
      </w:r>
    </w:p>
    <w:p w:rsidR="00886EFA" w:rsidRPr="00F41C57" w:rsidRDefault="00146962">
      <w:pPr>
        <w:ind w:left="992" w:right="1043"/>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b/>
          <w:i/>
          <w:sz w:val="22"/>
          <w:szCs w:val="22"/>
        </w:rPr>
        <w:t>X. Presentar ante el Comité, el proyecto de clasificación de información</w:t>
      </w:r>
      <w:r w:rsidRPr="00F41C57">
        <w:rPr>
          <w:rFonts w:ascii="Palatino Linotype" w:eastAsia="Palatino Linotype" w:hAnsi="Palatino Linotype" w:cs="Palatino Linotype"/>
          <w:i/>
          <w:sz w:val="22"/>
          <w:szCs w:val="22"/>
        </w:rPr>
        <w:t xml:space="preserve">…” </w:t>
      </w:r>
    </w:p>
    <w:p w:rsidR="00886EFA" w:rsidRPr="00F41C57" w:rsidRDefault="00146962">
      <w:pPr>
        <w:ind w:left="992" w:right="1043"/>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b/>
          <w:i/>
          <w:sz w:val="22"/>
          <w:szCs w:val="22"/>
        </w:rPr>
        <w:t>“Artículo 59.</w:t>
      </w:r>
      <w:r w:rsidRPr="00F41C57">
        <w:rPr>
          <w:rFonts w:ascii="Palatino Linotype" w:eastAsia="Palatino Linotype" w:hAnsi="Palatino Linotype" w:cs="Palatino Linotype"/>
          <w:i/>
          <w:sz w:val="22"/>
          <w:szCs w:val="22"/>
        </w:rPr>
        <w:t xml:space="preserve"> Los </w:t>
      </w:r>
      <w:r w:rsidRPr="00F41C57">
        <w:rPr>
          <w:rFonts w:ascii="Palatino Linotype" w:eastAsia="Palatino Linotype" w:hAnsi="Palatino Linotype" w:cs="Palatino Linotype"/>
          <w:b/>
          <w:i/>
          <w:sz w:val="22"/>
          <w:szCs w:val="22"/>
        </w:rPr>
        <w:t>servidores públicos habilitados</w:t>
      </w:r>
      <w:r w:rsidRPr="00F41C57">
        <w:rPr>
          <w:rFonts w:ascii="Palatino Linotype" w:eastAsia="Palatino Linotype" w:hAnsi="Palatino Linotype" w:cs="Palatino Linotype"/>
          <w:i/>
          <w:sz w:val="22"/>
          <w:szCs w:val="22"/>
        </w:rPr>
        <w:t xml:space="preserve"> tendrán las </w:t>
      </w:r>
      <w:r w:rsidRPr="00F41C57">
        <w:rPr>
          <w:rFonts w:ascii="Palatino Linotype" w:eastAsia="Palatino Linotype" w:hAnsi="Palatino Linotype" w:cs="Palatino Linotype"/>
          <w:b/>
          <w:i/>
          <w:sz w:val="22"/>
          <w:szCs w:val="22"/>
        </w:rPr>
        <w:t>funciones</w:t>
      </w:r>
      <w:r w:rsidRPr="00F41C57">
        <w:rPr>
          <w:rFonts w:ascii="Palatino Linotype" w:eastAsia="Palatino Linotype" w:hAnsi="Palatino Linotype" w:cs="Palatino Linotype"/>
          <w:i/>
          <w:sz w:val="22"/>
          <w:szCs w:val="22"/>
        </w:rPr>
        <w:t xml:space="preserve"> siguientes:</w:t>
      </w:r>
    </w:p>
    <w:p w:rsidR="00886EFA" w:rsidRPr="00F41C57" w:rsidRDefault="00146962">
      <w:pPr>
        <w:ind w:left="992" w:right="1043"/>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F41C57">
        <w:rPr>
          <w:rFonts w:ascii="Palatino Linotype" w:eastAsia="Palatino Linotype" w:hAnsi="Palatino Linotype" w:cs="Palatino Linotype"/>
          <w:i/>
          <w:sz w:val="22"/>
          <w:szCs w:val="22"/>
        </w:rPr>
        <w:t>, la cual tendrá los fundamentos y argumentos en que se basa dicha propuesta…” (Sic)</w:t>
      </w:r>
    </w:p>
    <w:p w:rsidR="00886EFA" w:rsidRPr="00F41C57" w:rsidRDefault="00886EFA">
      <w:pPr>
        <w:ind w:left="992" w:right="1043"/>
        <w:jc w:val="both"/>
        <w:rPr>
          <w:rFonts w:ascii="Palatino Linotype" w:eastAsia="Palatino Linotype" w:hAnsi="Palatino Linotype" w:cs="Palatino Linotype"/>
          <w:i/>
          <w:sz w:val="22"/>
          <w:szCs w:val="22"/>
        </w:rPr>
      </w:pPr>
    </w:p>
    <w:p w:rsidR="00886EFA" w:rsidRPr="00F41C57" w:rsidRDefault="00146962">
      <w:pPr>
        <w:spacing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w:t>
      </w:r>
      <w:r w:rsidRPr="00F41C57">
        <w:rPr>
          <w:rFonts w:ascii="Palatino Linotype" w:eastAsia="Palatino Linotype" w:hAnsi="Palatino Linotype" w:cs="Palatino Linotype"/>
        </w:rPr>
        <w:lastRenderedPageBreak/>
        <w:t>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886EFA" w:rsidRPr="00F41C57" w:rsidRDefault="00886EFA">
      <w:pPr>
        <w:spacing w:line="360" w:lineRule="auto"/>
        <w:jc w:val="both"/>
        <w:rPr>
          <w:rFonts w:ascii="Palatino Linotype" w:eastAsia="Palatino Linotype" w:hAnsi="Palatino Linotype" w:cs="Palatino Linotype"/>
        </w:rPr>
      </w:pPr>
    </w:p>
    <w:p w:rsidR="00886EFA" w:rsidRPr="00F41C57" w:rsidRDefault="00146962">
      <w:pPr>
        <w:spacing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886EFA" w:rsidRPr="00F41C57" w:rsidRDefault="00886EFA">
      <w:pPr>
        <w:spacing w:line="360" w:lineRule="auto"/>
        <w:jc w:val="both"/>
        <w:rPr>
          <w:rFonts w:ascii="Palatino Linotype" w:eastAsia="Palatino Linotype" w:hAnsi="Palatino Linotype" w:cs="Palatino Linotype"/>
        </w:rPr>
      </w:pPr>
    </w:p>
    <w:p w:rsidR="00886EFA" w:rsidRPr="00F41C57" w:rsidRDefault="00146962">
      <w:pPr>
        <w:spacing w:after="240"/>
        <w:ind w:left="993" w:right="1041"/>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i/>
          <w:sz w:val="22"/>
          <w:szCs w:val="22"/>
        </w:rPr>
        <w:t>“</w:t>
      </w:r>
      <w:r w:rsidRPr="00F41C57">
        <w:rPr>
          <w:rFonts w:ascii="Palatino Linotype" w:eastAsia="Palatino Linotype" w:hAnsi="Palatino Linotype" w:cs="Palatino Linotype"/>
          <w:b/>
          <w:i/>
          <w:sz w:val="22"/>
          <w:szCs w:val="22"/>
        </w:rPr>
        <w:t>Artículo 149.</w:t>
      </w:r>
      <w:r w:rsidRPr="00F41C57">
        <w:rPr>
          <w:rFonts w:ascii="Palatino Linotype" w:eastAsia="Palatino Linotype" w:hAnsi="Palatino Linotype" w:cs="Palatino Linotype"/>
          <w:i/>
          <w:sz w:val="22"/>
          <w:szCs w:val="22"/>
        </w:rPr>
        <w:t xml:space="preserve"> El </w:t>
      </w:r>
      <w:r w:rsidRPr="00F41C57">
        <w:rPr>
          <w:rFonts w:ascii="Palatino Linotype" w:eastAsia="Palatino Linotype" w:hAnsi="Palatino Linotype" w:cs="Palatino Linotype"/>
          <w:b/>
          <w:i/>
          <w:sz w:val="22"/>
          <w:szCs w:val="22"/>
        </w:rPr>
        <w:t>acuerdo que clasifique la información como confidencial</w:t>
      </w:r>
      <w:r w:rsidRPr="00F41C57">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rsidR="00886EFA" w:rsidRPr="00F41C57" w:rsidRDefault="00886EFA">
      <w:pPr>
        <w:spacing w:before="240" w:line="360" w:lineRule="auto"/>
        <w:ind w:right="51"/>
        <w:jc w:val="both"/>
        <w:rPr>
          <w:rFonts w:ascii="Palatino Linotype" w:eastAsia="Palatino Linotype" w:hAnsi="Palatino Linotype" w:cs="Palatino Linotype"/>
          <w:i/>
          <w:sz w:val="22"/>
          <w:szCs w:val="22"/>
        </w:rPr>
      </w:pPr>
    </w:p>
    <w:p w:rsidR="00886EFA" w:rsidRPr="00F41C57" w:rsidRDefault="00146962">
      <w:pPr>
        <w:spacing w:line="360" w:lineRule="auto"/>
        <w:ind w:right="51"/>
        <w:jc w:val="both"/>
        <w:rPr>
          <w:rFonts w:ascii="Palatino Linotype" w:eastAsia="Palatino Linotype" w:hAnsi="Palatino Linotype" w:cs="Palatino Linotype"/>
        </w:rPr>
      </w:pPr>
      <w:r w:rsidRPr="00F41C57">
        <w:rPr>
          <w:rFonts w:ascii="Palatino Linotype" w:eastAsia="Palatino Linotype" w:hAnsi="Palatino Linotype" w:cs="Palatino Linotype"/>
        </w:rPr>
        <w:t xml:space="preserve">Es decir, el </w:t>
      </w:r>
      <w:r w:rsidRPr="00F41C57">
        <w:rPr>
          <w:rFonts w:ascii="Palatino Linotype" w:eastAsia="Palatino Linotype" w:hAnsi="Palatino Linotype" w:cs="Palatino Linotype"/>
          <w:b/>
        </w:rPr>
        <w:t>SUJETO OBLIGADO</w:t>
      </w:r>
      <w:r w:rsidRPr="00F41C57">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886EFA" w:rsidRPr="00F41C57" w:rsidRDefault="00886EFA">
      <w:pPr>
        <w:spacing w:line="360" w:lineRule="auto"/>
        <w:ind w:right="51"/>
        <w:jc w:val="both"/>
        <w:rPr>
          <w:rFonts w:ascii="Palatino Linotype" w:eastAsia="Palatino Linotype" w:hAnsi="Palatino Linotype" w:cs="Palatino Linotype"/>
        </w:rPr>
      </w:pPr>
    </w:p>
    <w:p w:rsidR="00886EFA" w:rsidRPr="00F41C57" w:rsidRDefault="00146962">
      <w:pPr>
        <w:spacing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sz w:val="22"/>
          <w:szCs w:val="22"/>
        </w:rPr>
        <w:lastRenderedPageBreak/>
        <w:t xml:space="preserve">Es así, que </w:t>
      </w:r>
      <w:r w:rsidRPr="00F41C57">
        <w:rPr>
          <w:rFonts w:ascii="Palatino Linotype" w:eastAsia="Palatino Linotype" w:hAnsi="Palatino Linotype" w:cs="Palatino Linotype"/>
        </w:rPr>
        <w:t>por cuanto hace al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rsidR="00886EFA" w:rsidRPr="00F41C57" w:rsidRDefault="00886EFA">
      <w:pPr>
        <w:spacing w:line="360" w:lineRule="auto"/>
        <w:ind w:right="50"/>
        <w:jc w:val="both"/>
        <w:rPr>
          <w:rFonts w:ascii="Palatino Linotype" w:eastAsia="Palatino Linotype" w:hAnsi="Palatino Linotype" w:cs="Palatino Linotype"/>
        </w:rPr>
      </w:pPr>
    </w:p>
    <w:p w:rsidR="00886EFA" w:rsidRPr="00F41C57" w:rsidRDefault="00146962">
      <w:pPr>
        <w:spacing w:line="360" w:lineRule="auto"/>
        <w:ind w:right="51"/>
        <w:jc w:val="both"/>
        <w:rPr>
          <w:rFonts w:ascii="Palatino Linotype" w:eastAsia="Palatino Linotype" w:hAnsi="Palatino Linotype" w:cs="Palatino Linotype"/>
        </w:rPr>
      </w:pPr>
      <w:r w:rsidRPr="00F41C57">
        <w:rPr>
          <w:rFonts w:ascii="Palatino Linotype" w:eastAsia="Palatino Linotype" w:hAnsi="Palatino Linotype" w:cs="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886EFA" w:rsidRPr="00F41C57" w:rsidRDefault="00886EFA">
      <w:pPr>
        <w:spacing w:line="360" w:lineRule="auto"/>
        <w:ind w:right="51"/>
        <w:jc w:val="both"/>
        <w:rPr>
          <w:rFonts w:ascii="Palatino Linotype" w:eastAsia="Palatino Linotype" w:hAnsi="Palatino Linotype" w:cs="Palatino Linotype"/>
        </w:rPr>
      </w:pPr>
    </w:p>
    <w:p w:rsidR="00886EFA" w:rsidRPr="00F41C57" w:rsidRDefault="00146962">
      <w:pPr>
        <w:spacing w:line="360" w:lineRule="auto"/>
        <w:ind w:right="50"/>
        <w:jc w:val="both"/>
        <w:rPr>
          <w:rFonts w:ascii="Palatino Linotype" w:eastAsia="Palatino Linotype" w:hAnsi="Palatino Linotype" w:cs="Palatino Linotype"/>
        </w:rPr>
      </w:pPr>
      <w:r w:rsidRPr="00F41C57">
        <w:rPr>
          <w:rFonts w:ascii="Palatino Linotype" w:eastAsia="Palatino Linotype" w:hAnsi="Palatino Linotype" w:cs="Palatino Linotype"/>
        </w:rPr>
        <w:t>Lo anterior encuentra sustento en el criterio 10/17 emitido por el Instituto Nacional de Transparencia y Acceso a la Información Pública del Estado de México y Municipios, que a la letra dicen:</w:t>
      </w:r>
    </w:p>
    <w:p w:rsidR="00886EFA" w:rsidRPr="00F41C57" w:rsidRDefault="00886EFA">
      <w:pPr>
        <w:ind w:right="50"/>
        <w:jc w:val="both"/>
        <w:rPr>
          <w:rFonts w:ascii="Palatino Linotype" w:eastAsia="Palatino Linotype" w:hAnsi="Palatino Linotype" w:cs="Palatino Linotype"/>
        </w:rPr>
      </w:pPr>
    </w:p>
    <w:p w:rsidR="00886EFA" w:rsidRPr="00F41C57" w:rsidRDefault="00146962">
      <w:pPr>
        <w:ind w:left="851" w:right="1134"/>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b/>
          <w:i/>
          <w:sz w:val="22"/>
          <w:szCs w:val="22"/>
        </w:rPr>
        <w:t>“Cuentas bancarias y/o CLABE interbancaria de personas físicas y morales privadas.</w:t>
      </w:r>
      <w:r w:rsidRPr="00F41C57">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886EFA" w:rsidRPr="00F41C57" w:rsidRDefault="00886EFA">
      <w:pPr>
        <w:ind w:left="851" w:right="899"/>
        <w:jc w:val="center"/>
        <w:rPr>
          <w:rFonts w:ascii="Palatino Linotype" w:eastAsia="Palatino Linotype" w:hAnsi="Palatino Linotype" w:cs="Palatino Linotype"/>
          <w:b/>
          <w:i/>
          <w:sz w:val="22"/>
          <w:szCs w:val="22"/>
        </w:rPr>
      </w:pPr>
    </w:p>
    <w:p w:rsidR="00886EFA" w:rsidRPr="00F41C57" w:rsidRDefault="00146962">
      <w:pPr>
        <w:spacing w:line="360" w:lineRule="auto"/>
        <w:ind w:right="50"/>
        <w:jc w:val="both"/>
        <w:rPr>
          <w:rFonts w:ascii="Palatino Linotype" w:eastAsia="Palatino Linotype" w:hAnsi="Palatino Linotype" w:cs="Palatino Linotype"/>
        </w:rPr>
      </w:pPr>
      <w:r w:rsidRPr="00F41C57">
        <w:rPr>
          <w:rFonts w:ascii="Palatino Linotype" w:eastAsia="Palatino Linotype" w:hAnsi="Palatino Linotype" w:cs="Palatino Linotype"/>
        </w:rPr>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rsidR="00886EFA" w:rsidRPr="00F41C57" w:rsidRDefault="00886EFA">
      <w:pPr>
        <w:ind w:right="50"/>
        <w:jc w:val="both"/>
        <w:rPr>
          <w:rFonts w:ascii="Palatino Linotype" w:eastAsia="Palatino Linotype" w:hAnsi="Palatino Linotype" w:cs="Palatino Linotype"/>
        </w:rPr>
      </w:pPr>
    </w:p>
    <w:p w:rsidR="00886EFA" w:rsidRPr="00F41C57" w:rsidRDefault="00146962">
      <w:pPr>
        <w:ind w:left="851" w:right="1134"/>
        <w:jc w:val="both"/>
        <w:rPr>
          <w:rFonts w:ascii="Palatino Linotype" w:eastAsia="Palatino Linotype" w:hAnsi="Palatino Linotype" w:cs="Palatino Linotype"/>
          <w:i/>
          <w:sz w:val="22"/>
          <w:szCs w:val="22"/>
        </w:rPr>
      </w:pPr>
      <w:r w:rsidRPr="00F41C57">
        <w:rPr>
          <w:rFonts w:ascii="Palatino Linotype" w:eastAsia="Palatino Linotype" w:hAnsi="Palatino Linotype" w:cs="Palatino Linotype"/>
          <w:i/>
          <w:sz w:val="22"/>
          <w:szCs w:val="22"/>
        </w:rPr>
        <w:t>“</w:t>
      </w:r>
      <w:r w:rsidRPr="00F41C57">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F41C57">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886EFA" w:rsidRPr="00F41C57" w:rsidRDefault="00886EFA">
      <w:pPr>
        <w:spacing w:line="360" w:lineRule="auto"/>
        <w:ind w:right="51"/>
        <w:jc w:val="both"/>
        <w:rPr>
          <w:rFonts w:ascii="Palatino Linotype" w:eastAsia="Palatino Linotype" w:hAnsi="Palatino Linotype" w:cs="Palatino Linotype"/>
        </w:rPr>
      </w:pPr>
    </w:p>
    <w:p w:rsidR="00886EFA" w:rsidRPr="00F41C57" w:rsidRDefault="00146962">
      <w:pPr>
        <w:spacing w:before="240" w:after="240" w:line="360" w:lineRule="auto"/>
        <w:ind w:right="50"/>
        <w:jc w:val="both"/>
        <w:rPr>
          <w:rFonts w:ascii="Palatino Linotype" w:eastAsia="Palatino Linotype" w:hAnsi="Palatino Linotype" w:cs="Palatino Linotype"/>
        </w:rPr>
      </w:pPr>
      <w:r w:rsidRPr="00F41C57">
        <w:rPr>
          <w:rFonts w:ascii="Palatino Linotype" w:eastAsia="Palatino Linotype" w:hAnsi="Palatino Linotype" w:cs="Palatino Linotype"/>
        </w:rPr>
        <w:t>Sobre el RFC, dada la naturaleza de la información que se ordena, es importante resaltar que, 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rsidR="00886EFA" w:rsidRPr="00F41C57" w:rsidRDefault="00146962">
      <w:pPr>
        <w:spacing w:before="240" w:after="240" w:line="360" w:lineRule="auto"/>
        <w:ind w:right="50"/>
        <w:jc w:val="both"/>
        <w:rPr>
          <w:rFonts w:ascii="Palatino Linotype" w:eastAsia="Palatino Linotype" w:hAnsi="Palatino Linotype" w:cs="Palatino Linotype"/>
        </w:rPr>
      </w:pPr>
      <w:r w:rsidRPr="00F41C57">
        <w:rPr>
          <w:rFonts w:ascii="Palatino Linotype" w:eastAsia="Palatino Linotype" w:hAnsi="Palatino Linotype" w:cs="Palatino Linotype"/>
        </w:rPr>
        <w:t xml:space="preserve">Ello se debe a que, del ejercicio de ponderación entre el derecho a la protección de datos personales con el derecho de acceso a la información pública, es de mayor trascendencia el que cualquier persona pueda conocer en qué se gastan los recursos </w:t>
      </w:r>
      <w:r w:rsidRPr="00F41C57">
        <w:rPr>
          <w:rFonts w:ascii="Palatino Linotype" w:eastAsia="Palatino Linotype" w:hAnsi="Palatino Linotype" w:cs="Palatino Linotype"/>
        </w:rPr>
        <w:lastRenderedPageBreak/>
        <w:t>públicos, puesto que se trata de erogaciones que realiza un órgano del Estado con base en los recursos que encuentran su origen en mayor medida en las contribuciones aportados por los gobernados, por lo que debe transparentarse su ejercicio.</w:t>
      </w:r>
    </w:p>
    <w:p w:rsidR="00886EFA" w:rsidRPr="00F41C57" w:rsidRDefault="00146962">
      <w:pPr>
        <w:spacing w:before="240" w:after="240" w:line="360" w:lineRule="auto"/>
        <w:ind w:right="50"/>
        <w:jc w:val="both"/>
        <w:rPr>
          <w:rFonts w:ascii="Palatino Linotype" w:eastAsia="Palatino Linotype" w:hAnsi="Palatino Linotype" w:cs="Palatino Linotype"/>
        </w:rPr>
      </w:pPr>
      <w:r w:rsidRPr="00F41C57">
        <w:rPr>
          <w:rFonts w:ascii="Palatino Linotype" w:eastAsia="Palatino Linotype" w:hAnsi="Palatino Linotype" w:cs="Palatino Linotype"/>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rsidR="00886EFA" w:rsidRPr="00F41C57" w:rsidRDefault="00146962">
      <w:pPr>
        <w:spacing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t xml:space="preserve">Al respecto, se destaca que la versión pública que elabore el </w:t>
      </w:r>
      <w:r w:rsidRPr="00F41C57">
        <w:rPr>
          <w:rFonts w:ascii="Palatino Linotype" w:eastAsia="Palatino Linotype" w:hAnsi="Palatino Linotype" w:cs="Palatino Linotype"/>
          <w:b/>
        </w:rPr>
        <w:t>SUJETO OBLIGADO</w:t>
      </w:r>
      <w:r w:rsidRPr="00F41C57">
        <w:rPr>
          <w:rFonts w:ascii="Palatino Linotype" w:eastAsia="Palatino Linotype" w:hAnsi="Palatino Linotype" w:cs="Palatino Linotype"/>
        </w:rPr>
        <w:t xml:space="preserve"> debe cumplir con las formalidades exigidas en la Ley; es decir, resulta necesario que el Comité de Transparencia del </w:t>
      </w:r>
      <w:r w:rsidRPr="00F41C57">
        <w:rPr>
          <w:rFonts w:ascii="Palatino Linotype" w:eastAsia="Palatino Linotype" w:hAnsi="Palatino Linotype" w:cs="Palatino Linotype"/>
          <w:b/>
        </w:rPr>
        <w:t>SUJETO OBLIGADO</w:t>
      </w:r>
      <w:r w:rsidRPr="00F41C57">
        <w:rPr>
          <w:rFonts w:ascii="Palatino Linotype" w:eastAsia="Palatino Linotype" w:hAnsi="Palatino Linotype" w:cs="Palatino Linotype"/>
        </w:rPr>
        <w:t xml:space="preserve">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F41C57">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F41C57">
        <w:rPr>
          <w:rFonts w:ascii="Palatino Linotype" w:eastAsia="Palatino Linotype" w:hAnsi="Palatino Linotype" w:cs="Palatino Linotype"/>
        </w:rPr>
        <w:t xml:space="preserve">, publicados en el Diario Oficial de la Federación en fecha dieciocho de noviembre del año dos mil veintidós, mediante </w:t>
      </w:r>
      <w:r w:rsidRPr="00F41C57">
        <w:rPr>
          <w:rFonts w:ascii="Palatino Linotype" w:eastAsia="Palatino Linotype" w:hAnsi="Palatino Linotype" w:cs="Palatino Linotype"/>
        </w:rPr>
        <w:lastRenderedPageBreak/>
        <w:t>Acuerdo del Consejo Nacional del Sistema Nacional de Transparencia, Acceso a la Información Pública y Protección de Datos Personales, que literalmente expresan:</w:t>
      </w:r>
    </w:p>
    <w:p w:rsidR="00886EFA" w:rsidRPr="00F41C57" w:rsidRDefault="00886EFA">
      <w:pPr>
        <w:ind w:left="709" w:right="709"/>
        <w:jc w:val="both"/>
        <w:rPr>
          <w:rFonts w:ascii="Palatino Linotype" w:eastAsia="Palatino Linotype" w:hAnsi="Palatino Linotype" w:cs="Palatino Linotype"/>
          <w:b/>
          <w:i/>
          <w:sz w:val="22"/>
          <w:szCs w:val="22"/>
        </w:rPr>
      </w:pPr>
    </w:p>
    <w:p w:rsidR="00886EFA" w:rsidRPr="00F41C57" w:rsidRDefault="00146962">
      <w:pPr>
        <w:ind w:left="709" w:right="709"/>
        <w:jc w:val="both"/>
        <w:rPr>
          <w:color w:val="000000"/>
        </w:rPr>
      </w:pPr>
      <w:r w:rsidRPr="00F41C57">
        <w:rPr>
          <w:rFonts w:ascii="Palatino Linotype" w:eastAsia="Palatino Linotype" w:hAnsi="Palatino Linotype" w:cs="Palatino Linotype"/>
          <w:b/>
          <w:i/>
          <w:color w:val="000000"/>
          <w:sz w:val="22"/>
          <w:szCs w:val="22"/>
        </w:rPr>
        <w:t>“Lineamientos Generales en materia de Clasificación y Desclasificación de la Información, así como para la elaboración de Versiones Públicas</w:t>
      </w:r>
    </w:p>
    <w:p w:rsidR="00886EFA" w:rsidRPr="00F41C57" w:rsidRDefault="00146962">
      <w:pPr>
        <w:ind w:left="709" w:right="709"/>
        <w:jc w:val="both"/>
        <w:rPr>
          <w:color w:val="000000"/>
        </w:rPr>
      </w:pPr>
      <w:r w:rsidRPr="00F41C57">
        <w:rPr>
          <w:rFonts w:ascii="Palatino Linotype" w:eastAsia="Palatino Linotype" w:hAnsi="Palatino Linotype" w:cs="Palatino Linotype"/>
          <w:i/>
          <w:color w:val="000000"/>
          <w:sz w:val="22"/>
          <w:szCs w:val="22"/>
        </w:rPr>
        <w:t>“</w:t>
      </w:r>
      <w:r w:rsidRPr="00F41C57">
        <w:rPr>
          <w:rFonts w:ascii="Palatino Linotype" w:eastAsia="Palatino Linotype" w:hAnsi="Palatino Linotype" w:cs="Palatino Linotype"/>
          <w:b/>
          <w:i/>
          <w:color w:val="000000"/>
          <w:sz w:val="22"/>
          <w:szCs w:val="22"/>
        </w:rPr>
        <w:t>Segundo.-</w:t>
      </w:r>
      <w:r w:rsidRPr="00F41C57">
        <w:rPr>
          <w:rFonts w:ascii="Palatino Linotype" w:eastAsia="Palatino Linotype" w:hAnsi="Palatino Linotype" w:cs="Palatino Linotype"/>
          <w:i/>
          <w:color w:val="000000"/>
          <w:sz w:val="22"/>
          <w:szCs w:val="22"/>
        </w:rPr>
        <w:t xml:space="preserve"> Para efectos de los presentes Lineamientos Generales, se entenderá por:</w:t>
      </w:r>
    </w:p>
    <w:p w:rsidR="00886EFA" w:rsidRPr="00F41C57" w:rsidRDefault="00146962">
      <w:pPr>
        <w:ind w:left="709" w:right="709"/>
        <w:jc w:val="both"/>
        <w:rPr>
          <w:color w:val="000000"/>
        </w:rPr>
      </w:pPr>
      <w:r w:rsidRPr="00F41C57">
        <w:rPr>
          <w:rFonts w:ascii="Palatino Linotype" w:eastAsia="Palatino Linotype" w:hAnsi="Palatino Linotype" w:cs="Palatino Linotype"/>
          <w:b/>
          <w:i/>
          <w:color w:val="000000"/>
          <w:sz w:val="22"/>
          <w:szCs w:val="22"/>
        </w:rPr>
        <w:t>XVIII.</w:t>
      </w:r>
      <w:r w:rsidRPr="00F41C57">
        <w:rPr>
          <w:rFonts w:ascii="Palatino Linotype" w:eastAsia="Palatino Linotype" w:hAnsi="Palatino Linotype" w:cs="Palatino Linotype"/>
          <w:i/>
          <w:color w:val="000000"/>
          <w:sz w:val="22"/>
          <w:szCs w:val="22"/>
        </w:rPr>
        <w:t xml:space="preserve"> </w:t>
      </w:r>
      <w:r w:rsidRPr="00F41C57">
        <w:rPr>
          <w:rFonts w:ascii="Palatino Linotype" w:eastAsia="Palatino Linotype" w:hAnsi="Palatino Linotype" w:cs="Palatino Linotype"/>
          <w:b/>
          <w:i/>
          <w:color w:val="000000"/>
          <w:sz w:val="22"/>
          <w:szCs w:val="22"/>
        </w:rPr>
        <w:t>Versión pública:</w:t>
      </w:r>
      <w:r w:rsidRPr="00F41C57">
        <w:rPr>
          <w:rFonts w:ascii="Palatino Linotype" w:eastAsia="Palatino Linotype" w:hAnsi="Palatino Linotype" w:cs="Palatino Linotype"/>
          <w:i/>
          <w:color w:val="000000"/>
          <w:sz w:val="22"/>
          <w:szCs w:val="22"/>
        </w:rPr>
        <w:t xml:space="preserve"> El documento a partir del que se otorga acceso a la información, en el que se testan partes o secciones clasificadas, indicando el contenido de éstas de manera genérica, </w:t>
      </w:r>
      <w:r w:rsidRPr="00F41C57">
        <w:rPr>
          <w:rFonts w:ascii="Palatino Linotype" w:eastAsia="Palatino Linotype" w:hAnsi="Palatino Linotype" w:cs="Palatino Linotype"/>
          <w:b/>
          <w:i/>
          <w:color w:val="000000"/>
          <w:sz w:val="22"/>
          <w:szCs w:val="22"/>
          <w:u w:val="single"/>
        </w:rPr>
        <w:t>fundando y motivando la</w:t>
      </w:r>
      <w:r w:rsidRPr="00F41C57">
        <w:rPr>
          <w:rFonts w:ascii="Palatino Linotype" w:eastAsia="Palatino Linotype" w:hAnsi="Palatino Linotype" w:cs="Palatino Linotype"/>
          <w:i/>
          <w:color w:val="000000"/>
          <w:sz w:val="22"/>
          <w:szCs w:val="22"/>
        </w:rPr>
        <w:t xml:space="preserve"> reserva o </w:t>
      </w:r>
      <w:r w:rsidRPr="00F41C57">
        <w:rPr>
          <w:rFonts w:ascii="Palatino Linotype" w:eastAsia="Palatino Linotype" w:hAnsi="Palatino Linotype" w:cs="Palatino Linotype"/>
          <w:b/>
          <w:i/>
          <w:color w:val="000000"/>
          <w:sz w:val="22"/>
          <w:szCs w:val="22"/>
          <w:u w:val="single"/>
        </w:rPr>
        <w:t>confidencialidad</w:t>
      </w:r>
      <w:r w:rsidRPr="00F41C57">
        <w:rPr>
          <w:rFonts w:ascii="Palatino Linotype" w:eastAsia="Palatino Linotype" w:hAnsi="Palatino Linotype" w:cs="Palatino Linotype"/>
          <w:i/>
          <w:color w:val="000000"/>
          <w:sz w:val="22"/>
          <w:szCs w:val="22"/>
        </w:rPr>
        <w:t>, a través de la resolución que para tal efecto emita el Comité de Transparencia.</w:t>
      </w:r>
    </w:p>
    <w:p w:rsidR="00886EFA" w:rsidRPr="00F41C57" w:rsidRDefault="00146962">
      <w:pPr>
        <w:ind w:left="709" w:right="709"/>
        <w:jc w:val="both"/>
        <w:rPr>
          <w:color w:val="000000"/>
        </w:rPr>
      </w:pPr>
      <w:r w:rsidRPr="00F41C57">
        <w:rPr>
          <w:rFonts w:ascii="Palatino Linotype" w:eastAsia="Palatino Linotype" w:hAnsi="Palatino Linotype" w:cs="Palatino Linotype"/>
          <w:b/>
          <w:i/>
          <w:color w:val="000000"/>
          <w:sz w:val="22"/>
          <w:szCs w:val="22"/>
        </w:rPr>
        <w:t>Cuarto.</w:t>
      </w:r>
      <w:r w:rsidRPr="00F41C57">
        <w:rPr>
          <w:rFonts w:ascii="Palatino Linotype" w:eastAsia="Palatino Linotype" w:hAnsi="Palatino Linotype" w:cs="Palatino Linotype"/>
          <w:i/>
          <w:color w:val="000000"/>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886EFA" w:rsidRPr="00F41C57" w:rsidRDefault="00146962">
      <w:pPr>
        <w:ind w:left="709" w:right="709"/>
        <w:jc w:val="both"/>
        <w:rPr>
          <w:color w:val="000000"/>
        </w:rPr>
      </w:pPr>
      <w:r w:rsidRPr="00F41C57">
        <w:rPr>
          <w:rFonts w:ascii="Palatino Linotype" w:eastAsia="Palatino Linotype" w:hAnsi="Palatino Linotype" w:cs="Palatino Linotype"/>
          <w:i/>
          <w:color w:val="000000"/>
          <w:sz w:val="22"/>
          <w:szCs w:val="22"/>
        </w:rPr>
        <w:t>Los sujetos obligados deberán aplicar, de manera estricta, las excepciones al derecho de acceso a la información y sólo podrán invocarlas cuando acrediten su procedencia.</w:t>
      </w:r>
    </w:p>
    <w:p w:rsidR="00886EFA" w:rsidRPr="00F41C57" w:rsidRDefault="00146962">
      <w:pPr>
        <w:ind w:left="709" w:right="709"/>
        <w:jc w:val="both"/>
        <w:rPr>
          <w:color w:val="000000"/>
        </w:rPr>
      </w:pPr>
      <w:r w:rsidRPr="00F41C57">
        <w:rPr>
          <w:rFonts w:ascii="Palatino Linotype" w:eastAsia="Palatino Linotype" w:hAnsi="Palatino Linotype" w:cs="Palatino Linotype"/>
          <w:b/>
          <w:i/>
          <w:color w:val="000000"/>
          <w:sz w:val="22"/>
          <w:szCs w:val="22"/>
        </w:rPr>
        <w:t>Quinto.</w:t>
      </w:r>
      <w:r w:rsidRPr="00F41C57">
        <w:rPr>
          <w:rFonts w:ascii="Palatino Linotype" w:eastAsia="Palatino Linotype" w:hAnsi="Palatino Linotype" w:cs="Palatino Linotype"/>
          <w:i/>
          <w:color w:val="000000"/>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886EFA" w:rsidRPr="00F41C57" w:rsidRDefault="00146962">
      <w:pPr>
        <w:ind w:left="709" w:right="709"/>
        <w:jc w:val="both"/>
        <w:rPr>
          <w:color w:val="000000"/>
        </w:rPr>
      </w:pPr>
      <w:r w:rsidRPr="00F41C57">
        <w:rPr>
          <w:rFonts w:ascii="Palatino Linotype" w:eastAsia="Palatino Linotype" w:hAnsi="Palatino Linotype" w:cs="Palatino Linotype"/>
          <w:b/>
          <w:i/>
          <w:color w:val="000000"/>
          <w:sz w:val="22"/>
          <w:szCs w:val="22"/>
        </w:rPr>
        <w:t>…</w:t>
      </w:r>
    </w:p>
    <w:p w:rsidR="00886EFA" w:rsidRPr="00F41C57" w:rsidRDefault="00146962">
      <w:pPr>
        <w:ind w:left="709" w:right="709"/>
        <w:jc w:val="both"/>
        <w:rPr>
          <w:color w:val="000000"/>
        </w:rPr>
      </w:pPr>
      <w:r w:rsidRPr="00F41C57">
        <w:rPr>
          <w:rFonts w:ascii="Palatino Linotype" w:eastAsia="Palatino Linotype" w:hAnsi="Palatino Linotype" w:cs="Palatino Linotype"/>
          <w:b/>
          <w:i/>
          <w:color w:val="000000"/>
          <w:sz w:val="22"/>
          <w:szCs w:val="22"/>
        </w:rPr>
        <w:t>Séptimo.</w:t>
      </w:r>
      <w:r w:rsidRPr="00F41C57">
        <w:rPr>
          <w:rFonts w:ascii="Palatino Linotype" w:eastAsia="Palatino Linotype" w:hAnsi="Palatino Linotype" w:cs="Palatino Linotype"/>
          <w:i/>
          <w:color w:val="000000"/>
          <w:sz w:val="22"/>
          <w:szCs w:val="22"/>
        </w:rPr>
        <w:t xml:space="preserve"> La clasificación de la información se llevará a cabo en el momento en que:</w:t>
      </w:r>
    </w:p>
    <w:p w:rsidR="00886EFA" w:rsidRPr="00F41C57" w:rsidRDefault="00146962">
      <w:pPr>
        <w:ind w:left="709" w:right="709"/>
        <w:jc w:val="both"/>
        <w:rPr>
          <w:color w:val="000000"/>
        </w:rPr>
      </w:pPr>
      <w:r w:rsidRPr="00F41C57">
        <w:rPr>
          <w:rFonts w:ascii="Palatino Linotype" w:eastAsia="Palatino Linotype" w:hAnsi="Palatino Linotype" w:cs="Palatino Linotype"/>
          <w:b/>
          <w:i/>
          <w:color w:val="000000"/>
          <w:sz w:val="22"/>
          <w:szCs w:val="22"/>
        </w:rPr>
        <w:t>I.</w:t>
      </w:r>
      <w:r w:rsidRPr="00F41C57">
        <w:rPr>
          <w:rFonts w:ascii="Palatino Linotype" w:eastAsia="Palatino Linotype" w:hAnsi="Palatino Linotype" w:cs="Palatino Linotype"/>
          <w:i/>
          <w:color w:val="000000"/>
          <w:sz w:val="22"/>
          <w:szCs w:val="22"/>
        </w:rPr>
        <w:t xml:space="preserve"> Se reciba una solicitud de acceso a la información;</w:t>
      </w:r>
    </w:p>
    <w:p w:rsidR="00886EFA" w:rsidRPr="00F41C57" w:rsidRDefault="00146962">
      <w:pPr>
        <w:ind w:left="709" w:right="709"/>
        <w:jc w:val="both"/>
        <w:rPr>
          <w:color w:val="000000"/>
        </w:rPr>
      </w:pPr>
      <w:r w:rsidRPr="00F41C57">
        <w:rPr>
          <w:rFonts w:ascii="Palatino Linotype" w:eastAsia="Palatino Linotype" w:hAnsi="Palatino Linotype" w:cs="Palatino Linotype"/>
          <w:b/>
          <w:i/>
          <w:color w:val="000000"/>
          <w:sz w:val="22"/>
          <w:szCs w:val="22"/>
        </w:rPr>
        <w:t>II.</w:t>
      </w:r>
      <w:r w:rsidRPr="00F41C57">
        <w:rPr>
          <w:rFonts w:ascii="Palatino Linotype" w:eastAsia="Palatino Linotype" w:hAnsi="Palatino Linotype" w:cs="Palatino Linotype"/>
          <w:i/>
          <w:color w:val="000000"/>
          <w:sz w:val="22"/>
          <w:szCs w:val="22"/>
        </w:rPr>
        <w:t xml:space="preserve"> Se determine mediante resolución de autoridad competente, o</w:t>
      </w:r>
    </w:p>
    <w:p w:rsidR="00886EFA" w:rsidRPr="00F41C57" w:rsidRDefault="00146962">
      <w:pPr>
        <w:ind w:left="709" w:right="709"/>
        <w:jc w:val="both"/>
        <w:rPr>
          <w:color w:val="000000"/>
        </w:rPr>
      </w:pPr>
      <w:r w:rsidRPr="00F41C57">
        <w:rPr>
          <w:rFonts w:ascii="Palatino Linotype" w:eastAsia="Palatino Linotype" w:hAnsi="Palatino Linotype" w:cs="Palatino Linotype"/>
          <w:b/>
          <w:i/>
          <w:color w:val="000000"/>
          <w:sz w:val="22"/>
          <w:szCs w:val="22"/>
        </w:rPr>
        <w:t>III.</w:t>
      </w:r>
      <w:r w:rsidRPr="00F41C57">
        <w:rPr>
          <w:rFonts w:ascii="Palatino Linotype" w:eastAsia="Palatino Linotype" w:hAnsi="Palatino Linotype" w:cs="Palatino Linotype"/>
          <w:i/>
          <w:color w:val="000000"/>
          <w:sz w:val="22"/>
          <w:szCs w:val="22"/>
        </w:rPr>
        <w:t xml:space="preserve"> Se generen versiones públicas para dar cumplimiento a las obligaciones de transparencia previstas en la Ley General, la Ley Federal y las correspondientes de las entidades federativas.</w:t>
      </w:r>
    </w:p>
    <w:p w:rsidR="00886EFA" w:rsidRPr="00F41C57" w:rsidRDefault="00146962">
      <w:pPr>
        <w:ind w:left="709" w:right="709"/>
        <w:jc w:val="both"/>
        <w:rPr>
          <w:color w:val="000000"/>
        </w:rPr>
      </w:pPr>
      <w:r w:rsidRPr="00F41C57">
        <w:rPr>
          <w:rFonts w:ascii="Palatino Linotype" w:eastAsia="Palatino Linotype" w:hAnsi="Palatino Linotype" w:cs="Palatino Linotype"/>
          <w:i/>
          <w:color w:val="000000"/>
          <w:sz w:val="22"/>
          <w:szCs w:val="22"/>
        </w:rPr>
        <w:t>Los titulares de las áreas deberán revisar la clasificación al momento de la recepción de una solicitud de acceso a la información, para verificar si encuadra en una causal de reserva o de confidencialidad.</w:t>
      </w:r>
    </w:p>
    <w:p w:rsidR="00886EFA" w:rsidRPr="00F41C57" w:rsidRDefault="00146962">
      <w:pPr>
        <w:ind w:left="709" w:right="709"/>
        <w:jc w:val="both"/>
        <w:rPr>
          <w:color w:val="000000"/>
        </w:rPr>
      </w:pPr>
      <w:r w:rsidRPr="00F41C57">
        <w:rPr>
          <w:rFonts w:ascii="Palatino Linotype" w:eastAsia="Palatino Linotype" w:hAnsi="Palatino Linotype" w:cs="Palatino Linotype"/>
          <w:b/>
          <w:i/>
          <w:color w:val="000000"/>
          <w:sz w:val="22"/>
          <w:szCs w:val="22"/>
        </w:rPr>
        <w:lastRenderedPageBreak/>
        <w:t>Octavo.</w:t>
      </w:r>
      <w:r w:rsidRPr="00F41C57">
        <w:rPr>
          <w:rFonts w:ascii="Palatino Linotype" w:eastAsia="Palatino Linotype" w:hAnsi="Palatino Linotype" w:cs="Palatino Linotype"/>
          <w:i/>
          <w:color w:val="000000"/>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886EFA" w:rsidRPr="00F41C57" w:rsidRDefault="00146962">
      <w:pPr>
        <w:ind w:left="709" w:right="709"/>
        <w:jc w:val="both"/>
        <w:rPr>
          <w:color w:val="000000"/>
        </w:rPr>
      </w:pPr>
      <w:r w:rsidRPr="00F41C57">
        <w:rPr>
          <w:rFonts w:ascii="Palatino Linotype" w:eastAsia="Palatino Linotype" w:hAnsi="Palatino Linotype" w:cs="Palatino Linotype"/>
          <w:i/>
          <w:color w:val="000000"/>
          <w:sz w:val="22"/>
          <w:szCs w:val="22"/>
        </w:rPr>
        <w:t>Para motivar la clasificación se deberán señalar las razones o circunstancias especiales que lo llevaron a concluir que el caso particular se ajusta al supuesto previsto por la norma legal invocada como fundamento.</w:t>
      </w:r>
    </w:p>
    <w:p w:rsidR="00886EFA" w:rsidRPr="00F41C57" w:rsidRDefault="00146962">
      <w:pPr>
        <w:ind w:left="709" w:right="709"/>
        <w:jc w:val="both"/>
        <w:rPr>
          <w:color w:val="000000"/>
        </w:rPr>
      </w:pPr>
      <w:r w:rsidRPr="00F41C57">
        <w:rPr>
          <w:rFonts w:ascii="Palatino Linotype" w:eastAsia="Palatino Linotype" w:hAnsi="Palatino Linotype" w:cs="Palatino Linotype"/>
          <w:i/>
          <w:color w:val="000000"/>
          <w:sz w:val="22"/>
          <w:szCs w:val="22"/>
        </w:rPr>
        <w:t>En caso de referirse a información reservada, la motivación de la clasificación también deberá comprender las circunstancias que justifican el establecimiento de determinado plazo de reserva.</w:t>
      </w:r>
    </w:p>
    <w:p w:rsidR="00886EFA" w:rsidRPr="00F41C57" w:rsidRDefault="00146962">
      <w:pPr>
        <w:ind w:left="709" w:right="709"/>
        <w:jc w:val="both"/>
        <w:rPr>
          <w:color w:val="000000"/>
        </w:rPr>
      </w:pPr>
      <w:r w:rsidRPr="00F41C57">
        <w:rPr>
          <w:rFonts w:ascii="Palatino Linotype" w:eastAsia="Palatino Linotype" w:hAnsi="Palatino Linotype" w:cs="Palatino Linotype"/>
          <w:i/>
          <w:color w:val="000000"/>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886EFA" w:rsidRPr="00F41C57" w:rsidRDefault="00146962">
      <w:pPr>
        <w:ind w:left="709" w:right="709"/>
        <w:jc w:val="both"/>
        <w:rPr>
          <w:color w:val="000000"/>
        </w:rPr>
      </w:pPr>
      <w:r w:rsidRPr="00F41C57">
        <w:rPr>
          <w:rFonts w:ascii="Palatino Linotype" w:eastAsia="Palatino Linotype" w:hAnsi="Palatino Linotype" w:cs="Palatino Linotype"/>
          <w:i/>
          <w:color w:val="000000"/>
          <w:sz w:val="22"/>
          <w:szCs w:val="22"/>
        </w:rPr>
        <w:t>Los documentos contenidos en los archivos históricos y los identificados como históricos confidenciales no serán susceptibles de clasificación como reservados.</w:t>
      </w:r>
    </w:p>
    <w:p w:rsidR="00886EFA" w:rsidRPr="00F41C57" w:rsidRDefault="00146962">
      <w:pPr>
        <w:ind w:left="709" w:right="709"/>
        <w:jc w:val="both"/>
        <w:rPr>
          <w:color w:val="000000"/>
        </w:rPr>
      </w:pPr>
      <w:r w:rsidRPr="00F41C57">
        <w:rPr>
          <w:rFonts w:ascii="Palatino Linotype" w:eastAsia="Palatino Linotype" w:hAnsi="Palatino Linotype" w:cs="Palatino Linotype"/>
          <w:b/>
          <w:i/>
          <w:color w:val="000000"/>
          <w:sz w:val="22"/>
          <w:szCs w:val="22"/>
        </w:rPr>
        <w:t>Noveno.</w:t>
      </w:r>
      <w:r w:rsidRPr="00F41C57">
        <w:rPr>
          <w:rFonts w:ascii="Palatino Linotype" w:eastAsia="Palatino Linotype" w:hAnsi="Palatino Linotype" w:cs="Palatino Linotype"/>
          <w:i/>
          <w:color w:val="000000"/>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886EFA" w:rsidRPr="00F41C57" w:rsidRDefault="00146962">
      <w:pPr>
        <w:ind w:left="709" w:right="709"/>
        <w:jc w:val="both"/>
        <w:rPr>
          <w:color w:val="000000"/>
        </w:rPr>
      </w:pPr>
      <w:r w:rsidRPr="00F41C57">
        <w:rPr>
          <w:rFonts w:ascii="Palatino Linotype" w:eastAsia="Palatino Linotype" w:hAnsi="Palatino Linotype" w:cs="Palatino Linotype"/>
          <w:b/>
          <w:i/>
          <w:color w:val="000000"/>
          <w:sz w:val="22"/>
          <w:szCs w:val="22"/>
        </w:rPr>
        <w:t>Décimo.</w:t>
      </w:r>
      <w:r w:rsidRPr="00F41C57">
        <w:rPr>
          <w:rFonts w:ascii="Palatino Linotype" w:eastAsia="Palatino Linotype" w:hAnsi="Palatino Linotype" w:cs="Palatino Linotype"/>
          <w:i/>
          <w:color w:val="000000"/>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886EFA" w:rsidRPr="00F41C57" w:rsidRDefault="00146962">
      <w:pPr>
        <w:ind w:left="709" w:right="709"/>
        <w:jc w:val="both"/>
        <w:rPr>
          <w:color w:val="000000"/>
        </w:rPr>
      </w:pPr>
      <w:r w:rsidRPr="00F41C57">
        <w:rPr>
          <w:rFonts w:ascii="Palatino Linotype" w:eastAsia="Palatino Linotype" w:hAnsi="Palatino Linotype" w:cs="Palatino Linotype"/>
          <w:i/>
          <w:color w:val="000000"/>
          <w:sz w:val="22"/>
          <w:szCs w:val="22"/>
        </w:rPr>
        <w:t>En ausencia de los titulares de las áreas, la información será clasificada o desclasificada por la persona que lo supla, en términos de la normativa que rija la actuación del sujeto obligado.</w:t>
      </w:r>
    </w:p>
    <w:p w:rsidR="00886EFA" w:rsidRPr="00F41C57" w:rsidRDefault="00146962">
      <w:pPr>
        <w:ind w:left="709" w:right="709"/>
        <w:jc w:val="both"/>
        <w:rPr>
          <w:color w:val="000000"/>
        </w:rPr>
      </w:pPr>
      <w:r w:rsidRPr="00F41C57">
        <w:rPr>
          <w:rFonts w:ascii="Palatino Linotype" w:eastAsia="Palatino Linotype" w:hAnsi="Palatino Linotype" w:cs="Palatino Linotype"/>
          <w:b/>
          <w:i/>
          <w:color w:val="000000"/>
          <w:sz w:val="22"/>
          <w:szCs w:val="22"/>
        </w:rPr>
        <w:t>Décimo primero.</w:t>
      </w:r>
      <w:r w:rsidRPr="00F41C57">
        <w:rPr>
          <w:rFonts w:ascii="Palatino Linotype" w:eastAsia="Palatino Linotype" w:hAnsi="Palatino Linotype" w:cs="Palatino Linotype"/>
          <w:i/>
          <w:color w:val="000000"/>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886EFA" w:rsidRPr="00F41C57" w:rsidRDefault="00146962">
      <w:pPr>
        <w:ind w:left="709" w:right="709"/>
        <w:jc w:val="both"/>
        <w:rPr>
          <w:color w:val="000000"/>
        </w:rPr>
      </w:pPr>
      <w:r w:rsidRPr="00F41C57">
        <w:rPr>
          <w:rFonts w:ascii="Palatino Linotype" w:eastAsia="Palatino Linotype" w:hAnsi="Palatino Linotype" w:cs="Palatino Linotype"/>
          <w:i/>
          <w:color w:val="000000"/>
          <w:sz w:val="22"/>
          <w:szCs w:val="22"/>
        </w:rPr>
        <w:t>[…]</w:t>
      </w:r>
    </w:p>
    <w:p w:rsidR="00886EFA" w:rsidRPr="00F41C57" w:rsidRDefault="00146962">
      <w:pPr>
        <w:ind w:left="709" w:right="709"/>
        <w:jc w:val="center"/>
        <w:rPr>
          <w:color w:val="000000"/>
        </w:rPr>
      </w:pPr>
      <w:r w:rsidRPr="00F41C57">
        <w:rPr>
          <w:rFonts w:ascii="Palatino Linotype" w:eastAsia="Palatino Linotype" w:hAnsi="Palatino Linotype" w:cs="Palatino Linotype"/>
          <w:b/>
          <w:i/>
          <w:color w:val="000000"/>
          <w:sz w:val="22"/>
          <w:szCs w:val="22"/>
        </w:rPr>
        <w:t>CAPÍTULO VIII</w:t>
      </w:r>
    </w:p>
    <w:p w:rsidR="00886EFA" w:rsidRPr="00F41C57" w:rsidRDefault="00146962">
      <w:pPr>
        <w:ind w:left="709" w:right="709"/>
        <w:jc w:val="center"/>
        <w:rPr>
          <w:color w:val="000000"/>
        </w:rPr>
      </w:pPr>
      <w:r w:rsidRPr="00F41C57">
        <w:rPr>
          <w:rFonts w:ascii="Palatino Linotype" w:eastAsia="Palatino Linotype" w:hAnsi="Palatino Linotype" w:cs="Palatino Linotype"/>
          <w:b/>
          <w:i/>
          <w:color w:val="000000"/>
          <w:sz w:val="22"/>
          <w:szCs w:val="22"/>
        </w:rPr>
        <w:t>DE LA LEYENDA DE CLASIFICACIÓN</w:t>
      </w:r>
    </w:p>
    <w:p w:rsidR="00886EFA" w:rsidRPr="00F41C57" w:rsidRDefault="00146962">
      <w:pPr>
        <w:spacing w:after="160"/>
        <w:ind w:left="709" w:right="709"/>
        <w:jc w:val="both"/>
        <w:rPr>
          <w:color w:val="000000"/>
        </w:rPr>
      </w:pPr>
      <w:r w:rsidRPr="00F41C57">
        <w:rPr>
          <w:rFonts w:ascii="Palatino Linotype" w:eastAsia="Palatino Linotype" w:hAnsi="Palatino Linotype" w:cs="Palatino Linotype"/>
          <w:b/>
          <w:i/>
          <w:color w:val="000000"/>
          <w:sz w:val="22"/>
          <w:szCs w:val="22"/>
        </w:rPr>
        <w:t>Quincuagésimo</w:t>
      </w:r>
      <w:r w:rsidRPr="00F41C57">
        <w:rPr>
          <w:rFonts w:ascii="Palatino Linotype" w:eastAsia="Palatino Linotype" w:hAnsi="Palatino Linotype" w:cs="Palatino Linotype"/>
          <w:i/>
          <w:color w:val="000000"/>
          <w:sz w:val="22"/>
          <w:szCs w:val="22"/>
        </w:rPr>
        <w:t xml:space="preserve">. Los titulares de las áreas de los sujetos obligados podrán establecer sus propios modelos o formatos para la elaboración de versiones públicas de </w:t>
      </w:r>
      <w:r w:rsidRPr="00F41C57">
        <w:rPr>
          <w:rFonts w:ascii="Palatino Linotype" w:eastAsia="Palatino Linotype" w:hAnsi="Palatino Linotype" w:cs="Palatino Linotype"/>
          <w:i/>
          <w:color w:val="000000"/>
          <w:sz w:val="22"/>
          <w:szCs w:val="22"/>
        </w:rPr>
        <w:lastRenderedPageBreak/>
        <w:t>documentos o expedientes, siempre y cuando cumplan lo establecido en los presentes Lineamientos, así como en las correspondientes Leyes Generales..</w:t>
      </w:r>
    </w:p>
    <w:p w:rsidR="00886EFA" w:rsidRPr="00F41C57" w:rsidRDefault="00146962">
      <w:pPr>
        <w:spacing w:after="160"/>
        <w:ind w:left="709" w:right="709"/>
        <w:jc w:val="both"/>
        <w:rPr>
          <w:color w:val="000000"/>
        </w:rPr>
      </w:pPr>
      <w:r w:rsidRPr="00F41C57">
        <w:rPr>
          <w:rFonts w:ascii="Palatino Linotype" w:eastAsia="Palatino Linotype" w:hAnsi="Palatino Linotype" w:cs="Palatino Linotype"/>
          <w:i/>
          <w:color w:val="000000"/>
          <w:sz w:val="22"/>
          <w:szCs w:val="22"/>
        </w:rPr>
        <w:t>[…]</w:t>
      </w:r>
    </w:p>
    <w:p w:rsidR="00886EFA" w:rsidRPr="00F41C57" w:rsidRDefault="00146962">
      <w:pPr>
        <w:spacing w:after="160"/>
        <w:ind w:left="709" w:right="709"/>
        <w:jc w:val="both"/>
        <w:rPr>
          <w:color w:val="000000"/>
        </w:rPr>
      </w:pPr>
      <w:r w:rsidRPr="00F41C57">
        <w:rPr>
          <w:rFonts w:ascii="Palatino Linotype" w:eastAsia="Palatino Linotype" w:hAnsi="Palatino Linotype" w:cs="Palatino Linotype"/>
          <w:b/>
          <w:i/>
          <w:color w:val="000000"/>
          <w:sz w:val="22"/>
          <w:szCs w:val="22"/>
        </w:rPr>
        <w:t xml:space="preserve">Quincuagésimo tercero. </w:t>
      </w:r>
      <w:r w:rsidRPr="00F41C57">
        <w:rPr>
          <w:rFonts w:ascii="Palatino Linotype" w:eastAsia="Palatino Linotype" w:hAnsi="Palatino Linotype" w:cs="Palatino Linotype"/>
          <w:b/>
          <w:i/>
          <w:color w:val="000000"/>
          <w:sz w:val="22"/>
          <w:szCs w:val="22"/>
          <w:u w:val="single"/>
        </w:rPr>
        <w:t>El formato para señalar la clasificación parcial de un documento</w:t>
      </w:r>
      <w:r w:rsidRPr="00F41C57">
        <w:rPr>
          <w:rFonts w:ascii="Palatino Linotype" w:eastAsia="Palatino Linotype" w:hAnsi="Palatino Linotype" w:cs="Palatino Linotype"/>
          <w:i/>
          <w:color w:val="000000"/>
          <w:sz w:val="22"/>
          <w:szCs w:val="22"/>
        </w:rPr>
        <w:t>, es el siguiente:</w:t>
      </w:r>
    </w:p>
    <w:tbl>
      <w:tblPr>
        <w:tblStyle w:val="a2"/>
        <w:tblW w:w="8833" w:type="dxa"/>
        <w:jc w:val="center"/>
        <w:tblInd w:w="0" w:type="dxa"/>
        <w:tblLayout w:type="fixed"/>
        <w:tblLook w:val="0400" w:firstRow="0" w:lastRow="0" w:firstColumn="0" w:lastColumn="0" w:noHBand="0" w:noVBand="1"/>
      </w:tblPr>
      <w:tblGrid>
        <w:gridCol w:w="1660"/>
        <w:gridCol w:w="1980"/>
        <w:gridCol w:w="5193"/>
      </w:tblGrid>
      <w:tr w:rsidR="00886EFA" w:rsidRPr="00F41C57">
        <w:trPr>
          <w:jc w:val="center"/>
        </w:trPr>
        <w:tc>
          <w:tcPr>
            <w:tcW w:w="1660" w:type="dxa"/>
            <w:tcBorders>
              <w:top w:val="nil"/>
              <w:left w:val="nil"/>
              <w:bottom w:val="single" w:sz="4" w:space="0" w:color="000000"/>
              <w:right w:val="single" w:sz="4" w:space="0" w:color="000000"/>
            </w:tcBorders>
            <w:tcMar>
              <w:top w:w="0" w:type="dxa"/>
              <w:left w:w="115" w:type="dxa"/>
              <w:bottom w:w="0" w:type="dxa"/>
              <w:right w:w="115" w:type="dxa"/>
            </w:tcMar>
          </w:tcPr>
          <w:p w:rsidR="00886EFA" w:rsidRPr="00F41C57" w:rsidRDefault="00886EFA"/>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86EFA" w:rsidRPr="00F41C57" w:rsidRDefault="00146962">
            <w:pPr>
              <w:jc w:val="center"/>
              <w:rPr>
                <w:color w:val="000000"/>
              </w:rPr>
            </w:pPr>
            <w:r w:rsidRPr="00F41C57">
              <w:rPr>
                <w:rFonts w:ascii="Palatino Linotype" w:eastAsia="Palatino Linotype" w:hAnsi="Palatino Linotype" w:cs="Palatino Linotype"/>
                <w:b/>
                <w:i/>
                <w:color w:val="000000"/>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86EFA" w:rsidRPr="00F41C57" w:rsidRDefault="00146962">
            <w:pPr>
              <w:jc w:val="center"/>
              <w:rPr>
                <w:color w:val="000000"/>
              </w:rPr>
            </w:pPr>
            <w:r w:rsidRPr="00F41C57">
              <w:rPr>
                <w:rFonts w:ascii="Palatino Linotype" w:eastAsia="Palatino Linotype" w:hAnsi="Palatino Linotype" w:cs="Palatino Linotype"/>
                <w:b/>
                <w:i/>
                <w:color w:val="000000"/>
              </w:rPr>
              <w:t>Dónde:</w:t>
            </w:r>
          </w:p>
        </w:tc>
      </w:tr>
      <w:tr w:rsidR="00886EFA" w:rsidRPr="00F41C57">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86EFA" w:rsidRPr="00F41C57" w:rsidRDefault="00146962">
            <w:pPr>
              <w:jc w:val="center"/>
              <w:rPr>
                <w:color w:val="000000"/>
              </w:rPr>
            </w:pPr>
            <w:r w:rsidRPr="00F41C57">
              <w:rPr>
                <w:rFonts w:ascii="Palatino Linotype" w:eastAsia="Palatino Linotype" w:hAnsi="Palatino Linotype" w:cs="Palatino Linotype"/>
                <w:b/>
                <w:i/>
                <w:color w:val="000000"/>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86EFA" w:rsidRPr="00F41C57" w:rsidRDefault="00146962">
            <w:pPr>
              <w:jc w:val="center"/>
              <w:rPr>
                <w:color w:val="000000"/>
              </w:rPr>
            </w:pPr>
            <w:r w:rsidRPr="00F41C57">
              <w:rPr>
                <w:rFonts w:ascii="Palatino Linotype" w:eastAsia="Palatino Linotype" w:hAnsi="Palatino Linotype" w:cs="Palatino Linotype"/>
                <w:i/>
                <w:color w:val="000000"/>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86EFA" w:rsidRPr="00F41C57" w:rsidRDefault="00146962">
            <w:pPr>
              <w:jc w:val="both"/>
              <w:rPr>
                <w:color w:val="000000"/>
              </w:rPr>
            </w:pPr>
            <w:r w:rsidRPr="00F41C57">
              <w:rPr>
                <w:rFonts w:ascii="Palatino Linotype" w:eastAsia="Palatino Linotype" w:hAnsi="Palatino Linotype" w:cs="Palatino Linotype"/>
                <w:i/>
                <w:color w:val="000000"/>
              </w:rPr>
              <w:t>Se anotará la fecha en la que el Comité de Transparencia confirmó la clasificación del documento, en su caso.</w:t>
            </w:r>
          </w:p>
        </w:tc>
      </w:tr>
      <w:tr w:rsidR="00886EFA" w:rsidRPr="00F41C5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86EFA" w:rsidRPr="00F41C57" w:rsidRDefault="00886EFA">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86EFA" w:rsidRPr="00F41C57" w:rsidRDefault="00146962">
            <w:pPr>
              <w:jc w:val="center"/>
              <w:rPr>
                <w:color w:val="000000"/>
              </w:rPr>
            </w:pPr>
            <w:r w:rsidRPr="00F41C57">
              <w:rPr>
                <w:rFonts w:ascii="Palatino Linotype" w:eastAsia="Palatino Linotype" w:hAnsi="Palatino Linotype" w:cs="Palatino Linotype"/>
                <w:i/>
                <w:color w:val="000000"/>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86EFA" w:rsidRPr="00F41C57" w:rsidRDefault="00146962">
            <w:pPr>
              <w:jc w:val="both"/>
              <w:rPr>
                <w:color w:val="000000"/>
              </w:rPr>
            </w:pPr>
            <w:r w:rsidRPr="00F41C57">
              <w:rPr>
                <w:rFonts w:ascii="Palatino Linotype" w:eastAsia="Palatino Linotype" w:hAnsi="Palatino Linotype" w:cs="Palatino Linotype"/>
                <w:i/>
                <w:color w:val="000000"/>
              </w:rPr>
              <w:t>Se señalará el nombre del área del cual es titular quien clasifica.</w:t>
            </w:r>
          </w:p>
        </w:tc>
      </w:tr>
      <w:tr w:rsidR="00886EFA" w:rsidRPr="00F41C5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86EFA" w:rsidRPr="00F41C57" w:rsidRDefault="00886EFA">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86EFA" w:rsidRPr="00F41C57" w:rsidRDefault="00146962">
            <w:pPr>
              <w:jc w:val="center"/>
              <w:rPr>
                <w:color w:val="000000"/>
              </w:rPr>
            </w:pPr>
            <w:r w:rsidRPr="00F41C57">
              <w:rPr>
                <w:rFonts w:ascii="Palatino Linotype" w:eastAsia="Palatino Linotype" w:hAnsi="Palatino Linotype" w:cs="Palatino Linotype"/>
                <w:i/>
                <w:color w:val="000000"/>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86EFA" w:rsidRPr="00F41C57" w:rsidRDefault="00146962">
            <w:pPr>
              <w:jc w:val="both"/>
              <w:rPr>
                <w:color w:val="000000"/>
              </w:rPr>
            </w:pPr>
            <w:r w:rsidRPr="00F41C57">
              <w:rPr>
                <w:rFonts w:ascii="Palatino Linotype" w:eastAsia="Palatino Linotype" w:hAnsi="Palatino Linotype" w:cs="Palatino Linotype"/>
                <w:i/>
                <w:color w:val="000000"/>
              </w:rPr>
              <w:t xml:space="preserve">Se indicarán, en su caso, las partes o páginas del documento que se clasifican como reservadas. Si el documento fuera reservado en su totalidad, se </w:t>
            </w:r>
            <w:proofErr w:type="gramStart"/>
            <w:r w:rsidRPr="00F41C57">
              <w:rPr>
                <w:rFonts w:ascii="Palatino Linotype" w:eastAsia="Palatino Linotype" w:hAnsi="Palatino Linotype" w:cs="Palatino Linotype"/>
                <w:i/>
                <w:color w:val="000000"/>
              </w:rPr>
              <w:t>anotarán</w:t>
            </w:r>
            <w:proofErr w:type="gramEnd"/>
            <w:r w:rsidRPr="00F41C57">
              <w:rPr>
                <w:rFonts w:ascii="Palatino Linotype" w:eastAsia="Palatino Linotype" w:hAnsi="Palatino Linotype" w:cs="Palatino Linotype"/>
                <w:i/>
                <w:color w:val="000000"/>
              </w:rPr>
              <w:t xml:space="preserve"> todas las páginas que lo conforman. Si el documento no contiene información reservada, se tachará este apartado.</w:t>
            </w:r>
          </w:p>
        </w:tc>
      </w:tr>
      <w:tr w:rsidR="00886EFA" w:rsidRPr="00F41C5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86EFA" w:rsidRPr="00F41C57" w:rsidRDefault="00886EFA">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86EFA" w:rsidRPr="00F41C57" w:rsidRDefault="00146962">
            <w:pPr>
              <w:jc w:val="center"/>
              <w:rPr>
                <w:color w:val="000000"/>
              </w:rPr>
            </w:pPr>
            <w:r w:rsidRPr="00F41C57">
              <w:rPr>
                <w:rFonts w:ascii="Palatino Linotype" w:eastAsia="Palatino Linotype" w:hAnsi="Palatino Linotype" w:cs="Palatino Linotype"/>
                <w:i/>
                <w:color w:val="000000"/>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86EFA" w:rsidRPr="00F41C57" w:rsidRDefault="00146962">
            <w:pPr>
              <w:jc w:val="both"/>
              <w:rPr>
                <w:color w:val="000000"/>
              </w:rPr>
            </w:pPr>
            <w:r w:rsidRPr="00F41C57">
              <w:rPr>
                <w:rFonts w:ascii="Palatino Linotype" w:eastAsia="Palatino Linotype" w:hAnsi="Palatino Linotype" w:cs="Palatino Linotype"/>
                <w:i/>
                <w:color w:val="000000"/>
              </w:rPr>
              <w:t>Se anotará el número de años o meses por los que se mantendrá el documento o las partes del mismo como reservado.</w:t>
            </w:r>
          </w:p>
        </w:tc>
      </w:tr>
      <w:tr w:rsidR="00886EFA" w:rsidRPr="00F41C5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86EFA" w:rsidRPr="00F41C57" w:rsidRDefault="00886EFA">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86EFA" w:rsidRPr="00F41C57" w:rsidRDefault="00146962">
            <w:pPr>
              <w:jc w:val="center"/>
              <w:rPr>
                <w:color w:val="000000"/>
              </w:rPr>
            </w:pPr>
            <w:r w:rsidRPr="00F41C57">
              <w:rPr>
                <w:rFonts w:ascii="Palatino Linotype" w:eastAsia="Palatino Linotype" w:hAnsi="Palatino Linotype" w:cs="Palatino Linotype"/>
                <w:i/>
                <w:color w:val="000000"/>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86EFA" w:rsidRPr="00F41C57" w:rsidRDefault="00146962">
            <w:pPr>
              <w:jc w:val="both"/>
              <w:rPr>
                <w:color w:val="000000"/>
              </w:rPr>
            </w:pPr>
            <w:r w:rsidRPr="00F41C57">
              <w:rPr>
                <w:rFonts w:ascii="Palatino Linotype" w:eastAsia="Palatino Linotype" w:hAnsi="Palatino Linotype" w:cs="Palatino Linotype"/>
                <w:i/>
                <w:color w:val="000000"/>
              </w:rPr>
              <w:t>Se señalará el nombre del ordenamiento, el o los artículos, fracción(es), párrafo(s) con base en los cuales se sustente la reserva.</w:t>
            </w:r>
          </w:p>
        </w:tc>
      </w:tr>
      <w:tr w:rsidR="00886EFA" w:rsidRPr="00F41C5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86EFA" w:rsidRPr="00F41C57" w:rsidRDefault="00886EFA">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86EFA" w:rsidRPr="00F41C57" w:rsidRDefault="00146962">
            <w:pPr>
              <w:jc w:val="center"/>
              <w:rPr>
                <w:color w:val="000000"/>
              </w:rPr>
            </w:pPr>
            <w:r w:rsidRPr="00F41C57">
              <w:rPr>
                <w:rFonts w:ascii="Palatino Linotype" w:eastAsia="Palatino Linotype" w:hAnsi="Palatino Linotype" w:cs="Palatino Linotype"/>
                <w:i/>
                <w:color w:val="000000"/>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86EFA" w:rsidRPr="00F41C57" w:rsidRDefault="00146962">
            <w:pPr>
              <w:jc w:val="both"/>
              <w:rPr>
                <w:color w:val="000000"/>
              </w:rPr>
            </w:pPr>
            <w:r w:rsidRPr="00F41C57">
              <w:rPr>
                <w:rFonts w:ascii="Palatino Linotype" w:eastAsia="Palatino Linotype" w:hAnsi="Palatino Linotype" w:cs="Palatino Linotype"/>
                <w:i/>
                <w:color w:val="000000"/>
              </w:rPr>
              <w:t>En caso de haber solicitado la ampliación del periodo de reserva originalmente establecido, se deberá anotar el número de años o meses por los que se amplía la reserva.</w:t>
            </w:r>
          </w:p>
        </w:tc>
      </w:tr>
      <w:tr w:rsidR="00886EFA" w:rsidRPr="00F41C5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86EFA" w:rsidRPr="00F41C57" w:rsidRDefault="00886EFA">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86EFA" w:rsidRPr="00F41C57" w:rsidRDefault="00146962">
            <w:pPr>
              <w:jc w:val="center"/>
              <w:rPr>
                <w:color w:val="000000"/>
              </w:rPr>
            </w:pPr>
            <w:r w:rsidRPr="00F41C57">
              <w:rPr>
                <w:rFonts w:ascii="Palatino Linotype" w:eastAsia="Palatino Linotype" w:hAnsi="Palatino Linotype" w:cs="Palatino Linotype"/>
                <w:i/>
                <w:color w:val="000000"/>
              </w:rPr>
              <w:t>Confidencial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86EFA" w:rsidRPr="00F41C57" w:rsidRDefault="00146962">
            <w:pPr>
              <w:jc w:val="both"/>
              <w:rPr>
                <w:color w:val="000000"/>
              </w:rPr>
            </w:pPr>
            <w:r w:rsidRPr="00F41C57">
              <w:rPr>
                <w:rFonts w:ascii="Palatino Linotype" w:eastAsia="Palatino Linotype" w:hAnsi="Palatino Linotype" w:cs="Palatino Linotype"/>
                <w:i/>
                <w:color w:val="000000"/>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886EFA" w:rsidRPr="00F41C5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86EFA" w:rsidRPr="00F41C57" w:rsidRDefault="00886EFA">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86EFA" w:rsidRPr="00F41C57" w:rsidRDefault="00146962">
            <w:pPr>
              <w:jc w:val="center"/>
              <w:rPr>
                <w:color w:val="000000"/>
              </w:rPr>
            </w:pPr>
            <w:r w:rsidRPr="00F41C57">
              <w:rPr>
                <w:rFonts w:ascii="Palatino Linotype" w:eastAsia="Palatino Linotype" w:hAnsi="Palatino Linotype" w:cs="Palatino Linotype"/>
                <w:i/>
                <w:color w:val="000000"/>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86EFA" w:rsidRPr="00F41C57" w:rsidRDefault="00146962">
            <w:pPr>
              <w:jc w:val="both"/>
              <w:rPr>
                <w:color w:val="000000"/>
              </w:rPr>
            </w:pPr>
            <w:r w:rsidRPr="00F41C57">
              <w:rPr>
                <w:rFonts w:ascii="Palatino Linotype" w:eastAsia="Palatino Linotype" w:hAnsi="Palatino Linotype" w:cs="Palatino Linotype"/>
                <w:i/>
                <w:color w:val="000000"/>
              </w:rPr>
              <w:t>Se señalará el nombre del ordenamiento, el o los artículos, fracción(es), párrafo(s) con base en los cuales se sustente la confidencialidad.</w:t>
            </w:r>
          </w:p>
        </w:tc>
      </w:tr>
      <w:tr w:rsidR="00886EFA" w:rsidRPr="00F41C5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86EFA" w:rsidRPr="00F41C57" w:rsidRDefault="00886EFA">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86EFA" w:rsidRPr="00F41C57" w:rsidRDefault="00146962">
            <w:pPr>
              <w:jc w:val="center"/>
              <w:rPr>
                <w:color w:val="000000"/>
              </w:rPr>
            </w:pPr>
            <w:r w:rsidRPr="00F41C57">
              <w:rPr>
                <w:rFonts w:ascii="Palatino Linotype" w:eastAsia="Palatino Linotype" w:hAnsi="Palatino Linotype" w:cs="Palatino Linotype"/>
                <w:i/>
                <w:color w:val="000000"/>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86EFA" w:rsidRPr="00F41C57" w:rsidRDefault="00146962">
            <w:pPr>
              <w:jc w:val="both"/>
              <w:rPr>
                <w:color w:val="000000"/>
              </w:rPr>
            </w:pPr>
            <w:r w:rsidRPr="00F41C57">
              <w:rPr>
                <w:rFonts w:ascii="Palatino Linotype" w:eastAsia="Palatino Linotype" w:hAnsi="Palatino Linotype" w:cs="Palatino Linotype"/>
                <w:i/>
                <w:color w:val="000000"/>
              </w:rPr>
              <w:t>Rúbrica autógrafa de quien clasifica.</w:t>
            </w:r>
          </w:p>
        </w:tc>
      </w:tr>
      <w:tr w:rsidR="00886EFA" w:rsidRPr="00F41C5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86EFA" w:rsidRPr="00F41C57" w:rsidRDefault="00886EFA">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86EFA" w:rsidRPr="00F41C57" w:rsidRDefault="00146962">
            <w:pPr>
              <w:jc w:val="center"/>
              <w:rPr>
                <w:color w:val="000000"/>
              </w:rPr>
            </w:pPr>
            <w:r w:rsidRPr="00F41C57">
              <w:rPr>
                <w:rFonts w:ascii="Palatino Linotype" w:eastAsia="Palatino Linotype" w:hAnsi="Palatino Linotype" w:cs="Palatino Linotype"/>
                <w:i/>
                <w:color w:val="000000"/>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86EFA" w:rsidRPr="00F41C57" w:rsidRDefault="00146962">
            <w:pPr>
              <w:jc w:val="both"/>
              <w:rPr>
                <w:color w:val="000000"/>
              </w:rPr>
            </w:pPr>
            <w:r w:rsidRPr="00F41C57">
              <w:rPr>
                <w:rFonts w:ascii="Palatino Linotype" w:eastAsia="Palatino Linotype" w:hAnsi="Palatino Linotype" w:cs="Palatino Linotype"/>
                <w:i/>
                <w:color w:val="000000"/>
              </w:rPr>
              <w:t>Se anotará la fecha en que se desclasifica el documento.</w:t>
            </w:r>
          </w:p>
        </w:tc>
      </w:tr>
      <w:tr w:rsidR="00886EFA" w:rsidRPr="00F41C5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86EFA" w:rsidRPr="00F41C57" w:rsidRDefault="00886EFA">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86EFA" w:rsidRPr="00F41C57" w:rsidRDefault="00146962">
            <w:pPr>
              <w:jc w:val="center"/>
              <w:rPr>
                <w:color w:val="000000"/>
              </w:rPr>
            </w:pPr>
            <w:r w:rsidRPr="00F41C57">
              <w:rPr>
                <w:rFonts w:ascii="Palatino Linotype" w:eastAsia="Palatino Linotype" w:hAnsi="Palatino Linotype" w:cs="Palatino Linotype"/>
                <w:i/>
                <w:color w:val="000000"/>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86EFA" w:rsidRPr="00F41C57" w:rsidRDefault="00146962">
            <w:pPr>
              <w:rPr>
                <w:color w:val="000000"/>
              </w:rPr>
            </w:pPr>
            <w:r w:rsidRPr="00F41C57">
              <w:rPr>
                <w:rFonts w:ascii="Palatino Linotype" w:eastAsia="Palatino Linotype" w:hAnsi="Palatino Linotype" w:cs="Palatino Linotype"/>
                <w:i/>
                <w:color w:val="000000"/>
              </w:rPr>
              <w:t>Rúbrica autógrafa de quien desclasifica.</w:t>
            </w:r>
          </w:p>
        </w:tc>
      </w:tr>
    </w:tbl>
    <w:p w:rsidR="00886EFA" w:rsidRPr="00F41C57" w:rsidRDefault="00146962">
      <w:pPr>
        <w:spacing w:after="160"/>
        <w:ind w:left="709" w:right="709"/>
        <w:jc w:val="both"/>
        <w:rPr>
          <w:rFonts w:ascii="Palatino Linotype" w:eastAsia="Palatino Linotype" w:hAnsi="Palatino Linotype" w:cs="Palatino Linotype"/>
          <w:i/>
          <w:color w:val="000000"/>
          <w:sz w:val="22"/>
          <w:szCs w:val="22"/>
        </w:rPr>
      </w:pPr>
      <w:r w:rsidRPr="00F41C57">
        <w:rPr>
          <w:rFonts w:ascii="Palatino Linotype" w:eastAsia="Palatino Linotype" w:hAnsi="Palatino Linotype" w:cs="Palatino Linotype"/>
          <w:i/>
          <w:color w:val="000000"/>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886EFA" w:rsidRPr="00F41C57" w:rsidRDefault="00146962">
      <w:pPr>
        <w:spacing w:after="160"/>
        <w:ind w:left="709" w:right="709"/>
        <w:jc w:val="both"/>
      </w:pPr>
      <w:r w:rsidRPr="00F41C57">
        <w:rPr>
          <w:rFonts w:ascii="Palatino Linotype" w:eastAsia="Palatino Linotype" w:hAnsi="Palatino Linotype" w:cs="Palatino Linotype"/>
          <w:i/>
          <w:color w:val="000000"/>
          <w:sz w:val="22"/>
          <w:szCs w:val="22"/>
        </w:rPr>
        <w:t xml:space="preserve">Quincuagésimo quinto. Cada área del sujeto obligado podrá designar formalmente a una o más personas como responsables del </w:t>
      </w:r>
      <w:proofErr w:type="spellStart"/>
      <w:r w:rsidRPr="00F41C57">
        <w:rPr>
          <w:rFonts w:ascii="Palatino Linotype" w:eastAsia="Palatino Linotype" w:hAnsi="Palatino Linotype" w:cs="Palatino Linotype"/>
          <w:i/>
          <w:color w:val="000000"/>
          <w:sz w:val="22"/>
          <w:szCs w:val="22"/>
        </w:rPr>
        <w:t>testado</w:t>
      </w:r>
      <w:proofErr w:type="spellEnd"/>
      <w:r w:rsidRPr="00F41C57">
        <w:rPr>
          <w:rFonts w:ascii="Palatino Linotype" w:eastAsia="Palatino Linotype" w:hAnsi="Palatino Linotype" w:cs="Palatino Linotype"/>
          <w:i/>
          <w:color w:val="000000"/>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w:t>
      </w:r>
    </w:p>
    <w:p w:rsidR="00886EFA" w:rsidRPr="00F41C57" w:rsidRDefault="00886EFA">
      <w:pPr>
        <w:spacing w:line="360" w:lineRule="auto"/>
        <w:jc w:val="both"/>
        <w:rPr>
          <w:rFonts w:ascii="Palatino Linotype" w:eastAsia="Palatino Linotype" w:hAnsi="Palatino Linotype" w:cs="Palatino Linotype"/>
        </w:rPr>
      </w:pPr>
    </w:p>
    <w:p w:rsidR="00886EFA" w:rsidRPr="00F41C57" w:rsidRDefault="00146962">
      <w:pPr>
        <w:spacing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886EFA" w:rsidRPr="00F41C57" w:rsidRDefault="00886EFA">
      <w:pPr>
        <w:spacing w:line="360" w:lineRule="auto"/>
        <w:jc w:val="both"/>
        <w:rPr>
          <w:rFonts w:ascii="Palatino Linotype" w:eastAsia="Palatino Linotype" w:hAnsi="Palatino Linotype" w:cs="Palatino Linotype"/>
        </w:rPr>
      </w:pPr>
    </w:p>
    <w:p w:rsidR="00886EFA" w:rsidRPr="00F41C57" w:rsidRDefault="00146962">
      <w:pPr>
        <w:shd w:val="clear" w:color="auto" w:fill="FFFFFF"/>
        <w:spacing w:line="360" w:lineRule="auto"/>
        <w:ind w:right="51"/>
        <w:jc w:val="both"/>
        <w:rPr>
          <w:rFonts w:ascii="Palatino Linotype" w:eastAsia="Palatino Linotype" w:hAnsi="Palatino Linotype" w:cs="Palatino Linotype"/>
        </w:rPr>
      </w:pPr>
      <w:r w:rsidRPr="00F41C57">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w:t>
      </w:r>
      <w:r w:rsidRPr="00F41C57">
        <w:rPr>
          <w:rFonts w:ascii="Palatino Linotype" w:eastAsia="Palatino Linotype" w:hAnsi="Palatino Linotype" w:cs="Palatino Linotype"/>
        </w:rPr>
        <w:lastRenderedPageBreak/>
        <w:t>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Recurrente.</w:t>
      </w:r>
    </w:p>
    <w:p w:rsidR="00886EFA" w:rsidRPr="00F41C57" w:rsidRDefault="00886EFA">
      <w:pPr>
        <w:shd w:val="clear" w:color="auto" w:fill="FFFFFF"/>
        <w:spacing w:line="360" w:lineRule="auto"/>
        <w:ind w:right="51"/>
        <w:jc w:val="both"/>
        <w:rPr>
          <w:rFonts w:ascii="Palatino Linotype" w:eastAsia="Palatino Linotype" w:hAnsi="Palatino Linotype" w:cs="Palatino Linotype"/>
        </w:rPr>
      </w:pPr>
    </w:p>
    <w:p w:rsidR="00886EFA" w:rsidRPr="00F41C57" w:rsidRDefault="00146962">
      <w:pPr>
        <w:spacing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rsidR="00886EFA" w:rsidRPr="00F41C57" w:rsidRDefault="00886EFA">
      <w:pPr>
        <w:widowControl w:val="0"/>
        <w:spacing w:line="360" w:lineRule="auto"/>
        <w:jc w:val="both"/>
        <w:rPr>
          <w:sz w:val="22"/>
          <w:szCs w:val="22"/>
        </w:rPr>
      </w:pPr>
    </w:p>
    <w:p w:rsidR="00886EFA" w:rsidRPr="00F41C57" w:rsidRDefault="00146962">
      <w:pPr>
        <w:spacing w:after="240" w:line="360" w:lineRule="auto"/>
        <w:jc w:val="both"/>
        <w:rPr>
          <w:rFonts w:ascii="Palatino Linotype" w:eastAsia="Palatino Linotype" w:hAnsi="Palatino Linotype" w:cs="Palatino Linotype"/>
          <w:color w:val="000000"/>
        </w:rPr>
      </w:pPr>
      <w:r w:rsidRPr="00F41C57">
        <w:rPr>
          <w:rFonts w:ascii="Palatino Linotype" w:eastAsia="Palatino Linotype" w:hAnsi="Palatino Linotype" w:cs="Palatino Linotype"/>
          <w:color w:val="000000"/>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rsidR="0090490C" w:rsidRPr="00F41C57" w:rsidRDefault="0090490C">
      <w:pPr>
        <w:spacing w:after="240" w:line="360" w:lineRule="auto"/>
        <w:jc w:val="both"/>
        <w:rPr>
          <w:rFonts w:ascii="Palatino Linotype" w:eastAsia="Palatino Linotype" w:hAnsi="Palatino Linotype" w:cs="Palatino Linotype"/>
          <w:color w:val="000000"/>
        </w:rPr>
      </w:pPr>
    </w:p>
    <w:p w:rsidR="0090490C" w:rsidRPr="00F41C57" w:rsidRDefault="0090490C">
      <w:pPr>
        <w:spacing w:after="240" w:line="360" w:lineRule="auto"/>
        <w:jc w:val="both"/>
        <w:rPr>
          <w:rFonts w:ascii="Palatino Linotype" w:eastAsia="Palatino Linotype" w:hAnsi="Palatino Linotype" w:cs="Palatino Linotype"/>
          <w:color w:val="000000"/>
        </w:rPr>
      </w:pPr>
    </w:p>
    <w:p w:rsidR="00886EFA" w:rsidRPr="00F41C57" w:rsidRDefault="00146962">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F41C57">
        <w:rPr>
          <w:rFonts w:ascii="Palatino Linotype" w:eastAsia="Palatino Linotype" w:hAnsi="Palatino Linotype" w:cs="Palatino Linotype"/>
          <w:b/>
        </w:rPr>
        <w:lastRenderedPageBreak/>
        <w:t>III. R E S U E L V E:</w:t>
      </w:r>
    </w:p>
    <w:p w:rsidR="00886EFA" w:rsidRPr="00F41C57" w:rsidRDefault="00146962">
      <w:pPr>
        <w:pBdr>
          <w:top w:val="nil"/>
          <w:left w:val="nil"/>
          <w:bottom w:val="nil"/>
          <w:right w:val="nil"/>
          <w:between w:val="nil"/>
        </w:pBdr>
        <w:spacing w:after="120" w:line="405" w:lineRule="auto"/>
        <w:jc w:val="both"/>
        <w:rPr>
          <w:rFonts w:ascii="Palatino Linotype" w:eastAsia="Palatino Linotype" w:hAnsi="Palatino Linotype" w:cs="Palatino Linotype"/>
          <w:b/>
          <w:color w:val="000000"/>
        </w:rPr>
      </w:pPr>
      <w:r w:rsidRPr="00F41C57">
        <w:rPr>
          <w:rFonts w:ascii="Palatino Linotype" w:eastAsia="Palatino Linotype" w:hAnsi="Palatino Linotype" w:cs="Palatino Linotype"/>
          <w:b/>
          <w:color w:val="000000"/>
        </w:rPr>
        <w:t>Primero.</w:t>
      </w:r>
      <w:r w:rsidRPr="00F41C57">
        <w:rPr>
          <w:rFonts w:ascii="Palatino Linotype" w:eastAsia="Palatino Linotype" w:hAnsi="Palatino Linotype" w:cs="Palatino Linotype"/>
          <w:color w:val="000000"/>
        </w:rPr>
        <w:t xml:space="preserve"> Resulta infundado el motivo de inconformidad aducido por la parte </w:t>
      </w:r>
      <w:r w:rsidRPr="00F41C57">
        <w:rPr>
          <w:rFonts w:ascii="Palatino Linotype" w:eastAsia="Palatino Linotype" w:hAnsi="Palatino Linotype" w:cs="Palatino Linotype"/>
          <w:b/>
          <w:color w:val="000000"/>
        </w:rPr>
        <w:t>RECURRENTE</w:t>
      </w:r>
      <w:r w:rsidRPr="00F41C57">
        <w:rPr>
          <w:rFonts w:ascii="Palatino Linotype" w:eastAsia="Palatino Linotype" w:hAnsi="Palatino Linotype" w:cs="Palatino Linotype"/>
          <w:color w:val="000000"/>
        </w:rPr>
        <w:t xml:space="preserve"> en el recurso de revisión </w:t>
      </w:r>
      <w:r w:rsidRPr="00F41C57">
        <w:rPr>
          <w:rFonts w:ascii="Palatino Linotype" w:eastAsia="Palatino Linotype" w:hAnsi="Palatino Linotype" w:cs="Palatino Linotype"/>
          <w:b/>
        </w:rPr>
        <w:t>02274/INFOEM/IP/RR/202</w:t>
      </w:r>
      <w:r w:rsidRPr="00F41C57">
        <w:rPr>
          <w:rFonts w:ascii="Palatino Linotype" w:eastAsia="Palatino Linotype" w:hAnsi="Palatino Linotype" w:cs="Palatino Linotype"/>
          <w:b/>
          <w:color w:val="000000"/>
        </w:rPr>
        <w:t>3</w:t>
      </w:r>
      <w:r w:rsidRPr="00F41C57">
        <w:rPr>
          <w:rFonts w:ascii="Palatino Linotype" w:eastAsia="Palatino Linotype" w:hAnsi="Palatino Linotype" w:cs="Palatino Linotype"/>
          <w:color w:val="000000"/>
        </w:rPr>
        <w:t xml:space="preserve">; por lo que, en términos de los argumentos señalados en el Considerando Cuarto se </w:t>
      </w:r>
      <w:r w:rsidRPr="00F41C57">
        <w:rPr>
          <w:rFonts w:ascii="Palatino Linotype" w:eastAsia="Palatino Linotype" w:hAnsi="Palatino Linotype" w:cs="Palatino Linotype"/>
          <w:b/>
          <w:color w:val="000000"/>
        </w:rPr>
        <w:t>CONFIRMA</w:t>
      </w:r>
      <w:r w:rsidRPr="00F41C57">
        <w:rPr>
          <w:rFonts w:ascii="Palatino Linotype" w:eastAsia="Palatino Linotype" w:hAnsi="Palatino Linotype" w:cs="Palatino Linotype"/>
          <w:color w:val="000000"/>
        </w:rPr>
        <w:t xml:space="preserve"> la respuesta emitida por el </w:t>
      </w:r>
      <w:r w:rsidRPr="00F41C57">
        <w:rPr>
          <w:rFonts w:ascii="Palatino Linotype" w:eastAsia="Palatino Linotype" w:hAnsi="Palatino Linotype" w:cs="Palatino Linotype"/>
          <w:b/>
          <w:color w:val="000000"/>
        </w:rPr>
        <w:t>SUJETO OBLIGADO</w:t>
      </w:r>
      <w:r w:rsidR="003300E6" w:rsidRPr="00F41C57">
        <w:rPr>
          <w:rFonts w:ascii="Palatino Linotype" w:eastAsia="Palatino Linotype" w:hAnsi="Palatino Linotype" w:cs="Palatino Linotype"/>
          <w:b/>
          <w:color w:val="000000"/>
        </w:rPr>
        <w:t>.</w:t>
      </w:r>
    </w:p>
    <w:p w:rsidR="00886EFA" w:rsidRPr="00F41C57" w:rsidRDefault="00146962">
      <w:pPr>
        <w:spacing w:before="240" w:after="240" w:line="360" w:lineRule="auto"/>
        <w:jc w:val="both"/>
        <w:rPr>
          <w:rFonts w:ascii="Palatino Linotype" w:eastAsia="Palatino Linotype" w:hAnsi="Palatino Linotype" w:cs="Palatino Linotype"/>
        </w:rPr>
      </w:pPr>
      <w:r w:rsidRPr="00F41C57">
        <w:rPr>
          <w:rFonts w:ascii="Palatino Linotype" w:eastAsia="Palatino Linotype" w:hAnsi="Palatino Linotype" w:cs="Palatino Linotype"/>
          <w:b/>
        </w:rPr>
        <w:t xml:space="preserve">Segundo. </w:t>
      </w:r>
      <w:r w:rsidRPr="00F41C57">
        <w:rPr>
          <w:rFonts w:ascii="Palatino Linotype" w:eastAsia="Palatino Linotype" w:hAnsi="Palatino Linotype" w:cs="Palatino Linotype"/>
        </w:rPr>
        <w:t xml:space="preserve">Resultan parcialmente fundado los motivos de inconformidad hechos valer por la parte </w:t>
      </w:r>
      <w:r w:rsidRPr="00F41C57">
        <w:rPr>
          <w:rFonts w:ascii="Palatino Linotype" w:eastAsia="Palatino Linotype" w:hAnsi="Palatino Linotype" w:cs="Palatino Linotype"/>
          <w:b/>
        </w:rPr>
        <w:t>RECURRENTE</w:t>
      </w:r>
      <w:r w:rsidRPr="00F41C57">
        <w:rPr>
          <w:rFonts w:ascii="Palatino Linotype" w:eastAsia="Palatino Linotype" w:hAnsi="Palatino Linotype" w:cs="Palatino Linotype"/>
        </w:rPr>
        <w:t xml:space="preserve"> en el recurso de revisión </w:t>
      </w:r>
      <w:r w:rsidRPr="00F41C57">
        <w:rPr>
          <w:rFonts w:ascii="Palatino Linotype" w:eastAsia="Palatino Linotype" w:hAnsi="Palatino Linotype" w:cs="Palatino Linotype"/>
          <w:b/>
        </w:rPr>
        <w:t xml:space="preserve">02275/INFOEM/IP/RR/2023; </w:t>
      </w:r>
      <w:r w:rsidRPr="00F41C57">
        <w:rPr>
          <w:rFonts w:ascii="Palatino Linotype" w:eastAsia="Palatino Linotype" w:hAnsi="Palatino Linotype" w:cs="Palatino Linotype"/>
        </w:rPr>
        <w:t xml:space="preserve">por lo que, en términos del considerando </w:t>
      </w:r>
      <w:r w:rsidRPr="00F41C57">
        <w:rPr>
          <w:rFonts w:ascii="Palatino Linotype" w:eastAsia="Palatino Linotype" w:hAnsi="Palatino Linotype" w:cs="Palatino Linotype"/>
          <w:b/>
        </w:rPr>
        <w:t xml:space="preserve">Cuarto </w:t>
      </w:r>
      <w:r w:rsidRPr="00F41C57">
        <w:rPr>
          <w:rFonts w:ascii="Palatino Linotype" w:eastAsia="Palatino Linotype" w:hAnsi="Palatino Linotype" w:cs="Palatino Linotype"/>
        </w:rPr>
        <w:t xml:space="preserve">de esta resolución, se </w:t>
      </w:r>
      <w:r w:rsidRPr="00F41C57">
        <w:rPr>
          <w:rFonts w:ascii="Palatino Linotype" w:eastAsia="Palatino Linotype" w:hAnsi="Palatino Linotype" w:cs="Palatino Linotype"/>
          <w:b/>
        </w:rPr>
        <w:t xml:space="preserve">MODIFICA </w:t>
      </w:r>
      <w:r w:rsidRPr="00F41C57">
        <w:rPr>
          <w:rFonts w:ascii="Palatino Linotype" w:eastAsia="Palatino Linotype" w:hAnsi="Palatino Linotype" w:cs="Palatino Linotype"/>
        </w:rPr>
        <w:t xml:space="preserve">la respuesta emitida por el </w:t>
      </w:r>
      <w:r w:rsidRPr="00F41C57">
        <w:rPr>
          <w:rFonts w:ascii="Palatino Linotype" w:eastAsia="Palatino Linotype" w:hAnsi="Palatino Linotype" w:cs="Palatino Linotype"/>
          <w:b/>
        </w:rPr>
        <w:t>SUJETO OBLIGADO</w:t>
      </w:r>
      <w:r w:rsidRPr="00F41C57">
        <w:rPr>
          <w:rFonts w:ascii="Palatino Linotype" w:eastAsia="Palatino Linotype" w:hAnsi="Palatino Linotype" w:cs="Palatino Linotype"/>
        </w:rPr>
        <w:t>.</w:t>
      </w:r>
    </w:p>
    <w:p w:rsidR="00886EFA" w:rsidRPr="00F41C57" w:rsidRDefault="00146962">
      <w:pPr>
        <w:spacing w:before="240" w:after="240" w:line="360" w:lineRule="auto"/>
        <w:ind w:right="49"/>
        <w:jc w:val="both"/>
        <w:rPr>
          <w:rFonts w:ascii="Palatino Linotype" w:eastAsia="Palatino Linotype" w:hAnsi="Palatino Linotype" w:cs="Palatino Linotype"/>
        </w:rPr>
      </w:pPr>
      <w:r w:rsidRPr="00F41C57">
        <w:rPr>
          <w:rFonts w:ascii="Palatino Linotype" w:eastAsia="Palatino Linotype" w:hAnsi="Palatino Linotype" w:cs="Palatino Linotype"/>
          <w:b/>
        </w:rPr>
        <w:t xml:space="preserve">Tercero. </w:t>
      </w:r>
      <w:r w:rsidRPr="00F41C57">
        <w:rPr>
          <w:rFonts w:ascii="Palatino Linotype" w:eastAsia="Palatino Linotype" w:hAnsi="Palatino Linotype" w:cs="Palatino Linotype"/>
        </w:rPr>
        <w:t>Se</w:t>
      </w:r>
      <w:r w:rsidRPr="00F41C57">
        <w:rPr>
          <w:rFonts w:ascii="Palatino Linotype" w:eastAsia="Palatino Linotype" w:hAnsi="Palatino Linotype" w:cs="Palatino Linotype"/>
          <w:b/>
        </w:rPr>
        <w:t xml:space="preserve"> ORDENA </w:t>
      </w:r>
      <w:r w:rsidRPr="00F41C57">
        <w:rPr>
          <w:rFonts w:ascii="Palatino Linotype" w:eastAsia="Palatino Linotype" w:hAnsi="Palatino Linotype" w:cs="Palatino Linotype"/>
        </w:rPr>
        <w:t xml:space="preserve">al </w:t>
      </w:r>
      <w:r w:rsidRPr="00F41C57">
        <w:rPr>
          <w:rFonts w:ascii="Palatino Linotype" w:eastAsia="Palatino Linotype" w:hAnsi="Palatino Linotype" w:cs="Palatino Linotype"/>
          <w:b/>
        </w:rPr>
        <w:t>SUJETO OBLIGADO</w:t>
      </w:r>
      <w:r w:rsidRPr="00F41C57">
        <w:rPr>
          <w:rFonts w:ascii="Palatino Linotype" w:eastAsia="Palatino Linotype" w:hAnsi="Palatino Linotype" w:cs="Palatino Linotype"/>
        </w:rPr>
        <w:t xml:space="preserve"> a que,</w:t>
      </w:r>
      <w:r w:rsidRPr="00F41C57">
        <w:rPr>
          <w:rFonts w:ascii="Palatino Linotype" w:eastAsia="Palatino Linotype" w:hAnsi="Palatino Linotype" w:cs="Palatino Linotype"/>
          <w:b/>
        </w:rPr>
        <w:t xml:space="preserve"> </w:t>
      </w:r>
      <w:r w:rsidRPr="00F41C57">
        <w:rPr>
          <w:rFonts w:ascii="Palatino Linotype" w:eastAsia="Palatino Linotype" w:hAnsi="Palatino Linotype" w:cs="Palatino Linotype"/>
        </w:rPr>
        <w:t>en términos del Considerando Cuarto y Quinto de la presente resolución, haga entrega vía SAIMEX, previa búsqueda exhaustiva y razonable, en versión pública de ser procedente del documento o documento en donde conste lo siguiente:</w:t>
      </w:r>
    </w:p>
    <w:p w:rsidR="00886EFA" w:rsidRPr="00F41C57" w:rsidRDefault="00146962">
      <w:pPr>
        <w:numPr>
          <w:ilvl w:val="0"/>
          <w:numId w:val="5"/>
        </w:numPr>
        <w:pBdr>
          <w:top w:val="nil"/>
          <w:left w:val="nil"/>
          <w:bottom w:val="nil"/>
          <w:right w:val="nil"/>
          <w:between w:val="nil"/>
        </w:pBdr>
        <w:spacing w:after="120" w:line="405" w:lineRule="auto"/>
        <w:jc w:val="both"/>
        <w:rPr>
          <w:rFonts w:ascii="Palatino Linotype" w:eastAsia="Palatino Linotype" w:hAnsi="Palatino Linotype" w:cs="Palatino Linotype"/>
          <w:b/>
          <w:color w:val="000000"/>
          <w:sz w:val="22"/>
          <w:szCs w:val="22"/>
        </w:rPr>
      </w:pPr>
      <w:r w:rsidRPr="00F41C57">
        <w:rPr>
          <w:rFonts w:ascii="Palatino Linotype" w:eastAsia="Palatino Linotype" w:hAnsi="Palatino Linotype" w:cs="Palatino Linotype"/>
          <w:color w:val="000000"/>
          <w:sz w:val="22"/>
          <w:szCs w:val="22"/>
        </w:rPr>
        <w:t>Los pasivos adquiridos en los meses de enero y febrero del año 2023.</w:t>
      </w:r>
    </w:p>
    <w:p w:rsidR="00886EFA" w:rsidRPr="00F41C57" w:rsidRDefault="00146962">
      <w:pPr>
        <w:pBdr>
          <w:top w:val="nil"/>
          <w:left w:val="nil"/>
          <w:bottom w:val="nil"/>
          <w:right w:val="nil"/>
          <w:between w:val="nil"/>
        </w:pBdr>
        <w:spacing w:after="120"/>
        <w:ind w:left="708" w:right="40"/>
        <w:jc w:val="both"/>
        <w:rPr>
          <w:rFonts w:ascii="Palatino Linotype" w:eastAsia="Palatino Linotype" w:hAnsi="Palatino Linotype" w:cs="Palatino Linotype"/>
          <w:i/>
          <w:color w:val="000000"/>
          <w:sz w:val="22"/>
          <w:szCs w:val="22"/>
        </w:rPr>
      </w:pPr>
      <w:r w:rsidRPr="00F41C57">
        <w:rPr>
          <w:rFonts w:ascii="Palatino Linotype" w:eastAsia="Palatino Linotype" w:hAnsi="Palatino Linotype" w:cs="Palatino Linotype"/>
          <w:i/>
          <w:color w:val="000000"/>
          <w:sz w:val="22"/>
          <w:szCs w:val="22"/>
        </w:rPr>
        <w:t>De ser procedente, 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rsidR="00886EFA" w:rsidRPr="00F41C57" w:rsidRDefault="00886EFA">
      <w:pPr>
        <w:spacing w:line="360" w:lineRule="auto"/>
        <w:ind w:right="49"/>
        <w:jc w:val="both"/>
        <w:rPr>
          <w:rFonts w:ascii="Palatino Linotype" w:eastAsia="Palatino Linotype" w:hAnsi="Palatino Linotype" w:cs="Palatino Linotype"/>
          <w:b/>
        </w:rPr>
      </w:pPr>
    </w:p>
    <w:p w:rsidR="00886EFA" w:rsidRPr="00F41C57" w:rsidRDefault="00146962">
      <w:pPr>
        <w:spacing w:line="360" w:lineRule="auto"/>
        <w:ind w:right="49"/>
        <w:jc w:val="both"/>
        <w:rPr>
          <w:rFonts w:ascii="Palatino Linotype" w:eastAsia="Palatino Linotype" w:hAnsi="Palatino Linotype" w:cs="Palatino Linotype"/>
        </w:rPr>
      </w:pPr>
      <w:r w:rsidRPr="00F41C57">
        <w:rPr>
          <w:rFonts w:ascii="Palatino Linotype" w:eastAsia="Palatino Linotype" w:hAnsi="Palatino Linotype" w:cs="Palatino Linotype"/>
          <w:b/>
        </w:rPr>
        <w:t xml:space="preserve">Cuarto. </w:t>
      </w:r>
      <w:r w:rsidRPr="00F41C57">
        <w:rPr>
          <w:rFonts w:ascii="Palatino Linotype" w:eastAsia="Palatino Linotype" w:hAnsi="Palatino Linotype" w:cs="Palatino Linotype"/>
          <w:b/>
          <w:color w:val="000000"/>
        </w:rPr>
        <w:t xml:space="preserve">Notifíquese, </w:t>
      </w:r>
      <w:r w:rsidRPr="00F41C57">
        <w:rPr>
          <w:rFonts w:ascii="Palatino Linotype" w:eastAsia="Palatino Linotype" w:hAnsi="Palatino Linotype" w:cs="Palatino Linotype"/>
          <w:color w:val="000000"/>
        </w:rPr>
        <w:t xml:space="preserve">vía </w:t>
      </w:r>
      <w:r w:rsidRPr="00F41C57">
        <w:rPr>
          <w:rFonts w:ascii="Palatino Linotype" w:eastAsia="Palatino Linotype" w:hAnsi="Palatino Linotype" w:cs="Palatino Linotype"/>
          <w:b/>
          <w:color w:val="000000"/>
        </w:rPr>
        <w:t>SAIMEX</w:t>
      </w:r>
      <w:r w:rsidRPr="00F41C57">
        <w:rPr>
          <w:rFonts w:ascii="Palatino Linotype" w:eastAsia="Palatino Linotype" w:hAnsi="Palatino Linotype" w:cs="Palatino Linotype"/>
          <w:color w:val="000000"/>
        </w:rPr>
        <w:t xml:space="preserve">, al Titular de la Unidad de Transparencia del </w:t>
      </w:r>
      <w:r w:rsidRPr="00F41C57">
        <w:rPr>
          <w:rFonts w:ascii="Palatino Linotype" w:eastAsia="Palatino Linotype" w:hAnsi="Palatino Linotype" w:cs="Palatino Linotype"/>
          <w:b/>
          <w:color w:val="000000"/>
        </w:rPr>
        <w:t>SUJETO OBLIGADO,</w:t>
      </w:r>
      <w:r w:rsidRPr="00F41C57">
        <w:rPr>
          <w:rFonts w:ascii="Palatino Linotype" w:eastAsia="Palatino Linotype" w:hAnsi="Palatino Linotype" w:cs="Palatino Linotype"/>
          <w:color w:val="000000"/>
        </w:rPr>
        <w:t xml:space="preserve"> la presente resolución para que conforme a los artículos 186, </w:t>
      </w:r>
      <w:r w:rsidRPr="00F41C57">
        <w:rPr>
          <w:rFonts w:ascii="Palatino Linotype" w:eastAsia="Palatino Linotype" w:hAnsi="Palatino Linotype" w:cs="Palatino Linotype"/>
          <w:color w:val="000000"/>
        </w:rPr>
        <w:lastRenderedPageBreak/>
        <w:t>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F41C57">
        <w:rPr>
          <w:rFonts w:ascii="Palatino Linotype" w:eastAsia="Palatino Linotype" w:hAnsi="Palatino Linotype" w:cs="Palatino Linotype"/>
        </w:rPr>
        <w:t>.</w:t>
      </w:r>
    </w:p>
    <w:p w:rsidR="00886EFA" w:rsidRPr="00F41C57" w:rsidRDefault="00886EFA">
      <w:pPr>
        <w:spacing w:line="360" w:lineRule="auto"/>
        <w:ind w:right="49"/>
        <w:jc w:val="both"/>
        <w:rPr>
          <w:rFonts w:ascii="Palatino Linotype" w:eastAsia="Palatino Linotype" w:hAnsi="Palatino Linotype" w:cs="Palatino Linotype"/>
          <w:b/>
        </w:rPr>
      </w:pPr>
    </w:p>
    <w:p w:rsidR="00886EFA" w:rsidRPr="00F41C57" w:rsidRDefault="00146962">
      <w:pPr>
        <w:spacing w:line="360" w:lineRule="auto"/>
        <w:ind w:right="49"/>
        <w:jc w:val="both"/>
        <w:rPr>
          <w:rFonts w:ascii="Palatino Linotype" w:eastAsia="Palatino Linotype" w:hAnsi="Palatino Linotype" w:cs="Palatino Linotype"/>
        </w:rPr>
      </w:pPr>
      <w:r w:rsidRPr="00F41C57">
        <w:rPr>
          <w:rFonts w:ascii="Palatino Linotype" w:eastAsia="Palatino Linotype" w:hAnsi="Palatino Linotype" w:cs="Palatino Linotype"/>
          <w:b/>
        </w:rPr>
        <w:t>Quinto. Notifíquese vía SAIMEX</w:t>
      </w:r>
      <w:r w:rsidRPr="00F41C57">
        <w:rPr>
          <w:rFonts w:ascii="Palatino Linotype" w:eastAsia="Palatino Linotype" w:hAnsi="Palatino Linotype" w:cs="Palatino Linotype"/>
        </w:rPr>
        <w:t xml:space="preserve">, a la parte </w:t>
      </w:r>
      <w:r w:rsidRPr="00F41C57">
        <w:rPr>
          <w:rFonts w:ascii="Palatino Linotype" w:eastAsia="Palatino Linotype" w:hAnsi="Palatino Linotype" w:cs="Palatino Linotype"/>
          <w:b/>
        </w:rPr>
        <w:t>RECURRENTE</w:t>
      </w:r>
      <w:r w:rsidRPr="00F41C57">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rsidR="00886EFA" w:rsidRPr="00F41C57" w:rsidRDefault="00146962">
      <w:pPr>
        <w:spacing w:before="240" w:after="240" w:line="360" w:lineRule="auto"/>
        <w:jc w:val="both"/>
        <w:rPr>
          <w:rFonts w:ascii="Palatino Linotype" w:eastAsia="Palatino Linotype" w:hAnsi="Palatino Linotype" w:cs="Palatino Linotype"/>
          <w:b/>
        </w:rPr>
      </w:pPr>
      <w:r w:rsidRPr="00F41C57">
        <w:rPr>
          <w:rFonts w:ascii="Palatino Linotype" w:eastAsia="Palatino Linotype" w:hAnsi="Palatino Linotype" w:cs="Palatino Linotype"/>
          <w:b/>
        </w:rPr>
        <w:t>Sexto.</w:t>
      </w:r>
      <w:r w:rsidRPr="00F41C57">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886EFA" w:rsidRDefault="00146962">
      <w:pPr>
        <w:spacing w:before="240" w:after="240" w:line="360" w:lineRule="auto"/>
        <w:jc w:val="both"/>
        <w:rPr>
          <w:rFonts w:ascii="Palatino Linotype" w:eastAsia="Palatino Linotype" w:hAnsi="Palatino Linotype" w:cs="Palatino Linotype"/>
        </w:rPr>
        <w:sectPr w:rsidR="00886EFA">
          <w:headerReference w:type="default" r:id="rId58"/>
          <w:footerReference w:type="default" r:id="rId59"/>
          <w:headerReference w:type="first" r:id="rId60"/>
          <w:footerReference w:type="first" r:id="rId61"/>
          <w:pgSz w:w="12240" w:h="15840"/>
          <w:pgMar w:top="2041" w:right="1701" w:bottom="1701" w:left="1701" w:header="709" w:footer="709" w:gutter="0"/>
          <w:pgNumType w:start="1"/>
          <w:cols w:space="720"/>
          <w:titlePg/>
        </w:sectPr>
      </w:pPr>
      <w:bookmarkStart w:id="3" w:name="_heading=h.gjdgxs" w:colFirst="0" w:colLast="0"/>
      <w:bookmarkEnd w:id="3"/>
      <w:r w:rsidRPr="00F41C57">
        <w:rPr>
          <w:rFonts w:ascii="Palatino Linotype" w:eastAsia="Palatino Linotype" w:hAnsi="Palatino Linotype" w:cs="Palatino Linotype"/>
          <w:color w:val="222222"/>
        </w:rPr>
        <w:t xml:space="preserve">ASÍ LO RESUELVE, POR UNANIMIDAD DE VOTOS, EL PLENO DEL INSTITUTO DE TRANSPARENCIA, ACCESO A LA INFORMACIÓN PÚBLICA Y PROTECCIÓN DE DATOS PERSONALES DEL ESTADO DE MÉXICO Y </w:t>
      </w:r>
      <w:r w:rsidRPr="00F41C57">
        <w:rPr>
          <w:rFonts w:ascii="Palatino Linotype" w:eastAsia="Palatino Linotype" w:hAnsi="Palatino Linotype" w:cs="Palatino Linotype"/>
          <w:color w:val="222222"/>
        </w:rPr>
        <w:lastRenderedPageBreak/>
        <w:t xml:space="preserve">MUNICIPIOS, CONFORMADO POR LOS COMISIONADOS JOSÉ MARTÍNEZ VILCHIS, MARÍA DEL ROSARIO MEJÍA AYALA, SHARON CRISTINA MORALES MARTÍNEZ, LUIS GUSTAVO PARRA NORIEGA </w:t>
      </w:r>
      <w:r w:rsidR="00282D86" w:rsidRPr="00F41C57">
        <w:rPr>
          <w:rFonts w:ascii="Palatino Linotype" w:eastAsia="Palatino Linotype" w:hAnsi="Palatino Linotype" w:cs="Palatino Linotype"/>
        </w:rPr>
        <w:t>AUSENCIA JUSTIFICADA</w:t>
      </w:r>
      <w:r w:rsidR="00282D86" w:rsidRPr="00F41C57">
        <w:rPr>
          <w:rFonts w:ascii="Palatino Linotype" w:eastAsia="Palatino Linotype" w:hAnsi="Palatino Linotype" w:cs="Palatino Linotype"/>
          <w:color w:val="222222"/>
        </w:rPr>
        <w:t xml:space="preserve"> </w:t>
      </w:r>
      <w:r w:rsidRPr="00F41C57">
        <w:rPr>
          <w:rFonts w:ascii="Palatino Linotype" w:eastAsia="Palatino Linotype" w:hAnsi="Palatino Linotype" w:cs="Palatino Linotype"/>
          <w:color w:val="222222"/>
        </w:rPr>
        <w:t>Y GUADALUPE RAMÍREZ PEÑA; EN LA TRIGÉSIMA NOVENA SESIÓN ORDINARIA CELEBRADA EL PRIMERO</w:t>
      </w:r>
      <w:r w:rsidRPr="00F41C57">
        <w:rPr>
          <w:rFonts w:ascii="Palatino Linotype" w:eastAsia="Palatino Linotype" w:hAnsi="Palatino Linotype" w:cs="Palatino Linotype"/>
        </w:rPr>
        <w:t xml:space="preserve"> DE NOVIEMBRE DEL DOS MIL VEINTITRÉS, ANTE EL SECRETARIO TÉCNICO DEL PLENO ALEXIS TAPIA </w:t>
      </w:r>
      <w:r w:rsidR="0090490C" w:rsidRPr="00F41C57">
        <w:rPr>
          <w:rFonts w:ascii="Palatino Linotype" w:eastAsia="Palatino Linotype" w:hAnsi="Palatino Linotype" w:cs="Palatino Linotype"/>
          <w:noProof/>
          <w:lang w:val="es-MX" w:eastAsia="es-MX"/>
        </w:rPr>
        <mc:AlternateContent>
          <mc:Choice Requires="wps">
            <w:drawing>
              <wp:anchor distT="0" distB="0" distL="114300" distR="114300" simplePos="0" relativeHeight="251664384" behindDoc="0" locked="0" layoutInCell="1" allowOverlap="1">
                <wp:simplePos x="0" y="0"/>
                <wp:positionH relativeFrom="margin">
                  <wp:align>left</wp:align>
                </wp:positionH>
                <wp:positionV relativeFrom="paragraph">
                  <wp:posOffset>2236470</wp:posOffset>
                </wp:positionV>
                <wp:extent cx="5448300" cy="4924425"/>
                <wp:effectExtent l="0" t="0" r="19050" b="28575"/>
                <wp:wrapNone/>
                <wp:docPr id="1" name="Conector recto 1"/>
                <wp:cNvGraphicFramePr/>
                <a:graphic xmlns:a="http://schemas.openxmlformats.org/drawingml/2006/main">
                  <a:graphicData uri="http://schemas.microsoft.com/office/word/2010/wordprocessingShape">
                    <wps:wsp>
                      <wps:cNvCnPr/>
                      <wps:spPr>
                        <a:xfrm>
                          <a:off x="0" y="0"/>
                          <a:ext cx="5448300" cy="4924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042E71" id="Conector recto 1" o:spid="_x0000_s1026" style="position:absolute;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6.1pt" to="429pt,5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" strokecolor="black [3200]" strokeweight=".5pt">
                <v:stroke joinstyle="miter"/>
                <w10:wrap anchorx="margin"/>
              </v:line>
            </w:pict>
          </mc:Fallback>
        </mc:AlternateContent>
      </w:r>
      <w:r w:rsidRPr="00F41C57">
        <w:rPr>
          <w:rFonts w:ascii="Palatino Linotype" w:eastAsia="Palatino Linotype" w:hAnsi="Palatino Linotype" w:cs="Palatino Linotype"/>
        </w:rPr>
        <w:t>RAMÍREZ.</w:t>
      </w:r>
    </w:p>
    <w:p w:rsidR="00886EFA" w:rsidRDefault="00886EFA">
      <w:pPr>
        <w:spacing w:before="240" w:after="240" w:line="360" w:lineRule="auto"/>
        <w:jc w:val="both"/>
        <w:rPr>
          <w:rFonts w:ascii="Palatino Linotype" w:eastAsia="Palatino Linotype" w:hAnsi="Palatino Linotype" w:cs="Palatino Linotype"/>
        </w:rPr>
      </w:pPr>
    </w:p>
    <w:sectPr w:rsidR="00886EFA">
      <w:headerReference w:type="first" r:id="rId62"/>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71AF" w:rsidRDefault="009671AF">
      <w:r>
        <w:separator/>
      </w:r>
    </w:p>
  </w:endnote>
  <w:endnote w:type="continuationSeparator" w:id="0">
    <w:p w:rsidR="009671AF" w:rsidRDefault="00967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ontserrat ExtraLight">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1AF" w:rsidRDefault="009671AF">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260F5">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260F5">
      <w:rPr>
        <w:rFonts w:ascii="Arial" w:eastAsia="Arial" w:hAnsi="Arial" w:cs="Arial"/>
        <w:b/>
        <w:noProof/>
        <w:color w:val="000000"/>
        <w:sz w:val="20"/>
        <w:szCs w:val="20"/>
      </w:rPr>
      <w:t>61</w:t>
    </w:r>
    <w:r>
      <w:rPr>
        <w:rFonts w:ascii="Arial" w:eastAsia="Arial" w:hAnsi="Arial" w:cs="Arial"/>
        <w:b/>
        <w:color w:val="000000"/>
        <w:sz w:val="20"/>
        <w:szCs w:val="20"/>
      </w:rPr>
      <w:fldChar w:fldCharType="end"/>
    </w:r>
  </w:p>
  <w:p w:rsidR="009671AF" w:rsidRDefault="009671AF">
    <w:pPr>
      <w:pBdr>
        <w:top w:val="nil"/>
        <w:left w:val="nil"/>
        <w:bottom w:val="nil"/>
        <w:right w:val="nil"/>
        <w:between w:val="nil"/>
      </w:pBdr>
      <w:tabs>
        <w:tab w:val="center" w:pos="4252"/>
        <w:tab w:val="right" w:pos="8504"/>
      </w:tabs>
      <w:rPr>
        <w:color w:val="000000"/>
      </w:rPr>
    </w:pPr>
  </w:p>
  <w:p w:rsidR="009671AF" w:rsidRDefault="009671AF">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1AF" w:rsidRDefault="009671AF">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260F5">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260F5">
      <w:rPr>
        <w:rFonts w:ascii="Arial" w:eastAsia="Arial" w:hAnsi="Arial" w:cs="Arial"/>
        <w:b/>
        <w:noProof/>
        <w:color w:val="000000"/>
        <w:sz w:val="20"/>
        <w:szCs w:val="20"/>
      </w:rPr>
      <w:t>61</w:t>
    </w:r>
    <w:r>
      <w:rPr>
        <w:rFonts w:ascii="Arial" w:eastAsia="Arial" w:hAnsi="Arial" w:cs="Arial"/>
        <w:b/>
        <w:color w:val="000000"/>
        <w:sz w:val="20"/>
        <w:szCs w:val="20"/>
      </w:rPr>
      <w:fldChar w:fldCharType="end"/>
    </w:r>
  </w:p>
  <w:p w:rsidR="009671AF" w:rsidRDefault="009671AF">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71AF" w:rsidRDefault="009671AF">
      <w:r>
        <w:separator/>
      </w:r>
    </w:p>
  </w:footnote>
  <w:footnote w:type="continuationSeparator" w:id="0">
    <w:p w:rsidR="009671AF" w:rsidRDefault="009671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1AF" w:rsidRDefault="009671AF">
    <w:pPr>
      <w:widowControl w:val="0"/>
      <w:pBdr>
        <w:top w:val="nil"/>
        <w:left w:val="nil"/>
        <w:bottom w:val="nil"/>
        <w:right w:val="nil"/>
        <w:between w:val="nil"/>
      </w:pBdr>
      <w:spacing w:line="276" w:lineRule="auto"/>
      <w:rPr>
        <w:rFonts w:ascii="Calibri" w:eastAsia="Calibri" w:hAnsi="Calibri" w:cs="Calibri"/>
        <w:color w:val="000000"/>
      </w:rPr>
    </w:pPr>
  </w:p>
  <w:tbl>
    <w:tblPr>
      <w:tblStyle w:val="a4"/>
      <w:tblW w:w="5528" w:type="dxa"/>
      <w:tblInd w:w="3261" w:type="dxa"/>
      <w:tblLayout w:type="fixed"/>
      <w:tblLook w:val="0400" w:firstRow="0" w:lastRow="0" w:firstColumn="0" w:lastColumn="0" w:noHBand="0" w:noVBand="1"/>
    </w:tblPr>
    <w:tblGrid>
      <w:gridCol w:w="2551"/>
      <w:gridCol w:w="2977"/>
    </w:tblGrid>
    <w:tr w:rsidR="009671AF">
      <w:tc>
        <w:tcPr>
          <w:tcW w:w="2551" w:type="dxa"/>
          <w:vAlign w:val="center"/>
        </w:tcPr>
        <w:p w:rsidR="009671AF" w:rsidRDefault="009671A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rsidR="009671AF" w:rsidRDefault="009671A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02274/INFOEM/IP/RR/2023 y acumulado.</w:t>
          </w:r>
        </w:p>
      </w:tc>
    </w:tr>
    <w:tr w:rsidR="009671AF">
      <w:trPr>
        <w:trHeight w:val="228"/>
      </w:trPr>
      <w:tc>
        <w:tcPr>
          <w:tcW w:w="2551" w:type="dxa"/>
          <w:vAlign w:val="center"/>
        </w:tcPr>
        <w:p w:rsidR="009671AF" w:rsidRDefault="009671A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rsidR="009671AF" w:rsidRDefault="009671A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Atizapán de Zaragoza.</w:t>
          </w:r>
        </w:p>
      </w:tc>
    </w:tr>
    <w:tr w:rsidR="009671AF">
      <w:tc>
        <w:tcPr>
          <w:tcW w:w="2551" w:type="dxa"/>
          <w:vAlign w:val="center"/>
        </w:tcPr>
        <w:p w:rsidR="009671AF" w:rsidRDefault="009671A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rsidR="009671AF" w:rsidRDefault="009671AF">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9671AF" w:rsidRDefault="009671AF">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simplePos x="0" y="0"/>
          <wp:positionH relativeFrom="column">
            <wp:posOffset>-695770</wp:posOffset>
          </wp:positionH>
          <wp:positionV relativeFrom="paragraph">
            <wp:posOffset>-1200945</wp:posOffset>
          </wp:positionV>
          <wp:extent cx="7809876" cy="10165823"/>
          <wp:effectExtent l="0" t="0" r="0" b="0"/>
          <wp:wrapNone/>
          <wp:docPr id="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1AF" w:rsidRDefault="009671AF">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simplePos x="0" y="0"/>
          <wp:positionH relativeFrom="column">
            <wp:posOffset>-846160</wp:posOffset>
          </wp:positionH>
          <wp:positionV relativeFrom="paragraph">
            <wp:posOffset>-171231</wp:posOffset>
          </wp:positionV>
          <wp:extent cx="7809876" cy="10165823"/>
          <wp:effectExtent l="0" t="0" r="0" b="0"/>
          <wp:wrapNone/>
          <wp:docPr id="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3"/>
      <w:tblW w:w="5670" w:type="dxa"/>
      <w:tblInd w:w="3119" w:type="dxa"/>
      <w:tblLayout w:type="fixed"/>
      <w:tblLook w:val="0400" w:firstRow="0" w:lastRow="0" w:firstColumn="0" w:lastColumn="0" w:noHBand="0" w:noVBand="1"/>
    </w:tblPr>
    <w:tblGrid>
      <w:gridCol w:w="2551"/>
      <w:gridCol w:w="3119"/>
    </w:tblGrid>
    <w:tr w:rsidR="009671AF">
      <w:tc>
        <w:tcPr>
          <w:tcW w:w="2551" w:type="dxa"/>
          <w:vAlign w:val="center"/>
        </w:tcPr>
        <w:p w:rsidR="009671AF" w:rsidRDefault="009671A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9671AF" w:rsidRDefault="009671A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02274/INFOEM/IP/RR/2023 y acumulado.</w:t>
          </w:r>
        </w:p>
      </w:tc>
    </w:tr>
    <w:tr w:rsidR="009671AF">
      <w:tc>
        <w:tcPr>
          <w:tcW w:w="2551" w:type="dxa"/>
          <w:vAlign w:val="center"/>
        </w:tcPr>
        <w:p w:rsidR="009671AF" w:rsidRDefault="009671AF">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rsidR="009671AF" w:rsidRDefault="009671AF" w:rsidP="009671A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 XXXXXXXXXX</w:t>
          </w:r>
        </w:p>
      </w:tc>
    </w:tr>
    <w:tr w:rsidR="009671AF">
      <w:trPr>
        <w:trHeight w:val="228"/>
      </w:trPr>
      <w:tc>
        <w:tcPr>
          <w:tcW w:w="2551" w:type="dxa"/>
          <w:vAlign w:val="center"/>
        </w:tcPr>
        <w:p w:rsidR="009671AF" w:rsidRDefault="009671A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9671AF" w:rsidRDefault="009671AF">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Atizapán de Zaragoza.</w:t>
          </w:r>
        </w:p>
      </w:tc>
    </w:tr>
    <w:tr w:rsidR="009671AF">
      <w:tc>
        <w:tcPr>
          <w:tcW w:w="2551" w:type="dxa"/>
          <w:vAlign w:val="center"/>
        </w:tcPr>
        <w:p w:rsidR="009671AF" w:rsidRDefault="009671A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9671AF" w:rsidRDefault="009671AF">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9671AF" w:rsidRDefault="009671AF">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1AF" w:rsidRDefault="009671AF">
    <w:pPr>
      <w:pBdr>
        <w:top w:val="nil"/>
        <w:left w:val="nil"/>
        <w:bottom w:val="nil"/>
        <w:right w:val="nil"/>
        <w:between w:val="nil"/>
      </w:pBdr>
      <w:tabs>
        <w:tab w:val="center" w:pos="4252"/>
        <w:tab w:val="right" w:pos="8504"/>
      </w:tabs>
      <w:jc w:val="both"/>
      <w:rPr>
        <w:rFonts w:ascii="Calibri" w:eastAsia="Calibri" w:hAnsi="Calibri" w:cs="Calibri"/>
        <w:color w:val="000000"/>
      </w:rPr>
    </w:pPr>
  </w:p>
  <w:p w:rsidR="009671AF" w:rsidRDefault="009671AF">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67D6A"/>
    <w:multiLevelType w:val="multilevel"/>
    <w:tmpl w:val="26C242E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224D129E"/>
    <w:multiLevelType w:val="multilevel"/>
    <w:tmpl w:val="E50EE5FC"/>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
    <w:nsid w:val="245627CB"/>
    <w:multiLevelType w:val="multilevel"/>
    <w:tmpl w:val="9020A6B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7CF4756"/>
    <w:multiLevelType w:val="multilevel"/>
    <w:tmpl w:val="EE188F52"/>
    <w:lvl w:ilvl="0">
      <w:start w:val="1"/>
      <w:numFmt w:val="lowerLetter"/>
      <w:lvlText w:val="%1)"/>
      <w:lvlJc w:val="left"/>
      <w:pPr>
        <w:ind w:left="1974" w:hanging="84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
    <w:nsid w:val="5B4C3D74"/>
    <w:multiLevelType w:val="multilevel"/>
    <w:tmpl w:val="82C09C6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EFC414F"/>
    <w:multiLevelType w:val="multilevel"/>
    <w:tmpl w:val="827C42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4"/>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EFA"/>
    <w:rsid w:val="00146962"/>
    <w:rsid w:val="001C522B"/>
    <w:rsid w:val="00282D86"/>
    <w:rsid w:val="002A5644"/>
    <w:rsid w:val="003260F5"/>
    <w:rsid w:val="003300E6"/>
    <w:rsid w:val="00672838"/>
    <w:rsid w:val="00886EFA"/>
    <w:rsid w:val="0090490C"/>
    <w:rsid w:val="009671AF"/>
    <w:rsid w:val="00A94A3B"/>
    <w:rsid w:val="00DD59E3"/>
    <w:rsid w:val="00F41C57"/>
    <w:rsid w:val="00F741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0BED61-C5BF-4953-A584-4DB47317A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rPr>
      <w:lang w:eastAsia="es-ES"/>
    </w:rPr>
  </w:style>
  <w:style w:type="paragraph" w:styleId="Ttulo1">
    <w:name w:val="heading 1"/>
    <w:basedOn w:val="Normal"/>
    <w:next w:val="Normal"/>
    <w:link w:val="Ttulo1Car"/>
    <w:uiPriority w:val="9"/>
    <w:qFormat/>
    <w:rsid w:val="00EC6BA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medium">
    <w:name w:val="medium"/>
    <w:basedOn w:val="Fuentedeprrafopredeter"/>
    <w:rsid w:val="007E376F"/>
  </w:style>
  <w:style w:type="character" w:customStyle="1" w:styleId="apple-tab-span">
    <w:name w:val="apple-tab-span"/>
    <w:basedOn w:val="Fuentedeprrafopredeter"/>
    <w:rsid w:val="00C27700"/>
  </w:style>
  <w:style w:type="character" w:customStyle="1" w:styleId="apple-style-span">
    <w:name w:val="apple-style-span"/>
    <w:rsid w:val="00183868"/>
  </w:style>
  <w:style w:type="character" w:styleId="Textoennegrita">
    <w:name w:val="Strong"/>
    <w:basedOn w:val="Fuentedeprrafopredeter"/>
    <w:uiPriority w:val="22"/>
    <w:qFormat/>
    <w:rsid w:val="00E55C07"/>
    <w:rPr>
      <w:b/>
      <w:bCs/>
    </w:rPr>
  </w:style>
  <w:style w:type="paragraph" w:customStyle="1" w:styleId="Default">
    <w:name w:val="Default"/>
    <w:rsid w:val="001304D4"/>
    <w:pPr>
      <w:autoSpaceDE w:val="0"/>
      <w:autoSpaceDN w:val="0"/>
      <w:adjustRightInd w:val="0"/>
    </w:pPr>
    <w:rPr>
      <w:rFonts w:ascii="Arial" w:eastAsia="Calibri" w:hAnsi="Arial" w:cs="Arial"/>
      <w:color w:val="000000"/>
    </w:rPr>
  </w:style>
  <w:style w:type="character" w:customStyle="1" w:styleId="Ttulo1Car">
    <w:name w:val="Título 1 Car"/>
    <w:basedOn w:val="Fuentedeprrafopredeter"/>
    <w:link w:val="Ttulo1"/>
    <w:uiPriority w:val="9"/>
    <w:rsid w:val="00EC6BAA"/>
    <w:rPr>
      <w:rFonts w:asciiTheme="majorHAnsi" w:eastAsiaTheme="majorEastAsia" w:hAnsiTheme="majorHAnsi" w:cstheme="majorBidi"/>
      <w:color w:val="2E74B5" w:themeColor="accent1" w:themeShade="BF"/>
      <w:sz w:val="32"/>
      <w:szCs w:val="32"/>
      <w:lang w:val="es-ES"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atizapan.gob.mx/conac/" TargetMode="External"/><Relationship Id="rId18" Type="http://schemas.openxmlformats.org/officeDocument/2006/relationships/hyperlink" Target="https://atizapan.gob.mx/wp-content/uploads/2023/02/Estado-Analitico-de-la-Deuda-y-Otros-Pasivos.pdf" TargetMode="External"/><Relationship Id="rId26" Type="http://schemas.openxmlformats.org/officeDocument/2006/relationships/hyperlink" Target="https://atizapan.gob.mx/" TargetMode="External"/><Relationship Id="rId39" Type="http://schemas.openxmlformats.org/officeDocument/2006/relationships/image" Target="media/image3.png"/><Relationship Id="rId21" Type="http://schemas.openxmlformats.org/officeDocument/2006/relationships/hyperlink" Target="https://saimex.org.mx/saimex/solicitud/downloadAttach/1784300.page" TargetMode="External"/><Relationship Id="rId34" Type="http://schemas.openxmlformats.org/officeDocument/2006/relationships/hyperlink" Target="https://atizapan.gob.mx/" TargetMode="External"/><Relationship Id="rId42" Type="http://schemas.openxmlformats.org/officeDocument/2006/relationships/image" Target="media/image6.png"/><Relationship Id="rId47" Type="http://schemas.openxmlformats.org/officeDocument/2006/relationships/hyperlink" Target="https://atizapan.gob.mx/" TargetMode="External"/><Relationship Id="rId50" Type="http://schemas.openxmlformats.org/officeDocument/2006/relationships/hyperlink" Target="https://atizapan.gob.mx/"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tizapan.gob.mx/" TargetMode="External"/><Relationship Id="rId29" Type="http://schemas.openxmlformats.org/officeDocument/2006/relationships/hyperlink" Target="https://atizapan.gob.mx/wp-content/uploads/2023/02/Estado-Analitico-de-la-Deuda-y-Otros-Pasivos.pdf" TargetMode="External"/><Relationship Id="rId11" Type="http://schemas.openxmlformats.org/officeDocument/2006/relationships/hyperlink" Target="https://atizapan.gob.mx/" TargetMode="External"/><Relationship Id="rId24" Type="http://schemas.openxmlformats.org/officeDocument/2006/relationships/hyperlink" Target="https://atizapan.gob.mx/" TargetMode="External"/><Relationship Id="rId32" Type="http://schemas.openxmlformats.org/officeDocument/2006/relationships/hyperlink" Target="https://atizapan.gob.mx/conac/" TargetMode="External"/><Relationship Id="rId37" Type="http://schemas.openxmlformats.org/officeDocument/2006/relationships/image" Target="media/image2.png"/><Relationship Id="rId40" Type="http://schemas.openxmlformats.org/officeDocument/2006/relationships/image" Target="media/image4.png"/><Relationship Id="rId45" Type="http://schemas.openxmlformats.org/officeDocument/2006/relationships/image" Target="media/image9.png"/><Relationship Id="rId53" Type="http://schemas.openxmlformats.org/officeDocument/2006/relationships/hyperlink" Target="https://atizapan.gob.mx/wp-content/uploads/2023/02/Estado-Analitico-de-la-Deuda-y-Otros-Pasivos.pdf"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hyperlink" Target="https://saimex.org.mx/saimex/solicitud/downloadAttach/1784313.page" TargetMode="External"/><Relationship Id="rId14" Type="http://schemas.openxmlformats.org/officeDocument/2006/relationships/hyperlink" Target="https://saimex.org.mx/saimex/solicitud/downloadAttach/1761831.page" TargetMode="External"/><Relationship Id="rId22" Type="http://schemas.openxmlformats.org/officeDocument/2006/relationships/hyperlink" Target="https://saimex.org.mx/saimex/solicitud/downloadAttach/1784301.page" TargetMode="External"/><Relationship Id="rId27" Type="http://schemas.openxmlformats.org/officeDocument/2006/relationships/hyperlink" Target="https://atizapan.gob.mx/" TargetMode="External"/><Relationship Id="rId30" Type="http://schemas.openxmlformats.org/officeDocument/2006/relationships/hyperlink" Target="https://atizapan.gob.mx/" TargetMode="External"/><Relationship Id="rId35" Type="http://schemas.openxmlformats.org/officeDocument/2006/relationships/image" Target="media/image1.png"/><Relationship Id="rId43" Type="http://schemas.openxmlformats.org/officeDocument/2006/relationships/image" Target="media/image7.png"/><Relationship Id="rId48" Type="http://schemas.openxmlformats.org/officeDocument/2006/relationships/hyperlink" Target="https://atizapan.gob.mx/conac/" TargetMode="External"/><Relationship Id="rId64" Type="http://schemas.openxmlformats.org/officeDocument/2006/relationships/theme" Target="theme/theme1.xml"/><Relationship Id="rId8" Type="http://schemas.openxmlformats.org/officeDocument/2006/relationships/hyperlink" Target="https://www.saimex.org.mx/saimex/revision/acuse/412697/0/0.page" TargetMode="External"/><Relationship Id="rId51" Type="http://schemas.openxmlformats.org/officeDocument/2006/relationships/hyperlink" Target="https://atizapan.gob.mx/" TargetMode="External"/><Relationship Id="rId3" Type="http://schemas.openxmlformats.org/officeDocument/2006/relationships/styles" Target="styles.xml"/><Relationship Id="rId12" Type="http://schemas.openxmlformats.org/officeDocument/2006/relationships/hyperlink" Target="https://atizapan.gob.mx/" TargetMode="External"/><Relationship Id="rId17" Type="http://schemas.openxmlformats.org/officeDocument/2006/relationships/hyperlink" Target="https://atizapan.gob.mx/conac/" TargetMode="External"/><Relationship Id="rId25" Type="http://schemas.openxmlformats.org/officeDocument/2006/relationships/hyperlink" Target="https://atizapan.gob.mx/conac/" TargetMode="External"/><Relationship Id="rId33" Type="http://schemas.openxmlformats.org/officeDocument/2006/relationships/hyperlink" Target="https://atizapan.gob.mx/" TargetMode="External"/><Relationship Id="rId38" Type="http://schemas.openxmlformats.org/officeDocument/2006/relationships/hyperlink" Target="https://atizapan.gob.mx/wp-content/uploads/2023/02/ESTADO-COMPARATIVO-PRESUPUESTAL-DE-EGRESOS.pdf" TargetMode="External"/><Relationship Id="rId46" Type="http://schemas.openxmlformats.org/officeDocument/2006/relationships/hyperlink" Target="https://atizapan.gob.mx/" TargetMode="External"/><Relationship Id="rId59" Type="http://schemas.openxmlformats.org/officeDocument/2006/relationships/footer" Target="footer1.xml"/><Relationship Id="rId20" Type="http://schemas.openxmlformats.org/officeDocument/2006/relationships/hyperlink" Target="https://saimex.org.mx/saimex/solicitud/downloadAttach/1784314.page" TargetMode="External"/><Relationship Id="rId41" Type="http://schemas.openxmlformats.org/officeDocument/2006/relationships/image" Target="media/image5.png"/><Relationship Id="rId54" Type="http://schemas.openxmlformats.org/officeDocument/2006/relationships/image" Target="media/image10.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tizapan.gob.mx/" TargetMode="External"/><Relationship Id="rId23" Type="http://schemas.openxmlformats.org/officeDocument/2006/relationships/hyperlink" Target="https://atizapan.gob.mx/" TargetMode="External"/><Relationship Id="rId28" Type="http://schemas.openxmlformats.org/officeDocument/2006/relationships/hyperlink" Target="https://atizapan.gob.mx/conac/" TargetMode="External"/><Relationship Id="rId36" Type="http://schemas.openxmlformats.org/officeDocument/2006/relationships/hyperlink" Target="https://atizapan.gob.mx/conac/" TargetMode="External"/><Relationship Id="rId49" Type="http://schemas.openxmlformats.org/officeDocument/2006/relationships/hyperlink" Target="https://atizapan.gob.mx/wp-content/uploads/2023/02/Estado-Analitico-de-la-Deuda-y-Otros-Pasivos.pdf" TargetMode="External"/><Relationship Id="rId57" Type="http://schemas.openxmlformats.org/officeDocument/2006/relationships/image" Target="media/image12.png"/><Relationship Id="rId10" Type="http://schemas.openxmlformats.org/officeDocument/2006/relationships/hyperlink" Target="https://saimex.org.mx/saimex/solicitud/downloadAttach/1761853.page" TargetMode="External"/><Relationship Id="rId31" Type="http://schemas.openxmlformats.org/officeDocument/2006/relationships/hyperlink" Target="https://atizapan.gob.mx/" TargetMode="External"/><Relationship Id="rId44" Type="http://schemas.openxmlformats.org/officeDocument/2006/relationships/image" Target="media/image8.png"/><Relationship Id="rId52" Type="http://schemas.openxmlformats.org/officeDocument/2006/relationships/hyperlink" Target="https://atizapan.gob.mx/conac/" TargetMode="External"/><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aimex.org.mx/saimex/revision/acuse/412697/0/0.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24dUBJZevAqvk0wHIRol0eheNg==">CgMxLjAyCWguMWZvYjl0ZTIJaC4xN2RwOHZ1MghoLmdqZGd4czgAciExTXpPallUWWdoUFBxS3F6eWpXdVFsSWNVeXZpeENNV1k=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12577</Words>
  <Characters>69177</Characters>
  <Application>Microsoft Office Word</Application>
  <DocSecurity>0</DocSecurity>
  <Lines>576</Lines>
  <Paragraphs>163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81591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USUARIO</cp:lastModifiedBy>
  <cp:revision>2</cp:revision>
  <cp:lastPrinted>2023-11-06T16:41:00Z</cp:lastPrinted>
  <dcterms:created xsi:type="dcterms:W3CDTF">2023-11-15T19:57:00Z</dcterms:created>
  <dcterms:modified xsi:type="dcterms:W3CDTF">2023-11-15T19:57:00Z</dcterms:modified>
</cp:coreProperties>
</file>