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9BC" w:rsidRPr="00AC2CF9" w:rsidRDefault="009F09BC" w:rsidP="00AC2CF9">
      <w:pPr>
        <w:tabs>
          <w:tab w:val="left" w:pos="3465"/>
        </w:tabs>
        <w:spacing w:line="360" w:lineRule="auto"/>
        <w:jc w:val="both"/>
        <w:rPr>
          <w:rFonts w:ascii="Palatino Linotype" w:hAnsi="Palatino Linotype"/>
          <w:color w:val="000000" w:themeColor="text1"/>
        </w:rPr>
      </w:pPr>
      <w:r w:rsidRPr="00AC2CF9">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de fecha </w:t>
      </w:r>
      <w:r w:rsidR="00A5359F">
        <w:rPr>
          <w:rFonts w:ascii="Palatino Linotype" w:hAnsi="Palatino Linotype"/>
          <w:color w:val="000000" w:themeColor="text1"/>
        </w:rPr>
        <w:t>doce</w:t>
      </w:r>
      <w:r w:rsidRPr="00AC2CF9">
        <w:rPr>
          <w:rFonts w:ascii="Palatino Linotype" w:hAnsi="Palatino Linotype"/>
          <w:color w:val="000000" w:themeColor="text1"/>
        </w:rPr>
        <w:t xml:space="preserve"> </w:t>
      </w:r>
      <w:r w:rsidR="004053B1">
        <w:rPr>
          <w:rFonts w:ascii="Palatino Linotype" w:hAnsi="Palatino Linotype"/>
          <w:color w:val="000000" w:themeColor="text1"/>
        </w:rPr>
        <w:t>(1</w:t>
      </w:r>
      <w:r w:rsidR="00A5359F">
        <w:rPr>
          <w:rFonts w:ascii="Palatino Linotype" w:hAnsi="Palatino Linotype"/>
          <w:color w:val="000000" w:themeColor="text1"/>
        </w:rPr>
        <w:t>2</w:t>
      </w:r>
      <w:r w:rsidR="004053B1">
        <w:rPr>
          <w:rFonts w:ascii="Palatino Linotype" w:hAnsi="Palatino Linotype"/>
          <w:color w:val="000000" w:themeColor="text1"/>
        </w:rPr>
        <w:t xml:space="preserve">) </w:t>
      </w:r>
      <w:r w:rsidRPr="00AC2CF9">
        <w:rPr>
          <w:rFonts w:ascii="Palatino Linotype" w:hAnsi="Palatino Linotype"/>
          <w:color w:val="000000" w:themeColor="text1"/>
        </w:rPr>
        <w:t xml:space="preserve">de </w:t>
      </w:r>
      <w:r w:rsidR="00433A8D" w:rsidRPr="00AC2CF9">
        <w:rPr>
          <w:rFonts w:ascii="Palatino Linotype" w:hAnsi="Palatino Linotype"/>
          <w:color w:val="000000" w:themeColor="text1"/>
        </w:rPr>
        <w:t>octubre</w:t>
      </w:r>
      <w:r w:rsidR="00E61C13" w:rsidRPr="00AC2CF9">
        <w:rPr>
          <w:rFonts w:ascii="Palatino Linotype" w:hAnsi="Palatino Linotype"/>
          <w:color w:val="000000" w:themeColor="text1"/>
        </w:rPr>
        <w:t xml:space="preserve"> de dos mil </w:t>
      </w:r>
      <w:r w:rsidR="004D465B" w:rsidRPr="00AC2CF9">
        <w:rPr>
          <w:rFonts w:ascii="Palatino Linotype" w:hAnsi="Palatino Linotype"/>
          <w:color w:val="000000" w:themeColor="text1"/>
        </w:rPr>
        <w:t>veintitrés</w:t>
      </w:r>
      <w:r w:rsidRPr="00AC2CF9">
        <w:rPr>
          <w:rFonts w:ascii="Palatino Linotype" w:hAnsi="Palatino Linotype"/>
          <w:color w:val="000000" w:themeColor="text1"/>
        </w:rPr>
        <w:t>.</w:t>
      </w:r>
    </w:p>
    <w:p w:rsidR="00AC2CF9" w:rsidRPr="00AC2CF9" w:rsidRDefault="00AC2CF9" w:rsidP="00AC2CF9">
      <w:pPr>
        <w:tabs>
          <w:tab w:val="left" w:pos="3465"/>
        </w:tabs>
        <w:spacing w:line="360" w:lineRule="auto"/>
        <w:jc w:val="both"/>
        <w:rPr>
          <w:rFonts w:ascii="Palatino Linotype" w:hAnsi="Palatino Linotype"/>
          <w:color w:val="000000" w:themeColor="text1"/>
        </w:rPr>
      </w:pPr>
    </w:p>
    <w:p w:rsidR="009F09BC" w:rsidRPr="008C1E19" w:rsidRDefault="009F09BC" w:rsidP="00AC2CF9">
      <w:pPr>
        <w:pStyle w:val="Encabezado"/>
        <w:spacing w:line="360" w:lineRule="auto"/>
        <w:jc w:val="both"/>
        <w:rPr>
          <w:rFonts w:ascii="Palatino Linotype" w:hAnsi="Palatino Linotype" w:cs="Arial"/>
          <w:b/>
          <w:bCs/>
          <w:lang w:eastAsia="es-MX"/>
        </w:rPr>
      </w:pPr>
      <w:r w:rsidRPr="00AC2CF9">
        <w:rPr>
          <w:rFonts w:ascii="Palatino Linotype" w:hAnsi="Palatino Linotype"/>
          <w:b/>
          <w:color w:val="000000" w:themeColor="text1"/>
        </w:rPr>
        <w:t>VISTO</w:t>
      </w:r>
      <w:r w:rsidRPr="00AC2CF9">
        <w:rPr>
          <w:rFonts w:ascii="Palatino Linotype" w:hAnsi="Palatino Linotype"/>
          <w:color w:val="000000" w:themeColor="text1"/>
        </w:rPr>
        <w:t xml:space="preserve"> </w:t>
      </w:r>
      <w:r w:rsidR="008A699B" w:rsidRPr="00AC2CF9">
        <w:rPr>
          <w:rFonts w:ascii="Palatino Linotype" w:hAnsi="Palatino Linotype"/>
          <w:color w:val="000000" w:themeColor="text1"/>
        </w:rPr>
        <w:t>e</w:t>
      </w:r>
      <w:r w:rsidRPr="00AC2CF9">
        <w:rPr>
          <w:rFonts w:ascii="Palatino Linotype" w:hAnsi="Palatino Linotype"/>
          <w:color w:val="000000" w:themeColor="text1"/>
        </w:rPr>
        <w:t xml:space="preserve">l expediente electrónico formado con motivo del recurso de revisión </w:t>
      </w:r>
      <w:r w:rsidR="00433A8D" w:rsidRPr="00AC2CF9">
        <w:rPr>
          <w:rFonts w:ascii="Palatino Linotype" w:hAnsi="Palatino Linotype" w:cs="Arial"/>
          <w:b/>
          <w:bCs/>
          <w:lang w:eastAsia="es-MX"/>
        </w:rPr>
        <w:t>04243/INFOEM/IP/RR/2023</w:t>
      </w:r>
      <w:r w:rsidRPr="00AC2CF9">
        <w:rPr>
          <w:rFonts w:ascii="Palatino Linotype" w:hAnsi="Palatino Linotype"/>
          <w:color w:val="000000" w:themeColor="text1"/>
        </w:rPr>
        <w:t>,</w:t>
      </w:r>
      <w:r w:rsidRPr="00AC2CF9">
        <w:rPr>
          <w:rFonts w:ascii="Palatino Linotype" w:hAnsi="Palatino Linotype" w:cs="Arial"/>
          <w:b/>
          <w:bCs/>
          <w:color w:val="000000" w:themeColor="text1"/>
        </w:rPr>
        <w:t xml:space="preserve"> </w:t>
      </w:r>
      <w:r w:rsidRPr="00AC2CF9">
        <w:rPr>
          <w:rFonts w:ascii="Palatino Linotype" w:hAnsi="Palatino Linotype"/>
          <w:color w:val="000000" w:themeColor="text1"/>
        </w:rPr>
        <w:t>promovido por</w:t>
      </w:r>
      <w:r w:rsidR="00433A8D" w:rsidRPr="00AC2CF9">
        <w:rPr>
          <w:rFonts w:ascii="Palatino Linotype" w:hAnsi="Palatino Linotype"/>
          <w:b/>
          <w:bCs/>
          <w:color w:val="000000"/>
        </w:rPr>
        <w:t xml:space="preserve"> </w:t>
      </w:r>
      <w:r w:rsidR="009B14A8">
        <w:rPr>
          <w:rFonts w:ascii="Palatino Linotype" w:hAnsi="Palatino Linotype"/>
          <w:b/>
          <w:bCs/>
          <w:color w:val="000000"/>
        </w:rPr>
        <w:t>XXX XXX XXX</w:t>
      </w:r>
      <w:r w:rsidRPr="00AC2CF9">
        <w:rPr>
          <w:rFonts w:ascii="Palatino Linotype" w:hAnsi="Palatino Linotype"/>
          <w:color w:val="000000" w:themeColor="text1"/>
        </w:rPr>
        <w:t xml:space="preserve">, a quien en lo sucesivo se le identificará como </w:t>
      </w:r>
      <w:r w:rsidR="00C860B1" w:rsidRPr="00AC2CF9">
        <w:rPr>
          <w:rFonts w:ascii="Palatino Linotype" w:hAnsi="Palatino Linotype"/>
          <w:b/>
          <w:color w:val="000000" w:themeColor="text1"/>
        </w:rPr>
        <w:t>EL RECURRENTE</w:t>
      </w:r>
      <w:r w:rsidRPr="00AC2CF9">
        <w:rPr>
          <w:rFonts w:ascii="Palatino Linotype" w:hAnsi="Palatino Linotype" w:cs="Arial"/>
          <w:color w:val="000000" w:themeColor="text1"/>
        </w:rPr>
        <w:t xml:space="preserve">, en contra de la respuesta del </w:t>
      </w:r>
      <w:r w:rsidR="00433A8D" w:rsidRPr="00AC2CF9">
        <w:rPr>
          <w:rFonts w:ascii="Palatino Linotype" w:hAnsi="Palatino Linotype"/>
          <w:b/>
          <w:color w:val="000000" w:themeColor="text1"/>
        </w:rPr>
        <w:t>Ayuntamiento de Ecatepec de Morelos</w:t>
      </w:r>
      <w:r w:rsidRPr="00AC2CF9">
        <w:rPr>
          <w:rFonts w:ascii="Palatino Linotype" w:hAnsi="Palatino Linotype" w:cs="Arial"/>
          <w:b/>
          <w:color w:val="000000" w:themeColor="text1"/>
        </w:rPr>
        <w:t>,</w:t>
      </w:r>
      <w:r w:rsidRPr="00AC2CF9">
        <w:rPr>
          <w:rFonts w:ascii="Palatino Linotype" w:hAnsi="Palatino Linotype"/>
          <w:b/>
          <w:color w:val="000000" w:themeColor="text1"/>
        </w:rPr>
        <w:t xml:space="preserve"> </w:t>
      </w:r>
      <w:r w:rsidRPr="00AC2CF9">
        <w:rPr>
          <w:rFonts w:ascii="Palatino Linotype" w:hAnsi="Palatino Linotype"/>
          <w:color w:val="000000" w:themeColor="text1"/>
        </w:rPr>
        <w:t xml:space="preserve">en </w:t>
      </w:r>
      <w:r w:rsidR="004053B1">
        <w:rPr>
          <w:rFonts w:ascii="Palatino Linotype" w:hAnsi="Palatino Linotype"/>
          <w:color w:val="000000" w:themeColor="text1"/>
        </w:rPr>
        <w:t>adelante</w:t>
      </w:r>
      <w:r w:rsidRPr="00AC2CF9">
        <w:rPr>
          <w:rFonts w:ascii="Palatino Linotype" w:hAnsi="Palatino Linotype"/>
          <w:color w:val="000000" w:themeColor="text1"/>
        </w:rPr>
        <w:t xml:space="preserve"> el</w:t>
      </w:r>
      <w:r w:rsidRPr="00AC2CF9">
        <w:rPr>
          <w:rFonts w:ascii="Palatino Linotype" w:hAnsi="Palatino Linotype"/>
          <w:b/>
          <w:color w:val="000000" w:themeColor="text1"/>
        </w:rPr>
        <w:t xml:space="preserve"> SUJETO OBLIGADO</w:t>
      </w:r>
      <w:r w:rsidRPr="00AC2CF9">
        <w:rPr>
          <w:rFonts w:ascii="Palatino Linotype" w:hAnsi="Palatino Linotype"/>
          <w:color w:val="000000" w:themeColor="text1"/>
        </w:rPr>
        <w:t>, se procede a dictar la presente resolución, con base en los siguientes:</w:t>
      </w:r>
    </w:p>
    <w:p w:rsidR="00AC2CF9" w:rsidRPr="00AC2CF9" w:rsidRDefault="00AC2CF9" w:rsidP="00AC2CF9">
      <w:pPr>
        <w:pStyle w:val="Encabezado"/>
        <w:spacing w:line="360" w:lineRule="auto"/>
        <w:jc w:val="both"/>
        <w:rPr>
          <w:rFonts w:ascii="Palatino Linotype" w:hAnsi="Palatino Linotype"/>
          <w:b/>
        </w:rPr>
      </w:pPr>
    </w:p>
    <w:p w:rsidR="009F09BC" w:rsidRPr="00AC2CF9" w:rsidRDefault="009F09BC" w:rsidP="00AC2CF9">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AC2CF9">
        <w:rPr>
          <w:rFonts w:ascii="Palatino Linotype" w:hAnsi="Palatino Linotype"/>
          <w:b/>
          <w:color w:val="000000" w:themeColor="text1"/>
          <w:sz w:val="24"/>
          <w:szCs w:val="24"/>
        </w:rPr>
        <w:t>ANTECEDENTES</w:t>
      </w:r>
      <w:bookmarkEnd w:id="0"/>
      <w:bookmarkEnd w:id="1"/>
      <w:bookmarkEnd w:id="2"/>
    </w:p>
    <w:p w:rsidR="00AC2CF9" w:rsidRPr="00AC2CF9" w:rsidRDefault="00AC2CF9" w:rsidP="00AC2CF9"/>
    <w:p w:rsidR="009F09BC" w:rsidRPr="00AC2CF9" w:rsidRDefault="009F09BC" w:rsidP="00AC2CF9">
      <w:pPr>
        <w:pStyle w:val="Prrafodelista"/>
        <w:numPr>
          <w:ilvl w:val="0"/>
          <w:numId w:val="15"/>
        </w:numPr>
        <w:spacing w:line="360" w:lineRule="auto"/>
        <w:ind w:left="0" w:firstLine="0"/>
        <w:jc w:val="both"/>
        <w:rPr>
          <w:rFonts w:ascii="Palatino Linotype" w:eastAsia="Calibri" w:hAnsi="Palatino Linotype" w:cs="Arial"/>
          <w:color w:val="000000" w:themeColor="text1"/>
          <w:lang w:val="es-ES"/>
        </w:rPr>
      </w:pPr>
      <w:r w:rsidRPr="00AC2CF9">
        <w:rPr>
          <w:rFonts w:ascii="Palatino Linotype" w:eastAsia="Calibri" w:hAnsi="Palatino Linotype" w:cs="Arial"/>
          <w:color w:val="000000" w:themeColor="text1"/>
          <w:lang w:val="es-ES"/>
        </w:rPr>
        <w:t xml:space="preserve">El día </w:t>
      </w:r>
      <w:r w:rsidR="007D0860" w:rsidRPr="00AC2CF9">
        <w:rPr>
          <w:rFonts w:ascii="Palatino Linotype" w:eastAsia="Calibri" w:hAnsi="Palatino Linotype" w:cs="Arial"/>
          <w:color w:val="000000" w:themeColor="text1"/>
          <w:lang w:val="es-ES"/>
        </w:rPr>
        <w:t>trece de junio</w:t>
      </w:r>
      <w:r w:rsidR="00E61C13" w:rsidRPr="00AC2CF9">
        <w:rPr>
          <w:rFonts w:ascii="Palatino Linotype" w:eastAsia="Calibri" w:hAnsi="Palatino Linotype" w:cs="Arial"/>
          <w:color w:val="000000" w:themeColor="text1"/>
          <w:lang w:val="es-ES"/>
        </w:rPr>
        <w:t xml:space="preserve"> de dos mil </w:t>
      </w:r>
      <w:r w:rsidR="004D465B" w:rsidRPr="00AC2CF9">
        <w:rPr>
          <w:rFonts w:ascii="Palatino Linotype" w:eastAsia="Calibri" w:hAnsi="Palatino Linotype" w:cs="Arial"/>
          <w:color w:val="000000" w:themeColor="text1"/>
          <w:lang w:val="es-ES"/>
        </w:rPr>
        <w:t>veintitrés</w:t>
      </w:r>
      <w:r w:rsidRPr="00AC2CF9">
        <w:rPr>
          <w:rFonts w:ascii="Palatino Linotype" w:hAnsi="Palatino Linotype"/>
          <w:b/>
          <w:color w:val="000000" w:themeColor="text1"/>
        </w:rPr>
        <w:t xml:space="preserve">, </w:t>
      </w:r>
      <w:r w:rsidRPr="00AC2CF9">
        <w:rPr>
          <w:rFonts w:ascii="Palatino Linotype" w:eastAsia="Calibri" w:hAnsi="Palatino Linotype" w:cs="Arial"/>
          <w:color w:val="000000" w:themeColor="text1"/>
          <w:lang w:val="es-ES"/>
        </w:rPr>
        <w:t xml:space="preserve">se presentó ante el </w:t>
      </w:r>
      <w:r w:rsidRPr="00AC2CF9">
        <w:rPr>
          <w:rFonts w:ascii="Palatino Linotype" w:eastAsia="Calibri" w:hAnsi="Palatino Linotype" w:cs="Arial"/>
          <w:b/>
          <w:color w:val="000000" w:themeColor="text1"/>
          <w:lang w:val="es-ES"/>
        </w:rPr>
        <w:t xml:space="preserve">SUJETO </w:t>
      </w:r>
      <w:r w:rsidRPr="00AC2CF9">
        <w:rPr>
          <w:rFonts w:ascii="Palatino Linotype" w:hAnsi="Palatino Linotype" w:cs="Arial"/>
          <w:color w:val="000000" w:themeColor="text1"/>
        </w:rPr>
        <w:t>OBLIGADO</w:t>
      </w:r>
      <w:r w:rsidRPr="00AC2CF9">
        <w:rPr>
          <w:rFonts w:ascii="Palatino Linotype" w:eastAsia="Calibri" w:hAnsi="Palatino Linotype" w:cs="Arial"/>
          <w:color w:val="000000" w:themeColor="text1"/>
        </w:rPr>
        <w:t xml:space="preserve"> vía </w:t>
      </w:r>
      <w:r w:rsidR="008A699B" w:rsidRPr="00AC2CF9">
        <w:rPr>
          <w:rFonts w:ascii="Palatino Linotype" w:hAnsi="Palatino Linotype" w:cs="Arial"/>
          <w:color w:val="000000" w:themeColor="text1"/>
        </w:rPr>
        <w:t>SAIMEX</w:t>
      </w:r>
      <w:r w:rsidR="008A699B" w:rsidRPr="00AC2CF9">
        <w:rPr>
          <w:rFonts w:ascii="Palatino Linotype" w:eastAsia="Calibri" w:hAnsi="Palatino Linotype" w:cs="Arial"/>
          <w:color w:val="000000" w:themeColor="text1"/>
          <w:lang w:val="es-ES"/>
        </w:rPr>
        <w:t>, la solicitud</w:t>
      </w:r>
      <w:r w:rsidRPr="00AC2CF9">
        <w:rPr>
          <w:rFonts w:ascii="Palatino Linotype" w:eastAsia="Calibri" w:hAnsi="Palatino Linotype" w:cs="Arial"/>
          <w:color w:val="000000" w:themeColor="text1"/>
          <w:lang w:val="es-ES"/>
        </w:rPr>
        <w:t xml:space="preserve"> de información pública</w:t>
      </w:r>
      <w:r w:rsidR="008A699B" w:rsidRPr="00AC2CF9">
        <w:rPr>
          <w:rFonts w:ascii="Palatino Linotype" w:eastAsia="Calibri" w:hAnsi="Palatino Linotype" w:cs="Arial"/>
          <w:color w:val="000000" w:themeColor="text1"/>
          <w:lang w:val="es-ES"/>
        </w:rPr>
        <w:t xml:space="preserve"> registrada</w:t>
      </w:r>
      <w:r w:rsidRPr="00AC2CF9">
        <w:rPr>
          <w:rFonts w:ascii="Palatino Linotype" w:eastAsia="Calibri" w:hAnsi="Palatino Linotype" w:cs="Arial"/>
          <w:color w:val="000000" w:themeColor="text1"/>
          <w:lang w:val="es-ES"/>
        </w:rPr>
        <w:t xml:space="preserve"> con </w:t>
      </w:r>
      <w:r w:rsidR="008A699B" w:rsidRPr="00AC2CF9">
        <w:rPr>
          <w:rFonts w:ascii="Palatino Linotype" w:eastAsia="Calibri" w:hAnsi="Palatino Linotype" w:cs="Arial"/>
          <w:color w:val="000000" w:themeColor="text1"/>
          <w:lang w:val="es-ES"/>
        </w:rPr>
        <w:t xml:space="preserve">el </w:t>
      </w:r>
      <w:r w:rsidRPr="00AC2CF9">
        <w:rPr>
          <w:rFonts w:ascii="Palatino Linotype" w:eastAsia="Calibri" w:hAnsi="Palatino Linotype" w:cs="Arial"/>
          <w:color w:val="000000" w:themeColor="text1"/>
          <w:lang w:val="es-ES"/>
        </w:rPr>
        <w:t>número</w:t>
      </w:r>
      <w:r w:rsidRPr="00AC2CF9">
        <w:rPr>
          <w:rFonts w:ascii="Palatino Linotype" w:hAnsi="Palatino Linotype"/>
          <w:b/>
          <w:bCs/>
          <w:color w:val="000000" w:themeColor="text1"/>
        </w:rPr>
        <w:t xml:space="preserve"> </w:t>
      </w:r>
      <w:r w:rsidR="007D0860" w:rsidRPr="00AC2CF9">
        <w:rPr>
          <w:rFonts w:ascii="Palatino Linotype" w:hAnsi="Palatino Linotype"/>
          <w:b/>
          <w:bCs/>
          <w:color w:val="000000" w:themeColor="text1"/>
        </w:rPr>
        <w:t>00538/ECATEPEC/IP/2023</w:t>
      </w:r>
      <w:r w:rsidRPr="00AC2CF9">
        <w:rPr>
          <w:rFonts w:ascii="Palatino Linotype" w:hAnsi="Palatino Linotype"/>
          <w:b/>
          <w:bCs/>
          <w:color w:val="000000" w:themeColor="text1"/>
        </w:rPr>
        <w:t xml:space="preserve">; </w:t>
      </w:r>
      <w:r w:rsidRPr="00AC2CF9">
        <w:rPr>
          <w:rFonts w:ascii="Palatino Linotype" w:eastAsia="Calibri" w:hAnsi="Palatino Linotype" w:cs="Arial"/>
          <w:color w:val="000000" w:themeColor="text1"/>
          <w:lang w:val="es-ES"/>
        </w:rPr>
        <w:t>mediante las cuales se solicitó la siguiente información:</w:t>
      </w:r>
    </w:p>
    <w:p w:rsidR="008A699B" w:rsidRPr="00AC2CF9" w:rsidRDefault="008A699B" w:rsidP="00AC2CF9">
      <w:pPr>
        <w:pStyle w:val="Prrafodelista"/>
        <w:spacing w:line="360" w:lineRule="auto"/>
        <w:ind w:left="0"/>
        <w:jc w:val="both"/>
        <w:rPr>
          <w:rFonts w:ascii="Palatino Linotype" w:eastAsia="Calibri" w:hAnsi="Palatino Linotype" w:cs="Arial"/>
          <w:color w:val="000000" w:themeColor="text1"/>
          <w:lang w:val="es-ES"/>
        </w:rPr>
      </w:pPr>
    </w:p>
    <w:p w:rsidR="009F09BC" w:rsidRPr="00AC2CF9" w:rsidRDefault="00EB1CE2" w:rsidP="00AC2CF9">
      <w:pPr>
        <w:pStyle w:val="Prrafodelista"/>
        <w:spacing w:line="360" w:lineRule="auto"/>
        <w:ind w:left="425" w:right="476"/>
        <w:jc w:val="both"/>
        <w:rPr>
          <w:rFonts w:ascii="Palatino Linotype" w:hAnsi="Palatino Linotype"/>
          <w:i/>
          <w:color w:val="000000" w:themeColor="text1"/>
        </w:rPr>
      </w:pPr>
      <w:r w:rsidRPr="00AC2CF9">
        <w:rPr>
          <w:rFonts w:ascii="Palatino Linotype" w:hAnsi="Palatino Linotype"/>
          <w:i/>
          <w:color w:val="000000" w:themeColor="text1"/>
        </w:rPr>
        <w:t>“</w:t>
      </w:r>
      <w:r w:rsidR="007D0860" w:rsidRPr="00AC2CF9">
        <w:rPr>
          <w:rFonts w:ascii="Palatino Linotype" w:hAnsi="Palatino Linotype"/>
          <w:i/>
          <w:color w:val="000000" w:themeColor="text1"/>
        </w:rPr>
        <w:t>Solicito de forma detalla el padron de beneficiarios de la Valedora y de la Tarjeta Arcoiris, segmentado por edad y comunidad o colonia en Ecatepec del ejercicio fiscal 2023; así como, las reglas de operación de cada uno de los programas y el calendario de disperción de recursos.</w:t>
      </w:r>
      <w:r w:rsidR="008A699B" w:rsidRPr="00AC2CF9">
        <w:rPr>
          <w:rFonts w:ascii="Palatino Linotype" w:hAnsi="Palatino Linotype"/>
          <w:i/>
          <w:color w:val="000000" w:themeColor="text1"/>
        </w:rPr>
        <w:t>”</w:t>
      </w:r>
    </w:p>
    <w:p w:rsidR="008A699B" w:rsidRPr="00AC2CF9" w:rsidRDefault="008A699B" w:rsidP="00AC2CF9">
      <w:pPr>
        <w:pStyle w:val="Prrafodelista"/>
        <w:spacing w:line="360" w:lineRule="auto"/>
        <w:ind w:left="851" w:right="34"/>
        <w:jc w:val="both"/>
        <w:rPr>
          <w:rFonts w:ascii="Palatino Linotype" w:hAnsi="Palatino Linotype"/>
          <w:color w:val="000000" w:themeColor="text1"/>
        </w:rPr>
      </w:pPr>
    </w:p>
    <w:p w:rsidR="009F09BC" w:rsidRPr="00AC2CF9" w:rsidRDefault="009F09BC" w:rsidP="00AC2CF9">
      <w:pPr>
        <w:pStyle w:val="Prrafodelista"/>
        <w:numPr>
          <w:ilvl w:val="0"/>
          <w:numId w:val="23"/>
        </w:numPr>
        <w:spacing w:line="360" w:lineRule="auto"/>
        <w:ind w:left="709" w:right="34" w:hanging="283"/>
        <w:jc w:val="both"/>
        <w:rPr>
          <w:rFonts w:ascii="Palatino Linotype" w:hAnsi="Palatino Linotype"/>
          <w:color w:val="000000" w:themeColor="text1"/>
        </w:rPr>
      </w:pPr>
      <w:r w:rsidRPr="00AC2CF9">
        <w:rPr>
          <w:rFonts w:ascii="Palatino Linotype" w:eastAsia="Times New Roman" w:hAnsi="Palatino Linotype" w:cs="Arial"/>
          <w:color w:val="000000" w:themeColor="text1"/>
          <w:lang w:val="es-ES"/>
        </w:rPr>
        <w:t>Se eligió como modalidad de entrega de la información</w:t>
      </w:r>
      <w:r w:rsidRPr="00AC2CF9">
        <w:rPr>
          <w:rFonts w:ascii="Palatino Linotype" w:hAnsi="Palatino Linotype"/>
          <w:color w:val="000000" w:themeColor="text1"/>
        </w:rPr>
        <w:t xml:space="preserve">: A través del </w:t>
      </w:r>
      <w:r w:rsidRPr="00AC2CF9">
        <w:rPr>
          <w:rFonts w:ascii="Palatino Linotype" w:hAnsi="Palatino Linotype"/>
          <w:b/>
          <w:color w:val="000000" w:themeColor="text1"/>
        </w:rPr>
        <w:t>SAIMEX</w:t>
      </w:r>
      <w:r w:rsidR="0069487D" w:rsidRPr="00AC2CF9">
        <w:rPr>
          <w:rFonts w:ascii="Palatino Linotype" w:hAnsi="Palatino Linotype"/>
          <w:b/>
          <w:color w:val="000000" w:themeColor="text1"/>
        </w:rPr>
        <w:t>.</w:t>
      </w:r>
    </w:p>
    <w:p w:rsidR="00372B75" w:rsidRPr="00AC2CF9" w:rsidRDefault="007D0860" w:rsidP="00AC2CF9">
      <w:pPr>
        <w:pStyle w:val="Prrafodelista"/>
        <w:numPr>
          <w:ilvl w:val="0"/>
          <w:numId w:val="15"/>
        </w:numPr>
        <w:spacing w:line="360" w:lineRule="auto"/>
        <w:ind w:left="0" w:firstLine="0"/>
        <w:jc w:val="both"/>
        <w:rPr>
          <w:rFonts w:ascii="Palatino Linotype" w:hAnsi="Palatino Linotype" w:cs="Arial"/>
          <w:i/>
          <w:color w:val="000000" w:themeColor="text1"/>
        </w:rPr>
      </w:pPr>
      <w:r w:rsidRPr="00AC2CF9">
        <w:rPr>
          <w:rFonts w:ascii="Palatino Linotype" w:hAnsi="Palatino Linotype" w:cs="Arial"/>
          <w:color w:val="000000" w:themeColor="text1"/>
        </w:rPr>
        <w:lastRenderedPageBreak/>
        <w:t>En fecha seis de julio de</w:t>
      </w:r>
      <w:r w:rsidR="002C4997" w:rsidRPr="00AC2CF9">
        <w:rPr>
          <w:rFonts w:ascii="Palatino Linotype" w:hAnsi="Palatino Linotype" w:cs="Arial"/>
          <w:color w:val="000000" w:themeColor="text1"/>
        </w:rPr>
        <w:t xml:space="preserve"> dos mil </w:t>
      </w:r>
      <w:r w:rsidR="004D465B" w:rsidRPr="00AC2CF9">
        <w:rPr>
          <w:rFonts w:ascii="Palatino Linotype" w:hAnsi="Palatino Linotype" w:cs="Arial"/>
          <w:color w:val="000000" w:themeColor="text1"/>
        </w:rPr>
        <w:t>veintitrés</w:t>
      </w:r>
      <w:r w:rsidR="009F09BC" w:rsidRPr="00AC2CF9">
        <w:rPr>
          <w:rFonts w:ascii="Palatino Linotype" w:hAnsi="Palatino Linotype" w:cs="Arial"/>
          <w:color w:val="000000" w:themeColor="text1"/>
        </w:rPr>
        <w:t xml:space="preserve">, el </w:t>
      </w:r>
      <w:r w:rsidR="009F09BC" w:rsidRPr="00AC2CF9">
        <w:rPr>
          <w:rFonts w:ascii="Palatino Linotype" w:hAnsi="Palatino Linotype" w:cs="Arial"/>
          <w:b/>
          <w:color w:val="000000" w:themeColor="text1"/>
        </w:rPr>
        <w:t>SUJETO OBLIGADO,</w:t>
      </w:r>
      <w:r w:rsidR="00EB1CE2" w:rsidRPr="00AC2CF9">
        <w:rPr>
          <w:rFonts w:ascii="Palatino Linotype" w:hAnsi="Palatino Linotype" w:cs="Arial"/>
          <w:color w:val="000000" w:themeColor="text1"/>
        </w:rPr>
        <w:t xml:space="preserve"> dio respuesta a través de</w:t>
      </w:r>
      <w:r w:rsidRPr="00AC2CF9">
        <w:rPr>
          <w:rFonts w:ascii="Palatino Linotype" w:hAnsi="Palatino Linotype" w:cs="Arial"/>
          <w:color w:val="000000" w:themeColor="text1"/>
        </w:rPr>
        <w:t xml:space="preserve"> </w:t>
      </w:r>
      <w:r w:rsidR="00EB1CE2" w:rsidRPr="00AC2CF9">
        <w:rPr>
          <w:rFonts w:ascii="Palatino Linotype" w:hAnsi="Palatino Linotype" w:cs="Arial"/>
          <w:color w:val="000000" w:themeColor="text1"/>
        </w:rPr>
        <w:t>l</w:t>
      </w:r>
      <w:r w:rsidRPr="00AC2CF9">
        <w:rPr>
          <w:rFonts w:ascii="Palatino Linotype" w:hAnsi="Palatino Linotype" w:cs="Arial"/>
          <w:color w:val="000000" w:themeColor="text1"/>
        </w:rPr>
        <w:t>os</w:t>
      </w:r>
      <w:r w:rsidR="00EB1CE2" w:rsidRPr="00AC2CF9">
        <w:rPr>
          <w:rFonts w:ascii="Palatino Linotype" w:hAnsi="Palatino Linotype" w:cs="Arial"/>
          <w:color w:val="000000" w:themeColor="text1"/>
        </w:rPr>
        <w:t xml:space="preserve"> archivo</w:t>
      </w:r>
      <w:r w:rsidRPr="00AC2CF9">
        <w:rPr>
          <w:rFonts w:ascii="Palatino Linotype" w:hAnsi="Palatino Linotype" w:cs="Arial"/>
          <w:color w:val="000000" w:themeColor="text1"/>
        </w:rPr>
        <w:t>s</w:t>
      </w:r>
      <w:r w:rsidR="00EB1CE2" w:rsidRPr="00AC2CF9">
        <w:rPr>
          <w:rFonts w:ascii="Palatino Linotype" w:hAnsi="Palatino Linotype" w:cs="Arial"/>
          <w:color w:val="000000" w:themeColor="text1"/>
        </w:rPr>
        <w:t xml:space="preserve"> electrónico</w:t>
      </w:r>
      <w:r w:rsidRPr="00AC2CF9">
        <w:rPr>
          <w:rFonts w:ascii="Palatino Linotype" w:hAnsi="Palatino Linotype" w:cs="Arial"/>
          <w:color w:val="000000" w:themeColor="text1"/>
        </w:rPr>
        <w:t>s</w:t>
      </w:r>
      <w:r w:rsidR="00EB1CE2" w:rsidRPr="00AC2CF9">
        <w:rPr>
          <w:rFonts w:ascii="Palatino Linotype" w:hAnsi="Palatino Linotype" w:cs="Arial"/>
          <w:color w:val="000000" w:themeColor="text1"/>
        </w:rPr>
        <w:t xml:space="preserve"> denominado</w:t>
      </w:r>
      <w:r w:rsidRPr="00AC2CF9">
        <w:rPr>
          <w:rFonts w:ascii="Palatino Linotype" w:hAnsi="Palatino Linotype" w:cs="Arial"/>
          <w:color w:val="000000" w:themeColor="text1"/>
        </w:rPr>
        <w:t>s</w:t>
      </w:r>
      <w:r w:rsidRPr="00AC2CF9">
        <w:rPr>
          <w:rFonts w:ascii="Palatino Linotype" w:hAnsi="Palatino Linotype" w:cs="Arial"/>
          <w:b/>
          <w:color w:val="000000" w:themeColor="text1"/>
        </w:rPr>
        <w:t xml:space="preserve"> 538-2023-Bienestar.pdf, EXT. 45 SOL 538-23 (1).pdf, 538-2023-Diversidad.pdf, reglas de </w:t>
      </w:r>
      <w:r w:rsidR="00583A43" w:rsidRPr="00AC2CF9">
        <w:rPr>
          <w:rFonts w:ascii="Palatino Linotype" w:hAnsi="Palatino Linotype" w:cs="Arial"/>
          <w:b/>
          <w:color w:val="000000" w:themeColor="text1"/>
        </w:rPr>
        <w:t>operación</w:t>
      </w:r>
      <w:r w:rsidRPr="00AC2CF9">
        <w:rPr>
          <w:rFonts w:ascii="Palatino Linotype" w:hAnsi="Palatino Linotype" w:cs="Arial"/>
          <w:b/>
          <w:color w:val="000000" w:themeColor="text1"/>
        </w:rPr>
        <w:t xml:space="preserve"> la valedora y arcoiris 2023 (2).pdf y Padrón de la Valedora 538 - 2023.pdf</w:t>
      </w:r>
      <w:r w:rsidRPr="00AC2CF9">
        <w:rPr>
          <w:rFonts w:ascii="Palatino Linotype" w:hAnsi="Palatino Linotype" w:cs="Arial"/>
          <w:b/>
          <w:i/>
          <w:color w:val="000000" w:themeColor="text1"/>
        </w:rPr>
        <w:t>;</w:t>
      </w:r>
      <w:r w:rsidR="00EB1CE2" w:rsidRPr="00AC2CF9">
        <w:rPr>
          <w:rFonts w:ascii="Palatino Linotype" w:hAnsi="Palatino Linotype" w:cs="Arial"/>
          <w:i/>
          <w:color w:val="000000" w:themeColor="text1"/>
        </w:rPr>
        <w:t xml:space="preserve"> </w:t>
      </w:r>
      <w:r w:rsidR="00372B75" w:rsidRPr="00AC2CF9">
        <w:rPr>
          <w:rFonts w:ascii="Palatino Linotype" w:hAnsi="Palatino Linotype" w:cs="Arial"/>
          <w:color w:val="000000" w:themeColor="text1"/>
        </w:rPr>
        <w:t xml:space="preserve">que se </w:t>
      </w:r>
      <w:r w:rsidR="00AC2CF9" w:rsidRPr="00AC2CF9">
        <w:rPr>
          <w:rFonts w:ascii="Palatino Linotype" w:hAnsi="Palatino Linotype" w:cs="Arial"/>
          <w:color w:val="000000" w:themeColor="text1"/>
        </w:rPr>
        <w:t>visualizan</w:t>
      </w:r>
      <w:r w:rsidR="00372B75" w:rsidRPr="00AC2CF9">
        <w:rPr>
          <w:rFonts w:ascii="Palatino Linotype" w:hAnsi="Palatino Linotype" w:cs="Arial"/>
          <w:color w:val="000000" w:themeColor="text1"/>
        </w:rPr>
        <w:t xml:space="preserve"> a continuación.</w:t>
      </w:r>
    </w:p>
    <w:p w:rsidR="00EB1CE2" w:rsidRPr="00AC2CF9" w:rsidRDefault="00372B75" w:rsidP="00AC2CF9">
      <w:pPr>
        <w:tabs>
          <w:tab w:val="left" w:pos="0"/>
        </w:tabs>
        <w:spacing w:line="360" w:lineRule="auto"/>
        <w:ind w:right="49"/>
        <w:jc w:val="both"/>
        <w:rPr>
          <w:rFonts w:ascii="Palatino Linotype" w:hAnsi="Palatino Linotype" w:cs="Arial"/>
          <w:i/>
          <w:color w:val="000000" w:themeColor="text1"/>
        </w:rPr>
      </w:pPr>
      <w:r w:rsidRPr="00AC2CF9">
        <w:rPr>
          <w:rFonts w:ascii="Palatino Linotype" w:hAnsi="Palatino Linotype" w:cs="Arial"/>
          <w:color w:val="000000" w:themeColor="text1"/>
        </w:rPr>
        <w:t xml:space="preserve"> </w:t>
      </w:r>
      <w:r w:rsidRPr="00AC2CF9">
        <w:rPr>
          <w:rFonts w:ascii="Palatino Linotype" w:hAnsi="Palatino Linotype" w:cs="Arial"/>
          <w:noProof/>
          <w:color w:val="000000" w:themeColor="text1"/>
          <w:lang w:val="es-MX" w:eastAsia="es-MX"/>
        </w:rPr>
        <w:drawing>
          <wp:inline distT="0" distB="0" distL="0" distR="0">
            <wp:extent cx="5609590" cy="2365375"/>
            <wp:effectExtent l="19050" t="19050" r="10160" b="158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9590" cy="2365375"/>
                    </a:xfrm>
                    <a:prstGeom prst="rect">
                      <a:avLst/>
                    </a:prstGeom>
                    <a:noFill/>
                    <a:ln>
                      <a:solidFill>
                        <a:schemeClr val="tx1"/>
                      </a:solidFill>
                    </a:ln>
                  </pic:spPr>
                </pic:pic>
              </a:graphicData>
            </a:graphic>
          </wp:inline>
        </w:drawing>
      </w:r>
      <w:r w:rsidRPr="00AC2CF9">
        <w:rPr>
          <w:rFonts w:ascii="Palatino Linotype" w:hAnsi="Palatino Linotype" w:cs="Arial"/>
          <w:noProof/>
          <w:color w:val="000000" w:themeColor="text1"/>
          <w:lang w:val="es-MX" w:eastAsia="es-MX"/>
        </w:rPr>
        <w:drawing>
          <wp:inline distT="0" distB="0" distL="0" distR="0">
            <wp:extent cx="5609590" cy="2620010"/>
            <wp:effectExtent l="19050" t="19050" r="10160" b="279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9590" cy="2620010"/>
                    </a:xfrm>
                    <a:prstGeom prst="rect">
                      <a:avLst/>
                    </a:prstGeom>
                    <a:noFill/>
                    <a:ln>
                      <a:solidFill>
                        <a:schemeClr val="tx1"/>
                      </a:solidFill>
                    </a:ln>
                  </pic:spPr>
                </pic:pic>
              </a:graphicData>
            </a:graphic>
          </wp:inline>
        </w:drawing>
      </w:r>
    </w:p>
    <w:p w:rsidR="009F09BC" w:rsidRPr="00AC2CF9" w:rsidRDefault="00040187" w:rsidP="00AC2CF9">
      <w:pPr>
        <w:pStyle w:val="Prrafodelista"/>
        <w:numPr>
          <w:ilvl w:val="0"/>
          <w:numId w:val="15"/>
        </w:numPr>
        <w:spacing w:line="360" w:lineRule="auto"/>
        <w:ind w:left="0" w:firstLine="0"/>
        <w:jc w:val="both"/>
        <w:rPr>
          <w:rFonts w:ascii="Palatino Linotype" w:hAnsi="Palatino Linotype" w:cs="Arial"/>
          <w:i/>
          <w:color w:val="000000" w:themeColor="text1"/>
        </w:rPr>
      </w:pPr>
      <w:r w:rsidRPr="00AC2CF9">
        <w:rPr>
          <w:rFonts w:ascii="Palatino Linotype" w:eastAsia="Times New Roman" w:hAnsi="Palatino Linotype" w:cs="Arial"/>
          <w:color w:val="000000" w:themeColor="text1"/>
          <w:lang w:val="es-ES"/>
        </w:rPr>
        <w:lastRenderedPageBreak/>
        <w:t>Inconforme</w:t>
      </w:r>
      <w:r w:rsidR="006263EF" w:rsidRPr="00AC2CF9">
        <w:rPr>
          <w:rFonts w:ascii="Palatino Linotype" w:eastAsia="Times New Roman" w:hAnsi="Palatino Linotype" w:cs="Arial"/>
          <w:color w:val="000000" w:themeColor="text1"/>
          <w:lang w:val="es-ES"/>
        </w:rPr>
        <w:t xml:space="preserve"> con lo anterior, en fecha treinta y uno de julio de </w:t>
      </w:r>
      <w:r w:rsidR="00025C53" w:rsidRPr="00AC2CF9">
        <w:rPr>
          <w:rFonts w:ascii="Palatino Linotype" w:eastAsia="Times New Roman" w:hAnsi="Palatino Linotype" w:cs="Arial"/>
          <w:color w:val="000000" w:themeColor="text1"/>
          <w:lang w:val="es-ES"/>
        </w:rPr>
        <w:t xml:space="preserve">dos mil </w:t>
      </w:r>
      <w:r w:rsidR="004D465B" w:rsidRPr="00AC2CF9">
        <w:rPr>
          <w:rFonts w:ascii="Palatino Linotype" w:eastAsia="Times New Roman" w:hAnsi="Palatino Linotype" w:cs="Arial"/>
          <w:color w:val="000000" w:themeColor="text1"/>
          <w:lang w:val="es-ES"/>
        </w:rPr>
        <w:t>veintitrés</w:t>
      </w:r>
      <w:r w:rsidR="009F09BC" w:rsidRPr="00AC2CF9">
        <w:rPr>
          <w:rFonts w:ascii="Palatino Linotype" w:eastAsia="Times New Roman" w:hAnsi="Palatino Linotype" w:cs="Arial"/>
          <w:color w:val="000000" w:themeColor="text1"/>
          <w:lang w:val="es-ES"/>
        </w:rPr>
        <w:t xml:space="preserve">, el particular interpuso </w:t>
      </w:r>
      <w:r w:rsidR="002C4997" w:rsidRPr="00AC2CF9">
        <w:rPr>
          <w:rFonts w:ascii="Palatino Linotype" w:eastAsia="Times New Roman" w:hAnsi="Palatino Linotype" w:cs="Arial"/>
          <w:color w:val="000000" w:themeColor="text1"/>
          <w:lang w:val="es-ES"/>
        </w:rPr>
        <w:t>e</w:t>
      </w:r>
      <w:r w:rsidR="009F09BC" w:rsidRPr="00AC2CF9">
        <w:rPr>
          <w:rFonts w:ascii="Palatino Linotype" w:eastAsia="Times New Roman" w:hAnsi="Palatino Linotype" w:cs="Arial"/>
          <w:color w:val="000000" w:themeColor="text1"/>
          <w:lang w:val="es-ES"/>
        </w:rPr>
        <w:t>l rec</w:t>
      </w:r>
      <w:r w:rsidR="00372B75" w:rsidRPr="00AC2CF9">
        <w:rPr>
          <w:rFonts w:ascii="Palatino Linotype" w:eastAsia="Times New Roman" w:hAnsi="Palatino Linotype" w:cs="Arial"/>
          <w:color w:val="000000" w:themeColor="text1"/>
          <w:lang w:val="es-ES"/>
        </w:rPr>
        <w:t>urso de revisión en contra de esa</w:t>
      </w:r>
      <w:r w:rsidR="009F09BC" w:rsidRPr="00AC2CF9">
        <w:rPr>
          <w:rFonts w:ascii="Palatino Linotype" w:eastAsia="Times New Roman" w:hAnsi="Palatino Linotype" w:cs="Arial"/>
          <w:color w:val="000000" w:themeColor="text1"/>
          <w:lang w:val="es-ES"/>
        </w:rPr>
        <w:t xml:space="preserve"> respuesta, manifestando l</w:t>
      </w:r>
      <w:r w:rsidR="002C4997" w:rsidRPr="00AC2CF9">
        <w:rPr>
          <w:rFonts w:ascii="Palatino Linotype" w:eastAsia="Times New Roman" w:hAnsi="Palatino Linotype" w:cs="Arial"/>
          <w:color w:val="000000" w:themeColor="text1"/>
          <w:lang w:val="es-ES"/>
        </w:rPr>
        <w:t>a</w:t>
      </w:r>
      <w:r w:rsidR="009F09BC" w:rsidRPr="00AC2CF9">
        <w:rPr>
          <w:rFonts w:ascii="Palatino Linotype" w:eastAsia="Times New Roman" w:hAnsi="Palatino Linotype" w:cs="Arial"/>
          <w:color w:val="000000" w:themeColor="text1"/>
          <w:lang w:val="es-ES"/>
        </w:rPr>
        <w:t xml:space="preserve">s </w:t>
      </w:r>
      <w:r w:rsidR="002C4997" w:rsidRPr="00AC2CF9">
        <w:rPr>
          <w:rFonts w:ascii="Palatino Linotype" w:eastAsia="Times New Roman" w:hAnsi="Palatino Linotype" w:cs="Arial"/>
          <w:color w:val="000000" w:themeColor="text1"/>
          <w:lang w:val="es-ES"/>
        </w:rPr>
        <w:t>siguientes</w:t>
      </w:r>
      <w:r w:rsidR="009F09BC" w:rsidRPr="00AC2CF9">
        <w:rPr>
          <w:rFonts w:ascii="Palatino Linotype" w:eastAsia="Times New Roman" w:hAnsi="Palatino Linotype" w:cs="Arial"/>
          <w:color w:val="000000" w:themeColor="text1"/>
          <w:lang w:val="es-ES"/>
        </w:rPr>
        <w:t xml:space="preserve"> razones o motivos de inconformidad:</w:t>
      </w:r>
    </w:p>
    <w:p w:rsidR="009F09BC" w:rsidRPr="00DF6103" w:rsidRDefault="009F09BC" w:rsidP="00AC2CF9">
      <w:pPr>
        <w:pStyle w:val="Prrafodelista"/>
        <w:tabs>
          <w:tab w:val="left" w:pos="0"/>
        </w:tabs>
        <w:spacing w:line="360" w:lineRule="auto"/>
        <w:ind w:left="0" w:right="49"/>
        <w:jc w:val="both"/>
        <w:rPr>
          <w:rFonts w:ascii="Palatino Linotype" w:hAnsi="Palatino Linotype" w:cs="Arial"/>
          <w:i/>
          <w:color w:val="000000" w:themeColor="text1"/>
          <w:sz w:val="22"/>
        </w:rPr>
      </w:pPr>
    </w:p>
    <w:p w:rsidR="009F09BC" w:rsidRPr="00DF6103" w:rsidRDefault="009F09BC" w:rsidP="00AC2CF9">
      <w:pPr>
        <w:pStyle w:val="Prrafodelista"/>
        <w:numPr>
          <w:ilvl w:val="0"/>
          <w:numId w:val="23"/>
        </w:numPr>
        <w:spacing w:line="360" w:lineRule="auto"/>
        <w:jc w:val="both"/>
        <w:rPr>
          <w:rFonts w:ascii="Palatino Linotype" w:hAnsi="Palatino Linotype"/>
          <w:i/>
          <w:color w:val="000000" w:themeColor="text1"/>
          <w:sz w:val="22"/>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DF6103">
        <w:rPr>
          <w:rStyle w:val="Ttulo2Car"/>
          <w:rFonts w:ascii="Palatino Linotype" w:hAnsi="Palatino Linotype"/>
          <w:b/>
          <w:color w:val="000000" w:themeColor="text1"/>
          <w:sz w:val="22"/>
          <w:szCs w:val="24"/>
        </w:rPr>
        <w:t>Acto impugnado</w:t>
      </w:r>
      <w:bookmarkEnd w:id="3"/>
      <w:r w:rsidRPr="00DF6103">
        <w:rPr>
          <w:rStyle w:val="Ttulo2Car"/>
          <w:rFonts w:ascii="Palatino Linotype" w:hAnsi="Palatino Linotype"/>
          <w:b/>
          <w:color w:val="000000" w:themeColor="text1"/>
          <w:sz w:val="22"/>
          <w:szCs w:val="24"/>
        </w:rPr>
        <w:t xml:space="preserve">: </w:t>
      </w:r>
      <w:r w:rsidRPr="00DF6103">
        <w:rPr>
          <w:rStyle w:val="Ttulo2Car"/>
          <w:rFonts w:ascii="Palatino Linotype" w:hAnsi="Palatino Linotype"/>
          <w:i/>
          <w:color w:val="000000" w:themeColor="text1"/>
          <w:sz w:val="22"/>
          <w:szCs w:val="24"/>
        </w:rPr>
        <w:t>“</w:t>
      </w:r>
      <w:bookmarkEnd w:id="4"/>
      <w:bookmarkEnd w:id="5"/>
      <w:bookmarkEnd w:id="6"/>
      <w:bookmarkEnd w:id="7"/>
      <w:bookmarkEnd w:id="8"/>
      <w:bookmarkEnd w:id="9"/>
      <w:bookmarkEnd w:id="10"/>
      <w:r w:rsidR="00040187" w:rsidRPr="00DF6103">
        <w:rPr>
          <w:rFonts w:ascii="Palatino Linotype" w:eastAsiaTheme="majorEastAsia" w:hAnsi="Palatino Linotype" w:cstheme="majorBidi"/>
          <w:i/>
          <w:color w:val="000000" w:themeColor="text1"/>
          <w:sz w:val="22"/>
        </w:rPr>
        <w:t>Respuesta a mi solicitud de información 00537/ECATEPEC/IP2023</w:t>
      </w:r>
      <w:r w:rsidRPr="00DF6103">
        <w:rPr>
          <w:rFonts w:ascii="Palatino Linotype" w:hAnsi="Palatino Linotype"/>
          <w:color w:val="000000" w:themeColor="text1"/>
          <w:sz w:val="22"/>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9F09BC" w:rsidRPr="00DF6103" w:rsidRDefault="009F09BC" w:rsidP="00AC2CF9">
      <w:pPr>
        <w:spacing w:line="360" w:lineRule="auto"/>
        <w:jc w:val="both"/>
        <w:rPr>
          <w:rFonts w:ascii="Palatino Linotype" w:hAnsi="Palatino Linotype"/>
          <w:i/>
          <w:color w:val="000000" w:themeColor="text1"/>
          <w:sz w:val="22"/>
        </w:rPr>
      </w:pPr>
    </w:p>
    <w:p w:rsidR="009F09BC" w:rsidRPr="00DF6103" w:rsidRDefault="009F09BC" w:rsidP="00AC2CF9">
      <w:pPr>
        <w:pStyle w:val="Prrafodelista"/>
        <w:numPr>
          <w:ilvl w:val="0"/>
          <w:numId w:val="23"/>
        </w:numPr>
        <w:spacing w:line="360" w:lineRule="auto"/>
        <w:jc w:val="both"/>
        <w:rPr>
          <w:rFonts w:ascii="Palatino Linotype" w:hAnsi="Palatino Linotype"/>
          <w:i/>
          <w:color w:val="000000" w:themeColor="text1"/>
          <w:sz w:val="22"/>
        </w:rPr>
      </w:pPr>
      <w:bookmarkStart w:id="127" w:name="_Toc53584977"/>
      <w:bookmarkStart w:id="128" w:name="_Toc60925404"/>
      <w:bookmarkStart w:id="129" w:name="_Toc81364834"/>
      <w:bookmarkStart w:id="130" w:name="_Toc81390611"/>
      <w:bookmarkStart w:id="131" w:name="_Toc82611034"/>
      <w:bookmarkStart w:id="132" w:name="_Toc83128577"/>
      <w:r w:rsidRPr="00DF6103">
        <w:rPr>
          <w:rStyle w:val="Ttulo2Car"/>
          <w:rFonts w:ascii="Palatino Linotype" w:hAnsi="Palatino Linotype"/>
          <w:b/>
          <w:color w:val="000000" w:themeColor="text1"/>
          <w:sz w:val="22"/>
          <w:szCs w:val="24"/>
        </w:rPr>
        <w:t>Razones o Motivos de inconformidad:</w:t>
      </w:r>
      <w:bookmarkEnd w:id="68"/>
      <w:bookmarkEnd w:id="127"/>
      <w:bookmarkEnd w:id="128"/>
      <w:bookmarkEnd w:id="129"/>
      <w:bookmarkEnd w:id="130"/>
      <w:bookmarkEnd w:id="131"/>
      <w:bookmarkEnd w:id="132"/>
      <w:r w:rsidRPr="00DF6103">
        <w:rPr>
          <w:rFonts w:ascii="Palatino Linotype" w:hAnsi="Palatino Linotype"/>
          <w:b/>
          <w:color w:val="000000" w:themeColor="text1"/>
          <w:sz w:val="22"/>
        </w:rPr>
        <w:t xml:space="preserve"> </w:t>
      </w:r>
      <w:r w:rsidRPr="00DF6103">
        <w:rPr>
          <w:rFonts w:ascii="Palatino Linotype" w:hAnsi="Palatino Linotype"/>
          <w:i/>
          <w:color w:val="000000" w:themeColor="text1"/>
          <w:sz w:val="22"/>
        </w:rPr>
        <w:t>“</w:t>
      </w:r>
      <w:r w:rsidR="00040187" w:rsidRPr="00DF6103">
        <w:rPr>
          <w:rFonts w:ascii="Palatino Linotype" w:hAnsi="Palatino Linotype"/>
          <w:i/>
          <w:color w:val="000000" w:themeColor="text1"/>
          <w:sz w:val="22"/>
        </w:rPr>
        <w:t>que de acuerdo con mi solicitud que fue "solicito de forma detalla el padron de beneficiarios de la Valedora y de la Tarjeta Arcoiris, segmentado por edad y comunidad o colonia en Ecatepec del ejercicio fiscal 2023; así como, las reglas de operación de cada uno de los programas y el calendario de disperción de recursos); en la respuesta recibida, no contiene la segmentación de edad de los beneficiarios ni la colonia, pueblo o ejeido de Ecatepec al cual pertenecen, ya que si bien se refieren proteger los apellidos de los beneficiaris, el hecho de informar cuantos beneficiarios o de que comunidad son, no son datos reservados ni protegidos, ya que no se pide domicilio completo y menos serán identificables; por lo que se requiere se remita la información de a que colonias pertenecen los beneficiados</w:t>
      </w:r>
      <w:r w:rsidRPr="00DF6103">
        <w:rPr>
          <w:rFonts w:ascii="Palatino Linotype" w:hAnsi="Palatino Linotype"/>
          <w:i/>
          <w:color w:val="000000" w:themeColor="text1"/>
          <w:sz w:val="22"/>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00040187" w:rsidRPr="00DF6103">
        <w:rPr>
          <w:rFonts w:ascii="Palatino Linotype" w:hAnsi="Palatino Linotype"/>
          <w:i/>
          <w:color w:val="000000" w:themeColor="text1"/>
          <w:sz w:val="22"/>
        </w:rPr>
        <w:t>.</w:t>
      </w:r>
    </w:p>
    <w:p w:rsidR="00EB1CE2" w:rsidRPr="00DF6103" w:rsidRDefault="00EB1CE2" w:rsidP="00AC2CF9">
      <w:pPr>
        <w:pStyle w:val="Prrafodelista"/>
        <w:spacing w:line="360" w:lineRule="auto"/>
        <w:rPr>
          <w:rFonts w:ascii="Palatino Linotype" w:hAnsi="Palatino Linotype"/>
          <w:i/>
          <w:color w:val="000000" w:themeColor="text1"/>
          <w:sz w:val="22"/>
        </w:rPr>
      </w:pPr>
    </w:p>
    <w:p w:rsidR="00650CFC" w:rsidRPr="00AC2CF9" w:rsidRDefault="00040187" w:rsidP="00AC2CF9">
      <w:pPr>
        <w:pStyle w:val="Prrafodelista"/>
        <w:numPr>
          <w:ilvl w:val="0"/>
          <w:numId w:val="15"/>
        </w:numPr>
        <w:spacing w:line="360" w:lineRule="auto"/>
        <w:ind w:left="0" w:firstLine="0"/>
        <w:jc w:val="both"/>
        <w:rPr>
          <w:rFonts w:ascii="Palatino Linotype" w:hAnsi="Palatino Linotype"/>
          <w:i/>
          <w:color w:val="000000" w:themeColor="text1"/>
        </w:rPr>
      </w:pPr>
      <w:r w:rsidRPr="00AC2CF9">
        <w:rPr>
          <w:rFonts w:ascii="Palatino Linotype" w:hAnsi="Palatino Linotype"/>
          <w:color w:val="000000" w:themeColor="text1"/>
        </w:rPr>
        <w:t xml:space="preserve">Posteriormente, en fecha veinticinco de julio de dos mil veintitrés, el particular </w:t>
      </w:r>
      <w:r w:rsidR="00650CFC" w:rsidRPr="00AC2CF9">
        <w:rPr>
          <w:rFonts w:ascii="Palatino Linotype" w:hAnsi="Palatino Linotype"/>
          <w:color w:val="000000" w:themeColor="text1"/>
        </w:rPr>
        <w:t xml:space="preserve"> se desistió del recurso de revisión </w:t>
      </w:r>
      <w:r w:rsidRPr="00AC2CF9">
        <w:rPr>
          <w:rFonts w:ascii="Palatino Linotype" w:hAnsi="Palatino Linotype"/>
          <w:color w:val="000000" w:themeColor="text1"/>
        </w:rPr>
        <w:t xml:space="preserve">en comento, </w:t>
      </w:r>
      <w:r w:rsidR="00AC2CF9" w:rsidRPr="00AC2CF9">
        <w:rPr>
          <w:rFonts w:ascii="Palatino Linotype" w:hAnsi="Palatino Linotype"/>
          <w:color w:val="000000" w:themeColor="text1"/>
        </w:rPr>
        <w:t>manifestando sus razones o motivos, que se</w:t>
      </w:r>
      <w:r w:rsidR="00372B75" w:rsidRPr="00AC2CF9">
        <w:rPr>
          <w:rFonts w:ascii="Palatino Linotype" w:hAnsi="Palatino Linotype"/>
          <w:color w:val="000000" w:themeColor="text1"/>
        </w:rPr>
        <w:t xml:space="preserve"> inserta a continuación</w:t>
      </w:r>
    </w:p>
    <w:p w:rsidR="00052492" w:rsidRDefault="00052492" w:rsidP="00AC2CF9">
      <w:pPr>
        <w:spacing w:line="360" w:lineRule="auto"/>
        <w:jc w:val="both"/>
        <w:rPr>
          <w:noProof/>
          <w:lang w:val="es-MX" w:eastAsia="es-MX"/>
        </w:rPr>
      </w:pPr>
    </w:p>
    <w:p w:rsidR="00052492" w:rsidRDefault="00052492" w:rsidP="00AC2CF9">
      <w:pPr>
        <w:spacing w:line="360" w:lineRule="auto"/>
        <w:jc w:val="both"/>
        <w:rPr>
          <w:noProof/>
          <w:lang w:val="es-MX" w:eastAsia="es-MX"/>
        </w:rPr>
      </w:pPr>
    </w:p>
    <w:p w:rsidR="00581F36" w:rsidRPr="00AC2CF9" w:rsidRDefault="00052492" w:rsidP="00AC2CF9">
      <w:pPr>
        <w:spacing w:line="360" w:lineRule="auto"/>
        <w:jc w:val="both"/>
        <w:rPr>
          <w:rFonts w:ascii="Palatino Linotype" w:hAnsi="Palatino Linotype"/>
          <w:color w:val="000000" w:themeColor="text1"/>
        </w:rPr>
      </w:pPr>
      <w:r>
        <w:rPr>
          <w:noProof/>
          <w:lang w:val="es-MX" w:eastAsia="es-MX"/>
        </w:rPr>
        <w:lastRenderedPageBreak/>
        <w:drawing>
          <wp:inline distT="0" distB="0" distL="0" distR="0" wp14:anchorId="0FB2B28B" wp14:editId="3B8704D7">
            <wp:extent cx="5425269" cy="3830129"/>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210" t="34980" r="32818" b="22379"/>
                    <a:stretch/>
                  </pic:blipFill>
                  <pic:spPr bwMode="auto">
                    <a:xfrm>
                      <a:off x="0" y="0"/>
                      <a:ext cx="5453759" cy="3850242"/>
                    </a:xfrm>
                    <a:prstGeom prst="rect">
                      <a:avLst/>
                    </a:prstGeom>
                    <a:ln>
                      <a:noFill/>
                    </a:ln>
                    <a:extLst>
                      <a:ext uri="{53640926-AAD7-44D8-BBD7-CCE9431645EC}">
                        <a14:shadowObscured xmlns:a14="http://schemas.microsoft.com/office/drawing/2010/main"/>
                      </a:ext>
                    </a:extLst>
                  </pic:spPr>
                </pic:pic>
              </a:graphicData>
            </a:graphic>
          </wp:inline>
        </w:drawing>
      </w:r>
    </w:p>
    <w:p w:rsidR="00650CFC" w:rsidRPr="00AC2CF9" w:rsidRDefault="00650CFC" w:rsidP="00AC2CF9">
      <w:pPr>
        <w:pStyle w:val="Prrafodelista"/>
        <w:spacing w:line="360" w:lineRule="auto"/>
        <w:ind w:left="0"/>
        <w:jc w:val="both"/>
        <w:rPr>
          <w:rFonts w:ascii="Palatino Linotype" w:hAnsi="Palatino Linotype"/>
          <w:i/>
          <w:color w:val="000000" w:themeColor="text1"/>
        </w:rPr>
      </w:pPr>
    </w:p>
    <w:p w:rsidR="005B6D42" w:rsidRPr="00AC2CF9" w:rsidRDefault="00FC195E" w:rsidP="00AC2CF9">
      <w:pPr>
        <w:pStyle w:val="Prrafodelista"/>
        <w:numPr>
          <w:ilvl w:val="0"/>
          <w:numId w:val="15"/>
        </w:numPr>
        <w:spacing w:line="360" w:lineRule="auto"/>
        <w:ind w:left="0" w:firstLine="0"/>
        <w:jc w:val="both"/>
        <w:rPr>
          <w:rFonts w:ascii="Palatino Linotype" w:hAnsi="Palatino Linotype"/>
          <w:i/>
          <w:color w:val="000000" w:themeColor="text1"/>
        </w:rPr>
      </w:pPr>
      <w:r w:rsidRPr="00AC2CF9">
        <w:rPr>
          <w:rFonts w:ascii="Palatino Linotype" w:eastAsia="Calibri" w:hAnsi="Palatino Linotype" w:cs="Arial"/>
          <w:color w:val="000000" w:themeColor="text1"/>
          <w:lang w:val="es-ES"/>
        </w:rPr>
        <w:t>Empero</w:t>
      </w:r>
      <w:r w:rsidR="00040187" w:rsidRPr="00AC2CF9">
        <w:rPr>
          <w:rFonts w:ascii="Palatino Linotype" w:eastAsia="Calibri" w:hAnsi="Palatino Linotype" w:cs="Arial"/>
          <w:color w:val="000000" w:themeColor="text1"/>
          <w:lang w:val="es-ES"/>
        </w:rPr>
        <w:t xml:space="preserve"> lo anterior, </w:t>
      </w:r>
      <w:r w:rsidR="00AC2CF9" w:rsidRPr="00AC2CF9">
        <w:rPr>
          <w:rFonts w:ascii="Palatino Linotype" w:eastAsia="Calibri" w:hAnsi="Palatino Linotype" w:cs="Arial"/>
          <w:color w:val="000000" w:themeColor="text1"/>
          <w:lang w:val="es-ES"/>
        </w:rPr>
        <w:t>l</w:t>
      </w:r>
      <w:r w:rsidR="00CC5B2F" w:rsidRPr="00AC2CF9">
        <w:rPr>
          <w:rFonts w:ascii="Palatino Linotype" w:eastAsia="Calibri" w:hAnsi="Palatino Linotype" w:cs="Arial"/>
          <w:color w:val="000000" w:themeColor="text1"/>
          <w:lang w:val="es-ES"/>
        </w:rPr>
        <w:t>a Comisionada</w:t>
      </w:r>
      <w:r w:rsidR="009F09BC" w:rsidRPr="00AC2CF9">
        <w:rPr>
          <w:rFonts w:ascii="Palatino Linotype" w:eastAsia="Calibri" w:hAnsi="Palatino Linotype" w:cs="Arial"/>
          <w:color w:val="000000" w:themeColor="text1"/>
          <w:lang w:val="es-ES"/>
        </w:rPr>
        <w:t xml:space="preserve"> Ponente con fundamento en lo dispuesto por el artículo 185 fracción II de la ley de la materia, a través del acuerdo de admisión de fecha </w:t>
      </w:r>
      <w:r w:rsidRPr="00AC2CF9">
        <w:rPr>
          <w:rFonts w:ascii="Palatino Linotype" w:eastAsia="Calibri" w:hAnsi="Palatino Linotype" w:cs="Arial"/>
          <w:color w:val="000000" w:themeColor="text1"/>
          <w:lang w:val="es-ES"/>
        </w:rPr>
        <w:t>siete de agosto</w:t>
      </w:r>
      <w:r w:rsidR="009F09BC" w:rsidRPr="00AC2CF9">
        <w:rPr>
          <w:rFonts w:ascii="Palatino Linotype" w:eastAsia="Calibri" w:hAnsi="Palatino Linotype" w:cs="Arial"/>
          <w:color w:val="000000" w:themeColor="text1"/>
          <w:lang w:val="es-ES"/>
        </w:rPr>
        <w:t xml:space="preserve"> del año en curso, puso a disposición de las partes el expediente electrónico </w:t>
      </w:r>
      <w:r w:rsidR="009F09BC" w:rsidRPr="00AC2CF9">
        <w:rPr>
          <w:rFonts w:ascii="Palatino Linotype" w:eastAsia="Calibri" w:hAnsi="Palatino Linotype" w:cs="Arial"/>
          <w:color w:val="000000" w:themeColor="text1"/>
        </w:rPr>
        <w:t xml:space="preserve">vía </w:t>
      </w:r>
      <w:r w:rsidR="009F09BC" w:rsidRPr="00AC2CF9">
        <w:rPr>
          <w:rFonts w:ascii="Palatino Linotype" w:eastAsia="Calibri" w:hAnsi="Palatino Linotype" w:cs="Arial"/>
          <w:b/>
          <w:color w:val="000000" w:themeColor="text1"/>
          <w:lang w:val="es-ES"/>
        </w:rPr>
        <w:t>SAIMEX</w:t>
      </w:r>
      <w:r w:rsidRPr="00AC2CF9">
        <w:rPr>
          <w:rFonts w:ascii="Palatino Linotype" w:eastAsia="Calibri" w:hAnsi="Palatino Linotype" w:cs="Arial"/>
          <w:b/>
          <w:color w:val="000000" w:themeColor="text1"/>
          <w:lang w:val="es-ES"/>
        </w:rPr>
        <w:t>,</w:t>
      </w:r>
      <w:r w:rsidR="009F09BC" w:rsidRPr="00AC2CF9">
        <w:rPr>
          <w:rFonts w:ascii="Palatino Linotype" w:eastAsia="Calibri" w:hAnsi="Palatino Linotype" w:cs="Arial"/>
          <w:b/>
          <w:color w:val="000000" w:themeColor="text1"/>
          <w:lang w:val="es-ES"/>
        </w:rPr>
        <w:t xml:space="preserve"> </w:t>
      </w:r>
      <w:r w:rsidR="009F09BC" w:rsidRPr="00AC2CF9">
        <w:rPr>
          <w:rFonts w:ascii="Palatino Linotype" w:eastAsia="Calibri" w:hAnsi="Palatino Linotype" w:cs="Arial"/>
          <w:color w:val="000000" w:themeColor="text1"/>
          <w:lang w:val="es-ES"/>
        </w:rPr>
        <w:t>a efecto de que</w:t>
      </w:r>
      <w:r w:rsidRPr="00AC2CF9">
        <w:rPr>
          <w:rFonts w:ascii="Palatino Linotype" w:eastAsia="Calibri" w:hAnsi="Palatino Linotype" w:cs="Arial"/>
          <w:color w:val="000000" w:themeColor="text1"/>
          <w:lang w:val="es-ES"/>
        </w:rPr>
        <w:t>,</w:t>
      </w:r>
      <w:r w:rsidR="009F09BC" w:rsidRPr="00AC2CF9">
        <w:rPr>
          <w:rFonts w:ascii="Palatino Linotype" w:eastAsia="Calibri" w:hAnsi="Palatino Linotype" w:cs="Arial"/>
          <w:color w:val="000000" w:themeColor="text1"/>
          <w:lang w:val="es-ES"/>
        </w:rPr>
        <w:t xml:space="preserve"> en un plazo máximo de siete días manifestaran lo que a su derecho conviniera, ofrecieran pruebas y alegatos según </w:t>
      </w:r>
      <w:r w:rsidR="009F09BC" w:rsidRPr="00AC2CF9">
        <w:rPr>
          <w:rFonts w:ascii="Palatino Linotype" w:hAnsi="Palatino Linotype"/>
          <w:color w:val="000000" w:themeColor="text1"/>
        </w:rPr>
        <w:t>corresponda</w:t>
      </w:r>
      <w:r w:rsidR="009F09BC" w:rsidRPr="00AC2CF9">
        <w:rPr>
          <w:rFonts w:ascii="Palatino Linotype" w:eastAsia="Calibri" w:hAnsi="Palatino Linotype" w:cs="Arial"/>
          <w:color w:val="000000" w:themeColor="text1"/>
          <w:lang w:val="es-ES"/>
        </w:rPr>
        <w:t xml:space="preserve"> a los casos concretos, y el </w:t>
      </w:r>
      <w:r w:rsidR="009F09BC" w:rsidRPr="00AC2CF9">
        <w:rPr>
          <w:rFonts w:ascii="Palatino Linotype" w:eastAsia="Calibri" w:hAnsi="Palatino Linotype" w:cs="Arial"/>
          <w:b/>
          <w:color w:val="000000" w:themeColor="text1"/>
          <w:lang w:val="es-ES"/>
        </w:rPr>
        <w:t>SUJETO OBLIGADO</w:t>
      </w:r>
      <w:r w:rsidR="009F09BC" w:rsidRPr="00AC2CF9">
        <w:rPr>
          <w:rFonts w:ascii="Palatino Linotype" w:eastAsia="Calibri" w:hAnsi="Palatino Linotype" w:cs="Arial"/>
          <w:color w:val="000000" w:themeColor="text1"/>
          <w:lang w:val="es-ES"/>
        </w:rPr>
        <w:t xml:space="preserve"> presentará el Informe Justificado procedente.</w:t>
      </w:r>
    </w:p>
    <w:p w:rsidR="005B6D42" w:rsidRPr="00AC2CF9" w:rsidRDefault="005B6D42" w:rsidP="00AC2CF9">
      <w:pPr>
        <w:pStyle w:val="Prrafodelista"/>
        <w:spacing w:line="360" w:lineRule="auto"/>
        <w:rPr>
          <w:rFonts w:ascii="Palatino Linotype" w:hAnsi="Palatino Linotype"/>
          <w:color w:val="000000" w:themeColor="text1"/>
        </w:rPr>
      </w:pPr>
    </w:p>
    <w:p w:rsidR="00581F36" w:rsidRPr="00AC2CF9" w:rsidRDefault="00FC195E" w:rsidP="00AC2CF9">
      <w:pPr>
        <w:pStyle w:val="Prrafodelista"/>
        <w:numPr>
          <w:ilvl w:val="0"/>
          <w:numId w:val="15"/>
        </w:numPr>
        <w:spacing w:line="360" w:lineRule="auto"/>
        <w:ind w:left="0" w:firstLine="0"/>
        <w:jc w:val="both"/>
        <w:rPr>
          <w:rFonts w:ascii="Palatino Linotype" w:hAnsi="Palatino Linotype"/>
          <w:color w:val="000000" w:themeColor="text1"/>
        </w:rPr>
      </w:pPr>
      <w:r w:rsidRPr="00AC2CF9">
        <w:rPr>
          <w:rFonts w:ascii="Palatino Linotype" w:hAnsi="Palatino Linotype"/>
          <w:color w:val="000000" w:themeColor="text1"/>
        </w:rPr>
        <w:lastRenderedPageBreak/>
        <w:t xml:space="preserve">Una vez transcurrido el plazo decretado, </w:t>
      </w:r>
      <w:r w:rsidR="005B6D42" w:rsidRPr="00AC2CF9">
        <w:rPr>
          <w:rFonts w:ascii="Palatino Linotype" w:hAnsi="Palatino Linotype"/>
          <w:color w:val="000000" w:themeColor="text1"/>
        </w:rPr>
        <w:t>y al no existir manifestación alguna por parte del</w:t>
      </w:r>
      <w:r w:rsidR="009F09BC" w:rsidRPr="00AC2CF9">
        <w:rPr>
          <w:rFonts w:ascii="Palatino Linotype" w:hAnsi="Palatino Linotype"/>
          <w:color w:val="000000" w:themeColor="text1"/>
        </w:rPr>
        <w:t xml:space="preserve"> </w:t>
      </w:r>
      <w:r w:rsidR="009F09BC" w:rsidRPr="00AC2CF9">
        <w:rPr>
          <w:rFonts w:ascii="Palatino Linotype" w:hAnsi="Palatino Linotype"/>
          <w:b/>
          <w:color w:val="000000" w:themeColor="text1"/>
        </w:rPr>
        <w:t xml:space="preserve">SUJETO </w:t>
      </w:r>
      <w:r w:rsidR="009F09BC" w:rsidRPr="00AC2CF9">
        <w:rPr>
          <w:rFonts w:ascii="Palatino Linotype" w:eastAsia="Calibri" w:hAnsi="Palatino Linotype" w:cs="Arial"/>
          <w:b/>
          <w:color w:val="000000" w:themeColor="text1"/>
          <w:lang w:val="es-ES"/>
        </w:rPr>
        <w:t>OBLIGADO</w:t>
      </w:r>
      <w:r w:rsidRPr="00AC2CF9">
        <w:rPr>
          <w:rFonts w:ascii="Palatino Linotype" w:hAnsi="Palatino Linotype"/>
          <w:color w:val="000000" w:themeColor="text1"/>
        </w:rPr>
        <w:t xml:space="preserve"> </w:t>
      </w:r>
      <w:r w:rsidR="005B6D42" w:rsidRPr="00AC2CF9">
        <w:rPr>
          <w:rFonts w:ascii="Palatino Linotype" w:hAnsi="Palatino Linotype"/>
          <w:color w:val="000000" w:themeColor="text1"/>
        </w:rPr>
        <w:t xml:space="preserve">así </w:t>
      </w:r>
      <w:r w:rsidRPr="00AC2CF9">
        <w:rPr>
          <w:rFonts w:ascii="Palatino Linotype" w:hAnsi="Palatino Linotype"/>
          <w:color w:val="000000" w:themeColor="text1"/>
        </w:rPr>
        <w:t>como</w:t>
      </w:r>
      <w:r w:rsidR="00C062B4" w:rsidRPr="00AC2CF9">
        <w:rPr>
          <w:rFonts w:ascii="Palatino Linotype" w:hAnsi="Palatino Linotype"/>
          <w:color w:val="000000" w:themeColor="text1"/>
        </w:rPr>
        <w:t xml:space="preserve"> de</w:t>
      </w:r>
      <w:r w:rsidRPr="00AC2CF9">
        <w:rPr>
          <w:rFonts w:ascii="Palatino Linotype" w:hAnsi="Palatino Linotype"/>
          <w:color w:val="000000" w:themeColor="text1"/>
        </w:rPr>
        <w:t xml:space="preserve"> </w:t>
      </w:r>
      <w:r w:rsidR="00A56791" w:rsidRPr="00AC2CF9">
        <w:rPr>
          <w:rFonts w:ascii="Palatino Linotype" w:hAnsi="Palatino Linotype"/>
          <w:b/>
          <w:color w:val="000000" w:themeColor="text1"/>
        </w:rPr>
        <w:t>EL</w:t>
      </w:r>
      <w:r w:rsidR="00C062B4" w:rsidRPr="00AC2CF9">
        <w:rPr>
          <w:rFonts w:ascii="Palatino Linotype" w:hAnsi="Palatino Linotype"/>
          <w:b/>
          <w:color w:val="000000" w:themeColor="text1"/>
        </w:rPr>
        <w:t xml:space="preserve"> PARTICULAR,</w:t>
      </w:r>
      <w:r w:rsidR="005B6D42" w:rsidRPr="00AC2CF9">
        <w:rPr>
          <w:rFonts w:ascii="Palatino Linotype" w:hAnsi="Palatino Linotype"/>
          <w:color w:val="000000" w:themeColor="text1"/>
        </w:rPr>
        <w:t xml:space="preserve"> en fecha </w:t>
      </w:r>
      <w:r w:rsidR="005B6D42" w:rsidRPr="00AC2CF9">
        <w:rPr>
          <w:rFonts w:ascii="Palatino Linotype" w:hAnsi="Palatino Linotype"/>
        </w:rPr>
        <w:t>diecinueve de septiembre de dos mil veintitrés,</w:t>
      </w:r>
      <w:r w:rsidR="005B6D42" w:rsidRPr="00AC2CF9">
        <w:rPr>
          <w:rFonts w:ascii="Palatino Linotype" w:hAnsi="Palatino Linotype"/>
          <w:i/>
          <w:color w:val="000000" w:themeColor="text1"/>
        </w:rPr>
        <w:t xml:space="preserve"> </w:t>
      </w:r>
      <w:r w:rsidR="0001674C" w:rsidRPr="00AC2CF9">
        <w:rPr>
          <w:rFonts w:ascii="Palatino Linotype" w:hAnsi="Palatino Linotype"/>
          <w:color w:val="000000" w:themeColor="text1"/>
        </w:rPr>
        <w:t>se d</w:t>
      </w:r>
      <w:r w:rsidR="006672E1" w:rsidRPr="00AC2CF9">
        <w:rPr>
          <w:rFonts w:ascii="Palatino Linotype" w:hAnsi="Palatino Linotype"/>
          <w:color w:val="000000" w:themeColor="text1"/>
        </w:rPr>
        <w:t>ecretó el cierre de instrucción</w:t>
      </w:r>
      <w:r w:rsidR="00C062B4" w:rsidRPr="00AC2CF9">
        <w:rPr>
          <w:rFonts w:ascii="Palatino Linotype" w:hAnsi="Palatino Linotype"/>
          <w:color w:val="000000" w:themeColor="text1"/>
        </w:rPr>
        <w:t>.</w:t>
      </w:r>
    </w:p>
    <w:p w:rsidR="00C062B4" w:rsidRPr="00AC2CF9" w:rsidRDefault="00C062B4" w:rsidP="00AC2CF9">
      <w:pPr>
        <w:pStyle w:val="Prrafodelista"/>
        <w:spacing w:line="360" w:lineRule="auto"/>
        <w:rPr>
          <w:rFonts w:ascii="Palatino Linotype" w:hAnsi="Palatino Linotype"/>
          <w:color w:val="000000" w:themeColor="text1"/>
        </w:rPr>
      </w:pPr>
    </w:p>
    <w:p w:rsidR="00A56791" w:rsidRPr="00AC2CF9" w:rsidRDefault="00C062B4" w:rsidP="00AC2CF9">
      <w:pPr>
        <w:pStyle w:val="Prrafodelista"/>
        <w:numPr>
          <w:ilvl w:val="0"/>
          <w:numId w:val="15"/>
        </w:numPr>
        <w:spacing w:line="360" w:lineRule="auto"/>
        <w:ind w:left="0" w:firstLine="0"/>
        <w:jc w:val="both"/>
        <w:rPr>
          <w:rFonts w:ascii="Palatino Linotype" w:hAnsi="Palatino Linotype"/>
          <w:color w:val="000000" w:themeColor="text1"/>
        </w:rPr>
      </w:pPr>
      <w:r w:rsidRPr="00AC2CF9">
        <w:rPr>
          <w:rFonts w:ascii="Palatino Linotype" w:hAnsi="Palatino Linotype"/>
          <w:color w:val="000000" w:themeColor="text1"/>
        </w:rPr>
        <w:t xml:space="preserve">En </w:t>
      </w:r>
      <w:r w:rsidRPr="00AC2CF9">
        <w:rPr>
          <w:rFonts w:ascii="Palatino Linotype" w:hAnsi="Palatino Linotype"/>
        </w:rPr>
        <w:t>consecuencia</w:t>
      </w:r>
      <w:r w:rsidRPr="00AC2CF9">
        <w:rPr>
          <w:rFonts w:ascii="Palatino Linotype" w:hAnsi="Palatino Linotype"/>
          <w:color w:val="000000" w:themeColor="text1"/>
        </w:rPr>
        <w:t xml:space="preserve"> de lo anterior, en fecha tres de octubre de dos mil veintitrés, </w:t>
      </w:r>
      <w:r w:rsidR="00650CFC" w:rsidRPr="00AC2CF9">
        <w:rPr>
          <w:rFonts w:ascii="Palatino Linotype" w:hAnsi="Palatino Linotype"/>
          <w:color w:val="000000" w:themeColor="text1"/>
        </w:rPr>
        <w:t xml:space="preserve"> se </w:t>
      </w:r>
      <w:r w:rsidRPr="00AC2CF9">
        <w:rPr>
          <w:rFonts w:ascii="Palatino Linotype" w:hAnsi="Palatino Linotype"/>
          <w:color w:val="000000" w:themeColor="text1"/>
        </w:rPr>
        <w:t>amplió</w:t>
      </w:r>
      <w:r w:rsidR="00650CFC" w:rsidRPr="00AC2CF9">
        <w:rPr>
          <w:rFonts w:ascii="Palatino Linotype" w:hAnsi="Palatino Linotype"/>
          <w:color w:val="000000" w:themeColor="text1"/>
        </w:rPr>
        <w:t xml:space="preserve"> el término para resolver, </w:t>
      </w:r>
      <w:r w:rsidR="009F09BC" w:rsidRPr="00AC2CF9">
        <w:rPr>
          <w:rFonts w:ascii="Palatino Linotype" w:hAnsi="Palatino Linotype" w:cs="Arial"/>
          <w:color w:val="000000" w:themeColor="text1"/>
        </w:rPr>
        <w:t>por lo que</w:t>
      </w:r>
      <w:r w:rsidRPr="00AC2CF9">
        <w:rPr>
          <w:rFonts w:ascii="Palatino Linotype" w:hAnsi="Palatino Linotype" w:cs="Arial"/>
          <w:color w:val="000000" w:themeColor="text1"/>
        </w:rPr>
        <w:t>,</w:t>
      </w:r>
      <w:r w:rsidR="009F09BC" w:rsidRPr="00AC2CF9">
        <w:rPr>
          <w:rFonts w:ascii="Palatino Linotype" w:hAnsi="Palatino Linotype" w:cs="Arial"/>
          <w:color w:val="000000" w:themeColor="text1"/>
        </w:rPr>
        <w:t xml:space="preserve"> no habiendo más que hacer constar, y ------------</w:t>
      </w:r>
      <w:r w:rsidR="000B42EA" w:rsidRPr="00AC2CF9">
        <w:rPr>
          <w:rFonts w:ascii="Palatino Linotype" w:hAnsi="Palatino Linotype" w:cs="Arial"/>
          <w:color w:val="000000" w:themeColor="text1"/>
        </w:rPr>
        <w:t>--</w:t>
      </w:r>
      <w:r w:rsidR="00650CFC" w:rsidRPr="00AC2CF9">
        <w:rPr>
          <w:rFonts w:ascii="Palatino Linotype" w:hAnsi="Palatino Linotype" w:cs="Arial"/>
          <w:color w:val="000000" w:themeColor="text1"/>
        </w:rPr>
        <w:t>---------------------</w:t>
      </w:r>
      <w:r w:rsidRPr="00AC2CF9">
        <w:rPr>
          <w:rFonts w:ascii="Palatino Linotype" w:hAnsi="Palatino Linotype" w:cs="Arial"/>
          <w:color w:val="000000" w:themeColor="text1"/>
        </w:rPr>
        <w:t>--------------------------------------------------------------------</w:t>
      </w:r>
      <w:r w:rsidR="00583A43">
        <w:rPr>
          <w:rFonts w:ascii="Palatino Linotype" w:hAnsi="Palatino Linotype" w:cs="Arial"/>
          <w:color w:val="000000" w:themeColor="text1"/>
        </w:rPr>
        <w:t>-----</w:t>
      </w:r>
    </w:p>
    <w:p w:rsidR="007601B1" w:rsidRPr="00AC2CF9" w:rsidRDefault="007601B1" w:rsidP="00AC2CF9">
      <w:pPr>
        <w:pStyle w:val="Prrafodelista"/>
        <w:spacing w:line="360" w:lineRule="auto"/>
        <w:rPr>
          <w:rFonts w:ascii="Palatino Linotype" w:hAnsi="Palatino Linotype"/>
          <w:b/>
          <w:color w:val="000000" w:themeColor="text1"/>
        </w:rPr>
      </w:pPr>
    </w:p>
    <w:p w:rsidR="009F09BC" w:rsidRPr="00AC2CF9" w:rsidRDefault="009F09BC" w:rsidP="00AC2CF9">
      <w:pPr>
        <w:pStyle w:val="Ttulo1"/>
        <w:spacing w:before="0" w:line="360" w:lineRule="auto"/>
        <w:jc w:val="center"/>
        <w:rPr>
          <w:rFonts w:ascii="Palatino Linotype" w:hAnsi="Palatino Linotype"/>
          <w:b/>
          <w:color w:val="000000" w:themeColor="text1"/>
          <w:sz w:val="24"/>
          <w:szCs w:val="24"/>
        </w:rPr>
      </w:pPr>
      <w:bookmarkStart w:id="133" w:name="_Toc491791302"/>
      <w:bookmarkStart w:id="134" w:name="_Toc83128578"/>
      <w:r w:rsidRPr="00AC2CF9">
        <w:rPr>
          <w:rFonts w:ascii="Palatino Linotype" w:hAnsi="Palatino Linotype"/>
          <w:b/>
          <w:color w:val="000000" w:themeColor="text1"/>
          <w:sz w:val="24"/>
          <w:szCs w:val="24"/>
        </w:rPr>
        <w:t>CONSIDERANDO</w:t>
      </w:r>
      <w:bookmarkEnd w:id="133"/>
      <w:bookmarkEnd w:id="134"/>
    </w:p>
    <w:p w:rsidR="009F09BC" w:rsidRPr="00AC2CF9" w:rsidRDefault="009F09BC" w:rsidP="00AC2CF9">
      <w:pPr>
        <w:spacing w:line="360" w:lineRule="auto"/>
        <w:rPr>
          <w:rFonts w:ascii="Palatino Linotype" w:hAnsi="Palatino Linotype"/>
          <w:color w:val="000000" w:themeColor="text1"/>
          <w:lang w:val="es-MX" w:eastAsia="en-US"/>
        </w:rPr>
      </w:pPr>
    </w:p>
    <w:p w:rsidR="009F09BC" w:rsidRPr="00AC2CF9" w:rsidRDefault="009F09BC" w:rsidP="00AC2CF9">
      <w:pPr>
        <w:pStyle w:val="Ttulo2"/>
        <w:spacing w:before="0" w:line="360" w:lineRule="auto"/>
        <w:rPr>
          <w:rFonts w:ascii="Palatino Linotype" w:hAnsi="Palatino Linotype"/>
          <w:b/>
          <w:color w:val="000000" w:themeColor="text1"/>
          <w:sz w:val="24"/>
          <w:szCs w:val="24"/>
        </w:rPr>
      </w:pPr>
      <w:bookmarkStart w:id="135" w:name="_Toc491791303"/>
      <w:bookmarkStart w:id="136" w:name="_Toc83128579"/>
      <w:r w:rsidRPr="00AC2CF9">
        <w:rPr>
          <w:rFonts w:ascii="Palatino Linotype" w:hAnsi="Palatino Linotype"/>
          <w:b/>
          <w:color w:val="000000" w:themeColor="text1"/>
          <w:sz w:val="24"/>
          <w:szCs w:val="24"/>
        </w:rPr>
        <w:t>PRIMERO. De la competencia</w:t>
      </w:r>
      <w:bookmarkEnd w:id="135"/>
      <w:bookmarkEnd w:id="136"/>
    </w:p>
    <w:p w:rsidR="00353F1D" w:rsidRPr="00AC2CF9" w:rsidRDefault="00456AEE" w:rsidP="00AC2CF9">
      <w:pPr>
        <w:pStyle w:val="Prrafodelista"/>
        <w:numPr>
          <w:ilvl w:val="0"/>
          <w:numId w:val="15"/>
        </w:numPr>
        <w:spacing w:line="360" w:lineRule="auto"/>
        <w:ind w:left="0" w:firstLine="0"/>
        <w:jc w:val="both"/>
        <w:rPr>
          <w:rFonts w:ascii="Palatino Linotype" w:hAnsi="Palatino Linotype"/>
          <w:color w:val="000000" w:themeColor="text1"/>
        </w:rPr>
      </w:pPr>
      <w:r w:rsidRPr="00AC2CF9">
        <w:rPr>
          <w:rFonts w:ascii="Palatino Linotype" w:hAnsi="Palatino Linotype"/>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w:t>
      </w:r>
      <w:r w:rsidR="00737502">
        <w:rPr>
          <w:rFonts w:ascii="Palatino Linotype" w:hAnsi="Palatino Linotype"/>
        </w:rPr>
        <w:t>5, párrafos trigésimo segundo, trigésimo tercero y trigésimo cuarto, fracciones IV y V</w:t>
      </w:r>
      <w:r w:rsidRPr="00AC2CF9">
        <w:rPr>
          <w:rFonts w:ascii="Palatino Linotype" w:hAnsi="Palatino Linotype"/>
        </w:rPr>
        <w:t>,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9F09BC" w:rsidRPr="00AC2CF9" w:rsidRDefault="009F09BC" w:rsidP="00AC2CF9">
      <w:pPr>
        <w:pStyle w:val="Prrafodelista"/>
        <w:spacing w:line="360" w:lineRule="auto"/>
        <w:ind w:left="0"/>
        <w:jc w:val="both"/>
        <w:rPr>
          <w:rFonts w:ascii="Palatino Linotype" w:eastAsia="Calibri" w:hAnsi="Palatino Linotype" w:cs="Times New Roman"/>
          <w:b/>
          <w:color w:val="000000" w:themeColor="text1"/>
          <w:lang w:val="es-ES"/>
        </w:rPr>
      </w:pPr>
    </w:p>
    <w:p w:rsidR="009F09BC" w:rsidRPr="00AC2CF9" w:rsidRDefault="009F09BC" w:rsidP="00AC2CF9">
      <w:pPr>
        <w:pStyle w:val="Ttulo2"/>
        <w:spacing w:before="0" w:line="360" w:lineRule="auto"/>
        <w:rPr>
          <w:rFonts w:ascii="Palatino Linotype" w:hAnsi="Palatino Linotype"/>
          <w:b/>
          <w:color w:val="000000" w:themeColor="text1"/>
          <w:sz w:val="24"/>
          <w:szCs w:val="24"/>
        </w:rPr>
      </w:pPr>
      <w:bookmarkStart w:id="137" w:name="_Toc491791304"/>
      <w:bookmarkStart w:id="138" w:name="_Toc83128580"/>
      <w:r w:rsidRPr="00AC2CF9">
        <w:rPr>
          <w:rFonts w:ascii="Palatino Linotype" w:hAnsi="Palatino Linotype"/>
          <w:b/>
          <w:color w:val="000000" w:themeColor="text1"/>
          <w:sz w:val="24"/>
          <w:szCs w:val="24"/>
        </w:rPr>
        <w:lastRenderedPageBreak/>
        <w:t>SEGUNDO. De la oportunidad y procedencia.</w:t>
      </w:r>
      <w:bookmarkEnd w:id="137"/>
      <w:bookmarkEnd w:id="138"/>
    </w:p>
    <w:p w:rsidR="009F09BC" w:rsidRPr="00AC2CF9" w:rsidRDefault="00425842" w:rsidP="00AC2CF9">
      <w:pPr>
        <w:pStyle w:val="Prrafodelista"/>
        <w:numPr>
          <w:ilvl w:val="0"/>
          <w:numId w:val="15"/>
        </w:numPr>
        <w:spacing w:line="360" w:lineRule="auto"/>
        <w:ind w:left="0" w:firstLine="0"/>
        <w:jc w:val="both"/>
        <w:rPr>
          <w:rFonts w:ascii="Palatino Linotype" w:hAnsi="Palatino Linotype" w:cs="Arial"/>
          <w:color w:val="000000" w:themeColor="text1"/>
        </w:rPr>
      </w:pPr>
      <w:r w:rsidRPr="00AC2CF9">
        <w:rPr>
          <w:rFonts w:ascii="Palatino Linotype" w:eastAsia="Calibri" w:hAnsi="Palatino Linotype" w:cs="Arial"/>
          <w:color w:val="000000" w:themeColor="text1"/>
        </w:rPr>
        <w:t>El</w:t>
      </w:r>
      <w:r w:rsidR="00AD63B4" w:rsidRPr="00AC2CF9">
        <w:rPr>
          <w:rFonts w:ascii="Palatino Linotype" w:eastAsia="Calibri" w:hAnsi="Palatino Linotype" w:cs="Arial"/>
          <w:color w:val="000000" w:themeColor="text1"/>
        </w:rPr>
        <w:t xml:space="preserve"> </w:t>
      </w:r>
      <w:r w:rsidR="009F09BC" w:rsidRPr="00AC2CF9">
        <w:rPr>
          <w:rFonts w:ascii="Palatino Linotype" w:eastAsia="Calibri" w:hAnsi="Palatino Linotype" w:cs="Arial"/>
          <w:color w:val="000000" w:themeColor="text1"/>
        </w:rPr>
        <w:t xml:space="preserve">medio de impugnación fue presentado a través del </w:t>
      </w:r>
      <w:r w:rsidR="009F09BC" w:rsidRPr="00AC2CF9">
        <w:rPr>
          <w:rFonts w:ascii="Palatino Linotype" w:eastAsia="Calibri" w:hAnsi="Palatino Linotype" w:cs="Arial"/>
          <w:b/>
          <w:color w:val="000000" w:themeColor="text1"/>
        </w:rPr>
        <w:t>SAIMEX,</w:t>
      </w:r>
      <w:r w:rsidR="009F09BC" w:rsidRPr="00AC2CF9">
        <w:rPr>
          <w:rFonts w:ascii="Palatino Linotype" w:eastAsia="Calibri" w:hAnsi="Palatino Linotype" w:cs="Arial"/>
          <w:color w:val="000000" w:themeColor="text1"/>
        </w:rPr>
        <w:t xml:space="preserve"> en el formato previamente aprobado para tal efecto y dentro del plazo legal de quince días hábiles otorgados</w:t>
      </w:r>
      <w:r w:rsidR="00143D60" w:rsidRPr="00AC2CF9">
        <w:rPr>
          <w:rFonts w:ascii="Palatino Linotype" w:eastAsia="Calibri" w:hAnsi="Palatino Linotype" w:cs="Arial"/>
          <w:color w:val="000000" w:themeColor="text1"/>
        </w:rPr>
        <w:t>, surtiendo efectos al día hábil siguiente de haberse realizado la notificación</w:t>
      </w:r>
      <w:r w:rsidR="009F09BC" w:rsidRPr="00AC2CF9">
        <w:rPr>
          <w:rFonts w:ascii="Palatino Linotype" w:eastAsia="Calibri" w:hAnsi="Palatino Linotype" w:cs="Arial"/>
          <w:color w:val="000000" w:themeColor="text1"/>
        </w:rPr>
        <w:t>;</w:t>
      </w:r>
      <w:r w:rsidR="00143D60" w:rsidRPr="00AC2CF9">
        <w:rPr>
          <w:rFonts w:ascii="Palatino Linotype" w:eastAsia="Calibri" w:hAnsi="Palatino Linotype" w:cs="Arial"/>
          <w:color w:val="000000" w:themeColor="text1"/>
        </w:rPr>
        <w:t xml:space="preserve"> por lo que,</w:t>
      </w:r>
      <w:r w:rsidR="009F09BC" w:rsidRPr="00AC2CF9">
        <w:rPr>
          <w:rFonts w:ascii="Palatino Linotype" w:eastAsia="Calibri" w:hAnsi="Palatino Linotype" w:cs="Arial"/>
          <w:color w:val="000000" w:themeColor="text1"/>
        </w:rPr>
        <w:t xml:space="preserve"> para el caso en particular</w:t>
      </w:r>
      <w:r w:rsidR="00C062B4" w:rsidRPr="00AC2CF9">
        <w:rPr>
          <w:rFonts w:ascii="Palatino Linotype" w:eastAsia="Calibri" w:hAnsi="Palatino Linotype" w:cs="Arial"/>
          <w:color w:val="000000" w:themeColor="text1"/>
        </w:rPr>
        <w:t>,</w:t>
      </w:r>
      <w:r w:rsidR="00143D60" w:rsidRPr="00AC2CF9">
        <w:rPr>
          <w:rFonts w:ascii="Palatino Linotype" w:eastAsia="Calibri" w:hAnsi="Palatino Linotype" w:cs="Arial"/>
          <w:color w:val="000000" w:themeColor="text1"/>
        </w:rPr>
        <w:t xml:space="preserve"> se precisa</w:t>
      </w:r>
      <w:r w:rsidR="009F09BC" w:rsidRPr="00AC2CF9">
        <w:rPr>
          <w:rFonts w:ascii="Palatino Linotype" w:eastAsia="Calibri" w:hAnsi="Palatino Linotype" w:cs="Arial"/>
          <w:color w:val="000000" w:themeColor="text1"/>
        </w:rPr>
        <w:t xml:space="preserve"> que</w:t>
      </w:r>
      <w:r w:rsidR="00143D60" w:rsidRPr="00AC2CF9">
        <w:rPr>
          <w:rFonts w:ascii="Palatino Linotype" w:eastAsia="Calibri" w:hAnsi="Palatino Linotype" w:cs="Arial"/>
          <w:color w:val="000000" w:themeColor="text1"/>
        </w:rPr>
        <w:t>,</w:t>
      </w:r>
      <w:r w:rsidR="009F09BC" w:rsidRPr="00AC2CF9">
        <w:rPr>
          <w:rFonts w:ascii="Palatino Linotype" w:eastAsia="Calibri" w:hAnsi="Palatino Linotype" w:cs="Arial"/>
          <w:color w:val="000000" w:themeColor="text1"/>
        </w:rPr>
        <w:t xml:space="preserve"> el </w:t>
      </w:r>
      <w:r w:rsidR="009F09BC" w:rsidRPr="00AC2CF9">
        <w:rPr>
          <w:rFonts w:ascii="Palatino Linotype" w:eastAsia="Calibri" w:hAnsi="Palatino Linotype" w:cs="Arial"/>
          <w:b/>
          <w:color w:val="000000" w:themeColor="text1"/>
        </w:rPr>
        <w:t>SUJETO OBLIGADO</w:t>
      </w:r>
      <w:r w:rsidR="00143D60" w:rsidRPr="00AC2CF9">
        <w:rPr>
          <w:rFonts w:ascii="Palatino Linotype" w:eastAsia="Calibri" w:hAnsi="Palatino Linotype" w:cs="Arial"/>
          <w:color w:val="000000" w:themeColor="text1"/>
        </w:rPr>
        <w:t xml:space="preserve"> remitió</w:t>
      </w:r>
      <w:r w:rsidRPr="00AC2CF9">
        <w:rPr>
          <w:rFonts w:ascii="Palatino Linotype" w:eastAsia="Calibri" w:hAnsi="Palatino Linotype" w:cs="Arial"/>
          <w:color w:val="000000" w:themeColor="text1"/>
        </w:rPr>
        <w:t xml:space="preserve"> su</w:t>
      </w:r>
      <w:r w:rsidR="009F09BC" w:rsidRPr="00AC2CF9">
        <w:rPr>
          <w:rFonts w:ascii="Palatino Linotype" w:eastAsia="Calibri" w:hAnsi="Palatino Linotype" w:cs="Arial"/>
          <w:color w:val="000000" w:themeColor="text1"/>
        </w:rPr>
        <w:t xml:space="preserve"> respuesta </w:t>
      </w:r>
      <w:r w:rsidR="00C062B4" w:rsidRPr="00AC2CF9">
        <w:rPr>
          <w:rFonts w:ascii="Palatino Linotype" w:eastAsia="Calibri" w:hAnsi="Palatino Linotype" w:cs="Arial"/>
          <w:color w:val="000000" w:themeColor="text1"/>
        </w:rPr>
        <w:t>en fecha</w:t>
      </w:r>
      <w:r w:rsidR="00E55966" w:rsidRPr="00AC2CF9">
        <w:rPr>
          <w:rFonts w:ascii="Palatino Linotype" w:eastAsia="Calibri" w:hAnsi="Palatino Linotype" w:cs="Arial"/>
          <w:color w:val="000000" w:themeColor="text1"/>
        </w:rPr>
        <w:t xml:space="preserve"> </w:t>
      </w:r>
      <w:r w:rsidR="00C062B4" w:rsidRPr="00AC2CF9">
        <w:rPr>
          <w:rFonts w:ascii="Palatino Linotype" w:eastAsia="Calibri" w:hAnsi="Palatino Linotype" w:cs="Arial"/>
          <w:color w:val="000000" w:themeColor="text1"/>
        </w:rPr>
        <w:t>seis de julio de</w:t>
      </w:r>
      <w:r w:rsidRPr="00AC2CF9">
        <w:rPr>
          <w:rFonts w:ascii="Palatino Linotype" w:eastAsia="Calibri" w:hAnsi="Palatino Linotype" w:cs="Arial"/>
          <w:color w:val="000000" w:themeColor="text1"/>
        </w:rPr>
        <w:t xml:space="preserve"> dos mil </w:t>
      </w:r>
      <w:r w:rsidR="004D465B" w:rsidRPr="00AC2CF9">
        <w:rPr>
          <w:rFonts w:ascii="Palatino Linotype" w:eastAsia="Calibri" w:hAnsi="Palatino Linotype" w:cs="Arial"/>
          <w:color w:val="000000" w:themeColor="text1"/>
        </w:rPr>
        <w:t>veintitrés</w:t>
      </w:r>
      <w:r w:rsidR="00143D60" w:rsidRPr="00AC2CF9">
        <w:rPr>
          <w:rFonts w:ascii="Palatino Linotype" w:eastAsia="Calibri" w:hAnsi="Palatino Linotype" w:cs="Arial"/>
          <w:color w:val="000000" w:themeColor="text1"/>
        </w:rPr>
        <w:t xml:space="preserve">, </w:t>
      </w:r>
      <w:r w:rsidR="00F065A3" w:rsidRPr="00AC2CF9">
        <w:rPr>
          <w:rFonts w:ascii="Palatino Linotype" w:eastAsia="Calibri" w:hAnsi="Palatino Linotype" w:cs="Arial"/>
          <w:color w:val="000000" w:themeColor="text1"/>
        </w:rPr>
        <w:t xml:space="preserve">interponiendo el RECURRENTE recurso de revisión correspondiente, en fecha </w:t>
      </w:r>
      <w:r w:rsidR="00143D60" w:rsidRPr="00AC2CF9">
        <w:rPr>
          <w:rFonts w:ascii="Palatino Linotype" w:eastAsia="Calibri" w:hAnsi="Palatino Linotype" w:cs="Arial"/>
          <w:color w:val="000000" w:themeColor="text1"/>
        </w:rPr>
        <w:t>veinticinco de julio de dos mil veintitrés, encontrándose</w:t>
      </w:r>
      <w:r w:rsidR="00581F36" w:rsidRPr="00AC2CF9">
        <w:rPr>
          <w:rFonts w:ascii="Palatino Linotype" w:eastAsia="Calibri" w:hAnsi="Palatino Linotype" w:cs="Arial"/>
          <w:color w:val="000000" w:themeColor="text1"/>
        </w:rPr>
        <w:t xml:space="preserve"> así</w:t>
      </w:r>
      <w:r w:rsidR="00143D60" w:rsidRPr="00AC2CF9">
        <w:rPr>
          <w:rFonts w:ascii="Palatino Linotype" w:eastAsia="Calibri" w:hAnsi="Palatino Linotype" w:cs="Arial"/>
          <w:color w:val="000000" w:themeColor="text1"/>
        </w:rPr>
        <w:t xml:space="preserve"> </w:t>
      </w:r>
      <w:r w:rsidR="00F065A3" w:rsidRPr="00AC2CF9">
        <w:rPr>
          <w:rFonts w:ascii="Palatino Linotype" w:eastAsia="Calibri" w:hAnsi="Palatino Linotype" w:cs="Arial"/>
          <w:color w:val="000000" w:themeColor="text1"/>
        </w:rPr>
        <w:t xml:space="preserve">el particular </w:t>
      </w:r>
      <w:r w:rsidR="00143D60" w:rsidRPr="00AC2CF9">
        <w:rPr>
          <w:rFonts w:ascii="Palatino Linotype" w:eastAsia="Calibri" w:hAnsi="Palatino Linotype" w:cs="Arial"/>
          <w:color w:val="000000" w:themeColor="text1"/>
        </w:rPr>
        <w:t>dentro del plazo</w:t>
      </w:r>
      <w:r w:rsidR="009F09BC" w:rsidRPr="00AC2CF9">
        <w:rPr>
          <w:rFonts w:ascii="Palatino Linotype" w:hAnsi="Palatino Linotype" w:cs="Arial"/>
          <w:color w:val="000000" w:themeColor="text1"/>
        </w:rPr>
        <w:t xml:space="preserve"> legalmente establecido para tal efecto.</w:t>
      </w:r>
    </w:p>
    <w:p w:rsidR="008E32EE" w:rsidRPr="00AC2CF9" w:rsidRDefault="008E32EE" w:rsidP="00AC2CF9">
      <w:pPr>
        <w:pStyle w:val="Prrafodelista"/>
        <w:spacing w:line="360" w:lineRule="auto"/>
        <w:ind w:left="0"/>
        <w:jc w:val="both"/>
        <w:rPr>
          <w:rFonts w:ascii="Palatino Linotype" w:hAnsi="Palatino Linotype"/>
          <w:color w:val="000000" w:themeColor="text1"/>
        </w:rPr>
      </w:pPr>
    </w:p>
    <w:p w:rsidR="009F09BC" w:rsidRPr="00AC2CF9" w:rsidRDefault="008E32EE" w:rsidP="00AC2CF9">
      <w:pPr>
        <w:pStyle w:val="Prrafodelista"/>
        <w:numPr>
          <w:ilvl w:val="0"/>
          <w:numId w:val="15"/>
        </w:numPr>
        <w:spacing w:line="360" w:lineRule="auto"/>
        <w:ind w:left="0" w:firstLine="0"/>
        <w:jc w:val="both"/>
        <w:rPr>
          <w:rFonts w:ascii="Palatino Linotype" w:hAnsi="Palatino Linotype"/>
          <w:color w:val="000000" w:themeColor="text1"/>
        </w:rPr>
      </w:pPr>
      <w:r w:rsidRPr="00AC2CF9">
        <w:rPr>
          <w:rFonts w:ascii="Palatino Linotype" w:eastAsia="Calibri" w:hAnsi="Palatino Linotype" w:cs="Arial"/>
          <w:color w:val="000000" w:themeColor="text1"/>
        </w:rPr>
        <w:t>Por último</w:t>
      </w:r>
      <w:r w:rsidR="009F09BC" w:rsidRPr="00AC2CF9">
        <w:rPr>
          <w:rFonts w:ascii="Palatino Linotype" w:eastAsia="Calibri" w:hAnsi="Palatino Linotype" w:cs="Arial"/>
          <w:color w:val="000000" w:themeColor="text1"/>
        </w:rPr>
        <w:t xml:space="preserve">, </w:t>
      </w:r>
      <w:r w:rsidR="00CF0D2B" w:rsidRPr="00AC2CF9">
        <w:rPr>
          <w:rFonts w:ascii="Palatino Linotype" w:eastAsia="Calibri" w:hAnsi="Palatino Linotype" w:cs="Arial"/>
          <w:color w:val="000000" w:themeColor="text1"/>
        </w:rPr>
        <w:t>e</w:t>
      </w:r>
      <w:r w:rsidR="009F09BC" w:rsidRPr="00AC2CF9">
        <w:rPr>
          <w:rFonts w:ascii="Palatino Linotype" w:eastAsia="Calibri" w:hAnsi="Palatino Linotype" w:cs="Arial"/>
          <w:color w:val="000000" w:themeColor="text1"/>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650CFC" w:rsidRPr="00AC2CF9" w:rsidRDefault="00650CFC" w:rsidP="00AC2CF9">
      <w:pPr>
        <w:pStyle w:val="Prrafodelista"/>
        <w:spacing w:line="360" w:lineRule="auto"/>
        <w:ind w:left="0"/>
        <w:jc w:val="both"/>
        <w:rPr>
          <w:rFonts w:ascii="Palatino Linotype" w:hAnsi="Palatino Linotype"/>
          <w:color w:val="000000" w:themeColor="text1"/>
        </w:rPr>
      </w:pPr>
    </w:p>
    <w:p w:rsidR="009F09BC" w:rsidRPr="00AC2CF9" w:rsidRDefault="009F09BC" w:rsidP="00AC2CF9">
      <w:pPr>
        <w:pStyle w:val="Ttulo1"/>
        <w:spacing w:before="0" w:line="360" w:lineRule="auto"/>
        <w:rPr>
          <w:rFonts w:ascii="Palatino Linotype" w:hAnsi="Palatino Linotype"/>
          <w:b/>
          <w:color w:val="000000" w:themeColor="text1"/>
          <w:sz w:val="24"/>
          <w:szCs w:val="24"/>
        </w:rPr>
      </w:pPr>
      <w:bookmarkStart w:id="139" w:name="_Toc34246179"/>
      <w:bookmarkStart w:id="140" w:name="_Toc50033991"/>
      <w:bookmarkStart w:id="141" w:name="_Toc51259588"/>
      <w:bookmarkStart w:id="142" w:name="_Toc83128581"/>
      <w:r w:rsidRPr="00AC2CF9">
        <w:rPr>
          <w:rFonts w:ascii="Palatino Linotype" w:hAnsi="Palatino Linotype"/>
          <w:b/>
          <w:color w:val="000000" w:themeColor="text1"/>
          <w:sz w:val="24"/>
          <w:szCs w:val="24"/>
        </w:rPr>
        <w:t xml:space="preserve">TERCERO. </w:t>
      </w:r>
      <w:bookmarkStart w:id="143" w:name="_Toc501021589"/>
      <w:r w:rsidRPr="00AC2CF9">
        <w:rPr>
          <w:rFonts w:ascii="Palatino Linotype" w:hAnsi="Palatino Linotype"/>
          <w:b/>
          <w:color w:val="000000" w:themeColor="text1"/>
          <w:sz w:val="24"/>
          <w:szCs w:val="24"/>
        </w:rPr>
        <w:t>De</w:t>
      </w:r>
      <w:r w:rsidR="00EA660A" w:rsidRPr="00AC2CF9">
        <w:rPr>
          <w:rFonts w:ascii="Palatino Linotype" w:hAnsi="Palatino Linotype"/>
          <w:b/>
          <w:color w:val="000000" w:themeColor="text1"/>
          <w:sz w:val="24"/>
          <w:szCs w:val="24"/>
        </w:rPr>
        <w:t xml:space="preserve"> las causales de sobreseimiento</w:t>
      </w:r>
      <w:r w:rsidRPr="00AC2CF9">
        <w:rPr>
          <w:rFonts w:ascii="Palatino Linotype" w:hAnsi="Palatino Linotype"/>
          <w:b/>
          <w:color w:val="000000" w:themeColor="text1"/>
          <w:sz w:val="24"/>
          <w:szCs w:val="24"/>
        </w:rPr>
        <w:t>.</w:t>
      </w:r>
      <w:bookmarkEnd w:id="139"/>
      <w:bookmarkEnd w:id="140"/>
      <w:bookmarkEnd w:id="141"/>
      <w:bookmarkEnd w:id="142"/>
      <w:bookmarkEnd w:id="143"/>
    </w:p>
    <w:p w:rsidR="009F09BC" w:rsidRPr="00AC2CF9" w:rsidRDefault="009F09BC" w:rsidP="00AC2CF9">
      <w:pPr>
        <w:spacing w:line="360" w:lineRule="auto"/>
        <w:rPr>
          <w:rFonts w:ascii="Palatino Linotype" w:hAnsi="Palatino Linotype"/>
          <w:color w:val="000000" w:themeColor="text1"/>
          <w:lang w:val="es-MX" w:eastAsia="en-US"/>
        </w:rPr>
      </w:pPr>
    </w:p>
    <w:p w:rsidR="00134CE6" w:rsidRPr="00AC2CF9" w:rsidRDefault="00134CE6" w:rsidP="00AC2CF9">
      <w:pPr>
        <w:pStyle w:val="Ttulo2"/>
        <w:numPr>
          <w:ilvl w:val="0"/>
          <w:numId w:val="47"/>
        </w:numPr>
        <w:spacing w:before="0" w:line="360" w:lineRule="auto"/>
        <w:rPr>
          <w:rFonts w:ascii="Palatino Linotype" w:hAnsi="Palatino Linotype"/>
          <w:b/>
          <w:color w:val="000000" w:themeColor="text1"/>
          <w:sz w:val="24"/>
          <w:szCs w:val="24"/>
        </w:rPr>
      </w:pPr>
      <w:bookmarkStart w:id="144" w:name="_Toc8387929"/>
      <w:bookmarkStart w:id="145" w:name="_Toc15589984"/>
      <w:bookmarkStart w:id="146" w:name="_Toc19214468"/>
      <w:bookmarkStart w:id="147" w:name="_Toc62153322"/>
      <w:bookmarkStart w:id="148" w:name="_Toc70526132"/>
      <w:r w:rsidRPr="00AC2CF9">
        <w:rPr>
          <w:rFonts w:ascii="Palatino Linotype" w:hAnsi="Palatino Linotype"/>
          <w:b/>
          <w:color w:val="000000" w:themeColor="text1"/>
          <w:sz w:val="24"/>
          <w:szCs w:val="24"/>
        </w:rPr>
        <w:t>De la solicitud de información.</w:t>
      </w:r>
      <w:bookmarkEnd w:id="144"/>
      <w:bookmarkEnd w:id="145"/>
      <w:bookmarkEnd w:id="146"/>
      <w:bookmarkEnd w:id="147"/>
      <w:bookmarkEnd w:id="148"/>
    </w:p>
    <w:p w:rsidR="00134CE6" w:rsidRPr="00AC2CF9" w:rsidRDefault="00134CE6" w:rsidP="00AC2CF9">
      <w:pPr>
        <w:spacing w:line="360" w:lineRule="auto"/>
        <w:rPr>
          <w:rFonts w:ascii="Palatino Linotype" w:hAnsi="Palatino Linotype"/>
          <w:color w:val="000000" w:themeColor="text1"/>
          <w:lang w:val="es-MX" w:eastAsia="en-US"/>
        </w:rPr>
      </w:pPr>
    </w:p>
    <w:p w:rsidR="00134CE6" w:rsidRPr="00AC2CF9" w:rsidRDefault="00F065A3" w:rsidP="00AC2CF9">
      <w:pPr>
        <w:pStyle w:val="Prrafodelista"/>
        <w:numPr>
          <w:ilvl w:val="0"/>
          <w:numId w:val="15"/>
        </w:numPr>
        <w:spacing w:line="360" w:lineRule="auto"/>
        <w:ind w:left="0" w:firstLine="0"/>
        <w:jc w:val="both"/>
        <w:rPr>
          <w:rFonts w:ascii="Palatino Linotype" w:hAnsi="Palatino Linotype"/>
          <w:i/>
          <w:color w:val="000000" w:themeColor="text1"/>
        </w:rPr>
      </w:pPr>
      <w:r w:rsidRPr="00AC2CF9">
        <w:rPr>
          <w:rFonts w:ascii="Palatino Linotype" w:hAnsi="Palatino Linotype"/>
          <w:color w:val="000000" w:themeColor="text1"/>
          <w:lang w:val="es-ES"/>
        </w:rPr>
        <w:t xml:space="preserve"> </w:t>
      </w:r>
      <w:r w:rsidR="00134CE6" w:rsidRPr="00AC2CF9">
        <w:rPr>
          <w:rFonts w:ascii="Palatino Linotype" w:hAnsi="Palatino Linotype"/>
          <w:color w:val="000000" w:themeColor="text1"/>
          <w:lang w:val="es-ES"/>
        </w:rPr>
        <w:t xml:space="preserve">La solicitud de información consistió en </w:t>
      </w:r>
      <w:r w:rsidR="00134CE6" w:rsidRPr="00AC2CF9">
        <w:rPr>
          <w:rFonts w:ascii="Palatino Linotype" w:hAnsi="Palatino Linotype"/>
          <w:color w:val="000000" w:themeColor="text1"/>
        </w:rPr>
        <w:t xml:space="preserve">requerir la </w:t>
      </w:r>
      <w:r w:rsidR="008E32EE" w:rsidRPr="00AC2CF9">
        <w:rPr>
          <w:rFonts w:ascii="Palatino Linotype" w:hAnsi="Palatino Linotype"/>
          <w:color w:val="000000" w:themeColor="text1"/>
        </w:rPr>
        <w:t xml:space="preserve">información que ya se ha tenido a bien </w:t>
      </w:r>
      <w:r w:rsidR="008E32EE" w:rsidRPr="00AC2CF9">
        <w:rPr>
          <w:rFonts w:ascii="Palatino Linotype" w:eastAsia="Calibri" w:hAnsi="Palatino Linotype" w:cs="Arial"/>
          <w:color w:val="000000" w:themeColor="text1"/>
        </w:rPr>
        <w:t>transcribir</w:t>
      </w:r>
      <w:r w:rsidR="008E32EE" w:rsidRPr="00AC2CF9">
        <w:rPr>
          <w:rFonts w:ascii="Palatino Linotype" w:hAnsi="Palatino Linotype"/>
          <w:color w:val="000000" w:themeColor="text1"/>
        </w:rPr>
        <w:t xml:space="preserve"> en el anterior párrafo 1, en respuesta, el </w:t>
      </w:r>
      <w:r w:rsidR="008E32EE" w:rsidRPr="00AC2CF9">
        <w:rPr>
          <w:rFonts w:ascii="Palatino Linotype" w:hAnsi="Palatino Linotype"/>
          <w:b/>
          <w:color w:val="000000" w:themeColor="text1"/>
        </w:rPr>
        <w:t>SUJETO OBLIGADO</w:t>
      </w:r>
      <w:r w:rsidR="008E32EE" w:rsidRPr="00AC2CF9">
        <w:rPr>
          <w:rFonts w:ascii="Palatino Linotype" w:hAnsi="Palatino Linotype"/>
          <w:color w:val="000000" w:themeColor="text1"/>
        </w:rPr>
        <w:t xml:space="preserve"> </w:t>
      </w:r>
      <w:r w:rsidR="00EB1CE2" w:rsidRPr="00AC2CF9">
        <w:rPr>
          <w:rFonts w:ascii="Palatino Linotype" w:hAnsi="Palatino Linotype"/>
          <w:color w:val="000000" w:themeColor="text1"/>
        </w:rPr>
        <w:t xml:space="preserve">remitió </w:t>
      </w:r>
      <w:r w:rsidRPr="00AC2CF9">
        <w:rPr>
          <w:rFonts w:ascii="Palatino Linotype" w:hAnsi="Palatino Linotype"/>
          <w:color w:val="000000" w:themeColor="text1"/>
        </w:rPr>
        <w:t>los archivos electrónicos denominados</w:t>
      </w:r>
      <w:r w:rsidRPr="00AC2CF9">
        <w:rPr>
          <w:rFonts w:ascii="Palatino Linotype" w:hAnsi="Palatino Linotype"/>
          <w:b/>
          <w:color w:val="000000" w:themeColor="text1"/>
        </w:rPr>
        <w:t xml:space="preserve"> 538-2023-Bienestar.pdf, </w:t>
      </w:r>
      <w:r w:rsidR="007D0860" w:rsidRPr="00AC2CF9">
        <w:rPr>
          <w:rFonts w:ascii="Palatino Linotype" w:hAnsi="Palatino Linotype"/>
          <w:b/>
          <w:color w:val="000000" w:themeColor="text1"/>
        </w:rPr>
        <w:t>EXT. 45 SOL 538-23 (1).pdf</w:t>
      </w:r>
      <w:r w:rsidRPr="00AC2CF9">
        <w:rPr>
          <w:rFonts w:ascii="Palatino Linotype" w:hAnsi="Palatino Linotype"/>
          <w:b/>
          <w:color w:val="000000" w:themeColor="text1"/>
        </w:rPr>
        <w:t xml:space="preserve">, </w:t>
      </w:r>
      <w:r w:rsidR="007D0860" w:rsidRPr="00AC2CF9">
        <w:rPr>
          <w:rFonts w:ascii="Palatino Linotype" w:hAnsi="Palatino Linotype"/>
          <w:b/>
          <w:color w:val="000000" w:themeColor="text1"/>
        </w:rPr>
        <w:t>538-2023-Diversidad.pdf</w:t>
      </w:r>
      <w:r w:rsidRPr="00AC2CF9">
        <w:rPr>
          <w:rFonts w:ascii="Palatino Linotype" w:hAnsi="Palatino Linotype"/>
          <w:b/>
          <w:color w:val="000000" w:themeColor="text1"/>
        </w:rPr>
        <w:t xml:space="preserve">, </w:t>
      </w:r>
      <w:r w:rsidR="007D0860" w:rsidRPr="00AC2CF9">
        <w:rPr>
          <w:rFonts w:ascii="Palatino Linotype" w:hAnsi="Palatino Linotype"/>
          <w:b/>
          <w:color w:val="000000" w:themeColor="text1"/>
        </w:rPr>
        <w:t xml:space="preserve">reglas de </w:t>
      </w:r>
      <w:r w:rsidR="00583A43" w:rsidRPr="00AC2CF9">
        <w:rPr>
          <w:rFonts w:ascii="Palatino Linotype" w:hAnsi="Palatino Linotype"/>
          <w:b/>
          <w:color w:val="000000" w:themeColor="text1"/>
        </w:rPr>
        <w:lastRenderedPageBreak/>
        <w:t>operación</w:t>
      </w:r>
      <w:r w:rsidR="007D0860" w:rsidRPr="00AC2CF9">
        <w:rPr>
          <w:rFonts w:ascii="Palatino Linotype" w:hAnsi="Palatino Linotype"/>
          <w:b/>
          <w:color w:val="000000" w:themeColor="text1"/>
        </w:rPr>
        <w:t xml:space="preserve"> la valedora y </w:t>
      </w:r>
      <w:r w:rsidR="00583A43" w:rsidRPr="00AC2CF9">
        <w:rPr>
          <w:rFonts w:ascii="Palatino Linotype" w:hAnsi="Palatino Linotype"/>
          <w:b/>
          <w:color w:val="000000" w:themeColor="text1"/>
        </w:rPr>
        <w:t>arcoíris</w:t>
      </w:r>
      <w:r w:rsidR="007D0860" w:rsidRPr="00AC2CF9">
        <w:rPr>
          <w:rFonts w:ascii="Palatino Linotype" w:hAnsi="Palatino Linotype"/>
          <w:b/>
          <w:color w:val="000000" w:themeColor="text1"/>
        </w:rPr>
        <w:t xml:space="preserve"> 2023 (2).pdf</w:t>
      </w:r>
      <w:r w:rsidRPr="00AC2CF9">
        <w:rPr>
          <w:rFonts w:ascii="Palatino Linotype" w:hAnsi="Palatino Linotype"/>
          <w:b/>
          <w:color w:val="000000" w:themeColor="text1"/>
        </w:rPr>
        <w:t xml:space="preserve"> y </w:t>
      </w:r>
      <w:r w:rsidR="007D0860" w:rsidRPr="00AC2CF9">
        <w:rPr>
          <w:rFonts w:ascii="Palatino Linotype" w:hAnsi="Palatino Linotype"/>
          <w:b/>
          <w:color w:val="000000" w:themeColor="text1"/>
        </w:rPr>
        <w:t>Padrón de la Valedora 538 - 2023.pdf</w:t>
      </w:r>
      <w:r w:rsidRPr="00AC2CF9">
        <w:rPr>
          <w:rFonts w:ascii="Palatino Linotype" w:hAnsi="Palatino Linotype"/>
          <w:b/>
          <w:i/>
          <w:color w:val="000000" w:themeColor="text1"/>
        </w:rPr>
        <w:t>;</w:t>
      </w:r>
      <w:r w:rsidR="00EB1CE2" w:rsidRPr="00AC2CF9">
        <w:rPr>
          <w:rFonts w:ascii="Palatino Linotype" w:hAnsi="Palatino Linotype"/>
          <w:i/>
          <w:color w:val="000000" w:themeColor="text1"/>
        </w:rPr>
        <w:t xml:space="preserve"> </w:t>
      </w:r>
      <w:r w:rsidRPr="00AC2CF9">
        <w:rPr>
          <w:rFonts w:ascii="Palatino Linotype" w:hAnsi="Palatino Linotype"/>
          <w:color w:val="000000" w:themeColor="text1"/>
        </w:rPr>
        <w:t>que contienen la información solicitada</w:t>
      </w:r>
      <w:r w:rsidR="007C3C29" w:rsidRPr="00AC2CF9">
        <w:rPr>
          <w:rFonts w:ascii="Palatino Linotype" w:hAnsi="Palatino Linotype"/>
          <w:color w:val="000000" w:themeColor="text1"/>
        </w:rPr>
        <w:t xml:space="preserve">; </w:t>
      </w:r>
      <w:r w:rsidR="00103414" w:rsidRPr="00AC2CF9">
        <w:rPr>
          <w:rFonts w:ascii="Palatino Linotype" w:hAnsi="Palatino Linotype"/>
          <w:color w:val="000000" w:themeColor="text1"/>
        </w:rPr>
        <w:t>in</w:t>
      </w:r>
      <w:r w:rsidR="007C3C29" w:rsidRPr="00AC2CF9">
        <w:rPr>
          <w:rFonts w:ascii="Palatino Linotype" w:hAnsi="Palatino Linotype"/>
          <w:color w:val="000000" w:themeColor="text1"/>
        </w:rPr>
        <w:t>conforme con la respuesta</w:t>
      </w:r>
      <w:r w:rsidR="00AB4B60" w:rsidRPr="00AC2CF9">
        <w:rPr>
          <w:rFonts w:ascii="Palatino Linotype" w:hAnsi="Palatino Linotype"/>
          <w:color w:val="000000" w:themeColor="text1"/>
        </w:rPr>
        <w:t>, el particular interpuso el</w:t>
      </w:r>
      <w:r w:rsidR="00134CE6" w:rsidRPr="00AC2CF9">
        <w:rPr>
          <w:rFonts w:ascii="Palatino Linotype" w:hAnsi="Palatino Linotype"/>
          <w:color w:val="000000" w:themeColor="text1"/>
        </w:rPr>
        <w:t xml:space="preserve"> recurso de revisión que hoy </w:t>
      </w:r>
      <w:r w:rsidR="00531473" w:rsidRPr="00AC2CF9">
        <w:rPr>
          <w:rFonts w:ascii="Palatino Linotype" w:hAnsi="Palatino Linotype"/>
          <w:color w:val="000000" w:themeColor="text1"/>
        </w:rPr>
        <w:t>nos ocupa</w:t>
      </w:r>
      <w:r w:rsidR="00AB4B60" w:rsidRPr="00AC2CF9">
        <w:rPr>
          <w:rFonts w:ascii="Palatino Linotype" w:hAnsi="Palatino Linotype"/>
          <w:color w:val="000000" w:themeColor="text1"/>
        </w:rPr>
        <w:t>,</w:t>
      </w:r>
      <w:r w:rsidR="00531473" w:rsidRPr="00AC2CF9">
        <w:rPr>
          <w:rFonts w:ascii="Palatino Linotype" w:hAnsi="Palatino Linotype"/>
          <w:color w:val="000000" w:themeColor="text1"/>
        </w:rPr>
        <w:t xml:space="preserve"> señalando como motivo</w:t>
      </w:r>
      <w:r w:rsidR="00134CE6" w:rsidRPr="00AC2CF9">
        <w:rPr>
          <w:rFonts w:ascii="Palatino Linotype" w:hAnsi="Palatino Linotype"/>
          <w:color w:val="000000" w:themeColor="text1"/>
        </w:rPr>
        <w:t xml:space="preserve"> de inconformidad</w:t>
      </w:r>
      <w:r w:rsidR="00AB4B60" w:rsidRPr="00AC2CF9">
        <w:rPr>
          <w:rFonts w:ascii="Palatino Linotype" w:hAnsi="Palatino Linotype"/>
          <w:color w:val="000000" w:themeColor="text1"/>
        </w:rPr>
        <w:t xml:space="preserve"> a</w:t>
      </w:r>
      <w:r w:rsidR="00134CE6" w:rsidRPr="00AC2CF9">
        <w:rPr>
          <w:rFonts w:ascii="Palatino Linotype" w:hAnsi="Palatino Linotype"/>
          <w:color w:val="000000" w:themeColor="text1"/>
        </w:rPr>
        <w:t xml:space="preserve"> </w:t>
      </w:r>
      <w:r w:rsidR="00134CE6" w:rsidRPr="00AC2CF9">
        <w:rPr>
          <w:rFonts w:ascii="Palatino Linotype" w:hAnsi="Palatino Linotype"/>
          <w:i/>
          <w:color w:val="000000" w:themeColor="text1"/>
        </w:rPr>
        <w:t>grosso modo</w:t>
      </w:r>
      <w:r w:rsidR="00134CE6" w:rsidRPr="00AC2CF9">
        <w:rPr>
          <w:rFonts w:ascii="Palatino Linotype" w:hAnsi="Palatino Linotype"/>
          <w:color w:val="000000" w:themeColor="text1"/>
        </w:rPr>
        <w:t>, que</w:t>
      </w:r>
      <w:r w:rsidRPr="00AC2CF9">
        <w:rPr>
          <w:rFonts w:ascii="Palatino Linotype" w:hAnsi="Palatino Linotype"/>
          <w:color w:val="000000" w:themeColor="text1"/>
        </w:rPr>
        <w:t xml:space="preserve"> la respuesta recibida</w:t>
      </w:r>
      <w:r w:rsidR="00134CE6" w:rsidRPr="00AC2CF9">
        <w:rPr>
          <w:rFonts w:ascii="Palatino Linotype" w:hAnsi="Palatino Linotype"/>
          <w:color w:val="000000" w:themeColor="text1"/>
        </w:rPr>
        <w:t xml:space="preserve"> </w:t>
      </w:r>
      <w:r w:rsidRPr="00AC2CF9">
        <w:rPr>
          <w:rFonts w:ascii="Palatino Linotype" w:hAnsi="Palatino Linotype"/>
          <w:color w:val="000000" w:themeColor="text1"/>
        </w:rPr>
        <w:t>“</w:t>
      </w:r>
      <w:r w:rsidRPr="00AC2CF9">
        <w:rPr>
          <w:rFonts w:ascii="Palatino Linotype" w:hAnsi="Palatino Linotype"/>
          <w:i/>
          <w:color w:val="000000" w:themeColor="text1"/>
        </w:rPr>
        <w:t>no contiene la segmentación de edad de los beneficiarios ni la colonia, pueblo o ejeido de Ecatepec al cual pertenecen, ya que si bien se refieren proteger los apellidos de los beneficiaris, el hecho de informar cuantos beneficiarios o de que comunidad son, no son datos reservados ni protegidos, ya que no se pide domicilio completo y menos serán identificables; por lo que se requiere se remita la información de a que colonias pertenecen los beneficiados”.</w:t>
      </w:r>
    </w:p>
    <w:p w:rsidR="00F065A3" w:rsidRPr="00AC2CF9" w:rsidRDefault="00F065A3" w:rsidP="00AC2CF9">
      <w:pPr>
        <w:pStyle w:val="Prrafodelista"/>
        <w:spacing w:line="360" w:lineRule="auto"/>
        <w:ind w:left="360"/>
        <w:jc w:val="both"/>
        <w:rPr>
          <w:rFonts w:ascii="Palatino Linotype" w:hAnsi="Palatino Linotype"/>
          <w:i/>
          <w:color w:val="000000" w:themeColor="text1"/>
        </w:rPr>
      </w:pPr>
    </w:p>
    <w:p w:rsidR="00134CE6" w:rsidRPr="00AC2CF9" w:rsidRDefault="00134CE6" w:rsidP="00AC2CF9">
      <w:pPr>
        <w:pStyle w:val="Ttulo2"/>
        <w:numPr>
          <w:ilvl w:val="0"/>
          <w:numId w:val="47"/>
        </w:numPr>
        <w:spacing w:before="0" w:line="360" w:lineRule="auto"/>
        <w:rPr>
          <w:rFonts w:ascii="Palatino Linotype" w:hAnsi="Palatino Linotype"/>
          <w:b/>
          <w:color w:val="000000" w:themeColor="text1"/>
          <w:sz w:val="24"/>
          <w:szCs w:val="24"/>
        </w:rPr>
      </w:pPr>
      <w:bookmarkStart w:id="149" w:name="_Toc70526133"/>
      <w:r w:rsidRPr="00AC2CF9">
        <w:rPr>
          <w:rFonts w:ascii="Palatino Linotype" w:hAnsi="Palatino Linotype"/>
          <w:b/>
          <w:color w:val="000000" w:themeColor="text1"/>
          <w:sz w:val="24"/>
          <w:szCs w:val="24"/>
        </w:rPr>
        <w:t>Del desistimiento.</w:t>
      </w:r>
      <w:bookmarkEnd w:id="149"/>
    </w:p>
    <w:p w:rsidR="00134CE6" w:rsidRPr="00AC2CF9" w:rsidRDefault="00134CE6" w:rsidP="00AC2CF9">
      <w:pPr>
        <w:pStyle w:val="Prrafodelista"/>
        <w:spacing w:line="360" w:lineRule="auto"/>
        <w:rPr>
          <w:rFonts w:ascii="Palatino Linotype" w:hAnsi="Palatino Linotype"/>
          <w:color w:val="000000" w:themeColor="text1"/>
        </w:rPr>
      </w:pPr>
    </w:p>
    <w:p w:rsidR="00052492" w:rsidRPr="00052492" w:rsidRDefault="00134CE6" w:rsidP="00052492">
      <w:pPr>
        <w:pStyle w:val="Prrafodelista"/>
        <w:numPr>
          <w:ilvl w:val="0"/>
          <w:numId w:val="15"/>
        </w:numPr>
        <w:spacing w:line="360" w:lineRule="auto"/>
        <w:ind w:left="0" w:firstLine="0"/>
        <w:jc w:val="both"/>
        <w:rPr>
          <w:rFonts w:ascii="Palatino Linotype" w:hAnsi="Palatino Linotype"/>
          <w:color w:val="000000" w:themeColor="text1"/>
        </w:rPr>
      </w:pPr>
      <w:r w:rsidRPr="00AC2CF9">
        <w:rPr>
          <w:rFonts w:ascii="Palatino Linotype" w:eastAsia="Times New Roman" w:hAnsi="Palatino Linotype" w:cs="Arial"/>
          <w:color w:val="000000" w:themeColor="text1"/>
          <w:lang w:val="es-ES"/>
        </w:rPr>
        <w:t>No obstante</w:t>
      </w:r>
      <w:r w:rsidR="00F065A3" w:rsidRPr="00AC2CF9">
        <w:rPr>
          <w:rFonts w:ascii="Palatino Linotype" w:eastAsia="Times New Roman" w:hAnsi="Palatino Linotype" w:cs="Arial"/>
          <w:color w:val="000000" w:themeColor="text1"/>
          <w:lang w:val="es-ES"/>
        </w:rPr>
        <w:t xml:space="preserve"> lo anterior</w:t>
      </w:r>
      <w:r w:rsidRPr="00AC2CF9">
        <w:rPr>
          <w:rFonts w:ascii="Palatino Linotype" w:eastAsia="Times New Roman" w:hAnsi="Palatino Linotype" w:cs="Arial"/>
          <w:color w:val="000000" w:themeColor="text1"/>
          <w:lang w:val="es-ES"/>
        </w:rPr>
        <w:t>, previo al cierre de instrucción del Recurso de Revisión, la parte recurrente se</w:t>
      </w:r>
      <w:r w:rsidRPr="00AC2CF9">
        <w:rPr>
          <w:rFonts w:ascii="Palatino Linotype" w:eastAsia="Times New Roman" w:hAnsi="Palatino Linotype" w:cs="Arial"/>
          <w:b/>
          <w:color w:val="000000" w:themeColor="text1"/>
          <w:lang w:val="es-ES"/>
        </w:rPr>
        <w:t xml:space="preserve"> desistió</w:t>
      </w:r>
      <w:r w:rsidRPr="00AC2CF9">
        <w:rPr>
          <w:rFonts w:ascii="Palatino Linotype" w:eastAsia="Times New Roman" w:hAnsi="Palatino Linotype" w:cs="Arial"/>
          <w:color w:val="000000" w:themeColor="text1"/>
          <w:lang w:val="es-ES"/>
        </w:rPr>
        <w:t xml:space="preserve"> del recurso de revisión interpuesto mediante el Sistema de Acceso a la Información Mexiquense (SAIMEX), tal como se observa a continuación:</w:t>
      </w:r>
    </w:p>
    <w:p w:rsidR="00052492" w:rsidRDefault="00052492" w:rsidP="00AC2CF9">
      <w:pPr>
        <w:pStyle w:val="Prrafodelista"/>
        <w:spacing w:line="360" w:lineRule="auto"/>
        <w:ind w:left="0"/>
        <w:jc w:val="center"/>
        <w:rPr>
          <w:noProof/>
          <w:lang w:val="es-MX" w:eastAsia="es-MX"/>
        </w:rPr>
      </w:pPr>
    </w:p>
    <w:p w:rsidR="00134CE6" w:rsidRPr="00AC2CF9" w:rsidRDefault="00052492" w:rsidP="00AC2CF9">
      <w:pPr>
        <w:pStyle w:val="Prrafodelista"/>
        <w:spacing w:line="360" w:lineRule="auto"/>
        <w:ind w:left="0"/>
        <w:jc w:val="center"/>
        <w:rPr>
          <w:rFonts w:ascii="Palatino Linotype" w:hAnsi="Palatino Linotype"/>
          <w:color w:val="000000" w:themeColor="text1"/>
        </w:rPr>
      </w:pPr>
      <w:r>
        <w:rPr>
          <w:noProof/>
          <w:lang w:val="es-MX" w:eastAsia="es-MX"/>
        </w:rPr>
        <w:drawing>
          <wp:inline distT="0" distB="0" distL="0" distR="0" wp14:anchorId="42F2051D" wp14:editId="2EFC87A1">
            <wp:extent cx="5343070" cy="190579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065" t="46482" r="32494" b="31678"/>
                    <a:stretch/>
                  </pic:blipFill>
                  <pic:spPr bwMode="auto">
                    <a:xfrm>
                      <a:off x="0" y="0"/>
                      <a:ext cx="5388519" cy="1922002"/>
                    </a:xfrm>
                    <a:prstGeom prst="rect">
                      <a:avLst/>
                    </a:prstGeom>
                    <a:ln>
                      <a:noFill/>
                    </a:ln>
                    <a:extLst>
                      <a:ext uri="{53640926-AAD7-44D8-BBD7-CCE9431645EC}">
                        <a14:shadowObscured xmlns:a14="http://schemas.microsoft.com/office/drawing/2010/main"/>
                      </a:ext>
                    </a:extLst>
                  </pic:spPr>
                </pic:pic>
              </a:graphicData>
            </a:graphic>
          </wp:inline>
        </w:drawing>
      </w:r>
    </w:p>
    <w:p w:rsidR="00052492" w:rsidRDefault="00052492" w:rsidP="00AC2CF9">
      <w:pPr>
        <w:pStyle w:val="Prrafodelista"/>
        <w:spacing w:line="360" w:lineRule="auto"/>
        <w:ind w:left="0"/>
        <w:jc w:val="center"/>
        <w:rPr>
          <w:noProof/>
          <w:lang w:val="es-MX" w:eastAsia="es-MX"/>
        </w:rPr>
      </w:pPr>
    </w:p>
    <w:p w:rsidR="00052492" w:rsidRDefault="00052492" w:rsidP="00AC2CF9">
      <w:pPr>
        <w:pStyle w:val="Prrafodelista"/>
        <w:spacing w:line="360" w:lineRule="auto"/>
        <w:ind w:left="0"/>
        <w:jc w:val="center"/>
        <w:rPr>
          <w:noProof/>
          <w:lang w:val="es-MX" w:eastAsia="es-MX"/>
        </w:rPr>
      </w:pPr>
    </w:p>
    <w:p w:rsidR="007C3C29" w:rsidRPr="00AC2CF9" w:rsidRDefault="00052492" w:rsidP="00AC2CF9">
      <w:pPr>
        <w:pStyle w:val="Prrafodelista"/>
        <w:spacing w:line="360" w:lineRule="auto"/>
        <w:ind w:left="0"/>
        <w:jc w:val="center"/>
        <w:rPr>
          <w:rFonts w:ascii="Palatino Linotype" w:hAnsi="Palatino Linotype"/>
          <w:color w:val="000000" w:themeColor="text1"/>
        </w:rPr>
      </w:pPr>
      <w:r>
        <w:rPr>
          <w:noProof/>
          <w:lang w:val="es-MX" w:eastAsia="es-MX"/>
        </w:rPr>
        <w:drawing>
          <wp:inline distT="0" distB="0" distL="0" distR="0" wp14:anchorId="65292DBB" wp14:editId="336F7CD1">
            <wp:extent cx="5602142" cy="320902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063" t="33067" r="32499" b="31861"/>
                    <a:stretch/>
                  </pic:blipFill>
                  <pic:spPr bwMode="auto">
                    <a:xfrm>
                      <a:off x="0" y="0"/>
                      <a:ext cx="5657484" cy="3240728"/>
                    </a:xfrm>
                    <a:prstGeom prst="rect">
                      <a:avLst/>
                    </a:prstGeom>
                    <a:ln>
                      <a:noFill/>
                    </a:ln>
                    <a:extLst>
                      <a:ext uri="{53640926-AAD7-44D8-BBD7-CCE9431645EC}">
                        <a14:shadowObscured xmlns:a14="http://schemas.microsoft.com/office/drawing/2010/main"/>
                      </a:ext>
                    </a:extLst>
                  </pic:spPr>
                </pic:pic>
              </a:graphicData>
            </a:graphic>
          </wp:inline>
        </w:drawing>
      </w:r>
    </w:p>
    <w:p w:rsidR="00134CE6" w:rsidRPr="00AC2CF9" w:rsidRDefault="00134CE6" w:rsidP="00AC2CF9">
      <w:pPr>
        <w:tabs>
          <w:tab w:val="left" w:pos="567"/>
        </w:tabs>
        <w:spacing w:line="360" w:lineRule="auto"/>
        <w:jc w:val="center"/>
        <w:rPr>
          <w:rFonts w:ascii="Palatino Linotype" w:hAnsi="Palatino Linotype"/>
          <w:color w:val="000000" w:themeColor="text1"/>
        </w:rPr>
      </w:pPr>
    </w:p>
    <w:p w:rsidR="00134CE6" w:rsidRPr="00AC2CF9" w:rsidRDefault="00134CE6" w:rsidP="00AC2CF9">
      <w:pPr>
        <w:pStyle w:val="Ttulo2"/>
        <w:numPr>
          <w:ilvl w:val="0"/>
          <w:numId w:val="47"/>
        </w:numPr>
        <w:spacing w:before="0" w:line="360" w:lineRule="auto"/>
        <w:rPr>
          <w:rFonts w:ascii="Palatino Linotype" w:hAnsi="Palatino Linotype"/>
          <w:b/>
          <w:color w:val="000000" w:themeColor="text1"/>
          <w:sz w:val="24"/>
          <w:szCs w:val="24"/>
        </w:rPr>
      </w:pPr>
      <w:bookmarkStart w:id="150" w:name="_Toc70526134"/>
      <w:r w:rsidRPr="00AC2CF9">
        <w:rPr>
          <w:rFonts w:ascii="Palatino Linotype" w:hAnsi="Palatino Linotype"/>
          <w:b/>
          <w:color w:val="000000" w:themeColor="text1"/>
          <w:sz w:val="24"/>
          <w:szCs w:val="24"/>
        </w:rPr>
        <w:t>Causal de sobreseimiento.</w:t>
      </w:r>
      <w:bookmarkEnd w:id="150"/>
    </w:p>
    <w:p w:rsidR="00134CE6" w:rsidRPr="00AC2CF9" w:rsidRDefault="00134CE6" w:rsidP="00AC2CF9">
      <w:pPr>
        <w:tabs>
          <w:tab w:val="left" w:pos="567"/>
        </w:tabs>
        <w:spacing w:line="360" w:lineRule="auto"/>
        <w:jc w:val="center"/>
        <w:rPr>
          <w:rFonts w:ascii="Palatino Linotype" w:hAnsi="Palatino Linotype"/>
          <w:color w:val="000000" w:themeColor="text1"/>
        </w:rPr>
      </w:pPr>
    </w:p>
    <w:p w:rsidR="00134CE6" w:rsidRPr="00AC2CF9" w:rsidRDefault="00134CE6" w:rsidP="00AC2CF9">
      <w:pPr>
        <w:pStyle w:val="Prrafodelista"/>
        <w:numPr>
          <w:ilvl w:val="0"/>
          <w:numId w:val="15"/>
        </w:numPr>
        <w:spacing w:line="360" w:lineRule="auto"/>
        <w:ind w:left="0" w:firstLine="0"/>
        <w:jc w:val="both"/>
        <w:rPr>
          <w:rFonts w:ascii="Palatino Linotype" w:hAnsi="Palatino Linotype"/>
          <w:color w:val="000000" w:themeColor="text1"/>
        </w:rPr>
      </w:pPr>
      <w:r w:rsidRPr="00AC2CF9">
        <w:rPr>
          <w:rFonts w:ascii="Palatino Linotype" w:eastAsia="Times New Roman" w:hAnsi="Palatino Linotype"/>
          <w:color w:val="000000" w:themeColor="text1"/>
          <w:lang w:val="es-MX" w:eastAsia="en-US"/>
        </w:rPr>
        <w:t xml:space="preserve">En </w:t>
      </w:r>
      <w:r w:rsidRPr="00AC2CF9">
        <w:rPr>
          <w:rFonts w:ascii="Palatino Linotype" w:eastAsia="Times New Roman" w:hAnsi="Palatino Linotype" w:cs="Arial"/>
          <w:color w:val="000000" w:themeColor="text1"/>
          <w:lang w:val="es-ES"/>
        </w:rPr>
        <w:t>ese</w:t>
      </w:r>
      <w:r w:rsidRPr="00AC2CF9">
        <w:rPr>
          <w:rFonts w:ascii="Palatino Linotype" w:eastAsia="Times New Roman" w:hAnsi="Palatino Linotype"/>
          <w:color w:val="000000" w:themeColor="text1"/>
          <w:lang w:val="es-MX" w:eastAsia="en-US"/>
        </w:rPr>
        <w:t xml:space="preserve"> sentido, se estima dable traer a contexto </w:t>
      </w:r>
      <w:r w:rsidRPr="00AC2CF9">
        <w:rPr>
          <w:rFonts w:ascii="Palatino Linotype" w:eastAsia="Batang" w:hAnsi="Palatino Linotype" w:cs="Arial"/>
          <w:color w:val="000000" w:themeColor="text1"/>
        </w:rPr>
        <w:t xml:space="preserve">la causal de sobreseimiento contenida en </w:t>
      </w:r>
      <w:r w:rsidRPr="00AC2CF9">
        <w:rPr>
          <w:rFonts w:ascii="Palatino Linotype" w:hAnsi="Palatino Linotype" w:cs="Arial"/>
          <w:color w:val="000000" w:themeColor="text1"/>
        </w:rPr>
        <w:t xml:space="preserve">la fracción I del artículo 192 </w:t>
      </w:r>
      <w:r w:rsidRPr="00AC2CF9">
        <w:rPr>
          <w:rFonts w:ascii="Palatino Linotype" w:eastAsia="Batang" w:hAnsi="Palatino Linotype" w:cs="Arial"/>
          <w:color w:val="000000" w:themeColor="text1"/>
        </w:rPr>
        <w:t xml:space="preserve">de la </w:t>
      </w:r>
      <w:r w:rsidRPr="00AC2CF9">
        <w:rPr>
          <w:rFonts w:ascii="Palatino Linotype" w:eastAsia="Batang" w:hAnsi="Palatino Linotype" w:cs="Arial"/>
          <w:b/>
          <w:color w:val="000000" w:themeColor="text1"/>
        </w:rPr>
        <w:t>Ley de Transparencia</w:t>
      </w:r>
      <w:bookmarkStart w:id="151" w:name="_GoBack"/>
      <w:bookmarkEnd w:id="151"/>
      <w:r w:rsidRPr="00AC2CF9">
        <w:rPr>
          <w:rFonts w:ascii="Palatino Linotype" w:eastAsia="Batang" w:hAnsi="Palatino Linotype" w:cs="Arial"/>
          <w:b/>
          <w:color w:val="000000" w:themeColor="text1"/>
        </w:rPr>
        <w:t xml:space="preserve"> y Acceso a la Información Pública del Estado de México y Municipios</w:t>
      </w:r>
      <w:r w:rsidRPr="00AC2CF9">
        <w:rPr>
          <w:rFonts w:ascii="Palatino Linotype" w:eastAsia="Batang" w:hAnsi="Palatino Linotype" w:cs="Arial"/>
          <w:color w:val="000000" w:themeColor="text1"/>
        </w:rPr>
        <w:t>, que establece lo siguiente:</w:t>
      </w:r>
    </w:p>
    <w:p w:rsidR="00134CE6" w:rsidRPr="00583A43" w:rsidRDefault="00134CE6" w:rsidP="00AC2CF9">
      <w:pPr>
        <w:pStyle w:val="Prrafodelista"/>
        <w:spacing w:line="360" w:lineRule="auto"/>
        <w:ind w:left="0"/>
        <w:jc w:val="both"/>
        <w:rPr>
          <w:rFonts w:ascii="Palatino Linotype" w:hAnsi="Palatino Linotype"/>
          <w:color w:val="000000" w:themeColor="text1"/>
          <w:sz w:val="22"/>
        </w:rPr>
      </w:pPr>
    </w:p>
    <w:p w:rsidR="00134CE6" w:rsidRPr="00583A43" w:rsidRDefault="00134CE6" w:rsidP="00AC2CF9">
      <w:pPr>
        <w:pStyle w:val="Prrafodelista"/>
        <w:spacing w:line="360" w:lineRule="auto"/>
        <w:ind w:left="426" w:right="425"/>
        <w:jc w:val="both"/>
        <w:rPr>
          <w:rFonts w:ascii="Palatino Linotype" w:hAnsi="Palatino Linotype"/>
          <w:i/>
          <w:color w:val="000000" w:themeColor="text1"/>
          <w:sz w:val="22"/>
        </w:rPr>
      </w:pPr>
      <w:r w:rsidRPr="00583A43">
        <w:rPr>
          <w:rFonts w:ascii="Palatino Linotype" w:hAnsi="Palatino Linotype"/>
          <w:i/>
          <w:color w:val="000000" w:themeColor="text1"/>
          <w:sz w:val="22"/>
        </w:rPr>
        <w:t>"Artículo 192. El recurso será sobreseído, en todo o en parte, cuando una vez admitido, se actualicen alguno de los siguientes supuestos:</w:t>
      </w:r>
    </w:p>
    <w:p w:rsidR="00D5729F" w:rsidRPr="00583A43" w:rsidRDefault="00134CE6" w:rsidP="00AC2CF9">
      <w:pPr>
        <w:pStyle w:val="Prrafodelista"/>
        <w:spacing w:line="360" w:lineRule="auto"/>
        <w:ind w:left="426" w:right="425"/>
        <w:jc w:val="both"/>
        <w:rPr>
          <w:rFonts w:ascii="Palatino Linotype" w:hAnsi="Palatino Linotype"/>
          <w:i/>
          <w:color w:val="000000" w:themeColor="text1"/>
          <w:sz w:val="22"/>
        </w:rPr>
      </w:pPr>
      <w:r w:rsidRPr="00583A43">
        <w:rPr>
          <w:rFonts w:ascii="Palatino Linotype" w:hAnsi="Palatino Linotype"/>
          <w:i/>
          <w:color w:val="000000" w:themeColor="text1"/>
          <w:sz w:val="22"/>
        </w:rPr>
        <w:t xml:space="preserve">I. </w:t>
      </w:r>
      <w:r w:rsidRPr="00583A43">
        <w:rPr>
          <w:rFonts w:ascii="Palatino Linotype" w:hAnsi="Palatino Linotype"/>
          <w:b/>
          <w:i/>
          <w:color w:val="000000" w:themeColor="text1"/>
          <w:sz w:val="22"/>
        </w:rPr>
        <w:t>El recurrente se desista expresamente del recurso</w:t>
      </w:r>
      <w:r w:rsidRPr="00583A43">
        <w:rPr>
          <w:rFonts w:ascii="Palatino Linotype" w:hAnsi="Palatino Linotype"/>
          <w:i/>
          <w:color w:val="000000" w:themeColor="text1"/>
          <w:sz w:val="22"/>
        </w:rPr>
        <w:t>;</w:t>
      </w:r>
      <w:r w:rsidRPr="00583A43">
        <w:rPr>
          <w:rFonts w:ascii="Palatino Linotype" w:hAnsi="Palatino Linotype"/>
          <w:i/>
          <w:color w:val="000000" w:themeColor="text1"/>
          <w:sz w:val="22"/>
        </w:rPr>
        <w:cr/>
        <w:t>..."</w:t>
      </w:r>
    </w:p>
    <w:p w:rsidR="00134CE6" w:rsidRPr="00583A43" w:rsidRDefault="00134CE6" w:rsidP="00AC2CF9">
      <w:pPr>
        <w:pStyle w:val="Prrafodelista"/>
        <w:spacing w:line="360" w:lineRule="auto"/>
        <w:ind w:left="426" w:right="425"/>
        <w:jc w:val="both"/>
        <w:rPr>
          <w:rFonts w:ascii="Palatino Linotype" w:hAnsi="Palatino Linotype"/>
          <w:color w:val="000000" w:themeColor="text1"/>
          <w:sz w:val="22"/>
        </w:rPr>
      </w:pPr>
      <w:r w:rsidRPr="00583A43">
        <w:rPr>
          <w:rFonts w:ascii="Palatino Linotype" w:hAnsi="Palatino Linotype"/>
          <w:color w:val="000000" w:themeColor="text1"/>
          <w:sz w:val="22"/>
        </w:rPr>
        <w:t>Énfasis añadido</w:t>
      </w:r>
    </w:p>
    <w:p w:rsidR="00134CE6" w:rsidRPr="00AC2CF9" w:rsidRDefault="00134CE6" w:rsidP="00AC2CF9">
      <w:pPr>
        <w:pStyle w:val="Prrafodelista"/>
        <w:numPr>
          <w:ilvl w:val="0"/>
          <w:numId w:val="15"/>
        </w:numPr>
        <w:spacing w:line="360" w:lineRule="auto"/>
        <w:ind w:left="0" w:firstLine="0"/>
        <w:jc w:val="both"/>
        <w:rPr>
          <w:rFonts w:ascii="Palatino Linotype" w:hAnsi="Palatino Linotype"/>
          <w:color w:val="000000" w:themeColor="text1"/>
        </w:rPr>
      </w:pPr>
      <w:r w:rsidRPr="00AC2CF9">
        <w:rPr>
          <w:rFonts w:ascii="Palatino Linotype" w:eastAsia="Batang" w:hAnsi="Palatino Linotype" w:cs="Arial"/>
          <w:color w:val="000000" w:themeColor="text1"/>
        </w:rPr>
        <w:lastRenderedPageBreak/>
        <w:t xml:space="preserve">Al respecto, es oportuno señalar que la figura del sobreseimiento privilegia la existencia de elementos de fondo, tales como el </w:t>
      </w:r>
      <w:r w:rsidRPr="00AC2CF9">
        <w:rPr>
          <w:rFonts w:ascii="Palatino Linotype" w:eastAsia="Batang" w:hAnsi="Palatino Linotype" w:cs="Arial"/>
          <w:b/>
          <w:color w:val="000000" w:themeColor="text1"/>
          <w:u w:val="single"/>
        </w:rPr>
        <w:t>desistimiento expreso</w:t>
      </w:r>
      <w:r w:rsidRPr="00AC2CF9">
        <w:rPr>
          <w:rFonts w:ascii="Palatino Linotype" w:eastAsia="Batang" w:hAnsi="Palatino Linotype" w:cs="Arial"/>
          <w:b/>
          <w:color w:val="000000" w:themeColor="text1"/>
        </w:rPr>
        <w:t xml:space="preserve"> </w:t>
      </w:r>
      <w:r w:rsidRPr="00AC2CF9">
        <w:rPr>
          <w:rFonts w:ascii="Palatino Linotype" w:eastAsia="Batang" w:hAnsi="Palatino Linotype" w:cs="Arial"/>
          <w:color w:val="000000" w:themeColor="text1"/>
        </w:rPr>
        <w:t xml:space="preserve">o fallecimiento del </w:t>
      </w:r>
      <w:r w:rsidRPr="00AC2CF9">
        <w:rPr>
          <w:rFonts w:ascii="Palatino Linotype" w:eastAsia="Batang" w:hAnsi="Palatino Linotype" w:cs="Arial"/>
          <w:b/>
          <w:color w:val="000000" w:themeColor="text1"/>
        </w:rPr>
        <w:t>RECURRENTE</w:t>
      </w:r>
      <w:r w:rsidRPr="00AC2CF9">
        <w:rPr>
          <w:rFonts w:ascii="Palatino Linotype" w:eastAsia="Batang" w:hAnsi="Palatino Linotype" w:cs="Arial"/>
          <w:color w:val="000000" w:themeColor="text1"/>
        </w:rPr>
        <w:t xml:space="preserve"> o que el </w:t>
      </w:r>
      <w:r w:rsidRPr="00AC2CF9">
        <w:rPr>
          <w:rFonts w:ascii="Palatino Linotype" w:eastAsia="Batang" w:hAnsi="Palatino Linotype" w:cs="Arial"/>
          <w:b/>
          <w:color w:val="000000" w:themeColor="text1"/>
        </w:rPr>
        <w:t>SUJETO OBLIGADO</w:t>
      </w:r>
      <w:r w:rsidRPr="00AC2CF9">
        <w:rPr>
          <w:rFonts w:ascii="Palatino Linotype" w:eastAsia="Batang" w:hAnsi="Palatino Linotype" w:cs="Arial"/>
          <w:color w:val="000000" w:themeColor="text1"/>
        </w:rPr>
        <w:t xml:space="preserve"> modifique o revoque el acto; de ahí que la actualización de alguno de éstos trae como consecuencia que el medio de impugnación se concluya sin que se analice el objeto de estudio planteado, es decir se sobresea.</w:t>
      </w:r>
    </w:p>
    <w:p w:rsidR="00134CE6" w:rsidRPr="00AC2CF9" w:rsidRDefault="00134CE6" w:rsidP="00AC2CF9">
      <w:pPr>
        <w:pStyle w:val="Prrafodelista"/>
        <w:spacing w:line="360" w:lineRule="auto"/>
        <w:ind w:left="0"/>
        <w:jc w:val="both"/>
        <w:rPr>
          <w:rFonts w:ascii="Palatino Linotype" w:hAnsi="Palatino Linotype"/>
          <w:color w:val="000000" w:themeColor="text1"/>
        </w:rPr>
      </w:pPr>
    </w:p>
    <w:p w:rsidR="00134CE6" w:rsidRPr="00AC2CF9" w:rsidRDefault="00134CE6" w:rsidP="00AC2CF9">
      <w:pPr>
        <w:pStyle w:val="Prrafodelista"/>
        <w:numPr>
          <w:ilvl w:val="0"/>
          <w:numId w:val="15"/>
        </w:numPr>
        <w:spacing w:line="360" w:lineRule="auto"/>
        <w:ind w:left="0" w:firstLine="0"/>
        <w:jc w:val="both"/>
        <w:rPr>
          <w:rFonts w:ascii="Palatino Linotype" w:hAnsi="Palatino Linotype"/>
          <w:color w:val="000000" w:themeColor="text1"/>
        </w:rPr>
      </w:pPr>
      <w:r w:rsidRPr="00AC2CF9">
        <w:rPr>
          <w:rFonts w:ascii="Palatino Linotype" w:hAnsi="Palatino Linotype" w:cs="Arial"/>
          <w:color w:val="000000" w:themeColor="text1"/>
        </w:rPr>
        <w:t xml:space="preserve">Las </w:t>
      </w:r>
      <w:r w:rsidRPr="00AC2CF9">
        <w:rPr>
          <w:rFonts w:ascii="Palatino Linotype" w:eastAsia="Batang" w:hAnsi="Palatino Linotype" w:cs="Arial"/>
          <w:color w:val="000000" w:themeColor="text1"/>
        </w:rPr>
        <w:t>consecuencias</w:t>
      </w:r>
      <w:r w:rsidRPr="00AC2CF9">
        <w:rPr>
          <w:rFonts w:ascii="Palatino Linotype" w:hAnsi="Palatino Linotype" w:cs="Arial"/>
          <w:color w:val="000000" w:themeColor="text1"/>
        </w:rPr>
        <w:t xml:space="preserve"> jurídicas de este desistimiento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porque se completó la misma </w:t>
      </w:r>
      <w:r w:rsidRPr="00AC2CF9">
        <w:rPr>
          <w:rFonts w:ascii="Palatino Linotype" w:hAnsi="Palatino Linotype" w:cs="Arial"/>
          <w:b/>
          <w:color w:val="000000" w:themeColor="text1"/>
        </w:rPr>
        <w:t>o bien porque el mismo se desiste</w:t>
      </w:r>
      <w:r w:rsidRPr="00AC2CF9">
        <w:rPr>
          <w:rFonts w:ascii="Palatino Linotype" w:hAnsi="Palatino Linotype" w:cs="Arial"/>
          <w:color w:val="000000" w:themeColor="text1"/>
        </w:rPr>
        <w:t>.</w:t>
      </w:r>
    </w:p>
    <w:p w:rsidR="00134CE6" w:rsidRPr="00AC2CF9" w:rsidRDefault="00134CE6" w:rsidP="00AC2CF9">
      <w:pPr>
        <w:pStyle w:val="Prrafodelista"/>
        <w:spacing w:line="360" w:lineRule="auto"/>
        <w:ind w:left="0"/>
        <w:jc w:val="both"/>
        <w:rPr>
          <w:rFonts w:ascii="Palatino Linotype" w:hAnsi="Palatino Linotype"/>
          <w:color w:val="000000" w:themeColor="text1"/>
        </w:rPr>
      </w:pPr>
    </w:p>
    <w:p w:rsidR="00134CE6" w:rsidRPr="00AC2CF9" w:rsidRDefault="00134CE6" w:rsidP="00AC2CF9">
      <w:pPr>
        <w:pStyle w:val="Prrafodelista"/>
        <w:numPr>
          <w:ilvl w:val="0"/>
          <w:numId w:val="15"/>
        </w:numPr>
        <w:spacing w:line="360" w:lineRule="auto"/>
        <w:ind w:left="0" w:firstLine="0"/>
        <w:jc w:val="both"/>
        <w:rPr>
          <w:rFonts w:ascii="Palatino Linotype" w:hAnsi="Palatino Linotype"/>
          <w:color w:val="000000" w:themeColor="text1"/>
        </w:rPr>
      </w:pPr>
      <w:r w:rsidRPr="00AC2CF9">
        <w:rPr>
          <w:rFonts w:ascii="Palatino Linotype" w:hAnsi="Palatino Linotype" w:cs="Arial"/>
          <w:color w:val="000000" w:themeColor="text1"/>
        </w:rPr>
        <w:t>Robustece lo anteriormente expuesto la Tesis Jurisprudencial</w:t>
      </w:r>
      <w:r w:rsidRPr="00AC2CF9">
        <w:rPr>
          <w:rStyle w:val="Refdenotaalpie"/>
          <w:rFonts w:ascii="Palatino Linotype" w:hAnsi="Palatino Linotype" w:cs="Arial"/>
          <w:color w:val="000000" w:themeColor="text1"/>
        </w:rPr>
        <w:footnoteReference w:id="1"/>
      </w:r>
      <w:r w:rsidRPr="00AC2CF9">
        <w:rPr>
          <w:rFonts w:ascii="Palatino Linotype" w:hAnsi="Palatino Linotype" w:cs="Arial"/>
          <w:color w:val="000000" w:themeColor="text1"/>
        </w:rPr>
        <w:t xml:space="preserve">  emitida por la Suprema Corte de Justicia de la Nación, a saber:</w:t>
      </w:r>
    </w:p>
    <w:p w:rsidR="003A06E6" w:rsidRPr="00583A43" w:rsidRDefault="003A06E6" w:rsidP="00AC2CF9">
      <w:pPr>
        <w:pStyle w:val="Prrafodelista"/>
        <w:spacing w:line="360" w:lineRule="auto"/>
        <w:rPr>
          <w:rFonts w:ascii="Palatino Linotype" w:hAnsi="Palatino Linotype"/>
          <w:color w:val="000000" w:themeColor="text1"/>
          <w:sz w:val="22"/>
        </w:rPr>
      </w:pPr>
    </w:p>
    <w:p w:rsidR="00134CE6" w:rsidRDefault="00134CE6" w:rsidP="00AC2CF9">
      <w:pPr>
        <w:pStyle w:val="Prrafodelista"/>
        <w:spacing w:line="360" w:lineRule="auto"/>
        <w:ind w:left="567" w:right="567"/>
        <w:jc w:val="both"/>
        <w:rPr>
          <w:rFonts w:ascii="Palatino Linotype" w:hAnsi="Palatino Linotype"/>
          <w:i/>
          <w:color w:val="000000" w:themeColor="text1"/>
          <w:sz w:val="22"/>
        </w:rPr>
      </w:pPr>
      <w:r w:rsidRPr="00583A43">
        <w:rPr>
          <w:rFonts w:ascii="Palatino Linotype" w:hAnsi="Palatino Linotype"/>
          <w:b/>
          <w:i/>
          <w:color w:val="000000" w:themeColor="text1"/>
          <w:sz w:val="22"/>
        </w:rPr>
        <w:t>DESISTIMIENTO DE LA INSTANCIA. SURTE EFECTOS DESDE EL MOMENTO EN QUE SE PRESENTA EL ESCRITO CORRESPONDIENTE.</w:t>
      </w:r>
      <w:r w:rsidRPr="00583A43">
        <w:rPr>
          <w:rFonts w:ascii="Palatino Linotype" w:hAnsi="Palatino Linotype"/>
          <w:i/>
          <w:color w:val="000000" w:themeColor="text1"/>
          <w:sz w:val="22"/>
        </w:rPr>
        <w:t xml:space="preserve"> Los órganos jurisdiccionales tienen conocimiento de las pretensiones de las partes sólo a partir de que la promoción respectiva es presentada y, en tal virtud, en ese momento surge la obligación de atender la petición correspondiente. Por ello, puede considerarse que las promociones de las partes surten efecto desde el momento en que se presentan y </w:t>
      </w:r>
      <w:r w:rsidRPr="00583A43">
        <w:rPr>
          <w:rFonts w:ascii="Palatino Linotype" w:hAnsi="Palatino Linotype"/>
          <w:i/>
          <w:color w:val="000000" w:themeColor="text1"/>
          <w:sz w:val="22"/>
        </w:rPr>
        <w:lastRenderedPageBreak/>
        <w:t>no hasta que son acordadas por el tribunal o hasta que se notifique a la contraparte el acuerdo respectivo. De esta manera, cuando se presenta el escrito de desistimiento de la instancia, se hace saber al juzgador la intención del actor de destruir los efectos jurídicos generados con la demanda, y como el efecto que produce el desistimiento es que las cosas vuelvan al estado que tenían antes de su presentación, desde ese momento desaparece cualquier efecto jurídico que pudiera haberse generado con la demanda, esto es, todos los derechos y las obligaciones derivados de la manifestación de la voluntad de demandar se destruyen, como si nunca se hubiera presentado la demanda ni hubiera existido el juicio; ello con independencia de que exija la ratificación de la mencionada promoción y ésta se haga con posterioridad, ya que en estos casos, por igualdad de razón, los efectos del desistimiento se retrotraen a la fecha de presentación del escrito ante la autoridad jurisdiccional. Contradicción de tesis 155/2004-PS.—Entre las sustentadas por el Séptimo Tribunal Colegiado en Materia Civil del Primer Circuito y el Tercer Tribunal Colegiado del Sexto Circuito, actualmente en Materia Civil.—20 de abril de 2005.—Cinco votos.—Ponente: José Ramón Cossío Díaz.—Secretario: Fernando A. Casasola Mendoza. Tesis de jurisprudencia 65/2005. Aprobada por la Primera Sala de este Alto Tribunal, en sesión de fecha primero de junio de dos mil cinco. Semanario Judicial de la Federación y su Gaceta, Novena Época, Tomo XXII, julio de 2005, página 161, Primera Sala, tesis 1a./J. 65/2005; véase ejecutoria en el Semanario Judicial de la Federación y su Gaceta, Novena Época, Tomo XXII, julio de 2005, página 146.</w:t>
      </w:r>
    </w:p>
    <w:p w:rsidR="00583A43" w:rsidRPr="00583A43" w:rsidRDefault="00583A43" w:rsidP="00AC2CF9">
      <w:pPr>
        <w:pStyle w:val="Prrafodelista"/>
        <w:spacing w:line="360" w:lineRule="auto"/>
        <w:ind w:left="567" w:right="567"/>
        <w:jc w:val="both"/>
        <w:rPr>
          <w:rFonts w:ascii="Palatino Linotype" w:hAnsi="Palatino Linotype"/>
          <w:i/>
          <w:color w:val="000000" w:themeColor="text1"/>
          <w:sz w:val="22"/>
        </w:rPr>
      </w:pPr>
    </w:p>
    <w:p w:rsidR="00134CE6" w:rsidRPr="00AC2CF9" w:rsidRDefault="00134CE6" w:rsidP="00AC2CF9">
      <w:pPr>
        <w:pStyle w:val="Prrafodelista"/>
        <w:numPr>
          <w:ilvl w:val="0"/>
          <w:numId w:val="15"/>
        </w:numPr>
        <w:spacing w:line="360" w:lineRule="auto"/>
        <w:ind w:left="0" w:firstLine="0"/>
        <w:jc w:val="both"/>
        <w:rPr>
          <w:rFonts w:ascii="Palatino Linotype" w:hAnsi="Palatino Linotype"/>
          <w:color w:val="000000" w:themeColor="text1"/>
        </w:rPr>
      </w:pPr>
      <w:r w:rsidRPr="00AC2CF9">
        <w:rPr>
          <w:rFonts w:ascii="Palatino Linotype" w:hAnsi="Palatino Linotype" w:cs="Arial"/>
          <w:color w:val="000000" w:themeColor="text1"/>
        </w:rPr>
        <w:t xml:space="preserve">No se omite señalar que el desistimiento fue efectuado </w:t>
      </w:r>
      <w:r w:rsidRPr="00AC2CF9">
        <w:rPr>
          <w:rFonts w:ascii="Palatino Linotype" w:eastAsia="MS Mincho" w:hAnsi="Palatino Linotype" w:cs="Arial"/>
          <w:color w:val="000000" w:themeColor="text1"/>
        </w:rPr>
        <w:t xml:space="preserve">con el uso de programas y herramientas tecnológicas de fácil acceso; es decir, mediante plataformas de </w:t>
      </w:r>
      <w:r w:rsidRPr="00AC2CF9">
        <w:rPr>
          <w:rFonts w:ascii="Palatino Linotype" w:hAnsi="Palatino Linotype" w:cs="Arial"/>
          <w:color w:val="000000" w:themeColor="text1"/>
        </w:rPr>
        <w:t>internet</w:t>
      </w:r>
      <w:r w:rsidRPr="00AC2CF9">
        <w:rPr>
          <w:rFonts w:ascii="Palatino Linotype" w:eastAsia="MS Mincho" w:hAnsi="Palatino Linotype" w:cs="Arial"/>
          <w:color w:val="000000" w:themeColor="text1"/>
        </w:rPr>
        <w:t xml:space="preserve"> como el Sistema de Acceso a la Información Mexiquense (</w:t>
      </w:r>
      <w:r w:rsidRPr="00AC2CF9">
        <w:rPr>
          <w:rFonts w:ascii="Palatino Linotype" w:eastAsia="MS Mincho" w:hAnsi="Palatino Linotype" w:cs="Arial"/>
          <w:b/>
          <w:color w:val="000000" w:themeColor="text1"/>
        </w:rPr>
        <w:t>SAIMEX</w:t>
      </w:r>
      <w:r w:rsidRPr="00AC2CF9">
        <w:rPr>
          <w:rFonts w:ascii="Palatino Linotype" w:eastAsia="MS Mincho" w:hAnsi="Palatino Linotype" w:cs="Arial"/>
          <w:color w:val="000000" w:themeColor="text1"/>
        </w:rPr>
        <w:t xml:space="preserve">), a través del cual se puede acceder a la información pública, lo que permite ejercer este derecho fundamental así como recibir la información solicitada </w:t>
      </w:r>
      <w:r w:rsidRPr="00AC2CF9">
        <w:rPr>
          <w:rFonts w:ascii="Palatino Linotype" w:eastAsia="MS Mincho" w:hAnsi="Palatino Linotype" w:cs="Arial"/>
          <w:color w:val="000000" w:themeColor="text1"/>
        </w:rPr>
        <w:lastRenderedPageBreak/>
        <w:t>y del mismo modo, a través de este sistema electrónico se pueden presentar las inconformidades ante el órgano garante quien resolverá en definitiva o bien el particular podrá desistirse de las mismas.</w:t>
      </w:r>
    </w:p>
    <w:p w:rsidR="00134CE6" w:rsidRPr="00AC2CF9" w:rsidRDefault="00134CE6" w:rsidP="00AC2CF9">
      <w:pPr>
        <w:pStyle w:val="Prrafodelista"/>
        <w:spacing w:line="360" w:lineRule="auto"/>
        <w:ind w:left="0"/>
        <w:jc w:val="both"/>
        <w:rPr>
          <w:rFonts w:ascii="Palatino Linotype" w:hAnsi="Palatino Linotype"/>
          <w:color w:val="000000" w:themeColor="text1"/>
        </w:rPr>
      </w:pPr>
    </w:p>
    <w:p w:rsidR="00134CE6" w:rsidRPr="00AC2CF9" w:rsidRDefault="00134CE6" w:rsidP="00AC2CF9">
      <w:pPr>
        <w:pStyle w:val="Prrafodelista"/>
        <w:numPr>
          <w:ilvl w:val="0"/>
          <w:numId w:val="15"/>
        </w:numPr>
        <w:spacing w:line="360" w:lineRule="auto"/>
        <w:ind w:left="0" w:firstLine="0"/>
        <w:jc w:val="both"/>
        <w:rPr>
          <w:rFonts w:ascii="Palatino Linotype" w:hAnsi="Palatino Linotype"/>
          <w:color w:val="000000" w:themeColor="text1"/>
        </w:rPr>
      </w:pPr>
      <w:r w:rsidRPr="00AC2CF9">
        <w:rPr>
          <w:rFonts w:ascii="Palatino Linotype" w:hAnsi="Palatino Linotype"/>
          <w:color w:val="000000" w:themeColor="text1"/>
        </w:rPr>
        <w:t xml:space="preserve">Bajo esa tesitura al tratarse de una plataforma fidedigna creada por éste Órgano </w:t>
      </w:r>
      <w:r w:rsidRPr="00AC2CF9">
        <w:rPr>
          <w:rFonts w:ascii="Palatino Linotype" w:hAnsi="Palatino Linotype" w:cs="Arial"/>
          <w:color w:val="000000" w:themeColor="text1"/>
        </w:rPr>
        <w:t>Garante</w:t>
      </w:r>
      <w:r w:rsidRPr="00AC2CF9">
        <w:rPr>
          <w:rFonts w:ascii="Palatino Linotype" w:hAnsi="Palatino Linotype"/>
          <w:color w:val="000000" w:themeColor="text1"/>
        </w:rPr>
        <w:t xml:space="preserve"> para llevar a cabo de manera fácil y sencilla todo el procedimiento de acceso a la información pública integrado por varias etapas entre las cuales se encuentran: solicitar información pública, otorgar respuesta, interponer recursos de revisión, presentar pruebas y alegatos, rendir informe justificado, así como notificar resoluciones; las constancias que obran en autos a través del expediente electrónico constituyen un hecho notorio, </w:t>
      </w:r>
      <w:r w:rsidRPr="00AC2CF9">
        <w:rPr>
          <w:rFonts w:ascii="Palatino Linotype" w:hAnsi="Palatino Linotype" w:cs="Arial"/>
          <w:bCs/>
          <w:color w:val="000000" w:themeColor="text1"/>
          <w:lang w:val="es-MX"/>
        </w:rPr>
        <w:t xml:space="preserve">Sirven de apoyo a lo anterior </w:t>
      </w:r>
      <w:r w:rsidRPr="00AC2CF9">
        <w:rPr>
          <w:rFonts w:ascii="Palatino Linotype" w:hAnsi="Palatino Linotype" w:cs="Arial"/>
          <w:color w:val="000000" w:themeColor="text1"/>
          <w:lang w:val="es-MX"/>
        </w:rPr>
        <w:t>las siguiente tesis aisladas:</w:t>
      </w:r>
      <w:r w:rsidRPr="00AC2CF9">
        <w:rPr>
          <w:rFonts w:ascii="Palatino Linotype" w:hAnsi="Palatino Linotype" w:cs="Arial"/>
          <w:bCs/>
          <w:color w:val="000000" w:themeColor="text1"/>
          <w:lang w:val="es-MX"/>
        </w:rPr>
        <w:t xml:space="preserve"> </w:t>
      </w:r>
    </w:p>
    <w:p w:rsidR="00134CE6" w:rsidRPr="00583A43" w:rsidRDefault="00134CE6" w:rsidP="00AC2CF9">
      <w:pPr>
        <w:pStyle w:val="Prrafodelista"/>
        <w:spacing w:line="360" w:lineRule="auto"/>
        <w:ind w:left="0"/>
        <w:jc w:val="both"/>
        <w:rPr>
          <w:rFonts w:ascii="Palatino Linotype" w:hAnsi="Palatino Linotype"/>
          <w:color w:val="000000" w:themeColor="text1"/>
          <w:sz w:val="22"/>
        </w:rPr>
      </w:pPr>
    </w:p>
    <w:p w:rsidR="00134CE6" w:rsidRPr="00583A43" w:rsidRDefault="00134CE6" w:rsidP="00AC2CF9">
      <w:pPr>
        <w:widowControl w:val="0"/>
        <w:shd w:val="clear" w:color="auto" w:fill="FFFFFF"/>
        <w:spacing w:line="360" w:lineRule="auto"/>
        <w:ind w:left="567" w:right="567"/>
        <w:jc w:val="both"/>
        <w:rPr>
          <w:rFonts w:ascii="Palatino Linotype" w:hAnsi="Palatino Linotype"/>
          <w:i/>
          <w:color w:val="000000" w:themeColor="text1"/>
          <w:sz w:val="22"/>
        </w:rPr>
      </w:pPr>
      <w:r w:rsidRPr="00583A43">
        <w:rPr>
          <w:rFonts w:ascii="Palatino Linotype" w:hAnsi="Palatino Linotype"/>
          <w:b/>
          <w:i/>
          <w:color w:val="000000" w:themeColor="text1"/>
          <w:sz w:val="22"/>
        </w:rPr>
        <w:t>PÁGINAS WEB O ELECTRÓNICAS. SU CONTENIDO ES UN HECHO NOTORIO Y SUSCEPTIBLE DE SER VALORADO EN UNA DECISIÓN JUDICIAL.</w:t>
      </w:r>
      <w:r w:rsidRPr="00583A43">
        <w:rPr>
          <w:rFonts w:ascii="Palatino Linotype" w:hAnsi="Palatino Linotype"/>
          <w:color w:val="000000" w:themeColor="text1"/>
          <w:sz w:val="22"/>
        </w:rPr>
        <w:t xml:space="preserve"> </w:t>
      </w:r>
      <w:r w:rsidRPr="00583A43">
        <w:rPr>
          <w:rFonts w:ascii="Palatino Linotype" w:hAnsi="Palatino Linotype"/>
          <w:i/>
          <w:color w:val="000000" w:themeColor="text1"/>
          <w:sz w:val="22"/>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w:t>
      </w:r>
      <w:r w:rsidRPr="00583A43">
        <w:rPr>
          <w:rFonts w:ascii="Palatino Linotype" w:hAnsi="Palatino Linotype"/>
          <w:i/>
          <w:color w:val="000000" w:themeColor="text1"/>
          <w:sz w:val="22"/>
        </w:rPr>
        <w:lastRenderedPageBreak/>
        <w:t xml:space="preserve">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TERCER TRIBUNAL COLEGIADO EN MATERIA CIVIL DEL PRIMER CIRCUITO. Amparo en revisión 365/2012. Mardygras, S.A. de C.V. 7 de diciembre de 2012. Unanimidad de votos. Ponente: Neófito López Ramos. Secretaria: Ana Lilia Osorno Arroyo. </w:t>
      </w:r>
    </w:p>
    <w:p w:rsidR="00134CE6" w:rsidRPr="00583A43" w:rsidRDefault="00134CE6" w:rsidP="00AC2CF9">
      <w:pPr>
        <w:pStyle w:val="Prrafodelista"/>
        <w:widowControl w:val="0"/>
        <w:shd w:val="clear" w:color="auto" w:fill="FFFFFF"/>
        <w:spacing w:line="360" w:lineRule="auto"/>
        <w:ind w:left="567" w:right="567"/>
        <w:jc w:val="both"/>
        <w:rPr>
          <w:rFonts w:ascii="Palatino Linotype" w:hAnsi="Palatino Linotype"/>
          <w:b/>
          <w:i/>
          <w:color w:val="000000" w:themeColor="text1"/>
          <w:sz w:val="22"/>
        </w:rPr>
      </w:pPr>
    </w:p>
    <w:p w:rsidR="00134CE6" w:rsidRPr="00583A43" w:rsidRDefault="00134CE6" w:rsidP="00AC2CF9">
      <w:pPr>
        <w:pStyle w:val="Prrafodelista"/>
        <w:widowControl w:val="0"/>
        <w:shd w:val="clear" w:color="auto" w:fill="FFFFFF"/>
        <w:spacing w:line="360" w:lineRule="auto"/>
        <w:ind w:left="567" w:right="567"/>
        <w:jc w:val="both"/>
        <w:rPr>
          <w:rFonts w:ascii="Palatino Linotype" w:hAnsi="Palatino Linotype"/>
          <w:i/>
          <w:color w:val="000000" w:themeColor="text1"/>
          <w:sz w:val="22"/>
        </w:rPr>
      </w:pPr>
      <w:r w:rsidRPr="00583A43">
        <w:rPr>
          <w:rFonts w:ascii="Palatino Linotype" w:hAnsi="Palatino Linotype"/>
          <w:b/>
          <w:i/>
          <w:color w:val="000000" w:themeColor="text1"/>
          <w:sz w:val="22"/>
        </w:rPr>
        <w:t>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w:t>
      </w:r>
      <w:r w:rsidRPr="00583A43">
        <w:rPr>
          <w:rFonts w:ascii="Palatino Linotype" w:hAnsi="Palatino Linotype"/>
          <w:i/>
          <w:color w:val="000000" w:themeColor="text1"/>
          <w:sz w:val="22"/>
        </w:rPr>
        <w:t xml:space="preserve"> Los datos que aparecen en las páginas electrónicas oficiales que los órganos de gobierno utilizan para poner a disposición del público, entre otros servicios, la descripción de sus plazas, el directorio de sus empleados o el estado que guardan sus expedientes, constituyen Tesis: XX.2o. J/24 Semanario Judicial de la Federación y su Gaceta Novena Época 168124 75 de 163 Tribunales Colegiados de Circuito Tomo XXIX, Enero de 2009 Pag. 2470 Jurisprudencia(Común) un hecho notorio que puede invocarse por los tribunales, en términos del artículo 88 del Código Federal de Procedimientos Civiles, de aplicación </w:t>
      </w:r>
      <w:r w:rsidRPr="00583A43">
        <w:rPr>
          <w:rFonts w:ascii="Palatino Linotype" w:hAnsi="Palatino Linotype"/>
          <w:i/>
          <w:color w:val="000000" w:themeColor="text1"/>
          <w:sz w:val="22"/>
        </w:rPr>
        <w:lastRenderedPageBreak/>
        <w:t>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w:t>
      </w:r>
      <w:r w:rsidR="003A06E6" w:rsidRPr="00583A43">
        <w:rPr>
          <w:rFonts w:ascii="Palatino Linotype" w:hAnsi="Palatino Linotype"/>
          <w:i/>
          <w:color w:val="000000" w:themeColor="text1"/>
          <w:sz w:val="22"/>
        </w:rPr>
        <w:t>solver un asunto en particular.</w:t>
      </w:r>
    </w:p>
    <w:p w:rsidR="003A06E6" w:rsidRPr="00583A43" w:rsidRDefault="003A06E6" w:rsidP="00AC2CF9">
      <w:pPr>
        <w:pStyle w:val="Prrafodelista"/>
        <w:widowControl w:val="0"/>
        <w:shd w:val="clear" w:color="auto" w:fill="FFFFFF"/>
        <w:spacing w:line="360" w:lineRule="auto"/>
        <w:ind w:left="567" w:right="567"/>
        <w:jc w:val="both"/>
        <w:rPr>
          <w:rFonts w:ascii="Palatino Linotype" w:hAnsi="Palatino Linotype"/>
          <w:i/>
          <w:color w:val="000000" w:themeColor="text1"/>
          <w:sz w:val="22"/>
        </w:rPr>
      </w:pPr>
    </w:p>
    <w:p w:rsidR="00134CE6" w:rsidRPr="00AC2CF9" w:rsidRDefault="00134CE6" w:rsidP="00AC2CF9">
      <w:pPr>
        <w:pStyle w:val="Prrafodelista"/>
        <w:numPr>
          <w:ilvl w:val="0"/>
          <w:numId w:val="15"/>
        </w:numPr>
        <w:spacing w:line="360" w:lineRule="auto"/>
        <w:ind w:left="0" w:firstLine="0"/>
        <w:jc w:val="both"/>
        <w:rPr>
          <w:rFonts w:ascii="Palatino Linotype" w:hAnsi="Palatino Linotype"/>
          <w:color w:val="000000" w:themeColor="text1"/>
        </w:rPr>
      </w:pPr>
      <w:r w:rsidRPr="00AC2CF9">
        <w:rPr>
          <w:rFonts w:ascii="Palatino Linotype" w:eastAsia="Calibri" w:hAnsi="Palatino Linotype" w:cs="Times New Roman"/>
          <w:color w:val="000000" w:themeColor="text1"/>
        </w:rPr>
        <w:t xml:space="preserve">Por otra </w:t>
      </w:r>
      <w:r w:rsidRPr="00AC2CF9">
        <w:rPr>
          <w:rFonts w:ascii="Palatino Linotype" w:hAnsi="Palatino Linotype"/>
          <w:color w:val="000000" w:themeColor="text1"/>
        </w:rPr>
        <w:t>parte</w:t>
      </w:r>
      <w:r w:rsidRPr="00AC2CF9">
        <w:rPr>
          <w:rFonts w:ascii="Palatino Linotype" w:eastAsia="Calibri" w:hAnsi="Palatino Linotype" w:cs="Times New Roman"/>
          <w:color w:val="000000" w:themeColor="text1"/>
        </w:rPr>
        <w:t xml:space="preserve"> para que se actualice el sobreseimiento de un recurso de revisión, el </w:t>
      </w:r>
      <w:r w:rsidRPr="00AC2CF9">
        <w:rPr>
          <w:rFonts w:ascii="Palatino Linotype" w:eastAsia="Calibri" w:hAnsi="Palatino Linotype" w:cs="Times New Roman"/>
          <w:b/>
          <w:color w:val="000000" w:themeColor="text1"/>
        </w:rPr>
        <w:t>SUJETO OBLIGADO</w:t>
      </w:r>
      <w:r w:rsidRPr="00AC2CF9">
        <w:rPr>
          <w:rFonts w:ascii="Palatino Linotype" w:eastAsia="Calibri" w:hAnsi="Palatino Linotype" w:cs="Times New Roman"/>
          <w:color w:val="000000" w:themeColor="text1"/>
        </w:rPr>
        <w:t xml:space="preserve"> puede entregar o completar la información al momento de rendir su informe justificado o dentro de los siete días previstos para manifestar lo que a su derecho convenga, lo anterior también puede ocurrir si entrega la información después de ese lapso pero antes del cierre de instrucción, o bien si el particular </w:t>
      </w:r>
      <w:r w:rsidRPr="00AC2CF9">
        <w:rPr>
          <w:rFonts w:ascii="Palatino Linotype" w:eastAsia="Calibri" w:hAnsi="Palatino Linotype" w:cs="Times New Roman"/>
          <w:b/>
          <w:color w:val="000000" w:themeColor="text1"/>
          <w:u w:val="single"/>
        </w:rPr>
        <w:t xml:space="preserve">se desiste </w:t>
      </w:r>
      <w:r w:rsidRPr="00AC2CF9">
        <w:rPr>
          <w:rFonts w:ascii="Palatino Linotype" w:eastAsia="Calibri" w:hAnsi="Palatino Linotype" w:cs="Times New Roman"/>
          <w:color w:val="000000" w:themeColor="text1"/>
        </w:rPr>
        <w:t>o fallece.</w:t>
      </w:r>
    </w:p>
    <w:p w:rsidR="00531473" w:rsidRPr="00AC2CF9" w:rsidRDefault="00531473" w:rsidP="00AC2CF9">
      <w:pPr>
        <w:pStyle w:val="Prrafodelista"/>
        <w:spacing w:line="360" w:lineRule="auto"/>
        <w:ind w:left="0"/>
        <w:jc w:val="both"/>
        <w:rPr>
          <w:rFonts w:ascii="Palatino Linotype" w:hAnsi="Palatino Linotype"/>
          <w:color w:val="000000" w:themeColor="text1"/>
        </w:rPr>
      </w:pPr>
    </w:p>
    <w:p w:rsidR="00134CE6" w:rsidRPr="00AC2CF9" w:rsidRDefault="00134CE6" w:rsidP="00AC2CF9">
      <w:pPr>
        <w:pStyle w:val="Prrafodelista"/>
        <w:numPr>
          <w:ilvl w:val="0"/>
          <w:numId w:val="15"/>
        </w:numPr>
        <w:spacing w:line="360" w:lineRule="auto"/>
        <w:ind w:left="0" w:firstLine="0"/>
        <w:jc w:val="both"/>
        <w:rPr>
          <w:rFonts w:ascii="Palatino Linotype" w:hAnsi="Palatino Linotype"/>
          <w:color w:val="000000" w:themeColor="text1"/>
        </w:rPr>
      </w:pPr>
      <w:r w:rsidRPr="00AC2CF9">
        <w:rPr>
          <w:rFonts w:ascii="Palatino Linotype" w:eastAsia="Batang" w:hAnsi="Palatino Linotype" w:cs="Arial"/>
          <w:color w:val="000000" w:themeColor="text1"/>
        </w:rPr>
        <w:t xml:space="preserve">Además, de acuerdo con el procesalista Niceto Alcalá-Zamora y Castillo en su obra </w:t>
      </w:r>
      <w:r w:rsidRPr="00AC2CF9">
        <w:rPr>
          <w:rFonts w:ascii="Palatino Linotype" w:eastAsia="Batang" w:hAnsi="Palatino Linotype" w:cs="Arial"/>
          <w:i/>
          <w:color w:val="000000" w:themeColor="text1"/>
        </w:rPr>
        <w:t>“</w:t>
      </w:r>
      <w:r w:rsidRPr="00AC2CF9">
        <w:rPr>
          <w:rFonts w:ascii="Palatino Linotype" w:eastAsia="Calibri" w:hAnsi="Palatino Linotype" w:cs="Times New Roman"/>
          <w:color w:val="000000" w:themeColor="text1"/>
        </w:rPr>
        <w:t>Cuestiones</w:t>
      </w:r>
      <w:r w:rsidRPr="00AC2CF9">
        <w:rPr>
          <w:rFonts w:ascii="Palatino Linotype" w:eastAsia="Batang" w:hAnsi="Palatino Linotype" w:cs="Arial"/>
          <w:i/>
          <w:color w:val="000000" w:themeColor="text1"/>
        </w:rPr>
        <w:t xml:space="preserve"> de Terminología Procesal”</w:t>
      </w:r>
      <w:r w:rsidRPr="00AC2CF9">
        <w:rPr>
          <w:rFonts w:ascii="Palatino Linotype" w:eastAsia="Batang" w:hAnsi="Palatino Linotype" w:cs="Arial"/>
          <w:color w:val="000000" w:themeColor="text1"/>
        </w:rPr>
        <w:t xml:space="preserve">, el sobreseimiento es </w:t>
      </w:r>
      <w:r w:rsidRPr="00AC2CF9">
        <w:rPr>
          <w:rFonts w:ascii="Palatino Linotype" w:eastAsia="Batang" w:hAnsi="Palatino Linotype" w:cs="Arial"/>
          <w:i/>
          <w:color w:val="000000" w:themeColor="text1"/>
        </w:rPr>
        <w:t>“... una resolución en forma de auto, que produce la suspensión indefinida del procedimiento penal, o que pone fin al proceso, impidiendo en ambos casos, mientras subsista, la apertura del plenario o que en él se pronuncie sentencia...”.</w:t>
      </w:r>
    </w:p>
    <w:p w:rsidR="00134CE6" w:rsidRPr="00AC2CF9" w:rsidRDefault="00134CE6" w:rsidP="00AC2CF9">
      <w:pPr>
        <w:pStyle w:val="Prrafodelista"/>
        <w:spacing w:line="360" w:lineRule="auto"/>
        <w:ind w:left="0"/>
        <w:jc w:val="both"/>
        <w:rPr>
          <w:rFonts w:ascii="Palatino Linotype" w:hAnsi="Palatino Linotype"/>
          <w:color w:val="000000" w:themeColor="text1"/>
        </w:rPr>
      </w:pPr>
    </w:p>
    <w:p w:rsidR="00134CE6" w:rsidRPr="00AC2CF9" w:rsidRDefault="00134CE6" w:rsidP="00AC2CF9">
      <w:pPr>
        <w:pStyle w:val="Prrafodelista"/>
        <w:numPr>
          <w:ilvl w:val="0"/>
          <w:numId w:val="15"/>
        </w:numPr>
        <w:spacing w:line="360" w:lineRule="auto"/>
        <w:ind w:left="0" w:firstLine="0"/>
        <w:jc w:val="both"/>
        <w:rPr>
          <w:rFonts w:ascii="Palatino Linotype" w:hAnsi="Palatino Linotype"/>
          <w:color w:val="000000" w:themeColor="text1"/>
        </w:rPr>
      </w:pPr>
      <w:r w:rsidRPr="00AC2CF9">
        <w:rPr>
          <w:rFonts w:ascii="Palatino Linotype" w:eastAsia="Batang" w:hAnsi="Palatino Linotype" w:cs="Arial"/>
          <w:color w:val="000000" w:themeColor="text1"/>
        </w:rPr>
        <w:t xml:space="preserve">Eduardo Pallares, en su artículo </w:t>
      </w:r>
      <w:r w:rsidRPr="00AC2CF9">
        <w:rPr>
          <w:rFonts w:ascii="Palatino Linotype" w:eastAsia="Batang" w:hAnsi="Palatino Linotype" w:cs="Arial"/>
          <w:i/>
          <w:color w:val="000000" w:themeColor="text1"/>
        </w:rPr>
        <w:t>“La caducidad y el sobreseimiento en el amparo”</w:t>
      </w:r>
      <w:r w:rsidRPr="00AC2CF9">
        <w:rPr>
          <w:rFonts w:ascii="Palatino Linotype" w:eastAsia="Batang" w:hAnsi="Palatino Linotype" w:cs="Arial"/>
          <w:color w:val="000000" w:themeColor="text1"/>
        </w:rPr>
        <w:t xml:space="preserve">, cita la definición de Aguilera Paz, aduciendo que se </w:t>
      </w:r>
      <w:r w:rsidRPr="00AC2CF9">
        <w:rPr>
          <w:rFonts w:ascii="Palatino Linotype" w:eastAsia="Batang" w:hAnsi="Palatino Linotype" w:cs="Arial"/>
          <w:i/>
          <w:color w:val="000000" w:themeColor="text1"/>
        </w:rPr>
        <w:t>“...entiende por sobreseimiento en el tecnicismo forense, el hecho de cesar en el procedimiento o curso de la causa, por no existir méritos bastantes para entrar en un juicio o para entablar la contienda judicial que debe ser objeto del mismo...”</w:t>
      </w:r>
      <w:r w:rsidRPr="00AC2CF9">
        <w:rPr>
          <w:rFonts w:ascii="Palatino Linotype" w:eastAsia="Batang" w:hAnsi="Palatino Linotype" w:cs="Arial"/>
          <w:color w:val="000000" w:themeColor="text1"/>
        </w:rPr>
        <w:t xml:space="preserve">. Asimismo señala que existe el sobreseimiento provisional y el </w:t>
      </w:r>
      <w:r w:rsidRPr="00AC2CF9">
        <w:rPr>
          <w:rFonts w:ascii="Palatino Linotype" w:eastAsia="Batang" w:hAnsi="Palatino Linotype" w:cs="Arial"/>
          <w:color w:val="000000" w:themeColor="text1"/>
        </w:rPr>
        <w:lastRenderedPageBreak/>
        <w:t>definitivo</w:t>
      </w:r>
      <w:r w:rsidRPr="00AC2CF9">
        <w:rPr>
          <w:rFonts w:ascii="Palatino Linotype" w:eastAsia="Batang" w:hAnsi="Palatino Linotype" w:cs="Arial"/>
          <w:i/>
          <w:color w:val="000000" w:themeColor="text1"/>
        </w:rPr>
        <w:t>: “...el definitivo es una verdadera sentencia que pone fin al juicio, y que una vez dictada, produce cosa juzgada, mientras que el provisorio tiene por efectos suspender la prosecución de la causa...”</w:t>
      </w:r>
    </w:p>
    <w:p w:rsidR="00134CE6" w:rsidRPr="00AC2CF9" w:rsidRDefault="00134CE6" w:rsidP="00AC2CF9">
      <w:pPr>
        <w:pStyle w:val="Prrafodelista"/>
        <w:spacing w:line="360" w:lineRule="auto"/>
        <w:ind w:left="0"/>
        <w:jc w:val="both"/>
        <w:rPr>
          <w:rFonts w:ascii="Palatino Linotype" w:hAnsi="Palatino Linotype"/>
          <w:color w:val="000000" w:themeColor="text1"/>
        </w:rPr>
      </w:pPr>
    </w:p>
    <w:p w:rsidR="00134CE6" w:rsidRPr="00AC2CF9" w:rsidRDefault="00134CE6" w:rsidP="00AC2CF9">
      <w:pPr>
        <w:pStyle w:val="Prrafodelista"/>
        <w:numPr>
          <w:ilvl w:val="0"/>
          <w:numId w:val="15"/>
        </w:numPr>
        <w:spacing w:line="360" w:lineRule="auto"/>
        <w:ind w:left="0" w:firstLine="0"/>
        <w:jc w:val="both"/>
        <w:rPr>
          <w:rFonts w:ascii="Palatino Linotype" w:hAnsi="Palatino Linotype"/>
          <w:color w:val="000000" w:themeColor="text1"/>
        </w:rPr>
      </w:pPr>
      <w:r w:rsidRPr="00AC2CF9">
        <w:rPr>
          <w:rFonts w:ascii="Palatino Linotype" w:eastAsia="Batang" w:hAnsi="Palatino Linotype" w:cs="Arial"/>
          <w:color w:val="000000" w:themeColor="text1"/>
        </w:rPr>
        <w:t xml:space="preserve">Así, para la doctrina el sobreseimiento provoca que un procedimiento se suspenda o se resuelva en definitiva </w:t>
      </w:r>
      <w:r w:rsidRPr="00AC2CF9">
        <w:rPr>
          <w:rFonts w:ascii="Palatino Linotype" w:eastAsia="Batang" w:hAnsi="Palatino Linotype" w:cs="Arial"/>
          <w:b/>
          <w:color w:val="000000" w:themeColor="text1"/>
          <w:u w:val="single"/>
        </w:rPr>
        <w:t>sin que se entre al estudio de los agravios o motivos de inconformidad.</w:t>
      </w:r>
      <w:r w:rsidRPr="00AC2CF9">
        <w:rPr>
          <w:rFonts w:ascii="Palatino Linotype" w:eastAsia="Batang" w:hAnsi="Palatino Linotype" w:cs="Arial"/>
          <w:b/>
          <w:color w:val="000000" w:themeColor="text1"/>
        </w:rPr>
        <w:t xml:space="preserve"> </w:t>
      </w:r>
      <w:r w:rsidRPr="00AC2CF9">
        <w:rPr>
          <w:rFonts w:ascii="Palatino Linotype" w:eastAsia="Batang" w:hAnsi="Palatino Linotype" w:cs="Arial"/>
          <w:color w:val="000000" w:themeColor="text1"/>
        </w:rPr>
        <w:t>Este mismo criterio es compartido por el más alto tribunal del país en múltiples jurisprudencias, por lo que a continuación se agrega una de ellas que sirve como orientador en esta resolución:</w:t>
      </w:r>
    </w:p>
    <w:p w:rsidR="00134CE6" w:rsidRPr="00583A43" w:rsidRDefault="00134CE6" w:rsidP="00AC2CF9">
      <w:pPr>
        <w:pStyle w:val="Prrafodelista"/>
        <w:spacing w:line="360" w:lineRule="auto"/>
        <w:ind w:left="0" w:right="49"/>
        <w:jc w:val="both"/>
        <w:rPr>
          <w:rFonts w:ascii="Palatino Linotype" w:hAnsi="Palatino Linotype"/>
          <w:color w:val="000000" w:themeColor="text1"/>
          <w:sz w:val="22"/>
        </w:rPr>
      </w:pPr>
    </w:p>
    <w:p w:rsidR="00134CE6" w:rsidRPr="00583A43" w:rsidRDefault="00134CE6" w:rsidP="00AC2CF9">
      <w:pPr>
        <w:pStyle w:val="Prrafodelista"/>
        <w:spacing w:line="360" w:lineRule="auto"/>
        <w:ind w:left="567" w:right="616"/>
        <w:jc w:val="both"/>
        <w:rPr>
          <w:rFonts w:ascii="Palatino Linotype" w:hAnsi="Palatino Linotype"/>
          <w:color w:val="000000" w:themeColor="text1"/>
          <w:sz w:val="22"/>
        </w:rPr>
      </w:pPr>
      <w:r w:rsidRPr="00583A43">
        <w:rPr>
          <w:rFonts w:ascii="Palatino Linotype" w:eastAsia="Batang" w:hAnsi="Palatino Linotype" w:cs="Arial"/>
          <w:b/>
          <w:i/>
          <w:color w:val="000000" w:themeColor="text1"/>
          <w:sz w:val="22"/>
          <w:lang w:val="es-AR"/>
        </w:rPr>
        <w:t>SOBRESEIMIENTO EN EL JUICIO DE AMPARO DIRECTO. IMPIDE EL ESTUDIO DE LAS VIOLACIONES PROCESALES PLANTEADAS EN LOS CONCEPTOS DE VIOLACIÓN.</w:t>
      </w:r>
    </w:p>
    <w:p w:rsidR="00134CE6" w:rsidRPr="00583A43" w:rsidRDefault="00134CE6" w:rsidP="00AC2CF9">
      <w:pPr>
        <w:pStyle w:val="Prrafodelista"/>
        <w:autoSpaceDE w:val="0"/>
        <w:autoSpaceDN w:val="0"/>
        <w:adjustRightInd w:val="0"/>
        <w:spacing w:line="360" w:lineRule="auto"/>
        <w:ind w:left="567" w:right="616"/>
        <w:jc w:val="both"/>
        <w:rPr>
          <w:rFonts w:ascii="Palatino Linotype" w:eastAsia="Batang" w:hAnsi="Palatino Linotype" w:cs="Arial"/>
          <w:i/>
          <w:color w:val="000000" w:themeColor="text1"/>
          <w:sz w:val="22"/>
          <w:lang w:val="es-AR"/>
        </w:rPr>
      </w:pPr>
      <w:r w:rsidRPr="00583A43">
        <w:rPr>
          <w:rFonts w:ascii="Palatino Linotype" w:eastAsia="Batang" w:hAnsi="Palatino Linotype" w:cs="Arial"/>
          <w:b/>
          <w:i/>
          <w:color w:val="000000" w:themeColor="text1"/>
          <w:sz w:val="22"/>
          <w:lang w:val="es-AR"/>
        </w:rPr>
        <w:t>El sobreseimiento</w:t>
      </w:r>
      <w:r w:rsidRPr="00583A43">
        <w:rPr>
          <w:rFonts w:ascii="Palatino Linotype" w:eastAsia="Batang" w:hAnsi="Palatino Linotype" w:cs="Arial"/>
          <w:i/>
          <w:color w:val="000000" w:themeColor="text1"/>
          <w:sz w:val="22"/>
          <w:lang w:val="es-AR"/>
        </w:rPr>
        <w:t xml:space="preserve"> en el juicio de amparo directo </w:t>
      </w:r>
      <w:r w:rsidRPr="00583A43">
        <w:rPr>
          <w:rFonts w:ascii="Palatino Linotype" w:eastAsia="Batang" w:hAnsi="Palatino Linotype" w:cs="Arial"/>
          <w:b/>
          <w:i/>
          <w:color w:val="000000" w:themeColor="text1"/>
          <w:sz w:val="22"/>
          <w:lang w:val="es-AR"/>
        </w:rPr>
        <w:t>provoca la terminación de la controversia planteada</w:t>
      </w:r>
      <w:r w:rsidRPr="00583A43">
        <w:rPr>
          <w:rFonts w:ascii="Palatino Linotype" w:eastAsia="Batang" w:hAnsi="Palatino Linotype" w:cs="Arial"/>
          <w:i/>
          <w:color w:val="000000" w:themeColor="text1"/>
          <w:sz w:val="22"/>
          <w:lang w:val="es-AR"/>
        </w:rPr>
        <w:t xml:space="preserve"> por el quejoso en la demanda de amparo</w:t>
      </w:r>
      <w:r w:rsidRPr="00583A43">
        <w:rPr>
          <w:rFonts w:ascii="Palatino Linotype" w:eastAsia="Batang" w:hAnsi="Palatino Linotype" w:cs="Arial"/>
          <w:b/>
          <w:i/>
          <w:color w:val="000000" w:themeColor="text1"/>
          <w:sz w:val="22"/>
          <w:lang w:val="es-AR"/>
        </w:rPr>
        <w:t>, sin hacer un pronunciamiento de fondo sobre la legalidad o ilegalidad de la sentencia reclamada</w:t>
      </w:r>
      <w:r w:rsidRPr="00583A43">
        <w:rPr>
          <w:rFonts w:ascii="Palatino Linotype" w:eastAsia="Batang" w:hAnsi="Palatino Linotype" w:cs="Arial"/>
          <w:i/>
          <w:color w:val="000000" w:themeColor="text1"/>
          <w:sz w:val="22"/>
          <w:lang w:val="es-AR"/>
        </w:rPr>
        <w:t xml:space="preserve">. </w:t>
      </w:r>
      <w:r w:rsidRPr="00583A43">
        <w:rPr>
          <w:rFonts w:ascii="Palatino Linotype" w:eastAsia="Batang" w:hAnsi="Palatino Linotype" w:cs="Arial"/>
          <w:b/>
          <w:i/>
          <w:color w:val="000000" w:themeColor="text1"/>
          <w:sz w:val="22"/>
          <w:lang w:val="es-AR"/>
        </w:rPr>
        <w:t xml:space="preserve">Por consiguiente, si al sobreseerse en el juicio de amparo </w:t>
      </w:r>
      <w:r w:rsidRPr="00583A43">
        <w:rPr>
          <w:rFonts w:ascii="Palatino Linotype" w:eastAsia="Batang" w:hAnsi="Palatino Linotype" w:cs="Arial"/>
          <w:b/>
          <w:i/>
          <w:color w:val="000000" w:themeColor="text1"/>
          <w:sz w:val="22"/>
          <w:u w:val="single"/>
          <w:lang w:val="es-AR"/>
        </w:rPr>
        <w:t>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583A43">
        <w:rPr>
          <w:rFonts w:ascii="Palatino Linotype" w:eastAsia="Batang" w:hAnsi="Palatino Linotype" w:cs="Arial"/>
          <w:i/>
          <w:color w:val="000000" w:themeColor="text1"/>
          <w:sz w:val="22"/>
          <w:lang w:val="es-AR"/>
        </w:rPr>
        <w:t>.</w:t>
      </w:r>
    </w:p>
    <w:p w:rsidR="00134CE6" w:rsidRPr="00583A43" w:rsidRDefault="00134CE6" w:rsidP="00AC2CF9">
      <w:pPr>
        <w:pStyle w:val="Prrafodelista"/>
        <w:autoSpaceDE w:val="0"/>
        <w:autoSpaceDN w:val="0"/>
        <w:adjustRightInd w:val="0"/>
        <w:spacing w:line="360" w:lineRule="auto"/>
        <w:ind w:left="567" w:right="616"/>
        <w:jc w:val="both"/>
        <w:rPr>
          <w:rFonts w:ascii="Palatino Linotype" w:eastAsia="Batang" w:hAnsi="Palatino Linotype" w:cs="Arial"/>
          <w:i/>
          <w:color w:val="000000" w:themeColor="text1"/>
          <w:sz w:val="22"/>
          <w:lang w:val="es-AR"/>
        </w:rPr>
      </w:pPr>
      <w:r w:rsidRPr="00583A43">
        <w:rPr>
          <w:rFonts w:ascii="Palatino Linotype" w:eastAsia="Batang" w:hAnsi="Palatino Linotype" w:cs="Arial"/>
          <w:i/>
          <w:color w:val="000000" w:themeColor="text1"/>
          <w:sz w:val="22"/>
          <w:lang w:val="es-AR"/>
        </w:rPr>
        <w:t>SÉPTIMO TRIBUNAL COLEGIADO EN MATERIA CIVIL DEL PRIMER CIRCUITO.</w:t>
      </w:r>
    </w:p>
    <w:p w:rsidR="00134CE6" w:rsidRPr="00583A43" w:rsidRDefault="00134CE6" w:rsidP="00AC2CF9">
      <w:pPr>
        <w:pStyle w:val="Prrafodelista"/>
        <w:autoSpaceDE w:val="0"/>
        <w:autoSpaceDN w:val="0"/>
        <w:adjustRightInd w:val="0"/>
        <w:spacing w:line="360" w:lineRule="auto"/>
        <w:ind w:left="567" w:right="616"/>
        <w:jc w:val="both"/>
        <w:rPr>
          <w:rFonts w:ascii="Palatino Linotype" w:eastAsia="Batang" w:hAnsi="Palatino Linotype" w:cs="Arial"/>
          <w:i/>
          <w:color w:val="000000" w:themeColor="text1"/>
          <w:sz w:val="22"/>
          <w:lang w:val="es-AR"/>
        </w:rPr>
      </w:pPr>
      <w:r w:rsidRPr="00583A43">
        <w:rPr>
          <w:rFonts w:ascii="Palatino Linotype" w:eastAsia="Batang" w:hAnsi="Palatino Linotype" w:cs="Arial"/>
          <w:i/>
          <w:color w:val="000000" w:themeColor="text1"/>
          <w:sz w:val="22"/>
          <w:lang w:val="es-AR"/>
        </w:rPr>
        <w:lastRenderedPageBreak/>
        <w:t>Amparo directo 699/2008. Mariana Leticia González Steele. 13 de noviembre de 2008. Unanimidad de votos. Ponente: Sara Judith Montalvo Trejo. Secretario: Arnulfo Mateos García.</w:t>
      </w:r>
    </w:p>
    <w:p w:rsidR="00134CE6" w:rsidRPr="00583A43" w:rsidRDefault="00134CE6" w:rsidP="00AC2CF9">
      <w:pPr>
        <w:pStyle w:val="Prrafodelista"/>
        <w:spacing w:line="360" w:lineRule="auto"/>
        <w:ind w:left="0" w:right="49"/>
        <w:jc w:val="both"/>
        <w:rPr>
          <w:rFonts w:ascii="Palatino Linotype" w:hAnsi="Palatino Linotype"/>
          <w:color w:val="000000" w:themeColor="text1"/>
          <w:sz w:val="22"/>
        </w:rPr>
      </w:pPr>
    </w:p>
    <w:p w:rsidR="00134CE6" w:rsidRPr="00583A43" w:rsidRDefault="00134CE6" w:rsidP="00AC2CF9">
      <w:pPr>
        <w:pStyle w:val="Prrafodelista"/>
        <w:numPr>
          <w:ilvl w:val="0"/>
          <w:numId w:val="15"/>
        </w:numPr>
        <w:spacing w:line="360" w:lineRule="auto"/>
        <w:ind w:left="0" w:firstLine="0"/>
        <w:jc w:val="both"/>
        <w:rPr>
          <w:rFonts w:ascii="Palatino Linotype" w:hAnsi="Palatino Linotype"/>
          <w:color w:val="000000" w:themeColor="text1"/>
        </w:rPr>
      </w:pPr>
      <w:r w:rsidRPr="00AC2CF9">
        <w:rPr>
          <w:rFonts w:ascii="Palatino Linotype" w:hAnsi="Palatino Linotype" w:cs="Arial"/>
          <w:noProof/>
          <w:color w:val="000000" w:themeColor="text1"/>
          <w:lang w:eastAsia="es-MX"/>
        </w:rPr>
        <w:t xml:space="preserve">Así las cosas, como quedó demostrado, si bien es cierto </w:t>
      </w:r>
      <w:r w:rsidR="00A533B8" w:rsidRPr="00AC2CF9">
        <w:rPr>
          <w:rFonts w:ascii="Palatino Linotype" w:hAnsi="Palatino Linotype" w:cs="Arial"/>
          <w:noProof/>
          <w:color w:val="000000" w:themeColor="text1"/>
          <w:lang w:eastAsia="es-MX"/>
        </w:rPr>
        <w:t xml:space="preserve">el </w:t>
      </w:r>
      <w:r w:rsidR="00A533B8" w:rsidRPr="00AC2CF9">
        <w:rPr>
          <w:rFonts w:ascii="Palatino Linotype" w:hAnsi="Palatino Linotype" w:cs="Arial"/>
          <w:b/>
          <w:noProof/>
          <w:color w:val="000000" w:themeColor="text1"/>
          <w:lang w:eastAsia="es-MX"/>
        </w:rPr>
        <w:t xml:space="preserve">SUJETO OBLIGADO </w:t>
      </w:r>
      <w:r w:rsidR="00A533B8" w:rsidRPr="00AC2CF9">
        <w:rPr>
          <w:rFonts w:ascii="Palatino Linotype" w:hAnsi="Palatino Linotype" w:cs="Arial"/>
          <w:noProof/>
          <w:color w:val="000000" w:themeColor="text1"/>
          <w:lang w:eastAsia="es-MX"/>
        </w:rPr>
        <w:t>entregó un soporte documental relacionado con lo solicitado inicialmente</w:t>
      </w:r>
      <w:r w:rsidRPr="00AC2CF9">
        <w:rPr>
          <w:rFonts w:ascii="Palatino Linotype" w:hAnsi="Palatino Linotype" w:cs="Arial"/>
          <w:noProof/>
          <w:color w:val="000000" w:themeColor="text1"/>
          <w:lang w:eastAsia="es-MX"/>
        </w:rPr>
        <w:t xml:space="preserve">; </w:t>
      </w:r>
      <w:r w:rsidRPr="00AC2CF9">
        <w:rPr>
          <w:rFonts w:ascii="Palatino Linotype" w:eastAsia="Batang" w:hAnsi="Palatino Linotype" w:cs="Arial"/>
          <w:color w:val="000000" w:themeColor="text1"/>
        </w:rPr>
        <w:t>también</w:t>
      </w:r>
      <w:r w:rsidRPr="00AC2CF9">
        <w:rPr>
          <w:rFonts w:ascii="Palatino Linotype" w:hAnsi="Palatino Linotype" w:cs="Arial"/>
          <w:noProof/>
          <w:color w:val="000000" w:themeColor="text1"/>
          <w:lang w:eastAsia="es-MX"/>
        </w:rPr>
        <w:t xml:space="preserve"> lo es que en fecha posterior el solicitante</w:t>
      </w:r>
      <w:r w:rsidR="008A64D0" w:rsidRPr="00AC2CF9">
        <w:rPr>
          <w:rFonts w:ascii="Palatino Linotype" w:hAnsi="Palatino Linotype" w:cs="Arial"/>
          <w:noProof/>
          <w:color w:val="000000" w:themeColor="text1"/>
          <w:lang w:eastAsia="es-MX"/>
        </w:rPr>
        <w:t xml:space="preserve"> hoy recurrente manifestó su decis</w:t>
      </w:r>
      <w:r w:rsidRPr="00AC2CF9">
        <w:rPr>
          <w:rFonts w:ascii="Palatino Linotype" w:hAnsi="Palatino Linotype" w:cs="Arial"/>
          <w:noProof/>
          <w:color w:val="000000" w:themeColor="text1"/>
          <w:lang w:eastAsia="es-MX"/>
        </w:rPr>
        <w:t xml:space="preserve">ión de desistirse del presente asunto por voluntad propia, por lo que se actualiza </w:t>
      </w:r>
      <w:r w:rsidRPr="00AC2CF9">
        <w:rPr>
          <w:rFonts w:ascii="Palatino Linotype" w:hAnsi="Palatino Linotype" w:cs="Arial"/>
          <w:color w:val="000000" w:themeColor="text1"/>
        </w:rPr>
        <w:t xml:space="preserve">la </w:t>
      </w:r>
      <w:r w:rsidRPr="00AC2CF9">
        <w:rPr>
          <w:rFonts w:ascii="Palatino Linotype" w:hAnsi="Palatino Linotype" w:cs="Arial"/>
          <w:b/>
          <w:color w:val="000000" w:themeColor="text1"/>
        </w:rPr>
        <w:t>fracción I del artículo 192</w:t>
      </w:r>
      <w:r w:rsidRPr="00AC2CF9">
        <w:rPr>
          <w:rFonts w:ascii="Palatino Linotype" w:hAnsi="Palatino Linotype" w:cs="Arial"/>
          <w:color w:val="000000" w:themeColor="text1"/>
        </w:rPr>
        <w:t xml:space="preserve"> </w:t>
      </w:r>
      <w:r w:rsidRPr="00AC2CF9">
        <w:rPr>
          <w:rFonts w:ascii="Palatino Linotype" w:eastAsia="Batang" w:hAnsi="Palatino Linotype" w:cs="Arial"/>
          <w:color w:val="000000" w:themeColor="text1"/>
        </w:rPr>
        <w:t xml:space="preserve">de la </w:t>
      </w:r>
      <w:r w:rsidRPr="00AC2CF9">
        <w:rPr>
          <w:rFonts w:ascii="Palatino Linotype" w:eastAsia="Batang" w:hAnsi="Palatino Linotype" w:cs="Arial"/>
          <w:b/>
          <w:color w:val="000000" w:themeColor="text1"/>
        </w:rPr>
        <w:t>Ley de Transparencia y Acceso a la Información Pública del Estado de México y Municipios.</w:t>
      </w:r>
    </w:p>
    <w:p w:rsidR="00583A43" w:rsidRPr="00583A43" w:rsidRDefault="00583A43" w:rsidP="00583A43">
      <w:pPr>
        <w:spacing w:line="360" w:lineRule="auto"/>
        <w:jc w:val="both"/>
        <w:rPr>
          <w:rFonts w:ascii="Palatino Linotype" w:hAnsi="Palatino Linotype"/>
          <w:color w:val="000000" w:themeColor="text1"/>
        </w:rPr>
      </w:pPr>
    </w:p>
    <w:p w:rsidR="00134CE6" w:rsidRPr="00AC2CF9" w:rsidRDefault="00103414" w:rsidP="00AC2CF9">
      <w:pPr>
        <w:pStyle w:val="Prrafodelista"/>
        <w:numPr>
          <w:ilvl w:val="0"/>
          <w:numId w:val="15"/>
        </w:numPr>
        <w:spacing w:line="360" w:lineRule="auto"/>
        <w:ind w:left="0" w:firstLine="0"/>
        <w:jc w:val="both"/>
        <w:rPr>
          <w:rFonts w:ascii="Palatino Linotype" w:hAnsi="Palatino Linotype"/>
          <w:color w:val="000000" w:themeColor="text1"/>
        </w:rPr>
      </w:pPr>
      <w:r w:rsidRPr="00AC2CF9">
        <w:rPr>
          <w:rFonts w:ascii="Palatino Linotype" w:hAnsi="Palatino Linotype" w:cs="Arial"/>
          <w:noProof/>
          <w:color w:val="000000" w:themeColor="text1"/>
          <w:lang w:eastAsia="es-MX"/>
        </w:rPr>
        <w:t>Así</w:t>
      </w:r>
      <w:r w:rsidR="00134CE6" w:rsidRPr="00AC2CF9">
        <w:rPr>
          <w:rFonts w:ascii="Palatino Linotype" w:hAnsi="Palatino Linotype" w:cs="Arial"/>
          <w:noProof/>
          <w:color w:val="000000" w:themeColor="text1"/>
          <w:lang w:eastAsia="es-MX"/>
        </w:rPr>
        <w:t>mismo, por lo que hace a los motivos de inconformidad, los mismos devienen inatendibles por actualizarse la figura del sobreseimiento, misma que impide el estudio de los agravios planteados.</w:t>
      </w:r>
    </w:p>
    <w:p w:rsidR="00A533B8" w:rsidRPr="00AC2CF9" w:rsidRDefault="00A533B8" w:rsidP="00AC2CF9">
      <w:pPr>
        <w:spacing w:line="360" w:lineRule="auto"/>
        <w:jc w:val="both"/>
        <w:rPr>
          <w:rFonts w:ascii="Palatino Linotype" w:hAnsi="Palatino Linotype"/>
          <w:color w:val="000000" w:themeColor="text1"/>
        </w:rPr>
      </w:pPr>
    </w:p>
    <w:p w:rsidR="00134CE6" w:rsidRPr="00AC2CF9" w:rsidRDefault="00134CE6" w:rsidP="00AC2CF9">
      <w:pPr>
        <w:pStyle w:val="Ttulo2"/>
        <w:numPr>
          <w:ilvl w:val="0"/>
          <w:numId w:val="46"/>
        </w:numPr>
        <w:spacing w:before="0" w:line="360" w:lineRule="auto"/>
        <w:rPr>
          <w:rFonts w:ascii="Palatino Linotype" w:hAnsi="Palatino Linotype"/>
          <w:b/>
          <w:color w:val="000000" w:themeColor="text1"/>
          <w:sz w:val="24"/>
          <w:szCs w:val="24"/>
        </w:rPr>
      </w:pPr>
      <w:bookmarkStart w:id="152" w:name="_Toc70526135"/>
      <w:r w:rsidRPr="00AC2CF9">
        <w:rPr>
          <w:rFonts w:ascii="Palatino Linotype" w:hAnsi="Palatino Linotype"/>
          <w:b/>
          <w:color w:val="000000" w:themeColor="text1"/>
          <w:sz w:val="24"/>
          <w:szCs w:val="24"/>
        </w:rPr>
        <w:t>Determinación</w:t>
      </w:r>
      <w:bookmarkEnd w:id="152"/>
    </w:p>
    <w:p w:rsidR="00531473" w:rsidRPr="00AC2CF9" w:rsidRDefault="00531473" w:rsidP="00AC2CF9">
      <w:pPr>
        <w:spacing w:line="360" w:lineRule="auto"/>
        <w:rPr>
          <w:rFonts w:ascii="Palatino Linotype" w:hAnsi="Palatino Linotype"/>
        </w:rPr>
      </w:pPr>
    </w:p>
    <w:p w:rsidR="00134CE6" w:rsidRPr="00AC2CF9" w:rsidRDefault="00134CE6" w:rsidP="00AC2CF9">
      <w:pPr>
        <w:pStyle w:val="Prrafodelista"/>
        <w:numPr>
          <w:ilvl w:val="0"/>
          <w:numId w:val="15"/>
        </w:numPr>
        <w:spacing w:line="360" w:lineRule="auto"/>
        <w:ind w:left="0" w:firstLine="0"/>
        <w:jc w:val="both"/>
        <w:rPr>
          <w:rFonts w:ascii="Palatino Linotype" w:hAnsi="Palatino Linotype"/>
          <w:color w:val="000000" w:themeColor="text1"/>
        </w:rPr>
      </w:pPr>
      <w:r w:rsidRPr="00AC2CF9">
        <w:rPr>
          <w:rFonts w:ascii="Palatino Linotype" w:hAnsi="Palatino Linotype"/>
          <w:color w:val="000000" w:themeColor="text1"/>
        </w:rPr>
        <w:t xml:space="preserve">Atento a lo anterior, </w:t>
      </w:r>
      <w:r w:rsidRPr="00AC2CF9">
        <w:rPr>
          <w:rFonts w:ascii="Palatino Linotype" w:hAnsi="Palatino Linotype" w:cs="Arial"/>
          <w:color w:val="000000" w:themeColor="text1"/>
          <w:lang w:val="es-CO"/>
        </w:rPr>
        <w:t xml:space="preserve">y en términos del artículo 186 fracción I este Pleno determina el </w:t>
      </w:r>
      <w:r w:rsidRPr="00AC2CF9">
        <w:rPr>
          <w:rFonts w:ascii="Palatino Linotype" w:hAnsi="Palatino Linotype" w:cs="Arial"/>
          <w:b/>
          <w:color w:val="000000" w:themeColor="text1"/>
          <w:lang w:val="es-CO"/>
        </w:rPr>
        <w:t xml:space="preserve">SOBRESEIMIENTO </w:t>
      </w:r>
      <w:r w:rsidRPr="00AC2CF9">
        <w:rPr>
          <w:rFonts w:ascii="Palatino Linotype" w:hAnsi="Palatino Linotype" w:cs="Arial"/>
          <w:color w:val="000000" w:themeColor="text1"/>
          <w:lang w:val="es-CO"/>
        </w:rPr>
        <w:t>del presente recurso de revisión, toda vez que el particular declara que se desiste de su derecho de acceder a la información requerida.</w:t>
      </w:r>
    </w:p>
    <w:p w:rsidR="00103414" w:rsidRPr="00AC2CF9" w:rsidRDefault="00103414" w:rsidP="00AC2CF9">
      <w:pPr>
        <w:pStyle w:val="Prrafodelista"/>
        <w:spacing w:line="360" w:lineRule="auto"/>
        <w:ind w:left="0"/>
        <w:jc w:val="both"/>
        <w:rPr>
          <w:rFonts w:ascii="Palatino Linotype" w:hAnsi="Palatino Linotype"/>
          <w:color w:val="000000" w:themeColor="text1"/>
        </w:rPr>
      </w:pPr>
    </w:p>
    <w:p w:rsidR="00792D6A" w:rsidRPr="00AC2CF9" w:rsidRDefault="00792D6A" w:rsidP="00AC2CF9">
      <w:pPr>
        <w:pStyle w:val="Prrafodelista"/>
        <w:numPr>
          <w:ilvl w:val="0"/>
          <w:numId w:val="15"/>
        </w:numPr>
        <w:tabs>
          <w:tab w:val="left" w:pos="426"/>
        </w:tabs>
        <w:spacing w:line="360" w:lineRule="auto"/>
        <w:ind w:left="0" w:right="51" w:firstLine="0"/>
        <w:jc w:val="both"/>
        <w:rPr>
          <w:rFonts w:ascii="Palatino Linotype" w:hAnsi="Palatino Linotype"/>
          <w:color w:val="000000" w:themeColor="text1"/>
        </w:rPr>
      </w:pPr>
      <w:r w:rsidRPr="00AC2CF9">
        <w:rPr>
          <w:rFonts w:ascii="Palatino Linotype" w:hAnsi="Palatino Linotype" w:cs="Arial"/>
          <w:color w:val="000000" w:themeColor="text1"/>
          <w:lang w:eastAsia="es-MX"/>
        </w:rPr>
        <w:t xml:space="preserve">Por lo anteriormente expuesto y fundado, este </w:t>
      </w:r>
      <w:r w:rsidRPr="00AC2CF9">
        <w:rPr>
          <w:rFonts w:ascii="Palatino Linotype" w:hAnsi="Palatino Linotype" w:cs="Arial"/>
          <w:b/>
          <w:bCs/>
          <w:color w:val="000000" w:themeColor="text1"/>
          <w:lang w:eastAsia="es-MX"/>
        </w:rPr>
        <w:t>ÓRGANO GARANTE</w:t>
      </w:r>
      <w:r w:rsidRPr="00AC2CF9">
        <w:rPr>
          <w:rFonts w:ascii="Palatino Linotype" w:hAnsi="Palatino Linotype" w:cs="Arial"/>
          <w:color w:val="000000" w:themeColor="text1"/>
          <w:lang w:eastAsia="es-MX"/>
        </w:rPr>
        <w:t xml:space="preserve"> emite los siguientes:</w:t>
      </w:r>
    </w:p>
    <w:p w:rsidR="009F09BC" w:rsidRPr="00AC2CF9" w:rsidRDefault="009F09BC" w:rsidP="00AC2CF9">
      <w:pPr>
        <w:pStyle w:val="Ttulo1"/>
        <w:spacing w:before="0" w:line="360" w:lineRule="auto"/>
        <w:jc w:val="center"/>
        <w:rPr>
          <w:rFonts w:ascii="Palatino Linotype" w:eastAsia="Calibri" w:hAnsi="Palatino Linotype"/>
          <w:b/>
          <w:color w:val="000000" w:themeColor="text1"/>
          <w:sz w:val="24"/>
          <w:szCs w:val="24"/>
          <w:lang w:val="es-ES"/>
        </w:rPr>
      </w:pPr>
      <w:bookmarkStart w:id="153" w:name="_Toc504500693"/>
      <w:bookmarkStart w:id="154" w:name="_Toc534742545"/>
      <w:bookmarkStart w:id="155" w:name="_Toc2248738"/>
      <w:bookmarkStart w:id="156" w:name="_Toc34819440"/>
      <w:bookmarkStart w:id="157" w:name="_Toc51259595"/>
      <w:bookmarkStart w:id="158" w:name="_Toc83128595"/>
      <w:r w:rsidRPr="00AC2CF9">
        <w:rPr>
          <w:rFonts w:ascii="Palatino Linotype" w:eastAsia="Calibri" w:hAnsi="Palatino Linotype"/>
          <w:b/>
          <w:color w:val="000000" w:themeColor="text1"/>
          <w:sz w:val="24"/>
          <w:szCs w:val="24"/>
          <w:lang w:val="es-ES"/>
        </w:rPr>
        <w:lastRenderedPageBreak/>
        <w:t>R E S O L U T I V O S</w:t>
      </w:r>
      <w:bookmarkEnd w:id="153"/>
      <w:bookmarkEnd w:id="154"/>
      <w:bookmarkEnd w:id="155"/>
      <w:bookmarkEnd w:id="156"/>
      <w:bookmarkEnd w:id="157"/>
      <w:bookmarkEnd w:id="158"/>
    </w:p>
    <w:p w:rsidR="00CE7B83" w:rsidRPr="00AC2CF9" w:rsidRDefault="00CE7B83" w:rsidP="00AC2CF9">
      <w:pPr>
        <w:spacing w:line="360" w:lineRule="auto"/>
        <w:rPr>
          <w:rFonts w:ascii="Palatino Linotype" w:hAnsi="Palatino Linotype"/>
          <w:color w:val="000000" w:themeColor="text1"/>
          <w:lang w:val="es-ES"/>
        </w:rPr>
      </w:pPr>
    </w:p>
    <w:p w:rsidR="00531473" w:rsidRPr="00AC2CF9" w:rsidRDefault="00531473" w:rsidP="00AC2CF9">
      <w:pPr>
        <w:spacing w:line="360" w:lineRule="auto"/>
        <w:jc w:val="both"/>
        <w:rPr>
          <w:rFonts w:ascii="Palatino Linotype" w:hAnsi="Palatino Linotype" w:cs="Arial"/>
        </w:rPr>
      </w:pPr>
      <w:r w:rsidRPr="00AC2CF9">
        <w:rPr>
          <w:rFonts w:ascii="Palatino Linotype" w:hAnsi="Palatino Linotype" w:cs="Arial"/>
          <w:b/>
          <w:bCs/>
          <w:lang w:eastAsia="es-MX"/>
        </w:rPr>
        <w:t>PRIMERO</w:t>
      </w:r>
      <w:r w:rsidRPr="00AC2CF9">
        <w:rPr>
          <w:rFonts w:ascii="Palatino Linotype" w:hAnsi="Palatino Linotype" w:cs="Arial"/>
        </w:rPr>
        <w:t xml:space="preserve">. Se </w:t>
      </w:r>
      <w:r w:rsidRPr="00AC2CF9">
        <w:rPr>
          <w:rFonts w:ascii="Palatino Linotype" w:hAnsi="Palatino Linotype" w:cs="Arial"/>
          <w:b/>
        </w:rPr>
        <w:t xml:space="preserve">SOBRESEE </w:t>
      </w:r>
      <w:r w:rsidR="00103414" w:rsidRPr="00AC2CF9">
        <w:rPr>
          <w:rFonts w:ascii="Palatino Linotype" w:hAnsi="Palatino Linotype" w:cs="Arial"/>
        </w:rPr>
        <w:t>el Recurso de R</w:t>
      </w:r>
      <w:r w:rsidRPr="00AC2CF9">
        <w:rPr>
          <w:rFonts w:ascii="Palatino Linotype" w:hAnsi="Palatino Linotype" w:cs="Arial"/>
        </w:rPr>
        <w:t>evisión</w:t>
      </w:r>
      <w:r w:rsidRPr="00AC2CF9">
        <w:rPr>
          <w:rFonts w:ascii="Palatino Linotype" w:hAnsi="Palatino Linotype" w:cs="Arial"/>
          <w:b/>
        </w:rPr>
        <w:t xml:space="preserve"> </w:t>
      </w:r>
      <w:r w:rsidRPr="00AC2CF9">
        <w:rPr>
          <w:rFonts w:ascii="Palatino Linotype" w:hAnsi="Palatino Linotype" w:cs="Arial"/>
        </w:rPr>
        <w:t xml:space="preserve">número </w:t>
      </w:r>
      <w:r w:rsidR="00372B75" w:rsidRPr="00AC2CF9">
        <w:rPr>
          <w:rFonts w:ascii="Palatino Linotype" w:hAnsi="Palatino Linotype" w:cs="Arial"/>
          <w:b/>
          <w:bCs/>
          <w:lang w:eastAsia="es-MX"/>
        </w:rPr>
        <w:t>04243/INFOEM/IP/RR/2023</w:t>
      </w:r>
      <w:r w:rsidR="00583A43">
        <w:rPr>
          <w:rFonts w:ascii="Palatino Linotype" w:hAnsi="Palatino Linotype" w:cs="Arial"/>
          <w:b/>
          <w:bCs/>
          <w:lang w:eastAsia="es-MX"/>
        </w:rPr>
        <w:t>,</w:t>
      </w:r>
      <w:r w:rsidR="00372B75" w:rsidRPr="00AC2CF9">
        <w:rPr>
          <w:rFonts w:ascii="Palatino Linotype" w:hAnsi="Palatino Linotype" w:cs="Arial"/>
          <w:b/>
          <w:bCs/>
          <w:lang w:eastAsia="es-MX"/>
        </w:rPr>
        <w:t xml:space="preserve"> </w:t>
      </w:r>
      <w:r w:rsidR="00103414" w:rsidRPr="00AC2CF9">
        <w:rPr>
          <w:rFonts w:ascii="Palatino Linotype" w:hAnsi="Palatino Linotype"/>
        </w:rPr>
        <w:t>conforme al artículo 1</w:t>
      </w:r>
      <w:r w:rsidR="00103414" w:rsidRPr="00AC2CF9">
        <w:rPr>
          <w:rFonts w:ascii="Palatino Linotype" w:hAnsi="Palatino Linotype" w:cs="Arial"/>
          <w:color w:val="000000" w:themeColor="text1"/>
        </w:rPr>
        <w:t xml:space="preserve">92 fracción I </w:t>
      </w:r>
      <w:r w:rsidR="00103414" w:rsidRPr="00AC2CF9">
        <w:rPr>
          <w:rFonts w:ascii="Palatino Linotype" w:hAnsi="Palatino Linotype"/>
        </w:rPr>
        <w:t>de la Ley de Transparencia y Acceso a la Información Pública del Estado de México y Municipios</w:t>
      </w:r>
      <w:r w:rsidR="00103414" w:rsidRPr="00AC2CF9">
        <w:rPr>
          <w:rFonts w:ascii="Palatino Linotype" w:hAnsi="Palatino Linotype" w:cs="Arial"/>
          <w:color w:val="000000" w:themeColor="text1"/>
        </w:rPr>
        <w:t xml:space="preserve">, al </w:t>
      </w:r>
      <w:r w:rsidRPr="00AC2CF9">
        <w:rPr>
          <w:rFonts w:ascii="Palatino Linotype" w:hAnsi="Palatino Linotype"/>
        </w:rPr>
        <w:t>haberse desistido expresamente</w:t>
      </w:r>
      <w:r w:rsidRPr="00AC2CF9">
        <w:rPr>
          <w:rFonts w:ascii="Palatino Linotype" w:hAnsi="Palatino Linotype"/>
          <w:b/>
        </w:rPr>
        <w:t xml:space="preserve"> EL</w:t>
      </w:r>
      <w:r w:rsidRPr="00AC2CF9">
        <w:rPr>
          <w:rFonts w:ascii="Palatino Linotype" w:hAnsi="Palatino Linotype"/>
        </w:rPr>
        <w:t xml:space="preserve"> </w:t>
      </w:r>
      <w:r w:rsidRPr="00AC2CF9">
        <w:rPr>
          <w:rFonts w:ascii="Palatino Linotype" w:hAnsi="Palatino Linotype"/>
          <w:b/>
        </w:rPr>
        <w:t>RECURRENTE</w:t>
      </w:r>
      <w:r w:rsidRPr="00AC2CF9">
        <w:rPr>
          <w:rFonts w:ascii="Palatino Linotype" w:hAnsi="Palatino Linotype" w:cs="Arial"/>
          <w:b/>
        </w:rPr>
        <w:t xml:space="preserve">, </w:t>
      </w:r>
      <w:r w:rsidRPr="00AC2CF9">
        <w:rPr>
          <w:rFonts w:ascii="Palatino Linotype" w:hAnsi="Palatino Linotype" w:cs="Arial"/>
        </w:rPr>
        <w:t xml:space="preserve">en términos del </w:t>
      </w:r>
      <w:r w:rsidR="00583A43">
        <w:rPr>
          <w:rFonts w:ascii="Palatino Linotype" w:hAnsi="Palatino Linotype" w:cs="Arial"/>
          <w:b/>
        </w:rPr>
        <w:t>c</w:t>
      </w:r>
      <w:r w:rsidRPr="00AC2CF9">
        <w:rPr>
          <w:rFonts w:ascii="Palatino Linotype" w:hAnsi="Palatino Linotype" w:cs="Arial"/>
          <w:b/>
        </w:rPr>
        <w:t>onsiderando</w:t>
      </w:r>
      <w:r w:rsidRPr="00AC2CF9">
        <w:rPr>
          <w:rFonts w:ascii="Palatino Linotype" w:hAnsi="Palatino Linotype" w:cs="Arial"/>
        </w:rPr>
        <w:t xml:space="preserve"> </w:t>
      </w:r>
      <w:r w:rsidRPr="00AC2CF9">
        <w:rPr>
          <w:rFonts w:ascii="Palatino Linotype" w:hAnsi="Palatino Linotype" w:cs="Arial"/>
          <w:b/>
        </w:rPr>
        <w:t>TERCERO</w:t>
      </w:r>
      <w:r w:rsidRPr="00AC2CF9">
        <w:rPr>
          <w:rFonts w:ascii="Palatino Linotype" w:hAnsi="Palatino Linotype" w:cs="Arial"/>
        </w:rPr>
        <w:t xml:space="preserve"> de la presente resolución.</w:t>
      </w:r>
    </w:p>
    <w:p w:rsidR="00AC2CF9" w:rsidRPr="00AC2CF9" w:rsidRDefault="00AC2CF9" w:rsidP="00AC2CF9">
      <w:pPr>
        <w:spacing w:line="360" w:lineRule="auto"/>
        <w:jc w:val="both"/>
        <w:rPr>
          <w:rFonts w:ascii="Palatino Linotype" w:hAnsi="Palatino Linotype" w:cs="Arial"/>
        </w:rPr>
      </w:pPr>
    </w:p>
    <w:p w:rsidR="00531473" w:rsidRPr="00AC2CF9" w:rsidRDefault="00531473" w:rsidP="00AC2CF9">
      <w:pPr>
        <w:shd w:val="clear" w:color="auto" w:fill="FFFFFF"/>
        <w:spacing w:line="360" w:lineRule="auto"/>
        <w:jc w:val="both"/>
        <w:rPr>
          <w:rFonts w:ascii="Palatino Linotype" w:eastAsia="MS Mincho" w:hAnsi="Palatino Linotype"/>
          <w:color w:val="000000" w:themeColor="text1"/>
          <w:shd w:val="clear" w:color="auto" w:fill="FFFFFF"/>
        </w:rPr>
      </w:pPr>
      <w:bookmarkStart w:id="159" w:name="_Toc461648590"/>
      <w:bookmarkStart w:id="160" w:name="_Toc461648682"/>
      <w:bookmarkStart w:id="161" w:name="_Toc462228049"/>
      <w:bookmarkStart w:id="162" w:name="_Toc462228129"/>
      <w:bookmarkStart w:id="163" w:name="_Toc496099789"/>
      <w:bookmarkStart w:id="164" w:name="_Toc496100166"/>
      <w:bookmarkStart w:id="165" w:name="_Toc499756977"/>
      <w:bookmarkStart w:id="166" w:name="_Toc499757020"/>
      <w:bookmarkStart w:id="167" w:name="_Toc504377974"/>
      <w:r w:rsidRPr="00AC2CF9">
        <w:rPr>
          <w:rFonts w:ascii="Palatino Linotype" w:eastAsia="Times New Roman" w:hAnsi="Palatino Linotype" w:cs="Arial"/>
          <w:b/>
        </w:rPr>
        <w:t>SEGUNDO.</w:t>
      </w:r>
      <w:bookmarkEnd w:id="159"/>
      <w:bookmarkEnd w:id="160"/>
      <w:bookmarkEnd w:id="161"/>
      <w:bookmarkEnd w:id="162"/>
      <w:bookmarkEnd w:id="163"/>
      <w:bookmarkEnd w:id="164"/>
      <w:bookmarkEnd w:id="165"/>
      <w:bookmarkEnd w:id="166"/>
      <w:bookmarkEnd w:id="167"/>
      <w:r w:rsidRPr="00AC2CF9">
        <w:rPr>
          <w:rStyle w:val="Ttulo2Car"/>
          <w:rFonts w:ascii="Palatino Linotype" w:hAnsi="Palatino Linotype"/>
          <w:sz w:val="24"/>
          <w:szCs w:val="24"/>
        </w:rPr>
        <w:t xml:space="preserve"> </w:t>
      </w:r>
      <w:r w:rsidR="00103414" w:rsidRPr="00AC2CF9">
        <w:rPr>
          <w:rFonts w:ascii="Palatino Linotype" w:hAnsi="Palatino Linotype"/>
          <w:b/>
          <w:bCs/>
          <w:color w:val="222222"/>
          <w:lang w:val="es-ES"/>
        </w:rPr>
        <w:t>Notifíquese</w:t>
      </w:r>
      <w:r w:rsidR="00103414" w:rsidRPr="00AC2CF9">
        <w:rPr>
          <w:rFonts w:ascii="Palatino Linotype" w:eastAsia="MS Mincho" w:hAnsi="Palatino Linotype" w:cs="Arial"/>
          <w:b/>
          <w:bCs/>
          <w:color w:val="000000" w:themeColor="text1"/>
          <w:shd w:val="clear" w:color="auto" w:fill="FFFFFF"/>
        </w:rPr>
        <w:t xml:space="preserve"> </w:t>
      </w:r>
      <w:r w:rsidR="00103414" w:rsidRPr="00AC2CF9">
        <w:rPr>
          <w:rFonts w:ascii="Palatino Linotype" w:eastAsia="MS Mincho" w:hAnsi="Palatino Linotype"/>
          <w:color w:val="000000" w:themeColor="text1"/>
          <w:shd w:val="clear" w:color="auto" w:fill="FFFFFF"/>
        </w:rPr>
        <w:t>al Titular de la Unidad de Transparencia del</w:t>
      </w:r>
      <w:r w:rsidR="00103414" w:rsidRPr="00AC2CF9">
        <w:rPr>
          <w:rFonts w:ascii="Palatino Linotype" w:eastAsia="MS Mincho" w:hAnsi="Palatino Linotype"/>
          <w:b/>
          <w:bCs/>
          <w:color w:val="000000" w:themeColor="text1"/>
          <w:shd w:val="clear" w:color="auto" w:fill="FFFFFF"/>
        </w:rPr>
        <w:t xml:space="preserve"> SUJETO OBLIGADO</w:t>
      </w:r>
      <w:r w:rsidR="00103414" w:rsidRPr="00AC2CF9">
        <w:rPr>
          <w:rFonts w:ascii="Palatino Linotype" w:eastAsia="MS Mincho" w:hAnsi="Palatino Linotype"/>
          <w:color w:val="000000" w:themeColor="text1"/>
          <w:shd w:val="clear" w:color="auto" w:fill="FFFFFF"/>
        </w:rPr>
        <w:t xml:space="preserve"> vía </w:t>
      </w:r>
      <w:r w:rsidR="00103414" w:rsidRPr="00AC2CF9">
        <w:rPr>
          <w:rFonts w:ascii="Palatino Linotype" w:eastAsia="MS Mincho" w:hAnsi="Palatino Linotype"/>
          <w:b/>
          <w:color w:val="000000" w:themeColor="text1"/>
          <w:shd w:val="clear" w:color="auto" w:fill="FFFFFF"/>
        </w:rPr>
        <w:t>SAIMEX</w:t>
      </w:r>
      <w:r w:rsidR="00103414" w:rsidRPr="00AC2CF9">
        <w:rPr>
          <w:rFonts w:ascii="Palatino Linotype" w:eastAsia="MS Mincho" w:hAnsi="Palatino Linotype"/>
          <w:color w:val="000000" w:themeColor="text1"/>
          <w:shd w:val="clear" w:color="auto" w:fill="FFFFFF"/>
        </w:rPr>
        <w:t>, la presente resolución.</w:t>
      </w:r>
    </w:p>
    <w:p w:rsidR="00AC2CF9" w:rsidRPr="00AC2CF9" w:rsidRDefault="00AC2CF9" w:rsidP="00AC2CF9">
      <w:pPr>
        <w:shd w:val="clear" w:color="auto" w:fill="FFFFFF"/>
        <w:spacing w:line="360" w:lineRule="auto"/>
        <w:jc w:val="both"/>
        <w:rPr>
          <w:rStyle w:val="Ttulo2Car"/>
          <w:rFonts w:ascii="Palatino Linotype" w:hAnsi="Palatino Linotype"/>
          <w:b/>
          <w:sz w:val="24"/>
          <w:szCs w:val="24"/>
        </w:rPr>
      </w:pPr>
    </w:p>
    <w:p w:rsidR="00531473" w:rsidRPr="00AC2CF9" w:rsidRDefault="00531473" w:rsidP="00AC2CF9">
      <w:pPr>
        <w:pStyle w:val="Prrafodelista"/>
        <w:widowControl w:val="0"/>
        <w:tabs>
          <w:tab w:val="left" w:pos="1701"/>
        </w:tabs>
        <w:autoSpaceDE w:val="0"/>
        <w:autoSpaceDN w:val="0"/>
        <w:adjustRightInd w:val="0"/>
        <w:spacing w:line="360" w:lineRule="auto"/>
        <w:ind w:left="0"/>
        <w:jc w:val="both"/>
        <w:rPr>
          <w:rFonts w:ascii="Palatino Linotype" w:hAnsi="Palatino Linotype"/>
          <w:color w:val="222222"/>
          <w:lang w:eastAsia="es-ES_tradnl"/>
        </w:rPr>
      </w:pPr>
      <w:r w:rsidRPr="00AC2CF9">
        <w:rPr>
          <w:rFonts w:ascii="Palatino Linotype" w:hAnsi="Palatino Linotype" w:cs="Arial"/>
          <w:b/>
        </w:rPr>
        <w:t>TERCERO</w:t>
      </w:r>
      <w:r w:rsidRPr="00AC2CF9">
        <w:rPr>
          <w:rFonts w:ascii="Palatino Linotype" w:hAnsi="Palatino Linotype"/>
          <w:b/>
          <w:color w:val="222222"/>
          <w:lang w:eastAsia="es-ES_tradnl"/>
        </w:rPr>
        <w:t xml:space="preserve">. Notifíquese </w:t>
      </w:r>
      <w:r w:rsidRPr="00AC2CF9">
        <w:rPr>
          <w:rFonts w:ascii="Palatino Linotype" w:hAnsi="Palatino Linotype"/>
          <w:color w:val="222222"/>
          <w:lang w:eastAsia="es-ES_tradnl"/>
        </w:rPr>
        <w:t>a</w:t>
      </w:r>
      <w:r w:rsidRPr="00AC2CF9">
        <w:rPr>
          <w:rFonts w:ascii="Palatino Linotype" w:hAnsi="Palatino Linotype"/>
          <w:b/>
          <w:color w:val="222222"/>
          <w:lang w:eastAsia="es-ES_tradnl"/>
        </w:rPr>
        <w:t xml:space="preserve"> </w:t>
      </w:r>
      <w:r w:rsidRPr="00AC2CF9">
        <w:rPr>
          <w:rFonts w:ascii="Palatino Linotype" w:hAnsi="Palatino Linotype"/>
          <w:b/>
        </w:rPr>
        <w:t>EL RECURRENTE</w:t>
      </w:r>
      <w:r w:rsidRPr="00AC2CF9">
        <w:rPr>
          <w:rFonts w:ascii="Palatino Linotype" w:hAnsi="Palatino Linotype"/>
          <w:color w:val="222222"/>
          <w:lang w:eastAsia="es-ES_tradnl"/>
        </w:rPr>
        <w:t xml:space="preserve"> la presente resolución, vía </w:t>
      </w:r>
      <w:r w:rsidRPr="00AC2CF9">
        <w:rPr>
          <w:rFonts w:ascii="Palatino Linotype" w:hAnsi="Palatino Linotype"/>
          <w:b/>
          <w:color w:val="222222"/>
          <w:lang w:eastAsia="es-ES_tradnl"/>
        </w:rPr>
        <w:t>SAIMEX</w:t>
      </w:r>
      <w:r w:rsidRPr="00AC2CF9">
        <w:rPr>
          <w:rFonts w:ascii="Palatino Linotype" w:hAnsi="Palatino Linotype"/>
          <w:color w:val="222222"/>
          <w:lang w:eastAsia="es-ES_tradnl"/>
        </w:rPr>
        <w:t>.</w:t>
      </w:r>
    </w:p>
    <w:p w:rsidR="00433A8D" w:rsidRPr="00AC2CF9" w:rsidRDefault="00433A8D" w:rsidP="00AC2CF9">
      <w:pPr>
        <w:pStyle w:val="Prrafodelista"/>
        <w:widowControl w:val="0"/>
        <w:tabs>
          <w:tab w:val="left" w:pos="1701"/>
        </w:tabs>
        <w:autoSpaceDE w:val="0"/>
        <w:autoSpaceDN w:val="0"/>
        <w:adjustRightInd w:val="0"/>
        <w:spacing w:line="360" w:lineRule="auto"/>
        <w:ind w:left="0"/>
        <w:jc w:val="both"/>
        <w:rPr>
          <w:rFonts w:ascii="Palatino Linotype" w:hAnsi="Palatino Linotype"/>
          <w:color w:val="222222"/>
          <w:lang w:eastAsia="es-ES_tradnl"/>
        </w:rPr>
      </w:pPr>
    </w:p>
    <w:p w:rsidR="00531473" w:rsidRPr="00AC2CF9" w:rsidRDefault="00531473" w:rsidP="00AC2CF9">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rPr>
      </w:pPr>
      <w:r w:rsidRPr="00AC2CF9">
        <w:rPr>
          <w:rFonts w:ascii="Palatino Linotype" w:hAnsi="Palatino Linotype"/>
          <w:b/>
          <w:color w:val="222222"/>
          <w:lang w:eastAsia="es-ES_tradnl"/>
        </w:rPr>
        <w:t xml:space="preserve">CUARTO. </w:t>
      </w:r>
      <w:r w:rsidR="000E31C4" w:rsidRPr="00AC2CF9">
        <w:rPr>
          <w:rFonts w:ascii="Palatino Linotype" w:eastAsia="MS Mincho" w:hAnsi="Palatino Linotype"/>
        </w:rPr>
        <w:t xml:space="preserve">Se hace del conocimiento de </w:t>
      </w:r>
      <w:r w:rsidR="000E31C4" w:rsidRPr="00AC2CF9">
        <w:rPr>
          <w:rFonts w:ascii="Palatino Linotype" w:eastAsia="MS Mincho" w:hAnsi="Palatino Linotype"/>
          <w:b/>
        </w:rPr>
        <w:t>LA RECURRENTE</w:t>
      </w:r>
      <w:r w:rsidR="000E31C4" w:rsidRPr="00AC2CF9">
        <w:rPr>
          <w:rFonts w:ascii="Palatino Linotype" w:hAnsi="Palatino Linotype"/>
        </w:rPr>
        <w:t xml:space="preserve"> </w:t>
      </w:r>
      <w:r w:rsidR="000E31C4" w:rsidRPr="00AC2CF9">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000E31C4" w:rsidRPr="00AC2CF9">
        <w:rPr>
          <w:rFonts w:ascii="Palatino Linotype" w:eastAsia="MS Mincho" w:hAnsi="Palatino Linotype"/>
          <w:bCs/>
        </w:rPr>
        <w:t>vía juicio de amparo</w:t>
      </w:r>
      <w:r w:rsidR="000E31C4" w:rsidRPr="00AC2CF9">
        <w:rPr>
          <w:rFonts w:ascii="Palatino Linotype" w:eastAsia="MS Mincho" w:hAnsi="Palatino Linotype"/>
        </w:rPr>
        <w:t> en los términos de las leyes aplicables.</w:t>
      </w:r>
    </w:p>
    <w:p w:rsidR="00AC2CF9" w:rsidRPr="00AC2CF9" w:rsidRDefault="00AC2CF9" w:rsidP="00AC2CF9">
      <w:pPr>
        <w:pStyle w:val="Prrafodelista"/>
        <w:widowControl w:val="0"/>
        <w:tabs>
          <w:tab w:val="left" w:pos="1701"/>
        </w:tabs>
        <w:autoSpaceDE w:val="0"/>
        <w:autoSpaceDN w:val="0"/>
        <w:adjustRightInd w:val="0"/>
        <w:spacing w:line="360" w:lineRule="auto"/>
        <w:ind w:left="0"/>
        <w:jc w:val="both"/>
        <w:rPr>
          <w:rFonts w:ascii="Palatino Linotype" w:hAnsi="Palatino Linotype"/>
          <w:color w:val="222222"/>
          <w:lang w:eastAsia="es-ES_tradnl"/>
        </w:rPr>
      </w:pPr>
    </w:p>
    <w:p w:rsidR="00737502" w:rsidRPr="003F1E88" w:rsidRDefault="00737502" w:rsidP="00737502">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rPr>
      </w:pPr>
    </w:p>
    <w:p w:rsidR="00276666" w:rsidRPr="00E55223" w:rsidRDefault="00276666" w:rsidP="00276666">
      <w:pPr>
        <w:spacing w:before="240" w:after="240" w:line="360" w:lineRule="auto"/>
        <w:ind w:firstLine="1"/>
        <w:jc w:val="both"/>
        <w:rPr>
          <w:rFonts w:ascii="Palatino Linotype" w:hAnsi="Palatino Linotype"/>
          <w:smallCaps/>
        </w:rPr>
      </w:pPr>
      <w:bookmarkStart w:id="168" w:name="_Hlk129792997"/>
      <w:r w:rsidRPr="00E55223">
        <w:rPr>
          <w:rStyle w:val="Referenciasutil"/>
          <w:rFonts w:ascii="Palatino Linotype" w:hAnsi="Palatino Linotype"/>
          <w:color w:val="auto"/>
        </w:rPr>
        <w:t xml:space="preserve">ASÍ LO APROBÓ POR UNANIMIDAD DE VOTOS, EL PLENO DEL INSTITUTO DE TRANSPARENCIA, ACCESO A LA INFORMACIÓN PÚBLICA Y PROTECCIÓN DE DATOS PERSONALES DEL ESTADO DE MÉXICO Y MUNICIPIOS, </w:t>
      </w:r>
      <w:r w:rsidRPr="00E55223">
        <w:rPr>
          <w:rStyle w:val="Referenciasutil"/>
          <w:rFonts w:ascii="Palatino Linotype" w:hAnsi="Palatino Linotype"/>
          <w:color w:val="auto"/>
        </w:rPr>
        <w:lastRenderedPageBreak/>
        <w:t>CONFORMADO POR LOS COMISIONADOS JOSÉ MARTÍNEZ VILCHIS; MARÍA DEL ROSARIO MEJÍA AYALA; SHARON CRISTINA MORALES MARTÍNEZ</w:t>
      </w:r>
      <w:r w:rsidR="00407808">
        <w:rPr>
          <w:rStyle w:val="Referenciasutil"/>
          <w:rFonts w:ascii="Palatino Linotype" w:hAnsi="Palatino Linotype"/>
          <w:color w:val="auto"/>
        </w:rPr>
        <w:t xml:space="preserve"> (AUSENCIA JUSTIFICADA)</w:t>
      </w:r>
      <w:r w:rsidRPr="00E55223">
        <w:rPr>
          <w:rStyle w:val="Referenciasutil"/>
          <w:rFonts w:ascii="Palatino Linotype" w:hAnsi="Palatino Linotype"/>
          <w:color w:val="auto"/>
        </w:rPr>
        <w:t xml:space="preserve">; LUIS GUSTAVO PARRA NORIEGA Y GUADALUPE RAMÍREZ PEÑA; EN LA TRIGÉSIMA SÉPTIMA SESIÓN ORDINARIA </w:t>
      </w:r>
      <w:r w:rsidRPr="00F50D72">
        <w:rPr>
          <w:rStyle w:val="Referenciasutil"/>
          <w:rFonts w:ascii="Palatino Linotype" w:hAnsi="Palatino Linotype"/>
          <w:color w:val="000000" w:themeColor="text1"/>
        </w:rPr>
        <w:t xml:space="preserve">CELEBRADA EL DOCE (12) DE OCTUBRE </w:t>
      </w:r>
      <w:r w:rsidRPr="00E55223">
        <w:rPr>
          <w:rStyle w:val="Referenciasutil"/>
          <w:rFonts w:ascii="Palatino Linotype" w:hAnsi="Palatino Linotype"/>
          <w:color w:val="auto"/>
        </w:rPr>
        <w:t xml:space="preserve">DE DOS MIL VEINTITRÉS, ANTE EL SECRETARIO TÉCNICO DEL PLENO ALEXIS TAPIA RAMÍREZ. </w:t>
      </w:r>
      <w:bookmarkEnd w:id="168"/>
    </w:p>
    <w:p w:rsidR="00583A43" w:rsidRDefault="00583A43" w:rsidP="00583A43">
      <w:pPr>
        <w:spacing w:before="240" w:after="240" w:line="360" w:lineRule="auto"/>
        <w:ind w:firstLine="1"/>
        <w:jc w:val="both"/>
        <w:rPr>
          <w:rStyle w:val="Referenciasutil"/>
          <w:rFonts w:ascii="Palatino Linotype" w:hAnsi="Palatino Linotype"/>
          <w:color w:val="auto"/>
        </w:rPr>
      </w:pPr>
    </w:p>
    <w:p w:rsidR="00583A43" w:rsidRDefault="00583A43" w:rsidP="00583A43">
      <w:pPr>
        <w:spacing w:before="240" w:after="240" w:line="360" w:lineRule="auto"/>
        <w:ind w:firstLine="1"/>
        <w:jc w:val="both"/>
        <w:rPr>
          <w:rStyle w:val="Referenciasutil"/>
          <w:rFonts w:ascii="Palatino Linotype" w:hAnsi="Palatino Linotype"/>
          <w:color w:val="auto"/>
        </w:rPr>
      </w:pPr>
    </w:p>
    <w:p w:rsidR="00583A43" w:rsidRDefault="00583A43" w:rsidP="00583A43">
      <w:pPr>
        <w:spacing w:before="240" w:after="240" w:line="360" w:lineRule="auto"/>
        <w:ind w:firstLine="1"/>
        <w:jc w:val="both"/>
        <w:rPr>
          <w:rStyle w:val="Referenciasutil"/>
          <w:rFonts w:ascii="Palatino Linotype" w:hAnsi="Palatino Linotype"/>
          <w:color w:val="auto"/>
        </w:rPr>
      </w:pPr>
    </w:p>
    <w:p w:rsidR="00583A43" w:rsidRDefault="00583A43" w:rsidP="00583A43">
      <w:pPr>
        <w:spacing w:before="240" w:after="240" w:line="360" w:lineRule="auto"/>
        <w:ind w:firstLine="1"/>
        <w:jc w:val="both"/>
        <w:rPr>
          <w:rStyle w:val="Referenciasutil"/>
          <w:rFonts w:ascii="Palatino Linotype" w:hAnsi="Palatino Linotype"/>
          <w:color w:val="auto"/>
        </w:rPr>
      </w:pPr>
    </w:p>
    <w:p w:rsidR="00583A43" w:rsidRDefault="00583A43" w:rsidP="00583A43">
      <w:pPr>
        <w:spacing w:before="240" w:after="240" w:line="360" w:lineRule="auto"/>
        <w:ind w:firstLine="1"/>
        <w:jc w:val="both"/>
        <w:rPr>
          <w:rStyle w:val="Referenciasutil"/>
          <w:rFonts w:ascii="Palatino Linotype" w:hAnsi="Palatino Linotype"/>
          <w:color w:val="auto"/>
        </w:rPr>
      </w:pPr>
    </w:p>
    <w:p w:rsidR="00583A43" w:rsidRDefault="00583A43" w:rsidP="00583A43">
      <w:pPr>
        <w:spacing w:before="240" w:after="240" w:line="360" w:lineRule="auto"/>
        <w:ind w:firstLine="1"/>
        <w:jc w:val="both"/>
        <w:rPr>
          <w:rStyle w:val="Referenciasutil"/>
          <w:rFonts w:ascii="Palatino Linotype" w:hAnsi="Palatino Linotype"/>
          <w:color w:val="auto"/>
        </w:rPr>
      </w:pPr>
    </w:p>
    <w:p w:rsidR="00583A43" w:rsidRDefault="00583A43" w:rsidP="00583A43">
      <w:pPr>
        <w:spacing w:before="240" w:after="240" w:line="360" w:lineRule="auto"/>
        <w:ind w:firstLine="1"/>
        <w:jc w:val="both"/>
        <w:rPr>
          <w:rStyle w:val="Referenciasutil"/>
          <w:rFonts w:ascii="Palatino Linotype" w:hAnsi="Palatino Linotype"/>
          <w:color w:val="auto"/>
        </w:rPr>
      </w:pPr>
    </w:p>
    <w:p w:rsidR="00583A43" w:rsidRDefault="00583A43" w:rsidP="00583A43">
      <w:pPr>
        <w:spacing w:before="240" w:after="240" w:line="360" w:lineRule="auto"/>
        <w:ind w:firstLine="1"/>
        <w:jc w:val="both"/>
        <w:rPr>
          <w:rStyle w:val="Referenciasutil"/>
          <w:rFonts w:ascii="Palatino Linotype" w:hAnsi="Palatino Linotype"/>
          <w:color w:val="auto"/>
        </w:rPr>
      </w:pPr>
    </w:p>
    <w:p w:rsidR="00583A43" w:rsidRDefault="00583A43" w:rsidP="00583A43">
      <w:pPr>
        <w:spacing w:before="240" w:after="240" w:line="360" w:lineRule="auto"/>
        <w:ind w:firstLine="1"/>
        <w:jc w:val="both"/>
        <w:rPr>
          <w:rStyle w:val="Referenciasutil"/>
          <w:rFonts w:ascii="Palatino Linotype" w:hAnsi="Palatino Linotype"/>
          <w:color w:val="auto"/>
        </w:rPr>
      </w:pPr>
    </w:p>
    <w:p w:rsidR="00583A43" w:rsidRDefault="00583A43" w:rsidP="00583A43">
      <w:pPr>
        <w:spacing w:before="240" w:after="240" w:line="360" w:lineRule="auto"/>
        <w:ind w:firstLine="1"/>
        <w:jc w:val="both"/>
        <w:rPr>
          <w:rStyle w:val="Referenciasutil"/>
          <w:rFonts w:ascii="Palatino Linotype" w:hAnsi="Palatino Linotype"/>
          <w:color w:val="auto"/>
        </w:rPr>
      </w:pPr>
    </w:p>
    <w:p w:rsidR="00583A43" w:rsidRPr="00583A43" w:rsidRDefault="00583A43" w:rsidP="00583A43">
      <w:pPr>
        <w:spacing w:before="240" w:after="240" w:line="360" w:lineRule="auto"/>
        <w:ind w:firstLine="1"/>
        <w:jc w:val="both"/>
        <w:rPr>
          <w:rFonts w:ascii="Palatino Linotype" w:hAnsi="Palatino Linotype"/>
          <w:smallCaps/>
        </w:rPr>
      </w:pPr>
    </w:p>
    <w:p w:rsidR="009F09BC" w:rsidRPr="00AC2CF9" w:rsidRDefault="009F09BC" w:rsidP="00AC2CF9">
      <w:pPr>
        <w:spacing w:line="360" w:lineRule="auto"/>
        <w:jc w:val="both"/>
        <w:rPr>
          <w:rFonts w:ascii="Palatino Linotype" w:hAnsi="Palatino Linotype"/>
          <w:color w:val="000000" w:themeColor="text1"/>
        </w:rPr>
      </w:pPr>
    </w:p>
    <w:p w:rsidR="00053FB7" w:rsidRPr="00AC2CF9" w:rsidRDefault="00053FB7" w:rsidP="00AC2CF9">
      <w:pPr>
        <w:tabs>
          <w:tab w:val="left" w:pos="3374"/>
        </w:tabs>
        <w:spacing w:line="360" w:lineRule="auto"/>
        <w:rPr>
          <w:rFonts w:ascii="Palatino Linotype" w:hAnsi="Palatino Linotype"/>
          <w:color w:val="000000" w:themeColor="text1"/>
        </w:rPr>
      </w:pPr>
    </w:p>
    <w:p w:rsidR="00053FB7" w:rsidRPr="00AC2CF9" w:rsidRDefault="00053FB7" w:rsidP="00AC2CF9">
      <w:pPr>
        <w:tabs>
          <w:tab w:val="left" w:pos="3374"/>
        </w:tabs>
        <w:spacing w:line="360" w:lineRule="auto"/>
        <w:rPr>
          <w:rFonts w:ascii="Palatino Linotype" w:hAnsi="Palatino Linotype"/>
          <w:color w:val="000000" w:themeColor="text1"/>
        </w:rPr>
      </w:pPr>
    </w:p>
    <w:p w:rsidR="00053FB7" w:rsidRPr="00AC2CF9" w:rsidRDefault="00053FB7" w:rsidP="00AC2CF9">
      <w:pPr>
        <w:tabs>
          <w:tab w:val="left" w:pos="3374"/>
        </w:tabs>
        <w:spacing w:line="360" w:lineRule="auto"/>
        <w:rPr>
          <w:rFonts w:ascii="Palatino Linotype" w:hAnsi="Palatino Linotype"/>
          <w:color w:val="000000" w:themeColor="text1"/>
        </w:rPr>
      </w:pPr>
    </w:p>
    <w:p w:rsidR="00053FB7" w:rsidRPr="00AC2CF9" w:rsidRDefault="00053FB7" w:rsidP="00AC2CF9">
      <w:pPr>
        <w:tabs>
          <w:tab w:val="left" w:pos="3374"/>
        </w:tabs>
        <w:spacing w:line="360" w:lineRule="auto"/>
        <w:rPr>
          <w:rFonts w:ascii="Palatino Linotype" w:hAnsi="Palatino Linotype"/>
          <w:color w:val="000000" w:themeColor="text1"/>
        </w:rPr>
      </w:pPr>
    </w:p>
    <w:sectPr w:rsidR="00053FB7" w:rsidRPr="00AC2CF9" w:rsidSect="004D465B">
      <w:headerReference w:type="even" r:id="rId13"/>
      <w:headerReference w:type="default" r:id="rId14"/>
      <w:footerReference w:type="default" r:id="rId15"/>
      <w:headerReference w:type="first" r:id="rId16"/>
      <w:footerReference w:type="first" r:id="rId17"/>
      <w:pgSz w:w="12240" w:h="15840"/>
      <w:pgMar w:top="2268" w:right="1701" w:bottom="1843" w:left="1701" w:header="851"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3A05" w:rsidRDefault="00133A05" w:rsidP="003B7751">
      <w:r>
        <w:separator/>
      </w:r>
    </w:p>
  </w:endnote>
  <w:endnote w:type="continuationSeparator" w:id="0">
    <w:p w:rsidR="00133A05" w:rsidRDefault="00133A05"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D46375" w:rsidRPr="002D6DD8" w:rsidRDefault="00D46375"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52492">
              <w:rPr>
                <w:rFonts w:ascii="Palatino Linotype" w:hAnsi="Palatino Linotype"/>
                <w:bCs/>
                <w:noProof/>
                <w:sz w:val="20"/>
              </w:rPr>
              <w:t>9</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052492">
              <w:rPr>
                <w:rFonts w:ascii="Palatino Linotype" w:hAnsi="Palatino Linotype"/>
                <w:bCs/>
                <w:noProof/>
                <w:sz w:val="20"/>
              </w:rPr>
              <w:t>18</w:t>
            </w:r>
            <w:r>
              <w:rPr>
                <w:rFonts w:ascii="Palatino Linotype" w:hAnsi="Palatino Linotype"/>
                <w:bCs/>
                <w:noProof/>
                <w:sz w:val="20"/>
              </w:rPr>
              <w:fldChar w:fldCharType="end"/>
            </w:r>
          </w:p>
        </w:sdtContent>
      </w:sdt>
    </w:sdtContent>
  </w:sdt>
  <w:p w:rsidR="00D46375" w:rsidRDefault="00D4637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375" w:rsidRPr="000B69FA" w:rsidRDefault="00D46375"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5249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052492">
      <w:rPr>
        <w:rFonts w:ascii="Palatino Linotype" w:hAnsi="Palatino Linotype"/>
        <w:bCs/>
        <w:noProof/>
        <w:sz w:val="20"/>
      </w:rPr>
      <w:t>18</w:t>
    </w:r>
    <w:r>
      <w:rPr>
        <w:rFonts w:ascii="Palatino Linotype" w:hAnsi="Palatino Linotype"/>
        <w:bCs/>
        <w:noProof/>
        <w:sz w:val="20"/>
      </w:rPr>
      <w:fldChar w:fldCharType="end"/>
    </w:r>
  </w:p>
  <w:p w:rsidR="00D46375" w:rsidRDefault="00D463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3A05" w:rsidRDefault="00133A05" w:rsidP="003B7751">
      <w:r>
        <w:separator/>
      </w:r>
    </w:p>
  </w:footnote>
  <w:footnote w:type="continuationSeparator" w:id="0">
    <w:p w:rsidR="00133A05" w:rsidRDefault="00133A05" w:rsidP="003B7751">
      <w:r>
        <w:continuationSeparator/>
      </w:r>
    </w:p>
  </w:footnote>
  <w:footnote w:id="1">
    <w:p w:rsidR="00134CE6" w:rsidRPr="00600612" w:rsidRDefault="00134CE6" w:rsidP="00134CE6">
      <w:pPr>
        <w:pStyle w:val="Textonotapie"/>
      </w:pPr>
      <w:r>
        <w:rPr>
          <w:rStyle w:val="Refdenotaalpie"/>
        </w:rPr>
        <w:footnoteRef/>
      </w:r>
      <w:r>
        <w:t xml:space="preserve"> </w:t>
      </w:r>
      <w:r w:rsidRPr="00600612">
        <w:t>1012916. 317. Primera Sala. Novena Época. Apéndice 1917-Septiembre 2011. Tomo V. Civil Primera Parte - SCJN Primera Sección - Civil Subsección 2 - Adjetivo, Pág. 320.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375" w:rsidRDefault="00133A05">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087" w:type="dxa"/>
      <w:tblInd w:w="2694" w:type="dxa"/>
      <w:tblCellMar>
        <w:left w:w="70" w:type="dxa"/>
        <w:right w:w="70" w:type="dxa"/>
      </w:tblCellMar>
      <w:tblLook w:val="04A0" w:firstRow="1" w:lastRow="0" w:firstColumn="1" w:lastColumn="0" w:noHBand="0" w:noVBand="1"/>
    </w:tblPr>
    <w:tblGrid>
      <w:gridCol w:w="2976"/>
      <w:gridCol w:w="4111"/>
    </w:tblGrid>
    <w:tr w:rsidR="00D46375" w:rsidTr="004053B1">
      <w:trPr>
        <w:trHeight w:val="227"/>
      </w:trPr>
      <w:tc>
        <w:tcPr>
          <w:tcW w:w="2976" w:type="dxa"/>
          <w:vAlign w:val="center"/>
          <w:hideMark/>
        </w:tcPr>
        <w:p w:rsidR="00D46375" w:rsidRPr="00674A46" w:rsidRDefault="00D46375"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4111" w:type="dxa"/>
          <w:vAlign w:val="center"/>
          <w:hideMark/>
        </w:tcPr>
        <w:p w:rsidR="00D46375" w:rsidRPr="004053B1" w:rsidRDefault="00AB4B60" w:rsidP="002650A0">
          <w:pPr>
            <w:pStyle w:val="Encabezado"/>
            <w:rPr>
              <w:rFonts w:ascii="Palatino Linotype" w:hAnsi="Palatino Linotype"/>
              <w:sz w:val="22"/>
              <w:szCs w:val="22"/>
            </w:rPr>
          </w:pPr>
          <w:r w:rsidRPr="004053B1">
            <w:rPr>
              <w:rFonts w:ascii="Palatino Linotype" w:hAnsi="Palatino Linotype" w:cs="Arial"/>
              <w:bCs/>
              <w:sz w:val="22"/>
              <w:szCs w:val="22"/>
              <w:lang w:eastAsia="es-MX"/>
            </w:rPr>
            <w:t>04243/INFOEM/IP/RR/2023</w:t>
          </w:r>
        </w:p>
      </w:tc>
    </w:tr>
    <w:tr w:rsidR="00D46375" w:rsidTr="004053B1">
      <w:trPr>
        <w:trHeight w:val="242"/>
      </w:trPr>
      <w:tc>
        <w:tcPr>
          <w:tcW w:w="2976" w:type="dxa"/>
          <w:vAlign w:val="center"/>
          <w:hideMark/>
        </w:tcPr>
        <w:p w:rsidR="00D46375" w:rsidRPr="00674A46" w:rsidRDefault="00D46375"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hideMark/>
        </w:tcPr>
        <w:p w:rsidR="00D46375" w:rsidRPr="004053B1" w:rsidRDefault="00AB4B60" w:rsidP="009F09BC">
          <w:pPr>
            <w:pStyle w:val="Encabezado"/>
            <w:jc w:val="both"/>
            <w:rPr>
              <w:rFonts w:ascii="Palatino Linotype" w:hAnsi="Palatino Linotype"/>
              <w:sz w:val="22"/>
              <w:szCs w:val="22"/>
            </w:rPr>
          </w:pPr>
          <w:r w:rsidRPr="004053B1">
            <w:rPr>
              <w:rFonts w:ascii="Palatino Linotype" w:hAnsi="Palatino Linotype"/>
              <w:bCs/>
              <w:color w:val="000000"/>
              <w:sz w:val="22"/>
              <w:szCs w:val="22"/>
            </w:rPr>
            <w:t>Ayuntamiento de Ecatepec de Morelos</w:t>
          </w:r>
        </w:p>
      </w:tc>
    </w:tr>
    <w:tr w:rsidR="00D46375" w:rsidTr="004053B1">
      <w:trPr>
        <w:trHeight w:val="342"/>
      </w:trPr>
      <w:tc>
        <w:tcPr>
          <w:tcW w:w="2976" w:type="dxa"/>
          <w:vAlign w:val="center"/>
          <w:hideMark/>
        </w:tcPr>
        <w:p w:rsidR="00D46375" w:rsidRPr="00674A46" w:rsidRDefault="00D46375" w:rsidP="00103414">
          <w:pPr>
            <w:ind w:right="34"/>
            <w:jc w:val="right"/>
            <w:rPr>
              <w:rFonts w:ascii="Palatino Linotype" w:hAnsi="Palatino Linotype"/>
              <w:b/>
              <w:sz w:val="22"/>
              <w:szCs w:val="22"/>
            </w:rPr>
          </w:pPr>
          <w:r w:rsidRPr="00674A46">
            <w:rPr>
              <w:rFonts w:ascii="Palatino Linotype" w:hAnsi="Palatino Linotype"/>
              <w:b/>
              <w:sz w:val="22"/>
              <w:szCs w:val="22"/>
            </w:rPr>
            <w:t>Comisionad</w:t>
          </w:r>
          <w:r w:rsidR="00103414">
            <w:rPr>
              <w:rFonts w:ascii="Palatino Linotype" w:hAnsi="Palatino Linotype"/>
              <w:b/>
              <w:sz w:val="22"/>
              <w:szCs w:val="22"/>
            </w:rPr>
            <w:t>a</w:t>
          </w:r>
          <w:r w:rsidRPr="00674A46">
            <w:rPr>
              <w:rFonts w:ascii="Palatino Linotype" w:hAnsi="Palatino Linotype"/>
              <w:b/>
              <w:sz w:val="22"/>
              <w:szCs w:val="22"/>
            </w:rPr>
            <w:t xml:space="preserve"> Ponente:</w:t>
          </w:r>
        </w:p>
      </w:tc>
      <w:tc>
        <w:tcPr>
          <w:tcW w:w="4111" w:type="dxa"/>
          <w:vAlign w:val="center"/>
          <w:hideMark/>
        </w:tcPr>
        <w:p w:rsidR="00D46375" w:rsidRPr="004053B1" w:rsidRDefault="00D46375" w:rsidP="009F09BC">
          <w:pPr>
            <w:pStyle w:val="Encabezado"/>
            <w:rPr>
              <w:rFonts w:ascii="Palatino Linotype" w:hAnsi="Palatino Linotype"/>
              <w:sz w:val="22"/>
              <w:szCs w:val="22"/>
            </w:rPr>
          </w:pPr>
          <w:r w:rsidRPr="004053B1">
            <w:rPr>
              <w:rFonts w:ascii="Palatino Linotype" w:hAnsi="Palatino Linotype"/>
              <w:sz w:val="22"/>
              <w:szCs w:val="22"/>
            </w:rPr>
            <w:t>María del Rosario Mejía Ayala</w:t>
          </w:r>
        </w:p>
      </w:tc>
    </w:tr>
  </w:tbl>
  <w:p w:rsidR="00D46375" w:rsidRPr="00AE046A" w:rsidRDefault="00133A05"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75pt;margin-top:-113.2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371" w:type="dxa"/>
      <w:tblInd w:w="2552" w:type="dxa"/>
      <w:tblCellMar>
        <w:left w:w="70" w:type="dxa"/>
        <w:right w:w="70" w:type="dxa"/>
      </w:tblCellMar>
      <w:tblLook w:val="04A0" w:firstRow="1" w:lastRow="0" w:firstColumn="1" w:lastColumn="0" w:noHBand="0" w:noVBand="1"/>
    </w:tblPr>
    <w:tblGrid>
      <w:gridCol w:w="2977"/>
      <w:gridCol w:w="4394"/>
    </w:tblGrid>
    <w:tr w:rsidR="00D46375" w:rsidRPr="004053B1" w:rsidTr="004053B1">
      <w:trPr>
        <w:trHeight w:val="227"/>
      </w:trPr>
      <w:tc>
        <w:tcPr>
          <w:tcW w:w="2977" w:type="dxa"/>
          <w:vAlign w:val="center"/>
          <w:hideMark/>
        </w:tcPr>
        <w:p w:rsidR="00D46375" w:rsidRPr="004053B1" w:rsidRDefault="00D46375" w:rsidP="009F09BC">
          <w:pPr>
            <w:jc w:val="right"/>
            <w:rPr>
              <w:rFonts w:ascii="Palatino Linotype" w:hAnsi="Palatino Linotype"/>
              <w:b/>
              <w:sz w:val="22"/>
              <w:szCs w:val="22"/>
            </w:rPr>
          </w:pPr>
          <w:r w:rsidRPr="004053B1">
            <w:rPr>
              <w:rFonts w:ascii="Palatino Linotype" w:hAnsi="Palatino Linotype"/>
              <w:b/>
              <w:sz w:val="22"/>
              <w:szCs w:val="22"/>
            </w:rPr>
            <w:t>Recurso de Revisión:</w:t>
          </w:r>
        </w:p>
      </w:tc>
      <w:tc>
        <w:tcPr>
          <w:tcW w:w="4394" w:type="dxa"/>
          <w:vAlign w:val="center"/>
          <w:hideMark/>
        </w:tcPr>
        <w:p w:rsidR="00D46375" w:rsidRPr="004053B1" w:rsidRDefault="00433A8D" w:rsidP="0069487D">
          <w:pPr>
            <w:pStyle w:val="Encabezado"/>
            <w:rPr>
              <w:rFonts w:ascii="Palatino Linotype" w:hAnsi="Palatino Linotype"/>
              <w:sz w:val="22"/>
              <w:szCs w:val="22"/>
            </w:rPr>
          </w:pPr>
          <w:r w:rsidRPr="004053B1">
            <w:rPr>
              <w:rFonts w:ascii="Palatino Linotype" w:hAnsi="Palatino Linotype" w:cs="Arial"/>
              <w:bCs/>
              <w:sz w:val="22"/>
              <w:szCs w:val="22"/>
              <w:lang w:eastAsia="es-MX"/>
            </w:rPr>
            <w:t>04243/INFOEM/IP/RR/2023</w:t>
          </w:r>
        </w:p>
      </w:tc>
    </w:tr>
    <w:tr w:rsidR="00D46375" w:rsidRPr="004053B1" w:rsidTr="004053B1">
      <w:trPr>
        <w:trHeight w:val="242"/>
      </w:trPr>
      <w:tc>
        <w:tcPr>
          <w:tcW w:w="2977" w:type="dxa"/>
          <w:vAlign w:val="center"/>
          <w:hideMark/>
        </w:tcPr>
        <w:p w:rsidR="00D46375" w:rsidRPr="004053B1" w:rsidRDefault="00D46375" w:rsidP="009F09BC">
          <w:pPr>
            <w:jc w:val="right"/>
            <w:rPr>
              <w:rFonts w:ascii="Palatino Linotype" w:hAnsi="Palatino Linotype"/>
              <w:b/>
              <w:sz w:val="22"/>
              <w:szCs w:val="22"/>
            </w:rPr>
          </w:pPr>
          <w:r w:rsidRPr="004053B1">
            <w:rPr>
              <w:rFonts w:ascii="Palatino Linotype" w:hAnsi="Palatino Linotype"/>
              <w:b/>
              <w:sz w:val="22"/>
              <w:szCs w:val="22"/>
            </w:rPr>
            <w:t>Recurrente:</w:t>
          </w:r>
        </w:p>
      </w:tc>
      <w:tc>
        <w:tcPr>
          <w:tcW w:w="4394" w:type="dxa"/>
          <w:hideMark/>
        </w:tcPr>
        <w:p w:rsidR="00D46375" w:rsidRPr="004053B1" w:rsidRDefault="009B14A8" w:rsidP="00433A8D">
          <w:pPr>
            <w:pStyle w:val="Encabezado"/>
            <w:jc w:val="both"/>
            <w:rPr>
              <w:rFonts w:ascii="Palatino Linotype" w:hAnsi="Palatino Linotype"/>
              <w:sz w:val="22"/>
              <w:szCs w:val="22"/>
            </w:rPr>
          </w:pPr>
          <w:r>
            <w:rPr>
              <w:rFonts w:ascii="Palatino Linotype" w:hAnsi="Palatino Linotype"/>
              <w:bCs/>
              <w:color w:val="000000"/>
              <w:sz w:val="22"/>
              <w:szCs w:val="22"/>
            </w:rPr>
            <w:t>XXXX XXX XXX</w:t>
          </w:r>
        </w:p>
      </w:tc>
    </w:tr>
    <w:tr w:rsidR="00D46375" w:rsidRPr="004053B1" w:rsidTr="004053B1">
      <w:trPr>
        <w:trHeight w:val="342"/>
      </w:trPr>
      <w:tc>
        <w:tcPr>
          <w:tcW w:w="2977" w:type="dxa"/>
          <w:vAlign w:val="center"/>
        </w:tcPr>
        <w:p w:rsidR="00D46375" w:rsidRPr="004053B1" w:rsidRDefault="00D46375" w:rsidP="009F09BC">
          <w:pPr>
            <w:jc w:val="right"/>
            <w:rPr>
              <w:rFonts w:ascii="Palatino Linotype" w:hAnsi="Palatino Linotype"/>
              <w:b/>
              <w:sz w:val="22"/>
              <w:szCs w:val="22"/>
            </w:rPr>
          </w:pPr>
          <w:r w:rsidRPr="004053B1">
            <w:rPr>
              <w:rFonts w:ascii="Palatino Linotype" w:hAnsi="Palatino Linotype"/>
              <w:b/>
              <w:sz w:val="22"/>
              <w:szCs w:val="22"/>
            </w:rPr>
            <w:t>Sujeto Obligado:</w:t>
          </w:r>
        </w:p>
      </w:tc>
      <w:tc>
        <w:tcPr>
          <w:tcW w:w="4394" w:type="dxa"/>
          <w:vAlign w:val="center"/>
        </w:tcPr>
        <w:p w:rsidR="00D46375" w:rsidRPr="004053B1" w:rsidRDefault="00433A8D" w:rsidP="004053B1">
          <w:pPr>
            <w:pStyle w:val="Encabezado"/>
            <w:tabs>
              <w:tab w:val="clear" w:pos="4419"/>
            </w:tabs>
            <w:jc w:val="both"/>
            <w:rPr>
              <w:rFonts w:ascii="Palatino Linotype" w:hAnsi="Palatino Linotype"/>
              <w:sz w:val="22"/>
              <w:szCs w:val="22"/>
            </w:rPr>
          </w:pPr>
          <w:r w:rsidRPr="004053B1">
            <w:rPr>
              <w:rFonts w:ascii="Palatino Linotype" w:hAnsi="Palatino Linotype"/>
              <w:bCs/>
              <w:color w:val="000000"/>
              <w:sz w:val="22"/>
              <w:szCs w:val="22"/>
            </w:rPr>
            <w:t>Ayuntamiento de Ecatepec de Morelos</w:t>
          </w:r>
        </w:p>
      </w:tc>
    </w:tr>
    <w:tr w:rsidR="00D46375" w:rsidRPr="004053B1" w:rsidTr="004053B1">
      <w:trPr>
        <w:trHeight w:val="342"/>
      </w:trPr>
      <w:tc>
        <w:tcPr>
          <w:tcW w:w="2977" w:type="dxa"/>
          <w:vAlign w:val="center"/>
        </w:tcPr>
        <w:p w:rsidR="00D46375" w:rsidRPr="004053B1" w:rsidRDefault="00D46375" w:rsidP="009F09BC">
          <w:pPr>
            <w:jc w:val="right"/>
            <w:rPr>
              <w:rFonts w:ascii="Palatino Linotype" w:hAnsi="Palatino Linotype"/>
              <w:b/>
              <w:sz w:val="22"/>
              <w:szCs w:val="22"/>
            </w:rPr>
          </w:pPr>
          <w:r w:rsidRPr="004053B1">
            <w:rPr>
              <w:rFonts w:ascii="Palatino Linotype" w:hAnsi="Palatino Linotype"/>
              <w:b/>
              <w:sz w:val="22"/>
              <w:szCs w:val="22"/>
            </w:rPr>
            <w:t>Comisionada Ponente:</w:t>
          </w:r>
        </w:p>
      </w:tc>
      <w:tc>
        <w:tcPr>
          <w:tcW w:w="4394" w:type="dxa"/>
          <w:vAlign w:val="center"/>
        </w:tcPr>
        <w:p w:rsidR="00D46375" w:rsidRPr="004053B1" w:rsidRDefault="00D46375" w:rsidP="009F09BC">
          <w:pPr>
            <w:pStyle w:val="Encabezado"/>
            <w:rPr>
              <w:rFonts w:ascii="Palatino Linotype" w:hAnsi="Palatino Linotype"/>
              <w:sz w:val="22"/>
              <w:szCs w:val="22"/>
            </w:rPr>
          </w:pPr>
          <w:r w:rsidRPr="004053B1">
            <w:rPr>
              <w:rFonts w:ascii="Palatino Linotype" w:hAnsi="Palatino Linotype"/>
              <w:sz w:val="22"/>
              <w:szCs w:val="22"/>
            </w:rPr>
            <w:t>María del Rosario Mejía Ayala</w:t>
          </w:r>
        </w:p>
      </w:tc>
    </w:tr>
  </w:tbl>
  <w:p w:rsidR="00D46375" w:rsidRPr="00C222C0" w:rsidRDefault="00133A05">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A4AD5"/>
    <w:multiLevelType w:val="hybridMultilevel"/>
    <w:tmpl w:val="726AC07A"/>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FB0CB8"/>
    <w:multiLevelType w:val="hybridMultilevel"/>
    <w:tmpl w:val="3BB61124"/>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AA316D"/>
    <w:multiLevelType w:val="hybridMultilevel"/>
    <w:tmpl w:val="4C2EF2EC"/>
    <w:lvl w:ilvl="0" w:tplc="05B421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15980B00"/>
    <w:multiLevelType w:val="hybridMultilevel"/>
    <w:tmpl w:val="2DD6B4C4"/>
    <w:lvl w:ilvl="0" w:tplc="6C28D96E">
      <w:start w:val="1"/>
      <w:numFmt w:val="decimal"/>
      <w:lvlText w:val="%1."/>
      <w:lvlJc w:val="left"/>
      <w:pPr>
        <w:ind w:left="720"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D72C93"/>
    <w:multiLevelType w:val="hybridMultilevel"/>
    <w:tmpl w:val="58ECD2DA"/>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C71479F"/>
    <w:multiLevelType w:val="hybridMultilevel"/>
    <w:tmpl w:val="D59203CC"/>
    <w:lvl w:ilvl="0" w:tplc="DB1C5A80">
      <w:start w:val="1"/>
      <w:numFmt w:val="lowerLetter"/>
      <w:lvlText w:val="%1)"/>
      <w:lvlJc w:val="left"/>
      <w:pPr>
        <w:ind w:left="1440" w:hanging="360"/>
      </w:pPr>
      <w:rPr>
        <w:rFonts w:eastAsia="Calibri" w:hint="default"/>
        <w:b/>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28051F2"/>
    <w:multiLevelType w:val="hybridMultilevel"/>
    <w:tmpl w:val="F6E08B8C"/>
    <w:lvl w:ilvl="0" w:tplc="721633D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57A7760"/>
    <w:multiLevelType w:val="hybridMultilevel"/>
    <w:tmpl w:val="735282E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28673BF6"/>
    <w:multiLevelType w:val="hybridMultilevel"/>
    <w:tmpl w:val="2D487D00"/>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9FD14AE"/>
    <w:multiLevelType w:val="hybridMultilevel"/>
    <w:tmpl w:val="24F8AE10"/>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4C5947"/>
    <w:multiLevelType w:val="hybridMultilevel"/>
    <w:tmpl w:val="66542034"/>
    <w:lvl w:ilvl="0" w:tplc="DECAA0A0">
      <w:start w:val="1"/>
      <w:numFmt w:val="upperRoman"/>
      <w:lvlText w:val="%1."/>
      <w:lvlJc w:val="left"/>
      <w:pPr>
        <w:ind w:left="1422" w:hanging="855"/>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4" w15:restartNumberingAfterBreak="0">
    <w:nsid w:val="2BF228C6"/>
    <w:multiLevelType w:val="hybridMultilevel"/>
    <w:tmpl w:val="C07AAA1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30863768"/>
    <w:multiLevelType w:val="hybridMultilevel"/>
    <w:tmpl w:val="089CAE0C"/>
    <w:lvl w:ilvl="0" w:tplc="BF189D7C">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0CF2C4D"/>
    <w:multiLevelType w:val="hybridMultilevel"/>
    <w:tmpl w:val="8834BD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34317490"/>
    <w:multiLevelType w:val="hybridMultilevel"/>
    <w:tmpl w:val="AE2451D4"/>
    <w:lvl w:ilvl="0" w:tplc="080A000F">
      <w:start w:val="1"/>
      <w:numFmt w:val="decimal"/>
      <w:lvlText w:val="%1."/>
      <w:lvlJc w:val="left"/>
      <w:pPr>
        <w:ind w:left="360" w:hanging="360"/>
      </w:pPr>
      <w:rPr>
        <w:rFonts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8665A84"/>
    <w:multiLevelType w:val="hybridMultilevel"/>
    <w:tmpl w:val="089A6AEE"/>
    <w:lvl w:ilvl="0" w:tplc="ADA07AB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0" w15:restartNumberingAfterBreak="0">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39286CE1"/>
    <w:multiLevelType w:val="hybridMultilevel"/>
    <w:tmpl w:val="9B1E3934"/>
    <w:lvl w:ilvl="0" w:tplc="937A1876">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2" w15:restartNumberingAfterBreak="0">
    <w:nsid w:val="3B434BFE"/>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0012B0A"/>
    <w:multiLevelType w:val="hybridMultilevel"/>
    <w:tmpl w:val="3F0E5C42"/>
    <w:lvl w:ilvl="0" w:tplc="1666A052">
      <w:start w:val="1"/>
      <w:numFmt w:val="lowerLetter"/>
      <w:lvlText w:val="%1)"/>
      <w:lvlJc w:val="left"/>
      <w:pPr>
        <w:ind w:left="720" w:hanging="360"/>
      </w:pPr>
      <w:rPr>
        <w:b/>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6737D29"/>
    <w:multiLevelType w:val="hybridMultilevel"/>
    <w:tmpl w:val="D58E6418"/>
    <w:lvl w:ilvl="0" w:tplc="5A306EFA">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E9E38F5"/>
    <w:multiLevelType w:val="hybridMultilevel"/>
    <w:tmpl w:val="8E306CF0"/>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6" w15:restartNumberingAfterBreak="0">
    <w:nsid w:val="51E87A32"/>
    <w:multiLevelType w:val="hybridMultilevel"/>
    <w:tmpl w:val="EC3C5612"/>
    <w:lvl w:ilvl="0" w:tplc="F5C4018E">
      <w:start w:val="1"/>
      <w:numFmt w:val="decimal"/>
      <w:lvlText w:val="%1."/>
      <w:lvlJc w:val="left"/>
      <w:pPr>
        <w:ind w:left="644" w:hanging="360"/>
      </w:pPr>
      <w:rPr>
        <w:rFonts w:ascii="Palatino Linotype" w:hAnsi="Palatino Linotype" w:hint="default"/>
        <w:b/>
        <w:i w:val="0"/>
        <w:color w:val="auto"/>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7" w15:restartNumberingAfterBreak="0">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41270B2"/>
    <w:multiLevelType w:val="hybridMultilevel"/>
    <w:tmpl w:val="B9B0281A"/>
    <w:lvl w:ilvl="0" w:tplc="A7A4B4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9" w15:restartNumberingAfterBreak="0">
    <w:nsid w:val="55E165FE"/>
    <w:multiLevelType w:val="hybridMultilevel"/>
    <w:tmpl w:val="4232C3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0" w15:restartNumberingAfterBreak="0">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9623C8B"/>
    <w:multiLevelType w:val="hybridMultilevel"/>
    <w:tmpl w:val="C78A6FD0"/>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3" w15:restartNumberingAfterBreak="0">
    <w:nsid w:val="59F836B9"/>
    <w:multiLevelType w:val="hybridMultilevel"/>
    <w:tmpl w:val="65A01DB8"/>
    <w:lvl w:ilvl="0" w:tplc="CD48EA9E">
      <w:start w:val="1"/>
      <w:numFmt w:val="low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73E70FA"/>
    <w:multiLevelType w:val="hybridMultilevel"/>
    <w:tmpl w:val="D6922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A7A111D"/>
    <w:multiLevelType w:val="hybridMultilevel"/>
    <w:tmpl w:val="41941BB8"/>
    <w:lvl w:ilvl="0" w:tplc="6144D83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15:restartNumberingAfterBreak="0">
    <w:nsid w:val="6F7E7800"/>
    <w:multiLevelType w:val="hybridMultilevel"/>
    <w:tmpl w:val="F4FC1D2C"/>
    <w:lvl w:ilvl="0" w:tplc="F5C4018E">
      <w:start w:val="1"/>
      <w:numFmt w:val="decimal"/>
      <w:lvlText w:val="%1."/>
      <w:lvlJc w:val="left"/>
      <w:pPr>
        <w:ind w:left="72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05967CF"/>
    <w:multiLevelType w:val="hybridMultilevel"/>
    <w:tmpl w:val="95B236A6"/>
    <w:lvl w:ilvl="0" w:tplc="A1E6A738">
      <w:start w:val="6"/>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9" w15:restartNumberingAfterBreak="0">
    <w:nsid w:val="72073EA0"/>
    <w:multiLevelType w:val="hybridMultilevel"/>
    <w:tmpl w:val="9BF0B9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26B4E47"/>
    <w:multiLevelType w:val="hybridMultilevel"/>
    <w:tmpl w:val="696A6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70136A0"/>
    <w:multiLevelType w:val="hybridMultilevel"/>
    <w:tmpl w:val="E8964A2C"/>
    <w:lvl w:ilvl="0" w:tplc="0F74318E">
      <w:start w:val="1"/>
      <w:numFmt w:val="decimal"/>
      <w:lvlText w:val="%1."/>
      <w:lvlJc w:val="left"/>
      <w:pPr>
        <w:ind w:left="858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4" w15:restartNumberingAfterBreak="0">
    <w:nsid w:val="7D226732"/>
    <w:multiLevelType w:val="hybridMultilevel"/>
    <w:tmpl w:val="EC3C4F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
  </w:num>
  <w:num w:numId="8">
    <w:abstractNumId w:val="0"/>
  </w:num>
  <w:num w:numId="9">
    <w:abstractNumId w:val="36"/>
  </w:num>
  <w:num w:numId="10">
    <w:abstractNumId w:val="21"/>
  </w:num>
  <w:num w:numId="11">
    <w:abstractNumId w:val="15"/>
  </w:num>
  <w:num w:numId="12">
    <w:abstractNumId w:val="26"/>
  </w:num>
  <w:num w:numId="13">
    <w:abstractNumId w:val="37"/>
  </w:num>
  <w:num w:numId="14">
    <w:abstractNumId w:val="4"/>
  </w:num>
  <w:num w:numId="15">
    <w:abstractNumId w:val="18"/>
  </w:num>
  <w:num w:numId="16">
    <w:abstractNumId w:val="33"/>
  </w:num>
  <w:num w:numId="17">
    <w:abstractNumId w:val="9"/>
  </w:num>
  <w:num w:numId="18">
    <w:abstractNumId w:val="28"/>
  </w:num>
  <w:num w:numId="19">
    <w:abstractNumId w:val="38"/>
  </w:num>
  <w:num w:numId="20">
    <w:abstractNumId w:val="19"/>
  </w:num>
  <w:num w:numId="21">
    <w:abstractNumId w:val="24"/>
  </w:num>
  <w:num w:numId="22">
    <w:abstractNumId w:val="16"/>
  </w:num>
  <w:num w:numId="23">
    <w:abstractNumId w:val="43"/>
  </w:num>
  <w:num w:numId="24">
    <w:abstractNumId w:val="7"/>
  </w:num>
  <w:num w:numId="25">
    <w:abstractNumId w:val="34"/>
  </w:num>
  <w:num w:numId="26">
    <w:abstractNumId w:val="23"/>
  </w:num>
  <w:num w:numId="27">
    <w:abstractNumId w:val="5"/>
  </w:num>
  <w:num w:numId="28">
    <w:abstractNumId w:val="35"/>
  </w:num>
  <w:num w:numId="29">
    <w:abstractNumId w:val="31"/>
  </w:num>
  <w:num w:numId="30">
    <w:abstractNumId w:val="27"/>
  </w:num>
  <w:num w:numId="31">
    <w:abstractNumId w:val="41"/>
  </w:num>
  <w:num w:numId="32">
    <w:abstractNumId w:val="20"/>
  </w:num>
  <w:num w:numId="33">
    <w:abstractNumId w:val="8"/>
  </w:num>
  <w:num w:numId="34">
    <w:abstractNumId w:val="13"/>
  </w:num>
  <w:num w:numId="35">
    <w:abstractNumId w:val="6"/>
  </w:num>
  <w:num w:numId="36">
    <w:abstractNumId w:val="39"/>
  </w:num>
  <w:num w:numId="37">
    <w:abstractNumId w:val="30"/>
  </w:num>
  <w:num w:numId="38">
    <w:abstractNumId w:val="22"/>
  </w:num>
  <w:num w:numId="39">
    <w:abstractNumId w:val="14"/>
  </w:num>
  <w:num w:numId="40">
    <w:abstractNumId w:val="32"/>
  </w:num>
  <w:num w:numId="41">
    <w:abstractNumId w:val="1"/>
  </w:num>
  <w:num w:numId="42">
    <w:abstractNumId w:val="11"/>
  </w:num>
  <w:num w:numId="43">
    <w:abstractNumId w:val="25"/>
  </w:num>
  <w:num w:numId="44">
    <w:abstractNumId w:val="42"/>
  </w:num>
  <w:num w:numId="45">
    <w:abstractNumId w:val="29"/>
  </w:num>
  <w:num w:numId="46">
    <w:abstractNumId w:val="44"/>
  </w:num>
  <w:num w:numId="4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2446"/>
    <w:rsid w:val="000067B3"/>
    <w:rsid w:val="00010C43"/>
    <w:rsid w:val="0001674C"/>
    <w:rsid w:val="00020780"/>
    <w:rsid w:val="000219E6"/>
    <w:rsid w:val="00025C53"/>
    <w:rsid w:val="00030FBC"/>
    <w:rsid w:val="000373F6"/>
    <w:rsid w:val="00040187"/>
    <w:rsid w:val="000504E5"/>
    <w:rsid w:val="00051287"/>
    <w:rsid w:val="00052492"/>
    <w:rsid w:val="00053FB7"/>
    <w:rsid w:val="0008243D"/>
    <w:rsid w:val="000A6153"/>
    <w:rsid w:val="000B42EA"/>
    <w:rsid w:val="000E1A02"/>
    <w:rsid w:val="000E31C4"/>
    <w:rsid w:val="000E4891"/>
    <w:rsid w:val="00103414"/>
    <w:rsid w:val="00114502"/>
    <w:rsid w:val="001310C6"/>
    <w:rsid w:val="00133A05"/>
    <w:rsid w:val="00134CE6"/>
    <w:rsid w:val="001352F5"/>
    <w:rsid w:val="00143D60"/>
    <w:rsid w:val="00166F3E"/>
    <w:rsid w:val="00172097"/>
    <w:rsid w:val="0018384F"/>
    <w:rsid w:val="00193F93"/>
    <w:rsid w:val="001A18E7"/>
    <w:rsid w:val="001C4290"/>
    <w:rsid w:val="001D23C1"/>
    <w:rsid w:val="001D373F"/>
    <w:rsid w:val="001D5404"/>
    <w:rsid w:val="001D630C"/>
    <w:rsid w:val="001E755B"/>
    <w:rsid w:val="00223C06"/>
    <w:rsid w:val="00237FA4"/>
    <w:rsid w:val="00264C9A"/>
    <w:rsid w:val="002650A0"/>
    <w:rsid w:val="00267A08"/>
    <w:rsid w:val="00272CA2"/>
    <w:rsid w:val="00276666"/>
    <w:rsid w:val="00277FAC"/>
    <w:rsid w:val="002901F4"/>
    <w:rsid w:val="00291500"/>
    <w:rsid w:val="002A3B71"/>
    <w:rsid w:val="002C0D3C"/>
    <w:rsid w:val="002C4997"/>
    <w:rsid w:val="002C77D6"/>
    <w:rsid w:val="002D294C"/>
    <w:rsid w:val="0030094A"/>
    <w:rsid w:val="00312281"/>
    <w:rsid w:val="00321085"/>
    <w:rsid w:val="003232B7"/>
    <w:rsid w:val="00323FFD"/>
    <w:rsid w:val="003437D9"/>
    <w:rsid w:val="00353F1D"/>
    <w:rsid w:val="0037157C"/>
    <w:rsid w:val="00372B75"/>
    <w:rsid w:val="003833B3"/>
    <w:rsid w:val="003933C4"/>
    <w:rsid w:val="003A06E6"/>
    <w:rsid w:val="003A15C8"/>
    <w:rsid w:val="003B7751"/>
    <w:rsid w:val="003C13F1"/>
    <w:rsid w:val="003E66D2"/>
    <w:rsid w:val="00403D64"/>
    <w:rsid w:val="004053B1"/>
    <w:rsid w:val="00407808"/>
    <w:rsid w:val="00407FDA"/>
    <w:rsid w:val="004118FA"/>
    <w:rsid w:val="00425842"/>
    <w:rsid w:val="00427038"/>
    <w:rsid w:val="00433A8D"/>
    <w:rsid w:val="00437672"/>
    <w:rsid w:val="00440CCF"/>
    <w:rsid w:val="00456AEE"/>
    <w:rsid w:val="00456CFF"/>
    <w:rsid w:val="004D465B"/>
    <w:rsid w:val="004E4EE6"/>
    <w:rsid w:val="004E6CE4"/>
    <w:rsid w:val="004F34D1"/>
    <w:rsid w:val="00500BD7"/>
    <w:rsid w:val="00507B30"/>
    <w:rsid w:val="00531473"/>
    <w:rsid w:val="005331D8"/>
    <w:rsid w:val="00541549"/>
    <w:rsid w:val="005432D0"/>
    <w:rsid w:val="00546076"/>
    <w:rsid w:val="00547ACE"/>
    <w:rsid w:val="005507B0"/>
    <w:rsid w:val="00554A21"/>
    <w:rsid w:val="00556E0A"/>
    <w:rsid w:val="00563F2E"/>
    <w:rsid w:val="0057514F"/>
    <w:rsid w:val="00575E75"/>
    <w:rsid w:val="00581F36"/>
    <w:rsid w:val="00583A39"/>
    <w:rsid w:val="00583A43"/>
    <w:rsid w:val="005B0088"/>
    <w:rsid w:val="005B076D"/>
    <w:rsid w:val="005B6702"/>
    <w:rsid w:val="005B6D42"/>
    <w:rsid w:val="005C5021"/>
    <w:rsid w:val="005D2F1C"/>
    <w:rsid w:val="005D4C57"/>
    <w:rsid w:val="0062406B"/>
    <w:rsid w:val="006263EF"/>
    <w:rsid w:val="00647F7C"/>
    <w:rsid w:val="00650CFC"/>
    <w:rsid w:val="00657639"/>
    <w:rsid w:val="006672E1"/>
    <w:rsid w:val="00680C93"/>
    <w:rsid w:val="0069487D"/>
    <w:rsid w:val="006A04B6"/>
    <w:rsid w:val="006A6390"/>
    <w:rsid w:val="006D15D0"/>
    <w:rsid w:val="006D1CED"/>
    <w:rsid w:val="006D6CC1"/>
    <w:rsid w:val="006E7397"/>
    <w:rsid w:val="006E7C94"/>
    <w:rsid w:val="00707B87"/>
    <w:rsid w:val="00711062"/>
    <w:rsid w:val="007142AB"/>
    <w:rsid w:val="007142D6"/>
    <w:rsid w:val="00716BCA"/>
    <w:rsid w:val="00720371"/>
    <w:rsid w:val="00737502"/>
    <w:rsid w:val="0074110E"/>
    <w:rsid w:val="00742823"/>
    <w:rsid w:val="007601B1"/>
    <w:rsid w:val="00775EB2"/>
    <w:rsid w:val="00782A12"/>
    <w:rsid w:val="007851DB"/>
    <w:rsid w:val="00792D6A"/>
    <w:rsid w:val="007A460E"/>
    <w:rsid w:val="007A6A1A"/>
    <w:rsid w:val="007B0745"/>
    <w:rsid w:val="007C3C29"/>
    <w:rsid w:val="007D0860"/>
    <w:rsid w:val="007E56E1"/>
    <w:rsid w:val="00804DAA"/>
    <w:rsid w:val="0082142B"/>
    <w:rsid w:val="008227A9"/>
    <w:rsid w:val="008526F4"/>
    <w:rsid w:val="008563C8"/>
    <w:rsid w:val="008573BF"/>
    <w:rsid w:val="0086792A"/>
    <w:rsid w:val="00873EB6"/>
    <w:rsid w:val="008A06F8"/>
    <w:rsid w:val="008A64D0"/>
    <w:rsid w:val="008A699B"/>
    <w:rsid w:val="008B0637"/>
    <w:rsid w:val="008C1E19"/>
    <w:rsid w:val="008C1ED7"/>
    <w:rsid w:val="008E12E3"/>
    <w:rsid w:val="008E32EE"/>
    <w:rsid w:val="008E330F"/>
    <w:rsid w:val="008E6574"/>
    <w:rsid w:val="008F6D18"/>
    <w:rsid w:val="00911A75"/>
    <w:rsid w:val="009126F1"/>
    <w:rsid w:val="00926716"/>
    <w:rsid w:val="009335F9"/>
    <w:rsid w:val="00945135"/>
    <w:rsid w:val="0095341F"/>
    <w:rsid w:val="009972BB"/>
    <w:rsid w:val="009A2251"/>
    <w:rsid w:val="009B14A8"/>
    <w:rsid w:val="009D0241"/>
    <w:rsid w:val="009D5A32"/>
    <w:rsid w:val="009F09BC"/>
    <w:rsid w:val="00A23E82"/>
    <w:rsid w:val="00A429D6"/>
    <w:rsid w:val="00A533B8"/>
    <w:rsid w:val="00A5359F"/>
    <w:rsid w:val="00A56791"/>
    <w:rsid w:val="00A626EB"/>
    <w:rsid w:val="00AB4B60"/>
    <w:rsid w:val="00AC2CF9"/>
    <w:rsid w:val="00AD316E"/>
    <w:rsid w:val="00AD63B4"/>
    <w:rsid w:val="00AE4F85"/>
    <w:rsid w:val="00AF4BBC"/>
    <w:rsid w:val="00B07BF8"/>
    <w:rsid w:val="00B11CDD"/>
    <w:rsid w:val="00B5225F"/>
    <w:rsid w:val="00B530E8"/>
    <w:rsid w:val="00B86242"/>
    <w:rsid w:val="00BC2706"/>
    <w:rsid w:val="00BE52C5"/>
    <w:rsid w:val="00BF3FB5"/>
    <w:rsid w:val="00C03BA3"/>
    <w:rsid w:val="00C062B4"/>
    <w:rsid w:val="00C0715F"/>
    <w:rsid w:val="00C105CC"/>
    <w:rsid w:val="00C1074F"/>
    <w:rsid w:val="00C14F2A"/>
    <w:rsid w:val="00C21FAE"/>
    <w:rsid w:val="00C242A7"/>
    <w:rsid w:val="00C35712"/>
    <w:rsid w:val="00C41B2B"/>
    <w:rsid w:val="00C47C3D"/>
    <w:rsid w:val="00C524F8"/>
    <w:rsid w:val="00C54D99"/>
    <w:rsid w:val="00C73907"/>
    <w:rsid w:val="00C85E64"/>
    <w:rsid w:val="00C860B1"/>
    <w:rsid w:val="00C87396"/>
    <w:rsid w:val="00C90814"/>
    <w:rsid w:val="00C91F0F"/>
    <w:rsid w:val="00CA1063"/>
    <w:rsid w:val="00CB757D"/>
    <w:rsid w:val="00CC5B2F"/>
    <w:rsid w:val="00CE7B83"/>
    <w:rsid w:val="00CF0D2B"/>
    <w:rsid w:val="00D021A5"/>
    <w:rsid w:val="00D16FC7"/>
    <w:rsid w:val="00D26F3C"/>
    <w:rsid w:val="00D367B4"/>
    <w:rsid w:val="00D46375"/>
    <w:rsid w:val="00D47231"/>
    <w:rsid w:val="00D5729F"/>
    <w:rsid w:val="00D6224B"/>
    <w:rsid w:val="00D81329"/>
    <w:rsid w:val="00D8320F"/>
    <w:rsid w:val="00D96104"/>
    <w:rsid w:val="00DA6D37"/>
    <w:rsid w:val="00DB0C78"/>
    <w:rsid w:val="00DB17E1"/>
    <w:rsid w:val="00DB753F"/>
    <w:rsid w:val="00DC2611"/>
    <w:rsid w:val="00DD1021"/>
    <w:rsid w:val="00DE2F5A"/>
    <w:rsid w:val="00DF03A5"/>
    <w:rsid w:val="00DF6103"/>
    <w:rsid w:val="00E118BA"/>
    <w:rsid w:val="00E17429"/>
    <w:rsid w:val="00E55966"/>
    <w:rsid w:val="00E56172"/>
    <w:rsid w:val="00E5636B"/>
    <w:rsid w:val="00E566C9"/>
    <w:rsid w:val="00E61C13"/>
    <w:rsid w:val="00E61DA9"/>
    <w:rsid w:val="00E92E04"/>
    <w:rsid w:val="00EA660A"/>
    <w:rsid w:val="00EB1CE2"/>
    <w:rsid w:val="00ED1D6B"/>
    <w:rsid w:val="00ED3A35"/>
    <w:rsid w:val="00ED6E75"/>
    <w:rsid w:val="00EF45F9"/>
    <w:rsid w:val="00F065A3"/>
    <w:rsid w:val="00F24A04"/>
    <w:rsid w:val="00F35B0C"/>
    <w:rsid w:val="00F42ADB"/>
    <w:rsid w:val="00F50D72"/>
    <w:rsid w:val="00F72588"/>
    <w:rsid w:val="00F7371C"/>
    <w:rsid w:val="00F946B5"/>
    <w:rsid w:val="00FB6D42"/>
    <w:rsid w:val="00FC195E"/>
    <w:rsid w:val="00FD2FA4"/>
    <w:rsid w:val="00FE3FBE"/>
    <w:rsid w:val="00FE67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24"/>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styleId="Referenciasutil">
    <w:name w:val="Subtle Reference"/>
    <w:basedOn w:val="Fuentedeprrafopredeter"/>
    <w:uiPriority w:val="31"/>
    <w:qFormat/>
    <w:rsid w:val="00583A43"/>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 w:id="739325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8A7675-E424-4596-B004-2221012B3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18</Pages>
  <Words>3174</Words>
  <Characters>17461</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12</cp:revision>
  <cp:lastPrinted>2023-08-03T17:58:00Z</cp:lastPrinted>
  <dcterms:created xsi:type="dcterms:W3CDTF">2023-10-06T17:27:00Z</dcterms:created>
  <dcterms:modified xsi:type="dcterms:W3CDTF">2023-11-15T18:29:00Z</dcterms:modified>
</cp:coreProperties>
</file>