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septiembre de dos mil veintitrés. </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VISTO</w:t>
      </w:r>
      <w:r w:rsidRPr="009A5181">
        <w:rPr>
          <w:rFonts w:ascii="Palatino Linotype" w:eastAsia="Palatino Linotype" w:hAnsi="Palatino Linotype" w:cs="Palatino Linotype"/>
        </w:rPr>
        <w:t xml:space="preserve"> el expediente formado con motivo del recurso de revisión </w:t>
      </w:r>
      <w:r w:rsidRPr="009A5181">
        <w:rPr>
          <w:rFonts w:ascii="Palatino Linotype" w:eastAsia="Palatino Linotype" w:hAnsi="Palatino Linotype" w:cs="Palatino Linotype"/>
          <w:b/>
        </w:rPr>
        <w:t>00369/INFOEM/IP/RR/2023</w:t>
      </w:r>
      <w:r w:rsidRPr="009A5181">
        <w:rPr>
          <w:rFonts w:ascii="Palatino Linotype" w:eastAsia="Palatino Linotype" w:hAnsi="Palatino Linotype" w:cs="Palatino Linotype"/>
        </w:rPr>
        <w:t>, interpuesto por</w:t>
      </w:r>
      <w:r w:rsidR="00E6241E">
        <w:rPr>
          <w:rFonts w:ascii="Palatino Linotype" w:eastAsia="Palatino Linotype" w:hAnsi="Palatino Linotype" w:cs="Palatino Linotype"/>
          <w:b/>
        </w:rPr>
        <w:t xml:space="preserve"> XXXXXXX XXXXX XXXX</w:t>
      </w:r>
      <w:bookmarkStart w:id="0" w:name="_GoBack"/>
      <w:bookmarkEnd w:id="0"/>
      <w:r w:rsidRPr="009A5181">
        <w:rPr>
          <w:rFonts w:ascii="Palatino Linotype" w:eastAsia="Palatino Linotype" w:hAnsi="Palatino Linotype" w:cs="Palatino Linotype"/>
        </w:rPr>
        <w:t>, en lo sucesivo</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rPr>
        <w:t xml:space="preserve">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en contra de la respuesta a su solicitud por parte del </w:t>
      </w:r>
      <w:r w:rsidRPr="009A5181">
        <w:rPr>
          <w:rFonts w:ascii="Palatino Linotype" w:eastAsia="Palatino Linotype" w:hAnsi="Palatino Linotype" w:cs="Palatino Linotype"/>
          <w:b/>
        </w:rPr>
        <w:t xml:space="preserve">Ayuntamiento de Zumpango, </w:t>
      </w:r>
      <w:r w:rsidRPr="009A5181">
        <w:rPr>
          <w:rFonts w:ascii="Palatino Linotype" w:eastAsia="Palatino Linotype" w:hAnsi="Palatino Linotype" w:cs="Palatino Linotype"/>
        </w:rPr>
        <w:t xml:space="preserve">en lo sucesivo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 xml:space="preserve">se procede a dictar la presente resolución con base en los siguientes: </w:t>
      </w:r>
    </w:p>
    <w:p w:rsidR="00BB2C8C" w:rsidRPr="009A5181" w:rsidRDefault="00BA1081">
      <w:pPr>
        <w:spacing w:before="240" w:after="240" w:line="360" w:lineRule="auto"/>
        <w:jc w:val="center"/>
        <w:rPr>
          <w:rFonts w:ascii="Palatino Linotype" w:eastAsia="Palatino Linotype" w:hAnsi="Palatino Linotype" w:cs="Palatino Linotype"/>
          <w:b/>
        </w:rPr>
      </w:pPr>
      <w:r w:rsidRPr="009A5181">
        <w:rPr>
          <w:rFonts w:ascii="Palatino Linotype" w:eastAsia="Palatino Linotype" w:hAnsi="Palatino Linotype" w:cs="Palatino Linotype"/>
          <w:b/>
        </w:rPr>
        <w:t>I. A N T E C E D E N T E 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1. Solicitud de acceso a la información.</w:t>
      </w:r>
      <w:r w:rsidRPr="009A5181">
        <w:rPr>
          <w:rFonts w:ascii="Palatino Linotype" w:eastAsia="Palatino Linotype" w:hAnsi="Palatino Linotype" w:cs="Palatino Linotype"/>
        </w:rPr>
        <w:t xml:space="preserve"> Con fecha </w:t>
      </w:r>
      <w:r w:rsidRPr="009A5181">
        <w:rPr>
          <w:rFonts w:ascii="Palatino Linotype" w:eastAsia="Palatino Linotype" w:hAnsi="Palatino Linotype" w:cs="Palatino Linotype"/>
          <w:b/>
        </w:rPr>
        <w:t>cinco de diciembre de dos mil veintidós,</w:t>
      </w:r>
      <w:r w:rsidRPr="009A5181">
        <w:rPr>
          <w:rFonts w:ascii="Palatino Linotype" w:eastAsia="Palatino Linotype" w:hAnsi="Palatino Linotype" w:cs="Palatino Linotype"/>
        </w:rPr>
        <w:t xml:space="preserve"> la parte </w:t>
      </w:r>
      <w:r w:rsidRPr="009A5181">
        <w:rPr>
          <w:rFonts w:ascii="Palatino Linotype" w:eastAsia="Palatino Linotype" w:hAnsi="Palatino Linotype" w:cs="Palatino Linotype"/>
          <w:b/>
        </w:rPr>
        <w:t xml:space="preserve">Recurrente </w:t>
      </w:r>
      <w:r w:rsidRPr="009A5181">
        <w:rPr>
          <w:rFonts w:ascii="Palatino Linotype" w:eastAsia="Palatino Linotype" w:hAnsi="Palatino Linotype" w:cs="Palatino Linotype"/>
        </w:rPr>
        <w:t xml:space="preserve">presentó, a través del Sistema de Acceso a la Información Mexiquense, en lo subsecuente el </w:t>
      </w:r>
      <w:r w:rsidRPr="009A5181">
        <w:rPr>
          <w:rFonts w:ascii="Palatino Linotype" w:eastAsia="Palatino Linotype" w:hAnsi="Palatino Linotype" w:cs="Palatino Linotype"/>
          <w:b/>
        </w:rPr>
        <w:t>SAIMEX,</w:t>
      </w:r>
      <w:r w:rsidRPr="009A5181">
        <w:rPr>
          <w:rFonts w:ascii="Palatino Linotype" w:eastAsia="Palatino Linotype" w:hAnsi="Palatino Linotype" w:cs="Palatino Linotype"/>
        </w:rPr>
        <w:t xml:space="preserve"> ante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la solicitud de acceso a la información pública, a la que se le asignó el número</w:t>
      </w:r>
      <w:r w:rsidRPr="009A5181">
        <w:rPr>
          <w:rFonts w:ascii="Palatino Linotype" w:eastAsia="Palatino Linotype" w:hAnsi="Palatino Linotype" w:cs="Palatino Linotype"/>
          <w:b/>
        </w:rPr>
        <w:t xml:space="preserve"> 00319/ZUMPANGO/IP/2022, </w:t>
      </w:r>
      <w:r w:rsidRPr="009A5181">
        <w:rPr>
          <w:rFonts w:ascii="Palatino Linotype" w:eastAsia="Palatino Linotype" w:hAnsi="Palatino Linotype" w:cs="Palatino Linotype"/>
        </w:rPr>
        <w:t xml:space="preserve">mediante la cual requirió la información siguiente: </w:t>
      </w:r>
    </w:p>
    <w:p w:rsidR="00BB2C8C" w:rsidRPr="009A5181" w:rsidRDefault="00BA1081">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 xml:space="preserve">Pago realizado a la tesorería por concepto de la feria </w:t>
      </w:r>
      <w:proofErr w:type="gramStart"/>
      <w:r w:rsidRPr="009A5181">
        <w:rPr>
          <w:rFonts w:ascii="Palatino Linotype" w:eastAsia="Palatino Linotype" w:hAnsi="Palatino Linotype" w:cs="Palatino Linotype"/>
          <w:b/>
          <w:i/>
          <w:sz w:val="22"/>
          <w:szCs w:val="22"/>
        </w:rPr>
        <w:t>de ,</w:t>
      </w:r>
      <w:proofErr w:type="spellStart"/>
      <w:r w:rsidRPr="009A5181">
        <w:rPr>
          <w:rFonts w:ascii="Palatino Linotype" w:eastAsia="Palatino Linotype" w:hAnsi="Palatino Linotype" w:cs="Palatino Linotype"/>
          <w:b/>
          <w:i/>
          <w:sz w:val="22"/>
          <w:szCs w:val="22"/>
        </w:rPr>
        <w:t>zumpango</w:t>
      </w:r>
      <w:proofErr w:type="spellEnd"/>
      <w:proofErr w:type="gramEnd"/>
      <w:r w:rsidRPr="009A5181">
        <w:rPr>
          <w:rFonts w:ascii="Palatino Linotype" w:eastAsia="Palatino Linotype" w:hAnsi="Palatino Linotype" w:cs="Palatino Linotype"/>
          <w:b/>
          <w:i/>
          <w:sz w:val="22"/>
          <w:szCs w:val="22"/>
        </w:rPr>
        <w:t xml:space="preserve"> </w:t>
      </w:r>
      <w:r w:rsidRPr="009A5181">
        <w:rPr>
          <w:rFonts w:ascii="Palatino Linotype" w:eastAsia="Palatino Linotype" w:hAnsi="Palatino Linotype" w:cs="Palatino Linotype"/>
          <w:i/>
          <w:sz w:val="22"/>
          <w:szCs w:val="22"/>
        </w:rPr>
        <w:t xml:space="preserve">realidad </w:t>
      </w:r>
      <w:r w:rsidRPr="009A5181">
        <w:rPr>
          <w:rFonts w:ascii="Palatino Linotype" w:eastAsia="Palatino Linotype" w:hAnsi="Palatino Linotype" w:cs="Palatino Linotype"/>
          <w:b/>
          <w:i/>
          <w:sz w:val="22"/>
          <w:szCs w:val="22"/>
        </w:rPr>
        <w:t>en:2021 y 2022.</w:t>
      </w:r>
      <w:r w:rsidRPr="009A5181">
        <w:rPr>
          <w:rFonts w:ascii="Palatino Linotype" w:eastAsia="Palatino Linotype" w:hAnsi="Palatino Linotype" w:cs="Palatino Linotype"/>
          <w:i/>
          <w:sz w:val="22"/>
          <w:szCs w:val="22"/>
        </w:rPr>
        <w:t xml:space="preserve"> Así mismo, </w:t>
      </w:r>
      <w:r w:rsidRPr="009A5181">
        <w:rPr>
          <w:rFonts w:ascii="Palatino Linotype" w:eastAsia="Palatino Linotype" w:hAnsi="Palatino Linotype" w:cs="Palatino Linotype"/>
          <w:b/>
          <w:i/>
          <w:sz w:val="22"/>
          <w:szCs w:val="22"/>
        </w:rPr>
        <w:t>nombre de la persona física o moral o jurídica que realizó dicha feria</w:t>
      </w:r>
      <w:r w:rsidRPr="009A5181">
        <w:rPr>
          <w:rFonts w:ascii="Palatino Linotype" w:eastAsia="Palatino Linotype" w:hAnsi="Palatino Linotype" w:cs="Palatino Linotype"/>
          <w:i/>
          <w:sz w:val="22"/>
          <w:szCs w:val="22"/>
        </w:rPr>
        <w:t xml:space="preserve">. Así mismo </w:t>
      </w:r>
      <w:r w:rsidRPr="009A5181">
        <w:rPr>
          <w:rFonts w:ascii="Palatino Linotype" w:eastAsia="Palatino Linotype" w:hAnsi="Palatino Linotype" w:cs="Palatino Linotype"/>
          <w:b/>
          <w:i/>
          <w:sz w:val="22"/>
          <w:szCs w:val="22"/>
        </w:rPr>
        <w:t>que paso con la feria ingresada al tesorería municipal</w:t>
      </w:r>
      <w:r w:rsidRPr="009A5181">
        <w:rPr>
          <w:rFonts w:ascii="Palatino Linotype" w:eastAsia="Palatino Linotype" w:hAnsi="Palatino Linotype" w:cs="Palatino Linotype"/>
          <w:i/>
          <w:sz w:val="22"/>
          <w:szCs w:val="22"/>
        </w:rPr>
        <w:t xml:space="preserve">, feria o dinero, </w:t>
      </w:r>
      <w:proofErr w:type="gramStart"/>
      <w:r w:rsidRPr="009A5181">
        <w:rPr>
          <w:rFonts w:ascii="Palatino Linotype" w:eastAsia="Palatino Linotype" w:hAnsi="Palatino Linotype" w:cs="Palatino Linotype"/>
          <w:i/>
          <w:sz w:val="22"/>
          <w:szCs w:val="22"/>
        </w:rPr>
        <w:t>lana ,</w:t>
      </w:r>
      <w:proofErr w:type="gramEnd"/>
      <w:r w:rsidRPr="009A5181">
        <w:rPr>
          <w:rFonts w:ascii="Palatino Linotype" w:eastAsia="Palatino Linotype" w:hAnsi="Palatino Linotype" w:cs="Palatino Linotype"/>
          <w:i/>
          <w:sz w:val="22"/>
          <w:szCs w:val="22"/>
        </w:rPr>
        <w:t xml:space="preserve"> </w:t>
      </w:r>
      <w:proofErr w:type="spellStart"/>
      <w:r w:rsidRPr="009A5181">
        <w:rPr>
          <w:rFonts w:ascii="Palatino Linotype" w:eastAsia="Palatino Linotype" w:hAnsi="Palatino Linotype" w:cs="Palatino Linotype"/>
          <w:i/>
          <w:sz w:val="22"/>
          <w:szCs w:val="22"/>
        </w:rPr>
        <w:t>billullo</w:t>
      </w:r>
      <w:proofErr w:type="spellEnd"/>
      <w:r w:rsidRPr="009A5181">
        <w:rPr>
          <w:rFonts w:ascii="Palatino Linotype" w:eastAsia="Palatino Linotype" w:hAnsi="Palatino Linotype" w:cs="Palatino Linotype"/>
          <w:i/>
          <w:sz w:val="22"/>
          <w:szCs w:val="22"/>
        </w:rPr>
        <w:t>, pasta, plata, recaudo.</w:t>
      </w:r>
      <w:r w:rsidRPr="009A5181">
        <w:rPr>
          <w:rFonts w:ascii="Palatino Linotype" w:eastAsia="Palatino Linotype" w:hAnsi="Palatino Linotype" w:cs="Palatino Linotype"/>
          <w:b/>
          <w:i/>
          <w:sz w:val="22"/>
          <w:szCs w:val="22"/>
        </w:rPr>
        <w:t>”</w:t>
      </w:r>
      <w:r w:rsidRPr="009A5181">
        <w:rPr>
          <w:rFonts w:ascii="Palatino Linotype" w:eastAsia="Palatino Linotype" w:hAnsi="Palatino Linotype" w:cs="Palatino Linotype"/>
          <w:i/>
          <w:sz w:val="22"/>
          <w:szCs w:val="22"/>
        </w:rPr>
        <w:t xml:space="preserve"> (</w:t>
      </w:r>
      <w:proofErr w:type="gramStart"/>
      <w:r w:rsidRPr="009A5181">
        <w:rPr>
          <w:rFonts w:ascii="Palatino Linotype" w:eastAsia="Palatino Linotype" w:hAnsi="Palatino Linotype" w:cs="Palatino Linotype"/>
          <w:i/>
          <w:sz w:val="22"/>
          <w:szCs w:val="22"/>
        </w:rPr>
        <w:t>sic</w:t>
      </w:r>
      <w:proofErr w:type="gramEnd"/>
      <w:r w:rsidRPr="009A5181">
        <w:rPr>
          <w:rFonts w:ascii="Palatino Linotype" w:eastAsia="Palatino Linotype" w:hAnsi="Palatino Linotype" w:cs="Palatino Linotype"/>
          <w:i/>
          <w:sz w:val="22"/>
          <w:szCs w:val="22"/>
        </w:rPr>
        <w:t xml:space="preserve">) </w:t>
      </w:r>
    </w:p>
    <w:p w:rsidR="00BB2C8C" w:rsidRPr="009A5181" w:rsidRDefault="00BA1081">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9A5181">
        <w:rPr>
          <w:rFonts w:ascii="Palatino Linotype" w:eastAsia="Palatino Linotype" w:hAnsi="Palatino Linotype" w:cs="Palatino Linotype"/>
          <w:b/>
        </w:rPr>
        <w:t>Modalidad de Entrega:</w:t>
      </w:r>
      <w:r w:rsidRPr="009A5181">
        <w:rPr>
          <w:rFonts w:ascii="Palatino Linotype" w:eastAsia="Palatino Linotype" w:hAnsi="Palatino Linotype" w:cs="Palatino Linotype"/>
        </w:rPr>
        <w:t xml:space="preserve"> a través </w:t>
      </w:r>
      <w:r w:rsidRPr="009A5181">
        <w:rPr>
          <w:rFonts w:ascii="Palatino Linotype" w:eastAsia="Palatino Linotype" w:hAnsi="Palatino Linotype" w:cs="Palatino Linotype"/>
          <w:b/>
        </w:rPr>
        <w:t>de SAIMEX</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lastRenderedPageBreak/>
        <w:t xml:space="preserve">2. Solicitud de Aclaración. </w:t>
      </w:r>
      <w:r w:rsidRPr="009A5181">
        <w:rPr>
          <w:rFonts w:ascii="Palatino Linotype" w:eastAsia="Palatino Linotype" w:hAnsi="Palatino Linotype" w:cs="Palatino Linotype"/>
        </w:rPr>
        <w:t xml:space="preserve">Con fecha </w:t>
      </w:r>
      <w:r w:rsidRPr="009A5181">
        <w:rPr>
          <w:rFonts w:ascii="Palatino Linotype" w:eastAsia="Palatino Linotype" w:hAnsi="Palatino Linotype" w:cs="Palatino Linotype"/>
          <w:b/>
        </w:rPr>
        <w:t>trece de diciembre de dos mil veintidós</w:t>
      </w:r>
      <w:r w:rsidRPr="009A5181">
        <w:rPr>
          <w:rFonts w:ascii="Palatino Linotype" w:eastAsia="Palatino Linotype" w:hAnsi="Palatino Linotype" w:cs="Palatino Linotype"/>
        </w:rPr>
        <w:t xml:space="preserve">,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requirió a la parte </w:t>
      </w:r>
      <w:r w:rsidRPr="009A5181">
        <w:rPr>
          <w:rFonts w:ascii="Palatino Linotype" w:eastAsia="Palatino Linotype" w:hAnsi="Palatino Linotype" w:cs="Palatino Linotype"/>
          <w:b/>
        </w:rPr>
        <w:t xml:space="preserve">Recurrente </w:t>
      </w:r>
      <w:r w:rsidRPr="009A5181">
        <w:rPr>
          <w:rFonts w:ascii="Palatino Linotype" w:eastAsia="Palatino Linotype" w:hAnsi="Palatino Linotype" w:cs="Palatino Linotype"/>
        </w:rPr>
        <w:t>aclarara la solicitud de información pública planteada, en los siguientes términos:</w:t>
      </w:r>
    </w:p>
    <w:p w:rsidR="00BB2C8C" w:rsidRPr="009A5181" w:rsidRDefault="00BA1081">
      <w:pPr>
        <w:spacing w:before="240" w:after="24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“SOLICITO RESPETUOSAMENTE, SE REDACTE DE MANERA CLARA Y PRECISA SU SOLICITUD, DEBIDO A QUE NO ES MUY CLARA EN LO QUE SE REFIERE Y REQUIERE. SIN </w:t>
      </w:r>
      <w:proofErr w:type="gramStart"/>
      <w:r w:rsidRPr="009A5181">
        <w:rPr>
          <w:rFonts w:ascii="Palatino Linotype" w:eastAsia="Palatino Linotype" w:hAnsi="Palatino Linotype" w:cs="Palatino Linotype"/>
          <w:i/>
          <w:sz w:val="22"/>
          <w:szCs w:val="22"/>
        </w:rPr>
        <w:t>MAS</w:t>
      </w:r>
      <w:proofErr w:type="gramEnd"/>
      <w:r w:rsidRPr="009A5181">
        <w:rPr>
          <w:rFonts w:ascii="Palatino Linotype" w:eastAsia="Palatino Linotype" w:hAnsi="Palatino Linotype" w:cs="Palatino Linotype"/>
          <w:i/>
          <w:sz w:val="22"/>
          <w:szCs w:val="22"/>
        </w:rPr>
        <w:t xml:space="preserve"> POR EL MOMENTO QUEDO A USTED.</w:t>
      </w:r>
    </w:p>
    <w:p w:rsidR="00BB2C8C" w:rsidRPr="009A5181" w:rsidRDefault="00BA1081">
      <w:pPr>
        <w:spacing w:before="240" w:after="24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roofErr w:type="gramStart"/>
      <w:r w:rsidRPr="009A5181">
        <w:rPr>
          <w:rFonts w:ascii="Palatino Linotype" w:eastAsia="Palatino Linotype" w:hAnsi="Palatino Linotype" w:cs="Palatino Linotype"/>
          <w:i/>
          <w:sz w:val="22"/>
          <w:szCs w:val="22"/>
        </w:rPr>
        <w:t>sic</w:t>
      </w:r>
      <w:proofErr w:type="gramEnd"/>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 xml:space="preserve">3. Aclaración. </w:t>
      </w:r>
      <w:r w:rsidRPr="009A5181">
        <w:rPr>
          <w:rFonts w:ascii="Palatino Linotype" w:eastAsia="Palatino Linotype" w:hAnsi="Palatino Linotype" w:cs="Palatino Linotype"/>
        </w:rPr>
        <w:t xml:space="preserve">Con fecha </w:t>
      </w:r>
      <w:r w:rsidRPr="009A5181">
        <w:rPr>
          <w:rFonts w:ascii="Palatino Linotype" w:eastAsia="Palatino Linotype" w:hAnsi="Palatino Linotype" w:cs="Palatino Linotype"/>
          <w:b/>
        </w:rPr>
        <w:t>trece de diciembre de dos mil veintidós</w:t>
      </w:r>
      <w:r w:rsidRPr="009A5181">
        <w:rPr>
          <w:rFonts w:ascii="Palatino Linotype" w:eastAsia="Palatino Linotype" w:hAnsi="Palatino Linotype" w:cs="Palatino Linotype"/>
        </w:rPr>
        <w:t>, la persona solicitante desahogó el requerimiento de información en los siguientes términos:</w:t>
      </w:r>
    </w:p>
    <w:p w:rsidR="00BB2C8C" w:rsidRPr="009A5181" w:rsidRDefault="00BA1081">
      <w:pPr>
        <w:spacing w:before="240" w:after="240"/>
        <w:ind w:left="851" w:right="900"/>
        <w:jc w:val="both"/>
        <w:rPr>
          <w:rFonts w:ascii="Palatino Linotype" w:eastAsia="Palatino Linotype" w:hAnsi="Palatino Linotype" w:cs="Palatino Linotype"/>
          <w:i/>
        </w:rPr>
      </w:pPr>
      <w:r w:rsidRPr="009A5181">
        <w:rPr>
          <w:rFonts w:ascii="Palatino Linotype" w:eastAsia="Palatino Linotype" w:hAnsi="Palatino Linotype" w:cs="Palatino Linotype"/>
          <w:b/>
        </w:rPr>
        <w:t>“</w:t>
      </w:r>
      <w:r w:rsidRPr="009A5181">
        <w:rPr>
          <w:rFonts w:ascii="Palatino Linotype" w:eastAsia="Palatino Linotype" w:hAnsi="Palatino Linotype" w:cs="Palatino Linotype"/>
          <w:b/>
          <w:i/>
          <w:sz w:val="22"/>
          <w:szCs w:val="22"/>
        </w:rPr>
        <w:t>Monto o importe ingresado, o pagado, o recibido por el concepto de haber realizado la feria de Zumpango en el año 2021 y 2022</w:t>
      </w:r>
      <w:r w:rsidRPr="009A5181">
        <w:rPr>
          <w:rFonts w:ascii="Palatino Linotype" w:eastAsia="Palatino Linotype" w:hAnsi="Palatino Linotype" w:cs="Palatino Linotype"/>
          <w:i/>
          <w:sz w:val="22"/>
          <w:szCs w:val="22"/>
        </w:rPr>
        <w:t xml:space="preserve">, así como el </w:t>
      </w:r>
      <w:r w:rsidRPr="009A5181">
        <w:rPr>
          <w:rFonts w:ascii="Palatino Linotype" w:eastAsia="Palatino Linotype" w:hAnsi="Palatino Linotype" w:cs="Palatino Linotype"/>
          <w:b/>
          <w:i/>
          <w:sz w:val="22"/>
          <w:szCs w:val="22"/>
        </w:rPr>
        <w:t xml:space="preserve">nombre de la sociedad, empresa o persona jurídica o moral a la cual le asignaron dicho evento. </w:t>
      </w:r>
      <w:r w:rsidRPr="009A5181">
        <w:rPr>
          <w:rFonts w:ascii="Palatino Linotype" w:eastAsia="Palatino Linotype" w:hAnsi="Palatino Linotype" w:cs="Palatino Linotype"/>
          <w:i/>
          <w:sz w:val="22"/>
          <w:szCs w:val="22"/>
        </w:rPr>
        <w:t xml:space="preserve">Y </w:t>
      </w:r>
      <w:r w:rsidRPr="009A5181">
        <w:rPr>
          <w:rFonts w:ascii="Palatino Linotype" w:eastAsia="Palatino Linotype" w:hAnsi="Palatino Linotype" w:cs="Palatino Linotype"/>
          <w:b/>
          <w:i/>
          <w:sz w:val="22"/>
          <w:szCs w:val="22"/>
        </w:rPr>
        <w:t xml:space="preserve">recibo o/y factura de dicha contribución </w:t>
      </w:r>
      <w:r w:rsidRPr="009A5181">
        <w:rPr>
          <w:rFonts w:ascii="Palatino Linotype" w:eastAsia="Palatino Linotype" w:hAnsi="Palatino Linotype" w:cs="Palatino Linotype"/>
          <w:i/>
          <w:sz w:val="22"/>
          <w:szCs w:val="22"/>
        </w:rPr>
        <w:t>ingresada a la tesorería municipal.</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i/>
        </w:rPr>
        <w:t>(</w:t>
      </w:r>
      <w:proofErr w:type="gramStart"/>
      <w:r w:rsidRPr="009A5181">
        <w:rPr>
          <w:rFonts w:ascii="Palatino Linotype" w:eastAsia="Palatino Linotype" w:hAnsi="Palatino Linotype" w:cs="Palatino Linotype"/>
          <w:i/>
        </w:rPr>
        <w:t>sic</w:t>
      </w:r>
      <w:proofErr w:type="gramEnd"/>
      <w:r w:rsidRPr="009A5181">
        <w:rPr>
          <w:rFonts w:ascii="Palatino Linotype" w:eastAsia="Palatino Linotype" w:hAnsi="Palatino Linotype" w:cs="Palatino Linotype"/>
          <w:i/>
        </w:rPr>
        <w:t>)</w:t>
      </w:r>
    </w:p>
    <w:p w:rsidR="00BB2C8C" w:rsidRPr="009A5181" w:rsidRDefault="00BA1081">
      <w:pPr>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b/>
        </w:rPr>
        <w:t xml:space="preserve">4. Respuesta. </w:t>
      </w:r>
      <w:r w:rsidRPr="009A5181">
        <w:rPr>
          <w:rFonts w:ascii="Palatino Linotype" w:eastAsia="Palatino Linotype" w:hAnsi="Palatino Linotype" w:cs="Palatino Linotype"/>
        </w:rPr>
        <w:t>Con fecha</w:t>
      </w:r>
      <w:r w:rsidRPr="009A5181">
        <w:rPr>
          <w:rFonts w:ascii="Palatino Linotype" w:eastAsia="Palatino Linotype" w:hAnsi="Palatino Linotype" w:cs="Palatino Linotype"/>
          <w:b/>
        </w:rPr>
        <w:t xml:space="preserve"> veinte de enero de dos mil veintitrés</w:t>
      </w:r>
      <w:r w:rsidRPr="009A5181">
        <w:rPr>
          <w:rFonts w:ascii="Palatino Linotype" w:eastAsia="Palatino Linotype" w:hAnsi="Palatino Linotype" w:cs="Palatino Linotype"/>
        </w:rPr>
        <w:t xml:space="preserve">,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BB2C8C" w:rsidRPr="009A5181" w:rsidRDefault="00BA1081">
      <w:pPr>
        <w:spacing w:before="240" w:after="24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i/>
          <w:sz w:val="22"/>
          <w:szCs w:val="22"/>
        </w:rPr>
        <w:t>“…EL QUE SUSCRIBE L.C</w:t>
      </w:r>
      <w:r w:rsidRPr="009A5181">
        <w:rPr>
          <w:rFonts w:ascii="Palatino Linotype" w:eastAsia="Palatino Linotype" w:hAnsi="Palatino Linotype" w:cs="Palatino Linotype"/>
          <w:b/>
          <w:i/>
          <w:sz w:val="22"/>
          <w:szCs w:val="22"/>
        </w:rPr>
        <w:t xml:space="preserve">. </w:t>
      </w:r>
      <w:r w:rsidRPr="009A5181">
        <w:rPr>
          <w:rFonts w:ascii="Palatino Linotype" w:eastAsia="Palatino Linotype" w:hAnsi="Palatino Linotype" w:cs="Palatino Linotype"/>
          <w:i/>
          <w:sz w:val="22"/>
          <w:szCs w:val="22"/>
        </w:rPr>
        <w:t xml:space="preserve">JOSE LUIS JUAREZ GUERRERO TESORERO MUNICIPAL DE ZUMPANGO EN RESPUESTA A LA SOLICITUD 00319/ZUMPANGO/IP/2022, LE INFORMO QUE DESPUÉS DE HACER UNA BÚSQUEDA EN DIFERENTES ÁREAS DEL AYUNTAMIENTO DE ZUMPANGO, COMO JURÍDICO Y GOBERNACIÓN, NO SE ENCONTRÓ RECIBO EN EL ARCHIVO DE NINGUNA ÁREA, YA QUE LA INFORMACIÓN RECIBIDA POR LAS DIFERENTES ÁREAS, FUE QUE EL EVENTO </w:t>
      </w:r>
      <w:r w:rsidRPr="009A5181">
        <w:rPr>
          <w:rFonts w:ascii="Palatino Linotype" w:eastAsia="Palatino Linotype" w:hAnsi="Palatino Linotype" w:cs="Palatino Linotype"/>
          <w:b/>
          <w:i/>
          <w:sz w:val="22"/>
          <w:szCs w:val="22"/>
          <w:u w:val="single"/>
        </w:rPr>
        <w:t>FUE REALIZADO POR UN TERCERO</w:t>
      </w:r>
      <w:r w:rsidRPr="009A5181">
        <w:rPr>
          <w:rFonts w:ascii="Palatino Linotype" w:eastAsia="Palatino Linotype" w:hAnsi="Palatino Linotype" w:cs="Palatino Linotype"/>
          <w:i/>
          <w:sz w:val="22"/>
          <w:szCs w:val="22"/>
        </w:rPr>
        <w:t>. SIN MAS POR EL MOMENTO QUEDO A USTED…” (</w:t>
      </w:r>
      <w:proofErr w:type="gramStart"/>
      <w:r w:rsidRPr="009A5181">
        <w:rPr>
          <w:rFonts w:ascii="Palatino Linotype" w:eastAsia="Palatino Linotype" w:hAnsi="Palatino Linotype" w:cs="Palatino Linotype"/>
          <w:i/>
          <w:sz w:val="22"/>
          <w:szCs w:val="22"/>
        </w:rPr>
        <w:t>sic</w:t>
      </w:r>
      <w:proofErr w:type="gramEnd"/>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adjuntó no adjuntó archivos.</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b/>
        </w:rPr>
        <w:t xml:space="preserve">5. Interposición del recurso de revisión. </w:t>
      </w:r>
      <w:r w:rsidRPr="009A5181">
        <w:rPr>
          <w:rFonts w:ascii="Palatino Linotype" w:eastAsia="Palatino Linotype" w:hAnsi="Palatino Linotype" w:cs="Palatino Linotype"/>
        </w:rPr>
        <w:t xml:space="preserve">Inconforme con los términos de la respuesta emitida por parte del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b/>
        </w:rPr>
        <w:t>veinte de enero de dos mil veintitrés,</w:t>
      </w:r>
      <w:r w:rsidRPr="009A5181">
        <w:rPr>
          <w:rFonts w:ascii="Palatino Linotype" w:eastAsia="Palatino Linotype" w:hAnsi="Palatino Linotype" w:cs="Palatino Linotype"/>
        </w:rPr>
        <w:t xml:space="preserve">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interpuso el recurso de revisión a través de </w:t>
      </w:r>
      <w:r w:rsidRPr="009A5181">
        <w:rPr>
          <w:rFonts w:ascii="Palatino Linotype" w:eastAsia="Palatino Linotype" w:hAnsi="Palatino Linotype" w:cs="Palatino Linotype"/>
          <w:b/>
        </w:rPr>
        <w:t xml:space="preserve">SAIMEX, </w:t>
      </w:r>
      <w:r w:rsidRPr="009A5181">
        <w:rPr>
          <w:rFonts w:ascii="Palatino Linotype" w:eastAsia="Palatino Linotype" w:hAnsi="Palatino Linotype" w:cs="Palatino Linotype"/>
        </w:rPr>
        <w:t>en donde se manifestó de la siguiente manera:</w:t>
      </w:r>
    </w:p>
    <w:p w:rsidR="00BB2C8C" w:rsidRPr="009A5181" w:rsidRDefault="00BA1081">
      <w:pPr>
        <w:tabs>
          <w:tab w:val="left" w:pos="2745"/>
        </w:tabs>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b/>
        </w:rPr>
        <w:t xml:space="preserve">Acto impugnado: </w:t>
      </w:r>
    </w:p>
    <w:p w:rsidR="00BB2C8C" w:rsidRPr="009A5181" w:rsidRDefault="00BA1081">
      <w:pPr>
        <w:tabs>
          <w:tab w:val="left" w:pos="2745"/>
        </w:tabs>
        <w:spacing w:before="240" w:after="24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“La respuesta” (sic)</w:t>
      </w:r>
    </w:p>
    <w:p w:rsidR="00BB2C8C" w:rsidRPr="009A5181" w:rsidRDefault="00BA1081">
      <w:pPr>
        <w:spacing w:line="360" w:lineRule="auto"/>
        <w:jc w:val="both"/>
        <w:rPr>
          <w:rFonts w:ascii="Palatino Linotype" w:eastAsia="Palatino Linotype" w:hAnsi="Palatino Linotype" w:cs="Palatino Linotype"/>
        </w:rPr>
      </w:pPr>
      <w:bookmarkStart w:id="3" w:name="_heading=h.30j0zll" w:colFirst="0" w:colLast="0"/>
      <w:bookmarkEnd w:id="3"/>
      <w:r w:rsidRPr="009A5181">
        <w:rPr>
          <w:rFonts w:ascii="Palatino Linotype" w:eastAsia="Palatino Linotype" w:hAnsi="Palatino Linotype" w:cs="Palatino Linotype"/>
          <w:b/>
        </w:rPr>
        <w:t>Y Razones o motivos de inconformidad</w:t>
      </w:r>
      <w:r w:rsidRPr="009A5181">
        <w:rPr>
          <w:rFonts w:ascii="Palatino Linotype" w:eastAsia="Palatino Linotype" w:hAnsi="Palatino Linotype" w:cs="Palatino Linotype"/>
        </w:rPr>
        <w:t>:</w:t>
      </w:r>
    </w:p>
    <w:p w:rsidR="00BB2C8C" w:rsidRPr="009A5181" w:rsidRDefault="00BA1081">
      <w:pPr>
        <w:tabs>
          <w:tab w:val="left" w:pos="2745"/>
        </w:tabs>
        <w:spacing w:before="240" w:after="24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“Si bien da respuesta sin oficio o documentos soporte alguno, un sujeto que dice ser José, y que ha solicitado a Jurídico y Gobernación, la ley de espectáculos públicos es clara que el municipio debe recaudar por concepto de espectáculos públicos, y </w:t>
      </w:r>
      <w:proofErr w:type="spellStart"/>
      <w:r w:rsidRPr="009A5181">
        <w:rPr>
          <w:rFonts w:ascii="Palatino Linotype" w:eastAsia="Palatino Linotype" w:hAnsi="Palatino Linotype" w:cs="Palatino Linotype"/>
          <w:i/>
          <w:sz w:val="22"/>
          <w:szCs w:val="22"/>
        </w:rPr>
        <w:t>maxime</w:t>
      </w:r>
      <w:proofErr w:type="spellEnd"/>
      <w:r w:rsidRPr="009A5181">
        <w:rPr>
          <w:rFonts w:ascii="Palatino Linotype" w:eastAsia="Palatino Linotype" w:hAnsi="Palatino Linotype" w:cs="Palatino Linotype"/>
          <w:i/>
          <w:sz w:val="22"/>
          <w:szCs w:val="22"/>
        </w:rPr>
        <w:t xml:space="preserve"> cuando el sujeto dice tener conocimiento y además que el municipio le hacía publicidad, por lo que </w:t>
      </w:r>
      <w:r w:rsidRPr="009A5181">
        <w:rPr>
          <w:rFonts w:ascii="Palatino Linotype" w:eastAsia="Palatino Linotype" w:hAnsi="Palatino Linotype" w:cs="Palatino Linotype"/>
          <w:b/>
          <w:i/>
          <w:sz w:val="22"/>
          <w:szCs w:val="22"/>
        </w:rPr>
        <w:t>erogó dinero público</w:t>
      </w:r>
      <w:r w:rsidRPr="009A5181">
        <w:rPr>
          <w:rFonts w:ascii="Palatino Linotype" w:eastAsia="Palatino Linotype" w:hAnsi="Palatino Linotype" w:cs="Palatino Linotype"/>
          <w:i/>
          <w:sz w:val="22"/>
          <w:szCs w:val="22"/>
        </w:rPr>
        <w:t xml:space="preserve">, por lo que </w:t>
      </w:r>
      <w:r w:rsidRPr="009A5181">
        <w:rPr>
          <w:rFonts w:ascii="Palatino Linotype" w:eastAsia="Palatino Linotype" w:hAnsi="Palatino Linotype" w:cs="Palatino Linotype"/>
          <w:b/>
          <w:i/>
          <w:sz w:val="22"/>
          <w:szCs w:val="22"/>
          <w:u w:val="single"/>
        </w:rPr>
        <w:t>debió ingresar un monto en numerario</w:t>
      </w:r>
      <w:r w:rsidRPr="009A5181">
        <w:rPr>
          <w:rFonts w:ascii="Palatino Linotype" w:eastAsia="Palatino Linotype" w:hAnsi="Palatino Linotype" w:cs="Palatino Linotype"/>
          <w:i/>
          <w:sz w:val="22"/>
          <w:szCs w:val="22"/>
        </w:rPr>
        <w:t xml:space="preserve">, y aunado. Ello se </w:t>
      </w:r>
      <w:proofErr w:type="spellStart"/>
      <w:r w:rsidRPr="009A5181">
        <w:rPr>
          <w:rFonts w:ascii="Palatino Linotype" w:eastAsia="Palatino Linotype" w:hAnsi="Palatino Linotype" w:cs="Palatino Linotype"/>
          <w:i/>
          <w:sz w:val="22"/>
          <w:szCs w:val="22"/>
        </w:rPr>
        <w:t>solicito</w:t>
      </w:r>
      <w:proofErr w:type="spellEnd"/>
      <w:r w:rsidRPr="009A5181">
        <w:rPr>
          <w:rFonts w:ascii="Palatino Linotype" w:eastAsia="Palatino Linotype" w:hAnsi="Palatino Linotype" w:cs="Palatino Linotype"/>
          <w:i/>
          <w:sz w:val="22"/>
          <w:szCs w:val="22"/>
        </w:rPr>
        <w:t xml:space="preserve"> aclaración y se hizo. Por lo que la solicitud se tuvo </w:t>
      </w:r>
      <w:proofErr w:type="spellStart"/>
      <w:r w:rsidRPr="009A5181">
        <w:rPr>
          <w:rFonts w:ascii="Palatino Linotype" w:eastAsia="Palatino Linotype" w:hAnsi="Palatino Linotype" w:cs="Palatino Linotype"/>
          <w:i/>
          <w:sz w:val="22"/>
          <w:szCs w:val="22"/>
        </w:rPr>
        <w:t>aue</w:t>
      </w:r>
      <w:proofErr w:type="spellEnd"/>
      <w:r w:rsidRPr="009A5181">
        <w:rPr>
          <w:rFonts w:ascii="Palatino Linotype" w:eastAsia="Palatino Linotype" w:hAnsi="Palatino Linotype" w:cs="Palatino Linotype"/>
          <w:i/>
          <w:sz w:val="22"/>
          <w:szCs w:val="22"/>
        </w:rPr>
        <w:t xml:space="preserve"> dirigir a quien representa al municipio para </w:t>
      </w:r>
      <w:proofErr w:type="spellStart"/>
      <w:r w:rsidRPr="009A5181">
        <w:rPr>
          <w:rFonts w:ascii="Palatino Linotype" w:eastAsia="Palatino Linotype" w:hAnsi="Palatino Linotype" w:cs="Palatino Linotype"/>
          <w:i/>
          <w:sz w:val="22"/>
          <w:szCs w:val="22"/>
        </w:rPr>
        <w:t>aue</w:t>
      </w:r>
      <w:proofErr w:type="spellEnd"/>
      <w:r w:rsidRPr="009A5181">
        <w:rPr>
          <w:rFonts w:ascii="Palatino Linotype" w:eastAsia="Palatino Linotype" w:hAnsi="Palatino Linotype" w:cs="Palatino Linotype"/>
          <w:i/>
          <w:sz w:val="22"/>
          <w:szCs w:val="22"/>
        </w:rPr>
        <w:t xml:space="preserve"> en uso de sus facultades y atribuciones destine al área indicada la solicitud y se </w:t>
      </w:r>
      <w:proofErr w:type="spellStart"/>
      <w:r w:rsidRPr="009A5181">
        <w:rPr>
          <w:rFonts w:ascii="Palatino Linotype" w:eastAsia="Palatino Linotype" w:hAnsi="Palatino Linotype" w:cs="Palatino Linotype"/>
          <w:i/>
          <w:sz w:val="22"/>
          <w:szCs w:val="22"/>
        </w:rPr>
        <w:t>de</w:t>
      </w:r>
      <w:proofErr w:type="spellEnd"/>
      <w:r w:rsidRPr="009A5181">
        <w:rPr>
          <w:rFonts w:ascii="Palatino Linotype" w:eastAsia="Palatino Linotype" w:hAnsi="Palatino Linotype" w:cs="Palatino Linotype"/>
          <w:i/>
          <w:sz w:val="22"/>
          <w:szCs w:val="22"/>
        </w:rPr>
        <w:t xml:space="preserve"> respuesta, pues hacerlo de otra forma es incurrir en una violación a los derecho humanos en su vertientes de acceso a la información pública, y muestra lo más negro de la corrupción. Por lo que solicito se aclare el punto, y en su caso se de vista a la contraloría municipal y del poder legislativo.</w:t>
      </w:r>
      <w:r w:rsidRPr="009A5181">
        <w:rPr>
          <w:rFonts w:ascii="Palatino Linotype" w:eastAsia="Palatino Linotype" w:hAnsi="Palatino Linotype" w:cs="Palatino Linotype"/>
          <w:b/>
          <w:i/>
          <w:sz w:val="22"/>
          <w:szCs w:val="22"/>
        </w:rPr>
        <w:t xml:space="preserve">” </w:t>
      </w:r>
      <w:r w:rsidRPr="009A5181">
        <w:rPr>
          <w:rFonts w:ascii="Palatino Linotype" w:eastAsia="Palatino Linotype" w:hAnsi="Palatino Linotype" w:cs="Palatino Linotype"/>
          <w:i/>
          <w:sz w:val="22"/>
          <w:szCs w:val="22"/>
        </w:rPr>
        <w:t>(</w:t>
      </w:r>
      <w:proofErr w:type="gramStart"/>
      <w:r w:rsidRPr="009A5181">
        <w:rPr>
          <w:rFonts w:ascii="Palatino Linotype" w:eastAsia="Palatino Linotype" w:hAnsi="Palatino Linotype" w:cs="Palatino Linotype"/>
          <w:i/>
          <w:sz w:val="22"/>
          <w:szCs w:val="22"/>
        </w:rPr>
        <w:t>sic</w:t>
      </w:r>
      <w:proofErr w:type="gramEnd"/>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b/>
        </w:rPr>
        <w:t xml:space="preserve">6. Turno. </w:t>
      </w:r>
      <w:r w:rsidRPr="009A518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A5181">
        <w:rPr>
          <w:rFonts w:ascii="Palatino Linotype" w:eastAsia="Palatino Linotype" w:hAnsi="Palatino Linotype" w:cs="Palatino Linotype"/>
          <w:b/>
        </w:rPr>
        <w:t xml:space="preserve">Guadalupe Ramírez Peña, </w:t>
      </w:r>
      <w:r w:rsidRPr="009A5181">
        <w:rPr>
          <w:rFonts w:ascii="Palatino Linotype" w:eastAsia="Palatino Linotype" w:hAnsi="Palatino Linotype" w:cs="Palatino Linotype"/>
        </w:rPr>
        <w:t xml:space="preserve">a efecto de que analizara sobre su admisión o su </w:t>
      </w:r>
      <w:proofErr w:type="spellStart"/>
      <w:r w:rsidRPr="009A5181">
        <w:rPr>
          <w:rFonts w:ascii="Palatino Linotype" w:eastAsia="Palatino Linotype" w:hAnsi="Palatino Linotype" w:cs="Palatino Linotype"/>
        </w:rPr>
        <w:t>desechamiento</w:t>
      </w:r>
      <w:proofErr w:type="spellEnd"/>
      <w:r w:rsidRPr="009A5181">
        <w:rPr>
          <w:rFonts w:ascii="Palatino Linotype" w:eastAsia="Palatino Linotype" w:hAnsi="Palatino Linotype" w:cs="Palatino Linotype"/>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lastRenderedPageBreak/>
        <w:t>7. Admisión del Recurso de revisión.</w:t>
      </w:r>
      <w:r w:rsidRPr="009A5181">
        <w:rPr>
          <w:rFonts w:ascii="Palatino Linotype" w:eastAsia="Palatino Linotype" w:hAnsi="Palatino Linotype" w:cs="Palatino Linotype"/>
        </w:rPr>
        <w:t xml:space="preserve"> Con fecha</w:t>
      </w:r>
      <w:r w:rsidRPr="009A5181">
        <w:rPr>
          <w:rFonts w:ascii="Palatino Linotype" w:eastAsia="Palatino Linotype" w:hAnsi="Palatino Linotype" w:cs="Palatino Linotype"/>
          <w:b/>
        </w:rPr>
        <w:t xml:space="preserve"> veinticinco de enero de dos mil veintitrés, </w:t>
      </w:r>
      <w:r w:rsidRPr="009A518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presentara su informe justificado.</w:t>
      </w:r>
    </w:p>
    <w:p w:rsidR="00BB2C8C" w:rsidRPr="009A5181" w:rsidRDefault="00BA1081">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9A5181">
        <w:rPr>
          <w:rFonts w:ascii="Palatino Linotype" w:eastAsia="Palatino Linotype" w:hAnsi="Palatino Linotype" w:cs="Palatino Linotype"/>
          <w:b/>
        </w:rPr>
        <w:t>8. Manifestaciones</w:t>
      </w:r>
      <w:r w:rsidRPr="009A5181">
        <w:rPr>
          <w:rFonts w:ascii="Palatino Linotype" w:eastAsia="Palatino Linotype" w:hAnsi="Palatino Linotype" w:cs="Palatino Linotype"/>
        </w:rPr>
        <w:t xml:space="preserve">. De las constancias que obran en el expediente electrónico del SAIMEX se desprende que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no rindió su informe justificado, del mismo modo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omitió realizar manifestaciones, como se observa a continuación: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noProof/>
        </w:rPr>
        <w:drawing>
          <wp:inline distT="0" distB="0" distL="0" distR="0">
            <wp:extent cx="5612130" cy="1607820"/>
            <wp:effectExtent l="0" t="0" r="0" b="0"/>
            <wp:docPr id="11322239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12130" cy="1607820"/>
                    </a:xfrm>
                    <a:prstGeom prst="rect">
                      <a:avLst/>
                    </a:prstGeom>
                    <a:ln/>
                  </pic:spPr>
                </pic:pic>
              </a:graphicData>
            </a:graphic>
          </wp:inline>
        </w:drawing>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 xml:space="preserve">9. Cierre de instrucción. </w:t>
      </w:r>
      <w:r w:rsidRPr="009A518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A5181">
        <w:rPr>
          <w:rFonts w:ascii="Palatino Linotype" w:eastAsia="Palatino Linotype" w:hAnsi="Palatino Linotype" w:cs="Palatino Linotype"/>
          <w:b/>
        </w:rPr>
        <w:t xml:space="preserve">siete de febrero de dos mil veintitrés, </w:t>
      </w:r>
      <w:r w:rsidRPr="009A5181">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b/>
        </w:rPr>
        <w:lastRenderedPageBreak/>
        <w:t>10. Ampliación del término para resolver</w:t>
      </w:r>
      <w:r w:rsidRPr="009A5181">
        <w:rPr>
          <w:rFonts w:ascii="Palatino Linotype" w:eastAsia="Palatino Linotype" w:hAnsi="Palatino Linotype" w:cs="Palatino Linotype"/>
        </w:rPr>
        <w:t xml:space="preserve">. En fecha </w:t>
      </w:r>
      <w:r w:rsidRPr="009A5181">
        <w:rPr>
          <w:rFonts w:ascii="Palatino Linotype" w:eastAsia="Palatino Linotype" w:hAnsi="Palatino Linotype" w:cs="Palatino Linotype"/>
          <w:b/>
        </w:rPr>
        <w:t>veintinueve de mayo de dos mil veintitrés</w:t>
      </w:r>
      <w:r w:rsidRPr="009A518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9A5181">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rsidR="00BB2C8C" w:rsidRPr="009A5181" w:rsidRDefault="00BA1081">
      <w:pPr>
        <w:spacing w:before="240" w:after="240" w:line="360" w:lineRule="auto"/>
        <w:jc w:val="both"/>
        <w:rPr>
          <w:rFonts w:ascii="Palatino Linotype" w:eastAsia="Palatino Linotype" w:hAnsi="Palatino Linotype" w:cs="Palatino Linotype"/>
          <w:strike/>
        </w:rPr>
      </w:pPr>
      <w:r w:rsidRPr="009A518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BB2C8C" w:rsidRPr="009A5181" w:rsidRDefault="00BA1081">
      <w:pPr>
        <w:numPr>
          <w:ilvl w:val="0"/>
          <w:numId w:val="1"/>
        </w:num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BB2C8C" w:rsidRPr="009A5181" w:rsidRDefault="00BA1081">
      <w:pPr>
        <w:numPr>
          <w:ilvl w:val="0"/>
          <w:numId w:val="1"/>
        </w:num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Actividad Procesal del interesado. Acciones u omisiones del interesado.</w:t>
      </w:r>
    </w:p>
    <w:p w:rsidR="00BB2C8C" w:rsidRPr="009A5181" w:rsidRDefault="00BA1081">
      <w:pPr>
        <w:numPr>
          <w:ilvl w:val="0"/>
          <w:numId w:val="1"/>
        </w:num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Conducta de la Autoridad: Las Acciones u omisiones realizadas en el procedimiento. Así como si la autoridad actuó con la debida diligencia.</w:t>
      </w:r>
    </w:p>
    <w:p w:rsidR="00BB2C8C" w:rsidRPr="009A5181" w:rsidRDefault="00BA1081">
      <w:pPr>
        <w:spacing w:before="240" w:after="240" w:line="360" w:lineRule="auto"/>
        <w:ind w:left="567"/>
        <w:jc w:val="both"/>
        <w:rPr>
          <w:rFonts w:ascii="Palatino Linotype" w:eastAsia="Palatino Linotype" w:hAnsi="Palatino Linotype" w:cs="Palatino Linotype"/>
        </w:rPr>
      </w:pPr>
      <w:r w:rsidRPr="009A5181">
        <w:rPr>
          <w:rFonts w:ascii="Palatino Linotype" w:eastAsia="Palatino Linotype" w:hAnsi="Palatino Linotype" w:cs="Palatino Linotype"/>
        </w:rPr>
        <w:t>d) La afectación generada en la situación jurídica de la persona involucrada en el proceso: Violación a sus derechos humanos.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B2C8C" w:rsidRPr="009A5181" w:rsidRDefault="00BA1081">
      <w:pPr>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rPr>
        <w:t>Argumento que encuentra sustento en la jurisprudencia P</w:t>
      </w:r>
      <w:proofErr w:type="gramStart"/>
      <w:r w:rsidRPr="009A5181">
        <w:rPr>
          <w:rFonts w:ascii="Palatino Linotype" w:eastAsia="Palatino Linotype" w:hAnsi="Palatino Linotype" w:cs="Palatino Linotype"/>
        </w:rPr>
        <w:t>./</w:t>
      </w:r>
      <w:proofErr w:type="gramEnd"/>
      <w:r w:rsidRPr="009A5181">
        <w:rPr>
          <w:rFonts w:ascii="Palatino Linotype" w:eastAsia="Palatino Linotype" w:hAnsi="Palatino Linotype" w:cs="Palatino Linotype"/>
        </w:rPr>
        <w:t xml:space="preserve">J. 32/92 emitida por el Pleno de la Suprema Corte de Justicia de la Nación de rubro </w:t>
      </w:r>
      <w:r w:rsidRPr="009A5181">
        <w:rPr>
          <w:rFonts w:ascii="Palatino Linotype" w:eastAsia="Palatino Linotype" w:hAnsi="Palatino Linotype" w:cs="Palatino Linotype"/>
          <w:i/>
        </w:rPr>
        <w:t xml:space="preserve">“TÉRMINOS </w:t>
      </w:r>
      <w:r w:rsidRPr="009A5181">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9A5181">
        <w:rPr>
          <w:rFonts w:ascii="Palatino Linotype" w:eastAsia="Palatino Linotype" w:hAnsi="Palatino Linotype" w:cs="Palatino Linotype"/>
        </w:rPr>
        <w:t>, visible en la Gaceta del Seminario Judicial de la Federación con el registro digital 205635.</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BB2C8C" w:rsidRPr="009A5181" w:rsidRDefault="00BA1081">
      <w:pPr>
        <w:spacing w:before="240" w:after="240"/>
        <w:ind w:left="851" w:right="902"/>
        <w:jc w:val="both"/>
        <w:rPr>
          <w:rFonts w:ascii="Palatino Linotype" w:eastAsia="Palatino Linotype" w:hAnsi="Palatino Linotype" w:cs="Palatino Linotype"/>
          <w:sz w:val="22"/>
          <w:szCs w:val="22"/>
        </w:rPr>
      </w:pP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PLAZO RAZONABLE PARA RESOLVER. DIMENSIÓN Y EFECTOS DE ESTE CONCEPTO CUANDO SE ADUCE EXCESIVA CARGA DE TRABAJO</w:t>
      </w: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sz w:val="22"/>
          <w:szCs w:val="22"/>
        </w:rPr>
        <w:t xml:space="preserve"> consultable en el Seminario Judicial de la Federación y su gaceta, con el registro digital 2002351.</w:t>
      </w:r>
    </w:p>
    <w:p w:rsidR="00BB2C8C" w:rsidRPr="009A5181" w:rsidRDefault="00BA1081">
      <w:pPr>
        <w:spacing w:before="240" w:after="240"/>
        <w:ind w:left="851" w:right="902"/>
        <w:jc w:val="both"/>
        <w:rPr>
          <w:rFonts w:ascii="Palatino Linotype" w:eastAsia="Palatino Linotype" w:hAnsi="Palatino Linotype" w:cs="Palatino Linotype"/>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sz w:val="22"/>
          <w:szCs w:val="22"/>
        </w:rPr>
        <w:t xml:space="preserve">, visible en el </w:t>
      </w:r>
      <w:r w:rsidRPr="009A5181">
        <w:rPr>
          <w:rFonts w:ascii="Palatino Linotype" w:eastAsia="Palatino Linotype" w:hAnsi="Palatino Linotype" w:cs="Palatino Linotype"/>
          <w:sz w:val="22"/>
          <w:szCs w:val="22"/>
        </w:rPr>
        <w:lastRenderedPageBreak/>
        <w:t>Seminario Judicial de la Federación y su gaceta, con el registro digital 2002350.</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BB2C8C" w:rsidRPr="009A5181" w:rsidRDefault="00BA1081">
      <w:pPr>
        <w:widowControl w:val="0"/>
        <w:spacing w:before="240" w:after="240" w:line="360" w:lineRule="auto"/>
        <w:jc w:val="center"/>
        <w:rPr>
          <w:rFonts w:ascii="Palatino Linotype" w:eastAsia="Palatino Linotype" w:hAnsi="Palatino Linotype" w:cs="Palatino Linotype"/>
          <w:b/>
        </w:rPr>
      </w:pPr>
      <w:r w:rsidRPr="009A5181">
        <w:rPr>
          <w:rFonts w:ascii="Palatino Linotype" w:eastAsia="Palatino Linotype" w:hAnsi="Palatino Linotype" w:cs="Palatino Linotype"/>
          <w:b/>
        </w:rPr>
        <w:t>II. C O N S I D E R A N D O 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Primero. Competencia.</w:t>
      </w:r>
      <w:r w:rsidRPr="009A518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9A5181">
        <w:rPr>
          <w:rFonts w:ascii="Palatino Linotype" w:eastAsia="Palatino Linotype" w:hAnsi="Palatino Linotype" w:cs="Palatino Linotype"/>
          <w:b/>
        </w:rPr>
        <w:t xml:space="preserve">Segundo. Oportunidad y </w:t>
      </w:r>
      <w:proofErr w:type="spellStart"/>
      <w:r w:rsidRPr="009A5181">
        <w:rPr>
          <w:rFonts w:ascii="Palatino Linotype" w:eastAsia="Palatino Linotype" w:hAnsi="Palatino Linotype" w:cs="Palatino Linotype"/>
          <w:b/>
        </w:rPr>
        <w:t>Procedibilidad</w:t>
      </w:r>
      <w:proofErr w:type="spellEnd"/>
      <w:r w:rsidRPr="009A5181">
        <w:rPr>
          <w:rFonts w:ascii="Palatino Linotype" w:eastAsia="Palatino Linotype" w:hAnsi="Palatino Linotype" w:cs="Palatino Linotype"/>
          <w:b/>
        </w:rPr>
        <w:t xml:space="preserve"> del Recurso de Revisión</w:t>
      </w:r>
      <w:r w:rsidRPr="009A5181">
        <w:rPr>
          <w:rFonts w:ascii="Palatino Linotype" w:eastAsia="Palatino Linotype" w:hAnsi="Palatino Linotype" w:cs="Palatino Linotype"/>
        </w:rPr>
        <w:t xml:space="preserve">. Previo al estudio del fondo del asunto, se procede a analizar los requisitos de oportunidad y </w:t>
      </w:r>
      <w:proofErr w:type="spellStart"/>
      <w:r w:rsidRPr="009A5181">
        <w:rPr>
          <w:rFonts w:ascii="Palatino Linotype" w:eastAsia="Palatino Linotype" w:hAnsi="Palatino Linotype" w:cs="Palatino Linotype"/>
        </w:rPr>
        <w:t>procedibilidad</w:t>
      </w:r>
      <w:proofErr w:type="spellEnd"/>
      <w:r w:rsidRPr="009A5181">
        <w:rPr>
          <w:rFonts w:ascii="Palatino Linotype" w:eastAsia="Palatino Linotype" w:hAnsi="Palatino Linotype" w:cs="Palatino Linotype"/>
        </w:rPr>
        <w:t xml:space="preserve"> que debe reunir el recurso de revisión interpuesto, previstos en los </w:t>
      </w:r>
      <w:r w:rsidRPr="009A5181">
        <w:rPr>
          <w:rFonts w:ascii="Palatino Linotype" w:eastAsia="Palatino Linotype" w:hAnsi="Palatino Linotype" w:cs="Palatino Linotype"/>
        </w:rPr>
        <w:lastRenderedPageBreak/>
        <w:t>artículos 178 y 180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 xml:space="preserve">remitió la respuesta a la solicitud de información el día </w:t>
      </w:r>
      <w:r w:rsidRPr="009A5181">
        <w:rPr>
          <w:rFonts w:ascii="Palatino Linotype" w:eastAsia="Palatino Linotype" w:hAnsi="Palatino Linotype" w:cs="Palatino Linotype"/>
          <w:b/>
        </w:rPr>
        <w:t xml:space="preserve">veinte de enero de dos mil veintitrés, </w:t>
      </w:r>
      <w:r w:rsidRPr="009A5181">
        <w:rPr>
          <w:rFonts w:ascii="Palatino Linotype" w:eastAsia="Palatino Linotype" w:hAnsi="Palatino Linotype" w:cs="Palatino Linotype"/>
        </w:rPr>
        <w:t xml:space="preserve">mientras que el recurso de revisión interpuesto por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se tuvo por presentado el día </w:t>
      </w:r>
      <w:r w:rsidRPr="009A5181">
        <w:rPr>
          <w:rFonts w:ascii="Palatino Linotype" w:eastAsia="Palatino Linotype" w:hAnsi="Palatino Linotype" w:cs="Palatino Linotype"/>
          <w:b/>
        </w:rPr>
        <w:t>veinte de enero de dos mil veintitrés</w:t>
      </w:r>
      <w:r w:rsidRPr="009A5181">
        <w:rPr>
          <w:rFonts w:ascii="Palatino Linotype" w:eastAsia="Palatino Linotype" w:hAnsi="Palatino Linotype" w:cs="Palatino Linotype"/>
        </w:rPr>
        <w:t>, esto es el mismo día en que tuvo conocimiento de la respuesta impugnada. En este sentido, se concluye que el presente recurso de revisión se encuentra dentro de los márgenes temporales previstos en las disposiciones legales referidas.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A5181">
        <w:rPr>
          <w:rFonts w:ascii="Palatino Linotype" w:eastAsia="Palatino Linotype" w:hAnsi="Palatino Linotype" w:cs="Palatino Linotype"/>
          <w:i/>
          <w:sz w:val="22"/>
          <w:szCs w:val="22"/>
        </w:rPr>
        <w:t xml:space="preserve">. Conforme al artículo 104, párrafo segundo, de la Ley de </w:t>
      </w:r>
      <w:r w:rsidRPr="009A5181">
        <w:rPr>
          <w:rFonts w:ascii="Palatino Linotype" w:eastAsia="Palatino Linotype" w:hAnsi="Palatino Linotype" w:cs="Palatino Linotype"/>
          <w:i/>
          <w:sz w:val="22"/>
          <w:szCs w:val="22"/>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B2C8C" w:rsidRPr="009A5181" w:rsidRDefault="00BA1081">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9A5181">
        <w:rPr>
          <w:rFonts w:ascii="Palatino Linotype" w:eastAsia="Palatino Linotype" w:hAnsi="Palatino Linotype" w:cs="Palatino Linotype"/>
        </w:rPr>
        <w:t xml:space="preserve">Al mismo tiempo, por cuanto hace a la </w:t>
      </w:r>
      <w:proofErr w:type="spellStart"/>
      <w:r w:rsidRPr="009A5181">
        <w:rPr>
          <w:rFonts w:ascii="Palatino Linotype" w:eastAsia="Palatino Linotype" w:hAnsi="Palatino Linotype" w:cs="Palatino Linotype"/>
        </w:rPr>
        <w:t>procedibilidad</w:t>
      </w:r>
      <w:proofErr w:type="spellEnd"/>
      <w:r w:rsidRPr="009A5181">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Finalmente, se advierte que resulta procedente la interposición del recurso, según lo manifestado por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en sus motivos de inconformidad, de acuerdo al artículo 179, fracción I del ordenamiento legal citado, que a la letra dice: </w:t>
      </w:r>
    </w:p>
    <w:p w:rsidR="00BB2C8C" w:rsidRPr="009A5181" w:rsidRDefault="00BA1081">
      <w:pPr>
        <w:spacing w:before="120" w:after="120"/>
        <w:ind w:left="993"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179.</w:t>
      </w:r>
      <w:r w:rsidRPr="009A518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B2C8C" w:rsidRPr="009A5181" w:rsidRDefault="00BA1081">
      <w:pPr>
        <w:spacing w:before="120" w:after="120"/>
        <w:ind w:left="1134"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I. </w:t>
      </w:r>
      <w:r w:rsidRPr="009A5181">
        <w:rPr>
          <w:rFonts w:ascii="Palatino Linotype" w:eastAsia="Palatino Linotype" w:hAnsi="Palatino Linotype" w:cs="Palatino Linotype"/>
          <w:i/>
          <w:sz w:val="22"/>
          <w:szCs w:val="22"/>
        </w:rPr>
        <w:t>La negativa a la información solicitada</w:t>
      </w:r>
      <w:r w:rsidRPr="009A5181">
        <w:rPr>
          <w:rFonts w:ascii="Palatino Linotype" w:eastAsia="Palatino Linotype" w:hAnsi="Palatino Linotype" w:cs="Palatino Linotype"/>
          <w:b/>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b/>
        </w:rPr>
        <w:t xml:space="preserve">Tercero. Materia de la revisión. </w:t>
      </w:r>
      <w:r w:rsidRPr="009A518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A5181">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9A5181">
        <w:rPr>
          <w:rFonts w:ascii="Palatino Linotype" w:eastAsia="Palatino Linotype" w:hAnsi="Palatino Linotype" w:cs="Palatino Linotype"/>
        </w:rPr>
        <w:t xml:space="preserve">de la parte </w:t>
      </w:r>
      <w:r w:rsidRPr="009A5181">
        <w:rPr>
          <w:rFonts w:ascii="Palatino Linotype" w:eastAsia="Palatino Linotype" w:hAnsi="Palatino Linotype" w:cs="Palatino Linotype"/>
          <w:b/>
        </w:rPr>
        <w:lastRenderedPageBreak/>
        <w:t>Recurrente</w:t>
      </w:r>
      <w:r w:rsidRPr="009A5181">
        <w:rPr>
          <w:rFonts w:ascii="Palatino Linotype" w:eastAsia="Palatino Linotype" w:hAnsi="Palatino Linotype" w:cs="Palatino Linotype"/>
        </w:rPr>
        <w:t>, o en su defecto, en caso de ser procedente, ordenar la entrega de información.</w:t>
      </w:r>
    </w:p>
    <w:p w:rsidR="00BB2C8C" w:rsidRPr="009A5181" w:rsidRDefault="00BA1081">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9A5181">
        <w:rPr>
          <w:rFonts w:ascii="Palatino Linotype" w:eastAsia="Palatino Linotype" w:hAnsi="Palatino Linotype" w:cs="Palatino Linotype"/>
          <w:b/>
        </w:rPr>
        <w:t xml:space="preserve">Cuarto. Estudio del asunto. </w:t>
      </w:r>
      <w:r w:rsidRPr="009A5181">
        <w:rPr>
          <w:rFonts w:ascii="Palatino Linotype" w:eastAsia="Palatino Linotype" w:hAnsi="Palatino Linotype" w:cs="Palatino Linotype"/>
        </w:rPr>
        <w:t xml:space="preserve">Del análisis de la solicitud de información, motivo del recurso de revisión que ahora se resuelve se advierte que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requirió al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le proporcione, información consistente en lo siguiente:</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1. Pago realizado a la Tesorería Municipal por concepto de la Feria de Zumpango realizada en 2021 y 2022. </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2. Nombre de la persona física o moral o jurídica que realizó dicha Feria. </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3. Qué pasó con la feria ingresada a la Tesorería Municipal; feria o dinero, lana, </w:t>
      </w:r>
      <w:proofErr w:type="spellStart"/>
      <w:r w:rsidRPr="009A5181">
        <w:rPr>
          <w:rFonts w:ascii="Palatino Linotype" w:eastAsia="Palatino Linotype" w:hAnsi="Palatino Linotype" w:cs="Palatino Linotype"/>
        </w:rPr>
        <w:t>billullo</w:t>
      </w:r>
      <w:proofErr w:type="spellEnd"/>
      <w:r w:rsidRPr="009A5181">
        <w:rPr>
          <w:rFonts w:ascii="Palatino Linotype" w:eastAsia="Palatino Linotype" w:hAnsi="Palatino Linotype" w:cs="Palatino Linotype"/>
        </w:rPr>
        <w:t>, pasta, plata, recaudo.</w:t>
      </w:r>
    </w:p>
    <w:p w:rsidR="00BB2C8C" w:rsidRPr="009A5181" w:rsidRDefault="00BA1081">
      <w:pPr>
        <w:tabs>
          <w:tab w:val="left" w:pos="709"/>
        </w:tabs>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rPr>
        <w:t xml:space="preserve">En ejercicio de la facultad conferida en el artículo 159 primer párrafo de la Ley de Transparencia y Acceso a la Información Pública del Estado de México,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requirió a la persona solicitante a través de la Titular de la Unidad de Transparencia, al sexto día hábil posterior a la presentación de la solicitud, a efecto de que, dentro de los diez días hábiles siguientes, </w:t>
      </w:r>
      <w:r w:rsidRPr="009A5181">
        <w:rPr>
          <w:rFonts w:ascii="Palatino Linotype" w:eastAsia="Palatino Linotype" w:hAnsi="Palatino Linotype" w:cs="Palatino Linotype"/>
          <w:b/>
        </w:rPr>
        <w:t>redactara de manera clara y precisa la solicitud, señalando que no era muy clara por cuanto a lo que se refiere y requiere.</w:t>
      </w:r>
    </w:p>
    <w:p w:rsidR="00BB2C8C" w:rsidRPr="009A5181" w:rsidRDefault="00BA1081">
      <w:pPr>
        <w:spacing w:before="240" w:after="240" w:line="372"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este sentido, se menciona que efectivamente, la Ley de la Materia confiere a los Sujetos Obligados la potestad de que, por una sola vez, requieran a los solicitantes para que proporcionen datos adicionales que les permitan localizar la información </w:t>
      </w:r>
      <w:r w:rsidRPr="009A5181">
        <w:rPr>
          <w:rFonts w:ascii="Palatino Linotype" w:eastAsia="Palatino Linotype" w:hAnsi="Palatino Linotype" w:cs="Palatino Linotype"/>
        </w:rPr>
        <w:lastRenderedPageBreak/>
        <w:t>a la que desean acceder, dentro de los cinco días posteriores a la recepción de la solicitud.</w:t>
      </w:r>
    </w:p>
    <w:p w:rsidR="00BB2C8C" w:rsidRPr="009A5181" w:rsidRDefault="00BA1081">
      <w:pPr>
        <w:spacing w:before="240" w:after="240" w:line="372"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qué información deben ubicar y entregar.</w:t>
      </w:r>
    </w:p>
    <w:p w:rsidR="00BB2C8C" w:rsidRPr="009A5181" w:rsidRDefault="00BA1081">
      <w:pPr>
        <w:spacing w:before="240" w:after="240" w:line="372"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Así, es que a consideración de este Organismo Garante el </w:t>
      </w:r>
      <w:r w:rsidRPr="009A5181">
        <w:rPr>
          <w:rFonts w:ascii="Palatino Linotype" w:eastAsia="Palatino Linotype" w:hAnsi="Palatino Linotype" w:cs="Palatino Linotype"/>
          <w:b/>
        </w:rPr>
        <w:t>Sujeto Obligado hizo un uso excesivo del requerimiento de aclaración</w:t>
      </w:r>
      <w:r w:rsidRPr="009A5181">
        <w:rPr>
          <w:rFonts w:ascii="Palatino Linotype" w:eastAsia="Palatino Linotype" w:hAnsi="Palatino Linotype" w:cs="Palatino Linotype"/>
        </w:rPr>
        <w:t xml:space="preserve">, pues, además que el requerimiento se encuentra fuera del plazo legal establecido, no señaló en concreto que datos de la solicitud debían aclararse o ampliarse a efecto de identificar plenamente la información que es del interés de la persona solicitante, sino que de manera general señaló que la redacción de la solicitud no era </w:t>
      </w:r>
      <w:r w:rsidRPr="009A5181">
        <w:rPr>
          <w:rFonts w:ascii="Palatino Linotype" w:eastAsia="Palatino Linotype" w:hAnsi="Palatino Linotype" w:cs="Palatino Linotype"/>
          <w:i/>
        </w:rPr>
        <w:t xml:space="preserve">muy clara, </w:t>
      </w:r>
      <w:r w:rsidRPr="009A5181">
        <w:rPr>
          <w:rFonts w:ascii="Palatino Linotype" w:eastAsia="Palatino Linotype" w:hAnsi="Palatino Linotype" w:cs="Palatino Linotype"/>
        </w:rPr>
        <w:t>argumento que este Organismo Garante no comparte respecto de todos los puntos de la solicitud.</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rPr>
        <w:t>Sin embargo, la persona solicitante desahogó el requerimiento de información en los siguientes términos:</w:t>
      </w:r>
    </w:p>
    <w:p w:rsidR="00BB2C8C" w:rsidRPr="009A5181" w:rsidRDefault="00BA1081">
      <w:pPr>
        <w:spacing w:before="240" w:after="24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“Monto o importe ingresado, o pagado, o recibido por el concepto de haber realizado la feria de Zumpango en el año 2021 y 2022, así como el nombre de la sociedad, empresa o persona jurídica o moral a la cual le asignaron dicho evento. Y recibo o/y factura de dicha contribución ingresada a la tesorería municipal.”</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rPr>
        <w:t>En este tenor, atendiendo al segundo párrafo del artículo 159 primer párrafo de la Ley de Transparencia, mismo que señala que el Sujeto Obligado atenderá la solicitud en los términos en que fue desahogado el requerimiento de información adicional, se colige que la materia de la solicitud es la siguiente:</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De la Feria de Zumpango, en los ejercicios 2021 y 2022.</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bookmarkStart w:id="8" w:name="_heading=h.1fob9te" w:colFirst="0" w:colLast="0"/>
      <w:bookmarkEnd w:id="8"/>
      <w:r w:rsidRPr="009A5181">
        <w:rPr>
          <w:rFonts w:ascii="Palatino Linotype" w:eastAsia="Palatino Linotype" w:hAnsi="Palatino Linotype" w:cs="Palatino Linotype"/>
        </w:rPr>
        <w:t>1. Monto o importe ingresado, o pagado, o recibido por su realización.</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2. Recibo y/o factura de dicha contribución ingresada a la Tesorería Municipal.</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3. Nombre de la sociedad, empresa o persona jurídica o moral encargada de dicho evento. </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4. Destino de los ingresos recaudados por la Tesorería Municipal.</w:t>
      </w:r>
    </w:p>
    <w:p w:rsidR="00BB2C8C" w:rsidRPr="009A5181" w:rsidRDefault="00BA1081">
      <w:pPr>
        <w:spacing w:before="240" w:after="240" w:line="360" w:lineRule="auto"/>
        <w:ind w:right="49"/>
        <w:jc w:val="both"/>
        <w:rPr>
          <w:rFonts w:ascii="Palatino Linotype" w:eastAsia="Palatino Linotype" w:hAnsi="Palatino Linotype" w:cs="Palatino Linotype"/>
          <w:b/>
        </w:rPr>
      </w:pPr>
      <w:r w:rsidRPr="009A5181">
        <w:rPr>
          <w:rFonts w:ascii="Palatino Linotype" w:eastAsia="Palatino Linotype" w:hAnsi="Palatino Linotype" w:cs="Palatino Linotype"/>
        </w:rPr>
        <w:t xml:space="preserve">Una vez desahogada la aclaración por la persona solicitante, la Unidad de Transparencia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 xml:space="preserve">hizo del conocimiento de la persona solicitante el pronunciamiento emitido por el Tesorero Municipal, quien señaló que después de hacer una búsqueda en diferentes áreas del ayuntamiento, como Jurídico y Gobernación, </w:t>
      </w:r>
      <w:r w:rsidRPr="009A5181">
        <w:rPr>
          <w:rFonts w:ascii="Palatino Linotype" w:eastAsia="Palatino Linotype" w:hAnsi="Palatino Linotype" w:cs="Palatino Linotype"/>
          <w:b/>
        </w:rPr>
        <w:t>no se encontró recibo en el archivo de ninguna área</w:t>
      </w:r>
      <w:r w:rsidRPr="009A5181">
        <w:rPr>
          <w:rFonts w:ascii="Palatino Linotype" w:eastAsia="Palatino Linotype" w:hAnsi="Palatino Linotype" w:cs="Palatino Linotype"/>
        </w:rPr>
        <w:t xml:space="preserve">, pues la información recibida por parte de estas fue que </w:t>
      </w:r>
      <w:r w:rsidRPr="009A5181">
        <w:rPr>
          <w:rFonts w:ascii="Palatino Linotype" w:eastAsia="Palatino Linotype" w:hAnsi="Palatino Linotype" w:cs="Palatino Linotype"/>
          <w:b/>
        </w:rPr>
        <w:t>el evento fue realizado por un tercero.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Al no estar conforme con los términos de la respuesta otorgada a su solicitud, la persona solicitante interpuso el recurso de revisión que ahora nos ocupa, en el que señaló que “</w:t>
      </w:r>
      <w:r w:rsidRPr="009A5181">
        <w:rPr>
          <w:rFonts w:ascii="Palatino Linotype" w:eastAsia="Palatino Linotype" w:hAnsi="Palatino Linotype" w:cs="Palatino Linotype"/>
          <w:i/>
        </w:rPr>
        <w:t xml:space="preserve">Si bien da respuesta sin oficio o documentos soporte alguno, un sujeto que dice ser José, y que ha solicitado a Jurídico y Gobernación, la ley de espectáculos públicos es clara que el municipio debe recaudar por concepto de espectáculos públicos, y máxime cuando el sujeto dice tener conocimiento y además que el municipio le hacía publicidad, por lo que erogó dinero público, por lo que debió ingresar un monto en numerario, y aunado. Ello se solicitó aclaración y se hizo. Por lo que la solicitud se tuvo que dirigir a quien representa al municipio para que en uso de sus facultades y atribuciones destine al área indicada la solicitud y se dé </w:t>
      </w:r>
      <w:r w:rsidRPr="009A5181">
        <w:rPr>
          <w:rFonts w:ascii="Palatino Linotype" w:eastAsia="Palatino Linotype" w:hAnsi="Palatino Linotype" w:cs="Palatino Linotype"/>
          <w:i/>
        </w:rPr>
        <w:lastRenderedPageBreak/>
        <w:t>respuesta, pues hacerlo de otra forma es incurrir en una violación a los derecho humanos en su vertientes de acceso a la información pública, y muestra lo más negro de la corrupción. Por lo que solicito se aclare el punto, y en su caso se de vista a la contraloría municipal y del poder legislativo</w:t>
      </w:r>
      <w:r w:rsidRPr="009A5181">
        <w:rPr>
          <w:rFonts w:ascii="Palatino Linotype" w:eastAsia="Palatino Linotype" w:hAnsi="Palatino Linotype" w:cs="Palatino Linotype"/>
        </w:rPr>
        <w:t>.” (</w:t>
      </w:r>
      <w:proofErr w:type="gramStart"/>
      <w:r w:rsidRPr="009A5181">
        <w:rPr>
          <w:rFonts w:ascii="Palatino Linotype" w:eastAsia="Palatino Linotype" w:hAnsi="Palatino Linotype" w:cs="Palatino Linotype"/>
        </w:rPr>
        <w:t>sic</w:t>
      </w:r>
      <w:proofErr w:type="gramEnd"/>
      <w:r w:rsidRPr="009A5181">
        <w:rPr>
          <w:rFonts w:ascii="Palatino Linotype" w:eastAsia="Palatino Linotype" w:hAnsi="Palatino Linotype" w:cs="Palatino Linotype"/>
        </w:rPr>
        <w:t>)</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Asimismo, no pasa desapercibido que la persona solicitante realizó diversos planteamientos subjetivos, como parte de su recurso de revisión, tales como “…</w:t>
      </w:r>
      <w:r w:rsidRPr="009A5181">
        <w:rPr>
          <w:rFonts w:ascii="Palatino Linotype" w:eastAsia="Palatino Linotype" w:hAnsi="Palatino Linotype" w:cs="Palatino Linotype"/>
          <w:i/>
        </w:rPr>
        <w:t>pues hacerlo de otra forma es incurrir en una violación a los derecho humanos en su vertientes de acceso a la información pública…” y “…muestra lo más negro de la corrupción…”</w:t>
      </w:r>
      <w:r w:rsidRPr="009A5181">
        <w:rPr>
          <w:rFonts w:ascii="Palatino Linotype" w:eastAsia="Palatino Linotype" w:hAnsi="Palatino Linotype" w:cs="Palatino Linotype"/>
        </w:rPr>
        <w:t xml:space="preserve">  entre otros,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Admitido el recurso de revisión, en términos del artículo 185 fracción II</w:t>
      </w:r>
      <w:r w:rsidRPr="009A5181">
        <w:rPr>
          <w:rFonts w:ascii="Palatino Linotype" w:eastAsia="Palatino Linotype" w:hAnsi="Palatino Linotype" w:cs="Palatino Linotype"/>
          <w:vertAlign w:val="superscript"/>
        </w:rPr>
        <w:footnoteReference w:id="1"/>
      </w:r>
      <w:r w:rsidRPr="009A518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w:t>
      </w:r>
      <w:r w:rsidRPr="009A5181">
        <w:rPr>
          <w:rFonts w:ascii="Palatino Linotype" w:eastAsia="Palatino Linotype" w:hAnsi="Palatino Linotype" w:cs="Palatino Linotype"/>
        </w:rPr>
        <w:lastRenderedPageBreak/>
        <w:t>conveniente, siendo ambas partes omisas en ejercer dicha prerrogativa como se señaló anteriormente.</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BB2C8C" w:rsidRPr="009A5181" w:rsidRDefault="00BA1081">
      <w:pPr>
        <w:spacing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9A5181">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B2C8C" w:rsidRPr="009A5181" w:rsidRDefault="00BB2C8C">
      <w:pPr>
        <w:ind w:left="851" w:right="899"/>
        <w:jc w:val="both"/>
        <w:rPr>
          <w:rFonts w:ascii="Palatino Linotype" w:eastAsia="Palatino Linotype" w:hAnsi="Palatino Linotype" w:cs="Palatino Linotype"/>
          <w:i/>
        </w:rPr>
      </w:pPr>
    </w:p>
    <w:p w:rsidR="00BB2C8C" w:rsidRPr="009A5181" w:rsidRDefault="00BA1081">
      <w:pPr>
        <w:ind w:left="851"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 xml:space="preserve">Artículo 3. </w:t>
      </w:r>
      <w:r w:rsidRPr="009A5181">
        <w:rPr>
          <w:rFonts w:ascii="Palatino Linotype" w:eastAsia="Palatino Linotype" w:hAnsi="Palatino Linotype" w:cs="Palatino Linotype"/>
          <w:i/>
          <w:sz w:val="22"/>
          <w:szCs w:val="22"/>
        </w:rPr>
        <w:t>Para los efectos de la presente Ley se entenderá por:</w:t>
      </w:r>
    </w:p>
    <w:p w:rsidR="00BB2C8C" w:rsidRPr="009A5181" w:rsidRDefault="00BA1081">
      <w:pPr>
        <w:ind w:left="1134"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ind w:left="1134"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XI. Documento:</w:t>
      </w:r>
      <w:r w:rsidRPr="009A5181">
        <w:rPr>
          <w:rFonts w:ascii="Palatino Linotype" w:eastAsia="Palatino Linotype" w:hAnsi="Palatino Linotype" w:cs="Palatino Linotype"/>
          <w:i/>
          <w:sz w:val="22"/>
          <w:szCs w:val="22"/>
        </w:rPr>
        <w:t xml:space="preserve"> Los expedientes, reportes, estudios, actas</w:t>
      </w:r>
      <w:r w:rsidRPr="009A5181">
        <w:rPr>
          <w:rFonts w:ascii="Palatino Linotype" w:eastAsia="Palatino Linotype" w:hAnsi="Palatino Linotype" w:cs="Palatino Linotype"/>
          <w:b/>
          <w:i/>
          <w:sz w:val="22"/>
          <w:szCs w:val="22"/>
        </w:rPr>
        <w:t>,</w:t>
      </w:r>
      <w:r w:rsidRPr="009A518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B2C8C" w:rsidRPr="009A5181" w:rsidRDefault="00BB2C8C">
      <w:pPr>
        <w:ind w:left="851" w:right="899"/>
        <w:jc w:val="both"/>
        <w:rPr>
          <w:rFonts w:ascii="Palatino Linotype" w:eastAsia="Palatino Linotype" w:hAnsi="Palatino Linotype" w:cs="Palatino Linotype"/>
          <w:sz w:val="22"/>
          <w:szCs w:val="22"/>
        </w:rPr>
      </w:pPr>
    </w:p>
    <w:p w:rsidR="00BB2C8C" w:rsidRPr="009A5181" w:rsidRDefault="00BA1081">
      <w:pPr>
        <w:spacing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B2C8C" w:rsidRPr="009A5181" w:rsidRDefault="00BB2C8C">
      <w:pPr>
        <w:ind w:left="851" w:right="899"/>
        <w:jc w:val="both"/>
        <w:rPr>
          <w:rFonts w:ascii="Palatino Linotype" w:eastAsia="Palatino Linotype" w:hAnsi="Palatino Linotype" w:cs="Palatino Linotype"/>
        </w:rPr>
      </w:pPr>
    </w:p>
    <w:p w:rsidR="00BB2C8C" w:rsidRPr="009A5181" w:rsidRDefault="00BA1081">
      <w:pPr>
        <w:ind w:left="851"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sz w:val="22"/>
          <w:szCs w:val="22"/>
        </w:rPr>
        <w:t>“</w:t>
      </w:r>
      <w:r w:rsidRPr="009A518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A518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B2C8C" w:rsidRPr="009A5181" w:rsidRDefault="00BA1081">
      <w:pPr>
        <w:ind w:left="851"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B2C8C" w:rsidRPr="009A5181" w:rsidRDefault="00BA1081">
      <w:pPr>
        <w:ind w:left="1134" w:right="899"/>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BB2C8C" w:rsidRPr="009A5181" w:rsidRDefault="00BA1081">
      <w:pPr>
        <w:ind w:left="1134" w:right="899"/>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B2C8C" w:rsidRPr="009A5181" w:rsidRDefault="00BA1081">
      <w:pPr>
        <w:ind w:left="1134" w:right="899"/>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9A5181">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Ahora bien, derivado de las constancias que obran en el expediente, se advierte que en observancia de lo previsto en los artículos 53</w:t>
      </w:r>
      <w:r w:rsidRPr="009A5181">
        <w:rPr>
          <w:rFonts w:ascii="Palatino Linotype" w:eastAsia="Palatino Linotype" w:hAnsi="Palatino Linotype" w:cs="Palatino Linotype"/>
          <w:vertAlign w:val="superscript"/>
        </w:rPr>
        <w:footnoteReference w:id="2"/>
      </w:r>
      <w:r w:rsidRPr="009A5181">
        <w:rPr>
          <w:rFonts w:ascii="Palatino Linotype" w:eastAsia="Palatino Linotype" w:hAnsi="Palatino Linotype" w:cs="Palatino Linotype"/>
        </w:rPr>
        <w:t xml:space="preserve"> fracciones II y IV y  162</w:t>
      </w:r>
      <w:r w:rsidRPr="009A5181">
        <w:rPr>
          <w:rFonts w:ascii="Palatino Linotype" w:eastAsia="Palatino Linotype" w:hAnsi="Palatino Linotype" w:cs="Palatino Linotype"/>
          <w:vertAlign w:val="superscript"/>
        </w:rPr>
        <w:footnoteReference w:id="3"/>
      </w:r>
      <w:r w:rsidRPr="009A5181">
        <w:rPr>
          <w:rFonts w:ascii="Palatino Linotype" w:eastAsia="Palatino Linotype" w:hAnsi="Palatino Linotype" w:cs="Palatino Linotype"/>
        </w:rPr>
        <w:t xml:space="preserve"> de la Ley de la Materia, la Unidad de Transparencia turnó la solicitud al servidor público habilitado José Luis Juárez Guerrero, como se observa a continuación: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noProof/>
        </w:rPr>
        <w:drawing>
          <wp:inline distT="0" distB="0" distL="0" distR="0">
            <wp:extent cx="5612130" cy="684530"/>
            <wp:effectExtent l="0" t="0" r="0" b="0"/>
            <wp:docPr id="11322239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684530"/>
                    </a:xfrm>
                    <a:prstGeom prst="rect">
                      <a:avLst/>
                    </a:prstGeom>
                    <a:ln/>
                  </pic:spPr>
                </pic:pic>
              </a:graphicData>
            </a:graphic>
          </wp:inline>
        </w:drawing>
      </w:r>
      <w:r w:rsidRPr="009A5181">
        <w:rPr>
          <w:noProof/>
        </w:rPr>
        <mc:AlternateContent>
          <mc:Choice Requires="wpg">
            <w:drawing>
              <wp:anchor distT="0" distB="0" distL="114300" distR="114300" simplePos="0" relativeHeight="251658240" behindDoc="0" locked="0" layoutInCell="1" hidden="0" allowOverlap="1">
                <wp:simplePos x="0" y="0"/>
                <wp:positionH relativeFrom="column">
                  <wp:posOffset>1574800</wp:posOffset>
                </wp:positionH>
                <wp:positionV relativeFrom="paragraph">
                  <wp:posOffset>673100</wp:posOffset>
                </wp:positionV>
                <wp:extent cx="257175" cy="219075"/>
                <wp:effectExtent l="0" t="0" r="0" b="0"/>
                <wp:wrapNone/>
                <wp:docPr id="1132223915" name="Conector recto de flecha 1132223915"/>
                <wp:cNvGraphicFramePr/>
                <a:graphic xmlns:a="http://schemas.openxmlformats.org/drawingml/2006/main">
                  <a:graphicData uri="http://schemas.microsoft.com/office/word/2010/wordprocessingShape">
                    <wps:wsp>
                      <wps:cNvCnPr/>
                      <wps:spPr>
                        <a:xfrm rot="10800000">
                          <a:off x="5255513" y="3708563"/>
                          <a:ext cx="180975" cy="14287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1574800</wp:posOffset>
                </wp:positionH>
                <wp:positionV relativeFrom="paragraph">
                  <wp:posOffset>673100</wp:posOffset>
                </wp:positionV>
                <wp:extent cx="257175" cy="219075"/>
                <wp:effectExtent b="0" l="0" r="0" t="0"/>
                <wp:wrapNone/>
                <wp:docPr id="1132223915"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57175" cy="219075"/>
                        </a:xfrm>
                        <a:prstGeom prst="rect"/>
                        <a:ln/>
                      </pic:spPr>
                    </pic:pic>
                  </a:graphicData>
                </a:graphic>
              </wp:anchor>
            </w:drawing>
          </mc:Fallback>
        </mc:AlternateConten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Al respecto, es de suma importancia mencionar que dicho servidor público, de conformidad con la información publicada por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 xml:space="preserve">en el portal de Información Pública de Oficio Mexiquense, IPOMEX, en cumplimiento con la obligación de transparencia  prevista en el artículo 92, fracción VII, de la </w:t>
      </w:r>
      <w:r w:rsidRPr="009A5181">
        <w:t xml:space="preserve">Ley </w:t>
      </w:r>
      <w:r w:rsidRPr="009A5181">
        <w:rPr>
          <w:rFonts w:ascii="Palatino Linotype" w:eastAsia="Palatino Linotype" w:hAnsi="Palatino Linotype" w:cs="Palatino Linotype"/>
        </w:rPr>
        <w:t xml:space="preserve">de Transparencia y Acceso a la Información Pública del Estado de México y Municipios, </w:t>
      </w:r>
      <w:r w:rsidRPr="009A5181">
        <w:rPr>
          <w:rFonts w:ascii="Palatino Linotype" w:eastAsia="Palatino Linotype" w:hAnsi="Palatino Linotype" w:cs="Palatino Linotype"/>
          <w:b/>
        </w:rPr>
        <w:t>ostenta el cargo de Tesorero Municipal</w:t>
      </w:r>
      <w:r w:rsidRPr="009A5181">
        <w:rPr>
          <w:rFonts w:ascii="Palatino Linotype" w:eastAsia="Palatino Linotype" w:hAnsi="Palatino Linotype" w:cs="Palatino Linotype"/>
        </w:rPr>
        <w:t xml:space="preserve">: como se aprecia a continuación: </w:t>
      </w:r>
    </w:p>
    <w:p w:rsidR="00BB2C8C" w:rsidRPr="009A5181" w:rsidRDefault="00BA1081">
      <w:pPr>
        <w:spacing w:before="240" w:after="240" w:line="360" w:lineRule="auto"/>
        <w:jc w:val="center"/>
        <w:rPr>
          <w:rFonts w:ascii="Palatino Linotype" w:eastAsia="Palatino Linotype" w:hAnsi="Palatino Linotype" w:cs="Palatino Linotype"/>
        </w:rPr>
      </w:pPr>
      <w:r w:rsidRPr="009A5181">
        <w:rPr>
          <w:noProof/>
        </w:rPr>
        <w:lastRenderedPageBreak/>
        <w:drawing>
          <wp:inline distT="0" distB="0" distL="0" distR="0">
            <wp:extent cx="5324475" cy="1847850"/>
            <wp:effectExtent l="0" t="0" r="0" b="0"/>
            <wp:docPr id="11322239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24475" cy="1847850"/>
                    </a:xfrm>
                    <a:prstGeom prst="rect">
                      <a:avLst/>
                    </a:prstGeom>
                    <a:ln/>
                  </pic:spPr>
                </pic:pic>
              </a:graphicData>
            </a:graphic>
          </wp:inline>
        </w:drawing>
      </w:r>
      <w:r w:rsidRPr="009A5181">
        <w:rPr>
          <w:noProof/>
        </w:rPr>
        <mc:AlternateContent>
          <mc:Choice Requires="wpg">
            <w:drawing>
              <wp:anchor distT="0" distB="0" distL="114300" distR="114300" simplePos="0" relativeHeight="251659264" behindDoc="0" locked="0" layoutInCell="1" hidden="0" allowOverlap="1">
                <wp:simplePos x="0" y="0"/>
                <wp:positionH relativeFrom="column">
                  <wp:posOffset>4267200</wp:posOffset>
                </wp:positionH>
                <wp:positionV relativeFrom="paragraph">
                  <wp:posOffset>876300</wp:posOffset>
                </wp:positionV>
                <wp:extent cx="222250" cy="622300"/>
                <wp:effectExtent l="0" t="0" r="0" b="0"/>
                <wp:wrapNone/>
                <wp:docPr id="1132223914" name="Cerrar llave 1132223914"/>
                <wp:cNvGraphicFramePr/>
                <a:graphic xmlns:a="http://schemas.openxmlformats.org/drawingml/2006/main">
                  <a:graphicData uri="http://schemas.microsoft.com/office/word/2010/wordprocessingShape">
                    <wps:wsp>
                      <wps:cNvSpPr/>
                      <wps:spPr>
                        <a:xfrm>
                          <a:off x="5260275" y="3494250"/>
                          <a:ext cx="171450" cy="571500"/>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BB2C8C" w:rsidRDefault="00BB2C8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4267200</wp:posOffset>
                </wp:positionH>
                <wp:positionV relativeFrom="paragraph">
                  <wp:posOffset>876300</wp:posOffset>
                </wp:positionV>
                <wp:extent cx="222250" cy="622300"/>
                <wp:effectExtent b="0" l="0" r="0" t="0"/>
                <wp:wrapNone/>
                <wp:docPr id="113222391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22250" cy="622300"/>
                        </a:xfrm>
                        <a:prstGeom prst="rect"/>
                        <a:ln/>
                      </pic:spPr>
                    </pic:pic>
                  </a:graphicData>
                </a:graphic>
              </wp:anchor>
            </w:drawing>
          </mc:Fallback>
        </mc:AlternateConten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Atento a lo anterior, se menciona que la Tesorería Municipal, de conformidad con los artículos artículo 93 y 95, fracciones I, y IV de la Ley Orgánica Municipal del Estado de México, es el órgano de la administración pública municipal autorizado para la recaudación de los impuestos, derechos municipales y demás contribuciones de los particulares, así mismo es responsable de efectuar las erogaciones que realice con cargo al presupuesto aprobado por el Ayuntamiento, a saber:</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93.-</w:t>
      </w:r>
      <w:r w:rsidRPr="009A5181">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95</w:t>
      </w:r>
      <w:r w:rsidRPr="009A5181">
        <w:rPr>
          <w:rFonts w:ascii="Palatino Linotype" w:eastAsia="Palatino Linotype" w:hAnsi="Palatino Linotype" w:cs="Palatino Linotype"/>
          <w:i/>
          <w:sz w:val="22"/>
          <w:szCs w:val="22"/>
        </w:rPr>
        <w:t xml:space="preserve">.- Son atribuciones del tesorero municipal: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w:t>
      </w:r>
      <w:r w:rsidRPr="009A5181">
        <w:rPr>
          <w:rFonts w:ascii="Palatino Linotype" w:eastAsia="Palatino Linotype" w:hAnsi="Palatino Linotype" w:cs="Palatino Linotype"/>
          <w:i/>
          <w:sz w:val="22"/>
          <w:szCs w:val="22"/>
        </w:rPr>
        <w:t xml:space="preserve"> Administrar la hacienda pública municipal, de conformidad con las disposiciones legales aplicables;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IV</w:t>
      </w:r>
      <w:r w:rsidRPr="009A5181">
        <w:rPr>
          <w:rFonts w:ascii="Palatino Linotype" w:eastAsia="Palatino Linotype" w:hAnsi="Palatino Linotype" w:cs="Palatino Linotype"/>
          <w:i/>
          <w:sz w:val="22"/>
          <w:szCs w:val="22"/>
        </w:rPr>
        <w:t>. Llevar los registros contables, financieros y administrativos de los ingresos, egresos, e inventarios;”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Mientras que el Bando Municipal de Zumpango, en su el artículo 47, dispone que la Tesorería Municipal es la parte de la Administración Pública Municipal que por conducto de su titular, a quien se le denominará Tesorero Municipal, le </w:t>
      </w:r>
      <w:r w:rsidRPr="009A5181">
        <w:rPr>
          <w:rFonts w:ascii="Palatino Linotype" w:eastAsia="Palatino Linotype" w:hAnsi="Palatino Linotype" w:cs="Palatino Linotype"/>
        </w:rPr>
        <w:lastRenderedPageBreak/>
        <w:t>corresponden las atribuciones que expresamente señalan la Constitución Local, la Ley Orgánica, el Código Financiero del Estado de México y Municipios, el Código Administrativo del Estado de México, y demás normas legales, administrativas y reglamentarias.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su parte el artículo 48 del Bando, señala que además de las atribuciones previstas en la Ley Orgánica y en la legislación fiscal para los municipios, la Tesorería Municipal tiene a su cargo las siguientes atribuciones en su parte conducente: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Artículo 48</w:t>
      </w:r>
      <w:r w:rsidRPr="009A5181">
        <w:rPr>
          <w:rFonts w:ascii="Palatino Linotype" w:eastAsia="Palatino Linotype" w:hAnsi="Palatino Linotype" w:cs="Palatino Linotype"/>
          <w:i/>
          <w:sz w:val="22"/>
          <w:szCs w:val="22"/>
        </w:rPr>
        <w:t xml:space="preserve">.- Además de las previstas en la Ley Orgánica y en la legislación fiscal para los municipios, </w:t>
      </w:r>
      <w:r w:rsidRPr="009A5181">
        <w:rPr>
          <w:rFonts w:ascii="Palatino Linotype" w:eastAsia="Palatino Linotype" w:hAnsi="Palatino Linotype" w:cs="Palatino Linotype"/>
          <w:b/>
          <w:i/>
          <w:sz w:val="22"/>
          <w:szCs w:val="22"/>
        </w:rPr>
        <w:t>son atribuciones de la Tesorería Municipal</w:t>
      </w:r>
      <w:r w:rsidRPr="009A5181">
        <w:rPr>
          <w:rFonts w:ascii="Palatino Linotype" w:eastAsia="Palatino Linotype" w:hAnsi="Palatino Linotype" w:cs="Palatino Linotype"/>
          <w:i/>
          <w:sz w:val="22"/>
          <w:szCs w:val="22"/>
        </w:rPr>
        <w:t xml:space="preserve"> las siguientes: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VII.</w:t>
      </w:r>
      <w:r w:rsidRPr="009A5181">
        <w:rPr>
          <w:rFonts w:ascii="Palatino Linotype" w:eastAsia="Palatino Linotype" w:hAnsi="Palatino Linotype" w:cs="Palatino Linotype"/>
          <w:i/>
          <w:sz w:val="22"/>
          <w:szCs w:val="22"/>
        </w:rPr>
        <w:t xml:space="preserve"> Impulsar las políticas, estrategias y campañas para incrementar los ingresos de la hacienda pública municipal;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VIII.</w:t>
      </w: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Emitir y controlar las formas numeradas y valoradas para la recaudación de los ingresos de la hacienda pública municipal</w:t>
      </w:r>
      <w:r w:rsidRPr="009A5181">
        <w:rPr>
          <w:rFonts w:ascii="Palatino Linotype" w:eastAsia="Palatino Linotype" w:hAnsi="Palatino Linotype" w:cs="Palatino Linotype"/>
          <w:i/>
          <w:sz w:val="22"/>
          <w:szCs w:val="22"/>
        </w:rPr>
        <w:t xml:space="preserve">, así como para el pago de las obligaciones a cargo de la misma;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XV.</w:t>
      </w:r>
      <w:r w:rsidRPr="009A5181">
        <w:rPr>
          <w:rFonts w:ascii="Palatino Linotype" w:eastAsia="Palatino Linotype" w:hAnsi="Palatino Linotype" w:cs="Palatino Linotype"/>
          <w:i/>
          <w:sz w:val="22"/>
          <w:szCs w:val="22"/>
        </w:rPr>
        <w:t xml:space="preserve"> Designar interventora o interventor </w:t>
      </w:r>
      <w:r w:rsidRPr="009A5181">
        <w:rPr>
          <w:rFonts w:ascii="Palatino Linotype" w:eastAsia="Palatino Linotype" w:hAnsi="Palatino Linotype" w:cs="Palatino Linotype"/>
          <w:b/>
          <w:i/>
          <w:sz w:val="22"/>
          <w:szCs w:val="22"/>
        </w:rPr>
        <w:t>en la realización de eventos públicos para determinar el pago de los derechos correspondientes</w:t>
      </w:r>
      <w:r w:rsidRPr="009A5181">
        <w:rPr>
          <w:rFonts w:ascii="Palatino Linotype" w:eastAsia="Palatino Linotype" w:hAnsi="Palatino Linotype" w:cs="Palatino Linotype"/>
          <w:i/>
          <w:sz w:val="22"/>
          <w:szCs w:val="22"/>
        </w:rPr>
        <w:t xml:space="preserve">;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XXII.</w:t>
      </w:r>
      <w:r w:rsidRPr="009A5181">
        <w:rPr>
          <w:rFonts w:ascii="Palatino Linotype" w:eastAsia="Palatino Linotype" w:hAnsi="Palatino Linotype" w:cs="Palatino Linotype"/>
          <w:i/>
          <w:sz w:val="22"/>
          <w:szCs w:val="22"/>
        </w:rPr>
        <w:t xml:space="preserve"> Difundir entre el Ayuntamiento y las áreas y entidades de la Administración Pública Municipal, las disposiciones legales y administrativas relacionadas con los ingresos y egresos municipales y sus correspondientes actualizaciones; y </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Del precepto citado se desprende que la Tesorería Municipal cuenta con atribuciones para emitir y controlar las formas numeradas y valoradas para la recaudación de los ingresos de la hacienda pública municipal, designar interventora o interventor en la </w:t>
      </w:r>
      <w:r w:rsidRPr="009A5181">
        <w:rPr>
          <w:rFonts w:ascii="Palatino Linotype" w:eastAsia="Palatino Linotype" w:hAnsi="Palatino Linotype" w:cs="Palatino Linotype"/>
        </w:rPr>
        <w:lastRenderedPageBreak/>
        <w:t>realización de eventos públicos para determinar el pago de los derechos correspondientes, entre otras atribuciones.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es importante mencionar que de conformidad con el artículo 37, fracción II y 49 del Bando Municipal, la Tesorería se integra por las siguientes áreas administrativas: </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37</w:t>
      </w:r>
      <w:r w:rsidRPr="009A5181">
        <w:rPr>
          <w:rFonts w:ascii="Palatino Linotype" w:eastAsia="Palatino Linotype" w:hAnsi="Palatino Linotype" w:cs="Palatino Linotype"/>
          <w:i/>
          <w:sz w:val="22"/>
          <w:szCs w:val="22"/>
        </w:rPr>
        <w:t xml:space="preserve">.- Para el despacho de los asuntos de la Administración Pública Municipal, el Ayuntamiento se </w:t>
      </w:r>
      <w:r w:rsidRPr="009A5181">
        <w:rPr>
          <w:rFonts w:ascii="Palatino Linotype" w:eastAsia="Palatino Linotype" w:hAnsi="Palatino Linotype" w:cs="Palatino Linotype"/>
          <w:b/>
          <w:i/>
          <w:sz w:val="22"/>
          <w:szCs w:val="22"/>
        </w:rPr>
        <w:t>auxiliará de las siguientes dependencias</w:t>
      </w:r>
      <w:r w:rsidRPr="009A5181">
        <w:rPr>
          <w:rFonts w:ascii="Palatino Linotype" w:eastAsia="Palatino Linotype" w:hAnsi="Palatino Linotype" w:cs="Palatino Linotype"/>
          <w:i/>
          <w:sz w:val="22"/>
          <w:szCs w:val="22"/>
        </w:rPr>
        <w:t>, mismas que estarán conformadas por: direcciones, subdirecciones, coordinaciones, jefaturas, departamentos, unidades, secretarías, oficialías, defensorías y otras para su correcto funcionamiento, todas de carácter centralizado:</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 xml:space="preserve">II.- Tesorería Municipal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w:t>
      </w:r>
      <w:r w:rsidRPr="009A5181">
        <w:rPr>
          <w:rFonts w:ascii="Palatino Linotype" w:eastAsia="Palatino Linotype" w:hAnsi="Palatino Linotype" w:cs="Palatino Linotype"/>
          <w:i/>
          <w:sz w:val="22"/>
          <w:szCs w:val="22"/>
        </w:rPr>
        <w:t xml:space="preserve"> </w:t>
      </w:r>
      <w:proofErr w:type="spellStart"/>
      <w:r w:rsidRPr="009A5181">
        <w:rPr>
          <w:rFonts w:ascii="Palatino Linotype" w:eastAsia="Palatino Linotype" w:hAnsi="Palatino Linotype" w:cs="Palatino Linotype"/>
          <w:i/>
          <w:sz w:val="22"/>
          <w:szCs w:val="22"/>
        </w:rPr>
        <w:t>Subtesorería</w:t>
      </w:r>
      <w:proofErr w:type="spellEnd"/>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b) Coordinación de Ingresos</w:t>
      </w:r>
      <w:r w:rsidRPr="009A5181">
        <w:rPr>
          <w:rFonts w:ascii="Palatino Linotype" w:eastAsia="Palatino Linotype" w:hAnsi="Palatino Linotype" w:cs="Palatino Linotype"/>
          <w:i/>
          <w:sz w:val="22"/>
          <w:szCs w:val="22"/>
        </w:rPr>
        <w:t xml:space="preserve">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c)</w:t>
      </w:r>
      <w:r w:rsidRPr="009A5181">
        <w:rPr>
          <w:rFonts w:ascii="Palatino Linotype" w:eastAsia="Palatino Linotype" w:hAnsi="Palatino Linotype" w:cs="Palatino Linotype"/>
          <w:i/>
          <w:sz w:val="22"/>
          <w:szCs w:val="22"/>
        </w:rPr>
        <w:t xml:space="preserve"> Coordinación de Inspectores, Notificadores, Verificadores y Ejecutores (Coordinación de INVES).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d</w:t>
      </w:r>
      <w:r w:rsidRPr="009A5181">
        <w:rPr>
          <w:rFonts w:ascii="Palatino Linotype" w:eastAsia="Palatino Linotype" w:hAnsi="Palatino Linotype" w:cs="Palatino Linotype"/>
          <w:i/>
          <w:sz w:val="22"/>
          <w:szCs w:val="22"/>
        </w:rPr>
        <w:t xml:space="preserve">) Coordinación de Egresos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e)</w:t>
      </w:r>
      <w:r w:rsidRPr="009A5181">
        <w:rPr>
          <w:rFonts w:ascii="Palatino Linotype" w:eastAsia="Palatino Linotype" w:hAnsi="Palatino Linotype" w:cs="Palatino Linotype"/>
          <w:i/>
          <w:sz w:val="22"/>
          <w:szCs w:val="22"/>
        </w:rPr>
        <w:t xml:space="preserve"> Coordinación de Contabilidad Gubernamental y Cuenta Pública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Jefatura de Fiscalización y Ejecución Fiscal;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Jefatura de Catastro Municipal; y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Jefatura de Reglamentos;</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49</w:t>
      </w:r>
      <w:r w:rsidRPr="009A5181">
        <w:rPr>
          <w:rFonts w:ascii="Palatino Linotype" w:eastAsia="Palatino Linotype" w:hAnsi="Palatino Linotype" w:cs="Palatino Linotype"/>
          <w:i/>
          <w:sz w:val="22"/>
          <w:szCs w:val="22"/>
        </w:rPr>
        <w:t>.- La Tesorería Municipal para la ejecución de sus atribuciones, contará con las siguientes áreas administrativas: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w:t>
      </w:r>
      <w:r w:rsidRPr="009A5181">
        <w:rPr>
          <w:rFonts w:ascii="Palatino Linotype" w:eastAsia="Palatino Linotype" w:hAnsi="Palatino Linotype" w:cs="Palatino Linotype"/>
          <w:i/>
          <w:sz w:val="22"/>
          <w:szCs w:val="22"/>
        </w:rPr>
        <w:t xml:space="preserve">) </w:t>
      </w:r>
      <w:proofErr w:type="spellStart"/>
      <w:r w:rsidRPr="009A5181">
        <w:rPr>
          <w:rFonts w:ascii="Palatino Linotype" w:eastAsia="Palatino Linotype" w:hAnsi="Palatino Linotype" w:cs="Palatino Linotype"/>
          <w:i/>
          <w:sz w:val="22"/>
          <w:szCs w:val="22"/>
        </w:rPr>
        <w:t>Subtesorería</w:t>
      </w:r>
      <w:proofErr w:type="spellEnd"/>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 xml:space="preserve">b) Coordinación de ingresos;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c) </w:t>
      </w:r>
      <w:r w:rsidRPr="009A5181">
        <w:rPr>
          <w:rFonts w:ascii="Palatino Linotype" w:eastAsia="Palatino Linotype" w:hAnsi="Palatino Linotype" w:cs="Palatino Linotype"/>
          <w:i/>
          <w:sz w:val="22"/>
          <w:szCs w:val="22"/>
        </w:rPr>
        <w:t xml:space="preserve">Coordinación de Inspectores, Notificadores, Verificadores y Ejecutores (Coordinación de INVES).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lastRenderedPageBreak/>
        <w:t>d</w:t>
      </w:r>
      <w:r w:rsidRPr="009A5181">
        <w:rPr>
          <w:rFonts w:ascii="Palatino Linotype" w:eastAsia="Palatino Linotype" w:hAnsi="Palatino Linotype" w:cs="Palatino Linotype"/>
          <w:i/>
          <w:sz w:val="22"/>
          <w:szCs w:val="22"/>
        </w:rPr>
        <w:t xml:space="preserve">) Coordinación de Egresos;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e)</w:t>
      </w:r>
      <w:r w:rsidRPr="009A5181">
        <w:rPr>
          <w:rFonts w:ascii="Palatino Linotype" w:eastAsia="Palatino Linotype" w:hAnsi="Palatino Linotype" w:cs="Palatino Linotype"/>
          <w:i/>
          <w:sz w:val="22"/>
          <w:szCs w:val="22"/>
        </w:rPr>
        <w:t xml:space="preserve"> Coordinación de Contabilidad Gubernamental y Cuenta pública;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Jefatura de Fiscalización y Ejecución Fiscal;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Jefatura de Catastro Municipal; y</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Jefatura de Reglamentos;”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En este tenor, se colige que la Unidad de Transparencia, turnó la solicitud de información al área legalmente facultada para generar, administrar o poseer la información materia de la solicitud, esto es a la Tesorería Municipal, no obstante, en atención a la misma el servidor público habilitado refirió que realizó una búsqueda en diferentes áreas del ayuntamiento, tales como Jurídico y Gobernación, sin que se advierta que dichas dependencias  pertenezcan a la estructura orgánica de la Tesorería Municipal, como puede constatarse en los preceptos arriba citados, sino que dichas dependencias forman parte de la administración central del municipio, de conformidad con el artículo 37, fracciones XII y XIII, a saber:</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rPr>
        <w:t>“</w:t>
      </w:r>
      <w:r w:rsidRPr="009A5181">
        <w:rPr>
          <w:rFonts w:ascii="Palatino Linotype" w:eastAsia="Palatino Linotype" w:hAnsi="Palatino Linotype" w:cs="Palatino Linotype"/>
          <w:b/>
          <w:i/>
          <w:sz w:val="22"/>
          <w:szCs w:val="22"/>
        </w:rPr>
        <w:t>Artículo 37</w:t>
      </w: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XII</w:t>
      </w:r>
      <w:r w:rsidRPr="009A5181">
        <w:rPr>
          <w:rFonts w:ascii="Palatino Linotype" w:eastAsia="Palatino Linotype" w:hAnsi="Palatino Linotype" w:cs="Palatino Linotype"/>
          <w:i/>
          <w:sz w:val="22"/>
          <w:szCs w:val="22"/>
        </w:rPr>
        <w:t xml:space="preserve">. Dirección de </w:t>
      </w:r>
      <w:r w:rsidRPr="009A5181">
        <w:rPr>
          <w:rFonts w:ascii="Palatino Linotype" w:eastAsia="Palatino Linotype" w:hAnsi="Palatino Linotype" w:cs="Palatino Linotype"/>
          <w:b/>
          <w:i/>
          <w:sz w:val="22"/>
          <w:szCs w:val="22"/>
        </w:rPr>
        <w:t>Jurídico y Consultivo</w:t>
      </w:r>
      <w:r w:rsidRPr="009A5181">
        <w:rPr>
          <w:rFonts w:ascii="Palatino Linotype" w:eastAsia="Palatino Linotype" w:hAnsi="Palatino Linotype" w:cs="Palatino Linotype"/>
          <w:i/>
          <w:sz w:val="22"/>
          <w:szCs w:val="22"/>
        </w:rPr>
        <w:t xml:space="preserve">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w:t>
      </w:r>
      <w:r w:rsidRPr="009A5181">
        <w:rPr>
          <w:rFonts w:ascii="Palatino Linotype" w:eastAsia="Palatino Linotype" w:hAnsi="Palatino Linotype" w:cs="Palatino Linotype"/>
          <w:i/>
          <w:sz w:val="22"/>
          <w:szCs w:val="22"/>
        </w:rPr>
        <w:t xml:space="preserve"> Un director; y</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b</w:t>
      </w:r>
      <w:r w:rsidRPr="009A5181">
        <w:rPr>
          <w:rFonts w:ascii="Palatino Linotype" w:eastAsia="Palatino Linotype" w:hAnsi="Palatino Linotype" w:cs="Palatino Linotype"/>
          <w:i/>
          <w:sz w:val="22"/>
          <w:szCs w:val="22"/>
        </w:rPr>
        <w:t xml:space="preserve">) Coordinación de Asesores. </w:t>
      </w:r>
    </w:p>
    <w:p w:rsidR="00BB2C8C" w:rsidRPr="009A5181" w:rsidRDefault="00BA1081">
      <w:pPr>
        <w:spacing w:before="120" w:after="120"/>
        <w:ind w:left="1134"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XIII.</w:t>
      </w:r>
      <w:r w:rsidRPr="009A5181">
        <w:rPr>
          <w:rFonts w:ascii="Palatino Linotype" w:eastAsia="Palatino Linotype" w:hAnsi="Palatino Linotype" w:cs="Palatino Linotype"/>
          <w:i/>
          <w:sz w:val="22"/>
          <w:szCs w:val="22"/>
        </w:rPr>
        <w:t xml:space="preserve"> Dirección de </w:t>
      </w:r>
      <w:r w:rsidRPr="009A5181">
        <w:rPr>
          <w:rFonts w:ascii="Palatino Linotype" w:eastAsia="Palatino Linotype" w:hAnsi="Palatino Linotype" w:cs="Palatino Linotype"/>
          <w:b/>
          <w:i/>
          <w:sz w:val="22"/>
          <w:szCs w:val="22"/>
        </w:rPr>
        <w:t xml:space="preserve">Gobernación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w:t>
      </w:r>
      <w:r w:rsidRPr="009A5181">
        <w:rPr>
          <w:rFonts w:ascii="Palatino Linotype" w:eastAsia="Palatino Linotype" w:hAnsi="Palatino Linotype" w:cs="Palatino Linotype"/>
          <w:i/>
          <w:sz w:val="22"/>
          <w:szCs w:val="22"/>
        </w:rPr>
        <w:t xml:space="preserve"> Coordinación de Participación Ciudadana y Autoridades Auxiliares. Departamento de Atención Ciudadana, Sociedades Civiles y Asuntos Religiosos.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b)</w:t>
      </w:r>
      <w:r w:rsidRPr="009A5181">
        <w:rPr>
          <w:rFonts w:ascii="Palatino Linotype" w:eastAsia="Palatino Linotype" w:hAnsi="Palatino Linotype" w:cs="Palatino Linotype"/>
          <w:i/>
          <w:sz w:val="22"/>
          <w:szCs w:val="22"/>
        </w:rPr>
        <w:t xml:space="preserve"> Coordinación de Inspección Municipal.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c)</w:t>
      </w:r>
      <w:r w:rsidRPr="009A5181">
        <w:rPr>
          <w:rFonts w:ascii="Palatino Linotype" w:eastAsia="Palatino Linotype" w:hAnsi="Palatino Linotype" w:cs="Palatino Linotype"/>
          <w:i/>
          <w:sz w:val="22"/>
          <w:szCs w:val="22"/>
        </w:rPr>
        <w:t xml:space="preserve"> Coordinación de Movilidad y Transporte. </w:t>
      </w:r>
    </w:p>
    <w:p w:rsidR="00BB2C8C" w:rsidRPr="009A5181" w:rsidRDefault="00BA1081">
      <w:pPr>
        <w:spacing w:before="120" w:after="120"/>
        <w:ind w:left="170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Departamento de Movilidad. </w:t>
      </w:r>
    </w:p>
    <w:p w:rsidR="00BB2C8C" w:rsidRPr="009A5181" w:rsidRDefault="00BA1081">
      <w:pPr>
        <w:spacing w:before="120" w:after="120"/>
        <w:ind w:left="170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Departamento de Transporte </w:t>
      </w:r>
    </w:p>
    <w:p w:rsidR="00BB2C8C" w:rsidRPr="009A5181" w:rsidRDefault="00BA1081">
      <w:pPr>
        <w:spacing w:before="120" w:after="120"/>
        <w:ind w:left="1418"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d)</w:t>
      </w:r>
      <w:r w:rsidRPr="009A5181">
        <w:rPr>
          <w:rFonts w:ascii="Palatino Linotype" w:eastAsia="Palatino Linotype" w:hAnsi="Palatino Linotype" w:cs="Palatino Linotype"/>
          <w:i/>
          <w:sz w:val="22"/>
          <w:szCs w:val="22"/>
        </w:rPr>
        <w:t xml:space="preserve"> Coordinación de Logística;”</w:t>
      </w:r>
    </w:p>
    <w:p w:rsidR="00BB2C8C" w:rsidRPr="009A5181" w:rsidRDefault="00BA108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Al respecto, no obsta mencionar que de conformidad con los artículos 53 y 162 de la Ley de Transparencia y Acceso a la Información Pública del Estado de México y Municipios, las Unidades de Transparencia, son el área responsable en cada Sujeto Obligado para dar atención a las solicitudes de información que se realicen al amparo de la Ley, </w:t>
      </w:r>
      <w:r w:rsidRPr="009A5181">
        <w:rPr>
          <w:rFonts w:ascii="Palatino Linotype" w:eastAsia="Palatino Linotype" w:hAnsi="Palatino Linotype" w:cs="Palatino Linotype"/>
          <w:b/>
        </w:rPr>
        <w:t>que el responsable de dicha área funge como enlace entre el sujeto obligado y los solicitantes</w:t>
      </w:r>
      <w:r w:rsidRPr="009A5181">
        <w:rPr>
          <w:rFonts w:ascii="Palatino Linotype" w:eastAsia="Palatino Linotype" w:hAnsi="Palatino Linotype" w:cs="Palatino Linotype"/>
        </w:rPr>
        <w:t xml:space="preserve">, y </w:t>
      </w:r>
      <w:r w:rsidRPr="009A5181">
        <w:rPr>
          <w:rFonts w:ascii="Palatino Linotype" w:eastAsia="Palatino Linotype" w:hAnsi="Palatino Linotype" w:cs="Palatino Linotype"/>
          <w:b/>
        </w:rPr>
        <w:t>tiene bajo su responsabilidad el tramitar internamente la solicitud de información</w:t>
      </w:r>
      <w:r w:rsidRPr="009A5181">
        <w:rPr>
          <w:rFonts w:ascii="Palatino Linotype" w:eastAsia="Palatino Linotype" w:hAnsi="Palatino Linotype" w:cs="Palatino Linotype"/>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hoy solicitada, esta puede obrar en las distintas áreas que conforman la estructura orgánica del Sujeto Obligado, es por ello que debe turnar la solicitud al servidor público habilitado que tiene bajo su resguardo la misma. </w:t>
      </w:r>
    </w:p>
    <w:p w:rsidR="00BB2C8C" w:rsidRPr="009A5181" w:rsidRDefault="00BA1081">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rPr>
        <w:t>Por su parte, de conformidad con el artículo 59</w:t>
      </w:r>
      <w:r w:rsidRPr="009A5181">
        <w:rPr>
          <w:rFonts w:ascii="Palatino Linotype" w:eastAsia="Palatino Linotype" w:hAnsi="Palatino Linotype" w:cs="Palatino Linotype"/>
          <w:vertAlign w:val="superscript"/>
        </w:rPr>
        <w:footnoteReference w:id="4"/>
      </w:r>
      <w:r w:rsidRPr="009A5181">
        <w:rPr>
          <w:rFonts w:ascii="Palatino Linotype" w:eastAsia="Palatino Linotype" w:hAnsi="Palatino Linotype" w:cs="Palatino Linotype"/>
        </w:rPr>
        <w:t xml:space="preserve"> de la Ley de la materia, </w:t>
      </w:r>
      <w:r w:rsidRPr="009A5181">
        <w:rPr>
          <w:rFonts w:ascii="Palatino Linotype" w:eastAsia="Palatino Linotype" w:hAnsi="Palatino Linotype" w:cs="Palatino Linotype"/>
          <w:b/>
        </w:rPr>
        <w:t>los servidores públicos habilitados tienen como función buscar, localizar y en su caso entregar la información solicitada que obre en sus archivos.</w:t>
      </w:r>
    </w:p>
    <w:p w:rsidR="00BB2C8C" w:rsidRPr="009A5181" w:rsidRDefault="00BA108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otras palabras, el Titular de la Unidad de Transparencia debe garantizar que las solicitudes se turnen a todas las áreas competentes que puedan contar con la información, con el objeto de que se realice una búsqueda exhaustiva y razonable de </w:t>
      </w:r>
      <w:r w:rsidRPr="009A5181">
        <w:rPr>
          <w:rFonts w:ascii="Palatino Linotype" w:eastAsia="Palatino Linotype" w:hAnsi="Palatino Linotype" w:cs="Palatino Linotype"/>
        </w:rPr>
        <w:lastRenderedPageBreak/>
        <w:t>la misma en sus archivos, y que una vez localizada, sea proporcionada a los solicitantes atendiendo a la naturaleza jurídica de la información, mientras que los servidores públicos habilitados cuentan con el deber de buscar la información que les solicite la Unidad de Transparencia en sus archivos, y, en caso de localizarla proporcionarla a dicha Unidad.</w:t>
      </w:r>
    </w:p>
    <w:p w:rsidR="00BB2C8C" w:rsidRPr="009A5181" w:rsidRDefault="00BA1081">
      <w:pPr>
        <w:spacing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rPr>
        <w:t xml:space="preserve">En este sentido, la Ley de la materia es clara respecto del trámite de las solicitudes de información, y establece de manera precisa las atribuciones con las que cuentan las Unidades de Transparencia y los servidores públicos habilitados, teniendo las primeras a su cargo realizar los trámites internos necesarios para la atención de las solicitudes, esto es, tienen el deber de turnar las solicitudes a las áreas competentes; mientras que los servidores públicos habilitados cuentan con el deber de apoyar a las Unidades de Transparencia a efecto de que esta cumpla con sus funciones, para lo cual deben localizar y entregar la información que se les requiera y que obre en sus archivos, </w:t>
      </w:r>
      <w:r w:rsidRPr="009A5181">
        <w:rPr>
          <w:rFonts w:ascii="Palatino Linotype" w:eastAsia="Palatino Linotype" w:hAnsi="Palatino Linotype" w:cs="Palatino Linotype"/>
          <w:b/>
        </w:rPr>
        <w:t>esto es, la búsqueda de la información solicitada debe ceñirse estrictamente a sus archivos, pues no cuentan con la competencia ni con la obligación de extender dicha búsqueda en archivos que obren en poder de otras dependencias o unidades administrativas del Sujeto Obligado, como aconteció en el presente caso, al ser atribución de las Unidades de Transparencia garantizar que las solicitudes se turnen a todas las Áreas competentes que cuenten con la información o deban tenerla de acuerdo a sus facultades, competencias y funciones.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Aunado a lo anterior, el servidor público habilitado de la Tesorería Municipal omitió pronunciarse de manera clara, respecto de las unidades administrativas que forman </w:t>
      </w:r>
      <w:r w:rsidRPr="009A5181">
        <w:rPr>
          <w:rFonts w:ascii="Palatino Linotype" w:eastAsia="Palatino Linotype" w:hAnsi="Palatino Linotype" w:cs="Palatino Linotype"/>
        </w:rPr>
        <w:lastRenderedPageBreak/>
        <w:t xml:space="preserve">parte de su estructura orgánica, y que pudieran contar con la información, como es el caso de la </w:t>
      </w:r>
      <w:r w:rsidRPr="009A5181">
        <w:rPr>
          <w:rFonts w:ascii="Palatino Linotype" w:eastAsia="Palatino Linotype" w:hAnsi="Palatino Linotype" w:cs="Palatino Linotype"/>
          <w:b/>
          <w:i/>
        </w:rPr>
        <w:t xml:space="preserve">Coordinación de ingresos, </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rPr>
        <w:t>por lo que su respuesta no agotó los principios de congruencia y exhaustividad, ante lo cual resulta aplicable el Criterio 02/17 emitido por el Peno del Instituto Nacional de Transparencia y Acceso a la Información y Protección de Datos Personales, de título y texto siguientes:</w:t>
      </w:r>
    </w:p>
    <w:p w:rsidR="00BB2C8C" w:rsidRPr="009A5181" w:rsidRDefault="00BA1081">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A5181">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A5181">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9A5181">
        <w:rPr>
          <w:rFonts w:ascii="Palatino Linotype" w:eastAsia="Palatino Linotype" w:hAnsi="Palatino Linotype" w:cs="Palatino Linotype"/>
          <w:i/>
          <w:sz w:val="22"/>
          <w:szCs w:val="22"/>
        </w:rPr>
        <w:t xml:space="preserve">; mientras que </w:t>
      </w:r>
      <w:r w:rsidRPr="009A5181">
        <w:rPr>
          <w:rFonts w:ascii="Palatino Linotype" w:eastAsia="Palatino Linotype" w:hAnsi="Palatino Linotype" w:cs="Palatino Linotype"/>
          <w:b/>
          <w:i/>
          <w:sz w:val="22"/>
          <w:szCs w:val="22"/>
        </w:rPr>
        <w:t>la exhaustividad significa que dicha respuesta se refiera expresamente a cada uno de los puntos solicitados</w:t>
      </w:r>
      <w:r w:rsidRPr="009A5181">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lo anterior, es evidente que el derecho de acceso a la información de la persona solicitante no puede tenerse por colmado, al no tener certeza este Organismo Garante de que efectivamente el área competente realizó la búsqueda de la información, en las unidades administrativas que integran su estructura orgánica, por lo que, con la finalidad de garantizar el derecho humano de acceso a la información</w:t>
      </w:r>
      <w:r w:rsidRPr="009A5181">
        <w:rPr>
          <w:rFonts w:ascii="Palatino Linotype" w:eastAsia="Palatino Linotype" w:hAnsi="Palatino Linotype" w:cs="Palatino Linotype"/>
          <w:b/>
        </w:rPr>
        <w:t>,</w:t>
      </w:r>
      <w:r w:rsidRPr="009A5181">
        <w:rPr>
          <w:rFonts w:ascii="Palatino Linotype" w:eastAsia="Palatino Linotype" w:hAnsi="Palatino Linotype" w:cs="Palatino Linotype"/>
        </w:rPr>
        <w:t xml:space="preserve"> y a fin de reparar el agravio causado ante la omisión en que incurriera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ya que, como se señaló, su respuesta careció de los principios de congruencia y exhaustividad, se estima procedente ordenar que, previa búsqueda exhaustiva y razonable, se haga entrega del soporte documental que dé cuenta de la información solicitada.</w:t>
      </w:r>
    </w:p>
    <w:p w:rsidR="00BB2C8C" w:rsidRPr="009A5181" w:rsidRDefault="00BA1081">
      <w:pPr>
        <w:spacing w:before="240" w:after="240" w:line="360" w:lineRule="auto"/>
        <w:jc w:val="both"/>
        <w:rPr>
          <w:rFonts w:ascii="Palatino Linotype" w:eastAsia="Palatino Linotype" w:hAnsi="Palatino Linotype" w:cs="Palatino Linotype"/>
          <w:i/>
        </w:rPr>
      </w:pPr>
      <w:r w:rsidRPr="009A5181">
        <w:rPr>
          <w:rFonts w:ascii="Palatino Linotype" w:eastAsia="Palatino Linotype" w:hAnsi="Palatino Linotype" w:cs="Palatino Linotype"/>
        </w:rPr>
        <w:lastRenderedPageBreak/>
        <w:t xml:space="preserve">Para tales efectos, atendiendo a la materia de la solicitud, se precisa que el Diccionario de la Lengua Española, de la Real Academia Española, contempla las siguientes acepciones para el concepto </w:t>
      </w:r>
      <w:r w:rsidRPr="009A5181">
        <w:rPr>
          <w:rFonts w:ascii="Palatino Linotype" w:eastAsia="Palatino Linotype" w:hAnsi="Palatino Linotype" w:cs="Palatino Linotype"/>
          <w:i/>
        </w:rPr>
        <w:t>feria:</w:t>
      </w:r>
    </w:p>
    <w:p w:rsidR="00BB2C8C" w:rsidRPr="009A5181" w:rsidRDefault="00BA1081">
      <w:pPr>
        <w:spacing w:before="120" w:after="120"/>
        <w:ind w:left="851" w:right="902"/>
        <w:rPr>
          <w:rFonts w:ascii="Palatino Linotype" w:eastAsia="Palatino Linotype" w:hAnsi="Palatino Linotype" w:cs="Palatino Linotype"/>
          <w:b/>
          <w:i/>
        </w:rPr>
      </w:pPr>
      <w:proofErr w:type="gramStart"/>
      <w:r w:rsidRPr="009A5181">
        <w:rPr>
          <w:rFonts w:ascii="Palatino Linotype" w:eastAsia="Palatino Linotype" w:hAnsi="Palatino Linotype" w:cs="Palatino Linotype"/>
          <w:b/>
          <w:i/>
          <w:sz w:val="22"/>
          <w:szCs w:val="22"/>
        </w:rPr>
        <w:t>feria</w:t>
      </w:r>
      <w:proofErr w:type="gramEnd"/>
      <w:r w:rsidRPr="009A5181">
        <w:fldChar w:fldCharType="begin"/>
      </w:r>
      <w:r w:rsidRPr="009A5181">
        <w:instrText xml:space="preserve"> HYPERLINK "https://dle.rae.es/feria#otras" </w:instrText>
      </w:r>
      <w:r w:rsidRPr="009A5181">
        <w:fldChar w:fldCharType="separate"/>
      </w:r>
    </w:p>
    <w:p w:rsidR="00BB2C8C" w:rsidRPr="009A5181" w:rsidRDefault="00BA1081">
      <w:pPr>
        <w:spacing w:before="120" w:after="120"/>
        <w:ind w:left="851" w:right="902"/>
        <w:rPr>
          <w:rFonts w:ascii="Palatino Linotype" w:eastAsia="Palatino Linotype" w:hAnsi="Palatino Linotype" w:cs="Palatino Linotype"/>
          <w:i/>
          <w:sz w:val="22"/>
          <w:szCs w:val="22"/>
        </w:rPr>
      </w:pPr>
      <w:r w:rsidRPr="009A5181">
        <w:fldChar w:fldCharType="end"/>
      </w:r>
      <w:r w:rsidRPr="009A5181">
        <w:rPr>
          <w:rFonts w:ascii="Palatino Linotype" w:eastAsia="Palatino Linotype" w:hAnsi="Palatino Linotype" w:cs="Palatino Linotype"/>
          <w:i/>
          <w:sz w:val="22"/>
          <w:szCs w:val="22"/>
        </w:rPr>
        <w:t xml:space="preserve">Del lat. </w:t>
      </w:r>
      <w:proofErr w:type="gramStart"/>
      <w:r w:rsidRPr="009A5181">
        <w:rPr>
          <w:rFonts w:ascii="Palatino Linotype" w:eastAsia="Palatino Linotype" w:hAnsi="Palatino Linotype" w:cs="Palatino Linotype"/>
          <w:i/>
          <w:sz w:val="22"/>
          <w:szCs w:val="22"/>
        </w:rPr>
        <w:t>feria</w:t>
      </w:r>
      <w:proofErr w:type="gramEnd"/>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1. </w:t>
      </w:r>
      <w:r w:rsidRPr="009A5181">
        <w:rPr>
          <w:rFonts w:ascii="Palatino Linotype" w:eastAsia="Palatino Linotype" w:hAnsi="Palatino Linotype" w:cs="Palatino Linotype"/>
          <w:i/>
          <w:sz w:val="22"/>
          <w:szCs w:val="22"/>
        </w:rPr>
        <w:t>f. Mercado de mayor importancia que el común, en paraje público y días señalados.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2.</w:t>
      </w:r>
      <w:r w:rsidRPr="009A5181">
        <w:rPr>
          <w:rFonts w:ascii="Palatino Linotype" w:eastAsia="Palatino Linotype" w:hAnsi="Palatino Linotype" w:cs="Palatino Linotype"/>
          <w:i/>
          <w:sz w:val="22"/>
          <w:szCs w:val="22"/>
        </w:rPr>
        <w:t xml:space="preserve"> f. Fiestas que se celebran con ocasión de una feria (‖ mercado).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3.</w:t>
      </w:r>
      <w:r w:rsidRPr="009A5181">
        <w:rPr>
          <w:rFonts w:ascii="Palatino Linotype" w:eastAsia="Palatino Linotype" w:hAnsi="Palatino Linotype" w:cs="Palatino Linotype"/>
          <w:i/>
          <w:sz w:val="22"/>
          <w:szCs w:val="22"/>
        </w:rPr>
        <w:t xml:space="preserve"> f. Paraje público en que están expuestos los animales, géneros o cosas para su venta. Voy a la feria. En la feria hay mucha gente.</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4</w:t>
      </w:r>
      <w:r w:rsidRPr="009A5181">
        <w:rPr>
          <w:rFonts w:ascii="Palatino Linotype" w:eastAsia="Palatino Linotype" w:hAnsi="Palatino Linotype" w:cs="Palatino Linotype"/>
          <w:i/>
          <w:sz w:val="22"/>
          <w:szCs w:val="22"/>
        </w:rPr>
        <w:t>. f. Concurrencia de gente en una feria (‖ paraje público para exponer géneros a la venta).</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5</w:t>
      </w:r>
      <w:r w:rsidRPr="009A5181">
        <w:rPr>
          <w:rFonts w:ascii="Palatino Linotype" w:eastAsia="Palatino Linotype" w:hAnsi="Palatino Linotype" w:cs="Palatino Linotype"/>
          <w:i/>
          <w:sz w:val="22"/>
          <w:szCs w:val="22"/>
        </w:rPr>
        <w:t xml:space="preserve">. f. </w:t>
      </w:r>
      <w:r w:rsidRPr="009A5181">
        <w:rPr>
          <w:rFonts w:ascii="Palatino Linotype" w:eastAsia="Palatino Linotype" w:hAnsi="Palatino Linotype" w:cs="Palatino Linotype"/>
          <w:b/>
          <w:i/>
          <w:sz w:val="22"/>
          <w:szCs w:val="22"/>
        </w:rPr>
        <w:t>Conjunto de instalaciones recreativas, como carruseles, circos, casetas de tiro al blanco, etc., y de puestos de venta de dulces y de chucherías, que, con ocasión de determinadas fiestas, se montan en las poblaciones.</w:t>
      </w:r>
    </w:p>
    <w:p w:rsidR="00BB2C8C" w:rsidRPr="009A5181" w:rsidRDefault="00BA1081">
      <w:pPr>
        <w:spacing w:before="120" w:after="120"/>
        <w:ind w:left="1134"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6.</w:t>
      </w:r>
      <w:r w:rsidRPr="009A5181">
        <w:rPr>
          <w:rFonts w:ascii="Palatino Linotype" w:eastAsia="Palatino Linotype" w:hAnsi="Palatino Linotype" w:cs="Palatino Linotype"/>
          <w:i/>
          <w:sz w:val="22"/>
          <w:szCs w:val="22"/>
        </w:rPr>
        <w:t xml:space="preserve"> f. </w:t>
      </w:r>
      <w:r w:rsidRPr="009A5181">
        <w:rPr>
          <w:rFonts w:ascii="Palatino Linotype" w:eastAsia="Palatino Linotype" w:hAnsi="Palatino Linotype" w:cs="Palatino Linotype"/>
          <w:b/>
          <w:i/>
          <w:sz w:val="22"/>
          <w:szCs w:val="22"/>
        </w:rPr>
        <w:t>Instalación donde se exponen los productos de un solo ramo industrial o comercial, como libros, muebles, juguetes, etc., para su promoción y venta.</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7</w:t>
      </w:r>
      <w:r w:rsidRPr="009A5181">
        <w:rPr>
          <w:rFonts w:ascii="Palatino Linotype" w:eastAsia="Palatino Linotype" w:hAnsi="Palatino Linotype" w:cs="Palatino Linotype"/>
          <w:i/>
          <w:sz w:val="22"/>
          <w:szCs w:val="22"/>
        </w:rPr>
        <w:t>. f. En el lenguaje eclesiástico, cualquiera de los días de la semana, excepto el sábado y domingo; p. ej., la segunda feria es el lunes; la tercera, el martes, etc.</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8</w:t>
      </w:r>
      <w:r w:rsidRPr="009A5181">
        <w:rPr>
          <w:rFonts w:ascii="Palatino Linotype" w:eastAsia="Palatino Linotype" w:hAnsi="Palatino Linotype" w:cs="Palatino Linotype"/>
          <w:i/>
          <w:sz w:val="22"/>
          <w:szCs w:val="22"/>
        </w:rPr>
        <w:t>. f. Descanso y suspensión del trabajo.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9</w:t>
      </w:r>
      <w:r w:rsidRPr="009A5181">
        <w:rPr>
          <w:rFonts w:ascii="Palatino Linotype" w:eastAsia="Palatino Linotype" w:hAnsi="Palatino Linotype" w:cs="Palatino Linotype"/>
          <w:i/>
          <w:sz w:val="22"/>
          <w:szCs w:val="22"/>
        </w:rPr>
        <w:t>. f. Trato, convenio.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10. </w:t>
      </w:r>
      <w:r w:rsidRPr="009A5181">
        <w:rPr>
          <w:rFonts w:ascii="Palatino Linotype" w:eastAsia="Palatino Linotype" w:hAnsi="Palatino Linotype" w:cs="Palatino Linotype"/>
          <w:i/>
          <w:sz w:val="22"/>
          <w:szCs w:val="22"/>
        </w:rPr>
        <w:t xml:space="preserve">f. C. Rica. p. </w:t>
      </w:r>
      <w:proofErr w:type="spellStart"/>
      <w:r w:rsidRPr="009A5181">
        <w:rPr>
          <w:rFonts w:ascii="Palatino Linotype" w:eastAsia="Palatino Linotype" w:hAnsi="Palatino Linotype" w:cs="Palatino Linotype"/>
          <w:i/>
          <w:sz w:val="22"/>
          <w:szCs w:val="22"/>
        </w:rPr>
        <w:t>us</w:t>
      </w:r>
      <w:proofErr w:type="spellEnd"/>
      <w:r w:rsidRPr="009A5181">
        <w:rPr>
          <w:rFonts w:ascii="Palatino Linotype" w:eastAsia="Palatino Linotype" w:hAnsi="Palatino Linotype" w:cs="Palatino Linotype"/>
          <w:i/>
          <w:sz w:val="22"/>
          <w:szCs w:val="22"/>
        </w:rPr>
        <w:t>. Añadidura, pequeño obsequio hecho por el vendedor a su cliente.</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11</w:t>
      </w:r>
      <w:r w:rsidRPr="009A5181">
        <w:rPr>
          <w:rFonts w:ascii="Palatino Linotype" w:eastAsia="Palatino Linotype" w:hAnsi="Palatino Linotype" w:cs="Palatino Linotype"/>
          <w:i/>
          <w:sz w:val="22"/>
          <w:szCs w:val="22"/>
        </w:rPr>
        <w:t xml:space="preserve">. f. </w:t>
      </w:r>
      <w:proofErr w:type="spellStart"/>
      <w:r w:rsidRPr="009A5181">
        <w:rPr>
          <w:rFonts w:ascii="Palatino Linotype" w:eastAsia="Palatino Linotype" w:hAnsi="Palatino Linotype" w:cs="Palatino Linotype"/>
          <w:i/>
          <w:sz w:val="22"/>
          <w:szCs w:val="22"/>
        </w:rPr>
        <w:t>coloq</w:t>
      </w:r>
      <w:proofErr w:type="spellEnd"/>
      <w:r w:rsidRPr="009A5181">
        <w:rPr>
          <w:rFonts w:ascii="Palatino Linotype" w:eastAsia="Palatino Linotype" w:hAnsi="Palatino Linotype" w:cs="Palatino Linotype"/>
          <w:i/>
          <w:sz w:val="22"/>
          <w:szCs w:val="22"/>
        </w:rPr>
        <w:t xml:space="preserve">. El </w:t>
      </w:r>
      <w:proofErr w:type="spellStart"/>
      <w:r w:rsidRPr="009A5181">
        <w:rPr>
          <w:rFonts w:ascii="Palatino Linotype" w:eastAsia="Palatino Linotype" w:hAnsi="Palatino Linotype" w:cs="Palatino Linotype"/>
          <w:i/>
          <w:sz w:val="22"/>
          <w:szCs w:val="22"/>
        </w:rPr>
        <w:t>Salv</w:t>
      </w:r>
      <w:proofErr w:type="spellEnd"/>
      <w:r w:rsidRPr="009A5181">
        <w:rPr>
          <w:rFonts w:ascii="Palatino Linotype" w:eastAsia="Palatino Linotype" w:hAnsi="Palatino Linotype" w:cs="Palatino Linotype"/>
          <w:i/>
          <w:sz w:val="22"/>
          <w:szCs w:val="22"/>
        </w:rPr>
        <w:t xml:space="preserve">. </w:t>
      </w:r>
      <w:proofErr w:type="gramStart"/>
      <w:r w:rsidRPr="009A5181">
        <w:rPr>
          <w:rFonts w:ascii="Palatino Linotype" w:eastAsia="Palatino Linotype" w:hAnsi="Palatino Linotype" w:cs="Palatino Linotype"/>
          <w:i/>
          <w:sz w:val="22"/>
          <w:szCs w:val="22"/>
        </w:rPr>
        <w:t>y</w:t>
      </w:r>
      <w:proofErr w:type="gramEnd"/>
      <w:r w:rsidRPr="009A5181">
        <w:rPr>
          <w:rFonts w:ascii="Palatino Linotype" w:eastAsia="Palatino Linotype" w:hAnsi="Palatino Linotype" w:cs="Palatino Linotype"/>
          <w:i/>
          <w:sz w:val="22"/>
          <w:szCs w:val="22"/>
        </w:rPr>
        <w:t xml:space="preserve"> </w:t>
      </w:r>
      <w:proofErr w:type="spellStart"/>
      <w:r w:rsidRPr="009A5181">
        <w:rPr>
          <w:rFonts w:ascii="Palatino Linotype" w:eastAsia="Palatino Linotype" w:hAnsi="Palatino Linotype" w:cs="Palatino Linotype"/>
          <w:i/>
          <w:sz w:val="22"/>
          <w:szCs w:val="22"/>
        </w:rPr>
        <w:t>Méx</w:t>
      </w:r>
      <w:proofErr w:type="spellEnd"/>
      <w:r w:rsidRPr="009A5181">
        <w:rPr>
          <w:rFonts w:ascii="Palatino Linotype" w:eastAsia="Palatino Linotype" w:hAnsi="Palatino Linotype" w:cs="Palatino Linotype"/>
          <w:i/>
          <w:sz w:val="22"/>
          <w:szCs w:val="22"/>
        </w:rPr>
        <w:t xml:space="preserve">. </w:t>
      </w:r>
      <w:proofErr w:type="gramStart"/>
      <w:r w:rsidRPr="009A5181">
        <w:rPr>
          <w:rFonts w:ascii="Palatino Linotype" w:eastAsia="Palatino Linotype" w:hAnsi="Palatino Linotype" w:cs="Palatino Linotype"/>
          <w:i/>
          <w:sz w:val="22"/>
          <w:szCs w:val="22"/>
        </w:rPr>
        <w:t>dinero</w:t>
      </w:r>
      <w:proofErr w:type="gramEnd"/>
      <w:r w:rsidRPr="009A5181">
        <w:rPr>
          <w:rFonts w:ascii="Palatino Linotype" w:eastAsia="Palatino Linotype" w:hAnsi="Palatino Linotype" w:cs="Palatino Linotype"/>
          <w:i/>
          <w:sz w:val="22"/>
          <w:szCs w:val="22"/>
        </w:rPr>
        <w:t xml:space="preserve"> (‖ moneda corriente).</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12.</w:t>
      </w:r>
      <w:r w:rsidRPr="009A5181">
        <w:rPr>
          <w:rFonts w:ascii="Palatino Linotype" w:eastAsia="Palatino Linotype" w:hAnsi="Palatino Linotype" w:cs="Palatino Linotype"/>
          <w:i/>
          <w:sz w:val="22"/>
          <w:szCs w:val="22"/>
        </w:rPr>
        <w:t xml:space="preserve"> f. </w:t>
      </w:r>
      <w:proofErr w:type="spellStart"/>
      <w:r w:rsidRPr="009A5181">
        <w:rPr>
          <w:rFonts w:ascii="Palatino Linotype" w:eastAsia="Palatino Linotype" w:hAnsi="Palatino Linotype" w:cs="Palatino Linotype"/>
          <w:i/>
          <w:sz w:val="22"/>
          <w:szCs w:val="22"/>
        </w:rPr>
        <w:t>Méx</w:t>
      </w:r>
      <w:proofErr w:type="spellEnd"/>
      <w:r w:rsidRPr="009A5181">
        <w:rPr>
          <w:rFonts w:ascii="Palatino Linotype" w:eastAsia="Palatino Linotype" w:hAnsi="Palatino Linotype" w:cs="Palatino Linotype"/>
          <w:i/>
          <w:sz w:val="22"/>
          <w:szCs w:val="22"/>
        </w:rPr>
        <w:t xml:space="preserve">. </w:t>
      </w:r>
      <w:proofErr w:type="gramStart"/>
      <w:r w:rsidRPr="009A5181">
        <w:rPr>
          <w:rFonts w:ascii="Palatino Linotype" w:eastAsia="Palatino Linotype" w:hAnsi="Palatino Linotype" w:cs="Palatino Linotype"/>
          <w:i/>
          <w:sz w:val="22"/>
          <w:szCs w:val="22"/>
        </w:rPr>
        <w:t>y</w:t>
      </w:r>
      <w:proofErr w:type="gramEnd"/>
      <w:r w:rsidRPr="009A5181">
        <w:rPr>
          <w:rFonts w:ascii="Palatino Linotype" w:eastAsia="Palatino Linotype" w:hAnsi="Palatino Linotype" w:cs="Palatino Linotype"/>
          <w:i/>
          <w:sz w:val="22"/>
          <w:szCs w:val="22"/>
        </w:rPr>
        <w:t xml:space="preserve"> </w:t>
      </w:r>
      <w:proofErr w:type="spellStart"/>
      <w:r w:rsidRPr="009A5181">
        <w:rPr>
          <w:rFonts w:ascii="Palatino Linotype" w:eastAsia="Palatino Linotype" w:hAnsi="Palatino Linotype" w:cs="Palatino Linotype"/>
          <w:i/>
          <w:sz w:val="22"/>
          <w:szCs w:val="22"/>
        </w:rPr>
        <w:t>Nic</w:t>
      </w:r>
      <w:proofErr w:type="spellEnd"/>
      <w:r w:rsidRPr="009A5181">
        <w:rPr>
          <w:rFonts w:ascii="Palatino Linotype" w:eastAsia="Palatino Linotype" w:hAnsi="Palatino Linotype" w:cs="Palatino Linotype"/>
          <w:i/>
          <w:sz w:val="22"/>
          <w:szCs w:val="22"/>
        </w:rPr>
        <w:t>. Dinero menudo, cambio.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13</w:t>
      </w:r>
      <w:r w:rsidRPr="009A5181">
        <w:rPr>
          <w:rFonts w:ascii="Palatino Linotype" w:eastAsia="Palatino Linotype" w:hAnsi="Palatino Linotype" w:cs="Palatino Linotype"/>
          <w:i/>
          <w:sz w:val="22"/>
          <w:szCs w:val="22"/>
        </w:rPr>
        <w:t xml:space="preserve">. f. pl. p. </w:t>
      </w:r>
      <w:proofErr w:type="spellStart"/>
      <w:r w:rsidRPr="009A5181">
        <w:rPr>
          <w:rFonts w:ascii="Palatino Linotype" w:eastAsia="Palatino Linotype" w:hAnsi="Palatino Linotype" w:cs="Palatino Linotype"/>
          <w:i/>
          <w:sz w:val="22"/>
          <w:szCs w:val="22"/>
        </w:rPr>
        <w:t>us</w:t>
      </w:r>
      <w:proofErr w:type="spellEnd"/>
      <w:r w:rsidRPr="009A5181">
        <w:rPr>
          <w:rFonts w:ascii="Palatino Linotype" w:eastAsia="Palatino Linotype" w:hAnsi="Palatino Linotype" w:cs="Palatino Linotype"/>
          <w:i/>
          <w:sz w:val="22"/>
          <w:szCs w:val="22"/>
        </w:rPr>
        <w:t>. Dádivas o agasajos que se hacen por el tiempo en que hay ferias en algún lugar. Dar ferias.”</w:t>
      </w:r>
    </w:p>
    <w:p w:rsidR="00BB2C8C" w:rsidRPr="009A5181" w:rsidRDefault="00BA1081">
      <w:pPr>
        <w:spacing w:before="240" w:after="240" w:line="360" w:lineRule="auto"/>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rPr>
        <w:lastRenderedPageBreak/>
        <w:t>Para el tema que nos ocupa, se considera que la persona solicitante se refiere al conjunto de instalaciones recreativas, como carruseles, circos, casetas de tiro al blanco, etc., y de puestos de venta de dulces y de chucherías, que, con ocasión de determinadas fiestas, se montan en las poblaciones, y a la instalación donde se exponen los productos de un solo ramo industrial o comercial, como libros, muebles, juguetes, etc., para su promoción y venta</w:t>
      </w:r>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Ahora bien, la Ley de Eventos Públicos del Estado de México, cuyo objeto, de conformidad con el artículo 1,  consiste en regular la celebración de eventos públicos de concentración masiva, que se realicen en recintos al aire libre, en locales cerrados o instalaciones desmontables, con fines de esparcimiento o convivencia en el Estado de México, estableciendo para tal efecto las reglas y mecanismos que garanticen la seguridad e integridad de los participantes, asistentes y terceros, en su artículo 2, fracción V, concibe como </w:t>
      </w:r>
      <w:r w:rsidRPr="009A5181">
        <w:rPr>
          <w:rFonts w:ascii="Palatino Linotype" w:eastAsia="Palatino Linotype" w:hAnsi="Palatino Linotype" w:cs="Palatino Linotype"/>
          <w:i/>
        </w:rPr>
        <w:t xml:space="preserve">evento público </w:t>
      </w:r>
      <w:r w:rsidRPr="009A5181">
        <w:rPr>
          <w:rFonts w:ascii="Palatino Linotype" w:eastAsia="Palatino Linotype" w:hAnsi="Palatino Linotype" w:cs="Palatino Linotype"/>
        </w:rPr>
        <w:t>a la representación, función, acto, evento o exhibición artística, musical, deportiva, cinematográfica, teatral o cultural, organizada por una persona física o jurídica colectiva del sector privado, que se realice en recintos al aire libre, en locales cerrados o instalaciones desmontables, en cualquier tiempo, convocando al público con fines culturales o de esparcimiento, en forma gratuita o mediante el pago de una contraprestación en dinero o especie; cuando el número de asistentes sea superior al de mil personas, concepción que pudiera incluir a las ferias.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En tal sentido, la Ley de Eventos Públicos, en su artículo 9, establece como atribuciones de los municipios, entre otras, las siguientes en su parte conducente: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9</w:t>
      </w:r>
      <w:r w:rsidRPr="009A5181">
        <w:rPr>
          <w:rFonts w:ascii="Palatino Linotype" w:eastAsia="Palatino Linotype" w:hAnsi="Palatino Linotype" w:cs="Palatino Linotype"/>
          <w:i/>
          <w:sz w:val="22"/>
          <w:szCs w:val="22"/>
        </w:rPr>
        <w:t>. Son atribuciones de los municipios: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lastRenderedPageBreak/>
        <w:t>I. Expedir las autorizaciones para eventos públicos de bajo riesgo</w:t>
      </w:r>
      <w:r w:rsidRPr="009A5181">
        <w:rPr>
          <w:rFonts w:ascii="Palatino Linotype" w:eastAsia="Palatino Linotype" w:hAnsi="Palatino Linotype" w:cs="Palatino Linotype"/>
          <w:i/>
          <w:sz w:val="22"/>
          <w:szCs w:val="22"/>
        </w:rPr>
        <w:t>, conforme al Apéndice II, del Reglamento del Libro Sexto del Código Administrativo del Estado de México, denominado "Listado de Generadores de Mediano y Bajo Riesgo", observando las disposiciones que para el efecto se emitan.</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III. Expedir su catálogo de eventos públicos, especificando las diferentes denominaciones y modalidades, licencias y autorizaciones requeridas para cada tipo de evento</w:t>
      </w:r>
      <w:r w:rsidRPr="009A5181">
        <w:rPr>
          <w:rFonts w:ascii="Palatino Linotype" w:eastAsia="Palatino Linotype" w:hAnsi="Palatino Linotype" w:cs="Palatino Linotype"/>
          <w:i/>
          <w:sz w:val="22"/>
          <w:szCs w:val="22"/>
        </w:rPr>
        <w:t>, así como las reglas, condiciones y prohibiciones que considere conveniente imponer.</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b/>
          <w:i/>
          <w:sz w:val="22"/>
          <w:szCs w:val="22"/>
          <w:u w:val="single"/>
        </w:rPr>
      </w:pPr>
      <w:r w:rsidRPr="009A5181">
        <w:rPr>
          <w:rFonts w:ascii="Palatino Linotype" w:eastAsia="Palatino Linotype" w:hAnsi="Palatino Linotype" w:cs="Palatino Linotype"/>
          <w:b/>
          <w:i/>
          <w:sz w:val="22"/>
          <w:szCs w:val="22"/>
        </w:rPr>
        <w:t xml:space="preserve">V. </w:t>
      </w:r>
      <w:r w:rsidRPr="009A5181">
        <w:rPr>
          <w:rFonts w:ascii="Palatino Linotype" w:eastAsia="Palatino Linotype" w:hAnsi="Palatino Linotype" w:cs="Palatino Linotype"/>
          <w:b/>
          <w:i/>
          <w:sz w:val="22"/>
          <w:szCs w:val="22"/>
          <w:u w:val="single"/>
        </w:rPr>
        <w:t>Proporcionar los elementos de seguridad pública</w:t>
      </w:r>
      <w:r w:rsidRPr="009A5181">
        <w:rPr>
          <w:rFonts w:ascii="Palatino Linotype" w:eastAsia="Palatino Linotype" w:hAnsi="Palatino Linotype" w:cs="Palatino Linotype"/>
          <w:b/>
          <w:i/>
          <w:sz w:val="22"/>
          <w:szCs w:val="22"/>
        </w:rPr>
        <w:t xml:space="preserve"> necesarios para resguardar el orden al interior del inmueble</w:t>
      </w:r>
      <w:r w:rsidRPr="009A5181">
        <w:rPr>
          <w:rFonts w:ascii="Palatino Linotype" w:eastAsia="Palatino Linotype" w:hAnsi="Palatino Linotype" w:cs="Palatino Linotype"/>
          <w:i/>
          <w:sz w:val="22"/>
          <w:szCs w:val="22"/>
        </w:rPr>
        <w:t xml:space="preserve"> y en las zonas vecinas al mismo, </w:t>
      </w:r>
      <w:r w:rsidRPr="009A5181">
        <w:rPr>
          <w:rFonts w:ascii="Palatino Linotype" w:eastAsia="Palatino Linotype" w:hAnsi="Palatino Linotype" w:cs="Palatino Linotype"/>
          <w:b/>
          <w:i/>
          <w:sz w:val="22"/>
          <w:szCs w:val="22"/>
          <w:u w:val="single"/>
        </w:rPr>
        <w:t>previo pago de los derechos correspondientes.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b/>
          <w:i/>
          <w:sz w:val="22"/>
          <w:szCs w:val="22"/>
          <w:u w:val="single"/>
        </w:rPr>
      </w:pPr>
      <w:r w:rsidRPr="009A5181">
        <w:rPr>
          <w:rFonts w:ascii="Palatino Linotype" w:eastAsia="Palatino Linotype" w:hAnsi="Palatino Linotype" w:cs="Palatino Linotype"/>
          <w:b/>
          <w:i/>
          <w:sz w:val="22"/>
          <w:szCs w:val="22"/>
        </w:rPr>
        <w:t>IX.</w:t>
      </w:r>
      <w:r w:rsidRPr="009A5181">
        <w:rPr>
          <w:rFonts w:ascii="Palatino Linotype" w:eastAsia="Palatino Linotype" w:hAnsi="Palatino Linotype" w:cs="Palatino Linotype"/>
          <w:i/>
          <w:sz w:val="22"/>
          <w:szCs w:val="22"/>
        </w:rPr>
        <w:t xml:space="preserve"> Resolver las solicitudes para la celebración de eventos públicos en un plazo no mayor a cinco días hábiles siguientes a la fecha de presentación de las mismas.”</w:t>
      </w:r>
    </w:p>
    <w:p w:rsidR="00BB2C8C" w:rsidRPr="009A5181" w:rsidRDefault="00BA1081">
      <w:pPr>
        <w:spacing w:before="240" w:after="240" w:line="360" w:lineRule="auto"/>
        <w:jc w:val="both"/>
        <w:rPr>
          <w:rFonts w:ascii="Palatino Linotype" w:eastAsia="Palatino Linotype" w:hAnsi="Palatino Linotype" w:cs="Palatino Linotype"/>
          <w:b/>
          <w:u w:val="single"/>
        </w:rPr>
      </w:pPr>
      <w:r w:rsidRPr="009A5181">
        <w:rPr>
          <w:rFonts w:ascii="Palatino Linotype" w:eastAsia="Palatino Linotype" w:hAnsi="Palatino Linotype" w:cs="Palatino Linotype"/>
        </w:rPr>
        <w:t xml:space="preserve">Del precepto anterior se colige que los ayuntamientos están facultados para expedir autorizaciones para eventos públicos de bajo riesgo de conformidad con el "Listado de Generadores de Mediano y Bajo Riesgo” previsto en el Reglamento del Libro Sexto del Código Administrativo del Estado de México; que deben expedir un catálogo de eventos públicos, donde se especifiquen las denominaciones, modalidades, licencias y autorizaciones que se requieren para cada tipo de evento; que deben proporcionar elementos de seguridad pública para resguardar el orden al interior del inmueble, y finalmente, que deben resolver las solicitudes para la celebración de eventos públicos en un plazo no mayor a cinco días; atribuciones que conceden competencia al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para conocer de la información que es tema de estudio, al advertir que cuenta con el deber de expedir  autorizaciones, licencias o permisos para la realización de eventos, así como destinar elementos de </w:t>
      </w:r>
      <w:r w:rsidRPr="009A5181">
        <w:rPr>
          <w:rFonts w:ascii="Palatino Linotype" w:eastAsia="Palatino Linotype" w:hAnsi="Palatino Linotype" w:cs="Palatino Linotype"/>
        </w:rPr>
        <w:lastRenderedPageBreak/>
        <w:t xml:space="preserve">seguridad para el resguardo de la seguridad de los asistentes en las instalaciones del inmueble donde se lleve a cabo el evento público, </w:t>
      </w:r>
      <w:r w:rsidRPr="009A5181">
        <w:rPr>
          <w:rFonts w:ascii="Palatino Linotype" w:eastAsia="Palatino Linotype" w:hAnsi="Palatino Linotype" w:cs="Palatino Linotype"/>
          <w:b/>
          <w:u w:val="single"/>
        </w:rPr>
        <w:t>actividades que generan ingresos en favor del municipio.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Siguiendo con el análisis, el Código Financiero del Estado de México, en el Titulo Cuarto De los Ingresos de los Municipios, Capitulo Primero, Sección Quinta Del Impuesto sobre Diversiones, Juegos, y Espectáculos Públicos, señala que las personas físicas o jurídico colectivas que obtengan ingresos por la explotación de juegos y espectáculos públicos están obligadas al pago del  </w:t>
      </w:r>
      <w:r w:rsidRPr="009A5181">
        <w:rPr>
          <w:rFonts w:ascii="Palatino Linotype" w:eastAsia="Palatino Linotype" w:hAnsi="Palatino Linotype" w:cs="Palatino Linotype"/>
          <w:b/>
          <w:u w:val="single"/>
        </w:rPr>
        <w:t>Impuesto sobre Diversiones, Juegos, y Espectáculos Públicos,</w:t>
      </w:r>
      <w:r w:rsidRPr="009A5181">
        <w:rPr>
          <w:rFonts w:ascii="Palatino Linotype" w:eastAsia="Palatino Linotype" w:hAnsi="Palatino Linotype" w:cs="Palatino Linotype"/>
        </w:rPr>
        <w:t xml:space="preserve"> a saber:</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122</w:t>
      </w:r>
      <w:r w:rsidRPr="009A5181">
        <w:rPr>
          <w:rFonts w:ascii="Palatino Linotype" w:eastAsia="Palatino Linotype" w:hAnsi="Palatino Linotype" w:cs="Palatino Linotype"/>
          <w:i/>
          <w:sz w:val="22"/>
          <w:szCs w:val="22"/>
        </w:rPr>
        <w:t xml:space="preserve">.- Están obligadas al pago de este impuesto las personas físicas o jurídicas colectivas que obtengan ingresos por la explotación de juegos y espectáculos públicos. Para efectos de este impuesto se entenderá como: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 Juego</w:t>
      </w:r>
      <w:r w:rsidRPr="009A5181">
        <w:rPr>
          <w:rFonts w:ascii="Palatino Linotype" w:eastAsia="Palatino Linotype" w:hAnsi="Palatino Linotype" w:cs="Palatino Linotype"/>
          <w:i/>
          <w:sz w:val="22"/>
          <w:szCs w:val="22"/>
        </w:rPr>
        <w:t xml:space="preserve">.- Las máquinas o aparatos de recreación o azar autorizados, cuya finalidad es la diversión o entretenimiento de las personas que mediante el pago de cierta suma de dinero tienen acceso a ellos.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 Espectáculo público</w:t>
      </w:r>
      <w:r w:rsidRPr="009A5181">
        <w:rPr>
          <w:rFonts w:ascii="Palatino Linotype" w:eastAsia="Palatino Linotype" w:hAnsi="Palatino Linotype" w:cs="Palatino Linotype"/>
          <w:i/>
          <w:sz w:val="22"/>
          <w:szCs w:val="22"/>
        </w:rPr>
        <w:t xml:space="preserve">.- Toda función, evento, exposiciones, exhibiciones, ferias y actos de esparcimiento, sean teatrales, deportivos, musicales o de cualquier otra naturaleza semejante que se verifiquen en teatros, calles, plazas, locales abiertos o cerrados y que para presenciarlos se cobre una determinada cantidad de dinero. </w:t>
      </w:r>
    </w:p>
    <w:p w:rsidR="00BB2C8C" w:rsidRPr="009A5181" w:rsidRDefault="00BA1081">
      <w:pPr>
        <w:spacing w:before="120" w:after="120"/>
        <w:ind w:left="851" w:right="902"/>
        <w:jc w:val="both"/>
        <w:rPr>
          <w:rFonts w:ascii="Palatino Linotype" w:eastAsia="Palatino Linotype" w:hAnsi="Palatino Linotype" w:cs="Palatino Linotype"/>
          <w:b/>
          <w:i/>
          <w:sz w:val="22"/>
          <w:szCs w:val="22"/>
          <w:u w:val="single"/>
        </w:rPr>
      </w:pPr>
      <w:r w:rsidRPr="009A5181">
        <w:rPr>
          <w:rFonts w:ascii="Palatino Linotype" w:eastAsia="Palatino Linotype" w:hAnsi="Palatino Linotype" w:cs="Palatino Linotype"/>
          <w:i/>
          <w:sz w:val="22"/>
          <w:szCs w:val="22"/>
        </w:rPr>
        <w:t xml:space="preserve">Los Ayuntamientos por acuerdo de Cabildo </w:t>
      </w:r>
      <w:r w:rsidRPr="009A5181">
        <w:rPr>
          <w:rFonts w:ascii="Palatino Linotype" w:eastAsia="Palatino Linotype" w:hAnsi="Palatino Linotype" w:cs="Palatino Linotype"/>
          <w:b/>
          <w:i/>
          <w:sz w:val="22"/>
          <w:szCs w:val="22"/>
          <w:u w:val="single"/>
        </w:rPr>
        <w:t>podrán destinar un porcentaje de los ingresos que se obtengan de la celebración de espectáculos públicos, al Sistema Municipal para el Desarrollo Integral de la Familia.”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Dicho impuesto, de conformidad con el artículo 123 del Código Financiero se calcula y determina aplicando al total de los ingresos percibidos, durante el periodo de explotación autorizado la siguiente tarifa:</w:t>
      </w:r>
    </w:p>
    <w:p w:rsidR="00BB2C8C" w:rsidRPr="009A5181" w:rsidRDefault="00BA1081">
      <w:pPr>
        <w:spacing w:before="240" w:after="240" w:line="276"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b/>
        </w:rPr>
        <w:lastRenderedPageBreak/>
        <w:t>I.</w:t>
      </w:r>
      <w:r w:rsidRPr="009A5181">
        <w:rPr>
          <w:rFonts w:ascii="Palatino Linotype" w:eastAsia="Palatino Linotype" w:hAnsi="Palatino Linotype" w:cs="Palatino Linotype"/>
        </w:rPr>
        <w:t xml:space="preserve"> Tratándose de juegos mecánicos, destreza, azar o simuladores explotados por personas físicas o jurídicas colectivas que no cuenten con establecimiento debidamente constituido, la tasa del 10%. Cuando se trate de juegos mecánicos, destreza, azar o simuladores explotados por personas físicas o jurídicas colectivas que cuenten con establecimiento debidamente constituido, la tasa del 5%. </w:t>
      </w:r>
    </w:p>
    <w:p w:rsidR="00BB2C8C" w:rsidRPr="009A5181" w:rsidRDefault="00BA1081">
      <w:pPr>
        <w:spacing w:before="240" w:after="240" w:line="276"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b/>
        </w:rPr>
        <w:t>II.</w:t>
      </w:r>
      <w:r w:rsidRPr="009A5181">
        <w:rPr>
          <w:rFonts w:ascii="Palatino Linotype" w:eastAsia="Palatino Linotype" w:hAnsi="Palatino Linotype" w:cs="Palatino Linotype"/>
        </w:rPr>
        <w:t xml:space="preserve"> Tratándose de espectáculos públicos explotados por personas físicas o jurídicas colectivas que no cuenten con establecimiento debidamente constituido, la tasa del 10%. Cuando se trate de espectáculos públicos explotados por personas físicas o jurídicas colectivas que cuenten con establecimiento debidamente constituido, la tasa del 5%. </w:t>
      </w:r>
    </w:p>
    <w:p w:rsidR="00BB2C8C" w:rsidRPr="009A5181" w:rsidRDefault="00BA1081">
      <w:pPr>
        <w:spacing w:before="240" w:after="240" w:line="276"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b/>
        </w:rPr>
        <w:t>III.</w:t>
      </w:r>
      <w:r w:rsidRPr="009A5181">
        <w:rPr>
          <w:rFonts w:ascii="Palatino Linotype" w:eastAsia="Palatino Linotype" w:hAnsi="Palatino Linotype" w:cs="Palatino Linotype"/>
        </w:rPr>
        <w:t xml:space="preserve"> Tratándose de espectáculos públicos de tipo cultural, teatral y circense la tasa del 3%.</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el párrafo segundo del artículo 123 del Código Financiero, dispone que la Tesorería cuenta con la facultad de </w:t>
      </w:r>
      <w:r w:rsidRPr="009A5181">
        <w:rPr>
          <w:rFonts w:ascii="Palatino Linotype" w:eastAsia="Palatino Linotype" w:hAnsi="Palatino Linotype" w:cs="Palatino Linotype"/>
          <w:b/>
        </w:rPr>
        <w:t>autorizar los boletos que se utilicen para el acceso al espectáculo público,</w:t>
      </w:r>
      <w:r w:rsidRPr="009A5181">
        <w:rPr>
          <w:rFonts w:ascii="Palatino Linotype" w:eastAsia="Palatino Linotype" w:hAnsi="Palatino Linotype" w:cs="Palatino Linotype"/>
        </w:rPr>
        <w:t xml:space="preserve"> incluidos los de cortesía, los boletos deben estar foliados de manera progresiva, contener un código de barras de ser el caso,  precios de cada localidad con número y letra, ligar, fecha y horario del evento.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Por su parte, el párrafo cuarto del artículo 123 del Código Financiero señala que de manera previa a la autorización de diversiones, juegos y espectáculos públicos, </w:t>
      </w:r>
      <w:r w:rsidRPr="009A5181">
        <w:rPr>
          <w:rFonts w:ascii="Palatino Linotype" w:eastAsia="Palatino Linotype" w:hAnsi="Palatino Linotype" w:cs="Palatino Linotype"/>
          <w:b/>
        </w:rPr>
        <w:t>los organizadores de los mismos deberán exhibir, ante la Tesorería Municipal, el 100% del impuesto</w:t>
      </w:r>
      <w:r w:rsidRPr="009A5181">
        <w:rPr>
          <w:rFonts w:ascii="Palatino Linotype" w:eastAsia="Palatino Linotype" w:hAnsi="Palatino Linotype" w:cs="Palatino Linotype"/>
        </w:rPr>
        <w:t xml:space="preserve">, considerando el aforo establecido en las autorizaciones, de acuerdo con la capacidad física del lugar. </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el mismo tenor, no obsta mencionar que la Ley de Ingresos de los Municipios del Estado de México, para los ejercicios 2021 y 2022, contempla diversos conceptos </w:t>
      </w:r>
      <w:r w:rsidRPr="009A5181">
        <w:rPr>
          <w:rFonts w:ascii="Palatino Linotype" w:eastAsia="Palatino Linotype" w:hAnsi="Palatino Linotype" w:cs="Palatino Linotype"/>
        </w:rPr>
        <w:lastRenderedPageBreak/>
        <w:t>percibidos por la hacienda pública de los municipios, que pudieran vincularse con la realización de eventos o espectáculos públicos, entre los que se encuentran de manera enunciativa más no limitativa:</w:t>
      </w:r>
    </w:p>
    <w:p w:rsidR="00BB2C8C" w:rsidRPr="009A5181" w:rsidRDefault="00BA1081">
      <w:pPr>
        <w:spacing w:before="240" w:after="240" w:line="360"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b/>
        </w:rPr>
        <w:t>Impuesto</w:t>
      </w:r>
      <w:r w:rsidRPr="009A5181">
        <w:rPr>
          <w:rFonts w:ascii="Palatino Linotype" w:eastAsia="Palatino Linotype" w:hAnsi="Palatino Linotype" w:cs="Palatino Linotype"/>
        </w:rPr>
        <w:t xml:space="preserve"> sobre Sobre Diversiones, Juegos y Espectáculos Públicos.</w:t>
      </w:r>
    </w:p>
    <w:p w:rsidR="00BB2C8C" w:rsidRPr="009A5181" w:rsidRDefault="00BA1081">
      <w:pPr>
        <w:spacing w:before="240" w:after="240" w:line="360"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b/>
        </w:rPr>
        <w:t>Derechos</w:t>
      </w:r>
      <w:r w:rsidRPr="009A5181">
        <w:rPr>
          <w:rFonts w:ascii="Palatino Linotype" w:eastAsia="Palatino Linotype" w:hAnsi="Palatino Linotype" w:cs="Palatino Linotype"/>
        </w:rPr>
        <w:t xml:space="preserve"> por el Uso, Goce, Aprovechamiento o Explotación de Bienes de Dominio Público.</w:t>
      </w:r>
    </w:p>
    <w:p w:rsidR="00BB2C8C" w:rsidRPr="009A5181" w:rsidRDefault="00BA1081">
      <w:pPr>
        <w:spacing w:before="240" w:after="240" w:line="360" w:lineRule="auto"/>
        <w:ind w:left="426"/>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b/>
        </w:rPr>
        <w:t>Derechos</w:t>
      </w:r>
      <w:r w:rsidRPr="009A5181">
        <w:rPr>
          <w:rFonts w:ascii="Palatino Linotype" w:eastAsia="Palatino Linotype" w:hAnsi="Palatino Linotype" w:cs="Palatino Linotype"/>
        </w:rPr>
        <w:t xml:space="preserve"> por Servicios prestados por Autoridades de Seguridad Pública.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este tenor, se colige que las personas físicas o jurídico colectivas beneficiarías,  se encuentran obligadas a cubrir los impuestos y derechos que se generen con motivo de los permisos, dictámenes o licencias necesarias para la celebración de eventos públicos, no obstante, en el caso concreto, a pesar de que el servidor público habilitado reconoció que el evento relacionado con la Feria de Zumpango en los ejercicios 2021 y 2022 </w:t>
      </w:r>
      <w:r w:rsidRPr="009A5181">
        <w:rPr>
          <w:rFonts w:ascii="Palatino Linotype" w:eastAsia="Palatino Linotype" w:hAnsi="Palatino Linotype" w:cs="Palatino Linotype"/>
          <w:b/>
        </w:rPr>
        <w:t xml:space="preserve">se realizó por un tercero, </w:t>
      </w:r>
      <w:r w:rsidRPr="009A5181">
        <w:rPr>
          <w:rFonts w:ascii="Palatino Linotype" w:eastAsia="Palatino Linotype" w:hAnsi="Palatino Linotype" w:cs="Palatino Linotype"/>
        </w:rPr>
        <w:t xml:space="preserve">no proporcionó información, ya que derivado de la interpretación que dio a la solicitud, se limitó a pronunciarse únicamente respecto los ingresos generados con motivo de la realización de las Ferias, información que por su naturaleza corresponde a los responsables de los eventos, sin embargo, </w:t>
      </w:r>
      <w:r w:rsidRPr="009A5181">
        <w:rPr>
          <w:rFonts w:ascii="Palatino Linotype" w:eastAsia="Palatino Linotype" w:hAnsi="Palatino Linotype" w:cs="Palatino Linotype"/>
          <w:b/>
          <w:u w:val="single"/>
        </w:rPr>
        <w:t>omitió pronunciarse por cuanto hace a los ingresos recaudados por la Tesorería Municipal como ente fiscalizador.</w:t>
      </w:r>
      <w:r w:rsidRPr="009A5181">
        <w:rPr>
          <w:rFonts w:ascii="Palatino Linotype" w:eastAsia="Palatino Linotype" w:hAnsi="Palatino Linotype" w:cs="Palatino Linotype"/>
        </w:rPr>
        <w:t xml:space="preserve"> </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Derivado de lo anterior, bajo la premisa de que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no negó que se hubieran realizado Ferias en los ejercicios 2021 y 2022, por el contrario</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rPr>
        <w:t xml:space="preserve">reconoció de manera implícita que dichos eventos tuvieron lugar, al señalar que estos fueron realizados por un tercero, este Organismo Garante estima dable ordenar la </w:t>
      </w:r>
      <w:r w:rsidRPr="009A5181">
        <w:rPr>
          <w:rFonts w:ascii="Palatino Linotype" w:eastAsia="Palatino Linotype" w:hAnsi="Palatino Linotype" w:cs="Palatino Linotype"/>
        </w:rPr>
        <w:lastRenderedPageBreak/>
        <w:t>búsqueda exhaustiva y razonable de los documentos que den cuenta de la información solicitada, procediendo a su entrega en versión pública conforme al considerando siguiente.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para sustentar dicha determinación es oportuno mencionar que este Organismo Garante localizó indicios de la realización de la Feria Zumpango en los ejercicios 2021 y 2022 en la cuenta oficial del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en la red social Facebook, y en la página oficial del Ayuntamiento, como se ilustra a continuación para mayor referencia: </w:t>
      </w:r>
    </w:p>
    <w:p w:rsidR="00BB2C8C" w:rsidRPr="009A5181" w:rsidRDefault="00BA1081">
      <w:pPr>
        <w:spacing w:before="240" w:after="240" w:line="360" w:lineRule="auto"/>
        <w:jc w:val="center"/>
        <w:rPr>
          <w:rFonts w:ascii="Palatino Linotype" w:eastAsia="Palatino Linotype" w:hAnsi="Palatino Linotype" w:cs="Palatino Linotype"/>
        </w:rPr>
      </w:pPr>
      <w:r w:rsidRPr="009A5181">
        <w:rPr>
          <w:noProof/>
        </w:rPr>
        <w:drawing>
          <wp:inline distT="0" distB="0" distL="0" distR="0">
            <wp:extent cx="3960000" cy="4587671"/>
            <wp:effectExtent l="0" t="0" r="0" b="0"/>
            <wp:docPr id="11322239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295" t="1305"/>
                    <a:stretch>
                      <a:fillRect/>
                    </a:stretch>
                  </pic:blipFill>
                  <pic:spPr>
                    <a:xfrm>
                      <a:off x="0" y="0"/>
                      <a:ext cx="3960000" cy="4587671"/>
                    </a:xfrm>
                    <a:prstGeom prst="rect">
                      <a:avLst/>
                    </a:prstGeom>
                    <a:ln/>
                  </pic:spPr>
                </pic:pic>
              </a:graphicData>
            </a:graphic>
          </wp:inline>
        </w:drawing>
      </w:r>
    </w:p>
    <w:p w:rsidR="00BB2C8C" w:rsidRPr="009A5181" w:rsidRDefault="00BA1081">
      <w:pPr>
        <w:spacing w:before="240" w:after="240" w:line="360" w:lineRule="auto"/>
        <w:jc w:val="center"/>
        <w:rPr>
          <w:rFonts w:ascii="Palatino Linotype" w:eastAsia="Palatino Linotype" w:hAnsi="Palatino Linotype" w:cs="Palatino Linotype"/>
        </w:rPr>
      </w:pPr>
      <w:r w:rsidRPr="009A5181">
        <w:rPr>
          <w:noProof/>
        </w:rPr>
        <w:lastRenderedPageBreak/>
        <w:drawing>
          <wp:inline distT="0" distB="0" distL="0" distR="0">
            <wp:extent cx="5040000" cy="6336782"/>
            <wp:effectExtent l="0" t="0" r="0" b="0"/>
            <wp:docPr id="11322239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040000" cy="6336782"/>
                    </a:xfrm>
                    <a:prstGeom prst="rect">
                      <a:avLst/>
                    </a:prstGeom>
                    <a:ln/>
                  </pic:spPr>
                </pic:pic>
              </a:graphicData>
            </a:graphic>
          </wp:inline>
        </w:drawing>
      </w:r>
    </w:p>
    <w:p w:rsidR="00BB2C8C" w:rsidRPr="009A5181" w:rsidRDefault="00BA1081">
      <w:pPr>
        <w:spacing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 tal suerte que con lo vertido anteriormente, podemos concluir que efectivamente se realizó dicha Feria en los ejercicios 2021 y 2022, al haber sido publicada la información en la página oficial del Ayuntamiento y en la cuenta oficial del Sujeto </w:t>
      </w:r>
      <w:r w:rsidRPr="009A5181">
        <w:rPr>
          <w:rFonts w:ascii="Palatino Linotype" w:eastAsia="Palatino Linotype" w:hAnsi="Palatino Linotype" w:cs="Palatino Linotype"/>
        </w:rPr>
        <w:lastRenderedPageBreak/>
        <w:t>Obligado en una red social que es de conocimiento general, por lo que estaríamos ante un hecho notorio.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Robustecen lo anterior las siguientes Tesis de la Suprema Corte de Justicia de la Nación, cuyo rubro y texto son del tenor siguiente:</w:t>
      </w:r>
    </w:p>
    <w:p w:rsidR="00BB2C8C" w:rsidRPr="009A5181" w:rsidRDefault="00BA1081">
      <w:pPr>
        <w:tabs>
          <w:tab w:val="left" w:pos="7938"/>
        </w:tabs>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“HECHOS NOTORIOS. CONCEPTOS GENERAL Y JURÍDICO. Conforme al artículo 88 del Código Federal de Procedimientos Civiles los tribunales pueden invocar hechos notorios aunque no hayan sido alegados ni probados por las partes.</w:t>
      </w:r>
      <w:r w:rsidRPr="009A5181">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9A5181">
        <w:rPr>
          <w:rFonts w:ascii="Palatino Linotype" w:eastAsia="Palatino Linotype" w:hAnsi="Palatino Linotype" w:cs="Palatino Linotype"/>
          <w:b/>
          <w:i/>
          <w:sz w:val="22"/>
          <w:szCs w:val="22"/>
        </w:rPr>
        <w:t>, a las vicisitudes de la vida pública actual o a circunstancias comúnmente conocidas en un determinado lugar</w:t>
      </w: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de modo que toda persona de ese medio esté en condiciones de saberlo</w:t>
      </w:r>
      <w:r w:rsidRPr="009A5181">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9A5181">
        <w:rPr>
          <w:rFonts w:ascii="Palatino Linotype" w:eastAsia="Palatino Linotype" w:hAnsi="Palatino Linotype" w:cs="Palatino Linotype"/>
          <w:i/>
          <w:sz w:val="22"/>
          <w:szCs w:val="22"/>
          <w:vertAlign w:val="superscript"/>
        </w:rPr>
        <w:footnoteReference w:id="5"/>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9A5181">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w:t>
      </w:r>
      <w:r w:rsidRPr="009A5181">
        <w:rPr>
          <w:rFonts w:ascii="Palatino Linotype" w:eastAsia="Palatino Linotype" w:hAnsi="Palatino Linotype" w:cs="Palatino Linotype"/>
          <w:i/>
          <w:sz w:val="22"/>
          <w:szCs w:val="22"/>
        </w:rPr>
        <w:lastRenderedPageBreak/>
        <w:t>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9A5181">
        <w:rPr>
          <w:rFonts w:ascii="Palatino Linotype" w:eastAsia="Palatino Linotype" w:hAnsi="Palatino Linotype" w:cs="Palatino Linotype"/>
          <w:i/>
          <w:sz w:val="22"/>
          <w:szCs w:val="22"/>
          <w:vertAlign w:val="superscript"/>
        </w:rPr>
        <w:footnoteReference w:id="6"/>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9A5181">
        <w:rPr>
          <w:rFonts w:ascii="Palatino Linotype" w:eastAsia="Palatino Linotype" w:hAnsi="Palatino Linotype" w:cs="Palatino Linotype"/>
          <w:i/>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9A5181">
        <w:rPr>
          <w:rFonts w:ascii="Palatino Linotype" w:eastAsia="Palatino Linotype" w:hAnsi="Palatino Linotype" w:cs="Palatino Linotype"/>
          <w:i/>
          <w:sz w:val="22"/>
          <w:szCs w:val="22"/>
          <w:vertAlign w:val="superscript"/>
        </w:rPr>
        <w:footnoteReference w:id="7"/>
      </w:r>
    </w:p>
    <w:p w:rsidR="00BB2C8C" w:rsidRPr="009A5181" w:rsidRDefault="00BA1081">
      <w:pPr>
        <w:spacing w:before="240" w:after="240" w:line="360" w:lineRule="auto"/>
        <w:jc w:val="both"/>
      </w:pPr>
      <w:r w:rsidRPr="009A5181">
        <w:rPr>
          <w:rFonts w:ascii="Palatino Linotype" w:eastAsia="Palatino Linotype" w:hAnsi="Palatino Linotype" w:cs="Palatino Linotype"/>
        </w:rPr>
        <w:t xml:space="preserve">Atento a lo anterior, para determinar los documentos en los que puede obrar la información requerida es necesario referir que los artículos 342, 343, 344 y 345 del Código Financiero del Estado de México y Municipios, disponen el sistema y las </w:t>
      </w:r>
      <w:r w:rsidRPr="009A5181">
        <w:rPr>
          <w:rFonts w:ascii="Palatino Linotype" w:eastAsia="Palatino Linotype" w:hAnsi="Palatino Linotype" w:cs="Palatino Linotype"/>
        </w:rPr>
        <w:lastRenderedPageBreak/>
        <w:t>políticas que deben seguirse para llevar el registro contable y presupuestal de las operaciones financieras, en los siguientes términos:</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342</w:t>
      </w:r>
      <w:r w:rsidRPr="009A5181">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9A5181">
        <w:rPr>
          <w:rFonts w:ascii="Palatino Linotype" w:eastAsia="Palatino Linotype" w:hAnsi="Palatino Linotype" w:cs="Palatino Linotype"/>
          <w:i/>
          <w:sz w:val="22"/>
          <w:szCs w:val="22"/>
        </w:rPr>
        <w:t>presupuestación</w:t>
      </w:r>
      <w:proofErr w:type="spellEnd"/>
      <w:r w:rsidRPr="009A5181">
        <w:rPr>
          <w:rFonts w:ascii="Palatino Linotype" w:eastAsia="Palatino Linotype" w:hAnsi="Palatino Linotype" w:cs="Palatino Linotype"/>
          <w:i/>
          <w:sz w:val="22"/>
          <w:szCs w:val="22"/>
        </w:rPr>
        <w:t xml:space="preserve">, evaluación y contabilidad gubernamental. </w:t>
      </w:r>
    </w:p>
    <w:p w:rsidR="00BB2C8C" w:rsidRPr="009A5181" w:rsidRDefault="00BA1081">
      <w:pPr>
        <w:spacing w:before="120" w:after="120"/>
        <w:ind w:left="862" w:right="86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En el caso de los municipios,</w:t>
      </w:r>
      <w:r w:rsidRPr="009A5181">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9A5181">
        <w:rPr>
          <w:rFonts w:ascii="Palatino Linotype" w:eastAsia="Palatino Linotype" w:hAnsi="Palatino Linotype" w:cs="Palatino Linotype"/>
          <w:b/>
          <w:i/>
          <w:sz w:val="22"/>
          <w:szCs w:val="22"/>
        </w:rPr>
        <w:t xml:space="preserve">planeación, programación, </w:t>
      </w:r>
      <w:proofErr w:type="spellStart"/>
      <w:r w:rsidRPr="009A5181">
        <w:rPr>
          <w:rFonts w:ascii="Palatino Linotype" w:eastAsia="Palatino Linotype" w:hAnsi="Palatino Linotype" w:cs="Palatino Linotype"/>
          <w:b/>
          <w:i/>
          <w:sz w:val="22"/>
          <w:szCs w:val="22"/>
        </w:rPr>
        <w:t>presupuestación</w:t>
      </w:r>
      <w:proofErr w:type="spellEnd"/>
      <w:r w:rsidRPr="009A5181">
        <w:rPr>
          <w:rFonts w:ascii="Palatino Linotype" w:eastAsia="Palatino Linotype" w:hAnsi="Palatino Linotype" w:cs="Palatino Linotype"/>
          <w:b/>
          <w:i/>
          <w:sz w:val="22"/>
          <w:szCs w:val="22"/>
        </w:rPr>
        <w:t>, evaluación y contabilidad gubernamental</w:t>
      </w:r>
      <w:r w:rsidRPr="009A5181">
        <w:rPr>
          <w:rFonts w:ascii="Palatino Linotype" w:eastAsia="Palatino Linotype" w:hAnsi="Palatino Linotype" w:cs="Palatino Linotype"/>
          <w:i/>
          <w:sz w:val="22"/>
          <w:szCs w:val="22"/>
        </w:rPr>
        <w:t>, que se aprueben en el marco del Sistema de Coordinación Hacendaria del Estado de México</w:t>
      </w:r>
      <w:r w:rsidRPr="009A5181">
        <w:rPr>
          <w:rFonts w:ascii="Palatino Linotype" w:eastAsia="Palatino Linotype" w:hAnsi="Palatino Linotype" w:cs="Palatino Linotype"/>
          <w:b/>
          <w:i/>
          <w:sz w:val="22"/>
          <w:szCs w:val="22"/>
        </w:rPr>
        <w:t xml:space="preserve"> </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343.-</w:t>
      </w:r>
      <w:r w:rsidRPr="009A5181">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BB2C8C" w:rsidRPr="009A5181" w:rsidRDefault="00BA1081">
      <w:pPr>
        <w:spacing w:before="120" w:after="120"/>
        <w:ind w:left="862" w:right="86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344</w:t>
      </w: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u w:val="single"/>
        </w:rPr>
        <w:t>Los Entes Públicos</w:t>
      </w:r>
      <w:r w:rsidRPr="009A5181">
        <w:rPr>
          <w:rFonts w:ascii="Palatino Linotype" w:eastAsia="Palatino Linotype" w:hAnsi="Palatino Linotype" w:cs="Palatino Linotype"/>
          <w:i/>
          <w:sz w:val="22"/>
          <w:szCs w:val="22"/>
        </w:rPr>
        <w:t xml:space="preserve">, a través de cualquiera de sus unidades administrativas, de acuerdo con su naturaleza jurídica y según corresponda, </w:t>
      </w:r>
      <w:r w:rsidRPr="009A5181">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w:t>
      </w:r>
      <w:r w:rsidRPr="009A5181">
        <w:rPr>
          <w:rFonts w:ascii="Palatino Linotype" w:eastAsia="Palatino Linotype" w:hAnsi="Palatino Linotype" w:cs="Palatino Linotype"/>
          <w:i/>
          <w:sz w:val="22"/>
          <w:szCs w:val="22"/>
        </w:rPr>
        <w:t xml:space="preserve">, según corresponda, así como de los órganos internos de control, </w:t>
      </w:r>
      <w:r w:rsidRPr="009A5181">
        <w:rPr>
          <w:rFonts w:ascii="Palatino Linotype" w:eastAsia="Palatino Linotype" w:hAnsi="Palatino Linotype" w:cs="Palatino Linotype"/>
          <w:b/>
          <w:i/>
          <w:sz w:val="22"/>
          <w:szCs w:val="22"/>
          <w:u w:val="single"/>
        </w:rPr>
        <w:t>por un término de cinco años,</w:t>
      </w:r>
      <w:r w:rsidRPr="009A5181">
        <w:rPr>
          <w:rFonts w:ascii="Palatino Linotype" w:eastAsia="Palatino Linotype" w:hAnsi="Palatino Linotype" w:cs="Palatino Linotype"/>
          <w:i/>
          <w:sz w:val="22"/>
          <w:szCs w:val="22"/>
        </w:rPr>
        <w:t xml:space="preserve"> contados a partir del ejercicio presupuestal siguiente al que corresponda, </w:t>
      </w:r>
      <w:r w:rsidRPr="009A5181">
        <w:rPr>
          <w:rFonts w:ascii="Palatino Linotype" w:eastAsia="Palatino Linotype" w:hAnsi="Palatino Linotype" w:cs="Palatino Linotype"/>
          <w:b/>
          <w:i/>
          <w:sz w:val="22"/>
          <w:szCs w:val="22"/>
        </w:rPr>
        <w:t xml:space="preserve">en el caso de los Municipios, dicha obligación </w:t>
      </w:r>
      <w:r w:rsidRPr="009A5181">
        <w:rPr>
          <w:rFonts w:ascii="Palatino Linotype" w:eastAsia="Palatino Linotype" w:hAnsi="Palatino Linotype" w:cs="Palatino Linotype"/>
          <w:b/>
          <w:i/>
          <w:sz w:val="22"/>
          <w:szCs w:val="22"/>
          <w:u w:val="single"/>
        </w:rPr>
        <w:t>corresponderá a la Tesorería</w:t>
      </w:r>
      <w:r w:rsidRPr="009A5181">
        <w:rPr>
          <w:rFonts w:ascii="Palatino Linotype" w:eastAsia="Palatino Linotype" w:hAnsi="Palatino Linotype" w:cs="Palatino Linotype"/>
          <w:i/>
          <w:sz w:val="22"/>
          <w:szCs w:val="22"/>
          <w:u w:val="single"/>
        </w:rPr>
        <w:t xml:space="preserve">. </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Tratándose de documentos de carácter histórico, se estará a lo dispuesto por la legislación de la materia.</w:t>
      </w:r>
    </w:p>
    <w:p w:rsidR="00BB2C8C" w:rsidRPr="009A5181" w:rsidRDefault="00BA1081">
      <w:pPr>
        <w:spacing w:before="120" w:after="120"/>
        <w:ind w:left="862" w:right="862"/>
        <w:jc w:val="both"/>
        <w:rPr>
          <w:rFonts w:ascii="Palatino Linotype" w:eastAsia="Palatino Linotype" w:hAnsi="Palatino Linotype" w:cs="Palatino Linotype"/>
          <w:b/>
          <w:i/>
          <w:sz w:val="22"/>
          <w:szCs w:val="22"/>
          <w:u w:val="single"/>
        </w:rPr>
      </w:pPr>
      <w:r w:rsidRPr="009A5181">
        <w:rPr>
          <w:rFonts w:ascii="Palatino Linotype" w:eastAsia="Palatino Linotype" w:hAnsi="Palatino Linotype" w:cs="Palatino Linotype"/>
          <w:b/>
          <w:i/>
          <w:sz w:val="22"/>
          <w:szCs w:val="22"/>
        </w:rPr>
        <w:lastRenderedPageBreak/>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9A5181">
        <w:rPr>
          <w:rFonts w:ascii="Palatino Linotype" w:eastAsia="Palatino Linotype" w:hAnsi="Palatino Linotype" w:cs="Palatino Linotype"/>
          <w:b/>
          <w:i/>
          <w:sz w:val="22"/>
          <w:szCs w:val="22"/>
          <w:u w:val="single"/>
        </w:rPr>
        <w:t xml:space="preserve">Tratándose de los comprobantes fiscales digitales, estos deberán estar agregados en forma electrónica a cada póliza de registro contable. </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9A5181">
        <w:rPr>
          <w:rFonts w:ascii="Palatino Linotype" w:eastAsia="Palatino Linotype" w:hAnsi="Palatino Linotype" w:cs="Palatino Linotype"/>
          <w:b/>
          <w:i/>
          <w:sz w:val="22"/>
          <w:szCs w:val="22"/>
        </w:rPr>
        <w:t>deberán estar agregados en forma electrónica a cada póliza de registro contable</w:t>
      </w:r>
      <w:r w:rsidRPr="009A5181">
        <w:rPr>
          <w:rFonts w:ascii="Palatino Linotype" w:eastAsia="Palatino Linotype" w:hAnsi="Palatino Linotype" w:cs="Palatino Linotype"/>
          <w:i/>
          <w:sz w:val="22"/>
          <w:szCs w:val="22"/>
        </w:rPr>
        <w:t xml:space="preserve">. </w:t>
      </w:r>
    </w:p>
    <w:p w:rsidR="00BB2C8C" w:rsidRPr="009A5181" w:rsidRDefault="00BA1081">
      <w:pPr>
        <w:spacing w:before="120" w:after="120"/>
        <w:ind w:left="862" w:right="86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9A5181">
        <w:rPr>
          <w:rFonts w:ascii="Palatino Linotype" w:eastAsia="Palatino Linotype" w:hAnsi="Palatino Linotype" w:cs="Palatino Linotype"/>
        </w:rPr>
        <w:t>presupuestación</w:t>
      </w:r>
      <w:proofErr w:type="spellEnd"/>
      <w:r w:rsidRPr="009A5181">
        <w:rPr>
          <w:rFonts w:ascii="Palatino Linotype" w:eastAsia="Palatino Linotype" w:hAnsi="Palatino Linotype" w:cs="Palatino Linotype"/>
        </w:rPr>
        <w:t>, evaluación y contabilidad gubernamental.</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9A5181">
        <w:rPr>
          <w:rFonts w:ascii="Palatino Linotype" w:eastAsia="Palatino Linotype" w:hAnsi="Palatino Linotype" w:cs="Palatino Linotype"/>
        </w:rPr>
        <w:t>Presupuestación</w:t>
      </w:r>
      <w:proofErr w:type="spellEnd"/>
      <w:r w:rsidRPr="009A5181">
        <w:rPr>
          <w:rFonts w:ascii="Palatino Linotype" w:eastAsia="Palatino Linotype" w:hAnsi="Palatino Linotype" w:cs="Palatino Linotype"/>
        </w:rPr>
        <w:t xml:space="preserve"> y Evaluación en la Administración Pública”, elaborado por el Grupo de Trabajo de Sistemas de Información Financiera, </w:t>
      </w:r>
      <w:r w:rsidRPr="009A5181">
        <w:rPr>
          <w:rFonts w:ascii="Palatino Linotype" w:eastAsia="Palatino Linotype" w:hAnsi="Palatino Linotype" w:cs="Palatino Linotype"/>
        </w:rPr>
        <w:lastRenderedPageBreak/>
        <w:t xml:space="preserve">Contable y Presupuestal de la Comisión Permanente de Funcionarios Fiscales del Instituto para el Desarrollo Técnico de las Haciendas Públicas (INDETEC) señalan las siguientes definiciones de las palabras registro contable y registro presupuestario: </w:t>
      </w:r>
    </w:p>
    <w:p w:rsidR="00BB2C8C" w:rsidRPr="009A5181" w:rsidRDefault="00BA1081">
      <w:pPr>
        <w:ind w:left="851" w:right="851"/>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 xml:space="preserve">“REGISTRO CONTABLE </w:t>
      </w:r>
    </w:p>
    <w:p w:rsidR="00BB2C8C" w:rsidRPr="009A5181" w:rsidRDefault="00BA1081">
      <w:pPr>
        <w:ind w:left="851" w:right="851"/>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rsidR="00BB2C8C" w:rsidRPr="009A5181" w:rsidRDefault="00BB2C8C">
      <w:pPr>
        <w:ind w:left="851" w:right="851"/>
        <w:jc w:val="both"/>
        <w:rPr>
          <w:rFonts w:ascii="Palatino Linotype" w:eastAsia="Palatino Linotype" w:hAnsi="Palatino Linotype" w:cs="Palatino Linotype"/>
          <w:b/>
          <w:i/>
          <w:sz w:val="22"/>
          <w:szCs w:val="22"/>
        </w:rPr>
      </w:pPr>
    </w:p>
    <w:p w:rsidR="00BB2C8C" w:rsidRPr="009A5181" w:rsidRDefault="00BA1081">
      <w:pPr>
        <w:ind w:left="851" w:right="851"/>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“REGISTRO PRESUPUESTARIO</w:t>
      </w:r>
    </w:p>
    <w:p w:rsidR="00BB2C8C" w:rsidRPr="009A5181" w:rsidRDefault="00BA1081">
      <w:pPr>
        <w:ind w:left="851" w:right="851"/>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Correlativo a lo anterior, es preciso referir una definición de </w:t>
      </w:r>
      <w:r w:rsidRPr="009A5181">
        <w:rPr>
          <w:rFonts w:ascii="Palatino Linotype" w:eastAsia="Palatino Linotype" w:hAnsi="Palatino Linotype" w:cs="Palatino Linotype"/>
          <w:i/>
        </w:rPr>
        <w:t>póliza contable</w:t>
      </w:r>
      <w:r w:rsidRPr="009A5181">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rsidR="00BB2C8C" w:rsidRPr="009A5181" w:rsidRDefault="00BA1081">
      <w:pPr>
        <w:ind w:left="851" w:right="851"/>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PÓLIZA CONTABLE</w:t>
      </w:r>
    </w:p>
    <w:p w:rsidR="00BB2C8C" w:rsidRPr="009A5181" w:rsidRDefault="00BA1081">
      <w:pPr>
        <w:ind w:left="851" w:right="851"/>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9A5181">
        <w:rPr>
          <w:rFonts w:ascii="Palatino Linotype" w:eastAsia="Palatino Linotype" w:hAnsi="Palatino Linotype" w:cs="Palatino Linotype"/>
          <w:i/>
          <w:sz w:val="22"/>
          <w:szCs w:val="22"/>
        </w:rPr>
        <w:t>sic</w:t>
      </w:r>
      <w:proofErr w:type="gramEnd"/>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Así, se advierte que la </w:t>
      </w:r>
      <w:r w:rsidRPr="009A5181">
        <w:rPr>
          <w:rFonts w:ascii="Palatino Linotype" w:eastAsia="Palatino Linotype" w:hAnsi="Palatino Linotype" w:cs="Palatino Linotype"/>
          <w:i/>
        </w:rPr>
        <w:t>póliza contable</w:t>
      </w:r>
      <w:r w:rsidRPr="009A5181">
        <w:rPr>
          <w:rFonts w:ascii="Palatino Linotype" w:eastAsia="Palatino Linotype" w:hAnsi="Palatino Linotype" w:cs="Palatino Linotype"/>
        </w:rPr>
        <w:t xml:space="preserve"> constituye un registro contable y presupuestal con el que cuentan los Municipios para el registro de sus operaciones relacionadas con sus </w:t>
      </w:r>
      <w:r w:rsidRPr="009A5181">
        <w:rPr>
          <w:rFonts w:ascii="Palatino Linotype" w:eastAsia="Palatino Linotype" w:hAnsi="Palatino Linotype" w:cs="Palatino Linotype"/>
          <w:u w:val="single"/>
        </w:rPr>
        <w:t>ingresos y egresos</w:t>
      </w:r>
      <w:r w:rsidRPr="009A5181">
        <w:rPr>
          <w:rFonts w:ascii="Palatino Linotype" w:eastAsia="Palatino Linotype" w:hAnsi="Palatino Linotype" w:cs="Palatino Linotype"/>
        </w:rPr>
        <w:t xml:space="preserve"> </w:t>
      </w:r>
      <w:r w:rsidRPr="009A5181">
        <w:rPr>
          <w:rFonts w:ascii="Palatino Linotype" w:eastAsia="Palatino Linotype" w:hAnsi="Palatino Linotype" w:cs="Palatino Linotype"/>
          <w:b/>
        </w:rPr>
        <w:t>y se anexan los documentos o comprobantes que justifiquen las anotaciones y cantidades en ellas registradas</w:t>
      </w:r>
      <w:r w:rsidRPr="009A5181">
        <w:rPr>
          <w:rFonts w:ascii="Palatino Linotype" w:eastAsia="Palatino Linotype" w:hAnsi="Palatino Linotype" w:cs="Palatino Linotype"/>
        </w:rPr>
        <w:t>, lo que permite la identificación plena de dichas operaciones.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En este sentido, existen diversos tipos de pólizas contables de acuerdo a las operaciones realizadas, dentro de las cuales, encontramos las </w:t>
      </w:r>
      <w:r w:rsidRPr="009A5181">
        <w:rPr>
          <w:rFonts w:ascii="Palatino Linotype" w:eastAsia="Palatino Linotype" w:hAnsi="Palatino Linotype" w:cs="Palatino Linotype"/>
          <w:i/>
        </w:rPr>
        <w:t>pólizas de egresos e ingresos</w:t>
      </w:r>
      <w:r w:rsidRPr="009A5181">
        <w:rPr>
          <w:rFonts w:ascii="Palatino Linotype" w:eastAsia="Palatino Linotype" w:hAnsi="Palatino Linotype" w:cs="Palatino Linotype"/>
        </w:rPr>
        <w:t xml:space="preserve">, las primeras son aquellas en las cuales se anotan diariamente las operaciones que representan gastos, es decir, salidas de dinero para el Sujeto Obligado, las que además, deben encontrarse acompañadas de las documentales que sirven de soporte de dicho movimiento, en atención a </w:t>
      </w:r>
      <w:r w:rsidRPr="009A5181">
        <w:rPr>
          <w:rFonts w:ascii="Palatino Linotype" w:eastAsia="Palatino Linotype" w:hAnsi="Palatino Linotype" w:cs="Palatino Linotype"/>
          <w:b/>
        </w:rPr>
        <w:t xml:space="preserve">las segundas, registran todas la entradas de dinero independientemente de la modalidad, ya sea en efectivo, transferencia, cheque o pagaré, </w:t>
      </w:r>
      <w:r w:rsidRPr="009A5181">
        <w:rPr>
          <w:rFonts w:ascii="Palatino Linotype" w:eastAsia="Palatino Linotype" w:hAnsi="Palatino Linotype" w:cs="Palatino Linotype"/>
          <w:b/>
          <w:u w:val="single"/>
        </w:rPr>
        <w:t>mediante la expedición de facturas</w:t>
      </w:r>
      <w:r w:rsidRPr="009A5181">
        <w:rPr>
          <w:rFonts w:ascii="Palatino Linotype" w:eastAsia="Palatino Linotype" w:hAnsi="Palatino Linotype" w:cs="Palatino Linotype"/>
        </w:rPr>
        <w:t>.</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Así, se puede advertir que, de la información requerida, los documentos que pueden satisfacer el requerimiento la persona solicitante serían precisamente los documentos o comprobantes que justifiquen las anotaciones y cantidades asentadas en los registros contables.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es considerado como ente fiscalizable, como así lo </w:t>
      </w:r>
      <w:r w:rsidRPr="009A5181">
        <w:rPr>
          <w:rFonts w:ascii="Palatino Linotype" w:eastAsia="Palatino Linotype" w:hAnsi="Palatino Linotype" w:cs="Palatino Linotype"/>
        </w:rPr>
        <w:lastRenderedPageBreak/>
        <w:t>señala el artículo 4 fracción II de la Ley de Fiscalización Superior del Estado de México, el cual señala:</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4</w:t>
      </w:r>
      <w:r w:rsidRPr="009A5181">
        <w:rPr>
          <w:rFonts w:ascii="Palatino Linotype" w:eastAsia="Palatino Linotype" w:hAnsi="Palatino Linotype" w:cs="Palatino Linotype"/>
          <w:i/>
          <w:sz w:val="22"/>
          <w:szCs w:val="22"/>
        </w:rPr>
        <w:t>. Son sujetos de fiscalización:</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u w:val="single"/>
        </w:rPr>
        <w:t>Los municipios del Estado de México</w:t>
      </w:r>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ind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el ordenamiento legal referido señala en su artículo 8, fracción XI, lo siguiente: </w:t>
      </w:r>
    </w:p>
    <w:p w:rsidR="00BB2C8C" w:rsidRPr="009A5181" w:rsidRDefault="00BA1081">
      <w:pPr>
        <w:spacing w:before="120" w:after="12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8</w:t>
      </w:r>
      <w:r w:rsidRPr="009A5181">
        <w:rPr>
          <w:rFonts w:ascii="Palatino Linotype" w:eastAsia="Palatino Linotype" w:hAnsi="Palatino Linotype" w:cs="Palatino Linotype"/>
          <w:i/>
          <w:sz w:val="22"/>
          <w:szCs w:val="22"/>
        </w:rPr>
        <w:t>. El Órgano Superior tendrá las siguientes atribuciones:</w:t>
      </w:r>
    </w:p>
    <w:p w:rsidR="00BB2C8C" w:rsidRPr="009A5181" w:rsidRDefault="00BA1081">
      <w:pPr>
        <w:spacing w:before="120" w:after="120"/>
        <w:ind w:left="1134"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XI.</w:t>
      </w: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En esta tesitura, los Lineamientos para la integración y entrega del Informe Trimestral Municipal, para los ejercicios 2021 y 2022, emitidos por el Órgano Superior de Fiscalización del Estado de México, OSFEM, establecen los criterios, formatos y documentación necesaria para presentar los informes trimestrales por parte de los entes fiscalizables, debiendo integrar la información en cuatro Módulos que contienen la información que se detalla a continuación:</w:t>
      </w:r>
    </w:p>
    <w:p w:rsidR="00BB2C8C" w:rsidRPr="009A5181" w:rsidRDefault="00BA1081">
      <w:pPr>
        <w:spacing w:before="240" w:after="240" w:line="360" w:lineRule="auto"/>
        <w:jc w:val="center"/>
        <w:rPr>
          <w:rFonts w:ascii="Palatino Linotype" w:eastAsia="Palatino Linotype" w:hAnsi="Palatino Linotype" w:cs="Palatino Linotype"/>
        </w:rPr>
      </w:pPr>
      <w:r w:rsidRPr="009A5181">
        <w:rPr>
          <w:rFonts w:ascii="Palatino Linotype" w:eastAsia="Palatino Linotype" w:hAnsi="Palatino Linotype" w:cs="Palatino Linotype"/>
          <w:noProof/>
        </w:rPr>
        <w:drawing>
          <wp:inline distT="0" distB="0" distL="0" distR="0">
            <wp:extent cx="3242945" cy="1722755"/>
            <wp:effectExtent l="0" t="0" r="0" b="0"/>
            <wp:docPr id="11322239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5011" b="4799"/>
                    <a:stretch>
                      <a:fillRect/>
                    </a:stretch>
                  </pic:blipFill>
                  <pic:spPr>
                    <a:xfrm>
                      <a:off x="0" y="0"/>
                      <a:ext cx="3242945" cy="1722755"/>
                    </a:xfrm>
                    <a:prstGeom prst="rect">
                      <a:avLst/>
                    </a:prstGeom>
                    <a:ln/>
                  </pic:spPr>
                </pic:pic>
              </a:graphicData>
            </a:graphic>
          </wp:inline>
        </w:drawing>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A su vez los Módulos se dividen en </w:t>
      </w:r>
      <w:proofErr w:type="spellStart"/>
      <w:r w:rsidRPr="009A5181">
        <w:rPr>
          <w:rFonts w:ascii="Palatino Linotype" w:eastAsia="Palatino Linotype" w:hAnsi="Palatino Linotype" w:cs="Palatino Linotype"/>
        </w:rPr>
        <w:t>submódulos</w:t>
      </w:r>
      <w:proofErr w:type="spellEnd"/>
      <w:r w:rsidRPr="009A5181">
        <w:rPr>
          <w:rFonts w:ascii="Palatino Linotype" w:eastAsia="Palatino Linotype" w:hAnsi="Palatino Linotype" w:cs="Palatino Linotype"/>
        </w:rPr>
        <w:t xml:space="preserve">, de los que destaca, en relación con el análisis que nos ocupa, el </w:t>
      </w:r>
      <w:proofErr w:type="spellStart"/>
      <w:r w:rsidRPr="009A5181">
        <w:rPr>
          <w:rFonts w:ascii="Palatino Linotype" w:eastAsia="Palatino Linotype" w:hAnsi="Palatino Linotype" w:cs="Palatino Linotype"/>
        </w:rPr>
        <w:t>submódulo</w:t>
      </w:r>
      <w:proofErr w:type="spellEnd"/>
      <w:r w:rsidRPr="009A5181">
        <w:rPr>
          <w:rFonts w:ascii="Palatino Linotype" w:eastAsia="Palatino Linotype" w:hAnsi="Palatino Linotype" w:cs="Palatino Linotype"/>
        </w:rPr>
        <w:t xml:space="preserve"> relativo a “Pólizas”, del Módulo 1:</w:t>
      </w:r>
    </w:p>
    <w:p w:rsidR="00BB2C8C" w:rsidRPr="009A5181" w:rsidRDefault="00BA1081">
      <w:pPr>
        <w:spacing w:before="240" w:after="240" w:line="360" w:lineRule="auto"/>
        <w:jc w:val="center"/>
        <w:rPr>
          <w:rFonts w:ascii="Palatino Linotype" w:eastAsia="Palatino Linotype" w:hAnsi="Palatino Linotype" w:cs="Palatino Linotype"/>
        </w:rPr>
      </w:pPr>
      <w:r w:rsidRPr="009A5181">
        <w:rPr>
          <w:rFonts w:ascii="Palatino Linotype" w:eastAsia="Palatino Linotype" w:hAnsi="Palatino Linotype" w:cs="Palatino Linotype"/>
          <w:noProof/>
        </w:rPr>
        <w:drawing>
          <wp:inline distT="0" distB="0" distL="0" distR="0">
            <wp:extent cx="5146040" cy="3030220"/>
            <wp:effectExtent l="0" t="0" r="0" b="0"/>
            <wp:docPr id="11322239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146040" cy="3030220"/>
                    </a:xfrm>
                    <a:prstGeom prst="rect">
                      <a:avLst/>
                    </a:prstGeom>
                    <a:ln/>
                  </pic:spPr>
                </pic:pic>
              </a:graphicData>
            </a:graphic>
          </wp:inline>
        </w:drawing>
      </w:r>
      <w:r w:rsidRPr="009A5181">
        <w:rPr>
          <w:noProof/>
        </w:rPr>
        <mc:AlternateContent>
          <mc:Choice Requires="wpg">
            <w:drawing>
              <wp:anchor distT="0" distB="0" distL="114300" distR="114300" simplePos="0" relativeHeight="251660288" behindDoc="0" locked="0" layoutInCell="1" hidden="0" allowOverlap="1">
                <wp:simplePos x="0" y="0"/>
                <wp:positionH relativeFrom="column">
                  <wp:posOffset>457200</wp:posOffset>
                </wp:positionH>
                <wp:positionV relativeFrom="paragraph">
                  <wp:posOffset>2235200</wp:posOffset>
                </wp:positionV>
                <wp:extent cx="4932680" cy="808990"/>
                <wp:effectExtent l="0" t="0" r="0" b="0"/>
                <wp:wrapNone/>
                <wp:docPr id="1132223916" name="Rectángulo 1132223916"/>
                <wp:cNvGraphicFramePr/>
                <a:graphic xmlns:a="http://schemas.openxmlformats.org/drawingml/2006/main">
                  <a:graphicData uri="http://schemas.microsoft.com/office/word/2010/wordprocessingShape">
                    <wps:wsp>
                      <wps:cNvSpPr/>
                      <wps:spPr>
                        <a:xfrm>
                          <a:off x="2893948" y="3389793"/>
                          <a:ext cx="4904105" cy="780415"/>
                        </a:xfrm>
                        <a:prstGeom prst="rect">
                          <a:avLst/>
                        </a:prstGeom>
                        <a:noFill/>
                        <a:ln w="28575" cap="flat" cmpd="sng">
                          <a:solidFill>
                            <a:srgbClr val="C00000"/>
                          </a:solidFill>
                          <a:prstDash val="solid"/>
                          <a:round/>
                          <a:headEnd type="none" w="sm" len="sm"/>
                          <a:tailEnd type="none" w="sm" len="sm"/>
                        </a:ln>
                      </wps:spPr>
                      <wps:txbx>
                        <w:txbxContent>
                          <w:p w:rsidR="00BB2C8C" w:rsidRDefault="00BB2C8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2235200</wp:posOffset>
                </wp:positionV>
                <wp:extent cx="4932680" cy="808990"/>
                <wp:effectExtent b="0" l="0" r="0" t="0"/>
                <wp:wrapNone/>
                <wp:docPr id="1132223916"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4932680" cy="808990"/>
                        </a:xfrm>
                        <a:prstGeom prst="rect"/>
                        <a:ln/>
                      </pic:spPr>
                    </pic:pic>
                  </a:graphicData>
                </a:graphic>
              </wp:anchor>
            </w:drawing>
          </mc:Fallback>
        </mc:AlternateConten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Como se advierte en la imagen anterior, el </w:t>
      </w:r>
      <w:proofErr w:type="spellStart"/>
      <w:r w:rsidRPr="009A5181">
        <w:rPr>
          <w:rFonts w:ascii="Palatino Linotype" w:eastAsia="Palatino Linotype" w:hAnsi="Palatino Linotype" w:cs="Palatino Linotype"/>
        </w:rPr>
        <w:t>submódulo</w:t>
      </w:r>
      <w:proofErr w:type="spellEnd"/>
      <w:r w:rsidRPr="009A5181">
        <w:rPr>
          <w:rFonts w:ascii="Palatino Linotype" w:eastAsia="Palatino Linotype" w:hAnsi="Palatino Linotype" w:cs="Palatino Linotype"/>
        </w:rPr>
        <w:t xml:space="preserve">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esta tesitura, derivado de la interpretación de los requerimientos de información, se considera que la persona solicitante se encuentra interesada en obtener los </w:t>
      </w:r>
      <w:r w:rsidRPr="009A5181">
        <w:rPr>
          <w:rFonts w:ascii="Palatino Linotype" w:eastAsia="Palatino Linotype" w:hAnsi="Palatino Linotype" w:cs="Palatino Linotype"/>
          <w:b/>
          <w:u w:val="single"/>
        </w:rPr>
        <w:t>documentos comprobatorios que amparan las pólizas de ingreso</w:t>
      </w:r>
      <w:r w:rsidRPr="009A5181">
        <w:rPr>
          <w:rFonts w:ascii="Palatino Linotype" w:eastAsia="Palatino Linotype" w:hAnsi="Palatino Linotype" w:cs="Palatino Linotype"/>
        </w:rPr>
        <w:t xml:space="preserve">, relacionados con los ingresos recaudados por concepto de la realización de la Feria Zumpango en los ejercicios 2021 y 2022, al tener las pólizas de ingresos la finalidad de </w:t>
      </w:r>
      <w:r w:rsidRPr="009A5181">
        <w:t xml:space="preserve">registrar y </w:t>
      </w:r>
      <w:r w:rsidRPr="009A5181">
        <w:rPr>
          <w:rFonts w:ascii="Palatino Linotype" w:eastAsia="Palatino Linotype" w:hAnsi="Palatino Linotype" w:cs="Palatino Linotype"/>
        </w:rPr>
        <w:t xml:space="preserve">anexar los comprobantes de aquellas operaciones del Ente Público por las cuales se haya elaborado un depósito en las cuentas bancarias; es decir, la póliza de ingresos se </w:t>
      </w:r>
      <w:r w:rsidRPr="009A5181">
        <w:rPr>
          <w:rFonts w:ascii="Palatino Linotype" w:eastAsia="Palatino Linotype" w:hAnsi="Palatino Linotype" w:cs="Palatino Linotype"/>
        </w:rPr>
        <w:lastRenderedPageBreak/>
        <w:t>elabora cuando la operación implica una entrada de dinero al banco a través de una ficha de depósito, transferencia, efectivo o en especie.</w:t>
      </w:r>
    </w:p>
    <w:p w:rsidR="00BB2C8C" w:rsidRPr="009A5181" w:rsidRDefault="00BA1081">
      <w:pPr>
        <w:spacing w:before="120" w:after="12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Con base en lo anterior, se estima que para tener por colmados los requerimientos de información, es dable ordenar la entrega, en versión pública de los documentos comprobatorios de los ingresos recaudados por el Ayuntamiento de Zumpango, a través de la Tesorería Municipal, por concepto de la Feria Zumpango, 2021 y 2022, esto es, los comprobantes fiscales digitales por internet generados, documentos a través del cual la persona solicitante podrá advertir el monto de los ingresos, el nombre de la persona física o moral o jurídica que realizó la Feria.</w:t>
      </w:r>
    </w:p>
    <w:p w:rsidR="00BB2C8C" w:rsidRPr="009A5181" w:rsidRDefault="00BA1081">
      <w:pPr>
        <w:spacing w:before="120" w:after="12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deberá realizar la búsqueda exhaustiva y razonable de los documentos que den cuenta del destino de los recursos ingresados con motivo de la Feria Zumpango 2021 y 2022, pudiendo ser, de manera enunciativa más no limitativa, las pólizas de egresos, procediendo a la entrega de los mismos en caso de llegar a localizarse, conforme al considerando siguiente.</w:t>
      </w:r>
    </w:p>
    <w:p w:rsidR="00BB2C8C" w:rsidRPr="009A5181" w:rsidRDefault="00BA1081">
      <w:pPr>
        <w:spacing w:before="120" w:after="12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No obstante de lo anterior, es oportuno mencionar que la normativa en análisis no se advirtió la obligación por parte del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para identificar de manera plena el destino de los recursos ingresados por concepto de eventos o espectáculos públicos, con excepción del párrafo segundo del artículo 122 del Código Financiero del Estado de México, mismo que establece la facultad de destinar un porcentaje de los ingresos que se obtengan de la celebración de espectáculos públicos, al Sistema Municipal para el Desarrollo Integral de la Familia, sin embargo, dicha facultad es potestativa, es decir, no constituye una obligación que deban acatar los Ayuntamientos.</w:t>
      </w:r>
    </w:p>
    <w:p w:rsidR="00BB2C8C" w:rsidRPr="009A5181" w:rsidRDefault="00BA1081">
      <w:pPr>
        <w:spacing w:before="120" w:after="12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Atento a lo anterior, para el caso de que no se llegara a localizar información derivado de la búsqueda que se ordena, por no obrar en los archivos del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en los términos que se solicita,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19</w:t>
      </w: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9A5181">
        <w:rPr>
          <w:rFonts w:ascii="Palatino Linotype" w:eastAsia="Palatino Linotype" w:hAnsi="Palatino Linotype" w:cs="Palatino Linotype"/>
          <w:vertAlign w:val="superscript"/>
        </w:rPr>
        <w:footnoteReference w:id="8"/>
      </w:r>
      <w:r w:rsidRPr="009A5181">
        <w:rPr>
          <w:rFonts w:ascii="Palatino Linotype" w:eastAsia="Palatino Linotype" w:hAnsi="Palatino Linotype" w:cs="Palatino Linotype"/>
        </w:rPr>
        <w:t xml:space="preserve">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Finalmente, respecto de las manifestaciones realizadas por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como razones o motivos de inconformidad, consistentes en “…</w:t>
      </w:r>
      <w:r w:rsidRPr="009A5181">
        <w:rPr>
          <w:rFonts w:ascii="Palatino Linotype" w:eastAsia="Palatino Linotype" w:hAnsi="Palatino Linotype" w:cs="Palatino Linotype"/>
          <w:i/>
        </w:rPr>
        <w:t>Por lo que solicito se aclare el punto, y en su caso se de vista a la contraloría municipal y del poder legislativo…” (sic)</w:t>
      </w:r>
      <w:r w:rsidRPr="009A5181">
        <w:rPr>
          <w:rFonts w:ascii="Palatino Linotype" w:eastAsia="Palatino Linotype" w:hAnsi="Palatino Linotype" w:cs="Palatino Linotype"/>
        </w:rPr>
        <w:t xml:space="preserve">; y derivado que el Recurso de Revisión no es el medio para sancionar, este Organismo </w:t>
      </w:r>
      <w:r w:rsidRPr="009A5181">
        <w:rPr>
          <w:rFonts w:ascii="Palatino Linotype" w:eastAsia="Palatino Linotype" w:hAnsi="Palatino Linotype" w:cs="Palatino Linotype"/>
        </w:rPr>
        <w:lastRenderedPageBreak/>
        <w:t>Garante sugiere a la persona solicitante, interponer su queja o denuncia ante la autoridad competente.</w:t>
      </w:r>
    </w:p>
    <w:p w:rsidR="00BB2C8C" w:rsidRPr="009A5181" w:rsidRDefault="00BA1081">
      <w:pPr>
        <w:spacing w:before="240" w:after="240" w:line="360" w:lineRule="auto"/>
        <w:ind w:right="51"/>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 lo hasta aquí expuesto, se concluye que los motivos de inconformidad de la parte </w:t>
      </w:r>
      <w:r w:rsidRPr="009A5181">
        <w:rPr>
          <w:rFonts w:ascii="Palatino Linotype" w:eastAsia="Palatino Linotype" w:hAnsi="Palatino Linotype" w:cs="Palatino Linotype"/>
          <w:b/>
        </w:rPr>
        <w:t xml:space="preserve">Recurrente </w:t>
      </w:r>
      <w:r w:rsidRPr="009A5181">
        <w:rPr>
          <w:rFonts w:ascii="Palatino Linotype" w:eastAsia="Palatino Linotype" w:hAnsi="Palatino Linotype" w:cs="Palatino Linotype"/>
        </w:rPr>
        <w:t xml:space="preserve">devienen parcialmente fundados, siendo procedente </w:t>
      </w:r>
      <w:r w:rsidRPr="009A5181">
        <w:rPr>
          <w:rFonts w:ascii="Palatino Linotype" w:eastAsia="Palatino Linotype" w:hAnsi="Palatino Linotype" w:cs="Palatino Linotype"/>
          <w:i/>
        </w:rPr>
        <w:t xml:space="preserve">Modificar </w:t>
      </w:r>
      <w:r w:rsidRPr="009A5181">
        <w:rPr>
          <w:rFonts w:ascii="Palatino Linotype" w:eastAsia="Palatino Linotype" w:hAnsi="Palatino Linotype" w:cs="Palatino Linotype"/>
        </w:rPr>
        <w:t xml:space="preserve">la respuesta proporcionada por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en términos del artículo 186 fracción III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Quinto. Versión Pública.</w:t>
      </w:r>
      <w:r w:rsidRPr="009A5181">
        <w:rPr>
          <w:rFonts w:ascii="Palatino Linotype" w:eastAsia="Palatino Linotype" w:hAnsi="Palatino Linotype" w:cs="Palatino Linotype"/>
          <w:sz w:val="28"/>
          <w:szCs w:val="28"/>
        </w:rPr>
        <w:t xml:space="preserve"> </w:t>
      </w:r>
      <w:r w:rsidRPr="009A5181">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sin menoscabo al derecho a la protección de los datos personales de terceros.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9A5181">
        <w:rPr>
          <w:rFonts w:ascii="Palatino Linotype" w:eastAsia="Palatino Linotype" w:hAnsi="Palatino Linotype" w:cs="Palatino Linotype"/>
        </w:rPr>
        <w:t>fracción</w:t>
      </w:r>
      <w:proofErr w:type="gramEnd"/>
      <w:r w:rsidRPr="009A5181">
        <w:rPr>
          <w:rFonts w:ascii="Palatino Linotype" w:eastAsia="Palatino Linotype" w:hAnsi="Palatino Linotype" w:cs="Palatino Linotype"/>
        </w:rPr>
        <w:t xml:space="preserve"> I de la Ley de Transparencia y Acceso a la Información Pública del Estado de México y Municipios que establecen:</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3</w:t>
      </w:r>
      <w:r w:rsidRPr="009A5181">
        <w:rPr>
          <w:rFonts w:ascii="Palatino Linotype" w:eastAsia="Palatino Linotype" w:hAnsi="Palatino Linotype" w:cs="Palatino Linotype"/>
          <w:i/>
          <w:sz w:val="22"/>
          <w:szCs w:val="22"/>
        </w:rPr>
        <w:t>. Para los efectos de la presente Ley se entenderá por:</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IX. Datos personales</w:t>
      </w:r>
      <w:r w:rsidRPr="009A518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XX. Información clasificada</w:t>
      </w:r>
      <w:r w:rsidRPr="009A5181">
        <w:rPr>
          <w:rFonts w:ascii="Palatino Linotype" w:eastAsia="Palatino Linotype" w:hAnsi="Palatino Linotype" w:cs="Palatino Linotype"/>
          <w:i/>
          <w:sz w:val="22"/>
          <w:szCs w:val="22"/>
        </w:rPr>
        <w:t>: Aquella considerada por la presente Ley como reservada o confidencial;</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lastRenderedPageBreak/>
        <w:t>XXI. Información confidencial</w:t>
      </w:r>
      <w:r w:rsidRPr="009A518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XLV. Versión pública</w:t>
      </w:r>
      <w:r w:rsidRPr="009A518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91.</w:t>
      </w:r>
      <w:r w:rsidRPr="009A518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132</w:t>
      </w:r>
      <w:r w:rsidRPr="009A5181">
        <w:rPr>
          <w:rFonts w:ascii="Palatino Linotype" w:eastAsia="Palatino Linotype" w:hAnsi="Palatino Linotype" w:cs="Palatino Linotype"/>
          <w:i/>
          <w:sz w:val="22"/>
          <w:szCs w:val="22"/>
        </w:rPr>
        <w:t>. La clasificación de la información se llevará a cabo en el momento en que:</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w:t>
      </w:r>
      <w:r w:rsidRPr="009A5181">
        <w:rPr>
          <w:rFonts w:ascii="Palatino Linotype" w:eastAsia="Palatino Linotype" w:hAnsi="Palatino Linotype" w:cs="Palatino Linotype"/>
          <w:i/>
          <w:sz w:val="22"/>
          <w:szCs w:val="22"/>
        </w:rPr>
        <w:t xml:space="preserve"> Se reciba una solicitud de acceso a la información;</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w:t>
      </w:r>
      <w:r w:rsidRPr="009A5181">
        <w:rPr>
          <w:rFonts w:ascii="Palatino Linotype" w:eastAsia="Palatino Linotype" w:hAnsi="Palatino Linotype" w:cs="Palatino Linotype"/>
          <w:i/>
          <w:sz w:val="22"/>
          <w:szCs w:val="22"/>
        </w:rPr>
        <w:t xml:space="preserve"> Se determine mediante resolución de autoridad competente; 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III.</w:t>
      </w:r>
      <w:r w:rsidRPr="009A518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Artículo 143.</w:t>
      </w:r>
      <w:r w:rsidRPr="009A518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w:t>
      </w:r>
      <w:r w:rsidRPr="009A5181">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9A5181">
        <w:rPr>
          <w:rFonts w:ascii="Palatino Linotype" w:eastAsia="Palatino Linotype" w:hAnsi="Palatino Linotype" w:cs="Palatino Linotype"/>
          <w:i/>
          <w:sz w:val="22"/>
          <w:szCs w:val="22"/>
        </w:rPr>
        <w:t>jurídico</w:t>
      </w:r>
      <w:proofErr w:type="gramEnd"/>
      <w:r w:rsidRPr="009A5181">
        <w:rPr>
          <w:rFonts w:ascii="Palatino Linotype" w:eastAsia="Palatino Linotype" w:hAnsi="Palatino Linotype" w:cs="Palatino Linotype"/>
          <w:i/>
          <w:sz w:val="22"/>
          <w:szCs w:val="22"/>
        </w:rPr>
        <w:t xml:space="preserve"> colectiva identificada o identificable;</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w:t>
      </w:r>
      <w:r w:rsidRPr="009A518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III.</w:t>
      </w:r>
      <w:r w:rsidRPr="009A518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La </w:t>
      </w:r>
      <w:r w:rsidRPr="009A5181">
        <w:rPr>
          <w:rFonts w:ascii="Palatino Linotype" w:eastAsia="Palatino Linotype" w:hAnsi="Palatino Linotype" w:cs="Palatino Linotype"/>
          <w:b/>
        </w:rPr>
        <w:t>clave de elector</w:t>
      </w:r>
      <w:r w:rsidRPr="009A5181">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A5181">
        <w:rPr>
          <w:rFonts w:ascii="Palatino Linotype" w:eastAsia="Palatino Linotype" w:hAnsi="Palatino Linotype" w:cs="Palatino Linotype"/>
        </w:rPr>
        <w:t>homoclave</w:t>
      </w:r>
      <w:proofErr w:type="spellEnd"/>
      <w:r w:rsidRPr="009A5181">
        <w:rPr>
          <w:rFonts w:ascii="Palatino Linotype" w:eastAsia="Palatino Linotype" w:hAnsi="Palatino Linotype" w:cs="Palatino Linotype"/>
        </w:rPr>
        <w:t xml:space="preserve"> que distingue a su titular de cualquier otro homónimo, por lo tanto, se trata de un dato personal que debe ser protegido.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El </w:t>
      </w:r>
      <w:r w:rsidRPr="009A5181">
        <w:rPr>
          <w:rFonts w:ascii="Palatino Linotype" w:eastAsia="Palatino Linotype" w:hAnsi="Palatino Linotype" w:cs="Palatino Linotype"/>
          <w:b/>
        </w:rPr>
        <w:t>número de OCR,</w:t>
      </w:r>
      <w:r w:rsidRPr="009A5181">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A5181">
        <w:rPr>
          <w:rFonts w:ascii="Palatino Linotype" w:eastAsia="Palatino Linotype" w:hAnsi="Palatino Linotype" w:cs="Palatino Linotype"/>
        </w:rPr>
        <w:t>geoelectoral</w:t>
      </w:r>
      <w:proofErr w:type="spellEnd"/>
      <w:r w:rsidRPr="009A5181">
        <w:rPr>
          <w:rFonts w:ascii="Palatino Linotype" w:eastAsia="Palatino Linotype" w:hAnsi="Palatino Linotype" w:cs="Palatino Linotype"/>
        </w:rPr>
        <w:t xml:space="preserve"> ahí contenida, por lo que es susceptible de resguardarse.</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La </w:t>
      </w:r>
      <w:r w:rsidRPr="009A5181">
        <w:rPr>
          <w:rFonts w:ascii="Palatino Linotype" w:eastAsia="Palatino Linotype" w:hAnsi="Palatino Linotype" w:cs="Palatino Linotype"/>
          <w:b/>
        </w:rPr>
        <w:t>clave única del registro de población,</w:t>
      </w:r>
      <w:r w:rsidRPr="009A5181">
        <w:rPr>
          <w:rFonts w:ascii="Palatino Linotype" w:eastAsia="Palatino Linotype" w:hAnsi="Palatino Linotype" w:cs="Palatino Linotype"/>
          <w:i/>
        </w:rPr>
        <w:t xml:space="preserve"> </w:t>
      </w:r>
      <w:r w:rsidRPr="009A5181">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Igualmente, resulta importante destacar que el </w:t>
      </w:r>
      <w:r w:rsidRPr="009A5181">
        <w:rPr>
          <w:rFonts w:ascii="Palatino Linotype" w:eastAsia="Palatino Linotype" w:hAnsi="Palatino Linotype" w:cs="Palatino Linotype"/>
          <w:i/>
        </w:rPr>
        <w:t>número de cuenta bancaria</w:t>
      </w:r>
      <w:r w:rsidRPr="009A5181">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9A5181">
        <w:rPr>
          <w:rFonts w:ascii="Palatino Linotype" w:eastAsia="Palatino Linotype" w:hAnsi="Palatino Linotype" w:cs="Palatino Linotype"/>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BB2C8C" w:rsidRPr="009A5181" w:rsidRDefault="00BA1081">
      <w:pPr>
        <w:spacing w:before="240" w:after="24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“Cuentas bancarias y/o CLABE interbancaria de personas físicas y morales privadas.</w:t>
      </w:r>
      <w:r w:rsidRPr="009A5181">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9A5181">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rsidR="00BB2C8C" w:rsidRPr="009A5181" w:rsidRDefault="00BA1081">
      <w:pPr>
        <w:spacing w:before="240" w:after="24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A5181">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Por cuanto hace al </w:t>
      </w:r>
      <w:r w:rsidRPr="009A5181">
        <w:rPr>
          <w:rFonts w:ascii="Palatino Linotype" w:eastAsia="Palatino Linotype" w:hAnsi="Palatino Linotype" w:cs="Palatino Linotype"/>
          <w:b/>
        </w:rPr>
        <w:t xml:space="preserve">Registro Federal de Contribuyentes (RFC) </w:t>
      </w:r>
      <w:r w:rsidRPr="009A5181">
        <w:rPr>
          <w:rFonts w:ascii="Palatino Linotype" w:eastAsia="Palatino Linotype" w:hAnsi="Palatino Linotype" w:cs="Palatino Linotype"/>
        </w:rPr>
        <w:t>y</w:t>
      </w:r>
      <w:r w:rsidRPr="009A5181">
        <w:rPr>
          <w:rFonts w:ascii="Palatino Linotype" w:eastAsia="Palatino Linotype" w:hAnsi="Palatino Linotype" w:cs="Palatino Linotype"/>
          <w:b/>
        </w:rPr>
        <w:t xml:space="preserve"> el domicilio fiscal </w:t>
      </w:r>
      <w:r w:rsidRPr="009A5181">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A5181">
        <w:rPr>
          <w:rFonts w:ascii="Palatino Linotype" w:eastAsia="Palatino Linotype" w:hAnsi="Palatino Linotype" w:cs="Palatino Linotype"/>
          <w:b/>
        </w:rPr>
        <w:t>no puede considerarse como información clasificada lo relativo a su nombre, registro federal de contribuyentes y domicilio fiscal</w:t>
      </w:r>
      <w:r w:rsidRPr="009A5181">
        <w:rPr>
          <w:rFonts w:ascii="Palatino Linotype" w:eastAsia="Palatino Linotype" w:hAnsi="Palatino Linotype" w:cs="Palatino Linotype"/>
        </w:rPr>
        <w:t xml:space="preserve">, atento a que dicha </w:t>
      </w:r>
      <w:r w:rsidRPr="009A5181">
        <w:rPr>
          <w:rFonts w:ascii="Palatino Linotype" w:eastAsia="Palatino Linotype" w:hAnsi="Palatino Linotype" w:cs="Palatino Linotype"/>
        </w:rPr>
        <w:lastRenderedPageBreak/>
        <w:t>información es la que puede generar certeza en los gobernados en que se está ejerciendo debidamente el presupuesto.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“Registro Federal de Contribuyentes (RFC) de personas físicas proveedoras o contratistas. </w:t>
      </w:r>
      <w:r w:rsidRPr="009A5181">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Relacionado con lo anterior, el </w:t>
      </w:r>
      <w:r w:rsidRPr="009A5181">
        <w:rPr>
          <w:rFonts w:ascii="Palatino Linotype" w:eastAsia="Palatino Linotype" w:hAnsi="Palatino Linotype" w:cs="Palatino Linotype"/>
          <w:b/>
        </w:rPr>
        <w:t>nombre de las personas físicas</w:t>
      </w:r>
      <w:r w:rsidRPr="009A5181">
        <w:rPr>
          <w:rFonts w:ascii="Palatino Linotype" w:eastAsia="Palatino Linotype" w:hAnsi="Palatino Linotype" w:cs="Palatino Linotype"/>
        </w:rPr>
        <w:t xml:space="preserve"> o los </w:t>
      </w:r>
      <w:r w:rsidRPr="009A5181">
        <w:rPr>
          <w:rFonts w:ascii="Palatino Linotype" w:eastAsia="Palatino Linotype" w:hAnsi="Palatino Linotype" w:cs="Palatino Linotype"/>
          <w:b/>
        </w:rPr>
        <w:t>representantes legales de las personas morales</w:t>
      </w:r>
      <w:r w:rsidRPr="009A5181">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BB2C8C" w:rsidRPr="009A5181" w:rsidRDefault="00BA1081">
      <w:pPr>
        <w:spacing w:before="240" w:after="240" w:line="360" w:lineRule="auto"/>
        <w:ind w:right="50"/>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Artículo 23.</w:t>
      </w:r>
      <w:r w:rsidRPr="009A5181">
        <w:rPr>
          <w:rFonts w:ascii="Palatino Linotype" w:eastAsia="Palatino Linotype" w:hAnsi="Palatino Linotype" w:cs="Palatino Linotype"/>
          <w:i/>
          <w:sz w:val="22"/>
          <w:szCs w:val="22"/>
        </w:rPr>
        <w:t xml:space="preserve"> (…)</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B2C8C" w:rsidRPr="009A5181" w:rsidRDefault="00BA1081">
      <w:pPr>
        <w:spacing w:before="280" w:after="28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rsidR="00BB2C8C" w:rsidRPr="009A5181" w:rsidRDefault="00BA1081">
      <w:pPr>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“Datos de identificación del representante o apoderado legal.</w:t>
      </w:r>
      <w:r w:rsidRPr="009A5181">
        <w:rPr>
          <w:rFonts w:ascii="Palatino Linotype" w:eastAsia="Palatino Linotype" w:hAnsi="Palatino Linotype" w:cs="Palatino Linotype"/>
          <w:i/>
          <w:sz w:val="22"/>
          <w:szCs w:val="22"/>
        </w:rPr>
        <w:t xml:space="preserve"> </w:t>
      </w:r>
      <w:r w:rsidRPr="009A5181">
        <w:rPr>
          <w:rFonts w:ascii="Palatino Linotype" w:eastAsia="Palatino Linotype" w:hAnsi="Palatino Linotype" w:cs="Palatino Linotype"/>
          <w:b/>
          <w:i/>
          <w:sz w:val="22"/>
          <w:szCs w:val="22"/>
        </w:rPr>
        <w:t xml:space="preserve">Naturaleza jurídica. </w:t>
      </w:r>
      <w:r w:rsidRPr="009A5181">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9A5181">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9A5181">
        <w:rPr>
          <w:rFonts w:ascii="Palatino Linotype" w:eastAsia="Palatino Linotype" w:hAnsi="Palatino Linotype" w:cs="Palatino Linotype"/>
          <w:i/>
          <w:sz w:val="22"/>
          <w:szCs w:val="22"/>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En el caso del </w:t>
      </w:r>
      <w:r w:rsidRPr="009A5181">
        <w:rPr>
          <w:rFonts w:ascii="Palatino Linotype" w:eastAsia="Palatino Linotype" w:hAnsi="Palatino Linotype" w:cs="Palatino Linotype"/>
          <w:b/>
        </w:rPr>
        <w:t>folio fiscal</w:t>
      </w:r>
      <w:r w:rsidRPr="009A5181">
        <w:rPr>
          <w:rFonts w:ascii="Palatino Linotype" w:eastAsia="Palatino Linotype" w:hAnsi="Palatino Linotype" w:cs="Palatino Linotype"/>
        </w:rPr>
        <w:t xml:space="preserve">, la </w:t>
      </w:r>
      <w:r w:rsidRPr="009A5181">
        <w:rPr>
          <w:rFonts w:ascii="Palatino Linotype" w:eastAsia="Palatino Linotype" w:hAnsi="Palatino Linotype" w:cs="Palatino Linotype"/>
          <w:b/>
        </w:rPr>
        <w:t xml:space="preserve">cadena original, </w:t>
      </w:r>
      <w:r w:rsidRPr="009A5181">
        <w:rPr>
          <w:rFonts w:ascii="Palatino Linotype" w:eastAsia="Palatino Linotype" w:hAnsi="Palatino Linotype" w:cs="Palatino Linotype"/>
        </w:rPr>
        <w:t>los</w:t>
      </w:r>
      <w:r w:rsidRPr="009A5181">
        <w:rPr>
          <w:rFonts w:ascii="Palatino Linotype" w:eastAsia="Palatino Linotype" w:hAnsi="Palatino Linotype" w:cs="Palatino Linotype"/>
          <w:b/>
        </w:rPr>
        <w:t xml:space="preserve"> códigos bidimensionales o códigos QR,</w:t>
      </w:r>
      <w:r w:rsidRPr="009A5181">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w:t>
      </w:r>
      <w:r w:rsidRPr="009A5181">
        <w:rPr>
          <w:rFonts w:ascii="Palatino Linotype" w:eastAsia="Palatino Linotype" w:hAnsi="Palatino Linotype" w:cs="Palatino Linotype"/>
        </w:rPr>
        <w:lastRenderedPageBreak/>
        <w:t>de la Ley de Transparencia y Acceso a la Información Pública del Estado de México y Municipios, de lo contrario, no es procedente su clasificación.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Asimismo, se destaca que la versión pública que elabore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De este modo, la versión pública que elabore el </w:t>
      </w:r>
      <w:r w:rsidRPr="009A5181">
        <w:rPr>
          <w:rFonts w:ascii="Palatino Linotype" w:eastAsia="Palatino Linotype" w:hAnsi="Palatino Linotype" w:cs="Palatino Linotype"/>
          <w:b/>
        </w:rPr>
        <w:t xml:space="preserve">Sujeto Obligado </w:t>
      </w:r>
      <w:r w:rsidRPr="009A5181">
        <w:rPr>
          <w:rFonts w:ascii="Palatino Linotype" w:eastAsia="Palatino Linotype" w:hAnsi="Palatino Linotype" w:cs="Palatino Linotype"/>
        </w:rPr>
        <w:t>debe acompañarse del</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w:t>
      </w:r>
      <w:r w:rsidRPr="009A5181">
        <w:rPr>
          <w:rFonts w:ascii="Palatino Linotype" w:eastAsia="Palatino Linotype" w:hAnsi="Palatino Linotype" w:cs="Palatino Linotype"/>
        </w:rPr>
        <w:lastRenderedPageBreak/>
        <w:t xml:space="preserve">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9A5181">
        <w:rPr>
          <w:rFonts w:ascii="Palatino Linotype" w:eastAsia="Palatino Linotype" w:hAnsi="Palatino Linotype" w:cs="Palatino Linotype"/>
          <w:b/>
          <w:u w:val="single"/>
        </w:rPr>
        <w:t>razones, motivos o circunstancias especiales</w:t>
      </w:r>
      <w:r w:rsidRPr="009A5181">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rsidR="00BB2C8C" w:rsidRPr="009A5181" w:rsidRDefault="00BA1081">
      <w:pPr>
        <w:spacing w:before="120" w:after="12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“Quincuagésimo segundo</w:t>
      </w:r>
      <w:r w:rsidRPr="009A518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9A5181">
        <w:rPr>
          <w:rFonts w:ascii="Palatino Linotype" w:eastAsia="Palatino Linotype" w:hAnsi="Palatino Linotype" w:cs="Palatino Linotype"/>
          <w:i/>
          <w:sz w:val="22"/>
          <w:szCs w:val="22"/>
        </w:rPr>
        <w:t>sobreposición</w:t>
      </w:r>
      <w:proofErr w:type="spellEnd"/>
      <w:r w:rsidRPr="009A5181">
        <w:rPr>
          <w:rFonts w:ascii="Palatino Linotype" w:eastAsia="Palatino Linotype" w:hAnsi="Palatino Linotype" w:cs="Palatino Linotype"/>
          <w:i/>
          <w:sz w:val="22"/>
          <w:szCs w:val="22"/>
        </w:rPr>
        <w:t xml:space="preserve"> de contenido distinto al autorizado por el Comité.</w:t>
      </w:r>
    </w:p>
    <w:p w:rsidR="00BB2C8C" w:rsidRPr="009A5181" w:rsidRDefault="00BA1081">
      <w:pPr>
        <w:spacing w:before="120" w:after="12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En el caso </w:t>
      </w:r>
      <w:proofErr w:type="spellStart"/>
      <w:r w:rsidRPr="009A5181">
        <w:rPr>
          <w:rFonts w:ascii="Palatino Linotype" w:eastAsia="Palatino Linotype" w:hAnsi="Palatino Linotype" w:cs="Palatino Linotype"/>
          <w:i/>
          <w:sz w:val="22"/>
          <w:szCs w:val="22"/>
        </w:rPr>
        <w:t>especifico</w:t>
      </w:r>
      <w:proofErr w:type="spellEnd"/>
      <w:r w:rsidRPr="009A5181">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rsidR="00BB2C8C" w:rsidRPr="009A5181" w:rsidRDefault="00BA1081">
      <w:pPr>
        <w:spacing w:before="120" w:after="120"/>
        <w:ind w:left="1134"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w:t>
      </w:r>
      <w:r w:rsidRPr="009A518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BB2C8C" w:rsidRPr="009A5181" w:rsidRDefault="00BA1081">
      <w:pPr>
        <w:spacing w:before="120" w:after="120"/>
        <w:ind w:left="1134"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w:t>
      </w:r>
      <w:r w:rsidRPr="009A518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BB2C8C" w:rsidRPr="009A5181" w:rsidRDefault="00BA1081">
      <w:pPr>
        <w:spacing w:before="120" w:after="120"/>
        <w:ind w:left="1134"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III.</w:t>
      </w:r>
      <w:r w:rsidRPr="009A5181">
        <w:rPr>
          <w:rFonts w:ascii="Palatino Linotype" w:eastAsia="Palatino Linotype" w:hAnsi="Palatino Linotype" w:cs="Palatino Linotype"/>
          <w:i/>
          <w:sz w:val="22"/>
          <w:szCs w:val="22"/>
        </w:rPr>
        <w:t xml:space="preserve"> Señalar las personas o instancias autorizadas a acceder a la información clasificada.</w:t>
      </w:r>
    </w:p>
    <w:p w:rsidR="00BB2C8C" w:rsidRPr="009A5181" w:rsidRDefault="00BA1081">
      <w:pPr>
        <w:spacing w:before="120" w:after="120"/>
        <w:ind w:left="851" w:right="900"/>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rsidR="00BB2C8C" w:rsidRPr="009A5181" w:rsidRDefault="00BA1081">
      <w:pPr>
        <w:spacing w:before="240" w:after="240" w:line="360" w:lineRule="auto"/>
        <w:ind w:right="50"/>
        <w:jc w:val="both"/>
        <w:rPr>
          <w:rFonts w:ascii="Palatino Linotype" w:eastAsia="Palatino Linotype" w:hAnsi="Palatino Linotype" w:cs="Palatino Linotype"/>
          <w:sz w:val="22"/>
          <w:szCs w:val="22"/>
        </w:rPr>
      </w:pPr>
      <w:r w:rsidRPr="009A5181">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9A5181">
        <w:rPr>
          <w:rFonts w:ascii="Palatino Linotype" w:eastAsia="Palatino Linotype" w:hAnsi="Palatino Linotype" w:cs="Palatino Linotype"/>
        </w:rPr>
        <w:t>supraindicados</w:t>
      </w:r>
      <w:proofErr w:type="spellEnd"/>
      <w:r w:rsidRPr="009A5181">
        <w:rPr>
          <w:rFonts w:ascii="Palatino Linotype" w:eastAsia="Palatino Linotype" w:hAnsi="Palatino Linotype" w:cs="Palatino Linotype"/>
        </w:rPr>
        <w:t xml:space="preserve">, que establece los formatos para la clasificación de los documentos, conforme a lo siguiente: </w:t>
      </w:r>
    </w:p>
    <w:p w:rsidR="00BB2C8C" w:rsidRPr="009A5181" w:rsidRDefault="00BA1081">
      <w:pPr>
        <w:ind w:left="851" w:right="900"/>
        <w:jc w:val="center"/>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CAPÍTULO VIII</w:t>
      </w:r>
    </w:p>
    <w:p w:rsidR="00BB2C8C" w:rsidRPr="009A5181" w:rsidRDefault="00BA1081">
      <w:pPr>
        <w:ind w:left="851" w:right="900"/>
        <w:jc w:val="center"/>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sz w:val="22"/>
          <w:szCs w:val="22"/>
        </w:rPr>
        <w:t xml:space="preserve">DE LOS ELEMENTOS PARA LA CLASIFICACIÓN </w:t>
      </w:r>
    </w:p>
    <w:p w:rsidR="00BB2C8C" w:rsidRPr="009A5181" w:rsidRDefault="00BA1081">
      <w:pPr>
        <w:ind w:left="851" w:right="900"/>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 xml:space="preserve">Quincuagésimo tercero. </w:t>
      </w:r>
      <w:r w:rsidRPr="009A5181">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9A5181">
        <w:rPr>
          <w:rFonts w:ascii="Palatino Linotype" w:eastAsia="Palatino Linotype" w:hAnsi="Palatino Linotype" w:cs="Palatino Linotype"/>
          <w:b/>
          <w:i/>
          <w:sz w:val="22"/>
          <w:szCs w:val="22"/>
        </w:rPr>
        <w:t xml:space="preserve">, </w:t>
      </w:r>
      <w:r w:rsidRPr="009A5181">
        <w:rPr>
          <w:rFonts w:ascii="Palatino Linotype" w:eastAsia="Palatino Linotype" w:hAnsi="Palatino Linotype" w:cs="Palatino Linotype"/>
          <w:i/>
          <w:sz w:val="22"/>
          <w:szCs w:val="22"/>
        </w:rPr>
        <w:t xml:space="preserve">es el siguiente: </w:t>
      </w:r>
    </w:p>
    <w:p w:rsidR="00BB2C8C" w:rsidRPr="009A5181" w:rsidRDefault="00BA1081">
      <w:pPr>
        <w:spacing w:before="120" w:after="12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noProof/>
          <w:sz w:val="22"/>
          <w:szCs w:val="22"/>
        </w:rPr>
        <w:drawing>
          <wp:inline distT="0" distB="0" distL="0" distR="0">
            <wp:extent cx="4295775" cy="295275"/>
            <wp:effectExtent l="0" t="0" r="0" b="0"/>
            <wp:docPr id="11322239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95731"/>
                    <a:stretch>
                      <a:fillRect/>
                    </a:stretch>
                  </pic:blipFill>
                  <pic:spPr>
                    <a:xfrm>
                      <a:off x="0" y="0"/>
                      <a:ext cx="4295775" cy="295275"/>
                    </a:xfrm>
                    <a:prstGeom prst="rect">
                      <a:avLst/>
                    </a:prstGeom>
                    <a:ln/>
                  </pic:spPr>
                </pic:pic>
              </a:graphicData>
            </a:graphic>
          </wp:inline>
        </w:drawing>
      </w:r>
    </w:p>
    <w:p w:rsidR="00BB2C8C" w:rsidRPr="009A5181" w:rsidRDefault="00BA1081">
      <w:pPr>
        <w:spacing w:before="120" w:after="12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noProof/>
          <w:sz w:val="22"/>
          <w:szCs w:val="22"/>
        </w:rPr>
        <w:drawing>
          <wp:inline distT="0" distB="0" distL="0" distR="0">
            <wp:extent cx="4333875" cy="3679404"/>
            <wp:effectExtent l="0" t="0" r="0" b="0"/>
            <wp:docPr id="11322239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30906" b="15821"/>
                    <a:stretch>
                      <a:fillRect/>
                    </a:stretch>
                  </pic:blipFill>
                  <pic:spPr>
                    <a:xfrm>
                      <a:off x="0" y="0"/>
                      <a:ext cx="4333875" cy="3679404"/>
                    </a:xfrm>
                    <a:prstGeom prst="rect">
                      <a:avLst/>
                    </a:prstGeom>
                    <a:ln/>
                  </pic:spPr>
                </pic:pic>
              </a:graphicData>
            </a:graphic>
          </wp:inline>
        </w:drawing>
      </w:r>
    </w:p>
    <w:p w:rsidR="00BB2C8C" w:rsidRPr="009A5181" w:rsidRDefault="00BA1081">
      <w:pPr>
        <w:spacing w:before="120" w:after="120"/>
        <w:ind w:left="851" w:right="902"/>
        <w:jc w:val="both"/>
        <w:rPr>
          <w:rFonts w:ascii="Palatino Linotype" w:eastAsia="Palatino Linotype" w:hAnsi="Palatino Linotype" w:cs="Palatino Linotype"/>
          <w:b/>
          <w:i/>
          <w:sz w:val="22"/>
          <w:szCs w:val="22"/>
        </w:rPr>
      </w:pPr>
      <w:r w:rsidRPr="009A5181">
        <w:rPr>
          <w:rFonts w:ascii="Palatino Linotype" w:eastAsia="Palatino Linotype" w:hAnsi="Palatino Linotype" w:cs="Palatino Linotype"/>
          <w:b/>
          <w:i/>
          <w:noProof/>
          <w:sz w:val="22"/>
          <w:szCs w:val="22"/>
        </w:rPr>
        <w:lastRenderedPageBreak/>
        <w:drawing>
          <wp:inline distT="0" distB="0" distL="0" distR="0">
            <wp:extent cx="4333875" cy="946284"/>
            <wp:effectExtent l="0" t="0" r="0" b="0"/>
            <wp:docPr id="11322239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84955" b="1342"/>
                    <a:stretch>
                      <a:fillRect/>
                    </a:stretch>
                  </pic:blipFill>
                  <pic:spPr>
                    <a:xfrm>
                      <a:off x="0" y="0"/>
                      <a:ext cx="4333875" cy="946284"/>
                    </a:xfrm>
                    <a:prstGeom prst="rect">
                      <a:avLst/>
                    </a:prstGeom>
                    <a:ln/>
                  </pic:spPr>
                </pic:pic>
              </a:graphicData>
            </a:graphic>
          </wp:inline>
        </w:drawing>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Los documentos que integren un expediente reservado en su totalidad no deberán marcarse en lo individual.</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Asimismo, deberá observar los Lineamientos Quincuagésimo sexto, Quincuagésimo séptimo y Quincuagésimo octavo, establecen lo siguiente: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w:t>
      </w:r>
      <w:r w:rsidRPr="009A5181">
        <w:rPr>
          <w:rFonts w:ascii="Palatino Linotype" w:eastAsia="Palatino Linotype" w:hAnsi="Palatino Linotype" w:cs="Palatino Linotype"/>
          <w:b/>
          <w:i/>
          <w:sz w:val="22"/>
          <w:szCs w:val="22"/>
        </w:rPr>
        <w:t>Quincuagésimo sexto</w:t>
      </w:r>
      <w:r w:rsidRPr="009A5181">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Quincuagésimo séptimo</w:t>
      </w:r>
      <w:r w:rsidRPr="009A518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w:t>
      </w:r>
      <w:r w:rsidRPr="009A518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w:t>
      </w:r>
      <w:r w:rsidRPr="009A518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BB2C8C" w:rsidRPr="009A5181" w:rsidRDefault="00BA1081">
      <w:pPr>
        <w:spacing w:before="120" w:after="120"/>
        <w:ind w:left="1134"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III</w:t>
      </w:r>
      <w:r w:rsidRPr="009A518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BB2C8C" w:rsidRPr="009A5181" w:rsidRDefault="00BA1081">
      <w:pPr>
        <w:spacing w:before="120" w:after="120"/>
        <w:ind w:left="851" w:right="902"/>
        <w:jc w:val="both"/>
        <w:rPr>
          <w:rFonts w:ascii="Palatino Linotype" w:eastAsia="Palatino Linotype" w:hAnsi="Palatino Linotype" w:cs="Palatino Linotype"/>
          <w:i/>
          <w:sz w:val="22"/>
          <w:szCs w:val="22"/>
        </w:rPr>
      </w:pPr>
      <w:r w:rsidRPr="009A5181">
        <w:rPr>
          <w:rFonts w:ascii="Palatino Linotype" w:eastAsia="Palatino Linotype" w:hAnsi="Palatino Linotype" w:cs="Palatino Linotype"/>
          <w:b/>
          <w:i/>
          <w:sz w:val="22"/>
          <w:szCs w:val="22"/>
        </w:rPr>
        <w:t>Quincuagésimo octavo</w:t>
      </w:r>
      <w:r w:rsidRPr="009A518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BB2C8C" w:rsidRPr="009A5181" w:rsidRDefault="00BA108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A5181">
        <w:rPr>
          <w:rFonts w:ascii="Palatino Linotype" w:eastAsia="Palatino Linotype" w:hAnsi="Palatino Linotype" w:cs="Palatino Linotype"/>
          <w:b/>
        </w:rPr>
        <w:t>III. R E S U E L V E</w:t>
      </w:r>
    </w:p>
    <w:p w:rsidR="00BB2C8C" w:rsidRPr="009A5181" w:rsidRDefault="00BA1081">
      <w:pPr>
        <w:spacing w:before="240" w:after="240" w:line="360" w:lineRule="auto"/>
        <w:jc w:val="both"/>
        <w:rPr>
          <w:rFonts w:ascii="Palatino Linotype" w:eastAsia="Palatino Linotype" w:hAnsi="Palatino Linotype" w:cs="Palatino Linotype"/>
          <w:b/>
        </w:rPr>
      </w:pPr>
      <w:bookmarkStart w:id="9" w:name="_heading=h.lnxbz9" w:colFirst="0" w:colLast="0"/>
      <w:bookmarkEnd w:id="9"/>
      <w:r w:rsidRPr="009A5181">
        <w:rPr>
          <w:rFonts w:ascii="Palatino Linotype" w:eastAsia="Palatino Linotype" w:hAnsi="Palatino Linotype" w:cs="Palatino Linotype"/>
          <w:b/>
        </w:rPr>
        <w:t xml:space="preserve">Primero. </w:t>
      </w:r>
      <w:r w:rsidRPr="009A5181">
        <w:rPr>
          <w:rFonts w:ascii="Palatino Linotype" w:eastAsia="Palatino Linotype" w:hAnsi="Palatino Linotype" w:cs="Palatino Linotype"/>
        </w:rPr>
        <w:t>Resultan</w:t>
      </w:r>
      <w:r w:rsidRPr="009A5181">
        <w:rPr>
          <w:rFonts w:ascii="Palatino Linotype" w:eastAsia="Palatino Linotype" w:hAnsi="Palatino Linotype" w:cs="Palatino Linotype"/>
          <w:b/>
        </w:rPr>
        <w:t xml:space="preserve"> parcialmente fundados</w:t>
      </w:r>
      <w:r w:rsidRPr="009A5181">
        <w:rPr>
          <w:rFonts w:ascii="Palatino Linotype" w:eastAsia="Palatino Linotype" w:hAnsi="Palatino Linotype" w:cs="Palatino Linotype"/>
        </w:rPr>
        <w:t xml:space="preserve"> los motivos de inconformidad hechos valer por la parte </w:t>
      </w:r>
      <w:r w:rsidRPr="009A5181">
        <w:rPr>
          <w:rFonts w:ascii="Palatino Linotype" w:eastAsia="Palatino Linotype" w:hAnsi="Palatino Linotype" w:cs="Palatino Linotype"/>
          <w:b/>
        </w:rPr>
        <w:t xml:space="preserve">Recurrente </w:t>
      </w:r>
      <w:r w:rsidRPr="009A5181">
        <w:rPr>
          <w:rFonts w:ascii="Palatino Linotype" w:eastAsia="Palatino Linotype" w:hAnsi="Palatino Linotype" w:cs="Palatino Linotype"/>
        </w:rPr>
        <w:t xml:space="preserve">en el recurso de revisión </w:t>
      </w:r>
      <w:r w:rsidRPr="009A5181">
        <w:rPr>
          <w:rFonts w:ascii="Palatino Linotype" w:eastAsia="Palatino Linotype" w:hAnsi="Palatino Linotype" w:cs="Palatino Linotype"/>
          <w:b/>
        </w:rPr>
        <w:t xml:space="preserve">00369/INFOEM/IP/RR/2023, </w:t>
      </w:r>
      <w:r w:rsidRPr="009A5181">
        <w:rPr>
          <w:rFonts w:ascii="Palatino Linotype" w:eastAsia="Palatino Linotype" w:hAnsi="Palatino Linotype" w:cs="Palatino Linotype"/>
        </w:rPr>
        <w:t xml:space="preserve">por lo que, en términos del Considerando </w:t>
      </w:r>
      <w:r w:rsidRPr="009A5181">
        <w:rPr>
          <w:rFonts w:ascii="Palatino Linotype" w:eastAsia="Palatino Linotype" w:hAnsi="Palatino Linotype" w:cs="Palatino Linotype"/>
          <w:b/>
        </w:rPr>
        <w:t>Cuarto</w:t>
      </w:r>
      <w:r w:rsidRPr="009A5181">
        <w:rPr>
          <w:rFonts w:ascii="Palatino Linotype" w:eastAsia="Palatino Linotype" w:hAnsi="Palatino Linotype" w:cs="Palatino Linotype"/>
        </w:rPr>
        <w:t xml:space="preserve"> de la presente resolución, se</w:t>
      </w:r>
      <w:r w:rsidRPr="009A5181">
        <w:rPr>
          <w:rFonts w:ascii="Palatino Linotype" w:eastAsia="Palatino Linotype" w:hAnsi="Palatino Linotype" w:cs="Palatino Linotype"/>
          <w:b/>
        </w:rPr>
        <w:t xml:space="preserve"> Modifica </w:t>
      </w:r>
      <w:r w:rsidRPr="009A5181">
        <w:rPr>
          <w:rFonts w:ascii="Palatino Linotype" w:eastAsia="Palatino Linotype" w:hAnsi="Palatino Linotype" w:cs="Palatino Linotype"/>
        </w:rPr>
        <w:t>la respuesta</w:t>
      </w:r>
      <w:r w:rsidRPr="009A5181">
        <w:rPr>
          <w:rFonts w:ascii="Palatino Linotype" w:eastAsia="Palatino Linotype" w:hAnsi="Palatino Linotype" w:cs="Palatino Linotype"/>
          <w:b/>
        </w:rPr>
        <w:t xml:space="preserve"> </w:t>
      </w:r>
      <w:r w:rsidRPr="009A5181">
        <w:rPr>
          <w:rFonts w:ascii="Palatino Linotype" w:eastAsia="Palatino Linotype" w:hAnsi="Palatino Linotype" w:cs="Palatino Linotype"/>
        </w:rPr>
        <w:t xml:space="preserve">del </w:t>
      </w:r>
      <w:r w:rsidRPr="009A5181">
        <w:rPr>
          <w:rFonts w:ascii="Palatino Linotype" w:eastAsia="Palatino Linotype" w:hAnsi="Palatino Linotype" w:cs="Palatino Linotype"/>
          <w:b/>
        </w:rPr>
        <w:t>Sujeto Obligado.</w:t>
      </w:r>
    </w:p>
    <w:p w:rsidR="00BB2C8C" w:rsidRPr="009A5181" w:rsidRDefault="00BA1081">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9A5181">
        <w:rPr>
          <w:rFonts w:ascii="Palatino Linotype" w:eastAsia="Palatino Linotype" w:hAnsi="Palatino Linotype" w:cs="Palatino Linotype"/>
          <w:b/>
        </w:rPr>
        <w:t xml:space="preserve">Segundo. </w:t>
      </w:r>
      <w:r w:rsidRPr="009A5181">
        <w:rPr>
          <w:rFonts w:ascii="Palatino Linotype" w:eastAsia="Palatino Linotype" w:hAnsi="Palatino Linotype" w:cs="Palatino Linotype"/>
        </w:rPr>
        <w:t xml:space="preserve">Se </w:t>
      </w:r>
      <w:r w:rsidRPr="009A5181">
        <w:rPr>
          <w:rFonts w:ascii="Palatino Linotype" w:eastAsia="Palatino Linotype" w:hAnsi="Palatino Linotype" w:cs="Palatino Linotype"/>
          <w:b/>
        </w:rPr>
        <w:t>Ordena</w:t>
      </w:r>
      <w:r w:rsidRPr="009A5181">
        <w:rPr>
          <w:rFonts w:ascii="Palatino Linotype" w:eastAsia="Palatino Linotype" w:hAnsi="Palatino Linotype" w:cs="Palatino Linotype"/>
        </w:rPr>
        <w:t xml:space="preserve"> al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en términos de los Considerandos </w:t>
      </w:r>
      <w:r w:rsidRPr="009A5181">
        <w:rPr>
          <w:rFonts w:ascii="Palatino Linotype" w:eastAsia="Palatino Linotype" w:hAnsi="Palatino Linotype" w:cs="Palatino Linotype"/>
          <w:b/>
        </w:rPr>
        <w:t xml:space="preserve">Cuarto </w:t>
      </w:r>
      <w:r w:rsidRPr="009A5181">
        <w:rPr>
          <w:rFonts w:ascii="Palatino Linotype" w:eastAsia="Palatino Linotype" w:hAnsi="Palatino Linotype" w:cs="Palatino Linotype"/>
        </w:rPr>
        <w:t>y</w:t>
      </w:r>
      <w:r w:rsidRPr="009A5181">
        <w:rPr>
          <w:rFonts w:ascii="Palatino Linotype" w:eastAsia="Palatino Linotype" w:hAnsi="Palatino Linotype" w:cs="Palatino Linotype"/>
          <w:b/>
        </w:rPr>
        <w:t xml:space="preserve"> Quinto </w:t>
      </w:r>
      <w:r w:rsidRPr="009A5181">
        <w:rPr>
          <w:rFonts w:ascii="Palatino Linotype" w:eastAsia="Palatino Linotype" w:hAnsi="Palatino Linotype" w:cs="Palatino Linotype"/>
        </w:rPr>
        <w:t>de esta resolución, haga entrega, vía SAIMEX, en versión pública de ser procedente, de lo siguiente:</w:t>
      </w:r>
    </w:p>
    <w:p w:rsidR="00BB2C8C" w:rsidRPr="009A5181" w:rsidRDefault="00BA1081">
      <w:pPr>
        <w:spacing w:before="240" w:after="240" w:line="360" w:lineRule="auto"/>
        <w:ind w:right="49"/>
        <w:jc w:val="both"/>
        <w:rPr>
          <w:rFonts w:ascii="Palatino Linotype" w:eastAsia="Palatino Linotype" w:hAnsi="Palatino Linotype" w:cs="Palatino Linotype"/>
        </w:rPr>
      </w:pPr>
      <w:bookmarkStart w:id="11" w:name="_heading=h.44sinio" w:colFirst="0" w:colLast="0"/>
      <w:bookmarkEnd w:id="11"/>
      <w:r w:rsidRPr="009A5181">
        <w:rPr>
          <w:rFonts w:ascii="Palatino Linotype" w:eastAsia="Palatino Linotype" w:hAnsi="Palatino Linotype" w:cs="Palatino Linotype"/>
        </w:rPr>
        <w:lastRenderedPageBreak/>
        <w:t>De la Feria Zumpango, en los ejercicios 2021 y 2022:</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1. Recibo y/o factura que dé cuenta del monto del recurso recaudado por la Tesorería Municipal.</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 xml:space="preserve">2. Documento que dé cuenta del nombre de la sociedad, empresa o persona física o jurídica colectiva que realizó dichos eventos. </w:t>
      </w:r>
    </w:p>
    <w:p w:rsidR="00BB2C8C" w:rsidRPr="009A5181" w:rsidRDefault="00BA1081">
      <w:pPr>
        <w:spacing w:before="240" w:after="240" w:line="360" w:lineRule="auto"/>
        <w:ind w:left="426" w:right="49"/>
        <w:jc w:val="both"/>
        <w:rPr>
          <w:rFonts w:ascii="Palatino Linotype" w:eastAsia="Palatino Linotype" w:hAnsi="Palatino Linotype" w:cs="Palatino Linotype"/>
        </w:rPr>
      </w:pPr>
      <w:r w:rsidRPr="009A5181">
        <w:rPr>
          <w:rFonts w:ascii="Palatino Linotype" w:eastAsia="Palatino Linotype" w:hAnsi="Palatino Linotype" w:cs="Palatino Linotype"/>
        </w:rPr>
        <w:t>3. Documento que dé cuenta del destino de los ingresos recaudados por la Tesorería Municipal.</w:t>
      </w:r>
    </w:p>
    <w:p w:rsidR="00BB2C8C" w:rsidRPr="009A5181" w:rsidRDefault="00BA1081">
      <w:pPr>
        <w:spacing w:before="240" w:after="240"/>
        <w:ind w:left="426"/>
        <w:jc w:val="both"/>
        <w:rPr>
          <w:rFonts w:ascii="Palatino Linotype" w:eastAsia="Palatino Linotype" w:hAnsi="Palatino Linotype" w:cs="Palatino Linotype"/>
          <w:i/>
          <w:sz w:val="20"/>
          <w:szCs w:val="20"/>
        </w:rPr>
      </w:pPr>
      <w:r w:rsidRPr="009A5181">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9A5181">
        <w:rPr>
          <w:rFonts w:ascii="Palatino Linotype" w:eastAsia="Palatino Linotype" w:hAnsi="Palatino Linotype" w:cs="Palatino Linotype"/>
          <w:b/>
          <w:i/>
          <w:sz w:val="20"/>
          <w:szCs w:val="20"/>
        </w:rPr>
        <w:t>Recurrente</w:t>
      </w:r>
      <w:r w:rsidRPr="009A5181">
        <w:rPr>
          <w:rFonts w:ascii="Palatino Linotype" w:eastAsia="Palatino Linotype" w:hAnsi="Palatino Linotype" w:cs="Palatino Linotype"/>
          <w:i/>
          <w:sz w:val="20"/>
          <w:szCs w:val="20"/>
        </w:rPr>
        <w:t>.</w:t>
      </w:r>
    </w:p>
    <w:p w:rsidR="00BB2C8C" w:rsidRPr="009A5181" w:rsidRDefault="00BA1081">
      <w:pPr>
        <w:spacing w:before="240" w:after="240"/>
        <w:ind w:left="426" w:right="40"/>
        <w:jc w:val="both"/>
        <w:rPr>
          <w:rFonts w:ascii="Palatino Linotype" w:eastAsia="Palatino Linotype" w:hAnsi="Palatino Linotype" w:cs="Palatino Linotype"/>
          <w:i/>
          <w:sz w:val="20"/>
          <w:szCs w:val="20"/>
        </w:rPr>
      </w:pPr>
      <w:r w:rsidRPr="009A5181">
        <w:rPr>
          <w:rFonts w:ascii="Palatino Linotype" w:eastAsia="Palatino Linotype" w:hAnsi="Palatino Linotype" w:cs="Palatino Linotype"/>
          <w:i/>
          <w:sz w:val="20"/>
          <w:szCs w:val="20"/>
        </w:rPr>
        <w:t xml:space="preserve">En el supuesto que la información ordenada en el punto 3, no obre en los archivos del </w:t>
      </w:r>
      <w:r w:rsidRPr="009A5181">
        <w:rPr>
          <w:rFonts w:ascii="Palatino Linotype" w:eastAsia="Palatino Linotype" w:hAnsi="Palatino Linotype" w:cs="Palatino Linotype"/>
          <w:b/>
          <w:i/>
          <w:sz w:val="20"/>
          <w:szCs w:val="20"/>
        </w:rPr>
        <w:t xml:space="preserve">Sujeto Obligado, </w:t>
      </w:r>
      <w:r w:rsidRPr="009A5181">
        <w:rPr>
          <w:rFonts w:ascii="Palatino Linotype" w:eastAsia="Palatino Linotype" w:hAnsi="Palatino Linotype" w:cs="Palatino Linotype"/>
          <w:i/>
          <w:sz w:val="20"/>
          <w:szCs w:val="20"/>
        </w:rPr>
        <w:t xml:space="preserve">por no haberse generado, bastará con que así se haga del conocimiento de la parte </w:t>
      </w:r>
      <w:r w:rsidRPr="009A5181">
        <w:rPr>
          <w:rFonts w:ascii="Palatino Linotype" w:eastAsia="Palatino Linotype" w:hAnsi="Palatino Linotype" w:cs="Palatino Linotype"/>
          <w:b/>
          <w:i/>
          <w:sz w:val="20"/>
          <w:szCs w:val="20"/>
        </w:rPr>
        <w:t>Recurrente</w:t>
      </w:r>
      <w:r w:rsidRPr="009A5181">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b/>
        </w:rPr>
      </w:pPr>
      <w:r w:rsidRPr="009A5181">
        <w:rPr>
          <w:rFonts w:ascii="Palatino Linotype" w:eastAsia="Palatino Linotype" w:hAnsi="Palatino Linotype" w:cs="Palatino Linotype"/>
          <w:b/>
        </w:rPr>
        <w:t xml:space="preserve">Tercero. Notifíquese, </w:t>
      </w:r>
      <w:r w:rsidRPr="009A5181">
        <w:rPr>
          <w:rFonts w:ascii="Palatino Linotype" w:eastAsia="Palatino Linotype" w:hAnsi="Palatino Linotype" w:cs="Palatino Linotype"/>
        </w:rPr>
        <w:t xml:space="preserve">vía </w:t>
      </w:r>
      <w:r w:rsidRPr="009A5181">
        <w:rPr>
          <w:rFonts w:ascii="Palatino Linotype" w:eastAsia="Palatino Linotype" w:hAnsi="Palatino Linotype" w:cs="Palatino Linotype"/>
          <w:b/>
        </w:rPr>
        <w:t>SAIMEX</w:t>
      </w:r>
      <w:r w:rsidRPr="009A5181">
        <w:rPr>
          <w:rFonts w:ascii="Palatino Linotype" w:eastAsia="Palatino Linotype" w:hAnsi="Palatino Linotype" w:cs="Palatino Linotype"/>
        </w:rPr>
        <w:t xml:space="preserve">, al Titular de la Unidad de Transparencia del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B2C8C" w:rsidRPr="009A5181" w:rsidRDefault="00BA1081">
      <w:pPr>
        <w:spacing w:before="240" w:after="240" w:line="360" w:lineRule="auto"/>
        <w:jc w:val="both"/>
        <w:rPr>
          <w:rFonts w:ascii="Palatino Linotype" w:eastAsia="Palatino Linotype" w:hAnsi="Palatino Linotype" w:cs="Palatino Linotype"/>
        </w:rPr>
      </w:pPr>
      <w:bookmarkStart w:id="12" w:name="_heading=h.17dp8vu" w:colFirst="0" w:colLast="0"/>
      <w:bookmarkEnd w:id="12"/>
      <w:r w:rsidRPr="009A5181">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9A5181">
        <w:rPr>
          <w:rFonts w:ascii="Palatino Linotype" w:eastAsia="Palatino Linotype" w:hAnsi="Palatino Linotype" w:cs="Palatino Linotype"/>
          <w:b/>
        </w:rPr>
        <w:t>Sujeto Obligado</w:t>
      </w:r>
      <w:r w:rsidRPr="009A5181">
        <w:rPr>
          <w:rFonts w:ascii="Palatino Linotype" w:eastAsia="Palatino Linotype" w:hAnsi="Palatino Linotype" w:cs="Palatino Linotype"/>
        </w:rPr>
        <w:t xml:space="preserve"> de manera fundada y motivada, podrá solicitar una ampliación de plazo para el cumplimiento de la presente resolución.</w:t>
      </w:r>
    </w:p>
    <w:p w:rsidR="00BB2C8C" w:rsidRPr="009A5181" w:rsidRDefault="00BA1081">
      <w:pPr>
        <w:spacing w:before="240" w:after="240"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b/>
        </w:rPr>
        <w:t xml:space="preserve">Cuarto.  Notifíquese, </w:t>
      </w:r>
      <w:r w:rsidRPr="009A5181">
        <w:rPr>
          <w:rFonts w:ascii="Palatino Linotype" w:eastAsia="Palatino Linotype" w:hAnsi="Palatino Linotype" w:cs="Palatino Linotype"/>
        </w:rPr>
        <w:t xml:space="preserve">vía </w:t>
      </w:r>
      <w:r w:rsidRPr="009A5181">
        <w:rPr>
          <w:rFonts w:ascii="Palatino Linotype" w:eastAsia="Palatino Linotype" w:hAnsi="Palatino Linotype" w:cs="Palatino Linotype"/>
          <w:b/>
        </w:rPr>
        <w:t>SAIMEX</w:t>
      </w:r>
      <w:r w:rsidRPr="009A5181">
        <w:rPr>
          <w:rFonts w:ascii="Palatino Linotype" w:eastAsia="Palatino Linotype" w:hAnsi="Palatino Linotype" w:cs="Palatino Linotype"/>
        </w:rPr>
        <w:t xml:space="preserve">, a la parte </w:t>
      </w:r>
      <w:r w:rsidRPr="009A5181">
        <w:rPr>
          <w:rFonts w:ascii="Palatino Linotype" w:eastAsia="Palatino Linotype" w:hAnsi="Palatino Linotype" w:cs="Palatino Linotype"/>
          <w:b/>
        </w:rPr>
        <w:t>Recurrente</w:t>
      </w:r>
      <w:r w:rsidRPr="009A518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B2C8C" w:rsidRPr="009A5181" w:rsidRDefault="00BA1081">
      <w:pPr>
        <w:spacing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A5181" w:rsidRPr="009A5181">
        <w:rPr>
          <w:rFonts w:ascii="Palatino Linotype" w:eastAsia="Palatino Linotype" w:hAnsi="Palatino Linotype" w:cs="Palatino Linotype"/>
        </w:rPr>
        <w:t xml:space="preserve"> CON AUSENCIA JUSTIFICADA</w:t>
      </w:r>
      <w:r w:rsidRPr="009A5181">
        <w:rPr>
          <w:rFonts w:ascii="Palatino Linotype" w:eastAsia="Palatino Linotype" w:hAnsi="Palatino Linotype" w:cs="Palatino Linotype"/>
        </w:rPr>
        <w:t>, SHARON CRISTINA MORALES MARTÍNEZ, LUIS GUSTAVO PARRA NORIEGA; Y GUADALUPE RAMÍREZ PEÑA, EN LA TRIGÉSIMO CUARTA SESIÓN ORDINARIA CELEBRADA EL VEINTE DE SEPTIEMBRE DE DOS MIL VEINTITRÉS, ANTE EL SECRETARIO TÉCNICO DEL PLENO ALEXIS TAPIA RAMÍREZ.</w:t>
      </w:r>
    </w:p>
    <w:p w:rsidR="00BB2C8C" w:rsidRPr="009A5181" w:rsidRDefault="00BA1081">
      <w:pPr>
        <w:spacing w:line="360" w:lineRule="auto"/>
        <w:jc w:val="both"/>
        <w:rPr>
          <w:rFonts w:ascii="Palatino Linotype" w:eastAsia="Palatino Linotype" w:hAnsi="Palatino Linotype" w:cs="Palatino Linotype"/>
        </w:rPr>
      </w:pPr>
      <w:r w:rsidRPr="009A5181">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48260</wp:posOffset>
                </wp:positionV>
                <wp:extent cx="5505450" cy="15906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505450" cy="1590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029BC"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8pt" to="815.8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" strokecolor="black [3200]" strokeweight="2pt">
                <v:shadow on="t" color="black" opacity="24903f" origin=",.5" offset="0,.55556mm"/>
                <w10:wrap anchorx="margin"/>
              </v:line>
            </w:pict>
          </mc:Fallback>
        </mc:AlternateContent>
      </w: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bookmarkStart w:id="13" w:name="_heading=h.3rdcrjn" w:colFirst="0" w:colLast="0"/>
      <w:bookmarkEnd w:id="13"/>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bookmarkStart w:id="14" w:name="_heading=h.1t3h5sf" w:colFirst="0" w:colLast="0"/>
      <w:bookmarkEnd w:id="14"/>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p w:rsidR="00BB2C8C" w:rsidRPr="009A5181" w:rsidRDefault="00BB2C8C">
      <w:pPr>
        <w:spacing w:line="360" w:lineRule="auto"/>
        <w:jc w:val="both"/>
        <w:rPr>
          <w:rFonts w:ascii="Palatino Linotype" w:eastAsia="Palatino Linotype" w:hAnsi="Palatino Linotype" w:cs="Palatino Linotype"/>
        </w:rPr>
      </w:pPr>
    </w:p>
    <w:sectPr w:rsidR="00BB2C8C" w:rsidRPr="009A5181">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E7A" w:rsidRDefault="005A1E7A">
      <w:r>
        <w:separator/>
      </w:r>
    </w:p>
  </w:endnote>
  <w:endnote w:type="continuationSeparator" w:id="0">
    <w:p w:rsidR="005A1E7A" w:rsidRDefault="005A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C8C" w:rsidRDefault="00BA10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241E">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241E">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BB2C8C" w:rsidRDefault="00BB2C8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C8C" w:rsidRDefault="00BA10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241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241E">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BB2C8C" w:rsidRDefault="00BB2C8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E7A" w:rsidRDefault="005A1E7A">
      <w:r>
        <w:separator/>
      </w:r>
    </w:p>
  </w:footnote>
  <w:footnote w:type="continuationSeparator" w:id="0">
    <w:p w:rsidR="005A1E7A" w:rsidRDefault="005A1E7A">
      <w:r>
        <w:continuationSeparator/>
      </w:r>
    </w:p>
  </w:footnote>
  <w:footnote w:id="1">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rsidR="00BB2C8C" w:rsidRDefault="00BA108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59.</w:t>
      </w:r>
      <w:r>
        <w:rPr>
          <w:rFonts w:ascii="Palatino Linotype" w:eastAsia="Palatino Linotype" w:hAnsi="Palatino Linotype" w:cs="Palatino Linotype"/>
          <w:i/>
          <w:sz w:val="16"/>
          <w:szCs w:val="16"/>
        </w:rPr>
        <w:t xml:space="preserve"> Los servidores públicos habilitados tendrán las funciones siguientes:</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w:t>
      </w:r>
      <w:r>
        <w:rPr>
          <w:rFonts w:ascii="Palatino Linotype" w:eastAsia="Palatino Linotype" w:hAnsi="Palatino Linotype" w:cs="Palatino Linotype"/>
          <w:i/>
          <w:sz w:val="16"/>
          <w:szCs w:val="16"/>
        </w:rPr>
        <w:t xml:space="preserve"> Localizar la información que le solicite la Unidad de Transparencia;</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Proporcionar la información que obre en los archivos y que le sea solicitada por la Unidad de Transparencia;</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III.</w:t>
      </w:r>
      <w:r>
        <w:rPr>
          <w:rFonts w:ascii="Palatino Linotype" w:eastAsia="Palatino Linotype" w:hAnsi="Palatino Linotype" w:cs="Palatino Linotype"/>
          <w:i/>
          <w:sz w:val="16"/>
          <w:szCs w:val="16"/>
        </w:rPr>
        <w:t xml:space="preserve"> Apoyar a la Unidad de Transparencia en lo que esta le solicite para el cumplimiento de sus funciones;</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IV.</w:t>
      </w:r>
      <w:r>
        <w:rPr>
          <w:rFonts w:ascii="Palatino Linotype" w:eastAsia="Palatino Linotype" w:hAnsi="Palatino Linotype" w:cs="Palatino Linotype"/>
          <w:i/>
          <w:sz w:val="16"/>
          <w:szCs w:val="16"/>
        </w:rPr>
        <w:t xml:space="preserve"> Proporcionar a la Unidad de Transparencia, las modificaciones a la información pública de oficio que obre en su poder;</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w:t>
      </w:r>
      <w:r>
        <w:rPr>
          <w:rFonts w:ascii="Palatino Linotype" w:eastAsia="Palatino Linotype" w:hAnsi="Palatino Linotype" w:cs="Palatino Linotype"/>
          <w:i/>
          <w:sz w:val="16"/>
          <w:szCs w:val="16"/>
        </w:rPr>
        <w:t xml:space="preserve"> Integrar y presentar al responsable de la Unidad de Transparencia la propuesta de clasificación de información, la cual tendrá los fundamentos y argumentos en que se basa dicha propuesta;</w:t>
      </w:r>
    </w:p>
    <w:p w:rsidR="00BB2C8C" w:rsidRDefault="00BA1081">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VI.</w:t>
      </w:r>
      <w:r>
        <w:rPr>
          <w:rFonts w:ascii="Palatino Linotype" w:eastAsia="Palatino Linotype" w:hAnsi="Palatino Linotype" w:cs="Palatino Linotype"/>
          <w:i/>
          <w:sz w:val="16"/>
          <w:szCs w:val="16"/>
        </w:rPr>
        <w:t xml:space="preserve"> Verificar, una vez analizado el contenido de la información, que no se encuentre en los supuestos de información clasificada; y</w:t>
      </w:r>
    </w:p>
    <w:p w:rsidR="00BB2C8C" w:rsidRDefault="00BA1081">
      <w:pPr>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VII.</w:t>
      </w:r>
      <w:r>
        <w:rPr>
          <w:rFonts w:ascii="Palatino Linotype" w:eastAsia="Palatino Linotype" w:hAnsi="Palatino Linotype" w:cs="Palatino Linotype"/>
          <w:i/>
          <w:sz w:val="16"/>
          <w:szCs w:val="16"/>
        </w:rPr>
        <w:t xml:space="preserve"> Dar cuenta a la Unidad de Transparencia del vencimiento de los plazos de reserva.</w:t>
      </w:r>
    </w:p>
  </w:footnote>
  <w:footnote w:id="5">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w:t>
      </w:r>
      <w:proofErr w:type="gramStart"/>
      <w:r>
        <w:rPr>
          <w:rFonts w:ascii="Palatino Linotype" w:eastAsia="Palatino Linotype" w:hAnsi="Palatino Linotype" w:cs="Palatino Linotype"/>
          <w:color w:val="000000"/>
          <w:sz w:val="16"/>
          <w:szCs w:val="16"/>
        </w:rPr>
        <w:t>./</w:t>
      </w:r>
      <w:proofErr w:type="gramEnd"/>
      <w:r>
        <w:rPr>
          <w:rFonts w:ascii="Palatino Linotype" w:eastAsia="Palatino Linotype" w:hAnsi="Palatino Linotype" w:cs="Palatino Linotype"/>
          <w:color w:val="000000"/>
          <w:sz w:val="16"/>
          <w:szCs w:val="16"/>
        </w:rPr>
        <w:t xml:space="preserve">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rsidR="00BB2C8C" w:rsidRDefault="00BB2C8C">
      <w:pPr>
        <w:pBdr>
          <w:top w:val="nil"/>
          <w:left w:val="nil"/>
          <w:bottom w:val="nil"/>
          <w:right w:val="nil"/>
          <w:between w:val="nil"/>
        </w:pBdr>
        <w:jc w:val="both"/>
        <w:rPr>
          <w:rFonts w:ascii="Palatino Linotype" w:eastAsia="Palatino Linotype" w:hAnsi="Palatino Linotype" w:cs="Palatino Linotype"/>
          <w:color w:val="000000"/>
          <w:sz w:val="16"/>
          <w:szCs w:val="16"/>
        </w:rPr>
      </w:pPr>
    </w:p>
  </w:footnote>
  <w:footnote w:id="6">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XXVI, Noviembre 2013, P. 1373, Registro digital 2004949.</w:t>
      </w:r>
    </w:p>
  </w:footnote>
  <w:footnote w:id="7">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Tribunales Colegiados de Circuito, XXIX, Enero de 2009, P. 2470, Registro digital 168124.</w:t>
      </w:r>
    </w:p>
  </w:footnote>
  <w:footnote w:id="8">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BB2C8C" w:rsidRDefault="00BA10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C8C" w:rsidRDefault="00BA1081">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-1080113</wp:posOffset>
          </wp:positionH>
          <wp:positionV relativeFrom="paragraph">
            <wp:posOffset>-488289</wp:posOffset>
          </wp:positionV>
          <wp:extent cx="7809865" cy="10165715"/>
          <wp:effectExtent l="0" t="0" r="0" b="0"/>
          <wp:wrapNone/>
          <wp:docPr id="11322239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5953" w:type="dxa"/>
      <w:tblInd w:w="3261" w:type="dxa"/>
      <w:tblLayout w:type="fixed"/>
      <w:tblLook w:val="0400" w:firstRow="0" w:lastRow="0" w:firstColumn="0" w:lastColumn="0" w:noHBand="0" w:noVBand="1"/>
    </w:tblPr>
    <w:tblGrid>
      <w:gridCol w:w="2489"/>
      <w:gridCol w:w="3464"/>
    </w:tblGrid>
    <w:tr w:rsidR="00BB2C8C">
      <w:tc>
        <w:tcPr>
          <w:tcW w:w="2489" w:type="dxa"/>
          <w:shd w:val="clear" w:color="auto" w:fill="auto"/>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B2C8C" w:rsidRDefault="00BA108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00369/INFOEM/IP/RR/2023</w:t>
          </w:r>
        </w:p>
      </w:tc>
    </w:tr>
    <w:tr w:rsidR="00BB2C8C">
      <w:trPr>
        <w:trHeight w:val="228"/>
      </w:trPr>
      <w:tc>
        <w:tcPr>
          <w:tcW w:w="2489" w:type="dxa"/>
          <w:shd w:val="clear" w:color="auto" w:fill="auto"/>
          <w:vAlign w:val="center"/>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B2C8C" w:rsidRDefault="00BA108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Zumpango</w:t>
          </w:r>
        </w:p>
      </w:tc>
    </w:tr>
    <w:tr w:rsidR="00BB2C8C">
      <w:tc>
        <w:tcPr>
          <w:tcW w:w="2489" w:type="dxa"/>
          <w:shd w:val="clear" w:color="auto" w:fill="auto"/>
          <w:vAlign w:val="center"/>
        </w:tcPr>
        <w:p w:rsidR="00BB2C8C" w:rsidRDefault="00BA108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B2C8C" w:rsidRDefault="00BA108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2C8C" w:rsidRDefault="00BA108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C8C" w:rsidRDefault="00BA108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-1080119</wp:posOffset>
          </wp:positionH>
          <wp:positionV relativeFrom="paragraph">
            <wp:posOffset>-262862</wp:posOffset>
          </wp:positionV>
          <wp:extent cx="7809865" cy="10165715"/>
          <wp:effectExtent l="0" t="0" r="0" b="0"/>
          <wp:wrapNone/>
          <wp:docPr id="1132223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5670" w:type="dxa"/>
      <w:tblInd w:w="3261" w:type="dxa"/>
      <w:tblLayout w:type="fixed"/>
      <w:tblLook w:val="0400" w:firstRow="0" w:lastRow="0" w:firstColumn="0" w:lastColumn="0" w:noHBand="0" w:noVBand="1"/>
    </w:tblPr>
    <w:tblGrid>
      <w:gridCol w:w="2551"/>
      <w:gridCol w:w="3119"/>
    </w:tblGrid>
    <w:tr w:rsidR="00BB2C8C">
      <w:tc>
        <w:tcPr>
          <w:tcW w:w="2551" w:type="dxa"/>
          <w:shd w:val="clear" w:color="auto" w:fill="auto"/>
          <w:vAlign w:val="center"/>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BB2C8C" w:rsidRDefault="00BA108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00369/INFOEM/IP/RR/2023</w:t>
          </w:r>
        </w:p>
      </w:tc>
    </w:tr>
    <w:tr w:rsidR="00BB2C8C">
      <w:trPr>
        <w:trHeight w:val="130"/>
      </w:trPr>
      <w:tc>
        <w:tcPr>
          <w:tcW w:w="2551" w:type="dxa"/>
          <w:shd w:val="clear" w:color="auto" w:fill="auto"/>
          <w:vAlign w:val="center"/>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BB2C8C" w:rsidRDefault="00E6241E" w:rsidP="00E6241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w:t>
          </w:r>
        </w:p>
      </w:tc>
    </w:tr>
    <w:tr w:rsidR="00BB2C8C">
      <w:trPr>
        <w:trHeight w:val="228"/>
      </w:trPr>
      <w:tc>
        <w:tcPr>
          <w:tcW w:w="2551" w:type="dxa"/>
          <w:shd w:val="clear" w:color="auto" w:fill="auto"/>
          <w:vAlign w:val="center"/>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BB2C8C" w:rsidRDefault="00BA108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Zumpango</w:t>
          </w:r>
        </w:p>
      </w:tc>
    </w:tr>
    <w:tr w:rsidR="00BB2C8C">
      <w:tc>
        <w:tcPr>
          <w:tcW w:w="2551" w:type="dxa"/>
          <w:shd w:val="clear" w:color="auto" w:fill="auto"/>
          <w:vAlign w:val="center"/>
        </w:tcPr>
        <w:p w:rsidR="00BB2C8C" w:rsidRDefault="00BA10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BB2C8C" w:rsidRDefault="00BA108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2C8C" w:rsidRDefault="00BB2C8C">
    <w:pPr>
      <w:pBdr>
        <w:top w:val="nil"/>
        <w:left w:val="nil"/>
        <w:bottom w:val="nil"/>
        <w:right w:val="nil"/>
        <w:between w:val="nil"/>
      </w:pBdr>
      <w:tabs>
        <w:tab w:val="center" w:pos="4252"/>
        <w:tab w:val="right" w:pos="8504"/>
      </w:tabs>
      <w:rPr>
        <w:rFonts w:ascii="Cambria" w:eastAsia="Cambria" w:hAnsi="Cambria" w:cs="Cambria"/>
        <w:color w:val="000000"/>
      </w:rPr>
    </w:pPr>
  </w:p>
  <w:p w:rsidR="00BB2C8C" w:rsidRDefault="00BB2C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D6C23"/>
    <w:multiLevelType w:val="multilevel"/>
    <w:tmpl w:val="A8264DF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3A516E0A"/>
    <w:multiLevelType w:val="multilevel"/>
    <w:tmpl w:val="9E28F87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C8C"/>
    <w:rsid w:val="002170CE"/>
    <w:rsid w:val="005A1E7A"/>
    <w:rsid w:val="006A0579"/>
    <w:rsid w:val="009A5181"/>
    <w:rsid w:val="00BA1081"/>
    <w:rsid w:val="00BB2C8C"/>
    <w:rsid w:val="00DA3C2D"/>
    <w:rsid w:val="00E62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82CB52-0FC1-490C-86BF-9B6C012F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0"/>
    <w:tblPr>
      <w:tblStyleRowBandSize w:val="1"/>
      <w:tblStyleColBandSize w:val="1"/>
      <w:tblCellMar>
        <w:top w:w="0" w:type="dxa"/>
        <w:left w:w="115" w:type="dxa"/>
        <w:bottom w:w="0" w:type="dxa"/>
        <w:right w:w="115" w:type="dxa"/>
      </w:tblCellMar>
    </w:tblPr>
  </w:style>
  <w:style w:type="table" w:customStyle="1" w:styleId="15">
    <w:name w:val="15"/>
    <w:basedOn w:val="TableNormal60"/>
    <w:tblPr>
      <w:tblStyleRowBandSize w:val="1"/>
      <w:tblStyleColBandSize w:val="1"/>
      <w:tblCellMar>
        <w:top w:w="0" w:type="dxa"/>
        <w:left w:w="115" w:type="dxa"/>
        <w:bottom w:w="0" w:type="dxa"/>
        <w:right w:w="115" w:type="dxa"/>
      </w:tblCellMar>
    </w:tblPr>
  </w:style>
  <w:style w:type="table" w:customStyle="1" w:styleId="14">
    <w:name w:val="14"/>
    <w:basedOn w:val="TableNormal70"/>
    <w:tblPr>
      <w:tblStyleRowBandSize w:val="1"/>
      <w:tblStyleColBandSize w:val="1"/>
      <w:tblCellMar>
        <w:top w:w="0" w:type="dxa"/>
        <w:left w:w="115" w:type="dxa"/>
        <w:bottom w:w="0" w:type="dxa"/>
        <w:right w:w="115" w:type="dxa"/>
      </w:tblCellMar>
    </w:tblPr>
  </w:style>
  <w:style w:type="table" w:customStyle="1" w:styleId="13">
    <w:name w:val="13"/>
    <w:basedOn w:val="TableNormal70"/>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top w:w="0" w:type="dxa"/>
        <w:left w:w="115" w:type="dxa"/>
        <w:bottom w:w="0" w:type="dxa"/>
        <w:right w:w="115" w:type="dxa"/>
      </w:tblCellMar>
    </w:tblPr>
  </w:style>
  <w:style w:type="table" w:customStyle="1" w:styleId="10">
    <w:name w:val="10"/>
    <w:basedOn w:val="TableNormal80"/>
    <w:tblPr>
      <w:tblStyleRowBandSize w:val="1"/>
      <w:tblStyleColBandSize w:val="1"/>
      <w:tblCellMar>
        <w:top w:w="0" w:type="dxa"/>
        <w:left w:w="115" w:type="dxa"/>
        <w:bottom w:w="0" w:type="dxa"/>
        <w:right w:w="115" w:type="dxa"/>
      </w:tblCellMar>
    </w:tblPr>
  </w:style>
  <w:style w:type="table" w:customStyle="1" w:styleId="24">
    <w:name w:val="24"/>
    <w:basedOn w:val="TableNormal90"/>
    <w:tblPr>
      <w:tblStyleRowBandSize w:val="1"/>
      <w:tblStyleColBandSize w:val="1"/>
      <w:tblCellMar>
        <w:top w:w="0" w:type="dxa"/>
        <w:left w:w="115" w:type="dxa"/>
        <w:bottom w:w="0" w:type="dxa"/>
        <w:right w:w="115" w:type="dxa"/>
      </w:tblCellMar>
    </w:tblPr>
  </w:style>
  <w:style w:type="table" w:customStyle="1" w:styleId="23">
    <w:name w:val="23"/>
    <w:basedOn w:val="TableNormal9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top w:w="0" w:type="dxa"/>
        <w:left w:w="115" w:type="dxa"/>
        <w:bottom w:w="0" w:type="dxa"/>
        <w:right w:w="115" w:type="dxa"/>
      </w:tblCellMar>
    </w:tblPr>
  </w:style>
  <w:style w:type="table" w:customStyle="1" w:styleId="21">
    <w:name w:val="21"/>
    <w:basedOn w:val="TableNormal90"/>
    <w:tblPr>
      <w:tblStyleRowBandSize w:val="1"/>
      <w:tblStyleColBandSize w:val="1"/>
      <w:tblCellMar>
        <w:top w:w="0" w:type="dxa"/>
        <w:left w:w="115" w:type="dxa"/>
        <w:bottom w:w="0" w:type="dxa"/>
        <w:right w:w="115" w:type="dxa"/>
      </w:tblCellMar>
    </w:tblPr>
  </w:style>
  <w:style w:type="table" w:customStyle="1" w:styleId="a">
    <w:basedOn w:val="TableNormalb"/>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b"/>
    <w:tblPr>
      <w:tblStyleRowBandSize w:val="1"/>
      <w:tblStyleColBandSize w:val="1"/>
      <w:tblCellMar>
        <w:top w:w="0" w:type="dxa"/>
        <w:left w:w="115" w:type="dxa"/>
        <w:bottom w:w="0" w:type="dxa"/>
        <w:right w:w="115" w:type="dxa"/>
      </w:tblCellMar>
    </w:tblPr>
  </w:style>
  <w:style w:type="table" w:customStyle="1" w:styleId="a2">
    <w:basedOn w:val="TableNormalb"/>
    <w:tblPr>
      <w:tblStyleRowBandSize w:val="1"/>
      <w:tblStyleColBandSize w:val="1"/>
      <w:tblCellMar>
        <w:top w:w="0" w:type="dxa"/>
        <w:left w:w="115" w:type="dxa"/>
        <w:bottom w:w="0" w:type="dxa"/>
        <w:right w:w="115" w:type="dxa"/>
      </w:tblCellMar>
    </w:tblPr>
  </w:style>
  <w:style w:type="table" w:customStyle="1" w:styleId="a3">
    <w:basedOn w:val="TableNormala"/>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a"/>
    <w:tblPr>
      <w:tblStyleRowBandSize w:val="1"/>
      <w:tblStyleColBandSize w:val="1"/>
      <w:tblCellMar>
        <w:top w:w="0" w:type="dxa"/>
        <w:left w:w="115" w:type="dxa"/>
        <w:bottom w:w="0" w:type="dxa"/>
        <w:right w:w="115" w:type="dxa"/>
      </w:tblCellMar>
    </w:tblPr>
  </w:style>
  <w:style w:type="table" w:customStyle="1" w:styleId="a5">
    <w:basedOn w:val="TableNormala"/>
    <w:tblPr>
      <w:tblStyleRowBandSize w:val="1"/>
      <w:tblStyleColBandSize w:val="1"/>
      <w:tblCellMar>
        <w:top w:w="0" w:type="dxa"/>
        <w:left w:w="115" w:type="dxa"/>
        <w:bottom w:w="0" w:type="dxa"/>
        <w:right w:w="115" w:type="dxa"/>
      </w:tblCellMar>
    </w:tblPr>
  </w:style>
  <w:style w:type="table" w:customStyle="1" w:styleId="a6">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9"/>
    <w:tblPr>
      <w:tblStyleRowBandSize w:val="1"/>
      <w:tblStyleColBandSize w:val="1"/>
      <w:tblCellMar>
        <w:top w:w="0" w:type="dxa"/>
        <w:left w:w="115" w:type="dxa"/>
        <w:bottom w:w="0" w:type="dxa"/>
        <w:right w:w="115" w:type="dxa"/>
      </w:tblCellMar>
    </w:tblPr>
  </w:style>
  <w:style w:type="table" w:customStyle="1" w:styleId="a8">
    <w:basedOn w:val="TableNormal9"/>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8"/>
    <w:tblPr>
      <w:tblStyleRowBandSize w:val="1"/>
      <w:tblStyleColBandSize w:val="1"/>
      <w:tblCellMar>
        <w:top w:w="0" w:type="dxa"/>
        <w:left w:w="115" w:type="dxa"/>
        <w:bottom w:w="0" w:type="dxa"/>
        <w:right w:w="115" w:type="dxa"/>
      </w:tblCellMar>
    </w:tblPr>
  </w:style>
  <w:style w:type="table" w:customStyle="1" w:styleId="ab">
    <w:basedOn w:val="TableNormal8"/>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7"/>
    <w:tblPr>
      <w:tblStyleRowBandSize w:val="1"/>
      <w:tblStyleColBandSize w:val="1"/>
      <w:tblCellMar>
        <w:top w:w="0" w:type="dxa"/>
        <w:left w:w="108" w:type="dxa"/>
        <w:bottom w:w="0" w:type="dxa"/>
        <w:right w:w="108" w:type="dxa"/>
      </w:tblCellMar>
    </w:tblPr>
  </w:style>
  <w:style w:type="table" w:customStyle="1" w:styleId="ad">
    <w:basedOn w:val="TableNormal7"/>
    <w:tblPr>
      <w:tblStyleRowBandSize w:val="1"/>
      <w:tblStyleColBandSize w:val="1"/>
      <w:tblCellMar>
        <w:top w:w="0" w:type="dxa"/>
        <w:left w:w="108" w:type="dxa"/>
        <w:bottom w:w="0" w:type="dxa"/>
        <w:right w:w="108" w:type="dxa"/>
      </w:tblCellMar>
    </w:tblPr>
  </w:style>
  <w:style w:type="table" w:customStyle="1" w:styleId="ae">
    <w:basedOn w:val="TableNormal7"/>
    <w:tblPr>
      <w:tblStyleRowBandSize w:val="1"/>
      <w:tblStyleColBandSize w:val="1"/>
      <w:tblCellMar>
        <w:top w:w="0" w:type="dxa"/>
        <w:left w:w="108" w:type="dxa"/>
        <w:bottom w:w="0" w:type="dxa"/>
        <w:right w:w="108" w:type="dxa"/>
      </w:tblCellMar>
    </w:tblPr>
  </w:style>
  <w:style w:type="table" w:customStyle="1" w:styleId="af">
    <w:basedOn w:val="TableNormal7"/>
    <w:tblPr>
      <w:tblStyleRowBandSize w:val="1"/>
      <w:tblStyleColBandSize w:val="1"/>
      <w:tblCellMar>
        <w:top w:w="0" w:type="dxa"/>
        <w:left w:w="115" w:type="dxa"/>
        <w:bottom w:w="0" w:type="dxa"/>
        <w:right w:w="115" w:type="dxa"/>
      </w:tblCellMar>
    </w:tblPr>
  </w:style>
  <w:style w:type="table" w:customStyle="1" w:styleId="af0">
    <w:basedOn w:val="TableNormal7"/>
    <w:tblPr>
      <w:tblStyleRowBandSize w:val="1"/>
      <w:tblStyleColBandSize w:val="1"/>
      <w:tblCellMar>
        <w:top w:w="0" w:type="dxa"/>
        <w:left w:w="115" w:type="dxa"/>
        <w:bottom w:w="0" w:type="dxa"/>
        <w:right w:w="115" w:type="dxa"/>
      </w:tblCellMar>
    </w:tblPr>
  </w:style>
  <w:style w:type="table" w:customStyle="1" w:styleId="af1">
    <w:basedOn w:val="TableNormal6"/>
    <w:tblPr>
      <w:tblStyleRowBandSize w:val="1"/>
      <w:tblStyleColBandSize w:val="1"/>
      <w:tblCellMar>
        <w:top w:w="0" w:type="dxa"/>
        <w:left w:w="115" w:type="dxa"/>
        <w:bottom w:w="0" w:type="dxa"/>
        <w:right w:w="115" w:type="dxa"/>
      </w:tblCellMar>
    </w:tblPr>
  </w:style>
  <w:style w:type="table" w:customStyle="1" w:styleId="af2">
    <w:basedOn w:val="TableNormal6"/>
    <w:tblPr>
      <w:tblStyleRowBandSize w:val="1"/>
      <w:tblStyleColBandSize w:val="1"/>
      <w:tblCellMar>
        <w:top w:w="0" w:type="dxa"/>
        <w:left w:w="115" w:type="dxa"/>
        <w:bottom w:w="0" w:type="dxa"/>
        <w:right w:w="115" w:type="dxa"/>
      </w:tblCellMar>
    </w:tblPr>
  </w:style>
  <w:style w:type="table" w:customStyle="1" w:styleId="af3">
    <w:basedOn w:val="TableNormal5"/>
    <w:tblPr>
      <w:tblStyleRowBandSize w:val="1"/>
      <w:tblStyleColBandSize w:val="1"/>
      <w:tblCellMar>
        <w:top w:w="0" w:type="dxa"/>
        <w:left w:w="115" w:type="dxa"/>
        <w:bottom w:w="0" w:type="dxa"/>
        <w:right w:w="115" w:type="dxa"/>
      </w:tblCellMar>
    </w:tblPr>
  </w:style>
  <w:style w:type="table" w:customStyle="1" w:styleId="af4">
    <w:basedOn w:val="TableNormal5"/>
    <w:tblPr>
      <w:tblStyleRowBandSize w:val="1"/>
      <w:tblStyleColBandSize w:val="1"/>
      <w:tblCellMar>
        <w:top w:w="0" w:type="dxa"/>
        <w:left w:w="115" w:type="dxa"/>
        <w:bottom w:w="0"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3"/>
    <w:tblPr>
      <w:tblStyleRowBandSize w:val="1"/>
      <w:tblStyleColBandSize w:val="1"/>
      <w:tblCellMar>
        <w:top w:w="0" w:type="dxa"/>
        <w:left w:w="115" w:type="dxa"/>
        <w:bottom w:w="0" w:type="dxa"/>
        <w:right w:w="115" w:type="dxa"/>
      </w:tblCellMar>
    </w:tblPr>
  </w:style>
  <w:style w:type="table" w:customStyle="1" w:styleId="af8">
    <w:basedOn w:val="TableNormal3"/>
    <w:tblPr>
      <w:tblStyleRowBandSize w:val="1"/>
      <w:tblStyleColBandSize w:val="1"/>
      <w:tblCellMar>
        <w:top w:w="0" w:type="dxa"/>
        <w:left w:w="115" w:type="dxa"/>
        <w:bottom w:w="0" w:type="dxa"/>
        <w:right w:w="115" w:type="dxa"/>
      </w:tblCellMar>
    </w:tblPr>
  </w:style>
  <w:style w:type="paragraph" w:styleId="Lista4">
    <w:name w:val="List 4"/>
    <w:basedOn w:val="Normal"/>
    <w:uiPriority w:val="99"/>
    <w:unhideWhenUsed/>
    <w:rsid w:val="005E1F42"/>
    <w:pPr>
      <w:ind w:left="1132" w:hanging="283"/>
      <w:contextualSpacing/>
    </w:p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z9rXNrGVGRvzZV6O3B4DMiMWw==">CgMxLjAyCGguZ2pkZ3hzMgloLjNkeTZ2a20yCWguMzBqMHpsbDIJaC4yczhleW8xMghoLnR5amN3dDIJaC4zem55c2g3MgloLjJldDkycDAyCWguMWZvYjl0ZTIIaC5sbnhiejkyCWguNGQzNG9nODIJaC40NHNpbmlvMgloLjE3ZHA4dnUyCWguM3JkY3JqbjIJaC4xdDNoNXNmOAByITFCTzJWQmExVjAzM1FTRnlCRDdsdEUxTFBZbkl3QVR0Nw==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14421</Words>
  <Characters>79321</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2023-09-22T15:38:00Z</cp:lastPrinted>
  <dcterms:created xsi:type="dcterms:W3CDTF">2023-09-26T23:37:00Z</dcterms:created>
  <dcterms:modified xsi:type="dcterms:W3CDTF">2023-09-26T23:37:00Z</dcterms:modified>
</cp:coreProperties>
</file>