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72CC4424"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0D2E93" w:rsidRPr="00E21494">
        <w:rPr>
          <w:rFonts w:eastAsia="Palatino Linotype" w:cs="Palatino Linotype"/>
          <w:color w:val="000000"/>
          <w:szCs w:val="24"/>
        </w:rPr>
        <w:t>a</w:t>
      </w:r>
      <w:r w:rsidR="001E039C">
        <w:rPr>
          <w:rFonts w:eastAsia="Palatino Linotype" w:cs="Palatino Linotype"/>
          <w:color w:val="000000"/>
          <w:szCs w:val="24"/>
        </w:rPr>
        <w:t xml:space="preserve"> seis de diciembre</w:t>
      </w:r>
      <w:r w:rsidR="000A6791">
        <w:rPr>
          <w:rFonts w:eastAsia="Palatino Linotype" w:cs="Palatino Linotype"/>
          <w:color w:val="000000"/>
          <w:szCs w:val="24"/>
        </w:rPr>
        <w:t xml:space="preserve"> </w:t>
      </w:r>
      <w:r w:rsidR="006C7E69" w:rsidRPr="00E21494">
        <w:rPr>
          <w:rFonts w:eastAsia="Palatino Linotype" w:cs="Palatino Linotype"/>
          <w:color w:val="000000"/>
          <w:szCs w:val="24"/>
        </w:rPr>
        <w:t>de 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4A3A4B21"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8D4CC6">
        <w:rPr>
          <w:rFonts w:eastAsia="Palatino Linotype" w:cs="Palatino Linotype"/>
          <w:b/>
          <w:color w:val="000000"/>
          <w:szCs w:val="24"/>
        </w:rPr>
        <w:t>0</w:t>
      </w:r>
      <w:r w:rsidR="0071651F">
        <w:rPr>
          <w:rFonts w:eastAsia="Palatino Linotype" w:cs="Palatino Linotype"/>
          <w:b/>
          <w:color w:val="000000"/>
          <w:szCs w:val="24"/>
        </w:rPr>
        <w:t>6550</w:t>
      </w:r>
      <w:r w:rsidR="008D4CC6">
        <w:rPr>
          <w:rFonts w:eastAsia="Palatino Linotype" w:cs="Palatino Linotype"/>
          <w:b/>
          <w:color w:val="000000"/>
          <w:szCs w:val="24"/>
        </w:rPr>
        <w:t>/INFOEM/IP/RR/2023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05201B">
        <w:rPr>
          <w:rFonts w:eastAsia="Palatino Linotype" w:cs="Palatino Linotype"/>
          <w:b/>
          <w:bCs/>
          <w:color w:val="000000"/>
          <w:szCs w:val="24"/>
        </w:rPr>
        <w:t>una persona de manera anónima</w:t>
      </w:r>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70042E">
        <w:rPr>
          <w:rFonts w:eastAsia="Palatino Linotype" w:cs="Palatino Linotype"/>
          <w:b/>
          <w:color w:val="000000"/>
          <w:szCs w:val="24"/>
        </w:rPr>
        <w:t xml:space="preserve">Ayuntamiento de </w:t>
      </w:r>
      <w:r w:rsidR="0005201B">
        <w:rPr>
          <w:rFonts w:eastAsia="Palatino Linotype" w:cs="Palatino Linotype"/>
          <w:b/>
          <w:color w:val="000000"/>
          <w:szCs w:val="24"/>
        </w:rPr>
        <w:t>Zinacantepec</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53A88CDD"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71651F">
        <w:rPr>
          <w:rFonts w:eastAsia="Palatino Linotype" w:cs="Palatino Linotype"/>
          <w:color w:val="000000"/>
          <w:szCs w:val="24"/>
        </w:rPr>
        <w:t>veinticuatro de agosto</w:t>
      </w:r>
      <w:r>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que 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71651F" w:rsidRPr="0071651F">
        <w:rPr>
          <w:rFonts w:eastAsia="Palatino Linotype" w:cs="Palatino Linotype"/>
          <w:b/>
          <w:bCs/>
          <w:color w:val="000000"/>
          <w:szCs w:val="24"/>
        </w:rPr>
        <w:t>01540/ZINACANT/IP/2023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488647D2" w:rsidR="00305568" w:rsidRPr="006922F5" w:rsidRDefault="00305568" w:rsidP="00305568">
      <w:pPr>
        <w:pStyle w:val="Fundamentos"/>
      </w:pPr>
      <w:r w:rsidRPr="006922F5">
        <w:t>“</w:t>
      </w:r>
      <w:r w:rsidR="0071651F" w:rsidRPr="0071651F">
        <w:t>SOLICITO LAS RECAUDACIONES DE LOS INSPECTORES DE DESARROLLO ECONÓMICO DEL MES DE ENERO Y FEBRERO DE LOS AÑOS 2022 Y 2023</w:t>
      </w:r>
      <w:r w:rsidRPr="006922F5">
        <w:t>”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567A26D8" w:rsidR="00305568" w:rsidRPr="006922F5" w:rsidRDefault="00305568" w:rsidP="00305568">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05201B">
        <w:rPr>
          <w:rFonts w:eastAsia="Palatino Linotype" w:cs="Palatino Linotype"/>
          <w:b/>
          <w:color w:val="000000"/>
          <w:szCs w:val="24"/>
        </w:rPr>
        <w:t>A través del SAIMEX</w:t>
      </w:r>
    </w:p>
    <w:p w14:paraId="54E0685C" w14:textId="77777777" w:rsidR="00305568" w:rsidRDefault="00305568" w:rsidP="00305568">
      <w:pPr>
        <w:pBdr>
          <w:top w:val="nil"/>
          <w:left w:val="nil"/>
          <w:bottom w:val="nil"/>
          <w:right w:val="nil"/>
          <w:between w:val="nil"/>
        </w:pBdr>
        <w:contextualSpacing/>
        <w:rPr>
          <w:rFonts w:eastAsia="Palatino Linotype" w:cs="Palatino Linotype"/>
          <w:color w:val="000000"/>
          <w:szCs w:val="24"/>
        </w:rPr>
      </w:pPr>
    </w:p>
    <w:p w14:paraId="7A5CA557" w14:textId="1C6B4183" w:rsidR="00A65C8C" w:rsidRPr="006922F5" w:rsidRDefault="439823CD" w:rsidP="00A65C8C">
      <w:pPr>
        <w:pStyle w:val="Ttulo2"/>
        <w:rPr>
          <w:rFonts w:eastAsia="Palatino Linotype"/>
        </w:rPr>
      </w:pPr>
      <w:r w:rsidRPr="439823CD">
        <w:rPr>
          <w:rFonts w:eastAsia="Palatino Linotype"/>
        </w:rPr>
        <w:t>SEGUNDO. De la prórroga para dar respuesta.</w:t>
      </w:r>
    </w:p>
    <w:p w14:paraId="4F3FF809" w14:textId="11191446" w:rsidR="00A65C8C" w:rsidRPr="006922F5" w:rsidRDefault="43EEA6F3" w:rsidP="43EEA6F3">
      <w:pPr>
        <w:pBdr>
          <w:top w:val="nil"/>
          <w:left w:val="nil"/>
          <w:bottom w:val="nil"/>
          <w:right w:val="nil"/>
          <w:between w:val="nil"/>
        </w:pBdr>
        <w:contextualSpacing/>
        <w:rPr>
          <w:rFonts w:eastAsia="Palatino Linotype" w:cs="Palatino Linotype"/>
          <w:color w:val="000000"/>
        </w:rPr>
      </w:pPr>
      <w:r w:rsidRPr="43EEA6F3">
        <w:rPr>
          <w:rFonts w:eastAsia="Palatino Linotype" w:cs="Palatino Linotype"/>
          <w:color w:val="000000" w:themeColor="text1"/>
        </w:rPr>
        <w:t xml:space="preserve">El día catorce de septiembre de dos mil veintitrés, el Sujeto Obligado hizo del conocimiento del Recurrente que el término de quince días hábiles para atender la </w:t>
      </w:r>
      <w:r w:rsidRPr="43EEA6F3">
        <w:rPr>
          <w:rFonts w:eastAsia="Palatino Linotype" w:cs="Palatino Linotype"/>
          <w:color w:val="000000" w:themeColor="text1"/>
        </w:rPr>
        <w:lastRenderedPageBreak/>
        <w:t xml:space="preserve">solicitud de información se había prorrogado por siete días adicionales con la finalidad de dar cabal cumplimiento al requerimiento, sin que se </w:t>
      </w:r>
      <w:r w:rsidR="00E55CAD" w:rsidRPr="43EEA6F3">
        <w:rPr>
          <w:rFonts w:eastAsia="Palatino Linotype" w:cs="Palatino Linotype"/>
          <w:color w:val="000000" w:themeColor="text1"/>
        </w:rPr>
        <w:t>proporcionara</w:t>
      </w:r>
      <w:r w:rsidRPr="43EEA6F3">
        <w:rPr>
          <w:rFonts w:eastAsia="Palatino Linotype" w:cs="Palatino Linotype"/>
          <w:color w:val="000000" w:themeColor="text1"/>
        </w:rPr>
        <w:t xml:space="preserve"> el acuerdo del Comité de Transparencia conforme lo establece el artículo 163 de la Ley de la materia.</w:t>
      </w:r>
    </w:p>
    <w:p w14:paraId="2D38E2AC" w14:textId="77777777" w:rsidR="00A65C8C" w:rsidRDefault="00A65C8C" w:rsidP="00305568">
      <w:pPr>
        <w:pBdr>
          <w:top w:val="nil"/>
          <w:left w:val="nil"/>
          <w:bottom w:val="nil"/>
          <w:right w:val="nil"/>
          <w:between w:val="nil"/>
        </w:pBdr>
        <w:contextualSpacing/>
        <w:rPr>
          <w:rFonts w:eastAsia="Palatino Linotype" w:cs="Palatino Linotype"/>
          <w:color w:val="000000"/>
          <w:szCs w:val="24"/>
        </w:rPr>
      </w:pPr>
    </w:p>
    <w:p w14:paraId="1AEDC68E" w14:textId="65D69693" w:rsidR="00A970D5" w:rsidRPr="006922F5" w:rsidRDefault="00D52305" w:rsidP="006922F5">
      <w:pPr>
        <w:pStyle w:val="Ttulo2"/>
        <w:rPr>
          <w:rFonts w:eastAsia="Palatino Linotype"/>
        </w:rPr>
      </w:pPr>
      <w:r>
        <w:rPr>
          <w:rFonts w:eastAsia="Palatino Linotype"/>
        </w:rPr>
        <w:t>TERCERO</w:t>
      </w:r>
      <w:r w:rsidR="00A970D5" w:rsidRPr="006922F5">
        <w:rPr>
          <w:rFonts w:eastAsia="Palatino Linotype"/>
        </w:rPr>
        <w:t>. De la respuesta del Sujeto Obligado.</w:t>
      </w:r>
    </w:p>
    <w:p w14:paraId="2EE6F294" w14:textId="3965242C"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D52305">
        <w:rPr>
          <w:rFonts w:eastAsia="Palatino Linotype" w:cs="Palatino Linotype"/>
          <w:color w:val="000000"/>
          <w:szCs w:val="24"/>
        </w:rPr>
        <w:t>veinticinco de septiembre</w:t>
      </w:r>
      <w:r w:rsidR="00F7655F">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24EE4324" w14:textId="77777777" w:rsidR="00D52305" w:rsidRDefault="00A970D5" w:rsidP="00D52305">
      <w:pPr>
        <w:pStyle w:val="Fundamentos"/>
      </w:pPr>
      <w:r w:rsidRPr="0037112D">
        <w:t>“</w:t>
      </w:r>
      <w:r w:rsidR="00D52305">
        <w:t>En respuesta a la solicitud recibida, nos permitimos hacer de su conocimiento que con fundamento en el artículo 53, Fracciones: II, V y VI de la Ley de Transparencia y Acceso a la Información Pública del Estado de México y Municipios, le contestamos que:</w:t>
      </w:r>
    </w:p>
    <w:p w14:paraId="7B534452" w14:textId="77777777" w:rsidR="00D52305" w:rsidRDefault="00D52305" w:rsidP="00D52305">
      <w:pPr>
        <w:pStyle w:val="Fundamentos"/>
      </w:pPr>
    </w:p>
    <w:p w14:paraId="63927399" w14:textId="77777777" w:rsidR="00D52305" w:rsidRDefault="00D52305" w:rsidP="00D52305">
      <w:pPr>
        <w:pStyle w:val="Fundamentos"/>
      </w:pPr>
      <w: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01540/ZINACANT/IP/2023, recibida a través del Sistema SAIMEX, en donde se solicita textualmente lo siguiente: “SOLICITO LAS RECAUDACIONES DE LOS INSPECTORES DE DESARROLLO ECONÓMICO DEL MES DE ENERO Y FEBRERO DE LOS AÑOS 2022 Y 2023” (sic). En apego a lo establecido su solicitud fue analizada y turnada al área poseedora de la información, en este caso a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470F18E" w14:textId="77777777" w:rsidR="00D52305" w:rsidRDefault="00D52305" w:rsidP="00D52305">
      <w:pPr>
        <w:pStyle w:val="Fundamentos"/>
      </w:pPr>
    </w:p>
    <w:p w14:paraId="0469A547" w14:textId="77777777" w:rsidR="00D52305" w:rsidRDefault="00D52305" w:rsidP="00D52305">
      <w:pPr>
        <w:pStyle w:val="Fundamentos"/>
      </w:pPr>
      <w:r>
        <w:t>ATENTAMENTE</w:t>
      </w:r>
    </w:p>
    <w:p w14:paraId="3FE4A9EF" w14:textId="63F64F76" w:rsidR="00A970D5" w:rsidRPr="00404754" w:rsidRDefault="00D52305" w:rsidP="00D52305">
      <w:pPr>
        <w:pStyle w:val="Fundamentos"/>
        <w:rPr>
          <w:lang w:val="es-MX"/>
        </w:rPr>
      </w:pPr>
      <w:r>
        <w:t>BRENDA SELENE HERNANDEZ LOPEZ</w:t>
      </w:r>
      <w:r w:rsidR="00A970D5" w:rsidRPr="00404754">
        <w:rPr>
          <w:lang w:val="es-MX"/>
        </w:rPr>
        <w:t>” (Sic)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6975F5FF" w:rsidR="0037112D" w:rsidRPr="0037112D" w:rsidRDefault="0037112D" w:rsidP="00AA6C98">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F7655F">
        <w:rPr>
          <w:rFonts w:eastAsia="Palatino Linotype" w:cs="Palatino Linotype"/>
          <w:color w:val="000000"/>
          <w:szCs w:val="24"/>
        </w:rPr>
        <w:t>adjuntó a su respuesta el</w:t>
      </w:r>
      <w:r w:rsidR="00165CA1">
        <w:rPr>
          <w:rFonts w:eastAsia="Palatino Linotype" w:cs="Palatino Linotype"/>
          <w:color w:val="000000"/>
          <w:szCs w:val="24"/>
        </w:rPr>
        <w:t xml:space="preserve"> documento denominado</w:t>
      </w:r>
      <w:r w:rsidR="00AA6C98" w:rsidRPr="00AA6C98">
        <w:rPr>
          <w:rFonts w:eastAsia="Palatino Linotype" w:cs="Palatino Linotype"/>
          <w:bCs/>
          <w:color w:val="000000"/>
          <w:szCs w:val="24"/>
        </w:rPr>
        <w:t xml:space="preserve"> </w:t>
      </w:r>
      <w:r w:rsidR="00AA6C98">
        <w:rPr>
          <w:rFonts w:eastAsia="Palatino Linotype" w:cs="Palatino Linotype"/>
          <w:b/>
          <w:bCs/>
          <w:color w:val="000000"/>
          <w:szCs w:val="24"/>
        </w:rPr>
        <w:t>“</w:t>
      </w:r>
      <w:r w:rsidR="00D52305">
        <w:rPr>
          <w:rFonts w:eastAsia="Palatino Linotype" w:cs="Palatino Linotype"/>
          <w:b/>
          <w:bCs/>
          <w:color w:val="000000"/>
          <w:szCs w:val="24"/>
        </w:rPr>
        <w:t>Solicitud 01540</w:t>
      </w:r>
      <w:r w:rsidR="001F13A1">
        <w:rPr>
          <w:rFonts w:eastAsia="Palatino Linotype" w:cs="Palatino Linotype"/>
          <w:b/>
          <w:bCs/>
          <w:color w:val="000000"/>
          <w:szCs w:val="24"/>
        </w:rPr>
        <w:t>.pdf</w:t>
      </w:r>
      <w:r w:rsidR="00AA6C98">
        <w:rPr>
          <w:rFonts w:eastAsia="Palatino Linotype" w:cs="Palatino Linotype"/>
          <w:b/>
          <w:bCs/>
          <w:color w:val="000000"/>
          <w:szCs w:val="24"/>
        </w:rPr>
        <w:t>”</w:t>
      </w:r>
      <w:r w:rsidR="00AA6C98" w:rsidRPr="00AA6C98">
        <w:rPr>
          <w:rFonts w:eastAsia="Palatino Linotype" w:cs="Palatino Linotype"/>
          <w:bCs/>
          <w:color w:val="000000"/>
          <w:szCs w:val="24"/>
        </w:rPr>
        <w:t xml:space="preserve">, </w:t>
      </w:r>
      <w:r w:rsidR="00F7655F">
        <w:rPr>
          <w:rFonts w:eastAsia="Palatino Linotype" w:cs="Palatino Linotype"/>
          <w:color w:val="000000"/>
          <w:szCs w:val="24"/>
        </w:rPr>
        <w:t>el cual</w:t>
      </w:r>
      <w:r w:rsidR="00165CA1">
        <w:rPr>
          <w:rFonts w:eastAsia="Palatino Linotype" w:cs="Palatino Linotype"/>
          <w:color w:val="000000"/>
          <w:szCs w:val="24"/>
        </w:rPr>
        <w:t xml:space="preserve"> no se reproduce</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74CD6986" w:rsidR="00A970D5" w:rsidRPr="006922F5" w:rsidRDefault="00D52305" w:rsidP="006922F5">
      <w:pPr>
        <w:pStyle w:val="Ttulo2"/>
        <w:rPr>
          <w:rFonts w:eastAsia="Palatino Linotype"/>
        </w:rPr>
      </w:pPr>
      <w:r>
        <w:rPr>
          <w:rFonts w:eastAsia="Palatino Linotype"/>
        </w:rPr>
        <w:t>CUARTO</w:t>
      </w:r>
      <w:r w:rsidR="00A970D5" w:rsidRPr="006922F5">
        <w:rPr>
          <w:rFonts w:eastAsia="Palatino Linotype"/>
        </w:rPr>
        <w:t>. Del recurso de revisión.</w:t>
      </w:r>
    </w:p>
    <w:p w14:paraId="0C8C3A2F" w14:textId="676CA086"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0154BC">
        <w:rPr>
          <w:rFonts w:eastAsia="Palatino Linotype" w:cs="Palatino Linotype"/>
          <w:color w:val="000000"/>
          <w:szCs w:val="24"/>
        </w:rPr>
        <w:t>once de octubre</w:t>
      </w:r>
      <w:r w:rsidR="00CF2732">
        <w:rPr>
          <w:rFonts w:eastAsia="Palatino Linotype" w:cs="Palatino Linotype"/>
          <w:color w:val="000000"/>
          <w:szCs w:val="24"/>
        </w:rPr>
        <w:t xml:space="preserve">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t xml:space="preserve">en el SAIMEX </w:t>
      </w:r>
      <w:r w:rsidRPr="006922F5">
        <w:rPr>
          <w:rFonts w:eastAsia="Palatino Linotype" w:cs="Palatino Linotype"/>
          <w:color w:val="000000"/>
          <w:szCs w:val="24"/>
        </w:rPr>
        <w:t xml:space="preserve">con el expediente número </w:t>
      </w:r>
      <w:r w:rsidR="008D4CC6">
        <w:rPr>
          <w:rFonts w:eastAsia="Palatino Linotype" w:cs="Palatino Linotype"/>
          <w:b/>
          <w:color w:val="000000"/>
          <w:szCs w:val="24"/>
        </w:rPr>
        <w:t>0</w:t>
      </w:r>
      <w:r w:rsidR="002E22D8">
        <w:rPr>
          <w:rFonts w:eastAsia="Palatino Linotype" w:cs="Palatino Linotype"/>
          <w:b/>
          <w:color w:val="000000"/>
          <w:szCs w:val="24"/>
        </w:rPr>
        <w:t>6550</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4962F50" w:rsidR="00A970D5" w:rsidRPr="006922F5" w:rsidRDefault="00B80EB5" w:rsidP="00B80EB5">
      <w:pPr>
        <w:pStyle w:val="Fundamentos"/>
        <w:rPr>
          <w:b/>
        </w:rPr>
      </w:pPr>
      <w:r>
        <w:rPr>
          <w:b/>
        </w:rPr>
        <w:t>“</w:t>
      </w:r>
      <w:r w:rsidR="002E22D8" w:rsidRPr="002E22D8">
        <w:t>NO ENTREGA INFORMACION</w:t>
      </w:r>
      <w:r w:rsidR="00A970D5" w:rsidRPr="009279EC">
        <w:t>"</w:t>
      </w:r>
      <w:r>
        <w:t xml:space="preserve"> </w:t>
      </w:r>
      <w:r w:rsidR="00A970D5" w:rsidRPr="009279EC">
        <w:t>(Sic)</w:t>
      </w:r>
    </w:p>
    <w:p w14:paraId="3C40A441" w14:textId="77777777" w:rsidR="00A970D5" w:rsidRPr="006922F5" w:rsidRDefault="00A970D5" w:rsidP="00B80EB5">
      <w:pPr>
        <w:contextualSpacing/>
        <w:rPr>
          <w:rFonts w:eastAsia="Palatino Linotype" w:cs="Palatino Linotype"/>
          <w:iCs/>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402EE149" w:rsidR="00A970D5" w:rsidRPr="009279EC" w:rsidRDefault="00A970D5" w:rsidP="00B80EB5">
      <w:pPr>
        <w:pStyle w:val="Fundamentos"/>
      </w:pPr>
      <w:r w:rsidRPr="009279EC">
        <w:t>“</w:t>
      </w:r>
      <w:r w:rsidR="002E22D8" w:rsidRPr="002E22D8">
        <w:t>NO ENTREGA LA INFORMACION SOLICITADA</w:t>
      </w:r>
      <w:r w:rsidRPr="009279EC">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10707671" w:rsidR="00A970D5" w:rsidRPr="006922F5" w:rsidRDefault="00D52305" w:rsidP="006922F5">
      <w:pPr>
        <w:pStyle w:val="Ttulo2"/>
        <w:rPr>
          <w:rFonts w:eastAsia="Palatino Linotype"/>
        </w:rPr>
      </w:pPr>
      <w:r>
        <w:rPr>
          <w:rFonts w:eastAsia="Palatino Linotype"/>
        </w:rPr>
        <w:t>QUIN</w:t>
      </w:r>
      <w:r w:rsidR="008E24B6">
        <w:rPr>
          <w:rFonts w:eastAsia="Palatino Linotype"/>
        </w:rPr>
        <w:t>TO</w:t>
      </w:r>
      <w:r w:rsidR="00A970D5" w:rsidRPr="006922F5">
        <w:rPr>
          <w:rFonts w:eastAsia="Palatino Linotype"/>
        </w:rPr>
        <w:t>. Del turno y admisión del recurso de revisión.</w:t>
      </w:r>
    </w:p>
    <w:p w14:paraId="2459DEBA" w14:textId="57D5268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r w:rsidR="009F1E25" w:rsidRPr="006922F5">
        <w:rPr>
          <w:rFonts w:eastAsia="Palatino Linotype" w:cs="Palatino Linotype"/>
          <w:b/>
          <w:color w:val="000000"/>
          <w:szCs w:val="24"/>
        </w:rPr>
        <w:t xml:space="preserve">Presidente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CF2732">
        <w:rPr>
          <w:rFonts w:eastAsia="Palatino Linotype" w:cs="Palatino Linotype"/>
          <w:color w:val="000000"/>
          <w:szCs w:val="24"/>
        </w:rPr>
        <w:t>d</w:t>
      </w:r>
      <w:r w:rsidR="002E22D8">
        <w:rPr>
          <w:rFonts w:eastAsia="Palatino Linotype" w:cs="Palatino Linotype"/>
          <w:color w:val="000000"/>
          <w:szCs w:val="24"/>
        </w:rPr>
        <w:t>os</w:t>
      </w:r>
      <w:r w:rsidR="000154BC">
        <w:rPr>
          <w:rFonts w:eastAsia="Palatino Linotype" w:cs="Palatino Linotype"/>
          <w:color w:val="000000"/>
          <w:szCs w:val="24"/>
        </w:rPr>
        <w:t xml:space="preserve"> de octubre</w:t>
      </w:r>
      <w:r w:rsidR="00CF2732">
        <w:rPr>
          <w:rFonts w:eastAsia="Palatino Linotype" w:cs="Palatino Linotype"/>
          <w:color w:val="000000"/>
          <w:szCs w:val="24"/>
        </w:rPr>
        <w:t xml:space="preserve"> </w:t>
      </w:r>
      <w:r w:rsidR="008A637C">
        <w:rPr>
          <w:rFonts w:eastAsia="Palatino Linotype" w:cs="Palatino Linotype"/>
          <w:color w:val="000000"/>
          <w:szCs w:val="24"/>
        </w:rPr>
        <w:t xml:space="preserve">de dos mil </w:t>
      </w:r>
      <w:r w:rsidR="008A637C">
        <w:rPr>
          <w:rFonts w:eastAsia="Palatino Linotype" w:cs="Palatino Linotype"/>
          <w:color w:val="000000"/>
          <w:szCs w:val="24"/>
        </w:rPr>
        <w:lastRenderedPageBreak/>
        <w:t>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5316BB54" w:rsidR="00A970D5" w:rsidRPr="006922F5" w:rsidRDefault="00D52305" w:rsidP="006922F5">
      <w:pPr>
        <w:pStyle w:val="Ttulo2"/>
        <w:rPr>
          <w:rFonts w:eastAsia="Palatino Linotype"/>
        </w:rPr>
      </w:pPr>
      <w:r>
        <w:rPr>
          <w:rFonts w:eastAsia="Palatino Linotype"/>
        </w:rPr>
        <w:t>SEX</w:t>
      </w:r>
      <w:r w:rsidR="008E24B6">
        <w:rPr>
          <w:rFonts w:eastAsia="Palatino Linotype"/>
        </w:rPr>
        <w:t>TO</w:t>
      </w:r>
      <w:r w:rsidR="00A970D5" w:rsidRPr="006922F5">
        <w:rPr>
          <w:rFonts w:eastAsia="Palatino Linotype"/>
        </w:rPr>
        <w:t>. De la etapa de instrucción.</w:t>
      </w:r>
    </w:p>
    <w:p w14:paraId="5B536618" w14:textId="66E35B6C" w:rsidR="00C02596" w:rsidRDefault="000154BC" w:rsidP="006922F5">
      <w:pPr>
        <w:pBdr>
          <w:top w:val="nil"/>
          <w:left w:val="nil"/>
          <w:bottom w:val="nil"/>
          <w:right w:val="nil"/>
          <w:between w:val="nil"/>
        </w:pBdr>
        <w:contextualSpacing/>
        <w:rPr>
          <w:rFonts w:eastAsia="Palatino Linotype" w:cs="Palatino Linotype"/>
          <w:color w:val="000000"/>
          <w:szCs w:val="24"/>
        </w:rPr>
      </w:pPr>
      <w:r w:rsidRPr="000154BC">
        <w:rPr>
          <w:rFonts w:eastAsia="Palatino Linotype" w:cs="Palatino Linotype"/>
          <w:color w:val="000000"/>
          <w:szCs w:val="24"/>
        </w:rPr>
        <w:t xml:space="preserve">Una vez abierta la etapa de instrucción, se observa que el Sujeto Obligado omitió rendir el Informe Justificado. </w:t>
      </w:r>
      <w:r>
        <w:rPr>
          <w:rFonts w:eastAsia="Palatino Linotype" w:cs="Palatino Linotype"/>
          <w:color w:val="000000"/>
          <w:szCs w:val="24"/>
        </w:rPr>
        <w:t>Por su parte, el</w:t>
      </w:r>
      <w:r w:rsidRPr="000154BC">
        <w:rPr>
          <w:rFonts w:eastAsia="Palatino Linotype" w:cs="Palatino Linotype"/>
          <w:color w:val="000000"/>
          <w:szCs w:val="24"/>
        </w:rPr>
        <w:t xml:space="preserve"> Recurrente no realizó manifestaciones, vertió alegatos ni presentó pruebas que a su derecho convinieran.</w:t>
      </w:r>
    </w:p>
    <w:p w14:paraId="50CE03B8" w14:textId="77777777" w:rsidR="000154BC" w:rsidRPr="006922F5" w:rsidRDefault="000154BC" w:rsidP="006922F5">
      <w:pPr>
        <w:pBdr>
          <w:top w:val="nil"/>
          <w:left w:val="nil"/>
          <w:bottom w:val="nil"/>
          <w:right w:val="nil"/>
          <w:between w:val="nil"/>
        </w:pBdr>
        <w:contextualSpacing/>
        <w:rPr>
          <w:rFonts w:eastAsia="Palatino Linotype" w:cs="Palatino Linotype"/>
          <w:color w:val="000000"/>
          <w:szCs w:val="24"/>
        </w:rPr>
      </w:pPr>
    </w:p>
    <w:p w14:paraId="65310342" w14:textId="449ACF53" w:rsidR="00A970D5" w:rsidRPr="006922F5" w:rsidRDefault="00E27953" w:rsidP="006922F5">
      <w:pPr>
        <w:pStyle w:val="Ttulo2"/>
        <w:rPr>
          <w:rFonts w:eastAsia="Palatino Linotype"/>
        </w:rPr>
      </w:pPr>
      <w:r w:rsidRPr="006922F5">
        <w:rPr>
          <w:rFonts w:eastAsia="Palatino Linotype"/>
        </w:rPr>
        <w:t>S</w:t>
      </w:r>
      <w:r w:rsidR="00D52305">
        <w:rPr>
          <w:rFonts w:eastAsia="Palatino Linotype"/>
        </w:rPr>
        <w:t>ÉPTIM</w:t>
      </w:r>
      <w:r w:rsidR="0005201B">
        <w:rPr>
          <w:rFonts w:eastAsia="Palatino Linotype"/>
        </w:rPr>
        <w:t>O</w:t>
      </w:r>
      <w:r w:rsidR="00A970D5" w:rsidRPr="006922F5">
        <w:rPr>
          <w:rFonts w:eastAsia="Palatino Linotype"/>
        </w:rPr>
        <w:t>. Del cierre de instrucción.</w:t>
      </w:r>
    </w:p>
    <w:p w14:paraId="2456F4BD" w14:textId="348A1D81" w:rsidR="00A970D5" w:rsidRPr="006922F5" w:rsidRDefault="5318839D" w:rsidP="5318839D">
      <w:pPr>
        <w:pBdr>
          <w:top w:val="nil"/>
          <w:left w:val="nil"/>
          <w:bottom w:val="nil"/>
          <w:right w:val="nil"/>
          <w:between w:val="nil"/>
        </w:pBdr>
        <w:contextualSpacing/>
        <w:rPr>
          <w:rFonts w:eastAsia="Palatino Linotype" w:cs="Palatino Linotype"/>
          <w:color w:val="000000"/>
        </w:rPr>
      </w:pPr>
      <w:r w:rsidRPr="5318839D">
        <w:rPr>
          <w:rFonts w:eastAsia="Palatino Linotype" w:cs="Palatino Linotype"/>
          <w:color w:val="000000" w:themeColor="text1"/>
        </w:rPr>
        <w:t>Así, una vez transcurrido el término legal, se decretó el cierre de instrucción en fecha doce de octubre de dos mil veintitrés, en términos del artículo 185 fracción VI de la Ley de Transparencia y Acceso a la Información Pública del Estado de México y Municipios, iniciando el término legal para dictar resolución definitiva del asunto.</w:t>
      </w:r>
    </w:p>
    <w:p w14:paraId="21B427DF" w14:textId="609DF9B1" w:rsidR="5318839D" w:rsidRDefault="5318839D" w:rsidP="5318839D">
      <w:pPr>
        <w:pBdr>
          <w:top w:val="nil"/>
          <w:left w:val="nil"/>
          <w:bottom w:val="nil"/>
          <w:right w:val="nil"/>
          <w:between w:val="nil"/>
        </w:pBdr>
        <w:contextualSpacing/>
        <w:rPr>
          <w:rFonts w:eastAsia="Palatino Linotype" w:cs="Palatino Linotype"/>
          <w:color w:val="000000" w:themeColor="text1"/>
        </w:rPr>
      </w:pPr>
    </w:p>
    <w:p w14:paraId="695FF126" w14:textId="0117BA98" w:rsidR="5318839D" w:rsidRDefault="5318839D" w:rsidP="5318839D">
      <w:pPr>
        <w:pStyle w:val="Ttulo2"/>
      </w:pPr>
      <w:r w:rsidRPr="5318839D">
        <w:rPr>
          <w:rFonts w:eastAsia="Palatino Linotype" w:cs="Palatino Linotype"/>
        </w:rPr>
        <w:t>SÉPTIMO. De la ampliación de plazo para resolver el recurso.</w:t>
      </w:r>
    </w:p>
    <w:p w14:paraId="4FB7F299" w14:textId="78B1ABEC" w:rsidR="5318839D" w:rsidRDefault="5318839D" w:rsidP="5318839D">
      <w:r w:rsidRPr="5318839D">
        <w:rPr>
          <w:rFonts w:eastAsia="Palatino Linotype" w:cs="Palatino Linotype"/>
          <w:szCs w:val="24"/>
          <w:lang w:val="es-ES"/>
        </w:rPr>
        <w:t>En fecha siete de noviembre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6DC89436" w14:textId="02107D38" w:rsidR="009A4D87" w:rsidRDefault="009A4D87" w:rsidP="006922F5">
      <w:pPr>
        <w:pBdr>
          <w:top w:val="nil"/>
          <w:left w:val="nil"/>
          <w:bottom w:val="nil"/>
          <w:right w:val="nil"/>
          <w:between w:val="nil"/>
        </w:pBdr>
        <w:contextualSpacing/>
        <w:rPr>
          <w:rFonts w:eastAsia="Palatino Linotype" w:cs="Palatino Linotype"/>
          <w:color w:val="000000"/>
          <w:szCs w:val="24"/>
        </w:rPr>
      </w:pPr>
    </w:p>
    <w:p w14:paraId="012D2C79"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4926E7">
        <w:rPr>
          <w:rFonts w:eastAsiaTheme="minorHAnsi" w:cstheme="minorBidi"/>
          <w:szCs w:val="24"/>
          <w:lang w:eastAsia="en-US"/>
        </w:rPr>
        <w:lastRenderedPageBreak/>
        <w:t>aproximadamente un 400%, circunstancia atípica que ha rebasado las capacidades técnicas y humanas del personal encargado de la proyección de las resoluciones a dichos medios de impugnación.</w:t>
      </w:r>
    </w:p>
    <w:p w14:paraId="3D0FD5C7"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3891980"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A3F926"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769A02BD"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6807FF"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6B07745C"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07EC81"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0308C6BE"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2BD0B25"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29612CB0"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0FFC26CA"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5768D0D3"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6B200664"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46A21F11"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548EA8DD"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F11061"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5E0E613B"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B50858"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559A57F5" w14:textId="77777777" w:rsidR="002418CF"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926E7">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683737CE" w14:textId="77777777" w:rsidR="002418CF" w:rsidRDefault="002418CF" w:rsidP="002418CF">
      <w:pPr>
        <w:pBdr>
          <w:top w:val="nil"/>
          <w:left w:val="nil"/>
          <w:bottom w:val="nil"/>
          <w:right w:val="nil"/>
          <w:between w:val="nil"/>
        </w:pBdr>
        <w:contextualSpacing/>
        <w:rPr>
          <w:rFonts w:eastAsiaTheme="minorHAnsi" w:cstheme="minorBidi"/>
          <w:szCs w:val="24"/>
          <w:lang w:eastAsia="en-US"/>
        </w:rPr>
      </w:pPr>
    </w:p>
    <w:p w14:paraId="040E181A" w14:textId="1D2D26D3"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BBF41C9"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634B9987"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4DC441"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506EE740"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9AA62D5" w14:textId="77777777" w:rsidR="002418CF" w:rsidRPr="004926E7" w:rsidRDefault="002418CF" w:rsidP="002418CF">
      <w:pPr>
        <w:pBdr>
          <w:top w:val="nil"/>
          <w:left w:val="nil"/>
          <w:bottom w:val="nil"/>
          <w:right w:val="nil"/>
          <w:between w:val="nil"/>
        </w:pBdr>
        <w:contextualSpacing/>
        <w:rPr>
          <w:rFonts w:eastAsiaTheme="minorHAnsi" w:cstheme="minorBidi"/>
          <w:szCs w:val="24"/>
          <w:lang w:eastAsia="en-US"/>
        </w:rPr>
      </w:pPr>
    </w:p>
    <w:p w14:paraId="289E6464" w14:textId="77777777" w:rsidR="002418CF" w:rsidRDefault="002418CF" w:rsidP="002418CF">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7C96F0FC" w14:textId="77777777" w:rsidR="002E719D" w:rsidRDefault="002E719D"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B6393F1"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0154BC">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0154BC">
        <w:rPr>
          <w:rFonts w:eastAsia="Palatino Linotype" w:cs="Palatino Linotype"/>
          <w:color w:val="000000"/>
          <w:szCs w:val="24"/>
        </w:rPr>
        <w:t>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lastRenderedPageBreak/>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2E8DE495"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w:t>
      </w:r>
      <w:r w:rsidR="000154BC">
        <w:rPr>
          <w:rFonts w:eastAsia="Palatino Linotype" w:cs="Palatino Linotype"/>
          <w:szCs w:val="24"/>
        </w:rPr>
        <w:t xml:space="preserve">no </w:t>
      </w:r>
      <w:r w:rsidRPr="00EF7CEA">
        <w:rPr>
          <w:rFonts w:eastAsia="Palatino Linotype" w:cs="Palatino Linotype"/>
          <w:szCs w:val="24"/>
        </w:rPr>
        <w:t>se identificó</w:t>
      </w:r>
      <w:r>
        <w:rPr>
          <w:rFonts w:eastAsia="Palatino Linotype" w:cs="Palatino Linotype"/>
          <w:szCs w:val="24"/>
        </w:rPr>
        <w:t xml:space="preserve"> </w:t>
      </w:r>
      <w:r w:rsidR="000154BC">
        <w:rPr>
          <w:rFonts w:eastAsia="Palatino Linotype" w:cs="Palatino Linotype"/>
          <w:szCs w:val="24"/>
        </w:rPr>
        <w:t>de manera alguna; n</w:t>
      </w:r>
      <w:r w:rsidRPr="00EF7CEA">
        <w:rPr>
          <w:rFonts w:eastAsia="Palatino Linotype" w:cs="Palatino Linotype"/>
          <w:szCs w:val="24"/>
        </w:rPr>
        <w:t>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Pr="00EF7CEA">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r w:rsidRPr="00EF7CEA">
        <w:rPr>
          <w:rFonts w:eastAsia="Palatino Linotype" w:cs="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EF7CEA">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lastRenderedPageBreak/>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En conclusión, se cubrieron los requisitos de procedencia y procedibilidad,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6922F5">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247BCACD" w:rsidR="00AC3C01" w:rsidRDefault="00AC3C01" w:rsidP="00AC3C0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0154BC">
        <w:rPr>
          <w:rFonts w:eastAsia="Palatino Linotype" w:cs="Palatino Linotype"/>
          <w:color w:val="000000"/>
          <w:szCs w:val="24"/>
        </w:rPr>
        <w:t>el</w:t>
      </w:r>
      <w:r w:rsidRPr="006922F5">
        <w:rPr>
          <w:rFonts w:eastAsia="Palatino Linotype" w:cs="Palatino Linotype"/>
          <w:color w:val="000000"/>
          <w:szCs w:val="24"/>
        </w:rPr>
        <w:t xml:space="preserve"> hoy Recurrente </w:t>
      </w:r>
      <w:r w:rsidR="000154BC">
        <w:rPr>
          <w:rFonts w:eastAsia="Palatino Linotype" w:cs="Palatino Linotype"/>
          <w:color w:val="000000"/>
          <w:szCs w:val="24"/>
        </w:rPr>
        <w:t>solicitó</w:t>
      </w:r>
      <w:r w:rsidR="002E22D8">
        <w:rPr>
          <w:rFonts w:eastAsia="Palatino Linotype" w:cs="Palatino Linotype"/>
          <w:color w:val="000000"/>
          <w:szCs w:val="24"/>
        </w:rPr>
        <w:t xml:space="preserve"> las recaudaciones de los inspectores de desarrollo económico correspondientes a los meses de enero y febrero de los ejercicios 2022 y 2023.</w:t>
      </w:r>
    </w:p>
    <w:p w14:paraId="0E47DF5F" w14:textId="77777777" w:rsidR="00AC3C01" w:rsidRDefault="00AC3C01" w:rsidP="00AC3C01">
      <w:pPr>
        <w:pBdr>
          <w:top w:val="nil"/>
          <w:left w:val="nil"/>
          <w:bottom w:val="nil"/>
          <w:right w:val="nil"/>
          <w:between w:val="nil"/>
        </w:pBdr>
        <w:contextualSpacing/>
        <w:rPr>
          <w:rFonts w:eastAsia="Palatino Linotype" w:cs="Palatino Linotype"/>
          <w:color w:val="000000"/>
          <w:szCs w:val="24"/>
        </w:rPr>
      </w:pPr>
    </w:p>
    <w:p w14:paraId="599F9040" w14:textId="1AFEFD11" w:rsidR="002E22D8" w:rsidRDefault="002E22D8" w:rsidP="00AC3C0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 xml:space="preserve">Se deber recordar que el Sujeto Obligado informó al Recurrente que el plazo para atender su solicitud se prorrogó por siete días hábiles adicionales; sin embargo, es conveniente referir el contenido </w:t>
      </w:r>
      <w:r w:rsidR="00032134">
        <w:rPr>
          <w:rFonts w:eastAsia="Palatino Linotype" w:cs="Palatino Linotype"/>
          <w:color w:val="000000"/>
          <w:szCs w:val="24"/>
        </w:rPr>
        <w:t>del artículo 163 de la Ley de Transparencia estatal, en el que se establece lo siguiente:</w:t>
      </w:r>
    </w:p>
    <w:p w14:paraId="433F2D4C" w14:textId="77777777" w:rsidR="00032134" w:rsidRDefault="00032134" w:rsidP="00AC3C01">
      <w:pPr>
        <w:pBdr>
          <w:top w:val="nil"/>
          <w:left w:val="nil"/>
          <w:bottom w:val="nil"/>
          <w:right w:val="nil"/>
          <w:between w:val="nil"/>
        </w:pBdr>
        <w:contextualSpacing/>
        <w:rPr>
          <w:rFonts w:eastAsia="Palatino Linotype" w:cs="Palatino Linotype"/>
          <w:color w:val="000000"/>
          <w:szCs w:val="24"/>
        </w:rPr>
      </w:pPr>
    </w:p>
    <w:p w14:paraId="143C9EE2" w14:textId="77777777" w:rsidR="00032134" w:rsidRPr="00032134" w:rsidRDefault="00032134" w:rsidP="00032134">
      <w:pPr>
        <w:pStyle w:val="Fundamentos"/>
        <w:rPr>
          <w:lang w:val="es-MX"/>
        </w:rPr>
      </w:pPr>
      <w:r w:rsidRPr="00032134">
        <w:rPr>
          <w:b/>
          <w:lang w:val="es-MX"/>
        </w:rPr>
        <w:t xml:space="preserve">Artículo 163. </w:t>
      </w:r>
      <w:r w:rsidRPr="00032134">
        <w:rPr>
          <w:lang w:val="es-MX"/>
        </w:rPr>
        <w:t>La Unidad de Transparencia deberá notificar la respuesta a la solicitud al interesado en el menor tiempo posible, que no podrá exceder de quince días hábiles, contados a partir del día siguiente a la presentación de aquélla.</w:t>
      </w:r>
    </w:p>
    <w:p w14:paraId="74A7F6E6" w14:textId="77777777" w:rsidR="00032134" w:rsidRPr="00032134" w:rsidRDefault="00032134" w:rsidP="00032134">
      <w:pPr>
        <w:pStyle w:val="Fundamentos"/>
        <w:rPr>
          <w:lang w:val="es-MX"/>
        </w:rPr>
      </w:pPr>
    </w:p>
    <w:p w14:paraId="6AB7DB99" w14:textId="77777777" w:rsidR="00032134" w:rsidRPr="00032134" w:rsidRDefault="00032134" w:rsidP="00032134">
      <w:pPr>
        <w:pStyle w:val="Fundamentos"/>
        <w:rPr>
          <w:lang w:val="es-MX"/>
        </w:rPr>
      </w:pPr>
      <w:r w:rsidRPr="00032134">
        <w:rPr>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707B23" w14:textId="77777777" w:rsidR="00032134" w:rsidRPr="00032134" w:rsidRDefault="00032134" w:rsidP="00032134">
      <w:pPr>
        <w:pBdr>
          <w:top w:val="nil"/>
          <w:left w:val="nil"/>
          <w:bottom w:val="nil"/>
          <w:right w:val="nil"/>
          <w:between w:val="nil"/>
        </w:pBdr>
        <w:contextualSpacing/>
        <w:rPr>
          <w:rFonts w:eastAsia="Palatino Linotype" w:cs="Palatino Linotype"/>
          <w:color w:val="000000"/>
          <w:szCs w:val="24"/>
          <w:lang w:val="es-MX"/>
        </w:rPr>
      </w:pPr>
    </w:p>
    <w:p w14:paraId="69B99852" w14:textId="039FB412" w:rsidR="00032134" w:rsidRDefault="00032134" w:rsidP="00AC3C0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De tal forma que el Sujeto Obligado dejó de observar lo dispuesto por el artículo en cita, debido a que no hizo entrega del acuerdo del Comité de Transparencia con el que se aprobó dicha prórroga. Por tanto, se insta al Sujeto Obligado a que en posteriores ocasiones </w:t>
      </w:r>
      <w:r w:rsidR="0071261F">
        <w:rPr>
          <w:rFonts w:eastAsia="Palatino Linotype" w:cs="Palatino Linotype"/>
          <w:color w:val="000000"/>
          <w:szCs w:val="24"/>
        </w:rPr>
        <w:t>actúe con apego a lo dispuesto en la normatividad de la materia.</w:t>
      </w:r>
    </w:p>
    <w:p w14:paraId="596DE01C" w14:textId="77777777" w:rsidR="002E22D8" w:rsidRDefault="002E22D8" w:rsidP="00AC3C01">
      <w:pPr>
        <w:pBdr>
          <w:top w:val="nil"/>
          <w:left w:val="nil"/>
          <w:bottom w:val="nil"/>
          <w:right w:val="nil"/>
          <w:between w:val="nil"/>
        </w:pBdr>
        <w:contextualSpacing/>
        <w:rPr>
          <w:rFonts w:eastAsia="Palatino Linotype" w:cs="Palatino Linotype"/>
          <w:color w:val="000000"/>
          <w:szCs w:val="24"/>
        </w:rPr>
      </w:pPr>
    </w:p>
    <w:p w14:paraId="46A58DB1" w14:textId="22CDA5B9"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5F622D">
        <w:rPr>
          <w:rFonts w:eastAsia="Palatino Linotype" w:cs="Palatino Linotype"/>
          <w:color w:val="000000"/>
          <w:szCs w:val="24"/>
        </w:rPr>
        <w:t>mediante la entrega del siguiente documento</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594D4DA8" w14:textId="7F877CF6" w:rsidR="00E85C49" w:rsidRDefault="0071261F" w:rsidP="005F622D">
      <w:pPr>
        <w:pStyle w:val="Prrafodelista"/>
        <w:numPr>
          <w:ilvl w:val="0"/>
          <w:numId w:val="38"/>
        </w:numPr>
        <w:pBdr>
          <w:top w:val="nil"/>
          <w:left w:val="nil"/>
          <w:bottom w:val="nil"/>
          <w:right w:val="nil"/>
          <w:between w:val="nil"/>
        </w:pBdr>
        <w:contextualSpacing/>
        <w:rPr>
          <w:rFonts w:eastAsia="Palatino Linotype" w:cs="Palatino Linotype"/>
          <w:color w:val="000000"/>
        </w:rPr>
      </w:pPr>
      <w:r w:rsidRPr="0071261F">
        <w:rPr>
          <w:rFonts w:eastAsia="Palatino Linotype" w:cs="Palatino Linotype"/>
          <w:b/>
          <w:bCs/>
          <w:color w:val="000000"/>
          <w:lang w:val="es-ES_tradnl"/>
        </w:rPr>
        <w:t>Solicitud 01540.pdf</w:t>
      </w:r>
      <w:r w:rsidR="005F622D">
        <w:rPr>
          <w:rFonts w:eastAsia="Palatino Linotype" w:cs="Palatino Linotype"/>
          <w:color w:val="000000"/>
        </w:rPr>
        <w:t xml:space="preserve">. </w:t>
      </w:r>
      <w:r w:rsidR="004C3B7E">
        <w:rPr>
          <w:rFonts w:eastAsia="Palatino Linotype" w:cs="Palatino Linotype"/>
          <w:color w:val="000000"/>
        </w:rPr>
        <w:t>Oficio con número de folio ZIN/</w:t>
      </w:r>
      <w:r w:rsidR="00DD0DD9">
        <w:rPr>
          <w:rFonts w:eastAsia="Palatino Linotype" w:cs="Palatino Linotype"/>
          <w:color w:val="000000"/>
        </w:rPr>
        <w:t>TM/1566/2023 suscrito por el Tesorero Municipal, por medio del cual se proporcionó un cuadro elaborado ex profeso para informar los montos de las recaudaciones por concepto de lo solicitado en los meses de enero y febrero de los ejercicios 2022 y 2023.</w:t>
      </w:r>
    </w:p>
    <w:p w14:paraId="3C2B3CF8" w14:textId="77777777" w:rsidR="005F622D" w:rsidRDefault="005F622D" w:rsidP="006922F5">
      <w:pPr>
        <w:pBdr>
          <w:top w:val="nil"/>
          <w:left w:val="nil"/>
          <w:bottom w:val="nil"/>
          <w:right w:val="nil"/>
          <w:between w:val="nil"/>
        </w:pBdr>
        <w:contextualSpacing/>
        <w:rPr>
          <w:rFonts w:eastAsia="Palatino Linotype" w:cs="Palatino Linotype"/>
          <w:color w:val="000000"/>
          <w:szCs w:val="24"/>
        </w:rPr>
      </w:pPr>
    </w:p>
    <w:p w14:paraId="5ED1A032" w14:textId="1A3E523F" w:rsidR="00272817" w:rsidRDefault="007E0B5E" w:rsidP="004C3B7E">
      <w:pPr>
        <w:pBdr>
          <w:top w:val="nil"/>
          <w:left w:val="nil"/>
          <w:bottom w:val="nil"/>
          <w:right w:val="nil"/>
          <w:between w:val="nil"/>
        </w:pBdr>
        <w:contextualSpacing/>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915C3F">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BB16D5" w:rsidRPr="006922F5">
        <w:rPr>
          <w:rFonts w:eastAsia="Palatino Linotype" w:cs="Palatino Linotype"/>
          <w:color w:val="000000"/>
          <w:szCs w:val="24"/>
        </w:rPr>
        <w:t xml:space="preserve"> </w:t>
      </w:r>
      <w:r w:rsidR="004C3B7E">
        <w:rPr>
          <w:rFonts w:eastAsia="Palatino Linotype" w:cs="Palatino Linotype"/>
          <w:color w:val="000000"/>
          <w:szCs w:val="24"/>
        </w:rPr>
        <w:t>que no se entregó la información y como razones o motivos de inconfor</w:t>
      </w:r>
      <w:r w:rsidR="00DD0DD9">
        <w:rPr>
          <w:rFonts w:eastAsia="Palatino Linotype" w:cs="Palatino Linotype"/>
          <w:color w:val="000000"/>
          <w:szCs w:val="24"/>
        </w:rPr>
        <w:t>midad que no se entregó la información solicitada</w:t>
      </w:r>
      <w:r w:rsidR="004C3B7E">
        <w:rPr>
          <w:rFonts w:eastAsia="Palatino Linotype" w:cs="Palatino Linotype"/>
          <w:color w:val="000000"/>
          <w:szCs w:val="24"/>
        </w:rPr>
        <w:t xml:space="preserve">. </w:t>
      </w:r>
    </w:p>
    <w:p w14:paraId="038F5890" w14:textId="77777777" w:rsidR="006E52FF" w:rsidRDefault="006E52FF" w:rsidP="006922F5">
      <w:pPr>
        <w:pBdr>
          <w:top w:val="nil"/>
          <w:left w:val="nil"/>
          <w:bottom w:val="nil"/>
          <w:right w:val="nil"/>
          <w:between w:val="nil"/>
        </w:pBdr>
        <w:contextualSpacing/>
        <w:rPr>
          <w:rFonts w:eastAsia="Palatino Linotype" w:cs="Palatino Linotype"/>
          <w:color w:val="000000"/>
          <w:szCs w:val="24"/>
        </w:rPr>
      </w:pPr>
    </w:p>
    <w:p w14:paraId="1453FAD3" w14:textId="77777777" w:rsidR="004F45B3" w:rsidRDefault="004F45B3" w:rsidP="004F45B3">
      <w:pPr>
        <w:pBdr>
          <w:top w:val="nil"/>
          <w:left w:val="nil"/>
          <w:bottom w:val="nil"/>
          <w:right w:val="nil"/>
          <w:between w:val="nil"/>
        </w:pBdr>
        <w:contextualSpacing/>
        <w:rPr>
          <w:szCs w:val="24"/>
        </w:rPr>
      </w:pPr>
      <w:r w:rsidRPr="00E41C8A">
        <w:rPr>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5695B46" w14:textId="77777777" w:rsidR="00C006C6" w:rsidRPr="005B5434" w:rsidRDefault="00C006C6" w:rsidP="006922F5">
      <w:pPr>
        <w:pBdr>
          <w:top w:val="nil"/>
          <w:left w:val="nil"/>
          <w:bottom w:val="nil"/>
          <w:right w:val="nil"/>
          <w:between w:val="nil"/>
        </w:pBdr>
        <w:contextualSpacing/>
        <w:rPr>
          <w:szCs w:val="24"/>
        </w:rPr>
      </w:pPr>
    </w:p>
    <w:p w14:paraId="64B9BA8A" w14:textId="5BE2EBEA"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DD0DD9">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w:t>
      </w:r>
      <w:r w:rsidR="00C82268" w:rsidRPr="006922F5">
        <w:rPr>
          <w:rFonts w:eastAsia="Palatino Linotype" w:cs="Palatino Linotype"/>
          <w:color w:val="000000"/>
          <w:szCs w:val="24"/>
        </w:rPr>
        <w:t xml:space="preserve">l </w:t>
      </w:r>
      <w:r w:rsidRPr="006922F5">
        <w:rPr>
          <w:rFonts w:eastAsia="Palatino Linotype" w:cs="Palatino Linotype"/>
          <w:color w:val="000000"/>
          <w:szCs w:val="24"/>
        </w:rPr>
        <w:t xml:space="preserve">particular. </w:t>
      </w:r>
    </w:p>
    <w:p w14:paraId="443631F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922F5" w:rsidRDefault="00A970D5" w:rsidP="006922F5">
      <w:pPr>
        <w:pStyle w:val="Fundamentos"/>
      </w:pPr>
      <w:r w:rsidRPr="006922F5">
        <w:rPr>
          <w:b/>
        </w:rPr>
        <w:lastRenderedPageBreak/>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71A2C801" w14:textId="77777777" w:rsidR="00A970D5" w:rsidRPr="006922F5" w:rsidRDefault="00A970D5" w:rsidP="006922F5">
      <w:pPr>
        <w:pStyle w:val="Fundamentos"/>
      </w:pPr>
    </w:p>
    <w:p w14:paraId="0CDFC85A" w14:textId="77777777" w:rsidR="00A970D5" w:rsidRPr="006922F5" w:rsidRDefault="00A970D5" w:rsidP="006922F5">
      <w:pPr>
        <w:pStyle w:val="Fundamentos"/>
      </w:pPr>
      <w:r w:rsidRPr="006922F5">
        <w:t>Toda persona tiene derecho al libre acceso a información plural y oportuna, así como a buscar, recibir y difundir información e ideas de toda índole por cualquier medio de expresión.</w:t>
      </w:r>
    </w:p>
    <w:p w14:paraId="0015CD16" w14:textId="77777777" w:rsidR="00A970D5" w:rsidRPr="006922F5" w:rsidRDefault="00A970D5" w:rsidP="006922F5">
      <w:pPr>
        <w:pStyle w:val="Fundamentos"/>
      </w:pPr>
    </w:p>
    <w:p w14:paraId="5F6974CB" w14:textId="77777777" w:rsidR="00A970D5" w:rsidRPr="006922F5" w:rsidRDefault="00A970D5" w:rsidP="006922F5">
      <w:pPr>
        <w:pStyle w:val="Fundamentos"/>
      </w:pPr>
      <w:r w:rsidRPr="006922F5">
        <w:t>Para efectos de lo dispuesto en el presente artículo se observará lo siguiente:</w:t>
      </w:r>
    </w:p>
    <w:p w14:paraId="6BB28B9A" w14:textId="77777777" w:rsidR="00A970D5" w:rsidRPr="006922F5" w:rsidRDefault="00A970D5" w:rsidP="006922F5">
      <w:pPr>
        <w:pStyle w:val="Fundamentos"/>
      </w:pPr>
    </w:p>
    <w:p w14:paraId="3BA28416" w14:textId="77777777" w:rsidR="00A970D5" w:rsidRPr="006922F5" w:rsidRDefault="00A970D5" w:rsidP="006922F5">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922F5" w:rsidRDefault="00A970D5" w:rsidP="006922F5">
      <w:pPr>
        <w:pStyle w:val="Fundamentos"/>
      </w:pPr>
    </w:p>
    <w:p w14:paraId="2133BF6E" w14:textId="77777777" w:rsidR="00A970D5" w:rsidRPr="006922F5" w:rsidRDefault="00A970D5" w:rsidP="006922F5">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5943A65E" w14:textId="77777777" w:rsidR="00A970D5" w:rsidRPr="006922F5" w:rsidRDefault="00A970D5" w:rsidP="006922F5">
      <w:pPr>
        <w:pStyle w:val="Fundamentos"/>
      </w:pPr>
      <w:r w:rsidRPr="006922F5">
        <w:t>II. La información que se refiere a la vida privada y los datos personales será protegida en los términos y con las excepciones que fijen las leyes.</w:t>
      </w:r>
    </w:p>
    <w:p w14:paraId="135241F6"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55B93DBA" w14:textId="77777777" w:rsidR="00A970D5" w:rsidRPr="006922F5" w:rsidRDefault="00A970D5" w:rsidP="006922F5">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922F5" w:rsidRDefault="00A970D5" w:rsidP="006922F5">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1989B44A" w14:textId="77777777" w:rsidR="00A970D5" w:rsidRPr="006922F5" w:rsidRDefault="00A970D5" w:rsidP="006922F5">
      <w:pPr>
        <w:pStyle w:val="Fundamentos"/>
      </w:pPr>
      <w:r w:rsidRPr="006922F5">
        <w:t>VI. Las leyes determinarán la manera en que los sujetos obligados deberán hacer pública la información relativa a los recursos públicos que entreguen a personas físicas o morales.</w:t>
      </w:r>
    </w:p>
    <w:p w14:paraId="52D64BCE" w14:textId="77777777" w:rsidR="00A970D5" w:rsidRPr="006922F5" w:rsidRDefault="00A970D5" w:rsidP="006922F5">
      <w:pPr>
        <w:pStyle w:val="Fundamentos"/>
      </w:pPr>
      <w:r w:rsidRPr="006922F5">
        <w:lastRenderedPageBreak/>
        <w:t>VII. La inobservancia a las disposiciones en materia de acceso a la información pública será sancionada en los términos que dispongan las leyes.</w:t>
      </w:r>
    </w:p>
    <w:p w14:paraId="0226FE46" w14:textId="77777777" w:rsidR="00A970D5" w:rsidRPr="006922F5" w:rsidRDefault="00A970D5" w:rsidP="006922F5">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922F5" w:rsidRDefault="00A970D5" w:rsidP="006922F5">
      <w:pPr>
        <w:pStyle w:val="Fundamentos"/>
      </w:pPr>
      <w:r w:rsidRPr="006922F5">
        <w:t>…</w:t>
      </w:r>
    </w:p>
    <w:p w14:paraId="5E8F2316" w14:textId="77777777" w:rsidR="00A970D5" w:rsidRPr="006922F5" w:rsidRDefault="00A970D5" w:rsidP="006922F5">
      <w:pPr>
        <w:pStyle w:val="Fundamentos"/>
      </w:pPr>
      <w:r w:rsidRPr="006922F5">
        <w:t>La ley establecerá aquella información que se considere reservada o confidencial.</w:t>
      </w:r>
    </w:p>
    <w:p w14:paraId="3441E2D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6922F5" w:rsidRDefault="00A970D5" w:rsidP="006922F5">
      <w:pPr>
        <w:pStyle w:val="Fundamentos"/>
      </w:pPr>
      <w:r w:rsidRPr="006922F5">
        <w:rPr>
          <w:b/>
          <w:bCs/>
        </w:rPr>
        <w:t>Artículo 5.</w:t>
      </w:r>
      <w:r w:rsidRPr="006922F5">
        <w:t xml:space="preserve"> </w:t>
      </w:r>
      <w:r w:rsidR="0047369A" w:rsidRPr="006922F5">
        <w:t>(</w:t>
      </w:r>
      <w:r w:rsidRPr="006922F5">
        <w:t>…</w:t>
      </w:r>
      <w:r w:rsidR="0047369A" w:rsidRPr="006922F5">
        <w:t>)</w:t>
      </w:r>
      <w:r w:rsidRPr="006922F5">
        <w:t xml:space="preserve"> </w:t>
      </w:r>
    </w:p>
    <w:p w14:paraId="5956991C" w14:textId="77777777" w:rsidR="00A970D5" w:rsidRPr="006922F5" w:rsidRDefault="00A970D5" w:rsidP="006922F5">
      <w:pPr>
        <w:pStyle w:val="Fundamentos"/>
      </w:pPr>
      <w:r w:rsidRPr="006922F5">
        <w:t xml:space="preserve">El derecho a la información será garantizado por el Estado. La ley establecerá las previsiones que permitan asegurar la protección, el respeto y la difusión de este derecho. </w:t>
      </w:r>
    </w:p>
    <w:p w14:paraId="6A3CBAB6" w14:textId="77777777" w:rsidR="00A970D5" w:rsidRPr="006922F5" w:rsidRDefault="00A970D5" w:rsidP="006922F5">
      <w:pPr>
        <w:pStyle w:val="Fundamentos"/>
      </w:pPr>
    </w:p>
    <w:p w14:paraId="36D3B567" w14:textId="77777777" w:rsidR="00A970D5" w:rsidRPr="006922F5" w:rsidRDefault="00A970D5" w:rsidP="006922F5">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922F5" w:rsidRDefault="00A970D5" w:rsidP="006922F5">
      <w:pPr>
        <w:pStyle w:val="Fundamentos"/>
      </w:pPr>
    </w:p>
    <w:p w14:paraId="0BDF2E36" w14:textId="77777777" w:rsidR="00A970D5" w:rsidRPr="006922F5" w:rsidRDefault="00A970D5" w:rsidP="006922F5">
      <w:pPr>
        <w:pStyle w:val="Fundamentos"/>
      </w:pPr>
      <w:r w:rsidRPr="006922F5">
        <w:t>Este derecho se regirá por los principios y bases siguientes:</w:t>
      </w:r>
    </w:p>
    <w:p w14:paraId="0BFC86CA" w14:textId="77777777" w:rsidR="00A970D5" w:rsidRPr="006922F5" w:rsidRDefault="00A970D5" w:rsidP="006922F5">
      <w:pPr>
        <w:pStyle w:val="Fundamentos"/>
      </w:pPr>
    </w:p>
    <w:p w14:paraId="71CBBD8F" w14:textId="77777777" w:rsidR="00A970D5" w:rsidRPr="006922F5" w:rsidRDefault="00A970D5" w:rsidP="006922F5">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w:t>
      </w:r>
      <w:r w:rsidRPr="006922F5">
        <w:lastRenderedPageBreak/>
        <w:t>o funciones, la ley determinará los supuestos específicos bajo los cuales procederá la declaración de inexistencia de la información.</w:t>
      </w:r>
    </w:p>
    <w:p w14:paraId="30341069" w14:textId="77777777" w:rsidR="00A970D5" w:rsidRPr="006922F5" w:rsidRDefault="00A970D5" w:rsidP="006922F5">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922F5" w:rsidRDefault="00A970D5" w:rsidP="006922F5">
      <w:pPr>
        <w:pStyle w:val="Fundamentos"/>
      </w:pPr>
      <w:r w:rsidRPr="006922F5">
        <w:t>III. Toda persona, sin necesidad de acreditar interés alguno o justificar su utilización, tendrá acceso gratuito a la información pública, a sus datos personales o a la rectificación de éstos.</w:t>
      </w:r>
    </w:p>
    <w:p w14:paraId="682D2B34" w14:textId="77777777" w:rsidR="00A970D5" w:rsidRPr="006922F5" w:rsidRDefault="00A970D5" w:rsidP="006922F5">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922F5" w:rsidRDefault="00A970D5" w:rsidP="006922F5">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922F5" w:rsidRDefault="00A970D5" w:rsidP="006922F5">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922F5" w:rsidRDefault="00A970D5" w:rsidP="006922F5">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33F4A14C" w:rsidR="00C82268" w:rsidRPr="006922F5" w:rsidRDefault="00C82268" w:rsidP="006922F5">
      <w:pPr>
        <w:rPr>
          <w:rFonts w:eastAsia="Palatino Linotype" w:cs="Palatino Linotype"/>
          <w:szCs w:val="24"/>
        </w:rPr>
      </w:pPr>
      <w:r w:rsidRPr="006922F5">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6922F5">
        <w:rPr>
          <w:rFonts w:eastAsia="Palatino Linotype" w:cs="Palatino Linotype"/>
          <w:szCs w:val="24"/>
        </w:rPr>
        <w:t>I</w:t>
      </w:r>
      <w:r w:rsidR="00BA7C85">
        <w:rPr>
          <w:rFonts w:eastAsia="Palatino Linotype" w:cs="Palatino Linotype"/>
          <w:szCs w:val="24"/>
        </w:rPr>
        <w:t>V</w:t>
      </w:r>
      <w:r w:rsidRPr="006922F5">
        <w:rPr>
          <w:rFonts w:eastAsia="Palatino Linotype" w:cs="Palatino Linotype"/>
          <w:szCs w:val="24"/>
        </w:rPr>
        <w:t>, lo siguiente:</w:t>
      </w:r>
    </w:p>
    <w:p w14:paraId="34BB49C7" w14:textId="77777777" w:rsidR="00C82268" w:rsidRPr="006922F5" w:rsidRDefault="00C82268" w:rsidP="006922F5">
      <w:pPr>
        <w:rPr>
          <w:rFonts w:eastAsia="Palatino Linotype" w:cs="Palatino Linotype"/>
          <w:szCs w:val="24"/>
        </w:rPr>
      </w:pPr>
    </w:p>
    <w:p w14:paraId="100A2479" w14:textId="77777777" w:rsidR="00C82268" w:rsidRPr="006922F5" w:rsidRDefault="00C82268" w:rsidP="006922F5">
      <w:pPr>
        <w:pStyle w:val="Fundamentos"/>
      </w:pPr>
      <w:r w:rsidRPr="006922F5">
        <w:rPr>
          <w:b/>
        </w:rPr>
        <w:t>Artículo 23.</w:t>
      </w:r>
      <w:r w:rsidRPr="006922F5">
        <w:t xml:space="preserve"> Son sujetos obligados a transparentar y permitir el acceso a su información y proteger los datos personales que obren en su poder:</w:t>
      </w:r>
    </w:p>
    <w:p w14:paraId="7025ECE0" w14:textId="0F47465B" w:rsidR="00C82268" w:rsidRPr="006922F5" w:rsidRDefault="001530E5" w:rsidP="006922F5">
      <w:pPr>
        <w:pStyle w:val="Fundamentos"/>
      </w:pPr>
      <w:r w:rsidRPr="006922F5">
        <w:t>(…)</w:t>
      </w:r>
    </w:p>
    <w:p w14:paraId="79FD530B" w14:textId="0ADEEDB2" w:rsidR="00C82268" w:rsidRPr="006922F5" w:rsidRDefault="00C82268" w:rsidP="006922F5">
      <w:pPr>
        <w:pStyle w:val="Fundamentos"/>
      </w:pPr>
      <w:r w:rsidRPr="006922F5">
        <w:rPr>
          <w:b/>
          <w:bCs/>
        </w:rPr>
        <w:t>I</w:t>
      </w:r>
      <w:r w:rsidR="00BA7C85">
        <w:rPr>
          <w:b/>
          <w:bCs/>
        </w:rPr>
        <w:t>V</w:t>
      </w:r>
      <w:r w:rsidRPr="006922F5">
        <w:rPr>
          <w:b/>
          <w:bCs/>
        </w:rPr>
        <w:t>.</w:t>
      </w:r>
      <w:r w:rsidR="00BA7C85">
        <w:rPr>
          <w:b/>
          <w:bCs/>
        </w:rPr>
        <w:t xml:space="preserve"> </w:t>
      </w:r>
      <w:r w:rsidR="00BA7C85">
        <w:t>Los</w:t>
      </w:r>
      <w:r w:rsidR="001530E5" w:rsidRPr="006922F5">
        <w:t xml:space="preserve"> </w:t>
      </w:r>
      <w:r w:rsidR="00BA7C85" w:rsidRPr="00BA7C85">
        <w:t>ayuntamientos y las dependencias, organismos, órganos y entidades de la administración municipal</w:t>
      </w:r>
      <w:r w:rsidR="00754A30" w:rsidRPr="006922F5">
        <w:t>;</w:t>
      </w:r>
    </w:p>
    <w:p w14:paraId="0667CF00" w14:textId="77777777" w:rsidR="00C82268" w:rsidRPr="006922F5" w:rsidRDefault="00C82268" w:rsidP="006922F5">
      <w:pPr>
        <w:pStyle w:val="Fundamentos"/>
      </w:pPr>
      <w:r w:rsidRPr="006922F5">
        <w:t>(…)</w:t>
      </w:r>
    </w:p>
    <w:p w14:paraId="458B21C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9B6DDE" w14:textId="1C6A8C43"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Es así </w:t>
      </w:r>
      <w:r w:rsidR="00D574A2" w:rsidRPr="006922F5">
        <w:rPr>
          <w:rFonts w:eastAsia="Palatino Linotype" w:cs="Palatino Linotype"/>
          <w:color w:val="000000"/>
          <w:szCs w:val="24"/>
        </w:rPr>
        <w:t>como</w:t>
      </w:r>
      <w:r w:rsidRPr="006922F5">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E3D15E5" w14:textId="770C33C8" w:rsidR="0062141B" w:rsidRDefault="00A970D5" w:rsidP="00A837D0">
      <w:pPr>
        <w:contextualSpacing/>
        <w:rPr>
          <w:rFonts w:eastAsia="Palatino Linotype" w:cs="Palatino Linotype"/>
          <w:szCs w:val="24"/>
        </w:rPr>
      </w:pPr>
      <w:r w:rsidRPr="006922F5">
        <w:rPr>
          <w:rFonts w:eastAsia="Palatino Linotype" w:cs="Palatino Linotype"/>
          <w:szCs w:val="24"/>
        </w:rPr>
        <w:t xml:space="preserve">En segundo término, </w:t>
      </w:r>
      <w:r w:rsidR="00DD0DD9">
        <w:rPr>
          <w:rFonts w:eastAsia="Palatino Linotype" w:cs="Palatino Linotype"/>
          <w:szCs w:val="24"/>
        </w:rPr>
        <w:t>se considera conveniente señalar que la solicitud de información radica en obtener la información relativa a la recaudación realizada por los inspectores de desarrollo económico, por lo que al interpretar la solicitud se desprende que lo que el particular está interesado en obtener es el monto de dichas recaudaciones, en virtud de que se señaló puntualmente a qué tipo de ingreso se refiere; por tanto, el solicitante requiere el documento en donde conste el monto recaudado por ese concepto en el periodo referido.</w:t>
      </w:r>
    </w:p>
    <w:p w14:paraId="6525D293" w14:textId="77777777" w:rsidR="00DD0DD9" w:rsidRDefault="00DD0DD9" w:rsidP="00A837D0">
      <w:pPr>
        <w:contextualSpacing/>
        <w:rPr>
          <w:rFonts w:eastAsia="Palatino Linotype" w:cs="Palatino Linotype"/>
          <w:szCs w:val="24"/>
        </w:rPr>
      </w:pPr>
    </w:p>
    <w:p w14:paraId="2A2B6C74" w14:textId="00DC996C" w:rsidR="00DD0DD9" w:rsidRDefault="00DD0DD9" w:rsidP="00A837D0">
      <w:pPr>
        <w:contextualSpacing/>
        <w:rPr>
          <w:rFonts w:eastAsia="Palatino Linotype" w:cs="Palatino Linotype"/>
          <w:szCs w:val="24"/>
        </w:rPr>
      </w:pPr>
      <w:r>
        <w:rPr>
          <w:rFonts w:eastAsia="Palatino Linotype" w:cs="Palatino Linotype"/>
          <w:szCs w:val="24"/>
        </w:rPr>
        <w:t>Ahora bien, el Sujeto Obligado informó el monto recaudado mediante el siguiente cuadro:</w:t>
      </w:r>
    </w:p>
    <w:p w14:paraId="29F67311" w14:textId="77777777" w:rsidR="00DD0DD9" w:rsidRDefault="00DD0DD9" w:rsidP="00A837D0">
      <w:pPr>
        <w:contextualSpacing/>
        <w:rPr>
          <w:rFonts w:eastAsia="Palatino Linotype" w:cs="Palatino Linotype"/>
          <w:szCs w:val="24"/>
        </w:rPr>
      </w:pPr>
    </w:p>
    <w:p w14:paraId="6EA91ACE" w14:textId="0A6599AA" w:rsidR="00DD0DD9" w:rsidRDefault="00A4067D" w:rsidP="00A4067D">
      <w:pPr>
        <w:contextualSpacing/>
        <w:jc w:val="center"/>
        <w:rPr>
          <w:rFonts w:eastAsia="Palatino Linotype" w:cs="Palatino Linotype"/>
          <w:szCs w:val="24"/>
        </w:rPr>
      </w:pPr>
      <w:r w:rsidRPr="00A4067D">
        <w:rPr>
          <w:rFonts w:eastAsia="Palatino Linotype" w:cs="Palatino Linotype"/>
          <w:noProof/>
          <w:szCs w:val="24"/>
          <w:lang w:val="es-MX"/>
        </w:rPr>
        <w:drawing>
          <wp:inline distT="0" distB="0" distL="0" distR="0" wp14:anchorId="76C4CA3F" wp14:editId="768FDBA1">
            <wp:extent cx="3591426" cy="88594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1426" cy="885949"/>
                    </a:xfrm>
                    <a:prstGeom prst="rect">
                      <a:avLst/>
                    </a:prstGeom>
                  </pic:spPr>
                </pic:pic>
              </a:graphicData>
            </a:graphic>
          </wp:inline>
        </w:drawing>
      </w:r>
    </w:p>
    <w:p w14:paraId="68764F0D" w14:textId="77777777" w:rsidR="00DD0DD9" w:rsidRDefault="00DD0DD9" w:rsidP="00A837D0">
      <w:pPr>
        <w:contextualSpacing/>
        <w:rPr>
          <w:rFonts w:eastAsia="Palatino Linotype" w:cs="Palatino Linotype"/>
          <w:szCs w:val="24"/>
        </w:rPr>
      </w:pPr>
    </w:p>
    <w:p w14:paraId="1DC391D9" w14:textId="41C5A4AC" w:rsidR="00DD0DD9" w:rsidRDefault="00A4067D" w:rsidP="00A4067D">
      <w:pPr>
        <w:contextualSpacing/>
        <w:rPr>
          <w:rFonts w:eastAsia="Palatino Linotype" w:cs="Palatino Linotype"/>
          <w:szCs w:val="24"/>
        </w:rPr>
      </w:pPr>
      <w:r>
        <w:rPr>
          <w:rFonts w:eastAsia="Palatino Linotype" w:cs="Palatino Linotype"/>
          <w:szCs w:val="24"/>
        </w:rPr>
        <w:t xml:space="preserve">En ese orden de ideas, se debe recordar que la respuesta fue emitida por la Tesorería Municipal, área que, conforme al Reglamento Orgánico Municipal de Zinacantepec en su artículo 46 </w:t>
      </w:r>
      <w:r w:rsidRPr="00F162EC">
        <w:rPr>
          <w:rFonts w:eastAsia="Palatino Linotype" w:cs="Palatino Linotype"/>
          <w:b/>
          <w:szCs w:val="24"/>
        </w:rPr>
        <w:t>es la unidad administrativa encargad</w:t>
      </w:r>
      <w:r w:rsidR="00F162EC" w:rsidRPr="00F162EC">
        <w:rPr>
          <w:rFonts w:eastAsia="Palatino Linotype" w:cs="Palatino Linotype"/>
          <w:b/>
          <w:szCs w:val="24"/>
        </w:rPr>
        <w:t>a</w:t>
      </w:r>
      <w:r w:rsidRPr="00F162EC">
        <w:rPr>
          <w:rFonts w:eastAsia="Palatino Linotype" w:cs="Palatino Linotype"/>
          <w:b/>
          <w:szCs w:val="24"/>
        </w:rPr>
        <w:t xml:space="preserve"> de recaudar los ingresos municipales</w:t>
      </w:r>
      <w:r>
        <w:rPr>
          <w:rFonts w:eastAsia="Palatino Linotype" w:cs="Palatino Linotype"/>
          <w:szCs w:val="24"/>
        </w:rPr>
        <w:t xml:space="preserve">, </w:t>
      </w:r>
      <w:r w:rsidRPr="00A4067D">
        <w:rPr>
          <w:rFonts w:eastAsia="Palatino Linotype" w:cs="Palatino Linotype"/>
          <w:szCs w:val="24"/>
        </w:rPr>
        <w:lastRenderedPageBreak/>
        <w:t>captar recursos Estatales y Federales, así como conducir la política presupuestal del Municipio</w:t>
      </w:r>
      <w:r>
        <w:rPr>
          <w:rFonts w:eastAsia="Palatino Linotype" w:cs="Palatino Linotype"/>
          <w:szCs w:val="24"/>
        </w:rPr>
        <w:t xml:space="preserve"> </w:t>
      </w:r>
      <w:r w:rsidRPr="00A4067D">
        <w:rPr>
          <w:rFonts w:eastAsia="Palatino Linotype" w:cs="Palatino Linotype"/>
          <w:szCs w:val="24"/>
        </w:rPr>
        <w:t>con la finalidad de lograr los objetivos estipulados en el Plan de Desarrollo Municipal, a través de una</w:t>
      </w:r>
      <w:r>
        <w:rPr>
          <w:rFonts w:eastAsia="Palatino Linotype" w:cs="Palatino Linotype"/>
          <w:szCs w:val="24"/>
        </w:rPr>
        <w:t xml:space="preserve"> </w:t>
      </w:r>
      <w:r w:rsidRPr="00A4067D">
        <w:rPr>
          <w:rFonts w:eastAsia="Palatino Linotype" w:cs="Palatino Linotype"/>
          <w:szCs w:val="24"/>
        </w:rPr>
        <w:t>adecuada integración del presupuesto de ingresos y egresos del Municipio, para la correcta administración</w:t>
      </w:r>
      <w:r>
        <w:rPr>
          <w:rFonts w:eastAsia="Palatino Linotype" w:cs="Palatino Linotype"/>
          <w:szCs w:val="24"/>
        </w:rPr>
        <w:t xml:space="preserve"> </w:t>
      </w:r>
      <w:r w:rsidRPr="00A4067D">
        <w:rPr>
          <w:rFonts w:eastAsia="Palatino Linotype" w:cs="Palatino Linotype"/>
          <w:szCs w:val="24"/>
        </w:rPr>
        <w:t>de la hacienda municipal.</w:t>
      </w:r>
    </w:p>
    <w:p w14:paraId="72BEE96D" w14:textId="77777777" w:rsidR="00DD0DD9" w:rsidRDefault="00DD0DD9" w:rsidP="00A837D0">
      <w:pPr>
        <w:contextualSpacing/>
        <w:rPr>
          <w:rFonts w:eastAsia="Palatino Linotype" w:cs="Palatino Linotype"/>
          <w:szCs w:val="24"/>
        </w:rPr>
      </w:pPr>
    </w:p>
    <w:p w14:paraId="210DF243" w14:textId="7165E521" w:rsidR="00DD0DD9" w:rsidRDefault="00092C31" w:rsidP="00A837D0">
      <w:pPr>
        <w:contextualSpacing/>
        <w:rPr>
          <w:rFonts w:eastAsia="Palatino Linotype" w:cs="Palatino Linotype"/>
          <w:szCs w:val="24"/>
        </w:rPr>
      </w:pPr>
      <w:r>
        <w:rPr>
          <w:rFonts w:eastAsia="Palatino Linotype" w:cs="Palatino Linotype"/>
          <w:szCs w:val="24"/>
        </w:rPr>
        <w:t>Por lo que se debe considerar que la respuesta e información proporcionada a la solicitud del Recurrente, proviene del área competente para generarla, poseerla o administrarla, es decir, la Tesorería Municipal.</w:t>
      </w:r>
    </w:p>
    <w:p w14:paraId="2BDA8F29" w14:textId="77777777" w:rsidR="00092C31" w:rsidRDefault="00092C31" w:rsidP="00A837D0">
      <w:pPr>
        <w:contextualSpacing/>
        <w:rPr>
          <w:rFonts w:eastAsia="Palatino Linotype" w:cs="Palatino Linotype"/>
          <w:szCs w:val="24"/>
        </w:rPr>
      </w:pPr>
    </w:p>
    <w:p w14:paraId="32A5CCE4" w14:textId="77777777" w:rsidR="00AA290B" w:rsidRDefault="00AA290B" w:rsidP="00AA290B">
      <w:pPr>
        <w:contextualSpacing/>
        <w:rPr>
          <w:rFonts w:eastAsia="Palatino Linotype" w:cs="Palatino Linotype"/>
          <w:szCs w:val="24"/>
        </w:rPr>
      </w:pPr>
      <w:r>
        <w:rPr>
          <w:rFonts w:eastAsia="Palatino Linotype" w:cs="Palatino Linotype"/>
          <w:szCs w:val="24"/>
        </w:rPr>
        <w:t>Por otra parte, es pertinente traer a colación lo dispuesto en los artículos 4 y 12 de la Ley de Transparencia estatal, en lo que se dispone lo siguiente:</w:t>
      </w:r>
    </w:p>
    <w:p w14:paraId="1DB211E9" w14:textId="77777777" w:rsidR="00AA290B" w:rsidRDefault="00AA290B" w:rsidP="00AA290B">
      <w:pPr>
        <w:contextualSpacing/>
        <w:rPr>
          <w:rFonts w:eastAsia="Palatino Linotype" w:cs="Palatino Linotype"/>
          <w:szCs w:val="24"/>
        </w:rPr>
      </w:pPr>
    </w:p>
    <w:p w14:paraId="5365CB45" w14:textId="77777777" w:rsidR="00AA290B" w:rsidRPr="00AF5B98" w:rsidRDefault="00AA290B" w:rsidP="00AA290B">
      <w:pPr>
        <w:pStyle w:val="Fundamentos"/>
        <w:rPr>
          <w:lang w:val="es-MX"/>
        </w:rPr>
      </w:pPr>
      <w:r w:rsidRPr="00AF5B98">
        <w:rPr>
          <w:b/>
          <w:lang w:val="es-MX"/>
        </w:rPr>
        <w:t xml:space="preserve">Artículo 4. </w:t>
      </w:r>
      <w:r w:rsidRPr="00AF5B98">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0333F5AE" w14:textId="77777777" w:rsidR="00AA290B" w:rsidRPr="00AF5B98" w:rsidRDefault="00AA290B" w:rsidP="00AA290B">
      <w:pPr>
        <w:pStyle w:val="Fundamentos"/>
        <w:rPr>
          <w:lang w:val="es-MX"/>
        </w:rPr>
      </w:pPr>
    </w:p>
    <w:p w14:paraId="7B64BEFE" w14:textId="77777777" w:rsidR="00AA290B" w:rsidRPr="00AF5B98" w:rsidRDefault="00AA290B" w:rsidP="00AA290B">
      <w:pPr>
        <w:pStyle w:val="Fundamentos"/>
        <w:rPr>
          <w:lang w:val="es-MX"/>
        </w:rPr>
      </w:pPr>
      <w:r w:rsidRPr="00AF5B98">
        <w:rPr>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3000B9D" w14:textId="77777777" w:rsidR="00AA290B" w:rsidRPr="00AF5B98" w:rsidRDefault="00AA290B" w:rsidP="00AA290B">
      <w:pPr>
        <w:pStyle w:val="Fundamentos"/>
        <w:rPr>
          <w:lang w:val="es-MX"/>
        </w:rPr>
      </w:pPr>
    </w:p>
    <w:p w14:paraId="13CA61D3" w14:textId="77777777" w:rsidR="00AA290B" w:rsidRPr="00AF5B98" w:rsidRDefault="00AA290B" w:rsidP="00AA290B">
      <w:pPr>
        <w:pStyle w:val="Fundamentos"/>
        <w:rPr>
          <w:lang w:val="es-MX"/>
        </w:rPr>
      </w:pPr>
      <w:r w:rsidRPr="00AF5B98">
        <w:rPr>
          <w:lang w:val="es-MX"/>
        </w:rPr>
        <w:t>Los sujetos obligados deben poner en práctica, políticas y programas de acceso a la información que se apeguen a criterios de publicidad, veracidad, oportunidad, precisión y suficiencia en beneficio de los solicitantes.</w:t>
      </w:r>
    </w:p>
    <w:p w14:paraId="5617A2AF" w14:textId="77777777" w:rsidR="00AA290B" w:rsidRDefault="00AA290B" w:rsidP="00AA290B">
      <w:pPr>
        <w:pStyle w:val="Fundamentos"/>
      </w:pPr>
    </w:p>
    <w:p w14:paraId="63C8F4E7" w14:textId="77777777" w:rsidR="00AA290B" w:rsidRPr="00AF5B98" w:rsidRDefault="00AA290B" w:rsidP="00AA290B">
      <w:pPr>
        <w:pStyle w:val="Fundamentos"/>
        <w:rPr>
          <w:lang w:val="es-MX"/>
        </w:rPr>
      </w:pPr>
      <w:r w:rsidRPr="00AF5B98">
        <w:rPr>
          <w:b/>
          <w:lang w:val="es-MX"/>
        </w:rPr>
        <w:t xml:space="preserve">Artículo 12. </w:t>
      </w:r>
      <w:r w:rsidRPr="00AF5B98">
        <w:rPr>
          <w:lang w:val="es-MX"/>
        </w:rPr>
        <w:t>Quienes generen, recopilen, administren, manejen, procesen, archiven o conserven información pública serán responsables de la misma en los términos de las disposiciones jurídicas aplicables.</w:t>
      </w:r>
    </w:p>
    <w:p w14:paraId="2F684040" w14:textId="77777777" w:rsidR="00AA290B" w:rsidRPr="00AF5B98" w:rsidRDefault="00AA290B" w:rsidP="00AA290B">
      <w:pPr>
        <w:pStyle w:val="Fundamentos"/>
        <w:rPr>
          <w:lang w:val="es-MX"/>
        </w:rPr>
      </w:pPr>
    </w:p>
    <w:p w14:paraId="4D75942B" w14:textId="77777777" w:rsidR="00AA290B" w:rsidRPr="00AF5B98" w:rsidRDefault="00AA290B" w:rsidP="00AA290B">
      <w:pPr>
        <w:pStyle w:val="Fundamentos"/>
        <w:rPr>
          <w:lang w:val="es-MX"/>
        </w:rPr>
      </w:pPr>
      <w:r w:rsidRPr="00AF5B98">
        <w:rPr>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C202F3" w14:textId="77777777" w:rsidR="00AA290B" w:rsidRDefault="00AA290B" w:rsidP="00AA290B">
      <w:pPr>
        <w:contextualSpacing/>
        <w:rPr>
          <w:rFonts w:eastAsia="Palatino Linotype" w:cs="Palatino Linotype"/>
          <w:szCs w:val="24"/>
        </w:rPr>
      </w:pPr>
    </w:p>
    <w:p w14:paraId="57F7E923" w14:textId="77777777" w:rsidR="00AA290B" w:rsidRDefault="00AA290B" w:rsidP="00AA290B">
      <w:pPr>
        <w:contextualSpacing/>
        <w:rPr>
          <w:rFonts w:eastAsia="Palatino Linotype" w:cs="Palatino Linotype"/>
          <w:szCs w:val="24"/>
          <w:lang w:val="es-MX"/>
        </w:rPr>
      </w:pPr>
      <w:r>
        <w:rPr>
          <w:rFonts w:eastAsia="Palatino Linotype" w:cs="Palatino Linotype"/>
          <w:szCs w:val="24"/>
        </w:rPr>
        <w:t xml:space="preserve">De lo anterior se desprende que toda la información generada, poseída o administrada por los sujetos obligados es pública, y que los sujetos obligados sólo están constreñidos a proporcionar la información que se les requiera </w:t>
      </w:r>
      <w:r>
        <w:rPr>
          <w:rFonts w:eastAsia="Palatino Linotype" w:cs="Palatino Linotype"/>
          <w:b/>
          <w:szCs w:val="24"/>
        </w:rPr>
        <w:t>y que obre en sus archivos y en el estado en el que esta se encuentre</w:t>
      </w:r>
      <w:r>
        <w:rPr>
          <w:rFonts w:eastAsia="Palatino Linotype" w:cs="Palatino Linotype"/>
          <w:szCs w:val="24"/>
        </w:rPr>
        <w:t xml:space="preserve">, sin estar obligados a presentarla conforme al interés del solicitante ni a generarla, resumirla, efectuar cálculos o practicar investigaciones. </w:t>
      </w:r>
      <w:r>
        <w:rPr>
          <w:rFonts w:eastAsia="Palatino Linotype" w:cs="Palatino Linotype"/>
          <w:szCs w:val="24"/>
          <w:lang w:val="es-MX"/>
        </w:rPr>
        <w:t xml:space="preserve">Lo anterior implica que para satisfacer el derecho de acceso a la información </w:t>
      </w:r>
      <w:r w:rsidRPr="00AF5B98">
        <w:rPr>
          <w:rFonts w:eastAsia="Palatino Linotype" w:cs="Palatino Linotype"/>
          <w:b/>
          <w:szCs w:val="24"/>
          <w:lang w:val="es-MX"/>
        </w:rPr>
        <w:t>los sujetos obligados deberán entregar la información que hayan generado con anterioridad a las solicitudes de información</w:t>
      </w:r>
      <w:r>
        <w:rPr>
          <w:rFonts w:eastAsia="Palatino Linotype" w:cs="Palatino Linotype"/>
          <w:szCs w:val="24"/>
          <w:lang w:val="es-MX"/>
        </w:rPr>
        <w:t xml:space="preserve"> y que conste en algún documento, en el estado en el que ésta se encuentre en sus archivos.</w:t>
      </w:r>
    </w:p>
    <w:p w14:paraId="5CB7BAC8" w14:textId="77777777" w:rsidR="00AA290B" w:rsidRDefault="00AA290B" w:rsidP="00AA290B">
      <w:pPr>
        <w:contextualSpacing/>
        <w:rPr>
          <w:rFonts w:eastAsia="Palatino Linotype" w:cs="Palatino Linotype"/>
          <w:szCs w:val="24"/>
          <w:lang w:val="es-MX"/>
        </w:rPr>
      </w:pPr>
    </w:p>
    <w:p w14:paraId="0F85670C" w14:textId="77777777" w:rsidR="00AA290B" w:rsidRPr="00FC7C24" w:rsidRDefault="00AA290B" w:rsidP="00AA290B">
      <w:pPr>
        <w:rPr>
          <w:rFonts w:eastAsia="Times New Roman" w:cs="Times New Roman"/>
          <w:i/>
          <w:szCs w:val="24"/>
          <w:lang w:eastAsia="es-ES"/>
        </w:rPr>
      </w:pPr>
      <w:r>
        <w:rPr>
          <w:rFonts w:eastAsia="Palatino Linotype" w:cs="Palatino Linotype"/>
          <w:szCs w:val="24"/>
          <w:lang w:val="es-MX"/>
        </w:rPr>
        <w:t xml:space="preserve">Esta conclusión se robustece con la </w:t>
      </w:r>
      <w:r w:rsidRPr="00FC7C24">
        <w:rPr>
          <w:rFonts w:eastAsia="Times New Roman" w:cs="Times New Roman"/>
          <w:szCs w:val="24"/>
          <w:lang w:eastAsia="es-ES"/>
        </w:rPr>
        <w:t>definición de derecho a la información de</w:t>
      </w:r>
      <w:r>
        <w:rPr>
          <w:rFonts w:eastAsia="Times New Roman" w:cs="Times New Roman"/>
          <w:szCs w:val="24"/>
          <w:lang w:eastAsia="es-ES"/>
        </w:rPr>
        <w:t>l doctor</w:t>
      </w:r>
      <w:r w:rsidRPr="00FC7C24">
        <w:rPr>
          <w:rFonts w:eastAsia="Times New Roman" w:cs="Times New Roman"/>
          <w:szCs w:val="24"/>
          <w:lang w:eastAsia="es-ES"/>
        </w:rPr>
        <w:t xml:space="preserve"> Ernesto Villanueva </w:t>
      </w:r>
      <w:proofErr w:type="spellStart"/>
      <w:r w:rsidRPr="00FC7C24">
        <w:rPr>
          <w:rFonts w:eastAsia="Times New Roman" w:cs="Times New Roman"/>
          <w:szCs w:val="24"/>
          <w:lang w:eastAsia="es-ES"/>
        </w:rPr>
        <w:t>Villanueva</w:t>
      </w:r>
      <w:proofErr w:type="spellEnd"/>
      <w:r w:rsidRPr="00FC7C24">
        <w:rPr>
          <w:rFonts w:eastAsia="Times New Roman" w:cs="Times New Roman"/>
          <w:szCs w:val="24"/>
          <w:lang w:eastAsia="es-ES"/>
        </w:rPr>
        <w:t xml:space="preserve"> </w:t>
      </w:r>
      <w:r>
        <w:rPr>
          <w:rFonts w:eastAsia="Times New Roman" w:cs="Times New Roman"/>
          <w:szCs w:val="24"/>
          <w:lang w:eastAsia="es-ES"/>
        </w:rPr>
        <w:t>quien la define como</w:t>
      </w:r>
      <w:r w:rsidRPr="00FC7C24">
        <w:rPr>
          <w:rFonts w:eastAsia="Times New Roman" w:cs="Times New Roman"/>
          <w:szCs w:val="24"/>
          <w:lang w:eastAsia="es-ES"/>
        </w:rPr>
        <w:t xml:space="preserve"> </w:t>
      </w:r>
      <w:r w:rsidRPr="00FC7C24">
        <w:rPr>
          <w:rFonts w:eastAsia="Times New Roman" w:cs="Times New Roman"/>
          <w:i/>
          <w:szCs w:val="24"/>
          <w:lang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C7C24">
        <w:rPr>
          <w:rFonts w:eastAsia="Times New Roman" w:cs="Times New Roman"/>
          <w:i/>
          <w:szCs w:val="24"/>
          <w:vertAlign w:val="superscript"/>
          <w:lang w:eastAsia="es-ES"/>
        </w:rPr>
        <w:footnoteReference w:id="3"/>
      </w:r>
      <w:r w:rsidRPr="00FC7C24">
        <w:rPr>
          <w:rFonts w:eastAsia="Times New Roman" w:cs="Times New Roman"/>
          <w:i/>
          <w:szCs w:val="24"/>
          <w:lang w:eastAsia="es-ES"/>
        </w:rPr>
        <w:t xml:space="preserve"> (Sic)</w:t>
      </w:r>
    </w:p>
    <w:p w14:paraId="0BCEE96A" w14:textId="77777777" w:rsidR="00AA290B" w:rsidRPr="00AF5B98" w:rsidRDefault="00AA290B" w:rsidP="00AA290B">
      <w:pPr>
        <w:rPr>
          <w:rFonts w:eastAsia="Times New Roman" w:cs="Arial"/>
          <w:iCs/>
          <w:color w:val="000000" w:themeColor="text1"/>
          <w:szCs w:val="24"/>
          <w:lang w:eastAsia="es-ES"/>
        </w:rPr>
      </w:pPr>
    </w:p>
    <w:p w14:paraId="1BDD47E0" w14:textId="77777777" w:rsidR="00AA290B" w:rsidRPr="00FC7C24" w:rsidRDefault="00AA290B" w:rsidP="00AA290B">
      <w:pPr>
        <w:rPr>
          <w:rFonts w:eastAsia="Times New Roman" w:cs="Arial"/>
          <w:szCs w:val="24"/>
          <w:lang w:eastAsia="es-ES"/>
        </w:rPr>
      </w:pPr>
      <w:r w:rsidRPr="00FC7C24">
        <w:rPr>
          <w:rFonts w:eastAsia="Times New Roman" w:cs="Arial"/>
          <w:szCs w:val="24"/>
          <w:lang w:eastAsia="es-ES"/>
        </w:rPr>
        <w:t>Ahora bien</w:t>
      </w:r>
      <w:r>
        <w:rPr>
          <w:rFonts w:eastAsia="Times New Roman" w:cs="Arial"/>
          <w:szCs w:val="24"/>
          <w:lang w:eastAsia="es-ES"/>
        </w:rPr>
        <w:t>,</w:t>
      </w:r>
      <w:r w:rsidRPr="00FC7C24">
        <w:rPr>
          <w:rFonts w:eastAsia="Times New Roman" w:cs="Arial"/>
          <w:szCs w:val="24"/>
          <w:lang w:eastAsia="es-ES"/>
        </w:rPr>
        <w:t xml:space="preserve"> para entender los alcances de la información pública se considera importante citar el criterio </w:t>
      </w:r>
      <w:r w:rsidRPr="00FC7C24">
        <w:rPr>
          <w:rFonts w:eastAsia="Times New Roman" w:cs="Arial"/>
          <w:bCs/>
          <w:szCs w:val="24"/>
        </w:rPr>
        <w:t xml:space="preserve">de interpretación 0002-11, emitido por Acuerdo del Pleno de este Instituto </w:t>
      </w:r>
      <w:r w:rsidRPr="00FC7C24">
        <w:rPr>
          <w:rFonts w:eastAsia="Times New Roman" w:cs="Arial"/>
          <w:bCs/>
          <w:szCs w:val="24"/>
        </w:rPr>
        <w:lastRenderedPageBreak/>
        <w:t xml:space="preserve">de Transparencia y Acceso a la Información Pública del Estado de México y Municipios, publicado en el Periódico Oficial del Gobierno del Estado Libre y Soberano de México “Gaceta del Gobierno” el diecinueve de octubre de dos mil once, </w:t>
      </w:r>
      <w:r w:rsidRPr="00FC7C24">
        <w:rPr>
          <w:rFonts w:eastAsia="Times New Roman" w:cs="Arial"/>
          <w:szCs w:val="24"/>
          <w:lang w:eastAsia="es-ES"/>
        </w:rPr>
        <w:t>cuyo rubro y texto dispone</w:t>
      </w:r>
      <w:r>
        <w:rPr>
          <w:rFonts w:eastAsia="Times New Roman" w:cs="Arial"/>
          <w:szCs w:val="24"/>
          <w:lang w:eastAsia="es-ES"/>
        </w:rPr>
        <w:t xml:space="preserve"> lo siguiente</w:t>
      </w:r>
      <w:r w:rsidRPr="00FC7C24">
        <w:rPr>
          <w:rFonts w:eastAsia="Times New Roman" w:cs="Arial"/>
          <w:szCs w:val="24"/>
          <w:lang w:eastAsia="es-ES"/>
        </w:rPr>
        <w:t>:</w:t>
      </w:r>
    </w:p>
    <w:p w14:paraId="131B10FA" w14:textId="77777777" w:rsidR="00AA290B" w:rsidRPr="000A27B1" w:rsidRDefault="00AA290B" w:rsidP="00AA290B">
      <w:pPr>
        <w:rPr>
          <w:rFonts w:eastAsia="Times New Roman" w:cs="Arial"/>
          <w:szCs w:val="24"/>
          <w:lang w:eastAsia="es-ES"/>
        </w:rPr>
      </w:pPr>
    </w:p>
    <w:p w14:paraId="10670DEE" w14:textId="77777777" w:rsidR="00AA290B" w:rsidRDefault="00AA290B" w:rsidP="00AA290B">
      <w:pPr>
        <w:pStyle w:val="Fundamentos"/>
      </w:pPr>
      <w:r w:rsidRPr="00C82D3C">
        <w:rPr>
          <w:b/>
          <w:bCs/>
        </w:rPr>
        <w:t>INFORMACIÓN PÚBLICA, CONCEPTO DE, EN MATERIA DE TRANSPARENCIA. INTERPRETACIÓN TEMÁTICA DE LOS ARTÍCULOS 2, FRACCIÓN V, XV, Y XVI, 32, 4,11 Y 41.</w:t>
      </w:r>
      <w:r w:rsidRPr="000A27B1">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C8E2565" w14:textId="77777777" w:rsidR="00AA290B" w:rsidRPr="000A27B1" w:rsidRDefault="00AA290B" w:rsidP="00AA290B">
      <w:pPr>
        <w:pStyle w:val="Fundamentos"/>
      </w:pPr>
    </w:p>
    <w:p w14:paraId="543D8DE6" w14:textId="77777777" w:rsidR="00AA290B" w:rsidRDefault="00AA290B" w:rsidP="00AA290B">
      <w:pPr>
        <w:pStyle w:val="Fundamentos"/>
      </w:pPr>
      <w:r w:rsidRPr="000A27B1">
        <w:t>En consecuencia el acceso a la información se refiere a que se cumplan cualquiera de los siguientes tres supuestos:</w:t>
      </w:r>
    </w:p>
    <w:p w14:paraId="58799435" w14:textId="77777777" w:rsidR="00AA290B" w:rsidRPr="000A27B1" w:rsidRDefault="00AA290B" w:rsidP="00AA290B">
      <w:pPr>
        <w:pStyle w:val="Fundamentos"/>
      </w:pPr>
    </w:p>
    <w:p w14:paraId="4B37A56C" w14:textId="77777777" w:rsidR="00AA290B" w:rsidRDefault="00AA290B" w:rsidP="00AA290B">
      <w:pPr>
        <w:pStyle w:val="Fundamentos"/>
      </w:pPr>
      <w:r w:rsidRPr="000A27B1">
        <w:t>Que se trate de información registrada en cualquier soporte documental, que en ejercicio de las atribuciones conferidas, sea generada por los Sujetos Obligados;</w:t>
      </w:r>
    </w:p>
    <w:p w14:paraId="30D1F6DA" w14:textId="77777777" w:rsidR="00AA290B" w:rsidRPr="000A27B1" w:rsidRDefault="00AA290B" w:rsidP="00AA290B">
      <w:pPr>
        <w:pStyle w:val="Fundamentos"/>
      </w:pPr>
    </w:p>
    <w:p w14:paraId="01F7E224" w14:textId="77777777" w:rsidR="00AA290B" w:rsidRDefault="00AA290B" w:rsidP="00AA290B">
      <w:pPr>
        <w:pStyle w:val="Fundamentos"/>
      </w:pPr>
      <w:r w:rsidRPr="000A27B1">
        <w:t>Que se trate de información registrada en cualquier soporte documental, que en ejercicio de las atribuciones conferidas, sea administrada por los Sujetos Obligados, y</w:t>
      </w:r>
    </w:p>
    <w:p w14:paraId="1DAB237F" w14:textId="77777777" w:rsidR="00AA290B" w:rsidRPr="000A27B1" w:rsidRDefault="00AA290B" w:rsidP="00AA290B">
      <w:pPr>
        <w:pStyle w:val="Fundamentos"/>
      </w:pPr>
    </w:p>
    <w:p w14:paraId="497D7D41" w14:textId="77777777" w:rsidR="00AA290B" w:rsidRPr="000A27B1" w:rsidRDefault="00AA290B" w:rsidP="00AA290B">
      <w:pPr>
        <w:pStyle w:val="Fundamentos"/>
      </w:pPr>
      <w:r w:rsidRPr="000A27B1">
        <w:t>Que se trate de información registrada en cualquier soporte documental, que en ejercicio de las atribuciones conferidas, se encuentre en posesión de los Sujetos Obligados.</w:t>
      </w:r>
    </w:p>
    <w:p w14:paraId="6E3B0758" w14:textId="77777777" w:rsidR="00AA290B" w:rsidRPr="000A27B1" w:rsidRDefault="00AA290B" w:rsidP="00AA290B">
      <w:pPr>
        <w:rPr>
          <w:rFonts w:eastAsia="Times New Roman" w:cs="Times New Roman"/>
          <w:szCs w:val="24"/>
          <w:lang w:eastAsia="es-ES"/>
        </w:rPr>
      </w:pPr>
    </w:p>
    <w:p w14:paraId="5BE3B2B6" w14:textId="77777777" w:rsidR="00AA290B" w:rsidRDefault="00AA290B" w:rsidP="00AA290B">
      <w:pPr>
        <w:rPr>
          <w:rFonts w:eastAsia="Times New Roman" w:cs="Times New Roman"/>
          <w:bCs/>
          <w:szCs w:val="24"/>
        </w:rPr>
      </w:pPr>
      <w:r>
        <w:rPr>
          <w:rFonts w:eastAsia="Times New Roman" w:cs="Times New Roman"/>
          <w:szCs w:val="24"/>
        </w:rPr>
        <w:t>Por tanto</w:t>
      </w:r>
      <w:r w:rsidRPr="000A27B1">
        <w:rPr>
          <w:rFonts w:eastAsia="Times New Roman" w:cs="Times New Roman"/>
          <w:szCs w:val="24"/>
        </w:rPr>
        <w:t xml:space="preserve">, el derecho a la información constituye </w:t>
      </w:r>
      <w:r w:rsidRPr="00AF5B98">
        <w:rPr>
          <w:rFonts w:eastAsia="Times New Roman" w:cs="Times New Roman"/>
          <w:b/>
          <w:szCs w:val="24"/>
        </w:rPr>
        <w:t>una prerrogativa a acceder a documentación que obra en los archivos de los sujetos obligados</w:t>
      </w:r>
      <w:r>
        <w:rPr>
          <w:rFonts w:eastAsia="Times New Roman" w:cs="Times New Roman"/>
          <w:szCs w:val="24"/>
        </w:rPr>
        <w:t xml:space="preserve">, quienes están constreñidos a proporcionarla </w:t>
      </w:r>
      <w:r w:rsidRPr="00AF5B98">
        <w:rPr>
          <w:rFonts w:eastAsia="Times New Roman" w:cs="Times New Roman"/>
          <w:bCs/>
          <w:szCs w:val="24"/>
        </w:rPr>
        <w:t>en el estado en el que se encuentre</w:t>
      </w:r>
      <w:r>
        <w:rPr>
          <w:rFonts w:eastAsia="Times New Roman" w:cs="Times New Roman"/>
          <w:bCs/>
          <w:szCs w:val="24"/>
        </w:rPr>
        <w:t xml:space="preserve">, y este </w:t>
      </w:r>
      <w:r w:rsidRPr="003344FE">
        <w:rPr>
          <w:rFonts w:eastAsia="Times New Roman" w:cs="Times New Roman"/>
          <w:b/>
          <w:bCs/>
          <w:szCs w:val="24"/>
        </w:rPr>
        <w:t>se colma cuando se hace entrega de un documento en el que obre la información solicitada</w:t>
      </w:r>
      <w:r>
        <w:rPr>
          <w:rFonts w:eastAsia="Times New Roman" w:cs="Times New Roman"/>
          <w:bCs/>
          <w:szCs w:val="24"/>
        </w:rPr>
        <w:t>.</w:t>
      </w:r>
    </w:p>
    <w:p w14:paraId="7AD795F3" w14:textId="77777777" w:rsidR="00AA290B" w:rsidRDefault="00AA290B" w:rsidP="00AA290B">
      <w:pPr>
        <w:rPr>
          <w:rFonts w:eastAsia="Times New Roman" w:cs="Times New Roman"/>
          <w:bCs/>
          <w:szCs w:val="24"/>
        </w:rPr>
      </w:pPr>
    </w:p>
    <w:p w14:paraId="6688E0DA" w14:textId="209272C2" w:rsidR="00AA290B" w:rsidRPr="00AA290B" w:rsidRDefault="72334B3D" w:rsidP="72334B3D">
      <w:pPr>
        <w:rPr>
          <w:rFonts w:eastAsiaTheme="minorEastAsia" w:cstheme="minorBidi"/>
          <w:lang w:eastAsia="en-US"/>
        </w:rPr>
      </w:pPr>
      <w:r w:rsidRPr="72334B3D">
        <w:rPr>
          <w:rFonts w:eastAsia="Times New Roman" w:cs="Times New Roman"/>
        </w:rPr>
        <w:lastRenderedPageBreak/>
        <w:t xml:space="preserve">Es importante referir que los sujetos obligados </w:t>
      </w:r>
      <w:r w:rsidRPr="72334B3D">
        <w:rPr>
          <w:rFonts w:eastAsia="Times New Roman" w:cs="Times New Roman"/>
          <w:b/>
          <w:bCs/>
        </w:rPr>
        <w:t xml:space="preserve">no se encuentren constreñidos a generar documentos </w:t>
      </w:r>
      <w:r w:rsidRPr="72334B3D">
        <w:rPr>
          <w:rFonts w:eastAsia="Times New Roman" w:cs="Times New Roman"/>
          <w:b/>
          <w:bCs/>
          <w:i/>
          <w:iCs/>
        </w:rPr>
        <w:t>ad hoc</w:t>
      </w:r>
      <w:r w:rsidRPr="72334B3D">
        <w:rPr>
          <w:rFonts w:eastAsia="Times New Roman" w:cs="Times New Roman"/>
          <w:b/>
          <w:bCs/>
        </w:rPr>
        <w:t xml:space="preserve"> para satisfacer los requerimientos planteados por los solicitantes</w:t>
      </w:r>
      <w:r w:rsidRPr="72334B3D">
        <w:rPr>
          <w:rFonts w:eastAsia="Times New Roman" w:cs="Times New Roman"/>
        </w:rPr>
        <w:t xml:space="preserve">, tal como se establece en el </w:t>
      </w:r>
      <w:r w:rsidRPr="72334B3D">
        <w:rPr>
          <w:rFonts w:eastAsiaTheme="minorEastAsia" w:cstheme="minorBidi"/>
          <w:lang w:eastAsia="en-US"/>
        </w:rPr>
        <w:t>Criterio 03/17 emitido por el Instituto Nacional de Transparencia, Acceso a la Información y Protección de Datos Personales, que a la letra dispone lo siguiente:</w:t>
      </w:r>
    </w:p>
    <w:p w14:paraId="2C27099A" w14:textId="77777777" w:rsidR="00AA290B" w:rsidRPr="00AA290B" w:rsidRDefault="00AA290B" w:rsidP="00AA290B">
      <w:pPr>
        <w:rPr>
          <w:rFonts w:eastAsiaTheme="minorHAnsi" w:cstheme="minorBidi"/>
          <w:szCs w:val="24"/>
          <w:lang w:eastAsia="en-US"/>
        </w:rPr>
      </w:pPr>
    </w:p>
    <w:p w14:paraId="70A81CD4" w14:textId="77777777" w:rsidR="00AA290B" w:rsidRPr="00AA290B" w:rsidRDefault="00AA290B" w:rsidP="00AA290B">
      <w:pPr>
        <w:spacing w:line="240" w:lineRule="auto"/>
        <w:ind w:left="567" w:right="616"/>
        <w:rPr>
          <w:rFonts w:eastAsiaTheme="minorHAnsi" w:cstheme="minorBidi"/>
          <w:i/>
          <w:sz w:val="22"/>
          <w:lang w:eastAsia="en-US"/>
        </w:rPr>
      </w:pPr>
      <w:r w:rsidRPr="00AA290B">
        <w:rPr>
          <w:rFonts w:eastAsiaTheme="minorHAnsi" w:cstheme="minorBidi"/>
          <w:b/>
          <w:i/>
          <w:sz w:val="22"/>
          <w:lang w:eastAsia="en-US"/>
        </w:rPr>
        <w:t xml:space="preserve">No existe obligación de elaborar documentos </w:t>
      </w:r>
      <w:r w:rsidRPr="00AA290B">
        <w:rPr>
          <w:rFonts w:eastAsiaTheme="minorHAnsi" w:cstheme="minorBidi"/>
          <w:b/>
          <w:sz w:val="22"/>
          <w:lang w:eastAsia="en-US"/>
        </w:rPr>
        <w:t>ad hoc</w:t>
      </w:r>
      <w:r w:rsidRPr="00AA290B">
        <w:rPr>
          <w:rFonts w:eastAsiaTheme="minorHAnsi" w:cstheme="minorBidi"/>
          <w:b/>
          <w:i/>
          <w:sz w:val="22"/>
          <w:lang w:eastAsia="en-US"/>
        </w:rPr>
        <w:t xml:space="preserve"> para atender las solicitudes de acceso a la información. </w:t>
      </w:r>
      <w:r w:rsidRPr="00AA290B">
        <w:rPr>
          <w:rFonts w:eastAsiaTheme="minorHAnsi" w:cstheme="minorBidi"/>
          <w:i/>
          <w:sz w:val="22"/>
          <w:lang w:eastAsia="en-U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AA290B">
        <w:rPr>
          <w:rFonts w:eastAsiaTheme="minorHAnsi" w:cstheme="minorBidi"/>
          <w:sz w:val="22"/>
          <w:lang w:eastAsia="en-US"/>
        </w:rPr>
        <w:t>ad hoc</w:t>
      </w:r>
      <w:r w:rsidRPr="00AA290B">
        <w:rPr>
          <w:rFonts w:eastAsiaTheme="minorHAnsi" w:cstheme="minorBidi"/>
          <w:i/>
          <w:sz w:val="22"/>
          <w:lang w:eastAsia="en-US"/>
        </w:rPr>
        <w:t xml:space="preserve"> para atender las solicitudes de información.</w:t>
      </w:r>
    </w:p>
    <w:p w14:paraId="7C66E095" w14:textId="77777777" w:rsidR="00AA290B" w:rsidRDefault="00AA290B" w:rsidP="00AA290B">
      <w:pPr>
        <w:rPr>
          <w:rFonts w:eastAsiaTheme="minorHAnsi" w:cstheme="minorBidi"/>
          <w:szCs w:val="24"/>
          <w:lang w:eastAsia="en-US"/>
        </w:rPr>
      </w:pPr>
    </w:p>
    <w:p w14:paraId="7279560F" w14:textId="4503C7C4" w:rsidR="00AA290B" w:rsidRDefault="00AA290B" w:rsidP="00AA290B">
      <w:pPr>
        <w:rPr>
          <w:rFonts w:eastAsiaTheme="minorHAnsi" w:cstheme="minorBidi"/>
          <w:szCs w:val="24"/>
          <w:lang w:eastAsia="en-US"/>
        </w:rPr>
      </w:pPr>
      <w:r>
        <w:rPr>
          <w:rFonts w:eastAsiaTheme="minorHAnsi" w:cstheme="minorBidi"/>
          <w:szCs w:val="24"/>
          <w:lang w:eastAsia="en-US"/>
        </w:rPr>
        <w:t xml:space="preserve">Empero, si bien es cierto </w:t>
      </w:r>
      <w:r w:rsidR="003344FE">
        <w:rPr>
          <w:rFonts w:eastAsiaTheme="minorHAnsi" w:cstheme="minorBidi"/>
          <w:szCs w:val="24"/>
          <w:lang w:eastAsia="en-US"/>
        </w:rPr>
        <w:t xml:space="preserve">que los sujetos obligados no están compelidos a generar documentos </w:t>
      </w:r>
      <w:r w:rsidR="003344FE">
        <w:rPr>
          <w:rFonts w:eastAsiaTheme="minorHAnsi" w:cstheme="minorBidi"/>
          <w:i/>
          <w:szCs w:val="24"/>
          <w:lang w:eastAsia="en-US"/>
        </w:rPr>
        <w:t>ad hoc</w:t>
      </w:r>
      <w:r w:rsidR="003344FE">
        <w:rPr>
          <w:rFonts w:eastAsiaTheme="minorHAnsi" w:cstheme="minorBidi"/>
          <w:szCs w:val="24"/>
          <w:lang w:eastAsia="en-U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60E179A0" w14:textId="77777777" w:rsidR="003344FE" w:rsidRDefault="003344FE" w:rsidP="00AA290B">
      <w:pPr>
        <w:rPr>
          <w:rFonts w:eastAsiaTheme="minorHAnsi" w:cstheme="minorBidi"/>
          <w:szCs w:val="24"/>
          <w:lang w:eastAsia="en-US"/>
        </w:rPr>
      </w:pPr>
    </w:p>
    <w:p w14:paraId="681E310C" w14:textId="77777777" w:rsidR="003C3655" w:rsidRPr="00120451" w:rsidRDefault="003C3655" w:rsidP="003C3655">
      <w:pPr>
        <w:contextualSpacing/>
        <w:rPr>
          <w:rFonts w:eastAsia="Palatino Linotype" w:cs="Palatino Linotype"/>
          <w:szCs w:val="24"/>
        </w:rPr>
      </w:pPr>
      <w:r>
        <w:rPr>
          <w:rFonts w:eastAsiaTheme="minorHAnsi" w:cstheme="minorBidi"/>
          <w:szCs w:val="24"/>
          <w:lang w:eastAsia="en-US"/>
        </w:rPr>
        <w:t>Asimismo</w:t>
      </w:r>
      <w:r w:rsidR="003344FE">
        <w:rPr>
          <w:rFonts w:eastAsiaTheme="minorHAnsi" w:cstheme="minorBidi"/>
          <w:szCs w:val="24"/>
          <w:lang w:eastAsia="en-US"/>
        </w:rPr>
        <w:t>, dado que el área competente p</w:t>
      </w:r>
      <w:r>
        <w:rPr>
          <w:rFonts w:eastAsiaTheme="minorHAnsi" w:cstheme="minorBidi"/>
          <w:szCs w:val="24"/>
          <w:lang w:eastAsia="en-US"/>
        </w:rPr>
        <w:t xml:space="preserve">ara generar, poseer o administrar la información requerida elaboró un documento en el que obra la información solicitada por el particular, </w:t>
      </w:r>
      <w:r w:rsidRPr="00120451">
        <w:rPr>
          <w:rFonts w:eastAsia="Palatino Linotype" w:cs="Palatino Linotype"/>
          <w:szCs w:val="24"/>
        </w:rPr>
        <w:t xml:space="preserve">este Órgano Garante estima conveniente señalar que no está facultado para manifestarse sobre la veracidad de la información proporcionada, ya que no existe precepto legal alguna en la Ley de la Materia que permita, vía recurso de revisión, que se </w:t>
      </w:r>
      <w:r w:rsidRPr="00120451">
        <w:rPr>
          <w:rFonts w:eastAsia="Palatino Linotype" w:cs="Palatino Linotype"/>
          <w:szCs w:val="24"/>
        </w:rPr>
        <w:lastRenderedPageBreak/>
        <w:t>pronuncie al respecto. Por analogía, sirve de apoyo a lo anterior el Criterio 31/10 emitido por el entonces Instituto Federal de Accesos a la Información y Protección de Datos</w:t>
      </w:r>
      <w:r>
        <w:rPr>
          <w:rFonts w:eastAsia="Palatino Linotype" w:cs="Palatino Linotype"/>
          <w:szCs w:val="24"/>
        </w:rPr>
        <w:t xml:space="preserve"> (INAI)</w:t>
      </w:r>
      <w:r w:rsidRPr="00120451">
        <w:rPr>
          <w:rFonts w:eastAsia="Palatino Linotype" w:cs="Palatino Linotype"/>
          <w:szCs w:val="24"/>
        </w:rPr>
        <w:t>, que a la letra establece lo siguiente:</w:t>
      </w:r>
    </w:p>
    <w:p w14:paraId="694C8674" w14:textId="77777777" w:rsidR="003C3655" w:rsidRPr="00120451" w:rsidRDefault="003C3655" w:rsidP="003C3655">
      <w:pPr>
        <w:contextualSpacing/>
        <w:rPr>
          <w:rFonts w:eastAsia="Palatino Linotype" w:cs="Palatino Linotype"/>
          <w:szCs w:val="24"/>
        </w:rPr>
      </w:pPr>
    </w:p>
    <w:p w14:paraId="37CEFBF7" w14:textId="77777777" w:rsidR="003C3655" w:rsidRPr="00120451" w:rsidRDefault="003C3655" w:rsidP="003C3655">
      <w:pPr>
        <w:spacing w:line="240" w:lineRule="auto"/>
        <w:ind w:left="567" w:right="567"/>
        <w:rPr>
          <w:rFonts w:eastAsia="Palatino Linotype" w:cs="Times New Roman"/>
          <w:i/>
          <w:sz w:val="22"/>
          <w:szCs w:val="24"/>
          <w:lang w:eastAsia="es-ES"/>
        </w:rPr>
      </w:pPr>
      <w:r w:rsidRPr="00120451">
        <w:rPr>
          <w:rFonts w:eastAsia="Palatino Linotype" w:cs="Times New Roman"/>
          <w:b/>
          <w:i/>
          <w:sz w:val="22"/>
          <w:szCs w:val="24"/>
          <w:lang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AA4F4D2" w14:textId="77777777" w:rsidR="003C3655" w:rsidRPr="003D0B8D" w:rsidRDefault="003C3655" w:rsidP="003C3655">
      <w:pPr>
        <w:rPr>
          <w:rFonts w:eastAsia="Palatino Linotype" w:cs="Palatino Linotype"/>
          <w:szCs w:val="24"/>
        </w:rPr>
      </w:pPr>
    </w:p>
    <w:p w14:paraId="4550D7B5" w14:textId="1D824C95" w:rsidR="003C3655" w:rsidRPr="00867C1E" w:rsidRDefault="003C3655" w:rsidP="003C3655">
      <w:pPr>
        <w:rPr>
          <w:szCs w:val="24"/>
        </w:rPr>
      </w:pPr>
      <w:r>
        <w:rPr>
          <w:rFonts w:eastAsia="Palatino Linotype" w:cs="Palatino Linotype"/>
          <w:color w:val="000000"/>
          <w:szCs w:val="24"/>
        </w:rPr>
        <w:t xml:space="preserve">Por lo anterior, se estima que la información proporcionada mediante el documento remitido en respuesta es veraz y suficiente para </w:t>
      </w:r>
      <w:r>
        <w:rPr>
          <w:szCs w:val="24"/>
        </w:rPr>
        <w:t>colmar las pretensiones</w:t>
      </w:r>
      <w:r>
        <w:rPr>
          <w:rFonts w:eastAsia="Palatino Linotype" w:cs="Palatino Linotype"/>
          <w:color w:val="000000"/>
        </w:rPr>
        <w:t xml:space="preserve"> del hoy Recurrente y, en consecuencia, </w:t>
      </w:r>
      <w:r w:rsidRPr="00867C1E">
        <w:rPr>
          <w:szCs w:val="24"/>
        </w:rPr>
        <w:t>se tiene</w:t>
      </w:r>
      <w:r>
        <w:rPr>
          <w:szCs w:val="24"/>
        </w:rPr>
        <w:t>n</w:t>
      </w:r>
      <w:r w:rsidRPr="00867C1E">
        <w:rPr>
          <w:szCs w:val="24"/>
        </w:rPr>
        <w:t xml:space="preserve"> por atendid</w:t>
      </w:r>
      <w:r>
        <w:rPr>
          <w:szCs w:val="24"/>
        </w:rPr>
        <w:t>as y por satisfecho su derecho de acceso a la información pública.</w:t>
      </w:r>
    </w:p>
    <w:p w14:paraId="3D137F79" w14:textId="408A0E9F" w:rsidR="003344FE" w:rsidRPr="00AA290B" w:rsidRDefault="003344FE" w:rsidP="00AA290B">
      <w:pPr>
        <w:rPr>
          <w:rFonts w:eastAsiaTheme="minorHAnsi" w:cstheme="minorBidi"/>
          <w:szCs w:val="24"/>
          <w:lang w:eastAsia="en-US"/>
        </w:rPr>
      </w:pPr>
    </w:p>
    <w:p w14:paraId="4F22A15C" w14:textId="21F3C3B2" w:rsidR="003F4924" w:rsidRDefault="00BD4531" w:rsidP="003F492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Por lo argumentado en los párrafos que anteceden</w:t>
      </w:r>
      <w:r w:rsidR="003F4924">
        <w:rPr>
          <w:rFonts w:eastAsia="Palatino Linotype" w:cs="Palatino Linotype"/>
          <w:szCs w:val="24"/>
        </w:rPr>
        <w:t xml:space="preserve">, </w:t>
      </w:r>
      <w:r w:rsidR="003F4924">
        <w:rPr>
          <w:rFonts w:eastAsia="Palatino Linotype" w:cs="Palatino Linotype"/>
          <w:color w:val="000000"/>
          <w:szCs w:val="24"/>
        </w:rPr>
        <w:t>este Instituto estima que el Sujeto Obligado colmó las pretensiones de</w:t>
      </w:r>
      <w:r w:rsidR="009C740B">
        <w:rPr>
          <w:rFonts w:eastAsia="Palatino Linotype" w:cs="Palatino Linotype"/>
          <w:color w:val="000000"/>
          <w:szCs w:val="24"/>
        </w:rPr>
        <w:t>l</w:t>
      </w:r>
      <w:r w:rsidR="003F4924">
        <w:rPr>
          <w:rFonts w:eastAsia="Palatino Linotype" w:cs="Palatino Linotype"/>
          <w:color w:val="000000"/>
          <w:szCs w:val="24"/>
        </w:rPr>
        <w:t xml:space="preserve"> Recurrente </w:t>
      </w:r>
      <w:r w:rsidR="00416868">
        <w:rPr>
          <w:rFonts w:eastAsia="Palatino Linotype" w:cs="Palatino Linotype"/>
          <w:color w:val="000000"/>
          <w:szCs w:val="24"/>
        </w:rPr>
        <w:t xml:space="preserve">con su respuesta </w:t>
      </w:r>
      <w:r w:rsidR="003F4924">
        <w:rPr>
          <w:rFonts w:eastAsia="Palatino Linotype" w:cs="Palatino Linotype"/>
          <w:color w:val="000000"/>
          <w:szCs w:val="24"/>
        </w:rPr>
        <w:t>y</w:t>
      </w:r>
      <w:r w:rsidR="009C740B">
        <w:rPr>
          <w:rFonts w:eastAsia="Palatino Linotype" w:cs="Palatino Linotype"/>
          <w:color w:val="000000"/>
          <w:szCs w:val="24"/>
        </w:rPr>
        <w:t>,</w:t>
      </w:r>
      <w:r w:rsidR="003F4924">
        <w:rPr>
          <w:rFonts w:eastAsia="Palatino Linotype" w:cs="Palatino Linotype"/>
          <w:color w:val="000000"/>
          <w:szCs w:val="24"/>
        </w:rPr>
        <w:t xml:space="preserve"> por tanto</w:t>
      </w:r>
      <w:r w:rsidR="009C740B">
        <w:rPr>
          <w:rFonts w:eastAsia="Palatino Linotype" w:cs="Palatino Linotype"/>
          <w:color w:val="000000"/>
          <w:szCs w:val="24"/>
        </w:rPr>
        <w:t>,</w:t>
      </w:r>
      <w:r w:rsidR="003F4924">
        <w:rPr>
          <w:rFonts w:eastAsia="Palatino Linotype" w:cs="Palatino Linotype"/>
          <w:color w:val="000000"/>
          <w:szCs w:val="24"/>
        </w:rPr>
        <w:t xml:space="preserve"> </w:t>
      </w:r>
      <w:r w:rsidR="009C740B">
        <w:rPr>
          <w:rFonts w:eastAsia="Palatino Linotype" w:cs="Palatino Linotype"/>
          <w:color w:val="000000"/>
          <w:szCs w:val="24"/>
        </w:rPr>
        <w:t>los motivos de inconformidad planteados por el particular devienen</w:t>
      </w:r>
      <w:r w:rsidR="003F4924">
        <w:rPr>
          <w:rFonts w:eastAsia="Palatino Linotype" w:cs="Palatino Linotype"/>
          <w:color w:val="000000"/>
          <w:szCs w:val="24"/>
        </w:rPr>
        <w:t xml:space="preserve"> infundados; por lo que es procedente confirmar la respuesta del Sujeto Obligado.</w:t>
      </w:r>
    </w:p>
    <w:p w14:paraId="533F4A11" w14:textId="7E952F9E" w:rsidR="00713185" w:rsidRDefault="00713185" w:rsidP="006F4C9E">
      <w:pPr>
        <w:pBdr>
          <w:top w:val="nil"/>
          <w:left w:val="nil"/>
          <w:bottom w:val="nil"/>
          <w:right w:val="nil"/>
          <w:between w:val="nil"/>
        </w:pBdr>
        <w:contextualSpacing/>
        <w:rPr>
          <w:rFonts w:eastAsia="Palatino Linotype" w:cs="Palatino Linotype"/>
          <w:szCs w:val="24"/>
        </w:rPr>
      </w:pPr>
    </w:p>
    <w:p w14:paraId="5C2C2F37" w14:textId="6199D209" w:rsidR="007D0042" w:rsidRPr="003F4924" w:rsidRDefault="007D0042" w:rsidP="00D72B70">
      <w:pPr>
        <w:contextualSpacing/>
        <w:rPr>
          <w:rFonts w:eastAsia="Palatino Linotype" w:cs="Palatino Linotype"/>
          <w:color w:val="000000"/>
          <w:szCs w:val="24"/>
        </w:rPr>
      </w:pPr>
      <w:r w:rsidRPr="00A734EA">
        <w:rPr>
          <w:rFonts w:eastAsia="Palatino Linotype" w:cs="Palatino Linotype"/>
          <w:color w:val="000000"/>
          <w:szCs w:val="24"/>
        </w:rPr>
        <w:lastRenderedPageBreak/>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71651F">
        <w:rPr>
          <w:rFonts w:eastAsia="Palatino Linotype" w:cs="Palatino Linotype"/>
          <w:b/>
          <w:bCs/>
          <w:color w:val="000000"/>
          <w:szCs w:val="24"/>
        </w:rPr>
        <w:t>01540/ZINACANT/IP/2023</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760666C6" w14:textId="77777777" w:rsidR="000C65DD" w:rsidRDefault="000C65DD" w:rsidP="00D72B70">
      <w:pPr>
        <w:rPr>
          <w:rFonts w:eastAsia="Times New Roman" w:cs="Times New Roman"/>
          <w:szCs w:val="24"/>
          <w:lang w:eastAsia="es-ES"/>
        </w:rPr>
      </w:pPr>
    </w:p>
    <w:p w14:paraId="2D6EFD24" w14:textId="77777777" w:rsidR="00B95178" w:rsidRPr="00A734EA" w:rsidRDefault="00B95178" w:rsidP="00B95178">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t>R E S U E L V E</w:t>
      </w:r>
    </w:p>
    <w:p w14:paraId="15F20A79" w14:textId="77777777" w:rsidR="00B95178" w:rsidRPr="00A734EA" w:rsidRDefault="00B95178" w:rsidP="00B95178">
      <w:pPr>
        <w:pBdr>
          <w:top w:val="nil"/>
          <w:left w:val="nil"/>
          <w:bottom w:val="nil"/>
          <w:right w:val="nil"/>
          <w:between w:val="nil"/>
        </w:pBdr>
        <w:spacing w:before="240"/>
        <w:contextualSpacing/>
        <w:jc w:val="center"/>
        <w:rPr>
          <w:rFonts w:eastAsia="Palatino Linotype" w:cs="Palatino Linotype"/>
          <w:b/>
          <w:color w:val="000000"/>
          <w:szCs w:val="24"/>
        </w:rPr>
      </w:pPr>
    </w:p>
    <w:p w14:paraId="018886DF" w14:textId="6C675826"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71651F">
        <w:rPr>
          <w:rFonts w:eastAsia="Palatino Linotype" w:cs="Palatino Linotype"/>
          <w:b/>
          <w:bCs/>
          <w:color w:val="000000"/>
          <w:szCs w:val="24"/>
        </w:rPr>
        <w:t>01540/ZINACANT/IP/2023</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l</w:t>
      </w:r>
      <w:r w:rsidR="00BD4531">
        <w:rPr>
          <w:rFonts w:eastAsia="Palatino Linotype" w:cs="Palatino Linotype"/>
          <w:color w:val="000000"/>
          <w:szCs w:val="24"/>
        </w:rPr>
        <w:t>a</w:t>
      </w:r>
      <w:r w:rsidRPr="00A734EA">
        <w:rPr>
          <w:rFonts w:eastAsia="Palatino Linotype" w:cs="Palatino Linotype"/>
          <w:color w:val="000000"/>
          <w:szCs w:val="24"/>
        </w:rPr>
        <w:t xml:space="preserve"> Recurrente, en términos del Considerando </w:t>
      </w:r>
      <w:r w:rsidR="009C740B">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B95178">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B95178">
      <w:pPr>
        <w:pBdr>
          <w:top w:val="nil"/>
          <w:left w:val="nil"/>
          <w:bottom w:val="nil"/>
          <w:right w:val="nil"/>
          <w:between w:val="nil"/>
        </w:pBdr>
        <w:contextualSpacing/>
        <w:rPr>
          <w:rFonts w:eastAsia="Palatino Linotype" w:cs="Palatino Linotype"/>
          <w:color w:val="000000"/>
          <w:szCs w:val="24"/>
        </w:rPr>
      </w:pPr>
    </w:p>
    <w:p w14:paraId="2D56534A" w14:textId="4E3E315B" w:rsidR="00B95178" w:rsidRPr="00F12001" w:rsidRDefault="00B95178" w:rsidP="00B95178">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70042E">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w:t>
      </w:r>
      <w:r w:rsidR="0070042E">
        <w:rPr>
          <w:rFonts w:eastAsia="Palatino Linotype" w:cs="Palatino Linotype"/>
          <w:color w:val="000000"/>
          <w:szCs w:val="24"/>
          <w:lang w:val="es-MX"/>
        </w:rPr>
        <w:t xml:space="preserve"> y</w:t>
      </w:r>
      <w:r w:rsidRPr="00F12001">
        <w:rPr>
          <w:rFonts w:eastAsia="Palatino Linotype" w:cs="Palatino Linotype"/>
          <w:color w:val="000000"/>
          <w:szCs w:val="24"/>
          <w:lang w:val="es-MX"/>
        </w:rPr>
        <w:t xml:space="preserve">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D72B70">
      <w:pPr>
        <w:rPr>
          <w:lang w:val="es-MX"/>
        </w:rPr>
      </w:pPr>
    </w:p>
    <w:p w14:paraId="20573BFF" w14:textId="46077F56" w:rsidR="00A970D5" w:rsidRPr="006922F5" w:rsidRDefault="00861D35" w:rsidP="000C65DD">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ASÍ LO RESUELVE, POR UNANIMIDAD</w:t>
      </w:r>
      <w:r w:rsidR="006922F5">
        <w:rPr>
          <w:rFonts w:eastAsia="Palatino Linotype" w:cs="Palatino Linotype"/>
          <w:color w:val="000000"/>
          <w:szCs w:val="24"/>
        </w:rPr>
        <w:t xml:space="preserve"> DE VOTOS, EL PLENO DEL INSTITUTO DE TRANSPARENCIA, ACCESO A LA INFORMACIÓN PÚBLICA Y PROTECCIÓN DE </w:t>
      </w:r>
      <w:r w:rsidR="006922F5">
        <w:rPr>
          <w:rFonts w:eastAsia="Palatino Linotype" w:cs="Palatino Linotype"/>
          <w:color w:val="000000"/>
          <w:szCs w:val="24"/>
        </w:rPr>
        <w:lastRenderedPageBreak/>
        <w:t xml:space="preserve">DATOS PERSONALES DEL ESTADO DE MÉXICO Y MUNICIPIOS, CONFORMADO POR LOS COMISIONADOS JOSÉ MARTÍNEZ VILCHIS, MARÍA DEL ROSARIO MEJÍA AYALA, SHARON CRISTINA </w:t>
      </w:r>
      <w:r w:rsidR="006922F5" w:rsidRPr="00E21494">
        <w:rPr>
          <w:rFonts w:eastAsia="Palatino Linotype" w:cs="Palatino Linotype"/>
          <w:color w:val="000000"/>
          <w:szCs w:val="24"/>
        </w:rPr>
        <w:t>MORALES MARTÍNEZ, LUIS GUSTAVO PARRA</w:t>
      </w:r>
      <w:r w:rsidR="00A30D38">
        <w:rPr>
          <w:rFonts w:eastAsia="Palatino Linotype" w:cs="Palatino Linotype"/>
          <w:color w:val="000000"/>
          <w:szCs w:val="24"/>
        </w:rPr>
        <w:t xml:space="preserve"> NORIEGA</w:t>
      </w:r>
      <w:r w:rsidR="006922F5" w:rsidRPr="00E21494">
        <w:rPr>
          <w:rFonts w:eastAsia="Palatino Linotype" w:cs="Palatino Linotype"/>
          <w:color w:val="000000"/>
          <w:szCs w:val="24"/>
        </w:rPr>
        <w:t xml:space="preserve"> Y GUADALUPE RAMÍREZ PEÑA, EN LA </w:t>
      </w:r>
      <w:r w:rsidR="005D2495">
        <w:rPr>
          <w:rFonts w:eastAsia="Palatino Linotype" w:cs="Palatino Linotype"/>
          <w:color w:val="000000"/>
          <w:szCs w:val="24"/>
        </w:rPr>
        <w:t>CUADRAGÉSIMA CUARTA</w:t>
      </w:r>
      <w:r w:rsidR="002475C3" w:rsidRPr="00E21494">
        <w:rPr>
          <w:rFonts w:eastAsia="Palatino Linotype" w:cs="Palatino Linotype"/>
          <w:color w:val="000000"/>
          <w:szCs w:val="24"/>
        </w:rPr>
        <w:t xml:space="preserve"> </w:t>
      </w:r>
      <w:r w:rsidR="006922F5" w:rsidRPr="00E21494">
        <w:rPr>
          <w:rFonts w:eastAsia="Palatino Linotype" w:cs="Palatino Linotype"/>
          <w:color w:val="000000"/>
          <w:szCs w:val="24"/>
        </w:rPr>
        <w:t>SESIÓN ORDINARIA CELEBRADA EL</w:t>
      </w:r>
      <w:r w:rsidR="000D2E93" w:rsidRPr="00E21494">
        <w:rPr>
          <w:rFonts w:eastAsia="Palatino Linotype" w:cs="Palatino Linotype"/>
          <w:color w:val="000000"/>
          <w:szCs w:val="24"/>
        </w:rPr>
        <w:t xml:space="preserve"> </w:t>
      </w:r>
      <w:r w:rsidR="005D2495">
        <w:rPr>
          <w:rFonts w:eastAsia="Palatino Linotype" w:cs="Palatino Linotype"/>
          <w:color w:val="000000"/>
          <w:szCs w:val="24"/>
        </w:rPr>
        <w:t xml:space="preserve">SEIS DE DICIEMBRE </w:t>
      </w:r>
      <w:r w:rsidR="00697B3A" w:rsidRPr="00E21494">
        <w:rPr>
          <w:rFonts w:eastAsia="Palatino Linotype" w:cs="Palatino Linotype"/>
          <w:color w:val="000000"/>
          <w:szCs w:val="24"/>
        </w:rPr>
        <w:t xml:space="preserve"> </w:t>
      </w:r>
      <w:r w:rsidR="002475C3" w:rsidRPr="00E21494">
        <w:rPr>
          <w:rFonts w:eastAsia="Palatino Linotype" w:cs="Palatino Linotype"/>
          <w:color w:val="000000"/>
          <w:szCs w:val="24"/>
        </w:rPr>
        <w:t>DE DOS MIL</w:t>
      </w:r>
      <w:r w:rsidR="002475C3">
        <w:rPr>
          <w:rFonts w:eastAsia="Palatino Linotype" w:cs="Palatino Linotype"/>
          <w:color w:val="000000"/>
          <w:szCs w:val="24"/>
        </w:rPr>
        <w:t xml:space="preserve"> VEINTITRÉS</w:t>
      </w:r>
      <w:r w:rsidR="006922F5">
        <w:rPr>
          <w:rFonts w:eastAsia="Palatino Linotype" w:cs="Palatino Linotype"/>
          <w:color w:val="000000"/>
          <w:szCs w:val="24"/>
        </w:rPr>
        <w:t>, ANTE EL SECRETARIO TÉCNICO DEL PLENO, ALEXIS TAPIA RAMÍREZ</w:t>
      </w:r>
      <w:r w:rsidR="00A970D5" w:rsidRPr="006922F5">
        <w:rPr>
          <w:rFonts w:eastAsia="Palatino Linotype" w:cs="Palatino Linotype"/>
          <w:color w:val="000000"/>
          <w:szCs w:val="24"/>
        </w:rPr>
        <w:t>.---------------------------</w:t>
      </w:r>
      <w:r w:rsidR="000C65DD">
        <w:rPr>
          <w:rFonts w:eastAsia="Palatino Linotype" w:cs="Palatino Linotype"/>
          <w:color w:val="000000"/>
          <w:szCs w:val="24"/>
        </w:rPr>
        <w:t>----------------------------------------------------------------</w:t>
      </w:r>
      <w:r w:rsidR="000C65DD">
        <w:rPr>
          <w:rFonts w:eastAsia="Times New Roman" w:cs="Times New Roman"/>
          <w:szCs w:val="24"/>
          <w:lang w:eastAsia="es-ES"/>
        </w:rPr>
        <w:t>--------------------------------------------------------------------------</w:t>
      </w:r>
      <w:r w:rsidR="00BD4531">
        <w:rPr>
          <w:rFonts w:eastAsia="Palatino Linotype" w:cs="Palatino Linotype"/>
          <w:color w:val="000000"/>
          <w:szCs w:val="24"/>
        </w:rPr>
        <w:t>------------------------------------------</w:t>
      </w:r>
      <w:r w:rsidR="00BD4531">
        <w:rPr>
          <w:rFonts w:eastAsia="Times New Roman" w:cs="Times New Roman"/>
          <w:szCs w:val="24"/>
          <w:lang w:eastAsia="es-ES"/>
        </w:rPr>
        <w:t>-------------------------------------------------------</w:t>
      </w:r>
      <w:r w:rsidR="003C3655">
        <w:rPr>
          <w:rFonts w:eastAsia="Times New Roman" w:cs="Times New Roman"/>
          <w:szCs w:val="24"/>
          <w:lang w:eastAsia="es-ES"/>
        </w:rPr>
        <w:t>--------------------</w:t>
      </w:r>
      <w:r w:rsidR="003C3655">
        <w:rPr>
          <w:rFonts w:eastAsia="Palatino Linotype" w:cs="Palatino Linotype"/>
          <w:color w:val="000000"/>
          <w:szCs w:val="24"/>
        </w:rPr>
        <w:t>------------------------------------------</w:t>
      </w:r>
      <w:r w:rsidR="003C3655">
        <w:rPr>
          <w:rFonts w:eastAsia="Times New Roman" w:cs="Times New Roman"/>
          <w:szCs w:val="24"/>
          <w:lang w:eastAsia="es-ES"/>
        </w:rPr>
        <w:t>---------------------------------------------------------------------------</w:t>
      </w:r>
      <w:r w:rsidR="003C3655">
        <w:rPr>
          <w:rFonts w:eastAsia="Palatino Linotype" w:cs="Palatino Linotype"/>
          <w:color w:val="000000"/>
          <w:szCs w:val="24"/>
        </w:rPr>
        <w:t>------------------------------------------</w:t>
      </w:r>
      <w:r w:rsidR="003C3655">
        <w:rPr>
          <w:rFonts w:eastAsia="Times New Roman" w:cs="Times New Roman"/>
          <w:szCs w:val="24"/>
          <w:lang w:eastAsia="es-ES"/>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r w:rsidR="002418CF">
        <w:rPr>
          <w:rFonts w:eastAsia="Palatino Linotype" w:cs="Palatino Linotype"/>
          <w:color w:val="000000"/>
          <w:szCs w:val="24"/>
        </w:rPr>
        <w:t>------------------------------------------</w:t>
      </w:r>
      <w:r w:rsidR="002418CF">
        <w:rPr>
          <w:rFonts w:eastAsia="Times New Roman" w:cs="Times New Roman"/>
          <w:szCs w:val="24"/>
          <w:lang w:eastAsia="es-ES"/>
        </w:rPr>
        <w:t>------------</w:t>
      </w:r>
    </w:p>
    <w:p w14:paraId="4DA57669" w14:textId="77777777" w:rsidR="00A970D5" w:rsidRPr="004B7011" w:rsidRDefault="00A970D5" w:rsidP="00541319">
      <w:pPr>
        <w:pBdr>
          <w:top w:val="nil"/>
          <w:left w:val="nil"/>
          <w:bottom w:val="nil"/>
          <w:right w:val="nil"/>
          <w:between w:val="nil"/>
        </w:pBdr>
        <w:spacing w:line="276"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9"/>
      <w:headerReference w:type="default" r:id="rId10"/>
      <w:footerReference w:type="default" r:id="rId11"/>
      <w:headerReference w:type="first" r:id="rId12"/>
      <w:footerReference w:type="first" r:id="rId13"/>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D988" w14:textId="77777777" w:rsidR="002C334C" w:rsidRDefault="002C334C" w:rsidP="00F2498E">
      <w:pPr>
        <w:spacing w:line="240" w:lineRule="auto"/>
      </w:pPr>
      <w:r>
        <w:separator/>
      </w:r>
    </w:p>
  </w:endnote>
  <w:endnote w:type="continuationSeparator" w:id="0">
    <w:p w14:paraId="2A6171DB" w14:textId="77777777" w:rsidR="002C334C" w:rsidRDefault="002C334C" w:rsidP="00F2498E">
      <w:pPr>
        <w:spacing w:line="240" w:lineRule="auto"/>
      </w:pPr>
      <w:r>
        <w:continuationSeparator/>
      </w:r>
    </w:p>
  </w:endnote>
  <w:endnote w:type="continuationNotice" w:id="1">
    <w:p w14:paraId="47ECF3C3" w14:textId="77777777" w:rsidR="002C334C" w:rsidRDefault="002C33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0D38">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0D3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606DD5" w:rsidRPr="00871A91" w:rsidRDefault="00606DD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30D3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30D3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40A9" w14:textId="77777777" w:rsidR="002C334C" w:rsidRDefault="002C334C" w:rsidP="00F2498E">
      <w:pPr>
        <w:spacing w:line="240" w:lineRule="auto"/>
      </w:pPr>
      <w:r>
        <w:separator/>
      </w:r>
    </w:p>
  </w:footnote>
  <w:footnote w:type="continuationSeparator" w:id="0">
    <w:p w14:paraId="00645E04" w14:textId="77777777" w:rsidR="002C334C" w:rsidRDefault="002C334C" w:rsidP="00F2498E">
      <w:pPr>
        <w:spacing w:line="240" w:lineRule="auto"/>
      </w:pPr>
      <w:r>
        <w:continuationSeparator/>
      </w:r>
    </w:p>
  </w:footnote>
  <w:footnote w:type="continuationNotice" w:id="1">
    <w:p w14:paraId="6F6789D3" w14:textId="77777777" w:rsidR="002C334C" w:rsidRDefault="002C334C">
      <w:pPr>
        <w:spacing w:line="240" w:lineRule="auto"/>
      </w:pPr>
    </w:p>
  </w:footnote>
  <w:footnote w:id="2">
    <w:p w14:paraId="2348F3B8" w14:textId="77777777" w:rsidR="00606DD5" w:rsidRDefault="00606DD5"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606DD5" w:rsidRPr="0031280C" w:rsidRDefault="00606DD5"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606DD5" w:rsidRPr="0031280C" w:rsidRDefault="00606DD5"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606DD5" w:rsidRPr="0031280C" w:rsidRDefault="00606DD5"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D579A0B" w14:textId="77777777" w:rsidR="00AA290B" w:rsidRDefault="00AA290B" w:rsidP="00AA290B">
      <w:pPr>
        <w:pStyle w:val="Textonotapie"/>
      </w:pPr>
      <w:r>
        <w:rPr>
          <w:rStyle w:val="Refdenotaalpie"/>
        </w:rPr>
        <w:footnoteRef/>
      </w:r>
      <w:r>
        <w:t xml:space="preserve"> </w:t>
      </w:r>
      <w:r>
        <w:rPr>
          <w:rFonts w:eastAsia="MS Mincho" w:cs="Arial"/>
          <w:sz w:val="16"/>
          <w:szCs w:val="16"/>
          <w:lang w:eastAsia="es-ES"/>
        </w:rPr>
        <w:t xml:space="preserve">VILLANUEVA </w:t>
      </w:r>
      <w:r>
        <w:rPr>
          <w:rFonts w:eastAsia="MS Mincho" w:cs="Arial"/>
          <w:sz w:val="16"/>
          <w:szCs w:val="16"/>
          <w:lang w:eastAsia="es-ES"/>
        </w:rPr>
        <w:t xml:space="preserve">VILLANUEVA Ernesto. Derecho de la Información, Ed. Porrúa. </w:t>
      </w:r>
      <w:r>
        <w:rPr>
          <w:rFonts w:eastAsia="MS Mincho" w:cs="Arial"/>
          <w:sz w:val="16"/>
          <w:szCs w:val="16"/>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606DD5" w:rsidRDefault="00BD44EB">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rsidRPr="00B17577" w14:paraId="37B9EBDE" w14:textId="77777777" w:rsidTr="003938ED">
      <w:trPr>
        <w:trHeight w:val="227"/>
      </w:trPr>
      <w:tc>
        <w:tcPr>
          <w:tcW w:w="5103" w:type="dxa"/>
          <w:hideMark/>
        </w:tcPr>
        <w:p w14:paraId="4964FBC5" w14:textId="54CDA645" w:rsidR="00606DD5" w:rsidRPr="00096248" w:rsidRDefault="00606DD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74EA6C9B" w:rsidR="00606DD5" w:rsidRPr="00096248" w:rsidRDefault="00606DD5" w:rsidP="00011C4D">
          <w:pPr>
            <w:spacing w:after="120" w:line="240" w:lineRule="auto"/>
            <w:ind w:right="71"/>
            <w:jc w:val="right"/>
            <w:rPr>
              <w:rFonts w:cs="Arial"/>
              <w:b/>
              <w:szCs w:val="24"/>
            </w:rPr>
          </w:pPr>
          <w:r>
            <w:rPr>
              <w:rFonts w:cs="Arial"/>
              <w:b/>
              <w:bCs/>
              <w:szCs w:val="24"/>
            </w:rPr>
            <w:t>0</w:t>
          </w:r>
          <w:r w:rsidR="0071651F">
            <w:rPr>
              <w:rFonts w:cs="Arial"/>
              <w:b/>
              <w:bCs/>
              <w:szCs w:val="24"/>
            </w:rPr>
            <w:t>6550</w:t>
          </w:r>
          <w:r w:rsidRPr="00096248">
            <w:rPr>
              <w:rFonts w:cs="Arial"/>
              <w:b/>
              <w:bCs/>
              <w:szCs w:val="24"/>
            </w:rPr>
            <w:t>/INFOEM/IP/RR/202</w:t>
          </w:r>
          <w:r>
            <w:rPr>
              <w:rFonts w:cs="Arial"/>
              <w:b/>
              <w:bCs/>
              <w:szCs w:val="24"/>
            </w:rPr>
            <w:t>3</w:t>
          </w:r>
        </w:p>
      </w:tc>
    </w:tr>
    <w:tr w:rsidR="00606DD5" w14:paraId="7591D3C9" w14:textId="77777777" w:rsidTr="003938ED">
      <w:trPr>
        <w:trHeight w:val="242"/>
      </w:trPr>
      <w:tc>
        <w:tcPr>
          <w:tcW w:w="5103" w:type="dxa"/>
          <w:hideMark/>
        </w:tcPr>
        <w:p w14:paraId="729A65A8" w14:textId="77777777" w:rsidR="00606DD5" w:rsidRPr="00096248" w:rsidRDefault="00606DD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F06E0CB" w:rsidR="00606DD5" w:rsidRPr="00096248" w:rsidRDefault="00606DD5" w:rsidP="0070042E">
          <w:pPr>
            <w:spacing w:after="120" w:line="240" w:lineRule="auto"/>
            <w:ind w:left="-81" w:right="71"/>
            <w:jc w:val="right"/>
            <w:rPr>
              <w:rFonts w:cs="Arial"/>
              <w:szCs w:val="24"/>
            </w:rPr>
          </w:pPr>
          <w:r>
            <w:rPr>
              <w:rFonts w:cs="Arial"/>
              <w:szCs w:val="24"/>
            </w:rPr>
            <w:t xml:space="preserve">Ayuntamiento de </w:t>
          </w:r>
          <w:r w:rsidR="0005201B">
            <w:rPr>
              <w:rFonts w:cs="Arial"/>
              <w:szCs w:val="24"/>
            </w:rPr>
            <w:t>Zinacantepec</w:t>
          </w:r>
        </w:p>
      </w:tc>
    </w:tr>
    <w:tr w:rsidR="00606DD5" w:rsidRPr="00F63239" w14:paraId="037E914D" w14:textId="77777777" w:rsidTr="003938ED">
      <w:trPr>
        <w:trHeight w:val="342"/>
      </w:trPr>
      <w:tc>
        <w:tcPr>
          <w:tcW w:w="5103" w:type="dxa"/>
          <w:hideMark/>
        </w:tcPr>
        <w:p w14:paraId="7676B68F" w14:textId="64D69EAF" w:rsidR="00606DD5" w:rsidRPr="00096248" w:rsidRDefault="00606DD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06DD5" w:rsidRDefault="00606DD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06DD5" w:rsidRPr="00711916" w:rsidRDefault="00606DD5" w:rsidP="00011C4D">
          <w:pPr>
            <w:spacing w:after="120" w:line="240" w:lineRule="auto"/>
            <w:ind w:left="-486" w:right="71" w:firstLine="567"/>
            <w:jc w:val="right"/>
            <w:rPr>
              <w:rFonts w:cs="Arial"/>
              <w:sz w:val="2"/>
              <w:szCs w:val="2"/>
            </w:rPr>
          </w:pPr>
        </w:p>
      </w:tc>
    </w:tr>
  </w:tbl>
  <w:p w14:paraId="2998DBFD" w14:textId="25A9F426" w:rsidR="00606DD5" w:rsidRPr="00871A91" w:rsidRDefault="00BD44EB">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6DD5" w14:paraId="0F9FE9B6" w14:textId="77777777" w:rsidTr="003938ED">
      <w:trPr>
        <w:trHeight w:val="227"/>
      </w:trPr>
      <w:tc>
        <w:tcPr>
          <w:tcW w:w="5103" w:type="dxa"/>
          <w:hideMark/>
        </w:tcPr>
        <w:p w14:paraId="6D1D9D71" w14:textId="11150E5A" w:rsidR="00606DD5" w:rsidRPr="00663A37" w:rsidRDefault="00606DD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5EDA21B1" w:rsidR="00606DD5" w:rsidRPr="00C81ECD" w:rsidRDefault="00606DD5" w:rsidP="00011C4D">
          <w:pPr>
            <w:spacing w:after="120" w:line="240" w:lineRule="auto"/>
            <w:ind w:left="-486" w:right="68" w:firstLine="558"/>
            <w:jc w:val="right"/>
            <w:rPr>
              <w:rFonts w:cs="Arial"/>
              <w:b/>
              <w:szCs w:val="24"/>
            </w:rPr>
          </w:pPr>
          <w:r>
            <w:rPr>
              <w:rFonts w:cs="Arial"/>
              <w:b/>
              <w:bCs/>
              <w:szCs w:val="24"/>
            </w:rPr>
            <w:t>0</w:t>
          </w:r>
          <w:r w:rsidR="0071651F">
            <w:rPr>
              <w:rFonts w:cs="Arial"/>
              <w:b/>
              <w:bCs/>
              <w:szCs w:val="24"/>
            </w:rPr>
            <w:t>6550</w:t>
          </w:r>
          <w:r>
            <w:rPr>
              <w:rFonts w:cs="Arial"/>
              <w:b/>
              <w:bCs/>
              <w:szCs w:val="24"/>
            </w:rPr>
            <w:t>/INFOEM/IP/RR/2023</w:t>
          </w:r>
        </w:p>
      </w:tc>
    </w:tr>
    <w:tr w:rsidR="00606DD5" w:rsidRPr="001F57CD" w14:paraId="1377D264" w14:textId="77777777" w:rsidTr="003938ED">
      <w:trPr>
        <w:trHeight w:val="196"/>
      </w:trPr>
      <w:tc>
        <w:tcPr>
          <w:tcW w:w="5103" w:type="dxa"/>
          <w:hideMark/>
        </w:tcPr>
        <w:p w14:paraId="04D597A1" w14:textId="77777777" w:rsidR="00606DD5" w:rsidRPr="00663A37" w:rsidRDefault="00606DD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7A41E53" w:rsidR="00606DD5" w:rsidRPr="00663A37" w:rsidRDefault="00BD44EB" w:rsidP="00657695">
          <w:pPr>
            <w:spacing w:after="120" w:line="240" w:lineRule="auto"/>
            <w:ind w:right="68"/>
            <w:jc w:val="right"/>
            <w:rPr>
              <w:rFonts w:cs="Arial"/>
              <w:szCs w:val="24"/>
            </w:rPr>
          </w:pPr>
          <w:r>
            <w:rPr>
              <w:rFonts w:cs="Arial"/>
              <w:szCs w:val="24"/>
            </w:rPr>
            <w:t>XXXX</w:t>
          </w:r>
        </w:p>
      </w:tc>
    </w:tr>
    <w:tr w:rsidR="00606DD5" w14:paraId="4DC11993" w14:textId="77777777" w:rsidTr="003938ED">
      <w:trPr>
        <w:trHeight w:val="242"/>
      </w:trPr>
      <w:tc>
        <w:tcPr>
          <w:tcW w:w="5103" w:type="dxa"/>
          <w:hideMark/>
        </w:tcPr>
        <w:p w14:paraId="76CEF1B5" w14:textId="77777777" w:rsidR="00606DD5" w:rsidRPr="00663A37" w:rsidRDefault="00606DD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23C7C13" w:rsidR="00606DD5" w:rsidRPr="00663A37" w:rsidRDefault="00606DD5" w:rsidP="0070042E">
          <w:pPr>
            <w:spacing w:after="120" w:line="240" w:lineRule="auto"/>
            <w:ind w:left="-70" w:right="68"/>
            <w:jc w:val="right"/>
            <w:rPr>
              <w:rFonts w:cs="Arial"/>
              <w:szCs w:val="24"/>
            </w:rPr>
          </w:pPr>
          <w:r>
            <w:rPr>
              <w:rFonts w:cs="Arial"/>
              <w:szCs w:val="24"/>
            </w:rPr>
            <w:t xml:space="preserve">Ayuntamiento de </w:t>
          </w:r>
          <w:r w:rsidR="0005201B">
            <w:rPr>
              <w:rFonts w:cs="Arial"/>
              <w:szCs w:val="24"/>
            </w:rPr>
            <w:t>Zinacantepec</w:t>
          </w:r>
        </w:p>
      </w:tc>
    </w:tr>
    <w:tr w:rsidR="00606DD5" w14:paraId="5C2B511D" w14:textId="77777777" w:rsidTr="003938ED">
      <w:trPr>
        <w:trHeight w:val="342"/>
      </w:trPr>
      <w:tc>
        <w:tcPr>
          <w:tcW w:w="5103" w:type="dxa"/>
          <w:hideMark/>
        </w:tcPr>
        <w:p w14:paraId="03FEF68C" w14:textId="45E91CF4" w:rsidR="00606DD5" w:rsidRPr="00663A37" w:rsidRDefault="00606DD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06DD5" w:rsidRPr="00663A37" w:rsidRDefault="00606DD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06DD5" w:rsidRPr="00871A91" w:rsidRDefault="00BD44EB">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06DD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8" w15:restartNumberingAfterBreak="0">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0"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4" w15:restartNumberingAfterBreak="0">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5"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8886362">
    <w:abstractNumId w:val="20"/>
  </w:num>
  <w:num w:numId="2" w16cid:durableId="1937982088">
    <w:abstractNumId w:val="35"/>
  </w:num>
  <w:num w:numId="3" w16cid:durableId="1859003129">
    <w:abstractNumId w:val="4"/>
  </w:num>
  <w:num w:numId="4" w16cid:durableId="1977831100">
    <w:abstractNumId w:val="27"/>
  </w:num>
  <w:num w:numId="5" w16cid:durableId="1709989673">
    <w:abstractNumId w:val="25"/>
  </w:num>
  <w:num w:numId="6" w16cid:durableId="956788305">
    <w:abstractNumId w:val="8"/>
  </w:num>
  <w:num w:numId="7" w16cid:durableId="1658417730">
    <w:abstractNumId w:val="31"/>
  </w:num>
  <w:num w:numId="8" w16cid:durableId="58483051">
    <w:abstractNumId w:val="42"/>
  </w:num>
  <w:num w:numId="9" w16cid:durableId="1306357183">
    <w:abstractNumId w:val="33"/>
  </w:num>
  <w:num w:numId="10" w16cid:durableId="980962978">
    <w:abstractNumId w:val="3"/>
  </w:num>
  <w:num w:numId="11" w16cid:durableId="1219779820">
    <w:abstractNumId w:val="29"/>
  </w:num>
  <w:num w:numId="12" w16cid:durableId="1604604186">
    <w:abstractNumId w:val="9"/>
  </w:num>
  <w:num w:numId="13" w16cid:durableId="2053797226">
    <w:abstractNumId w:val="10"/>
  </w:num>
  <w:num w:numId="14" w16cid:durableId="812329406">
    <w:abstractNumId w:val="26"/>
  </w:num>
  <w:num w:numId="15" w16cid:durableId="99959154">
    <w:abstractNumId w:val="13"/>
  </w:num>
  <w:num w:numId="16" w16cid:durableId="1331566210">
    <w:abstractNumId w:val="37"/>
  </w:num>
  <w:num w:numId="17" w16cid:durableId="122310426">
    <w:abstractNumId w:val="40"/>
  </w:num>
  <w:num w:numId="18" w16cid:durableId="1273047672">
    <w:abstractNumId w:val="1"/>
  </w:num>
  <w:num w:numId="19" w16cid:durableId="1558197962">
    <w:abstractNumId w:val="32"/>
  </w:num>
  <w:num w:numId="20" w16cid:durableId="704477030">
    <w:abstractNumId w:val="7"/>
  </w:num>
  <w:num w:numId="21" w16cid:durableId="57628994">
    <w:abstractNumId w:val="23"/>
  </w:num>
  <w:num w:numId="22" w16cid:durableId="548348278">
    <w:abstractNumId w:val="2"/>
  </w:num>
  <w:num w:numId="23" w16cid:durableId="476608020">
    <w:abstractNumId w:val="0"/>
  </w:num>
  <w:num w:numId="24" w16cid:durableId="832138773">
    <w:abstractNumId w:val="11"/>
  </w:num>
  <w:num w:numId="25" w16cid:durableId="1868712280">
    <w:abstractNumId w:val="15"/>
  </w:num>
  <w:num w:numId="26" w16cid:durableId="454837965">
    <w:abstractNumId w:val="12"/>
  </w:num>
  <w:num w:numId="27" w16cid:durableId="853303297">
    <w:abstractNumId w:val="41"/>
  </w:num>
  <w:num w:numId="28" w16cid:durableId="994800138">
    <w:abstractNumId w:val="38"/>
  </w:num>
  <w:num w:numId="29" w16cid:durableId="1296258929">
    <w:abstractNumId w:val="5"/>
  </w:num>
  <w:num w:numId="30" w16cid:durableId="1495536948">
    <w:abstractNumId w:val="24"/>
  </w:num>
  <w:num w:numId="31" w16cid:durableId="401559948">
    <w:abstractNumId w:val="30"/>
  </w:num>
  <w:num w:numId="32" w16cid:durableId="2011325263">
    <w:abstractNumId w:val="16"/>
  </w:num>
  <w:num w:numId="33" w16cid:durableId="31852225">
    <w:abstractNumId w:val="17"/>
  </w:num>
  <w:num w:numId="34" w16cid:durableId="87578253">
    <w:abstractNumId w:val="28"/>
  </w:num>
  <w:num w:numId="35" w16cid:durableId="1919440707">
    <w:abstractNumId w:val="21"/>
  </w:num>
  <w:num w:numId="36" w16cid:durableId="306401418">
    <w:abstractNumId w:val="22"/>
  </w:num>
  <w:num w:numId="37" w16cid:durableId="1858619667">
    <w:abstractNumId w:val="36"/>
  </w:num>
  <w:num w:numId="38" w16cid:durableId="996034823">
    <w:abstractNumId w:val="34"/>
  </w:num>
  <w:num w:numId="39" w16cid:durableId="887227108">
    <w:abstractNumId w:val="39"/>
  </w:num>
  <w:num w:numId="40" w16cid:durableId="1194882567">
    <w:abstractNumId w:val="14"/>
  </w:num>
  <w:num w:numId="41" w16cid:durableId="307325074">
    <w:abstractNumId w:val="19"/>
  </w:num>
  <w:num w:numId="42" w16cid:durableId="1376736234">
    <w:abstractNumId w:val="18"/>
  </w:num>
  <w:num w:numId="43" w16cid:durableId="166897162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C4D"/>
    <w:rsid w:val="00011CCA"/>
    <w:rsid w:val="000124BD"/>
    <w:rsid w:val="00012909"/>
    <w:rsid w:val="00012A59"/>
    <w:rsid w:val="00012BEE"/>
    <w:rsid w:val="00012D78"/>
    <w:rsid w:val="00015487"/>
    <w:rsid w:val="000154BC"/>
    <w:rsid w:val="000154CA"/>
    <w:rsid w:val="000171BE"/>
    <w:rsid w:val="00021122"/>
    <w:rsid w:val="00021165"/>
    <w:rsid w:val="00021A08"/>
    <w:rsid w:val="000221D0"/>
    <w:rsid w:val="00024A6D"/>
    <w:rsid w:val="00025560"/>
    <w:rsid w:val="00026582"/>
    <w:rsid w:val="00031BA3"/>
    <w:rsid w:val="00032134"/>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01B"/>
    <w:rsid w:val="0005219F"/>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C3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679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39C"/>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18CF"/>
    <w:rsid w:val="002432E1"/>
    <w:rsid w:val="00243315"/>
    <w:rsid w:val="002441A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334C"/>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2D8"/>
    <w:rsid w:val="002E2D8A"/>
    <w:rsid w:val="002E37DA"/>
    <w:rsid w:val="002E40AD"/>
    <w:rsid w:val="002E55C9"/>
    <w:rsid w:val="002E5AFA"/>
    <w:rsid w:val="002E719D"/>
    <w:rsid w:val="002E72F0"/>
    <w:rsid w:val="002F158F"/>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5D6F"/>
    <w:rsid w:val="003265D6"/>
    <w:rsid w:val="003275F8"/>
    <w:rsid w:val="0033070B"/>
    <w:rsid w:val="00331513"/>
    <w:rsid w:val="003344FE"/>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6C8"/>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3655"/>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6868"/>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B7E"/>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5B3"/>
    <w:rsid w:val="004F483D"/>
    <w:rsid w:val="004F60C9"/>
    <w:rsid w:val="004F662C"/>
    <w:rsid w:val="004F6671"/>
    <w:rsid w:val="004F78C4"/>
    <w:rsid w:val="00500E29"/>
    <w:rsid w:val="00501E92"/>
    <w:rsid w:val="005025C7"/>
    <w:rsid w:val="00504B42"/>
    <w:rsid w:val="00506DB2"/>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2495"/>
    <w:rsid w:val="005D3A5F"/>
    <w:rsid w:val="005D43B1"/>
    <w:rsid w:val="005D647C"/>
    <w:rsid w:val="005D6CE0"/>
    <w:rsid w:val="005E0835"/>
    <w:rsid w:val="005E10A5"/>
    <w:rsid w:val="005E1AEC"/>
    <w:rsid w:val="005E21DE"/>
    <w:rsid w:val="005E24C2"/>
    <w:rsid w:val="005E34E9"/>
    <w:rsid w:val="005E35AB"/>
    <w:rsid w:val="005E3E29"/>
    <w:rsid w:val="005E40B7"/>
    <w:rsid w:val="005E6D0B"/>
    <w:rsid w:val="005E7E9F"/>
    <w:rsid w:val="005F1439"/>
    <w:rsid w:val="005F21B0"/>
    <w:rsid w:val="005F30F1"/>
    <w:rsid w:val="005F3103"/>
    <w:rsid w:val="005F4D3D"/>
    <w:rsid w:val="005F5B10"/>
    <w:rsid w:val="005F622D"/>
    <w:rsid w:val="005F6CAB"/>
    <w:rsid w:val="0060129A"/>
    <w:rsid w:val="0060244C"/>
    <w:rsid w:val="006055AB"/>
    <w:rsid w:val="00606DD5"/>
    <w:rsid w:val="00610A95"/>
    <w:rsid w:val="00613401"/>
    <w:rsid w:val="0061516D"/>
    <w:rsid w:val="00615B10"/>
    <w:rsid w:val="006168EB"/>
    <w:rsid w:val="00616DEB"/>
    <w:rsid w:val="00620DE2"/>
    <w:rsid w:val="0062141B"/>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4693"/>
    <w:rsid w:val="0070491A"/>
    <w:rsid w:val="00704AB9"/>
    <w:rsid w:val="007054D8"/>
    <w:rsid w:val="00706383"/>
    <w:rsid w:val="00706D47"/>
    <w:rsid w:val="007070E1"/>
    <w:rsid w:val="00711916"/>
    <w:rsid w:val="00711EE2"/>
    <w:rsid w:val="0071261F"/>
    <w:rsid w:val="00712D71"/>
    <w:rsid w:val="007130DA"/>
    <w:rsid w:val="00713185"/>
    <w:rsid w:val="00713380"/>
    <w:rsid w:val="00713DD5"/>
    <w:rsid w:val="007147B9"/>
    <w:rsid w:val="0071601C"/>
    <w:rsid w:val="0071651F"/>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58"/>
    <w:rsid w:val="009F6493"/>
    <w:rsid w:val="009F69B5"/>
    <w:rsid w:val="009F6EA2"/>
    <w:rsid w:val="009F79AE"/>
    <w:rsid w:val="009F7F22"/>
    <w:rsid w:val="00A004D3"/>
    <w:rsid w:val="00A00FFB"/>
    <w:rsid w:val="00A011AA"/>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38"/>
    <w:rsid w:val="00A30DB1"/>
    <w:rsid w:val="00A31101"/>
    <w:rsid w:val="00A31FD9"/>
    <w:rsid w:val="00A32087"/>
    <w:rsid w:val="00A32460"/>
    <w:rsid w:val="00A34451"/>
    <w:rsid w:val="00A34742"/>
    <w:rsid w:val="00A35811"/>
    <w:rsid w:val="00A35D0A"/>
    <w:rsid w:val="00A3608F"/>
    <w:rsid w:val="00A4067D"/>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9"/>
    <w:rsid w:val="00A63700"/>
    <w:rsid w:val="00A64575"/>
    <w:rsid w:val="00A64C36"/>
    <w:rsid w:val="00A651C0"/>
    <w:rsid w:val="00A65A26"/>
    <w:rsid w:val="00A65C8C"/>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290B"/>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3209"/>
    <w:rsid w:val="00BD323A"/>
    <w:rsid w:val="00BD3ECE"/>
    <w:rsid w:val="00BD4316"/>
    <w:rsid w:val="00BD44EB"/>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5B7"/>
    <w:rsid w:val="00CF2732"/>
    <w:rsid w:val="00CF31B4"/>
    <w:rsid w:val="00CF460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32986"/>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305"/>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0DD9"/>
    <w:rsid w:val="00DD12A3"/>
    <w:rsid w:val="00DD2877"/>
    <w:rsid w:val="00DD2EDE"/>
    <w:rsid w:val="00DD3144"/>
    <w:rsid w:val="00DD38A3"/>
    <w:rsid w:val="00DD5995"/>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CAD"/>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EA"/>
    <w:rsid w:val="00F01526"/>
    <w:rsid w:val="00F023A7"/>
    <w:rsid w:val="00F026E6"/>
    <w:rsid w:val="00F02EDC"/>
    <w:rsid w:val="00F039E2"/>
    <w:rsid w:val="00F04A95"/>
    <w:rsid w:val="00F058D3"/>
    <w:rsid w:val="00F10A38"/>
    <w:rsid w:val="00F1176A"/>
    <w:rsid w:val="00F11FF3"/>
    <w:rsid w:val="00F128D3"/>
    <w:rsid w:val="00F12BF1"/>
    <w:rsid w:val="00F12F4D"/>
    <w:rsid w:val="00F12FB0"/>
    <w:rsid w:val="00F13A10"/>
    <w:rsid w:val="00F16039"/>
    <w:rsid w:val="00F162EC"/>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439823CD"/>
    <w:rsid w:val="43EEA6F3"/>
    <w:rsid w:val="5318839D"/>
    <w:rsid w:val="72334B3D"/>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BF6E-6EA0-4CC8-B57D-48D738A6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7325</Words>
  <Characters>40291</Characters>
  <Application>Microsoft Office Word</Application>
  <DocSecurity>0</DocSecurity>
  <Lines>335</Lines>
  <Paragraphs>95</Paragraphs>
  <ScaleCrop>false</ScaleCrop>
  <Company/>
  <LinksUpToDate>false</LinksUpToDate>
  <CharactersWithSpaces>47521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14</cp:revision>
  <cp:lastPrinted>2019-06-13T15:30:00Z</cp:lastPrinted>
  <dcterms:created xsi:type="dcterms:W3CDTF">2023-10-30T20:35:00Z</dcterms:created>
  <dcterms:modified xsi:type="dcterms:W3CDTF">2024-01-12T18:54:00Z</dcterms:modified>
</cp:coreProperties>
</file>