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17dp8vu"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uno de marzo 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15434/INFOEM/IP/RR/2022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un particular que no proporcionó nombre o seudónimo,</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de Metepec,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cinco de septiembre de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a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04308/METEPEC/IP/2022,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1"/>
      <w:bookmarkEnd w:id="1"/>
      <w:r w:rsidDel="00000000" w:rsidR="00000000" w:rsidRPr="00000000">
        <w:rPr>
          <w:rFonts w:ascii="Palatino Linotype" w:cs="Palatino Linotype" w:eastAsia="Palatino Linotype" w:hAnsi="Palatino Linotype"/>
          <w:i w:val="1"/>
          <w:sz w:val="22"/>
          <w:szCs w:val="22"/>
          <w:rtl w:val="0"/>
        </w:rPr>
        <w:t xml:space="preserve">“curriculum vitae y certificado medico de la c aurora maría zimbron ovando.</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r w:rsidDel="00000000" w:rsidR="00000000" w:rsidRPr="00000000">
        <w:rPr>
          <w:rtl w:val="0"/>
        </w:rPr>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w:t>
      </w:r>
      <w:r w:rsidDel="00000000" w:rsidR="00000000" w:rsidRPr="00000000">
        <w:rPr>
          <w:rFonts w:ascii="Palatino Linotype" w:cs="Palatino Linotype" w:eastAsia="Palatino Linotype" w:hAnsi="Palatino Linotype"/>
          <w:b w:val="1"/>
          <w:rtl w:val="0"/>
        </w:rPr>
        <w:t xml:space="preserve">de SAIMEX</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bookmarkStart w:colFirst="0" w:colLast="0" w:name="_heading=h.3dy6vkm" w:id="2"/>
      <w:bookmarkEnd w:id="2"/>
      <w:r w:rsidDel="00000000" w:rsidR="00000000" w:rsidRPr="00000000">
        <w:rPr>
          <w:rFonts w:ascii="Palatino Linotype" w:cs="Palatino Linotype" w:eastAsia="Palatino Linotype" w:hAnsi="Palatino Linotype"/>
          <w:b w:val="1"/>
          <w:rtl w:val="0"/>
        </w:rPr>
        <w:t xml:space="preserve">2. Prórroga.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veintisiete de septiembre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solicitó prórroga mediante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argumentando lo siguiente:</w:t>
      </w:r>
      <w:r w:rsidDel="00000000" w:rsidR="00000000" w:rsidRPr="00000000">
        <w:rPr>
          <w:rtl w:val="0"/>
        </w:rPr>
      </w:r>
    </w:p>
    <w:p w:rsidR="00000000" w:rsidDel="00000000" w:rsidP="00000000" w:rsidRDefault="00000000" w:rsidRPr="00000000" w14:paraId="00000009">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“...METEPEC, ESTADO DE MEXICO, SEPTIEMBRE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quincuagésima primera sesión extraordinaria de fecha 6 de septiembre de 2022. Por lo anterior, se adjunta el acta del comité No CT/MET/EXT-51/2022...” (sic)</w:t>
      </w:r>
    </w:p>
    <w:p w:rsidR="00000000" w:rsidDel="00000000" w:rsidP="00000000" w:rsidRDefault="00000000" w:rsidRPr="00000000" w14:paraId="0000000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refiere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rsidR="00000000" w:rsidDel="00000000" w:rsidP="00000000" w:rsidRDefault="00000000" w:rsidRPr="00000000" w14:paraId="0000000B">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Respuesta. </w:t>
      </w:r>
      <w:r w:rsidDel="00000000" w:rsidR="00000000" w:rsidRPr="00000000">
        <w:rPr>
          <w:rFonts w:ascii="Palatino Linotype" w:cs="Palatino Linotype" w:eastAsia="Palatino Linotype" w:hAnsi="Palatino Linotype"/>
          <w:rtl w:val="0"/>
        </w:rPr>
        <w:t xml:space="preserve">Con fecha</w:t>
      </w:r>
      <w:r w:rsidDel="00000000" w:rsidR="00000000" w:rsidRPr="00000000">
        <w:rPr>
          <w:rFonts w:ascii="Palatino Linotype" w:cs="Palatino Linotype" w:eastAsia="Palatino Linotype" w:hAnsi="Palatino Linotype"/>
          <w:b w:val="1"/>
          <w:rtl w:val="0"/>
        </w:rPr>
        <w:t xml:space="preserve"> seis de octubre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0C">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w:t>
      </w:r>
      <w:r w:rsidDel="00000000" w:rsidR="00000000" w:rsidRPr="00000000">
        <w:rPr>
          <w:rFonts w:ascii="Palatino Linotype" w:cs="Palatino Linotype" w:eastAsia="Palatino Linotype" w:hAnsi="Palatino Linotype"/>
          <w:b w:val="1"/>
          <w:i w:val="1"/>
          <w:sz w:val="22"/>
          <w:szCs w:val="22"/>
          <w:rtl w:val="0"/>
        </w:rPr>
        <w:t xml:space="preserve">se anexa la respuesta del servidor público habilitado</w:t>
      </w:r>
      <w:r w:rsidDel="00000000" w:rsidR="00000000" w:rsidRPr="00000000">
        <w:rPr>
          <w:rFonts w:ascii="Palatino Linotype" w:cs="Palatino Linotype" w:eastAsia="Palatino Linotype" w:hAnsi="Palatino Linotype"/>
          <w:i w:val="1"/>
          <w:sz w:val="22"/>
          <w:szCs w:val="22"/>
          <w:rtl w:val="0"/>
        </w:rPr>
        <w:t xml:space="preserve">. Lo anterior con fundamento en lo establecido por los artículos 12, 18, 19, 53 fracción VI, 160 y 162 de la Ley de Transparencia y Acceso a la Información Pública del Estado de México...” (sic)</w:t>
      </w:r>
      <w:r w:rsidDel="00000000" w:rsidR="00000000" w:rsidRPr="00000000">
        <w:rPr>
          <w:rtl w:val="0"/>
        </w:rPr>
      </w:r>
    </w:p>
    <w:p w:rsidR="00000000" w:rsidDel="00000000" w:rsidP="00000000" w:rsidRDefault="00000000" w:rsidRPr="00000000" w14:paraId="0000000D">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adjuntó lo siguiente:</w:t>
      </w:r>
    </w:p>
    <w:p w:rsidR="00000000" w:rsidDel="00000000" w:rsidP="00000000" w:rsidRDefault="00000000" w:rsidRPr="00000000" w14:paraId="0000000E">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Oficio número DA/05708/2022 de fecha seis de octubre de dos mil veintidós, signado por el Director de Administración, mediante el cual, en atención a la solicitud de información señala lo siguiente:</w:t>
      </w:r>
    </w:p>
    <w:p w:rsidR="00000000" w:rsidDel="00000000" w:rsidP="00000000" w:rsidRDefault="00000000" w:rsidRPr="00000000" w14:paraId="0000000F">
      <w:pPr>
        <w:spacing w:after="240" w:before="240" w:line="360" w:lineRule="auto"/>
        <w:ind w:right="4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040000" cy="1582222"/>
            <wp:effectExtent b="0" l="0" r="0" t="0"/>
            <wp:docPr id="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40000" cy="1582222"/>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Curriculum vitae de la Servidora Pública referida en la solicitud de información. </w:t>
      </w:r>
    </w:p>
    <w:p w:rsidR="00000000" w:rsidDel="00000000" w:rsidP="00000000" w:rsidRDefault="00000000" w:rsidRPr="00000000" w14:paraId="0000001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seis de octubre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p>
    <w:p w:rsidR="00000000" w:rsidDel="00000000" w:rsidP="00000000" w:rsidRDefault="00000000" w:rsidRPr="00000000" w14:paraId="00000012">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3">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respuesta del sujeto obligado” (sic)</w:t>
      </w:r>
    </w:p>
    <w:p w:rsidR="00000000" w:rsidDel="00000000" w:rsidP="00000000" w:rsidRDefault="00000000" w:rsidRPr="00000000" w14:paraId="00000014">
      <w:pPr>
        <w:spacing w:line="360" w:lineRule="auto"/>
        <w:jc w:val="both"/>
        <w:rPr>
          <w:rFonts w:ascii="Palatino Linotype" w:cs="Palatino Linotype" w:eastAsia="Palatino Linotype" w:hAnsi="Palatino Linotype"/>
        </w:rPr>
      </w:pPr>
      <w:bookmarkStart w:colFirst="0" w:colLast="0" w:name="_heading=h.30j0zll" w:id="3"/>
      <w:bookmarkEnd w:id="3"/>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5">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informacion esta incompleta” (sic)</w:t>
      </w:r>
    </w:p>
    <w:p w:rsidR="00000000" w:rsidDel="00000000" w:rsidP="00000000" w:rsidRDefault="00000000" w:rsidRPr="00000000" w14:paraId="0000001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Anexos: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no adjuntó archivos. </w:t>
      </w:r>
    </w:p>
    <w:p w:rsidR="00000000" w:rsidDel="00000000" w:rsidP="00000000" w:rsidRDefault="00000000" w:rsidRPr="00000000" w14:paraId="00000017">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once de octubre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bookmarkStart w:colFirst="0" w:colLast="0" w:name="_heading=h.2s8eyo1" w:id="4"/>
      <w:bookmarkEnd w:id="4"/>
      <w:r w:rsidDel="00000000" w:rsidR="00000000" w:rsidRPr="00000000">
        <w:rPr>
          <w:rFonts w:ascii="Palatino Linotype" w:cs="Palatino Linotype" w:eastAsia="Palatino Linotype" w:hAnsi="Palatino Linotype"/>
          <w:b w:val="1"/>
          <w:rtl w:val="0"/>
        </w:rPr>
        <w:t xml:space="preserve">7. Manifestaciones</w:t>
      </w:r>
      <w:r w:rsidDel="00000000" w:rsidR="00000000" w:rsidRPr="00000000">
        <w:rPr>
          <w:rFonts w:ascii="Palatino Linotype" w:cs="Palatino Linotype" w:eastAsia="Palatino Linotype" w:hAnsi="Palatino Linotype"/>
          <w:rtl w:val="0"/>
        </w:rPr>
        <w:t xml:space="preserve">. 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omitió realizar manifestaciones, como se observa a continuación:</w:t>
      </w:r>
    </w:p>
    <w:p w:rsidR="00000000" w:rsidDel="00000000" w:rsidP="00000000" w:rsidRDefault="00000000" w:rsidRPr="00000000" w14:paraId="0000001A">
      <w:pPr>
        <w:spacing w:after="240" w:before="240" w:line="36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4860000" cy="1388571"/>
            <wp:effectExtent b="0" l="0" r="0" t="0"/>
            <wp:docPr id="3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60000" cy="1388571"/>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veinticuatro de octubre de dos mil veintidós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9. Ampliación del término para resolver</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veintidós de febrero de dos mil veintitrés</w:t>
      </w:r>
      <w:r w:rsidDel="00000000" w:rsidR="00000000" w:rsidRPr="00000000">
        <w:rPr>
          <w:rFonts w:ascii="Palatino Linotype" w:cs="Palatino Linotype" w:eastAsia="Palatino Linotype" w:hAnsi="Palatino Linotype"/>
          <w:rtl w:val="0"/>
        </w:rPr>
        <w:t xml:space="preserve">, se amplió el término para resolver el recurso de revisión en términos del artículo 181 párrafo tercero de la Ley de Transparencia y Acceso a la Información Pública del Estado de México y Municipios.</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strike w:val="1"/>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22">
      <w:pPr>
        <w:numPr>
          <w:ilvl w:val="0"/>
          <w:numId w:val="2"/>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23">
      <w:pPr>
        <w:numPr>
          <w:ilvl w:val="0"/>
          <w:numId w:val="2"/>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24">
      <w:pPr>
        <w:numPr>
          <w:ilvl w:val="0"/>
          <w:numId w:val="2"/>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25">
      <w:pPr>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La afectación generada en la situación jurídica de la persona involucrada en el proceso: Violación a sus derechos humanos.</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2A">
      <w:pPr>
        <w:spacing w:after="240" w:before="24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consultable en el Seminario Judicial de la Federación y su gaceta, con el registro digital 2002351.</w:t>
      </w:r>
    </w:p>
    <w:p w:rsidR="00000000" w:rsidDel="00000000" w:rsidP="00000000" w:rsidRDefault="00000000" w:rsidRPr="00000000" w14:paraId="0000002B">
      <w:pPr>
        <w:spacing w:after="240" w:before="24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visible en el Seminario Judicial de la Federación y su gaceta, con el registro digital 2002350.</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2E">
      <w:pPr>
        <w:widowControl w:val="0"/>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bookmarkStart w:colFirst="0" w:colLast="0" w:name="_heading=h.tyjcwt" w:id="5"/>
      <w:bookmarkEnd w:id="5"/>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seis de octubre de dos mil veintidós,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seis de octubre de dos mil veintidós</w:t>
      </w:r>
      <w:r w:rsidDel="00000000" w:rsidR="00000000" w:rsidRPr="00000000">
        <w:rPr>
          <w:rFonts w:ascii="Palatino Linotype" w:cs="Palatino Linotype" w:eastAsia="Palatino Linotype" w:hAnsi="Palatino Linotype"/>
          <w:rtl w:val="0"/>
        </w:rPr>
        <w:t xml:space="preserve">, esto es, el mismo día en que tuvo conocimiento de la respuesta impugnada.</w:t>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000000" w:rsidDel="00000000" w:rsidP="00000000" w:rsidRDefault="00000000" w:rsidRPr="00000000" w14:paraId="0000003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“RECURSO DE RECLAMACIÓN. SU INTERPOSICIÓN NO ES EXTEMPORÁNEA SI SE REALIZA ANTES DE QUE INICIE EL PLAZO PARA HACERLO</w:t>
      </w:r>
      <w:r w:rsidDel="00000000" w:rsidR="00000000" w:rsidRPr="00000000">
        <w:rPr>
          <w:rFonts w:ascii="Palatino Linotype" w:cs="Palatino Linotype" w:eastAsia="Palatino Linotype" w:hAnsi="Palatino Linotype"/>
          <w:i w:val="1"/>
          <w:sz w:val="22"/>
          <w:szCs w:val="22"/>
          <w:rtl w:val="0"/>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00000" w:rsidDel="00000000" w:rsidP="00000000" w:rsidRDefault="00000000" w:rsidRPr="00000000" w14:paraId="00000034">
      <w:pPr>
        <w:tabs>
          <w:tab w:val="left" w:leader="none" w:pos="7938"/>
        </w:tabs>
        <w:spacing w:after="240" w:before="240" w:line="360" w:lineRule="auto"/>
        <w:jc w:val="both"/>
        <w:rPr>
          <w:rFonts w:ascii="Palatino Linotype" w:cs="Palatino Linotype" w:eastAsia="Palatino Linotype" w:hAnsi="Palatino Linotype"/>
        </w:rPr>
      </w:pPr>
      <w:bookmarkStart w:colFirst="0" w:colLast="0" w:name="_heading=h.3znysh7" w:id="6"/>
      <w:bookmarkEnd w:id="6"/>
      <w:r w:rsidDel="00000000" w:rsidR="00000000" w:rsidRPr="00000000">
        <w:rPr>
          <w:rFonts w:ascii="Palatino Linotype" w:cs="Palatino Linotype" w:eastAsia="Palatino Linotype" w:hAnsi="Palatino Linotype"/>
          <w:rtl w:val="0"/>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efecto de sustentar lo anterior, es de suma importancia mencionar que si bien la persona solicitante </w:t>
      </w:r>
      <w:r w:rsidDel="00000000" w:rsidR="00000000" w:rsidRPr="00000000">
        <w:rPr>
          <w:rFonts w:ascii="Palatino Linotype" w:cs="Palatino Linotype" w:eastAsia="Palatino Linotype" w:hAnsi="Palatino Linotype"/>
          <w:b w:val="1"/>
          <w:rtl w:val="0"/>
        </w:rPr>
        <w:t xml:space="preserve">no proporcionó nombre, </w:t>
      </w:r>
      <w:r w:rsidDel="00000000" w:rsidR="00000000" w:rsidRPr="00000000">
        <w:rPr>
          <w:rFonts w:ascii="Palatino Linotype" w:cs="Palatino Linotype" w:eastAsia="Palatino Linotype" w:hAnsi="Palatino Linotype"/>
          <w:rtl w:val="0"/>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36">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3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por lo que, en el presente caso, al haber sido presentado el recurso de revisión vía SAIMEX, dicho requisito resulta innecesario.</w:t>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sus motivos de inconformidad, de acuerdo al artículo 179, fracción V del ordenamiento legal citado, que a la letra dice: </w:t>
      </w:r>
    </w:p>
    <w:p w:rsidR="00000000" w:rsidDel="00000000" w:rsidP="00000000" w:rsidRDefault="00000000" w:rsidRPr="00000000" w14:paraId="00000039">
      <w:pPr>
        <w:spacing w:after="120" w:before="120" w:lineRule="auto"/>
        <w:ind w:left="993"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3A">
      <w:pPr>
        <w:spacing w:after="120" w:before="120" w:lineRule="auto"/>
        <w:ind w:left="1134" w:firstLine="0"/>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3B">
      <w:pPr>
        <w:spacing w:after="120" w:before="120" w:lineRule="auto"/>
        <w:ind w:left="1134"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La entrega de información incompleta;”</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y documentos que obran en el expediente electrónico se advierte, que el tema sobre el que este Organismo Garante de Transparencia y Acceso a la Información se pronunciará será: </w:t>
      </w:r>
      <w:r w:rsidDel="00000000" w:rsidR="00000000" w:rsidRPr="00000000">
        <w:rPr>
          <w:rFonts w:ascii="Palatino Linotype" w:cs="Palatino Linotype" w:eastAsia="Palatino Linotype" w:hAnsi="Palatino Linotype"/>
          <w:b w:val="1"/>
          <w:rtl w:val="0"/>
        </w:rPr>
        <w:t xml:space="preserve">verificar si la respuesta otorgada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rtl w:val="0"/>
        </w:rPr>
        <w:t xml:space="preserve">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 en su defecto, en caso de ser procedente, ordenar la entrega de información oportuna.</w:t>
      </w:r>
    </w:p>
    <w:p w:rsidR="00000000" w:rsidDel="00000000" w:rsidP="00000000" w:rsidRDefault="00000000" w:rsidRPr="00000000" w14:paraId="0000003D">
      <w:pPr>
        <w:spacing w:after="240" w:before="240" w:line="360" w:lineRule="auto"/>
        <w:ind w:right="51"/>
        <w:jc w:val="both"/>
        <w:rPr>
          <w:rFonts w:ascii="Palatino Linotype" w:cs="Palatino Linotype" w:eastAsia="Palatino Linotype" w:hAnsi="Palatino Linotype"/>
        </w:rPr>
      </w:pPr>
      <w:bookmarkStart w:colFirst="0" w:colLast="0" w:name="_heading=h.2et92p0" w:id="7"/>
      <w:bookmarkEnd w:id="7"/>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Del análisis de la solicitud de información, motivo del recurso de revisión que ahora se resuelve se advierte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requirió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le proporcione, información consistente en lo siguiente:</w:t>
      </w:r>
    </w:p>
    <w:p w:rsidR="00000000" w:rsidDel="00000000" w:rsidP="00000000" w:rsidRDefault="00000000" w:rsidRPr="00000000" w14:paraId="0000003E">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Servidora Pública referida en la solicitud: </w:t>
      </w:r>
    </w:p>
    <w:p w:rsidR="00000000" w:rsidDel="00000000" w:rsidP="00000000" w:rsidRDefault="00000000" w:rsidRPr="00000000" w14:paraId="0000003F">
      <w:pPr>
        <w:spacing w:after="240" w:before="240" w:line="360" w:lineRule="auto"/>
        <w:ind w:left="284" w:right="4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Curriculum vitae.</w:t>
      </w:r>
    </w:p>
    <w:p w:rsidR="00000000" w:rsidDel="00000000" w:rsidP="00000000" w:rsidRDefault="00000000" w:rsidRPr="00000000" w14:paraId="00000040">
      <w:pPr>
        <w:spacing w:after="240" w:before="240" w:line="360" w:lineRule="auto"/>
        <w:ind w:left="284" w:right="4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2. Certificado médico.</w:t>
      </w:r>
    </w:p>
    <w:p w:rsidR="00000000" w:rsidDel="00000000" w:rsidP="00000000" w:rsidRDefault="00000000" w:rsidRPr="00000000" w14:paraId="0000004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respuesta,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 la Unidad de Transparencia, hizo del conocimiento de la persona solicitante el pronunciamiento vertido por la Dirección de Administración, quien, en atención a la solicitud, con base en la información proporcionada por la Subdirección de Recursos Humanos, manifestó que se realizó la búsqueda minuciosa y exhaustiva en los archivos, localizando la ficha curricular de la Servidora Pública referida, cuyo archivo se adjuntó.</w:t>
      </w:r>
    </w:p>
    <w:p w:rsidR="00000000" w:rsidDel="00000000" w:rsidP="00000000" w:rsidRDefault="00000000" w:rsidRPr="00000000" w14:paraId="00000042">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señaló que se localizó un documento a nombre de la misma Servidora Pública, denominado Certificado Médico expedido por la Cruz Roja Mexicana, Delegación Metepec, no obstante, toda vez que el documento da cuenta del estado de salud de la titular de los datos personales, consideró conveniente que dicho documento fuera clasificado en su totalidad, solicitando al Comité de Transparencia su aprobación.</w:t>
      </w:r>
    </w:p>
    <w:p w:rsidR="00000000" w:rsidDel="00000000" w:rsidP="00000000" w:rsidRDefault="00000000" w:rsidRPr="00000000" w14:paraId="00000043">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Conocida la respuesta por la persona solicitante, al no estar conforme con los términos de la misma, interpuso el recurso de revisión que nos ocupa, mediante el cual manifestó, como motivo de inconformidad que la información estaba incompleta. </w:t>
      </w:r>
    </w:p>
    <w:p w:rsidR="00000000" w:rsidDel="00000000" w:rsidP="00000000" w:rsidRDefault="00000000" w:rsidRPr="00000000" w14:paraId="0000004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una vez admitido el presente recurso de revisión, en términos del artículo 185 fracción II</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000000" w:rsidDel="00000000" w:rsidP="00000000" w:rsidRDefault="00000000" w:rsidRPr="00000000" w14:paraId="00000045">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000000" w:rsidDel="00000000" w:rsidP="00000000" w:rsidRDefault="00000000" w:rsidRPr="00000000" w14:paraId="0000004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000000" w:rsidDel="00000000" w:rsidP="00000000" w:rsidRDefault="00000000" w:rsidRPr="00000000" w14:paraId="0000004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48">
      <w:pPr>
        <w:ind w:left="851" w:right="89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9">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4A">
      <w:pPr>
        <w:ind w:left="1134"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B">
      <w:pPr>
        <w:ind w:left="1134"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Documento:</w:t>
      </w:r>
      <w:r w:rsidDel="00000000" w:rsidR="00000000" w:rsidRPr="00000000">
        <w:rPr>
          <w:rFonts w:ascii="Palatino Linotype" w:cs="Palatino Linotype" w:eastAsia="Palatino Linotype" w:hAnsi="Palatino Linotype"/>
          <w:i w:val="1"/>
          <w:sz w:val="22"/>
          <w:szCs w:val="22"/>
          <w:rtl w:val="0"/>
        </w:rPr>
        <w:t xml:space="preserve"> Los expedientes, reportes, estudios, actas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000000" w:rsidDel="00000000" w:rsidP="00000000" w:rsidRDefault="00000000" w:rsidRPr="00000000" w14:paraId="0000004C">
      <w:pPr>
        <w:ind w:left="851" w:right="89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4E">
      <w:pPr>
        <w:ind w:left="851" w:right="899"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F">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50">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51">
      <w:pPr>
        <w:ind w:left="1134"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52">
      <w:pPr>
        <w:ind w:left="1134"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53">
      <w:pPr>
        <w:ind w:left="1134"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3) Que se trate de información registrada en cualquier soporte documental, que en ejercicio de las atribuciones conferidas, se encuentre en posesión de los Sujetos Obligados.” </w:t>
      </w:r>
    </w:p>
    <w:p w:rsidR="00000000" w:rsidDel="00000000" w:rsidP="00000000" w:rsidRDefault="00000000" w:rsidRPr="00000000" w14:paraId="00000054">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5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000000" w:rsidDel="00000000" w:rsidP="00000000" w:rsidRDefault="00000000" w:rsidRPr="00000000" w14:paraId="0000005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el caso que nos ocupa, derivado de las constancias que obran en el expediente en el que se actúa se advierte que la Unidad de Transparencia, en observancia de lo previsto en los artículos 53, fracciones II y IV</w:t>
      </w:r>
      <w:r w:rsidDel="00000000" w:rsidR="00000000" w:rsidRPr="00000000">
        <w:rPr>
          <w:rFonts w:ascii="Palatino Linotype" w:cs="Palatino Linotype" w:eastAsia="Palatino Linotype" w:hAnsi="Palatino Linotype"/>
          <w:vertAlign w:val="superscript"/>
          <w:rtl w:val="0"/>
        </w:rPr>
        <w:t xml:space="preserve"> </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y 162</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 de la Ley de Transparencia y Acceso a la Información Pública del Estado de México y Municipios, turnó la solicitud de información a las áreas que, de acuerdo con sus facultades, competencias y funciones, pudieran contar con la información materia de la solicitud, esto es a la Dirección de Administración, dependencia que, de conformidad con el artículo 3.97 Código de Reglamentación Municipal de Metepec, es la dependencia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y tiene conferidas las siguientes atribuciones en su parte conducente:</w:t>
      </w:r>
    </w:p>
    <w:p w:rsidR="00000000" w:rsidDel="00000000" w:rsidP="00000000" w:rsidRDefault="00000000" w:rsidRPr="00000000" w14:paraId="0000005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3.98</w:t>
      </w:r>
      <w:r w:rsidDel="00000000" w:rsidR="00000000" w:rsidRPr="00000000">
        <w:rPr>
          <w:rFonts w:ascii="Palatino Linotype" w:cs="Palatino Linotype" w:eastAsia="Palatino Linotype" w:hAnsi="Palatino Linotype"/>
          <w:i w:val="1"/>
          <w:sz w:val="22"/>
          <w:szCs w:val="22"/>
          <w:rtl w:val="0"/>
        </w:rPr>
        <w:t xml:space="preserve">. La Dirección de Administración tiene a su cargo las siguientes atribuciones:</w:t>
      </w:r>
    </w:p>
    <w:p w:rsidR="00000000" w:rsidDel="00000000" w:rsidP="00000000" w:rsidRDefault="00000000" w:rsidRPr="00000000" w14:paraId="00000058">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Coordinar y dirigir los sistemas de reclutamiento, selección, contratación y desarrollo de personal las diferentes unidades administrativas de la administración pública municipal;</w:t>
      </w:r>
    </w:p>
    <w:p w:rsidR="00000000" w:rsidDel="00000000" w:rsidP="00000000" w:rsidRDefault="00000000" w:rsidRPr="00000000" w14:paraId="00000059">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Emitir los gafetes que acrediten como tal a los servidores públicos de la administración pública municipal; conforme a la imagen institucional autorizada por la Coordinación de Comunicación Social; </w:t>
      </w:r>
    </w:p>
    <w:p w:rsidR="00000000" w:rsidDel="00000000" w:rsidP="00000000" w:rsidRDefault="00000000" w:rsidRPr="00000000" w14:paraId="0000005A">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Controlar y registrar asistencia, nombramientos, remociones, renuncias, licencias, cambios de adscripción, promociones, incapacidades, vacaciones, días no laborables y demás incidencias relacionadas con los servidores públicos municipales;</w:t>
      </w:r>
    </w:p>
    <w:p w:rsidR="00000000" w:rsidDel="00000000" w:rsidP="00000000" w:rsidRDefault="00000000" w:rsidRPr="00000000" w14:paraId="0000005B">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C">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Verificar que se cumplan las disposiciones en materia de trabajo seguridad e higiene laboral, así como de los derechos y obligaciones del personal;</w:t>
      </w:r>
    </w:p>
    <w:p w:rsidR="00000000" w:rsidDel="00000000" w:rsidP="00000000" w:rsidRDefault="00000000" w:rsidRPr="00000000" w14:paraId="0000005D">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E">
      <w:pPr>
        <w:spacing w:after="120" w:before="120" w:lineRule="auto"/>
        <w:ind w:left="1134"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Coordinar el resguardo y actualización del archivo de personal salvaguardando la información en términos de las disposiciones legales;”</w:t>
      </w:r>
    </w:p>
    <w:p w:rsidR="00000000" w:rsidDel="00000000" w:rsidP="00000000" w:rsidRDefault="00000000" w:rsidRPr="00000000" w14:paraId="0000005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lo cual, de conformidad con el artículo 3.99 del Código Reglamentario se auxilia de la Subdirección de Recursos Humanos, que tiene a su cargo las siguientes atribuciones en su parte conducente:</w:t>
      </w:r>
    </w:p>
    <w:p w:rsidR="00000000" w:rsidDel="00000000" w:rsidP="00000000" w:rsidRDefault="00000000" w:rsidRPr="00000000" w14:paraId="0000006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3.100</w:t>
      </w:r>
      <w:r w:rsidDel="00000000" w:rsidR="00000000" w:rsidRPr="00000000">
        <w:rPr>
          <w:rFonts w:ascii="Palatino Linotype" w:cs="Palatino Linotype" w:eastAsia="Palatino Linotype" w:hAnsi="Palatino Linotype"/>
          <w:i w:val="1"/>
          <w:sz w:val="22"/>
          <w:szCs w:val="22"/>
          <w:rtl w:val="0"/>
        </w:rPr>
        <w:t xml:space="preserve">. La Subdirección de Recursos Humanos, tiene las siguientes atribuciones:</w:t>
      </w:r>
    </w:p>
    <w:p w:rsidR="00000000" w:rsidDel="00000000" w:rsidP="00000000" w:rsidRDefault="00000000" w:rsidRPr="00000000" w14:paraId="00000061">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2">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w:t>
      </w:r>
      <w:r w:rsidDel="00000000" w:rsidR="00000000" w:rsidRPr="00000000">
        <w:rPr>
          <w:rFonts w:ascii="Palatino Linotype" w:cs="Palatino Linotype" w:eastAsia="Palatino Linotype" w:hAnsi="Palatino Linotype"/>
          <w:i w:val="1"/>
          <w:sz w:val="22"/>
          <w:szCs w:val="22"/>
          <w:rtl w:val="0"/>
        </w:rPr>
        <w:t xml:space="preserve"> Coordinar el resguardo y actualización del archivo de personal salvaguardando la información en términos de las disposiciones legales;”</w:t>
      </w:r>
    </w:p>
    <w:p w:rsidR="00000000" w:rsidDel="00000000" w:rsidP="00000000" w:rsidRDefault="00000000" w:rsidRPr="00000000" w14:paraId="0000006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se colige que la solicitud fue atendida por el área competente para generar, administrar o poseer la información materia de la misma.</w:t>
      </w:r>
    </w:p>
    <w:p w:rsidR="00000000" w:rsidDel="00000000" w:rsidP="00000000" w:rsidRDefault="00000000" w:rsidRPr="00000000" w14:paraId="0000006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respecto del primer punto, mediante el cual se solicitó el curriculum vitae de la Servidora Pública referida en la solicitud de información, la Dirección de Administración, a través de la Subdirección de Recursos Humanos, tuvo a bien proporcionar la ficha curricular de la misma, información que se traduce en lo solicitado, por lo que se estima que el documento remitido es suficiente para tener por colmado el requerimiento en estudio.</w:t>
      </w:r>
    </w:p>
    <w:p w:rsidR="00000000" w:rsidDel="00000000" w:rsidP="00000000" w:rsidRDefault="00000000" w:rsidRPr="00000000" w14:paraId="00000065">
      <w:pPr>
        <w:spacing w:after="360" w:before="240" w:line="360" w:lineRule="auto"/>
        <w:ind w:right="18"/>
        <w:jc w:val="both"/>
        <w:rPr>
          <w:rFonts w:ascii="Palatino Linotype" w:cs="Palatino Linotype" w:eastAsia="Palatino Linotype" w:hAnsi="Palatino Linotype"/>
        </w:rPr>
      </w:pPr>
      <w:bookmarkStart w:colFirst="0" w:colLast="0" w:name="_heading=h.26in1rg" w:id="8"/>
      <w:bookmarkEnd w:id="8"/>
      <w:r w:rsidDel="00000000" w:rsidR="00000000" w:rsidRPr="00000000">
        <w:rPr>
          <w:rFonts w:ascii="Palatino Linotype" w:cs="Palatino Linotype" w:eastAsia="Palatino Linotype" w:hAnsi="Palatino Linotype"/>
          <w:rtl w:val="0"/>
        </w:rPr>
        <w:t xml:space="preserve">Lo anterior es así, ya que, al haber existido un pronunciamiento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área competente respecto de la materia del requerimiento de información, este Organismo Garante no está facultado para manifestarse sobre la veracidad de lo expresado por parte de este, pues no existe precepto legal alguno en la Ley de la materia que lo faculte para ello.</w:t>
      </w:r>
    </w:p>
    <w:p w:rsidR="00000000" w:rsidDel="00000000" w:rsidP="00000000" w:rsidRDefault="00000000" w:rsidRPr="00000000" w14:paraId="00000066">
      <w:pPr>
        <w:spacing w:after="360" w:before="240" w:line="360" w:lineRule="auto"/>
        <w:ind w:right="1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000000" w:rsidDel="00000000" w:rsidP="00000000" w:rsidRDefault="00000000" w:rsidRPr="00000000" w14:paraId="00000067">
      <w:pPr>
        <w:spacing w:after="240" w:before="240" w:lineRule="auto"/>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El Instituto Federal de Acceso a la Información y Protección de Datos no cuenta con facultades para pronunciarse respecto de la veracidad de los documentos proporcionados por los sujetos obligados.</w:t>
      </w:r>
      <w:r w:rsidDel="00000000" w:rsidR="00000000" w:rsidRPr="00000000">
        <w:rPr>
          <w:rFonts w:ascii="Palatino Linotype" w:cs="Palatino Linotype" w:eastAsia="Palatino Linotype" w:hAnsi="Palatino Linotype"/>
          <w:i w:val="1"/>
          <w:sz w:val="22"/>
          <w:szCs w:val="22"/>
          <w:rtl w:val="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00000" w:rsidDel="00000000" w:rsidP="00000000" w:rsidRDefault="00000000" w:rsidRPr="00000000" w14:paraId="0000006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respecto del punto 2, mediante el cual se solicitó el certificado médico, recordemos que la Dirección de Administración reconoció contar con un documento a nombre de la Servidora Pública, denominado certificado médico, mismo que fue expedido por la Cruz Roja Mexicana, sin embargo, al ser un documento que da cuenta del estado de salud de la titular de los datos personales, consideró conveniente que éste fuera clasificado en su totalidad, solicitando al Comité de Transparencia la aprobación correspondiente.</w:t>
      </w:r>
    </w:p>
    <w:p w:rsidR="00000000" w:rsidDel="00000000" w:rsidP="00000000" w:rsidRDefault="00000000" w:rsidRPr="00000000" w14:paraId="00000069">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se presume la existencia del mismo, en sus archivos pues es de resaltar que con el pronunciamiento emitido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 niega la existencia del certificado médico, sino por el contrario, asume que la tiene de manera explícita, tan es así que pretende la clasificación total del mismo, solicitando al Comité de Transparencia la aprobación correspondiente.</w:t>
      </w:r>
    </w:p>
    <w:p w:rsidR="00000000" w:rsidDel="00000000" w:rsidP="00000000" w:rsidRDefault="00000000" w:rsidRPr="00000000" w14:paraId="0000006A">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efecto de robustecer lo anterior, sirve de sustento el criterio orientador 29/10 emitido por el Instituto Nacional de Transparencia, Acceso a la Información y Protección de Datos Personales, INAI</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cual refiere lo siguiente: </w:t>
      </w:r>
    </w:p>
    <w:p w:rsidR="00000000" w:rsidDel="00000000" w:rsidP="00000000" w:rsidRDefault="00000000" w:rsidRPr="00000000" w14:paraId="0000006B">
      <w:pPr>
        <w:spacing w:after="240" w:before="240" w:lineRule="auto"/>
        <w:ind w:left="851"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sz w:val="22"/>
          <w:szCs w:val="22"/>
          <w:rtl w:val="0"/>
        </w:rPr>
        <w:t xml:space="preserve">“La clasificación y la inexistencia de información son conceptos que no pueden coexistir. </w:t>
      </w:r>
      <w:r w:rsidDel="00000000" w:rsidR="00000000" w:rsidRPr="00000000">
        <w:rPr>
          <w:rFonts w:ascii="Palatino Linotype" w:cs="Palatino Linotype" w:eastAsia="Palatino Linotype" w:hAnsi="Palatino Linotype"/>
          <w:i w:val="1"/>
          <w:sz w:val="22"/>
          <w:szCs w:val="22"/>
          <w:rtl w:val="0"/>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Del="00000000" w:rsidR="00000000" w:rsidRPr="00000000">
        <w:rPr>
          <w:rFonts w:ascii="Palatino Linotype" w:cs="Palatino Linotype" w:eastAsia="Palatino Linotype" w:hAnsi="Palatino Linotype"/>
          <w:b w:val="1"/>
          <w:i w:val="1"/>
          <w:sz w:val="22"/>
          <w:szCs w:val="22"/>
          <w:rtl w:val="0"/>
        </w:rPr>
        <w:t xml:space="preserve">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6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como fue referido en líneas anteriores, por regla general, toda la información generada, administrada o poseída por los Sujetos Obligados, en ejercicio de sus atribuciones, es información pública, sin embargo, existen excepciones a esa regla, en los términos que fijen las leyes de la materia.</w:t>
      </w:r>
    </w:p>
    <w:p w:rsidR="00000000" w:rsidDel="00000000" w:rsidP="00000000" w:rsidRDefault="00000000" w:rsidRPr="00000000" w14:paraId="0000006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rsidR="00000000" w:rsidDel="00000000" w:rsidP="00000000" w:rsidRDefault="00000000" w:rsidRPr="00000000" w14:paraId="0000006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presente asunto, es de señalar que el certificado médico es emitido por una persona legalmente autorizada para ejercer la profesión; una vez que haya recogido datos sobre la salud o enfermedad del paciente, con el que se demuestra que la persona está capacitada o es apta para realizar las funciones que se le requieren, los cuales se ajustan a las reglas de responsabilidad profesional. Por tanto, el certificado médico es considerado como un documento personal que sólo es del interés del solicitante, este caso la servidora pública.</w:t>
      </w:r>
    </w:p>
    <w:p w:rsidR="00000000" w:rsidDel="00000000" w:rsidP="00000000" w:rsidRDefault="00000000" w:rsidRPr="00000000" w14:paraId="0000006F">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se colige que el certificado médico no puede considerarse de carácter público, ya que se vinculan con la esfera más íntima de privacidad del titular de los datos personales en él contenidos, actualizándose el supuesto de clasificación como información totalmente confidencial en términos de los artículos 3, fracción  IX  y 143 fracción I de la Ley de Transparencia del Estado de México y Municipios, y 4, fracción XI de la Ley de Protección de Datos Personales del Estado de México, que son del tenor literal siguiente:</w:t>
      </w:r>
    </w:p>
    <w:p w:rsidR="00000000" w:rsidDel="00000000" w:rsidP="00000000" w:rsidRDefault="00000000" w:rsidRPr="00000000" w14:paraId="0000007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w:t>
      </w:r>
      <w:r w:rsidDel="00000000" w:rsidR="00000000" w:rsidRPr="00000000">
        <w:rPr>
          <w:rFonts w:ascii="Palatino Linotype" w:cs="Palatino Linotype" w:eastAsia="Palatino Linotype" w:hAnsi="Palatino Linotype"/>
          <w:i w:val="1"/>
          <w:sz w:val="22"/>
          <w:szCs w:val="22"/>
          <w:rtl w:val="0"/>
        </w:rPr>
        <w:t xml:space="preserve">. Para los efectos de la presente Ley se entenderá por:</w:t>
      </w:r>
    </w:p>
    <w:p w:rsidR="00000000" w:rsidDel="00000000" w:rsidP="00000000" w:rsidRDefault="00000000" w:rsidRPr="00000000" w14:paraId="00000071">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2">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Datos personales:</w:t>
      </w:r>
      <w:r w:rsidDel="00000000" w:rsidR="00000000" w:rsidRPr="00000000">
        <w:rPr>
          <w:rFonts w:ascii="Palatino Linotype" w:cs="Palatino Linotype" w:eastAsia="Palatino Linotype" w:hAnsi="Palatino Linotype"/>
          <w:i w:val="1"/>
          <w:sz w:val="22"/>
          <w:szCs w:val="22"/>
          <w:rtl w:val="0"/>
        </w:rPr>
        <w:t xml:space="preserve"> La información concerniente a una persona, identificada o identificable según lo dispuesto por la Ley de Protección de Datos Personales del Estado de México; </w:t>
      </w:r>
    </w:p>
    <w:p w:rsidR="00000000" w:rsidDel="00000000" w:rsidP="00000000" w:rsidRDefault="00000000" w:rsidRPr="00000000" w14:paraId="00000073">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74">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w:t>
      </w:r>
      <w:r w:rsidDel="00000000" w:rsidR="00000000" w:rsidRPr="00000000">
        <w:rPr>
          <w:rFonts w:ascii="Palatino Linotype" w:cs="Palatino Linotype" w:eastAsia="Palatino Linotype" w:hAnsi="Palatino Linotype"/>
          <w:i w:val="1"/>
          <w:sz w:val="22"/>
          <w:szCs w:val="22"/>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075">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refiera a la información privada y los datos personales concernientes a una persona física o jurídico colectiva identificada o identificable;</w:t>
      </w:r>
    </w:p>
    <w:p w:rsidR="00000000" w:rsidDel="00000000" w:rsidP="00000000" w:rsidRDefault="00000000" w:rsidRPr="00000000" w14:paraId="00000076">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Para los efectos de esta Ley se entenderá por:</w:t>
      </w:r>
    </w:p>
    <w:p w:rsidR="00000000" w:rsidDel="00000000" w:rsidP="00000000" w:rsidRDefault="00000000" w:rsidRPr="00000000" w14:paraId="00000077">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78">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Datos personales</w:t>
      </w:r>
      <w:r w:rsidDel="00000000" w:rsidR="00000000" w:rsidRPr="00000000">
        <w:rPr>
          <w:rFonts w:ascii="Palatino Linotype" w:cs="Palatino Linotype" w:eastAsia="Palatino Linotype" w:hAnsi="Palatino Linotype"/>
          <w:i w:val="1"/>
          <w:sz w:val="22"/>
          <w:szCs w:val="22"/>
          <w:rtl w:val="0"/>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esta tesitura, toda vez que en atención a la solicitud de información la Dirección de Administración reconoció de manera expresa con el certificado médico de la Servidora Pública referida en la solicitud, tal y como ha sido demostrado; con la finalidad de garantizar el derecho humano de acceso a la información pública de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deberá emitir el Acuerdo debidamente fundado y motivado mediante el cual del Comité de Transparencia apruebe la clasificación de la información como confidencial en su totalidad, bajo la premisa de que el derecho de acceso a la información pública tiene como limitante el respeto a la intimidad y a la vida privada de las personas.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Esto es así, ya que si bien existe la presunción de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posee el documento que pudiera satisfacer lo solicitado, también lo es que su publicidad conlleva un daño mayor que interés del particular de conocer dicha documental, pues como se adelantó, al contener estos datos personales relacionados con la salud de la Servidora Pública referida, y por tanto con su esfera de privacidad más íntima, no es susceptibles de entregarse, aún en versión pública, pues el contenido del mismo estaría testado en su mayoría, dejándose observar únicamente lo correspondiente al formato principal o básico del documento, lo cual aludiría a un formato cuya información resulta irrelevante, por lo que, se insiste, debe considerarse como información confidencial en su totalidad.</w:t>
      </w:r>
    </w:p>
    <w:p w:rsidR="00000000" w:rsidDel="00000000" w:rsidP="00000000" w:rsidRDefault="00000000" w:rsidRPr="00000000" w14:paraId="0000007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rsidR="00000000" w:rsidDel="00000000" w:rsidP="00000000" w:rsidRDefault="00000000" w:rsidRPr="00000000" w14:paraId="0000007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decir, el acuerdo deberá contener un razonamiento lógico con el que se demuestre que la información solicitada por la parte</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r w:rsidDel="00000000" w:rsidR="00000000" w:rsidRPr="00000000">
        <w:rPr>
          <w:rFonts w:ascii="Palatino Linotype" w:cs="Palatino Linotype" w:eastAsia="Palatino Linotype" w:hAnsi="Palatino Linotype"/>
          <w:vertAlign w:val="superscript"/>
        </w:rPr>
        <w:footnoteReference w:customMarkFollows="0" w:id="3"/>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7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rsidR="00000000" w:rsidDel="00000000" w:rsidP="00000000" w:rsidRDefault="00000000" w:rsidRPr="00000000" w14:paraId="0000007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Sirven de sustento a lo anterior las tesis jurisprudenciales número I.4º.A. J/43 y VI. 2º. J/43, publicadas en el Semanario Judicial de la Federación y su Gaceta, bajo el número de registro 175,082 y 203,143, respectivamente, cuyo texto y sentido literal es el siguiente:</w:t>
      </w:r>
    </w:p>
    <w:p w:rsidR="00000000" w:rsidDel="00000000" w:rsidP="00000000" w:rsidRDefault="00000000" w:rsidRPr="00000000" w14:paraId="0000007F">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FUNDAMENTACIÓN Y MOTIVACIÓN. EL ASPECTO FORMAL DE LA GARANTÍA Y SU FINALIDAD SE TRADUCEN EN EXPLICAR, JUSTIFICAR, POSIBILITAR LA DEFENSA Y COMUNICAR LA DECISIÓN. </w:t>
      </w:r>
      <w:r w:rsidDel="00000000" w:rsidR="00000000" w:rsidRPr="00000000">
        <w:rPr>
          <w:rFonts w:ascii="Palatino Linotype" w:cs="Palatino Linotype" w:eastAsia="Palatino Linotype" w:hAnsi="Palatino Linotype"/>
          <w:i w:val="1"/>
          <w:sz w:val="22"/>
          <w:szCs w:val="22"/>
          <w:rtl w:val="0"/>
        </w:rPr>
        <w:t xml:space="preserve">El contenido formal de la garantía de legalidad prevista en el artículo 16 constitucional relativa a la fundamentación y motivación tiene como propósito primordial y ratio que el justiciable </w:t>
      </w:r>
      <w:r w:rsidDel="00000000" w:rsidR="00000000" w:rsidRPr="00000000">
        <w:rPr>
          <w:rFonts w:ascii="Palatino Linotype" w:cs="Palatino Linotype" w:eastAsia="Palatino Linotype" w:hAnsi="Palatino Linotype"/>
          <w:i w:val="1"/>
          <w:sz w:val="22"/>
          <w:szCs w:val="22"/>
          <w:u w:val="single"/>
          <w:rtl w:val="0"/>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Del="00000000" w:rsidR="00000000" w:rsidRPr="00000000">
        <w:rPr>
          <w:rFonts w:ascii="Palatino Linotype" w:cs="Palatino Linotype" w:eastAsia="Palatino Linotype" w:hAnsi="Palatino Linotype"/>
          <w:i w:val="1"/>
          <w:sz w:val="22"/>
          <w:szCs w:val="22"/>
          <w:rtl w:val="0"/>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Del="00000000" w:rsidR="00000000" w:rsidRPr="00000000">
        <w:rPr>
          <w:rFonts w:ascii="Palatino Linotype" w:cs="Palatino Linotype" w:eastAsia="Palatino Linotype" w:hAnsi="Palatino Linotype"/>
          <w:i w:val="1"/>
          <w:sz w:val="22"/>
          <w:szCs w:val="22"/>
          <w:u w:val="single"/>
          <w:rtl w:val="0"/>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Del="00000000" w:rsidR="00000000" w:rsidRPr="00000000">
        <w:rPr>
          <w:rFonts w:ascii="Palatino Linotype" w:cs="Palatino Linotype" w:eastAsia="Palatino Linotype" w:hAnsi="Palatino Linotype"/>
          <w:i w:val="1"/>
          <w:sz w:val="22"/>
          <w:szCs w:val="22"/>
          <w:rtl w:val="0"/>
        </w:rPr>
        <w:t xml:space="preserve"> del que se deduzca la relación de pertenencia lógica de los hechos al derecho invocado, que es la subsunción.”</w:t>
      </w:r>
    </w:p>
    <w:p w:rsidR="00000000" w:rsidDel="00000000" w:rsidP="00000000" w:rsidRDefault="00000000" w:rsidRPr="00000000" w14:paraId="00000080">
      <w:pPr>
        <w:spacing w:after="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FUNDAMENTACION Y MOTIVACION. </w:t>
      </w:r>
      <w:r w:rsidDel="00000000" w:rsidR="00000000" w:rsidRPr="00000000">
        <w:rPr>
          <w:rFonts w:ascii="Palatino Linotype" w:cs="Palatino Linotype" w:eastAsia="Palatino Linotype" w:hAnsi="Palatino Linotype"/>
          <w:i w:val="1"/>
          <w:sz w:val="22"/>
          <w:szCs w:val="22"/>
          <w:rtl w:val="0"/>
        </w:rPr>
        <w:t xml:space="preserve">La debida fundamentación y motivación legal, deben entenderse, por lo primero</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u w:val="single"/>
          <w:rtl w:val="0"/>
        </w:rPr>
        <w:t xml:space="preserve">la cita del precepto legal aplicable al caso, y por lo segundo, las razones, motivos o circunstancias especiales que llevaron a la autoridad a concluir que el caso particular encuadra en el supuesto previsto por la norma</w:t>
      </w:r>
      <w:r w:rsidDel="00000000" w:rsidR="00000000" w:rsidRPr="00000000">
        <w:rPr>
          <w:rFonts w:ascii="Palatino Linotype" w:cs="Palatino Linotype" w:eastAsia="Palatino Linotype" w:hAnsi="Palatino Linotype"/>
          <w:i w:val="1"/>
          <w:sz w:val="22"/>
          <w:szCs w:val="22"/>
          <w:rtl w:val="0"/>
        </w:rPr>
        <w:t xml:space="preserve"> legal invocada como fundamento.”</w:t>
      </w:r>
      <w:r w:rsidDel="00000000" w:rsidR="00000000" w:rsidRPr="00000000">
        <w:rPr>
          <w:rtl w:val="0"/>
        </w:rPr>
      </w:r>
    </w:p>
    <w:p w:rsidR="00000000" w:rsidDel="00000000" w:rsidP="00000000" w:rsidRDefault="00000000" w:rsidRPr="00000000" w14:paraId="00000081">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hasta aquí expuesto, se concluye que los motivos de inconformidad de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devienen fundados, siendo procedente </w:t>
      </w:r>
      <w:r w:rsidDel="00000000" w:rsidR="00000000" w:rsidRPr="00000000">
        <w:rPr>
          <w:rFonts w:ascii="Palatino Linotype" w:cs="Palatino Linotype" w:eastAsia="Palatino Linotype" w:hAnsi="Palatino Linotype"/>
          <w:i w:val="1"/>
          <w:rtl w:val="0"/>
        </w:rPr>
        <w:t xml:space="preserve">Modificar</w:t>
      </w:r>
      <w:r w:rsidDel="00000000" w:rsidR="00000000" w:rsidRPr="00000000">
        <w:rPr>
          <w:rFonts w:ascii="Palatino Linotype" w:cs="Palatino Linotype" w:eastAsia="Palatino Linotype" w:hAnsi="Palatino Linotype"/>
          <w:rtl w:val="0"/>
        </w:rPr>
        <w:t xml:space="preserve"> la respuesta proporcionada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términos del artículo 186 fracción III de la Ley de Transparencia y Acceso a la Información Pública del Estado de México y Municipios.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86">
      <w:pPr>
        <w:spacing w:after="240" w:before="240" w:line="360" w:lineRule="auto"/>
        <w:jc w:val="both"/>
        <w:rPr>
          <w:rFonts w:ascii="Palatino Linotype" w:cs="Palatino Linotype" w:eastAsia="Palatino Linotype" w:hAnsi="Palatino Linotype"/>
          <w:b w:val="1"/>
        </w:rPr>
      </w:pPr>
      <w:bookmarkStart w:colFirst="0" w:colLast="0" w:name="_heading=h.1fob9te" w:id="9"/>
      <w:bookmarkEnd w:id="9"/>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w:t>
      </w:r>
      <w:r w:rsidDel="00000000" w:rsidR="00000000" w:rsidRPr="00000000">
        <w:rPr>
          <w:rFonts w:ascii="Palatino Linotype" w:cs="Palatino Linotype" w:eastAsia="Palatino Linotype" w:hAnsi="Palatino Linotype"/>
          <w:b w:val="1"/>
          <w:rtl w:val="0"/>
        </w:rPr>
        <w:t xml:space="preserve"> fundados</w:t>
      </w:r>
      <w:r w:rsidDel="00000000" w:rsidR="00000000" w:rsidRPr="00000000">
        <w:rPr>
          <w:rFonts w:ascii="Palatino Linotype" w:cs="Palatino Linotype" w:eastAsia="Palatino Linotype" w:hAnsi="Palatino Linotype"/>
          <w:rtl w:val="0"/>
        </w:rPr>
        <w:t xml:space="preserve"> los motivos de inconformidad hechos valer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el recurso de revisión </w:t>
      </w:r>
      <w:r w:rsidDel="00000000" w:rsidR="00000000" w:rsidRPr="00000000">
        <w:rPr>
          <w:rFonts w:ascii="Palatino Linotype" w:cs="Palatino Linotype" w:eastAsia="Palatino Linotype" w:hAnsi="Palatino Linotype"/>
          <w:b w:val="1"/>
          <w:rtl w:val="0"/>
        </w:rPr>
        <w:t xml:space="preserve">15434/INFOEM/IP/RR/2022, </w:t>
      </w:r>
      <w:r w:rsidDel="00000000" w:rsidR="00000000" w:rsidRPr="00000000">
        <w:rPr>
          <w:rFonts w:ascii="Palatino Linotype" w:cs="Palatino Linotype" w:eastAsia="Palatino Linotype" w:hAnsi="Palatino Linotype"/>
          <w:rtl w:val="0"/>
        </w:rPr>
        <w:t xml:space="preserve">por lo que, en términos del Considerando </w:t>
      </w: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rtl w:val="0"/>
        </w:rPr>
        <w:t xml:space="preserve"> de la presente resolución, se</w:t>
      </w:r>
      <w:r w:rsidDel="00000000" w:rsidR="00000000" w:rsidRPr="00000000">
        <w:rPr>
          <w:rFonts w:ascii="Palatino Linotype" w:cs="Palatino Linotype" w:eastAsia="Palatino Linotype" w:hAnsi="Palatino Linotype"/>
          <w:b w:val="1"/>
          <w:rtl w:val="0"/>
        </w:rPr>
        <w:t xml:space="preserve"> Modifica </w:t>
      </w:r>
      <w:r w:rsidDel="00000000" w:rsidR="00000000" w:rsidRPr="00000000">
        <w:rPr>
          <w:rFonts w:ascii="Palatino Linotype" w:cs="Palatino Linotype" w:eastAsia="Palatino Linotype" w:hAnsi="Palatino Linotype"/>
          <w:rtl w:val="0"/>
        </w:rPr>
        <w:t xml:space="preserve">la respuesta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del </w:t>
      </w:r>
      <w:r w:rsidDel="00000000" w:rsidR="00000000" w:rsidRPr="00000000">
        <w:rPr>
          <w:rFonts w:ascii="Palatino Linotype" w:cs="Palatino Linotype" w:eastAsia="Palatino Linotype" w:hAnsi="Palatino Linotype"/>
          <w:b w:val="1"/>
          <w:rtl w:val="0"/>
        </w:rPr>
        <w:t xml:space="preserve">Sujeto Obligado.</w:t>
      </w:r>
    </w:p>
    <w:p w:rsidR="00000000" w:rsidDel="00000000" w:rsidP="00000000" w:rsidRDefault="00000000" w:rsidRPr="00000000" w14:paraId="00000087">
      <w:pPr>
        <w:spacing w:after="240" w:before="240" w:line="360" w:lineRule="auto"/>
        <w:jc w:val="both"/>
        <w:rPr>
          <w:rFonts w:ascii="Palatino Linotype" w:cs="Palatino Linotype" w:eastAsia="Palatino Linotype" w:hAnsi="Palatino Linotype"/>
        </w:rPr>
      </w:pPr>
      <w:bookmarkStart w:colFirst="0" w:colLast="0" w:name="_heading=h.4d34og8" w:id="10"/>
      <w:bookmarkEnd w:id="10"/>
      <w:r w:rsidDel="00000000" w:rsidR="00000000" w:rsidRPr="00000000">
        <w:rPr>
          <w:rFonts w:ascii="Palatino Linotype" w:cs="Palatino Linotype" w:eastAsia="Palatino Linotype" w:hAnsi="Palatino Linotype"/>
          <w:b w:val="1"/>
          <w:rtl w:val="0"/>
        </w:rPr>
        <w:t xml:space="preserve">Segundo. </w:t>
      </w:r>
      <w:r w:rsidDel="00000000" w:rsidR="00000000" w:rsidRPr="00000000">
        <w:rPr>
          <w:rFonts w:ascii="Palatino Linotype" w:cs="Palatino Linotype" w:eastAsia="Palatino Linotype" w:hAnsi="Palatino Linotype"/>
          <w:rtl w:val="0"/>
        </w:rPr>
        <w:t xml:space="preserve">Se </w:t>
      </w:r>
      <w:r w:rsidDel="00000000" w:rsidR="00000000" w:rsidRPr="00000000">
        <w:rPr>
          <w:rFonts w:ascii="Palatino Linotype" w:cs="Palatino Linotype" w:eastAsia="Palatino Linotype" w:hAnsi="Palatino Linotype"/>
          <w:b w:val="1"/>
          <w:rtl w:val="0"/>
        </w:rPr>
        <w:t xml:space="preserve">Ordena</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Cuarto </w:t>
      </w:r>
      <w:r w:rsidDel="00000000" w:rsidR="00000000" w:rsidRPr="00000000">
        <w:rPr>
          <w:rFonts w:ascii="Palatino Linotype" w:cs="Palatino Linotype" w:eastAsia="Palatino Linotype" w:hAnsi="Palatino Linotype"/>
          <w:rtl w:val="0"/>
        </w:rPr>
        <w:t xml:space="preserve">de esta resolución, haga entrega, vía SAIMEX, de lo siguiente: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160" w:before="240" w:line="360" w:lineRule="auto"/>
        <w:ind w:left="426"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Acuerdo del Comité de Transparencia, en el que clasifique el certificado médico de la Servidora Pública referida en la solicitud, como totalmente confidencial.</w:t>
      </w:r>
    </w:p>
    <w:p w:rsidR="00000000" w:rsidDel="00000000" w:rsidP="00000000" w:rsidRDefault="00000000" w:rsidRPr="00000000" w14:paraId="00000089">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 </w:t>
      </w:r>
      <w:r w:rsidDel="00000000" w:rsidR="00000000" w:rsidRPr="00000000">
        <w:rPr>
          <w:rFonts w:ascii="Palatino Linotype" w:cs="Palatino Linotype" w:eastAsia="Palatino Linotype" w:hAnsi="Palatino Linotype"/>
          <w:rtl w:val="0"/>
        </w:rPr>
        <w:t xml:space="preserve">al Responsable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08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manera fundada y motivada, podrá solicitar una ampliación de plazo para el cumplimiento de la presente resolución.</w:t>
      </w:r>
    </w:p>
    <w:p w:rsidR="00000000" w:rsidDel="00000000" w:rsidP="00000000" w:rsidRDefault="00000000" w:rsidRPr="00000000" w14:paraId="0000008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Notifíquese, </w:t>
      </w:r>
      <w:r w:rsidDel="00000000" w:rsidR="00000000" w:rsidRPr="00000000">
        <w:rPr>
          <w:rFonts w:ascii="Palatino Linotype" w:cs="Palatino Linotype" w:eastAsia="Palatino Linotype" w:hAnsi="Palatino Linotype"/>
          <w:rtl w:val="0"/>
        </w:rPr>
        <w:t xml:space="preserve">vía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rsidR="00000000" w:rsidDel="00000000" w:rsidP="00000000" w:rsidRDefault="00000000" w:rsidRPr="00000000" w14:paraId="0000008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w:t>
      </w:r>
    </w:p>
    <w:p w:rsidR="00000000" w:rsidDel="00000000" w:rsidP="00000000" w:rsidRDefault="00000000" w:rsidRPr="00000000" w14:paraId="0000008D">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E">
      <w:pPr>
        <w:rPr>
          <w:rFonts w:ascii="Palatino Linotype" w:cs="Palatino Linotype" w:eastAsia="Palatino Linotype" w:hAnsi="Palatino Linotyp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5544073" cy="2822388"/>
                <wp:effectExtent b="0" l="0" r="0" t="0"/>
                <wp:wrapNone/>
                <wp:docPr id="28" name=""/>
                <a:graphic>
                  <a:graphicData uri="http://schemas.microsoft.com/office/word/2010/wordprocessingShape">
                    <wps:wsp>
                      <wps:cNvCnPr/>
                      <wps:spPr>
                        <a:xfrm>
                          <a:off x="2586664" y="2381506"/>
                          <a:ext cx="5518673" cy="2796988"/>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5544073" cy="2822388"/>
                <wp:effectExtent b="0" l="0" r="0" t="0"/>
                <wp:wrapNone/>
                <wp:docPr id="2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544073" cy="2822388"/>
                        </a:xfrm>
                        <a:prstGeom prst="rect"/>
                        <a:ln/>
                      </pic:spPr>
                    </pic:pic>
                  </a:graphicData>
                </a:graphic>
              </wp:anchor>
            </w:drawing>
          </mc:Fallback>
        </mc:AlternateContent>
      </w:r>
    </w:p>
    <w:p w:rsidR="00000000" w:rsidDel="00000000" w:rsidP="00000000" w:rsidRDefault="00000000" w:rsidRPr="00000000" w14:paraId="0000008F">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0">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1">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2">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4">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6">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7">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8">
      <w:pPr>
        <w:spacing w:line="360" w:lineRule="auto"/>
        <w:jc w:val="both"/>
        <w:rPr>
          <w:rFonts w:ascii="Palatino Linotype" w:cs="Palatino Linotype" w:eastAsia="Palatino Linotype" w:hAnsi="Palatino Linotype"/>
        </w:rPr>
      </w:pPr>
      <w:bookmarkStart w:colFirst="0" w:colLast="0" w:name="_heading=h.3rdcrjn" w:id="11"/>
      <w:bookmarkEnd w:id="11"/>
      <w:r w:rsidDel="00000000" w:rsidR="00000000" w:rsidRPr="00000000">
        <w:rPr>
          <w:rtl w:val="0"/>
        </w:rPr>
      </w:r>
    </w:p>
    <w:p w:rsidR="00000000" w:rsidDel="00000000" w:rsidP="00000000" w:rsidRDefault="00000000" w:rsidRPr="00000000" w14:paraId="0000009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B">
      <w:pPr>
        <w:spacing w:line="360" w:lineRule="auto"/>
        <w:jc w:val="both"/>
        <w:rPr>
          <w:rFonts w:ascii="Palatino Linotype" w:cs="Palatino Linotype" w:eastAsia="Palatino Linotype" w:hAnsi="Palatino Linotype"/>
        </w:rPr>
      </w:pPr>
      <w:bookmarkStart w:colFirst="0" w:colLast="0" w:name="_heading=h.1t3h5sf" w:id="12"/>
      <w:bookmarkEnd w:id="12"/>
      <w:r w:rsidDel="00000000" w:rsidR="00000000" w:rsidRPr="00000000">
        <w:rPr>
          <w:rtl w:val="0"/>
        </w:rPr>
      </w:r>
    </w:p>
    <w:p w:rsidR="00000000" w:rsidDel="00000000" w:rsidP="00000000" w:rsidRDefault="00000000" w:rsidRPr="00000000" w14:paraId="0000009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6">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7">
      <w:pPr>
        <w:pBdr>
          <w:top w:space="0" w:sz="0" w:val="nil"/>
          <w:left w:space="0" w:sz="0" w:val="nil"/>
          <w:bottom w:space="0" w:sz="0" w:val="nil"/>
          <w:right w:space="0" w:sz="0" w:val="nil"/>
          <w:between w:space="0" w:sz="0" w:val="nil"/>
        </w:pBdr>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 w:id="1">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Artículo 53. Las Unidades de Transparencia tendrán las siguientes funciones: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II. Recibir, tramitar y dar respuesta a las solicitudes de acceso a la información;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IV. Realizar, con efectividad, los trámites internos necesarios para la atención de las solicitudes de acceso a la información;</w:t>
      </w:r>
    </w:p>
  </w:footnote>
  <w:footnote w:id="2">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Ley de Transparencia y Acceso a la Información</w:t>
      </w:r>
      <w:r w:rsidDel="00000000" w:rsidR="00000000" w:rsidRPr="00000000">
        <w:rPr>
          <w:rFonts w:ascii="Palatino Linotype" w:cs="Palatino Linotype" w:eastAsia="Palatino Linotype" w:hAnsi="Palatino Linotype"/>
          <w:b w:val="0"/>
          <w:i w:val="0"/>
          <w:smallCaps w:val="0"/>
          <w:strike w:val="0"/>
          <w:color w:val="c00000"/>
          <w:sz w:val="16"/>
          <w:szCs w:val="16"/>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Pública</w:t>
      </w:r>
      <w:r w:rsidDel="00000000" w:rsidR="00000000" w:rsidRPr="00000000">
        <w:rPr>
          <w:rFonts w:ascii="Palatino Linotype" w:cs="Palatino Linotype" w:eastAsia="Palatino Linotype" w:hAnsi="Palatino Linotype"/>
          <w:b w:val="0"/>
          <w:i w:val="0"/>
          <w:smallCaps w:val="0"/>
          <w:strike w:val="0"/>
          <w:color w:val="c00000"/>
          <w:sz w:val="16"/>
          <w:szCs w:val="16"/>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del Estado de México y Municipios.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“Artículo 149. El acuerdo que clasifique la información como confidencial deberá contener un razonamiento lógico en el que demuestre que la información se encuentra en alguna o algunas de las hipótesis previstas en la presente Ley.”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-1079499</wp:posOffset>
          </wp:positionH>
          <wp:positionV relativeFrom="paragraph">
            <wp:posOffset>-328929</wp:posOffset>
          </wp:positionV>
          <wp:extent cx="7809865" cy="10165715"/>
          <wp:effectExtent b="0" l="0" r="0" t="0"/>
          <wp:wrapNone/>
          <wp:docPr id="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0B1">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B2">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15434/INFOEM/IP/RR/2022</w:t>
          </w:r>
        </w:p>
      </w:tc>
    </w:tr>
    <w:tr>
      <w:trPr>
        <w:cantSplit w:val="0"/>
        <w:trHeight w:val="130" w:hRule="atLeast"/>
        <w:tblHeader w:val="0"/>
      </w:trPr>
      <w:tc>
        <w:tcPr>
          <w:shd w:fill="auto" w:val="clear"/>
          <w:vAlign w:val="center"/>
        </w:tcPr>
        <w:p w:rsidR="00000000" w:rsidDel="00000000" w:rsidP="00000000" w:rsidRDefault="00000000" w:rsidRPr="00000000" w14:paraId="000000B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B4">
          <w:pPr>
            <w:ind w:left="-45" w:firstLine="0"/>
            <w:jc w:val="both"/>
            <w:rPr>
              <w:rFonts w:ascii="Palatino Linotype" w:cs="Palatino Linotype" w:eastAsia="Palatino Linotype" w:hAnsi="Palatino Linotype"/>
              <w:b w:val="1"/>
              <w:sz w:val="22"/>
              <w:szCs w:val="22"/>
            </w:rPr>
          </w:pPr>
          <w:r w:rsidDel="00000000" w:rsidR="00000000" w:rsidRPr="00000000">
            <w:rPr>
              <w:rtl w:val="0"/>
            </w:rPr>
          </w:r>
        </w:p>
      </w:tc>
    </w:tr>
    <w:tr>
      <w:trPr>
        <w:cantSplit w:val="0"/>
        <w:trHeight w:val="228" w:hRule="atLeast"/>
        <w:tblHeader w:val="0"/>
      </w:trPr>
      <w:tc>
        <w:tcPr>
          <w:shd w:fill="auto" w:val="clear"/>
          <w:vAlign w:val="center"/>
        </w:tcPr>
        <w:p w:rsidR="00000000" w:rsidDel="00000000" w:rsidP="00000000" w:rsidRDefault="00000000" w:rsidRPr="00000000" w14:paraId="000000B5">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B6">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Metepec</w:t>
          </w:r>
        </w:p>
      </w:tc>
    </w:tr>
    <w:tr>
      <w:trPr>
        <w:cantSplit w:val="0"/>
        <w:tblHeader w:val="0"/>
      </w:trPr>
      <w:tc>
        <w:tcPr>
          <w:shd w:fill="auto" w:val="clear"/>
          <w:vAlign w:val="center"/>
        </w:tcPr>
        <w:p w:rsidR="00000000" w:rsidDel="00000000" w:rsidP="00000000" w:rsidRDefault="00000000" w:rsidRPr="00000000" w14:paraId="000000B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B8">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-1080121</wp:posOffset>
          </wp:positionH>
          <wp:positionV relativeFrom="paragraph">
            <wp:posOffset>-488299</wp:posOffset>
          </wp:positionV>
          <wp:extent cx="7809865" cy="10165715"/>
          <wp:effectExtent b="0" l="0" r="0" t="0"/>
          <wp:wrapNone/>
          <wp:docPr id="3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B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BD">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15434/INFOEM/IP/RR/2022</w:t>
          </w:r>
        </w:p>
      </w:tc>
    </w:tr>
    <w:tr>
      <w:trPr>
        <w:cantSplit w:val="0"/>
        <w:trHeight w:val="228" w:hRule="atLeast"/>
        <w:tblHeader w:val="0"/>
      </w:trPr>
      <w:tc>
        <w:tcPr>
          <w:shd w:fill="auto" w:val="clear"/>
          <w:vAlign w:val="center"/>
        </w:tcPr>
        <w:p w:rsidR="00000000" w:rsidDel="00000000" w:rsidP="00000000" w:rsidRDefault="00000000" w:rsidRPr="00000000" w14:paraId="000000B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BF">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Metepec</w:t>
          </w:r>
        </w:p>
      </w:tc>
    </w:tr>
    <w:tr>
      <w:trPr>
        <w:cantSplit w:val="0"/>
        <w:tblHeader w:val="0"/>
      </w:trPr>
      <w:tc>
        <w:tcPr>
          <w:shd w:fill="auto" w:val="clear"/>
          <w:vAlign w:val="center"/>
        </w:tcPr>
        <w:p w:rsidR="00000000" w:rsidDel="00000000" w:rsidP="00000000" w:rsidRDefault="00000000" w:rsidRPr="00000000" w14:paraId="000000C0">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C1">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C2">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571" w:hanging="360"/>
      </w:pPr>
      <w:rPr>
        <w:b w:val="1"/>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2">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semiHidden w:val="1"/>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uiPriority w:val="9"/>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
    <w:link w:val="SinespaciadoCar"/>
    <w:uiPriority w:val="1"/>
    <w:qFormat w:val="1"/>
    <w:rsid w:val="002944C8"/>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rPr>
  </w:style>
  <w:style w:type="paragraph" w:styleId="m5127500252372250437gmail-paragraph" w:customStyle="1">
    <w:name w:val="m_5127500252372250437gmail-paragraph"/>
    <w:basedOn w:val="Normal"/>
    <w:rsid w:val="00980B7E"/>
    <w:pPr>
      <w:spacing w:after="100" w:afterAutospacing="1" w:before="100" w:beforeAutospacing="1"/>
    </w:p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style>
  <w:style w:type="paragraph" w:styleId="m" w:customStyle="1">
    <w:name w:val="m"/>
    <w:basedOn w:val="Normal"/>
    <w:rsid w:val="007B00BD"/>
    <w:pPr>
      <w:spacing w:after="100" w:afterAutospacing="1" w:before="100" w:beforeAutospacing="1"/>
    </w:p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style>
  <w:style w:type="paragraph" w:styleId="n2" w:customStyle="1">
    <w:name w:val="n2"/>
    <w:basedOn w:val="Normal"/>
    <w:rsid w:val="009D307C"/>
    <w:pPr>
      <w:spacing w:after="100" w:afterAutospacing="1" w:before="100" w:beforeAutospacing="1"/>
    </w:p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style>
  <w:style w:type="paragraph" w:styleId="j2" w:customStyle="1">
    <w:name w:val="j2"/>
    <w:basedOn w:val="Normal"/>
    <w:rsid w:val="009D307C"/>
    <w:pPr>
      <w:spacing w:after="100" w:afterAutospacing="1" w:before="100" w:beforeAutospacing="1"/>
    </w:pPr>
  </w:style>
  <w:style w:type="table" w:styleId="Tabladelista1clara-nfasis1">
    <w:name w:val="List Table 1 Light Accent 1"/>
    <w:basedOn w:val="Tablanormal"/>
    <w:uiPriority w:val="46"/>
    <w:rsid w:val="00A01B91"/>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5" w:customStyle="1">
    <w:name w:val="5"/>
    <w:basedOn w:val="TableNormal10"/>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4" w:customStyle="1">
    <w:name w:val="4"/>
    <w:basedOn w:val="TableNormal10"/>
    <w:tblPr>
      <w:tblStyleRowBandSize w:val="1"/>
      <w:tblStyleColBandSize w:val="1"/>
      <w:tblCellMar>
        <w:top w:w="0.0" w:type="dxa"/>
        <w:left w:w="115.0" w:type="dxa"/>
        <w:bottom w:w="0.0" w:type="dxa"/>
        <w:right w:w="115.0" w:type="dxa"/>
      </w:tblCellMar>
    </w:tblPr>
  </w:style>
  <w:style w:type="table" w:styleId="3" w:customStyle="1">
    <w:name w:val="3"/>
    <w:basedOn w:val="TableNormal10"/>
    <w:tblPr>
      <w:tblStyleRowBandSize w:val="1"/>
      <w:tblStyleColBandSize w:val="1"/>
      <w:tblCellMar>
        <w:top w:w="0.0" w:type="dxa"/>
        <w:left w:w="115.0" w:type="dxa"/>
        <w:bottom w:w="0.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table" w:styleId="2" w:customStyle="1">
    <w:name w:val="2"/>
    <w:basedOn w:val="TableNormal10"/>
    <w:tblPr>
      <w:tblStyleRowBandSize w:val="1"/>
      <w:tblStyleColBandSize w:val="1"/>
      <w:tblCellMar>
        <w:top w:w="0.0" w:type="dxa"/>
        <w:left w:w="115.0" w:type="dxa"/>
        <w:bottom w:w="0.0" w:type="dxa"/>
        <w:right w:w="115.0" w:type="dxa"/>
      </w:tblCellMar>
    </w:tblPr>
  </w:style>
  <w:style w:type="table" w:styleId="1" w:customStyle="1">
    <w:name w:val="1"/>
    <w:basedOn w:val="TableNormal10"/>
    <w:tblPr>
      <w:tblStyleRowBandSize w:val="1"/>
      <w:tblStyleColBandSize w:val="1"/>
      <w:tblCellMar>
        <w:top w:w="0.0" w:type="dxa"/>
        <w:left w:w="115.0" w:type="dxa"/>
        <w:bottom w:w="0.0" w:type="dxa"/>
        <w:right w:w="115.0" w:type="dxa"/>
      </w:tblCellMar>
    </w:tblPr>
  </w:style>
  <w:style w:type="table" w:styleId="9" w:customStyle="1">
    <w:name w:val="9"/>
    <w:basedOn w:val="TableNormal20"/>
    <w:tblPr>
      <w:tblStyleRowBandSize w:val="1"/>
      <w:tblStyleColBandSize w:val="1"/>
      <w:tblCellMar>
        <w:top w:w="0.0" w:type="dxa"/>
        <w:left w:w="115.0" w:type="dxa"/>
        <w:bottom w:w="0.0" w:type="dxa"/>
        <w:right w:w="115.0" w:type="dxa"/>
      </w:tblCellMar>
    </w:tblPr>
  </w:style>
  <w:style w:type="table" w:styleId="8" w:customStyle="1">
    <w:name w:val="8"/>
    <w:basedOn w:val="TableNormal20"/>
    <w:tblPr>
      <w:tblStyleRowBandSize w:val="1"/>
      <w:tblStyleColBandSize w:val="1"/>
      <w:tblCellMar>
        <w:top w:w="0.0" w:type="dxa"/>
        <w:left w:w="115.0" w:type="dxa"/>
        <w:bottom w:w="0.0" w:type="dxa"/>
        <w:right w:w="115.0" w:type="dxa"/>
      </w:tblCellMar>
    </w:tblPr>
  </w:style>
  <w:style w:type="table" w:styleId="7" w:customStyle="1">
    <w:name w:val="7"/>
    <w:basedOn w:val="TableNormal3"/>
    <w:tblPr>
      <w:tblStyleRowBandSize w:val="1"/>
      <w:tblStyleColBandSize w:val="1"/>
      <w:tblCellMar>
        <w:top w:w="0.0" w:type="dxa"/>
        <w:left w:w="115.0" w:type="dxa"/>
        <w:bottom w:w="0.0" w:type="dxa"/>
        <w:right w:w="115.0" w:type="dxa"/>
      </w:tblCellMar>
    </w:tblPr>
  </w:style>
  <w:style w:type="table" w:styleId="6" w:customStyle="1">
    <w:name w:val="6"/>
    <w:basedOn w:val="TableNormal3"/>
    <w:tblPr>
      <w:tblStyleRowBandSize w:val="1"/>
      <w:tblStyleColBandSize w:val="1"/>
      <w:tblCellMar>
        <w:top w:w="0.0" w:type="dxa"/>
        <w:left w:w="115.0" w:type="dxa"/>
        <w:bottom w:w="0.0" w:type="dxa"/>
        <w:right w:w="115.0" w:type="dxa"/>
      </w:tblCellMar>
    </w:tblPr>
  </w:style>
  <w:style w:type="table" w:styleId="20" w:customStyle="1">
    <w:name w:val="20"/>
    <w:basedOn w:val="TableNormal4"/>
    <w:tblPr>
      <w:tblStyleRowBandSize w:val="1"/>
      <w:tblStyleColBandSize w:val="1"/>
      <w:tblCellMar>
        <w:top w:w="0.0" w:type="dxa"/>
        <w:left w:w="115.0" w:type="dxa"/>
        <w:bottom w:w="0.0" w:type="dxa"/>
        <w:right w:w="115.0" w:type="dxa"/>
      </w:tblCellMar>
    </w:tblPr>
  </w:style>
  <w:style w:type="table" w:styleId="19" w:customStyle="1">
    <w:name w:val="19"/>
    <w:basedOn w:val="TableNormal4"/>
    <w:tblPr>
      <w:tblStyleRowBandSize w:val="1"/>
      <w:tblStyleColBandSize w:val="1"/>
      <w:tblCellMar>
        <w:top w:w="0.0" w:type="dxa"/>
        <w:left w:w="115.0" w:type="dxa"/>
        <w:bottom w:w="0.0" w:type="dxa"/>
        <w:right w:w="115.0" w:type="dxa"/>
      </w:tblCellMar>
    </w:tblPr>
  </w:style>
  <w:style w:type="table" w:styleId="18" w:customStyle="1">
    <w:name w:val="18"/>
    <w:basedOn w:val="TableNormal5"/>
    <w:tblPr>
      <w:tblStyleRowBandSize w:val="1"/>
      <w:tblStyleColBandSize w:val="1"/>
      <w:tblCellMar>
        <w:top w:w="0.0" w:type="dxa"/>
        <w:left w:w="115.0" w:type="dxa"/>
        <w:bottom w:w="0.0" w:type="dxa"/>
        <w:right w:w="115.0" w:type="dxa"/>
      </w:tblCellMar>
    </w:tblPr>
  </w:style>
  <w:style w:type="table" w:styleId="17" w:customStyle="1">
    <w:name w:val="17"/>
    <w:basedOn w:val="TableNormal5"/>
    <w:tblPr>
      <w:tblStyleRowBandSize w:val="1"/>
      <w:tblStyleColBandSize w:val="1"/>
      <w:tblCellMar>
        <w:top w:w="0.0" w:type="dxa"/>
        <w:left w:w="115.0" w:type="dxa"/>
        <w:bottom w:w="0.0" w:type="dxa"/>
        <w:right w:w="115.0" w:type="dxa"/>
      </w:tblCellMar>
    </w:tblPr>
  </w:style>
  <w:style w:type="table" w:styleId="16" w:customStyle="1">
    <w:name w:val="16"/>
    <w:basedOn w:val="TableNormal6"/>
    <w:tblPr>
      <w:tblStyleRowBandSize w:val="1"/>
      <w:tblStyleColBandSize w:val="1"/>
      <w:tblCellMar>
        <w:top w:w="0.0" w:type="dxa"/>
        <w:left w:w="115.0" w:type="dxa"/>
        <w:bottom w:w="0.0" w:type="dxa"/>
        <w:right w:w="115.0" w:type="dxa"/>
      </w:tblCellMar>
    </w:tblPr>
  </w:style>
  <w:style w:type="table" w:styleId="15" w:customStyle="1">
    <w:name w:val="15"/>
    <w:basedOn w:val="TableNormal6"/>
    <w:tblPr>
      <w:tblStyleRowBandSize w:val="1"/>
      <w:tblStyleColBandSize w:val="1"/>
      <w:tblCellMar>
        <w:top w:w="0.0" w:type="dxa"/>
        <w:left w:w="115.0" w:type="dxa"/>
        <w:bottom w:w="0.0" w:type="dxa"/>
        <w:right w:w="115.0" w:type="dxa"/>
      </w:tblCellMar>
    </w:tblPr>
  </w:style>
  <w:style w:type="table" w:styleId="14" w:customStyle="1">
    <w:name w:val="14"/>
    <w:basedOn w:val="TableNormal7"/>
    <w:tblPr>
      <w:tblStyleRowBandSize w:val="1"/>
      <w:tblStyleColBandSize w:val="1"/>
      <w:tblCellMar>
        <w:top w:w="0.0" w:type="dxa"/>
        <w:left w:w="115.0" w:type="dxa"/>
        <w:bottom w:w="0.0" w:type="dxa"/>
        <w:right w:w="115.0" w:type="dxa"/>
      </w:tblCellMar>
    </w:tblPr>
  </w:style>
  <w:style w:type="table" w:styleId="13" w:customStyle="1">
    <w:name w:val="13"/>
    <w:basedOn w:val="TableNormal7"/>
    <w:tblPr>
      <w:tblStyleRowBandSize w:val="1"/>
      <w:tblStyleColBandSize w:val="1"/>
      <w:tblCellMar>
        <w:top w:w="0.0" w:type="dxa"/>
        <w:left w:w="115.0" w:type="dxa"/>
        <w:bottom w:w="0.0" w:type="dxa"/>
        <w:right w:w="115.0" w:type="dxa"/>
      </w:tblCellMar>
    </w:tblPr>
  </w:style>
  <w:style w:type="character" w:styleId="rse6dlih" w:customStyle="1">
    <w:name w:val="rse6dlih"/>
    <w:basedOn w:val="Fuentedeprrafopredeter"/>
    <w:rsid w:val="00190860"/>
  </w:style>
  <w:style w:type="table" w:styleId="12" w:customStyle="1">
    <w:name w:val="12"/>
    <w:basedOn w:val="TableNormal8"/>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1" w:customStyle="1">
    <w:name w:val="11"/>
    <w:basedOn w:val="TableNormal8"/>
    <w:tblPr>
      <w:tblStyleRowBandSize w:val="1"/>
      <w:tblStyleColBandSize w:val="1"/>
      <w:tblCellMar>
        <w:top w:w="0.0" w:type="dxa"/>
        <w:left w:w="115.0" w:type="dxa"/>
        <w:bottom w:w="0.0" w:type="dxa"/>
        <w:right w:w="115.0" w:type="dxa"/>
      </w:tblCellMar>
    </w:tblPr>
  </w:style>
  <w:style w:type="table" w:styleId="10" w:customStyle="1">
    <w:name w:val="10"/>
    <w:basedOn w:val="TableNormal8"/>
    <w:tblPr>
      <w:tblStyleRowBandSize w:val="1"/>
      <w:tblStyleColBandSize w:val="1"/>
      <w:tblCellMar>
        <w:top w:w="0.0" w:type="dxa"/>
        <w:left w:w="115.0" w:type="dxa"/>
        <w:bottom w:w="0.0" w:type="dxa"/>
        <w:right w:w="115.0" w:type="dxa"/>
      </w:tblCellMar>
    </w:tblPr>
  </w:style>
  <w:style w:type="table" w:styleId="24" w:customStyle="1">
    <w:name w:val="24"/>
    <w:basedOn w:val="TableNormal9"/>
    <w:tblPr>
      <w:tblStyleRowBandSize w:val="1"/>
      <w:tblStyleColBandSize w:val="1"/>
      <w:tblCellMar>
        <w:top w:w="0.0" w:type="dxa"/>
        <w:left w:w="115.0" w:type="dxa"/>
        <w:bottom w:w="0.0" w:type="dxa"/>
        <w:right w:w="115.0" w:type="dxa"/>
      </w:tblCellMar>
    </w:tblPr>
  </w:style>
  <w:style w:type="table" w:styleId="23" w:customStyle="1">
    <w:name w:val="23"/>
    <w:basedOn w:val="TableNormal9"/>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2" w:customStyle="1">
    <w:name w:val="22"/>
    <w:basedOn w:val="TableNormal9"/>
    <w:tblPr>
      <w:tblStyleRowBandSize w:val="1"/>
      <w:tblStyleColBandSize w:val="1"/>
      <w:tblCellMar>
        <w:top w:w="0.0" w:type="dxa"/>
        <w:left w:w="115.0" w:type="dxa"/>
        <w:bottom w:w="0.0" w:type="dxa"/>
        <w:right w:w="115.0" w:type="dxa"/>
      </w:tblCellMar>
    </w:tblPr>
  </w:style>
  <w:style w:type="table" w:styleId="21" w:customStyle="1">
    <w:name w:val="21"/>
    <w:basedOn w:val="TableNormal9"/>
    <w:tblPr>
      <w:tblStyleRowBandSize w:val="1"/>
      <w:tblStyleColBandSize w:val="1"/>
      <w:tblCellMar>
        <w:top w:w="0.0" w:type="dxa"/>
        <w:left w:w="115.0" w:type="dxa"/>
        <w:bottom w:w="0.0" w:type="dxa"/>
        <w:right w:w="115.0" w:type="dxa"/>
      </w:tblCellMar>
    </w:tblPr>
  </w:style>
  <w:style w:type="table" w:styleId="a" w:customStyle="1">
    <w:basedOn w:val="TableNormal2"/>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2"/>
    <w:tblPr>
      <w:tblStyleRowBandSize w:val="1"/>
      <w:tblStyleColBandSize w:val="1"/>
      <w:tblCellMar>
        <w:top w:w="0.0" w:type="dxa"/>
        <w:left w:w="115.0" w:type="dxa"/>
        <w:bottom w:w="0.0" w:type="dxa"/>
        <w:right w:w="115.0" w:type="dxa"/>
      </w:tblCellMar>
    </w:tblPr>
  </w:style>
  <w:style w:type="table" w:styleId="a2" w:customStyle="1">
    <w:basedOn w:val="TableNormal2"/>
    <w:tblPr>
      <w:tblStyleRowBandSize w:val="1"/>
      <w:tblStyleColBandSize w:val="1"/>
      <w:tblCellMar>
        <w:top w:w="0.0" w:type="dxa"/>
        <w:left w:w="115.0" w:type="dxa"/>
        <w:bottom w:w="0.0" w:type="dxa"/>
        <w:right w:w="115.0" w:type="dxa"/>
      </w:tblCellMar>
    </w:tblPr>
  </w:style>
  <w:style w:type="table" w:styleId="a3" w:customStyle="1">
    <w:basedOn w:val="TableNormal1"/>
    <w:tblPr>
      <w:tblStyleRowBandSize w:val="1"/>
      <w:tblStyleColBandSize w:val="1"/>
      <w:tblCellMar>
        <w:top w:w="0.0" w:type="dxa"/>
        <w:left w:w="115.0" w:type="dxa"/>
        <w:bottom w:w="0.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1"/>
    <w:tblPr>
      <w:tblStyleRowBandSize w:val="1"/>
      <w:tblStyleColBandSize w:val="1"/>
      <w:tblCellMar>
        <w:top w:w="0.0" w:type="dxa"/>
        <w:left w:w="115.0" w:type="dxa"/>
        <w:bottom w:w="0.0" w:type="dxa"/>
        <w:right w:w="115.0" w:type="dxa"/>
      </w:tblCellMar>
    </w:tblPr>
  </w:style>
  <w:style w:type="table" w:styleId="a5" w:customStyle="1">
    <w:basedOn w:val="TableNormal1"/>
    <w:tblPr>
      <w:tblStyleRowBandSize w:val="1"/>
      <w:tblStyleColBandSize w:val="1"/>
      <w:tblCellMar>
        <w:top w:w="0.0" w:type="dxa"/>
        <w:left w:w="115.0" w:type="dxa"/>
        <w:bottom w:w="0.0" w:type="dxa"/>
        <w:right w:w="115.0" w:type="dxa"/>
      </w:tblCellMar>
    </w:tblPr>
  </w:style>
  <w:style w:type="table" w:styleId="a6" w:customStyle="1">
    <w:basedOn w:val="TableNormal0"/>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7" w:customStyle="1">
    <w:basedOn w:val="TableNormal0"/>
    <w:tblPr>
      <w:tblStyleRowBandSize w:val="1"/>
      <w:tblStyleColBandSize w:val="1"/>
      <w:tblCellMar>
        <w:top w:w="0.0" w:type="dxa"/>
        <w:left w:w="115.0" w:type="dxa"/>
        <w:bottom w:w="0.0" w:type="dxa"/>
        <w:right w:w="115.0" w:type="dxa"/>
      </w:tblCellMar>
    </w:tblPr>
  </w:style>
  <w:style w:type="table" w:styleId="a8" w:customStyle="1">
    <w:basedOn w:val="TableNormal0"/>
    <w:tblPr>
      <w:tblStyleRowBandSize w:val="1"/>
      <w:tblStyleColBandSize w:val="1"/>
      <w:tblCellMar>
        <w:top w:w="0.0" w:type="dxa"/>
        <w:left w:w="115.0" w:type="dxa"/>
        <w:bottom w:w="0.0" w:type="dxa"/>
        <w:right w:w="115.0" w:type="dxa"/>
      </w:tblCellMar>
    </w:tblPr>
  </w:style>
  <w:style w:type="character" w:styleId="Mencinsinresolver4" w:customStyle="1">
    <w:name w:val="Mención sin resolver4"/>
    <w:basedOn w:val="Fuentedeprrafopredeter"/>
    <w:uiPriority w:val="99"/>
    <w:semiHidden w:val="1"/>
    <w:unhideWhenUsed w:val="1"/>
    <w:rsid w:val="00B70D0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OPiV+r6P+lvVwHckZ07NjoGiWA==">AMUW2mVW5MDVRirK/8Ryy9VVzwLjvZ+NAU8Rr9aaC1wRGE3em/OCbRnb/PkZg4Mtu4XYFWGchKJSxrnl0I7N/TqBClCJkeiEZRYQyMb4i/TJd0xiALeGForGRFMHjMjT9X+gfc67/n8q/zkfwy9tbB0avLN0CrF1L6Ul0S/SBv+vRQgtqiUunHb2d6ZQaHe0pLTYECAPPxB5uzbhBhnybCaiCcDKNyCj8q2z8xrfNe+1OFqklPwFzlx/IyL2lJZJMn22uC/5uv58+BnjYSLPXz56yI9Qtf4D5SREKj8SuEeL9iv4JNAxz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2023-03-08T21:32:00Z</dcterms:created>
  <dc:creator>iMac</dc:creator>
</cp:coreProperties>
</file>