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7D1B253E" w:rsidR="00C853D1" w:rsidRPr="00B377FD" w:rsidRDefault="00C853D1" w:rsidP="005076E9">
      <w:pPr>
        <w:spacing w:after="0" w:line="360" w:lineRule="auto"/>
        <w:rPr>
          <w:rFonts w:eastAsia="Times New Roman" w:cs="Tahoma"/>
          <w:bCs/>
          <w:color w:val="auto"/>
          <w:lang w:eastAsia="es-ES"/>
        </w:rPr>
      </w:pPr>
      <w:r w:rsidRPr="00B377FD">
        <w:rPr>
          <w:rFonts w:eastAsia="Calibri" w:cs="Tahoma"/>
          <w:bCs/>
          <w:color w:val="000000"/>
        </w:rPr>
        <w:t xml:space="preserve">Resolución del Pleno del Instituto de Transparencia, Acceso a la Información Pública y </w:t>
      </w:r>
      <w:r w:rsidRPr="00B377FD">
        <w:rPr>
          <w:rFonts w:eastAsia="Times New Roman" w:cs="Tahoma"/>
          <w:bCs/>
          <w:color w:val="auto"/>
          <w:lang w:eastAsia="es-ES"/>
        </w:rPr>
        <w:t xml:space="preserve">Protección de Datos Personales del Estado de México y Municipios, con domicilio en Metepec, Estado de México, de fecha </w:t>
      </w:r>
      <w:r w:rsidR="002C5683">
        <w:rPr>
          <w:rFonts w:eastAsia="Times New Roman" w:cs="Tahoma"/>
          <w:bCs/>
          <w:color w:val="auto"/>
          <w:lang w:eastAsia="es-ES"/>
        </w:rPr>
        <w:t>quince de marzo</w:t>
      </w:r>
      <w:r w:rsidR="00F07F7E">
        <w:rPr>
          <w:rFonts w:eastAsia="Times New Roman" w:cs="Tahoma"/>
          <w:bCs/>
          <w:color w:val="auto"/>
          <w:lang w:eastAsia="es-ES"/>
        </w:rPr>
        <w:t xml:space="preserve"> de dos mil veintitrés. </w:t>
      </w:r>
    </w:p>
    <w:p w14:paraId="32D7A074" w14:textId="77777777" w:rsidR="00384455" w:rsidRDefault="00384455" w:rsidP="005076E9">
      <w:pPr>
        <w:spacing w:after="0" w:line="360" w:lineRule="auto"/>
        <w:rPr>
          <w:rFonts w:eastAsia="Times New Roman" w:cs="Tahoma"/>
          <w:b/>
          <w:bCs/>
          <w:color w:val="auto"/>
          <w:lang w:eastAsia="es-ES"/>
        </w:rPr>
      </w:pPr>
    </w:p>
    <w:p w14:paraId="1066B8D1" w14:textId="2C287D5E" w:rsidR="00C853D1" w:rsidRPr="00B377FD" w:rsidRDefault="00C853D1" w:rsidP="005076E9">
      <w:pPr>
        <w:spacing w:after="0" w:line="360" w:lineRule="auto"/>
        <w:rPr>
          <w:rFonts w:eastAsia="Calibri" w:cs="Tahoma"/>
          <w:color w:val="0D0D0D"/>
        </w:rPr>
      </w:pPr>
      <w:r w:rsidRPr="00B377FD">
        <w:rPr>
          <w:rFonts w:eastAsia="Times New Roman" w:cs="Tahoma"/>
          <w:b/>
          <w:bCs/>
          <w:color w:val="auto"/>
          <w:lang w:eastAsia="es-ES"/>
        </w:rPr>
        <w:t>VISTO</w:t>
      </w:r>
      <w:r w:rsidRPr="00B377FD">
        <w:rPr>
          <w:rFonts w:eastAsia="Calibri" w:cs="Tahoma"/>
          <w:bCs/>
          <w:color w:val="0D0D0D"/>
        </w:rPr>
        <w:t xml:space="preserve"> el expediente conformado con motivo del Recurso de Revisión </w:t>
      </w:r>
      <w:r w:rsidR="00555BDF" w:rsidRPr="00381987">
        <w:rPr>
          <w:rFonts w:eastAsia="Calibri" w:cs="Tahoma"/>
          <w:b/>
          <w:color w:val="000000"/>
        </w:rPr>
        <w:t>1</w:t>
      </w:r>
      <w:r w:rsidR="002C5683" w:rsidRPr="00381987">
        <w:rPr>
          <w:rFonts w:eastAsia="Calibri" w:cs="Tahoma"/>
          <w:b/>
          <w:color w:val="000000"/>
        </w:rPr>
        <w:t>1446</w:t>
      </w:r>
      <w:r w:rsidR="00555BDF" w:rsidRPr="00381987">
        <w:rPr>
          <w:rFonts w:eastAsia="Calibri" w:cs="Tahoma"/>
          <w:b/>
          <w:color w:val="000000"/>
        </w:rPr>
        <w:t>/INFOEM/IP/RR/2022</w:t>
      </w:r>
      <w:r w:rsidRPr="005751D5">
        <w:rPr>
          <w:rFonts w:eastAsia="Calibri" w:cs="Tahoma"/>
          <w:color w:val="000000"/>
        </w:rPr>
        <w:t>,</w:t>
      </w:r>
      <w:r w:rsidRPr="005F4D23">
        <w:rPr>
          <w:rFonts w:eastAsia="Calibri" w:cs="Tahoma"/>
          <w:color w:val="000000"/>
        </w:rPr>
        <w:t xml:space="preserve"> interpuesto por</w:t>
      </w:r>
      <w:r w:rsidR="00317038">
        <w:rPr>
          <w:rFonts w:eastAsia="Calibri" w:cs="Tahoma"/>
          <w:color w:val="000000"/>
        </w:rPr>
        <w:t xml:space="preserve"> </w:t>
      </w:r>
      <w:r w:rsidRPr="005F4D23">
        <w:rPr>
          <w:rFonts w:eastAsia="Calibri" w:cs="Tahoma"/>
        </w:rPr>
        <w:t xml:space="preserve">el </w:t>
      </w:r>
      <w:r w:rsidRPr="005F4D23">
        <w:rPr>
          <w:rFonts w:eastAsia="Calibri" w:cs="Tahoma"/>
          <w:color w:val="0D0D0D"/>
        </w:rPr>
        <w:t>Recurrente o Particular, en contra de la respuesta del Sujeto Obligado,</w:t>
      </w:r>
      <w:r>
        <w:rPr>
          <w:rFonts w:eastAsia="Calibri" w:cs="Tahoma"/>
          <w:color w:val="000000"/>
        </w:rPr>
        <w:t xml:space="preserve"> </w:t>
      </w:r>
      <w:r w:rsidR="00555BDF">
        <w:rPr>
          <w:rFonts w:eastAsia="Calibri" w:cs="Tahoma"/>
          <w:color w:val="000000"/>
        </w:rPr>
        <w:t xml:space="preserve">Ayuntamiento de </w:t>
      </w:r>
      <w:r w:rsidR="002C5683">
        <w:rPr>
          <w:rFonts w:eastAsia="Calibri" w:cs="Tahoma"/>
          <w:color w:val="000000"/>
        </w:rPr>
        <w:t>Chimalhuacán</w:t>
      </w:r>
      <w:r w:rsidRPr="005F4D23">
        <w:rPr>
          <w:rFonts w:eastAsia="Calibri" w:cs="Tahoma"/>
          <w:color w:val="000000"/>
        </w:rPr>
        <w:t xml:space="preserve">, a la solicitud de acceso a la información </w:t>
      </w:r>
      <w:r w:rsidR="002C5683" w:rsidRPr="002C5683">
        <w:rPr>
          <w:rFonts w:eastAsia="Calibri" w:cs="Tahoma"/>
          <w:color w:val="000000"/>
        </w:rPr>
        <w:t>00389/CHIMALHU/IP/2022</w:t>
      </w:r>
      <w:r w:rsidRPr="005F4D23">
        <w:rPr>
          <w:rFonts w:eastAsia="Calibri" w:cs="Tahoma"/>
          <w:color w:val="000000"/>
        </w:rPr>
        <w:t>, se</w:t>
      </w:r>
      <w:r w:rsidRPr="00B377FD">
        <w:rPr>
          <w:rFonts w:eastAsia="Calibri" w:cs="Tahoma"/>
          <w:color w:val="000000"/>
        </w:rPr>
        <w:t xml:space="preserve"> emite la presente Resolución, con base en los Antecedentes y Considerandos que se exponen a continuación:</w:t>
      </w:r>
      <w:r w:rsidR="002C5683">
        <w:rPr>
          <w:rFonts w:eastAsia="Calibri" w:cs="Tahoma"/>
          <w:color w:val="000000"/>
        </w:rPr>
        <w:t xml:space="preserve">  </w:t>
      </w:r>
    </w:p>
    <w:p w14:paraId="4FCCF228" w14:textId="77777777" w:rsidR="00C853D1" w:rsidRPr="00B377FD" w:rsidRDefault="00C853D1" w:rsidP="005076E9">
      <w:pPr>
        <w:spacing w:after="0" w:line="360" w:lineRule="auto"/>
        <w:rPr>
          <w:rFonts w:eastAsia="Calibri" w:cs="Tahoma"/>
          <w:color w:val="000000"/>
        </w:rPr>
      </w:pPr>
    </w:p>
    <w:p w14:paraId="0472C645" w14:textId="77777777" w:rsidR="00C853D1" w:rsidRPr="00B377FD" w:rsidRDefault="00C853D1" w:rsidP="005076E9">
      <w:pPr>
        <w:tabs>
          <w:tab w:val="center" w:pos="4522"/>
          <w:tab w:val="left" w:pos="7245"/>
        </w:tabs>
        <w:spacing w:after="0" w:line="360" w:lineRule="auto"/>
        <w:jc w:val="center"/>
        <w:rPr>
          <w:rFonts w:eastAsia="Calibri" w:cs="Tahoma"/>
          <w:b/>
          <w:color w:val="000000"/>
        </w:rPr>
      </w:pPr>
      <w:r w:rsidRPr="00B377FD">
        <w:rPr>
          <w:rFonts w:eastAsia="Calibri" w:cs="Tahoma"/>
          <w:b/>
          <w:color w:val="000000"/>
        </w:rPr>
        <w:t>A N T E C E D E N T E S:</w:t>
      </w:r>
    </w:p>
    <w:p w14:paraId="422D0175" w14:textId="77777777" w:rsidR="00C853D1" w:rsidRPr="00B377FD" w:rsidRDefault="00C853D1" w:rsidP="005076E9">
      <w:pPr>
        <w:spacing w:after="0" w:line="360" w:lineRule="auto"/>
      </w:pPr>
    </w:p>
    <w:p w14:paraId="539DCEC7" w14:textId="77777777" w:rsidR="00C853D1" w:rsidRPr="00B377FD" w:rsidRDefault="00C853D1" w:rsidP="005076E9">
      <w:pPr>
        <w:tabs>
          <w:tab w:val="left" w:pos="567"/>
        </w:tabs>
        <w:spacing w:after="0" w:line="360" w:lineRule="auto"/>
        <w:rPr>
          <w:rFonts w:eastAsia="Times New Roman" w:cs="Tahoma"/>
          <w:b/>
          <w:color w:val="auto"/>
          <w:lang w:eastAsia="es-ES"/>
        </w:rPr>
      </w:pPr>
      <w:r w:rsidRPr="00B377FD">
        <w:rPr>
          <w:rFonts w:eastAsia="Times New Roman" w:cs="Tahoma"/>
          <w:b/>
          <w:color w:val="auto"/>
          <w:lang w:eastAsia="es-ES"/>
        </w:rPr>
        <w:t>I. Presentación de la solicitud de información:</w:t>
      </w:r>
    </w:p>
    <w:p w14:paraId="681289FF" w14:textId="77777777" w:rsidR="00C853D1" w:rsidRPr="00B377FD" w:rsidRDefault="00C853D1" w:rsidP="005076E9">
      <w:pPr>
        <w:tabs>
          <w:tab w:val="left" w:pos="567"/>
        </w:tabs>
        <w:spacing w:after="0" w:line="360" w:lineRule="auto"/>
        <w:rPr>
          <w:rFonts w:eastAsia="Times New Roman" w:cs="Tahoma"/>
          <w:color w:val="auto"/>
          <w:lang w:eastAsia="es-ES"/>
        </w:rPr>
      </w:pPr>
    </w:p>
    <w:p w14:paraId="2A44F672" w14:textId="02AA5ABF" w:rsidR="00C853D1" w:rsidRPr="00BC2DAE" w:rsidRDefault="00C853D1" w:rsidP="005076E9">
      <w:pPr>
        <w:spacing w:after="0" w:line="360" w:lineRule="auto"/>
        <w:rPr>
          <w:rFonts w:eastAsia="Times New Roman" w:cs="Tahoma"/>
          <w:color w:val="auto"/>
          <w:lang w:eastAsia="es-ES"/>
        </w:rPr>
      </w:pPr>
      <w:r w:rsidRPr="00B377FD">
        <w:rPr>
          <w:rFonts w:eastAsia="Times New Roman" w:cs="Tahoma"/>
          <w:color w:val="auto"/>
          <w:lang w:eastAsia="es-ES"/>
        </w:rPr>
        <w:t>Con fecha</w:t>
      </w:r>
      <w:r w:rsidR="00E56EFD">
        <w:rPr>
          <w:rFonts w:eastAsia="Times New Roman" w:cs="Tahoma"/>
          <w:color w:val="auto"/>
          <w:lang w:eastAsia="es-ES"/>
        </w:rPr>
        <w:t xml:space="preserve"> </w:t>
      </w:r>
      <w:r w:rsidR="002C5683">
        <w:rPr>
          <w:rFonts w:eastAsia="Times New Roman" w:cs="Tahoma"/>
          <w:color w:val="auto"/>
          <w:lang w:eastAsia="es-ES"/>
        </w:rPr>
        <w:t>veinticinco</w:t>
      </w:r>
      <w:r w:rsidR="00E56EFD">
        <w:rPr>
          <w:rFonts w:eastAsia="Times New Roman" w:cs="Tahoma"/>
          <w:color w:val="auto"/>
          <w:lang w:eastAsia="es-ES"/>
        </w:rPr>
        <w:t xml:space="preserve"> de mayo de dos mil veintidós, </w:t>
      </w:r>
      <w:r>
        <w:rPr>
          <w:rFonts w:eastAsia="Times New Roman" w:cs="Tahoma"/>
          <w:color w:val="auto"/>
          <w:lang w:eastAsia="es-ES"/>
        </w:rPr>
        <w:t>el</w:t>
      </w:r>
      <w:r w:rsidRPr="00B377FD">
        <w:rPr>
          <w:rFonts w:eastAsia="Times New Roman" w:cs="Tahoma"/>
          <w:color w:val="auto"/>
          <w:lang w:eastAsia="es-ES"/>
        </w:rPr>
        <w:t xml:space="preserve"> Particular presentó una solicitud de acceso a la información pública, a través del Sistema de Acceso a la Información Mexiquense (SAIMEX), ante el </w:t>
      </w:r>
      <w:r w:rsidR="00555BDF">
        <w:rPr>
          <w:rFonts w:eastAsia="Calibri" w:cs="Tahoma"/>
        </w:rPr>
        <w:t xml:space="preserve">Ayuntamiento de </w:t>
      </w:r>
      <w:r w:rsidR="002C5683">
        <w:rPr>
          <w:rFonts w:eastAsia="Calibri" w:cs="Tahoma"/>
        </w:rPr>
        <w:t>Chimalhuacán</w:t>
      </w:r>
      <w:r>
        <w:rPr>
          <w:rFonts w:eastAsia="Calibri" w:cs="Tahoma"/>
        </w:rPr>
        <w:t>,</w:t>
      </w:r>
      <w:r w:rsidRPr="00B377FD">
        <w:rPr>
          <w:rFonts w:eastAsia="Calibri" w:cs="Tahoma"/>
        </w:rPr>
        <w:t xml:space="preserve"> en los siguientes términos: </w:t>
      </w:r>
    </w:p>
    <w:p w14:paraId="32AF4217" w14:textId="77777777" w:rsidR="00C853D1" w:rsidRPr="00B377FD" w:rsidRDefault="00C853D1" w:rsidP="005076E9">
      <w:pPr>
        <w:spacing w:after="0" w:line="360" w:lineRule="auto"/>
        <w:rPr>
          <w:rFonts w:eastAsia="Calibri" w:cs="Tahoma"/>
        </w:rPr>
      </w:pPr>
    </w:p>
    <w:p w14:paraId="08873B8F" w14:textId="77777777" w:rsidR="00C853D1" w:rsidRPr="002E02DD" w:rsidRDefault="00C853D1" w:rsidP="005076E9">
      <w:pPr>
        <w:tabs>
          <w:tab w:val="left" w:pos="4667"/>
        </w:tabs>
        <w:spacing w:after="0" w:line="360" w:lineRule="auto"/>
        <w:ind w:left="567" w:right="567"/>
        <w:rPr>
          <w:rFonts w:eastAsia="Times New Roman" w:cs="Tahoma"/>
          <w:b/>
          <w:i/>
          <w:iCs/>
          <w:color w:val="auto"/>
          <w:sz w:val="20"/>
          <w:szCs w:val="20"/>
          <w:lang w:eastAsia="es-ES"/>
        </w:rPr>
      </w:pPr>
      <w:r w:rsidRPr="002E02DD">
        <w:rPr>
          <w:rFonts w:eastAsia="Times New Roman" w:cs="Tahoma"/>
          <w:b/>
          <w:i/>
          <w:iCs/>
          <w:color w:val="auto"/>
          <w:sz w:val="20"/>
          <w:szCs w:val="20"/>
          <w:lang w:eastAsia="es-ES"/>
        </w:rPr>
        <w:t>“DESCRIPCIÓN CLARA Y PRECISA DE LA INFORMACIÓN SOLICITADA.</w:t>
      </w:r>
    </w:p>
    <w:p w14:paraId="47049033" w14:textId="3EDFEF14" w:rsidR="00C853D1" w:rsidRPr="003D30B4" w:rsidRDefault="002C5683" w:rsidP="005076E9">
      <w:pPr>
        <w:tabs>
          <w:tab w:val="left" w:pos="4667"/>
        </w:tabs>
        <w:spacing w:after="0" w:line="360" w:lineRule="auto"/>
        <w:ind w:left="567" w:right="567"/>
        <w:rPr>
          <w:rFonts w:eastAsia="Times New Roman" w:cs="Tahoma"/>
          <w:bCs/>
          <w:i/>
          <w:iCs/>
          <w:color w:val="auto"/>
          <w:sz w:val="20"/>
          <w:szCs w:val="20"/>
          <w:lang w:eastAsia="es-ES"/>
        </w:rPr>
      </w:pPr>
      <w:r w:rsidRPr="002E02DD">
        <w:rPr>
          <w:rFonts w:eastAsia="Times New Roman" w:cs="Tahoma"/>
          <w:bCs/>
          <w:i/>
          <w:iCs/>
          <w:color w:val="auto"/>
          <w:sz w:val="20"/>
          <w:szCs w:val="20"/>
          <w:lang w:eastAsia="es-ES"/>
        </w:rPr>
        <w:t>Listado numerado de plazas de base y confianza que conforman la administración 2022-2024 de Chimalhuacán señalando: Nombre completo Tipo de plaza Sueldo neto quincenal y mensual</w:t>
      </w:r>
      <w:r w:rsidRPr="002C5683">
        <w:rPr>
          <w:rFonts w:eastAsia="Times New Roman" w:cs="Tahoma"/>
          <w:bCs/>
          <w:i/>
          <w:iCs/>
          <w:color w:val="auto"/>
          <w:sz w:val="20"/>
          <w:szCs w:val="20"/>
          <w:lang w:eastAsia="es-ES"/>
        </w:rPr>
        <w:t xml:space="preserve"> Cargo Área y departamento de adscripción</w:t>
      </w:r>
      <w:r w:rsidR="00C853D1" w:rsidRPr="003D30B4">
        <w:rPr>
          <w:rFonts w:eastAsia="Times New Roman" w:cs="Tahoma"/>
          <w:bCs/>
          <w:i/>
          <w:iCs/>
          <w:color w:val="auto"/>
          <w:sz w:val="20"/>
          <w:szCs w:val="20"/>
          <w:lang w:eastAsia="es-ES"/>
        </w:rPr>
        <w:t xml:space="preserve">” (Sic) </w:t>
      </w:r>
    </w:p>
    <w:p w14:paraId="151CD7A9" w14:textId="77777777" w:rsidR="00C853D1" w:rsidRPr="003D30B4" w:rsidRDefault="00C853D1" w:rsidP="005076E9">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B377FD" w:rsidRDefault="00C853D1" w:rsidP="005076E9">
      <w:pPr>
        <w:tabs>
          <w:tab w:val="left" w:pos="4667"/>
        </w:tabs>
        <w:spacing w:after="0" w:line="360" w:lineRule="auto"/>
        <w:ind w:left="567" w:right="567"/>
        <w:rPr>
          <w:rFonts w:eastAsia="Times New Roman" w:cs="Tahoma"/>
          <w:b/>
          <w:bCs/>
          <w:i/>
          <w:iCs/>
          <w:color w:val="auto"/>
          <w:sz w:val="20"/>
          <w:lang w:eastAsia="es-ES"/>
        </w:rPr>
      </w:pPr>
      <w:r w:rsidRPr="003D30B4">
        <w:rPr>
          <w:rFonts w:eastAsia="Times New Roman" w:cs="Tahoma"/>
          <w:b/>
          <w:bCs/>
          <w:i/>
          <w:iCs/>
          <w:color w:val="auto"/>
          <w:sz w:val="20"/>
          <w:lang w:eastAsia="es-ES"/>
        </w:rPr>
        <w:t>“MODALIDAD DE ENTREGA</w:t>
      </w:r>
    </w:p>
    <w:p w14:paraId="59678C94" w14:textId="1E32CB35" w:rsidR="00C853D1" w:rsidRDefault="00C853D1" w:rsidP="005076E9">
      <w:pPr>
        <w:spacing w:after="0" w:line="360" w:lineRule="auto"/>
        <w:ind w:left="567" w:right="567"/>
        <w:rPr>
          <w:rFonts w:eastAsia="Times New Roman" w:cs="Arial"/>
          <w:bCs/>
          <w:i/>
          <w:iCs/>
          <w:color w:val="auto"/>
          <w:sz w:val="20"/>
          <w:lang w:eastAsia="es-ES"/>
        </w:rPr>
      </w:pPr>
      <w:r w:rsidRPr="00B377FD">
        <w:rPr>
          <w:rFonts w:eastAsia="Times New Roman" w:cs="Arial"/>
          <w:bCs/>
          <w:i/>
          <w:iCs/>
          <w:color w:val="auto"/>
          <w:sz w:val="20"/>
          <w:lang w:eastAsia="es-ES"/>
        </w:rPr>
        <w:t>A través del SAIMEX”</w:t>
      </w:r>
    </w:p>
    <w:p w14:paraId="0239413C" w14:textId="77777777" w:rsidR="00E56EFD" w:rsidRPr="0007328F" w:rsidRDefault="00E56EFD" w:rsidP="005076E9">
      <w:pPr>
        <w:autoSpaceDE w:val="0"/>
        <w:autoSpaceDN w:val="0"/>
        <w:adjustRightInd w:val="0"/>
        <w:spacing w:after="0" w:line="360" w:lineRule="auto"/>
        <w:rPr>
          <w:rFonts w:cs="Tahoma"/>
        </w:rPr>
      </w:pPr>
    </w:p>
    <w:p w14:paraId="7488ED31" w14:textId="4D42AE7D" w:rsidR="00C853D1" w:rsidRPr="00B377FD" w:rsidRDefault="002C5683" w:rsidP="005076E9">
      <w:pPr>
        <w:autoSpaceDE w:val="0"/>
        <w:autoSpaceDN w:val="0"/>
        <w:adjustRightInd w:val="0"/>
        <w:spacing w:after="0" w:line="360" w:lineRule="auto"/>
        <w:rPr>
          <w:b/>
          <w:bCs/>
        </w:rPr>
      </w:pPr>
      <w:r>
        <w:rPr>
          <w:rFonts w:cs="Tahoma"/>
          <w:b/>
        </w:rPr>
        <w:t>II</w:t>
      </w:r>
      <w:r w:rsidR="00C853D1" w:rsidRPr="00B377FD">
        <w:rPr>
          <w:rFonts w:cs="Tahoma"/>
          <w:b/>
        </w:rPr>
        <w:t>.</w:t>
      </w:r>
      <w:r w:rsidR="00C853D1" w:rsidRPr="00B377FD">
        <w:rPr>
          <w:b/>
          <w:bCs/>
        </w:rPr>
        <w:t xml:space="preserve"> Respuesta del Sujeto Obligado. </w:t>
      </w:r>
    </w:p>
    <w:p w14:paraId="51ABE161" w14:textId="43BE0EFB" w:rsidR="00905F47" w:rsidRDefault="00C853D1" w:rsidP="005076E9">
      <w:pPr>
        <w:spacing w:after="0" w:line="360" w:lineRule="auto"/>
      </w:pPr>
      <w:r w:rsidRPr="00B377FD">
        <w:lastRenderedPageBreak/>
        <w:t xml:space="preserve">Con fecha </w:t>
      </w:r>
      <w:r w:rsidR="00FB39B0">
        <w:t>quince</w:t>
      </w:r>
      <w:r w:rsidR="00905F47">
        <w:t xml:space="preserve"> de junio de dos mil veintidos, </w:t>
      </w:r>
      <w:r w:rsidR="00252EF3">
        <w:t xml:space="preserve">el Sujeto Obligado notificó, </w:t>
      </w:r>
      <w:r w:rsidR="00252EF3" w:rsidRPr="00B377FD">
        <w:t>a través del Sistema de Acceso a la Información Mexiquense (SAIMEX), la respuesta a la solicitud</w:t>
      </w:r>
      <w:r w:rsidR="006441E1">
        <w:t xml:space="preserve"> de acceso a la información pública</w:t>
      </w:r>
      <w:r w:rsidR="00252EF3">
        <w:t xml:space="preserve">, mediante </w:t>
      </w:r>
      <w:r w:rsidR="00E30E7E">
        <w:t xml:space="preserve">el oficio </w:t>
      </w:r>
      <w:r w:rsidR="00FB39B0">
        <w:t>DRH/1422/2022, de misma fecha de su presentación</w:t>
      </w:r>
      <w:r w:rsidR="00905F47">
        <w:t xml:space="preserve">, el cual es suscrito por la </w:t>
      </w:r>
      <w:r w:rsidR="00FB39B0">
        <w:t>Titular de Recursos Humanos</w:t>
      </w:r>
      <w:r w:rsidR="00905F47">
        <w:t>, a través del cual manifiesta y expone:</w:t>
      </w:r>
    </w:p>
    <w:p w14:paraId="3B1EE2AB" w14:textId="77777777" w:rsidR="00905F47" w:rsidRDefault="00905F47" w:rsidP="005076E9">
      <w:pPr>
        <w:spacing w:after="0" w:line="360" w:lineRule="auto"/>
      </w:pPr>
    </w:p>
    <w:p w14:paraId="2AEA8CEB" w14:textId="0C541585" w:rsidR="00905F47" w:rsidRDefault="00905F47" w:rsidP="005076E9">
      <w:pPr>
        <w:spacing w:after="0" w:line="360" w:lineRule="auto"/>
        <w:ind w:left="567" w:right="567"/>
        <w:rPr>
          <w:i/>
          <w:sz w:val="20"/>
          <w:szCs w:val="20"/>
        </w:rPr>
      </w:pPr>
      <w:r w:rsidRPr="002D4F87">
        <w:rPr>
          <w:i/>
          <w:sz w:val="20"/>
          <w:szCs w:val="20"/>
        </w:rPr>
        <w:t>“…</w:t>
      </w:r>
      <w:r w:rsidR="00FB39B0">
        <w:rPr>
          <w:i/>
          <w:sz w:val="20"/>
          <w:szCs w:val="20"/>
        </w:rPr>
        <w:t>se indica que la totalidad de la información requerida, se encuentra en su versión pública en el portal de IPOMEX.</w:t>
      </w:r>
    </w:p>
    <w:p w14:paraId="3C6B20A8" w14:textId="77777777" w:rsidR="00FB39B0" w:rsidRDefault="00FB39B0" w:rsidP="005076E9">
      <w:pPr>
        <w:spacing w:after="0" w:line="360" w:lineRule="auto"/>
        <w:ind w:left="567" w:right="567"/>
        <w:rPr>
          <w:i/>
          <w:sz w:val="20"/>
          <w:szCs w:val="20"/>
        </w:rPr>
      </w:pPr>
    </w:p>
    <w:p w14:paraId="74D0AA04" w14:textId="286B2F87" w:rsidR="00FB39B0" w:rsidRDefault="00FB39B0" w:rsidP="005076E9">
      <w:pPr>
        <w:spacing w:after="0" w:line="360" w:lineRule="auto"/>
        <w:ind w:left="567" w:right="567"/>
        <w:rPr>
          <w:i/>
          <w:sz w:val="20"/>
          <w:szCs w:val="20"/>
        </w:rPr>
      </w:pPr>
      <w:r>
        <w:rPr>
          <w:i/>
          <w:sz w:val="20"/>
          <w:szCs w:val="20"/>
        </w:rPr>
        <w:t>Se anexa link para ingresar al portal anteriormente mencionado:</w:t>
      </w:r>
    </w:p>
    <w:p w14:paraId="330B0A83" w14:textId="77777777" w:rsidR="00FB39B0" w:rsidRDefault="00FB39B0" w:rsidP="005076E9">
      <w:pPr>
        <w:spacing w:after="0" w:line="360" w:lineRule="auto"/>
        <w:ind w:left="567" w:right="567"/>
        <w:rPr>
          <w:i/>
          <w:sz w:val="20"/>
          <w:szCs w:val="20"/>
        </w:rPr>
      </w:pPr>
    </w:p>
    <w:p w14:paraId="72DF33C0" w14:textId="77777777" w:rsidR="00735E90" w:rsidRDefault="00AB1130" w:rsidP="005076E9">
      <w:pPr>
        <w:spacing w:after="0" w:line="360" w:lineRule="auto"/>
        <w:ind w:left="567" w:right="567"/>
        <w:rPr>
          <w:i/>
          <w:sz w:val="20"/>
          <w:szCs w:val="20"/>
        </w:rPr>
      </w:pPr>
      <w:hyperlink r:id="rId8" w:history="1">
        <w:r w:rsidR="00517D23" w:rsidRPr="00C13371">
          <w:rPr>
            <w:rStyle w:val="Hipervnculo"/>
            <w:i/>
            <w:sz w:val="20"/>
            <w:szCs w:val="20"/>
          </w:rPr>
          <w:t>https://www.ipomex.org.mx/ipo3/lgt/indice/CHIMALHUACAN.web?token=03AGdBq25wQfxW0LTJMEIhwH4zSK1g9aRpO_pxnZ-UA7xVD7bU9Lpdpt_PIFT8j_G1PgnXteq2KICOgJ21MPe-L1aDNbVqmh1-2xSPotg6vxP5IIGIOQUybnTMTaZF6j_dmV70z7wnSTvz9z0oA18LYV10A44ji0eQ5MknS3MKswlQjOhgmBIc95eH8gQqRVihbvzz7WLBFkZWLIjaWsWola46TO7VSbdQ_mlg3hHW9h3eCIEhSCFw57crUXG2K0M-s3uTDjn19Oh6YzHssd0uJXLeooNdDc2j02RHpiEgCjpNkhTdfhUzPB_OWgbC9FfwrgoKQijevLzXks4cFF1AhyaVHpz68V2-jyZXOirb1EEZgapJN2WERV00mrIK1musvKvQE4vI8oLI3Dq2r76jXzd5M_mH0-7eAUe8WoBKIM-qsQxsy_nAfJfBQGqiOVaLXS65gl8NLbfoJTSmkTzj3NwNf0LQRTg1sXp6XYKxprZ25fsY3bBCeLcTXdVo8svTbyMnGjhQgzQo#</w:t>
        </w:r>
      </w:hyperlink>
      <w:r w:rsidR="00517D23">
        <w:rPr>
          <w:i/>
          <w:sz w:val="20"/>
          <w:szCs w:val="20"/>
        </w:rPr>
        <w:t xml:space="preserve"> </w:t>
      </w:r>
    </w:p>
    <w:p w14:paraId="4C2C99DE" w14:textId="7519CE91" w:rsidR="002D4F87" w:rsidRDefault="00735E90" w:rsidP="005076E9">
      <w:pPr>
        <w:spacing w:after="0" w:line="360" w:lineRule="auto"/>
        <w:ind w:left="567" w:right="567"/>
        <w:rPr>
          <w:i/>
          <w:sz w:val="20"/>
          <w:szCs w:val="20"/>
        </w:rPr>
      </w:pPr>
      <w:r>
        <w:rPr>
          <w:i/>
          <w:sz w:val="20"/>
          <w:szCs w:val="20"/>
        </w:rPr>
        <w:t>…</w:t>
      </w:r>
      <w:r w:rsidR="002D4F87" w:rsidRPr="002D4F87">
        <w:rPr>
          <w:i/>
          <w:sz w:val="20"/>
          <w:szCs w:val="20"/>
        </w:rPr>
        <w:t xml:space="preserve">” (Sic) </w:t>
      </w:r>
    </w:p>
    <w:p w14:paraId="2EF57D1F" w14:textId="77777777" w:rsidR="00905F47" w:rsidRDefault="00905F47" w:rsidP="005076E9">
      <w:pPr>
        <w:spacing w:after="0" w:line="360" w:lineRule="auto"/>
      </w:pPr>
    </w:p>
    <w:p w14:paraId="2B803E22" w14:textId="438C3211" w:rsidR="00C853D1" w:rsidRPr="00B377FD" w:rsidRDefault="00517D23" w:rsidP="005076E9">
      <w:pPr>
        <w:spacing w:after="0" w:line="360" w:lineRule="auto"/>
        <w:rPr>
          <w:b/>
        </w:rPr>
      </w:pPr>
      <w:r>
        <w:rPr>
          <w:b/>
        </w:rPr>
        <w:t>II</w:t>
      </w:r>
      <w:r w:rsidR="007D75E6">
        <w:rPr>
          <w:b/>
        </w:rPr>
        <w:t>I</w:t>
      </w:r>
      <w:r w:rsidR="00C853D1" w:rsidRPr="00B377FD">
        <w:rPr>
          <w:b/>
        </w:rPr>
        <w:t xml:space="preserve">. Interposición del Recurso de Revisión. </w:t>
      </w:r>
    </w:p>
    <w:p w14:paraId="71DC67DA" w14:textId="77777777" w:rsidR="00C853D1" w:rsidRPr="00B377FD" w:rsidRDefault="00C853D1" w:rsidP="005076E9">
      <w:pPr>
        <w:spacing w:after="0" w:line="360" w:lineRule="auto"/>
        <w:rPr>
          <w:bCs/>
        </w:rPr>
      </w:pPr>
    </w:p>
    <w:p w14:paraId="2F891DAB" w14:textId="5A9C6796" w:rsidR="00C853D1" w:rsidRPr="00B377FD" w:rsidRDefault="00C853D1" w:rsidP="005076E9">
      <w:pPr>
        <w:spacing w:after="0" w:line="360" w:lineRule="auto"/>
        <w:rPr>
          <w:bCs/>
        </w:rPr>
      </w:pPr>
      <w:r w:rsidRPr="00B377FD">
        <w:rPr>
          <w:bCs/>
        </w:rPr>
        <w:t>Con fecha</w:t>
      </w:r>
      <w:r w:rsidR="00827B0C">
        <w:rPr>
          <w:bCs/>
        </w:rPr>
        <w:t xml:space="preserve"> </w:t>
      </w:r>
      <w:r w:rsidR="00612DD7">
        <w:rPr>
          <w:bCs/>
        </w:rPr>
        <w:t>diecisiete de junio</w:t>
      </w:r>
      <w:r w:rsidR="005B2F5E">
        <w:rPr>
          <w:bCs/>
        </w:rPr>
        <w:t xml:space="preserve"> de dos mil veintidos, </w:t>
      </w:r>
      <w:r w:rsidRPr="00B377FD">
        <w:rPr>
          <w:bCs/>
        </w:rPr>
        <w:t xml:space="preserve">se recibió en este Instituto, a través del </w:t>
      </w:r>
      <w:r w:rsidRPr="00B377FD">
        <w:rPr>
          <w:bCs/>
          <w:lang w:val="es-ES"/>
        </w:rPr>
        <w:t>Sistema de Acceso a la Información Mexiquense (SAIMEX)</w:t>
      </w:r>
      <w:r w:rsidRPr="00B377FD">
        <w:rPr>
          <w:bCs/>
        </w:rPr>
        <w:t xml:space="preserve">, Recurso de Revisión interpuesto </w:t>
      </w:r>
      <w:r w:rsidRPr="00B377FD">
        <w:rPr>
          <w:bCs/>
        </w:rPr>
        <w:lastRenderedPageBreak/>
        <w:t>por la parte Recurrente, en contra de la respuesta por el Sujeto Obligado</w:t>
      </w:r>
      <w:r>
        <w:rPr>
          <w:bCs/>
        </w:rPr>
        <w:t>,</w:t>
      </w:r>
      <w:r w:rsidRPr="00B377FD">
        <w:rPr>
          <w:bCs/>
        </w:rPr>
        <w:t xml:space="preserve"> a la solicitud de información, en los siguientes términos:</w:t>
      </w:r>
    </w:p>
    <w:p w14:paraId="3A43EC2F" w14:textId="77777777" w:rsidR="00C853D1" w:rsidRPr="00B377FD" w:rsidRDefault="00C853D1" w:rsidP="005076E9">
      <w:pPr>
        <w:spacing w:after="0" w:line="360" w:lineRule="auto"/>
        <w:rPr>
          <w:bCs/>
        </w:rPr>
      </w:pPr>
    </w:p>
    <w:p w14:paraId="5AC8905A" w14:textId="77777777" w:rsidR="00C853D1" w:rsidRPr="00B377FD" w:rsidRDefault="00C853D1" w:rsidP="005076E9">
      <w:pPr>
        <w:spacing w:after="0" w:line="360" w:lineRule="auto"/>
        <w:ind w:left="567" w:right="567"/>
        <w:rPr>
          <w:bCs/>
          <w:i/>
          <w:sz w:val="20"/>
          <w:szCs w:val="20"/>
        </w:rPr>
      </w:pPr>
      <w:r w:rsidRPr="00B377FD">
        <w:rPr>
          <w:b/>
          <w:bCs/>
          <w:i/>
          <w:sz w:val="20"/>
          <w:szCs w:val="20"/>
        </w:rPr>
        <w:t>“ACTO IMPUGNADO</w:t>
      </w:r>
    </w:p>
    <w:p w14:paraId="5B56BF42" w14:textId="72B9DD08" w:rsidR="00C853D1" w:rsidRPr="00B377FD" w:rsidRDefault="00612DD7" w:rsidP="005076E9">
      <w:pPr>
        <w:spacing w:after="0" w:line="360" w:lineRule="auto"/>
        <w:ind w:left="567" w:right="567"/>
        <w:rPr>
          <w:i/>
          <w:sz w:val="20"/>
          <w:szCs w:val="20"/>
        </w:rPr>
      </w:pPr>
      <w:r w:rsidRPr="00612DD7">
        <w:rPr>
          <w:i/>
          <w:sz w:val="20"/>
          <w:szCs w:val="20"/>
        </w:rPr>
        <w:t>La negativa del sujeto obligado Ayuntamiento de Chimalhuacán de brindar acceso a la información pública solicitada mediante oficio 00389/CHIMALHU/2022</w:t>
      </w:r>
      <w:r w:rsidR="00C853D1" w:rsidRPr="00B377FD">
        <w:rPr>
          <w:i/>
          <w:sz w:val="20"/>
          <w:szCs w:val="20"/>
        </w:rPr>
        <w:t>” (Sic.)</w:t>
      </w:r>
    </w:p>
    <w:p w14:paraId="29F43CC4" w14:textId="77777777" w:rsidR="00C853D1" w:rsidRDefault="00C853D1" w:rsidP="005076E9">
      <w:pPr>
        <w:spacing w:after="0" w:line="360" w:lineRule="auto"/>
        <w:ind w:left="567" w:right="567"/>
        <w:rPr>
          <w:i/>
          <w:sz w:val="20"/>
          <w:szCs w:val="20"/>
        </w:rPr>
      </w:pPr>
    </w:p>
    <w:p w14:paraId="19CBF35D" w14:textId="77777777" w:rsidR="00C853D1" w:rsidRPr="00B377FD" w:rsidRDefault="00C853D1" w:rsidP="005076E9">
      <w:pPr>
        <w:spacing w:after="0" w:line="360" w:lineRule="auto"/>
        <w:ind w:left="567" w:right="567"/>
        <w:rPr>
          <w:b/>
          <w:i/>
          <w:sz w:val="20"/>
          <w:szCs w:val="20"/>
        </w:rPr>
      </w:pPr>
      <w:r w:rsidRPr="00B377FD">
        <w:rPr>
          <w:b/>
          <w:i/>
          <w:sz w:val="20"/>
          <w:szCs w:val="20"/>
        </w:rPr>
        <w:t>“RAZONES O MOTIVOS DE LA INCONFORMIDAD</w:t>
      </w:r>
    </w:p>
    <w:p w14:paraId="4043E730" w14:textId="11F0E7E5" w:rsidR="00C853D1" w:rsidRPr="00B377FD" w:rsidRDefault="00612DD7" w:rsidP="005076E9">
      <w:pPr>
        <w:spacing w:after="0" w:line="360" w:lineRule="auto"/>
        <w:ind w:left="567" w:right="567"/>
        <w:rPr>
          <w:i/>
          <w:sz w:val="20"/>
          <w:szCs w:val="20"/>
        </w:rPr>
      </w:pPr>
      <w:r w:rsidRPr="00612DD7">
        <w:rPr>
          <w:i/>
          <w:sz w:val="20"/>
          <w:szCs w:val="20"/>
        </w:rPr>
        <w:t xml:space="preserve">El sujeto obligado emite una respuesta violatoria del derecho de acceso a la información pública, puesto que la solicitud de información de sueldos, cargos y nombres de servidores públicos es información de naturaleza pública, y el Ayuntamiento de Chimalhuacán niega la información solicitada. Es menester mencionar que la solicitud de acceso a la información solicitada está fundamentada en el artículo 5°, fracción III, de la Constitución Política del Estado Libre y Soberano de México bajo el precepto de máxima publicidad. Así mismo, en la Ley de Transparencia y Acceso a la Información Pública del Estado de México y Municipios en sus artículos: Artículo 4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DE LAS OBLIGACIONES DE TRANSPARENCIA COMUNES Artículo 92 Fracción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Fracción X "El número total de las plazas y del personal de </w:t>
      </w:r>
      <w:r w:rsidRPr="00612DD7">
        <w:rPr>
          <w:i/>
          <w:sz w:val="20"/>
          <w:szCs w:val="20"/>
        </w:rPr>
        <w:lastRenderedPageBreak/>
        <w:t>base y de confianza, especificando el total de las vacantes, por nivel de puesto, para cada unidad administrativa" Fracción XI "Las contrataciones de servicios profesionales por honorarios, señalando los nombres de los prestadores de servicios, los servicios contratados, el monto de los honorarios y el periodo de contratación" El sujeto obligado se exime del cumplimiento de las obligaciones en materia de transparencia señalando en su respuesta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embargo la información solicitada que se realizó de la siguiente manera: Listado numerado de plazas de base y confianza que conforman la administración 2022-2024 de Chimalhuacán señalando: Nombre completo Tipo de plaza Sueldo neto quincenal y mensual Cargo Área y departamento de adscripción. Se encuentra enmarcada en las fracciones VII, VIII, X y XI del Artículo 92 de la Ley de Transparencia y Acceso a la Información Pública del Estado de México y Municipios como parte de las obligaciones comunes, además de que en la solicitud no se pide que se entregue resumida, efectuar cálculos o practicar investigaciones, sino simplemente lo que establece la ley. En ese orden de ideas y después de una búsqueda razonable y exhausta en el portal IPOMEX no se tienen registros del total de plazas vacantes y ocupadas que concuerden con las cifras que señala el sujeto obligado, siendo un total de 2,960 plazas de las cuales el sujeto obligado niega el acceso a la información pública mediante oficio a través del SAIMEX y también omite la publicación de la información pública en el portal del IPOMEX. Se solicita la intervención del Instituto para que con los fundamentos señalados y pruebas intervenga.</w:t>
      </w:r>
      <w:r w:rsidR="00C853D1" w:rsidRPr="00B30B2A">
        <w:rPr>
          <w:i/>
          <w:sz w:val="20"/>
          <w:szCs w:val="20"/>
        </w:rPr>
        <w:t>” (Sic.)</w:t>
      </w:r>
    </w:p>
    <w:p w14:paraId="08852F84" w14:textId="77777777" w:rsidR="00682222" w:rsidRDefault="00682222" w:rsidP="005076E9">
      <w:pPr>
        <w:spacing w:after="0" w:line="360" w:lineRule="auto"/>
      </w:pPr>
    </w:p>
    <w:p w14:paraId="0BC19B54" w14:textId="05F76B28" w:rsidR="00612DD7" w:rsidRDefault="00612DD7" w:rsidP="005076E9">
      <w:pPr>
        <w:spacing w:after="0" w:line="360" w:lineRule="auto"/>
      </w:pPr>
      <w:r>
        <w:t>A su interposición del Recurso de Revisión adjuntó, el oficio que proporcionó el Sujeto Obligado</w:t>
      </w:r>
      <w:r w:rsidR="004B554D">
        <w:t xml:space="preserve"> en respuesta,</w:t>
      </w:r>
      <w:r>
        <w:t xml:space="preserve"> y captura de pantalla del </w:t>
      </w:r>
      <w:r w:rsidR="004B554D">
        <w:t>“</w:t>
      </w:r>
      <w:r>
        <w:t>Total de plazas vacantes y ocupadas</w:t>
      </w:r>
      <w:r w:rsidR="004B554D">
        <w:t>” Ejercicio 2022, correspondiente al IPOMEX.</w:t>
      </w:r>
    </w:p>
    <w:p w14:paraId="62BCF45C" w14:textId="77777777" w:rsidR="004B554D" w:rsidRDefault="004B554D" w:rsidP="005076E9">
      <w:pPr>
        <w:spacing w:after="0" w:line="360" w:lineRule="auto"/>
      </w:pPr>
    </w:p>
    <w:p w14:paraId="52618480" w14:textId="77777777" w:rsidR="00612DD7" w:rsidRPr="00612DD7" w:rsidRDefault="00612DD7" w:rsidP="005076E9">
      <w:pPr>
        <w:spacing w:after="0" w:line="360" w:lineRule="auto"/>
      </w:pPr>
    </w:p>
    <w:p w14:paraId="5CD0FCF6" w14:textId="648EBE33" w:rsidR="00C853D1" w:rsidRPr="00B377FD" w:rsidRDefault="004B554D" w:rsidP="005076E9">
      <w:pPr>
        <w:spacing w:after="0" w:line="360" w:lineRule="auto"/>
        <w:rPr>
          <w:b/>
          <w:bCs/>
        </w:rPr>
      </w:pPr>
      <w:r>
        <w:rPr>
          <w:b/>
        </w:rPr>
        <w:t>I</w:t>
      </w:r>
      <w:r w:rsidR="00CC1BEE">
        <w:rPr>
          <w:b/>
        </w:rPr>
        <w:t>II</w:t>
      </w:r>
      <w:r w:rsidR="00C853D1" w:rsidRPr="00B377FD">
        <w:rPr>
          <w:b/>
        </w:rPr>
        <w:t xml:space="preserve">. </w:t>
      </w:r>
      <w:r w:rsidR="00C853D1" w:rsidRPr="00B377FD">
        <w:rPr>
          <w:b/>
          <w:bCs/>
        </w:rPr>
        <w:t xml:space="preserve">Trámite del </w:t>
      </w:r>
      <w:r w:rsidR="00C853D1" w:rsidRPr="00B377FD">
        <w:rPr>
          <w:b/>
        </w:rPr>
        <w:t xml:space="preserve">Recurso de Revisión </w:t>
      </w:r>
      <w:r w:rsidR="00C853D1" w:rsidRPr="00B377FD">
        <w:rPr>
          <w:b/>
          <w:bCs/>
        </w:rPr>
        <w:t>ante este Instituto.</w:t>
      </w:r>
    </w:p>
    <w:p w14:paraId="58854E98" w14:textId="77777777" w:rsidR="00C853D1" w:rsidRPr="00B377FD" w:rsidRDefault="00C853D1" w:rsidP="005076E9">
      <w:pPr>
        <w:spacing w:after="0" w:line="360" w:lineRule="auto"/>
        <w:rPr>
          <w:b/>
          <w:bCs/>
        </w:rPr>
      </w:pPr>
    </w:p>
    <w:p w14:paraId="0D250646" w14:textId="15956801" w:rsidR="00C853D1" w:rsidRPr="00B377FD" w:rsidRDefault="00C853D1" w:rsidP="005076E9">
      <w:pPr>
        <w:spacing w:after="0" w:line="360" w:lineRule="auto"/>
        <w:rPr>
          <w:b/>
          <w:bCs/>
        </w:rPr>
      </w:pPr>
      <w:r w:rsidRPr="00B377FD">
        <w:rPr>
          <w:b/>
          <w:bCs/>
        </w:rPr>
        <w:lastRenderedPageBreak/>
        <w:t xml:space="preserve">a) Turno del Medio de Impugnación. </w:t>
      </w:r>
      <w:r>
        <w:rPr>
          <w:bCs/>
        </w:rPr>
        <w:t xml:space="preserve">El </w:t>
      </w:r>
      <w:r w:rsidR="00B035B3">
        <w:rPr>
          <w:bCs/>
        </w:rPr>
        <w:t>diecisiete</w:t>
      </w:r>
      <w:r w:rsidR="007D6E45" w:rsidRPr="007D6E45">
        <w:rPr>
          <w:bCs/>
        </w:rPr>
        <w:t xml:space="preserve"> de junio de dos mil </w:t>
      </w:r>
      <w:r w:rsidR="00B035B3" w:rsidRPr="007D6E45">
        <w:rPr>
          <w:bCs/>
        </w:rPr>
        <w:t>veintidós</w:t>
      </w:r>
      <w:r w:rsidRPr="00B377FD">
        <w:rPr>
          <w:bCs/>
        </w:rPr>
        <w:t xml:space="preserve">, el </w:t>
      </w:r>
      <w:r w:rsidRPr="00B377FD">
        <w:rPr>
          <w:lang w:val="es-ES"/>
        </w:rPr>
        <w:t>Sistema de Acceso a la Información Mexiquense (SAIMEX),</w:t>
      </w:r>
      <w:r w:rsidRPr="00B377FD">
        <w:rPr>
          <w:bCs/>
        </w:rPr>
        <w:t xml:space="preserve"> asignó el número de expediente </w:t>
      </w:r>
      <w:r w:rsidR="00B035B3">
        <w:rPr>
          <w:b/>
          <w:bCs/>
        </w:rPr>
        <w:t>11446</w:t>
      </w:r>
      <w:r w:rsidR="00555BDF">
        <w:rPr>
          <w:b/>
          <w:bCs/>
        </w:rPr>
        <w:t>/INFOEM/IP/RR/2022</w:t>
      </w:r>
      <w:r w:rsidRPr="00B377FD">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B377FD" w:rsidRDefault="00C853D1" w:rsidP="005076E9">
      <w:pPr>
        <w:spacing w:after="0" w:line="360" w:lineRule="auto"/>
        <w:rPr>
          <w:bCs/>
        </w:rPr>
      </w:pPr>
    </w:p>
    <w:p w14:paraId="03479276" w14:textId="2F750328" w:rsidR="00C853D1" w:rsidRPr="00B377FD" w:rsidRDefault="00C853D1" w:rsidP="005076E9">
      <w:pPr>
        <w:spacing w:after="0" w:line="360" w:lineRule="auto"/>
      </w:pPr>
      <w:r w:rsidRPr="00B377FD">
        <w:rPr>
          <w:b/>
          <w:bCs/>
        </w:rPr>
        <w:t>b) Admisión del Recurso de Revisión</w:t>
      </w:r>
      <w:r w:rsidRPr="00B377FD">
        <w:rPr>
          <w:b/>
          <w:bCs/>
          <w:lang w:val="es-ES_tradnl"/>
        </w:rPr>
        <w:t xml:space="preserve">. </w:t>
      </w:r>
      <w:r w:rsidRPr="00B377FD">
        <w:rPr>
          <w:bCs/>
          <w:lang w:val="es-ES_tradnl"/>
        </w:rPr>
        <w:t xml:space="preserve">El </w:t>
      </w:r>
      <w:r w:rsidR="00A40E36" w:rsidRPr="00A40E36">
        <w:rPr>
          <w:bCs/>
          <w:lang w:val="es-ES_tradnl"/>
        </w:rPr>
        <w:t>veinti</w:t>
      </w:r>
      <w:r w:rsidR="00B035B3">
        <w:rPr>
          <w:bCs/>
          <w:lang w:val="es-ES_tradnl"/>
        </w:rPr>
        <w:t>uno</w:t>
      </w:r>
      <w:r w:rsidR="00A40E36" w:rsidRPr="00A40E36">
        <w:rPr>
          <w:bCs/>
          <w:lang w:val="es-ES_tradnl"/>
        </w:rPr>
        <w:t xml:space="preserve"> de junio de dos mil veintidós</w:t>
      </w:r>
      <w:r w:rsidRPr="00B377FD">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B377FD" w:rsidRDefault="00C853D1" w:rsidP="005076E9">
      <w:pPr>
        <w:spacing w:after="0" w:line="360" w:lineRule="auto"/>
      </w:pPr>
    </w:p>
    <w:p w14:paraId="06D2BE34" w14:textId="7EB259F3" w:rsidR="000A2CBA" w:rsidRDefault="00C853D1" w:rsidP="005076E9">
      <w:pPr>
        <w:spacing w:after="0" w:line="360" w:lineRule="auto"/>
        <w:rPr>
          <w:bCs/>
        </w:rPr>
      </w:pPr>
      <w:r w:rsidRPr="0042422A">
        <w:rPr>
          <w:b/>
        </w:rPr>
        <w:t xml:space="preserve">c) Informe Justificado. </w:t>
      </w:r>
      <w:r w:rsidR="001F72A3" w:rsidRPr="001F72A3">
        <w:rPr>
          <w:bCs/>
        </w:rPr>
        <w:t>Las partes fueron omisas en emitir alegatos o manifestaciones.</w:t>
      </w:r>
    </w:p>
    <w:p w14:paraId="39BFDEE8" w14:textId="77777777" w:rsidR="00505B1F" w:rsidRDefault="00505B1F" w:rsidP="005076E9">
      <w:pPr>
        <w:spacing w:after="0" w:line="360" w:lineRule="auto"/>
        <w:rPr>
          <w:rFonts w:cs="Tahoma"/>
          <w:b/>
        </w:rPr>
      </w:pPr>
    </w:p>
    <w:p w14:paraId="7D5881B1" w14:textId="16D5D541" w:rsidR="00505B1F" w:rsidRPr="000C715C" w:rsidRDefault="00505B1F" w:rsidP="005076E9">
      <w:pPr>
        <w:spacing w:after="0" w:line="360" w:lineRule="auto"/>
      </w:pPr>
      <w:r>
        <w:rPr>
          <w:rFonts w:cs="Tahoma"/>
          <w:b/>
        </w:rPr>
        <w:t>d</w:t>
      </w:r>
      <w:r w:rsidRPr="00376A98">
        <w:rPr>
          <w:rFonts w:cs="Tahoma"/>
          <w:b/>
        </w:rPr>
        <w:t>) Requerimiento de información adicional.</w:t>
      </w:r>
      <w:r w:rsidRPr="00376A98">
        <w:rPr>
          <w:rFonts w:cs="Tahoma"/>
        </w:rPr>
        <w:t xml:space="preserve"> El </w:t>
      </w:r>
      <w:r w:rsidR="00DB585E">
        <w:rPr>
          <w:rFonts w:cs="Tahoma"/>
        </w:rPr>
        <w:t xml:space="preserve">veintiuno </w:t>
      </w:r>
      <w:r w:rsidRPr="00F56CE8">
        <w:rPr>
          <w:rFonts w:cs="Tahoma"/>
        </w:rPr>
        <w:t>de febrero de dos mil veintitrés</w:t>
      </w:r>
      <w:r>
        <w:rPr>
          <w:rFonts w:cs="Tahoma"/>
        </w:rPr>
        <w:t xml:space="preserve">, se emitió un requerimiento de información adicional suscrito por el Comisionado Ponente el cual es dirigido a la Titular de la Unidad de Transparencia del Sujeto Obligado, lo anterior de conformidad con </w:t>
      </w:r>
      <w:r>
        <w:rPr>
          <w:rFonts w:cs="Tahoma"/>
          <w:color w:val="0D0D0D" w:themeColor="text1" w:themeTint="F2"/>
          <w:lang w:val="es-ES_tradnl"/>
        </w:rPr>
        <w:t xml:space="preserve">los artículos 14, fracciones I, II, V y XVI, del Reglamento Interior del Instituto de Transparencia, Acceso a la Información Pública y Protección de Datos Personales del Estado de México y Municipios, mismo que fue notificado al </w:t>
      </w:r>
      <w:r w:rsidRPr="00C853D1">
        <w:rPr>
          <w:rFonts w:eastAsia="Calibri" w:cs="Tahoma"/>
        </w:rPr>
        <w:t xml:space="preserve">Ayuntamiento de </w:t>
      </w:r>
      <w:r w:rsidR="00DB585E">
        <w:rPr>
          <w:rFonts w:eastAsia="Calibri" w:cs="Tahoma"/>
        </w:rPr>
        <w:t>Chimalhuacán</w:t>
      </w:r>
      <w:r>
        <w:rPr>
          <w:rFonts w:eastAsia="Calibri" w:cs="Tahoma"/>
        </w:rPr>
        <w:t xml:space="preserve">, el </w:t>
      </w:r>
      <w:r w:rsidR="00DB585E">
        <w:rPr>
          <w:rFonts w:eastAsia="Calibri" w:cs="Tahoma"/>
        </w:rPr>
        <w:t>mismo día de su emisión</w:t>
      </w:r>
      <w:r>
        <w:rPr>
          <w:rFonts w:cs="Tahoma"/>
          <w:color w:val="0D0D0D" w:themeColor="text1" w:themeTint="F2"/>
          <w:lang w:val="es-ES_tradnl"/>
        </w:rPr>
        <w:t>, a través de correo electrónico y el Sistema de Acceso a la Información Mexiquense (SAIMEX), por medio del cual se le solicitó lo siguiente:</w:t>
      </w:r>
    </w:p>
    <w:p w14:paraId="47745BB6" w14:textId="77777777" w:rsidR="00505B1F" w:rsidRDefault="00505B1F" w:rsidP="005076E9">
      <w:pPr>
        <w:spacing w:after="0" w:line="360" w:lineRule="auto"/>
      </w:pPr>
    </w:p>
    <w:p w14:paraId="55EF2B0F" w14:textId="77777777" w:rsidR="00505B1F" w:rsidRDefault="00505B1F" w:rsidP="005076E9">
      <w:pPr>
        <w:spacing w:after="0" w:line="360" w:lineRule="auto"/>
        <w:ind w:left="567" w:right="567"/>
        <w:rPr>
          <w:i/>
          <w:iCs/>
          <w:sz w:val="20"/>
          <w:szCs w:val="20"/>
          <w:lang w:val="es-ES"/>
        </w:rPr>
      </w:pPr>
      <w:r>
        <w:rPr>
          <w:i/>
          <w:iCs/>
          <w:sz w:val="20"/>
          <w:szCs w:val="20"/>
          <w:lang w:val="es-ES"/>
        </w:rPr>
        <w:t>"…</w:t>
      </w:r>
    </w:p>
    <w:p w14:paraId="5353C566" w14:textId="77777777" w:rsidR="00505B1F" w:rsidRPr="000C710B" w:rsidRDefault="00505B1F" w:rsidP="005076E9">
      <w:pPr>
        <w:spacing w:after="0" w:line="360" w:lineRule="auto"/>
        <w:ind w:left="567" w:right="567"/>
        <w:rPr>
          <w:i/>
          <w:iCs/>
          <w:sz w:val="20"/>
          <w:szCs w:val="20"/>
          <w:lang w:val="es-ES"/>
        </w:rPr>
      </w:pPr>
      <w:r w:rsidRPr="000C710B">
        <w:rPr>
          <w:i/>
          <w:iCs/>
          <w:sz w:val="20"/>
          <w:szCs w:val="20"/>
          <w:lang w:val="es-ES"/>
        </w:rPr>
        <w:lastRenderedPageBreak/>
        <w:t>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respecto del área de seguridad pública, lo siguiente:</w:t>
      </w:r>
    </w:p>
    <w:p w14:paraId="4FC8C9EC" w14:textId="77777777" w:rsidR="00505B1F" w:rsidRPr="000C710B" w:rsidRDefault="00505B1F" w:rsidP="005076E9">
      <w:pPr>
        <w:spacing w:after="0" w:line="360" w:lineRule="auto"/>
        <w:ind w:left="567" w:right="567"/>
        <w:rPr>
          <w:i/>
          <w:iCs/>
          <w:sz w:val="20"/>
          <w:szCs w:val="20"/>
          <w:lang w:val="es-ES"/>
        </w:rPr>
      </w:pPr>
    </w:p>
    <w:p w14:paraId="64F743D7" w14:textId="77777777" w:rsidR="00505B1F" w:rsidRPr="000C710B" w:rsidRDefault="00505B1F" w:rsidP="005076E9">
      <w:pPr>
        <w:pStyle w:val="Prrafodelista"/>
        <w:numPr>
          <w:ilvl w:val="0"/>
          <w:numId w:val="25"/>
        </w:numPr>
        <w:spacing w:line="360" w:lineRule="auto"/>
        <w:ind w:right="567"/>
        <w:rPr>
          <w:i/>
          <w:iCs/>
          <w:sz w:val="20"/>
          <w:szCs w:val="20"/>
          <w:lang w:val="es-ES"/>
        </w:rPr>
      </w:pPr>
      <w:r w:rsidRPr="000C710B">
        <w:rPr>
          <w:i/>
          <w:iCs/>
          <w:sz w:val="20"/>
          <w:szCs w:val="20"/>
          <w:lang w:val="es-ES"/>
        </w:rPr>
        <w:t>El nombre de los cargos, del personal administrativo y operativo.</w:t>
      </w:r>
    </w:p>
    <w:p w14:paraId="7D06C2AF" w14:textId="77777777" w:rsidR="00505B1F" w:rsidRPr="000C710B" w:rsidRDefault="00505B1F" w:rsidP="005076E9">
      <w:pPr>
        <w:pStyle w:val="Prrafodelista"/>
        <w:numPr>
          <w:ilvl w:val="0"/>
          <w:numId w:val="25"/>
        </w:numPr>
        <w:spacing w:line="360" w:lineRule="auto"/>
        <w:ind w:right="567"/>
        <w:rPr>
          <w:i/>
          <w:iCs/>
          <w:sz w:val="20"/>
          <w:szCs w:val="20"/>
          <w:lang w:val="es-ES"/>
        </w:rPr>
      </w:pPr>
      <w:r w:rsidRPr="000C710B">
        <w:rPr>
          <w:i/>
          <w:iCs/>
          <w:sz w:val="20"/>
          <w:szCs w:val="20"/>
          <w:lang w:val="es-ES"/>
        </w:rPr>
        <w:t>El nombre de los cargos y puestos, tal y como aparecen en el tabulador de sueldos, del personal operativo en materia de seguridad, y</w:t>
      </w:r>
    </w:p>
    <w:p w14:paraId="2E634252" w14:textId="77777777" w:rsidR="00505B1F" w:rsidRDefault="00505B1F" w:rsidP="005076E9">
      <w:pPr>
        <w:pStyle w:val="Prrafodelista"/>
        <w:numPr>
          <w:ilvl w:val="0"/>
          <w:numId w:val="25"/>
        </w:numPr>
        <w:spacing w:line="360" w:lineRule="auto"/>
        <w:ind w:right="567"/>
        <w:rPr>
          <w:i/>
          <w:iCs/>
          <w:sz w:val="20"/>
          <w:szCs w:val="20"/>
          <w:lang w:val="es-ES"/>
        </w:rPr>
      </w:pPr>
      <w:r w:rsidRPr="000C710B">
        <w:rPr>
          <w:i/>
          <w:iCs/>
          <w:sz w:val="20"/>
          <w:szCs w:val="20"/>
          <w:lang w:val="es-ES"/>
        </w:rPr>
        <w:t>El nombre de los cargos y áreas adscripción, del personal operativo en materia de seguridad, tal y como aparecen en los recibos de nómina.</w:t>
      </w:r>
    </w:p>
    <w:p w14:paraId="30F40AAC" w14:textId="77777777" w:rsidR="00505B1F" w:rsidRPr="00317038" w:rsidRDefault="00505B1F" w:rsidP="005076E9">
      <w:pPr>
        <w:spacing w:after="0" w:line="360" w:lineRule="auto"/>
        <w:ind w:left="567" w:right="567"/>
        <w:rPr>
          <w:i/>
          <w:iCs/>
          <w:sz w:val="20"/>
          <w:szCs w:val="20"/>
          <w:lang w:val="es-ES"/>
        </w:rPr>
      </w:pPr>
      <w:r>
        <w:rPr>
          <w:i/>
          <w:iCs/>
          <w:sz w:val="20"/>
          <w:szCs w:val="20"/>
          <w:lang w:val="es-ES"/>
        </w:rPr>
        <w:t>…”</w:t>
      </w:r>
    </w:p>
    <w:p w14:paraId="1D4A3BE2" w14:textId="77777777" w:rsidR="00505B1F" w:rsidRPr="000C710B" w:rsidRDefault="00505B1F" w:rsidP="005076E9">
      <w:pPr>
        <w:spacing w:after="0" w:line="360" w:lineRule="auto"/>
        <w:rPr>
          <w:lang w:val="es-ES"/>
        </w:rPr>
      </w:pPr>
    </w:p>
    <w:p w14:paraId="43E806F2" w14:textId="5521D6A0" w:rsidR="00505B1F" w:rsidRDefault="00505B1F" w:rsidP="005076E9">
      <w:pPr>
        <w:spacing w:after="0" w:line="360" w:lineRule="auto"/>
        <w:rPr>
          <w:rFonts w:cs="Tahoma"/>
          <w:lang w:val="es-ES"/>
        </w:rPr>
      </w:pPr>
      <w:r>
        <w:rPr>
          <w:rFonts w:cs="Tahoma"/>
          <w:b/>
          <w:bCs/>
        </w:rPr>
        <w:t>e</w:t>
      </w:r>
      <w:r w:rsidRPr="0066750C">
        <w:rPr>
          <w:rFonts w:cs="Tahoma"/>
          <w:b/>
          <w:bCs/>
        </w:rPr>
        <w:t>)</w:t>
      </w:r>
      <w:r>
        <w:rPr>
          <w:rFonts w:cs="Tahoma"/>
          <w:b/>
          <w:bCs/>
        </w:rPr>
        <w:t xml:space="preserve"> </w:t>
      </w:r>
      <w:r>
        <w:rPr>
          <w:rFonts w:cs="Tahoma"/>
          <w:b/>
          <w:bCs/>
          <w:lang w:val="es-ES"/>
        </w:rPr>
        <w:t xml:space="preserve">Desahogo del </w:t>
      </w:r>
      <w:r>
        <w:rPr>
          <w:rFonts w:cs="Tahoma"/>
          <w:b/>
        </w:rPr>
        <w:t>r</w:t>
      </w:r>
      <w:r w:rsidRPr="00376A98">
        <w:rPr>
          <w:rFonts w:cs="Tahoma"/>
          <w:b/>
        </w:rPr>
        <w:t>equerimiento de información adicional</w:t>
      </w:r>
      <w:r>
        <w:rPr>
          <w:rFonts w:cs="Tahoma"/>
          <w:b/>
          <w:bCs/>
          <w:lang w:val="es-ES"/>
        </w:rPr>
        <w:t xml:space="preserve">. </w:t>
      </w:r>
      <w:r>
        <w:rPr>
          <w:rFonts w:cs="Tahoma"/>
          <w:bCs/>
          <w:lang w:val="es-ES"/>
        </w:rPr>
        <w:t xml:space="preserve">El </w:t>
      </w:r>
      <w:r w:rsidR="00DB585E">
        <w:rPr>
          <w:rFonts w:cs="Tahoma"/>
          <w:bCs/>
          <w:lang w:val="es-ES"/>
        </w:rPr>
        <w:t>veinticuatro</w:t>
      </w:r>
      <w:r>
        <w:rPr>
          <w:rFonts w:cs="Tahoma"/>
          <w:bCs/>
          <w:lang w:val="es-ES"/>
        </w:rPr>
        <w:t xml:space="preserve"> de febrero de dos mil veintitrés</w:t>
      </w:r>
      <w:r>
        <w:rPr>
          <w:rFonts w:cs="Tahoma"/>
          <w:lang w:val="es-ES"/>
        </w:rPr>
        <w:t xml:space="preserve">, se recibió por medio de correo institucional, el desahogo del requerimiento de información adicional por medio del oficio número: </w:t>
      </w:r>
      <w:r w:rsidR="00DB585E" w:rsidRPr="00DB585E">
        <w:rPr>
          <w:rFonts w:cs="Tahoma"/>
          <w:lang w:val="es-ES"/>
        </w:rPr>
        <w:t>CHIM/UTAIP/00169/2023</w:t>
      </w:r>
      <w:r>
        <w:rPr>
          <w:rFonts w:cs="Tahoma"/>
          <w:lang w:val="es-ES"/>
        </w:rPr>
        <w:t xml:space="preserve">, suscrito por la Titular de la Unidad de Transparencia, en los términos siguientes: </w:t>
      </w:r>
      <w:r w:rsidR="00DB585E">
        <w:rPr>
          <w:rFonts w:cs="Tahoma"/>
          <w:lang w:val="es-ES"/>
        </w:rPr>
        <w:t xml:space="preserve"> </w:t>
      </w:r>
    </w:p>
    <w:p w14:paraId="375F5472" w14:textId="77777777" w:rsidR="00505B1F" w:rsidRDefault="00505B1F" w:rsidP="005076E9">
      <w:pPr>
        <w:spacing w:after="0" w:line="360" w:lineRule="auto"/>
        <w:rPr>
          <w:rFonts w:cs="Tahoma"/>
          <w:lang w:val="es-ES"/>
        </w:rPr>
      </w:pPr>
    </w:p>
    <w:p w14:paraId="5F376DC8" w14:textId="77777777" w:rsidR="00505B1F" w:rsidRPr="00317038" w:rsidRDefault="00505B1F" w:rsidP="005076E9">
      <w:pPr>
        <w:spacing w:after="0" w:line="360" w:lineRule="auto"/>
        <w:ind w:left="567" w:right="567"/>
        <w:rPr>
          <w:rFonts w:cs="Tahoma"/>
          <w:i/>
          <w:iCs/>
          <w:sz w:val="20"/>
          <w:szCs w:val="20"/>
          <w:lang w:val="es-ES"/>
        </w:rPr>
      </w:pPr>
      <w:r w:rsidRPr="00317038">
        <w:rPr>
          <w:rFonts w:cs="Tahoma"/>
          <w:i/>
          <w:iCs/>
          <w:sz w:val="20"/>
          <w:szCs w:val="20"/>
          <w:lang w:val="es-ES"/>
        </w:rPr>
        <w:t>“…</w:t>
      </w:r>
    </w:p>
    <w:p w14:paraId="3E0A89AE" w14:textId="77777777" w:rsidR="00DB585E" w:rsidRPr="00DB585E" w:rsidRDefault="00DB585E" w:rsidP="005076E9">
      <w:pPr>
        <w:spacing w:after="0" w:line="360" w:lineRule="auto"/>
        <w:ind w:left="567" w:right="567"/>
        <w:rPr>
          <w:rFonts w:cs="Tahoma"/>
          <w:i/>
          <w:iCs/>
          <w:sz w:val="20"/>
          <w:szCs w:val="20"/>
          <w:lang w:val="es-ES"/>
        </w:rPr>
      </w:pPr>
      <w:r w:rsidRPr="00DB585E">
        <w:rPr>
          <w:rFonts w:cs="Tahoma"/>
          <w:i/>
          <w:iCs/>
          <w:sz w:val="20"/>
          <w:szCs w:val="20"/>
          <w:lang w:val="es-ES"/>
        </w:rPr>
        <w:t>Por medio de la presento, permítame enviarle un cordial saludo al tiempo de dar contestación al Requerimiento de información adicional respecto del recurso de revisión 11446/INFOEM/IP/RR/2022, al respecto remito los oficio número DRH/0495/2023, signado por la titular del Departamento de Recursos Humanos.</w:t>
      </w:r>
    </w:p>
    <w:p w14:paraId="706195B5" w14:textId="77777777" w:rsidR="00DB585E" w:rsidRPr="00DB585E" w:rsidRDefault="00DB585E" w:rsidP="005076E9">
      <w:pPr>
        <w:spacing w:after="0" w:line="360" w:lineRule="auto"/>
        <w:ind w:left="567" w:right="567"/>
        <w:rPr>
          <w:rFonts w:cs="Tahoma"/>
          <w:i/>
          <w:iCs/>
          <w:sz w:val="20"/>
          <w:szCs w:val="20"/>
          <w:lang w:val="es-ES"/>
        </w:rPr>
      </w:pPr>
      <w:r w:rsidRPr="00DB585E">
        <w:rPr>
          <w:rFonts w:cs="Tahoma"/>
          <w:i/>
          <w:iCs/>
          <w:sz w:val="20"/>
          <w:szCs w:val="20"/>
          <w:lang w:val="es-ES"/>
        </w:rPr>
        <w:t xml:space="preserve"> </w:t>
      </w:r>
    </w:p>
    <w:p w14:paraId="6AB93351" w14:textId="77777777" w:rsidR="00DB585E" w:rsidRPr="00DB585E" w:rsidRDefault="00DB585E" w:rsidP="005076E9">
      <w:pPr>
        <w:spacing w:after="0" w:line="360" w:lineRule="auto"/>
        <w:ind w:left="567" w:right="567"/>
        <w:rPr>
          <w:rFonts w:cs="Tahoma"/>
          <w:i/>
          <w:iCs/>
          <w:sz w:val="20"/>
          <w:szCs w:val="20"/>
          <w:lang w:val="es-ES"/>
        </w:rPr>
      </w:pPr>
    </w:p>
    <w:p w14:paraId="5DF2A049" w14:textId="703C5090" w:rsidR="00DB585E" w:rsidRPr="00DB585E" w:rsidRDefault="00DB585E" w:rsidP="005076E9">
      <w:pPr>
        <w:spacing w:after="0" w:line="360" w:lineRule="auto"/>
        <w:ind w:left="567" w:right="567"/>
        <w:rPr>
          <w:rFonts w:cs="Tahoma"/>
          <w:i/>
          <w:iCs/>
          <w:sz w:val="20"/>
          <w:szCs w:val="20"/>
          <w:lang w:val="es-ES"/>
        </w:rPr>
      </w:pPr>
      <w:r w:rsidRPr="00DB585E">
        <w:rPr>
          <w:rFonts w:cs="Tahoma"/>
          <w:i/>
          <w:iCs/>
          <w:sz w:val="20"/>
          <w:szCs w:val="20"/>
          <w:lang w:val="es-ES"/>
        </w:rPr>
        <w:t xml:space="preserve">Asimismo, remito el oficio número PM/DGSCYTM/DJ/DAL/71/2023, firmando por el Jefe de Departamento de Asesoría Legal de la Dirección General de Seguridad Ciudadana y </w:t>
      </w:r>
      <w:r w:rsidR="00381987" w:rsidRPr="00DB585E">
        <w:rPr>
          <w:rFonts w:cs="Tahoma"/>
          <w:i/>
          <w:iCs/>
          <w:sz w:val="20"/>
          <w:szCs w:val="20"/>
          <w:lang w:val="es-ES"/>
        </w:rPr>
        <w:t>Tránsito</w:t>
      </w:r>
      <w:r w:rsidRPr="00DB585E">
        <w:rPr>
          <w:rFonts w:cs="Tahoma"/>
          <w:i/>
          <w:iCs/>
          <w:sz w:val="20"/>
          <w:szCs w:val="20"/>
          <w:lang w:val="es-ES"/>
        </w:rPr>
        <w:t xml:space="preserve"> Municipal.</w:t>
      </w:r>
    </w:p>
    <w:p w14:paraId="28C81CC4" w14:textId="77777777" w:rsidR="00DB585E" w:rsidRPr="00DB585E" w:rsidRDefault="00DB585E" w:rsidP="005076E9">
      <w:pPr>
        <w:spacing w:after="0" w:line="360" w:lineRule="auto"/>
        <w:ind w:left="567" w:right="567"/>
        <w:rPr>
          <w:rFonts w:cs="Tahoma"/>
          <w:i/>
          <w:iCs/>
          <w:sz w:val="20"/>
          <w:szCs w:val="20"/>
          <w:lang w:val="es-ES"/>
        </w:rPr>
      </w:pPr>
    </w:p>
    <w:p w14:paraId="20044A38" w14:textId="77777777" w:rsidR="00DB585E" w:rsidRPr="00DB585E" w:rsidRDefault="00DB585E" w:rsidP="005076E9">
      <w:pPr>
        <w:spacing w:after="0" w:line="360" w:lineRule="auto"/>
        <w:ind w:left="567" w:right="567"/>
        <w:rPr>
          <w:rFonts w:cs="Tahoma"/>
          <w:i/>
          <w:iCs/>
          <w:sz w:val="20"/>
          <w:szCs w:val="20"/>
          <w:lang w:val="es-ES"/>
        </w:rPr>
      </w:pPr>
      <w:r w:rsidRPr="00DB585E">
        <w:rPr>
          <w:rFonts w:cs="Tahoma"/>
          <w:i/>
          <w:iCs/>
          <w:sz w:val="20"/>
          <w:szCs w:val="20"/>
          <w:lang w:val="es-ES"/>
        </w:rPr>
        <w:lastRenderedPageBreak/>
        <w:t>En los cuales se indican los nombres de los cargos del personal administrativo y operativo, además de ello, se adjunta el tabulador de sueldos.</w:t>
      </w:r>
    </w:p>
    <w:p w14:paraId="148CA43A" w14:textId="77777777" w:rsidR="00DB585E" w:rsidRPr="00DB585E" w:rsidRDefault="00DB585E" w:rsidP="005076E9">
      <w:pPr>
        <w:spacing w:after="0" w:line="360" w:lineRule="auto"/>
        <w:ind w:left="567" w:right="567"/>
        <w:rPr>
          <w:rFonts w:cs="Tahoma"/>
          <w:i/>
          <w:iCs/>
          <w:sz w:val="20"/>
          <w:szCs w:val="20"/>
          <w:lang w:val="es-ES"/>
        </w:rPr>
      </w:pPr>
    </w:p>
    <w:p w14:paraId="55DC89B1" w14:textId="77777777" w:rsidR="00410C1E" w:rsidRDefault="00DB585E" w:rsidP="005076E9">
      <w:pPr>
        <w:spacing w:after="0" w:line="360" w:lineRule="auto"/>
        <w:ind w:left="567" w:right="567"/>
        <w:rPr>
          <w:rFonts w:cs="Tahoma"/>
          <w:i/>
          <w:iCs/>
          <w:sz w:val="20"/>
          <w:szCs w:val="20"/>
          <w:lang w:val="es-ES"/>
        </w:rPr>
      </w:pPr>
      <w:r w:rsidRPr="00DB585E">
        <w:rPr>
          <w:rFonts w:cs="Tahoma"/>
          <w:i/>
          <w:iCs/>
          <w:sz w:val="20"/>
          <w:szCs w:val="20"/>
          <w:lang w:val="es-ES"/>
        </w:rPr>
        <w:t>Con el fin de dar cumplimiento a la resolución me permito adjuntar dicha información.</w:t>
      </w:r>
    </w:p>
    <w:p w14:paraId="2AA763BB" w14:textId="089B2299" w:rsidR="00505B1F" w:rsidRPr="00317038" w:rsidRDefault="00505B1F" w:rsidP="005076E9">
      <w:pPr>
        <w:spacing w:after="0" w:line="360" w:lineRule="auto"/>
        <w:ind w:left="567" w:right="567"/>
        <w:rPr>
          <w:rFonts w:cs="Tahoma"/>
          <w:i/>
          <w:iCs/>
          <w:sz w:val="20"/>
          <w:szCs w:val="20"/>
          <w:lang w:val="es-ES"/>
        </w:rPr>
      </w:pPr>
      <w:r w:rsidRPr="00317038">
        <w:rPr>
          <w:rFonts w:cs="Tahoma"/>
          <w:i/>
          <w:iCs/>
          <w:sz w:val="20"/>
          <w:szCs w:val="20"/>
          <w:lang w:val="es-ES"/>
        </w:rPr>
        <w:t xml:space="preserve">…” (Sic) </w:t>
      </w:r>
    </w:p>
    <w:p w14:paraId="1A9C6843" w14:textId="77777777" w:rsidR="00505B1F" w:rsidRDefault="00505B1F" w:rsidP="005076E9">
      <w:pPr>
        <w:spacing w:after="0" w:line="360" w:lineRule="auto"/>
        <w:rPr>
          <w:bCs/>
        </w:rPr>
      </w:pPr>
    </w:p>
    <w:p w14:paraId="11C5DBAD" w14:textId="361FB36A" w:rsidR="00FF5338" w:rsidRDefault="00410C1E" w:rsidP="005076E9">
      <w:pPr>
        <w:spacing w:after="0" w:line="360" w:lineRule="auto"/>
        <w:rPr>
          <w:bCs/>
        </w:rPr>
      </w:pPr>
      <w:r>
        <w:rPr>
          <w:bCs/>
        </w:rPr>
        <w:t>A su desahogo de información adicional, el Sujeto Obligado adjuntó los siguientes:</w:t>
      </w:r>
    </w:p>
    <w:p w14:paraId="7932C6F1" w14:textId="77777777" w:rsidR="00410C1E" w:rsidRDefault="00410C1E" w:rsidP="005076E9">
      <w:pPr>
        <w:spacing w:after="0" w:line="360" w:lineRule="auto"/>
        <w:rPr>
          <w:bCs/>
        </w:rPr>
      </w:pPr>
    </w:p>
    <w:p w14:paraId="4AD1B065" w14:textId="2216FED2" w:rsidR="00410C1E" w:rsidRDefault="00410C1E" w:rsidP="005076E9">
      <w:pPr>
        <w:spacing w:after="0" w:line="360" w:lineRule="auto"/>
        <w:rPr>
          <w:bCs/>
        </w:rPr>
      </w:pPr>
      <w:r>
        <w:rPr>
          <w:bCs/>
        </w:rPr>
        <w:t>i) Oficio PM/DGSCYTM/DJ/DAL/71/2023, de fecha veintidós de febrero de dos mil veintitrés, mediante el cual el Jefe de Departamento de Asesoría Legal de la Dirección General de Seguridad Ciudadana y Tránsito Municipal de Chimalhuacán, envía el similar PM/DGSCYTM/DA/DRHCPYRM/0685/2023</w:t>
      </w:r>
      <w:r w:rsidR="00672FDB">
        <w:rPr>
          <w:bCs/>
        </w:rPr>
        <w:t>,</w:t>
      </w:r>
      <w:r>
        <w:rPr>
          <w:bCs/>
        </w:rPr>
        <w:t xml:space="preserve"> de </w:t>
      </w:r>
      <w:r w:rsidR="00672FDB">
        <w:rPr>
          <w:bCs/>
        </w:rPr>
        <w:t xml:space="preserve">fecha </w:t>
      </w:r>
      <w:r>
        <w:rPr>
          <w:bCs/>
        </w:rPr>
        <w:t>similar, mediante el cual</w:t>
      </w:r>
      <w:r w:rsidR="00672FDB">
        <w:rPr>
          <w:bCs/>
        </w:rPr>
        <w:t>,</w:t>
      </w:r>
      <w:r>
        <w:rPr>
          <w:bCs/>
        </w:rPr>
        <w:t xml:space="preserve"> el Jefe de Departamento de Recursos Humanos, Carrera Policial y Recursos Materiales, adjuntó un listado del personal operativo adscrito a esa Unidad Administrativa</w:t>
      </w:r>
      <w:r w:rsidR="00672FDB">
        <w:rPr>
          <w:bCs/>
        </w:rPr>
        <w:t xml:space="preserve"> (1090 registros)</w:t>
      </w:r>
      <w:r>
        <w:rPr>
          <w:bCs/>
        </w:rPr>
        <w:t xml:space="preserve">, con el cargo que ostenta cada uno de ellos, </w:t>
      </w:r>
      <w:r w:rsidR="00672FDB">
        <w:rPr>
          <w:bCs/>
        </w:rPr>
        <w:t>y</w:t>
      </w:r>
      <w:r>
        <w:rPr>
          <w:bCs/>
        </w:rPr>
        <w:t xml:space="preserve"> señaló el nombre de los cargos y sueldo bruto mensual, tal como consta en </w:t>
      </w:r>
      <w:r w:rsidR="00672FDB">
        <w:rPr>
          <w:bCs/>
        </w:rPr>
        <w:t>la</w:t>
      </w:r>
      <w:r>
        <w:rPr>
          <w:bCs/>
        </w:rPr>
        <w:t xml:space="preserve"> siguiente:</w:t>
      </w:r>
    </w:p>
    <w:p w14:paraId="301111ED" w14:textId="77777777" w:rsidR="00672FDB" w:rsidRDefault="00672FDB" w:rsidP="005076E9">
      <w:pPr>
        <w:spacing w:after="0" w:line="360" w:lineRule="auto"/>
        <w:rPr>
          <w:bCs/>
        </w:rPr>
      </w:pPr>
    </w:p>
    <w:p w14:paraId="74AB9C07" w14:textId="5048F43E" w:rsidR="00672FDB" w:rsidRDefault="00672FDB" w:rsidP="005076E9">
      <w:pPr>
        <w:spacing w:after="0" w:line="360" w:lineRule="auto"/>
        <w:jc w:val="center"/>
        <w:rPr>
          <w:bCs/>
        </w:rPr>
      </w:pPr>
      <w:r>
        <w:rPr>
          <w:bCs/>
          <w:noProof/>
          <w:lang w:eastAsia="es-MX"/>
        </w:rPr>
        <w:drawing>
          <wp:inline distT="0" distB="0" distL="0" distR="0" wp14:anchorId="396AD58E" wp14:editId="6D40027F">
            <wp:extent cx="3600450" cy="17018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909455.tmp"/>
                    <pic:cNvPicPr/>
                  </pic:nvPicPr>
                  <pic:blipFill rotWithShape="1">
                    <a:blip r:embed="rId9">
                      <a:extLst>
                        <a:ext uri="{28A0092B-C50C-407E-A947-70E740481C1C}">
                          <a14:useLocalDpi xmlns:a14="http://schemas.microsoft.com/office/drawing/2010/main" val="0"/>
                        </a:ext>
                      </a:extLst>
                    </a:blip>
                    <a:srcRect l="9374" t="46920" r="12346" b="18355"/>
                    <a:stretch/>
                  </pic:blipFill>
                  <pic:spPr bwMode="auto">
                    <a:xfrm>
                      <a:off x="0" y="0"/>
                      <a:ext cx="3610753" cy="1706763"/>
                    </a:xfrm>
                    <a:prstGeom prst="rect">
                      <a:avLst/>
                    </a:prstGeom>
                    <a:ln>
                      <a:noFill/>
                    </a:ln>
                    <a:extLst>
                      <a:ext uri="{53640926-AAD7-44D8-BBD7-CCE9431645EC}">
                        <a14:shadowObscured xmlns:a14="http://schemas.microsoft.com/office/drawing/2010/main"/>
                      </a:ext>
                    </a:extLst>
                  </pic:spPr>
                </pic:pic>
              </a:graphicData>
            </a:graphic>
          </wp:inline>
        </w:drawing>
      </w:r>
    </w:p>
    <w:p w14:paraId="0BECD49D" w14:textId="6EBA2DCB" w:rsidR="00410C1E" w:rsidRDefault="00410C1E" w:rsidP="005076E9">
      <w:pPr>
        <w:spacing w:after="0" w:line="360" w:lineRule="auto"/>
        <w:rPr>
          <w:bCs/>
        </w:rPr>
      </w:pPr>
      <w:r>
        <w:rPr>
          <w:bCs/>
        </w:rPr>
        <w:t>ii) Tabulador de sueldos, del primero de enero al treinta y uno de diciembre de dos mil veintidós, tal como se inserta:</w:t>
      </w:r>
    </w:p>
    <w:p w14:paraId="2FB39A75" w14:textId="77777777" w:rsidR="00410C1E" w:rsidRDefault="00410C1E" w:rsidP="005076E9">
      <w:pPr>
        <w:spacing w:after="0" w:line="360" w:lineRule="auto"/>
        <w:rPr>
          <w:bCs/>
        </w:rPr>
      </w:pPr>
    </w:p>
    <w:p w14:paraId="7828F779" w14:textId="710AC10F" w:rsidR="00410C1E" w:rsidRDefault="00410C1E" w:rsidP="005076E9">
      <w:pPr>
        <w:spacing w:after="0" w:line="360" w:lineRule="auto"/>
        <w:jc w:val="center"/>
        <w:rPr>
          <w:bCs/>
        </w:rPr>
      </w:pPr>
      <w:r>
        <w:rPr>
          <w:bCs/>
          <w:noProof/>
          <w:lang w:eastAsia="es-MX"/>
        </w:rPr>
        <w:lastRenderedPageBreak/>
        <w:drawing>
          <wp:inline distT="0" distB="0" distL="0" distR="0" wp14:anchorId="721C945E" wp14:editId="40102A50">
            <wp:extent cx="5276850" cy="394129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9022D3.tmp"/>
                    <pic:cNvPicPr/>
                  </pic:nvPicPr>
                  <pic:blipFill rotWithShape="1">
                    <a:blip r:embed="rId10">
                      <a:extLst>
                        <a:ext uri="{28A0092B-C50C-407E-A947-70E740481C1C}">
                          <a14:useLocalDpi xmlns:a14="http://schemas.microsoft.com/office/drawing/2010/main" val="0"/>
                        </a:ext>
                      </a:extLst>
                    </a:blip>
                    <a:srcRect l="2795" t="16823" r="4288" b="18047"/>
                    <a:stretch/>
                  </pic:blipFill>
                  <pic:spPr bwMode="auto">
                    <a:xfrm>
                      <a:off x="0" y="0"/>
                      <a:ext cx="5287912" cy="3949556"/>
                    </a:xfrm>
                    <a:prstGeom prst="rect">
                      <a:avLst/>
                    </a:prstGeom>
                    <a:ln>
                      <a:noFill/>
                    </a:ln>
                    <a:extLst>
                      <a:ext uri="{53640926-AAD7-44D8-BBD7-CCE9431645EC}">
                        <a14:shadowObscured xmlns:a14="http://schemas.microsoft.com/office/drawing/2010/main"/>
                      </a:ext>
                    </a:extLst>
                  </pic:spPr>
                </pic:pic>
              </a:graphicData>
            </a:graphic>
          </wp:inline>
        </w:drawing>
      </w:r>
    </w:p>
    <w:p w14:paraId="2C06F8CC" w14:textId="7EB39127" w:rsidR="00410C1E" w:rsidRDefault="00410C1E" w:rsidP="005076E9">
      <w:pPr>
        <w:spacing w:after="0" w:line="360" w:lineRule="auto"/>
        <w:jc w:val="center"/>
        <w:rPr>
          <w:bCs/>
        </w:rPr>
      </w:pPr>
      <w:r>
        <w:rPr>
          <w:bCs/>
          <w:noProof/>
          <w:lang w:eastAsia="es-MX"/>
        </w:rPr>
        <w:drawing>
          <wp:inline distT="0" distB="0" distL="0" distR="0" wp14:anchorId="4089E388" wp14:editId="3B3AF682">
            <wp:extent cx="5257800" cy="21721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90F269.tmp"/>
                    <pic:cNvPicPr/>
                  </pic:nvPicPr>
                  <pic:blipFill rotWithShape="1">
                    <a:blip r:embed="rId11">
                      <a:extLst>
                        <a:ext uri="{28A0092B-C50C-407E-A947-70E740481C1C}">
                          <a14:useLocalDpi xmlns:a14="http://schemas.microsoft.com/office/drawing/2010/main" val="0"/>
                        </a:ext>
                      </a:extLst>
                    </a:blip>
                    <a:srcRect l="2467" t="30868" r="4780" b="33172"/>
                    <a:stretch/>
                  </pic:blipFill>
                  <pic:spPr bwMode="auto">
                    <a:xfrm>
                      <a:off x="0" y="0"/>
                      <a:ext cx="5281224" cy="2181783"/>
                    </a:xfrm>
                    <a:prstGeom prst="rect">
                      <a:avLst/>
                    </a:prstGeom>
                    <a:ln>
                      <a:noFill/>
                    </a:ln>
                    <a:extLst>
                      <a:ext uri="{53640926-AAD7-44D8-BBD7-CCE9431645EC}">
                        <a14:shadowObscured xmlns:a14="http://schemas.microsoft.com/office/drawing/2010/main"/>
                      </a:ext>
                    </a:extLst>
                  </pic:spPr>
                </pic:pic>
              </a:graphicData>
            </a:graphic>
          </wp:inline>
        </w:drawing>
      </w:r>
    </w:p>
    <w:p w14:paraId="22837DA8" w14:textId="77777777" w:rsidR="00410C1E" w:rsidRDefault="00410C1E" w:rsidP="005076E9">
      <w:pPr>
        <w:spacing w:after="0" w:line="360" w:lineRule="auto"/>
        <w:rPr>
          <w:bCs/>
        </w:rPr>
      </w:pPr>
    </w:p>
    <w:p w14:paraId="29785DD0" w14:textId="4CC1C46E" w:rsidR="00410C1E" w:rsidRDefault="009B07EA" w:rsidP="005076E9">
      <w:pPr>
        <w:spacing w:after="0" w:line="360" w:lineRule="auto"/>
        <w:rPr>
          <w:bCs/>
        </w:rPr>
      </w:pPr>
      <w:r>
        <w:rPr>
          <w:bCs/>
        </w:rPr>
        <w:t>iii) O</w:t>
      </w:r>
      <w:r w:rsidR="00672FDB">
        <w:rPr>
          <w:bCs/>
        </w:rPr>
        <w:t xml:space="preserve">ficio DRH/0495/2023, de fecha veintidós de febrero de dos mil veintitrés, mediante el cual el Titular del Departamento de Recursos Humanos, envía en archivo </w:t>
      </w:r>
      <w:r w:rsidR="00672FDB" w:rsidRPr="00672FDB">
        <w:rPr>
          <w:bCs/>
          <w:i/>
        </w:rPr>
        <w:t>“.Excel”</w:t>
      </w:r>
      <w:r w:rsidR="00672FDB">
        <w:rPr>
          <w:bCs/>
        </w:rPr>
        <w:t xml:space="preserve"> dos columnas en </w:t>
      </w:r>
      <w:r w:rsidR="00672FDB">
        <w:rPr>
          <w:bCs/>
        </w:rPr>
        <w:lastRenderedPageBreak/>
        <w:t xml:space="preserve">las que se identifica la dependencia y cargo respecto del Personal Operativo, mientras que, del Personal Administrativo, la adscripción, nombre completo y apellidos y cargo. </w:t>
      </w:r>
    </w:p>
    <w:p w14:paraId="52135650" w14:textId="77777777" w:rsidR="00410C1E" w:rsidRDefault="00410C1E" w:rsidP="005076E9">
      <w:pPr>
        <w:spacing w:after="0" w:line="360" w:lineRule="auto"/>
        <w:rPr>
          <w:bCs/>
        </w:rPr>
      </w:pPr>
    </w:p>
    <w:p w14:paraId="632E5FA0" w14:textId="4EAB609B" w:rsidR="008F69B6" w:rsidRPr="006357A9" w:rsidRDefault="00505B1F" w:rsidP="005076E9">
      <w:pPr>
        <w:spacing w:after="0" w:line="360" w:lineRule="auto"/>
        <w:rPr>
          <w:rFonts w:eastAsia="Palatino Linotype" w:cs="Palatino Linotype"/>
          <w:lang w:val="es-ES"/>
        </w:rPr>
      </w:pPr>
      <w:r>
        <w:rPr>
          <w:rFonts w:eastAsia="Palatino Linotype" w:cs="Palatino Linotype"/>
          <w:b/>
          <w:bCs/>
          <w:lang w:val="es-ES"/>
        </w:rPr>
        <w:t>f</w:t>
      </w:r>
      <w:r w:rsidR="008F69B6" w:rsidRPr="006357A9">
        <w:rPr>
          <w:rFonts w:eastAsia="Palatino Linotype" w:cs="Palatino Linotype"/>
          <w:b/>
          <w:bCs/>
          <w:lang w:val="es-ES"/>
        </w:rPr>
        <w:t xml:space="preserve">) Ampliación de plazo para resolver. </w:t>
      </w:r>
      <w:r w:rsidR="008F69B6" w:rsidRPr="006357A9">
        <w:rPr>
          <w:rFonts w:eastAsia="Palatino Linotype" w:cs="Palatino Linotype"/>
          <w:lang w:val="es-ES"/>
        </w:rPr>
        <w:t xml:space="preserve">El </w:t>
      </w:r>
      <w:r w:rsidR="0095685D">
        <w:rPr>
          <w:rFonts w:eastAsia="Palatino Linotype" w:cs="Palatino Linotype"/>
          <w:lang w:val="es-ES"/>
        </w:rPr>
        <w:t>seis de marzo de dos mil veintitrés</w:t>
      </w:r>
      <w:r w:rsidR="008F69B6" w:rsidRPr="006357A9">
        <w:rPr>
          <w:rFonts w:eastAsia="Palatino Linotype" w:cs="Palatino Linotype"/>
          <w:lang w:val="es-ES"/>
        </w:rPr>
        <w:t xml:space="preserve">, </w:t>
      </w:r>
      <w:r w:rsidR="008F69B6" w:rsidRPr="006357A9">
        <w:rPr>
          <w:rFonts w:eastAsia="Palatino Linotype" w:cs="Palatino Linotype"/>
          <w:color w:val="auto"/>
          <w:lang w:val="es-ES" w:eastAsia="es-MX"/>
        </w:rPr>
        <w:t xml:space="preserve">el Comisionado Ponente, con fundamento en lo dispuesto por el artículo 181, párrafo tercero, de la Ley de Transparencia y Acceso a la Información Pública del Estado de México y Municipios, acordó </w:t>
      </w:r>
      <w:r w:rsidR="0095685D" w:rsidRPr="0095685D">
        <w:rPr>
          <w:rFonts w:eastAsia="Palatino Linotype" w:cs="Palatino Linotype"/>
          <w:color w:val="auto"/>
          <w:lang w:val="es-ES" w:eastAsia="es-MX"/>
        </w:rPr>
        <w:t>ampliar por un periodo de razonable el plazo</w:t>
      </w:r>
      <w:r w:rsidR="008F69B6" w:rsidRPr="006357A9">
        <w:rPr>
          <w:rFonts w:eastAsia="Palatino Linotype" w:cs="Palatino Linotype"/>
          <w:color w:val="auto"/>
          <w:lang w:val="es-ES" w:eastAsia="es-MX"/>
        </w:rPr>
        <w:t xml:space="preserve"> para resolver el Recurso de Revisión que nos ocupa; acto que fue notificado a las partes,</w:t>
      </w:r>
      <w:r w:rsidR="0095685D">
        <w:rPr>
          <w:rFonts w:eastAsia="Palatino Linotype" w:cs="Palatino Linotype"/>
          <w:color w:val="auto"/>
          <w:lang w:val="es-ES" w:eastAsia="es-MX"/>
        </w:rPr>
        <w:t xml:space="preserve"> el mismo día,</w:t>
      </w:r>
      <w:r w:rsidR="008F69B6" w:rsidRPr="006357A9">
        <w:rPr>
          <w:rFonts w:eastAsia="Palatino Linotype" w:cs="Palatino Linotype"/>
          <w:color w:val="auto"/>
          <w:lang w:val="es-ES" w:eastAsia="es-MX"/>
        </w:rPr>
        <w:t xml:space="preserve"> mediante el Sistema de Acceso a la Información Mexiquense (SAIMEX).</w:t>
      </w:r>
    </w:p>
    <w:p w14:paraId="0517753D" w14:textId="77777777" w:rsidR="008F69B6" w:rsidRPr="006357A9" w:rsidRDefault="008F69B6" w:rsidP="005076E9">
      <w:pPr>
        <w:spacing w:after="0" w:line="360" w:lineRule="auto"/>
        <w:rPr>
          <w:rFonts w:eastAsia="Palatino Linotype" w:cs="Palatino Linotype"/>
          <w:b/>
          <w:bCs/>
          <w:color w:val="auto"/>
          <w:lang w:eastAsia="es-MX"/>
        </w:rPr>
      </w:pPr>
    </w:p>
    <w:p w14:paraId="6FF95F27"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C44BA3" w14:textId="77777777" w:rsidR="008F69B6" w:rsidRPr="006357A9" w:rsidRDefault="008F69B6" w:rsidP="005076E9">
      <w:pPr>
        <w:spacing w:after="0" w:line="360" w:lineRule="auto"/>
        <w:rPr>
          <w:rFonts w:eastAsia="Palatino Linotype" w:cs="Palatino Linotype"/>
          <w:color w:val="auto"/>
          <w:lang w:eastAsia="es-MX"/>
        </w:rPr>
      </w:pPr>
    </w:p>
    <w:p w14:paraId="2196786B"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496704C" w14:textId="77777777" w:rsidR="008F69B6" w:rsidRPr="006357A9" w:rsidRDefault="008F69B6" w:rsidP="005076E9">
      <w:pPr>
        <w:spacing w:after="0" w:line="360" w:lineRule="auto"/>
        <w:rPr>
          <w:rFonts w:eastAsia="Palatino Linotype" w:cs="Palatino Linotype"/>
          <w:color w:val="auto"/>
          <w:lang w:eastAsia="es-MX"/>
        </w:rPr>
      </w:pPr>
    </w:p>
    <w:p w14:paraId="3A5EDBC4"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21C4F8" w14:textId="77777777" w:rsidR="008F69B6" w:rsidRPr="006357A9" w:rsidRDefault="008F69B6" w:rsidP="005076E9">
      <w:pPr>
        <w:spacing w:after="0" w:line="360" w:lineRule="auto"/>
        <w:rPr>
          <w:rFonts w:eastAsia="Palatino Linotype" w:cs="Palatino Linotype"/>
          <w:color w:val="auto"/>
          <w:lang w:eastAsia="es-MX"/>
        </w:rPr>
      </w:pPr>
    </w:p>
    <w:p w14:paraId="7E8E44F8"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F8C6FF" w14:textId="77777777" w:rsidR="008F69B6" w:rsidRPr="006357A9" w:rsidRDefault="008F69B6" w:rsidP="005076E9">
      <w:pPr>
        <w:spacing w:after="0" w:line="360" w:lineRule="auto"/>
        <w:rPr>
          <w:rFonts w:eastAsia="Palatino Linotype" w:cs="Palatino Linotype"/>
          <w:color w:val="auto"/>
          <w:lang w:eastAsia="es-MX"/>
        </w:rPr>
      </w:pPr>
    </w:p>
    <w:p w14:paraId="0CF6E381"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76828E8C" w14:textId="77777777" w:rsidR="008F69B6" w:rsidRPr="006357A9" w:rsidRDefault="008F69B6" w:rsidP="005076E9">
      <w:pPr>
        <w:spacing w:after="0" w:line="360" w:lineRule="auto"/>
        <w:rPr>
          <w:rFonts w:eastAsia="Palatino Linotype" w:cs="Palatino Linotype"/>
          <w:color w:val="auto"/>
          <w:lang w:eastAsia="es-MX"/>
        </w:rPr>
      </w:pPr>
    </w:p>
    <w:p w14:paraId="09A38407" w14:textId="77777777" w:rsidR="008F69B6" w:rsidRPr="006357A9" w:rsidRDefault="008F69B6" w:rsidP="005076E9">
      <w:pPr>
        <w:numPr>
          <w:ilvl w:val="0"/>
          <w:numId w:val="23"/>
        </w:numPr>
        <w:spacing w:after="0" w:line="360" w:lineRule="auto"/>
        <w:jc w:val="left"/>
        <w:rPr>
          <w:rFonts w:eastAsia="Palatino Linotype" w:cs="Palatino Linotype"/>
          <w:color w:val="auto"/>
          <w:lang w:eastAsia="es-MX"/>
        </w:rPr>
      </w:pPr>
      <w:r w:rsidRPr="006357A9">
        <w:rPr>
          <w:rFonts w:eastAsia="Palatino Linotype" w:cs="Palatino Linotype"/>
          <w:b/>
          <w:bCs/>
          <w:color w:val="auto"/>
          <w:lang w:eastAsia="es-MX"/>
        </w:rPr>
        <w:t>Complejidad del asunto:</w:t>
      </w:r>
      <w:r w:rsidRPr="006357A9">
        <w:rPr>
          <w:rFonts w:eastAsia="Palatino Linotype" w:cs="Palatino Linotype"/>
          <w:color w:val="auto"/>
          <w:lang w:eastAsia="es-MX"/>
        </w:rPr>
        <w:t xml:space="preserve"> La complejidad de la prueba, la pluralidad de sujetos procesales, el tiempo transcurrido, las características y contexto del recurso.</w:t>
      </w:r>
    </w:p>
    <w:p w14:paraId="610CBB0F" w14:textId="77777777" w:rsidR="008F69B6" w:rsidRPr="006357A9" w:rsidRDefault="008F69B6" w:rsidP="005076E9">
      <w:pPr>
        <w:spacing w:after="0" w:line="360" w:lineRule="auto"/>
        <w:rPr>
          <w:rFonts w:eastAsia="Palatino Linotype" w:cs="Palatino Linotype"/>
          <w:color w:val="auto"/>
          <w:lang w:eastAsia="es-MX"/>
        </w:rPr>
      </w:pPr>
    </w:p>
    <w:p w14:paraId="40712955" w14:textId="77777777" w:rsidR="008F69B6" w:rsidRPr="006357A9" w:rsidRDefault="008F69B6" w:rsidP="005076E9">
      <w:pPr>
        <w:numPr>
          <w:ilvl w:val="0"/>
          <w:numId w:val="23"/>
        </w:numPr>
        <w:spacing w:after="0" w:line="360" w:lineRule="auto"/>
        <w:jc w:val="left"/>
        <w:rPr>
          <w:rFonts w:eastAsia="Palatino Linotype" w:cs="Palatino Linotype"/>
          <w:color w:val="auto"/>
          <w:lang w:eastAsia="es-MX"/>
        </w:rPr>
      </w:pPr>
      <w:r w:rsidRPr="006357A9">
        <w:rPr>
          <w:rFonts w:eastAsia="Palatino Linotype" w:cs="Palatino Linotype"/>
          <w:b/>
          <w:bCs/>
          <w:color w:val="auto"/>
          <w:lang w:eastAsia="es-MX"/>
        </w:rPr>
        <w:t>Actividad Procesal del interesado:</w:t>
      </w:r>
      <w:r w:rsidRPr="006357A9">
        <w:rPr>
          <w:rFonts w:eastAsia="Palatino Linotype" w:cs="Palatino Linotype"/>
          <w:color w:val="auto"/>
          <w:lang w:eastAsia="es-MX"/>
        </w:rPr>
        <w:t xml:space="preserve"> Acciones u omisiones del interesado.</w:t>
      </w:r>
    </w:p>
    <w:p w14:paraId="504B7785" w14:textId="77777777" w:rsidR="008F69B6" w:rsidRPr="006357A9" w:rsidRDefault="008F69B6" w:rsidP="005076E9">
      <w:pPr>
        <w:spacing w:after="0" w:line="360" w:lineRule="auto"/>
        <w:rPr>
          <w:rFonts w:eastAsia="Palatino Linotype" w:cs="Palatino Linotype"/>
          <w:color w:val="auto"/>
          <w:lang w:eastAsia="es-MX"/>
        </w:rPr>
      </w:pPr>
    </w:p>
    <w:p w14:paraId="7A351AC1" w14:textId="77777777" w:rsidR="008F69B6" w:rsidRPr="006357A9" w:rsidRDefault="008F69B6" w:rsidP="005076E9">
      <w:pPr>
        <w:numPr>
          <w:ilvl w:val="0"/>
          <w:numId w:val="23"/>
        </w:numPr>
        <w:spacing w:after="0" w:line="360" w:lineRule="auto"/>
        <w:jc w:val="left"/>
        <w:rPr>
          <w:rFonts w:eastAsia="Palatino Linotype" w:cs="Palatino Linotype"/>
          <w:color w:val="auto"/>
          <w:lang w:eastAsia="es-MX"/>
        </w:rPr>
      </w:pPr>
      <w:r w:rsidRPr="006357A9">
        <w:rPr>
          <w:rFonts w:eastAsia="Palatino Linotype" w:cs="Palatino Linotype"/>
          <w:b/>
          <w:bCs/>
          <w:color w:val="auto"/>
          <w:lang w:eastAsia="es-MX"/>
        </w:rPr>
        <w:t>Conducta de la Autoridad:</w:t>
      </w:r>
      <w:r w:rsidRPr="006357A9">
        <w:rPr>
          <w:rFonts w:eastAsia="Palatino Linotype" w:cs="Palatino Linotype"/>
          <w:color w:val="auto"/>
          <w:lang w:eastAsia="es-MX"/>
        </w:rPr>
        <w:t xml:space="preserve"> Las Acciones u omisiones realizadas en el procedimiento. Así como si la autoridad actuó con la debida diligencia.</w:t>
      </w:r>
    </w:p>
    <w:p w14:paraId="62505E77" w14:textId="77777777" w:rsidR="008F69B6" w:rsidRPr="006357A9" w:rsidRDefault="008F69B6" w:rsidP="005076E9">
      <w:pPr>
        <w:spacing w:after="0" w:line="360" w:lineRule="auto"/>
        <w:rPr>
          <w:rFonts w:eastAsia="Palatino Linotype" w:cs="Palatino Linotype"/>
          <w:color w:val="auto"/>
          <w:lang w:eastAsia="es-MX"/>
        </w:rPr>
      </w:pPr>
    </w:p>
    <w:p w14:paraId="4044DAEA" w14:textId="77777777" w:rsidR="008F69B6" w:rsidRPr="006357A9" w:rsidRDefault="008F69B6" w:rsidP="005076E9">
      <w:pPr>
        <w:numPr>
          <w:ilvl w:val="0"/>
          <w:numId w:val="23"/>
        </w:numPr>
        <w:spacing w:after="0" w:line="360" w:lineRule="auto"/>
        <w:jc w:val="left"/>
        <w:rPr>
          <w:rFonts w:eastAsia="Palatino Linotype" w:cs="Palatino Linotype"/>
          <w:color w:val="auto"/>
          <w:lang w:eastAsia="es-MX"/>
        </w:rPr>
      </w:pPr>
      <w:r w:rsidRPr="006357A9">
        <w:rPr>
          <w:rFonts w:eastAsia="Palatino Linotype" w:cs="Palatino Linotype"/>
          <w:b/>
          <w:bCs/>
          <w:color w:val="auto"/>
          <w:lang w:eastAsia="es-MX"/>
        </w:rPr>
        <w:t>La afectación generada en la situación jurídica de la persona involucrada en el proceso:</w:t>
      </w:r>
      <w:r w:rsidRPr="006357A9">
        <w:rPr>
          <w:rFonts w:eastAsia="Palatino Linotype" w:cs="Palatino Linotype"/>
          <w:color w:val="auto"/>
          <w:lang w:eastAsia="es-MX"/>
        </w:rPr>
        <w:t xml:space="preserve"> Violación a sus derechos humanos.</w:t>
      </w:r>
    </w:p>
    <w:p w14:paraId="2C8F1B20" w14:textId="77777777" w:rsidR="008F69B6" w:rsidRPr="006357A9" w:rsidRDefault="008F69B6" w:rsidP="005076E9">
      <w:pPr>
        <w:spacing w:after="0" w:line="360" w:lineRule="auto"/>
        <w:rPr>
          <w:rFonts w:eastAsia="Palatino Linotype" w:cs="Palatino Linotype"/>
          <w:color w:val="auto"/>
          <w:lang w:eastAsia="es-MX"/>
        </w:rPr>
      </w:pPr>
    </w:p>
    <w:p w14:paraId="0910657B"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11E4C4" w14:textId="77777777" w:rsidR="008F69B6" w:rsidRPr="006357A9" w:rsidRDefault="008F69B6" w:rsidP="005076E9">
      <w:pPr>
        <w:spacing w:after="0" w:line="360" w:lineRule="auto"/>
        <w:rPr>
          <w:rFonts w:eastAsia="Palatino Linotype" w:cs="Palatino Linotype"/>
          <w:color w:val="auto"/>
          <w:lang w:eastAsia="es-MX"/>
        </w:rPr>
      </w:pPr>
    </w:p>
    <w:p w14:paraId="2A821F2D"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lastRenderedPageBreak/>
        <w:t>Argumento que encuentra sustento en la jurisprudencia P./J. 32/92 emitida por el Pleno de la Suprema Corte de Justicia de la Nación de rubro “</w:t>
      </w:r>
      <w:r w:rsidRPr="006357A9">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6357A9">
        <w:rPr>
          <w:rFonts w:eastAsia="Palatino Linotype" w:cs="Palatino Linotype"/>
          <w:color w:val="auto"/>
          <w:lang w:eastAsia="es-MX"/>
        </w:rPr>
        <w:t>.”, visible en la Gaceta del Seminario Judicial de la Federación con el registro digital 205635.</w:t>
      </w:r>
    </w:p>
    <w:p w14:paraId="5CF2D15F" w14:textId="77777777" w:rsidR="008F69B6" w:rsidRPr="006357A9" w:rsidRDefault="008F69B6" w:rsidP="005076E9">
      <w:pPr>
        <w:spacing w:after="0" w:line="360" w:lineRule="auto"/>
        <w:rPr>
          <w:rFonts w:eastAsia="Palatino Linotype" w:cs="Palatino Linotype"/>
          <w:color w:val="auto"/>
          <w:lang w:eastAsia="es-MX"/>
        </w:rPr>
      </w:pPr>
    </w:p>
    <w:p w14:paraId="6A57030C"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1CE5E3" w14:textId="77777777" w:rsidR="008F69B6" w:rsidRPr="006357A9" w:rsidRDefault="008F69B6" w:rsidP="005076E9">
      <w:pPr>
        <w:spacing w:after="0" w:line="360" w:lineRule="auto"/>
        <w:rPr>
          <w:rFonts w:eastAsia="Palatino Linotype" w:cs="Palatino Linotype"/>
          <w:color w:val="auto"/>
          <w:lang w:eastAsia="es-MX"/>
        </w:rPr>
      </w:pPr>
    </w:p>
    <w:p w14:paraId="1AABF8FA"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14:paraId="527B5B8C" w14:textId="77777777" w:rsidR="008F69B6" w:rsidRPr="006357A9" w:rsidRDefault="008F69B6" w:rsidP="005076E9">
      <w:pPr>
        <w:spacing w:after="0" w:line="360" w:lineRule="auto"/>
        <w:rPr>
          <w:rFonts w:eastAsia="Palatino Linotype" w:cs="Palatino Linotype"/>
          <w:color w:val="auto"/>
          <w:lang w:eastAsia="es-MX"/>
        </w:rPr>
      </w:pPr>
    </w:p>
    <w:p w14:paraId="6173E3B2"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w:t>
      </w:r>
      <w:r w:rsidRPr="006357A9">
        <w:rPr>
          <w:rFonts w:eastAsia="Palatino Linotype" w:cs="Palatino Linotype"/>
          <w:b/>
          <w:bCs/>
          <w:color w:val="auto"/>
          <w:lang w:eastAsia="es-MX"/>
        </w:rPr>
        <w:t>PLAZO RAZONABLE PARA RESOLVER. DIMENSIÓN Y EFECTOS DE ESTE CONCEPTO CUANDO SE ADUCE EXCESIVA CARGA DE TRABAJO</w:t>
      </w:r>
      <w:r w:rsidRPr="006357A9">
        <w:rPr>
          <w:rFonts w:eastAsia="Palatino Linotype" w:cs="Palatino Linotype"/>
          <w:color w:val="auto"/>
          <w:lang w:eastAsia="es-MX"/>
        </w:rPr>
        <w:t>.” consultable en el Seminario Judicial de la Federación y su gaceta, con el registro digital 2002351.</w:t>
      </w:r>
    </w:p>
    <w:p w14:paraId="35F31BB3" w14:textId="77777777" w:rsidR="008F69B6" w:rsidRPr="006357A9" w:rsidRDefault="008F69B6" w:rsidP="005076E9">
      <w:pPr>
        <w:spacing w:after="0" w:line="360" w:lineRule="auto"/>
        <w:rPr>
          <w:rFonts w:eastAsia="Palatino Linotype" w:cs="Palatino Linotype"/>
          <w:color w:val="auto"/>
          <w:lang w:eastAsia="es-MX"/>
        </w:rPr>
      </w:pPr>
    </w:p>
    <w:p w14:paraId="4A7A7B6B"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w:t>
      </w:r>
      <w:r w:rsidRPr="006357A9">
        <w:rPr>
          <w:rFonts w:eastAsia="Palatino Linotype" w:cs="Palatino Linotype"/>
          <w:b/>
          <w:bCs/>
          <w:color w:val="auto"/>
          <w:lang w:eastAsia="es-MX"/>
        </w:rPr>
        <w:t xml:space="preserve">PLAZO RAZONABLE PARA RESOLVER. CONCEPTO Y ELEMENTOS QUE LO INTEGRAN A LA LUZ DEL DERECHO INTERNACIONAL DE LOS DERECHOS </w:t>
      </w:r>
      <w:r w:rsidRPr="006357A9">
        <w:rPr>
          <w:rFonts w:eastAsia="Palatino Linotype" w:cs="Palatino Linotype"/>
          <w:b/>
          <w:bCs/>
          <w:color w:val="auto"/>
          <w:lang w:eastAsia="es-MX"/>
        </w:rPr>
        <w:lastRenderedPageBreak/>
        <w:t>HUMANOS</w:t>
      </w:r>
      <w:r w:rsidRPr="006357A9">
        <w:rPr>
          <w:rFonts w:eastAsia="Palatino Linotype" w:cs="Palatino Linotype"/>
          <w:color w:val="auto"/>
          <w:lang w:eastAsia="es-MX"/>
        </w:rPr>
        <w:t>.”, visible en el Seminario Judicial de la Federación y su gaceta, con el registro digital 2002350.</w:t>
      </w:r>
    </w:p>
    <w:p w14:paraId="57DD8618" w14:textId="77777777" w:rsidR="008F69B6" w:rsidRPr="006357A9" w:rsidRDefault="008F69B6" w:rsidP="005076E9">
      <w:pPr>
        <w:spacing w:after="0" w:line="360" w:lineRule="auto"/>
        <w:rPr>
          <w:rFonts w:eastAsia="Palatino Linotype" w:cs="Palatino Linotype"/>
          <w:color w:val="auto"/>
          <w:lang w:eastAsia="es-MX"/>
        </w:rPr>
      </w:pPr>
    </w:p>
    <w:p w14:paraId="686E38D5" w14:textId="77777777" w:rsidR="008F69B6" w:rsidRPr="006357A9" w:rsidRDefault="008F69B6" w:rsidP="005076E9">
      <w:pPr>
        <w:spacing w:after="0" w:line="360" w:lineRule="auto"/>
        <w:rPr>
          <w:rFonts w:eastAsia="Palatino Linotype" w:cs="Palatino Linotype"/>
          <w:color w:val="auto"/>
          <w:lang w:eastAsia="es-MX"/>
        </w:rPr>
      </w:pPr>
      <w:r w:rsidRPr="006357A9">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14:paraId="35EA4B6F" w14:textId="503D76C8" w:rsidR="004548CD" w:rsidRDefault="004548CD" w:rsidP="005076E9">
      <w:pPr>
        <w:spacing w:after="0" w:line="360" w:lineRule="auto"/>
        <w:rPr>
          <w:rFonts w:eastAsia="Palatino Linotype" w:cs="Palatino Linotype"/>
          <w:b/>
          <w:bCs/>
        </w:rPr>
      </w:pPr>
    </w:p>
    <w:p w14:paraId="39328222" w14:textId="101B81E1" w:rsidR="004548CD" w:rsidRPr="00D81D78" w:rsidRDefault="00505B1F" w:rsidP="005076E9">
      <w:pPr>
        <w:spacing w:after="0" w:line="360" w:lineRule="auto"/>
        <w:rPr>
          <w:rFonts w:eastAsia="Times New Roman" w:cs="Tahoma"/>
          <w:color w:val="auto"/>
          <w:szCs w:val="24"/>
          <w:lang w:eastAsia="es-ES"/>
        </w:rPr>
      </w:pPr>
      <w:r>
        <w:rPr>
          <w:rFonts w:eastAsia="Times New Roman" w:cs="Tahoma"/>
          <w:b/>
          <w:color w:val="auto"/>
          <w:szCs w:val="24"/>
          <w:lang w:eastAsia="es-ES"/>
        </w:rPr>
        <w:t>g</w:t>
      </w:r>
      <w:r w:rsidR="004548CD" w:rsidRPr="00BB7445">
        <w:rPr>
          <w:rFonts w:eastAsia="Times New Roman" w:cs="Tahoma"/>
          <w:b/>
          <w:color w:val="auto"/>
          <w:szCs w:val="24"/>
          <w:lang w:eastAsia="es-ES"/>
        </w:rPr>
        <w:t>) Cierre de instrucción.</w:t>
      </w:r>
      <w:r w:rsidR="004548CD" w:rsidRPr="00BB7445">
        <w:rPr>
          <w:rFonts w:eastAsia="Times New Roman" w:cs="Tahoma"/>
          <w:color w:val="auto"/>
          <w:szCs w:val="24"/>
          <w:lang w:eastAsia="es-ES"/>
        </w:rPr>
        <w:t xml:space="preserve"> </w:t>
      </w:r>
      <w:r w:rsidR="004548CD" w:rsidRPr="00EA6E98">
        <w:rPr>
          <w:rFonts w:eastAsia="Times New Roman" w:cs="Tahoma"/>
          <w:color w:val="auto"/>
          <w:szCs w:val="24"/>
          <w:lang w:eastAsia="es-ES"/>
        </w:rPr>
        <w:t>El</w:t>
      </w:r>
      <w:r w:rsidR="00843AB9">
        <w:rPr>
          <w:rFonts w:eastAsia="Times New Roman" w:cs="Tahoma"/>
          <w:color w:val="auto"/>
          <w:szCs w:val="24"/>
          <w:lang w:eastAsia="es-ES"/>
        </w:rPr>
        <w:t xml:space="preserve"> </w:t>
      </w:r>
      <w:r w:rsidR="0014751C">
        <w:rPr>
          <w:rFonts w:eastAsia="Times New Roman" w:cs="Tahoma"/>
          <w:color w:val="auto"/>
          <w:szCs w:val="24"/>
          <w:lang w:eastAsia="es-ES"/>
        </w:rPr>
        <w:t>seis de marzo</w:t>
      </w:r>
      <w:r w:rsidR="00D81D78">
        <w:rPr>
          <w:rFonts w:eastAsia="Times New Roman" w:cs="Tahoma"/>
          <w:color w:val="auto"/>
          <w:szCs w:val="24"/>
          <w:lang w:eastAsia="es-ES"/>
        </w:rPr>
        <w:t xml:space="preserve"> de dos mil veintitrés</w:t>
      </w:r>
      <w:r w:rsidR="004548CD" w:rsidRPr="00BB7445">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4109D6">
        <w:rPr>
          <w:rFonts w:eastAsia="Palatino Linotype" w:cs="Palatino Linotype"/>
          <w:lang w:val="es-ES"/>
        </w:rPr>
        <w:t xml:space="preserve">acto que fue notificado a las partes, </w:t>
      </w:r>
      <w:r w:rsidR="0014751C">
        <w:rPr>
          <w:rFonts w:eastAsia="Palatino Linotype" w:cs="Palatino Linotype"/>
          <w:lang w:val="es-ES"/>
        </w:rPr>
        <w:t xml:space="preserve">el mismo día, </w:t>
      </w:r>
      <w:r w:rsidR="004548CD" w:rsidRPr="004109D6">
        <w:rPr>
          <w:rFonts w:eastAsia="Palatino Linotype" w:cs="Palatino Linotype"/>
          <w:lang w:val="es-ES"/>
        </w:rPr>
        <w:t>mediante el Sistema de Acceso a la Información Mexiquense (SAIMEX</w:t>
      </w:r>
      <w:r w:rsidR="004548CD" w:rsidRPr="00D9260D">
        <w:rPr>
          <w:rFonts w:eastAsia="Palatino Linotype" w:cs="Palatino Linotype"/>
          <w:lang w:val="es-ES"/>
        </w:rPr>
        <w:t>)</w:t>
      </w:r>
      <w:r w:rsidR="00D81D78">
        <w:rPr>
          <w:rFonts w:eastAsia="Palatino Linotype" w:cs="Palatino Linotype"/>
          <w:lang w:val="es-ES"/>
        </w:rPr>
        <w:t>.</w:t>
      </w:r>
    </w:p>
    <w:p w14:paraId="61B73302" w14:textId="77777777" w:rsidR="004548CD" w:rsidRDefault="004548CD" w:rsidP="005076E9">
      <w:pPr>
        <w:spacing w:after="0" w:line="360" w:lineRule="auto"/>
        <w:rPr>
          <w:rFonts w:eastAsia="Times New Roman" w:cs="Tahoma"/>
          <w:color w:val="auto"/>
          <w:szCs w:val="24"/>
          <w:lang w:eastAsia="es-ES"/>
        </w:rPr>
      </w:pPr>
    </w:p>
    <w:p w14:paraId="5795BBB6" w14:textId="77777777" w:rsidR="00C853D1" w:rsidRPr="000E7D3A" w:rsidRDefault="00C853D1" w:rsidP="005076E9">
      <w:pPr>
        <w:spacing w:after="0" w:line="360" w:lineRule="auto"/>
        <w:rPr>
          <w:rFonts w:eastAsia="Times New Roman" w:cs="Tahoma"/>
          <w:color w:val="auto"/>
          <w:szCs w:val="24"/>
          <w:lang w:eastAsia="es-ES"/>
        </w:rPr>
      </w:pPr>
      <w:r w:rsidRPr="000E7D3A">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B377FD" w:rsidRDefault="00C853D1" w:rsidP="005076E9">
      <w:pPr>
        <w:spacing w:after="0" w:line="360" w:lineRule="auto"/>
        <w:rPr>
          <w:rFonts w:eastAsia="Times New Roman" w:cs="Tahoma"/>
          <w:bCs/>
          <w:iCs/>
          <w:color w:val="auto"/>
          <w:lang w:val="es-ES" w:eastAsia="es-ES"/>
        </w:rPr>
      </w:pPr>
    </w:p>
    <w:p w14:paraId="4647AD46" w14:textId="77777777" w:rsidR="00C853D1" w:rsidRPr="00B377FD" w:rsidRDefault="00C853D1" w:rsidP="005076E9">
      <w:pPr>
        <w:spacing w:after="0" w:line="360" w:lineRule="auto"/>
        <w:jc w:val="center"/>
        <w:rPr>
          <w:rFonts w:eastAsia="Times New Roman" w:cs="Tahoma"/>
          <w:b/>
          <w:color w:val="auto"/>
          <w:lang w:val="es-ES" w:eastAsia="es-ES"/>
        </w:rPr>
      </w:pPr>
      <w:r w:rsidRPr="00B377FD">
        <w:rPr>
          <w:rFonts w:eastAsia="Times New Roman" w:cs="Tahoma"/>
          <w:b/>
          <w:color w:val="auto"/>
          <w:lang w:val="es-ES" w:eastAsia="es-ES"/>
        </w:rPr>
        <w:t>C O N S I D E R A N D O S:</w:t>
      </w:r>
    </w:p>
    <w:p w14:paraId="46CF2E78" w14:textId="77777777" w:rsidR="00C853D1" w:rsidRPr="00B377FD" w:rsidRDefault="00C853D1" w:rsidP="005076E9">
      <w:pPr>
        <w:spacing w:after="0" w:line="360" w:lineRule="auto"/>
        <w:rPr>
          <w:b/>
        </w:rPr>
      </w:pPr>
    </w:p>
    <w:p w14:paraId="15369BD8" w14:textId="77777777" w:rsidR="00C853D1" w:rsidRPr="00B377FD" w:rsidRDefault="00C853D1" w:rsidP="005076E9">
      <w:pPr>
        <w:autoSpaceDE w:val="0"/>
        <w:autoSpaceDN w:val="0"/>
        <w:adjustRightInd w:val="0"/>
        <w:spacing w:after="0" w:line="360" w:lineRule="auto"/>
        <w:rPr>
          <w:rFonts w:eastAsia="Times New Roman" w:cs="Tahoma"/>
          <w:b/>
          <w:color w:val="auto"/>
          <w:szCs w:val="24"/>
          <w:lang w:val="es-ES" w:eastAsia="es-ES"/>
        </w:rPr>
      </w:pPr>
      <w:r w:rsidRPr="00B377FD">
        <w:rPr>
          <w:rFonts w:eastAsia="Calibri" w:cs="Tahoma"/>
          <w:b/>
          <w:color w:val="000000"/>
          <w:szCs w:val="24"/>
          <w:lang w:val="es-ES" w:eastAsia="es-MX"/>
        </w:rPr>
        <w:t>PRIMERO</w:t>
      </w:r>
      <w:r w:rsidRPr="00B377FD">
        <w:rPr>
          <w:rFonts w:eastAsia="Calibri" w:cs="Tahoma"/>
          <w:color w:val="000000"/>
          <w:szCs w:val="24"/>
          <w:lang w:val="es-ES" w:eastAsia="es-MX"/>
        </w:rPr>
        <w:t xml:space="preserve">. </w:t>
      </w:r>
      <w:r w:rsidRPr="00B377FD">
        <w:rPr>
          <w:rFonts w:eastAsia="Times New Roman" w:cs="Tahoma"/>
          <w:b/>
          <w:color w:val="auto"/>
          <w:szCs w:val="24"/>
          <w:lang w:val="es-ES" w:eastAsia="es-ES"/>
        </w:rPr>
        <w:t>Competencia.</w:t>
      </w:r>
    </w:p>
    <w:p w14:paraId="6B0576AC" w14:textId="77777777" w:rsidR="00C853D1" w:rsidRPr="00B377FD" w:rsidRDefault="00C853D1" w:rsidP="005076E9">
      <w:pPr>
        <w:autoSpaceDE w:val="0"/>
        <w:autoSpaceDN w:val="0"/>
        <w:adjustRightInd w:val="0"/>
        <w:spacing w:after="0" w:line="360" w:lineRule="auto"/>
        <w:rPr>
          <w:rFonts w:eastAsia="Times New Roman" w:cs="Tahoma"/>
          <w:b/>
          <w:color w:val="auto"/>
          <w:szCs w:val="24"/>
          <w:lang w:val="es-ES" w:eastAsia="es-ES"/>
        </w:rPr>
      </w:pPr>
    </w:p>
    <w:p w14:paraId="4BA69015" w14:textId="35F4A5AE" w:rsidR="00C853D1" w:rsidRPr="00837E85" w:rsidRDefault="00C853D1" w:rsidP="005076E9">
      <w:pPr>
        <w:spacing w:after="0" w:line="360" w:lineRule="auto"/>
        <w:rPr>
          <w:rFonts w:eastAsia="Times New Roman" w:cs="Tahoma"/>
          <w:bCs/>
          <w:color w:val="auto"/>
          <w:lang w:eastAsia="es-ES"/>
        </w:rPr>
      </w:pPr>
      <w:r w:rsidRPr="00837E85">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682222">
        <w:rPr>
          <w:rFonts w:eastAsia="Times New Roman" w:cs="Tahoma"/>
          <w:bCs/>
          <w:color w:val="auto"/>
          <w:lang w:eastAsia="es-ES"/>
        </w:rPr>
        <w:t>trig</w:t>
      </w:r>
      <w:r w:rsidR="00682222">
        <w:rPr>
          <w:rFonts w:eastAsia="Times New Roman" w:cs="Tahoma"/>
          <w:bCs/>
          <w:color w:val="auto"/>
          <w:lang w:val="x-none" w:eastAsia="es-ES"/>
        </w:rPr>
        <w:t>ésimo, trigésimo primero</w:t>
      </w:r>
      <w:r w:rsidRPr="00837E85">
        <w:rPr>
          <w:rFonts w:eastAsia="Times New Roman" w:cs="Tahoma"/>
          <w:bCs/>
          <w:color w:val="auto"/>
          <w:lang w:eastAsia="es-ES"/>
        </w:rPr>
        <w:t xml:space="preserve"> y trigésimo </w:t>
      </w:r>
      <w:r w:rsidR="00682222">
        <w:rPr>
          <w:rFonts w:eastAsia="Times New Roman" w:cs="Tahoma"/>
          <w:bCs/>
          <w:color w:val="auto"/>
          <w:lang w:eastAsia="es-ES"/>
        </w:rPr>
        <w:t>segundo</w:t>
      </w:r>
      <w:r w:rsidRPr="00837E85">
        <w:rPr>
          <w:rFonts w:eastAsia="Times New Roman" w:cs="Tahoma"/>
          <w:bCs/>
          <w:color w:val="auto"/>
          <w:lang w:eastAsia="es-ES"/>
        </w:rPr>
        <w:t xml:space="preserve">, fracciones I, II, III, IV y V de la </w:t>
      </w:r>
      <w:r w:rsidRPr="00837E85">
        <w:rPr>
          <w:rFonts w:eastAsia="Times New Roman" w:cs="Tahoma"/>
          <w:bCs/>
          <w:color w:val="auto"/>
          <w:lang w:eastAsia="es-ES"/>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37E85">
        <w:rPr>
          <w:rFonts w:eastAsia="Times New Roman" w:cs="Times New Roman"/>
          <w:bCs/>
          <w:color w:val="auto"/>
          <w:lang w:eastAsia="es-ES"/>
        </w:rPr>
        <w:t xml:space="preserve"> 7°, </w:t>
      </w:r>
      <w:r w:rsidRPr="00837E85">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B377FD" w:rsidRDefault="00C853D1" w:rsidP="005076E9">
      <w:pPr>
        <w:spacing w:after="0" w:line="360" w:lineRule="auto"/>
        <w:rPr>
          <w:rFonts w:eastAsia="Times New Roman" w:cs="Tahoma"/>
          <w:bCs/>
          <w:color w:val="auto"/>
          <w:lang w:eastAsia="es-ES"/>
        </w:rPr>
      </w:pPr>
    </w:p>
    <w:p w14:paraId="1CEE0B22" w14:textId="77777777" w:rsidR="00C853D1" w:rsidRPr="00B377FD" w:rsidRDefault="00C853D1" w:rsidP="005076E9">
      <w:pPr>
        <w:autoSpaceDE w:val="0"/>
        <w:autoSpaceDN w:val="0"/>
        <w:adjustRightInd w:val="0"/>
        <w:spacing w:after="0" w:line="360" w:lineRule="auto"/>
        <w:rPr>
          <w:rFonts w:eastAsia="Times New Roman" w:cs="Tahoma"/>
          <w:color w:val="auto"/>
          <w:szCs w:val="24"/>
          <w:lang w:val="es-ES" w:eastAsia="es-ES"/>
        </w:rPr>
      </w:pPr>
      <w:r w:rsidRPr="00B377FD">
        <w:rPr>
          <w:rFonts w:eastAsia="Calibri" w:cs="Tahoma"/>
          <w:b/>
          <w:color w:val="000000"/>
          <w:szCs w:val="24"/>
          <w:lang w:val="es-ES" w:eastAsia="es-MX"/>
        </w:rPr>
        <w:t>SEGUNDO</w:t>
      </w:r>
      <w:r w:rsidRPr="00B377FD">
        <w:rPr>
          <w:rFonts w:eastAsia="Calibri" w:cs="Tahoma"/>
          <w:color w:val="000000"/>
          <w:szCs w:val="24"/>
          <w:lang w:val="es-ES" w:eastAsia="es-MX"/>
        </w:rPr>
        <w:t xml:space="preserve">. </w:t>
      </w:r>
      <w:r w:rsidRPr="00B377FD">
        <w:rPr>
          <w:rFonts w:eastAsia="Times New Roman" w:cs="Tahoma"/>
          <w:b/>
          <w:color w:val="auto"/>
          <w:szCs w:val="24"/>
          <w:lang w:val="es-ES" w:eastAsia="es-ES"/>
        </w:rPr>
        <w:t>Causales de improcedencia y sobreseimiento.</w:t>
      </w:r>
      <w:r w:rsidRPr="00B377FD">
        <w:rPr>
          <w:rFonts w:eastAsia="Times New Roman" w:cs="Tahoma"/>
          <w:color w:val="auto"/>
          <w:szCs w:val="24"/>
          <w:lang w:val="es-ES" w:eastAsia="es-ES"/>
        </w:rPr>
        <w:t xml:space="preserve"> </w:t>
      </w:r>
    </w:p>
    <w:p w14:paraId="732DCB46" w14:textId="77777777" w:rsidR="00C853D1" w:rsidRPr="00B377FD" w:rsidRDefault="00C853D1" w:rsidP="005076E9">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B377FD" w:rsidRDefault="00C853D1" w:rsidP="005076E9">
      <w:pPr>
        <w:autoSpaceDE w:val="0"/>
        <w:autoSpaceDN w:val="0"/>
        <w:adjustRightInd w:val="0"/>
        <w:spacing w:after="0" w:line="360" w:lineRule="auto"/>
        <w:rPr>
          <w:rFonts w:eastAsia="Times New Roman" w:cs="Tahoma"/>
          <w:color w:val="auto"/>
          <w:szCs w:val="24"/>
          <w:lang w:val="es-ES" w:eastAsia="es-ES"/>
        </w:rPr>
      </w:pPr>
      <w:r w:rsidRPr="00B377FD">
        <w:rPr>
          <w:rFonts w:eastAsia="Times New Roman" w:cs="Tahoma"/>
          <w:color w:val="auto"/>
          <w:szCs w:val="24"/>
          <w:lang w:val="es-ES" w:eastAsia="es-ES"/>
        </w:rPr>
        <w:t xml:space="preserve">De las constancias que forma parte del Recurso de Revisión que se analiza, se advierte que previo al estudio del fondo de la </w:t>
      </w:r>
      <w:r w:rsidRPr="00B377FD">
        <w:rPr>
          <w:rFonts w:eastAsia="Times New Roman" w:cs="Tahoma"/>
          <w:i/>
          <w:color w:val="auto"/>
          <w:szCs w:val="24"/>
          <w:lang w:val="es-ES" w:eastAsia="es-ES"/>
        </w:rPr>
        <w:t>litis</w:t>
      </w:r>
      <w:r w:rsidRPr="00B377FD">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B377FD" w:rsidRDefault="00C853D1" w:rsidP="005076E9">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B377FD" w:rsidRDefault="00C853D1" w:rsidP="005076E9">
      <w:pPr>
        <w:autoSpaceDE w:val="0"/>
        <w:autoSpaceDN w:val="0"/>
        <w:adjustRightInd w:val="0"/>
        <w:spacing w:after="0" w:line="360" w:lineRule="auto"/>
        <w:rPr>
          <w:rFonts w:eastAsia="Calibri" w:cs="Tahoma"/>
          <w:color w:val="000000"/>
          <w:szCs w:val="24"/>
          <w:lang w:val="es-ES" w:eastAsia="es-MX"/>
        </w:rPr>
      </w:pPr>
      <w:r w:rsidRPr="00B377FD">
        <w:rPr>
          <w:rFonts w:eastAsia="Calibri" w:cs="Tahoma"/>
          <w:b/>
          <w:color w:val="000000"/>
          <w:szCs w:val="24"/>
          <w:lang w:val="es-ES" w:eastAsia="es-MX"/>
        </w:rPr>
        <w:t>Causales de improcedencia.</w:t>
      </w:r>
      <w:r w:rsidRPr="00B377FD">
        <w:rPr>
          <w:rFonts w:eastAsia="Calibri" w:cs="Tahoma"/>
          <w:color w:val="000000"/>
          <w:szCs w:val="24"/>
          <w:lang w:val="es-ES" w:eastAsia="es-MX"/>
        </w:rPr>
        <w:t xml:space="preserve"> </w:t>
      </w:r>
    </w:p>
    <w:p w14:paraId="61973DFD" w14:textId="77777777" w:rsidR="00C853D1" w:rsidRPr="00B377FD" w:rsidRDefault="00C853D1" w:rsidP="005076E9">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B377FD" w:rsidRDefault="00C853D1" w:rsidP="005076E9">
      <w:pPr>
        <w:autoSpaceDE w:val="0"/>
        <w:autoSpaceDN w:val="0"/>
        <w:adjustRightInd w:val="0"/>
        <w:spacing w:after="0" w:line="360" w:lineRule="auto"/>
        <w:rPr>
          <w:rFonts w:eastAsia="Calibri" w:cs="Tahoma"/>
          <w:color w:val="000000"/>
          <w:lang w:val="es-ES" w:eastAsia="es-MX"/>
        </w:rPr>
      </w:pPr>
      <w:r w:rsidRPr="00B377FD">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377FD">
        <w:rPr>
          <w:rFonts w:eastAsia="Calibri" w:cs="Tahoma"/>
          <w:b/>
          <w:bCs/>
          <w:color w:val="000000"/>
          <w:lang w:eastAsia="es-MX"/>
        </w:rPr>
        <w:t xml:space="preserve"> </w:t>
      </w:r>
      <w:r w:rsidRPr="00B377FD">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B377FD" w:rsidRDefault="00C853D1" w:rsidP="005076E9">
      <w:pPr>
        <w:autoSpaceDE w:val="0"/>
        <w:autoSpaceDN w:val="0"/>
        <w:adjustRightInd w:val="0"/>
        <w:spacing w:after="0" w:line="360" w:lineRule="auto"/>
        <w:rPr>
          <w:rFonts w:eastAsia="Calibri" w:cs="Tahoma"/>
          <w:color w:val="000000"/>
          <w:lang w:eastAsia="es-MX"/>
        </w:rPr>
      </w:pPr>
    </w:p>
    <w:p w14:paraId="0EA74A57" w14:textId="77777777" w:rsidR="00C853D1" w:rsidRPr="00B377FD" w:rsidRDefault="00C853D1" w:rsidP="005076E9">
      <w:pPr>
        <w:autoSpaceDE w:val="0"/>
        <w:autoSpaceDN w:val="0"/>
        <w:adjustRightInd w:val="0"/>
        <w:spacing w:after="0" w:line="360" w:lineRule="auto"/>
        <w:rPr>
          <w:rFonts w:eastAsia="Calibri" w:cs="Tahoma"/>
          <w:color w:val="000000"/>
          <w:lang w:eastAsia="es-MX"/>
        </w:rPr>
      </w:pPr>
      <w:r w:rsidRPr="00B377FD">
        <w:rPr>
          <w:rFonts w:eastAsia="Calibri" w:cs="Tahoma"/>
          <w:color w:val="000000"/>
          <w:lang w:eastAsia="es-MX"/>
        </w:rPr>
        <w:t xml:space="preserve">En el presente caso, </w:t>
      </w:r>
      <w:r w:rsidRPr="00B377FD">
        <w:rPr>
          <w:rFonts w:eastAsia="Calibri" w:cs="Tahoma"/>
          <w:b/>
          <w:color w:val="000000"/>
          <w:lang w:eastAsia="es-MX"/>
        </w:rPr>
        <w:t>no se actualiza ninguna de las causales de improcedencia</w:t>
      </w:r>
      <w:r w:rsidRPr="00B377FD">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w:t>
      </w:r>
      <w:r w:rsidRPr="00B377FD">
        <w:rPr>
          <w:rFonts w:eastAsia="Calibri" w:cs="Tahoma"/>
          <w:color w:val="000000"/>
          <w:lang w:eastAsia="es-MX"/>
        </w:rPr>
        <w:lastRenderedPageBreak/>
        <w:t>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B377FD" w:rsidRDefault="00C853D1" w:rsidP="005076E9">
      <w:pPr>
        <w:spacing w:after="0" w:line="360" w:lineRule="auto"/>
        <w:rPr>
          <w:rFonts w:eastAsia="Times New Roman" w:cs="Tahoma"/>
          <w:b/>
          <w:bCs/>
          <w:color w:val="auto"/>
          <w:lang w:eastAsia="es-ES"/>
        </w:rPr>
      </w:pPr>
    </w:p>
    <w:p w14:paraId="18A9A42A" w14:textId="175A7F61" w:rsidR="003E08A6" w:rsidRDefault="00DD116F" w:rsidP="005076E9">
      <w:pPr>
        <w:spacing w:after="0" w:line="360" w:lineRule="auto"/>
        <w:rPr>
          <w:rFonts w:eastAsia="Times New Roman" w:cs="Tahoma"/>
          <w:color w:val="auto"/>
          <w:lang w:eastAsia="es-ES"/>
        </w:rPr>
      </w:pPr>
      <w:r>
        <w:rPr>
          <w:rFonts w:eastAsia="Times New Roman" w:cs="Tahoma"/>
          <w:color w:val="auto"/>
          <w:lang w:eastAsia="es-ES"/>
        </w:rPr>
        <w:t xml:space="preserve">Asimismo, </w:t>
      </w:r>
      <w:r w:rsidR="00C853D1" w:rsidRPr="00554471">
        <w:rPr>
          <w:rFonts w:eastAsia="Times New Roman" w:cs="Tahoma"/>
          <w:color w:val="auto"/>
          <w:lang w:eastAsia="es-ES"/>
        </w:rPr>
        <w:t xml:space="preserve">se actualiza la causal de procedencia del Recurso de Revisión señalada en el artículo 179, </w:t>
      </w:r>
      <w:r w:rsidR="00844545">
        <w:rPr>
          <w:rFonts w:eastAsia="Times New Roman" w:cs="Tahoma"/>
          <w:color w:val="auto"/>
          <w:lang w:eastAsia="es-ES"/>
        </w:rPr>
        <w:t xml:space="preserve">fracción VI, de la Ley de la Materia, ya que el agravio </w:t>
      </w:r>
      <w:r w:rsidR="0030046C">
        <w:rPr>
          <w:rFonts w:eastAsia="Times New Roman" w:cs="Tahoma"/>
          <w:color w:val="auto"/>
          <w:lang w:eastAsia="es-ES"/>
        </w:rPr>
        <w:t xml:space="preserve">del hoy Recurrente consiste en la entrega </w:t>
      </w:r>
      <w:r w:rsidR="00AE412A">
        <w:rPr>
          <w:rFonts w:eastAsia="Times New Roman" w:cs="Tahoma"/>
          <w:color w:val="auto"/>
          <w:lang w:eastAsia="es-ES"/>
        </w:rPr>
        <w:t xml:space="preserve">de información que no corresponde con lo solicitado. </w:t>
      </w:r>
    </w:p>
    <w:p w14:paraId="3BE072C3" w14:textId="77777777" w:rsidR="003E08A6" w:rsidRDefault="003E08A6" w:rsidP="005076E9">
      <w:pPr>
        <w:spacing w:after="0" w:line="360" w:lineRule="auto"/>
        <w:rPr>
          <w:rFonts w:eastAsia="Times New Roman" w:cs="Tahoma"/>
          <w:color w:val="auto"/>
          <w:lang w:eastAsia="es-ES"/>
        </w:rPr>
      </w:pPr>
    </w:p>
    <w:p w14:paraId="4F973625" w14:textId="77777777" w:rsidR="00C853D1" w:rsidRDefault="00C853D1" w:rsidP="005076E9">
      <w:pPr>
        <w:spacing w:after="0" w:line="360" w:lineRule="auto"/>
        <w:rPr>
          <w:rFonts w:eastAsia="Times New Roman" w:cs="Tahoma"/>
          <w:b/>
          <w:bCs/>
          <w:color w:val="auto"/>
          <w:lang w:eastAsia="es-ES"/>
        </w:rPr>
      </w:pPr>
      <w:r w:rsidRPr="00B377FD">
        <w:rPr>
          <w:rFonts w:eastAsia="Times New Roman" w:cs="Tahoma"/>
          <w:b/>
          <w:bCs/>
          <w:color w:val="auto"/>
          <w:lang w:eastAsia="es-ES"/>
        </w:rPr>
        <w:t>Causales de sobreseimiento.</w:t>
      </w:r>
    </w:p>
    <w:p w14:paraId="3FF75C55" w14:textId="77777777" w:rsidR="00CD573E" w:rsidRPr="00B377FD" w:rsidRDefault="00CD573E" w:rsidP="005076E9">
      <w:pPr>
        <w:spacing w:after="0" w:line="360" w:lineRule="auto"/>
        <w:rPr>
          <w:rFonts w:eastAsia="Times New Roman" w:cs="Tahoma"/>
          <w:b/>
          <w:bCs/>
          <w:color w:val="auto"/>
          <w:lang w:eastAsia="es-ES"/>
        </w:rPr>
      </w:pPr>
    </w:p>
    <w:p w14:paraId="77050B85" w14:textId="77777777" w:rsidR="00C853D1" w:rsidRPr="00B377FD" w:rsidRDefault="00C853D1" w:rsidP="005076E9">
      <w:pPr>
        <w:spacing w:after="0" w:line="360" w:lineRule="auto"/>
        <w:rPr>
          <w:rFonts w:eastAsia="Times New Roman" w:cs="Tahoma"/>
          <w:color w:val="auto"/>
          <w:szCs w:val="24"/>
          <w:lang w:eastAsia="es-ES"/>
        </w:rPr>
      </w:pPr>
      <w:r w:rsidRPr="00B377FD">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B377FD" w:rsidRDefault="00C853D1" w:rsidP="005076E9">
      <w:pPr>
        <w:spacing w:after="0" w:line="360" w:lineRule="auto"/>
        <w:rPr>
          <w:rFonts w:eastAsia="Times New Roman" w:cs="Tahoma"/>
          <w:color w:val="auto"/>
          <w:szCs w:val="24"/>
          <w:lang w:eastAsia="es-ES"/>
        </w:rPr>
      </w:pPr>
    </w:p>
    <w:p w14:paraId="3929C861" w14:textId="77777777" w:rsidR="00C853D1" w:rsidRPr="00B377FD" w:rsidRDefault="00C853D1" w:rsidP="005076E9">
      <w:pPr>
        <w:spacing w:after="0" w:line="360" w:lineRule="auto"/>
        <w:rPr>
          <w:rFonts w:eastAsia="Times New Roman" w:cs="Tahoma"/>
          <w:color w:val="auto"/>
          <w:szCs w:val="24"/>
          <w:lang w:eastAsia="es-ES"/>
        </w:rPr>
      </w:pPr>
      <w:r w:rsidRPr="00B377FD">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B377FD" w:rsidRDefault="00C853D1" w:rsidP="005076E9">
      <w:pPr>
        <w:spacing w:after="0" w:line="360" w:lineRule="auto"/>
        <w:rPr>
          <w:rFonts w:eastAsia="Times New Roman" w:cs="Tahoma"/>
          <w:color w:val="auto"/>
          <w:szCs w:val="24"/>
          <w:lang w:eastAsia="es-ES"/>
        </w:rPr>
      </w:pPr>
    </w:p>
    <w:p w14:paraId="75DA7F11" w14:textId="77777777" w:rsidR="00C853D1" w:rsidRDefault="00C853D1" w:rsidP="005076E9">
      <w:pPr>
        <w:spacing w:after="0" w:line="360" w:lineRule="auto"/>
        <w:rPr>
          <w:rFonts w:eastAsia="Times New Roman" w:cs="Tahoma"/>
          <w:color w:val="auto"/>
          <w:szCs w:val="24"/>
          <w:lang w:val="es-ES" w:eastAsia="es-ES"/>
        </w:rPr>
      </w:pPr>
      <w:r w:rsidRPr="00B377FD">
        <w:rPr>
          <w:rFonts w:eastAsia="Times New Roman" w:cs="Tahoma"/>
          <w:bCs/>
          <w:color w:val="auto"/>
          <w:szCs w:val="24"/>
          <w:lang w:val="es-ES" w:eastAsia="es-ES"/>
        </w:rPr>
        <w:t xml:space="preserve">Por tales motivos, </w:t>
      </w:r>
      <w:r w:rsidRPr="00B377FD">
        <w:rPr>
          <w:rFonts w:eastAsia="Times New Roman" w:cs="Tahoma"/>
          <w:color w:val="auto"/>
          <w:szCs w:val="24"/>
          <w:lang w:val="es-ES" w:eastAsia="es-ES"/>
        </w:rPr>
        <w:t>se considera procedente entrar al fondo del presente asunto</w:t>
      </w:r>
      <w:r>
        <w:rPr>
          <w:rFonts w:eastAsia="Times New Roman" w:cs="Tahoma"/>
          <w:color w:val="auto"/>
          <w:szCs w:val="24"/>
          <w:lang w:val="es-ES" w:eastAsia="es-ES"/>
        </w:rPr>
        <w:t>.</w:t>
      </w:r>
    </w:p>
    <w:p w14:paraId="5A499E5E" w14:textId="77777777" w:rsidR="00C853D1" w:rsidRPr="00B377FD" w:rsidRDefault="00C853D1" w:rsidP="005076E9">
      <w:pPr>
        <w:spacing w:after="0" w:line="360" w:lineRule="auto"/>
      </w:pPr>
    </w:p>
    <w:p w14:paraId="554D6B44" w14:textId="77777777" w:rsidR="00C853D1" w:rsidRPr="00B377FD" w:rsidRDefault="00C853D1" w:rsidP="005076E9">
      <w:pPr>
        <w:spacing w:after="0" w:line="360" w:lineRule="auto"/>
        <w:rPr>
          <w:rFonts w:eastAsia="Times New Roman" w:cs="Tahoma"/>
          <w:b/>
          <w:bCs/>
          <w:iCs/>
          <w:color w:val="auto"/>
          <w:lang w:val="es-ES" w:eastAsia="es-ES"/>
        </w:rPr>
      </w:pPr>
      <w:r w:rsidRPr="00B377FD">
        <w:rPr>
          <w:rFonts w:eastAsia="Times New Roman" w:cs="Tahoma"/>
          <w:b/>
          <w:bCs/>
          <w:iCs/>
          <w:color w:val="auto"/>
          <w:lang w:val="es-ES" w:eastAsia="es-ES"/>
        </w:rPr>
        <w:t xml:space="preserve">TERCERO. Determinación de la Controversia. </w:t>
      </w:r>
    </w:p>
    <w:p w14:paraId="1618F7DB" w14:textId="77777777" w:rsidR="00C853D1" w:rsidRDefault="00C853D1" w:rsidP="005076E9">
      <w:pPr>
        <w:autoSpaceDE w:val="0"/>
        <w:autoSpaceDN w:val="0"/>
        <w:adjustRightInd w:val="0"/>
        <w:spacing w:after="0" w:line="360" w:lineRule="auto"/>
        <w:rPr>
          <w:rFonts w:eastAsia="Calibri" w:cs="Tahoma"/>
          <w:color w:val="000000"/>
          <w:szCs w:val="24"/>
          <w:lang w:val="es-ES" w:eastAsia="es-MX"/>
        </w:rPr>
      </w:pPr>
    </w:p>
    <w:p w14:paraId="20B7074D" w14:textId="77777777" w:rsidR="00934D92" w:rsidRDefault="00CD573E" w:rsidP="005076E9">
      <w:pPr>
        <w:autoSpaceDE w:val="0"/>
        <w:autoSpaceDN w:val="0"/>
        <w:adjustRightInd w:val="0"/>
        <w:spacing w:after="0" w:line="360" w:lineRule="auto"/>
        <w:rPr>
          <w:rFonts w:eastAsia="Calibri" w:cs="Tahoma"/>
          <w:color w:val="000000"/>
          <w:szCs w:val="24"/>
          <w:lang w:val="es-ES" w:eastAsia="es-MX"/>
        </w:rPr>
      </w:pPr>
      <w:r>
        <w:rPr>
          <w:rFonts w:eastAsia="Calibri" w:cs="Tahoma"/>
          <w:color w:val="000000"/>
          <w:szCs w:val="24"/>
          <w:lang w:val="es-ES" w:eastAsia="es-MX"/>
        </w:rPr>
        <w:lastRenderedPageBreak/>
        <w:t xml:space="preserve">Una vez realizado el estudio de las constancias que obran en el expediente electrónico en el que se actúa, se advierte que el Solicitante </w:t>
      </w:r>
      <w:r w:rsidR="00934D92">
        <w:rPr>
          <w:rFonts w:eastAsia="Calibri" w:cs="Tahoma"/>
          <w:color w:val="000000"/>
          <w:szCs w:val="24"/>
          <w:lang w:val="es-ES" w:eastAsia="es-MX"/>
        </w:rPr>
        <w:t>requirió el l</w:t>
      </w:r>
      <w:r w:rsidR="00934D92" w:rsidRPr="00934D92">
        <w:rPr>
          <w:rFonts w:eastAsia="Calibri" w:cs="Tahoma"/>
          <w:color w:val="000000"/>
          <w:szCs w:val="24"/>
          <w:lang w:val="es-ES" w:eastAsia="es-MX"/>
        </w:rPr>
        <w:t>istado numerado de plazas de base y confianza que conforman la administración 2022-2024</w:t>
      </w:r>
      <w:r w:rsidR="00934D92">
        <w:rPr>
          <w:rFonts w:eastAsia="Calibri" w:cs="Tahoma"/>
          <w:color w:val="000000"/>
          <w:szCs w:val="24"/>
          <w:lang w:val="es-ES" w:eastAsia="es-MX"/>
        </w:rPr>
        <w:t>, que contenga:</w:t>
      </w:r>
    </w:p>
    <w:p w14:paraId="18718C11" w14:textId="77777777" w:rsidR="00934D92" w:rsidRDefault="00934D92" w:rsidP="005076E9">
      <w:pPr>
        <w:autoSpaceDE w:val="0"/>
        <w:autoSpaceDN w:val="0"/>
        <w:adjustRightInd w:val="0"/>
        <w:spacing w:after="0" w:line="360" w:lineRule="auto"/>
        <w:rPr>
          <w:rFonts w:eastAsia="Calibri" w:cs="Tahoma"/>
          <w:color w:val="000000"/>
          <w:szCs w:val="24"/>
          <w:lang w:val="es-ES" w:eastAsia="es-MX"/>
        </w:rPr>
      </w:pPr>
    </w:p>
    <w:p w14:paraId="2FC17F75" w14:textId="77777777" w:rsidR="00934D92" w:rsidRDefault="00934D92" w:rsidP="005076E9">
      <w:pPr>
        <w:pStyle w:val="Prrafodelista"/>
        <w:numPr>
          <w:ilvl w:val="0"/>
          <w:numId w:val="32"/>
        </w:numPr>
        <w:autoSpaceDE w:val="0"/>
        <w:autoSpaceDN w:val="0"/>
        <w:adjustRightInd w:val="0"/>
        <w:spacing w:line="360" w:lineRule="auto"/>
        <w:rPr>
          <w:rFonts w:eastAsia="Calibri" w:cs="Tahoma"/>
          <w:color w:val="000000"/>
          <w:lang w:val="es-ES" w:eastAsia="es-MX"/>
        </w:rPr>
      </w:pPr>
      <w:r w:rsidRPr="00934D92">
        <w:rPr>
          <w:rFonts w:eastAsia="Calibri" w:cs="Tahoma"/>
          <w:color w:val="000000"/>
          <w:lang w:val="es-ES" w:eastAsia="es-MX"/>
        </w:rPr>
        <w:t xml:space="preserve">nombre completo, </w:t>
      </w:r>
    </w:p>
    <w:p w14:paraId="10B8C5A8" w14:textId="77777777" w:rsidR="00934D92" w:rsidRDefault="00934D92" w:rsidP="005076E9">
      <w:pPr>
        <w:pStyle w:val="Prrafodelista"/>
        <w:numPr>
          <w:ilvl w:val="0"/>
          <w:numId w:val="32"/>
        </w:numPr>
        <w:autoSpaceDE w:val="0"/>
        <w:autoSpaceDN w:val="0"/>
        <w:adjustRightInd w:val="0"/>
        <w:spacing w:line="360" w:lineRule="auto"/>
        <w:rPr>
          <w:rFonts w:eastAsia="Calibri" w:cs="Tahoma"/>
          <w:color w:val="000000"/>
          <w:lang w:val="es-ES" w:eastAsia="es-MX"/>
        </w:rPr>
      </w:pPr>
      <w:r w:rsidRPr="00934D92">
        <w:rPr>
          <w:rFonts w:eastAsia="Calibri" w:cs="Tahoma"/>
          <w:color w:val="000000"/>
          <w:lang w:val="es-ES" w:eastAsia="es-MX"/>
        </w:rPr>
        <w:t xml:space="preserve">tipo de plaza, </w:t>
      </w:r>
    </w:p>
    <w:p w14:paraId="1B618884" w14:textId="77777777" w:rsidR="00934D92" w:rsidRDefault="00934D92" w:rsidP="005076E9">
      <w:pPr>
        <w:pStyle w:val="Prrafodelista"/>
        <w:numPr>
          <w:ilvl w:val="0"/>
          <w:numId w:val="32"/>
        </w:numPr>
        <w:autoSpaceDE w:val="0"/>
        <w:autoSpaceDN w:val="0"/>
        <w:adjustRightInd w:val="0"/>
        <w:spacing w:line="360" w:lineRule="auto"/>
        <w:rPr>
          <w:rFonts w:eastAsia="Calibri" w:cs="Tahoma"/>
          <w:color w:val="000000"/>
          <w:lang w:val="es-ES" w:eastAsia="es-MX"/>
        </w:rPr>
      </w:pPr>
      <w:r w:rsidRPr="00934D92">
        <w:rPr>
          <w:rFonts w:eastAsia="Calibri" w:cs="Tahoma"/>
          <w:color w:val="000000"/>
          <w:lang w:val="es-ES" w:eastAsia="es-MX"/>
        </w:rPr>
        <w:t xml:space="preserve">sueldo neto quincenal y mensual, </w:t>
      </w:r>
    </w:p>
    <w:p w14:paraId="4C7D98CE" w14:textId="10FB4C14" w:rsidR="000712BC" w:rsidRPr="003E6F3C" w:rsidRDefault="00934D92" w:rsidP="005076E9">
      <w:pPr>
        <w:pStyle w:val="Prrafodelista"/>
        <w:numPr>
          <w:ilvl w:val="0"/>
          <w:numId w:val="32"/>
        </w:numPr>
        <w:autoSpaceDE w:val="0"/>
        <w:autoSpaceDN w:val="0"/>
        <w:adjustRightInd w:val="0"/>
        <w:spacing w:line="360" w:lineRule="auto"/>
        <w:rPr>
          <w:rFonts w:eastAsia="Calibri" w:cs="Tahoma"/>
          <w:color w:val="000000"/>
          <w:lang w:val="es-ES" w:eastAsia="es-MX"/>
        </w:rPr>
      </w:pPr>
      <w:r w:rsidRPr="003E6F3C">
        <w:rPr>
          <w:rFonts w:eastAsia="Calibri" w:cs="Tahoma"/>
          <w:color w:val="000000"/>
          <w:lang w:val="es-ES" w:eastAsia="es-MX"/>
        </w:rPr>
        <w:t>cargo, área y departamento de adscripción</w:t>
      </w:r>
      <w:r w:rsidR="00831DCB" w:rsidRPr="003E6F3C">
        <w:rPr>
          <w:rFonts w:eastAsia="Calibri" w:cs="Tahoma"/>
          <w:color w:val="000000"/>
          <w:lang w:eastAsia="es-MX"/>
        </w:rPr>
        <w:t xml:space="preserve">. </w:t>
      </w:r>
    </w:p>
    <w:p w14:paraId="25610337" w14:textId="77777777" w:rsidR="000712BC" w:rsidRDefault="000712BC" w:rsidP="005076E9">
      <w:pPr>
        <w:autoSpaceDE w:val="0"/>
        <w:autoSpaceDN w:val="0"/>
        <w:adjustRightInd w:val="0"/>
        <w:spacing w:after="0" w:line="360" w:lineRule="auto"/>
        <w:rPr>
          <w:rFonts w:eastAsia="Calibri" w:cs="Tahoma"/>
          <w:color w:val="000000"/>
          <w:szCs w:val="24"/>
          <w:lang w:val="es-ES" w:eastAsia="es-MX"/>
        </w:rPr>
      </w:pPr>
    </w:p>
    <w:p w14:paraId="754CF746" w14:textId="47E02D57" w:rsidR="009039E9" w:rsidRDefault="000741C1" w:rsidP="005076E9">
      <w:pPr>
        <w:autoSpaceDE w:val="0"/>
        <w:autoSpaceDN w:val="0"/>
        <w:adjustRightInd w:val="0"/>
        <w:spacing w:after="0" w:line="360" w:lineRule="auto"/>
        <w:rPr>
          <w:rFonts w:eastAsia="Calibri" w:cs="Tahoma"/>
          <w:color w:val="000000"/>
          <w:szCs w:val="24"/>
          <w:lang w:val="es-ES" w:eastAsia="es-MX"/>
        </w:rPr>
      </w:pPr>
      <w:r>
        <w:rPr>
          <w:rFonts w:eastAsia="Calibri" w:cs="Tahoma"/>
          <w:color w:val="000000"/>
          <w:szCs w:val="24"/>
          <w:lang w:val="es-ES" w:eastAsia="es-MX"/>
        </w:rPr>
        <w:t>En respuesta, el Sujeto Obligado</w:t>
      </w:r>
      <w:r w:rsidR="00837782">
        <w:rPr>
          <w:rFonts w:eastAsia="Calibri" w:cs="Tahoma"/>
          <w:color w:val="000000"/>
          <w:szCs w:val="24"/>
          <w:lang w:val="es-ES" w:eastAsia="es-MX"/>
        </w:rPr>
        <w:t xml:space="preserve">, señaló que </w:t>
      </w:r>
      <w:r w:rsidR="00C26FD0">
        <w:rPr>
          <w:rFonts w:eastAsia="Calibri" w:cs="Tahoma"/>
          <w:color w:val="000000"/>
          <w:szCs w:val="24"/>
          <w:lang w:val="es-ES" w:eastAsia="es-MX"/>
        </w:rPr>
        <w:t>la totalidad de la información requerida se encontraba publicada en su portal de IPOMEX, por lo que, proporcionó la liga electrónica</w:t>
      </w:r>
      <w:r w:rsidR="00A17AE2">
        <w:rPr>
          <w:rFonts w:eastAsia="Calibri" w:cs="Tahoma"/>
          <w:color w:val="000000"/>
          <w:szCs w:val="24"/>
          <w:lang w:val="es-ES" w:eastAsia="es-MX"/>
        </w:rPr>
        <w:t xml:space="preserve">. </w:t>
      </w:r>
      <w:r w:rsidR="004746C7">
        <w:rPr>
          <w:rFonts w:eastAsia="Calibri" w:cs="Tahoma"/>
          <w:color w:val="000000"/>
          <w:szCs w:val="24"/>
          <w:lang w:val="es-ES" w:eastAsia="es-MX"/>
        </w:rPr>
        <w:t>Ante dicha circunstancia, el Particular interpuso el presente Recurso de Revisión</w:t>
      </w:r>
      <w:r w:rsidR="00994D88">
        <w:rPr>
          <w:rFonts w:eastAsia="Calibri" w:cs="Tahoma"/>
          <w:color w:val="000000"/>
          <w:szCs w:val="24"/>
          <w:lang w:val="es-ES" w:eastAsia="es-MX"/>
        </w:rPr>
        <w:t>, cuyo agravio consiste en la entrega de información que no corresponde con lo solicitado</w:t>
      </w:r>
      <w:r w:rsidR="00795053">
        <w:rPr>
          <w:rFonts w:eastAsia="Calibri" w:cs="Tahoma"/>
          <w:color w:val="000000"/>
          <w:szCs w:val="24"/>
          <w:lang w:val="es-ES" w:eastAsia="es-MX"/>
        </w:rPr>
        <w:t>, circunstancia que actualiza la causal de procedencia prevista en la fracción VI</w:t>
      </w:r>
      <w:r w:rsidR="00317038">
        <w:rPr>
          <w:rFonts w:eastAsia="Calibri" w:cs="Tahoma"/>
          <w:color w:val="000000"/>
          <w:szCs w:val="24"/>
          <w:lang w:val="es-ES" w:eastAsia="es-MX"/>
        </w:rPr>
        <w:t>,</w:t>
      </w:r>
      <w:r w:rsidR="00795053">
        <w:rPr>
          <w:rFonts w:eastAsia="Calibri" w:cs="Tahoma"/>
          <w:color w:val="000000"/>
          <w:szCs w:val="24"/>
          <w:lang w:val="es-ES" w:eastAsia="es-MX"/>
        </w:rPr>
        <w:t xml:space="preserve"> del artículo 179 de la Ley de Transparencia y Acceso a la Información Pública del Estado de México y Municipios. </w:t>
      </w:r>
      <w:r w:rsidR="009039E9">
        <w:rPr>
          <w:rFonts w:eastAsia="Calibri" w:cs="Tahoma"/>
          <w:color w:val="000000"/>
          <w:szCs w:val="24"/>
          <w:lang w:val="es-ES" w:eastAsia="es-MX"/>
        </w:rPr>
        <w:t>Así las cosas</w:t>
      </w:r>
      <w:r w:rsidR="00D93C01">
        <w:rPr>
          <w:rFonts w:eastAsia="Calibri" w:cs="Tahoma"/>
          <w:color w:val="000000"/>
          <w:szCs w:val="24"/>
          <w:lang w:val="es-ES" w:eastAsia="es-MX"/>
        </w:rPr>
        <w:t xml:space="preserve">, una vez admitido y notificado a las partes el </w:t>
      </w:r>
      <w:r w:rsidR="007A4020">
        <w:rPr>
          <w:rFonts w:eastAsia="Calibri" w:cs="Tahoma"/>
          <w:color w:val="000000"/>
          <w:szCs w:val="24"/>
          <w:lang w:val="es-ES" w:eastAsia="es-MX"/>
        </w:rPr>
        <w:t xml:space="preserve">Medio de Impugnación, el Sujeto Obligado </w:t>
      </w:r>
      <w:r w:rsidR="00E40924">
        <w:rPr>
          <w:rFonts w:eastAsia="Calibri" w:cs="Tahoma"/>
          <w:color w:val="000000"/>
          <w:szCs w:val="24"/>
          <w:lang w:val="es-ES" w:eastAsia="es-MX"/>
        </w:rPr>
        <w:t>y el Recurrente fueron omisos en presentar Informe Justificado o realizar manifestaciones</w:t>
      </w:r>
      <w:r w:rsidR="007A4020">
        <w:rPr>
          <w:rFonts w:eastAsia="Calibri" w:cs="Tahoma"/>
          <w:color w:val="000000"/>
          <w:szCs w:val="24"/>
          <w:lang w:val="es-ES" w:eastAsia="es-MX"/>
        </w:rPr>
        <w:t>.</w:t>
      </w:r>
    </w:p>
    <w:p w14:paraId="2035FC5E" w14:textId="77777777" w:rsidR="009039E9" w:rsidRDefault="009039E9" w:rsidP="005076E9">
      <w:pPr>
        <w:autoSpaceDE w:val="0"/>
        <w:autoSpaceDN w:val="0"/>
        <w:adjustRightInd w:val="0"/>
        <w:spacing w:after="0" w:line="360" w:lineRule="auto"/>
        <w:rPr>
          <w:rFonts w:eastAsia="Calibri" w:cs="Tahoma"/>
          <w:color w:val="000000"/>
          <w:szCs w:val="24"/>
          <w:lang w:val="es-ES" w:eastAsia="es-MX"/>
        </w:rPr>
      </w:pPr>
    </w:p>
    <w:p w14:paraId="47A7D7E9" w14:textId="6C7DE3F0" w:rsidR="00C853D1" w:rsidRDefault="00C853D1" w:rsidP="005076E9">
      <w:pPr>
        <w:spacing w:after="0" w:line="360" w:lineRule="auto"/>
      </w:pPr>
      <w:r w:rsidRPr="00B377FD">
        <w:t xml:space="preserve">Lo anterior, se desprende de las documentales que obran en el expediente de referencia, materia de la presente Resolución, consistentes en: la solicitud de acceso a </w:t>
      </w:r>
      <w:r>
        <w:t>la información; l</w:t>
      </w:r>
      <w:r w:rsidR="005F303A">
        <w:t>a respuesta del Sujeto Obligado;</w:t>
      </w:r>
      <w:r>
        <w:t xml:space="preserve"> </w:t>
      </w:r>
      <w:r w:rsidRPr="00B377FD">
        <w:rPr>
          <w:bCs/>
        </w:rPr>
        <w:t xml:space="preserve">el </w:t>
      </w:r>
      <w:r w:rsidRPr="00B377FD">
        <w:t>escrito recursal</w:t>
      </w:r>
      <w:r>
        <w:t xml:space="preserve"> y</w:t>
      </w:r>
      <w:r w:rsidRPr="00B377FD">
        <w:t xml:space="preserve"> </w:t>
      </w:r>
      <w:r w:rsidR="005F303A">
        <w:t>el desahogo del requerimiento de información adicional p</w:t>
      </w:r>
      <w:r>
        <w:t xml:space="preserve">or el Sujeto Obligado, </w:t>
      </w:r>
      <w:r w:rsidRPr="00B377FD">
        <w:t>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B377FD" w:rsidRDefault="00C853D1" w:rsidP="005076E9">
      <w:pPr>
        <w:spacing w:after="0" w:line="360" w:lineRule="auto"/>
      </w:pPr>
    </w:p>
    <w:p w14:paraId="4AD760E5" w14:textId="77777777" w:rsidR="00C853D1" w:rsidRPr="00B377FD" w:rsidRDefault="00C853D1" w:rsidP="005076E9">
      <w:pPr>
        <w:spacing w:after="0" w:line="360" w:lineRule="auto"/>
        <w:rPr>
          <w:rFonts w:eastAsia="Times New Roman" w:cs="Tahoma"/>
          <w:b/>
          <w:bCs/>
          <w:iCs/>
          <w:color w:val="auto"/>
          <w:lang w:eastAsia="es-ES"/>
        </w:rPr>
      </w:pPr>
      <w:r w:rsidRPr="00B377FD">
        <w:rPr>
          <w:rFonts w:eastAsia="Times New Roman" w:cs="Tahoma"/>
          <w:b/>
          <w:bCs/>
          <w:iCs/>
          <w:color w:val="auto"/>
          <w:lang w:val="es-ES" w:eastAsia="es-ES"/>
        </w:rPr>
        <w:lastRenderedPageBreak/>
        <w:t xml:space="preserve">CUARTO. </w:t>
      </w:r>
      <w:r w:rsidRPr="00B377FD">
        <w:rPr>
          <w:rFonts w:eastAsia="Times New Roman" w:cs="Tahoma"/>
          <w:b/>
          <w:bCs/>
          <w:iCs/>
          <w:color w:val="auto"/>
          <w:lang w:eastAsia="es-ES"/>
        </w:rPr>
        <w:t>Marco normativo aplicable en materia de transparencia y acceso a la información pública.</w:t>
      </w:r>
    </w:p>
    <w:p w14:paraId="43AD0F27" w14:textId="77777777" w:rsidR="00C853D1" w:rsidRPr="00B377FD" w:rsidRDefault="00C853D1" w:rsidP="005076E9">
      <w:pPr>
        <w:spacing w:after="0" w:line="360" w:lineRule="auto"/>
        <w:rPr>
          <w:rFonts w:eastAsia="Times New Roman" w:cs="Tahoma"/>
          <w:b/>
          <w:bCs/>
          <w:iCs/>
          <w:color w:val="auto"/>
          <w:lang w:eastAsia="es-ES"/>
        </w:rPr>
      </w:pPr>
    </w:p>
    <w:p w14:paraId="612B1C77"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B377FD" w:rsidRDefault="00C853D1" w:rsidP="005076E9">
      <w:pPr>
        <w:spacing w:after="0" w:line="360" w:lineRule="auto"/>
        <w:rPr>
          <w:rFonts w:eastAsia="Times New Roman" w:cs="Tahoma"/>
          <w:bCs/>
          <w:iCs/>
          <w:color w:val="auto"/>
          <w:lang w:eastAsia="es-ES"/>
        </w:rPr>
      </w:pPr>
    </w:p>
    <w:p w14:paraId="0629EDEA"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B377FD" w:rsidRDefault="00C853D1" w:rsidP="005076E9">
      <w:pPr>
        <w:spacing w:after="0" w:line="360" w:lineRule="auto"/>
        <w:rPr>
          <w:rFonts w:eastAsia="Times New Roman" w:cs="Tahoma"/>
          <w:bCs/>
          <w:iCs/>
          <w:color w:val="auto"/>
          <w:lang w:eastAsia="es-ES"/>
        </w:rPr>
      </w:pPr>
    </w:p>
    <w:p w14:paraId="2E116B44"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B377FD" w:rsidRDefault="00C853D1" w:rsidP="005076E9">
      <w:pPr>
        <w:spacing w:after="0" w:line="360" w:lineRule="auto"/>
        <w:rPr>
          <w:rFonts w:eastAsia="Times New Roman" w:cs="Tahoma"/>
          <w:bCs/>
          <w:iCs/>
          <w:color w:val="auto"/>
          <w:lang w:eastAsia="es-ES"/>
        </w:rPr>
      </w:pPr>
    </w:p>
    <w:p w14:paraId="39E7B3D5"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B377FD" w:rsidRDefault="00C853D1" w:rsidP="005076E9">
      <w:pPr>
        <w:spacing w:after="0" w:line="360" w:lineRule="auto"/>
        <w:rPr>
          <w:rFonts w:eastAsia="Times New Roman" w:cs="Tahoma"/>
          <w:bCs/>
          <w:iCs/>
          <w:color w:val="auto"/>
          <w:lang w:eastAsia="es-ES"/>
        </w:rPr>
      </w:pPr>
    </w:p>
    <w:p w14:paraId="33BD459A"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El artículo 12, que, quienes generen, recopilen, administren, manejen, procesen, archiven o conserven información pública serán responsables de la misma.</w:t>
      </w:r>
    </w:p>
    <w:p w14:paraId="7F23F258" w14:textId="77777777" w:rsidR="00C853D1" w:rsidRPr="00B377FD" w:rsidRDefault="00C853D1" w:rsidP="005076E9">
      <w:pPr>
        <w:spacing w:after="0" w:line="360" w:lineRule="auto"/>
        <w:rPr>
          <w:rFonts w:eastAsia="Times New Roman" w:cs="Tahoma"/>
          <w:bCs/>
          <w:iCs/>
          <w:color w:val="auto"/>
          <w:lang w:eastAsia="es-ES"/>
        </w:rPr>
      </w:pPr>
    </w:p>
    <w:p w14:paraId="21150C29"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B377FD" w:rsidRDefault="00C853D1" w:rsidP="005076E9">
      <w:pPr>
        <w:spacing w:after="0" w:line="360" w:lineRule="auto"/>
        <w:rPr>
          <w:rFonts w:eastAsia="Times New Roman" w:cs="Tahoma"/>
          <w:bCs/>
          <w:iCs/>
          <w:color w:val="auto"/>
          <w:lang w:eastAsia="es-ES"/>
        </w:rPr>
      </w:pPr>
    </w:p>
    <w:p w14:paraId="391D3BDE" w14:textId="77777777" w:rsidR="00C853D1" w:rsidRPr="00B377FD" w:rsidRDefault="00C853D1" w:rsidP="005076E9">
      <w:pPr>
        <w:spacing w:after="0" w:line="360" w:lineRule="auto"/>
        <w:rPr>
          <w:rFonts w:eastAsia="Times New Roman" w:cs="Tahoma"/>
          <w:bCs/>
          <w:iCs/>
          <w:color w:val="auto"/>
          <w:lang w:eastAsia="es-ES"/>
        </w:rPr>
      </w:pPr>
      <w:r w:rsidRPr="00B377FD">
        <w:rPr>
          <w:rFonts w:eastAsia="Times New Roman" w:cs="Tahoma"/>
          <w:bCs/>
          <w:iCs/>
          <w:color w:val="auto"/>
          <w:lang w:eastAsia="es-E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B377FD" w:rsidRDefault="00C853D1" w:rsidP="005076E9">
      <w:pPr>
        <w:spacing w:after="0" w:line="360" w:lineRule="auto"/>
        <w:rPr>
          <w:rFonts w:eastAsia="Times New Roman" w:cs="Tahoma"/>
          <w:b/>
          <w:bCs/>
          <w:iCs/>
          <w:color w:val="auto"/>
          <w:lang w:val="es-ES" w:eastAsia="es-ES"/>
        </w:rPr>
      </w:pPr>
    </w:p>
    <w:p w14:paraId="4CD9F9A9" w14:textId="05781225" w:rsidR="00C853D1" w:rsidRDefault="00001E43" w:rsidP="005076E9">
      <w:pPr>
        <w:spacing w:after="0" w:line="360" w:lineRule="auto"/>
        <w:rPr>
          <w:rFonts w:eastAsia="Times New Roman" w:cs="Tahoma"/>
          <w:b/>
          <w:bCs/>
          <w:iCs/>
          <w:color w:val="auto"/>
          <w:lang w:val="es-ES" w:eastAsia="es-ES"/>
        </w:rPr>
      </w:pPr>
      <w:r>
        <w:rPr>
          <w:rFonts w:eastAsia="Times New Roman" w:cs="Tahoma"/>
          <w:b/>
          <w:bCs/>
          <w:iCs/>
          <w:color w:val="auto"/>
          <w:lang w:val="es-ES" w:eastAsia="es-ES"/>
        </w:rPr>
        <w:t>QUINTO</w:t>
      </w:r>
      <w:r w:rsidR="00C853D1" w:rsidRPr="00B377FD">
        <w:rPr>
          <w:rFonts w:eastAsia="Times New Roman" w:cs="Tahoma"/>
          <w:b/>
          <w:bCs/>
          <w:iCs/>
          <w:color w:val="auto"/>
          <w:lang w:val="es-ES" w:eastAsia="es-ES"/>
        </w:rPr>
        <w:t>. Estudio de Fondo.</w:t>
      </w:r>
    </w:p>
    <w:p w14:paraId="614B9665" w14:textId="5578038A" w:rsidR="00C853D1" w:rsidRDefault="00C853D1" w:rsidP="005076E9">
      <w:pPr>
        <w:spacing w:after="0" w:line="360" w:lineRule="auto"/>
        <w:rPr>
          <w:rFonts w:eastAsia="Times New Roman" w:cs="Tahoma"/>
          <w:iCs/>
          <w:color w:val="auto"/>
          <w:lang w:val="es-ES" w:eastAsia="es-ES"/>
        </w:rPr>
      </w:pPr>
    </w:p>
    <w:p w14:paraId="23508299" w14:textId="77777777" w:rsidR="00F83F04" w:rsidRPr="00F83F04" w:rsidRDefault="00F83F04" w:rsidP="005076E9">
      <w:pPr>
        <w:spacing w:after="0" w:line="360" w:lineRule="auto"/>
        <w:rPr>
          <w:rFonts w:eastAsia="Times New Roman" w:cs="Times New Roman"/>
          <w:color w:val="auto"/>
          <w:szCs w:val="20"/>
          <w:lang w:eastAsia="es-ES"/>
        </w:rPr>
      </w:pPr>
      <w:r w:rsidRPr="00F83F04">
        <w:rPr>
          <w:rFonts w:eastAsia="Times New Roman" w:cs="Times New Roman"/>
          <w:color w:val="auto"/>
          <w:szCs w:val="20"/>
          <w:lang w:eastAsia="es-ES"/>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62AEF25C" w14:textId="77777777" w:rsidR="00F83F04" w:rsidRPr="00F83F04" w:rsidRDefault="00F83F04" w:rsidP="005076E9">
      <w:pPr>
        <w:spacing w:after="0" w:line="360" w:lineRule="auto"/>
        <w:rPr>
          <w:rFonts w:eastAsia="Times New Roman" w:cs="Times New Roman"/>
          <w:color w:val="auto"/>
          <w:szCs w:val="20"/>
          <w:lang w:eastAsia="es-ES"/>
        </w:rPr>
      </w:pPr>
    </w:p>
    <w:p w14:paraId="6C9497E6" w14:textId="77777777" w:rsidR="00F83F04" w:rsidRPr="00F83F04" w:rsidRDefault="00F83F04" w:rsidP="005076E9">
      <w:pPr>
        <w:numPr>
          <w:ilvl w:val="0"/>
          <w:numId w:val="34"/>
        </w:numPr>
        <w:spacing w:after="0" w:line="360" w:lineRule="auto"/>
        <w:contextualSpacing/>
        <w:jc w:val="left"/>
        <w:rPr>
          <w:rFonts w:eastAsia="Times New Roman" w:cs="Times New Roman"/>
          <w:color w:val="auto"/>
          <w:lang w:eastAsia="es-ES"/>
        </w:rPr>
      </w:pPr>
      <w:r w:rsidRPr="00F83F04">
        <w:rPr>
          <w:rFonts w:eastAsia="Times New Roman" w:cs="Times New Roman"/>
          <w:color w:val="auto"/>
          <w:lang w:eastAsia="es-ES"/>
        </w:rPr>
        <w:t>Proveer lo necesario para garantizar a toda persona el derecho de acceso a la información pública, a través de procedimientos sencillos, expeditos, oportunos y gratuitos;</w:t>
      </w:r>
    </w:p>
    <w:p w14:paraId="1B9442A6" w14:textId="77777777" w:rsidR="00F83F04" w:rsidRPr="00F83F04" w:rsidRDefault="00F83F04" w:rsidP="005076E9">
      <w:pPr>
        <w:spacing w:after="0" w:line="360" w:lineRule="auto"/>
        <w:ind w:left="720"/>
        <w:contextualSpacing/>
        <w:rPr>
          <w:rFonts w:eastAsia="Times New Roman" w:cs="Times New Roman"/>
          <w:color w:val="auto"/>
          <w:lang w:eastAsia="es-ES"/>
        </w:rPr>
      </w:pPr>
    </w:p>
    <w:p w14:paraId="21CDA9F5" w14:textId="77777777" w:rsidR="00F83F04" w:rsidRPr="00F83F04" w:rsidRDefault="00F83F04" w:rsidP="005076E9">
      <w:pPr>
        <w:numPr>
          <w:ilvl w:val="0"/>
          <w:numId w:val="34"/>
        </w:numPr>
        <w:spacing w:after="0" w:line="360" w:lineRule="auto"/>
        <w:contextualSpacing/>
        <w:jc w:val="left"/>
        <w:rPr>
          <w:rFonts w:eastAsia="Times New Roman" w:cs="Times New Roman"/>
          <w:color w:val="auto"/>
          <w:lang w:eastAsia="es-ES"/>
        </w:rPr>
      </w:pPr>
      <w:r w:rsidRPr="00F83F04">
        <w:rPr>
          <w:rFonts w:eastAsia="Times New Roman" w:cs="Times New Roman"/>
          <w:color w:val="auto"/>
          <w:lang w:eastAsia="es-ES"/>
        </w:rPr>
        <w:t>Transparentar la gestión pública, mediante la difusión de la información generada por los Sujetos Obligados, y</w:t>
      </w:r>
    </w:p>
    <w:p w14:paraId="69FDD2B3" w14:textId="77777777" w:rsidR="00F83F04" w:rsidRPr="00F83F04" w:rsidRDefault="00F83F04" w:rsidP="005076E9">
      <w:pPr>
        <w:spacing w:after="0" w:line="360" w:lineRule="auto"/>
        <w:rPr>
          <w:rFonts w:eastAsia="Times New Roman" w:cs="Times New Roman"/>
          <w:color w:val="auto"/>
          <w:sz w:val="20"/>
          <w:lang w:eastAsia="es-ES"/>
        </w:rPr>
      </w:pPr>
    </w:p>
    <w:p w14:paraId="49890DCB" w14:textId="77777777" w:rsidR="00F83F04" w:rsidRPr="00F83F04" w:rsidRDefault="00F83F04" w:rsidP="005076E9">
      <w:pPr>
        <w:numPr>
          <w:ilvl w:val="0"/>
          <w:numId w:val="34"/>
        </w:numPr>
        <w:spacing w:after="0" w:line="360" w:lineRule="auto"/>
        <w:contextualSpacing/>
        <w:jc w:val="left"/>
        <w:rPr>
          <w:rFonts w:eastAsia="Times New Roman" w:cs="Times New Roman"/>
          <w:color w:val="auto"/>
          <w:lang w:eastAsia="es-ES"/>
        </w:rPr>
      </w:pPr>
      <w:r w:rsidRPr="00F83F04">
        <w:rPr>
          <w:rFonts w:eastAsia="Times New Roman" w:cs="Times New Roman"/>
          <w:color w:val="auto"/>
          <w:lang w:eastAsia="es-ES"/>
        </w:rPr>
        <w:t>Promover, fomentar y difundir la cultura de la transparencia en el ejercicio de la función pública, el acceso a la información y la participación ciudadana, así como, la rendición de cuentas.</w:t>
      </w:r>
    </w:p>
    <w:p w14:paraId="29E30CC0" w14:textId="77777777" w:rsidR="00F83F04" w:rsidRPr="00F83F04" w:rsidRDefault="00F83F04" w:rsidP="005076E9">
      <w:pPr>
        <w:spacing w:after="0" w:line="360" w:lineRule="auto"/>
        <w:rPr>
          <w:rFonts w:eastAsia="Times New Roman" w:cs="Times New Roman"/>
          <w:color w:val="auto"/>
          <w:sz w:val="20"/>
          <w:lang w:eastAsia="es-ES"/>
        </w:rPr>
      </w:pPr>
    </w:p>
    <w:p w14:paraId="066CD9BA" w14:textId="77777777" w:rsidR="00F83F04" w:rsidRPr="00F83F04" w:rsidRDefault="00F83F04" w:rsidP="005076E9">
      <w:pPr>
        <w:spacing w:after="0" w:line="360" w:lineRule="auto"/>
        <w:rPr>
          <w:rFonts w:eastAsia="Times New Roman" w:cs="Times New Roman"/>
          <w:color w:val="auto"/>
          <w:szCs w:val="20"/>
          <w:lang w:eastAsia="es-ES"/>
        </w:rPr>
      </w:pPr>
      <w:r w:rsidRPr="00F83F04">
        <w:rPr>
          <w:rFonts w:eastAsia="Times New Roman" w:cs="Times New Roman"/>
          <w:color w:val="auto"/>
          <w:szCs w:val="20"/>
          <w:lang w:eastAsia="es-ES"/>
        </w:rPr>
        <w:t xml:space="preserve">Conforme a lo anterior, se deprende que </w:t>
      </w:r>
      <w:r w:rsidRPr="00F83F04">
        <w:rPr>
          <w:rFonts w:eastAsia="Times New Roman" w:cs="Times New Roman"/>
          <w:b/>
          <w:color w:val="auto"/>
          <w:szCs w:val="20"/>
          <w:lang w:eastAsia="es-ES"/>
        </w:rPr>
        <w:t>los objetivos de la Ley de la materia</w:t>
      </w:r>
      <w:r w:rsidRPr="00F83F04">
        <w:rPr>
          <w:rFonts w:eastAsia="Times New Roman" w:cs="Times New Roman"/>
          <w:color w:val="auto"/>
          <w:szCs w:val="20"/>
          <w:lang w:eastAsia="es-ES"/>
        </w:rPr>
        <w:t xml:space="preserve"> son establecer las bases que regirán las formas para garantizar el derecho de acceso a la información, mediante procesos sencillos y expeditos, la promoción, fomento y difusión de la cultura de transparencia </w:t>
      </w:r>
      <w:r w:rsidRPr="00F83F04">
        <w:rPr>
          <w:rFonts w:eastAsia="Times New Roman" w:cs="Times New Roman"/>
          <w:color w:val="auto"/>
          <w:szCs w:val="20"/>
          <w:lang w:eastAsia="es-ES"/>
        </w:rPr>
        <w:lastRenderedPageBreak/>
        <w:t>y la rendición de cuentas, a través del diseño e implementación de políticas públicas y mecanismos que garanticen la publicidad de información oportuna, verificable, comprensible, actualizada y completa.</w:t>
      </w:r>
    </w:p>
    <w:p w14:paraId="18E95BFC" w14:textId="77777777" w:rsidR="00F83F04" w:rsidRPr="00F83F04" w:rsidRDefault="00F83F04" w:rsidP="005076E9">
      <w:pPr>
        <w:spacing w:after="0" w:line="360" w:lineRule="auto"/>
        <w:rPr>
          <w:rFonts w:eastAsia="Times New Roman" w:cs="Times New Roman"/>
          <w:color w:val="auto"/>
          <w:szCs w:val="20"/>
          <w:lang w:eastAsia="es-ES"/>
        </w:rPr>
      </w:pPr>
    </w:p>
    <w:p w14:paraId="4B7A9ADA" w14:textId="77777777" w:rsidR="00F83F04" w:rsidRPr="00F83F04" w:rsidRDefault="00F83F04" w:rsidP="005076E9">
      <w:pPr>
        <w:spacing w:after="0" w:line="360" w:lineRule="auto"/>
        <w:rPr>
          <w:rFonts w:eastAsia="Times New Roman" w:cs="Times New Roman"/>
          <w:color w:val="auto"/>
          <w:szCs w:val="20"/>
          <w:lang w:eastAsia="es-ES"/>
        </w:rPr>
      </w:pPr>
      <w:r w:rsidRPr="00F83F04">
        <w:rPr>
          <w:rFonts w:eastAsia="Times New Roman" w:cs="Times New Roman"/>
          <w:color w:val="auto"/>
          <w:szCs w:val="20"/>
          <w:lang w:eastAsia="es-ES"/>
        </w:rPr>
        <w:t xml:space="preserve">En ese orden de ideas, para la atención de las solicitudes de acceso a la información, debe privilegiarse el </w:t>
      </w:r>
      <w:r w:rsidRPr="00F83F04">
        <w:rPr>
          <w:rFonts w:eastAsia="Times New Roman" w:cs="Times New Roman"/>
          <w:b/>
          <w:color w:val="auto"/>
          <w:szCs w:val="20"/>
          <w:lang w:eastAsia="es-ES"/>
        </w:rPr>
        <w:t>principio de máxima publicidad</w:t>
      </w:r>
      <w:r w:rsidRPr="00F83F04">
        <w:rPr>
          <w:rFonts w:eastAsia="Times New Roman" w:cs="Times New Roman"/>
          <w:color w:val="auto"/>
          <w:szCs w:val="20"/>
          <w:lang w:eastAsia="es-ES"/>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99381E6" w14:textId="77777777" w:rsidR="00F83F04" w:rsidRPr="00F83F04" w:rsidRDefault="00F83F04" w:rsidP="005076E9">
      <w:pPr>
        <w:spacing w:after="0" w:line="360" w:lineRule="auto"/>
        <w:rPr>
          <w:rFonts w:eastAsia="Times New Roman" w:cs="Times New Roman"/>
          <w:color w:val="auto"/>
          <w:szCs w:val="20"/>
          <w:lang w:eastAsia="es-ES"/>
        </w:rPr>
      </w:pPr>
    </w:p>
    <w:p w14:paraId="6AEB3330" w14:textId="77777777" w:rsidR="00F83F04" w:rsidRPr="00F83F04" w:rsidRDefault="00F83F04" w:rsidP="005076E9">
      <w:pPr>
        <w:spacing w:after="0" w:line="360" w:lineRule="auto"/>
        <w:rPr>
          <w:rFonts w:eastAsia="Times New Roman" w:cs="Times New Roman"/>
          <w:color w:val="auto"/>
          <w:szCs w:val="20"/>
          <w:lang w:eastAsia="es-ES"/>
        </w:rPr>
      </w:pPr>
      <w:r w:rsidRPr="00F83F04">
        <w:rPr>
          <w:rFonts w:eastAsia="Times New Roman" w:cs="Times New Roman"/>
          <w:color w:val="auto"/>
          <w:szCs w:val="20"/>
          <w:lang w:eastAsia="es-E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C17A216" w14:textId="77777777" w:rsidR="00F83F04" w:rsidRPr="00F83F04" w:rsidRDefault="00F83F04" w:rsidP="005076E9">
      <w:pPr>
        <w:spacing w:after="0" w:line="360" w:lineRule="auto"/>
        <w:rPr>
          <w:rFonts w:eastAsia="Times New Roman" w:cs="Times New Roman"/>
          <w:color w:val="auto"/>
          <w:szCs w:val="20"/>
          <w:lang w:eastAsia="es-ES"/>
        </w:rPr>
      </w:pPr>
    </w:p>
    <w:p w14:paraId="11B20454" w14:textId="77777777" w:rsidR="00F83F04" w:rsidRPr="00F83F04" w:rsidRDefault="00F83F04" w:rsidP="005076E9">
      <w:pPr>
        <w:numPr>
          <w:ilvl w:val="0"/>
          <w:numId w:val="35"/>
        </w:numPr>
        <w:spacing w:after="0" w:line="360" w:lineRule="auto"/>
        <w:contextualSpacing/>
        <w:rPr>
          <w:rFonts w:eastAsia="Times New Roman" w:cs="Times New Roman"/>
          <w:color w:val="auto"/>
          <w:lang w:eastAsia="es-ES"/>
        </w:rPr>
      </w:pPr>
      <w:r w:rsidRPr="00F83F04">
        <w:rPr>
          <w:rFonts w:eastAsia="Times New Roman" w:cs="Times New Roman"/>
          <w:color w:val="auto"/>
          <w:lang w:eastAsia="es-E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55CD84A" w14:textId="77777777" w:rsidR="00F83F04" w:rsidRPr="00F83F04" w:rsidRDefault="00F83F04" w:rsidP="005076E9">
      <w:pPr>
        <w:spacing w:after="0" w:line="360" w:lineRule="auto"/>
        <w:ind w:left="720"/>
        <w:contextualSpacing/>
        <w:rPr>
          <w:rFonts w:eastAsia="Times New Roman" w:cs="Times New Roman"/>
          <w:color w:val="auto"/>
          <w:lang w:eastAsia="es-ES"/>
        </w:rPr>
      </w:pPr>
    </w:p>
    <w:p w14:paraId="05E27D8E" w14:textId="77777777" w:rsidR="00F83F04" w:rsidRPr="00F83F04" w:rsidRDefault="00F83F04" w:rsidP="005076E9">
      <w:pPr>
        <w:numPr>
          <w:ilvl w:val="0"/>
          <w:numId w:val="33"/>
        </w:numPr>
        <w:spacing w:after="0" w:line="360" w:lineRule="auto"/>
        <w:contextualSpacing/>
        <w:rPr>
          <w:rFonts w:eastAsia="Times New Roman" w:cs="Times New Roman"/>
          <w:color w:val="auto"/>
          <w:lang w:eastAsia="es-ES"/>
        </w:rPr>
      </w:pPr>
      <w:r w:rsidRPr="00F83F04">
        <w:rPr>
          <w:rFonts w:eastAsia="Times New Roman" w:cs="Times New Roman"/>
          <w:color w:val="auto"/>
          <w:lang w:eastAsia="es-E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CF76F00" w14:textId="77777777" w:rsidR="00F83F04" w:rsidRPr="00F83F04" w:rsidRDefault="00F83F04" w:rsidP="005076E9">
      <w:pPr>
        <w:spacing w:after="0" w:line="360" w:lineRule="auto"/>
        <w:ind w:left="720"/>
        <w:contextualSpacing/>
        <w:rPr>
          <w:rFonts w:eastAsia="Times New Roman" w:cs="Times New Roman"/>
          <w:color w:val="auto"/>
          <w:lang w:eastAsia="es-ES"/>
        </w:rPr>
      </w:pPr>
    </w:p>
    <w:p w14:paraId="1B6A389B" w14:textId="77777777" w:rsidR="00F83F04" w:rsidRPr="00F83F04" w:rsidRDefault="00F83F04" w:rsidP="005076E9">
      <w:pPr>
        <w:numPr>
          <w:ilvl w:val="0"/>
          <w:numId w:val="33"/>
        </w:numPr>
        <w:spacing w:after="0" w:line="360" w:lineRule="auto"/>
        <w:contextualSpacing/>
        <w:rPr>
          <w:rFonts w:eastAsia="Times New Roman" w:cs="Times New Roman"/>
          <w:color w:val="auto"/>
          <w:lang w:eastAsia="es-ES"/>
        </w:rPr>
      </w:pPr>
      <w:r w:rsidRPr="00F83F04">
        <w:rPr>
          <w:rFonts w:eastAsia="Times New Roman" w:cs="Times New Roman"/>
          <w:color w:val="auto"/>
          <w:lang w:eastAsia="es-ES"/>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50A5179" w14:textId="77777777" w:rsidR="00F83F04" w:rsidRPr="00F83F04" w:rsidRDefault="00F83F04" w:rsidP="005076E9">
      <w:pPr>
        <w:spacing w:after="0" w:line="360" w:lineRule="auto"/>
        <w:rPr>
          <w:rFonts w:eastAsia="Times New Roman" w:cs="Times New Roman"/>
          <w:color w:val="auto"/>
          <w:sz w:val="20"/>
          <w:lang w:eastAsia="es-ES"/>
        </w:rPr>
      </w:pPr>
    </w:p>
    <w:p w14:paraId="07E46D85" w14:textId="77777777" w:rsidR="00F83F04" w:rsidRPr="00F83F04" w:rsidRDefault="00F83F04" w:rsidP="005076E9">
      <w:pPr>
        <w:numPr>
          <w:ilvl w:val="0"/>
          <w:numId w:val="33"/>
        </w:numPr>
        <w:spacing w:after="0" w:line="360" w:lineRule="auto"/>
        <w:contextualSpacing/>
        <w:rPr>
          <w:rFonts w:eastAsia="Times New Roman" w:cs="Times New Roman"/>
          <w:color w:val="auto"/>
          <w:lang w:eastAsia="es-ES"/>
        </w:rPr>
      </w:pPr>
      <w:r w:rsidRPr="00F83F04">
        <w:rPr>
          <w:rFonts w:eastAsia="Times New Roman" w:cs="Times New Roman"/>
          <w:color w:val="auto"/>
          <w:lang w:eastAsia="es-E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614A43A2" w14:textId="77777777" w:rsidR="00F83F04" w:rsidRPr="00F83F04" w:rsidRDefault="00F83F04" w:rsidP="005076E9">
      <w:pPr>
        <w:spacing w:after="0" w:line="360" w:lineRule="auto"/>
        <w:rPr>
          <w:rFonts w:eastAsia="Times New Roman" w:cs="Times New Roman"/>
          <w:color w:val="auto"/>
          <w:sz w:val="20"/>
          <w:lang w:eastAsia="es-ES"/>
        </w:rPr>
      </w:pPr>
    </w:p>
    <w:p w14:paraId="79118028" w14:textId="77777777" w:rsidR="00F83F04" w:rsidRPr="00F83F04" w:rsidRDefault="00F83F04" w:rsidP="005076E9">
      <w:pPr>
        <w:numPr>
          <w:ilvl w:val="0"/>
          <w:numId w:val="33"/>
        </w:numPr>
        <w:spacing w:after="0" w:line="360" w:lineRule="auto"/>
        <w:contextualSpacing/>
        <w:rPr>
          <w:rFonts w:eastAsia="Times New Roman" w:cs="Times New Roman"/>
          <w:color w:val="auto"/>
          <w:lang w:eastAsia="es-ES"/>
        </w:rPr>
      </w:pPr>
      <w:r w:rsidRPr="00F83F04">
        <w:rPr>
          <w:rFonts w:eastAsia="Times New Roman" w:cs="Times New Roman"/>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2F6E645C" w14:textId="77777777" w:rsidR="00F83F04" w:rsidRPr="00F83F04" w:rsidRDefault="00F83F04" w:rsidP="005076E9">
      <w:pPr>
        <w:spacing w:after="0" w:line="360" w:lineRule="auto"/>
        <w:ind w:right="-93"/>
        <w:rPr>
          <w:rFonts w:eastAsia="Calibri" w:cs="Tahoma"/>
          <w:bCs/>
          <w:color w:val="auto"/>
          <w:lang w:eastAsia="es-ES"/>
        </w:rPr>
      </w:pPr>
    </w:p>
    <w:p w14:paraId="112EF941" w14:textId="77777777" w:rsidR="00F83F04" w:rsidRPr="00F83F04" w:rsidRDefault="00F83F04" w:rsidP="005076E9">
      <w:pPr>
        <w:spacing w:after="0" w:line="360" w:lineRule="auto"/>
        <w:ind w:right="-93"/>
        <w:rPr>
          <w:rFonts w:eastAsia="Calibri" w:cs="Tahoma"/>
          <w:b/>
          <w:bCs/>
          <w:color w:val="auto"/>
          <w:lang w:eastAsia="es-ES"/>
        </w:rPr>
      </w:pPr>
      <w:r w:rsidRPr="00F83F04">
        <w:rPr>
          <w:rFonts w:eastAsia="Calibri" w:cs="Tahoma"/>
          <w:bCs/>
          <w:color w:val="auto"/>
          <w:lang w:eastAsia="es-ES"/>
        </w:rPr>
        <w:t xml:space="preserve">Expuesto lo anterior, es importante precisar que el artículo 4°, párrafo segundo de la Ley de Transparencia y Acceso a la Información Pública del Estado de México y Municipios, </w:t>
      </w:r>
      <w:r w:rsidRPr="00F83F04">
        <w:rPr>
          <w:rFonts w:eastAsia="Calibri" w:cs="Tahoma"/>
          <w:b/>
          <w:color w:val="auto"/>
          <w:lang w:eastAsia="es-ES"/>
        </w:rPr>
        <w:t>señala que toda la información</w:t>
      </w:r>
      <w:r w:rsidRPr="00F83F04">
        <w:rPr>
          <w:rFonts w:eastAsia="Calibri" w:cs="Tahoma"/>
          <w:bCs/>
          <w:color w:val="auto"/>
          <w:lang w:eastAsia="es-ES"/>
        </w:rPr>
        <w:t xml:space="preserve"> </w:t>
      </w:r>
      <w:r w:rsidRPr="00F83F04">
        <w:rPr>
          <w:rFonts w:eastAsia="Calibri" w:cs="Tahoma"/>
          <w:b/>
          <w:color w:val="auto"/>
          <w:lang w:eastAsia="es-ES"/>
        </w:rPr>
        <w:t>generada, obtenida, adquirida, transformada, administrada o en posesión de los Sujetos Obligados es pública y accesible</w:t>
      </w:r>
      <w:r w:rsidRPr="00F83F04">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F83F04">
        <w:rPr>
          <w:rFonts w:eastAsia="Calibri" w:cs="Tahoma"/>
          <w:bCs/>
          <w:color w:val="auto"/>
          <w:lang w:eastAsia="es-ES"/>
        </w:rPr>
        <w:lastRenderedPageBreak/>
        <w:t>clasificada excepcionalmente como reservada temporalmente por razones de interés público, en los términos de las causas legítimas y estrictamente necesarias previstas por esta Ley.</w:t>
      </w:r>
    </w:p>
    <w:p w14:paraId="521CEF9B" w14:textId="77777777" w:rsidR="00F83F04" w:rsidRPr="00F83F04" w:rsidRDefault="00F83F04" w:rsidP="005076E9">
      <w:pPr>
        <w:spacing w:after="0" w:line="360" w:lineRule="auto"/>
        <w:ind w:right="-93"/>
        <w:rPr>
          <w:rFonts w:eastAsia="Calibri" w:cs="Tahoma"/>
          <w:bCs/>
          <w:color w:val="auto"/>
          <w:lang w:eastAsia="es-ES"/>
        </w:rPr>
      </w:pPr>
    </w:p>
    <w:p w14:paraId="3B20E19B" w14:textId="77777777" w:rsidR="00F83F04" w:rsidRPr="00F83F04" w:rsidRDefault="00F83F04" w:rsidP="005076E9">
      <w:pPr>
        <w:spacing w:after="0" w:line="360" w:lineRule="auto"/>
        <w:ind w:right="-28"/>
        <w:rPr>
          <w:rFonts w:eastAsia="Calibri" w:cs="Tahoma"/>
          <w:bCs/>
          <w:color w:val="auto"/>
          <w:lang w:eastAsia="es-ES"/>
        </w:rPr>
      </w:pPr>
      <w:r w:rsidRPr="00F83F04">
        <w:rPr>
          <w:rFonts w:eastAsia="Calibri" w:cs="Tahoma"/>
          <w:bCs/>
          <w:color w:val="auto"/>
          <w:lang w:eastAsia="es-ES"/>
        </w:rPr>
        <w:t xml:space="preserve">En síntesis, el derecho de acceso a la información pública se satisface </w:t>
      </w:r>
      <w:r w:rsidRPr="00F83F04">
        <w:rPr>
          <w:rFonts w:eastAsia="Calibri" w:cs="Tahoma"/>
          <w:bCs/>
          <w:color w:val="auto"/>
          <w:u w:val="single"/>
          <w:lang w:eastAsia="es-ES"/>
        </w:rPr>
        <w:t>en aquellos casos en que se entregue el soporte documental en que conste la información pública, sin la necesidad de elaborar documentos</w:t>
      </w:r>
      <w:r w:rsidRPr="00F83F04">
        <w:rPr>
          <w:rFonts w:eastAsia="Calibri" w:cs="Tahoma"/>
          <w:b/>
          <w:color w:val="auto"/>
          <w:u w:val="single"/>
          <w:lang w:eastAsia="es-ES"/>
        </w:rPr>
        <w:t xml:space="preserve"> </w:t>
      </w:r>
      <w:r w:rsidRPr="00F83F04">
        <w:rPr>
          <w:rFonts w:eastAsia="Calibri" w:cs="Tahoma"/>
          <w:b/>
          <w:i/>
          <w:color w:val="auto"/>
          <w:u w:val="single"/>
          <w:lang w:eastAsia="es-ES"/>
        </w:rPr>
        <w:t>ad hoc</w:t>
      </w:r>
      <w:r w:rsidRPr="00F83F04">
        <w:rPr>
          <w:rFonts w:eastAsia="Calibri" w:cs="Tahoma"/>
          <w:b/>
          <w:color w:val="auto"/>
          <w:lang w:eastAsia="es-ES"/>
        </w:rPr>
        <w:t>;</w:t>
      </w:r>
      <w:r w:rsidRPr="00F83F04">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777BB80B" w14:textId="77777777" w:rsidR="00F83F04" w:rsidRPr="00F83F04" w:rsidRDefault="00F83F04" w:rsidP="005076E9">
      <w:pPr>
        <w:spacing w:after="0" w:line="360" w:lineRule="auto"/>
        <w:ind w:right="-28"/>
        <w:rPr>
          <w:rFonts w:eastAsia="Calibri" w:cs="Tahoma"/>
          <w:bCs/>
          <w:color w:val="auto"/>
          <w:lang w:eastAsia="es-ES"/>
        </w:rPr>
      </w:pPr>
    </w:p>
    <w:p w14:paraId="60507BCD" w14:textId="77777777" w:rsidR="00F83F04" w:rsidRPr="00F83F04" w:rsidRDefault="00F83F04" w:rsidP="005076E9">
      <w:pPr>
        <w:spacing w:after="0" w:line="360" w:lineRule="auto"/>
        <w:ind w:right="-28"/>
        <w:rPr>
          <w:rFonts w:eastAsia="Calibri" w:cs="Tahoma"/>
          <w:b/>
          <w:color w:val="auto"/>
          <w:lang w:eastAsia="es-ES"/>
        </w:rPr>
      </w:pPr>
      <w:r w:rsidRPr="00F83F04">
        <w:rPr>
          <w:rFonts w:eastAsia="Calibri" w:cs="Tahoma"/>
          <w:bCs/>
          <w:color w:val="auto"/>
          <w:lang w:eastAsia="es-ES"/>
        </w:rPr>
        <w:t xml:space="preserve">Asimismo, el artículo 24 de la Ley de la materia, dispone que los Sujetos Obligados sólo proporcionarán la información pública </w:t>
      </w:r>
      <w:r w:rsidRPr="00F83F04">
        <w:rPr>
          <w:rFonts w:eastAsia="Calibri" w:cs="Tahoma"/>
          <w:bCs/>
          <w:color w:val="auto"/>
          <w:u w:val="single"/>
          <w:lang w:eastAsia="es-ES"/>
        </w:rPr>
        <w:t>que generen, administren o posean en el ejercicio de sus atribuciones</w:t>
      </w:r>
      <w:r w:rsidRPr="00F83F04">
        <w:rPr>
          <w:rFonts w:eastAsia="Calibri" w:cs="Tahoma"/>
          <w:b/>
          <w:color w:val="auto"/>
          <w:u w:val="single"/>
          <w:lang w:eastAsia="es-ES"/>
        </w:rPr>
        <w:t>;</w:t>
      </w:r>
      <w:r w:rsidRPr="00F83F04">
        <w:rPr>
          <w:rFonts w:eastAsia="Calibri" w:cs="Tahoma"/>
          <w:bCs/>
          <w:color w:val="auto"/>
          <w:lang w:eastAsia="es-ES"/>
        </w:rPr>
        <w:t xml:space="preserve"> por consiguiente, </w:t>
      </w:r>
      <w:r w:rsidRPr="00F83F04">
        <w:rPr>
          <w:rFonts w:eastAsia="Calibri" w:cs="Tahoma"/>
          <w:b/>
          <w:color w:val="auto"/>
          <w:lang w:eastAsia="es-ES"/>
        </w:rPr>
        <w:t>no deberán atender los requerimientos de información con base en las especificaciones que los Particulares requieran.</w:t>
      </w:r>
    </w:p>
    <w:p w14:paraId="0AAA406B" w14:textId="77777777" w:rsidR="00F83F04" w:rsidRPr="00F83F04" w:rsidRDefault="00F83F04" w:rsidP="005076E9">
      <w:pPr>
        <w:spacing w:after="0" w:line="360" w:lineRule="auto"/>
        <w:ind w:right="-28"/>
        <w:rPr>
          <w:rFonts w:eastAsia="Calibri" w:cs="Tahoma"/>
          <w:b/>
          <w:color w:val="auto"/>
          <w:lang w:eastAsia="es-ES"/>
        </w:rPr>
      </w:pPr>
    </w:p>
    <w:p w14:paraId="4075ED49" w14:textId="751E4713" w:rsidR="00F83F04" w:rsidRDefault="00F83F04" w:rsidP="005076E9">
      <w:pPr>
        <w:spacing w:after="0" w:line="360" w:lineRule="auto"/>
        <w:ind w:right="-93"/>
        <w:rPr>
          <w:rFonts w:eastAsia="Calibri" w:cs="Tahoma"/>
          <w:color w:val="auto"/>
        </w:rPr>
      </w:pPr>
      <w:r w:rsidRPr="00F83F04">
        <w:rPr>
          <w:rFonts w:eastAsia="Calibri" w:cs="Tahoma"/>
          <w:color w:val="auto"/>
        </w:rPr>
        <w:t>Así entonces, de conformidad con lo hasta aquí expuesto, es conducente dividir el estudio de la Presente</w:t>
      </w:r>
      <w:r>
        <w:rPr>
          <w:rFonts w:eastAsia="Calibri" w:cs="Tahoma"/>
          <w:color w:val="auto"/>
        </w:rPr>
        <w:t>,</w:t>
      </w:r>
      <w:r w:rsidRPr="00F83F04">
        <w:rPr>
          <w:rFonts w:eastAsia="Calibri" w:cs="Tahoma"/>
          <w:color w:val="auto"/>
        </w:rPr>
        <w:t xml:space="preserve"> conforme a lo </w:t>
      </w:r>
      <w:r>
        <w:rPr>
          <w:rFonts w:eastAsia="Calibri" w:cs="Tahoma"/>
          <w:color w:val="auto"/>
        </w:rPr>
        <w:t>solicitado:</w:t>
      </w:r>
    </w:p>
    <w:p w14:paraId="0DFAE272" w14:textId="77777777" w:rsidR="00F83F04" w:rsidRDefault="00F83F04" w:rsidP="005076E9">
      <w:pPr>
        <w:spacing w:after="0" w:line="360" w:lineRule="auto"/>
        <w:ind w:right="-93"/>
        <w:rPr>
          <w:rFonts w:eastAsia="Calibri" w:cs="Tahoma"/>
          <w:color w:val="auto"/>
        </w:rPr>
      </w:pPr>
    </w:p>
    <w:p w14:paraId="6CCDDA45" w14:textId="5D5C6E3D" w:rsidR="00F83F04" w:rsidRPr="00F83F04" w:rsidRDefault="009B07EA" w:rsidP="005076E9">
      <w:pPr>
        <w:pStyle w:val="Prrafodelista"/>
        <w:numPr>
          <w:ilvl w:val="0"/>
          <w:numId w:val="36"/>
        </w:numPr>
        <w:spacing w:line="360" w:lineRule="auto"/>
        <w:ind w:right="-93"/>
        <w:rPr>
          <w:rFonts w:eastAsia="Calibri" w:cs="Tahoma"/>
          <w:b/>
          <w:color w:val="auto"/>
        </w:rPr>
      </w:pPr>
      <w:r>
        <w:rPr>
          <w:rFonts w:eastAsia="Calibri" w:cs="Tahoma"/>
          <w:b/>
          <w:color w:val="000000"/>
          <w:lang w:val="es-ES" w:eastAsia="es-MX"/>
        </w:rPr>
        <w:t>L</w:t>
      </w:r>
      <w:r w:rsidR="00F83F04" w:rsidRPr="00F83F04">
        <w:rPr>
          <w:rFonts w:eastAsia="Calibri" w:cs="Tahoma"/>
          <w:b/>
          <w:color w:val="000000"/>
          <w:lang w:val="es-ES" w:eastAsia="es-MX"/>
        </w:rPr>
        <w:t>istado numerado de plazas de base y confianza que conforman la administración 2022-2024</w:t>
      </w:r>
    </w:p>
    <w:p w14:paraId="1402906B" w14:textId="77777777" w:rsidR="00F83F04" w:rsidRDefault="00F83F04" w:rsidP="005076E9">
      <w:pPr>
        <w:spacing w:after="0" w:line="360" w:lineRule="auto"/>
        <w:rPr>
          <w:rFonts w:eastAsia="Times New Roman" w:cs="Tahoma"/>
          <w:iCs/>
          <w:color w:val="auto"/>
          <w:highlight w:val="yellow"/>
          <w:lang w:val="es-ES" w:eastAsia="es-ES"/>
        </w:rPr>
      </w:pPr>
    </w:p>
    <w:p w14:paraId="3FF5DF56" w14:textId="6447B7BA" w:rsidR="002E02DD" w:rsidRDefault="00F83F04" w:rsidP="005076E9">
      <w:pPr>
        <w:spacing w:after="0" w:line="360" w:lineRule="auto"/>
        <w:rPr>
          <w:rFonts w:eastAsia="Calibri" w:cs="Tahoma"/>
          <w:color w:val="000000"/>
          <w:szCs w:val="24"/>
          <w:lang w:val="es-ES" w:eastAsia="es-MX"/>
        </w:rPr>
      </w:pPr>
      <w:r w:rsidRPr="00F83F04">
        <w:rPr>
          <w:rFonts w:eastAsia="Times New Roman" w:cs="Tahoma"/>
          <w:iCs/>
          <w:color w:val="auto"/>
          <w:lang w:val="es-ES" w:eastAsia="es-ES"/>
        </w:rPr>
        <w:t>Al respecto</w:t>
      </w:r>
      <w:r>
        <w:rPr>
          <w:rFonts w:eastAsia="Times New Roman" w:cs="Tahoma"/>
          <w:iCs/>
          <w:color w:val="auto"/>
          <w:lang w:val="es-ES" w:eastAsia="es-ES"/>
        </w:rPr>
        <w:t xml:space="preserve">, el hoy recurrente desea tener información respecto del </w:t>
      </w:r>
      <w:r w:rsidRPr="00A17156">
        <w:rPr>
          <w:rFonts w:eastAsia="Calibri" w:cs="Tahoma"/>
          <w:b/>
          <w:color w:val="000000"/>
          <w:szCs w:val="24"/>
          <w:lang w:val="es-ES" w:eastAsia="es-MX"/>
        </w:rPr>
        <w:t>listado numerado de plazas de base y confianza</w:t>
      </w:r>
      <w:r w:rsidRPr="00934D92">
        <w:rPr>
          <w:rFonts w:eastAsia="Calibri" w:cs="Tahoma"/>
          <w:color w:val="000000"/>
          <w:szCs w:val="24"/>
          <w:lang w:val="es-ES" w:eastAsia="es-MX"/>
        </w:rPr>
        <w:t xml:space="preserve"> que conforman la administración 2022-2024</w:t>
      </w:r>
      <w:r>
        <w:rPr>
          <w:rFonts w:eastAsia="Calibri" w:cs="Tahoma"/>
          <w:color w:val="000000"/>
          <w:szCs w:val="24"/>
          <w:lang w:val="es-ES" w:eastAsia="es-MX"/>
        </w:rPr>
        <w:t xml:space="preserve">, el cual contenga el </w:t>
      </w:r>
      <w:r w:rsidRPr="00A17156">
        <w:rPr>
          <w:rFonts w:eastAsia="Calibri" w:cs="Tahoma"/>
          <w:b/>
          <w:color w:val="000000"/>
          <w:szCs w:val="24"/>
          <w:lang w:val="es-ES" w:eastAsia="es-MX"/>
        </w:rPr>
        <w:t>nombre completo, tipo de plaza, sueldo neto quincenal y mensual, cargo, área y departamento de adscripción</w:t>
      </w:r>
      <w:r>
        <w:rPr>
          <w:rFonts w:eastAsia="Calibri" w:cs="Tahoma"/>
          <w:color w:val="000000"/>
          <w:szCs w:val="24"/>
          <w:lang w:val="es-ES" w:eastAsia="es-MX"/>
        </w:rPr>
        <w:t xml:space="preserve">; </w:t>
      </w:r>
      <w:r w:rsidR="002E02DD">
        <w:rPr>
          <w:rFonts w:eastAsia="Calibri" w:cs="Tahoma"/>
          <w:color w:val="000000"/>
          <w:szCs w:val="24"/>
          <w:lang w:val="es-ES" w:eastAsia="es-MX"/>
        </w:rPr>
        <w:t xml:space="preserve">al respecto es de señalar que se llevó a cabo la revisión del marco normativo aplicable al Sujeto obligado, como más adelante se agrega, sin que se observara la </w:t>
      </w:r>
      <w:r w:rsidR="002E02DD">
        <w:rPr>
          <w:rFonts w:eastAsia="Calibri" w:cs="Tahoma"/>
          <w:color w:val="000000"/>
          <w:szCs w:val="24"/>
          <w:lang w:val="es-ES" w:eastAsia="es-MX"/>
        </w:rPr>
        <w:lastRenderedPageBreak/>
        <w:t>obligación de contar con un listado numerado, además que contenga sueldo neto quincenal y mensual, por tal motivo, conviene precisar al Recurrente que el Ayuntamiento no está obligado a procesar la información de acuerdo con sus intereses, sino que procede ordenar la información tal y como obre en sus archivos, de acuerdo a lo establecido en los artículo 12 y 24 último párrafo de la Ley de Transparencia y Acceso a la Información Pública del Estado de México y Municipios.</w:t>
      </w:r>
    </w:p>
    <w:p w14:paraId="64631495" w14:textId="77777777" w:rsidR="002E02DD" w:rsidRDefault="002E02DD" w:rsidP="005076E9">
      <w:pPr>
        <w:spacing w:after="0" w:line="360" w:lineRule="auto"/>
        <w:rPr>
          <w:rFonts w:eastAsia="Calibri" w:cs="Tahoma"/>
          <w:color w:val="000000"/>
          <w:szCs w:val="24"/>
          <w:lang w:val="es-ES" w:eastAsia="es-MX"/>
        </w:rPr>
      </w:pPr>
    </w:p>
    <w:p w14:paraId="4B20C6C5" w14:textId="32C486C2" w:rsidR="009A210B" w:rsidRDefault="00A71EA5" w:rsidP="005076E9">
      <w:pPr>
        <w:spacing w:after="0" w:line="360" w:lineRule="auto"/>
      </w:pPr>
      <w:r>
        <w:rPr>
          <w:rFonts w:eastAsia="Calibri" w:cs="Tahoma"/>
          <w:color w:val="000000"/>
          <w:szCs w:val="24"/>
          <w:lang w:val="es-ES" w:eastAsia="es-MX"/>
        </w:rPr>
        <w:t>D</w:t>
      </w:r>
      <w:r w:rsidR="00F83F04">
        <w:rPr>
          <w:rFonts w:eastAsia="Calibri" w:cs="Tahoma"/>
          <w:color w:val="000000"/>
          <w:szCs w:val="24"/>
          <w:lang w:val="es-ES" w:eastAsia="es-MX"/>
        </w:rPr>
        <w:t xml:space="preserve">erivado de </w:t>
      </w:r>
      <w:r>
        <w:rPr>
          <w:rFonts w:eastAsia="Calibri" w:cs="Tahoma"/>
          <w:color w:val="000000"/>
          <w:szCs w:val="24"/>
          <w:lang w:val="es-ES" w:eastAsia="es-MX"/>
        </w:rPr>
        <w:t>lo anterior</w:t>
      </w:r>
      <w:r w:rsidR="00F83F04">
        <w:rPr>
          <w:rFonts w:eastAsia="Calibri" w:cs="Tahoma"/>
          <w:color w:val="000000"/>
          <w:szCs w:val="24"/>
          <w:lang w:val="es-ES" w:eastAsia="es-MX"/>
        </w:rPr>
        <w:t>, es conveniente traer a colación</w:t>
      </w:r>
      <w:r w:rsidR="00765AB0">
        <w:t xml:space="preserve">, el artículo 31, fracción XIX, de la Ley Orgánica Municipal del Estado de México, relacionado con el 285 del Código Financiero del Estado de México y Municipios, establece que los </w:t>
      </w:r>
      <w:r w:rsidR="00765AB0" w:rsidRPr="009A210B">
        <w:rPr>
          <w:b/>
        </w:rPr>
        <w:t>Ayuntamientos serán los encargados de aprobar anualmente, el Presupuesto de Egresos, en base a los ingresos presupuestados para el ejercicio que corresponda.</w:t>
      </w:r>
    </w:p>
    <w:p w14:paraId="2B312FB7" w14:textId="77777777" w:rsidR="009A210B" w:rsidRDefault="009A210B" w:rsidP="005076E9">
      <w:pPr>
        <w:spacing w:after="0" w:line="360" w:lineRule="auto"/>
      </w:pPr>
    </w:p>
    <w:p w14:paraId="3B8106B5" w14:textId="77777777" w:rsidR="009A210B" w:rsidRDefault="00765AB0" w:rsidP="005076E9">
      <w:pPr>
        <w:spacing w:after="0" w:line="360" w:lineRule="auto"/>
      </w:pPr>
      <w:r>
        <w:t xml:space="preserve">De lo anterior, se logra desprender que anualmente en el Presupuesto de Egresos Municipal, se deben establecer las remuneraciones de todos los servidores públicos en general; al respecto, el anexo IV.5 Glosario de Términos, de los Manuales para la Planeación, Programación y Presupuesto de Egresos Municipal para los ejercicios fiscales, dos mil diecinueve, dos mil veinte y dos mil veintiuno, establecen que el </w:t>
      </w:r>
      <w:r w:rsidRPr="009A210B">
        <w:rPr>
          <w:b/>
        </w:rPr>
        <w:t>Presupuesto de Egresos Municipal</w:t>
      </w:r>
      <w:r>
        <w:t xml:space="preserve"> es el documento jurídico y de política económica aprobado por el Cabildo, en que se consigna de acuerdo con su naturaleza y cuantía, el gasto público que ejercerán las dependencias generales y auxiliares, durante un ejercicio fiscal. </w:t>
      </w:r>
    </w:p>
    <w:p w14:paraId="58472753" w14:textId="77777777" w:rsidR="009A210B" w:rsidRDefault="009A210B" w:rsidP="005076E9">
      <w:pPr>
        <w:spacing w:after="0" w:line="360" w:lineRule="auto"/>
      </w:pPr>
    </w:p>
    <w:p w14:paraId="3CBC852D" w14:textId="77777777" w:rsidR="009A210B" w:rsidRDefault="00765AB0" w:rsidP="005076E9">
      <w:pPr>
        <w:spacing w:after="0" w:line="360" w:lineRule="auto"/>
      </w:pPr>
      <w:r>
        <w:t>En ese orden de ideas, la Guía Técnica 7 Elaboración y Ejercicio de Presupuesto de Egresos del Instituto Nacional para el Federalismo y el Desarrollo Municipal, establece que el Presupuesto de Egresos constituye el programa anual de gastos del municipio, al permitir al Ayuntamiento:</w:t>
      </w:r>
    </w:p>
    <w:p w14:paraId="731746AF" w14:textId="77777777" w:rsidR="009A210B" w:rsidRDefault="009A210B" w:rsidP="005076E9">
      <w:pPr>
        <w:spacing w:after="0" w:line="360" w:lineRule="auto"/>
      </w:pPr>
    </w:p>
    <w:p w14:paraId="0A7A789D" w14:textId="77777777" w:rsidR="009A210B" w:rsidRPr="009A210B" w:rsidRDefault="00765AB0" w:rsidP="005076E9">
      <w:pPr>
        <w:pStyle w:val="Prrafodelista"/>
        <w:numPr>
          <w:ilvl w:val="0"/>
          <w:numId w:val="36"/>
        </w:numPr>
        <w:spacing w:line="360" w:lineRule="auto"/>
        <w:rPr>
          <w:rFonts w:eastAsia="Calibri" w:cs="Tahoma"/>
          <w:color w:val="000000"/>
          <w:lang w:val="es-ES" w:eastAsia="es-MX"/>
        </w:rPr>
      </w:pPr>
      <w:r>
        <w:t xml:space="preserve">Prever los recursos financieros necesarios para la administración municipal; </w:t>
      </w:r>
    </w:p>
    <w:p w14:paraId="2FA94D52" w14:textId="77777777" w:rsidR="009A210B" w:rsidRPr="009A210B" w:rsidRDefault="00765AB0" w:rsidP="005076E9">
      <w:pPr>
        <w:pStyle w:val="Prrafodelista"/>
        <w:numPr>
          <w:ilvl w:val="0"/>
          <w:numId w:val="36"/>
        </w:numPr>
        <w:spacing w:line="360" w:lineRule="auto"/>
        <w:rPr>
          <w:rFonts w:eastAsia="Calibri" w:cs="Tahoma"/>
          <w:color w:val="000000"/>
          <w:lang w:val="es-ES" w:eastAsia="es-MX"/>
        </w:rPr>
      </w:pPr>
      <w:r>
        <w:lastRenderedPageBreak/>
        <w:t xml:space="preserve">Llevar el control estricto de los gastos de la administración municipal, y </w:t>
      </w:r>
    </w:p>
    <w:p w14:paraId="0AC66398" w14:textId="77777777" w:rsidR="009A210B" w:rsidRPr="009A210B" w:rsidRDefault="00765AB0" w:rsidP="005076E9">
      <w:pPr>
        <w:pStyle w:val="Prrafodelista"/>
        <w:numPr>
          <w:ilvl w:val="0"/>
          <w:numId w:val="36"/>
        </w:numPr>
        <w:spacing w:line="360" w:lineRule="auto"/>
        <w:rPr>
          <w:rFonts w:eastAsia="Calibri" w:cs="Tahoma"/>
          <w:color w:val="000000"/>
          <w:lang w:val="es-ES" w:eastAsia="es-MX"/>
        </w:rPr>
      </w:pPr>
      <w:r>
        <w:t xml:space="preserve">Manejar adecuada y honestamente los fondos financieros del municipio. </w:t>
      </w:r>
    </w:p>
    <w:p w14:paraId="55D66CB0" w14:textId="77777777" w:rsidR="009A210B" w:rsidRDefault="009A210B" w:rsidP="005076E9">
      <w:pPr>
        <w:spacing w:after="0" w:line="360" w:lineRule="auto"/>
      </w:pPr>
    </w:p>
    <w:p w14:paraId="1641B1A9" w14:textId="77777777" w:rsidR="009A210B" w:rsidRDefault="00765AB0" w:rsidP="005076E9">
      <w:pPr>
        <w:spacing w:after="0" w:line="360" w:lineRule="auto"/>
      </w:pPr>
      <w:r>
        <w:t>Además, el punto 1.2 Marco Conceptual, en el apartado “Definición del Presupuesto”, de los Manuales mencionados, precisan que el Presupuesto es la estimación financiera anticipada de</w:t>
      </w:r>
      <w:r w:rsidR="009A210B" w:rsidRPr="009A210B">
        <w:t xml:space="preserve"> </w:t>
      </w:r>
      <w:r w:rsidR="009A210B">
        <w:t xml:space="preserve">los ingresos y egresos del gobierno, necesarios para cumplir con los objetivos establecidos; además, que el mismo involucra planes, políticas, programas, proyectos, estrategias y objetivos del municipio. </w:t>
      </w:r>
    </w:p>
    <w:p w14:paraId="2623382D" w14:textId="77777777" w:rsidR="009A210B" w:rsidRDefault="009A210B" w:rsidP="005076E9">
      <w:pPr>
        <w:spacing w:after="0" w:line="360" w:lineRule="auto"/>
      </w:pPr>
    </w:p>
    <w:p w14:paraId="302EDA4F" w14:textId="77777777" w:rsidR="009A210B" w:rsidRDefault="009A210B" w:rsidP="005076E9">
      <w:pPr>
        <w:spacing w:after="0" w:line="360" w:lineRule="auto"/>
      </w:pPr>
      <w:r>
        <w:t xml:space="preserve">En ese orden e ideas, conforme a los diversos 100 y 101, fracción II, de la Ley Orgánica Municipal del Estado de México, prevén que el Presupuesto de Egresos, deberá contener las previsiones de gasto público y se conformará, entre otras cosas, por los programas en que se señalen objetivos, metas y unidades responsables para su ejecución, así como la valuación estimada del programa. </w:t>
      </w:r>
    </w:p>
    <w:p w14:paraId="6741F154" w14:textId="5492611C" w:rsidR="009A210B" w:rsidRDefault="009A210B" w:rsidP="005076E9">
      <w:pPr>
        <w:spacing w:after="0" w:line="360" w:lineRule="auto"/>
      </w:pPr>
    </w:p>
    <w:p w14:paraId="336F040A" w14:textId="1079D8E0" w:rsidR="00765AB0" w:rsidRPr="009A210B" w:rsidRDefault="009A210B" w:rsidP="005076E9">
      <w:pPr>
        <w:spacing w:after="0" w:line="360" w:lineRule="auto"/>
        <w:rPr>
          <w:rFonts w:eastAsia="Calibri" w:cs="Tahoma"/>
          <w:color w:val="000000"/>
          <w:szCs w:val="24"/>
          <w:lang w:val="es-ES" w:eastAsia="es-MX"/>
        </w:rPr>
      </w:pPr>
      <w:r>
        <w:t>En ese contexto, el punto III.4.1 Lineamientos generales, del apartado del Presupuesto de Egresos Municipal (Tercera etapa), del Manual para la Planeación, Programación y Presupuesto de Egresos Municipal para el Ejercicio Fiscal, dos mil veintidós, establece los Formatos que integran el Proyecto de Presupuesto de Egresos Municipal, entre los cuales se encuentra el (PbRM-05) 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60A46950" w14:textId="77777777" w:rsidR="00765AB0" w:rsidRDefault="00765AB0" w:rsidP="005076E9">
      <w:pPr>
        <w:spacing w:after="0" w:line="360" w:lineRule="auto"/>
        <w:rPr>
          <w:rFonts w:eastAsia="Calibri" w:cs="Tahoma"/>
          <w:color w:val="000000"/>
          <w:szCs w:val="24"/>
          <w:lang w:val="es-ES" w:eastAsia="es-MX"/>
        </w:rPr>
      </w:pPr>
    </w:p>
    <w:p w14:paraId="416B0B99" w14:textId="06F2C162" w:rsidR="00F83F04" w:rsidRPr="00F83F04" w:rsidRDefault="00A17156" w:rsidP="005076E9">
      <w:pPr>
        <w:spacing w:after="0" w:line="360" w:lineRule="auto"/>
        <w:jc w:val="center"/>
        <w:rPr>
          <w:rFonts w:eastAsia="Times New Roman" w:cs="Tahoma"/>
          <w:iCs/>
          <w:color w:val="auto"/>
          <w:lang w:val="es-ES" w:eastAsia="es-ES"/>
        </w:rPr>
      </w:pPr>
      <w:r>
        <w:rPr>
          <w:noProof/>
          <w:lang w:eastAsia="es-MX"/>
        </w:rPr>
        <w:lastRenderedPageBreak/>
        <w:drawing>
          <wp:inline distT="0" distB="0" distL="0" distR="0" wp14:anchorId="44EB958B" wp14:editId="10CC4153">
            <wp:extent cx="5696915" cy="1190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9048D3.tmp"/>
                    <pic:cNvPicPr/>
                  </pic:nvPicPr>
                  <pic:blipFill rotWithShape="1">
                    <a:blip r:embed="rId12">
                      <a:extLst>
                        <a:ext uri="{28A0092B-C50C-407E-A947-70E740481C1C}">
                          <a14:useLocalDpi xmlns:a14="http://schemas.microsoft.com/office/drawing/2010/main" val="0"/>
                        </a:ext>
                      </a:extLst>
                    </a:blip>
                    <a:srcRect l="18748" t="38275" r="19088" b="49532"/>
                    <a:stretch/>
                  </pic:blipFill>
                  <pic:spPr bwMode="auto">
                    <a:xfrm>
                      <a:off x="0" y="0"/>
                      <a:ext cx="5706831" cy="1192697"/>
                    </a:xfrm>
                    <a:prstGeom prst="rect">
                      <a:avLst/>
                    </a:prstGeom>
                    <a:ln>
                      <a:noFill/>
                    </a:ln>
                    <a:extLst>
                      <a:ext uri="{53640926-AAD7-44D8-BBD7-CCE9431645EC}">
                        <a14:shadowObscured xmlns:a14="http://schemas.microsoft.com/office/drawing/2010/main"/>
                      </a:ext>
                    </a:extLst>
                  </pic:spPr>
                </pic:pic>
              </a:graphicData>
            </a:graphic>
          </wp:inline>
        </w:drawing>
      </w:r>
    </w:p>
    <w:p w14:paraId="42A8C54C" w14:textId="77777777" w:rsidR="00F83F04" w:rsidRDefault="00F83F04" w:rsidP="005076E9">
      <w:pPr>
        <w:spacing w:after="0" w:line="360" w:lineRule="auto"/>
        <w:rPr>
          <w:rFonts w:eastAsia="Times New Roman" w:cs="Tahoma"/>
          <w:iCs/>
          <w:color w:val="auto"/>
          <w:highlight w:val="yellow"/>
          <w:lang w:val="es-ES" w:eastAsia="es-ES"/>
        </w:rPr>
      </w:pPr>
    </w:p>
    <w:p w14:paraId="0ADE0C7D" w14:textId="50F43515" w:rsidR="00552A2D" w:rsidRPr="00552A2D" w:rsidRDefault="00A17156" w:rsidP="005076E9">
      <w:pPr>
        <w:spacing w:after="0" w:line="360" w:lineRule="auto"/>
        <w:rPr>
          <w:rFonts w:eastAsia="Times New Roman" w:cs="Times New Roman"/>
          <w:color w:val="auto"/>
          <w:lang w:val="es-ES" w:eastAsia="es-ES"/>
        </w:rPr>
      </w:pPr>
      <w:r>
        <w:t xml:space="preserve">En ese contexto, se logra vislumbrar que la pretensión del ahora Recurrente, es obtener </w:t>
      </w:r>
      <w:r w:rsidR="009B07EA">
        <w:t xml:space="preserve">información de los sueldos de los trabajadores </w:t>
      </w:r>
      <w:r>
        <w:t xml:space="preserve">del Ayuntamiento de Chimalhuacán, de la actual </w:t>
      </w:r>
      <w:r w:rsidRPr="002E02DD">
        <w:t>administración</w:t>
      </w:r>
      <w:r w:rsidR="00552A2D" w:rsidRPr="002E02DD">
        <w:t>; d</w:t>
      </w:r>
      <w:r w:rsidR="00552A2D" w:rsidRPr="002E02DD">
        <w:rPr>
          <w:rFonts w:eastAsia="Times New Roman" w:cs="Times New Roman"/>
          <w:color w:val="auto"/>
          <w:lang w:val="es-ES" w:eastAsia="es-ES"/>
        </w:rPr>
        <w:t>el formato anterior, se desprende que contiene los rubros, de puesto funcional, nivel, número de plaza, categoría (confianza, sindicalizado o eventual) dietas, sueldo base, compensación, gratificación, otras percepciones, aguinaldo, prima vacacional y total, información que coincide con la so</w:t>
      </w:r>
      <w:r w:rsidR="009B07EA" w:rsidRPr="002E02DD">
        <w:rPr>
          <w:rFonts w:eastAsia="Times New Roman" w:cs="Times New Roman"/>
          <w:color w:val="auto"/>
          <w:lang w:val="es-ES" w:eastAsia="es-ES"/>
        </w:rPr>
        <w:t>licitada por el hoy Recurrente; sin embargo, este documento no contiene el nombre del servidor público</w:t>
      </w:r>
      <w:r w:rsidR="009B07EA">
        <w:rPr>
          <w:rFonts w:eastAsia="Times New Roman" w:cs="Times New Roman"/>
          <w:color w:val="auto"/>
          <w:lang w:val="es-ES" w:eastAsia="es-ES"/>
        </w:rPr>
        <w:t xml:space="preserve">, ni el pago neto quincenal. </w:t>
      </w:r>
    </w:p>
    <w:p w14:paraId="0391D082" w14:textId="77777777" w:rsidR="00552A2D" w:rsidRPr="00552A2D" w:rsidRDefault="00552A2D" w:rsidP="005076E9">
      <w:pPr>
        <w:spacing w:after="0" w:line="360" w:lineRule="auto"/>
        <w:ind w:right="-93"/>
        <w:rPr>
          <w:rFonts w:eastAsia="Times New Roman" w:cs="Times New Roman"/>
          <w:color w:val="auto"/>
          <w:lang w:val="es-ES" w:eastAsia="es-ES"/>
        </w:rPr>
      </w:pPr>
    </w:p>
    <w:p w14:paraId="766A38F5" w14:textId="590D3806" w:rsidR="00552A2D" w:rsidRDefault="00552A2D" w:rsidP="005076E9">
      <w:pPr>
        <w:spacing w:after="0" w:line="360" w:lineRule="auto"/>
        <w:ind w:right="-93"/>
        <w:rPr>
          <w:rFonts w:eastAsia="Times New Roman" w:cs="Tahoma"/>
          <w:iCs/>
          <w:color w:val="auto"/>
          <w:lang w:val="es-ES" w:eastAsia="es-ES"/>
        </w:rPr>
      </w:pPr>
      <w:r w:rsidRPr="00552A2D">
        <w:rPr>
          <w:rFonts w:eastAsia="Times New Roman" w:cs="Times New Roman"/>
          <w:color w:val="auto"/>
          <w:lang w:val="es-ES" w:eastAsia="es-ES"/>
        </w:rPr>
        <w:t xml:space="preserve">Además, el </w:t>
      </w:r>
      <w:r w:rsidRPr="00552A2D">
        <w:rPr>
          <w:rFonts w:eastAsia="Times New Roman" w:cs="Times New Roman"/>
          <w:bCs/>
          <w:iCs/>
          <w:color w:val="auto"/>
          <w:lang w:eastAsia="es-ES"/>
        </w:rPr>
        <w:t>Acuerdo mediante el cual se expide el Manual de Percepciones de los Servidores Públicos de las Dependencias y Entidades de la Administración Pública Federal</w:t>
      </w:r>
      <w:r w:rsidRPr="00552A2D">
        <w:rPr>
          <w:rFonts w:eastAsia="Times New Roman" w:cs="Times New Roman"/>
          <w:bCs/>
          <w:i/>
          <w:color w:val="auto"/>
          <w:lang w:eastAsia="es-ES"/>
        </w:rPr>
        <w:t xml:space="preserve">, </w:t>
      </w:r>
      <w:r w:rsidRPr="00552A2D">
        <w:rPr>
          <w:rFonts w:eastAsia="Times New Roman" w:cs="Times New Roman"/>
          <w:bCs/>
          <w:color w:val="auto"/>
          <w:lang w:eastAsia="es-ES"/>
        </w:rPr>
        <w:t xml:space="preserve"> define al </w:t>
      </w:r>
      <w:r w:rsidRPr="00552A2D">
        <w:rPr>
          <w:rFonts w:eastAsia="Times New Roman" w:cs="Times New Roman"/>
          <w:b/>
          <w:bCs/>
          <w:color w:val="auto"/>
          <w:lang w:eastAsia="es-ES"/>
        </w:rPr>
        <w:t xml:space="preserve">tabulador de sueldos y salarios, </w:t>
      </w:r>
      <w:r w:rsidRPr="00552A2D">
        <w:rPr>
          <w:rFonts w:eastAsia="Times New Roman" w:cs="Times New Roman"/>
          <w:bCs/>
          <w:color w:val="auto"/>
          <w:lang w:eastAsia="es-ES"/>
        </w:rPr>
        <w:t xml:space="preserve">como el instrumento que permite representar los valores monetarios con los que se identifican los importes por concepto de sueldos y salarios en </w:t>
      </w:r>
      <w:r w:rsidRPr="00552A2D">
        <w:rPr>
          <w:rFonts w:eastAsia="Times New Roman" w:cs="Times New Roman"/>
          <w:b/>
          <w:color w:val="auto"/>
          <w:lang w:eastAsia="es-ES"/>
        </w:rPr>
        <w:t>términos mensuales o anuales</w:t>
      </w:r>
      <w:r w:rsidRPr="00552A2D">
        <w:rPr>
          <w:rFonts w:eastAsia="Times New Roman" w:cs="Times New Roman"/>
          <w:bCs/>
          <w:color w:val="auto"/>
          <w:lang w:eastAsia="es-ES"/>
        </w:rPr>
        <w:t>, que aplican a un puesto o categoría determinados, en función del grupo, grado, nivel o código autorizados, según corresponda, de acuerdo con los distintos tipos de personal.</w:t>
      </w:r>
    </w:p>
    <w:p w14:paraId="641814AD" w14:textId="77777777" w:rsidR="00552A2D" w:rsidRDefault="00552A2D" w:rsidP="005076E9">
      <w:pPr>
        <w:spacing w:after="0" w:line="360" w:lineRule="auto"/>
        <w:rPr>
          <w:rFonts w:eastAsia="Times New Roman" w:cs="Tahoma"/>
          <w:iCs/>
          <w:color w:val="auto"/>
          <w:lang w:val="es-ES" w:eastAsia="es-ES"/>
        </w:rPr>
      </w:pPr>
    </w:p>
    <w:p w14:paraId="468EB0A2" w14:textId="30A22DF6" w:rsidR="00F30E1B" w:rsidRPr="00F30E1B" w:rsidRDefault="00F30E1B" w:rsidP="005076E9">
      <w:pPr>
        <w:spacing w:after="0" w:line="360" w:lineRule="auto"/>
        <w:rPr>
          <w:rFonts w:eastAsia="Times New Roman" w:cs="Tahoma"/>
          <w:bCs/>
          <w:iCs/>
          <w:color w:val="auto"/>
          <w:lang w:eastAsia="es-ES"/>
        </w:rPr>
      </w:pPr>
      <w:r>
        <w:rPr>
          <w:rFonts w:eastAsia="Times New Roman" w:cs="Tahoma"/>
          <w:iCs/>
          <w:color w:val="auto"/>
          <w:lang w:val="es-ES" w:eastAsia="es-ES"/>
        </w:rPr>
        <w:t>A</w:t>
      </w:r>
      <w:r w:rsidRPr="00F30E1B">
        <w:rPr>
          <w:rFonts w:eastAsia="Times New Roman" w:cs="Tahoma"/>
          <w:iCs/>
          <w:color w:val="auto"/>
          <w:lang w:val="es-ES" w:eastAsia="es-ES"/>
        </w:rPr>
        <w:t xml:space="preserve">hora bien, respecto </w:t>
      </w:r>
      <w:r>
        <w:rPr>
          <w:rFonts w:eastAsia="Times New Roman" w:cs="Tahoma"/>
          <w:iCs/>
          <w:color w:val="auto"/>
          <w:lang w:val="es-ES" w:eastAsia="es-ES"/>
        </w:rPr>
        <w:t xml:space="preserve">al </w:t>
      </w:r>
      <w:r w:rsidRPr="001E2439">
        <w:rPr>
          <w:rFonts w:eastAsia="Times New Roman" w:cs="Tahoma"/>
          <w:b/>
          <w:iCs/>
          <w:color w:val="auto"/>
          <w:lang w:val="es-ES" w:eastAsia="es-ES"/>
        </w:rPr>
        <w:t>sueldo neto quincenal y mensual</w:t>
      </w:r>
      <w:r>
        <w:rPr>
          <w:rFonts w:eastAsia="Times New Roman" w:cs="Tahoma"/>
          <w:iCs/>
          <w:color w:val="auto"/>
          <w:lang w:val="es-ES" w:eastAsia="es-ES"/>
        </w:rPr>
        <w:t xml:space="preserve">, es necesario traer a colación </w:t>
      </w:r>
      <w:r w:rsidRPr="00F30E1B">
        <w:rPr>
          <w:rFonts w:eastAsia="Times New Roman" w:cs="Tahoma"/>
          <w:bCs/>
          <w:iCs/>
          <w:color w:val="auto"/>
          <w:lang w:eastAsia="es-ES"/>
        </w:rPr>
        <w:t xml:space="preserve">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6B1B1D20" w14:textId="77777777" w:rsidR="00F30E1B" w:rsidRPr="00F30E1B" w:rsidRDefault="00F30E1B" w:rsidP="005076E9">
      <w:pPr>
        <w:spacing w:after="0" w:line="360" w:lineRule="auto"/>
        <w:rPr>
          <w:rFonts w:eastAsia="Times New Roman" w:cs="Tahoma"/>
          <w:bCs/>
          <w:iCs/>
          <w:color w:val="auto"/>
          <w:lang w:eastAsia="es-ES"/>
        </w:rPr>
      </w:pPr>
    </w:p>
    <w:p w14:paraId="0A395282" w14:textId="77777777" w:rsidR="00F30E1B" w:rsidRPr="00F30E1B" w:rsidRDefault="00F30E1B" w:rsidP="005076E9">
      <w:pPr>
        <w:spacing w:after="0" w:line="360" w:lineRule="auto"/>
        <w:rPr>
          <w:rFonts w:eastAsia="Times New Roman" w:cs="Tahoma"/>
          <w:bCs/>
          <w:iCs/>
          <w:color w:val="auto"/>
          <w:lang w:eastAsia="es-ES"/>
        </w:rPr>
      </w:pPr>
      <w:r w:rsidRPr="00F30E1B">
        <w:rPr>
          <w:rFonts w:eastAsia="Times New Roman" w:cs="Tahoma"/>
          <w:bCs/>
          <w:iCs/>
          <w:color w:val="auto"/>
          <w:lang w:eastAsia="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41EFEB2" w14:textId="77777777" w:rsidR="00F30E1B" w:rsidRPr="00F30E1B" w:rsidRDefault="00F30E1B" w:rsidP="005076E9">
      <w:pPr>
        <w:spacing w:after="0" w:line="360" w:lineRule="auto"/>
        <w:rPr>
          <w:rFonts w:eastAsia="Times New Roman" w:cs="Tahoma"/>
          <w:bCs/>
          <w:iCs/>
          <w:color w:val="auto"/>
          <w:lang w:eastAsia="es-ES"/>
        </w:rPr>
      </w:pPr>
    </w:p>
    <w:p w14:paraId="441DD8B7" w14:textId="77777777" w:rsidR="00F30E1B" w:rsidRPr="00F30E1B" w:rsidRDefault="00F30E1B" w:rsidP="005076E9">
      <w:pPr>
        <w:spacing w:after="0" w:line="360" w:lineRule="auto"/>
        <w:rPr>
          <w:rFonts w:eastAsia="Times New Roman" w:cs="Tahoma"/>
          <w:bCs/>
          <w:iCs/>
          <w:color w:val="auto"/>
          <w:lang w:eastAsia="es-ES"/>
        </w:rPr>
      </w:pPr>
      <w:r w:rsidRPr="00F30E1B">
        <w:rPr>
          <w:rFonts w:eastAsia="Times New Roman" w:cs="Tahoma"/>
          <w:bCs/>
          <w:iCs/>
          <w:color w:val="auto"/>
          <w:lang w:eastAsia="es-ES"/>
        </w:rPr>
        <w:t>Da la misma manera, el Anexo IV.5 Glosario de Términos, del Manual para la Planeación, Programación y Presupuesto de Egresos Municipal para el ejercicio fiscal dos mil veintidós, establece que la remuneración es la percepción de un trabajador o retribución monetaria que se da en pago por su servicio o actividad desarrollada.</w:t>
      </w:r>
    </w:p>
    <w:p w14:paraId="480FCD74" w14:textId="77777777" w:rsidR="00F30E1B" w:rsidRPr="00F30E1B" w:rsidRDefault="00F30E1B" w:rsidP="005076E9">
      <w:pPr>
        <w:spacing w:after="0" w:line="360" w:lineRule="auto"/>
        <w:rPr>
          <w:rFonts w:eastAsia="Times New Roman" w:cs="Tahoma"/>
          <w:bCs/>
          <w:iCs/>
          <w:color w:val="auto"/>
          <w:lang w:eastAsia="es-ES"/>
        </w:rPr>
      </w:pPr>
    </w:p>
    <w:p w14:paraId="2149C757" w14:textId="77777777" w:rsidR="00F30E1B" w:rsidRPr="00F30E1B" w:rsidRDefault="00F30E1B" w:rsidP="005076E9">
      <w:pPr>
        <w:spacing w:after="0" w:line="360" w:lineRule="auto"/>
        <w:rPr>
          <w:rFonts w:eastAsia="Times New Roman" w:cs="Tahoma"/>
          <w:bCs/>
          <w:iCs/>
          <w:color w:val="auto"/>
          <w:lang w:val="es-ES" w:eastAsia="es-ES"/>
        </w:rPr>
      </w:pPr>
      <w:r w:rsidRPr="00F30E1B">
        <w:rPr>
          <w:rFonts w:eastAsia="Times New Roman" w:cs="Tahoma"/>
          <w:bCs/>
          <w:iCs/>
          <w:color w:val="auto"/>
          <w:lang w:val="es-ES" w:eastAsia="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F30E1B">
        <w:rPr>
          <w:rFonts w:eastAsia="Times New Roman" w:cs="Tahoma"/>
          <w:b/>
          <w:iCs/>
          <w:color w:val="auto"/>
          <w:lang w:val="es-ES" w:eastAsia="es-ES"/>
        </w:rPr>
        <w:t>las remuneraciones brutas y netas de todos los servidores públicos, que incluya todas las percepciones, entre las cuales, se encuentran los sueldos, prestaciones, gratificaciones, primas, comisiones, dietas, bonos, estímulos, ingresos, entre otros</w:t>
      </w:r>
      <w:r w:rsidRPr="00F30E1B">
        <w:rPr>
          <w:rFonts w:eastAsia="Times New Roman" w:cs="Tahoma"/>
          <w:bCs/>
          <w:iCs/>
          <w:color w:val="auto"/>
          <w:lang w:val="es-ES" w:eastAsia="es-ES"/>
        </w:rPr>
        <w:t>.</w:t>
      </w:r>
    </w:p>
    <w:p w14:paraId="2671132C" w14:textId="77777777" w:rsidR="00F30E1B" w:rsidRPr="00F30E1B" w:rsidRDefault="00F30E1B" w:rsidP="005076E9">
      <w:pPr>
        <w:spacing w:after="0" w:line="360" w:lineRule="auto"/>
        <w:rPr>
          <w:rFonts w:eastAsia="Times New Roman" w:cs="Tahoma"/>
          <w:bCs/>
          <w:iCs/>
          <w:color w:val="auto"/>
          <w:lang w:eastAsia="es-ES"/>
        </w:rPr>
      </w:pPr>
    </w:p>
    <w:p w14:paraId="5AF94C29" w14:textId="77777777" w:rsidR="00F30E1B" w:rsidRPr="00F30E1B" w:rsidRDefault="00F30E1B" w:rsidP="005076E9">
      <w:pPr>
        <w:spacing w:after="0" w:line="360" w:lineRule="auto"/>
        <w:rPr>
          <w:rFonts w:eastAsia="Times New Roman" w:cs="Tahoma"/>
          <w:bCs/>
          <w:iCs/>
          <w:color w:val="auto"/>
          <w:lang w:val="es-ES" w:eastAsia="es-ES"/>
        </w:rPr>
      </w:pPr>
      <w:r w:rsidRPr="00F30E1B">
        <w:rPr>
          <w:rFonts w:eastAsia="Times New Roman" w:cs="Tahoma"/>
          <w:bCs/>
          <w:iCs/>
          <w:color w:val="auto"/>
          <w:lang w:val="es-ES" w:eastAsia="es-ES"/>
        </w:rPr>
        <w:t xml:space="preserve">Además, los Manuales para la Formulación del Anteproyecto de Presupuesto de Egresos del Gobierno del Estado de México, para los ejercicios fiscales dos mil veintidós, establecen, que el capítulo </w:t>
      </w:r>
      <w:r w:rsidRPr="00F30E1B">
        <w:rPr>
          <w:rFonts w:eastAsia="Times New Roman" w:cs="Tahoma"/>
          <w:b/>
          <w:bCs/>
          <w:iCs/>
          <w:color w:val="auto"/>
          <w:lang w:val="es-ES" w:eastAsia="es-ES"/>
        </w:rPr>
        <w:t>1000 Servicios Personales</w:t>
      </w:r>
      <w:r w:rsidRPr="00F30E1B">
        <w:rPr>
          <w:rFonts w:eastAsia="Times New Roman" w:cs="Tahoma"/>
          <w:bCs/>
          <w:iCs/>
          <w:color w:val="auto"/>
          <w:lang w:val="es-ES" w:eastAsia="es-ES"/>
        </w:rPr>
        <w:t>,</w:t>
      </w:r>
      <w:r w:rsidRPr="00F30E1B">
        <w:rPr>
          <w:rFonts w:eastAsia="Times New Roman" w:cs="Tahoma"/>
          <w:b/>
          <w:bCs/>
          <w:iCs/>
          <w:color w:val="auto"/>
          <w:lang w:val="es-ES" w:eastAsia="es-ES"/>
        </w:rPr>
        <w:t xml:space="preserve"> agrupa </w:t>
      </w:r>
      <w:r w:rsidRPr="00F30E1B">
        <w:rPr>
          <w:rFonts w:eastAsia="Times New Roman" w:cs="Tahoma"/>
          <w:b/>
          <w:bCs/>
          <w:iCs/>
          <w:color w:val="auto"/>
          <w:lang w:eastAsia="es-ES"/>
        </w:rPr>
        <w:t>las remuneraciones al personal que está al servicio del Estado, así como las cuotas y aportaciones a favor de las instituciones de seguridad social, derivadas de los servicios que esas instituciones prestan al personal</w:t>
      </w:r>
    </w:p>
    <w:p w14:paraId="28EB9E2F" w14:textId="77777777" w:rsidR="00F30E1B" w:rsidRPr="00F30E1B" w:rsidRDefault="00F30E1B" w:rsidP="005076E9">
      <w:pPr>
        <w:spacing w:after="0" w:line="360" w:lineRule="auto"/>
        <w:rPr>
          <w:rFonts w:eastAsia="Times New Roman" w:cs="Tahoma"/>
          <w:bCs/>
          <w:iCs/>
          <w:color w:val="auto"/>
          <w:lang w:eastAsia="es-ES"/>
        </w:rPr>
      </w:pPr>
    </w:p>
    <w:p w14:paraId="72202A04" w14:textId="77777777" w:rsidR="00F30E1B" w:rsidRPr="00F30E1B" w:rsidRDefault="00F30E1B" w:rsidP="005076E9">
      <w:pPr>
        <w:spacing w:after="0" w:line="360" w:lineRule="auto"/>
        <w:rPr>
          <w:rFonts w:eastAsia="Times New Roman" w:cs="Tahoma"/>
          <w:b/>
          <w:bCs/>
          <w:iCs/>
          <w:color w:val="auto"/>
          <w:lang w:eastAsia="es-ES"/>
        </w:rPr>
      </w:pPr>
      <w:r w:rsidRPr="00F30E1B">
        <w:rPr>
          <w:rFonts w:eastAsia="Times New Roman" w:cs="Tahoma"/>
          <w:bCs/>
          <w:iCs/>
          <w:color w:val="auto"/>
          <w:lang w:eastAsia="es-ES"/>
        </w:rPr>
        <w:t>Además, respecto al documento requerido</w:t>
      </w:r>
      <w:r w:rsidRPr="00F30E1B">
        <w:rPr>
          <w:rFonts w:eastAsia="Times New Roman" w:cs="Tahoma"/>
          <w:b/>
          <w:bCs/>
          <w:iCs/>
          <w:color w:val="auto"/>
          <w:lang w:eastAsia="es-ES"/>
        </w:rPr>
        <w:t xml:space="preserve">, </w:t>
      </w:r>
      <w:r w:rsidRPr="00F30E1B">
        <w:rPr>
          <w:rFonts w:eastAsia="Times New Roman" w:cs="Tahoma"/>
          <w:bCs/>
          <w:iCs/>
          <w:color w:val="auto"/>
          <w:lang w:eastAsia="es-ES"/>
        </w:rPr>
        <w:t xml:space="preserve">el Glosario localizado en la página de Transparencia Presupuestaria de la Secretaría de Hacienda y Crédito Público </w:t>
      </w:r>
      <w:r w:rsidRPr="00F30E1B">
        <w:rPr>
          <w:rFonts w:eastAsia="Times New Roman" w:cs="Tahoma"/>
          <w:bCs/>
          <w:iCs/>
          <w:color w:val="auto"/>
          <w:lang w:eastAsia="es-ES"/>
        </w:rPr>
        <w:lastRenderedPageBreak/>
        <w:t>(</w:t>
      </w:r>
      <w:hyperlink r:id="rId13" w:history="1">
        <w:r w:rsidRPr="00F30E1B">
          <w:rPr>
            <w:rFonts w:eastAsia="Times New Roman" w:cs="Tahoma"/>
            <w:bCs/>
            <w:iCs/>
            <w:color w:val="0563C1" w:themeColor="hyperlink"/>
            <w:u w:val="single"/>
            <w:lang w:eastAsia="es-ES"/>
          </w:rPr>
          <w:t>http://www.transparenciapresupuestaria.gob.mx/es/PTP/Glosario</w:t>
        </w:r>
      </w:hyperlink>
      <w:r w:rsidRPr="00F30E1B">
        <w:rPr>
          <w:rFonts w:eastAsia="Times New Roman" w:cs="Tahoma"/>
          <w:bCs/>
          <w:iCs/>
          <w:color w:val="auto"/>
          <w:lang w:eastAsia="es-ES"/>
        </w:rPr>
        <w:t xml:space="preserve">), establece que la </w:t>
      </w:r>
      <w:r w:rsidRPr="00F30E1B">
        <w:rPr>
          <w:rFonts w:eastAsia="Times New Roman" w:cs="Tahoma"/>
          <w:b/>
          <w:bCs/>
          <w:iCs/>
          <w:color w:val="auto"/>
          <w:lang w:eastAsia="es-E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56F8DD74" w14:textId="77777777" w:rsidR="00F30E1B" w:rsidRPr="00F30E1B" w:rsidRDefault="00F30E1B" w:rsidP="005076E9">
      <w:pPr>
        <w:spacing w:after="0" w:line="360" w:lineRule="auto"/>
        <w:rPr>
          <w:rFonts w:eastAsia="Times New Roman" w:cs="Tahoma"/>
          <w:b/>
          <w:bCs/>
          <w:iCs/>
          <w:color w:val="auto"/>
          <w:lang w:eastAsia="es-ES"/>
        </w:rPr>
      </w:pPr>
    </w:p>
    <w:p w14:paraId="24548AAD" w14:textId="77777777" w:rsidR="00F30E1B" w:rsidRPr="00F30E1B" w:rsidRDefault="00F30E1B" w:rsidP="005076E9">
      <w:pPr>
        <w:spacing w:after="0" w:line="360" w:lineRule="auto"/>
        <w:rPr>
          <w:rFonts w:eastAsia="Times New Roman" w:cs="Tahoma"/>
          <w:b/>
          <w:bCs/>
          <w:iCs/>
          <w:color w:val="auto"/>
          <w:lang w:eastAsia="es-ES"/>
        </w:rPr>
      </w:pPr>
      <w:r w:rsidRPr="00F30E1B">
        <w:rPr>
          <w:rFonts w:eastAsia="Times New Roman" w:cs="Tahoma"/>
          <w:bCs/>
          <w:iCs/>
          <w:color w:val="auto"/>
          <w:lang w:eastAsia="es-ES"/>
        </w:rPr>
        <w:t>De la misma manera, el Glosario de términos más usuales en la Administración Pública Federal, emitido por la Secretaría de Hacienda y Crédito Público (</w:t>
      </w:r>
      <w:hyperlink r:id="rId14" w:history="1">
        <w:r w:rsidRPr="00F30E1B">
          <w:rPr>
            <w:rFonts w:eastAsia="Times New Roman" w:cs="Tahoma"/>
            <w:bCs/>
            <w:iCs/>
            <w:color w:val="0563C1" w:themeColor="hyperlink"/>
            <w:u w:val="single"/>
            <w:lang w:eastAsia="es-ES"/>
          </w:rPr>
          <w:t>http://www.apartados.hacienda.gob.mx/contabilidad/documentos/informe_cuenta/1998/cuenta_publica/Glosario/n.htm</w:t>
        </w:r>
      </w:hyperlink>
      <w:r w:rsidRPr="00F30E1B">
        <w:rPr>
          <w:rFonts w:eastAsia="Times New Roman" w:cs="Tahoma"/>
          <w:bCs/>
          <w:iCs/>
          <w:color w:val="auto"/>
          <w:lang w:eastAsia="es-ES"/>
        </w:rPr>
        <w:t xml:space="preserve">), establece que la </w:t>
      </w:r>
      <w:r w:rsidRPr="00F30E1B">
        <w:rPr>
          <w:rFonts w:eastAsia="Times New Roman" w:cs="Tahoma"/>
          <w:b/>
          <w:bCs/>
          <w:iCs/>
          <w:color w:val="auto"/>
          <w:lang w:eastAsia="es-ES"/>
        </w:rPr>
        <w:t>nómina es un listado general de los trabajadores de una institución, en el cual se asientan las percepciones brutas, deducciones y alcance neto de las mismas.</w:t>
      </w:r>
    </w:p>
    <w:p w14:paraId="5A58D906" w14:textId="77777777" w:rsidR="00F30E1B" w:rsidRPr="00F30E1B" w:rsidRDefault="00F30E1B" w:rsidP="005076E9">
      <w:pPr>
        <w:spacing w:after="0" w:line="360" w:lineRule="auto"/>
        <w:rPr>
          <w:rFonts w:eastAsia="Times New Roman" w:cs="Tahoma"/>
          <w:bCs/>
          <w:iCs/>
          <w:color w:val="auto"/>
          <w:lang w:eastAsia="es-ES"/>
        </w:rPr>
      </w:pPr>
    </w:p>
    <w:p w14:paraId="1D8AB4A4" w14:textId="77777777" w:rsidR="00F30E1B" w:rsidRPr="00F30E1B" w:rsidRDefault="00F30E1B" w:rsidP="005076E9">
      <w:pPr>
        <w:spacing w:after="0" w:line="360" w:lineRule="auto"/>
        <w:rPr>
          <w:rFonts w:eastAsia="Times New Roman" w:cs="Tahoma"/>
          <w:bCs/>
          <w:iCs/>
          <w:color w:val="auto"/>
          <w:lang w:eastAsia="es-ES"/>
        </w:rPr>
      </w:pPr>
      <w:r w:rsidRPr="00F30E1B">
        <w:rPr>
          <w:rFonts w:eastAsia="Times New Roman" w:cs="Tahoma"/>
          <w:bCs/>
          <w:iCs/>
          <w:color w:val="auto"/>
          <w:lang w:eastAsia="es-ES"/>
        </w:rPr>
        <w:t>Conforme a lo anterior, se puede advertir que la nómina se puede referir a lo siguiente:</w:t>
      </w:r>
    </w:p>
    <w:p w14:paraId="6D40BBE9" w14:textId="77777777" w:rsidR="00F30E1B" w:rsidRPr="00F30E1B" w:rsidRDefault="00F30E1B" w:rsidP="005076E9">
      <w:pPr>
        <w:spacing w:after="0" w:line="360" w:lineRule="auto"/>
        <w:rPr>
          <w:rFonts w:eastAsia="Times New Roman" w:cs="Tahoma"/>
          <w:bCs/>
          <w:iCs/>
          <w:color w:val="auto"/>
          <w:lang w:eastAsia="es-ES"/>
        </w:rPr>
      </w:pPr>
    </w:p>
    <w:p w14:paraId="6775CCA8" w14:textId="77777777" w:rsidR="00F30E1B" w:rsidRPr="00F30E1B" w:rsidRDefault="00F30E1B" w:rsidP="005076E9">
      <w:pPr>
        <w:numPr>
          <w:ilvl w:val="0"/>
          <w:numId w:val="26"/>
        </w:numPr>
        <w:spacing w:after="0" w:line="360" w:lineRule="auto"/>
        <w:rPr>
          <w:rFonts w:eastAsia="Times New Roman" w:cs="Tahoma"/>
          <w:bCs/>
          <w:iCs/>
          <w:color w:val="auto"/>
          <w:lang w:eastAsia="es-ES"/>
        </w:rPr>
      </w:pPr>
      <w:r w:rsidRPr="00F30E1B">
        <w:rPr>
          <w:rFonts w:eastAsia="Times New Roman" w:cs="Tahoma"/>
          <w:bCs/>
          <w:iCs/>
          <w:color w:val="auto"/>
          <w:lang w:eastAsia="es-ES"/>
        </w:rPr>
        <w:t>Relación de trabajadores con las percepciones monetarias de cada uno.</w:t>
      </w:r>
    </w:p>
    <w:p w14:paraId="2D394257" w14:textId="77777777" w:rsidR="00F30E1B" w:rsidRPr="00F30E1B" w:rsidRDefault="00F30E1B" w:rsidP="005076E9">
      <w:pPr>
        <w:numPr>
          <w:ilvl w:val="0"/>
          <w:numId w:val="26"/>
        </w:numPr>
        <w:spacing w:after="0" w:line="360" w:lineRule="auto"/>
        <w:rPr>
          <w:rFonts w:eastAsia="Times New Roman" w:cs="Tahoma"/>
          <w:bCs/>
          <w:iCs/>
          <w:color w:val="auto"/>
          <w:lang w:eastAsia="es-ES"/>
        </w:rPr>
      </w:pPr>
      <w:r w:rsidRPr="00F30E1B">
        <w:rPr>
          <w:rFonts w:eastAsia="Times New Roman" w:cs="Tahoma"/>
          <w:bCs/>
          <w:iCs/>
          <w:color w:val="auto"/>
          <w:lang w:eastAsia="es-ES"/>
        </w:rPr>
        <w:t>Recibo individual que contiene las prestaciones y deducciones de un trabajador.</w:t>
      </w:r>
    </w:p>
    <w:p w14:paraId="08B2E05F" w14:textId="77777777" w:rsidR="00F30E1B" w:rsidRPr="00F30E1B" w:rsidRDefault="00F30E1B" w:rsidP="005076E9">
      <w:pPr>
        <w:numPr>
          <w:ilvl w:val="0"/>
          <w:numId w:val="26"/>
        </w:numPr>
        <w:spacing w:after="0" w:line="360" w:lineRule="auto"/>
        <w:rPr>
          <w:rFonts w:eastAsia="Times New Roman" w:cs="Tahoma"/>
          <w:b/>
          <w:bCs/>
          <w:iCs/>
          <w:color w:val="auto"/>
          <w:lang w:eastAsia="es-ES"/>
        </w:rPr>
      </w:pPr>
      <w:r w:rsidRPr="00F30E1B">
        <w:rPr>
          <w:rFonts w:eastAsia="Times New Roman" w:cs="Tahoma"/>
          <w:b/>
          <w:bCs/>
          <w:iCs/>
          <w:color w:val="auto"/>
          <w:lang w:eastAsia="es-ES"/>
        </w:rPr>
        <w:t>Listado general de los servidores públicos de una institución o dependencia, en el cual se asientan las percepciones brutas, deducciones y alcance neto de las mismas.</w:t>
      </w:r>
    </w:p>
    <w:p w14:paraId="51564B0B" w14:textId="77777777" w:rsidR="00F30E1B" w:rsidRPr="00F30E1B" w:rsidRDefault="00F30E1B" w:rsidP="005076E9">
      <w:pPr>
        <w:spacing w:after="0" w:line="360" w:lineRule="auto"/>
        <w:rPr>
          <w:rFonts w:eastAsia="Times New Roman" w:cs="Tahoma"/>
          <w:iCs/>
          <w:color w:val="auto"/>
          <w:lang w:eastAsia="es-ES"/>
        </w:rPr>
      </w:pPr>
    </w:p>
    <w:p w14:paraId="4B34C63C" w14:textId="77777777" w:rsidR="00F30E1B" w:rsidRPr="00F30E1B" w:rsidRDefault="00F30E1B" w:rsidP="005076E9">
      <w:pPr>
        <w:spacing w:after="0" w:line="360" w:lineRule="auto"/>
        <w:rPr>
          <w:rFonts w:eastAsia="Times New Roman" w:cs="Tahoma"/>
          <w:bCs/>
          <w:color w:val="auto"/>
          <w:lang w:eastAsia="es-ES"/>
        </w:rPr>
      </w:pPr>
      <w:r w:rsidRPr="00F30E1B">
        <w:rPr>
          <w:rFonts w:eastAsia="Times New Roman" w:cs="Tahoma"/>
          <w:iCs/>
          <w:color w:val="auto"/>
          <w:lang w:eastAsia="es-ES"/>
        </w:rPr>
        <w:t>En ese contexto, los</w:t>
      </w:r>
      <w:r w:rsidRPr="00F30E1B">
        <w:rPr>
          <w:rFonts w:eastAsia="Calibri" w:cs="Times New Roman"/>
          <w:bCs/>
        </w:rPr>
        <w:t xml:space="preserve"> Lineamientos para la Integración y Entrega del Informe Trimestral Municipal, dos mil veintidós, emitidos por el Órgano Superior de Fiscalización del Estado de México</w:t>
      </w:r>
      <w:r w:rsidRPr="00F30E1B">
        <w:rPr>
          <w:rFonts w:eastAsia="Calibri" w:cs="Times New Roman"/>
          <w:bCs/>
          <w:lang w:val="es-ES_tradnl"/>
        </w:rPr>
        <w:t>,</w:t>
      </w:r>
      <w:r w:rsidRPr="00F30E1B">
        <w:rPr>
          <w:rFonts w:eastAsia="Times New Roman" w:cs="Tahoma"/>
          <w:bCs/>
          <w:color w:val="auto"/>
          <w:lang w:eastAsia="es-ES"/>
        </w:rPr>
        <w:t xml:space="preserve"> el cual precisa que los Ayuntamientos deben de proporcionar, para su fiscalización, diversos documentos, entre los cuales se encuentran aquellos del </w:t>
      </w:r>
      <w:r w:rsidRPr="00F30E1B">
        <w:rPr>
          <w:rFonts w:eastAsia="Times New Roman" w:cs="Tahoma"/>
          <w:b/>
          <w:color w:val="auto"/>
          <w:lang w:eastAsia="es-ES"/>
        </w:rPr>
        <w:t>Módulo 4</w:t>
      </w:r>
      <w:r w:rsidRPr="00F30E1B">
        <w:rPr>
          <w:rFonts w:eastAsia="Times New Roman" w:cs="Tahoma"/>
          <w:bCs/>
          <w:color w:val="auto"/>
          <w:lang w:eastAsia="es-ES"/>
        </w:rPr>
        <w:t xml:space="preserve">, que contienen la </w:t>
      </w:r>
      <w:r w:rsidRPr="00F30E1B">
        <w:rPr>
          <w:rFonts w:eastAsia="Times New Roman" w:cs="Tahoma"/>
          <w:b/>
          <w:color w:val="auto"/>
          <w:lang w:eastAsia="es-ES"/>
        </w:rPr>
        <w:t>Conciliación de Nómina, la Dispersión de la Nómina Quincenal, los Comprobantes Fiscales Digitales por Internet por concepto de nómina</w:t>
      </w:r>
      <w:r w:rsidRPr="00F30E1B">
        <w:rPr>
          <w:rFonts w:eastAsia="Times New Roman" w:cs="Tahoma"/>
          <w:bCs/>
          <w:color w:val="auto"/>
          <w:lang w:eastAsia="es-ES"/>
        </w:rPr>
        <w:t xml:space="preserve">, mismos que se establecen de manera </w:t>
      </w:r>
      <w:r w:rsidRPr="00F30E1B">
        <w:rPr>
          <w:rFonts w:eastAsia="Times New Roman" w:cs="Tahoma"/>
          <w:bCs/>
          <w:color w:val="auto"/>
          <w:lang w:eastAsia="es-ES"/>
        </w:rPr>
        <w:lastRenderedPageBreak/>
        <w:t>enunciativa, más no limitativa, tiene por finalidad p</w:t>
      </w:r>
      <w:r w:rsidRPr="00F30E1B">
        <w:rPr>
          <w:rFonts w:eastAsia="Times New Roman" w:cs="Tahoma"/>
          <w:iCs/>
          <w:color w:val="auto"/>
          <w:lang w:eastAsia="es-ES"/>
        </w:rPr>
        <w:t>resentar las remuneraciones pagadas de manera quincenal.</w:t>
      </w:r>
    </w:p>
    <w:p w14:paraId="42A5C0C4" w14:textId="77777777" w:rsidR="00F30E1B" w:rsidRPr="00F30E1B" w:rsidRDefault="00F30E1B" w:rsidP="005076E9">
      <w:pPr>
        <w:spacing w:after="0" w:line="360" w:lineRule="auto"/>
        <w:rPr>
          <w:rFonts w:eastAsia="Times New Roman" w:cs="Tahoma"/>
          <w:iCs/>
          <w:color w:val="auto"/>
          <w:lang w:eastAsia="es-ES"/>
        </w:rPr>
      </w:pPr>
    </w:p>
    <w:p w14:paraId="6BE0F84A" w14:textId="6344C4C4" w:rsidR="00F30E1B" w:rsidRDefault="00F30E1B" w:rsidP="005076E9">
      <w:pPr>
        <w:widowControl w:val="0"/>
        <w:spacing w:after="0" w:line="360" w:lineRule="auto"/>
        <w:rPr>
          <w:rFonts w:cs="Tahoma"/>
          <w:b/>
          <w:color w:val="000000"/>
          <w:lang w:eastAsia="es-MX"/>
        </w:rPr>
      </w:pPr>
      <w:r w:rsidRPr="00F30E1B">
        <w:rPr>
          <w:rFonts w:cs="Tahoma"/>
          <w:color w:val="000000"/>
          <w:lang w:eastAsia="es-MX"/>
        </w:rPr>
        <w:t>Así, se logra advertir que la pretensión del hoy Recurrente es obtener el documento donde consten</w:t>
      </w:r>
      <w:r w:rsidRPr="00F30E1B">
        <w:rPr>
          <w:rFonts w:cs="Tahoma"/>
          <w:b/>
          <w:color w:val="000000"/>
          <w:lang w:eastAsia="es-MX"/>
        </w:rPr>
        <w:t xml:space="preserve"> las remuneraciones pagadas a todos los servidores públicos</w:t>
      </w:r>
      <w:r w:rsidR="001E2439">
        <w:rPr>
          <w:rFonts w:cs="Tahoma"/>
          <w:b/>
          <w:color w:val="000000"/>
          <w:lang w:eastAsia="es-MX"/>
        </w:rPr>
        <w:t xml:space="preserve"> adscritos al Ayuntamiento de Chimalhuacán</w:t>
      </w:r>
      <w:r w:rsidRPr="00F30E1B">
        <w:rPr>
          <w:rFonts w:cs="Tahoma"/>
          <w:b/>
          <w:color w:val="000000"/>
          <w:lang w:eastAsia="es-MX"/>
        </w:rPr>
        <w:t>, de la primera quincena de enero a</w:t>
      </w:r>
      <w:r w:rsidR="001E2439">
        <w:rPr>
          <w:rFonts w:cs="Tahoma"/>
          <w:b/>
          <w:color w:val="000000"/>
          <w:lang w:eastAsia="es-MX"/>
        </w:rPr>
        <w:t xml:space="preserve"> </w:t>
      </w:r>
      <w:r w:rsidRPr="00F30E1B">
        <w:rPr>
          <w:rFonts w:cs="Tahoma"/>
          <w:b/>
          <w:color w:val="000000"/>
          <w:lang w:eastAsia="es-MX"/>
        </w:rPr>
        <w:t>l</w:t>
      </w:r>
      <w:r w:rsidR="001E2439">
        <w:rPr>
          <w:rFonts w:cs="Tahoma"/>
          <w:b/>
          <w:color w:val="000000"/>
          <w:lang w:eastAsia="es-MX"/>
        </w:rPr>
        <w:t>a</w:t>
      </w:r>
      <w:r w:rsidRPr="00F30E1B">
        <w:rPr>
          <w:rFonts w:cs="Tahoma"/>
          <w:b/>
          <w:color w:val="000000"/>
          <w:lang w:eastAsia="es-MX"/>
        </w:rPr>
        <w:t xml:space="preserve"> primera de mayo de dos mil veintidós, </w:t>
      </w:r>
      <w:r w:rsidR="001E2439">
        <w:rPr>
          <w:rFonts w:cs="Tahoma"/>
          <w:b/>
          <w:color w:val="000000"/>
          <w:lang w:eastAsia="es-MX"/>
        </w:rPr>
        <w:t>que contenga, sueldo neto quincenal y mensual</w:t>
      </w:r>
      <w:r w:rsidRPr="00F30E1B">
        <w:rPr>
          <w:rFonts w:cs="Tahoma"/>
          <w:b/>
          <w:color w:val="000000"/>
          <w:lang w:eastAsia="es-MX"/>
        </w:rPr>
        <w:t>.</w:t>
      </w:r>
    </w:p>
    <w:p w14:paraId="69FF32B2" w14:textId="77777777" w:rsidR="00552A2D" w:rsidRDefault="00552A2D" w:rsidP="005076E9">
      <w:pPr>
        <w:widowControl w:val="0"/>
        <w:spacing w:after="0" w:line="360" w:lineRule="auto"/>
        <w:rPr>
          <w:rFonts w:cs="Tahoma"/>
          <w:b/>
          <w:color w:val="000000"/>
          <w:lang w:eastAsia="es-MX"/>
        </w:rPr>
      </w:pPr>
    </w:p>
    <w:p w14:paraId="5EC86A1D" w14:textId="6350BD00" w:rsidR="003D18C8" w:rsidRDefault="003D18C8" w:rsidP="005076E9">
      <w:pPr>
        <w:widowControl w:val="0"/>
        <w:spacing w:after="0" w:line="360" w:lineRule="auto"/>
        <w:rPr>
          <w:rFonts w:cs="Tahoma"/>
          <w:color w:val="000000"/>
          <w:lang w:eastAsia="es-MX"/>
        </w:rPr>
      </w:pPr>
      <w:r>
        <w:rPr>
          <w:rFonts w:cs="Tahoma"/>
          <w:color w:val="000000"/>
          <w:lang w:eastAsia="es-MX"/>
        </w:rPr>
        <w:t xml:space="preserve">Derivado de lo </w:t>
      </w:r>
      <w:r w:rsidR="003E6F3C">
        <w:rPr>
          <w:rFonts w:cs="Tahoma"/>
          <w:color w:val="000000"/>
          <w:lang w:eastAsia="es-MX"/>
        </w:rPr>
        <w:t>antes expuesto</w:t>
      </w:r>
      <w:r>
        <w:rPr>
          <w:rFonts w:cs="Tahoma"/>
          <w:color w:val="000000"/>
          <w:lang w:eastAsia="es-MX"/>
        </w:rPr>
        <w:t>, el Sujeto Obligado mediante respuesta</w:t>
      </w:r>
      <w:r w:rsidR="003E6F3C">
        <w:rPr>
          <w:rFonts w:cs="Tahoma"/>
          <w:color w:val="000000"/>
          <w:lang w:eastAsia="es-MX"/>
        </w:rPr>
        <w:t>,</w:t>
      </w:r>
      <w:r>
        <w:rPr>
          <w:rFonts w:cs="Tahoma"/>
          <w:color w:val="000000"/>
          <w:lang w:eastAsia="es-MX"/>
        </w:rPr>
        <w:t xml:space="preserve"> señaló que la información solicitada se encontraba en su totalidad publicada en su portal de Información Pública de Oficio Mexiquense (IPOMEX), razón por la cual, proporcionó la liga electrónica </w:t>
      </w:r>
      <w:hyperlink r:id="rId15" w:history="1">
        <w:r w:rsidRPr="00C13371">
          <w:rPr>
            <w:rStyle w:val="Hipervnculo"/>
            <w:rFonts w:cs="Tahoma"/>
            <w:lang w:eastAsia="es-MX"/>
          </w:rPr>
          <w:t>https://www.ipomex.org.mx/ipo3/lgt/indice/CHIMALHUACAN.web?token=03AGdBq25wQfxW0LTJMEIhwH4zSK1g9aRpO_pxnZ-UA7xVD7bU9Lpdpt_PIFT8j_G1PgnXteq2KICOgJ21MPe-L1aDNbVqmh1-2xSPotg6vxP5IIGIOQUybnTMTaZF6j_dmV70z7wnSTvz9z0oA18LYV10A44ji0eQ5MknS3MKswlQjOhgmBIc95eH8gQqRVihbvzz7WLBFkZWLIjaWsWola46TO7VSbdQ_mlg3hHW9h3eCIEhSCFw57crUXG2K0M-s3uTDjn19Oh6YzHssd0uJXLeooNdDc2j02RHpiEgCjpNkhTdfhUzPB_OWgbC9FfwrgoKQijevLzXks4cFF1AhyaVHpz68V2-jyZXOirb1EEZgapJN2WERV00mrIK1musvKvQE4vI8oLI3Dq2r76jXzd5M_mH0-7eAUe8WoBKIM-qsQxsy_nAfJfBQGqiOVaLXS65gl8NLbfoJTSmkTzj3NwNf0LQRTg1sXp6XYKxprZ25fsY3bBCeLcTXdVo8svTbyMnGjhQgzQo#</w:t>
        </w:r>
      </w:hyperlink>
      <w:r>
        <w:rPr>
          <w:rFonts w:cs="Tahoma"/>
          <w:color w:val="000000"/>
          <w:lang w:eastAsia="es-MX"/>
        </w:rPr>
        <w:t xml:space="preserve">, </w:t>
      </w:r>
      <w:r w:rsidR="003E6F3C">
        <w:rPr>
          <w:rFonts w:cs="Tahoma"/>
          <w:color w:val="000000"/>
          <w:lang w:eastAsia="es-MX"/>
        </w:rPr>
        <w:t>por lo que</w:t>
      </w:r>
      <w:r>
        <w:rPr>
          <w:rFonts w:cs="Tahoma"/>
          <w:color w:val="000000"/>
          <w:lang w:eastAsia="es-MX"/>
        </w:rPr>
        <w:t xml:space="preserve">, este Instituto </w:t>
      </w:r>
      <w:r w:rsidR="003E6F3C">
        <w:rPr>
          <w:rFonts w:cs="Tahoma"/>
          <w:color w:val="000000"/>
          <w:lang w:eastAsia="es-MX"/>
        </w:rPr>
        <w:t>accedió a consultar la l</w:t>
      </w:r>
      <w:r>
        <w:rPr>
          <w:rFonts w:cs="Tahoma"/>
          <w:color w:val="000000"/>
          <w:lang w:eastAsia="es-MX"/>
        </w:rPr>
        <w:t>iga electrónica proporcionada</w:t>
      </w:r>
      <w:r w:rsidR="003E6F3C">
        <w:rPr>
          <w:rFonts w:cs="Tahoma"/>
          <w:color w:val="000000"/>
          <w:lang w:eastAsia="es-MX"/>
        </w:rPr>
        <w:t xml:space="preserve"> en respuesta por el Sujeto Obligado, p</w:t>
      </w:r>
      <w:r>
        <w:rPr>
          <w:rFonts w:cs="Tahoma"/>
          <w:color w:val="000000"/>
          <w:lang w:eastAsia="es-MX"/>
        </w:rPr>
        <w:t xml:space="preserve">ara estar en posibilidad de </w:t>
      </w:r>
      <w:r w:rsidR="00525B23">
        <w:rPr>
          <w:rFonts w:cs="Tahoma"/>
          <w:noProof/>
          <w:color w:val="000000"/>
          <w:lang w:eastAsia="es-MX"/>
        </w:rPr>
        <mc:AlternateContent>
          <mc:Choice Requires="wps">
            <w:drawing>
              <wp:anchor distT="0" distB="0" distL="114300" distR="114300" simplePos="0" relativeHeight="251659264" behindDoc="0" locked="0" layoutInCell="1" allowOverlap="1" wp14:anchorId="2B6FA635" wp14:editId="1AF29744">
                <wp:simplePos x="0" y="0"/>
                <wp:positionH relativeFrom="column">
                  <wp:posOffset>393065</wp:posOffset>
                </wp:positionH>
                <wp:positionV relativeFrom="paragraph">
                  <wp:posOffset>4454525</wp:posOffset>
                </wp:positionV>
                <wp:extent cx="5251450" cy="2743200"/>
                <wp:effectExtent l="0" t="0" r="25400" b="19050"/>
                <wp:wrapNone/>
                <wp:docPr id="1" name="Conector recto 1"/>
                <wp:cNvGraphicFramePr/>
                <a:graphic xmlns:a="http://schemas.openxmlformats.org/drawingml/2006/main">
                  <a:graphicData uri="http://schemas.microsoft.com/office/word/2010/wordprocessingShape">
                    <wps:wsp>
                      <wps:cNvCnPr/>
                      <wps:spPr>
                        <a:xfrm flipV="1">
                          <a:off x="0" y="0"/>
                          <a:ext cx="5251450" cy="27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E771C"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95pt,350.75pt" to="444.45pt,5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" strokecolor="#4472c4 [3204]" strokeweight=".5pt">
                <v:stroke joinstyle="miter"/>
              </v:line>
            </w:pict>
          </mc:Fallback>
        </mc:AlternateContent>
      </w:r>
      <w:r>
        <w:rPr>
          <w:rFonts w:cs="Tahoma"/>
          <w:color w:val="000000"/>
          <w:lang w:eastAsia="es-MX"/>
        </w:rPr>
        <w:t>saber s</w:t>
      </w:r>
      <w:r w:rsidR="003E6F3C">
        <w:rPr>
          <w:rFonts w:cs="Tahoma"/>
          <w:color w:val="000000"/>
          <w:lang w:eastAsia="es-MX"/>
        </w:rPr>
        <w:t>í</w:t>
      </w:r>
      <w:r>
        <w:rPr>
          <w:rFonts w:cs="Tahoma"/>
          <w:color w:val="000000"/>
          <w:lang w:eastAsia="es-MX"/>
        </w:rPr>
        <w:t xml:space="preserve"> lo proporcionado colma la pretensión del hoy Recurrente, obteniendo lo siguiente:</w:t>
      </w:r>
    </w:p>
    <w:p w14:paraId="68FA0616" w14:textId="0C5F1769" w:rsidR="003D18C8" w:rsidRPr="00F30E1B" w:rsidRDefault="003D18C8" w:rsidP="005076E9">
      <w:pPr>
        <w:widowControl w:val="0"/>
        <w:spacing w:after="0" w:line="360" w:lineRule="auto"/>
        <w:jc w:val="center"/>
        <w:rPr>
          <w:rFonts w:cs="Tahoma"/>
          <w:color w:val="000000"/>
          <w:lang w:eastAsia="es-MX"/>
        </w:rPr>
      </w:pPr>
      <w:r>
        <w:rPr>
          <w:rFonts w:cs="Tahoma"/>
          <w:noProof/>
          <w:color w:val="000000"/>
          <w:lang w:eastAsia="es-MX"/>
        </w:rPr>
        <w:lastRenderedPageBreak/>
        <w:drawing>
          <wp:inline distT="0" distB="0" distL="0" distR="0" wp14:anchorId="3711D21D" wp14:editId="4748917E">
            <wp:extent cx="4721358" cy="42672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907F4F.tmp"/>
                    <pic:cNvPicPr/>
                  </pic:nvPicPr>
                  <pic:blipFill rotWithShape="1">
                    <a:blip r:embed="rId16">
                      <a:extLst>
                        <a:ext uri="{28A0092B-C50C-407E-A947-70E740481C1C}">
                          <a14:useLocalDpi xmlns:a14="http://schemas.microsoft.com/office/drawing/2010/main" val="0"/>
                        </a:ext>
                      </a:extLst>
                    </a:blip>
                    <a:srcRect l="7072" t="27934" r="10865" b="2460"/>
                    <a:stretch/>
                  </pic:blipFill>
                  <pic:spPr bwMode="auto">
                    <a:xfrm>
                      <a:off x="0" y="0"/>
                      <a:ext cx="4728647" cy="4273788"/>
                    </a:xfrm>
                    <a:prstGeom prst="rect">
                      <a:avLst/>
                    </a:prstGeom>
                    <a:ln>
                      <a:noFill/>
                    </a:ln>
                    <a:extLst>
                      <a:ext uri="{53640926-AAD7-44D8-BBD7-CCE9431645EC}">
                        <a14:shadowObscured xmlns:a14="http://schemas.microsoft.com/office/drawing/2010/main"/>
                      </a:ext>
                    </a:extLst>
                  </pic:spPr>
                </pic:pic>
              </a:graphicData>
            </a:graphic>
          </wp:inline>
        </w:drawing>
      </w:r>
    </w:p>
    <w:p w14:paraId="4602793F" w14:textId="77777777" w:rsidR="00525B23" w:rsidRDefault="00525B23" w:rsidP="005076E9">
      <w:pPr>
        <w:spacing w:after="0" w:line="360" w:lineRule="auto"/>
        <w:rPr>
          <w:rFonts w:eastAsia="Times New Roman" w:cs="Times New Roman"/>
          <w:color w:val="auto"/>
          <w:szCs w:val="24"/>
          <w:lang w:eastAsia="es-MX"/>
        </w:rPr>
      </w:pPr>
    </w:p>
    <w:p w14:paraId="76B08219" w14:textId="58C446F1" w:rsidR="003B3167" w:rsidRDefault="00525B23" w:rsidP="005076E9">
      <w:pPr>
        <w:spacing w:after="0" w:line="360" w:lineRule="auto"/>
        <w:rPr>
          <w:rFonts w:eastAsia="Times New Roman" w:cs="Times New Roman"/>
          <w:color w:val="auto"/>
          <w:szCs w:val="24"/>
          <w:lang w:eastAsia="es-MX"/>
        </w:rPr>
      </w:pPr>
      <w:r>
        <w:rPr>
          <w:rFonts w:eastAsia="Times New Roman" w:cs="Times New Roman"/>
          <w:color w:val="auto"/>
          <w:szCs w:val="24"/>
          <w:lang w:eastAsia="es-MX"/>
        </w:rPr>
        <w:t>D</w:t>
      </w:r>
      <w:r w:rsidR="003B3167" w:rsidRPr="003B3167">
        <w:rPr>
          <w:rFonts w:eastAsia="Times New Roman" w:cs="Times New Roman"/>
          <w:color w:val="auto"/>
          <w:szCs w:val="24"/>
          <w:lang w:eastAsia="es-MX"/>
        </w:rPr>
        <w:t xml:space="preserve">e la ilustración anterior, deviene conducente hacer mención que el artículo 161 de la Ley de Transparencia y Acceso a la Información Pública del Estado de México y Municipios, dispone que, para el caso que la información solicitada ya se encuentre </w:t>
      </w:r>
      <w:r w:rsidR="003B3167" w:rsidRPr="003B3167">
        <w:rPr>
          <w:rFonts w:eastAsia="Times New Roman" w:cs="Times New Roman"/>
          <w:i/>
          <w:iCs/>
          <w:color w:val="auto"/>
          <w:szCs w:val="24"/>
          <w:lang w:eastAsia="es-MX"/>
        </w:rPr>
        <w:t xml:space="preserve">-entre otros- </w:t>
      </w:r>
      <w:r w:rsidR="003B3167" w:rsidRPr="003B3167">
        <w:rPr>
          <w:rFonts w:eastAsia="Times New Roman" w:cs="Times New Roman"/>
          <w:color w:val="auto"/>
          <w:szCs w:val="24"/>
          <w:lang w:eastAsia="es-MX"/>
        </w:rPr>
        <w:t xml:space="preserve">en medios digitales disponibles por internet, los Sujetos Obligados podrán de manera precisa y concreta dar cuenta de tal situación a los Particulares, esto, a fin de señalar la fuente, el lugar y la forma de acceder a la información peticionada, sin que lo anterior genere que se lleve a cabo una búsqueda dentro de todo el cúmulo de datos disponibles; así entonces, en el caso que nos ocupa </w:t>
      </w:r>
      <w:r w:rsidR="003B3167">
        <w:rPr>
          <w:rFonts w:eastAsia="Times New Roman" w:cs="Times New Roman"/>
          <w:color w:val="auto"/>
          <w:szCs w:val="24"/>
          <w:lang w:eastAsia="es-MX"/>
        </w:rPr>
        <w:t xml:space="preserve">no </w:t>
      </w:r>
      <w:r w:rsidR="003B3167" w:rsidRPr="003B3167">
        <w:rPr>
          <w:rFonts w:eastAsia="Times New Roman" w:cs="Times New Roman"/>
          <w:color w:val="auto"/>
          <w:szCs w:val="24"/>
          <w:lang w:eastAsia="es-MX"/>
        </w:rPr>
        <w:t xml:space="preserve">aconteció dicho supuesto, pues </w:t>
      </w:r>
      <w:r w:rsidR="003B3167">
        <w:rPr>
          <w:rFonts w:eastAsia="Times New Roman" w:cs="Times New Roman"/>
          <w:color w:val="auto"/>
          <w:szCs w:val="24"/>
          <w:lang w:eastAsia="es-MX"/>
        </w:rPr>
        <w:t>el Sujeto Obligado proporcionó la liga electrónica correspondiente al portal de IPOMEX</w:t>
      </w:r>
      <w:r w:rsidR="00157A73">
        <w:rPr>
          <w:rFonts w:eastAsia="Times New Roman" w:cs="Times New Roman"/>
          <w:color w:val="auto"/>
          <w:szCs w:val="24"/>
          <w:lang w:eastAsia="es-MX"/>
        </w:rPr>
        <w:t>;</w:t>
      </w:r>
      <w:r w:rsidR="003B3167">
        <w:rPr>
          <w:rFonts w:eastAsia="Times New Roman" w:cs="Times New Roman"/>
          <w:color w:val="auto"/>
          <w:szCs w:val="24"/>
          <w:lang w:eastAsia="es-MX"/>
        </w:rPr>
        <w:t xml:space="preserve"> sin embargo, </w:t>
      </w:r>
      <w:r w:rsidR="00DF28CF">
        <w:rPr>
          <w:rFonts w:eastAsia="Times New Roman" w:cs="Times New Roman"/>
          <w:color w:val="auto"/>
          <w:szCs w:val="24"/>
          <w:lang w:eastAsia="es-MX"/>
        </w:rPr>
        <w:t>no</w:t>
      </w:r>
      <w:r w:rsidR="003B3167">
        <w:rPr>
          <w:rFonts w:eastAsia="Times New Roman" w:cs="Times New Roman"/>
          <w:color w:val="auto"/>
          <w:szCs w:val="24"/>
          <w:lang w:eastAsia="es-MX"/>
        </w:rPr>
        <w:t xml:space="preserve"> señaló de manera precisa y clara en que </w:t>
      </w:r>
      <w:r w:rsidR="003B3167">
        <w:rPr>
          <w:rFonts w:eastAsia="Times New Roman" w:cs="Times New Roman"/>
          <w:color w:val="auto"/>
          <w:szCs w:val="24"/>
          <w:lang w:eastAsia="es-MX"/>
        </w:rPr>
        <w:lastRenderedPageBreak/>
        <w:t>apartado podría el Recurrente encontrar la información solicita, razón por la cual, no se puede tener por colmada la respuesta proporcionada por el Ayuntamiento de Chimalhuacán</w:t>
      </w:r>
      <w:r w:rsidR="003B3167" w:rsidRPr="003B3167">
        <w:rPr>
          <w:rFonts w:eastAsia="Times New Roman" w:cs="Times New Roman"/>
          <w:color w:val="auto"/>
          <w:szCs w:val="24"/>
          <w:lang w:eastAsia="es-MX"/>
        </w:rPr>
        <w:t>.</w:t>
      </w:r>
    </w:p>
    <w:p w14:paraId="198E00FE" w14:textId="77777777" w:rsidR="00DF28CF" w:rsidRDefault="00DF28CF" w:rsidP="005076E9">
      <w:pPr>
        <w:spacing w:after="0" w:line="360" w:lineRule="auto"/>
        <w:rPr>
          <w:rFonts w:eastAsia="Times New Roman" w:cs="Times New Roman"/>
          <w:color w:val="auto"/>
          <w:szCs w:val="24"/>
          <w:lang w:eastAsia="es-MX"/>
        </w:rPr>
      </w:pPr>
    </w:p>
    <w:p w14:paraId="77C8C28C" w14:textId="439EFD42" w:rsidR="00DF28CF" w:rsidRPr="003B3167" w:rsidRDefault="00DF28CF" w:rsidP="005076E9">
      <w:pPr>
        <w:spacing w:after="0" w:line="360" w:lineRule="auto"/>
        <w:rPr>
          <w:rFonts w:eastAsia="Times New Roman" w:cs="Times New Roman"/>
          <w:color w:val="auto"/>
          <w:szCs w:val="24"/>
          <w:lang w:eastAsia="es-MX"/>
        </w:rPr>
      </w:pPr>
      <w:r>
        <w:rPr>
          <w:rFonts w:eastAsia="Times New Roman" w:cs="Times New Roman"/>
          <w:color w:val="auto"/>
          <w:szCs w:val="24"/>
          <w:lang w:eastAsia="es-MX"/>
        </w:rPr>
        <w:t>No pasa desapercibido, que el Bando Municipal de Chimalhuacán 2022-20024, señala en sus artículos 61 y 62 fracción III, que p</w:t>
      </w:r>
      <w:r w:rsidRPr="00DF28CF">
        <w:rPr>
          <w:rFonts w:eastAsia="Times New Roman" w:cs="Times New Roman"/>
          <w:color w:val="auto"/>
          <w:szCs w:val="24"/>
          <w:lang w:eastAsia="es-MX"/>
        </w:rPr>
        <w:t>ara el estudio, planeación y despacho de los diversos asuntos de la Administración Pública Municipal, el Titular del Ejecutivo se auxiliará de las dependencias administrativas, organismos descentralizados, órganos autónomos y autoridades auxiliares, mismas que realizarán sus funciones bajo los principios de austeridad, igualdad, equidad, honestidad, respeto, transparencia y calidad con base en lo establecido en el presente Bando Municipal, el Reglamento Orgánico de la Administración Pública Municipal y demás ordenamientos legales aplicables</w:t>
      </w:r>
      <w:r>
        <w:rPr>
          <w:rFonts w:eastAsia="Times New Roman" w:cs="Times New Roman"/>
          <w:color w:val="auto"/>
          <w:szCs w:val="24"/>
          <w:lang w:eastAsia="es-MX"/>
        </w:rPr>
        <w:t xml:space="preserve">, entre las cuales se encuentra la Tesorería Municipal, siendo este el órgano encargado </w:t>
      </w:r>
      <w:r w:rsidRPr="00DF28CF">
        <w:rPr>
          <w:rFonts w:eastAsia="Times New Roman" w:cs="Times New Roman"/>
          <w:color w:val="auto"/>
          <w:szCs w:val="24"/>
          <w:lang w:eastAsia="es-MX"/>
        </w:rPr>
        <w:t>de la obtención y aplicación del recurso financiero de acuerdo con la Ley de Ingresos, Código Financiero del Estado de México y Municipios y demás dispos</w:t>
      </w:r>
      <w:r w:rsidR="003222F5">
        <w:rPr>
          <w:rFonts w:eastAsia="Times New Roman" w:cs="Times New Roman"/>
          <w:color w:val="auto"/>
          <w:szCs w:val="24"/>
          <w:lang w:eastAsia="es-MX"/>
        </w:rPr>
        <w:t>iciones aplicables vigentes. Es</w:t>
      </w:r>
      <w:r w:rsidRPr="00DF28CF">
        <w:rPr>
          <w:rFonts w:eastAsia="Times New Roman" w:cs="Times New Roman"/>
          <w:color w:val="auto"/>
          <w:szCs w:val="24"/>
          <w:lang w:eastAsia="es-MX"/>
        </w:rPr>
        <w:t>a dependencia se encargará de recibir la Hacienda Pública, de acuerdo con las previsiones a que se refiere el artículo 19 de la Ley Orgánica Municipal del Estado de México.</w:t>
      </w:r>
    </w:p>
    <w:p w14:paraId="48B689A8" w14:textId="77777777" w:rsidR="005D112F" w:rsidRDefault="005D112F" w:rsidP="005076E9">
      <w:pPr>
        <w:spacing w:after="0" w:line="360" w:lineRule="auto"/>
        <w:rPr>
          <w:rFonts w:eastAsia="Times New Roman" w:cs="Tahoma"/>
          <w:b/>
          <w:iCs/>
          <w:color w:val="auto"/>
          <w:lang w:val="es-ES" w:eastAsia="es-ES"/>
        </w:rPr>
      </w:pPr>
    </w:p>
    <w:p w14:paraId="0E868FD8" w14:textId="247DAC09" w:rsidR="008D1E8C" w:rsidRPr="0086476B" w:rsidRDefault="005D112F" w:rsidP="005076E9">
      <w:pPr>
        <w:spacing w:after="0" w:line="360" w:lineRule="auto"/>
        <w:rPr>
          <w:rFonts w:eastAsia="Times New Roman" w:cs="Tahoma"/>
          <w:bCs/>
          <w:iCs/>
          <w:color w:val="auto"/>
          <w:lang w:val="es-ES" w:eastAsia="es-ES"/>
        </w:rPr>
      </w:pPr>
      <w:r>
        <w:rPr>
          <w:rFonts w:eastAsia="Times New Roman" w:cs="Tahoma"/>
          <w:bCs/>
          <w:iCs/>
          <w:color w:val="auto"/>
          <w:lang w:val="es-ES" w:eastAsia="es-ES"/>
        </w:rPr>
        <w:t>De tal circunstancia</w:t>
      </w:r>
      <w:r w:rsidR="0086476B">
        <w:rPr>
          <w:rFonts w:eastAsia="Times New Roman" w:cs="Tahoma"/>
          <w:bCs/>
          <w:iCs/>
          <w:color w:val="auto"/>
          <w:lang w:val="es-ES" w:eastAsia="es-ES"/>
        </w:rPr>
        <w:t>, resulta procedente ordenar</w:t>
      </w:r>
      <w:r w:rsidR="00F33F24">
        <w:rPr>
          <w:rFonts w:eastAsia="Times New Roman" w:cs="Tahoma"/>
          <w:bCs/>
          <w:iCs/>
          <w:color w:val="auto"/>
          <w:lang w:val="es-ES" w:eastAsia="es-ES"/>
        </w:rPr>
        <w:t xml:space="preserve">, al Sujeto Obligado a que previa búsqueda </w:t>
      </w:r>
      <w:r w:rsidR="000239FF">
        <w:rPr>
          <w:rFonts w:eastAsia="Times New Roman" w:cs="Tahoma"/>
          <w:bCs/>
          <w:iCs/>
          <w:color w:val="auto"/>
          <w:lang w:val="es-ES" w:eastAsia="es-ES"/>
        </w:rPr>
        <w:t>exhaustivita</w:t>
      </w:r>
      <w:r w:rsidR="00522562">
        <w:rPr>
          <w:rFonts w:eastAsia="Times New Roman" w:cs="Tahoma"/>
          <w:bCs/>
          <w:iCs/>
          <w:color w:val="auto"/>
          <w:lang w:val="es-ES" w:eastAsia="es-ES"/>
        </w:rPr>
        <w:t xml:space="preserve"> </w:t>
      </w:r>
      <w:r w:rsidR="000239FF">
        <w:rPr>
          <w:rFonts w:eastAsia="Times New Roman" w:cs="Tahoma"/>
          <w:bCs/>
          <w:iCs/>
          <w:color w:val="auto"/>
          <w:lang w:val="es-ES" w:eastAsia="es-ES"/>
        </w:rPr>
        <w:t>y razonable en todas las áreas que estime pertinentes,</w:t>
      </w:r>
      <w:r w:rsidR="003222F5">
        <w:rPr>
          <w:rFonts w:eastAsia="Times New Roman" w:cs="Tahoma"/>
          <w:bCs/>
          <w:iCs/>
          <w:color w:val="auto"/>
          <w:lang w:val="es-ES" w:eastAsia="es-ES"/>
        </w:rPr>
        <w:t xml:space="preserve"> incluyendo la Tesorería Municipal, </w:t>
      </w:r>
      <w:r w:rsidR="000239FF">
        <w:rPr>
          <w:rFonts w:eastAsia="Times New Roman" w:cs="Tahoma"/>
          <w:bCs/>
          <w:iCs/>
          <w:color w:val="auto"/>
          <w:lang w:val="es-ES" w:eastAsia="es-ES"/>
        </w:rPr>
        <w:t xml:space="preserve">en términos del artículo 162 de la Ley de la Materia, </w:t>
      </w:r>
      <w:r w:rsidR="007549D8">
        <w:rPr>
          <w:rFonts w:eastAsia="Times New Roman" w:cs="Tahoma"/>
          <w:bCs/>
          <w:iCs/>
          <w:color w:val="auto"/>
          <w:lang w:val="es-ES" w:eastAsia="es-ES"/>
        </w:rPr>
        <w:t xml:space="preserve">entregue los documentos donde </w:t>
      </w:r>
      <w:r w:rsidR="00E5156D">
        <w:rPr>
          <w:rFonts w:eastAsia="Times New Roman" w:cs="Tahoma"/>
          <w:bCs/>
          <w:iCs/>
          <w:color w:val="auto"/>
          <w:lang w:val="es-ES" w:eastAsia="es-ES"/>
        </w:rPr>
        <w:t xml:space="preserve">conste el tabulador de sueldos que contenga el </w:t>
      </w:r>
      <w:r w:rsidR="00E5156D" w:rsidRPr="00E5156D">
        <w:rPr>
          <w:rFonts w:eastAsia="Times New Roman" w:cs="Tahoma"/>
          <w:bCs/>
          <w:iCs/>
          <w:color w:val="auto"/>
          <w:lang w:val="es-ES" w:eastAsia="es-ES"/>
        </w:rPr>
        <w:t xml:space="preserve">listado numerado de plazas de base y confianza que conforman la administración 2022-2024, el cual </w:t>
      </w:r>
      <w:r w:rsidR="00E5156D">
        <w:rPr>
          <w:rFonts w:eastAsia="Times New Roman" w:cs="Tahoma"/>
          <w:bCs/>
          <w:iCs/>
          <w:color w:val="auto"/>
          <w:lang w:val="es-ES" w:eastAsia="es-ES"/>
        </w:rPr>
        <w:t>deberá contener el</w:t>
      </w:r>
      <w:r w:rsidR="00E5156D" w:rsidRPr="00E5156D">
        <w:rPr>
          <w:rFonts w:eastAsia="Times New Roman" w:cs="Tahoma"/>
          <w:bCs/>
          <w:iCs/>
          <w:color w:val="auto"/>
          <w:lang w:val="es-ES" w:eastAsia="es-ES"/>
        </w:rPr>
        <w:t xml:space="preserve"> nombre completo, tipo de plaza, cargo, área y departamento de adscripción</w:t>
      </w:r>
      <w:r w:rsidR="00E5156D">
        <w:rPr>
          <w:rFonts w:eastAsia="Times New Roman" w:cs="Tahoma"/>
          <w:bCs/>
          <w:iCs/>
          <w:color w:val="auto"/>
          <w:lang w:val="es-ES" w:eastAsia="es-ES"/>
        </w:rPr>
        <w:t>, así como</w:t>
      </w:r>
      <w:r w:rsidR="003222F5">
        <w:rPr>
          <w:rFonts w:eastAsia="Times New Roman" w:cs="Tahoma"/>
          <w:bCs/>
          <w:iCs/>
          <w:color w:val="auto"/>
          <w:lang w:val="es-ES" w:eastAsia="es-ES"/>
        </w:rPr>
        <w:t>,</w:t>
      </w:r>
      <w:r w:rsidR="00E5156D">
        <w:rPr>
          <w:rFonts w:eastAsia="Times New Roman" w:cs="Tahoma"/>
          <w:bCs/>
          <w:iCs/>
          <w:color w:val="auto"/>
          <w:lang w:val="es-ES" w:eastAsia="es-ES"/>
        </w:rPr>
        <w:t xml:space="preserve"> </w:t>
      </w:r>
      <w:r w:rsidR="003222F5">
        <w:rPr>
          <w:rFonts w:eastAsia="Times New Roman" w:cs="Tahoma"/>
          <w:bCs/>
          <w:iCs/>
          <w:color w:val="auto"/>
          <w:lang w:val="es-ES" w:eastAsia="es-ES"/>
        </w:rPr>
        <w:t>d</w:t>
      </w:r>
      <w:r w:rsidR="00E5156D">
        <w:rPr>
          <w:rFonts w:eastAsia="Times New Roman" w:cs="Tahoma"/>
          <w:bCs/>
          <w:iCs/>
          <w:color w:val="auto"/>
          <w:lang w:val="es-ES" w:eastAsia="es-ES"/>
        </w:rPr>
        <w:t xml:space="preserve">ocumento donde consten </w:t>
      </w:r>
      <w:r w:rsidR="007549D8" w:rsidRPr="007549D8">
        <w:rPr>
          <w:rFonts w:cs="Tahoma"/>
          <w:bCs/>
          <w:color w:val="000000"/>
          <w:lang w:eastAsia="es-MX"/>
        </w:rPr>
        <w:t>las remuneraciones</w:t>
      </w:r>
      <w:r w:rsidR="00E5156D">
        <w:rPr>
          <w:rFonts w:cs="Tahoma"/>
          <w:bCs/>
          <w:color w:val="000000"/>
          <w:lang w:eastAsia="es-MX"/>
        </w:rPr>
        <w:t xml:space="preserve"> </w:t>
      </w:r>
      <w:r w:rsidR="007549D8" w:rsidRPr="007549D8">
        <w:rPr>
          <w:rFonts w:cs="Tahoma"/>
          <w:bCs/>
          <w:color w:val="000000"/>
          <w:lang w:eastAsia="es-MX"/>
        </w:rPr>
        <w:t xml:space="preserve">pagadas a todos los servidores públicos adscritos al Ayuntamiento de </w:t>
      </w:r>
      <w:r w:rsidR="00E5156D">
        <w:rPr>
          <w:rFonts w:cs="Tahoma"/>
          <w:bCs/>
          <w:color w:val="000000"/>
          <w:lang w:eastAsia="es-MX"/>
        </w:rPr>
        <w:t>Chimalhuacán</w:t>
      </w:r>
      <w:r w:rsidR="007549D8" w:rsidRPr="007549D8">
        <w:rPr>
          <w:rFonts w:cs="Tahoma"/>
          <w:bCs/>
          <w:color w:val="000000"/>
          <w:lang w:eastAsia="es-MX"/>
        </w:rPr>
        <w:t xml:space="preserve">, de la primera quincena de enero a la primera de mayo de dos mil veintidós, que contenga, </w:t>
      </w:r>
      <w:r w:rsidR="00E5156D">
        <w:rPr>
          <w:rFonts w:cs="Tahoma"/>
          <w:bCs/>
          <w:color w:val="000000"/>
          <w:lang w:eastAsia="es-MX"/>
        </w:rPr>
        <w:t>el sueldo (quincenal y mensual).</w:t>
      </w:r>
    </w:p>
    <w:p w14:paraId="35BB4316" w14:textId="77777777" w:rsidR="00682222" w:rsidRDefault="00682222" w:rsidP="005076E9">
      <w:pPr>
        <w:spacing w:after="0" w:line="360" w:lineRule="auto"/>
      </w:pPr>
    </w:p>
    <w:p w14:paraId="70EC4A2C" w14:textId="7C98B9D1" w:rsidR="000F5C98" w:rsidRPr="00D75450" w:rsidRDefault="000F5C98" w:rsidP="005076E9">
      <w:pPr>
        <w:spacing w:after="0" w:line="360" w:lineRule="auto"/>
        <w:ind w:right="-93"/>
        <w:rPr>
          <w:rFonts w:eastAsia="Calibri" w:cs="Tahoma"/>
          <w:bCs/>
          <w:lang w:val="es-ES_tradnl"/>
        </w:rPr>
      </w:pPr>
      <w:r w:rsidRPr="00D75450">
        <w:rPr>
          <w:rFonts w:eastAsia="Calibri" w:cs="Tahoma"/>
          <w:bCs/>
          <w:lang w:val="es-ES_tradnl"/>
        </w:rPr>
        <w:lastRenderedPageBreak/>
        <w:t>Ahora bien, no pasa desapercibido, que conforme al artículo</w:t>
      </w:r>
      <w:r>
        <w:rPr>
          <w:rFonts w:eastAsia="Calibri" w:cs="Tahoma"/>
          <w:bCs/>
          <w:lang w:val="es-ES_tradnl"/>
        </w:rPr>
        <w:t xml:space="preserve"> </w:t>
      </w:r>
      <w:r w:rsidR="003222F5">
        <w:rPr>
          <w:rFonts w:eastAsia="Calibri" w:cs="Tahoma"/>
          <w:bCs/>
          <w:lang w:val="es-ES_tradnl"/>
        </w:rPr>
        <w:t xml:space="preserve">62 fracción IX, del Bando </w:t>
      </w:r>
      <w:r w:rsidR="0022122A">
        <w:rPr>
          <w:rFonts w:eastAsia="Calibri" w:cs="Tahoma"/>
          <w:bCs/>
          <w:lang w:val="es-ES_tradnl"/>
        </w:rPr>
        <w:t>Municipal</w:t>
      </w:r>
      <w:r w:rsidR="007549D8" w:rsidRPr="007549D8">
        <w:rPr>
          <w:rFonts w:eastAsia="Calibri" w:cs="Tahoma"/>
          <w:bCs/>
          <w:lang w:val="es-ES_tradnl"/>
        </w:rPr>
        <w:t xml:space="preserve"> de </w:t>
      </w:r>
      <w:r w:rsidR="00E5156D">
        <w:rPr>
          <w:rFonts w:eastAsia="Calibri" w:cs="Tahoma"/>
          <w:bCs/>
          <w:lang w:val="es-ES_tradnl"/>
        </w:rPr>
        <w:t>Chimalhuacán</w:t>
      </w:r>
      <w:r w:rsidR="0022122A">
        <w:rPr>
          <w:rFonts w:eastAsia="Calibri" w:cs="Tahoma"/>
          <w:bCs/>
          <w:lang w:val="es-ES_tradnl"/>
        </w:rPr>
        <w:t xml:space="preserve"> 2022-2024</w:t>
      </w:r>
      <w:r w:rsidRPr="00D75450">
        <w:rPr>
          <w:rFonts w:eastAsia="Times New Roman" w:cs="Times New Roman"/>
          <w:color w:val="auto"/>
          <w:lang w:eastAsia="es-ES"/>
        </w:rPr>
        <w:t>,</w:t>
      </w:r>
      <w:r w:rsidRPr="00D75450">
        <w:rPr>
          <w:rFonts w:eastAsia="Calibri" w:cs="Tahoma"/>
          <w:bCs/>
          <w:lang w:val="es-ES_tradnl"/>
        </w:rPr>
        <w:t xml:space="preserve"> el Sujeto Obligado cuenta con </w:t>
      </w:r>
      <w:r w:rsidR="007549D8">
        <w:rPr>
          <w:rFonts w:eastAsia="Calibri" w:cs="Tahoma"/>
          <w:bCs/>
          <w:lang w:val="es-ES_tradnl"/>
        </w:rPr>
        <w:t>la</w:t>
      </w:r>
      <w:r w:rsidR="009F124B">
        <w:rPr>
          <w:rFonts w:eastAsia="Calibri" w:cs="Tahoma"/>
          <w:bCs/>
          <w:lang w:val="es-ES_tradnl"/>
        </w:rPr>
        <w:t xml:space="preserve"> </w:t>
      </w:r>
      <w:r w:rsidR="0022122A" w:rsidRPr="0022122A">
        <w:rPr>
          <w:rFonts w:eastAsia="Calibri" w:cs="Tahoma"/>
          <w:bCs/>
        </w:rPr>
        <w:t xml:space="preserve"> </w:t>
      </w:r>
      <w:r w:rsidR="0022122A" w:rsidRPr="003222F5">
        <w:rPr>
          <w:rFonts w:eastAsia="Calibri" w:cs="Tahoma"/>
          <w:b/>
          <w:bCs/>
          <w:u w:val="single"/>
        </w:rPr>
        <w:t>Dirección General de Seguridad Ciudadana y Tránsito Municipal</w:t>
      </w:r>
      <w:r>
        <w:rPr>
          <w:rFonts w:eastAsia="Calibri" w:cs="Tahoma"/>
          <w:bCs/>
          <w:lang w:val="es-ES_tradnl"/>
        </w:rPr>
        <w:t>,</w:t>
      </w:r>
      <w:r w:rsidRPr="00D75450">
        <w:rPr>
          <w:rFonts w:eastAsia="Calibri" w:cs="Tahoma"/>
          <w:bCs/>
          <w:lang w:val="es-ES_tradnl"/>
        </w:rPr>
        <w:t xml:space="preserve"> encargada de </w:t>
      </w:r>
      <w:r w:rsidR="0022122A" w:rsidRPr="0022122A">
        <w:rPr>
          <w:rFonts w:eastAsia="Calibri" w:cs="Tahoma"/>
          <w:bCs/>
        </w:rPr>
        <w:t>salvaguardar los derechos, la integridad física y patrimonial de la sociedad, la paz, tranquilidad y el orden público; así como prevenir el delito y posibles infracciones al presente Bando y demás disposiciones legales, siguiendo los principios de legalidad, objetividad, eficiencia, eficacia, profesionalismo, honradez y respeto a los derechos humanos</w:t>
      </w:r>
      <w:r w:rsidRPr="00D75450">
        <w:rPr>
          <w:rFonts w:eastAsia="Calibri" w:cs="Tahoma"/>
          <w:bCs/>
          <w:lang w:val="es-ES_tradnl"/>
        </w:rPr>
        <w:t>; lo anterior, a través de servidores públicos que realizan funciones operativas en materia de seguridad pública, como lo son, los elementos policiales.</w:t>
      </w:r>
    </w:p>
    <w:p w14:paraId="33E66C7A" w14:textId="77777777" w:rsidR="000F5C98" w:rsidRPr="00D75450" w:rsidRDefault="000F5C98" w:rsidP="005076E9">
      <w:pPr>
        <w:spacing w:after="0" w:line="360" w:lineRule="auto"/>
        <w:ind w:right="-93"/>
        <w:rPr>
          <w:rFonts w:eastAsia="Calibri" w:cs="Tahoma"/>
          <w:bCs/>
          <w:lang w:val="es-ES_tradnl"/>
        </w:rPr>
      </w:pPr>
    </w:p>
    <w:p w14:paraId="29DC4CC7" w14:textId="77777777" w:rsidR="000F5C98" w:rsidRPr="00D75450" w:rsidRDefault="000F5C98" w:rsidP="005076E9">
      <w:pPr>
        <w:spacing w:after="0" w:line="360" w:lineRule="auto"/>
        <w:rPr>
          <w:rFonts w:eastAsia="Calibri" w:cs="Times New Roman"/>
          <w:color w:val="auto"/>
          <w:szCs w:val="20"/>
          <w:lang w:eastAsia="es-ES"/>
        </w:rPr>
      </w:pPr>
      <w:r w:rsidRPr="00D75450">
        <w:rPr>
          <w:rFonts w:eastAsia="Calibri" w:cs="Times New Roman"/>
          <w:color w:val="auto"/>
          <w:szCs w:val="20"/>
          <w:lang w:eastAsia="es-ES"/>
        </w:rPr>
        <w:t>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037A3A93" w14:textId="77777777" w:rsidR="000F5C98" w:rsidRPr="00D75450" w:rsidRDefault="000F5C98" w:rsidP="005076E9">
      <w:pPr>
        <w:spacing w:after="0" w:line="360" w:lineRule="auto"/>
        <w:rPr>
          <w:rFonts w:eastAsia="Times New Roman" w:cs="Tahoma"/>
          <w:color w:val="auto"/>
          <w:lang w:eastAsia="es-ES"/>
        </w:rPr>
      </w:pPr>
    </w:p>
    <w:p w14:paraId="0325C96F" w14:textId="77777777" w:rsidR="000F5C98" w:rsidRPr="00D75450" w:rsidRDefault="000F5C98" w:rsidP="005076E9">
      <w:pPr>
        <w:tabs>
          <w:tab w:val="left" w:pos="4962"/>
        </w:tabs>
        <w:spacing w:after="0" w:line="360" w:lineRule="auto"/>
        <w:ind w:left="567" w:right="567"/>
        <w:rPr>
          <w:rFonts w:eastAsia="Calibri" w:cs="Tahoma"/>
          <w:i/>
          <w:iCs/>
          <w:color w:val="auto"/>
          <w:sz w:val="20"/>
          <w:szCs w:val="20"/>
          <w:lang w:val="es-ES" w:eastAsia="es-ES_tradnl"/>
        </w:rPr>
      </w:pPr>
      <w:r w:rsidRPr="00D75450">
        <w:rPr>
          <w:rFonts w:eastAsia="Calibri" w:cs="Tahoma"/>
          <w:i/>
          <w:iCs/>
          <w:color w:val="auto"/>
          <w:sz w:val="20"/>
          <w:szCs w:val="20"/>
          <w:lang w:val="es-ES" w:eastAsia="es-ES_tradnl"/>
        </w:rPr>
        <w:t>“</w:t>
      </w:r>
      <w:r w:rsidRPr="00D75450">
        <w:rPr>
          <w:rFonts w:eastAsia="Calibri" w:cs="Tahoma"/>
          <w:b/>
          <w:i/>
          <w:iCs/>
          <w:color w:val="auto"/>
          <w:sz w:val="20"/>
          <w:szCs w:val="20"/>
          <w:lang w:val="es-ES" w:eastAsia="es-ES_tradnl"/>
        </w:rPr>
        <w:t>Artículo 140.</w:t>
      </w:r>
      <w:r w:rsidRPr="00D75450">
        <w:rPr>
          <w:rFonts w:eastAsia="Calibri" w:cs="Tahoma"/>
          <w:i/>
          <w:iCs/>
          <w:color w:val="auto"/>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14:paraId="5BAD6B5C" w14:textId="77777777" w:rsidR="000F5C98" w:rsidRPr="00D75450" w:rsidRDefault="000F5C98" w:rsidP="005076E9">
      <w:pPr>
        <w:tabs>
          <w:tab w:val="left" w:pos="4962"/>
        </w:tabs>
        <w:spacing w:after="0" w:line="360" w:lineRule="auto"/>
        <w:ind w:left="567" w:right="567"/>
        <w:rPr>
          <w:rFonts w:eastAsia="Calibri" w:cs="Tahoma"/>
          <w:i/>
          <w:iCs/>
          <w:color w:val="auto"/>
          <w:sz w:val="20"/>
          <w:szCs w:val="20"/>
          <w:lang w:val="es-ES" w:eastAsia="es-ES_tradnl"/>
        </w:rPr>
      </w:pPr>
      <w:r w:rsidRPr="00D75450">
        <w:rPr>
          <w:rFonts w:eastAsia="Calibri" w:cs="Tahoma"/>
          <w:i/>
          <w:iCs/>
          <w:color w:val="auto"/>
          <w:sz w:val="20"/>
          <w:szCs w:val="20"/>
          <w:lang w:val="es-ES" w:eastAsia="es-ES_tradnl"/>
        </w:rPr>
        <w:t>…</w:t>
      </w:r>
    </w:p>
    <w:p w14:paraId="26FC7F91" w14:textId="77777777" w:rsidR="000F5C98" w:rsidRPr="00D75450" w:rsidRDefault="000F5C98" w:rsidP="005076E9">
      <w:pPr>
        <w:tabs>
          <w:tab w:val="left" w:pos="4962"/>
        </w:tabs>
        <w:spacing w:after="0" w:line="360" w:lineRule="auto"/>
        <w:ind w:left="567" w:right="567"/>
        <w:rPr>
          <w:rFonts w:eastAsia="Calibri" w:cs="Tahoma"/>
          <w:i/>
          <w:iCs/>
          <w:color w:val="auto"/>
          <w:sz w:val="20"/>
          <w:szCs w:val="20"/>
          <w:lang w:eastAsia="es-ES_tradnl"/>
        </w:rPr>
      </w:pPr>
      <w:r w:rsidRPr="00D75450">
        <w:rPr>
          <w:rFonts w:eastAsia="Calibri" w:cs="Tahoma"/>
          <w:i/>
          <w:iCs/>
          <w:color w:val="auto"/>
          <w:sz w:val="20"/>
          <w:szCs w:val="20"/>
          <w:lang w:eastAsia="es-ES_tradnl"/>
        </w:rPr>
        <w:t>IV. Ponga en riesgo la vida, la seguridad o la salud de una persona física;</w:t>
      </w:r>
    </w:p>
    <w:p w14:paraId="3FB6B1AC" w14:textId="77777777" w:rsidR="000F5C98" w:rsidRPr="00D75450" w:rsidRDefault="000F5C98" w:rsidP="005076E9">
      <w:pPr>
        <w:tabs>
          <w:tab w:val="left" w:pos="4962"/>
        </w:tabs>
        <w:spacing w:after="0" w:line="360" w:lineRule="auto"/>
        <w:ind w:left="567" w:right="567"/>
        <w:rPr>
          <w:rFonts w:eastAsia="Calibri" w:cs="Tahoma"/>
          <w:i/>
          <w:iCs/>
          <w:color w:val="auto"/>
          <w:sz w:val="20"/>
          <w:szCs w:val="20"/>
          <w:lang w:val="es-ES" w:eastAsia="es-ES_tradnl"/>
        </w:rPr>
      </w:pPr>
      <w:r w:rsidRPr="00D75450">
        <w:rPr>
          <w:rFonts w:eastAsia="Calibri" w:cs="Tahoma"/>
          <w:i/>
          <w:iCs/>
          <w:color w:val="auto"/>
          <w:sz w:val="20"/>
          <w:szCs w:val="20"/>
          <w:lang w:val="es-ES" w:eastAsia="es-ES_tradnl"/>
        </w:rPr>
        <w:t xml:space="preserve">…” </w:t>
      </w:r>
    </w:p>
    <w:p w14:paraId="5ECADEB6" w14:textId="77777777" w:rsidR="000F5C98" w:rsidRPr="00D75450" w:rsidRDefault="000F5C98" w:rsidP="005076E9">
      <w:pPr>
        <w:spacing w:after="0" w:line="360" w:lineRule="auto"/>
        <w:rPr>
          <w:rFonts w:eastAsia="Calibri" w:cs="Tahoma"/>
          <w:bCs/>
          <w:color w:val="auto"/>
        </w:rPr>
      </w:pPr>
    </w:p>
    <w:p w14:paraId="27CED40B"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 xml:space="preserve">Del precepto legal anteriormente citado se desprende que como información reservada podrá clasificarse aquella cuya publicación pueda poner en riesgo la vida, seguridad o salud de una persona física; para acreditar lo anterior, los </w:t>
      </w:r>
      <w:r w:rsidRPr="00D75450">
        <w:rPr>
          <w:rFonts w:eastAsia="Calibri" w:cs="Tahoma"/>
          <w:bCs/>
          <w:color w:val="auto"/>
          <w:lang w:val="es-ES"/>
        </w:rPr>
        <w:t xml:space="preserve">Lineamientos Generales, </w:t>
      </w:r>
      <w:r w:rsidRPr="00D75450">
        <w:rPr>
          <w:rFonts w:eastAsia="Calibri" w:cs="Tahoma"/>
          <w:bCs/>
          <w:color w:val="auto"/>
        </w:rPr>
        <w:t>establecen lo siguiente:</w:t>
      </w:r>
    </w:p>
    <w:p w14:paraId="44A9815D" w14:textId="77777777" w:rsidR="000F5C98" w:rsidRPr="00D75450" w:rsidRDefault="000F5C98" w:rsidP="005076E9">
      <w:pPr>
        <w:spacing w:after="0" w:line="360" w:lineRule="auto"/>
        <w:rPr>
          <w:rFonts w:eastAsia="Calibri" w:cs="Tahoma"/>
          <w:bCs/>
          <w:color w:val="auto"/>
        </w:rPr>
      </w:pPr>
    </w:p>
    <w:p w14:paraId="35D49EAF" w14:textId="77777777" w:rsidR="000F5C98" w:rsidRPr="00D75450" w:rsidRDefault="000F5C98" w:rsidP="005076E9">
      <w:pPr>
        <w:spacing w:after="0" w:line="360" w:lineRule="auto"/>
        <w:ind w:left="567" w:right="567"/>
        <w:rPr>
          <w:rFonts w:eastAsia="Calibri" w:cs="Tahoma"/>
          <w:bCs/>
          <w:i/>
          <w:color w:val="auto"/>
          <w:sz w:val="20"/>
          <w:szCs w:val="20"/>
        </w:rPr>
      </w:pPr>
      <w:r w:rsidRPr="00D75450">
        <w:rPr>
          <w:rFonts w:eastAsia="Calibri" w:cs="Tahoma"/>
          <w:b/>
          <w:bCs/>
          <w:i/>
          <w:color w:val="auto"/>
          <w:sz w:val="20"/>
          <w:szCs w:val="20"/>
        </w:rPr>
        <w:lastRenderedPageBreak/>
        <w:t xml:space="preserve">“Vigésimo tercero. </w:t>
      </w:r>
      <w:r w:rsidRPr="00D75450">
        <w:rPr>
          <w:rFonts w:eastAsia="Calibri" w:cs="Tahoma"/>
          <w:bCs/>
          <w:i/>
          <w:color w:val="auto"/>
          <w:sz w:val="20"/>
          <w:szCs w:val="20"/>
        </w:rPr>
        <w:t>Para clasificar la información como reservada, de conformidad con el artículo 113, fracción V de la Ley General, será necesario acreditar un vínculo, entre la persona física y la información que pueda poner en riesgo su vida, seguridad o salud.”</w:t>
      </w:r>
    </w:p>
    <w:p w14:paraId="38D86782" w14:textId="77777777" w:rsidR="000F5C98" w:rsidRPr="00D75450" w:rsidRDefault="000F5C98" w:rsidP="005076E9">
      <w:pPr>
        <w:spacing w:after="0" w:line="360" w:lineRule="auto"/>
        <w:ind w:left="567" w:right="567"/>
        <w:rPr>
          <w:rFonts w:eastAsia="Calibri" w:cs="Tahoma"/>
          <w:bCs/>
          <w:i/>
          <w:color w:val="auto"/>
          <w:sz w:val="20"/>
          <w:szCs w:val="20"/>
        </w:rPr>
      </w:pPr>
    </w:p>
    <w:p w14:paraId="6107A816"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 xml:space="preserve">Del Lineamiento referido, se desprende que para clasificar la información como reservada, será necesario </w:t>
      </w:r>
      <w:r w:rsidRPr="00D75450">
        <w:rPr>
          <w:rFonts w:eastAsia="Calibri" w:cs="Tahoma"/>
          <w:b/>
          <w:bCs/>
          <w:color w:val="auto"/>
        </w:rPr>
        <w:t>acreditar un vínculo, entre la persona física y la información que pueda poner en riesgo su vida, seguridad o salud</w:t>
      </w:r>
      <w:r w:rsidRPr="00D75450">
        <w:rPr>
          <w:rFonts w:eastAsia="Calibri" w:cs="Tahoma"/>
          <w:bCs/>
          <w:color w:val="auto"/>
        </w:rPr>
        <w:t>.</w:t>
      </w:r>
    </w:p>
    <w:p w14:paraId="7DC8473A" w14:textId="77777777" w:rsidR="000F5C98" w:rsidRPr="00D75450" w:rsidRDefault="000F5C98" w:rsidP="005076E9">
      <w:pPr>
        <w:spacing w:after="0" w:line="360" w:lineRule="auto"/>
        <w:rPr>
          <w:rFonts w:eastAsia="Calibri" w:cs="Tahoma"/>
          <w:bCs/>
          <w:color w:val="auto"/>
          <w:highlight w:val="green"/>
        </w:rPr>
      </w:pPr>
    </w:p>
    <w:p w14:paraId="07618A37"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Además, el artículo 81, fracción III, de la Ley de Seguridad del Estado de México, establece lo siguiente:</w:t>
      </w:r>
    </w:p>
    <w:p w14:paraId="4400031F" w14:textId="77777777" w:rsidR="000F5C98" w:rsidRPr="00D75450" w:rsidRDefault="000F5C98" w:rsidP="005076E9">
      <w:pPr>
        <w:spacing w:after="0" w:line="360" w:lineRule="auto"/>
        <w:rPr>
          <w:rFonts w:eastAsia="Calibri" w:cs="Tahoma"/>
          <w:bCs/>
          <w:color w:val="auto"/>
        </w:rPr>
      </w:pPr>
    </w:p>
    <w:p w14:paraId="4F849D5E" w14:textId="77777777" w:rsidR="000F5C98" w:rsidRPr="00D75450" w:rsidRDefault="000F5C98" w:rsidP="005076E9">
      <w:pPr>
        <w:spacing w:after="0" w:line="360" w:lineRule="auto"/>
        <w:ind w:left="567" w:right="567"/>
        <w:rPr>
          <w:rFonts w:eastAsia="Calibri" w:cs="Tahoma"/>
          <w:bCs/>
          <w:i/>
          <w:color w:val="auto"/>
          <w:sz w:val="20"/>
          <w:szCs w:val="20"/>
        </w:rPr>
      </w:pPr>
      <w:r w:rsidRPr="00D75450">
        <w:rPr>
          <w:rFonts w:eastAsia="Calibri" w:cs="Tahoma"/>
          <w:b/>
          <w:bCs/>
          <w:i/>
          <w:color w:val="auto"/>
          <w:sz w:val="20"/>
          <w:szCs w:val="20"/>
        </w:rPr>
        <w:t>“Artículo 81.-</w:t>
      </w:r>
      <w:r w:rsidRPr="00D75450">
        <w:rPr>
          <w:rFonts w:eastAsia="Calibri" w:cs="Tahoma"/>
          <w:bCs/>
          <w:i/>
          <w:color w:val="auto"/>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D960893" w14:textId="77777777" w:rsidR="000F5C98" w:rsidRPr="00D75450" w:rsidRDefault="000F5C98" w:rsidP="005076E9">
      <w:pPr>
        <w:spacing w:after="0" w:line="360" w:lineRule="auto"/>
        <w:ind w:left="567" w:right="567"/>
        <w:rPr>
          <w:rFonts w:eastAsia="Calibri" w:cs="Tahoma"/>
          <w:bCs/>
          <w:i/>
          <w:color w:val="auto"/>
          <w:sz w:val="20"/>
          <w:szCs w:val="20"/>
        </w:rPr>
      </w:pPr>
      <w:r w:rsidRPr="00D75450">
        <w:rPr>
          <w:rFonts w:eastAsia="Calibri" w:cs="Tahoma"/>
          <w:bCs/>
          <w:i/>
          <w:color w:val="auto"/>
          <w:sz w:val="20"/>
          <w:szCs w:val="20"/>
        </w:rPr>
        <w:t>…</w:t>
      </w:r>
    </w:p>
    <w:p w14:paraId="6FD3B8AE" w14:textId="77777777" w:rsidR="000F5C98" w:rsidRPr="00D75450" w:rsidRDefault="000F5C98" w:rsidP="005076E9">
      <w:pPr>
        <w:spacing w:after="0" w:line="360" w:lineRule="auto"/>
        <w:ind w:left="567" w:right="567"/>
        <w:rPr>
          <w:rFonts w:eastAsia="Calibri" w:cs="Tahoma"/>
          <w:bCs/>
          <w:i/>
          <w:color w:val="auto"/>
          <w:sz w:val="20"/>
          <w:szCs w:val="20"/>
        </w:rPr>
      </w:pPr>
      <w:r w:rsidRPr="00D75450">
        <w:rPr>
          <w:rFonts w:eastAsia="Calibri" w:cs="Tahoma"/>
          <w:bCs/>
          <w:i/>
          <w:color w:val="auto"/>
          <w:sz w:val="20"/>
          <w:szCs w:val="20"/>
        </w:rPr>
        <w:t>III. La relativa a los servidores públicos integrantes de las instituciones de seguridad pública, cuya revelación pueda poner en riesgo su vida e integridad física con motivo de sus funciones;</w:t>
      </w:r>
    </w:p>
    <w:p w14:paraId="2860DDC7" w14:textId="77777777" w:rsidR="000F5C98" w:rsidRPr="00D75450" w:rsidRDefault="000F5C98" w:rsidP="005076E9">
      <w:pPr>
        <w:spacing w:after="0" w:line="360" w:lineRule="auto"/>
        <w:ind w:left="567" w:right="567"/>
        <w:rPr>
          <w:rFonts w:eastAsia="Calibri" w:cs="Tahoma"/>
          <w:bCs/>
          <w:i/>
          <w:color w:val="auto"/>
          <w:sz w:val="20"/>
          <w:szCs w:val="20"/>
        </w:rPr>
      </w:pPr>
      <w:r w:rsidRPr="00D75450">
        <w:rPr>
          <w:rFonts w:eastAsia="Calibri" w:cs="Tahoma"/>
          <w:bCs/>
          <w:i/>
          <w:color w:val="auto"/>
          <w:sz w:val="20"/>
          <w:szCs w:val="20"/>
        </w:rPr>
        <w:t>…”</w:t>
      </w:r>
    </w:p>
    <w:p w14:paraId="2728EACB" w14:textId="77777777" w:rsidR="000F5C98" w:rsidRPr="00D75450" w:rsidRDefault="000F5C98" w:rsidP="005076E9">
      <w:pPr>
        <w:spacing w:after="0" w:line="360" w:lineRule="auto"/>
        <w:rPr>
          <w:rFonts w:eastAsia="Calibri" w:cs="Tahoma"/>
          <w:bCs/>
          <w:color w:val="auto"/>
          <w:sz w:val="20"/>
          <w:szCs w:val="20"/>
        </w:rPr>
      </w:pPr>
    </w:p>
    <w:p w14:paraId="755F5948" w14:textId="2CA2F793" w:rsidR="000F5C98" w:rsidRPr="00D75450" w:rsidRDefault="000F5C98" w:rsidP="005076E9">
      <w:pPr>
        <w:spacing w:after="0" w:line="360" w:lineRule="auto"/>
        <w:rPr>
          <w:rFonts w:eastAsia="Calibri" w:cs="Tahoma"/>
          <w:bCs/>
          <w:color w:val="auto"/>
        </w:rPr>
      </w:pPr>
      <w:r w:rsidRPr="00D75450">
        <w:rPr>
          <w:rFonts w:eastAsia="Times New Roman" w:cs="Tahoma"/>
          <w:color w:val="auto"/>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r w:rsidR="001A4A9C">
        <w:rPr>
          <w:rFonts w:eastAsia="Times New Roman" w:cs="Tahoma"/>
          <w:color w:val="auto"/>
          <w:lang w:eastAsia="es-ES"/>
        </w:rPr>
        <w:t xml:space="preserve"> </w:t>
      </w:r>
      <w:r w:rsidRPr="00D75450">
        <w:rPr>
          <w:rFonts w:eastAsia="Calibri" w:cs="Tahoma"/>
          <w:bCs/>
          <w:color w:val="auto"/>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6A4D8C35" w14:textId="77777777" w:rsidR="000F5C98" w:rsidRPr="00D75450" w:rsidRDefault="000F5C98" w:rsidP="005076E9">
      <w:pPr>
        <w:spacing w:after="0" w:line="360" w:lineRule="auto"/>
        <w:rPr>
          <w:rFonts w:eastAsia="Times New Roman" w:cs="Tahoma"/>
          <w:color w:val="auto"/>
          <w:lang w:eastAsia="es-ES"/>
        </w:rPr>
      </w:pPr>
      <w:r w:rsidRPr="00D75450">
        <w:rPr>
          <w:rFonts w:eastAsia="Calibri" w:cs="Tahoma"/>
          <w:bCs/>
          <w:color w:val="auto"/>
        </w:rPr>
        <w:lastRenderedPageBreak/>
        <w:t xml:space="preserve">No obstante, resulta necesario traer a colación por analogía, el </w:t>
      </w:r>
      <w:r w:rsidRPr="0054139B">
        <w:rPr>
          <w:lang w:val="es-ES"/>
        </w:rPr>
        <w:t>Criterio</w:t>
      </w:r>
      <w:r>
        <w:rPr>
          <w:lang w:val="es-ES"/>
        </w:rPr>
        <w:t xml:space="preserve"> de interpretación, con número de registro SO/006/2009</w:t>
      </w:r>
      <w:r w:rsidRPr="0054139B">
        <w:rPr>
          <w:lang w:val="es-ES"/>
        </w:rPr>
        <w:t>, de la Segunda Época</w:t>
      </w:r>
      <w:r>
        <w:rPr>
          <w:lang w:val="es-ES"/>
        </w:rPr>
        <w:t xml:space="preserve">, </w:t>
      </w:r>
      <w:r w:rsidRPr="00D75450">
        <w:rPr>
          <w:rFonts w:eastAsia="Calibri" w:cs="Tahoma"/>
          <w:bCs/>
          <w:color w:val="auto"/>
        </w:rPr>
        <w:t xml:space="preserve">emitido por </w:t>
      </w:r>
      <w:r w:rsidRPr="00D75450">
        <w:rPr>
          <w:rFonts w:eastAsia="Times New Roman" w:cs="Tahoma"/>
          <w:color w:val="auto"/>
          <w:lang w:eastAsia="es-ES"/>
        </w:rPr>
        <w:t>el entonces Instituto Federal de Acceso a la Información y Protección de Datos ahora Instituto Nacional de Transparencia, Acceso a la Información y Protección de Datos Personales, que establece lo siguiente:</w:t>
      </w:r>
    </w:p>
    <w:p w14:paraId="3C08B6E7" w14:textId="77777777" w:rsidR="000F5C98" w:rsidRPr="00D75450" w:rsidRDefault="000F5C98" w:rsidP="005076E9">
      <w:pPr>
        <w:spacing w:after="0" w:line="360" w:lineRule="auto"/>
        <w:rPr>
          <w:rFonts w:eastAsia="Times New Roman" w:cs="Tahoma"/>
          <w:i/>
          <w:color w:val="auto"/>
          <w:lang w:eastAsia="es-ES"/>
        </w:rPr>
      </w:pPr>
    </w:p>
    <w:p w14:paraId="355D9A1B" w14:textId="77777777" w:rsidR="000F5C98" w:rsidRPr="00D75450" w:rsidRDefault="000F5C98" w:rsidP="005076E9">
      <w:pPr>
        <w:tabs>
          <w:tab w:val="left" w:pos="4962"/>
        </w:tabs>
        <w:spacing w:after="0" w:line="360" w:lineRule="auto"/>
        <w:ind w:left="567" w:right="567"/>
        <w:rPr>
          <w:rFonts w:eastAsia="Times New Roman" w:cs="Tahoma"/>
          <w:i/>
          <w:color w:val="auto"/>
          <w:sz w:val="20"/>
          <w:lang w:eastAsia="es-ES"/>
        </w:rPr>
      </w:pPr>
      <w:r w:rsidRPr="00D75450">
        <w:rPr>
          <w:rFonts w:eastAsia="Times New Roman" w:cs="Tahoma"/>
          <w:b/>
          <w:i/>
          <w:color w:val="auto"/>
          <w:sz w:val="20"/>
          <w:lang w:eastAsia="es-ES"/>
        </w:rPr>
        <w:t>“Nombres de servidores públicos dedicados a actividades en materia de seguridad, por excepción pueden considerarse información reservada.</w:t>
      </w:r>
      <w:r w:rsidRPr="00D75450">
        <w:rPr>
          <w:rFonts w:eastAsia="Times New Roman" w:cs="Tahoma"/>
          <w:i/>
          <w:color w:val="auto"/>
          <w:sz w:val="20"/>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2EDBDA5" w14:textId="77777777" w:rsidR="000F5C98" w:rsidRPr="00D75450" w:rsidRDefault="000F5C98" w:rsidP="005076E9">
      <w:pPr>
        <w:spacing w:after="0" w:line="360" w:lineRule="auto"/>
        <w:rPr>
          <w:rFonts w:eastAsia="Calibri" w:cs="Tahoma"/>
          <w:bCs/>
          <w:color w:val="auto"/>
        </w:rPr>
      </w:pPr>
    </w:p>
    <w:p w14:paraId="559159DA"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 xml:space="preserve">De dicho criterio, se desprende que existen funciones a cargo de servidores públicos, tendientes a garantizar de manera directa la seguridad pública, a través de acciones preventivas y </w:t>
      </w:r>
      <w:r w:rsidRPr="00D75450">
        <w:rPr>
          <w:rFonts w:eastAsia="Calibri" w:cs="Tahoma"/>
          <w:bCs/>
          <w:color w:val="auto"/>
        </w:rPr>
        <w:lastRenderedPageBreak/>
        <w:t>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430E426" w14:textId="77777777" w:rsidR="000F5C98" w:rsidRPr="00D75450" w:rsidRDefault="000F5C98" w:rsidP="005076E9">
      <w:pPr>
        <w:spacing w:after="0" w:line="360" w:lineRule="auto"/>
        <w:rPr>
          <w:rFonts w:eastAsia="Calibri" w:cs="Tahoma"/>
          <w:bCs/>
          <w:color w:val="auto"/>
        </w:rPr>
      </w:pPr>
    </w:p>
    <w:p w14:paraId="22AD6B7C"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 xml:space="preserve">En ese orden de ideas, si bien por regla general los nombres de los trabajadores gubernamentales son información pública de oficio, existe una excepción relativa a </w:t>
      </w:r>
      <w:r w:rsidRPr="00D75450">
        <w:rPr>
          <w:rFonts w:eastAsia="Calibri" w:cs="Tahoma"/>
          <w:b/>
          <w:bCs/>
          <w:color w:val="auto"/>
        </w:rPr>
        <w:t>aquellos que realicen actividades operativas en materia de seguridad,</w:t>
      </w:r>
      <w:r w:rsidRPr="00D75450">
        <w:rPr>
          <w:rFonts w:eastAsia="Calibri" w:cs="Tahoma"/>
          <w:bCs/>
          <w:color w:val="auto"/>
        </w:rPr>
        <w:t xml:space="preserve"> como es el caso de los elementos operativos y la policía municipal.</w:t>
      </w:r>
    </w:p>
    <w:p w14:paraId="72013A2D" w14:textId="77777777" w:rsidR="000F5C98" w:rsidRPr="00D75450" w:rsidRDefault="000F5C98" w:rsidP="005076E9">
      <w:pPr>
        <w:spacing w:after="0" w:line="360" w:lineRule="auto"/>
        <w:rPr>
          <w:rFonts w:eastAsia="Calibri" w:cs="Tahoma"/>
          <w:bCs/>
          <w:color w:val="auto"/>
        </w:rPr>
      </w:pPr>
    </w:p>
    <w:p w14:paraId="3421D127"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06181F0" w14:textId="77777777" w:rsidR="000F5C98" w:rsidRPr="00D75450" w:rsidRDefault="000F5C98" w:rsidP="005076E9">
      <w:pPr>
        <w:spacing w:after="0" w:line="360" w:lineRule="auto"/>
        <w:rPr>
          <w:rFonts w:eastAsia="Calibri" w:cs="Tahoma"/>
          <w:bCs/>
          <w:color w:val="auto"/>
        </w:rPr>
      </w:pPr>
    </w:p>
    <w:p w14:paraId="07C29395" w14:textId="77777777" w:rsidR="000F5C98" w:rsidRPr="00D75450" w:rsidRDefault="000F5C98" w:rsidP="005076E9">
      <w:pPr>
        <w:spacing w:after="0" w:line="360" w:lineRule="auto"/>
        <w:rPr>
          <w:rFonts w:eastAsia="Calibri" w:cs="Tahoma"/>
          <w:bCs/>
          <w:color w:val="auto"/>
        </w:rPr>
      </w:pPr>
      <w:r w:rsidRPr="00D75450">
        <w:rPr>
          <w:rFonts w:eastAsia="Calibri" w:cs="Tahoma"/>
          <w:bCs/>
          <w:color w:val="auto"/>
        </w:rPr>
        <w:t>En ese contexto, el artículo 6, fracciones XI y XII de dicho ordenamiento jurídico, establece los siguientes conceptos:</w:t>
      </w:r>
    </w:p>
    <w:p w14:paraId="4EA461DE" w14:textId="77777777" w:rsidR="000F5C98" w:rsidRPr="00D75450" w:rsidRDefault="000F5C98" w:rsidP="005076E9">
      <w:pPr>
        <w:spacing w:after="0" w:line="360" w:lineRule="auto"/>
        <w:rPr>
          <w:rFonts w:eastAsia="Calibri" w:cs="Tahoma"/>
          <w:bCs/>
          <w:color w:val="auto"/>
        </w:rPr>
      </w:pPr>
    </w:p>
    <w:p w14:paraId="134B57F8" w14:textId="77777777" w:rsidR="000F5C98" w:rsidRPr="00D75450" w:rsidRDefault="000F5C98" w:rsidP="005076E9">
      <w:pPr>
        <w:numPr>
          <w:ilvl w:val="0"/>
          <w:numId w:val="28"/>
        </w:numPr>
        <w:spacing w:after="0" w:line="360" w:lineRule="auto"/>
        <w:rPr>
          <w:rFonts w:eastAsia="Calibri" w:cs="Tahoma"/>
          <w:b/>
          <w:bCs/>
          <w:color w:val="auto"/>
        </w:rPr>
      </w:pPr>
      <w:r w:rsidRPr="00D75450">
        <w:rPr>
          <w:rFonts w:eastAsia="Calibri" w:cs="Tahoma"/>
          <w:b/>
          <w:bCs/>
          <w:color w:val="auto"/>
        </w:rPr>
        <w:t xml:space="preserve">Instituciones Policiales: </w:t>
      </w:r>
      <w:r w:rsidRPr="00D75450">
        <w:rPr>
          <w:rFonts w:eastAsia="Calibri" w:cs="Tahoma"/>
          <w:bCs/>
          <w:color w:val="auto"/>
        </w:rPr>
        <w:t xml:space="preserve">Son los cuerpos de policía, de vigilancia y custodia de los establecimientos penitenciarios, detención preventiva, centros de arraigo y en general, </w:t>
      </w:r>
      <w:r w:rsidRPr="00D75450">
        <w:rPr>
          <w:rFonts w:eastAsia="Calibri" w:cs="Tahoma"/>
          <w:b/>
          <w:bCs/>
          <w:color w:val="auto"/>
        </w:rPr>
        <w:t>todas las dependencias encargadas de la seguridad pública a nivel</w:t>
      </w:r>
      <w:r w:rsidRPr="00D75450">
        <w:rPr>
          <w:rFonts w:eastAsia="Calibri" w:cs="Tahoma"/>
          <w:bCs/>
          <w:color w:val="auto"/>
        </w:rPr>
        <w:t xml:space="preserve"> estatal y </w:t>
      </w:r>
      <w:r w:rsidRPr="00D75450">
        <w:rPr>
          <w:rFonts w:eastAsia="Calibri" w:cs="Tahoma"/>
          <w:b/>
          <w:bCs/>
          <w:color w:val="auto"/>
        </w:rPr>
        <w:t>municipal.</w:t>
      </w:r>
    </w:p>
    <w:p w14:paraId="4C7A8229" w14:textId="77777777" w:rsidR="000F5C98" w:rsidRPr="00D75450" w:rsidRDefault="000F5C98" w:rsidP="005076E9">
      <w:pPr>
        <w:spacing w:after="0" w:line="360" w:lineRule="auto"/>
        <w:ind w:left="720"/>
        <w:contextualSpacing/>
        <w:rPr>
          <w:rFonts w:eastAsia="Calibri" w:cs="Tahoma"/>
          <w:bCs/>
          <w:color w:val="auto"/>
        </w:rPr>
      </w:pPr>
    </w:p>
    <w:p w14:paraId="12E03A29" w14:textId="77777777" w:rsidR="000F5C98" w:rsidRPr="00D75450" w:rsidRDefault="000F5C98" w:rsidP="005076E9">
      <w:pPr>
        <w:numPr>
          <w:ilvl w:val="0"/>
          <w:numId w:val="28"/>
        </w:numPr>
        <w:spacing w:after="0" w:line="360" w:lineRule="auto"/>
        <w:rPr>
          <w:rFonts w:eastAsia="Calibri" w:cs="Tahoma"/>
          <w:b/>
          <w:bCs/>
          <w:color w:val="auto"/>
        </w:rPr>
      </w:pPr>
      <w:r w:rsidRPr="00D75450">
        <w:rPr>
          <w:rFonts w:eastAsia="Calibri" w:cs="Tahoma"/>
          <w:b/>
          <w:bCs/>
          <w:color w:val="auto"/>
        </w:rPr>
        <w:lastRenderedPageBreak/>
        <w:t xml:space="preserve">Instituciones de Seguridad Pública: </w:t>
      </w:r>
      <w:r w:rsidRPr="00D75450">
        <w:rPr>
          <w:rFonts w:eastAsia="Calibri" w:cs="Tahoma"/>
          <w:bCs/>
          <w:color w:val="auto"/>
        </w:rPr>
        <w:t xml:space="preserve">Instituciones Policiales, Procuración de Justicia, Sistema Penitenciario y </w:t>
      </w:r>
      <w:r w:rsidRPr="00D75450">
        <w:rPr>
          <w:rFonts w:eastAsia="Calibri" w:cs="Tahoma"/>
          <w:b/>
          <w:bCs/>
          <w:color w:val="auto"/>
        </w:rPr>
        <w:t xml:space="preserve">dependencias encargadas de la seguridad pública a nivel </w:t>
      </w:r>
      <w:r w:rsidRPr="00D75450">
        <w:rPr>
          <w:rFonts w:eastAsia="Calibri" w:cs="Tahoma"/>
          <w:bCs/>
          <w:color w:val="auto"/>
        </w:rPr>
        <w:t xml:space="preserve">estatal y </w:t>
      </w:r>
      <w:r w:rsidRPr="00D75450">
        <w:rPr>
          <w:rFonts w:eastAsia="Calibri" w:cs="Tahoma"/>
          <w:b/>
          <w:bCs/>
          <w:color w:val="auto"/>
        </w:rPr>
        <w:t>municipal.</w:t>
      </w:r>
    </w:p>
    <w:p w14:paraId="3F23F383" w14:textId="77777777" w:rsidR="000F5C98" w:rsidRPr="00D75450" w:rsidRDefault="000F5C98" w:rsidP="005076E9">
      <w:pPr>
        <w:spacing w:after="0" w:line="360" w:lineRule="auto"/>
        <w:rPr>
          <w:rFonts w:eastAsia="Calibri" w:cs="Tahoma"/>
          <w:b/>
          <w:bCs/>
          <w:color w:val="auto"/>
        </w:rPr>
      </w:pPr>
    </w:p>
    <w:p w14:paraId="6141C067" w14:textId="4D544152" w:rsidR="000F5C98" w:rsidRDefault="000F5C98" w:rsidP="005076E9">
      <w:pPr>
        <w:spacing w:after="0" w:line="360" w:lineRule="auto"/>
        <w:rPr>
          <w:rFonts w:eastAsia="Calibri" w:cs="Times New Roman"/>
          <w:color w:val="auto"/>
          <w:szCs w:val="20"/>
          <w:lang w:eastAsia="es-ES"/>
        </w:rPr>
      </w:pPr>
      <w:r w:rsidRPr="00D75450">
        <w:rPr>
          <w:rFonts w:eastAsia="Calibri" w:cs="Tahoma"/>
          <w:iCs/>
          <w:color w:val="auto"/>
          <w:szCs w:val="20"/>
          <w:lang w:val="es-ES" w:eastAsia="es-ES_tradnl"/>
        </w:rPr>
        <w:t>Conforme a lo anterior</w:t>
      </w:r>
      <w:r w:rsidRPr="00D75450">
        <w:rPr>
          <w:rFonts w:eastAsia="Calibri" w:cs="Tahoma"/>
          <w:bCs/>
          <w:color w:val="auto"/>
        </w:rPr>
        <w:t xml:space="preserve">, se puede deducir que la </w:t>
      </w:r>
      <w:r w:rsidRPr="00D75450">
        <w:rPr>
          <w:rFonts w:eastAsia="Calibri" w:cs="Tahoma"/>
          <w:bCs/>
          <w:lang w:val="es-ES_tradnl"/>
        </w:rPr>
        <w:t xml:space="preserve">Dirección </w:t>
      </w:r>
      <w:r w:rsidR="00D05957">
        <w:rPr>
          <w:rFonts w:eastAsia="Calibri" w:cs="Tahoma"/>
          <w:bCs/>
          <w:lang w:val="es-ES_tradnl"/>
        </w:rPr>
        <w:t>General de Seguridad Ciudadana y Tránsito Municipal</w:t>
      </w:r>
      <w:r w:rsidRPr="00D75450">
        <w:rPr>
          <w:rFonts w:eastAsia="Calibri" w:cs="Tahoma"/>
          <w:bCs/>
          <w:color w:val="auto"/>
        </w:rPr>
        <w:t xml:space="preserve">, es una institución de seguridad pública, pues tiene como atribución principal, la prevención de delitos </w:t>
      </w:r>
      <w:r w:rsidRPr="00D75450">
        <w:rPr>
          <w:rFonts w:eastAsia="Calibri" w:cs="Times New Roman"/>
          <w:color w:val="auto"/>
          <w:szCs w:val="20"/>
          <w:lang w:eastAsia="es-ES"/>
        </w:rPr>
        <w:t>y proteger a las personas, sus propiedades, posesiones y derechos.</w:t>
      </w:r>
    </w:p>
    <w:p w14:paraId="79840719" w14:textId="77777777" w:rsidR="007549D8" w:rsidRPr="00D75450" w:rsidRDefault="007549D8" w:rsidP="005076E9">
      <w:pPr>
        <w:spacing w:after="0" w:line="360" w:lineRule="auto"/>
        <w:rPr>
          <w:rFonts w:eastAsia="Calibri" w:cs="Times New Roman"/>
          <w:color w:val="auto"/>
          <w:szCs w:val="20"/>
          <w:lang w:eastAsia="es-ES"/>
        </w:rPr>
      </w:pPr>
    </w:p>
    <w:p w14:paraId="327F2B20" w14:textId="51EFD0E7" w:rsidR="000F5C98" w:rsidRPr="00D75450" w:rsidRDefault="00D05957" w:rsidP="005076E9">
      <w:pPr>
        <w:tabs>
          <w:tab w:val="left" w:pos="4962"/>
        </w:tabs>
        <w:spacing w:after="0" w:line="360" w:lineRule="auto"/>
        <w:ind w:right="-28"/>
        <w:rPr>
          <w:rFonts w:eastAsia="Calibri" w:cs="Tahoma"/>
          <w:bCs/>
          <w:color w:val="auto"/>
        </w:rPr>
      </w:pPr>
      <w:r>
        <w:rPr>
          <w:rFonts w:eastAsia="Calibri" w:cs="Tahoma"/>
          <w:bCs/>
          <w:color w:val="auto"/>
          <w:lang w:val="es-ES"/>
        </w:rPr>
        <w:t>Por su parte</w:t>
      </w:r>
      <w:r w:rsidR="000F5C98" w:rsidRPr="00D75450">
        <w:rPr>
          <w:rFonts w:eastAsia="Calibri" w:cs="Tahoma"/>
          <w:bCs/>
          <w:color w:val="auto"/>
          <w:lang w:val="es-ES"/>
        </w:rPr>
        <w:t xml:space="preserve">, </w:t>
      </w:r>
      <w:r w:rsidR="000F5C98" w:rsidRPr="00D75450">
        <w:rPr>
          <w:rFonts w:eastAsia="Calibri" w:cs="Tahoma"/>
          <w:bCs/>
          <w:color w:val="auto"/>
        </w:rPr>
        <w:t xml:space="preserve">el Instructivo de llenado del Formato “Personal de Seguridad Pública”, del Secretariado Ejecutivo del Sistema Nacional de Seguridad Pública (consultado el </w:t>
      </w:r>
      <w:r w:rsidR="00543BE6">
        <w:rPr>
          <w:rFonts w:eastAsia="Calibri" w:cs="Tahoma"/>
          <w:bCs/>
          <w:color w:val="auto"/>
        </w:rPr>
        <w:t>quince de febrero de dos mil veintitrés</w:t>
      </w:r>
      <w:r w:rsidR="000F5C98" w:rsidRPr="00D75450">
        <w:rPr>
          <w:rFonts w:eastAsia="Calibri" w:cs="Tahoma"/>
          <w:bCs/>
          <w:color w:val="auto"/>
        </w:rPr>
        <w:t xml:space="preserve">, en la liga electrónica </w:t>
      </w:r>
      <w:hyperlink r:id="rId17" w:history="1">
        <w:r w:rsidR="000F5C98" w:rsidRPr="00D75450">
          <w:rPr>
            <w:rFonts w:eastAsia="Calibri" w:cs="Tahoma"/>
            <w:bCs/>
            <w:color w:val="0563C1"/>
            <w:u w:val="single"/>
          </w:rPr>
          <w:t>http://secretariadoejecutivo.gob.mx/work/models/SecretariadoEjecutivo/Resource/328/1/images/instructivo_final_edo_fuerza(1).pdf</w:t>
        </w:r>
      </w:hyperlink>
      <w:r w:rsidR="000F5C98" w:rsidRPr="00D75450">
        <w:rPr>
          <w:rFonts w:eastAsia="Calibri" w:cs="Tahoma"/>
          <w:bCs/>
          <w:color w:val="auto"/>
        </w:rPr>
        <w:t xml:space="preserve">), establece que los elementos operativos de seguridad pública, son aquellos que desempeñan funciones de campo (policiacas, especializadas o equivalentes y que no </w:t>
      </w:r>
      <w:r w:rsidR="000F5C98" w:rsidRPr="00D75450">
        <w:rPr>
          <w:rFonts w:eastAsia="Calibri" w:cs="Tahoma"/>
          <w:b/>
          <w:bCs/>
          <w:color w:val="auto"/>
        </w:rPr>
        <w:t>desempeña funciones de mando</w:t>
      </w:r>
      <w:r w:rsidR="000F5C98" w:rsidRPr="00D75450">
        <w:rPr>
          <w:rFonts w:eastAsia="Calibri" w:cs="Tahoma"/>
          <w:bCs/>
          <w:color w:val="auto"/>
        </w:rPr>
        <w:t xml:space="preserve">), entre los cuales, se encuentra </w:t>
      </w:r>
      <w:r w:rsidR="000F5C98" w:rsidRPr="00D75450">
        <w:rPr>
          <w:rFonts w:eastAsia="Calibri" w:cs="Tahoma"/>
          <w:b/>
          <w:bCs/>
          <w:color w:val="auto"/>
        </w:rPr>
        <w:t>la Policía Municipal</w:t>
      </w:r>
      <w:r w:rsidR="000F5C98" w:rsidRPr="00D75450">
        <w:rPr>
          <w:rFonts w:eastAsia="Calibri" w:cs="Tahoma"/>
          <w:bCs/>
          <w:color w:val="auto"/>
        </w:rPr>
        <w:t>.</w:t>
      </w:r>
    </w:p>
    <w:p w14:paraId="53A64031" w14:textId="77777777" w:rsidR="000F5C98" w:rsidRPr="00D75450" w:rsidRDefault="000F5C98" w:rsidP="005076E9">
      <w:pPr>
        <w:tabs>
          <w:tab w:val="left" w:pos="4962"/>
        </w:tabs>
        <w:spacing w:after="0" w:line="360" w:lineRule="auto"/>
        <w:ind w:right="-28"/>
        <w:rPr>
          <w:rFonts w:eastAsia="Calibri" w:cs="Tahoma"/>
          <w:bCs/>
          <w:color w:val="auto"/>
        </w:rPr>
      </w:pPr>
    </w:p>
    <w:p w14:paraId="2BF98247" w14:textId="77777777" w:rsidR="000F5C98" w:rsidRPr="00D75450" w:rsidRDefault="000F5C98" w:rsidP="005076E9">
      <w:pPr>
        <w:tabs>
          <w:tab w:val="left" w:pos="4962"/>
        </w:tabs>
        <w:spacing w:after="0" w:line="360" w:lineRule="auto"/>
        <w:ind w:right="-28"/>
        <w:rPr>
          <w:rFonts w:eastAsia="Calibri" w:cs="Tahoma"/>
          <w:bCs/>
          <w:color w:val="auto"/>
        </w:rPr>
      </w:pPr>
      <w:r w:rsidRPr="00D75450">
        <w:rPr>
          <w:rFonts w:eastAsia="Calibri" w:cs="Tahoma"/>
          <w:bCs/>
          <w:color w:val="auto"/>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1E07958B" w14:textId="598C3226" w:rsidR="000F5C98" w:rsidRDefault="000F5C98" w:rsidP="005076E9">
      <w:pPr>
        <w:spacing w:after="0" w:line="360" w:lineRule="auto"/>
        <w:rPr>
          <w:rFonts w:eastAsia="Calibri" w:cs="Tahoma"/>
          <w:bCs/>
          <w:color w:val="auto"/>
        </w:rPr>
      </w:pPr>
    </w:p>
    <w:p w14:paraId="2400AE5E" w14:textId="0107EE29" w:rsidR="000F5C98" w:rsidRPr="00D75450" w:rsidRDefault="00D05957" w:rsidP="005076E9">
      <w:pPr>
        <w:spacing w:after="0" w:line="360" w:lineRule="auto"/>
        <w:rPr>
          <w:rFonts w:eastAsia="Calibri" w:cs="Tahoma"/>
          <w:bCs/>
          <w:color w:val="auto"/>
        </w:rPr>
      </w:pPr>
      <w:r>
        <w:rPr>
          <w:rFonts w:eastAsia="Calibri" w:cs="Tahoma"/>
          <w:bCs/>
          <w:color w:val="auto"/>
        </w:rPr>
        <w:t>Es de recordar que</w:t>
      </w:r>
      <w:r w:rsidR="007549D8">
        <w:rPr>
          <w:rFonts w:eastAsia="Calibri" w:cs="Tahoma"/>
          <w:bCs/>
          <w:color w:val="auto"/>
        </w:rPr>
        <w:t xml:space="preserve">, </w:t>
      </w:r>
      <w:r w:rsidR="007549D8" w:rsidRPr="00D05957">
        <w:rPr>
          <w:rFonts w:eastAsia="Calibri" w:cs="Tahoma"/>
          <w:b/>
          <w:bCs/>
          <w:color w:val="auto"/>
        </w:rPr>
        <w:t>mediante el desahogó del requerimiento de información adicional, el Sujeto Obligado precisó que el área de seguridad se conformaba por cargos operativos (policía, primero, segundo y tercero) y administrativos (</w:t>
      </w:r>
      <w:r>
        <w:rPr>
          <w:rFonts w:eastAsia="Calibri" w:cs="Tahoma"/>
          <w:b/>
          <w:bCs/>
          <w:color w:val="auto"/>
        </w:rPr>
        <w:t>oficial y s</w:t>
      </w:r>
      <w:r w:rsidR="007549D8" w:rsidRPr="00D05957">
        <w:rPr>
          <w:rFonts w:eastAsia="Calibri" w:cs="Tahoma"/>
          <w:b/>
          <w:bCs/>
          <w:color w:val="auto"/>
        </w:rPr>
        <w:t xml:space="preserve">uboficial), cuya </w:t>
      </w:r>
      <w:r w:rsidR="007549D8" w:rsidRPr="00D05957">
        <w:rPr>
          <w:rFonts w:eastAsia="Calibri" w:cs="Tahoma"/>
          <w:b/>
          <w:bCs/>
          <w:color w:val="auto"/>
        </w:rPr>
        <w:lastRenderedPageBreak/>
        <w:t xml:space="preserve">adscripción era </w:t>
      </w:r>
      <w:r>
        <w:rPr>
          <w:rFonts w:eastAsia="Calibri" w:cs="Tahoma"/>
          <w:b/>
          <w:bCs/>
          <w:color w:val="auto"/>
        </w:rPr>
        <w:t xml:space="preserve">a la </w:t>
      </w:r>
      <w:r w:rsidRPr="00D05957">
        <w:rPr>
          <w:rFonts w:eastAsia="Calibri" w:cs="Tahoma"/>
          <w:b/>
          <w:bCs/>
          <w:color w:val="auto"/>
        </w:rPr>
        <w:t>Dirección General de Seguridad Ciudadana y Tránsito Municipal</w:t>
      </w:r>
      <w:r w:rsidR="007549D8" w:rsidRPr="00D05957">
        <w:rPr>
          <w:rFonts w:eastAsia="Calibri" w:cs="Tahoma"/>
          <w:b/>
          <w:bCs/>
          <w:color w:val="auto"/>
        </w:rPr>
        <w:t>.</w:t>
      </w:r>
      <w:r w:rsidR="001A4A9C">
        <w:rPr>
          <w:rFonts w:eastAsia="Calibri" w:cs="Tahoma"/>
          <w:b/>
          <w:bCs/>
          <w:color w:val="auto"/>
        </w:rPr>
        <w:t xml:space="preserve"> </w:t>
      </w:r>
      <w:r w:rsidR="000F5C98" w:rsidRPr="00D75450">
        <w:rPr>
          <w:rFonts w:eastAsia="Calibri" w:cs="Tahoma"/>
          <w:bCs/>
          <w:color w:val="auto"/>
        </w:rPr>
        <w:t xml:space="preserve">De tales circunstancias, se puede observar que la </w:t>
      </w:r>
      <w:r w:rsidRPr="00D05957">
        <w:rPr>
          <w:rFonts w:eastAsia="Calibri" w:cs="Tahoma"/>
          <w:bCs/>
        </w:rPr>
        <w:t>Dirección General de Seguridad Ciudadana y Tránsito Municipal</w:t>
      </w:r>
      <w:r w:rsidR="000F5C98" w:rsidRPr="00D75450">
        <w:rPr>
          <w:rFonts w:eastAsia="Calibri" w:cs="Tahoma"/>
          <w:bCs/>
          <w:color w:val="auto"/>
        </w:rPr>
        <w:t>, tiene dos clases de servidores públicos, por una parte, los operativos (policía</w:t>
      </w:r>
      <w:r w:rsidR="007549D8">
        <w:rPr>
          <w:rFonts w:eastAsia="Calibri" w:cs="Tahoma"/>
          <w:bCs/>
          <w:color w:val="auto"/>
        </w:rPr>
        <w:t>, primero, segundo o tercero</w:t>
      </w:r>
      <w:r w:rsidR="000F5C98" w:rsidRPr="00D75450">
        <w:rPr>
          <w:rFonts w:eastAsia="Calibri" w:cs="Tahoma"/>
          <w:bCs/>
          <w:color w:val="auto"/>
        </w:rPr>
        <w:t>) y por otra, los administrativos, de apoyo y personal de mando, los cuales no realizan funciones operativas.</w:t>
      </w:r>
      <w:r>
        <w:rPr>
          <w:rFonts w:eastAsia="Calibri" w:cs="Tahoma"/>
          <w:bCs/>
          <w:color w:val="auto"/>
        </w:rPr>
        <w:t xml:space="preserve"> </w:t>
      </w:r>
    </w:p>
    <w:p w14:paraId="492E20D1" w14:textId="77777777" w:rsidR="000F5C98" w:rsidRPr="00D75450" w:rsidRDefault="000F5C98" w:rsidP="005076E9">
      <w:pPr>
        <w:spacing w:after="0" w:line="360" w:lineRule="auto"/>
        <w:rPr>
          <w:rFonts w:eastAsia="Calibri" w:cs="Tahoma"/>
          <w:bCs/>
          <w:color w:val="auto"/>
        </w:rPr>
      </w:pPr>
    </w:p>
    <w:p w14:paraId="09ADD582" w14:textId="3441903D" w:rsidR="000F5C98" w:rsidRPr="00D75450" w:rsidRDefault="000F5C98" w:rsidP="005076E9">
      <w:pPr>
        <w:spacing w:after="0" w:line="360" w:lineRule="auto"/>
        <w:rPr>
          <w:rFonts w:eastAsia="Calibri" w:cs="Tahoma"/>
          <w:bCs/>
          <w:color w:val="auto"/>
        </w:rPr>
      </w:pPr>
      <w:r w:rsidRPr="00D75450">
        <w:rPr>
          <w:rFonts w:eastAsia="Calibri" w:cs="Tahoma"/>
          <w:bCs/>
          <w:color w:val="auto"/>
        </w:rPr>
        <w:t>Así, dar a conocer el nombre de las personas, vinculado con el hecho que son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D1010DE" w14:textId="77777777" w:rsidR="000F5C98" w:rsidRDefault="000F5C98" w:rsidP="005076E9">
      <w:pPr>
        <w:spacing w:after="0" w:line="360" w:lineRule="auto"/>
        <w:rPr>
          <w:rFonts w:eastAsia="Calibri" w:cs="Tahoma"/>
          <w:bCs/>
          <w:color w:val="auto"/>
          <w:highlight w:val="green"/>
        </w:rPr>
      </w:pPr>
    </w:p>
    <w:p w14:paraId="0C63C38F" w14:textId="2561C73E" w:rsidR="000F5C98" w:rsidRPr="00D75450" w:rsidRDefault="000F5C98" w:rsidP="005076E9">
      <w:pPr>
        <w:spacing w:after="0" w:line="360" w:lineRule="auto"/>
        <w:rPr>
          <w:rFonts w:eastAsia="Calibri" w:cs="Tahoma"/>
          <w:bCs/>
          <w:color w:val="auto"/>
        </w:rPr>
      </w:pPr>
      <w:r w:rsidRPr="00D75450">
        <w:rPr>
          <w:rFonts w:eastAsia="Calibri" w:cs="Tahoma"/>
          <w:bCs/>
          <w:color w:val="auto"/>
        </w:rPr>
        <w:t xml:space="preserve">De tal situación, se considera que dar a conocer el nombre </w:t>
      </w:r>
      <w:r w:rsidR="007549D8">
        <w:rPr>
          <w:rFonts w:eastAsia="Calibri" w:cs="Tahoma"/>
          <w:bCs/>
          <w:color w:val="auto"/>
        </w:rPr>
        <w:t>de</w:t>
      </w:r>
      <w:r w:rsidRPr="00D75450">
        <w:rPr>
          <w:rFonts w:eastAsia="Calibri" w:cs="Tahoma"/>
          <w:bCs/>
          <w:color w:val="auto"/>
        </w:rPr>
        <w:t xml:space="preserve">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A51ED2F" w14:textId="33256D44" w:rsidR="000F5C98" w:rsidRDefault="000F5C98" w:rsidP="005076E9">
      <w:pPr>
        <w:spacing w:after="0" w:line="360" w:lineRule="auto"/>
        <w:rPr>
          <w:rFonts w:eastAsia="Calibri" w:cs="Tahoma"/>
          <w:bCs/>
          <w:color w:val="auto"/>
        </w:rPr>
      </w:pPr>
    </w:p>
    <w:p w14:paraId="5A2EF7F8" w14:textId="5ECB1793" w:rsidR="007549D8" w:rsidRPr="007549D8" w:rsidRDefault="007549D8" w:rsidP="005076E9">
      <w:pPr>
        <w:spacing w:after="0" w:line="360" w:lineRule="auto"/>
        <w:rPr>
          <w:rFonts w:eastAsia="Calibri" w:cs="Tahoma"/>
          <w:bCs/>
          <w:color w:val="auto"/>
        </w:rPr>
      </w:pPr>
      <w:r>
        <w:rPr>
          <w:rFonts w:eastAsia="Calibri" w:cs="Tahoma"/>
          <w:bCs/>
          <w:color w:val="auto"/>
        </w:rPr>
        <w:t>Lo anterior toma relevancia pues los</w:t>
      </w:r>
      <w:r w:rsidRPr="007549D8">
        <w:rPr>
          <w:rFonts w:eastAsia="Calibri" w:cs="Tahoma"/>
          <w:bCs/>
          <w:color w:val="auto"/>
        </w:rPr>
        <w:t xml:space="preserve"> individuos con pretensiones delictivas pudieran promover algún vínculo o relación directa con los elementos operativos, que incluye a la policía municipal o bien, someterla a extorsión o amenazas con el fin de obtener información sensible </w:t>
      </w:r>
      <w:r w:rsidRPr="007549D8">
        <w:rPr>
          <w:rFonts w:eastAsia="Calibri" w:cs="Tahoma"/>
          <w:bCs/>
          <w:color w:val="auto"/>
        </w:rPr>
        <w:lastRenderedPageBreak/>
        <w:t>sobre el modus operandi de dicha área, lo cual se traduciría en un detrimento al combate a la delincuencia y un perjuicio a la seguridad pública, vulnerando así, el interés general.</w:t>
      </w:r>
    </w:p>
    <w:p w14:paraId="56EBD436" w14:textId="77777777" w:rsidR="007549D8" w:rsidRPr="007549D8" w:rsidRDefault="007549D8" w:rsidP="005076E9">
      <w:pPr>
        <w:spacing w:after="0" w:line="360" w:lineRule="auto"/>
        <w:rPr>
          <w:rFonts w:eastAsia="Calibri" w:cs="Tahoma"/>
          <w:bCs/>
          <w:color w:val="auto"/>
        </w:rPr>
      </w:pPr>
    </w:p>
    <w:p w14:paraId="3DDD9814" w14:textId="7B19B158" w:rsidR="007549D8" w:rsidRDefault="007549D8" w:rsidP="005076E9">
      <w:pPr>
        <w:spacing w:after="0" w:line="360" w:lineRule="auto"/>
        <w:rPr>
          <w:rFonts w:eastAsia="Calibri" w:cs="Tahoma"/>
          <w:bCs/>
          <w:color w:val="auto"/>
        </w:rPr>
      </w:pPr>
      <w:r>
        <w:rPr>
          <w:rFonts w:eastAsia="Calibri" w:cs="Tahoma"/>
          <w:bCs/>
          <w:color w:val="auto"/>
        </w:rPr>
        <w:t>Además,</w:t>
      </w:r>
      <w:r w:rsidRPr="007549D8">
        <w:rPr>
          <w:rFonts w:eastAsia="Calibri" w:cs="Tahoma"/>
          <w:bCs/>
          <w:color w:val="auto"/>
        </w:rPr>
        <w:t xml:space="preserve"> la reserva prevalece al proteger alguno de los derechos más importantes, como lo son la vida, la salud y la seguridad de los servidores públicos, sus familiares e inclusive de su entorno social, ya que la policía municipal ayuda a mantener el orden público y la paz social, así como la prevención de la comisión de cualquier delito, inhibiendo la manifestación de conductas antisociales.</w:t>
      </w:r>
    </w:p>
    <w:p w14:paraId="5E374ABD" w14:textId="0BECCB52" w:rsidR="007549D8" w:rsidRDefault="007549D8" w:rsidP="005076E9">
      <w:pPr>
        <w:spacing w:after="0" w:line="360" w:lineRule="auto"/>
        <w:rPr>
          <w:rFonts w:eastAsia="Calibri" w:cs="Tahoma"/>
          <w:bCs/>
          <w:color w:val="auto"/>
        </w:rPr>
      </w:pPr>
    </w:p>
    <w:p w14:paraId="4E4F39AF" w14:textId="0B65D426" w:rsidR="00AB039B" w:rsidRPr="001A4A9C" w:rsidRDefault="00AB039B" w:rsidP="005076E9">
      <w:pPr>
        <w:spacing w:after="0" w:line="360" w:lineRule="auto"/>
        <w:rPr>
          <w:rFonts w:eastAsia="Calibri" w:cs="Tahoma"/>
          <w:iCs/>
          <w:color w:val="auto"/>
          <w:lang w:val="es-ES" w:eastAsia="es-ES_tradnl"/>
        </w:rPr>
      </w:pPr>
      <w:r w:rsidRPr="00D75450">
        <w:rPr>
          <w:rFonts w:eastAsia="Calibri" w:cs="Tahoma"/>
          <w:bCs/>
          <w:color w:val="auto"/>
        </w:rPr>
        <w:t xml:space="preserve">Por tales consideraciones, </w:t>
      </w:r>
      <w:r w:rsidRPr="00D75450">
        <w:rPr>
          <w:rFonts w:eastAsia="Calibri" w:cs="Tahoma"/>
          <w:b/>
          <w:bCs/>
          <w:color w:val="auto"/>
        </w:rPr>
        <w:t xml:space="preserve">resulta procedente la reserva del nombre de los </w:t>
      </w:r>
      <w:r>
        <w:rPr>
          <w:rFonts w:eastAsia="Calibri" w:cs="Tahoma"/>
          <w:b/>
          <w:bCs/>
          <w:color w:val="auto"/>
        </w:rPr>
        <w:t xml:space="preserve">policías municipales </w:t>
      </w:r>
      <w:r w:rsidRPr="00D75450">
        <w:rPr>
          <w:rFonts w:eastAsia="Calibri" w:cs="Tahoma"/>
          <w:b/>
          <w:bCs/>
          <w:color w:val="auto"/>
        </w:rPr>
        <w:t xml:space="preserve">de la </w:t>
      </w:r>
      <w:r w:rsidR="00510739" w:rsidRPr="00510739">
        <w:rPr>
          <w:rFonts w:eastAsia="Calibri" w:cs="Tahoma"/>
          <w:b/>
          <w:bCs/>
          <w:color w:val="auto"/>
        </w:rPr>
        <w:t>Dirección General de Seguridad Ciudadana y Tránsito Municipal</w:t>
      </w:r>
      <w:r w:rsidRPr="00D75450">
        <w:rPr>
          <w:rFonts w:eastAsia="Calibri" w:cs="Tahoma"/>
          <w:b/>
          <w:bCs/>
          <w:color w:val="auto"/>
        </w:rPr>
        <w:t xml:space="preserve">, en términos del artículo 140, fracción IV, de </w:t>
      </w:r>
      <w:r w:rsidRPr="00D75450">
        <w:rPr>
          <w:rFonts w:eastAsia="Calibri" w:cs="Tahoma"/>
          <w:b/>
          <w:iCs/>
          <w:color w:val="auto"/>
          <w:lang w:val="es-ES" w:eastAsia="es-ES_tradnl"/>
        </w:rPr>
        <w:t>de la Ley de Transparencia y Acceso a la Información Pública del Estado de México y Municipios.</w:t>
      </w:r>
      <w:r w:rsidR="001A4A9C">
        <w:rPr>
          <w:rFonts w:eastAsia="Calibri" w:cs="Tahoma"/>
          <w:b/>
          <w:iCs/>
          <w:color w:val="auto"/>
          <w:lang w:val="es-ES" w:eastAsia="es-ES_tradnl"/>
        </w:rPr>
        <w:t xml:space="preserve"> </w:t>
      </w:r>
      <w:r w:rsidR="001A4A9C">
        <w:rPr>
          <w:rFonts w:eastAsia="Calibri" w:cs="Tahoma"/>
          <w:iCs/>
          <w:color w:val="auto"/>
          <w:lang w:val="es-ES" w:eastAsia="es-ES_tradnl"/>
        </w:rPr>
        <w:t xml:space="preserve">Es importante resaltar que este Organismo Garante, por conducto de la Ponencia Resolutora se allegó de los documentos que dan cuenta de la información de los elementos operativos de seguridad pública, a efecto de verificar si adicional al nombre, existe otra información que deba ser reservada, por poner en riesgo la vida, salud o seguridad de </w:t>
      </w:r>
      <w:r w:rsidR="00F2012B">
        <w:rPr>
          <w:rFonts w:eastAsia="Calibri" w:cs="Tahoma"/>
          <w:iCs/>
          <w:color w:val="auto"/>
          <w:lang w:val="es-ES" w:eastAsia="es-ES_tradnl"/>
        </w:rPr>
        <w:t>estos</w:t>
      </w:r>
      <w:r w:rsidR="001A4A9C">
        <w:rPr>
          <w:rFonts w:eastAsia="Calibri" w:cs="Tahoma"/>
          <w:iCs/>
          <w:color w:val="auto"/>
          <w:lang w:val="es-ES" w:eastAsia="es-ES_tradnl"/>
        </w:rPr>
        <w:t xml:space="preserve">, sin que se advirtiera información susceptible de ser clasificada, ni que la reserva superara el interés público de </w:t>
      </w:r>
      <w:r w:rsidR="00F2012B">
        <w:rPr>
          <w:rFonts w:eastAsia="Calibri" w:cs="Tahoma"/>
          <w:iCs/>
          <w:color w:val="auto"/>
          <w:lang w:val="es-ES" w:eastAsia="es-ES_tradnl"/>
        </w:rPr>
        <w:t>conocer datos como el área de adscripción que corresponde al nombre de la Unidad Administrativa y que corresponde a las obligaciones de transparencia, así como tampoco el cargo de los servidores públicos ya que este se establece de manera general, sin describir sus funciones específicas ni ubicación, por tal motivo, no se advierte que la entrega de estos datos ponga en riesgo la seguridad del municipio, sus habitantes o la vida, salud o seguridad de los elementos operativos.</w:t>
      </w:r>
    </w:p>
    <w:p w14:paraId="1640C842" w14:textId="69FAE957" w:rsidR="00AB039B" w:rsidRDefault="00510739" w:rsidP="005076E9">
      <w:pPr>
        <w:spacing w:after="0" w:line="360" w:lineRule="auto"/>
        <w:rPr>
          <w:rFonts w:eastAsia="Calibri" w:cs="Tahoma"/>
          <w:bCs/>
          <w:color w:val="auto"/>
        </w:rPr>
      </w:pPr>
      <w:r>
        <w:rPr>
          <w:rFonts w:eastAsia="Calibri" w:cs="Tahoma"/>
          <w:bCs/>
          <w:color w:val="auto"/>
        </w:rPr>
        <w:t xml:space="preserve"> </w:t>
      </w:r>
    </w:p>
    <w:p w14:paraId="640512AB" w14:textId="77777777" w:rsidR="000F5C98" w:rsidRPr="00D75450" w:rsidRDefault="000F5C98" w:rsidP="005076E9">
      <w:pPr>
        <w:tabs>
          <w:tab w:val="left" w:pos="4962"/>
        </w:tabs>
        <w:spacing w:after="0" w:line="360" w:lineRule="auto"/>
        <w:rPr>
          <w:rFonts w:eastAsia="Calibri" w:cs="Tahoma"/>
          <w:iCs/>
          <w:color w:val="auto"/>
          <w:lang w:val="es-ES" w:eastAsia="es-ES_tradnl"/>
        </w:rPr>
      </w:pPr>
      <w:r w:rsidRPr="00D75450">
        <w:rPr>
          <w:rFonts w:eastAsia="Calibri" w:cs="Tahoma"/>
          <w:iCs/>
          <w:color w:val="auto"/>
          <w:lang w:val="es-ES" w:eastAsia="es-ES_tradnl"/>
        </w:rPr>
        <w:t xml:space="preserve">Sobre el particular, cabe traer a colación el artículo 141 de la Ley de Transparencia y Acceso a la Información Pública del Estado de México y Municipios, que establece que las causales de </w:t>
      </w:r>
      <w:r w:rsidRPr="00D75450">
        <w:rPr>
          <w:rFonts w:eastAsia="Calibri" w:cs="Tahoma"/>
          <w:iCs/>
          <w:color w:val="auto"/>
          <w:lang w:val="es-ES" w:eastAsia="es-ES_tradnl"/>
        </w:rPr>
        <w:lastRenderedPageBreak/>
        <w:t>reserva se deberán fundar y motivar, a través de la aplicación de la prueba de daño establecida en el artículo 129 de dicho ordenamiento, que se debe justificar de la siguiente manera:</w:t>
      </w:r>
    </w:p>
    <w:p w14:paraId="31AA07DC" w14:textId="77777777" w:rsidR="000F5C98" w:rsidRPr="00D75450" w:rsidRDefault="000F5C98" w:rsidP="005076E9">
      <w:pPr>
        <w:tabs>
          <w:tab w:val="left" w:pos="4962"/>
        </w:tabs>
        <w:spacing w:after="0" w:line="360" w:lineRule="auto"/>
        <w:rPr>
          <w:rFonts w:eastAsia="Calibri" w:cs="Tahoma"/>
          <w:iCs/>
          <w:color w:val="auto"/>
          <w:lang w:val="es-ES" w:eastAsia="es-ES_tradnl"/>
        </w:rPr>
      </w:pPr>
    </w:p>
    <w:p w14:paraId="62FC3F50" w14:textId="77777777" w:rsidR="000F5C98" w:rsidRPr="00D75450" w:rsidRDefault="000F5C98" w:rsidP="005076E9">
      <w:pPr>
        <w:numPr>
          <w:ilvl w:val="0"/>
          <w:numId w:val="29"/>
        </w:numPr>
        <w:tabs>
          <w:tab w:val="left" w:pos="4962"/>
        </w:tabs>
        <w:spacing w:after="0" w:line="360" w:lineRule="auto"/>
        <w:rPr>
          <w:rFonts w:eastAsia="Calibri" w:cs="Tahoma"/>
          <w:iCs/>
          <w:color w:val="auto"/>
          <w:lang w:val="es-ES_tradnl" w:eastAsia="es-ES_tradnl"/>
        </w:rPr>
      </w:pPr>
      <w:r w:rsidRPr="00D75450">
        <w:rPr>
          <w:rFonts w:eastAsia="Calibri" w:cs="Tahoma"/>
          <w:iCs/>
          <w:color w:val="auto"/>
          <w:lang w:val="es-ES_tradnl" w:eastAsia="es-ES_tradnl"/>
        </w:rPr>
        <w:t>La divulgación de la información representa un riesgo real, demostrable e identificable de perjuicio significativo al interés público o a la seguridad nacional.</w:t>
      </w:r>
    </w:p>
    <w:p w14:paraId="0215C957" w14:textId="77777777" w:rsidR="000F5C98" w:rsidRPr="00D75450" w:rsidRDefault="000F5C98" w:rsidP="005076E9">
      <w:pPr>
        <w:tabs>
          <w:tab w:val="left" w:pos="4962"/>
        </w:tabs>
        <w:spacing w:after="0" w:line="360" w:lineRule="auto"/>
        <w:rPr>
          <w:rFonts w:eastAsia="Calibri" w:cs="Tahoma"/>
          <w:iCs/>
          <w:color w:val="auto"/>
          <w:lang w:val="es-ES_tradnl" w:eastAsia="es-ES_tradnl"/>
        </w:rPr>
      </w:pPr>
    </w:p>
    <w:p w14:paraId="18D9C9F4" w14:textId="77777777" w:rsidR="000F5C98" w:rsidRPr="00D75450" w:rsidRDefault="000F5C98" w:rsidP="005076E9">
      <w:pPr>
        <w:numPr>
          <w:ilvl w:val="0"/>
          <w:numId w:val="29"/>
        </w:numPr>
        <w:tabs>
          <w:tab w:val="left" w:pos="4962"/>
        </w:tabs>
        <w:spacing w:after="0" w:line="360" w:lineRule="auto"/>
        <w:rPr>
          <w:rFonts w:eastAsia="Calibri" w:cs="Tahoma"/>
          <w:iCs/>
          <w:color w:val="auto"/>
          <w:lang w:val="es-ES_tradnl" w:eastAsia="es-ES_tradnl"/>
        </w:rPr>
      </w:pPr>
      <w:r w:rsidRPr="00D75450">
        <w:rPr>
          <w:rFonts w:eastAsia="Calibri" w:cs="Tahoma"/>
          <w:iCs/>
          <w:color w:val="auto"/>
          <w:lang w:val="es-ES_tradnl" w:eastAsia="es-ES_tradnl"/>
        </w:rPr>
        <w:t>El riesgo de perjuicio supera el interés público general de que se difunda.</w:t>
      </w:r>
    </w:p>
    <w:p w14:paraId="762543B9" w14:textId="77777777" w:rsidR="000F5C98" w:rsidRPr="00D75450" w:rsidRDefault="000F5C98" w:rsidP="005076E9">
      <w:pPr>
        <w:tabs>
          <w:tab w:val="left" w:pos="4962"/>
        </w:tabs>
        <w:spacing w:after="0" w:line="360" w:lineRule="auto"/>
        <w:rPr>
          <w:rFonts w:eastAsia="Calibri" w:cs="Tahoma"/>
          <w:iCs/>
          <w:color w:val="auto"/>
          <w:lang w:val="es-ES_tradnl" w:eastAsia="es-ES_tradnl"/>
        </w:rPr>
      </w:pPr>
    </w:p>
    <w:p w14:paraId="0EA3F5E3" w14:textId="77777777" w:rsidR="000F5C98" w:rsidRPr="00D75450" w:rsidRDefault="000F5C98" w:rsidP="005076E9">
      <w:pPr>
        <w:numPr>
          <w:ilvl w:val="0"/>
          <w:numId w:val="29"/>
        </w:numPr>
        <w:tabs>
          <w:tab w:val="left" w:pos="4962"/>
        </w:tabs>
        <w:spacing w:after="0" w:line="360" w:lineRule="auto"/>
        <w:rPr>
          <w:rFonts w:eastAsia="Calibri" w:cs="Tahoma"/>
          <w:iCs/>
          <w:color w:val="auto"/>
          <w:lang w:val="es-ES_tradnl" w:eastAsia="es-ES_tradnl"/>
        </w:rPr>
      </w:pPr>
      <w:r w:rsidRPr="00D75450">
        <w:rPr>
          <w:rFonts w:eastAsia="Calibri" w:cs="Tahoma"/>
          <w:iCs/>
          <w:color w:val="auto"/>
          <w:lang w:val="es-ES_tradnl" w:eastAsia="es-ES_tradnl"/>
        </w:rPr>
        <w:t>Que la limitación se adecua al principio de proporcionalidad y representa el medio menos restrictivo disponible para evitar el perjuicio.</w:t>
      </w:r>
    </w:p>
    <w:p w14:paraId="431CCBAC" w14:textId="77777777" w:rsidR="000F5C98" w:rsidRPr="00D75450" w:rsidRDefault="000F5C98" w:rsidP="005076E9">
      <w:pPr>
        <w:spacing w:after="0" w:line="360" w:lineRule="auto"/>
        <w:jc w:val="left"/>
        <w:rPr>
          <w:rFonts w:eastAsia="Calibri" w:cs="Tahoma"/>
          <w:iCs/>
          <w:color w:val="auto"/>
          <w:lang w:eastAsia="es-ES_tradnl"/>
        </w:rPr>
      </w:pPr>
    </w:p>
    <w:p w14:paraId="56BE4A80" w14:textId="0AD14739" w:rsidR="000F5C98" w:rsidRPr="00D75450" w:rsidRDefault="00AB039B" w:rsidP="005076E9">
      <w:pPr>
        <w:autoSpaceDE w:val="0"/>
        <w:autoSpaceDN w:val="0"/>
        <w:spacing w:after="0" w:line="360" w:lineRule="auto"/>
        <w:rPr>
          <w:rFonts w:eastAsia="Times New Roman" w:cs="Tahoma"/>
          <w:color w:val="auto"/>
          <w:lang w:eastAsia="es-ES"/>
        </w:rPr>
      </w:pPr>
      <w:r>
        <w:rPr>
          <w:rFonts w:eastAsia="Calibri" w:cs="Tahoma"/>
          <w:bCs/>
          <w:color w:val="auto"/>
        </w:rPr>
        <w:t>Además</w:t>
      </w:r>
      <w:r w:rsidR="000F5C98" w:rsidRPr="00D75450">
        <w:rPr>
          <w:rFonts w:eastAsia="Calibri" w:cs="Tahoma"/>
          <w:bCs/>
          <w:color w:val="auto"/>
        </w:rPr>
        <w:t xml:space="preserve">, el artículo 125 de la Ley de la materia, establece </w:t>
      </w:r>
      <w:r w:rsidR="000F5C98" w:rsidRPr="00D75450">
        <w:rPr>
          <w:rFonts w:eastAsia="Times New Roman" w:cs="Tahoma"/>
          <w:bCs/>
          <w:color w:val="auto"/>
          <w:lang w:eastAsia="es-ES"/>
        </w:rPr>
        <w:t>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eastAsia="Times New Roman" w:cs="Tahoma"/>
          <w:bCs/>
          <w:color w:val="auto"/>
          <w:lang w:eastAsia="es-ES"/>
        </w:rPr>
        <w:t>;</w:t>
      </w:r>
      <w:r w:rsidR="000F5C98" w:rsidRPr="00D75450">
        <w:rPr>
          <w:rFonts w:eastAsia="Times New Roman" w:cs="Tahoma"/>
          <w:bCs/>
          <w:color w:val="auto"/>
          <w:lang w:eastAsia="es-ES"/>
        </w:rPr>
        <w:t xml:space="preserve"> por lo que, en las </w:t>
      </w:r>
      <w:r w:rsidR="000F5C98" w:rsidRPr="00D75450">
        <w:rPr>
          <w:rFonts w:eastAsia="Times New Roman" w:cs="Tahoma"/>
          <w:color w:val="auto"/>
          <w:lang w:eastAsia="es-ES"/>
        </w:rPr>
        <w:t xml:space="preserve">versiones públicas, deberá clasificar el nombre de los </w:t>
      </w:r>
      <w:r>
        <w:rPr>
          <w:rFonts w:eastAsia="Times New Roman" w:cs="Tahoma"/>
          <w:color w:val="auto"/>
          <w:lang w:eastAsia="es-ES"/>
        </w:rPr>
        <w:t>policías municipales, de manera fundada y motivada, mediante la respectiva prueba de daño.</w:t>
      </w:r>
    </w:p>
    <w:p w14:paraId="5D3CE864" w14:textId="77777777" w:rsidR="000F5C98" w:rsidRDefault="000F5C98" w:rsidP="005076E9">
      <w:pPr>
        <w:spacing w:after="0" w:line="360" w:lineRule="auto"/>
      </w:pPr>
    </w:p>
    <w:p w14:paraId="04AC20A5" w14:textId="3F9DF8F8" w:rsidR="000F5C98" w:rsidRPr="00F1239D" w:rsidRDefault="000F5C98" w:rsidP="005076E9">
      <w:pPr>
        <w:spacing w:after="0" w:line="360" w:lineRule="auto"/>
        <w:rPr>
          <w:rFonts w:eastAsia="Calibri" w:cs="Tahoma"/>
          <w:color w:val="000000"/>
          <w:szCs w:val="24"/>
          <w:lang w:val="es-ES" w:eastAsia="es-MX"/>
        </w:rPr>
      </w:pPr>
      <w:r w:rsidRPr="00F1239D">
        <w:rPr>
          <w:rFonts w:eastAsia="Calibri" w:cs="Tahoma"/>
          <w:color w:val="000000"/>
          <w:szCs w:val="24"/>
          <w:lang w:val="es-ES" w:eastAsia="es-MX"/>
        </w:rPr>
        <w:t>No pasa desapercibido para este Instituto que los documentos que den cuenta de lo solicitado, pudieran contener datos o información clasificada</w:t>
      </w:r>
      <w:r>
        <w:rPr>
          <w:rFonts w:eastAsia="Calibri" w:cs="Tahoma"/>
          <w:color w:val="000000"/>
          <w:szCs w:val="24"/>
          <w:lang w:val="es-ES" w:eastAsia="es-MX"/>
        </w:rPr>
        <w:t xml:space="preserve">, como </w:t>
      </w:r>
      <w:r w:rsidR="00AB039B">
        <w:rPr>
          <w:rFonts w:eastAsia="Calibri" w:cs="Tahoma"/>
          <w:color w:val="000000"/>
          <w:szCs w:val="24"/>
          <w:lang w:val="es-ES" w:eastAsia="es-MX"/>
        </w:rPr>
        <w:t xml:space="preserve">es la Clave Única de Registro de Población, el Registro Federal de Contribuyentes, el Número de Seguridad Social, las deducciones y </w:t>
      </w:r>
      <w:r>
        <w:rPr>
          <w:rFonts w:eastAsia="Calibri" w:cs="Tahoma"/>
          <w:color w:val="000000"/>
          <w:szCs w:val="24"/>
          <w:lang w:val="es-ES" w:eastAsia="es-MX"/>
        </w:rPr>
        <w:t xml:space="preserve">el nombre </w:t>
      </w:r>
      <w:r w:rsidR="00AB039B">
        <w:rPr>
          <w:rFonts w:eastAsia="Calibri" w:cs="Tahoma"/>
          <w:color w:val="000000"/>
          <w:szCs w:val="24"/>
          <w:lang w:val="es-ES" w:eastAsia="es-MX"/>
        </w:rPr>
        <w:t xml:space="preserve">de los policías municipales, los cuales se precisan de manera </w:t>
      </w:r>
      <w:r w:rsidR="00AB039B">
        <w:rPr>
          <w:rFonts w:eastAsia="Calibri" w:cs="Tahoma"/>
          <w:color w:val="000000"/>
          <w:szCs w:val="24"/>
          <w:lang w:val="es-ES" w:eastAsia="es-MX"/>
        </w:rPr>
        <w:lastRenderedPageBreak/>
        <w:t>enunciativa, más no limitativa</w:t>
      </w:r>
      <w:r w:rsidRPr="00F1239D">
        <w:rPr>
          <w:rFonts w:eastAsia="Calibri" w:cs="Tahoma"/>
          <w:color w:val="000000"/>
          <w:szCs w:val="24"/>
          <w:lang w:val="es-ES" w:eastAsia="es-MX"/>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A6D0506" w14:textId="77777777" w:rsidR="000F5C98" w:rsidRPr="00F1239D" w:rsidRDefault="000F5C98" w:rsidP="005076E9">
      <w:pPr>
        <w:spacing w:after="0" w:line="360" w:lineRule="auto"/>
        <w:rPr>
          <w:rFonts w:eastAsia="Calibri" w:cs="Tahoma"/>
          <w:color w:val="000000"/>
          <w:szCs w:val="24"/>
          <w:lang w:val="es-ES" w:eastAsia="es-MX"/>
        </w:rPr>
      </w:pPr>
    </w:p>
    <w:p w14:paraId="2C8DEB79" w14:textId="2366A208" w:rsidR="00050C21" w:rsidRDefault="000F5C98" w:rsidP="005076E9">
      <w:pPr>
        <w:spacing w:after="0" w:line="360" w:lineRule="auto"/>
      </w:pPr>
      <w:r w:rsidRPr="00F1239D">
        <w:rPr>
          <w:rFonts w:eastAsia="Calibri" w:cs="Tahoma"/>
          <w:color w:val="000000"/>
          <w:szCs w:val="24"/>
          <w:lang w:val="es-ES" w:eastAsia="es-MX"/>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E33C011" w14:textId="77777777" w:rsidR="00D05957" w:rsidRDefault="00D05957" w:rsidP="005076E9">
      <w:pPr>
        <w:spacing w:after="0" w:line="360" w:lineRule="auto"/>
        <w:rPr>
          <w:rFonts w:cs="Tahoma"/>
          <w:b/>
        </w:rPr>
      </w:pPr>
    </w:p>
    <w:p w14:paraId="1C5A2A33" w14:textId="77777777" w:rsidR="001900B4" w:rsidRPr="00232BF5" w:rsidRDefault="001900B4" w:rsidP="005076E9">
      <w:pPr>
        <w:spacing w:after="0" w:line="360" w:lineRule="auto"/>
        <w:rPr>
          <w:rFonts w:cs="Tahoma"/>
          <w:b/>
        </w:rPr>
      </w:pPr>
      <w:r w:rsidRPr="00232BF5">
        <w:rPr>
          <w:rFonts w:cs="Tahoma"/>
          <w:b/>
        </w:rPr>
        <w:t xml:space="preserve">SEXTO. Decisión. </w:t>
      </w:r>
    </w:p>
    <w:p w14:paraId="4A11B667" w14:textId="77777777" w:rsidR="001900B4" w:rsidRPr="00232BF5" w:rsidRDefault="001900B4" w:rsidP="005076E9">
      <w:pPr>
        <w:spacing w:after="0" w:line="360" w:lineRule="auto"/>
        <w:rPr>
          <w:rFonts w:cs="Tahoma"/>
          <w:b/>
        </w:rPr>
      </w:pPr>
    </w:p>
    <w:p w14:paraId="707B553A" w14:textId="40DC7D97" w:rsidR="00510739" w:rsidRPr="00510739" w:rsidRDefault="001900B4" w:rsidP="008272CC">
      <w:pPr>
        <w:widowControl w:val="0"/>
        <w:spacing w:after="0" w:line="360" w:lineRule="auto"/>
        <w:rPr>
          <w:rFonts w:eastAsia="Calibri" w:cs="Tahoma"/>
          <w:bCs/>
          <w:iCs/>
          <w:color w:val="auto"/>
          <w:lang w:val="es-ES"/>
        </w:rPr>
      </w:pPr>
      <w:r w:rsidRPr="00232BF5">
        <w:rPr>
          <w:rFonts w:cs="Tahoma"/>
        </w:rPr>
        <w:t xml:space="preserve">Con fundamento en el artículo 186, fracción III, de la Ley de Transparencia y Acceso a la Información Pública del Estado de México y Municipios, este Instituto considera procedente </w:t>
      </w:r>
      <w:r w:rsidR="00576057">
        <w:rPr>
          <w:rFonts w:cs="Tahoma"/>
          <w:b/>
        </w:rPr>
        <w:t>REVOCAR</w:t>
      </w:r>
      <w:r>
        <w:rPr>
          <w:rFonts w:cs="Tahoma"/>
          <w:b/>
        </w:rPr>
        <w:t xml:space="preserve"> </w:t>
      </w:r>
      <w:r>
        <w:rPr>
          <w:rFonts w:cs="Tahoma"/>
          <w:bCs/>
        </w:rPr>
        <w:t>la</w:t>
      </w:r>
      <w:r w:rsidRPr="00232BF5">
        <w:rPr>
          <w:rFonts w:cs="Tahoma"/>
        </w:rPr>
        <w:t xml:space="preserve"> respuesta otorgada por el</w:t>
      </w:r>
      <w:r w:rsidR="00EF0D39">
        <w:rPr>
          <w:rFonts w:cs="Tahoma"/>
        </w:rPr>
        <w:t xml:space="preserve"> </w:t>
      </w:r>
      <w:r w:rsidR="00555BDF">
        <w:rPr>
          <w:rFonts w:eastAsia="Calibri" w:cs="Tahoma"/>
        </w:rPr>
        <w:t xml:space="preserve">Ayuntamiento de </w:t>
      </w:r>
      <w:r w:rsidR="00510739">
        <w:rPr>
          <w:rFonts w:eastAsia="Calibri" w:cs="Tahoma"/>
        </w:rPr>
        <w:t>Chimalhuacán</w:t>
      </w:r>
      <w:r w:rsidR="00EF0D39">
        <w:rPr>
          <w:rFonts w:eastAsia="Calibri" w:cs="Tahoma"/>
        </w:rPr>
        <w:t xml:space="preserve">, </w:t>
      </w:r>
      <w:r w:rsidR="00DD2536">
        <w:rPr>
          <w:rFonts w:eastAsia="Calibri" w:cs="Tahoma"/>
        </w:rPr>
        <w:t xml:space="preserve">e instruye al Sujeto Obligado </w:t>
      </w:r>
      <w:r w:rsidRPr="00232BF5">
        <w:rPr>
          <w:rFonts w:cs="Tahoma"/>
        </w:rPr>
        <w:t>a efecto de que</w:t>
      </w:r>
      <w:r w:rsidR="00AB039B">
        <w:rPr>
          <w:rFonts w:cs="Tahoma"/>
        </w:rPr>
        <w:t>, previa búsqueda exhaustiva y razonable,</w:t>
      </w:r>
      <w:r w:rsidR="006A0781">
        <w:rPr>
          <w:rFonts w:cs="Tahoma"/>
        </w:rPr>
        <w:t xml:space="preserve"> </w:t>
      </w:r>
      <w:r w:rsidRPr="00232BF5">
        <w:rPr>
          <w:rFonts w:cs="Tahoma"/>
        </w:rPr>
        <w:t xml:space="preserve">entregue, </w:t>
      </w:r>
      <w:r w:rsidRPr="00232BF5">
        <w:rPr>
          <w:rFonts w:eastAsia="Calibri" w:cs="Tahoma"/>
          <w:iCs/>
          <w:lang w:eastAsia="es-ES_tradnl"/>
        </w:rPr>
        <w:t>a través del Sistema de Acceso a la Información Mexiquense (SAIMEX),</w:t>
      </w:r>
      <w:r w:rsidR="00682222">
        <w:rPr>
          <w:rFonts w:eastAsia="Calibri" w:cs="Tahoma"/>
          <w:iCs/>
          <w:lang w:eastAsia="es-ES_tradnl"/>
        </w:rPr>
        <w:t xml:space="preserve"> </w:t>
      </w:r>
      <w:r w:rsidR="00576057">
        <w:rPr>
          <w:rFonts w:eastAsia="Calibri" w:cs="Tahoma"/>
          <w:iCs/>
          <w:lang w:eastAsia="es-ES_tradnl"/>
        </w:rPr>
        <w:t>en versión pública</w:t>
      </w:r>
      <w:r w:rsidR="00AB039B">
        <w:rPr>
          <w:rFonts w:eastAsia="Calibri" w:cs="Tahoma"/>
          <w:iCs/>
          <w:lang w:eastAsia="es-ES_tradnl"/>
        </w:rPr>
        <w:t xml:space="preserve">, </w:t>
      </w:r>
      <w:r w:rsidR="00AB039B">
        <w:rPr>
          <w:rFonts w:eastAsia="Times New Roman" w:cs="Tahoma"/>
          <w:bCs/>
          <w:iCs/>
          <w:color w:val="auto"/>
          <w:lang w:val="es-ES" w:eastAsia="es-ES"/>
        </w:rPr>
        <w:t xml:space="preserve">los documentos donde </w:t>
      </w:r>
      <w:r w:rsidR="00510739">
        <w:rPr>
          <w:rFonts w:eastAsia="Times New Roman" w:cs="Tahoma"/>
          <w:bCs/>
          <w:iCs/>
          <w:color w:val="auto"/>
          <w:lang w:val="es-ES" w:eastAsia="es-ES"/>
        </w:rPr>
        <w:t xml:space="preserve">conste, </w:t>
      </w:r>
      <w:r w:rsidR="008272CC">
        <w:rPr>
          <w:rFonts w:eastAsia="Times New Roman" w:cs="Tahoma"/>
          <w:bCs/>
          <w:iCs/>
          <w:color w:val="auto"/>
          <w:lang w:val="es-ES" w:eastAsia="es-ES"/>
        </w:rPr>
        <w:t>la información salarial de todos los servidores públicos del Ayuntamiento de acuerdo con lo solicitado.</w:t>
      </w:r>
    </w:p>
    <w:p w14:paraId="1AD0A433" w14:textId="77777777" w:rsidR="00510739" w:rsidRDefault="00510739" w:rsidP="005076E9">
      <w:pPr>
        <w:widowControl w:val="0"/>
        <w:spacing w:after="0" w:line="360" w:lineRule="auto"/>
        <w:rPr>
          <w:rFonts w:eastAsia="Calibri" w:cs="Tahoma"/>
          <w:bCs/>
        </w:rPr>
      </w:pPr>
    </w:p>
    <w:p w14:paraId="434E6139" w14:textId="77777777" w:rsidR="00510739" w:rsidRPr="00682222" w:rsidRDefault="00AB039B" w:rsidP="005076E9">
      <w:pPr>
        <w:tabs>
          <w:tab w:val="left" w:pos="4962"/>
        </w:tabs>
        <w:spacing w:after="0" w:line="360" w:lineRule="auto"/>
        <w:rPr>
          <w:rFonts w:eastAsia="Calibri" w:cs="Tahoma"/>
          <w:bCs/>
          <w:iCs/>
          <w:color w:val="auto"/>
          <w:lang w:val="es-ES"/>
        </w:rPr>
      </w:pPr>
      <w:r w:rsidRPr="00510739">
        <w:rPr>
          <w:rFonts w:eastAsia="Calibri" w:cs="Tahoma"/>
          <w:bCs/>
        </w:rPr>
        <w:t xml:space="preserve"> </w:t>
      </w:r>
      <w:r w:rsidR="00510739" w:rsidRPr="00682222">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CF302AD" w14:textId="77777777" w:rsidR="00682222" w:rsidRPr="004B05CE" w:rsidRDefault="00682222" w:rsidP="005076E9">
      <w:pPr>
        <w:spacing w:after="0" w:line="360" w:lineRule="auto"/>
      </w:pPr>
    </w:p>
    <w:p w14:paraId="1BD24118" w14:textId="77777777" w:rsidR="00C853D1" w:rsidRPr="005B45DD" w:rsidRDefault="00C853D1" w:rsidP="005076E9">
      <w:pPr>
        <w:spacing w:after="0" w:line="360" w:lineRule="auto"/>
        <w:rPr>
          <w:b/>
          <w:bCs/>
        </w:rPr>
      </w:pPr>
      <w:r w:rsidRPr="005B45DD">
        <w:rPr>
          <w:b/>
          <w:bCs/>
        </w:rPr>
        <w:lastRenderedPageBreak/>
        <w:t>Términos de la Resolución.</w:t>
      </w:r>
    </w:p>
    <w:p w14:paraId="6C1809B6" w14:textId="3933B954" w:rsidR="00C853D1" w:rsidRDefault="00C853D1" w:rsidP="005076E9">
      <w:pPr>
        <w:spacing w:after="0" w:line="360" w:lineRule="auto"/>
      </w:pPr>
    </w:p>
    <w:p w14:paraId="56CF5567" w14:textId="03B9FEDA" w:rsidR="008C6E41" w:rsidRDefault="000223B0" w:rsidP="005076E9">
      <w:pPr>
        <w:spacing w:after="0" w:line="360" w:lineRule="auto"/>
        <w:ind w:right="-28"/>
        <w:rPr>
          <w:rFonts w:eastAsia="Calibri" w:cs="Tahoma"/>
        </w:rPr>
      </w:pPr>
      <w:r w:rsidRPr="00313398">
        <w:rPr>
          <w:rFonts w:eastAsia="Times New Roman" w:cs="Times New Roman"/>
          <w:lang w:eastAsia="es-MX"/>
        </w:rPr>
        <w:t xml:space="preserve">Se le hace del conocimiento al Particular, que, en el presente caso, se le </w:t>
      </w:r>
      <w:r>
        <w:rPr>
          <w:rFonts w:eastAsia="Times New Roman" w:cs="Times New Roman"/>
          <w:lang w:eastAsia="es-MX"/>
        </w:rPr>
        <w:t>concede</w:t>
      </w:r>
      <w:r w:rsidRPr="00313398">
        <w:rPr>
          <w:rFonts w:eastAsia="Times New Roman" w:cs="Times New Roman"/>
          <w:lang w:eastAsia="es-MX"/>
        </w:rPr>
        <w:t xml:space="preserve"> </w:t>
      </w:r>
      <w:r>
        <w:rPr>
          <w:rFonts w:eastAsia="Times New Roman" w:cs="Times New Roman"/>
          <w:lang w:eastAsia="es-MX"/>
        </w:rPr>
        <w:t>la</w:t>
      </w:r>
      <w:r w:rsidRPr="00313398">
        <w:rPr>
          <w:rFonts w:eastAsia="Times New Roman" w:cs="Times New Roman"/>
          <w:lang w:eastAsia="es-MX"/>
        </w:rPr>
        <w:t xml:space="preserve"> razón, pues </w:t>
      </w:r>
      <w:r w:rsidR="00510739">
        <w:rPr>
          <w:rFonts w:eastAsia="Times New Roman" w:cs="Times New Roman"/>
          <w:lang w:eastAsia="es-MX"/>
        </w:rPr>
        <w:t>el Sujeto Obligado no precisó de manera específica y clara en que parte del portal de IPOMEX se encuentra lo solicitado</w:t>
      </w:r>
      <w:r w:rsidR="008272CC">
        <w:rPr>
          <w:rFonts w:eastAsia="Calibri" w:cs="Tahoma"/>
          <w:bCs/>
          <w:iCs/>
        </w:rPr>
        <w:t>, adicional a que, de la información que se publica, lo específicamente solicitado por usted no corresponde a las obligaciones de transparencia, por lo que no podía ser atendido con la información pública de dicho Portal.</w:t>
      </w:r>
    </w:p>
    <w:p w14:paraId="7726842E" w14:textId="77777777" w:rsidR="00682222" w:rsidRDefault="00682222" w:rsidP="005076E9">
      <w:pPr>
        <w:spacing w:after="0" w:line="360" w:lineRule="auto"/>
        <w:ind w:right="-28"/>
        <w:rPr>
          <w:rFonts w:eastAsia="Calibri" w:cs="Tahoma"/>
          <w:bCs/>
          <w:iCs/>
          <w:color w:val="auto"/>
        </w:rPr>
      </w:pPr>
    </w:p>
    <w:p w14:paraId="1FB30D36" w14:textId="191A8A4A" w:rsidR="000223B0" w:rsidRPr="00682222" w:rsidRDefault="000223B0" w:rsidP="005076E9">
      <w:pPr>
        <w:spacing w:after="0" w:line="360" w:lineRule="auto"/>
        <w:ind w:right="-28"/>
        <w:rPr>
          <w:rFonts w:eastAsia="Calibri" w:cs="Tahoma"/>
        </w:rPr>
      </w:pPr>
      <w:r w:rsidRPr="00313398">
        <w:rPr>
          <w:rFonts w:eastAsia="Calibri" w:cs="Tahoma"/>
          <w:bCs/>
          <w:iCs/>
          <w:color w:val="auto"/>
        </w:rPr>
        <w:t xml:space="preserve">Finalmente, </w:t>
      </w:r>
      <w:r w:rsidR="00AB039B">
        <w:rPr>
          <w:rFonts w:eastAsia="Calibri" w:cs="Tahoma"/>
          <w:bCs/>
          <w:iCs/>
          <w:color w:val="auto"/>
        </w:rPr>
        <w:t xml:space="preserve">se le informa que </w:t>
      </w:r>
      <w:r w:rsidRPr="00313398">
        <w:rPr>
          <w:rFonts w:eastAsia="Calibri" w:cs="Tahoma"/>
          <w:bCs/>
          <w:iCs/>
          <w:color w:val="auto"/>
        </w:rPr>
        <w:t>la labor de este Instituto</w:t>
      </w:r>
      <w:r w:rsidR="00AB039B">
        <w:rPr>
          <w:rFonts w:eastAsia="Calibri" w:cs="Tahoma"/>
          <w:bCs/>
          <w:iCs/>
          <w:color w:val="auto"/>
        </w:rPr>
        <w:t xml:space="preserve"> de Transparencia, Acceso a la Información Pública y Protección de Datos Personales</w:t>
      </w:r>
      <w:r w:rsidRPr="00313398">
        <w:rPr>
          <w:rFonts w:eastAsia="Calibri" w:cs="Tahoma"/>
          <w:bCs/>
          <w:iCs/>
          <w:color w:val="auto"/>
        </w:rPr>
        <w:t>, es apoyar a la población a acceder a la información pública y garantizar la protección de los datos personales.</w:t>
      </w:r>
    </w:p>
    <w:p w14:paraId="457213AE" w14:textId="77777777" w:rsidR="00C853D1" w:rsidRPr="00DA1662" w:rsidRDefault="00C853D1" w:rsidP="005076E9">
      <w:pPr>
        <w:spacing w:after="0" w:line="360" w:lineRule="auto"/>
      </w:pPr>
    </w:p>
    <w:p w14:paraId="4469D1A7" w14:textId="77777777" w:rsidR="00C853D1" w:rsidRPr="00B377FD" w:rsidRDefault="00C853D1" w:rsidP="005076E9">
      <w:pPr>
        <w:spacing w:after="0" w:line="360" w:lineRule="auto"/>
        <w:rPr>
          <w:rFonts w:eastAsia="Calibri" w:cs="Tahoma"/>
          <w:bCs/>
          <w:color w:val="auto"/>
        </w:rPr>
      </w:pPr>
      <w:r w:rsidRPr="00DA1662">
        <w:t>Por</w:t>
      </w:r>
      <w:r w:rsidRPr="00B377FD">
        <w:rPr>
          <w:rFonts w:eastAsia="Calibri" w:cs="Tahoma"/>
          <w:bCs/>
          <w:color w:val="auto"/>
        </w:rPr>
        <w:t xml:space="preserve"> lo expuesto y fundado, este Pleno:</w:t>
      </w:r>
    </w:p>
    <w:p w14:paraId="2A9CCC89" w14:textId="77777777" w:rsidR="00C853D1" w:rsidRPr="00B377FD" w:rsidRDefault="00C853D1" w:rsidP="005076E9">
      <w:pPr>
        <w:spacing w:after="0" w:line="360" w:lineRule="auto"/>
        <w:ind w:right="-28"/>
        <w:rPr>
          <w:rFonts w:eastAsia="Calibri" w:cs="Tahoma"/>
          <w:bCs/>
          <w:color w:val="auto"/>
        </w:rPr>
      </w:pPr>
    </w:p>
    <w:p w14:paraId="5C5F6794" w14:textId="77777777" w:rsidR="00C853D1" w:rsidRPr="00B377FD" w:rsidRDefault="00C853D1" w:rsidP="005076E9">
      <w:pPr>
        <w:spacing w:after="0" w:line="360" w:lineRule="auto"/>
        <w:ind w:right="-28"/>
        <w:jc w:val="center"/>
        <w:rPr>
          <w:rFonts w:eastAsia="Calibri" w:cs="Tahoma"/>
          <w:b/>
          <w:bCs/>
          <w:color w:val="auto"/>
        </w:rPr>
      </w:pPr>
      <w:r w:rsidRPr="00A159E8">
        <w:rPr>
          <w:rFonts w:eastAsia="Calibri" w:cs="Tahoma"/>
          <w:b/>
          <w:bCs/>
          <w:color w:val="auto"/>
        </w:rPr>
        <w:t>R E S U E L V E:</w:t>
      </w:r>
    </w:p>
    <w:p w14:paraId="5315815D" w14:textId="77777777" w:rsidR="00C853D1" w:rsidRPr="00B377FD" w:rsidRDefault="00C853D1" w:rsidP="005076E9">
      <w:pPr>
        <w:spacing w:after="0" w:line="360" w:lineRule="auto"/>
        <w:rPr>
          <w:lang w:val="es-ES" w:eastAsia="es-ES_tradnl"/>
        </w:rPr>
      </w:pPr>
    </w:p>
    <w:p w14:paraId="3F37601B" w14:textId="6EAE5D97" w:rsidR="00782132" w:rsidRPr="00AB039B" w:rsidRDefault="00782132" w:rsidP="005076E9">
      <w:pPr>
        <w:spacing w:after="0" w:line="360" w:lineRule="auto"/>
        <w:contextualSpacing/>
        <w:rPr>
          <w:rFonts w:eastAsia="Calibri" w:cs="Tahoma"/>
        </w:rPr>
      </w:pPr>
      <w:r w:rsidRPr="000D54C1">
        <w:rPr>
          <w:rFonts w:cs="Tahoma"/>
          <w:b/>
          <w:bCs/>
        </w:rPr>
        <w:t xml:space="preserve">PRIMERO. </w:t>
      </w:r>
      <w:r w:rsidRPr="000D54C1">
        <w:rPr>
          <w:rFonts w:cs="Tahoma"/>
          <w:bCs/>
        </w:rPr>
        <w:t xml:space="preserve">Se </w:t>
      </w:r>
      <w:r w:rsidR="006161C9">
        <w:rPr>
          <w:rFonts w:cs="Tahoma"/>
          <w:b/>
          <w:bCs/>
        </w:rPr>
        <w:t>REVOCA</w:t>
      </w:r>
      <w:r w:rsidRPr="000D54C1">
        <w:rPr>
          <w:rFonts w:cs="Tahoma"/>
          <w:bCs/>
        </w:rPr>
        <w:t xml:space="preserve"> la respuesta entregada por el </w:t>
      </w:r>
      <w:r w:rsidR="00555BDF">
        <w:rPr>
          <w:rFonts w:eastAsia="Calibri" w:cs="Tahoma"/>
        </w:rPr>
        <w:t xml:space="preserve">Ayuntamiento de </w:t>
      </w:r>
      <w:r w:rsidR="00510739">
        <w:rPr>
          <w:rFonts w:eastAsia="Calibri" w:cs="Tahoma"/>
        </w:rPr>
        <w:t>Chimalhuacán</w:t>
      </w:r>
      <w:r w:rsidR="00F060A2" w:rsidRPr="000D54C1">
        <w:rPr>
          <w:rFonts w:cs="Tahoma"/>
          <w:bCs/>
        </w:rPr>
        <w:t xml:space="preserve"> </w:t>
      </w:r>
      <w:r w:rsidRPr="000D54C1">
        <w:rPr>
          <w:rFonts w:cs="Tahoma"/>
          <w:bCs/>
        </w:rPr>
        <w:t xml:space="preserve">a la solicitud de </w:t>
      </w:r>
      <w:r w:rsidRPr="00E92B4A">
        <w:rPr>
          <w:rFonts w:eastAsia="Calibri" w:cs="Tahoma"/>
        </w:rPr>
        <w:t xml:space="preserve">información </w:t>
      </w:r>
      <w:r w:rsidR="00510739" w:rsidRPr="00510739">
        <w:rPr>
          <w:rFonts w:eastAsia="Calibri" w:cs="Tahoma"/>
        </w:rPr>
        <w:t>00389/CHIMALHU/IP/2022</w:t>
      </w:r>
      <w:r w:rsidR="00E92B4A" w:rsidRPr="00BF7F1A">
        <w:t xml:space="preserve"> </w:t>
      </w:r>
      <w:r w:rsidRPr="00BF7F1A">
        <w:t xml:space="preserve">por resultar </w:t>
      </w:r>
      <w:r w:rsidRPr="00BF7F1A">
        <w:rPr>
          <w:b/>
        </w:rPr>
        <w:t>FUNDADAS</w:t>
      </w:r>
      <w:r w:rsidRPr="00BF7F1A">
        <w:rPr>
          <w:rFonts w:cs="Tahoma"/>
        </w:rPr>
        <w:t xml:space="preserve"> </w:t>
      </w:r>
      <w:r w:rsidRPr="00BF7F1A">
        <w:rPr>
          <w:rFonts w:eastAsia="Calibri" w:cs="Tahoma"/>
        </w:rPr>
        <w:t xml:space="preserve">las razones o motivos de inconformidad hechos valer por el </w:t>
      </w:r>
      <w:r>
        <w:rPr>
          <w:rFonts w:eastAsia="Calibri" w:cs="Tahoma"/>
        </w:rPr>
        <w:t>Particular</w:t>
      </w:r>
      <w:r w:rsidRPr="00BF7F1A">
        <w:rPr>
          <w:rFonts w:eastAsia="Calibri" w:cs="Tahoma"/>
        </w:rPr>
        <w:t>, en</w:t>
      </w:r>
      <w:r w:rsidRPr="000D54C1">
        <w:rPr>
          <w:rFonts w:eastAsia="Calibri" w:cs="Tahoma"/>
          <w:bCs/>
        </w:rPr>
        <w:t xml:space="preserve"> términos de los considerandos </w:t>
      </w:r>
      <w:r w:rsidRPr="00AB039B">
        <w:rPr>
          <w:rFonts w:eastAsia="Calibri" w:cs="Tahoma"/>
        </w:rPr>
        <w:t>QUINTO y SEXTO de la presente Resolución.</w:t>
      </w:r>
      <w:r w:rsidR="00510739">
        <w:rPr>
          <w:rFonts w:eastAsia="Calibri" w:cs="Tahoma"/>
        </w:rPr>
        <w:t xml:space="preserve"> </w:t>
      </w:r>
    </w:p>
    <w:p w14:paraId="3F818AF0" w14:textId="67BBEED4" w:rsidR="00AB039B" w:rsidRDefault="00AB039B" w:rsidP="005076E9">
      <w:pPr>
        <w:spacing w:after="0" w:line="360" w:lineRule="auto"/>
        <w:contextualSpacing/>
        <w:rPr>
          <w:rFonts w:eastAsia="Calibri" w:cs="Tahoma"/>
          <w:bCs/>
        </w:rPr>
      </w:pPr>
    </w:p>
    <w:p w14:paraId="52925707" w14:textId="312F0FD1" w:rsidR="00682222" w:rsidRDefault="00782132" w:rsidP="005076E9">
      <w:pPr>
        <w:spacing w:after="0" w:line="360" w:lineRule="auto"/>
        <w:contextualSpacing/>
        <w:rPr>
          <w:rFonts w:eastAsia="Calibri" w:cs="Tahoma"/>
          <w:iCs/>
          <w:lang w:eastAsia="es-ES_tradnl"/>
        </w:rPr>
      </w:pPr>
      <w:r w:rsidRPr="000D54C1">
        <w:rPr>
          <w:rFonts w:cs="Tahoma"/>
          <w:b/>
          <w:bCs/>
        </w:rPr>
        <w:t xml:space="preserve">SEGUNDO. </w:t>
      </w:r>
      <w:r w:rsidRPr="000D54C1">
        <w:rPr>
          <w:rFonts w:cs="Tahoma"/>
        </w:rPr>
        <w:t xml:space="preserve">Se </w:t>
      </w:r>
      <w:r w:rsidRPr="000D54C1">
        <w:rPr>
          <w:rFonts w:cs="Tahoma"/>
          <w:b/>
        </w:rPr>
        <w:t xml:space="preserve">ORDENA </w:t>
      </w:r>
      <w:r w:rsidRPr="000D54C1">
        <w:rPr>
          <w:rFonts w:cs="Tahoma"/>
          <w:bCs/>
        </w:rPr>
        <w:t xml:space="preserve">al </w:t>
      </w:r>
      <w:r w:rsidRPr="00BF7F1A">
        <w:rPr>
          <w:rFonts w:cs="Tahoma"/>
        </w:rPr>
        <w:t>Ente Recurrido</w:t>
      </w:r>
      <w:r>
        <w:rPr>
          <w:rFonts w:cs="Tahoma"/>
        </w:rPr>
        <w:t>, a efecto de</w:t>
      </w:r>
      <w:r w:rsidRPr="000D54C1">
        <w:rPr>
          <w:rFonts w:eastAsia="Calibri" w:cs="Tahoma"/>
          <w:lang w:eastAsia="es-MX"/>
        </w:rPr>
        <w:t xml:space="preserve"> que</w:t>
      </w:r>
      <w:r w:rsidR="00AB039B">
        <w:rPr>
          <w:rFonts w:eastAsia="Calibri" w:cs="Tahoma"/>
          <w:lang w:eastAsia="es-MX"/>
        </w:rPr>
        <w:t xml:space="preserve"> previa búsqueda exhaustiva y razonable en los archivos de las unidades administrativas competentes, </w:t>
      </w:r>
      <w:r w:rsidRPr="000D54C1">
        <w:rPr>
          <w:rFonts w:eastAsia="Calibri" w:cs="Tahoma"/>
          <w:lang w:eastAsia="es-MX"/>
        </w:rPr>
        <w:t xml:space="preserve"> entregue</w:t>
      </w:r>
      <w:r w:rsidRPr="000D54C1">
        <w:rPr>
          <w:rFonts w:cs="Tahoma"/>
        </w:rPr>
        <w:t xml:space="preserve">, a través del Sistema de Acceso a la Información Mexiquense (SAIMEX), </w:t>
      </w:r>
      <w:r w:rsidR="00C4282E">
        <w:rPr>
          <w:rFonts w:eastAsia="Calibri" w:cs="Tahoma"/>
          <w:iCs/>
          <w:lang w:eastAsia="es-ES_tradnl"/>
        </w:rPr>
        <w:t xml:space="preserve">en </w:t>
      </w:r>
      <w:r w:rsidR="00AB039B">
        <w:rPr>
          <w:rFonts w:eastAsia="Calibri" w:cs="Tahoma"/>
          <w:iCs/>
          <w:lang w:eastAsia="es-ES_tradnl"/>
        </w:rPr>
        <w:t>versión pública lo siguiente:</w:t>
      </w:r>
    </w:p>
    <w:p w14:paraId="757EA14F" w14:textId="15FF527B" w:rsidR="00AB039B" w:rsidRDefault="00AB039B" w:rsidP="005076E9">
      <w:pPr>
        <w:spacing w:after="0" w:line="360" w:lineRule="auto"/>
        <w:contextualSpacing/>
        <w:rPr>
          <w:rFonts w:eastAsia="Calibri" w:cs="Tahoma"/>
          <w:iCs/>
          <w:lang w:eastAsia="es-ES_tradnl"/>
        </w:rPr>
      </w:pPr>
    </w:p>
    <w:p w14:paraId="2FB83C64" w14:textId="2EADF8AE" w:rsidR="00510739" w:rsidRPr="00A77CC0" w:rsidRDefault="00EC3FDA" w:rsidP="00A77CC0">
      <w:pPr>
        <w:pStyle w:val="Prrafodelista"/>
        <w:widowControl w:val="0"/>
        <w:numPr>
          <w:ilvl w:val="0"/>
          <w:numId w:val="37"/>
        </w:numPr>
        <w:spacing w:line="360" w:lineRule="auto"/>
        <w:rPr>
          <w:rFonts w:eastAsia="Calibri" w:cs="Tahoma"/>
          <w:bCs/>
          <w:iCs/>
          <w:color w:val="auto"/>
          <w:lang w:val="es-ES"/>
        </w:rPr>
      </w:pPr>
      <w:r>
        <w:rPr>
          <w:rFonts w:cs="Tahoma"/>
          <w:bCs/>
          <w:color w:val="000000"/>
          <w:lang w:eastAsia="es-MX"/>
        </w:rPr>
        <w:t xml:space="preserve">Documento donde conste el nombre de los servidores públicos; tipo de plaza (base o confianza), sueldo neto quincenal, sueldo neto mensual, cargo, área y departamento </w:t>
      </w:r>
      <w:r>
        <w:rPr>
          <w:rFonts w:cs="Tahoma"/>
          <w:bCs/>
          <w:color w:val="000000"/>
          <w:lang w:eastAsia="es-MX"/>
        </w:rPr>
        <w:lastRenderedPageBreak/>
        <w:t>de adscripción.</w:t>
      </w:r>
    </w:p>
    <w:p w14:paraId="49F18DBF" w14:textId="77777777" w:rsidR="00510739" w:rsidRDefault="00510739" w:rsidP="005076E9">
      <w:pPr>
        <w:widowControl w:val="0"/>
        <w:spacing w:after="0" w:line="360" w:lineRule="auto"/>
        <w:rPr>
          <w:rFonts w:eastAsia="Calibri" w:cs="Tahoma"/>
          <w:bCs/>
        </w:rPr>
      </w:pPr>
    </w:p>
    <w:p w14:paraId="52D7A287" w14:textId="3FABE9E9" w:rsidR="00510739" w:rsidRDefault="00510739" w:rsidP="005076E9">
      <w:pPr>
        <w:tabs>
          <w:tab w:val="left" w:pos="4962"/>
        </w:tabs>
        <w:spacing w:after="0" w:line="360" w:lineRule="auto"/>
        <w:rPr>
          <w:rFonts w:eastAsia="Calibri" w:cs="Tahoma"/>
          <w:bCs/>
          <w:iCs/>
          <w:color w:val="auto"/>
          <w:lang w:val="es-ES"/>
        </w:rPr>
      </w:pPr>
      <w:r w:rsidRPr="00510739">
        <w:rPr>
          <w:rFonts w:eastAsia="Calibri" w:cs="Tahoma"/>
          <w:bCs/>
        </w:rPr>
        <w:t xml:space="preserve"> </w:t>
      </w:r>
      <w:r w:rsidRPr="00682222">
        <w:rPr>
          <w:rFonts w:eastAsia="Calibri" w:cs="Tahoma"/>
          <w:bCs/>
          <w:iCs/>
          <w:color w:val="auto"/>
          <w:lang w:val="es-ES"/>
        </w:rPr>
        <w:t>Además, deberá proporcionar el Acuerdo de Clasificación donde el Comité de Transparencia, confirme la eliminación de los datos o información clasificada</w:t>
      </w:r>
      <w:r w:rsidR="00E600E5">
        <w:rPr>
          <w:rFonts w:eastAsia="Calibri" w:cs="Tahoma"/>
          <w:bCs/>
          <w:iCs/>
          <w:color w:val="auto"/>
          <w:lang w:val="es-ES"/>
        </w:rPr>
        <w:t xml:space="preserve"> como confidencial y reservada</w:t>
      </w:r>
      <w:r w:rsidRPr="00682222">
        <w:rPr>
          <w:rFonts w:eastAsia="Calibri" w:cs="Tahoma"/>
          <w:bCs/>
          <w:iCs/>
          <w:color w:val="auto"/>
          <w:lang w:val="es-ES"/>
        </w:rPr>
        <w:t>, en la versión pública, de conformidad con los artículos 49, fracciones II y VIII y 132, fracción II</w:t>
      </w:r>
      <w:r w:rsidR="00E600E5">
        <w:rPr>
          <w:rFonts w:eastAsia="Calibri" w:cs="Tahoma"/>
          <w:bCs/>
          <w:iCs/>
          <w:color w:val="auto"/>
          <w:lang w:val="es-ES"/>
        </w:rPr>
        <w:t>, 140 fracción IV y 143, fracción I,</w:t>
      </w:r>
      <w:r w:rsidRPr="00682222">
        <w:rPr>
          <w:rFonts w:eastAsia="Calibri" w:cs="Tahoma"/>
          <w:bCs/>
          <w:iCs/>
          <w:color w:val="auto"/>
          <w:lang w:val="es-ES"/>
        </w:rPr>
        <w:t xml:space="preserve"> de la Ley de Transparencia y Acceso a la Información Pública del Estado de México y Municipios.</w:t>
      </w:r>
    </w:p>
    <w:p w14:paraId="405266B3" w14:textId="77777777" w:rsidR="008D62BA" w:rsidRDefault="008D62BA" w:rsidP="005076E9">
      <w:pPr>
        <w:tabs>
          <w:tab w:val="left" w:pos="4962"/>
        </w:tabs>
        <w:spacing w:after="0" w:line="360" w:lineRule="auto"/>
        <w:rPr>
          <w:rFonts w:eastAsia="Calibri" w:cs="Tahoma"/>
          <w:bCs/>
          <w:iCs/>
          <w:color w:val="auto"/>
          <w:lang w:val="es-ES"/>
        </w:rPr>
      </w:pPr>
    </w:p>
    <w:p w14:paraId="343AB5FF" w14:textId="7E9BF582" w:rsidR="008D62BA" w:rsidRPr="00682222" w:rsidRDefault="008D62BA" w:rsidP="005076E9">
      <w:pPr>
        <w:tabs>
          <w:tab w:val="left" w:pos="4962"/>
        </w:tabs>
        <w:spacing w:after="0" w:line="360" w:lineRule="auto"/>
        <w:rPr>
          <w:rFonts w:eastAsia="Calibri" w:cs="Tahoma"/>
          <w:bCs/>
          <w:iCs/>
          <w:color w:val="auto"/>
          <w:lang w:val="es-ES"/>
        </w:rPr>
      </w:pPr>
      <w:r>
        <w:rPr>
          <w:rFonts w:eastAsia="Calibri" w:cs="Tahoma"/>
          <w:bCs/>
          <w:iCs/>
          <w:color w:val="auto"/>
          <w:lang w:val="es-ES"/>
        </w:rPr>
        <w:t>Para el caso de que no se cuente con un documento con departamento de adscripción, por cada uno de los trabajadores, bastará que sólo por lo que refiere a ese contenido, indique de manera precisa y clara que no obra en sus archivos la información con ese grado de desglose.</w:t>
      </w:r>
    </w:p>
    <w:p w14:paraId="2D33E7EA" w14:textId="77777777" w:rsidR="00782132" w:rsidRPr="000D54C1" w:rsidRDefault="00782132" w:rsidP="005076E9">
      <w:pPr>
        <w:spacing w:after="0" w:line="360" w:lineRule="auto"/>
        <w:rPr>
          <w:rFonts w:eastAsia="Times New Roman" w:cs="Tahoma"/>
          <w:bCs/>
          <w:color w:val="auto"/>
          <w:lang w:eastAsia="es-ES"/>
        </w:rPr>
      </w:pPr>
    </w:p>
    <w:p w14:paraId="3B54D014" w14:textId="77777777" w:rsidR="00782132" w:rsidRDefault="00782132" w:rsidP="005076E9">
      <w:pPr>
        <w:spacing w:after="0" w:line="360" w:lineRule="auto"/>
        <w:rPr>
          <w:rFonts w:cs="Tahoma"/>
        </w:rPr>
      </w:pPr>
      <w:r w:rsidRPr="000D54C1">
        <w:rPr>
          <w:rFonts w:cs="Arial"/>
          <w:b/>
          <w:lang w:val="es-ES_tradnl"/>
        </w:rPr>
        <w:t>TERCERO.</w:t>
      </w:r>
      <w:r w:rsidRPr="000D54C1">
        <w:rPr>
          <w:rFonts w:cs="Tahoma"/>
          <w:b/>
        </w:rPr>
        <w:t xml:space="preserve"> NOTIFÍQUESE </w:t>
      </w:r>
      <w:r w:rsidRPr="000D54C1">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Default="00782132" w:rsidP="005076E9">
      <w:pPr>
        <w:spacing w:after="0" w:line="360" w:lineRule="auto"/>
        <w:rPr>
          <w:rFonts w:cs="Tahoma"/>
        </w:rPr>
      </w:pPr>
    </w:p>
    <w:p w14:paraId="5C47A650" w14:textId="0C12761D" w:rsidR="00682222" w:rsidRPr="00682222" w:rsidRDefault="00682222" w:rsidP="005076E9">
      <w:pPr>
        <w:spacing w:after="0" w:line="360" w:lineRule="auto"/>
        <w:contextualSpacing/>
        <w:rPr>
          <w:rFonts w:eastAsia="Calibri" w:cs="Tahoma"/>
          <w:iCs/>
        </w:rPr>
      </w:pPr>
      <w:bookmarkStart w:id="0" w:name="_Hlk61509110"/>
      <w:r w:rsidRPr="002E568E">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14:paraId="5AAB16D7" w14:textId="77777777" w:rsidR="00682222" w:rsidRPr="000D54C1" w:rsidRDefault="00682222" w:rsidP="005076E9">
      <w:pPr>
        <w:spacing w:after="0" w:line="360" w:lineRule="auto"/>
        <w:rPr>
          <w:rFonts w:cs="Tahoma"/>
        </w:rPr>
      </w:pPr>
    </w:p>
    <w:p w14:paraId="2C0ACFAC" w14:textId="77777777" w:rsidR="00782132" w:rsidRPr="000D54C1" w:rsidRDefault="00782132" w:rsidP="005076E9">
      <w:pPr>
        <w:spacing w:after="0" w:line="360" w:lineRule="auto"/>
        <w:rPr>
          <w:rFonts w:cs="Tahoma"/>
        </w:rPr>
      </w:pPr>
      <w:r w:rsidRPr="000D54C1">
        <w:rPr>
          <w:rFonts w:cs="Tahoma"/>
          <w:b/>
        </w:rPr>
        <w:t>CUARTO. NOTIFÍQUESE</w:t>
      </w:r>
      <w:r w:rsidRPr="000D54C1">
        <w:rPr>
          <w:rFonts w:cs="Tahoma"/>
        </w:rPr>
        <w:t xml:space="preserve"> al Recurrente la presente Resolución, asimismo, se hace de su conocimiento que de conformidad con lo establecido en el artículo 196 de la Ley de </w:t>
      </w:r>
      <w:r w:rsidRPr="000D54C1">
        <w:rPr>
          <w:rFonts w:cs="Tahoma"/>
        </w:rPr>
        <w:lastRenderedPageBreak/>
        <w:t>Transparencia y Acceso a la Información Pública del Estado de México y Municipios podrá promover el Juicio de Amparo en los términos de las leyes aplicables.</w:t>
      </w:r>
    </w:p>
    <w:p w14:paraId="42C8D564" w14:textId="77777777" w:rsidR="00782132" w:rsidRDefault="00782132" w:rsidP="005076E9">
      <w:pPr>
        <w:spacing w:after="0" w:line="360" w:lineRule="auto"/>
        <w:rPr>
          <w:rFonts w:eastAsia="Calibri" w:cs="Tahoma"/>
          <w:bCs/>
          <w:lang w:val="es-ES"/>
        </w:rPr>
      </w:pPr>
    </w:p>
    <w:p w14:paraId="61493576" w14:textId="48713772" w:rsidR="00C853D1" w:rsidRDefault="00AB1130" w:rsidP="005076E9">
      <w:pPr>
        <w:spacing w:after="0" w:line="360" w:lineRule="auto"/>
        <w:rPr>
          <w:rFonts w:eastAsia="Calibri" w:cs="Tahoma"/>
          <w:bCs/>
        </w:rPr>
      </w:pPr>
      <w:r w:rsidRPr="00BB7445">
        <w:rPr>
          <w:rFonts w:eastAsia="Calibri" w:cs="Tahoma"/>
          <w:bCs/>
        </w:rPr>
        <w:t xml:space="preserve">ASÍ LO RESUELVE, POR </w:t>
      </w:r>
      <w:r>
        <w:rPr>
          <w:rFonts w:eastAsia="Calibri" w:cs="Tahoma"/>
          <w:b/>
        </w:rPr>
        <w:t>MAYORÍA</w:t>
      </w:r>
      <w:r w:rsidRPr="00BB7445">
        <w:rPr>
          <w:rFonts w:eastAsia="Calibri" w:cs="Tahoma"/>
          <w:bCs/>
        </w:rPr>
        <w:t xml:space="preserve"> DE VOTOS EL PLENO DEL INSTITUTO DE TRANSPARENCIA, ACCESO A LA INFORMACIÓN PÚBLICA Y PROTECCIÓN DE DATOS PERSONALES DEL ESTADO DE MÉXICO Y MUNICIPIOS, CONFORMADO POR LOS COMISIONADOS JOSÉ MARTÍNEZ VILCHIS</w:t>
      </w:r>
      <w:r>
        <w:rPr>
          <w:rFonts w:eastAsia="Calibri" w:cs="Tahoma"/>
          <w:bCs/>
        </w:rPr>
        <w:t xml:space="preserve"> CON VOTO PARTICULAR</w:t>
      </w:r>
      <w:r w:rsidRPr="00BB7445">
        <w:rPr>
          <w:rFonts w:eastAsia="Calibri" w:cs="Tahoma"/>
          <w:bCs/>
        </w:rPr>
        <w:t>,</w:t>
      </w:r>
      <w:r>
        <w:rPr>
          <w:rFonts w:eastAsia="Calibri" w:cs="Tahoma"/>
          <w:bCs/>
        </w:rPr>
        <w:t xml:space="preserve"> </w:t>
      </w:r>
      <w:r w:rsidRPr="00BB7445">
        <w:rPr>
          <w:rFonts w:eastAsia="Calibri" w:cs="Tahoma"/>
          <w:bCs/>
        </w:rPr>
        <w:t>MARÍA DEL ROSARIO MEJÍA AYALA</w:t>
      </w:r>
      <w:r>
        <w:rPr>
          <w:rFonts w:eastAsia="Calibri" w:cs="Tahoma"/>
          <w:bCs/>
        </w:rPr>
        <w:t xml:space="preserve">, </w:t>
      </w:r>
      <w:r w:rsidRPr="00BB7445">
        <w:rPr>
          <w:rFonts w:eastAsia="Calibri" w:cs="Tahoma"/>
          <w:bCs/>
        </w:rPr>
        <w:t>SHARON CRISTINA MORALES MARTÍNEZ</w:t>
      </w:r>
      <w:r>
        <w:rPr>
          <w:rFonts w:eastAsia="Calibri" w:cs="Tahoma"/>
          <w:bCs/>
        </w:rPr>
        <w:t xml:space="preserve">, CON VOTO DISIDENTE </w:t>
      </w:r>
      <w:r w:rsidRPr="00BB7445">
        <w:rPr>
          <w:rFonts w:eastAsia="Calibri" w:cs="Tahoma"/>
          <w:bCs/>
        </w:rPr>
        <w:t>LUIS GUSTAVO PARRA NORIEGA</w:t>
      </w:r>
      <w:r>
        <w:rPr>
          <w:rFonts w:eastAsia="Calibri" w:cs="Tahoma"/>
          <w:bCs/>
        </w:rPr>
        <w:t xml:space="preserve"> CON VOTO PARTICULAR Y </w:t>
      </w:r>
      <w:r w:rsidRPr="00BB7445">
        <w:rPr>
          <w:rFonts w:eastAsia="Calibri" w:cs="Tahoma"/>
          <w:bCs/>
        </w:rPr>
        <w:t>GUADALUPE RAMÍREZ PEÑA</w:t>
      </w:r>
      <w:r>
        <w:rPr>
          <w:rFonts w:eastAsia="Calibri" w:cs="Tahoma"/>
          <w:bCs/>
        </w:rPr>
        <w:t xml:space="preserve">, </w:t>
      </w:r>
      <w:r w:rsidRPr="00BB7445">
        <w:rPr>
          <w:rFonts w:eastAsia="Calibri" w:cs="Tahoma"/>
          <w:bCs/>
        </w:rPr>
        <w:t xml:space="preserve">EN LA </w:t>
      </w:r>
      <w:r>
        <w:rPr>
          <w:rFonts w:eastAsia="Calibri" w:cs="Tahoma"/>
          <w:bCs/>
        </w:rPr>
        <w:t xml:space="preserve">DÉCIMA SESIÓN ORDINARIA, CELEBRADA EL QUINCE DE MARZO DE DOS MIL VEINTITRÉS, </w:t>
      </w:r>
      <w:r w:rsidRPr="00BB7445">
        <w:rPr>
          <w:rFonts w:eastAsia="Calibri" w:cs="Tahoma"/>
          <w:bCs/>
        </w:rPr>
        <w:t>ANTE EL SECRETARIO TÉCNICO DEL PLENO, ALEXIS TAPIA RAMÍREZ.</w:t>
      </w:r>
    </w:p>
    <w:p w14:paraId="189BD5D9" w14:textId="5AA6579D" w:rsidR="00C853D1" w:rsidRDefault="00C853D1" w:rsidP="005076E9">
      <w:pPr>
        <w:spacing w:after="0" w:line="360" w:lineRule="auto"/>
        <w:jc w:val="left"/>
        <w:rPr>
          <w:rFonts w:eastAsia="Calibri" w:cs="Tahoma"/>
          <w:b/>
          <w:bCs/>
        </w:rPr>
      </w:pPr>
      <w:r>
        <w:rPr>
          <w:rFonts w:eastAsia="Calibri" w:cs="Tahoma"/>
          <w:b/>
          <w:bCs/>
        </w:rPr>
        <w:br w:type="page"/>
      </w:r>
    </w:p>
    <w:p w14:paraId="3A7BF8F4" w14:textId="77777777" w:rsidR="00A6477D" w:rsidRDefault="00A6477D" w:rsidP="005076E9">
      <w:pPr>
        <w:spacing w:after="0" w:line="360" w:lineRule="auto"/>
      </w:pPr>
    </w:p>
    <w:sectPr w:rsidR="00A6477D" w:rsidSect="002C59A0">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808F" w14:textId="77777777" w:rsidR="00552CD6" w:rsidRDefault="00552CD6" w:rsidP="00C853D1">
      <w:pPr>
        <w:spacing w:after="0" w:line="240" w:lineRule="auto"/>
      </w:pPr>
      <w:r>
        <w:separator/>
      </w:r>
    </w:p>
  </w:endnote>
  <w:endnote w:type="continuationSeparator" w:id="0">
    <w:p w14:paraId="4ED257B5" w14:textId="77777777" w:rsidR="00552CD6" w:rsidRDefault="00552CD6"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517D23" w:rsidRDefault="00517D2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517D23" w:rsidRDefault="00517D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517D23" w:rsidRDefault="00517D2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600E5">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00E5">
              <w:rPr>
                <w:b/>
                <w:bCs/>
                <w:noProof/>
              </w:rPr>
              <w:t>41</w:t>
            </w:r>
            <w:r>
              <w:rPr>
                <w:b/>
                <w:bCs/>
                <w:sz w:val="24"/>
                <w:szCs w:val="24"/>
              </w:rPr>
              <w:fldChar w:fldCharType="end"/>
            </w:r>
          </w:p>
        </w:sdtContent>
      </w:sdt>
    </w:sdtContent>
  </w:sdt>
  <w:p w14:paraId="3F35B7C0" w14:textId="77777777" w:rsidR="00517D23" w:rsidRDefault="00517D2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517D23" w:rsidRDefault="00517D2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E02D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E02DD">
              <w:rPr>
                <w:b/>
                <w:bCs/>
                <w:noProof/>
              </w:rPr>
              <w:t>41</w:t>
            </w:r>
            <w:r>
              <w:rPr>
                <w:b/>
                <w:bCs/>
                <w:sz w:val="24"/>
                <w:szCs w:val="24"/>
              </w:rPr>
              <w:fldChar w:fldCharType="end"/>
            </w:r>
          </w:p>
        </w:sdtContent>
      </w:sdt>
    </w:sdtContent>
  </w:sdt>
  <w:p w14:paraId="1A7218CE" w14:textId="77777777" w:rsidR="00517D23" w:rsidRDefault="00517D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5B50" w14:textId="77777777" w:rsidR="00552CD6" w:rsidRDefault="00552CD6" w:rsidP="00C853D1">
      <w:pPr>
        <w:spacing w:after="0" w:line="240" w:lineRule="auto"/>
      </w:pPr>
      <w:r>
        <w:separator/>
      </w:r>
    </w:p>
  </w:footnote>
  <w:footnote w:type="continuationSeparator" w:id="0">
    <w:p w14:paraId="397C4254" w14:textId="77777777" w:rsidR="00552CD6" w:rsidRDefault="00552CD6" w:rsidP="00C8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517D23" w14:paraId="282B3A75" w14:textId="77777777" w:rsidTr="002C59A0">
      <w:trPr>
        <w:trHeight w:val="141"/>
      </w:trPr>
      <w:tc>
        <w:tcPr>
          <w:tcW w:w="2404" w:type="dxa"/>
        </w:tcPr>
        <w:p w14:paraId="57F547E7"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517D23" w:rsidRPr="00A8173F" w:rsidRDefault="00517D23" w:rsidP="002C59A0">
          <w:pPr>
            <w:tabs>
              <w:tab w:val="right" w:pos="8838"/>
            </w:tabs>
            <w:ind w:left="-28" w:right="683"/>
            <w:rPr>
              <w:rFonts w:eastAsia="Calibri" w:cs="Tahoma"/>
            </w:rPr>
          </w:pPr>
          <w:r w:rsidRPr="00A8173F">
            <w:rPr>
              <w:rFonts w:eastAsia="Calibri" w:cs="Tahoma"/>
              <w:lang w:val="es-MX"/>
            </w:rPr>
            <w:t>04196/INFOEM/IP/RR/2020</w:t>
          </w:r>
        </w:p>
      </w:tc>
    </w:tr>
    <w:tr w:rsidR="00517D23" w14:paraId="46AFE2B4" w14:textId="77777777" w:rsidTr="002C59A0">
      <w:trPr>
        <w:trHeight w:val="276"/>
      </w:trPr>
      <w:tc>
        <w:tcPr>
          <w:tcW w:w="2404" w:type="dxa"/>
        </w:tcPr>
        <w:p w14:paraId="1D6E5B2B"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517D23" w:rsidRPr="00A8173F" w:rsidRDefault="00517D23" w:rsidP="002C59A0">
          <w:pPr>
            <w:tabs>
              <w:tab w:val="right" w:pos="8838"/>
            </w:tabs>
            <w:ind w:right="116"/>
            <w:rPr>
              <w:rFonts w:eastAsia="Calibri" w:cs="Tahoma"/>
              <w:lang w:val="es-MX"/>
            </w:rPr>
          </w:pPr>
          <w:r w:rsidRPr="00A8173F">
            <w:rPr>
              <w:rFonts w:eastAsia="Calibri" w:cs="Tahoma"/>
              <w:lang w:val="es-MX"/>
            </w:rPr>
            <w:t>Ayuntamiento de Chapultepec</w:t>
          </w:r>
        </w:p>
      </w:tc>
    </w:tr>
    <w:tr w:rsidR="00517D23" w14:paraId="1FA679E9" w14:textId="77777777" w:rsidTr="002C59A0">
      <w:trPr>
        <w:trHeight w:val="276"/>
      </w:trPr>
      <w:tc>
        <w:tcPr>
          <w:tcW w:w="2404" w:type="dxa"/>
        </w:tcPr>
        <w:p w14:paraId="6498FD30"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517D23" w:rsidRPr="00A8173F" w:rsidRDefault="00517D23"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517D23" w:rsidRDefault="00AB1130">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517D23" w:rsidRPr="004A705D" w:rsidRDefault="00517D23">
    <w:pPr>
      <w:rPr>
        <w:sz w:val="18"/>
        <w:szCs w:val="18"/>
      </w:rPr>
    </w:pPr>
  </w:p>
  <w:tbl>
    <w:tblPr>
      <w:tblStyle w:val="Tablaconcuadrcula"/>
      <w:tblW w:w="5812"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408"/>
    </w:tblGrid>
    <w:tr w:rsidR="00517D23" w14:paraId="1E2FF18B" w14:textId="77777777" w:rsidTr="00612DD7">
      <w:trPr>
        <w:trHeight w:val="141"/>
      </w:trPr>
      <w:tc>
        <w:tcPr>
          <w:tcW w:w="2404" w:type="dxa"/>
        </w:tcPr>
        <w:p w14:paraId="6B6D03E8" w14:textId="77777777" w:rsidR="00517D23" w:rsidRPr="001B5FB6" w:rsidRDefault="00517D23"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408" w:type="dxa"/>
        </w:tcPr>
        <w:p w14:paraId="503BB8DE" w14:textId="1CB9661C" w:rsidR="00517D23" w:rsidRPr="00C853D1" w:rsidRDefault="00517D23" w:rsidP="00161885">
          <w:pPr>
            <w:tabs>
              <w:tab w:val="right" w:pos="8838"/>
            </w:tabs>
            <w:ind w:left="-28" w:right="454"/>
            <w:rPr>
              <w:rFonts w:eastAsia="Calibri" w:cs="Tahoma"/>
            </w:rPr>
          </w:pPr>
          <w:r w:rsidRPr="00555BDF">
            <w:rPr>
              <w:rFonts w:eastAsia="Calibri" w:cs="Tahoma"/>
              <w:lang w:val="es-MX"/>
            </w:rPr>
            <w:t>1</w:t>
          </w:r>
          <w:r>
            <w:rPr>
              <w:rFonts w:eastAsia="Calibri" w:cs="Tahoma"/>
              <w:lang w:val="es-MX"/>
            </w:rPr>
            <w:t>1446</w:t>
          </w:r>
          <w:r w:rsidRPr="00555BDF">
            <w:rPr>
              <w:rFonts w:eastAsia="Calibri" w:cs="Tahoma"/>
              <w:lang w:val="es-MX"/>
            </w:rPr>
            <w:t>/INFOEM/IP/RR/2022</w:t>
          </w:r>
        </w:p>
      </w:tc>
    </w:tr>
    <w:tr w:rsidR="00517D23" w14:paraId="110906AA" w14:textId="77777777" w:rsidTr="00612DD7">
      <w:trPr>
        <w:trHeight w:val="276"/>
      </w:trPr>
      <w:tc>
        <w:tcPr>
          <w:tcW w:w="2404" w:type="dxa"/>
        </w:tcPr>
        <w:p w14:paraId="3052339E"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Sujeto Obligado:</w:t>
          </w:r>
        </w:p>
      </w:tc>
      <w:tc>
        <w:tcPr>
          <w:tcW w:w="3408" w:type="dxa"/>
        </w:tcPr>
        <w:p w14:paraId="5C93113C" w14:textId="5C4654CF" w:rsidR="00517D23" w:rsidRPr="00A8173F" w:rsidRDefault="00517D23" w:rsidP="00161885">
          <w:pPr>
            <w:tabs>
              <w:tab w:val="right" w:pos="8838"/>
            </w:tabs>
            <w:ind w:right="454"/>
            <w:rPr>
              <w:rFonts w:eastAsia="Calibri" w:cs="Tahoma"/>
              <w:lang w:val="es-MX"/>
            </w:rPr>
          </w:pPr>
          <w:r w:rsidRPr="00555BDF">
            <w:rPr>
              <w:rFonts w:eastAsia="Calibri" w:cs="Tahoma"/>
              <w:lang w:val="es-MX"/>
            </w:rPr>
            <w:t xml:space="preserve">Ayuntamiento de </w:t>
          </w:r>
          <w:r>
            <w:rPr>
              <w:rFonts w:eastAsia="Calibri" w:cs="Tahoma"/>
              <w:lang w:val="es-MX"/>
            </w:rPr>
            <w:t>Chimalhuacán</w:t>
          </w:r>
        </w:p>
      </w:tc>
    </w:tr>
    <w:tr w:rsidR="00517D23" w14:paraId="065F2043" w14:textId="77777777" w:rsidTr="00612DD7">
      <w:trPr>
        <w:trHeight w:val="276"/>
      </w:trPr>
      <w:tc>
        <w:tcPr>
          <w:tcW w:w="2404" w:type="dxa"/>
        </w:tcPr>
        <w:p w14:paraId="22514F66"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Comisionado Ponente:</w:t>
          </w:r>
        </w:p>
      </w:tc>
      <w:tc>
        <w:tcPr>
          <w:tcW w:w="3408" w:type="dxa"/>
        </w:tcPr>
        <w:p w14:paraId="245FB2E7" w14:textId="77777777" w:rsidR="00517D23" w:rsidRPr="00A8173F" w:rsidRDefault="00517D23"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517D23" w:rsidRDefault="00AB1130">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517D23" w:rsidRPr="005C106F" w14:paraId="5D26797B" w14:textId="77777777" w:rsidTr="002C59A0">
      <w:trPr>
        <w:trHeight w:val="1546"/>
      </w:trPr>
      <w:tc>
        <w:tcPr>
          <w:tcW w:w="2127" w:type="dxa"/>
          <w:shd w:val="clear" w:color="auto" w:fill="auto"/>
        </w:tcPr>
        <w:p w14:paraId="76E7DE43" w14:textId="77777777" w:rsidR="00517D23" w:rsidRPr="005C106F" w:rsidRDefault="00517D23"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952"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48"/>
          </w:tblGrid>
          <w:tr w:rsidR="00517D23" w14:paraId="5CB74832" w14:textId="77777777" w:rsidTr="00555BDF">
            <w:trPr>
              <w:trHeight w:val="141"/>
            </w:trPr>
            <w:tc>
              <w:tcPr>
                <w:tcW w:w="2404" w:type="dxa"/>
                <w:vAlign w:val="bottom"/>
              </w:tcPr>
              <w:p w14:paraId="38469831"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Recurso de Revisión:</w:t>
                </w:r>
              </w:p>
            </w:tc>
            <w:tc>
              <w:tcPr>
                <w:tcW w:w="3548" w:type="dxa"/>
              </w:tcPr>
              <w:p w14:paraId="0749605A" w14:textId="77777777" w:rsidR="00517D23" w:rsidRDefault="00517D23" w:rsidP="002C59A0">
                <w:pPr>
                  <w:tabs>
                    <w:tab w:val="right" w:pos="8838"/>
                  </w:tabs>
                  <w:ind w:left="-28" w:right="-107"/>
                  <w:rPr>
                    <w:rFonts w:eastAsia="Calibri" w:cs="Tahoma"/>
                    <w:lang w:val="es-MX"/>
                  </w:rPr>
                </w:pPr>
              </w:p>
              <w:p w14:paraId="25021A4A" w14:textId="72444CC1" w:rsidR="00517D23" w:rsidRPr="00C853D1" w:rsidRDefault="00517D23" w:rsidP="00161885">
                <w:pPr>
                  <w:tabs>
                    <w:tab w:val="right" w:pos="8838"/>
                  </w:tabs>
                  <w:ind w:left="-28" w:right="-107"/>
                  <w:rPr>
                    <w:rFonts w:eastAsia="Calibri" w:cs="Tahoma"/>
                  </w:rPr>
                </w:pPr>
                <w:r w:rsidRPr="00555BDF">
                  <w:rPr>
                    <w:rFonts w:eastAsia="Calibri" w:cs="Tahoma"/>
                    <w:lang w:val="es-MX"/>
                  </w:rPr>
                  <w:t>1</w:t>
                </w:r>
                <w:r>
                  <w:rPr>
                    <w:rFonts w:eastAsia="Calibri" w:cs="Tahoma"/>
                    <w:lang w:val="es-MX"/>
                  </w:rPr>
                  <w:t>1446</w:t>
                </w:r>
                <w:r w:rsidRPr="00555BDF">
                  <w:rPr>
                    <w:rFonts w:eastAsia="Calibri" w:cs="Tahoma"/>
                    <w:lang w:val="es-MX"/>
                  </w:rPr>
                  <w:t>/INFOEM/IP/RR/2022</w:t>
                </w:r>
              </w:p>
            </w:tc>
          </w:tr>
          <w:tr w:rsidR="00517D23" w14:paraId="65D6C982" w14:textId="77777777" w:rsidTr="00555BDF">
            <w:trPr>
              <w:trHeight w:val="141"/>
            </w:trPr>
            <w:tc>
              <w:tcPr>
                <w:tcW w:w="2404" w:type="dxa"/>
              </w:tcPr>
              <w:p w14:paraId="7E5992A8"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Recurrente:</w:t>
                </w:r>
              </w:p>
            </w:tc>
            <w:tc>
              <w:tcPr>
                <w:tcW w:w="3548" w:type="dxa"/>
              </w:tcPr>
              <w:p w14:paraId="4D5C37D5" w14:textId="17933768" w:rsidR="00517D23" w:rsidRPr="003405AF" w:rsidRDefault="00517D23" w:rsidP="00555BDF">
                <w:pPr>
                  <w:tabs>
                    <w:tab w:val="right" w:pos="8838"/>
                  </w:tabs>
                  <w:ind w:right="-107"/>
                  <w:rPr>
                    <w:rFonts w:eastAsia="Calibri" w:cs="Tahoma"/>
                    <w:lang w:val="es-MX"/>
                  </w:rPr>
                </w:pPr>
              </w:p>
            </w:tc>
          </w:tr>
          <w:tr w:rsidR="00517D23" w14:paraId="40A995EA" w14:textId="77777777" w:rsidTr="00555BDF">
            <w:trPr>
              <w:trHeight w:val="276"/>
            </w:trPr>
            <w:tc>
              <w:tcPr>
                <w:tcW w:w="2404" w:type="dxa"/>
              </w:tcPr>
              <w:p w14:paraId="7BFD65FA"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Sujeto Obligado:</w:t>
                </w:r>
              </w:p>
            </w:tc>
            <w:tc>
              <w:tcPr>
                <w:tcW w:w="3548" w:type="dxa"/>
              </w:tcPr>
              <w:p w14:paraId="2A0A51A2" w14:textId="77777777" w:rsidR="00517D23" w:rsidRDefault="00517D23" w:rsidP="00161885">
                <w:pPr>
                  <w:tabs>
                    <w:tab w:val="right" w:pos="8838"/>
                  </w:tabs>
                  <w:ind w:right="-107"/>
                  <w:rPr>
                    <w:rFonts w:eastAsia="Calibri" w:cs="Tahoma"/>
                    <w:lang w:val="es-MX"/>
                  </w:rPr>
                </w:pPr>
                <w:r w:rsidRPr="00555BDF">
                  <w:rPr>
                    <w:rFonts w:eastAsia="Calibri" w:cs="Tahoma"/>
                    <w:lang w:val="es-MX"/>
                  </w:rPr>
                  <w:t xml:space="preserve">Ayuntamiento de </w:t>
                </w:r>
              </w:p>
              <w:p w14:paraId="433E1B49" w14:textId="68EA812D" w:rsidR="00517D23" w:rsidRPr="00C853D1" w:rsidRDefault="00517D23" w:rsidP="00161885">
                <w:pPr>
                  <w:tabs>
                    <w:tab w:val="right" w:pos="8838"/>
                  </w:tabs>
                  <w:ind w:right="-107"/>
                  <w:rPr>
                    <w:rFonts w:eastAsia="Calibri" w:cs="Tahoma"/>
                    <w:lang w:val="es-MX"/>
                  </w:rPr>
                </w:pPr>
                <w:r>
                  <w:rPr>
                    <w:rFonts w:eastAsia="Calibri" w:cs="Tahoma"/>
                    <w:lang w:val="es-MX"/>
                  </w:rPr>
                  <w:t>Chimalhuacán</w:t>
                </w:r>
              </w:p>
            </w:tc>
          </w:tr>
          <w:tr w:rsidR="00517D23" w14:paraId="386AB112" w14:textId="77777777" w:rsidTr="00555BDF">
            <w:trPr>
              <w:trHeight w:val="276"/>
            </w:trPr>
            <w:tc>
              <w:tcPr>
                <w:tcW w:w="2404" w:type="dxa"/>
              </w:tcPr>
              <w:p w14:paraId="44E8F60B" w14:textId="77777777" w:rsidR="00517D23" w:rsidRPr="001B5FB6" w:rsidRDefault="00517D23" w:rsidP="002C59A0">
                <w:pPr>
                  <w:tabs>
                    <w:tab w:val="right" w:pos="8838"/>
                  </w:tabs>
                  <w:ind w:right="-105"/>
                  <w:rPr>
                    <w:rFonts w:eastAsia="Calibri" w:cs="Tahoma"/>
                    <w:b/>
                    <w:lang w:val="es-MX"/>
                  </w:rPr>
                </w:pPr>
                <w:r w:rsidRPr="001B5FB6">
                  <w:rPr>
                    <w:rFonts w:eastAsia="Calibri" w:cs="Tahoma"/>
                    <w:b/>
                    <w:lang w:val="es-MX"/>
                  </w:rPr>
                  <w:t>Comisionado Ponente:</w:t>
                </w:r>
              </w:p>
            </w:tc>
            <w:tc>
              <w:tcPr>
                <w:tcW w:w="3548" w:type="dxa"/>
              </w:tcPr>
              <w:p w14:paraId="3833DB23" w14:textId="77777777" w:rsidR="00517D23" w:rsidRPr="00A8173F" w:rsidRDefault="00517D23"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517D23" w:rsidRPr="005C106F" w:rsidRDefault="00517D23" w:rsidP="002C59A0">
          <w:pPr>
            <w:tabs>
              <w:tab w:val="right" w:pos="8838"/>
            </w:tabs>
            <w:ind w:left="-28"/>
            <w:rPr>
              <w:rFonts w:ascii="Arial" w:eastAsia="Calibri" w:hAnsi="Arial" w:cs="Arial"/>
              <w:b/>
            </w:rPr>
          </w:pPr>
        </w:p>
      </w:tc>
    </w:tr>
  </w:tbl>
  <w:p w14:paraId="280F3B20" w14:textId="77777777" w:rsidR="00517D23" w:rsidRDefault="00AB1130">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817A0"/>
    <w:multiLevelType w:val="hybridMultilevel"/>
    <w:tmpl w:val="03948C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BB943F9"/>
    <w:multiLevelType w:val="hybridMultilevel"/>
    <w:tmpl w:val="C60EB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A32E82"/>
    <w:multiLevelType w:val="hybridMultilevel"/>
    <w:tmpl w:val="F9083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22D502D1"/>
    <w:multiLevelType w:val="hybridMultilevel"/>
    <w:tmpl w:val="B0C27DD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03B7677"/>
    <w:multiLevelType w:val="hybridMultilevel"/>
    <w:tmpl w:val="2D568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D3A0DBE"/>
    <w:multiLevelType w:val="hybridMultilevel"/>
    <w:tmpl w:val="93386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99453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4904734">
    <w:abstractNumId w:val="2"/>
  </w:num>
  <w:num w:numId="3" w16cid:durableId="1185095120">
    <w:abstractNumId w:val="11"/>
  </w:num>
  <w:num w:numId="4" w16cid:durableId="896008747">
    <w:abstractNumId w:val="17"/>
  </w:num>
  <w:num w:numId="5" w16cid:durableId="941258903">
    <w:abstractNumId w:val="26"/>
  </w:num>
  <w:num w:numId="6" w16cid:durableId="1328561186">
    <w:abstractNumId w:val="24"/>
  </w:num>
  <w:num w:numId="7" w16cid:durableId="1479859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0599344">
    <w:abstractNumId w:val="6"/>
  </w:num>
  <w:num w:numId="9" w16cid:durableId="1222256871">
    <w:abstractNumId w:val="33"/>
  </w:num>
  <w:num w:numId="10" w16cid:durableId="799761289">
    <w:abstractNumId w:val="8"/>
  </w:num>
  <w:num w:numId="11" w16cid:durableId="584803619">
    <w:abstractNumId w:val="23"/>
  </w:num>
  <w:num w:numId="12" w16cid:durableId="2036686764">
    <w:abstractNumId w:val="19"/>
  </w:num>
  <w:num w:numId="13" w16cid:durableId="1340960378">
    <w:abstractNumId w:val="34"/>
  </w:num>
  <w:num w:numId="14" w16cid:durableId="1652519117">
    <w:abstractNumId w:val="25"/>
  </w:num>
  <w:num w:numId="15" w16cid:durableId="485972866">
    <w:abstractNumId w:val="20"/>
  </w:num>
  <w:num w:numId="16" w16cid:durableId="2052919222">
    <w:abstractNumId w:val="29"/>
  </w:num>
  <w:num w:numId="17" w16cid:durableId="1087195164">
    <w:abstractNumId w:val="18"/>
  </w:num>
  <w:num w:numId="18" w16cid:durableId="66539139">
    <w:abstractNumId w:val="30"/>
  </w:num>
  <w:num w:numId="19" w16cid:durableId="56055852">
    <w:abstractNumId w:val="12"/>
  </w:num>
  <w:num w:numId="20" w16cid:durableId="769816415">
    <w:abstractNumId w:val="0"/>
  </w:num>
  <w:num w:numId="21" w16cid:durableId="1641882635">
    <w:abstractNumId w:val="27"/>
  </w:num>
  <w:num w:numId="22" w16cid:durableId="1886678625">
    <w:abstractNumId w:val="15"/>
  </w:num>
  <w:num w:numId="23" w16cid:durableId="1954050125">
    <w:abstractNumId w:val="10"/>
  </w:num>
  <w:num w:numId="24" w16cid:durableId="2065714861">
    <w:abstractNumId w:val="16"/>
  </w:num>
  <w:num w:numId="25" w16cid:durableId="1786346357">
    <w:abstractNumId w:val="9"/>
  </w:num>
  <w:num w:numId="26" w16cid:durableId="244807794">
    <w:abstractNumId w:val="28"/>
  </w:num>
  <w:num w:numId="27" w16cid:durableId="884412530">
    <w:abstractNumId w:val="7"/>
  </w:num>
  <w:num w:numId="28" w16cid:durableId="17589852">
    <w:abstractNumId w:val="35"/>
  </w:num>
  <w:num w:numId="29" w16cid:durableId="8479868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1097443">
    <w:abstractNumId w:val="14"/>
  </w:num>
  <w:num w:numId="31" w16cid:durableId="831989315">
    <w:abstractNumId w:val="4"/>
  </w:num>
  <w:num w:numId="32" w16cid:durableId="1879513317">
    <w:abstractNumId w:val="5"/>
  </w:num>
  <w:num w:numId="33" w16cid:durableId="1306009248">
    <w:abstractNumId w:val="32"/>
  </w:num>
  <w:num w:numId="34" w16cid:durableId="850264931">
    <w:abstractNumId w:val="22"/>
  </w:num>
  <w:num w:numId="35" w16cid:durableId="131022087">
    <w:abstractNumId w:val="1"/>
  </w:num>
  <w:num w:numId="36" w16cid:durableId="1271864259">
    <w:abstractNumId w:val="13"/>
  </w:num>
  <w:num w:numId="37" w16cid:durableId="1294024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E43"/>
    <w:rsid w:val="00001F87"/>
    <w:rsid w:val="00002E53"/>
    <w:rsid w:val="000039BC"/>
    <w:rsid w:val="000051F1"/>
    <w:rsid w:val="00007008"/>
    <w:rsid w:val="00007EB8"/>
    <w:rsid w:val="0001499A"/>
    <w:rsid w:val="00017D8C"/>
    <w:rsid w:val="000223B0"/>
    <w:rsid w:val="000239FF"/>
    <w:rsid w:val="00025244"/>
    <w:rsid w:val="00027FA3"/>
    <w:rsid w:val="00030561"/>
    <w:rsid w:val="000477C6"/>
    <w:rsid w:val="00050C21"/>
    <w:rsid w:val="00052A57"/>
    <w:rsid w:val="00062AAC"/>
    <w:rsid w:val="00062C8B"/>
    <w:rsid w:val="000705A9"/>
    <w:rsid w:val="000712BC"/>
    <w:rsid w:val="0007328F"/>
    <w:rsid w:val="000741C1"/>
    <w:rsid w:val="00075FF2"/>
    <w:rsid w:val="00080BF2"/>
    <w:rsid w:val="00081145"/>
    <w:rsid w:val="000939CD"/>
    <w:rsid w:val="00093E2C"/>
    <w:rsid w:val="00096694"/>
    <w:rsid w:val="000A2566"/>
    <w:rsid w:val="000A2588"/>
    <w:rsid w:val="000A259F"/>
    <w:rsid w:val="000A2CBA"/>
    <w:rsid w:val="000A61A2"/>
    <w:rsid w:val="000A785D"/>
    <w:rsid w:val="000B0EAF"/>
    <w:rsid w:val="000B314E"/>
    <w:rsid w:val="000B7029"/>
    <w:rsid w:val="000C710B"/>
    <w:rsid w:val="000C715C"/>
    <w:rsid w:val="000D1A72"/>
    <w:rsid w:val="000D2522"/>
    <w:rsid w:val="000D45D9"/>
    <w:rsid w:val="000D59F5"/>
    <w:rsid w:val="000D69EB"/>
    <w:rsid w:val="000D6E68"/>
    <w:rsid w:val="000D73F7"/>
    <w:rsid w:val="000E1BE2"/>
    <w:rsid w:val="000E28E6"/>
    <w:rsid w:val="000E4E10"/>
    <w:rsid w:val="000F05A6"/>
    <w:rsid w:val="000F1D11"/>
    <w:rsid w:val="000F2A9A"/>
    <w:rsid w:val="000F3403"/>
    <w:rsid w:val="000F45A1"/>
    <w:rsid w:val="000F5C98"/>
    <w:rsid w:val="001004CE"/>
    <w:rsid w:val="00100EB3"/>
    <w:rsid w:val="00101730"/>
    <w:rsid w:val="001017C1"/>
    <w:rsid w:val="0010232F"/>
    <w:rsid w:val="0010413E"/>
    <w:rsid w:val="001053A7"/>
    <w:rsid w:val="001059E3"/>
    <w:rsid w:val="00105EF9"/>
    <w:rsid w:val="001105F1"/>
    <w:rsid w:val="001131AE"/>
    <w:rsid w:val="00115309"/>
    <w:rsid w:val="001202DE"/>
    <w:rsid w:val="00134C39"/>
    <w:rsid w:val="00142455"/>
    <w:rsid w:val="00146731"/>
    <w:rsid w:val="0014751C"/>
    <w:rsid w:val="00157A73"/>
    <w:rsid w:val="001601CC"/>
    <w:rsid w:val="00161885"/>
    <w:rsid w:val="00161E74"/>
    <w:rsid w:val="00164599"/>
    <w:rsid w:val="001675D9"/>
    <w:rsid w:val="001719BC"/>
    <w:rsid w:val="0017427D"/>
    <w:rsid w:val="00174F57"/>
    <w:rsid w:val="00175572"/>
    <w:rsid w:val="00180003"/>
    <w:rsid w:val="001900B4"/>
    <w:rsid w:val="00190B92"/>
    <w:rsid w:val="00190D22"/>
    <w:rsid w:val="00190EBA"/>
    <w:rsid w:val="001935D3"/>
    <w:rsid w:val="00194DD1"/>
    <w:rsid w:val="0019678D"/>
    <w:rsid w:val="001A4A9C"/>
    <w:rsid w:val="001A641F"/>
    <w:rsid w:val="001B3B40"/>
    <w:rsid w:val="001B77BD"/>
    <w:rsid w:val="001C1007"/>
    <w:rsid w:val="001C3C7E"/>
    <w:rsid w:val="001C3D02"/>
    <w:rsid w:val="001C6764"/>
    <w:rsid w:val="001D02DD"/>
    <w:rsid w:val="001D37BB"/>
    <w:rsid w:val="001D7D36"/>
    <w:rsid w:val="001E2439"/>
    <w:rsid w:val="001E386E"/>
    <w:rsid w:val="001E3BDD"/>
    <w:rsid w:val="001E4495"/>
    <w:rsid w:val="001E6D1F"/>
    <w:rsid w:val="001F4DD4"/>
    <w:rsid w:val="001F72A3"/>
    <w:rsid w:val="001F7C51"/>
    <w:rsid w:val="00204AF1"/>
    <w:rsid w:val="002111A8"/>
    <w:rsid w:val="00213776"/>
    <w:rsid w:val="00220583"/>
    <w:rsid w:val="0022122A"/>
    <w:rsid w:val="0022261D"/>
    <w:rsid w:val="00230947"/>
    <w:rsid w:val="00231725"/>
    <w:rsid w:val="00233357"/>
    <w:rsid w:val="00235BA0"/>
    <w:rsid w:val="002402DE"/>
    <w:rsid w:val="002416CE"/>
    <w:rsid w:val="002419E9"/>
    <w:rsid w:val="002420F3"/>
    <w:rsid w:val="0024313A"/>
    <w:rsid w:val="0024466D"/>
    <w:rsid w:val="0024594A"/>
    <w:rsid w:val="00251A4C"/>
    <w:rsid w:val="00252EF3"/>
    <w:rsid w:val="0025433F"/>
    <w:rsid w:val="002557A7"/>
    <w:rsid w:val="0025653B"/>
    <w:rsid w:val="00257F3B"/>
    <w:rsid w:val="00260AAA"/>
    <w:rsid w:val="00261807"/>
    <w:rsid w:val="00261BED"/>
    <w:rsid w:val="002634E5"/>
    <w:rsid w:val="002711B3"/>
    <w:rsid w:val="002718A0"/>
    <w:rsid w:val="00271D9C"/>
    <w:rsid w:val="00272886"/>
    <w:rsid w:val="00273E3B"/>
    <w:rsid w:val="0028305A"/>
    <w:rsid w:val="00296E2A"/>
    <w:rsid w:val="002A7D8A"/>
    <w:rsid w:val="002B3565"/>
    <w:rsid w:val="002B3FDA"/>
    <w:rsid w:val="002B54AE"/>
    <w:rsid w:val="002B7AA2"/>
    <w:rsid w:val="002C1892"/>
    <w:rsid w:val="002C514D"/>
    <w:rsid w:val="002C5683"/>
    <w:rsid w:val="002C59A0"/>
    <w:rsid w:val="002C6390"/>
    <w:rsid w:val="002C7309"/>
    <w:rsid w:val="002D2E5D"/>
    <w:rsid w:val="002D4C78"/>
    <w:rsid w:val="002D4F87"/>
    <w:rsid w:val="002D53A0"/>
    <w:rsid w:val="002E02DD"/>
    <w:rsid w:val="002E0552"/>
    <w:rsid w:val="002E05D6"/>
    <w:rsid w:val="002E25E7"/>
    <w:rsid w:val="002E333F"/>
    <w:rsid w:val="002E33E8"/>
    <w:rsid w:val="002E5CED"/>
    <w:rsid w:val="002F7DE8"/>
    <w:rsid w:val="00300286"/>
    <w:rsid w:val="0030046C"/>
    <w:rsid w:val="00311288"/>
    <w:rsid w:val="003114A1"/>
    <w:rsid w:val="00311811"/>
    <w:rsid w:val="003160D6"/>
    <w:rsid w:val="00316C63"/>
    <w:rsid w:val="00317038"/>
    <w:rsid w:val="00320671"/>
    <w:rsid w:val="00320B93"/>
    <w:rsid w:val="003222F5"/>
    <w:rsid w:val="003265A2"/>
    <w:rsid w:val="00326BFD"/>
    <w:rsid w:val="00326D8E"/>
    <w:rsid w:val="00334B20"/>
    <w:rsid w:val="00336980"/>
    <w:rsid w:val="00340C42"/>
    <w:rsid w:val="0034462A"/>
    <w:rsid w:val="00345528"/>
    <w:rsid w:val="00350D55"/>
    <w:rsid w:val="003529E4"/>
    <w:rsid w:val="003537E3"/>
    <w:rsid w:val="00355553"/>
    <w:rsid w:val="003577F5"/>
    <w:rsid w:val="00360690"/>
    <w:rsid w:val="00362DE2"/>
    <w:rsid w:val="00363046"/>
    <w:rsid w:val="003647F7"/>
    <w:rsid w:val="00365075"/>
    <w:rsid w:val="00371DAE"/>
    <w:rsid w:val="00372BAB"/>
    <w:rsid w:val="00376559"/>
    <w:rsid w:val="00380368"/>
    <w:rsid w:val="00381987"/>
    <w:rsid w:val="00381FDE"/>
    <w:rsid w:val="00384455"/>
    <w:rsid w:val="00384A4A"/>
    <w:rsid w:val="0038779D"/>
    <w:rsid w:val="003936D2"/>
    <w:rsid w:val="003955C4"/>
    <w:rsid w:val="003975AD"/>
    <w:rsid w:val="00397660"/>
    <w:rsid w:val="003A1B84"/>
    <w:rsid w:val="003B0BA2"/>
    <w:rsid w:val="003B3167"/>
    <w:rsid w:val="003B46DC"/>
    <w:rsid w:val="003C2ED7"/>
    <w:rsid w:val="003C470A"/>
    <w:rsid w:val="003C591E"/>
    <w:rsid w:val="003C5B59"/>
    <w:rsid w:val="003D15D4"/>
    <w:rsid w:val="003D18C8"/>
    <w:rsid w:val="003D30B4"/>
    <w:rsid w:val="003D4A58"/>
    <w:rsid w:val="003D7ED4"/>
    <w:rsid w:val="003E08A6"/>
    <w:rsid w:val="003E2FB0"/>
    <w:rsid w:val="003E6425"/>
    <w:rsid w:val="003E6F3C"/>
    <w:rsid w:val="003E7060"/>
    <w:rsid w:val="003F0CE1"/>
    <w:rsid w:val="003F0E14"/>
    <w:rsid w:val="003F0F63"/>
    <w:rsid w:val="004026D4"/>
    <w:rsid w:val="00404094"/>
    <w:rsid w:val="004059D0"/>
    <w:rsid w:val="00407D92"/>
    <w:rsid w:val="00410C1E"/>
    <w:rsid w:val="004122A9"/>
    <w:rsid w:val="00415A15"/>
    <w:rsid w:val="00417EED"/>
    <w:rsid w:val="0042422A"/>
    <w:rsid w:val="00425CB1"/>
    <w:rsid w:val="00430B0D"/>
    <w:rsid w:val="00433CAA"/>
    <w:rsid w:val="00444674"/>
    <w:rsid w:val="00450E6E"/>
    <w:rsid w:val="00452038"/>
    <w:rsid w:val="004542DC"/>
    <w:rsid w:val="004548CD"/>
    <w:rsid w:val="00457040"/>
    <w:rsid w:val="00460EAD"/>
    <w:rsid w:val="00462A63"/>
    <w:rsid w:val="004633F1"/>
    <w:rsid w:val="00463A70"/>
    <w:rsid w:val="00464242"/>
    <w:rsid w:val="00465EC8"/>
    <w:rsid w:val="004673C4"/>
    <w:rsid w:val="00467751"/>
    <w:rsid w:val="00470A7A"/>
    <w:rsid w:val="00470AF6"/>
    <w:rsid w:val="00471A6E"/>
    <w:rsid w:val="00474538"/>
    <w:rsid w:val="004746C7"/>
    <w:rsid w:val="00474E4C"/>
    <w:rsid w:val="00476ED1"/>
    <w:rsid w:val="00477A5B"/>
    <w:rsid w:val="004829B9"/>
    <w:rsid w:val="0048648B"/>
    <w:rsid w:val="00486E69"/>
    <w:rsid w:val="0049061B"/>
    <w:rsid w:val="00491C3E"/>
    <w:rsid w:val="00493415"/>
    <w:rsid w:val="00494387"/>
    <w:rsid w:val="004949AC"/>
    <w:rsid w:val="00496426"/>
    <w:rsid w:val="004A1E88"/>
    <w:rsid w:val="004A27DB"/>
    <w:rsid w:val="004A528D"/>
    <w:rsid w:val="004A733F"/>
    <w:rsid w:val="004B15BE"/>
    <w:rsid w:val="004B554D"/>
    <w:rsid w:val="004B720F"/>
    <w:rsid w:val="004B726A"/>
    <w:rsid w:val="004C1B53"/>
    <w:rsid w:val="004C34C6"/>
    <w:rsid w:val="004C3C1A"/>
    <w:rsid w:val="004D2468"/>
    <w:rsid w:val="004D4220"/>
    <w:rsid w:val="004D66A3"/>
    <w:rsid w:val="004E1BF6"/>
    <w:rsid w:val="004E2875"/>
    <w:rsid w:val="004E55A2"/>
    <w:rsid w:val="004E5602"/>
    <w:rsid w:val="004E617D"/>
    <w:rsid w:val="004E6D06"/>
    <w:rsid w:val="004F4445"/>
    <w:rsid w:val="004F6003"/>
    <w:rsid w:val="004F662C"/>
    <w:rsid w:val="004F736C"/>
    <w:rsid w:val="004F7666"/>
    <w:rsid w:val="00505B1F"/>
    <w:rsid w:val="00506F24"/>
    <w:rsid w:val="005076E9"/>
    <w:rsid w:val="00510739"/>
    <w:rsid w:val="00513F33"/>
    <w:rsid w:val="00515CA2"/>
    <w:rsid w:val="0051784C"/>
    <w:rsid w:val="00517B06"/>
    <w:rsid w:val="00517D23"/>
    <w:rsid w:val="00520182"/>
    <w:rsid w:val="00522562"/>
    <w:rsid w:val="00522F3F"/>
    <w:rsid w:val="005230CF"/>
    <w:rsid w:val="00525B23"/>
    <w:rsid w:val="005277CB"/>
    <w:rsid w:val="00533C3F"/>
    <w:rsid w:val="00534853"/>
    <w:rsid w:val="00534932"/>
    <w:rsid w:val="0054028E"/>
    <w:rsid w:val="00540994"/>
    <w:rsid w:val="005422DD"/>
    <w:rsid w:val="005431B9"/>
    <w:rsid w:val="00543BE6"/>
    <w:rsid w:val="005500A0"/>
    <w:rsid w:val="00550D10"/>
    <w:rsid w:val="00551230"/>
    <w:rsid w:val="00552A2D"/>
    <w:rsid w:val="00552CD6"/>
    <w:rsid w:val="00555BDF"/>
    <w:rsid w:val="005706CC"/>
    <w:rsid w:val="00571737"/>
    <w:rsid w:val="005719E0"/>
    <w:rsid w:val="00572AAD"/>
    <w:rsid w:val="005747FF"/>
    <w:rsid w:val="00576057"/>
    <w:rsid w:val="00581915"/>
    <w:rsid w:val="00582A35"/>
    <w:rsid w:val="00583138"/>
    <w:rsid w:val="005861E7"/>
    <w:rsid w:val="00587FE6"/>
    <w:rsid w:val="00593E62"/>
    <w:rsid w:val="0059523B"/>
    <w:rsid w:val="00596883"/>
    <w:rsid w:val="005B2CC4"/>
    <w:rsid w:val="005B2F5E"/>
    <w:rsid w:val="005C3184"/>
    <w:rsid w:val="005C40CA"/>
    <w:rsid w:val="005C6308"/>
    <w:rsid w:val="005C7219"/>
    <w:rsid w:val="005D112F"/>
    <w:rsid w:val="005D2E05"/>
    <w:rsid w:val="005D3368"/>
    <w:rsid w:val="005D5646"/>
    <w:rsid w:val="005E0A33"/>
    <w:rsid w:val="005E1588"/>
    <w:rsid w:val="005E5646"/>
    <w:rsid w:val="005F0AA5"/>
    <w:rsid w:val="005F0F77"/>
    <w:rsid w:val="005F251F"/>
    <w:rsid w:val="005F2BAD"/>
    <w:rsid w:val="005F303A"/>
    <w:rsid w:val="005F4E56"/>
    <w:rsid w:val="006026B5"/>
    <w:rsid w:val="00604FB9"/>
    <w:rsid w:val="00606E05"/>
    <w:rsid w:val="00607213"/>
    <w:rsid w:val="00607F00"/>
    <w:rsid w:val="00612DD7"/>
    <w:rsid w:val="006134B9"/>
    <w:rsid w:val="0061403D"/>
    <w:rsid w:val="00614CDB"/>
    <w:rsid w:val="006161C9"/>
    <w:rsid w:val="006175D5"/>
    <w:rsid w:val="00621E91"/>
    <w:rsid w:val="00625925"/>
    <w:rsid w:val="00631373"/>
    <w:rsid w:val="00631FD1"/>
    <w:rsid w:val="0063438C"/>
    <w:rsid w:val="00635177"/>
    <w:rsid w:val="0063599F"/>
    <w:rsid w:val="0064281C"/>
    <w:rsid w:val="006441E1"/>
    <w:rsid w:val="00644838"/>
    <w:rsid w:val="00644CE6"/>
    <w:rsid w:val="006473A8"/>
    <w:rsid w:val="006507ED"/>
    <w:rsid w:val="006510F8"/>
    <w:rsid w:val="00660363"/>
    <w:rsid w:val="00660E60"/>
    <w:rsid w:val="006631C9"/>
    <w:rsid w:val="00663C68"/>
    <w:rsid w:val="006642B4"/>
    <w:rsid w:val="006670EE"/>
    <w:rsid w:val="006703A5"/>
    <w:rsid w:val="00672FDB"/>
    <w:rsid w:val="006733E5"/>
    <w:rsid w:val="00682222"/>
    <w:rsid w:val="00687641"/>
    <w:rsid w:val="00687F98"/>
    <w:rsid w:val="006901C3"/>
    <w:rsid w:val="006907B8"/>
    <w:rsid w:val="0069249E"/>
    <w:rsid w:val="00695E03"/>
    <w:rsid w:val="006A0781"/>
    <w:rsid w:val="006A0B45"/>
    <w:rsid w:val="006A278A"/>
    <w:rsid w:val="006A4247"/>
    <w:rsid w:val="006A4E8D"/>
    <w:rsid w:val="006A4E90"/>
    <w:rsid w:val="006B06CA"/>
    <w:rsid w:val="006B5B3E"/>
    <w:rsid w:val="006C03ED"/>
    <w:rsid w:val="006C5D27"/>
    <w:rsid w:val="006D1782"/>
    <w:rsid w:val="006D4AB9"/>
    <w:rsid w:val="006D6F5A"/>
    <w:rsid w:val="006E035D"/>
    <w:rsid w:val="006E0643"/>
    <w:rsid w:val="006E283C"/>
    <w:rsid w:val="006E353E"/>
    <w:rsid w:val="006E5273"/>
    <w:rsid w:val="006F0508"/>
    <w:rsid w:val="006F3217"/>
    <w:rsid w:val="006F6104"/>
    <w:rsid w:val="00706604"/>
    <w:rsid w:val="00721566"/>
    <w:rsid w:val="00723CF2"/>
    <w:rsid w:val="00724A49"/>
    <w:rsid w:val="007268C8"/>
    <w:rsid w:val="00726A94"/>
    <w:rsid w:val="00732599"/>
    <w:rsid w:val="00733BA7"/>
    <w:rsid w:val="007359A2"/>
    <w:rsid w:val="00735E90"/>
    <w:rsid w:val="00740CD0"/>
    <w:rsid w:val="00741961"/>
    <w:rsid w:val="007430FE"/>
    <w:rsid w:val="00743B72"/>
    <w:rsid w:val="00743C4D"/>
    <w:rsid w:val="00744439"/>
    <w:rsid w:val="00745AEC"/>
    <w:rsid w:val="007474FF"/>
    <w:rsid w:val="00750797"/>
    <w:rsid w:val="007549D8"/>
    <w:rsid w:val="007550F6"/>
    <w:rsid w:val="00755F96"/>
    <w:rsid w:val="0075605D"/>
    <w:rsid w:val="0076077F"/>
    <w:rsid w:val="00762999"/>
    <w:rsid w:val="00765AB0"/>
    <w:rsid w:val="007745CA"/>
    <w:rsid w:val="00782132"/>
    <w:rsid w:val="0079077D"/>
    <w:rsid w:val="00792748"/>
    <w:rsid w:val="00794BD5"/>
    <w:rsid w:val="00795053"/>
    <w:rsid w:val="007A0941"/>
    <w:rsid w:val="007A0978"/>
    <w:rsid w:val="007A0D0B"/>
    <w:rsid w:val="007A4020"/>
    <w:rsid w:val="007A5334"/>
    <w:rsid w:val="007A66D1"/>
    <w:rsid w:val="007B18F1"/>
    <w:rsid w:val="007C0659"/>
    <w:rsid w:val="007C7F7D"/>
    <w:rsid w:val="007D1FC3"/>
    <w:rsid w:val="007D42C2"/>
    <w:rsid w:val="007D6E45"/>
    <w:rsid w:val="007D75E6"/>
    <w:rsid w:val="007D779A"/>
    <w:rsid w:val="007D7AB9"/>
    <w:rsid w:val="007E2548"/>
    <w:rsid w:val="007E38E8"/>
    <w:rsid w:val="007E5D97"/>
    <w:rsid w:val="007E600B"/>
    <w:rsid w:val="007F06F2"/>
    <w:rsid w:val="007F400F"/>
    <w:rsid w:val="007F7D92"/>
    <w:rsid w:val="008006C4"/>
    <w:rsid w:val="00800FED"/>
    <w:rsid w:val="00803A06"/>
    <w:rsid w:val="00804053"/>
    <w:rsid w:val="00804248"/>
    <w:rsid w:val="00810184"/>
    <w:rsid w:val="0081663D"/>
    <w:rsid w:val="00820C1B"/>
    <w:rsid w:val="0082173F"/>
    <w:rsid w:val="00821AFB"/>
    <w:rsid w:val="00821B84"/>
    <w:rsid w:val="00823130"/>
    <w:rsid w:val="0082578E"/>
    <w:rsid w:val="008262C2"/>
    <w:rsid w:val="008272CC"/>
    <w:rsid w:val="00827B0C"/>
    <w:rsid w:val="00831B0C"/>
    <w:rsid w:val="00831DCB"/>
    <w:rsid w:val="00831EAC"/>
    <w:rsid w:val="00831FF8"/>
    <w:rsid w:val="00834A0C"/>
    <w:rsid w:val="00836F1F"/>
    <w:rsid w:val="00837782"/>
    <w:rsid w:val="00837BDF"/>
    <w:rsid w:val="00842168"/>
    <w:rsid w:val="00843AB9"/>
    <w:rsid w:val="00844545"/>
    <w:rsid w:val="00845AB7"/>
    <w:rsid w:val="008508E2"/>
    <w:rsid w:val="00850A5F"/>
    <w:rsid w:val="00852049"/>
    <w:rsid w:val="008538DF"/>
    <w:rsid w:val="00853ACB"/>
    <w:rsid w:val="00853F28"/>
    <w:rsid w:val="0085649B"/>
    <w:rsid w:val="00857F62"/>
    <w:rsid w:val="008631EB"/>
    <w:rsid w:val="008644E3"/>
    <w:rsid w:val="0086476B"/>
    <w:rsid w:val="00866E2A"/>
    <w:rsid w:val="008702B3"/>
    <w:rsid w:val="00880F6A"/>
    <w:rsid w:val="00884387"/>
    <w:rsid w:val="00884AD3"/>
    <w:rsid w:val="00892595"/>
    <w:rsid w:val="008934EE"/>
    <w:rsid w:val="008949CD"/>
    <w:rsid w:val="008977F6"/>
    <w:rsid w:val="00897AC3"/>
    <w:rsid w:val="00897D57"/>
    <w:rsid w:val="008A34BD"/>
    <w:rsid w:val="008A43BA"/>
    <w:rsid w:val="008A6CD0"/>
    <w:rsid w:val="008B0792"/>
    <w:rsid w:val="008B2FFC"/>
    <w:rsid w:val="008B42C1"/>
    <w:rsid w:val="008B4F02"/>
    <w:rsid w:val="008B5B74"/>
    <w:rsid w:val="008C06AD"/>
    <w:rsid w:val="008C1062"/>
    <w:rsid w:val="008C4F3D"/>
    <w:rsid w:val="008C57D8"/>
    <w:rsid w:val="008C5A8C"/>
    <w:rsid w:val="008C6E41"/>
    <w:rsid w:val="008D1382"/>
    <w:rsid w:val="008D1D87"/>
    <w:rsid w:val="008D1E8C"/>
    <w:rsid w:val="008D4F4A"/>
    <w:rsid w:val="008D62BA"/>
    <w:rsid w:val="008E3B00"/>
    <w:rsid w:val="008E702E"/>
    <w:rsid w:val="008F498F"/>
    <w:rsid w:val="008F5FA0"/>
    <w:rsid w:val="008F619E"/>
    <w:rsid w:val="008F69B6"/>
    <w:rsid w:val="00900C6C"/>
    <w:rsid w:val="009039E9"/>
    <w:rsid w:val="00904433"/>
    <w:rsid w:val="00905F47"/>
    <w:rsid w:val="00907EC9"/>
    <w:rsid w:val="00911857"/>
    <w:rsid w:val="00912D87"/>
    <w:rsid w:val="009144C6"/>
    <w:rsid w:val="00914A98"/>
    <w:rsid w:val="0091790E"/>
    <w:rsid w:val="009237C1"/>
    <w:rsid w:val="009264DB"/>
    <w:rsid w:val="009266FB"/>
    <w:rsid w:val="00927AEA"/>
    <w:rsid w:val="0093192E"/>
    <w:rsid w:val="0093249D"/>
    <w:rsid w:val="00934D92"/>
    <w:rsid w:val="009366D5"/>
    <w:rsid w:val="009402FE"/>
    <w:rsid w:val="009418D2"/>
    <w:rsid w:val="00941FD1"/>
    <w:rsid w:val="00942065"/>
    <w:rsid w:val="009430B1"/>
    <w:rsid w:val="00943E54"/>
    <w:rsid w:val="009508A6"/>
    <w:rsid w:val="00951B5E"/>
    <w:rsid w:val="00951F34"/>
    <w:rsid w:val="00955974"/>
    <w:rsid w:val="00955A96"/>
    <w:rsid w:val="0095685D"/>
    <w:rsid w:val="0096288F"/>
    <w:rsid w:val="00963588"/>
    <w:rsid w:val="009732B4"/>
    <w:rsid w:val="0097775B"/>
    <w:rsid w:val="00977D0A"/>
    <w:rsid w:val="009803E7"/>
    <w:rsid w:val="009933F1"/>
    <w:rsid w:val="00993F22"/>
    <w:rsid w:val="00994D88"/>
    <w:rsid w:val="009A210B"/>
    <w:rsid w:val="009A57DD"/>
    <w:rsid w:val="009A66E8"/>
    <w:rsid w:val="009B07EA"/>
    <w:rsid w:val="009B2A82"/>
    <w:rsid w:val="009B31FE"/>
    <w:rsid w:val="009B3CF0"/>
    <w:rsid w:val="009B772D"/>
    <w:rsid w:val="009B7A87"/>
    <w:rsid w:val="009C4168"/>
    <w:rsid w:val="009D3A13"/>
    <w:rsid w:val="009D6CD2"/>
    <w:rsid w:val="009D7F75"/>
    <w:rsid w:val="009E3B82"/>
    <w:rsid w:val="009E5AC3"/>
    <w:rsid w:val="009E6313"/>
    <w:rsid w:val="009F124B"/>
    <w:rsid w:val="009F508D"/>
    <w:rsid w:val="00A0114C"/>
    <w:rsid w:val="00A05BA1"/>
    <w:rsid w:val="00A05EB2"/>
    <w:rsid w:val="00A078FB"/>
    <w:rsid w:val="00A1044E"/>
    <w:rsid w:val="00A10EF9"/>
    <w:rsid w:val="00A159E8"/>
    <w:rsid w:val="00A17156"/>
    <w:rsid w:val="00A17AE2"/>
    <w:rsid w:val="00A17DFE"/>
    <w:rsid w:val="00A22D36"/>
    <w:rsid w:val="00A26733"/>
    <w:rsid w:val="00A27233"/>
    <w:rsid w:val="00A3342E"/>
    <w:rsid w:val="00A37D3A"/>
    <w:rsid w:val="00A40395"/>
    <w:rsid w:val="00A40E36"/>
    <w:rsid w:val="00A46802"/>
    <w:rsid w:val="00A477DA"/>
    <w:rsid w:val="00A47DC9"/>
    <w:rsid w:val="00A50618"/>
    <w:rsid w:val="00A519CC"/>
    <w:rsid w:val="00A54095"/>
    <w:rsid w:val="00A556D2"/>
    <w:rsid w:val="00A6477D"/>
    <w:rsid w:val="00A71EA5"/>
    <w:rsid w:val="00A7345F"/>
    <w:rsid w:val="00A760F1"/>
    <w:rsid w:val="00A77CC0"/>
    <w:rsid w:val="00A82B69"/>
    <w:rsid w:val="00A8747E"/>
    <w:rsid w:val="00A91D47"/>
    <w:rsid w:val="00A92676"/>
    <w:rsid w:val="00A940E4"/>
    <w:rsid w:val="00A944F4"/>
    <w:rsid w:val="00AA484B"/>
    <w:rsid w:val="00AA64FB"/>
    <w:rsid w:val="00AB039B"/>
    <w:rsid w:val="00AB0C45"/>
    <w:rsid w:val="00AB1130"/>
    <w:rsid w:val="00AC20B8"/>
    <w:rsid w:val="00AC4743"/>
    <w:rsid w:val="00AC5758"/>
    <w:rsid w:val="00AC6254"/>
    <w:rsid w:val="00AC7C19"/>
    <w:rsid w:val="00AD08A8"/>
    <w:rsid w:val="00AD4CDA"/>
    <w:rsid w:val="00AD546F"/>
    <w:rsid w:val="00AD5B92"/>
    <w:rsid w:val="00AE1BEB"/>
    <w:rsid w:val="00AE29CA"/>
    <w:rsid w:val="00AE3AE5"/>
    <w:rsid w:val="00AE412A"/>
    <w:rsid w:val="00AE6E01"/>
    <w:rsid w:val="00AF465D"/>
    <w:rsid w:val="00AF571B"/>
    <w:rsid w:val="00AF5CDA"/>
    <w:rsid w:val="00AF66C9"/>
    <w:rsid w:val="00AF763B"/>
    <w:rsid w:val="00B035B3"/>
    <w:rsid w:val="00B042A0"/>
    <w:rsid w:val="00B125A8"/>
    <w:rsid w:val="00B15379"/>
    <w:rsid w:val="00B20B03"/>
    <w:rsid w:val="00B23038"/>
    <w:rsid w:val="00B25B74"/>
    <w:rsid w:val="00B265BF"/>
    <w:rsid w:val="00B30B2A"/>
    <w:rsid w:val="00B30D07"/>
    <w:rsid w:val="00B31157"/>
    <w:rsid w:val="00B324CE"/>
    <w:rsid w:val="00B332FC"/>
    <w:rsid w:val="00B33A5D"/>
    <w:rsid w:val="00B35502"/>
    <w:rsid w:val="00B4199B"/>
    <w:rsid w:val="00B43451"/>
    <w:rsid w:val="00B50682"/>
    <w:rsid w:val="00B50F7D"/>
    <w:rsid w:val="00B561F9"/>
    <w:rsid w:val="00B57547"/>
    <w:rsid w:val="00B57EC4"/>
    <w:rsid w:val="00B606C3"/>
    <w:rsid w:val="00B65640"/>
    <w:rsid w:val="00B70C84"/>
    <w:rsid w:val="00B778C5"/>
    <w:rsid w:val="00B8071B"/>
    <w:rsid w:val="00B808EE"/>
    <w:rsid w:val="00B81275"/>
    <w:rsid w:val="00B81498"/>
    <w:rsid w:val="00B85DBE"/>
    <w:rsid w:val="00B935E7"/>
    <w:rsid w:val="00BA48D6"/>
    <w:rsid w:val="00BA69EF"/>
    <w:rsid w:val="00BA75B1"/>
    <w:rsid w:val="00BB1C7F"/>
    <w:rsid w:val="00BB672D"/>
    <w:rsid w:val="00BC012A"/>
    <w:rsid w:val="00BC0343"/>
    <w:rsid w:val="00BC2DAE"/>
    <w:rsid w:val="00BC3F9C"/>
    <w:rsid w:val="00BC54A8"/>
    <w:rsid w:val="00BC6F77"/>
    <w:rsid w:val="00BD4143"/>
    <w:rsid w:val="00BD6BDC"/>
    <w:rsid w:val="00BE0C4E"/>
    <w:rsid w:val="00BE2A2E"/>
    <w:rsid w:val="00BE39BE"/>
    <w:rsid w:val="00BE4D49"/>
    <w:rsid w:val="00BE5B32"/>
    <w:rsid w:val="00BF0782"/>
    <w:rsid w:val="00BF27F5"/>
    <w:rsid w:val="00BF35B8"/>
    <w:rsid w:val="00BF548C"/>
    <w:rsid w:val="00BF7714"/>
    <w:rsid w:val="00C00FE4"/>
    <w:rsid w:val="00C04DBE"/>
    <w:rsid w:val="00C160F9"/>
    <w:rsid w:val="00C171B9"/>
    <w:rsid w:val="00C21871"/>
    <w:rsid w:val="00C21CEE"/>
    <w:rsid w:val="00C228A9"/>
    <w:rsid w:val="00C23892"/>
    <w:rsid w:val="00C252B9"/>
    <w:rsid w:val="00C26CF6"/>
    <w:rsid w:val="00C26F66"/>
    <w:rsid w:val="00C26FD0"/>
    <w:rsid w:val="00C334F1"/>
    <w:rsid w:val="00C3477B"/>
    <w:rsid w:val="00C34AE3"/>
    <w:rsid w:val="00C35A21"/>
    <w:rsid w:val="00C4282E"/>
    <w:rsid w:val="00C452FF"/>
    <w:rsid w:val="00C45387"/>
    <w:rsid w:val="00C47362"/>
    <w:rsid w:val="00C47EC5"/>
    <w:rsid w:val="00C546C5"/>
    <w:rsid w:val="00C72970"/>
    <w:rsid w:val="00C72F8C"/>
    <w:rsid w:val="00C74988"/>
    <w:rsid w:val="00C76167"/>
    <w:rsid w:val="00C828D2"/>
    <w:rsid w:val="00C84C2B"/>
    <w:rsid w:val="00C853D1"/>
    <w:rsid w:val="00C85A96"/>
    <w:rsid w:val="00CA0C1D"/>
    <w:rsid w:val="00CA2F84"/>
    <w:rsid w:val="00CA3C65"/>
    <w:rsid w:val="00CB2B7B"/>
    <w:rsid w:val="00CB5A9E"/>
    <w:rsid w:val="00CC12D9"/>
    <w:rsid w:val="00CC1BEE"/>
    <w:rsid w:val="00CC2EBD"/>
    <w:rsid w:val="00CC5561"/>
    <w:rsid w:val="00CC7111"/>
    <w:rsid w:val="00CC7EAC"/>
    <w:rsid w:val="00CD573E"/>
    <w:rsid w:val="00CF1FCE"/>
    <w:rsid w:val="00CF38E2"/>
    <w:rsid w:val="00CF5199"/>
    <w:rsid w:val="00CF7911"/>
    <w:rsid w:val="00D02413"/>
    <w:rsid w:val="00D02B12"/>
    <w:rsid w:val="00D04493"/>
    <w:rsid w:val="00D05957"/>
    <w:rsid w:val="00D060B7"/>
    <w:rsid w:val="00D069DF"/>
    <w:rsid w:val="00D104DB"/>
    <w:rsid w:val="00D10BBE"/>
    <w:rsid w:val="00D114F9"/>
    <w:rsid w:val="00D11E84"/>
    <w:rsid w:val="00D121F9"/>
    <w:rsid w:val="00D15032"/>
    <w:rsid w:val="00D16932"/>
    <w:rsid w:val="00D16C0D"/>
    <w:rsid w:val="00D237F3"/>
    <w:rsid w:val="00D2535A"/>
    <w:rsid w:val="00D349C8"/>
    <w:rsid w:val="00D43062"/>
    <w:rsid w:val="00D5012F"/>
    <w:rsid w:val="00D538E5"/>
    <w:rsid w:val="00D53A0C"/>
    <w:rsid w:val="00D54520"/>
    <w:rsid w:val="00D553B2"/>
    <w:rsid w:val="00D603BF"/>
    <w:rsid w:val="00D62C6E"/>
    <w:rsid w:val="00D6407D"/>
    <w:rsid w:val="00D70587"/>
    <w:rsid w:val="00D733EF"/>
    <w:rsid w:val="00D752D2"/>
    <w:rsid w:val="00D76975"/>
    <w:rsid w:val="00D772C9"/>
    <w:rsid w:val="00D77542"/>
    <w:rsid w:val="00D81D78"/>
    <w:rsid w:val="00D8297E"/>
    <w:rsid w:val="00D90E06"/>
    <w:rsid w:val="00D91720"/>
    <w:rsid w:val="00D93C01"/>
    <w:rsid w:val="00D93EFD"/>
    <w:rsid w:val="00D94C0C"/>
    <w:rsid w:val="00D96276"/>
    <w:rsid w:val="00DA3751"/>
    <w:rsid w:val="00DA65D1"/>
    <w:rsid w:val="00DA7965"/>
    <w:rsid w:val="00DB10DD"/>
    <w:rsid w:val="00DB268E"/>
    <w:rsid w:val="00DB4804"/>
    <w:rsid w:val="00DB585E"/>
    <w:rsid w:val="00DB6D27"/>
    <w:rsid w:val="00DC6387"/>
    <w:rsid w:val="00DD116F"/>
    <w:rsid w:val="00DD2536"/>
    <w:rsid w:val="00DD5573"/>
    <w:rsid w:val="00DD6442"/>
    <w:rsid w:val="00DE49F3"/>
    <w:rsid w:val="00DE6290"/>
    <w:rsid w:val="00DE7577"/>
    <w:rsid w:val="00DF28CF"/>
    <w:rsid w:val="00DF2DD7"/>
    <w:rsid w:val="00DF63B1"/>
    <w:rsid w:val="00E00CF7"/>
    <w:rsid w:val="00E010F7"/>
    <w:rsid w:val="00E0369E"/>
    <w:rsid w:val="00E04D30"/>
    <w:rsid w:val="00E06552"/>
    <w:rsid w:val="00E11CFA"/>
    <w:rsid w:val="00E160CE"/>
    <w:rsid w:val="00E240BC"/>
    <w:rsid w:val="00E27082"/>
    <w:rsid w:val="00E278F2"/>
    <w:rsid w:val="00E30E7E"/>
    <w:rsid w:val="00E317EA"/>
    <w:rsid w:val="00E32D11"/>
    <w:rsid w:val="00E33E03"/>
    <w:rsid w:val="00E378A7"/>
    <w:rsid w:val="00E40924"/>
    <w:rsid w:val="00E41E5D"/>
    <w:rsid w:val="00E45953"/>
    <w:rsid w:val="00E46DA8"/>
    <w:rsid w:val="00E503F0"/>
    <w:rsid w:val="00E5156D"/>
    <w:rsid w:val="00E5473E"/>
    <w:rsid w:val="00E56EFD"/>
    <w:rsid w:val="00E600E5"/>
    <w:rsid w:val="00E61E5E"/>
    <w:rsid w:val="00E766BE"/>
    <w:rsid w:val="00E8346C"/>
    <w:rsid w:val="00E83494"/>
    <w:rsid w:val="00E85531"/>
    <w:rsid w:val="00E9048B"/>
    <w:rsid w:val="00E9186A"/>
    <w:rsid w:val="00E92B4A"/>
    <w:rsid w:val="00E93EDF"/>
    <w:rsid w:val="00E951D3"/>
    <w:rsid w:val="00E966F3"/>
    <w:rsid w:val="00E97929"/>
    <w:rsid w:val="00EA01AC"/>
    <w:rsid w:val="00EA1004"/>
    <w:rsid w:val="00EA16E4"/>
    <w:rsid w:val="00EA2CF6"/>
    <w:rsid w:val="00EA30B1"/>
    <w:rsid w:val="00EB051B"/>
    <w:rsid w:val="00EB0AEA"/>
    <w:rsid w:val="00EB1E57"/>
    <w:rsid w:val="00EB43DB"/>
    <w:rsid w:val="00EB4A38"/>
    <w:rsid w:val="00EC01B9"/>
    <w:rsid w:val="00EC023F"/>
    <w:rsid w:val="00EC3FDA"/>
    <w:rsid w:val="00EC52E3"/>
    <w:rsid w:val="00ED23EB"/>
    <w:rsid w:val="00EE23E5"/>
    <w:rsid w:val="00EE53C5"/>
    <w:rsid w:val="00EF0402"/>
    <w:rsid w:val="00EF0D39"/>
    <w:rsid w:val="00EF639E"/>
    <w:rsid w:val="00F03666"/>
    <w:rsid w:val="00F05DDC"/>
    <w:rsid w:val="00F060A2"/>
    <w:rsid w:val="00F07F7E"/>
    <w:rsid w:val="00F1115B"/>
    <w:rsid w:val="00F11337"/>
    <w:rsid w:val="00F121AE"/>
    <w:rsid w:val="00F2012B"/>
    <w:rsid w:val="00F30E1B"/>
    <w:rsid w:val="00F33F24"/>
    <w:rsid w:val="00F35A10"/>
    <w:rsid w:val="00F4029B"/>
    <w:rsid w:val="00F423E3"/>
    <w:rsid w:val="00F44120"/>
    <w:rsid w:val="00F44DD1"/>
    <w:rsid w:val="00F50EC3"/>
    <w:rsid w:val="00F516F1"/>
    <w:rsid w:val="00F54246"/>
    <w:rsid w:val="00F550F2"/>
    <w:rsid w:val="00F561D0"/>
    <w:rsid w:val="00F56CE8"/>
    <w:rsid w:val="00F7369F"/>
    <w:rsid w:val="00F75389"/>
    <w:rsid w:val="00F762D3"/>
    <w:rsid w:val="00F81A9B"/>
    <w:rsid w:val="00F821C8"/>
    <w:rsid w:val="00F83F04"/>
    <w:rsid w:val="00F926A0"/>
    <w:rsid w:val="00FA3952"/>
    <w:rsid w:val="00FA5759"/>
    <w:rsid w:val="00FB39B0"/>
    <w:rsid w:val="00FC4CB0"/>
    <w:rsid w:val="00FC6454"/>
    <w:rsid w:val="00FC6B3E"/>
    <w:rsid w:val="00FD047D"/>
    <w:rsid w:val="00FD1A44"/>
    <w:rsid w:val="00FE3038"/>
    <w:rsid w:val="00FE53FE"/>
    <w:rsid w:val="00FE5E84"/>
    <w:rsid w:val="00FF5338"/>
    <w:rsid w:val="00FF62C1"/>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C710B"/>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710B"/>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Mencinsinresolver2">
    <w:name w:val="Mención sin resolver2"/>
    <w:basedOn w:val="Fuentedeprrafopredeter"/>
    <w:uiPriority w:val="99"/>
    <w:semiHidden/>
    <w:unhideWhenUsed/>
    <w:rsid w:val="002A7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019">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IMALHUACAN.web?token=03AGdBq25wQfxW0LTJMEIhwH4zSK1g9aRpO_pxnZ-UA7xVD7bU9Lpdpt_PIFT8j_G1PgnXteq2KICOgJ21MPe-L1aDNbVqmh1-2xSPotg6vxP5IIGIOQUybnTMTaZF6j_dmV70z7wnSTvz9z0oA18LYV10A44ji0eQ5MknS3MKswlQjOhgmBIc95eH8gQqRVihbvzz7WLBFkZWLIjaWsWola46TO7VSbdQ_mlg3hHW9h3eCIEhSCFw57crUXG2K0M-s3uTDjn19Oh6YzHssd0uJXLeooNdDc2j02RHpiEgCjpNkhTdfhUzPB_OWgbC9FfwrgoKQijevLzXks4cFF1AhyaVHpz68V2-jyZXOirb1EEZgapJN2WERV00mrIK1musvKvQE4vI8oLI3Dq2r76jXzd5M_mH0-7eAUe8WoBKIM-qsQxsy_nAfJfBQGqiOVaLXS65gl8NLbfoJTSmkTzj3NwNf0LQRTg1sXp6XYKxprZ25fsY3bBCeLcTXdVo8svTbyMnGjhQgzQo" TargetMode="External"/><Relationship Id="rId13" Type="http://schemas.openxmlformats.org/officeDocument/2006/relationships/hyperlink" Target="http://www.transparenciapresupuestaria.gob.mx/es/PTP/Glosari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secretariadoejecutivo.gob.mx/work/models/SecretariadoEjecutivo/Resource/328/1/images/instructivo_final_edo_fuerza(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omex.org.mx/ipo3/lgt/indice/CHIMALHUACAN.web?token=03AGdBq25wQfxW0LTJMEIhwH4zSK1g9aRpO_pxnZ-UA7xVD7bU9Lpdpt_PIFT8j_G1PgnXteq2KICOgJ21MPe-L1aDNbVqmh1-2xSPotg6vxP5IIGIOQUybnTMTaZF6j_dmV70z7wnSTvz9z0oA18LYV10A44ji0eQ5MknS3MKswlQjOhgmBIc95eH8gQqRVihbvzz7WLBFkZWLIjaWsWola46TO7VSbdQ_mlg3hHW9h3eCIEhSCFw57crUXG2K0M-s3uTDjn19Oh6YzHssd0uJXLeooNdDc2j02RHpiEgCjpNkhTdfhUzPB_OWgbC9FfwrgoKQijevLzXks4cFF1AhyaVHpz68V2-jyZXOirb1EEZgapJN2WERV00mrIK1musvKvQE4vI8oLI3Dq2r76jXzd5M_mH0-7eAUe8WoBKIM-qsQxsy_nAfJfBQGqiOVaLXS65gl8NLbfoJTSmkTzj3NwNf0LQRTg1sXp6XYKxprZ25fsY3bBCeLcTXdVo8svTbyMnGjhQgzQo" TargetMode="External"/><Relationship Id="rId23"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A3B7-3B76-44A3-983D-906C96EE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41</Pages>
  <Words>10467</Words>
  <Characters>57569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Oswaldo Hernández</cp:lastModifiedBy>
  <cp:revision>20</cp:revision>
  <dcterms:created xsi:type="dcterms:W3CDTF">2023-03-07T15:32:00Z</dcterms:created>
  <dcterms:modified xsi:type="dcterms:W3CDTF">2023-03-15T23:07:00Z</dcterms:modified>
</cp:coreProperties>
</file>