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tyjcwt"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veinticuatro de mayo</w:t>
      </w:r>
      <w:r w:rsidDel="00000000" w:rsidR="00000000" w:rsidRPr="00000000">
        <w:rPr>
          <w:rFonts w:ascii="Palatino Linotype" w:cs="Palatino Linotype" w:eastAsia="Palatino Linotype" w:hAnsi="Palatino Linotype"/>
          <w:color w:val="ff0000"/>
          <w:rtl w:val="0"/>
        </w:rPr>
        <w:t xml:space="preserve"> </w:t>
      </w:r>
      <w:r w:rsidDel="00000000" w:rsidR="00000000" w:rsidRPr="00000000">
        <w:rPr>
          <w:rFonts w:ascii="Palatino Linotype" w:cs="Palatino Linotype" w:eastAsia="Palatino Linotype" w:hAnsi="Palatino Linotype"/>
          <w:rtl w:val="0"/>
        </w:rPr>
        <w:t xml:space="preserve">de dos mil veintitrés.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13944/INFOEM/IP/RR/2022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 XXXXXX XXXXX</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será identificado en su calidad de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del </w:t>
      </w:r>
      <w:r w:rsidDel="00000000" w:rsidR="00000000" w:rsidRPr="00000000">
        <w:rPr>
          <w:rFonts w:ascii="Palatino Linotype" w:cs="Palatino Linotype" w:eastAsia="Palatino Linotype" w:hAnsi="Palatino Linotype"/>
          <w:b w:val="1"/>
          <w:rtl w:val="0"/>
        </w:rPr>
        <w:t xml:space="preserve">Ayuntamiento de Almoloya del Río,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sz w:val="28"/>
          <w:szCs w:val="28"/>
        </w:rPr>
      </w:pPr>
      <w:bookmarkStart w:colFirst="0" w:colLast="0" w:name="_heading=h.3znysh7" w:id="1"/>
      <w:bookmarkEnd w:id="1"/>
      <w:r w:rsidDel="00000000" w:rsidR="00000000" w:rsidRPr="00000000">
        <w:rPr>
          <w:rFonts w:ascii="Palatino Linotype" w:cs="Palatino Linotype" w:eastAsia="Palatino Linotype" w:hAnsi="Palatino Linotype"/>
          <w:b w:val="1"/>
          <w:rtl w:val="0"/>
        </w:rPr>
        <w:t xml:space="preserve">I. A N T E C E D E N T E S</w:t>
      </w:r>
      <w:r w:rsidDel="00000000" w:rsidR="00000000" w:rsidRPr="00000000">
        <w:rPr>
          <w:rtl w:val="0"/>
        </w:rPr>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primero de agosto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a través del Sistema de Acceso a la Información Mexiquense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la solicitud de acceso a la información pública registrada con el número </w:t>
      </w:r>
      <w:r w:rsidDel="00000000" w:rsidR="00000000" w:rsidRPr="00000000">
        <w:rPr>
          <w:rFonts w:ascii="Palatino Linotype" w:cs="Palatino Linotype" w:eastAsia="Palatino Linotype" w:hAnsi="Palatino Linotype"/>
          <w:b w:val="1"/>
          <w:rtl w:val="0"/>
        </w:rPr>
        <w:t xml:space="preserve">00121/ALMORI/IP/2022,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616" w:firstLine="0"/>
        <w:jc w:val="both"/>
        <w:rPr>
          <w:rFonts w:ascii="Palatino Linotype" w:cs="Palatino Linotype" w:eastAsia="Palatino Linotype" w:hAnsi="Palatino Linotype"/>
          <w:i w:val="1"/>
          <w:sz w:val="22"/>
          <w:szCs w:val="22"/>
        </w:rPr>
      </w:pPr>
      <w:bookmarkStart w:colFirst="0" w:colLast="0" w:name="_heading=h.gjdgxs" w:id="2"/>
      <w:bookmarkEnd w:id="2"/>
      <w:r w:rsidDel="00000000" w:rsidR="00000000" w:rsidRPr="00000000">
        <w:rPr>
          <w:rFonts w:ascii="Palatino Linotype" w:cs="Palatino Linotype" w:eastAsia="Palatino Linotype" w:hAnsi="Palatino Linotype"/>
          <w:i w:val="1"/>
          <w:sz w:val="22"/>
          <w:szCs w:val="22"/>
          <w:rtl w:val="0"/>
        </w:rPr>
        <w:t xml:space="preserve">“Solicito las Actas Certificadas de todas las sesiones del Consejo de Honor y Justicia del Municipio de Almoloya del Rio..” (Sic)</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del Sistema de Acceso a la Información Mexiquense (SAIMEX). </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once de agosto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respondió a la solicitud de información en los términos siguientes:</w:t>
      </w:r>
    </w:p>
    <w:p w:rsidR="00000000" w:rsidDel="00000000" w:rsidP="00000000" w:rsidRDefault="00000000" w:rsidRPr="00000000" w14:paraId="0000000A">
      <w:pPr>
        <w:spacing w:after="240" w:before="240"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“Derivado de la Solicitud con número de Folio 00121/ALMORI/IP/2022 le informo que se giraron los oficios respectivamente a quien le corresponden y la contestación se encuentra en los archivos adjuntos cabe mencionar que bajo el Articulo 143 Fracción I II III de la Ley de Transparencia y Acceso a la Información Pública del Estado de México y Municipios se Testearon los Datos siguientes Nombre firma domicilio “ </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0B">
      <w:pPr>
        <w:tabs>
          <w:tab w:val="left" w:leader="none" w:pos="7938"/>
        </w:tabs>
        <w:spacing w:after="240" w:before="240" w:line="360" w:lineRule="auto"/>
        <w:ind w:right="49"/>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rtl w:val="0"/>
        </w:rPr>
        <w:t xml:space="preserve">Manifestación a la que adjuntó el archivo electrónico identificado como </w:t>
      </w:r>
      <w:r w:rsidDel="00000000" w:rsidR="00000000" w:rsidRPr="00000000">
        <w:rPr>
          <w:rFonts w:ascii="Palatino Linotype" w:cs="Palatino Linotype" w:eastAsia="Palatino Linotype" w:hAnsi="Palatino Linotype"/>
          <w:b w:val="1"/>
          <w:i w:val="1"/>
          <w:rtl w:val="0"/>
        </w:rPr>
        <w:t xml:space="preserve">121.pdf </w:t>
      </w:r>
      <w:r w:rsidDel="00000000" w:rsidR="00000000" w:rsidRPr="00000000">
        <w:rPr>
          <w:rFonts w:ascii="Palatino Linotype" w:cs="Palatino Linotype" w:eastAsia="Palatino Linotype" w:hAnsi="Palatino Linotype"/>
          <w:rtl w:val="0"/>
        </w:rPr>
        <w:t xml:space="preserve"> cuyo contenido se trata de un extracto relacionado con una determinación por parte de la Comisión de Honor y Justicia por vía de la cual, se observa la no vinculación de procedimiento de un oficial con la medida filial descrita por una denunciante  por carecer de elementos probatorios necesarios, por lo que la citada comisión considera dable que los elementos de seguridad publica tomen platicas, conferencias con la finalidad de brindar un mejor servicio a los habitantes. </w:t>
      </w:r>
      <w:r w:rsidDel="00000000" w:rsidR="00000000" w:rsidRPr="00000000">
        <w:rPr>
          <w:rtl w:val="0"/>
        </w:rPr>
      </w:r>
    </w:p>
    <w:p w:rsidR="00000000" w:rsidDel="00000000" w:rsidP="00000000" w:rsidRDefault="00000000" w:rsidRPr="00000000" w14:paraId="0000000C">
      <w:pPr>
        <w:spacing w:after="240" w:before="240" w:line="360" w:lineRule="auto"/>
        <w:ind w:right="49"/>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veintinueve de agosto de dos mil veintidós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inconforme con la respuesta, interpuso el recurso de revisión en el que expresó lo siguiente:</w:t>
      </w:r>
      <w:r w:rsidDel="00000000" w:rsidR="00000000" w:rsidRPr="00000000">
        <w:rPr>
          <w:rtl w:val="0"/>
        </w:rPr>
      </w:r>
    </w:p>
    <w:p w:rsidR="00000000" w:rsidDel="00000000" w:rsidP="00000000" w:rsidRDefault="00000000" w:rsidRPr="00000000" w14:paraId="0000000D">
      <w:pPr>
        <w:spacing w:after="240" w:before="240" w:line="360" w:lineRule="auto"/>
        <w:ind w:right="49"/>
        <w:jc w:val="both"/>
        <w:rPr>
          <w:rFonts w:ascii="Palatino Linotype" w:cs="Palatino Linotype" w:eastAsia="Palatino Linotype" w:hAnsi="Palatino Linotype"/>
          <w:i w:val="1"/>
          <w:sz w:val="2"/>
          <w:szCs w:val="2"/>
        </w:rPr>
      </w:pPr>
      <w:r w:rsidDel="00000000" w:rsidR="00000000" w:rsidRPr="00000000">
        <w:rPr>
          <w:rFonts w:ascii="Palatino Linotype" w:cs="Palatino Linotype" w:eastAsia="Palatino Linotype" w:hAnsi="Palatino Linotype"/>
          <w:b w:val="1"/>
          <w:rtl w:val="0"/>
        </w:rPr>
        <w:t xml:space="preserve">Acto impugnado: </w:t>
      </w:r>
      <w:r w:rsidDel="00000000" w:rsidR="00000000" w:rsidRPr="00000000">
        <w:rPr>
          <w:rtl w:val="0"/>
        </w:rPr>
      </w:r>
    </w:p>
    <w:p w:rsidR="00000000" w:rsidDel="00000000" w:rsidP="00000000" w:rsidRDefault="00000000" w:rsidRPr="00000000" w14:paraId="0000000E">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“Información incompleta “(Sic)</w:t>
      </w:r>
    </w:p>
    <w:p w:rsidR="00000000" w:rsidDel="00000000" w:rsidP="00000000" w:rsidRDefault="00000000" w:rsidRPr="00000000" w14:paraId="0000000F">
      <w:pPr>
        <w:spacing w:after="240" w:before="240" w:line="360" w:lineRule="auto"/>
        <w:ind w:right="616"/>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rtl w:val="0"/>
        </w:rPr>
        <w:t xml:space="preserve">Razones o motivos de inconformidad</w:t>
      </w:r>
      <w:r w:rsidDel="00000000" w:rsidR="00000000" w:rsidRPr="00000000">
        <w:rPr>
          <w:rFonts w:ascii="Palatino Linotype" w:cs="Palatino Linotype" w:eastAsia="Palatino Linotype" w:hAnsi="Palatino Linotype"/>
          <w:b w:val="1"/>
          <w:sz w:val="22"/>
          <w:szCs w:val="22"/>
          <w:rtl w:val="0"/>
        </w:rPr>
        <w:t xml:space="preserve">: </w:t>
      </w:r>
    </w:p>
    <w:p w:rsidR="00000000" w:rsidDel="00000000" w:rsidP="00000000" w:rsidRDefault="00000000" w:rsidRPr="00000000" w14:paraId="00000010">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la presente respuesta no se Anexa ninguna copia certificada del consejo de honor y justicia ni numero consecutivo de las mismas o alguna motivación de la solicitud presentada. "(Sic)</w:t>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sz w:val="2"/>
          <w:szCs w:val="2"/>
        </w:rPr>
      </w:pPr>
      <w:r w:rsidDel="00000000" w:rsidR="00000000" w:rsidRPr="00000000">
        <w:rPr>
          <w:rtl w:val="0"/>
        </w:rPr>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rtl w:val="0"/>
        </w:rPr>
        <w:t xml:space="preserve">Admisión del Recurso de revisión.</w:t>
      </w:r>
      <w:r w:rsidDel="00000000" w:rsidR="00000000" w:rsidRPr="00000000">
        <w:rPr>
          <w:rFonts w:ascii="Palatino Linotype" w:cs="Palatino Linotype" w:eastAsia="Palatino Linotype" w:hAnsi="Palatino Linotype"/>
          <w:sz w:val="28"/>
          <w:szCs w:val="28"/>
          <w:rtl w:val="0"/>
        </w:rPr>
        <w:t xml:space="preserve"> El</w:t>
      </w:r>
      <w:r w:rsidDel="00000000" w:rsidR="00000000" w:rsidRPr="00000000">
        <w:rPr>
          <w:rFonts w:ascii="Palatino Linotype" w:cs="Palatino Linotype" w:eastAsia="Palatino Linotype" w:hAnsi="Palatino Linotype"/>
          <w:b w:val="1"/>
          <w:rtl w:val="0"/>
        </w:rPr>
        <w:t xml:space="preserve"> uno de septiembre de dos mil veintidós,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presentara su informe justificado.</w:t>
      </w:r>
      <w:r w:rsidDel="00000000" w:rsidR="00000000" w:rsidRPr="00000000">
        <w:rPr>
          <w:rtl w:val="0"/>
        </w:rPr>
      </w:r>
    </w:p>
    <w:p w:rsidR="00000000" w:rsidDel="00000000" w:rsidP="00000000" w:rsidRDefault="00000000" w:rsidRPr="00000000" w14:paraId="00000014">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Manifestaciones</w:t>
      </w:r>
      <w:r w:rsidDel="00000000" w:rsidR="00000000" w:rsidRPr="00000000">
        <w:rPr>
          <w:rFonts w:ascii="Palatino Linotype" w:cs="Palatino Linotype" w:eastAsia="Palatino Linotype" w:hAnsi="Palatino Linotype"/>
          <w:rtl w:val="0"/>
        </w:rPr>
        <w:t xml:space="preserve">. De las constancias que obran dentro del expediente formado con motivo del recurso de revisión y de la solicitud que da origen, se precisa que ambas partes fueron omisas en pronunciarse en esta etapa procesal, tal y como se observa en la siguiente captura de pantalla: </w:t>
      </w:r>
    </w:p>
    <w:p w:rsidR="00000000" w:rsidDel="00000000" w:rsidP="00000000" w:rsidRDefault="00000000" w:rsidRPr="00000000" w14:paraId="00000015">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05780" cy="1654175"/>
            <wp:effectExtent b="0" l="0" r="0" t="0"/>
            <wp:docPr id="7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05780" cy="16541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lo anterior, esta Autoridad tiene por precluido el derecho de las partes a manifestarse al respecto. </w:t>
      </w:r>
    </w:p>
    <w:p w:rsidR="00000000" w:rsidDel="00000000" w:rsidP="00000000" w:rsidRDefault="00000000" w:rsidRPr="00000000" w14:paraId="00000017">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Ampliación del plazo para emitir resolución.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catorce de febrero de la presente anualidad</w:t>
      </w:r>
      <w:r w:rsidDel="00000000" w:rsidR="00000000" w:rsidRPr="00000000">
        <w:rPr>
          <w:rFonts w:ascii="Palatino Linotype" w:cs="Palatino Linotype" w:eastAsia="Palatino Linotype" w:hAnsi="Palatino Linotype"/>
          <w:rtl w:val="0"/>
        </w:rPr>
        <w:t xml:space="preserve">, este Instituto con fundamento en el artículo 181, párrafo tercero, de la Ley de Transparencia y Acceso a la Información Pública del Estado de México y Municipios, determinó ampliar el plazo para emitir la presente resolución. </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1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strike w:val="1"/>
        </w:rPr>
      </w:pPr>
      <w:r w:rsidDel="00000000" w:rsidR="00000000" w:rsidRPr="00000000">
        <w:rPr>
          <w:rFonts w:ascii="Palatino Linotype" w:cs="Palatino Linotype" w:eastAsia="Palatino Linotype" w:hAnsi="Palatino Linotype"/>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1D">
      <w:pPr>
        <w:numPr>
          <w:ilvl w:val="0"/>
          <w:numId w:val="6"/>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1E">
      <w:pPr>
        <w:numPr>
          <w:ilvl w:val="0"/>
          <w:numId w:val="6"/>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Actividad Procesal del interesado. Acciones u omisiones del interesado.</w:t>
      </w:r>
    </w:p>
    <w:p w:rsidR="00000000" w:rsidDel="00000000" w:rsidP="00000000" w:rsidRDefault="00000000" w:rsidRPr="00000000" w14:paraId="0000001F">
      <w:pPr>
        <w:numPr>
          <w:ilvl w:val="0"/>
          <w:numId w:val="6"/>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20">
      <w:pPr>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 La afectación generada en la situación jurídica de la persona involucrada en el proceso: Violación a sus derechos humanos.</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rtl w:val="0"/>
        </w:rPr>
        <w:t xml:space="preserve"> consultable en el Seminario Judicial de la Federación y su gaceta, con el registro digital 2002351.</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rtl w:val="0"/>
        </w:rPr>
        <w:t xml:space="preserve">, visible en el Seminario Judicial de la Federación y su gaceta, con el registro digital 2002350.</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este organismo garante comprometido con la tutela de los derechos humanos confiados, señala que este exceso del plazo legal para resolver el presente asunto, resulta de carácter excepcional.</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el </w:t>
      </w:r>
      <w:r w:rsidDel="00000000" w:rsidR="00000000" w:rsidRPr="00000000">
        <w:rPr>
          <w:rFonts w:ascii="Palatino Linotype" w:cs="Palatino Linotype" w:eastAsia="Palatino Linotype" w:hAnsi="Palatino Linotype"/>
          <w:b w:val="1"/>
          <w:rtl w:val="0"/>
        </w:rPr>
        <w:t xml:space="preserve">catorce de febrero de dos mil veintitrés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29">
      <w:pPr>
        <w:widowControl w:val="0"/>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w:t>
      </w: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2A">
      <w:pPr>
        <w:widowControl w:val="0"/>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bookmarkStart w:colFirst="0" w:colLast="0" w:name="_heading=h.1fob9te" w:id="3"/>
      <w:bookmarkEnd w:id="3"/>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2D">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respondió a la solicitud de información el </w:t>
      </w:r>
      <w:r w:rsidDel="00000000" w:rsidR="00000000" w:rsidRPr="00000000">
        <w:rPr>
          <w:rFonts w:ascii="Palatino Linotype" w:cs="Palatino Linotype" w:eastAsia="Palatino Linotype" w:hAnsi="Palatino Linotype"/>
          <w:b w:val="1"/>
          <w:rtl w:val="0"/>
        </w:rPr>
        <w:t xml:space="preserve">once de agosto de dos mil veintidós, </w:t>
      </w:r>
      <w:r w:rsidDel="00000000" w:rsidR="00000000" w:rsidRPr="00000000">
        <w:rPr>
          <w:rFonts w:ascii="Palatino Linotype" w:cs="Palatino Linotype" w:eastAsia="Palatino Linotype" w:hAnsi="Palatino Linotype"/>
          <w:rtl w:val="0"/>
        </w:rPr>
        <w:t xml:space="preserve">mientras que el recurso de revisión se interpuso el día </w:t>
      </w:r>
      <w:r w:rsidDel="00000000" w:rsidR="00000000" w:rsidRPr="00000000">
        <w:rPr>
          <w:rFonts w:ascii="Palatino Linotype" w:cs="Palatino Linotype" w:eastAsia="Palatino Linotype" w:hAnsi="Palatino Linotype"/>
          <w:b w:val="1"/>
          <w:rtl w:val="0"/>
        </w:rPr>
        <w:t xml:space="preserve">veintinueve de agosto de dos mil veintidós</w:t>
      </w:r>
      <w:r w:rsidDel="00000000" w:rsidR="00000000" w:rsidRPr="00000000">
        <w:rPr>
          <w:rFonts w:ascii="Palatino Linotype" w:cs="Palatino Linotype" w:eastAsia="Palatino Linotype" w:hAnsi="Palatino Linotype"/>
          <w:rtl w:val="0"/>
        </w:rPr>
        <w:t xml:space="preserve">; esto es, décimo segundo día hábil posterior en que tuvo conocimiento de la respuesta impugnada.</w:t>
      </w:r>
      <w:r w:rsidDel="00000000" w:rsidR="00000000" w:rsidRPr="00000000">
        <w:rPr>
          <w:rtl w:val="0"/>
        </w:rPr>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al considerar la fecha en que se formuló la solicitud y la fecha en que respondió a esta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advierte que resulta procedente la interposición del recurso, según lo manifestado por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sus motivos de inconformidad, de acuerdo al artículo 179, 179, fracción V del ordenamiento legal citado, que a la letra dice: </w:t>
      </w:r>
    </w:p>
    <w:p w:rsidR="00000000" w:rsidDel="00000000" w:rsidP="00000000" w:rsidRDefault="00000000" w:rsidRPr="00000000" w14:paraId="00000030">
      <w:pPr>
        <w:tabs>
          <w:tab w:val="left" w:leader="none" w:pos="7088"/>
        </w:tabs>
        <w:spacing w:after="120" w:before="120"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31">
      <w:pPr>
        <w:tabs>
          <w:tab w:val="left" w:leader="none" w:pos="7088"/>
        </w:tabs>
        <w:spacing w:after="120" w:before="120" w:lineRule="auto"/>
        <w:ind w:left="993"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32">
      <w:pPr>
        <w:tabs>
          <w:tab w:val="left" w:leader="none" w:pos="7088"/>
        </w:tabs>
        <w:spacing w:after="120" w:before="120" w:lineRule="auto"/>
        <w:ind w:left="993"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La entrega de información incompleta;</w:t>
        <w:br w:type="textWrapping"/>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las constancias que integran el expediente electrónico se advierte que el tema sobre el que este Instituto se pronunciará será: </w:t>
      </w:r>
      <w:r w:rsidDel="00000000" w:rsidR="00000000" w:rsidRPr="00000000">
        <w:rPr>
          <w:rFonts w:ascii="Palatino Linotype" w:cs="Palatino Linotype" w:eastAsia="Palatino Linotype" w:hAnsi="Palatino Linotype"/>
          <w:b w:val="1"/>
          <w:rtl w:val="0"/>
        </w:rPr>
        <w:t xml:space="preserve">verificar si la respuesta otorgada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rtl w:val="0"/>
        </w:rPr>
        <w:t xml:space="preserve">del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 en su defecto, en caso de ser procedente, ordenar la entrega de información.</w:t>
      </w:r>
    </w:p>
    <w:p w:rsidR="00000000" w:rsidDel="00000000" w:rsidP="00000000" w:rsidRDefault="00000000" w:rsidRPr="00000000" w14:paraId="0000003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35">
      <w:pPr>
        <w:tabs>
          <w:tab w:val="left" w:leader="none" w:pos="709"/>
        </w:tabs>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sz w:val="22"/>
          <w:szCs w:val="22"/>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36">
      <w:pPr>
        <w:tabs>
          <w:tab w:val="left" w:leader="none" w:pos="709"/>
        </w:tabs>
        <w:ind w:left="851" w:right="616"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37">
      <w:pPr>
        <w:tabs>
          <w:tab w:val="left" w:leader="none" w:pos="709"/>
        </w:tabs>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sz w:val="22"/>
          <w:szCs w:val="22"/>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38">
      <w:pPr>
        <w:tabs>
          <w:tab w:val="left" w:leader="none" w:pos="709"/>
        </w:tabs>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9">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tl w:val="0"/>
        </w:rPr>
      </w:r>
    </w:p>
    <w:p w:rsidR="00000000" w:rsidDel="00000000" w:rsidP="00000000" w:rsidRDefault="00000000" w:rsidRPr="00000000" w14:paraId="0000003A">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B">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sz w:val="22"/>
          <w:szCs w:val="22"/>
          <w:u w:val="single"/>
          <w:rtl w:val="0"/>
        </w:rPr>
        <w:t xml:space="preserve">las entidades federativas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en el ámbito de sus respectivas competencias, se regirán por los siguientes principios y bases:</w:t>
      </w:r>
    </w:p>
    <w:p w:rsidR="00000000" w:rsidDel="00000000" w:rsidP="00000000" w:rsidRDefault="00000000" w:rsidRPr="00000000" w14:paraId="0000003C">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3D">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sz w:val="22"/>
          <w:szCs w:val="22"/>
          <w:rtl w:val="0"/>
        </w:rPr>
        <w:t xml:space="preserve"> Ejecutivo, Legislativo </w:t>
      </w:r>
      <w:r w:rsidDel="00000000" w:rsidR="00000000" w:rsidRPr="00000000">
        <w:rPr>
          <w:rFonts w:ascii="Palatino Linotype" w:cs="Palatino Linotype" w:eastAsia="Palatino Linotype" w:hAnsi="Palatino Linotype"/>
          <w:b w:val="1"/>
          <w:i w:val="1"/>
          <w:sz w:val="22"/>
          <w:szCs w:val="22"/>
          <w:u w:val="single"/>
          <w:rtl w:val="0"/>
        </w:rPr>
        <w:t xml:space="preserve">y Judicial</w:t>
      </w:r>
      <w:r w:rsidDel="00000000" w:rsidR="00000000" w:rsidRPr="00000000">
        <w:rPr>
          <w:rFonts w:ascii="Palatino Linotype" w:cs="Palatino Linotype" w:eastAsia="Palatino Linotype" w:hAnsi="Palatino Linotype"/>
          <w:i w:val="1"/>
          <w:sz w:val="22"/>
          <w:szCs w:val="22"/>
          <w:rtl w:val="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sz w:val="22"/>
          <w:szCs w:val="22"/>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sz w:val="22"/>
          <w:szCs w:val="22"/>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3E">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3F">
      <w:pPr>
        <w:ind w:left="851" w:right="616"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La información que se refiere a la vida privada y los datos personales será protegida en los términos y con las excepciones que fijen las leyes.</w:t>
      </w:r>
    </w:p>
    <w:p w:rsidR="00000000" w:rsidDel="00000000" w:rsidP="00000000" w:rsidRDefault="00000000" w:rsidRPr="00000000" w14:paraId="00000040">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1">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b w:val="1"/>
          <w:i w:val="1"/>
          <w:sz w:val="22"/>
          <w:szCs w:val="22"/>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sz w:val="22"/>
          <w:szCs w:val="22"/>
          <w:rtl w:val="0"/>
        </w:rPr>
        <w:t xml:space="preserve"> a sus datos personales o a la rectificación de éstos.</w:t>
      </w:r>
    </w:p>
    <w:p w:rsidR="00000000" w:rsidDel="00000000" w:rsidP="00000000" w:rsidRDefault="00000000" w:rsidRPr="00000000" w14:paraId="00000042">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3">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Se establecerán mecanismos de acceso a la información y procedimientos de revisión expeditos que se sustanciarán ante los organismos autónomos especializados e imparciales que establece esta Constitución.</w:t>
      </w:r>
    </w:p>
    <w:p w:rsidR="00000000" w:rsidDel="00000000" w:rsidP="00000000" w:rsidRDefault="00000000" w:rsidRPr="00000000" w14:paraId="00000044">
      <w:pPr>
        <w:ind w:left="851"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5">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46">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7">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Las leyes determinarán la manera en que los sujetos obligados deberán hacer pública la información relativa a los recursos públicos que entreguen a personas físicas o morales.</w:t>
      </w:r>
    </w:p>
    <w:p w:rsidR="00000000" w:rsidDel="00000000" w:rsidP="00000000" w:rsidRDefault="00000000" w:rsidRPr="00000000" w14:paraId="00000048">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49">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inobservancia a las disposiciones en materia de acceso a la información pública será sancionada en los términos que dispongan las leyes. [...]</w:t>
      </w:r>
    </w:p>
    <w:p w:rsidR="00000000" w:rsidDel="00000000" w:rsidP="00000000" w:rsidRDefault="00000000" w:rsidRPr="00000000" w14:paraId="0000004A">
      <w:pPr>
        <w:ind w:right="616"/>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B">
      <w:pPr>
        <w:tabs>
          <w:tab w:val="left" w:leader="none"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000000" w:rsidDel="00000000" w:rsidP="00000000" w:rsidRDefault="00000000" w:rsidRPr="00000000" w14:paraId="0000004C">
      <w:pPr>
        <w:spacing w:before="12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lugar, es conveniente analizar si 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00000" w:rsidDel="00000000" w:rsidP="00000000" w:rsidRDefault="00000000" w:rsidRPr="00000000" w14:paraId="0000004D">
      <w:pPr>
        <w:spacing w:before="240"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4E">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sz w:val="22"/>
          <w:szCs w:val="22"/>
          <w:rtl w:val="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00000" w:rsidDel="00000000" w:rsidP="00000000" w:rsidRDefault="00000000" w:rsidRPr="00000000" w14:paraId="0000004F">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sujetos obligados deben poner en práctica, políticas y programas de acceso a la información que se apeguen a criterios de publicidad, veracidad, oportunidad, precisión y suficiencia en beneficio de los solicitantes</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50">
      <w:pPr>
        <w:ind w:left="851" w:right="760"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000000" w:rsidDel="00000000" w:rsidP="00000000" w:rsidRDefault="00000000" w:rsidRPr="00000000" w14:paraId="00000052">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12.-</w:t>
      </w:r>
      <w:r w:rsidDel="00000000" w:rsidR="00000000" w:rsidRPr="00000000">
        <w:rPr>
          <w:rFonts w:ascii="Palatino Linotype" w:cs="Palatino Linotype" w:eastAsia="Palatino Linotype" w:hAnsi="Palatino Linotype"/>
          <w:i w:val="1"/>
          <w:sz w:val="22"/>
          <w:szCs w:val="22"/>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53">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sujetos obligados 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obligación de proporcionar información no comprende el procesamiento de la misma, ni el presentarla conforme al interés del solicitante; no estarán obligados a generarla, resumirla, efectuar cálculos o practicar investigaciones.” (Sic)</w:t>
      </w:r>
      <w:r w:rsidDel="00000000" w:rsidR="00000000" w:rsidRPr="00000000">
        <w:rPr>
          <w:rtl w:val="0"/>
        </w:rPr>
      </w:r>
    </w:p>
    <w:p w:rsidR="00000000" w:rsidDel="00000000" w:rsidP="00000000" w:rsidRDefault="00000000" w:rsidRPr="00000000" w14:paraId="00000054">
      <w:pPr>
        <w:spacing w:line="360" w:lineRule="auto"/>
        <w:ind w:right="-93"/>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000000" w:rsidDel="00000000" w:rsidP="00000000" w:rsidRDefault="00000000" w:rsidRPr="00000000" w14:paraId="0000005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7">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00000" w:rsidDel="00000000" w:rsidP="00000000" w:rsidRDefault="00000000" w:rsidRPr="00000000" w14:paraId="00000058">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conviene mencionar que la Ley de Transparencia vigente en el Estado de México refiere: </w:t>
      </w:r>
    </w:p>
    <w:p w:rsidR="00000000" w:rsidDel="00000000" w:rsidP="00000000" w:rsidRDefault="00000000" w:rsidRPr="00000000" w14:paraId="0000005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B">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18.</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Los sujetos obligados deberán documentar todo acto que derive del ejercicio de sus facultades, competencias o funciones, considerando desde su origen la eventual publicidad</w:t>
      </w:r>
      <w:r w:rsidDel="00000000" w:rsidR="00000000" w:rsidRPr="00000000">
        <w:rPr>
          <w:rFonts w:ascii="Palatino Linotype" w:cs="Palatino Linotype" w:eastAsia="Palatino Linotype" w:hAnsi="Palatino Linotype"/>
          <w:i w:val="1"/>
          <w:sz w:val="22"/>
          <w:szCs w:val="22"/>
          <w:rtl w:val="0"/>
        </w:rPr>
        <w:t xml:space="preserve"> y reutilización de la información que generen.</w:t>
      </w:r>
    </w:p>
    <w:p w:rsidR="00000000" w:rsidDel="00000000" w:rsidP="00000000" w:rsidRDefault="00000000" w:rsidRPr="00000000" w14:paraId="0000005C">
      <w:pPr>
        <w:ind w:left="851" w:right="616"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5D">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19. </w:t>
      </w:r>
      <w:r w:rsidDel="00000000" w:rsidR="00000000" w:rsidRPr="00000000">
        <w:rPr>
          <w:rFonts w:ascii="Palatino Linotype" w:cs="Palatino Linotype" w:eastAsia="Palatino Linotype" w:hAnsi="Palatino Linotype"/>
          <w:b w:val="1"/>
          <w:i w:val="1"/>
          <w:sz w:val="22"/>
          <w:szCs w:val="22"/>
          <w:u w:val="single"/>
          <w:rtl w:val="0"/>
        </w:rPr>
        <w:t xml:space="preserve">Se presume que la información debe existir si se refiere a las facultades, competencias y funciones que los ordenamientos jurídicos aplicables otorgan a los sujetos obligados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E">
      <w:pPr>
        <w:ind w:left="851"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F">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los casos en que ciertas facultades, competencias o funciones no se hayan ejercido, se debe motivar la respuesta en función de las causas que motiven tal circunstancia. </w:t>
      </w:r>
    </w:p>
    <w:p w:rsidR="00000000" w:rsidDel="00000000" w:rsidP="00000000" w:rsidRDefault="00000000" w:rsidRPr="00000000" w14:paraId="00000060">
      <w:pPr>
        <w:ind w:left="851"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1">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00000" w:rsidDel="00000000" w:rsidP="00000000" w:rsidRDefault="00000000" w:rsidRPr="00000000" w14:paraId="00000062">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3">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6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000000" w:rsidDel="00000000" w:rsidP="00000000" w:rsidRDefault="00000000" w:rsidRPr="00000000" w14:paraId="0000006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68">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9">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 </w:t>
      </w:r>
      <w:r w:rsidDel="00000000" w:rsidR="00000000" w:rsidRPr="00000000">
        <w:rPr>
          <w:rFonts w:ascii="Palatino Linotype" w:cs="Palatino Linotype" w:eastAsia="Palatino Linotype" w:hAnsi="Palatino Linotype"/>
          <w:i w:val="1"/>
          <w:sz w:val="22"/>
          <w:szCs w:val="22"/>
          <w:rtl w:val="0"/>
        </w:rPr>
        <w:t xml:space="preserve">Para los efectos de la presente Ley se entenderá por:</w:t>
      </w:r>
    </w:p>
    <w:p w:rsidR="00000000" w:rsidDel="00000000" w:rsidP="00000000" w:rsidRDefault="00000000" w:rsidRPr="00000000" w14:paraId="0000006A">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B">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Documento:</w:t>
      </w:r>
      <w:r w:rsidDel="00000000" w:rsidR="00000000" w:rsidRPr="00000000">
        <w:rPr>
          <w:rFonts w:ascii="Palatino Linotype" w:cs="Palatino Linotype" w:eastAsia="Palatino Linotype" w:hAnsi="Palatino Linotype"/>
          <w:i w:val="1"/>
          <w:sz w:val="22"/>
          <w:szCs w:val="22"/>
          <w:rtl w:val="0"/>
        </w:rPr>
        <w:t xml:space="preserve"> Los expedientes, reportes, estudios, actas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resoluciones, oficios, correspondencia, acuerdos, directivas, directrices, circulares, contratos, convenios, instructivos, notas, memorandos, estadísticas o bien, cualquier otro </w:t>
      </w:r>
      <w:r w:rsidDel="00000000" w:rsidR="00000000" w:rsidRPr="00000000">
        <w:rPr>
          <w:rFonts w:ascii="Palatino Linotype" w:cs="Palatino Linotype" w:eastAsia="Palatino Linotype" w:hAnsi="Palatino Linotype"/>
          <w:b w:val="1"/>
          <w:i w:val="1"/>
          <w:sz w:val="22"/>
          <w:szCs w:val="22"/>
          <w:u w:val="single"/>
          <w:rtl w:val="0"/>
        </w:rPr>
        <w:t xml:space="preserve">registro que documente el ejercicio de las facultades, funciones y competencias de los sujetos obligados</w:t>
      </w:r>
      <w:r w:rsidDel="00000000" w:rsidR="00000000" w:rsidRPr="00000000">
        <w:rPr>
          <w:rFonts w:ascii="Palatino Linotype" w:cs="Palatino Linotype" w:eastAsia="Palatino Linotype" w:hAnsi="Palatino Linotype"/>
          <w:i w:val="1"/>
          <w:sz w:val="22"/>
          <w:szCs w:val="22"/>
          <w:rtl w:val="0"/>
        </w:rPr>
        <w:t xml:space="preserve">, sus servidores públicos e integrantes, sin importar su fuente o fecha de elaboración. Los documentos podrán estar en cualquier medio, sea escrito, impreso, sonoro, visual, </w:t>
      </w:r>
      <w:r w:rsidDel="00000000" w:rsidR="00000000" w:rsidRPr="00000000">
        <w:rPr>
          <w:rFonts w:ascii="Palatino Linotype" w:cs="Palatino Linotype" w:eastAsia="Palatino Linotype" w:hAnsi="Palatino Linotype"/>
          <w:b w:val="1"/>
          <w:i w:val="1"/>
          <w:sz w:val="22"/>
          <w:szCs w:val="22"/>
          <w:u w:val="single"/>
          <w:rtl w:val="0"/>
        </w:rPr>
        <w:t xml:space="preserve">electrónico, informático</w:t>
      </w:r>
      <w:r w:rsidDel="00000000" w:rsidR="00000000" w:rsidRPr="00000000">
        <w:rPr>
          <w:rFonts w:ascii="Palatino Linotype" w:cs="Palatino Linotype" w:eastAsia="Palatino Linotype" w:hAnsi="Palatino Linotype"/>
          <w:i w:val="1"/>
          <w:sz w:val="22"/>
          <w:szCs w:val="22"/>
          <w:rtl w:val="0"/>
        </w:rPr>
        <w:t xml:space="preserve"> u holográfico…” (Sic)</w:t>
      </w:r>
    </w:p>
    <w:p w:rsidR="00000000" w:rsidDel="00000000" w:rsidP="00000000" w:rsidRDefault="00000000" w:rsidRPr="00000000" w14:paraId="0000006C">
      <w:pPr>
        <w:ind w:left="851" w:right="89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6E">
      <w:pPr>
        <w:ind w:left="851" w:right="899"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F">
      <w:pPr>
        <w:ind w:left="851" w:right="616"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0002-11</w:t>
      </w:r>
    </w:p>
    <w:p w:rsidR="00000000" w:rsidDel="00000000" w:rsidP="00000000" w:rsidRDefault="00000000" w:rsidRPr="00000000" w14:paraId="00000070">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71">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72">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73">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74">
      <w:pPr>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Que se trate de información registrada en cualquier soporte documental, que en ejercicio de las atribuciones conferidas, se encuentre en posesión de los Sujetos Obligados.” </w:t>
      </w:r>
    </w:p>
    <w:p w:rsidR="00000000" w:rsidDel="00000000" w:rsidP="00000000" w:rsidRDefault="00000000" w:rsidRPr="00000000" w14:paraId="00000075">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ahí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así como de interés público, es decir, aquella que resulta relevante o beneficiosa para la sociedad y no simplemente de interés individual, y cuya divulgación resulta útil para que el público comprenda las actividades que llevan a cabo los Sujetos Obligados</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como pudiera tratarse de aquella relacionada con las obligaciones de transparencia señaladas en los artículos 92 y 100 de la Ley de la Materia.</w:t>
      </w:r>
    </w:p>
    <w:p w:rsidR="00000000" w:rsidDel="00000000" w:rsidP="00000000" w:rsidRDefault="00000000" w:rsidRPr="00000000" w14:paraId="0000007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tenor, es conveniente recordar que el entonces solicitante requirió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lo siguiente: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513"/>
        </w:tabs>
        <w:spacing w:after="0" w:before="0" w:line="360" w:lineRule="auto"/>
        <w:ind w:left="1353" w:right="49"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Las Actas Certificadas de todas las sesiones del Consejo de Honor y Justicia del Municipio de Almoloya del Rio.</w:t>
      </w:r>
    </w:p>
    <w:p w:rsidR="00000000" w:rsidDel="00000000" w:rsidP="00000000" w:rsidRDefault="00000000" w:rsidRPr="00000000" w14:paraId="00000078">
      <w:pPr>
        <w:tabs>
          <w:tab w:val="left" w:leader="none" w:pos="7513"/>
        </w:tabs>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9">
      <w:pPr>
        <w:tabs>
          <w:tab w:val="left" w:leader="none" w:pos="7513"/>
        </w:tabs>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su respuesta,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precisó que derivado de la Solicitud con número de Folio 00121/ALMORI/IP/2022 se giraron los oficios respectivamente a quien le corresponden y la contestación se encuentra en el archivo adjunto.</w:t>
      </w:r>
    </w:p>
    <w:p w:rsidR="00000000" w:rsidDel="00000000" w:rsidP="00000000" w:rsidRDefault="00000000" w:rsidRPr="00000000" w14:paraId="0000007A">
      <w:pPr>
        <w:tabs>
          <w:tab w:val="left" w:leader="none" w:pos="7513"/>
        </w:tabs>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B">
      <w:pPr>
        <w:tabs>
          <w:tab w:val="left" w:leader="none" w:pos="7513"/>
        </w:tabs>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archivo que se adjuntó por el Sujeto Obligado se incluye un extracto relacionado con una determinación por parte de la Comisión de Honor y Justicia por vía de la cual, se observa la no vinculación de procedimiento de un oficial con la medida filial descrita por una denunciante  por carecer de elementos probatorios necesarios, por lo que la citada comisión considera dable que los elementos de seguridad pública tomen pláticas, conferencias con la finalidad de brindar un mejor servicio a los habitantes. </w:t>
      </w:r>
    </w:p>
    <w:p w:rsidR="00000000" w:rsidDel="00000000" w:rsidP="00000000" w:rsidRDefault="00000000" w:rsidRPr="00000000" w14:paraId="0000007C">
      <w:pPr>
        <w:tabs>
          <w:tab w:val="left" w:leader="none" w:pos="7513"/>
        </w:tabs>
        <w:spacing w:line="360" w:lineRule="auto"/>
        <w:ind w:right="8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D">
      <w:pPr>
        <w:tabs>
          <w:tab w:val="left" w:leader="none" w:pos="7513"/>
        </w:tabs>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 la respuesta que fue entregada por el Ayuntamiento de Almoloya del Río el particular siente agravio señalando que no fueron anexas las copias certificadas del Consejo de Honor y Justicia  ni numero consecutivo de las mismas o alguna motivación de la solicitud presentada.</w:t>
      </w:r>
    </w:p>
    <w:p w:rsidR="00000000" w:rsidDel="00000000" w:rsidP="00000000" w:rsidRDefault="00000000" w:rsidRPr="00000000" w14:paraId="0000007E">
      <w:pPr>
        <w:spacing w:after="240" w:before="240" w:line="360" w:lineRule="auto"/>
        <w:jc w:val="both"/>
        <w:rPr>
          <w:rFonts w:ascii="Palatino Linotype" w:cs="Palatino Linotype" w:eastAsia="Palatino Linotype" w:hAnsi="Palatino Linotype"/>
          <w:sz w:val="2"/>
          <w:szCs w:val="2"/>
        </w:rPr>
      </w:pPr>
      <w:r w:rsidDel="00000000" w:rsidR="00000000" w:rsidRPr="00000000">
        <w:rPr>
          <w:rtl w:val="0"/>
        </w:rPr>
      </w:r>
    </w:p>
    <w:p w:rsidR="00000000" w:rsidDel="00000000" w:rsidP="00000000" w:rsidRDefault="00000000" w:rsidRPr="00000000" w14:paraId="0000007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interpuesto el recurso de revisión, las partes </w:t>
      </w:r>
      <w:r w:rsidDel="00000000" w:rsidR="00000000" w:rsidRPr="00000000">
        <w:rPr>
          <w:rFonts w:ascii="Palatino Linotype" w:cs="Palatino Linotype" w:eastAsia="Palatino Linotype" w:hAnsi="Palatino Linotype"/>
          <w:b w:val="1"/>
          <w:rtl w:val="0"/>
        </w:rPr>
        <w:t xml:space="preserve"> no hicieron uso </w:t>
      </w:r>
      <w:r w:rsidDel="00000000" w:rsidR="00000000" w:rsidRPr="00000000">
        <w:rPr>
          <w:rFonts w:ascii="Palatino Linotype" w:cs="Palatino Linotype" w:eastAsia="Palatino Linotype" w:hAnsi="Palatino Linotype"/>
          <w:rtl w:val="0"/>
        </w:rPr>
        <w:t xml:space="preserve">de su derecho para manifestar lo que a su derecho asistiera y conviniera, razón por la cual se tuvo por precluido su derecho en ese sentido. </w:t>
      </w:r>
    </w:p>
    <w:p w:rsidR="00000000" w:rsidDel="00000000" w:rsidP="00000000" w:rsidRDefault="00000000" w:rsidRPr="00000000" w14:paraId="0000008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a la materia de la solicitud de información la Ley de Seguridad del Estado de México, en su artículo 55, establece que los municipios establecerán un Consejo Municipal de Seguridad Pública, el cual deberá quedar instalado dentro de los primeros treinta días naturales del inicio de la administración municipal y enviar al Consejo Estatal el acta de instalación respectiva. A fin de cumplir tal objetivo, en el caso en particular de los Municipios, la propia ley señala la obligación de establecer los Consejos Municipales de Seguridad Pública de donde precisamente emana el Órgano Colegiado de quien se requiere la información, así como las facultades, atribuciones y procedimiento para ejecutar las mismas, siendo esto de la siguiente forma:</w:t>
      </w:r>
    </w:p>
    <w:p w:rsidR="00000000" w:rsidDel="00000000" w:rsidP="00000000" w:rsidRDefault="00000000" w:rsidRPr="00000000" w14:paraId="00000081">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55</w:t>
      </w:r>
      <w:r w:rsidDel="00000000" w:rsidR="00000000" w:rsidRPr="00000000">
        <w:rPr>
          <w:rFonts w:ascii="Palatino Linotype" w:cs="Palatino Linotype" w:eastAsia="Palatino Linotype" w:hAnsi="Palatino Linotype"/>
          <w:i w:val="1"/>
          <w:sz w:val="22"/>
          <w:szCs w:val="22"/>
          <w:rtl w:val="0"/>
        </w:rPr>
        <w:t xml:space="preserve">. Los municipios de la Entidad </w:t>
      </w:r>
      <w:r w:rsidDel="00000000" w:rsidR="00000000" w:rsidRPr="00000000">
        <w:rPr>
          <w:rFonts w:ascii="Palatino Linotype" w:cs="Palatino Linotype" w:eastAsia="Palatino Linotype" w:hAnsi="Palatino Linotype"/>
          <w:b w:val="1"/>
          <w:i w:val="1"/>
          <w:sz w:val="22"/>
          <w:szCs w:val="22"/>
          <w:rtl w:val="0"/>
        </w:rPr>
        <w:t xml:space="preserve">establecerán un Consejo Municipal de Seguridad Pública</w:t>
      </w:r>
      <w:r w:rsidDel="00000000" w:rsidR="00000000" w:rsidRPr="00000000">
        <w:rPr>
          <w:rFonts w:ascii="Palatino Linotype" w:cs="Palatino Linotype" w:eastAsia="Palatino Linotype" w:hAnsi="Palatino Linotype"/>
          <w:i w:val="1"/>
          <w:sz w:val="22"/>
          <w:szCs w:val="22"/>
          <w:rtl w:val="0"/>
        </w:rPr>
        <w:t xml:space="preserve">, el cual deberá quedar instalado dentro de los primeros treinta días naturales del inicio de la administración municipal y enviar al Consejo Estatal el acta de instalación respectiva. Cada Consejo Municipal deberá sesionar en forma ordinaria cada dos meses y en forma extraordinaria las veces que sean necesarias, en términos que establezca el estatuto correspondiente que emita el Consejo Municipal.</w:t>
      </w:r>
    </w:p>
    <w:p w:rsidR="00000000" w:rsidDel="00000000" w:rsidP="00000000" w:rsidRDefault="00000000" w:rsidRPr="00000000" w14:paraId="00000082">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3">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Consejo Municipal podrá celebrar sesiones regionales, atendiendo a la densidad poblacional, extensión territorial y/o incidencia delictiva conforme a lo establecido en los lineamientos que al efecto emita el Consejo Estatal.</w:t>
      </w:r>
    </w:p>
    <w:p w:rsidR="00000000" w:rsidDel="00000000" w:rsidP="00000000" w:rsidRDefault="00000000" w:rsidRPr="00000000" w14:paraId="00000084">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5">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Para el desahogo de los asuntos de su competencia</w:t>
      </w:r>
      <w:r w:rsidDel="00000000" w:rsidR="00000000" w:rsidRPr="00000000">
        <w:rPr>
          <w:rFonts w:ascii="Palatino Linotype" w:cs="Palatino Linotype" w:eastAsia="Palatino Linotype" w:hAnsi="Palatino Linotype"/>
          <w:i w:val="1"/>
          <w:sz w:val="22"/>
          <w:szCs w:val="22"/>
          <w:rtl w:val="0"/>
        </w:rPr>
        <w:t xml:space="preserve">, el Consejo Municipal de Seguridad Pública integrará las siguientes comisiones:</w:t>
      </w:r>
    </w:p>
    <w:p w:rsidR="00000000" w:rsidDel="00000000" w:rsidP="00000000" w:rsidRDefault="00000000" w:rsidRPr="00000000" w14:paraId="00000086">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7">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Prevención Social de la Violencia y la Delincuencia con Participación Ciudadana.</w:t>
      </w:r>
    </w:p>
    <w:p w:rsidR="00000000" w:rsidDel="00000000" w:rsidP="00000000" w:rsidRDefault="00000000" w:rsidRPr="00000000" w14:paraId="00000088">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2. Planeación y Evaluación.</w:t>
      </w:r>
    </w:p>
    <w:p w:rsidR="00000000" w:rsidDel="00000000" w:rsidP="00000000" w:rsidRDefault="00000000" w:rsidRPr="00000000" w14:paraId="00000089">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Estratégica de Seguridad.</w:t>
      </w:r>
    </w:p>
    <w:p w:rsidR="00000000" w:rsidDel="00000000" w:rsidP="00000000" w:rsidRDefault="00000000" w:rsidRPr="00000000" w14:paraId="0000008A">
      <w:pPr>
        <w:ind w:left="709" w:right="75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4. Comisión de Honor y Justicia.</w:t>
      </w:r>
    </w:p>
    <w:p w:rsidR="00000000" w:rsidDel="00000000" w:rsidP="00000000" w:rsidRDefault="00000000" w:rsidRPr="00000000" w14:paraId="0000008B">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5. Las demás que determine.</w:t>
      </w:r>
    </w:p>
    <w:p w:rsidR="00000000" w:rsidDel="00000000" w:rsidP="00000000" w:rsidRDefault="00000000" w:rsidRPr="00000000" w14:paraId="0000008C">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D">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Las facultades, atribuciones, integración y funcionamiento de las comisiones de los Consejos Municipales de Seguridad Pública estarán determinadas en los lineamientos que para tal efecto emita el Consejo Estatal.</w:t>
      </w:r>
    </w:p>
    <w:p w:rsidR="00000000" w:rsidDel="00000000" w:rsidP="00000000" w:rsidRDefault="00000000" w:rsidRPr="00000000" w14:paraId="0000008E">
      <w:pPr>
        <w:ind w:left="709" w:right="757"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 LA COMISIÓN DE HONOR Y JUSTICIA</w:t>
      </w:r>
    </w:p>
    <w:p w:rsidR="00000000" w:rsidDel="00000000" w:rsidP="00000000" w:rsidRDefault="00000000" w:rsidRPr="00000000" w14:paraId="0000008F">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0">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160.- La Comisión de Honor y Justicia, es un órgano colegiado que tendrá como </w:t>
      </w:r>
      <w:r w:rsidDel="00000000" w:rsidR="00000000" w:rsidRPr="00000000">
        <w:rPr>
          <w:rFonts w:ascii="Palatino Linotype" w:cs="Palatino Linotype" w:eastAsia="Palatino Linotype" w:hAnsi="Palatino Linotype"/>
          <w:b w:val="1"/>
          <w:i w:val="1"/>
          <w:sz w:val="22"/>
          <w:szCs w:val="22"/>
          <w:rtl w:val="0"/>
        </w:rPr>
        <w:t xml:space="preserve">atribución llevar a cabo, en el ámbito de su competencia, los procedimientos en los que se resuelva la suspensión temporal, separación, remoción, baja, cese o cualquier otra forma de terminación del servicio de los elementos policiales </w:t>
      </w:r>
      <w:r w:rsidDel="00000000" w:rsidR="00000000" w:rsidRPr="00000000">
        <w:rPr>
          <w:rFonts w:ascii="Palatino Linotype" w:cs="Palatino Linotype" w:eastAsia="Palatino Linotype" w:hAnsi="Palatino Linotype"/>
          <w:i w:val="1"/>
          <w:sz w:val="22"/>
          <w:szCs w:val="22"/>
          <w:rtl w:val="0"/>
        </w:rPr>
        <w:t xml:space="preserve">de conformidad con lo establecido en el artículo 123, apartado B, fracción XIII de la Constitución Federal y la Ley General, cuando incumplan: </w:t>
      </w:r>
    </w:p>
    <w:p w:rsidR="00000000" w:rsidDel="00000000" w:rsidP="00000000" w:rsidRDefault="00000000" w:rsidRPr="00000000" w14:paraId="00000091">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2">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Con los requisitos de permanencia que se establecen en la Ley General, esta Ley y demás disposiciones legales aplicables; </w:t>
      </w:r>
    </w:p>
    <w:p w:rsidR="00000000" w:rsidDel="00000000" w:rsidP="00000000" w:rsidRDefault="00000000" w:rsidRPr="00000000" w14:paraId="00000093">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Con las obligaciones establecidas en la Ley General, esta Ley y los ordenamientos jurídicos internos que rigen su actuar; y </w:t>
      </w:r>
    </w:p>
    <w:p w:rsidR="00000000" w:rsidDel="00000000" w:rsidP="00000000" w:rsidRDefault="00000000" w:rsidRPr="00000000" w14:paraId="00000094">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Con el régimen disciplinario establecido en esta Ley. </w:t>
      </w:r>
    </w:p>
    <w:p w:rsidR="00000000" w:rsidDel="00000000" w:rsidP="00000000" w:rsidRDefault="00000000" w:rsidRPr="00000000" w14:paraId="00000095">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6">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Comisión de Honor y Justicia implementará una base de datos en la que se registrarán las sanciones impuestas a los integrantes de las Instituciones Policiales. </w:t>
      </w:r>
    </w:p>
    <w:p w:rsidR="00000000" w:rsidDel="00000000" w:rsidP="00000000" w:rsidRDefault="00000000" w:rsidRPr="00000000" w14:paraId="00000097">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8">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161.- Las Instituciones Policiales establecerán una Comisión de Honor y Justicia</w:t>
      </w:r>
      <w:r w:rsidDel="00000000" w:rsidR="00000000" w:rsidRPr="00000000">
        <w:rPr>
          <w:rFonts w:ascii="Palatino Linotype" w:cs="Palatino Linotype" w:eastAsia="Palatino Linotype" w:hAnsi="Palatino Linotype"/>
          <w:i w:val="1"/>
          <w:sz w:val="22"/>
          <w:szCs w:val="22"/>
          <w:rtl w:val="0"/>
        </w:rPr>
        <w:t xml:space="preserve">, que estará integrada por: </w:t>
      </w:r>
    </w:p>
    <w:p w:rsidR="00000000" w:rsidDel="00000000" w:rsidP="00000000" w:rsidRDefault="00000000" w:rsidRPr="00000000" w14:paraId="00000099">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Un presidente que tendrá voto de calidad; </w:t>
      </w:r>
    </w:p>
    <w:p w:rsidR="00000000" w:rsidDel="00000000" w:rsidP="00000000" w:rsidRDefault="00000000" w:rsidRPr="00000000" w14:paraId="0000009A">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Un secretario que será el titular del jurídico de la Institución y contará con voz y voto; y </w:t>
      </w:r>
    </w:p>
    <w:p w:rsidR="00000000" w:rsidDel="00000000" w:rsidP="00000000" w:rsidRDefault="00000000" w:rsidRPr="00000000" w14:paraId="0000009B">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Un representante de la unidad operativa de investigación, prevención o reacción según sea el caso. El presidente y el representante serán designados por el titular de la dependencia. </w:t>
      </w:r>
    </w:p>
    <w:p w:rsidR="00000000" w:rsidDel="00000000" w:rsidP="00000000" w:rsidRDefault="00000000" w:rsidRPr="00000000" w14:paraId="0000009C">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D">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163.- El superior inmediato del elemento policial que incumpla con alguno de los requisitos de permanencia, las obligaciones establecidas en la Ley General, esta Ley y los ordenamientos jurídicos internos que rigen su actuar o con el régimen disciplinario establecido en esta Ley, </w:t>
      </w:r>
      <w:r w:rsidDel="00000000" w:rsidR="00000000" w:rsidRPr="00000000">
        <w:rPr>
          <w:rFonts w:ascii="Palatino Linotype" w:cs="Palatino Linotype" w:eastAsia="Palatino Linotype" w:hAnsi="Palatino Linotype"/>
          <w:b w:val="1"/>
          <w:i w:val="1"/>
          <w:sz w:val="22"/>
          <w:szCs w:val="22"/>
          <w:rtl w:val="0"/>
        </w:rPr>
        <w:t xml:space="preserve">integrará el expediente que sustente dicha irregularidad y lo remitirá a la brevedad a la Comisión de Honor y Justicia</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9E">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F">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164.- La Comisión de Honor y Justicia, cuando le sea remitido un expediente a que se refiere el artículo anterior, abrirá un periodo de información previa</w:t>
      </w:r>
      <w:r w:rsidDel="00000000" w:rsidR="00000000" w:rsidRPr="00000000">
        <w:rPr>
          <w:rFonts w:ascii="Palatino Linotype" w:cs="Palatino Linotype" w:eastAsia="Palatino Linotype" w:hAnsi="Palatino Linotype"/>
          <w:i w:val="1"/>
          <w:sz w:val="22"/>
          <w:szCs w:val="22"/>
          <w:rtl w:val="0"/>
        </w:rPr>
        <w:t xml:space="preserve">, con la finalidad de conocer las circunstancias del caso concreto y estar en posibilidad de determinar la conveniencia o no de tramitar el procedimiento administrativo correspondiente. </w:t>
      </w:r>
    </w:p>
    <w:p w:rsidR="00000000" w:rsidDel="00000000" w:rsidP="00000000" w:rsidRDefault="00000000" w:rsidRPr="00000000" w14:paraId="000000A0">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1">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165.- Antes, al inicio o durante </w:t>
      </w:r>
      <w:r w:rsidDel="00000000" w:rsidR="00000000" w:rsidRPr="00000000">
        <w:rPr>
          <w:rFonts w:ascii="Palatino Linotype" w:cs="Palatino Linotype" w:eastAsia="Palatino Linotype" w:hAnsi="Palatino Linotype"/>
          <w:b w:val="1"/>
          <w:i w:val="1"/>
          <w:sz w:val="22"/>
          <w:szCs w:val="22"/>
          <w:u w:val="single"/>
          <w:rtl w:val="0"/>
        </w:rPr>
        <w:t xml:space="preserve">la tramitación del procedimiento administrativo</w:t>
      </w:r>
      <w:r w:rsidDel="00000000" w:rsidR="00000000" w:rsidRPr="00000000">
        <w:rPr>
          <w:rFonts w:ascii="Palatino Linotype" w:cs="Palatino Linotype" w:eastAsia="Palatino Linotype" w:hAnsi="Palatino Linotype"/>
          <w:b w:val="1"/>
          <w:i w:val="1"/>
          <w:sz w:val="22"/>
          <w:szCs w:val="22"/>
          <w:rtl w:val="0"/>
        </w:rPr>
        <w:t xml:space="preserve">, la Comisión de Honor y Justicia, podrá determinar, como medida precautoria, la suspensión temporal del elemento policial de que se trate, hasta en tanto se resuelva el procedimiento correspondiente,</w:t>
      </w:r>
      <w:r w:rsidDel="00000000" w:rsidR="00000000" w:rsidRPr="00000000">
        <w:rPr>
          <w:rFonts w:ascii="Palatino Linotype" w:cs="Palatino Linotype" w:eastAsia="Palatino Linotype" w:hAnsi="Palatino Linotype"/>
          <w:i w:val="1"/>
          <w:sz w:val="22"/>
          <w:szCs w:val="22"/>
          <w:rtl w:val="0"/>
        </w:rPr>
        <w:t xml:space="preserve"> con el objetivo de salvaguardar el interés social, el interés público o el orden público derivado de las funciones que realiza, de así convenir para el mejor cumplimiento del servicio de seguridad pública. La medida precautoria aludida en el párrafo anterior, </w:t>
      </w:r>
      <w:r w:rsidDel="00000000" w:rsidR="00000000" w:rsidRPr="00000000">
        <w:rPr>
          <w:rFonts w:ascii="Palatino Linotype" w:cs="Palatino Linotype" w:eastAsia="Palatino Linotype" w:hAnsi="Palatino Linotype"/>
          <w:b w:val="1"/>
          <w:i w:val="1"/>
          <w:sz w:val="22"/>
          <w:szCs w:val="22"/>
          <w:u w:val="single"/>
          <w:rtl w:val="0"/>
        </w:rPr>
        <w:t xml:space="preserve">no prejuzga sobre la responsabilidad que se impute</w:t>
      </w:r>
      <w:r w:rsidDel="00000000" w:rsidR="00000000" w:rsidRPr="00000000">
        <w:rPr>
          <w:rFonts w:ascii="Palatino Linotype" w:cs="Palatino Linotype" w:eastAsia="Palatino Linotype" w:hAnsi="Palatino Linotype"/>
          <w:i w:val="1"/>
          <w:sz w:val="22"/>
          <w:szCs w:val="22"/>
          <w:rtl w:val="0"/>
        </w:rPr>
        <w:t xml:space="preserve">. Durante el período de la suspensión el servidor público no tendrá derecho a percibir su salario y demás prestaciones que le correspondan. </w:t>
      </w:r>
    </w:p>
    <w:p w:rsidR="00000000" w:rsidDel="00000000" w:rsidP="00000000" w:rsidRDefault="00000000" w:rsidRPr="00000000" w14:paraId="000000A2">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3">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166.- De ser procedente, la Comisión de Honor y Justicia, iniciará procedimiento administrativo al elemento policial</w:t>
      </w:r>
      <w:r w:rsidDel="00000000" w:rsidR="00000000" w:rsidRPr="00000000">
        <w:rPr>
          <w:rFonts w:ascii="Palatino Linotype" w:cs="Palatino Linotype" w:eastAsia="Palatino Linotype" w:hAnsi="Palatino Linotype"/>
          <w:i w:val="1"/>
          <w:sz w:val="22"/>
          <w:szCs w:val="22"/>
          <w:rtl w:val="0"/>
        </w:rPr>
        <w:t xml:space="preserve">, asignándole al expediente correspondiente un número progresivo e incluirá el año que se inicia. </w:t>
      </w:r>
      <w:r w:rsidDel="00000000" w:rsidR="00000000" w:rsidRPr="00000000">
        <w:rPr>
          <w:rFonts w:ascii="Palatino Linotype" w:cs="Palatino Linotype" w:eastAsia="Palatino Linotype" w:hAnsi="Palatino Linotype"/>
          <w:b w:val="1"/>
          <w:i w:val="1"/>
          <w:sz w:val="22"/>
          <w:szCs w:val="22"/>
          <w:rtl w:val="0"/>
        </w:rPr>
        <w:t xml:space="preserve">El número se anotará en todas las promociones y actuaciones que se produzcan con el mismo</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A4">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5">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167.- La Comisión de Honor y Justicia otorgará al elemento policial sujeto a procedimiento garantía de audiencia</w:t>
      </w:r>
      <w:r w:rsidDel="00000000" w:rsidR="00000000" w:rsidRPr="00000000">
        <w:rPr>
          <w:rFonts w:ascii="Palatino Linotype" w:cs="Palatino Linotype" w:eastAsia="Palatino Linotype" w:hAnsi="Palatino Linotype"/>
          <w:i w:val="1"/>
          <w:sz w:val="22"/>
          <w:szCs w:val="22"/>
          <w:rtl w:val="0"/>
        </w:rPr>
        <w:t xml:space="preserve"> a efecto de que conozca la irregularidad que se le imputa, ofrezca pruebas y alegue en su favor. </w:t>
      </w:r>
    </w:p>
    <w:p w:rsidR="00000000" w:rsidDel="00000000" w:rsidP="00000000" w:rsidRDefault="00000000" w:rsidRPr="00000000" w14:paraId="000000A6">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7">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169.- El citatorio a garantía de audiencia deberá ser notificado personalmente al interesado, por lo menos con cuarenta y ocho horas de anticipación a la </w:t>
      </w:r>
      <w:r w:rsidDel="00000000" w:rsidR="00000000" w:rsidRPr="00000000">
        <w:rPr>
          <w:rFonts w:ascii="Palatino Linotype" w:cs="Palatino Linotype" w:eastAsia="Palatino Linotype" w:hAnsi="Palatino Linotype"/>
          <w:b w:val="1"/>
          <w:i w:val="1"/>
          <w:sz w:val="22"/>
          <w:szCs w:val="22"/>
          <w:rtl w:val="0"/>
        </w:rPr>
        <w:t xml:space="preserve">fecha señalada para su desahogo,</w:t>
      </w:r>
      <w:r w:rsidDel="00000000" w:rsidR="00000000" w:rsidRPr="00000000">
        <w:rPr>
          <w:rFonts w:ascii="Palatino Linotype" w:cs="Palatino Linotype" w:eastAsia="Palatino Linotype" w:hAnsi="Palatino Linotype"/>
          <w:i w:val="1"/>
          <w:sz w:val="22"/>
          <w:szCs w:val="22"/>
          <w:rtl w:val="0"/>
        </w:rPr>
        <w:t xml:space="preserve"> a efecto de que prepare su defensa. </w:t>
      </w:r>
    </w:p>
    <w:p w:rsidR="00000000" w:rsidDel="00000000" w:rsidP="00000000" w:rsidRDefault="00000000" w:rsidRPr="00000000" w14:paraId="000000A8">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9">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170.- El Secretario de la Comisión desahogará la diligencia de garantía de audiencia en los siguientes términos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AA">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B">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Dará a conocer al servidor público las constancias y pruebas que obran en el expediente del asunto, en su caso; </w:t>
      </w:r>
    </w:p>
    <w:p w:rsidR="00000000" w:rsidDel="00000000" w:rsidP="00000000" w:rsidRDefault="00000000" w:rsidRPr="00000000" w14:paraId="000000AC">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Se admitirán y desahogarán las pruebas que se ofrezcan y que sean procedentes; </w:t>
      </w:r>
    </w:p>
    <w:p w:rsidR="00000000" w:rsidDel="00000000" w:rsidP="00000000" w:rsidRDefault="00000000" w:rsidRPr="00000000" w14:paraId="000000AD">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El compareciente formulará los alegatos que considere pertinentes; y </w:t>
      </w:r>
    </w:p>
    <w:p w:rsidR="00000000" w:rsidDel="00000000" w:rsidP="00000000" w:rsidRDefault="00000000" w:rsidRPr="00000000" w14:paraId="000000AE">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IV. </w:t>
      </w:r>
      <w:r w:rsidDel="00000000" w:rsidR="00000000" w:rsidRPr="00000000">
        <w:rPr>
          <w:rFonts w:ascii="Palatino Linotype" w:cs="Palatino Linotype" w:eastAsia="Palatino Linotype" w:hAnsi="Palatino Linotype"/>
          <w:b w:val="1"/>
          <w:i w:val="1"/>
          <w:sz w:val="22"/>
          <w:szCs w:val="22"/>
          <w:u w:val="single"/>
          <w:rtl w:val="0"/>
        </w:rPr>
        <w:t xml:space="preserve">Se levantará acta administrativa en la que consten las circunstancias anteriores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AF">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0">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171.- De no comparecer el servidor público en el día y hora señalados en el citatorio, </w:t>
      </w:r>
      <w:r w:rsidDel="00000000" w:rsidR="00000000" w:rsidRPr="00000000">
        <w:rPr>
          <w:rFonts w:ascii="Palatino Linotype" w:cs="Palatino Linotype" w:eastAsia="Palatino Linotype" w:hAnsi="Palatino Linotype"/>
          <w:b w:val="1"/>
          <w:i w:val="1"/>
          <w:sz w:val="22"/>
          <w:szCs w:val="22"/>
          <w:u w:val="single"/>
          <w:rtl w:val="0"/>
        </w:rPr>
        <w:t xml:space="preserve">se hará constar su inasistencia</w:t>
      </w:r>
      <w:r w:rsidDel="00000000" w:rsidR="00000000" w:rsidRPr="00000000">
        <w:rPr>
          <w:rFonts w:ascii="Palatino Linotype" w:cs="Palatino Linotype" w:eastAsia="Palatino Linotype" w:hAnsi="Palatino Linotype"/>
          <w:i w:val="1"/>
          <w:sz w:val="22"/>
          <w:szCs w:val="22"/>
          <w:rtl w:val="0"/>
        </w:rPr>
        <w:t xml:space="preserve"> y se tendrá por satisfecha la garantía de audiencia y perdido su derecho a ofrecer pruebas y alegar en su favor. </w:t>
      </w:r>
    </w:p>
    <w:p w:rsidR="00000000" w:rsidDel="00000000" w:rsidP="00000000" w:rsidRDefault="00000000" w:rsidRPr="00000000" w14:paraId="000000B1">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2">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172.- Son medios de prueba: </w:t>
      </w:r>
    </w:p>
    <w:p w:rsidR="00000000" w:rsidDel="00000000" w:rsidP="00000000" w:rsidRDefault="00000000" w:rsidRPr="00000000" w14:paraId="000000B3">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La confesional; </w:t>
      </w:r>
    </w:p>
    <w:p w:rsidR="00000000" w:rsidDel="00000000" w:rsidP="00000000" w:rsidRDefault="00000000" w:rsidRPr="00000000" w14:paraId="000000B4">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Documentos públicos y privados; </w:t>
      </w:r>
    </w:p>
    <w:p w:rsidR="00000000" w:rsidDel="00000000" w:rsidP="00000000" w:rsidRDefault="00000000" w:rsidRPr="00000000" w14:paraId="000000B5">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Testimonial; </w:t>
      </w:r>
    </w:p>
    <w:p w:rsidR="00000000" w:rsidDel="00000000" w:rsidP="00000000" w:rsidRDefault="00000000" w:rsidRPr="00000000" w14:paraId="000000B6">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IV. Inspección; </w:t>
      </w:r>
    </w:p>
    <w:p w:rsidR="00000000" w:rsidDel="00000000" w:rsidP="00000000" w:rsidRDefault="00000000" w:rsidRPr="00000000" w14:paraId="000000B7">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 Pericial; </w:t>
      </w:r>
    </w:p>
    <w:p w:rsidR="00000000" w:rsidDel="00000000" w:rsidP="00000000" w:rsidRDefault="00000000" w:rsidRPr="00000000" w14:paraId="000000B8">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 Presuncional; </w:t>
      </w:r>
    </w:p>
    <w:p w:rsidR="00000000" w:rsidDel="00000000" w:rsidP="00000000" w:rsidRDefault="00000000" w:rsidRPr="00000000" w14:paraId="000000B9">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 Instrumental; y </w:t>
      </w:r>
    </w:p>
    <w:p w:rsidR="00000000" w:rsidDel="00000000" w:rsidP="00000000" w:rsidRDefault="00000000" w:rsidRPr="00000000" w14:paraId="000000BA">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 Fotografías y demás elementos aportados por la ciencia. </w:t>
      </w:r>
    </w:p>
    <w:p w:rsidR="00000000" w:rsidDel="00000000" w:rsidP="00000000" w:rsidRDefault="00000000" w:rsidRPr="00000000" w14:paraId="000000BB">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C">
      <w:pPr>
        <w:ind w:left="709" w:right="757"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rtl w:val="0"/>
        </w:rPr>
        <w:t xml:space="preserve">Los medios probatorios enlistados en este artículo se ofrecerán, admitirán o desecharán, desahogarán y valorarán conforme a las reglas que para tal efecto se establecen en el </w:t>
      </w:r>
      <w:r w:rsidDel="00000000" w:rsidR="00000000" w:rsidRPr="00000000">
        <w:rPr>
          <w:rFonts w:ascii="Palatino Linotype" w:cs="Palatino Linotype" w:eastAsia="Palatino Linotype" w:hAnsi="Palatino Linotype"/>
          <w:b w:val="1"/>
          <w:i w:val="1"/>
          <w:sz w:val="22"/>
          <w:szCs w:val="22"/>
          <w:u w:val="single"/>
          <w:rtl w:val="0"/>
        </w:rPr>
        <w:t xml:space="preserve">Código de Procedimientos Administrativos del Estado de México. </w:t>
      </w:r>
    </w:p>
    <w:p w:rsidR="00000000" w:rsidDel="00000000" w:rsidP="00000000" w:rsidRDefault="00000000" w:rsidRPr="00000000" w14:paraId="000000BD">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E">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Tratándose de pruebas supervenientes podrán presentarse hasta antes del dictado de la resolución. </w:t>
      </w:r>
    </w:p>
    <w:p w:rsidR="00000000" w:rsidDel="00000000" w:rsidP="00000000" w:rsidRDefault="00000000" w:rsidRPr="00000000" w14:paraId="000000BF">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0">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173.- Si en el procedimiento es necesario el desahogo de las pruebas ofrecidas, el secretario fijará el día y hora para tal efecto</w:t>
      </w:r>
      <w:r w:rsidDel="00000000" w:rsidR="00000000" w:rsidRPr="00000000">
        <w:rPr>
          <w:rFonts w:ascii="Palatino Linotype" w:cs="Palatino Linotype" w:eastAsia="Palatino Linotype" w:hAnsi="Palatino Linotype"/>
          <w:i w:val="1"/>
          <w:sz w:val="22"/>
          <w:szCs w:val="22"/>
          <w:rtl w:val="0"/>
        </w:rPr>
        <w:t xml:space="preserve">, dentro de un plazo no mayor de 10 días siguientes a la presentación de la promoción inicial. </w:t>
      </w:r>
    </w:p>
    <w:p w:rsidR="00000000" w:rsidDel="00000000" w:rsidP="00000000" w:rsidRDefault="00000000" w:rsidRPr="00000000" w14:paraId="000000C1">
      <w:pPr>
        <w:ind w:left="709" w:right="75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174.-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formulen, en su caso, los alegatos que consideren pertinentes. </w:t>
      </w:r>
    </w:p>
    <w:p w:rsidR="00000000" w:rsidDel="00000000" w:rsidP="00000000" w:rsidRDefault="00000000" w:rsidRPr="00000000" w14:paraId="000000C2">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3">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175.- El procedimiento terminará por: </w:t>
      </w:r>
    </w:p>
    <w:p w:rsidR="00000000" w:rsidDel="00000000" w:rsidP="00000000" w:rsidRDefault="00000000" w:rsidRPr="00000000" w14:paraId="000000C4">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Convenio; y </w:t>
      </w:r>
    </w:p>
    <w:p w:rsidR="00000000" w:rsidDel="00000000" w:rsidP="00000000" w:rsidRDefault="00000000" w:rsidRPr="00000000" w14:paraId="000000C5">
      <w:pPr>
        <w:ind w:left="709" w:right="75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Resolución expresa del mismo. </w:t>
      </w:r>
    </w:p>
    <w:p w:rsidR="00000000" w:rsidDel="00000000" w:rsidP="00000000" w:rsidRDefault="00000000" w:rsidRPr="00000000" w14:paraId="000000C6">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7">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176.- Las Comisiones de Honor y Justicia podrán celebrar con los elementos policiales sujetos a procedimiento </w:t>
      </w:r>
      <w:r w:rsidDel="00000000" w:rsidR="00000000" w:rsidRPr="00000000">
        <w:rPr>
          <w:rFonts w:ascii="Palatino Linotype" w:cs="Palatino Linotype" w:eastAsia="Palatino Linotype" w:hAnsi="Palatino Linotype"/>
          <w:b w:val="1"/>
          <w:i w:val="1"/>
          <w:sz w:val="22"/>
          <w:szCs w:val="22"/>
          <w:u w:val="single"/>
          <w:rtl w:val="0"/>
        </w:rPr>
        <w:t xml:space="preserve">convenios que pongan fin a los asuntos</w:t>
      </w:r>
      <w:r w:rsidDel="00000000" w:rsidR="00000000" w:rsidRPr="00000000">
        <w:rPr>
          <w:rFonts w:ascii="Palatino Linotype" w:cs="Palatino Linotype" w:eastAsia="Palatino Linotype" w:hAnsi="Palatino Linotype"/>
          <w:i w:val="1"/>
          <w:sz w:val="22"/>
          <w:szCs w:val="22"/>
          <w:u w:val="single"/>
          <w:rtl w:val="0"/>
        </w:rPr>
        <w:t xml:space="preserve">, siempre que no sean contrarios a las disposiciones legales aplicables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C8">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9">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177.- La resolución expresa que ponga fin al procedimiento indicará: </w:t>
      </w:r>
    </w:p>
    <w:p w:rsidR="00000000" w:rsidDel="00000000" w:rsidP="00000000" w:rsidRDefault="00000000" w:rsidRPr="00000000" w14:paraId="000000CA">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Nombre del servidor público; </w:t>
      </w:r>
    </w:p>
    <w:p w:rsidR="00000000" w:rsidDel="00000000" w:rsidP="00000000" w:rsidRDefault="00000000" w:rsidRPr="00000000" w14:paraId="000000CB">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La determinación que podrá ser de: remoción, baja, cese, sobreseimiento o resolución sin sanción; </w:t>
      </w:r>
    </w:p>
    <w:p w:rsidR="00000000" w:rsidDel="00000000" w:rsidP="00000000" w:rsidRDefault="00000000" w:rsidRPr="00000000" w14:paraId="000000CC">
      <w:pPr>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Los fundamentos y motivos que la sustenten; y </w:t>
      </w:r>
    </w:p>
    <w:p w:rsidR="00000000" w:rsidDel="00000000" w:rsidP="00000000" w:rsidRDefault="00000000" w:rsidRPr="00000000" w14:paraId="000000CD">
      <w:pPr>
        <w:ind w:left="709" w:right="75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El nombre, cargo y firma de los integrantes de la Comisión de Honor y Justicia. </w:t>
      </w:r>
    </w:p>
    <w:p w:rsidR="00000000" w:rsidDel="00000000" w:rsidP="00000000" w:rsidRDefault="00000000" w:rsidRPr="00000000" w14:paraId="000000CE">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F">
      <w:pPr>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0">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178.- Cuando se impongan sanciones administrativas, la motivación de la resolución considerará las siguientes circunstancias: </w:t>
      </w:r>
    </w:p>
    <w:p w:rsidR="00000000" w:rsidDel="00000000" w:rsidP="00000000" w:rsidRDefault="00000000" w:rsidRPr="00000000" w14:paraId="000000D1">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La gravedad de la infracción en que se incurra</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D2">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Los antecedentes del infractor; </w:t>
      </w:r>
    </w:p>
    <w:p w:rsidR="00000000" w:rsidDel="00000000" w:rsidP="00000000" w:rsidRDefault="00000000" w:rsidRPr="00000000" w14:paraId="000000D3">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Las condiciones socio-económicas del infractor; y</w:t>
      </w:r>
    </w:p>
    <w:p w:rsidR="00000000" w:rsidDel="00000000" w:rsidP="00000000" w:rsidRDefault="00000000" w:rsidRPr="00000000" w14:paraId="000000D4">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IV. La reincidencia en el incumplimiento de obligaciones, en su caso. </w:t>
      </w:r>
    </w:p>
    <w:p w:rsidR="00000000" w:rsidDel="00000000" w:rsidP="00000000" w:rsidRDefault="00000000" w:rsidRPr="00000000" w14:paraId="000000D5">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Correlativo a lo anterior los artículos 179 y 179 Bis del mismo ordenamiento establecen:</w:t>
      </w:r>
    </w:p>
    <w:p w:rsidR="00000000" w:rsidDel="00000000" w:rsidP="00000000" w:rsidRDefault="00000000" w:rsidRPr="00000000" w14:paraId="000000D7">
      <w:pPr>
        <w:spacing w:after="240" w:before="240" w:line="276" w:lineRule="auto"/>
        <w:ind w:left="851"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La Comisión de Honor y Justicia ordenará la notificación al servidor público de la resolución correspondiente, conforme a lo establecido en el Código de Procedimientos Administrativos del Estado de México. </w:t>
      </w:r>
    </w:p>
    <w:p w:rsidR="00000000" w:rsidDel="00000000" w:rsidP="00000000" w:rsidRDefault="00000000" w:rsidRPr="00000000" w14:paraId="000000D8">
      <w:pPr>
        <w:spacing w:after="240" w:before="240" w:line="276" w:lineRule="auto"/>
        <w:ind w:left="851"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 Bis</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Las facultades de las autoridades y órganos competentes para imponer las sanciones</w:t>
      </w:r>
      <w:r w:rsidDel="00000000" w:rsidR="00000000" w:rsidRPr="00000000">
        <w:rPr>
          <w:rFonts w:ascii="Palatino Linotype" w:cs="Palatino Linotype" w:eastAsia="Palatino Linotype" w:hAnsi="Palatino Linotype"/>
          <w:i w:val="1"/>
          <w:sz w:val="22"/>
          <w:szCs w:val="22"/>
          <w:rtl w:val="0"/>
        </w:rPr>
        <w:t xml:space="preserve"> que establece esta Ley, se sujetarán a lo siguiente: </w:t>
      </w:r>
    </w:p>
    <w:p w:rsidR="00000000" w:rsidDel="00000000" w:rsidP="00000000" w:rsidRDefault="00000000" w:rsidRPr="00000000" w14:paraId="000000D9">
      <w:pPr>
        <w:spacing w:after="240" w:before="240" w:line="276" w:lineRule="auto"/>
        <w:ind w:left="851"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I. Prescribirán en tres años si la </w:t>
      </w:r>
      <w:r w:rsidDel="00000000" w:rsidR="00000000" w:rsidRPr="00000000">
        <w:rPr>
          <w:rFonts w:ascii="Palatino Linotype" w:cs="Palatino Linotype" w:eastAsia="Palatino Linotype" w:hAnsi="Palatino Linotype"/>
          <w:b w:val="1"/>
          <w:i w:val="1"/>
          <w:sz w:val="22"/>
          <w:szCs w:val="22"/>
          <w:rtl w:val="0"/>
        </w:rPr>
        <w:t xml:space="preserve">sanción a imponer al elemento policial es de amonestación pública, amonestación privada, arresto o separación temporal del servicio. </w:t>
      </w:r>
    </w:p>
    <w:p w:rsidR="00000000" w:rsidDel="00000000" w:rsidP="00000000" w:rsidRDefault="00000000" w:rsidRPr="00000000" w14:paraId="000000DA">
      <w:pPr>
        <w:spacing w:after="240" w:before="240" w:line="276" w:lineRule="auto"/>
        <w:ind w:left="851"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Prescribirán en cinco años, si la sanción a imponer es de </w:t>
      </w:r>
      <w:r w:rsidDel="00000000" w:rsidR="00000000" w:rsidRPr="00000000">
        <w:rPr>
          <w:rFonts w:ascii="Palatino Linotype" w:cs="Palatino Linotype" w:eastAsia="Palatino Linotype" w:hAnsi="Palatino Linotype"/>
          <w:b w:val="1"/>
          <w:i w:val="1"/>
          <w:sz w:val="22"/>
          <w:szCs w:val="22"/>
          <w:rtl w:val="0"/>
        </w:rPr>
        <w:t xml:space="preserve">separación, remoción, baja, cese o cualquier otra forma de terminación del servicio de los elementos policiales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DB">
      <w:pPr>
        <w:spacing w:after="240" w:before="240" w:line="276" w:lineRule="auto"/>
        <w:ind w:left="851"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Cuando los actos u omisiones fuesen graves</w:t>
      </w:r>
      <w:r w:rsidDel="00000000" w:rsidR="00000000" w:rsidRPr="00000000">
        <w:rPr>
          <w:rFonts w:ascii="Palatino Linotype" w:cs="Palatino Linotype" w:eastAsia="Palatino Linotype" w:hAnsi="Palatino Linotype"/>
          <w:i w:val="1"/>
          <w:sz w:val="22"/>
          <w:szCs w:val="22"/>
          <w:rtl w:val="0"/>
        </w:rPr>
        <w:t xml:space="preserve"> los plazos de prescripción serán de siete años. El plazo de prescripción se contará a partir del día siguiente a aquél en que se hubiera incurrido en la responsabilidad o a partir del momento en que hubiese cesado, si fue de carácter continuo. </w:t>
      </w:r>
    </w:p>
    <w:p w:rsidR="00000000" w:rsidDel="00000000" w:rsidP="00000000" w:rsidRDefault="00000000" w:rsidRPr="00000000" w14:paraId="000000DC">
      <w:pPr>
        <w:spacing w:after="240" w:before="240" w:line="276" w:lineRule="auto"/>
        <w:ind w:left="851"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así que, de las consideraciones previamente señaladas se tiene cuando algún integrante del área de seguridad pública incumpla con alguna normatividad de permanencia o las obligaciones establecidas en la Ley de Seguridad, la Unidad de Asuntos Internos integrará el expediente que sustente la irregularidad y lo remitirá a la Comisión de Honor y Justicia. Una vez conocido el expediente, se apertura un periodo de información previa, para conocer las circunstancias del caso en concreto y determinar la conveniencia o no de trámite el procedimiento administrativo.</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ser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Secretario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resolución sin sanción), fundamentos y motivos y el nombre, cargo y firma de los integrantes de la Comisión.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Las resoluciones sancionadoras que emita la Comisión podrán ser impugnadas mediante recurso administrativo de inconformidad ante el Titular de la Institución Policial o a través del juicio ante el Tribunal de Justicia Administrativa del Estado de México, dentro de los quince días posteriores de que surta efectos la notificación de la resolución.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Asimismo, el artículo 181 de la citada Ley comparte el sentido de lo dispuesto por lo dispuesto en el artículo 123, apartado B, fracción XIII de la Constitución Política de los Estados Unidos Mexicanos, el cual dispone lo siguiente: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123. Toda persona tiene derecho al trabajo digno y socialmente útil; al efecto, se promoverán la creación de empleos y la organización social de trabajo, conforme a la ley.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Congreso de la Unión, sin contravenir a las bases siguientes deberá expedir leyes sobre el trabajo, las cuales regirán: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27" w:right="616" w:hanging="36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B. Entre los Poderes de la Unión y sus trabajadores: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XIII. Los militares, marinos, personal del servicio exterior, agentes del Ministerio Público, peritos y los miembros de las instituciones policiales, se regirán por sus propias leyes.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Si la autoridad jurisdiccional resolviere que la separación, remoción, baja, cese o cualquier otra forma de terminación del servicio fue injustificada, el Estado sólo estará obligado a pagar la indemnización y demás prestaciones a que tenga derecho,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sin que en ningún caso proceda su reincorporación al servicio</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cualquiera que sea el resultado del juicio o medio de defensa que se hubiere promovido.</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616"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(Énfasis añadido)</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 el sentido de la resolución que emita la Comisión es remoción, baja, cese o cualquiera que forma de terminación del servicio, el Estado sólo estará obligado a pagar la indemnización y demás prestaciones a que tenga derecho, sin que en ningún caso proceda a su reincorporación al servicio.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anteriormente mencionado corresponde al procedimiento que se realiza ante la Comisión de Honor y Justicia, la cual, como se ha dicho, termina por convenio y resolución expresa del mismo, que en el caso de que se en la mima se impongan sanciones la misma deberá contener la gravedad de la infracción en que se incurra. </w:t>
      </w:r>
    </w:p>
    <w:p w:rsidR="00000000" w:rsidDel="00000000" w:rsidP="00000000" w:rsidRDefault="00000000" w:rsidRPr="00000000" w14:paraId="000000F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numerales citados podemos colegir claramente, que las actuaciones de la Comisión de Honor y Justicia de los Municipios en este caso del </w:t>
      </w:r>
      <w:r w:rsidDel="00000000" w:rsidR="00000000" w:rsidRPr="00000000">
        <w:rPr>
          <w:rFonts w:ascii="Palatino Linotype" w:cs="Palatino Linotype" w:eastAsia="Palatino Linotype" w:hAnsi="Palatino Linotype"/>
          <w:b w:val="1"/>
          <w:rtl w:val="0"/>
        </w:rPr>
        <w:t xml:space="preserve">Ayuntamiento de Almoloya del Río</w:t>
      </w:r>
      <w:r w:rsidDel="00000000" w:rsidR="00000000" w:rsidRPr="00000000">
        <w:rPr>
          <w:rFonts w:ascii="Palatino Linotype" w:cs="Palatino Linotype" w:eastAsia="Palatino Linotype" w:hAnsi="Palatino Linotype"/>
          <w:rtl w:val="0"/>
        </w:rPr>
        <w:t xml:space="preserve">, actuarán en todo momento en torno a los procedimientos administrativos iniciados en contra de servidores públicos integrantes de los cuerpos de seguridad pública y sesionaran a fin de desahogar una etapa del procedimiento de suspensión temporal, separación, remoción, baja, cese o cualquier otra forma de terminación del servicio de los elementos policiales, es decir que los documentos en los que se documenten las actuaciones y diligencias de dicha Comisión, formarán parte de los expedientes que con motivo de las presuntas irregularidades cometidas, se hayan instaurado en contra de servidores públicos adscritos a los cuerpos de seguridad.</w:t>
      </w:r>
    </w:p>
    <w:p w:rsidR="00000000" w:rsidDel="00000000" w:rsidP="00000000" w:rsidRDefault="00000000" w:rsidRPr="00000000" w14:paraId="000000F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la especie el Sujeto Obligado no niega contar con la información en virtud de que de la respuesta proporcionada por el Sujeto Obligado se desprende que adjunta una hoja en la que se expone ante la Comisión de Honor y Justicia del Ayuntamiento de Almoloya del Rio los hechos acontecidos de fecha 21 de junio del año 2022 donde se describe la intervención de un policía adscrito a la Dirección de Seguridad pública, Protección Civil y Bomberos de ese ayuntamiento y se determina iniciar con una investigación con motivos de los hechos ahí referidos. </w:t>
      </w:r>
    </w:p>
    <w:p w:rsidR="00000000" w:rsidDel="00000000" w:rsidP="00000000" w:rsidRDefault="00000000" w:rsidRPr="00000000" w14:paraId="000000F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Del análisis a la documental que fue entregada por el Sujeto Obligado la misma no puede ser tomada en consideración con motivo de dar por satisfecha la solicitud de mérito en  consideración a que en la óptica d esta  autoridad la misma se encuentra incompleta ya que únicamente se contienen los puntos 4 y 5  de la citada orden, tal y como se observa. </w:t>
      </w:r>
    </w:p>
    <w:p w:rsidR="00000000" w:rsidDel="00000000" w:rsidP="00000000" w:rsidRDefault="00000000" w:rsidRPr="00000000" w14:paraId="000000F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208270" cy="1170305"/>
            <wp:effectExtent b="0" l="0" r="0" t="0"/>
            <wp:docPr id="7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208270" cy="117030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4867275" cy="1066800"/>
                <wp:effectExtent b="0" l="0" r="0" t="0"/>
                <wp:wrapNone/>
                <wp:docPr id="67" name=""/>
                <a:graphic>
                  <a:graphicData uri="http://schemas.microsoft.com/office/word/2010/wordprocessingShape">
                    <wps:wsp>
                      <wps:cNvSpPr/>
                      <wps:cNvPr id="2" name="Shape 2"/>
                      <wps:spPr>
                        <a:xfrm>
                          <a:off x="2940938" y="3275175"/>
                          <a:ext cx="4810125" cy="1009650"/>
                        </a:xfrm>
                        <a:prstGeom prst="rect">
                          <a:avLst/>
                        </a:prstGeom>
                        <a:no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4867275" cy="1066800"/>
                <wp:effectExtent b="0" l="0" r="0" t="0"/>
                <wp:wrapNone/>
                <wp:docPr id="6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867275" cy="1066800"/>
                        </a:xfrm>
                        <a:prstGeom prst="rect"/>
                        <a:ln/>
                      </pic:spPr>
                    </pic:pic>
                  </a:graphicData>
                </a:graphic>
              </wp:anchor>
            </w:drawing>
          </mc:Fallback>
        </mc:AlternateContent>
      </w:r>
    </w:p>
    <w:p w:rsidR="00000000" w:rsidDel="00000000" w:rsidP="00000000" w:rsidRDefault="00000000" w:rsidRPr="00000000" w14:paraId="000000F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del análisis al seguimiento de la solicitud de información que efectuó el Sujeto Obligado, no se precisa el área a la cual le fue turnado el requerimiento de información, por lo que, es necesario hacer  referencia al procedimiento  de búsqueda que deben seguir los sujetos obligados para localizar la información el cual  encuentra previsto en los numerales 160 y 162 de la  </w:t>
      </w:r>
      <w:r w:rsidDel="00000000" w:rsidR="00000000" w:rsidRPr="00000000">
        <w:rPr>
          <w:rFonts w:ascii="Palatino Linotype" w:cs="Palatino Linotype" w:eastAsia="Palatino Linotype" w:hAnsi="Palatino Linotype"/>
          <w:sz w:val="22"/>
          <w:szCs w:val="22"/>
          <w:rtl w:val="0"/>
        </w:rPr>
        <w:t xml:space="preserve">Ley de Transparencia y Acceso a la Información Pública del Estado de México y Municipios, que se detalla a continuación:</w:t>
      </w:r>
      <w:r w:rsidDel="00000000" w:rsidR="00000000" w:rsidRPr="00000000">
        <w:rPr>
          <w:rtl w:val="0"/>
        </w:rPr>
      </w:r>
    </w:p>
    <w:p w:rsidR="00000000" w:rsidDel="00000000" w:rsidP="00000000" w:rsidRDefault="00000000" w:rsidRPr="00000000" w14:paraId="0000010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03">
      <w:pPr>
        <w:numPr>
          <w:ilvl w:val="0"/>
          <w:numId w:val="2"/>
        </w:numPr>
        <w:spacing w:line="360"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000000" w:rsidDel="00000000" w:rsidP="00000000" w:rsidRDefault="00000000" w:rsidRPr="00000000" w14:paraId="00000104">
      <w:pPr>
        <w:spacing w:line="360" w:lineRule="auto"/>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5">
      <w:pPr>
        <w:numPr>
          <w:ilvl w:val="0"/>
          <w:numId w:val="2"/>
        </w:numPr>
        <w:spacing w:line="360"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000000" w:rsidDel="00000000" w:rsidP="00000000" w:rsidRDefault="00000000" w:rsidRPr="00000000" w14:paraId="0000010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En esta lógica, es necesario citar el artículo 122 del Bando Municipal del  Ayuntamiento de Almoloya del Río en el  que  se precisa que le corresponde a la Secretaría Técnica del Consejo de Seguridad Publica como unidad administrativa municipal,  dar seguimiento puntual a las sesiones y acuerdos de la Comisión de Honor Justicia, tal y como se precisa en el texto siguiente: </w:t>
      </w:r>
      <w:r w:rsidDel="00000000" w:rsidR="00000000" w:rsidRPr="00000000">
        <w:rPr>
          <w:rtl w:val="0"/>
        </w:rPr>
      </w:r>
    </w:p>
    <w:p w:rsidR="00000000" w:rsidDel="00000000" w:rsidP="00000000" w:rsidRDefault="00000000" w:rsidRPr="00000000" w14:paraId="00000108">
      <w:pPr>
        <w:spacing w:after="240" w:before="240" w:lineRule="auto"/>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“Articulo 122.- La Secretaría Técnica del Consejo de Seguridad Pública es la unidad administrativa municipal que atenderá los aspectos normativos, administrativos y de planeación necesarios para la prestación del servicio de seguridad publica en el ámbito municipal, siendo también la responsable de la vinculación del Ayuntamiento con las instancias federales y estatales en la materia</w:t>
      </w:r>
    </w:p>
    <w:p w:rsidR="00000000" w:rsidDel="00000000" w:rsidP="00000000" w:rsidRDefault="00000000" w:rsidRPr="00000000" w14:paraId="00000109">
      <w:pPr>
        <w:spacing w:after="240" w:before="240" w:lineRule="auto"/>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0A">
      <w:pPr>
        <w:spacing w:after="240" w:before="240" w:lineRule="auto"/>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 </w:t>
      </w:r>
      <w:r w:rsidDel="00000000" w:rsidR="00000000" w:rsidRPr="00000000">
        <w:rPr>
          <w:rFonts w:ascii="Palatino Linotype" w:cs="Palatino Linotype" w:eastAsia="Palatino Linotype" w:hAnsi="Palatino Linotype"/>
          <w:b w:val="1"/>
          <w:i w:val="1"/>
          <w:sz w:val="22"/>
          <w:szCs w:val="22"/>
          <w:rtl w:val="0"/>
        </w:rPr>
        <w:t xml:space="preserve">Dar seguimiento puntual a las sesiones y acuerdos</w:t>
      </w:r>
      <w:r w:rsidDel="00000000" w:rsidR="00000000" w:rsidRPr="00000000">
        <w:rPr>
          <w:rFonts w:ascii="Palatino Linotype" w:cs="Palatino Linotype" w:eastAsia="Palatino Linotype" w:hAnsi="Palatino Linotype"/>
          <w:i w:val="1"/>
          <w:sz w:val="22"/>
          <w:szCs w:val="22"/>
          <w:rtl w:val="0"/>
        </w:rPr>
        <w:t xml:space="preserve"> de las Comisiones Municipales para la Prevención Social de la Violencia y la Delincuencia con Participación Ciudadana y </w:t>
      </w:r>
      <w:r w:rsidDel="00000000" w:rsidR="00000000" w:rsidRPr="00000000">
        <w:rPr>
          <w:rFonts w:ascii="Palatino Linotype" w:cs="Palatino Linotype" w:eastAsia="Palatino Linotype" w:hAnsi="Palatino Linotype"/>
          <w:b w:val="1"/>
          <w:i w:val="1"/>
          <w:sz w:val="22"/>
          <w:szCs w:val="22"/>
          <w:u w:val="single"/>
          <w:rtl w:val="0"/>
        </w:rPr>
        <w:t xml:space="preserve">Comisión de Honor y justicia”</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10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0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atención a la normatividad citada, se colige que el Ente Recurrido, cuenta con diversas áreas idóneas para conocer de la solicitud de información, en especial,</w:t>
      </w:r>
      <w:r w:rsidDel="00000000" w:rsidR="00000000" w:rsidRPr="00000000">
        <w:rPr>
          <w:sz w:val="28"/>
          <w:szCs w:val="28"/>
          <w:rtl w:val="0"/>
        </w:rPr>
        <w:t xml:space="preserve"> </w:t>
      </w:r>
      <w:r w:rsidDel="00000000" w:rsidR="00000000" w:rsidRPr="00000000">
        <w:rPr>
          <w:rFonts w:ascii="Palatino Linotype" w:cs="Palatino Linotype" w:eastAsia="Palatino Linotype" w:hAnsi="Palatino Linotype"/>
          <w:rtl w:val="0"/>
        </w:rPr>
        <w:t xml:space="preserve">la Secretaría Técnica del Consejo de Seguridad Pública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pues a través de esta área, se da seguimiento a las sesiones y acuerdos emitidos en el interior de la Comisión de Honor y Justicia.  </w:t>
      </w:r>
    </w:p>
    <w:p w:rsidR="00000000" w:rsidDel="00000000" w:rsidP="00000000" w:rsidRDefault="00000000" w:rsidRPr="00000000" w14:paraId="0000010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Conforme a lo anterior, se considera que para atender el requerimiento el Sujeto Obligado deberá realizar una búsqueda exhaustiva y razonable en las unidades administrativas competentes, en términos del artículo 162 de la Ley de Transparencia y Acceso a la Información Pública, a efecto de que proporcione las </w:t>
      </w:r>
      <w:r w:rsidDel="00000000" w:rsidR="00000000" w:rsidRPr="00000000">
        <w:rPr>
          <w:rFonts w:ascii="Palatino Linotype" w:cs="Palatino Linotype" w:eastAsia="Palatino Linotype" w:hAnsi="Palatino Linotype"/>
          <w:i w:val="1"/>
          <w:rtl w:val="0"/>
        </w:rPr>
        <w:t xml:space="preserve">Actas Certificadas de todas las sesiones del Consejo de Honor y Justicia del Municipio de Almoloya del Rio</w:t>
      </w:r>
      <w:r w:rsidDel="00000000" w:rsidR="00000000" w:rsidRPr="00000000">
        <w:rPr>
          <w:rFonts w:ascii="Palatino Linotype" w:cs="Palatino Linotype" w:eastAsia="Palatino Linotype" w:hAnsi="Palatino Linotype"/>
          <w:rtl w:val="0"/>
        </w:rPr>
        <w:t xml:space="preserve">, para dar cumplimiento a los diversos 12 y 160 de la Ley Referida.</w:t>
      </w:r>
    </w:p>
    <w:p w:rsidR="00000000" w:rsidDel="00000000" w:rsidP="00000000" w:rsidRDefault="00000000" w:rsidRPr="00000000" w14:paraId="0000010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atender lo anterior, es de señalar que la Particular omitió realizar un pronunciamiento respecto al periodo del cual requería la información, por lo que, resulta necesario traer por analogía el Criterio 09/13 emitido por el entonces Instituto Federal de Acceso a la Información y Protección de Datos, que establece lo siguiente:</w:t>
      </w:r>
    </w:p>
    <w:p w:rsidR="00000000" w:rsidDel="00000000" w:rsidP="00000000" w:rsidRDefault="00000000" w:rsidRPr="00000000" w14:paraId="0000011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2">
      <w:pPr>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“Periodo de búsqueda de la información, cuando no se precisa en la solicitud de información.</w:t>
      </w:r>
      <w:r w:rsidDel="00000000" w:rsidR="00000000" w:rsidRPr="00000000">
        <w:rPr>
          <w:rFonts w:ascii="Palatino Linotype" w:cs="Palatino Linotype" w:eastAsia="Palatino Linotype" w:hAnsi="Palatino Linotype"/>
          <w:i w:val="1"/>
          <w:rtl w:val="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000000" w:rsidDel="00000000" w:rsidP="00000000" w:rsidRDefault="00000000" w:rsidRPr="00000000" w14:paraId="0000011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1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criterio, precisa que cuando los solicitantes no indiquen un periodo sobre el cual se requiera la información, este deberá ser del año inmediato anterior contado a partir de la fecha en que se presentó la solicitud de información.</w:t>
      </w:r>
    </w:p>
    <w:p w:rsidR="00000000" w:rsidDel="00000000" w:rsidP="00000000" w:rsidRDefault="00000000" w:rsidRPr="00000000" w14:paraId="0000011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6">
      <w:pPr>
        <w:spacing w:line="360" w:lineRule="auto"/>
        <w:jc w:val="both"/>
        <w:rPr/>
      </w:pPr>
      <w:r w:rsidDel="00000000" w:rsidR="00000000" w:rsidRPr="00000000">
        <w:rPr>
          <w:rFonts w:ascii="Palatino Linotype" w:cs="Palatino Linotype" w:eastAsia="Palatino Linotype" w:hAnsi="Palatino Linotype"/>
          <w:rtl w:val="0"/>
        </w:rPr>
        <w:t xml:space="preserve">Por otro lado, toda vez que la información requerida, se relaciona con servidores públicos encargados de la seguridad pública del Municipio, los cuales pudieron o no recibir alguna sanción, dentro de la respuesta del Sujeto Obligado, se debió plasmar que únicamente se otorgaba acceso, en versión pública en la que se clasificaban los datos personales confidenciales, a aquellos expedientes que hubieran </w:t>
      </w:r>
      <w:r w:rsidDel="00000000" w:rsidR="00000000" w:rsidRPr="00000000">
        <w:rPr>
          <w:rFonts w:ascii="Palatino Linotype" w:cs="Palatino Linotype" w:eastAsia="Palatino Linotype" w:hAnsi="Palatino Linotype"/>
          <w:b w:val="1"/>
          <w:u w:val="single"/>
          <w:rtl w:val="0"/>
        </w:rPr>
        <w:t xml:space="preserve">causado estado</w:t>
      </w:r>
      <w:r w:rsidDel="00000000" w:rsidR="00000000" w:rsidRPr="00000000">
        <w:rPr>
          <w:rFonts w:ascii="Palatino Linotype" w:cs="Palatino Linotype" w:eastAsia="Palatino Linotype" w:hAnsi="Palatino Linotype"/>
          <w:rtl w:val="0"/>
        </w:rPr>
        <w:t xml:space="preserve">, asimismo, </w:t>
      </w:r>
      <w:r w:rsidDel="00000000" w:rsidR="00000000" w:rsidRPr="00000000">
        <w:rPr>
          <w:rFonts w:ascii="Palatino Linotype" w:cs="Palatino Linotype" w:eastAsia="Palatino Linotype" w:hAnsi="Palatino Linotype"/>
          <w:b w:val="1"/>
          <w:rtl w:val="0"/>
        </w:rPr>
        <w:t xml:space="preserve">respecto a los que se encuentren en trámite debió clasificarlos como información reservada en términos de los artículos 140, fracción VIII y 141, de la Ley de Transparencia y Acceso a la Información Pública del Estado de México y Municipios. </w:t>
      </w:r>
      <w:r w:rsidDel="00000000" w:rsidR="00000000" w:rsidRPr="00000000">
        <w:rPr>
          <w:rtl w:val="0"/>
        </w:rPr>
      </w:r>
    </w:p>
    <w:p w:rsidR="00000000" w:rsidDel="00000000" w:rsidP="00000000" w:rsidRDefault="00000000" w:rsidRPr="00000000" w14:paraId="00000117">
      <w:pPr>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140. 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118">
      <w:pPr>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19">
      <w:pPr>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 Vulnere la conducción de los expedientes judiciales o </w:t>
      </w:r>
      <w:r w:rsidDel="00000000" w:rsidR="00000000" w:rsidRPr="00000000">
        <w:rPr>
          <w:rFonts w:ascii="Palatino Linotype" w:cs="Palatino Linotype" w:eastAsia="Palatino Linotype" w:hAnsi="Palatino Linotype"/>
          <w:b w:val="1"/>
          <w:i w:val="1"/>
          <w:sz w:val="22"/>
          <w:szCs w:val="22"/>
          <w:rtl w:val="0"/>
        </w:rPr>
        <w:t xml:space="preserve">de los procedimientos administrativos seguidos en forma de juicio,</w:t>
      </w:r>
      <w:r w:rsidDel="00000000" w:rsidR="00000000" w:rsidRPr="00000000">
        <w:rPr>
          <w:rFonts w:ascii="Palatino Linotype" w:cs="Palatino Linotype" w:eastAsia="Palatino Linotype" w:hAnsi="Palatino Linotype"/>
          <w:i w:val="1"/>
          <w:sz w:val="22"/>
          <w:szCs w:val="22"/>
          <w:rtl w:val="0"/>
        </w:rPr>
        <w:t xml:space="preserve"> en tanto no hayan quedado firmes;</w:t>
      </w:r>
    </w:p>
    <w:p w:rsidR="00000000" w:rsidDel="00000000" w:rsidP="00000000" w:rsidRDefault="00000000" w:rsidRPr="00000000" w14:paraId="0000011A">
      <w:pPr>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1B">
      <w:pPr>
        <w:ind w:left="72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1C">
      <w:pPr>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141. Las causales de reserva previstas en este Capítulo se deberán fundar y motivar, a través de la aplicación de la prueba de daño a la que se hace referencia en el presente Título.</w:t>
      </w:r>
    </w:p>
    <w:p w:rsidR="00000000" w:rsidDel="00000000" w:rsidP="00000000" w:rsidRDefault="00000000" w:rsidRPr="00000000" w14:paraId="0000011D">
      <w:pPr>
        <w:ind w:left="72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1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lugar,  no debe perderse de vista que existen funciones a cargo de servidores públicos, tendientes a garantizar de manera directa la seguridad pública, a través de acciones preventivas y correctivas encaminadas a combatir a la delincuencia en sus diferentes manifestaciones, al respecto, el artículo 113 fracción I de la Ley General de Transparencia y Acceso a la Información Pública, se establece que podrá clasificarse aquella información cuya difusión pueda comprometer la seguridad nacional y pública, en el mismo tenor, el artículo 140 fracción I de la Ley de Transparencia y Acceso a la Información Pública del Estado de México y Municipios, estipula que el acceso a la información pública será restringido cuando comprometa la seguridad pública o ponga en riesgo la vida de una persona. </w:t>
      </w:r>
    </w:p>
    <w:p w:rsidR="00000000" w:rsidDel="00000000" w:rsidP="00000000" w:rsidRDefault="00000000" w:rsidRPr="00000000" w14:paraId="0000011F">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rtl w:val="0"/>
        </w:rPr>
        <w:t xml:space="preserve">En este orden de ideas, una de las formas en que la delincuencia puede llegar a poner en riesgo la seguridad del estado es, precisamente, anulando, impidiendo u obstaculizando la actuación de los servidores públicos que </w:t>
      </w:r>
      <w:r w:rsidDel="00000000" w:rsidR="00000000" w:rsidRPr="00000000">
        <w:rPr>
          <w:rFonts w:ascii="Palatino Linotype" w:cs="Palatino Linotype" w:eastAsia="Palatino Linotype" w:hAnsi="Palatino Linotype"/>
          <w:b w:val="1"/>
          <w:rtl w:val="0"/>
        </w:rPr>
        <w:t xml:space="preserve">realizan funciones de carácter operativo</w:t>
      </w:r>
      <w:r w:rsidDel="00000000" w:rsidR="00000000" w:rsidRPr="00000000">
        <w:rPr>
          <w:rFonts w:ascii="Palatino Linotype" w:cs="Palatino Linotype" w:eastAsia="Palatino Linotype" w:hAnsi="Palatino Linotype"/>
          <w:rtl w:val="0"/>
        </w:rPr>
        <w:t xml:space="preserve">, mediante el conocimiento de dicha situación, por lo que permitir el acceso a la información de los servidores públicos operativos en áreas de seguridad  pública, puede llegar a constituirse en un componente fundamental en el esfuerzo que realiza el Estado Mexicano para garantizar la seguridad del país en sus diferentes vertientes, toda vez que como se ha mencionado con antelación, al proporcionar la información solicitada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es posible identificar a un  servidor público operativo, circunstancia que puede poner en riesgo la vida e integridad física del mismo, al respecto el artículo 81 fracción III de la Ley de Seguridad del Estado de México, establece lo siguiente:</w:t>
      </w:r>
      <w:r w:rsidDel="00000000" w:rsidR="00000000" w:rsidRPr="00000000">
        <w:rPr>
          <w:rFonts w:ascii="Palatino Linotype" w:cs="Palatino Linotype" w:eastAsia="Palatino Linotype" w:hAnsi="Palatino Linotype"/>
          <w:sz w:val="23"/>
          <w:szCs w:val="23"/>
          <w:rtl w:val="0"/>
        </w:rPr>
        <w:t xml:space="preserve"> </w:t>
      </w:r>
    </w:p>
    <w:p w:rsidR="00000000" w:rsidDel="00000000" w:rsidP="00000000" w:rsidRDefault="00000000" w:rsidRPr="00000000" w14:paraId="00000120">
      <w:pPr>
        <w:spacing w:after="240" w:before="240" w:lineRule="auto"/>
        <w:ind w:left="567" w:right="70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81.-</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Toda información para la seguridad pública generada o en poder de Instituciones de Seguridad Pública o de cualquier instancia del Sistema Estatal debe registrarse, clasificarse y tratarse de conformidad con las disposiciones aplicables. </w:t>
      </w:r>
      <w:r w:rsidDel="00000000" w:rsidR="00000000" w:rsidRPr="00000000">
        <w:rPr>
          <w:rFonts w:ascii="Palatino Linotype" w:cs="Palatino Linotype" w:eastAsia="Palatino Linotype" w:hAnsi="Palatino Linotype"/>
          <w:b w:val="1"/>
          <w:i w:val="1"/>
          <w:sz w:val="22"/>
          <w:szCs w:val="22"/>
          <w:u w:val="single"/>
          <w:rtl w:val="0"/>
        </w:rPr>
        <w:t xml:space="preserve">No obstante lo anterior, esta información se considerará reservada</w:t>
      </w:r>
      <w:r w:rsidDel="00000000" w:rsidR="00000000" w:rsidRPr="00000000">
        <w:rPr>
          <w:rFonts w:ascii="Palatino Linotype" w:cs="Palatino Linotype" w:eastAsia="Palatino Linotype" w:hAnsi="Palatino Linotype"/>
          <w:i w:val="1"/>
          <w:sz w:val="22"/>
          <w:szCs w:val="22"/>
          <w:rtl w:val="0"/>
        </w:rPr>
        <w:t xml:space="preserve"> en los casos siguientes:</w:t>
      </w:r>
    </w:p>
    <w:p w:rsidR="00000000" w:rsidDel="00000000" w:rsidP="00000000" w:rsidRDefault="00000000" w:rsidRPr="00000000" w14:paraId="00000121">
      <w:pPr>
        <w:spacing w:after="240" w:before="240" w:lineRule="auto"/>
        <w:ind w:left="567" w:right="70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22">
      <w:pPr>
        <w:spacing w:after="240" w:before="240" w:lineRule="auto"/>
        <w:ind w:left="567" w:right="70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La relativa a servidores públicos miembros de las instituciones de seguridad pública, cuya revelación pueda poner en riesgo su vida e integridad física con motivo de sus funciones;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23">
      <w:pPr>
        <w:spacing w:after="240" w:before="240" w:lineRule="auto"/>
        <w:ind w:left="567" w:right="70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12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Argumento que se fortalece con lo estipulado en el criterio número 6-09, emitido por el Instituto Nacional de Transparencia, Acceso a la Información y Protección de Datos Personales, antes (IFAI)</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el cual refiere: </w:t>
      </w:r>
    </w:p>
    <w:p w:rsidR="00000000" w:rsidDel="00000000" w:rsidP="00000000" w:rsidRDefault="00000000" w:rsidRPr="00000000" w14:paraId="00000125">
      <w:pPr>
        <w:spacing w:after="240" w:before="240" w:line="276" w:lineRule="auto"/>
        <w:ind w:left="567" w:right="70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6-09</w:t>
      </w:r>
      <w:r w:rsidDel="00000000" w:rsidR="00000000" w:rsidRPr="00000000">
        <w:rPr>
          <w:rtl w:val="0"/>
        </w:rPr>
      </w:r>
    </w:p>
    <w:p w:rsidR="00000000" w:rsidDel="00000000" w:rsidP="00000000" w:rsidRDefault="00000000" w:rsidRPr="00000000" w14:paraId="00000126">
      <w:pPr>
        <w:spacing w:after="240" w:before="240" w:line="276" w:lineRule="auto"/>
        <w:ind w:left="567" w:right="70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Nombres de servidores públicos dedicados a actividades en materia de seguridad, por excepción pueden considerarse información reservada. </w:t>
      </w:r>
      <w:r w:rsidDel="00000000" w:rsidR="00000000" w:rsidRPr="00000000">
        <w:rPr>
          <w:rFonts w:ascii="Palatino Linotype" w:cs="Palatino Linotype" w:eastAsia="Palatino Linotype" w:hAnsi="Palatino Linotype"/>
          <w:i w:val="1"/>
          <w:sz w:val="22"/>
          <w:szCs w:val="22"/>
          <w:rtl w:val="0"/>
        </w:rPr>
        <w:t xml:space="preserve">De conformidad con el artículo 7, fracciones I y III de la Ley Federal de Transparencia y Acceso a la Información Pública Gubernamental </w:t>
      </w:r>
      <w:r w:rsidDel="00000000" w:rsidR="00000000" w:rsidRPr="00000000">
        <w:rPr>
          <w:rFonts w:ascii="Palatino Linotype" w:cs="Palatino Linotype" w:eastAsia="Palatino Linotype" w:hAnsi="Palatino Linotype"/>
          <w:b w:val="1"/>
          <w:i w:val="1"/>
          <w:sz w:val="22"/>
          <w:szCs w:val="22"/>
          <w:u w:val="single"/>
          <w:rtl w:val="0"/>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Del="00000000" w:rsidR="00000000" w:rsidRPr="00000000">
        <w:rPr>
          <w:rFonts w:ascii="Palatino Linotype" w:cs="Palatino Linotype" w:eastAsia="Palatino Linotype" w:hAnsi="Palatino Linotype"/>
          <w:i w:val="1"/>
          <w:sz w:val="22"/>
          <w:szCs w:val="22"/>
          <w:rtl w:val="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Del="00000000" w:rsidR="00000000" w:rsidRPr="00000000">
        <w:rPr>
          <w:rFonts w:ascii="Palatino Linotype" w:cs="Palatino Linotype" w:eastAsia="Palatino Linotype" w:hAnsi="Palatino Linotype"/>
          <w:b w:val="1"/>
          <w:i w:val="1"/>
          <w:sz w:val="22"/>
          <w:szCs w:val="22"/>
          <w:u w:val="single"/>
          <w:rtl w:val="0"/>
        </w:rPr>
        <w:t xml:space="preserve">el artículo 13, fracción I de la ley de referencia se establece que podrá clasificarse aquella información cuya difusión pueda comprometer la seguridad nacional y pública</w:t>
      </w:r>
      <w:r w:rsidDel="00000000" w:rsidR="00000000" w:rsidRPr="00000000">
        <w:rPr>
          <w:rFonts w:ascii="Palatino Linotype" w:cs="Palatino Linotype" w:eastAsia="Palatino Linotype" w:hAnsi="Palatino Linotype"/>
          <w:i w:val="1"/>
          <w:sz w:val="22"/>
          <w:szCs w:val="22"/>
          <w:rtl w:val="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Del="00000000" w:rsidR="00000000" w:rsidRPr="00000000">
        <w:rPr>
          <w:rFonts w:ascii="Palatino Linotype" w:cs="Palatino Linotype" w:eastAsia="Palatino Linotype" w:hAnsi="Palatino Linotype"/>
          <w:b w:val="1"/>
          <w:i w:val="1"/>
          <w:sz w:val="22"/>
          <w:szCs w:val="22"/>
          <w:u w:val="single"/>
          <w:rtl w:val="0"/>
        </w:rPr>
        <w:t xml:space="preserve">por lo que la reserva de la relación de los nombres y las funciones que desempeñan los servidores públicos que prestan sus servicios en áreas de seguridad nacional o pública</w:t>
      </w:r>
      <w:r w:rsidDel="00000000" w:rsidR="00000000" w:rsidRPr="00000000">
        <w:rPr>
          <w:rFonts w:ascii="Palatino Linotype" w:cs="Palatino Linotype" w:eastAsia="Palatino Linotype" w:hAnsi="Palatino Linotype"/>
          <w:i w:val="1"/>
          <w:sz w:val="22"/>
          <w:szCs w:val="22"/>
          <w:rtl w:val="0"/>
        </w:rPr>
        <w:t xml:space="preserve">, puede llegar a constituirse en un componente fundamental en el esfuerzo que realiza el Estado Mexicano para garantizar la seguridad del país en sus diferentes vertientes” (Sic)</w:t>
      </w:r>
    </w:p>
    <w:p w:rsidR="00000000" w:rsidDel="00000000" w:rsidP="00000000" w:rsidRDefault="00000000" w:rsidRPr="00000000" w14:paraId="000001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si dentro de las actas que se orden su entrega se contienen nombre de </w:t>
      </w:r>
      <w:r w:rsidDel="00000000" w:rsidR="00000000" w:rsidRPr="00000000">
        <w:rPr>
          <w:rFonts w:ascii="Palatino Linotype" w:cs="Palatino Linotype" w:eastAsia="Palatino Linotype" w:hAnsi="Palatino Linotype"/>
          <w:b w:val="1"/>
          <w:rtl w:val="0"/>
        </w:rPr>
        <w:t xml:space="preserve">servidor públicos </w:t>
      </w:r>
      <w:r w:rsidDel="00000000" w:rsidR="00000000" w:rsidRPr="00000000">
        <w:rPr>
          <w:rFonts w:ascii="Palatino Linotype" w:cs="Palatino Linotype" w:eastAsia="Palatino Linotype" w:hAnsi="Palatino Linotype"/>
          <w:b w:val="1"/>
          <w:u w:val="single"/>
          <w:rtl w:val="0"/>
        </w:rPr>
        <w:t xml:space="preserve">con actos u omisiones consideradas graves</w:t>
      </w:r>
      <w:r w:rsidDel="00000000" w:rsidR="00000000" w:rsidRPr="00000000">
        <w:rPr>
          <w:rFonts w:ascii="Palatino Linotype" w:cs="Palatino Linotype" w:eastAsia="Palatino Linotype" w:hAnsi="Palatino Linotype"/>
          <w:rtl w:val="0"/>
        </w:rPr>
        <w:t xml:space="preserve">, se debe de atender a lo siguiente. </w:t>
      </w:r>
    </w:p>
    <w:p w:rsidR="00000000" w:rsidDel="00000000" w:rsidP="00000000" w:rsidRDefault="00000000" w:rsidRPr="00000000" w14:paraId="000001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necesario reiterar que los procedimientos en los que se resuelva la suspensión temporal, separación o remoción, baja, cese o cualquier otra forma de terminación de servicio de los elementos policiales sustanciados por la Comisión de Honor y Justicia se iniciaran cuanto los servidores publico incumpla con las obligaciones establecidas en la Ley de Seguridad del Estado de México que en su artículo 100, letra B, fracción I, incisos a), g)  y ñ) y 101 disponen: </w:t>
      </w:r>
    </w:p>
    <w:p w:rsidR="00000000" w:rsidDel="00000000" w:rsidP="00000000" w:rsidRDefault="00000000" w:rsidRPr="00000000" w14:paraId="00000129">
      <w:pPr>
        <w:spacing w:after="240" w:before="240" w:line="276" w:lineRule="auto"/>
        <w:ind w:left="851" w:right="616" w:firstLine="0"/>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CAPÍTULO PRIMERO</w:t>
      </w:r>
    </w:p>
    <w:p w:rsidR="00000000" w:rsidDel="00000000" w:rsidP="00000000" w:rsidRDefault="00000000" w:rsidRPr="00000000" w14:paraId="0000012A">
      <w:pPr>
        <w:spacing w:after="240" w:before="240" w:line="276" w:lineRule="auto"/>
        <w:ind w:left="851" w:right="616" w:firstLine="0"/>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 LOS DERECHOS Y OBLIGACIONES DE LOS INTEGRANTES DE LAS INSTITUCIONES DE SEGURIDAD PÚBLICA</w:t>
      </w:r>
    </w:p>
    <w:p w:rsidR="00000000" w:rsidDel="00000000" w:rsidP="00000000" w:rsidRDefault="00000000" w:rsidRPr="00000000" w14:paraId="0000012B">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100.-</w:t>
      </w:r>
      <w:r w:rsidDel="00000000" w:rsidR="00000000" w:rsidRPr="00000000">
        <w:rPr>
          <w:rFonts w:ascii="Palatino Linotype" w:cs="Palatino Linotype" w:eastAsia="Palatino Linotype" w:hAnsi="Palatino Linotype"/>
          <w:i w:val="1"/>
          <w:sz w:val="22"/>
          <w:szCs w:val="22"/>
          <w:rtl w:val="0"/>
        </w:rPr>
        <w:t xml:space="preserve"> Con el objeto de garantizar el cumplimiento de los principios constitucionales de legalidad, objetividad, eficiencia, profesionalismo, honradez y </w:t>
      </w:r>
      <w:r w:rsidDel="00000000" w:rsidR="00000000" w:rsidRPr="00000000">
        <w:rPr>
          <w:rFonts w:ascii="Palatino Linotype" w:cs="Palatino Linotype" w:eastAsia="Palatino Linotype" w:hAnsi="Palatino Linotype"/>
          <w:b w:val="1"/>
          <w:i w:val="1"/>
          <w:sz w:val="22"/>
          <w:szCs w:val="22"/>
          <w:u w:val="single"/>
          <w:rtl w:val="0"/>
        </w:rPr>
        <w:t xml:space="preserve">respeto a los derechos humanos</w:t>
      </w:r>
      <w:r w:rsidDel="00000000" w:rsidR="00000000" w:rsidRPr="00000000">
        <w:rPr>
          <w:rFonts w:ascii="Palatino Linotype" w:cs="Palatino Linotype" w:eastAsia="Palatino Linotype" w:hAnsi="Palatino Linotype"/>
          <w:i w:val="1"/>
          <w:sz w:val="22"/>
          <w:szCs w:val="22"/>
          <w:rtl w:val="0"/>
        </w:rPr>
        <w:t xml:space="preserve">, los integrantes de las Instituciones de Seguridad Pública tendrán, de conformidad con su adscripción a unidades de prevención, de reacción o de investigación, los derechos y obligaciones siguientes:</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851"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Derechos:</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Obligaciones: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 Generales: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 Conducirse siempre con dedicación y disciplina, así como con apego al orden jurídico y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respeto a los derechos humanos reconocidos en la Constitución Federal, en la Constitución Estatal y en los tratados internacionales suscritos por el Estado Mexicano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g) Desempeñar su misión sin solicitar ni aceptar compensaciones, pagos o gratificaciones distintas a las previstas legalmente. En particular se opondrán a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cualquier acto de corrupción</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 en caso de tener conocimiento de alguno, deberán denunciarlo;</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ñ)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Hacer uso de la fuerza pública, en cumplimiento de su deber, de manera racional, congruente, oportuna y con respeto a los derechos humanos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br w:type="textWrapping"/>
        <w:t xml:space="preserve">…”</w:t>
      </w:r>
    </w:p>
    <w:p w:rsidR="00000000" w:rsidDel="00000000" w:rsidP="00000000" w:rsidRDefault="00000000" w:rsidRPr="00000000" w14:paraId="00000134">
      <w:pPr>
        <w:spacing w:after="240" w:before="240" w:line="276" w:lineRule="auto"/>
        <w:ind w:left="851" w:right="61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sz w:val="22"/>
          <w:szCs w:val="22"/>
          <w:rtl w:val="0"/>
        </w:rPr>
        <w:t xml:space="preserve">Artículo 101</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Siempre que se use la fuerza pública, se hará de manera racional, congruente, oportuna y con respeto a los derechos humanos</w:t>
      </w:r>
      <w:r w:rsidDel="00000000" w:rsidR="00000000" w:rsidRPr="00000000">
        <w:rPr>
          <w:rFonts w:ascii="Palatino Linotype" w:cs="Palatino Linotype" w:eastAsia="Palatino Linotype" w:hAnsi="Palatino Linotype"/>
          <w:i w:val="1"/>
          <w:sz w:val="22"/>
          <w:szCs w:val="22"/>
          <w:rtl w:val="0"/>
        </w:rPr>
        <w:t xml:space="preserve">. Para tal efecto, los elementos de las Instituciones Policiales deberán apegarse a los protocolos, las disposiciones normativas y administrativas aplicables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orden de ideas, el artículo 142 de la </w:t>
      </w:r>
      <w:r w:rsidDel="00000000" w:rsidR="00000000" w:rsidRPr="00000000">
        <w:rPr>
          <w:rFonts w:ascii="Palatino Linotype" w:cs="Palatino Linotype" w:eastAsia="Palatino Linotype" w:hAnsi="Palatino Linotype"/>
          <w:b w:val="1"/>
          <w:rtl w:val="0"/>
        </w:rPr>
        <w:t xml:space="preserve">Ley de Transparencia y Acceso a la Información Púbica del Estado de México y Municipios </w:t>
      </w:r>
      <w:r w:rsidDel="00000000" w:rsidR="00000000" w:rsidRPr="00000000">
        <w:rPr>
          <w:rFonts w:ascii="Palatino Linotype" w:cs="Palatino Linotype" w:eastAsia="Palatino Linotype" w:hAnsi="Palatino Linotype"/>
          <w:rtl w:val="0"/>
        </w:rPr>
        <w:t xml:space="preserve">establece: </w:t>
      </w:r>
    </w:p>
    <w:p w:rsidR="00000000" w:rsidDel="00000000" w:rsidP="00000000" w:rsidRDefault="00000000" w:rsidRPr="00000000" w14:paraId="00000136">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142.</w:t>
      </w:r>
      <w:r w:rsidDel="00000000" w:rsidR="00000000" w:rsidRPr="00000000">
        <w:rPr>
          <w:rFonts w:ascii="Palatino Linotype" w:cs="Palatino Linotype" w:eastAsia="Palatino Linotype" w:hAnsi="Palatino Linotype"/>
          <w:i w:val="1"/>
          <w:sz w:val="22"/>
          <w:szCs w:val="22"/>
          <w:rtl w:val="0"/>
        </w:rPr>
        <w:t xml:space="preserve"> Bajo ninguna circunstancia podrá invocarse el carácter de reservado cuando: </w:t>
      </w:r>
    </w:p>
    <w:p w:rsidR="00000000" w:rsidDel="00000000" w:rsidP="00000000" w:rsidRDefault="00000000" w:rsidRPr="00000000" w14:paraId="00000137">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Se trate de violaciones graves de derechos humanos</w:t>
      </w:r>
      <w:r w:rsidDel="00000000" w:rsidR="00000000" w:rsidRPr="00000000">
        <w:rPr>
          <w:rFonts w:ascii="Palatino Linotype" w:cs="Palatino Linotype" w:eastAsia="Palatino Linotype" w:hAnsi="Palatino Linotype"/>
          <w:i w:val="1"/>
          <w:sz w:val="22"/>
          <w:szCs w:val="22"/>
          <w:rtl w:val="0"/>
        </w:rPr>
        <w:t xml:space="preserve">, calificada así por autoridad competente; </w:t>
      </w:r>
    </w:p>
    <w:p w:rsidR="00000000" w:rsidDel="00000000" w:rsidP="00000000" w:rsidRDefault="00000000" w:rsidRPr="00000000" w14:paraId="00000138">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Se trate de la </w:t>
      </w:r>
      <w:r w:rsidDel="00000000" w:rsidR="00000000" w:rsidRPr="00000000">
        <w:rPr>
          <w:rFonts w:ascii="Palatino Linotype" w:cs="Palatino Linotype" w:eastAsia="Palatino Linotype" w:hAnsi="Palatino Linotype"/>
          <w:b w:val="1"/>
          <w:i w:val="1"/>
          <w:sz w:val="22"/>
          <w:szCs w:val="22"/>
          <w:u w:val="single"/>
          <w:rtl w:val="0"/>
        </w:rPr>
        <w:t xml:space="preserve">investigación de posibles violaciones graves de derechos humanos</w:t>
      </w:r>
      <w:r w:rsidDel="00000000" w:rsidR="00000000" w:rsidRPr="00000000">
        <w:rPr>
          <w:rFonts w:ascii="Palatino Linotype" w:cs="Palatino Linotype" w:eastAsia="Palatino Linotype" w:hAnsi="Palatino Linotype"/>
          <w:i w:val="1"/>
          <w:sz w:val="22"/>
          <w:szCs w:val="22"/>
          <w:rtl w:val="0"/>
        </w:rPr>
        <w:t xml:space="preserve"> aun cuando no exista pronunciamiento previo de autoridad competente, cuando se determine, a partir de criterios cuantitativos y cualitativos la trascendencia social de las violaciones; </w:t>
      </w:r>
    </w:p>
    <w:p w:rsidR="00000000" w:rsidDel="00000000" w:rsidP="00000000" w:rsidRDefault="00000000" w:rsidRPr="00000000" w14:paraId="00000139">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000000" w:rsidDel="00000000" w:rsidP="00000000" w:rsidRDefault="00000000" w:rsidRPr="00000000" w14:paraId="0000013A">
      <w:pPr>
        <w:spacing w:after="240" w:before="240" w:line="276" w:lineRule="auto"/>
        <w:ind w:left="851"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IV. Se trate de </w:t>
      </w:r>
      <w:r w:rsidDel="00000000" w:rsidR="00000000" w:rsidRPr="00000000">
        <w:rPr>
          <w:rFonts w:ascii="Palatino Linotype" w:cs="Palatino Linotype" w:eastAsia="Palatino Linotype" w:hAnsi="Palatino Linotype"/>
          <w:b w:val="1"/>
          <w:i w:val="1"/>
          <w:sz w:val="22"/>
          <w:szCs w:val="22"/>
          <w:u w:val="single"/>
          <w:rtl w:val="0"/>
        </w:rPr>
        <w:t xml:space="preserve">información relacionada con actos de corrupción</w:t>
      </w:r>
      <w:r w:rsidDel="00000000" w:rsidR="00000000" w:rsidRPr="00000000">
        <w:rPr>
          <w:rFonts w:ascii="Palatino Linotype" w:cs="Palatino Linotype" w:eastAsia="Palatino Linotype" w:hAnsi="Palatino Linotype"/>
          <w:i w:val="1"/>
          <w:sz w:val="22"/>
          <w:szCs w:val="22"/>
          <w:rtl w:val="0"/>
        </w:rPr>
        <w:t xml:space="preserve"> de conformidad con las disposiciones jurídicas aplicables.</w:t>
      </w:r>
    </w:p>
    <w:p w:rsidR="00000000" w:rsidDel="00000000" w:rsidP="00000000" w:rsidRDefault="00000000" w:rsidRPr="00000000" w14:paraId="0000013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Del precepto citado se desprende que aquella información que se relacione con violaciones graves de derechos humanos, investigación de posibles violaciones graves de derechos humanos aun cuando no exista pronunciamiento previo de autoridad competente, delitos de lesa humanidad</w:t>
      </w:r>
      <w:r w:rsidDel="00000000" w:rsidR="00000000" w:rsidRPr="00000000">
        <w:rPr>
          <w:rtl w:val="0"/>
        </w:rPr>
        <w:t xml:space="preserve"> y</w:t>
      </w:r>
      <w:r w:rsidDel="00000000" w:rsidR="00000000" w:rsidRPr="00000000">
        <w:rPr>
          <w:rFonts w:ascii="Palatino Linotype" w:cs="Palatino Linotype" w:eastAsia="Palatino Linotype" w:hAnsi="Palatino Linotype"/>
          <w:rtl w:val="0"/>
        </w:rPr>
        <w:t xml:space="preserve"> actos de corrupción, no puede actualizar alguno de los supuestos de clasificación como información reservada establecidos en el artículo 140 de la Ley de Transparencia y Acceso a la Información Pública del Estado de México y Municipios.</w:t>
      </w:r>
    </w:p>
    <w:p w:rsidR="00000000" w:rsidDel="00000000" w:rsidP="00000000" w:rsidRDefault="00000000" w:rsidRPr="00000000" w14:paraId="0000013C">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Ahora bien, respecto de la información relacionada con procedimientos que ya causaron estado y los procedimientos en trámite relacionados con actos de corrupción, violaciones graves de derechos humanos o delitos de lesa humanidad,  resulta dable su entrega en versión pública, al no actualizarse el supuesto de reserva antes analizado, puede adelantarse que procede su entrega en versión pública.</w:t>
      </w:r>
      <w:r w:rsidDel="00000000" w:rsidR="00000000" w:rsidRPr="00000000">
        <w:rPr>
          <w:rtl w:val="0"/>
        </w:rPr>
      </w:r>
    </w:p>
    <w:p w:rsidR="00000000" w:rsidDel="00000000" w:rsidP="00000000" w:rsidRDefault="00000000" w:rsidRPr="00000000" w14:paraId="0000013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el artículo 92, fracciones XXI y XXII de la Ley de Transparencia y Acceso a la Información Pública del Estado de México y Municipios disponen que es información pública, la información curricular desde el nivel de Jefe de Departamento, incluías las sanciones administrativas de las que haya sido objeto, al igual que el listado de servidores públicos con sanciones administrativas.</w:t>
      </w:r>
    </w:p>
    <w:p w:rsidR="00000000" w:rsidDel="00000000" w:rsidP="00000000" w:rsidRDefault="00000000" w:rsidRPr="00000000" w14:paraId="0000013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En este contexto, el artículo 53 de la Ley del Sistema Anticorrupción del Estado de México y Municipios, dispone sobre la publicidad de las sanciones lo siguiente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F">
      <w:pPr>
        <w:spacing w:after="240" w:before="240" w:lineRule="auto"/>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53. Las sanciones impuestas por </w:t>
      </w:r>
      <w:r w:rsidDel="00000000" w:rsidR="00000000" w:rsidRPr="00000000">
        <w:rPr>
          <w:rFonts w:ascii="Palatino Linotype" w:cs="Palatino Linotype" w:eastAsia="Palatino Linotype" w:hAnsi="Palatino Linotype"/>
          <w:b w:val="1"/>
          <w:i w:val="1"/>
          <w:sz w:val="22"/>
          <w:szCs w:val="22"/>
          <w:u w:val="single"/>
          <w:rtl w:val="0"/>
        </w:rPr>
        <w:t xml:space="preserve">faltas administrativas graves</w:t>
      </w:r>
      <w:r w:rsidDel="00000000" w:rsidR="00000000" w:rsidRPr="00000000">
        <w:rPr>
          <w:rFonts w:ascii="Palatino Linotype" w:cs="Palatino Linotype" w:eastAsia="Palatino Linotype" w:hAnsi="Palatino Linotype"/>
          <w:i w:val="1"/>
          <w:sz w:val="22"/>
          <w:szCs w:val="22"/>
          <w:rtl w:val="0"/>
        </w:rPr>
        <w:t xml:space="preserve"> serán del conocimiento público cuando éstas contengan </w:t>
      </w:r>
      <w:r w:rsidDel="00000000" w:rsidR="00000000" w:rsidRPr="00000000">
        <w:rPr>
          <w:rFonts w:ascii="Palatino Linotype" w:cs="Palatino Linotype" w:eastAsia="Palatino Linotype" w:hAnsi="Palatino Linotype"/>
          <w:b w:val="1"/>
          <w:i w:val="1"/>
          <w:sz w:val="22"/>
          <w:szCs w:val="22"/>
          <w:u w:val="single"/>
          <w:rtl w:val="0"/>
        </w:rPr>
        <w:t xml:space="preserve">impedimentos o inhabilitaciones para ser contratados como servidores públicos</w:t>
      </w:r>
      <w:r w:rsidDel="00000000" w:rsidR="00000000" w:rsidRPr="00000000">
        <w:rPr>
          <w:rFonts w:ascii="Palatino Linotype" w:cs="Palatino Linotype" w:eastAsia="Palatino Linotype" w:hAnsi="Palatino Linotype"/>
          <w:i w:val="1"/>
          <w:sz w:val="22"/>
          <w:szCs w:val="22"/>
          <w:rtl w:val="0"/>
        </w:rPr>
        <w:t xml:space="preserve"> o como prestadores de servicios o contratistas del sector público, en términos de la Ley de Responsabilidades Administrativas del Estado de México y Municipios. </w:t>
      </w:r>
    </w:p>
    <w:p w:rsidR="00000000" w:rsidDel="00000000" w:rsidP="00000000" w:rsidRDefault="00000000" w:rsidRPr="00000000" w14:paraId="00000140">
      <w:pPr>
        <w:spacing w:after="240" w:before="240" w:lineRule="auto"/>
        <w:ind w:left="72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registros de las sanciones relativas a responsabilidades administrativas no graves, quedarán registradas para efectos de eventual reincidencia, pero no serán públicas.</w:t>
      </w:r>
    </w:p>
    <w:p w:rsidR="00000000" w:rsidDel="00000000" w:rsidP="00000000" w:rsidRDefault="00000000" w:rsidRPr="00000000" w14:paraId="00000141">
      <w:pPr>
        <w:spacing w:after="240" w:before="240" w:lineRule="auto"/>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4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la interpretación armónica y sistemática de los artículos 92, fracciones XXI y XXII de la Ley de Transparencia y Acceso a la Información Pública del Estado de México y Municipios y 53 de la Ley del Sistema Anticorrupción del Estado de México y Municipios, se entiende que  debe ser público el nombre y la sanción del servidor público sancionado en este caso </w:t>
      </w:r>
      <w:r w:rsidDel="00000000" w:rsidR="00000000" w:rsidRPr="00000000">
        <w:rPr>
          <w:rFonts w:ascii="Palatino Linotype" w:cs="Palatino Linotype" w:eastAsia="Palatino Linotype" w:hAnsi="Palatino Linotype"/>
          <w:b w:val="1"/>
          <w:u w:val="single"/>
          <w:rtl w:val="0"/>
        </w:rPr>
        <w:t xml:space="preserve">por actos u omisiones considerados como graves</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143">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4">
      <w:pPr>
        <w:spacing w:after="240" w:before="240"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En consecuencia procede ordenar la entrega de las actas que se hubieren relacionado con procedimientos concluidos sin testar el nombre de servidores públicos</w:t>
      </w:r>
      <w:r w:rsidDel="00000000" w:rsidR="00000000" w:rsidRPr="00000000">
        <w:rPr>
          <w:rFonts w:ascii="Palatino Linotype" w:cs="Palatino Linotype" w:eastAsia="Palatino Linotype" w:hAnsi="Palatino Linotype"/>
          <w:b w:val="1"/>
          <w:u w:val="single"/>
          <w:rtl w:val="0"/>
        </w:rPr>
        <w:t xml:space="preserve"> por actos u omisiones considerados como graves. </w:t>
      </w:r>
    </w:p>
    <w:p w:rsidR="00000000" w:rsidDel="00000000" w:rsidP="00000000" w:rsidRDefault="00000000" w:rsidRPr="00000000" w14:paraId="00000145">
      <w:pPr>
        <w:spacing w:line="360" w:lineRule="auto"/>
        <w:jc w:val="both"/>
        <w:rPr>
          <w:rFonts w:ascii="Palatino Linotype" w:cs="Palatino Linotype" w:eastAsia="Palatino Linotype" w:hAnsi="Palatino Linotype"/>
          <w:u w:val="single"/>
        </w:rPr>
      </w:pPr>
      <w:r w:rsidDel="00000000" w:rsidR="00000000" w:rsidRPr="00000000">
        <w:rPr>
          <w:rFonts w:ascii="Palatino Linotype" w:cs="Palatino Linotype" w:eastAsia="Palatino Linotype" w:hAnsi="Palatino Linotype"/>
          <w:rtl w:val="0"/>
        </w:rPr>
        <w:t xml:space="preserve">Por lo que refiere a los </w:t>
      </w:r>
      <w:r w:rsidDel="00000000" w:rsidR="00000000" w:rsidRPr="00000000">
        <w:rPr>
          <w:rFonts w:ascii="Palatino Linotype" w:cs="Palatino Linotype" w:eastAsia="Palatino Linotype" w:hAnsi="Palatino Linotype"/>
          <w:b w:val="1"/>
          <w:rtl w:val="0"/>
        </w:rPr>
        <w:t xml:space="preserve">servidores públicos que n</w:t>
      </w:r>
      <w:r w:rsidDel="00000000" w:rsidR="00000000" w:rsidRPr="00000000">
        <w:rPr>
          <w:rFonts w:ascii="Palatino Linotype" w:cs="Palatino Linotype" w:eastAsia="Palatino Linotype" w:hAnsi="Palatino Linotype"/>
          <w:b w:val="1"/>
          <w:u w:val="single"/>
          <w:rtl w:val="0"/>
        </w:rPr>
        <w:t xml:space="preserve">o fueron sancionados, esto es, los absueltos o los que fueron sancionados por actos u omisiones NO graves</w:t>
      </w:r>
      <w:r w:rsidDel="00000000" w:rsidR="00000000" w:rsidRPr="00000000">
        <w:rPr>
          <w:rFonts w:ascii="Palatino Linotype" w:cs="Palatino Linotype" w:eastAsia="Palatino Linotype" w:hAnsi="Palatino Linotype"/>
          <w:u w:val="single"/>
          <w:rtl w:val="0"/>
        </w:rPr>
        <w:t xml:space="preserve">, debe clasificarse su información, como nombre y otros datos que los hagan identificables, como información confidencial.  Incluso respecto a los sancionados por falta no grave </w:t>
      </w:r>
      <w:r w:rsidDel="00000000" w:rsidR="00000000" w:rsidRPr="00000000">
        <w:rPr>
          <w:rFonts w:ascii="Palatino Linotype" w:cs="Palatino Linotype" w:eastAsia="Palatino Linotype" w:hAnsi="Palatino Linotype"/>
          <w:rtl w:val="0"/>
        </w:rPr>
        <w:t xml:space="preserve">la propia Ley del Sistema Anticorrupción del Estado de México y Municipios, determina que la información no es pública, por lo que procede eliminar el nombre del servidor público, así como cualquier otro dato que lo haga identificable, de acuerdo con lo siguiente:</w:t>
      </w:r>
      <w:r w:rsidDel="00000000" w:rsidR="00000000" w:rsidRPr="00000000">
        <w:rPr>
          <w:rtl w:val="0"/>
        </w:rPr>
      </w:r>
    </w:p>
    <w:p w:rsidR="00000000" w:rsidDel="00000000" w:rsidP="00000000" w:rsidRDefault="00000000" w:rsidRPr="00000000" w14:paraId="00000146">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7">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 ese tenor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Del="00000000" w:rsidR="00000000" w:rsidRPr="00000000">
        <w:rPr>
          <w:rtl w:val="0"/>
        </w:rPr>
      </w:r>
    </w:p>
    <w:p w:rsidR="00000000" w:rsidDel="00000000" w:rsidP="00000000" w:rsidRDefault="00000000" w:rsidRPr="00000000" w14:paraId="00000148">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9">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r w:rsidDel="00000000" w:rsidR="00000000" w:rsidRPr="00000000">
        <w:rPr>
          <w:rtl w:val="0"/>
        </w:rPr>
      </w:r>
    </w:p>
    <w:p w:rsidR="00000000" w:rsidDel="00000000" w:rsidP="00000000" w:rsidRDefault="00000000" w:rsidRPr="00000000" w14:paraId="0000014A">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términos de lo expuesto, la documentación y aquellos datos que se consideren confidenciales, serán una limitante del derecho de acceso a la información, siempre y cuando:</w:t>
      </w:r>
    </w:p>
    <w:p w:rsidR="00000000" w:rsidDel="00000000" w:rsidP="00000000" w:rsidRDefault="00000000" w:rsidRPr="00000000" w14:paraId="0000014C">
      <w:pPr>
        <w:spacing w:line="360" w:lineRule="auto"/>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a) Se trate de datos personales; esto es, información concerniente a una persona física y que ésta sea identificada o identificable.</w:t>
      </w:r>
    </w:p>
    <w:p w:rsidR="00000000" w:rsidDel="00000000" w:rsidP="00000000" w:rsidRDefault="00000000" w:rsidRPr="00000000" w14:paraId="0000014D">
      <w:pPr>
        <w:spacing w:line="360" w:lineRule="auto"/>
        <w:ind w:left="720"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 b) Para la difusión de los datos, se requiera el consentimiento del titular.</w:t>
      </w:r>
      <w:r w:rsidDel="00000000" w:rsidR="00000000" w:rsidRPr="00000000">
        <w:rPr>
          <w:rtl w:val="0"/>
        </w:rPr>
      </w:r>
    </w:p>
    <w:p w:rsidR="00000000" w:rsidDel="00000000" w:rsidP="00000000" w:rsidRDefault="00000000" w:rsidRPr="00000000" w14:paraId="0000014E">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4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ese contexto, se procede al estudio de la clasificación de la información, de conformidad con el artículo 143, fracción I, de la Ley de Transparencia y Acceso a la Información Pública del Estado de México y Municipios.</w:t>
      </w:r>
    </w:p>
    <w:p w:rsidR="00000000" w:rsidDel="00000000" w:rsidP="00000000" w:rsidRDefault="00000000" w:rsidRPr="00000000" w14:paraId="00000150">
      <w:pPr>
        <w:spacing w:line="360" w:lineRule="auto"/>
        <w:jc w:val="both"/>
        <w:rPr/>
      </w:pPr>
      <w:r w:rsidDel="00000000" w:rsidR="00000000" w:rsidRPr="00000000">
        <w:rPr>
          <w:rtl w:val="0"/>
        </w:rPr>
      </w:r>
    </w:p>
    <w:p w:rsidR="00000000" w:rsidDel="00000000" w:rsidP="00000000" w:rsidRDefault="00000000" w:rsidRPr="00000000" w14:paraId="0000015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tales circunstancias, se considera que en la especie proporcionar información de sanciones </w:t>
      </w:r>
      <w:r w:rsidDel="00000000" w:rsidR="00000000" w:rsidRPr="00000000">
        <w:rPr>
          <w:rFonts w:ascii="Palatino Linotype" w:cs="Palatino Linotype" w:eastAsia="Palatino Linotype" w:hAnsi="Palatino Linotype"/>
          <w:b w:val="1"/>
          <w:u w:val="single"/>
          <w:rtl w:val="0"/>
        </w:rPr>
        <w:t xml:space="preserve">por actos u omisiones considerados como</w:t>
      </w:r>
      <w:r w:rsidDel="00000000" w:rsidR="00000000" w:rsidRPr="00000000">
        <w:rPr>
          <w:rFonts w:ascii="Palatino Linotype" w:cs="Palatino Linotype" w:eastAsia="Palatino Linotype" w:hAnsi="Palatino Linotype"/>
          <w:rtl w:val="0"/>
        </w:rPr>
        <w:t xml:space="preserve"> NO graves o de servidores públicos absueltos, en caso que existieran, podría afectar el honor, buen nombre y la imagen</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Fonts w:ascii="Palatino Linotype" w:cs="Palatino Linotype" w:eastAsia="Palatino Linotype" w:hAnsi="Palatino Linotype"/>
          <w:rtl w:val="0"/>
        </w:rPr>
        <w:t xml:space="preserve"> de los servidores públicos.</w:t>
      </w:r>
    </w:p>
    <w:p w:rsidR="00000000" w:rsidDel="00000000" w:rsidP="00000000" w:rsidRDefault="00000000" w:rsidRPr="00000000" w14:paraId="0000015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5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expuesto, se desprende que dar a conocer el nombre y demás datos que hagan identificable a un servidor público relacionado con un procedimiento por </w:t>
      </w:r>
      <w:r w:rsidDel="00000000" w:rsidR="00000000" w:rsidRPr="00000000">
        <w:rPr>
          <w:rFonts w:ascii="Palatino Linotype" w:cs="Palatino Linotype" w:eastAsia="Palatino Linotype" w:hAnsi="Palatino Linotype"/>
          <w:b w:val="1"/>
          <w:u w:val="single"/>
          <w:rtl w:val="0"/>
        </w:rPr>
        <w:t xml:space="preserve"> actos u omisiones considerados como </w:t>
      </w:r>
      <w:r w:rsidDel="00000000" w:rsidR="00000000" w:rsidRPr="00000000">
        <w:rPr>
          <w:rFonts w:ascii="Palatino Linotype" w:cs="Palatino Linotype" w:eastAsia="Palatino Linotype" w:hAnsi="Palatino Linotype"/>
          <w:rtl w:val="0"/>
        </w:rPr>
        <w:t xml:space="preserve">no grave, constituye información confidencial que afecta su esfera privada, de igual </w:t>
      </w:r>
      <w:r w:rsidDel="00000000" w:rsidR="00000000" w:rsidRPr="00000000">
        <w:rPr>
          <w:rFonts w:ascii="Palatino Linotype" w:cs="Palatino Linotype" w:eastAsia="Palatino Linotype" w:hAnsi="Palatino Linotype"/>
          <w:b w:val="1"/>
          <w:u w:val="single"/>
          <w:rtl w:val="0"/>
        </w:rPr>
        <w:t xml:space="preserve">manera el nombre y datos de aquellos servidores absueltos</w:t>
      </w:r>
      <w:r w:rsidDel="00000000" w:rsidR="00000000" w:rsidRPr="00000000">
        <w:rPr>
          <w:rFonts w:ascii="Palatino Linotype" w:cs="Palatino Linotype" w:eastAsia="Palatino Linotype" w:hAnsi="Palatino Linotype"/>
          <w:rtl w:val="0"/>
        </w:rPr>
        <w:t xml:space="preserve">, puesto que podría generar una percepción negativa de éste, ocasionando un perjuicio en su honor, intimidad y buena imagen, pues como se precisó la afectación es para el propio servidor público, situación que no afecta a terceros. </w:t>
      </w:r>
    </w:p>
    <w:p w:rsidR="00000000" w:rsidDel="00000000" w:rsidP="00000000" w:rsidRDefault="00000000" w:rsidRPr="00000000" w14:paraId="00000154">
      <w:pPr>
        <w:spacing w:line="360" w:lineRule="auto"/>
        <w:jc w:val="both"/>
        <w:rPr/>
      </w:pPr>
      <w:r w:rsidDel="00000000" w:rsidR="00000000" w:rsidRPr="00000000">
        <w:rPr>
          <w:rtl w:val="0"/>
        </w:rPr>
      </w:r>
    </w:p>
    <w:p w:rsidR="00000000" w:rsidDel="00000000" w:rsidP="00000000" w:rsidRDefault="00000000" w:rsidRPr="00000000" w14:paraId="00000155">
      <w:pPr>
        <w:spacing w:line="360" w:lineRule="auto"/>
        <w:jc w:val="both"/>
        <w:rPr>
          <w:rFonts w:ascii="Palatino Linotype" w:cs="Palatino Linotype" w:eastAsia="Palatino Linotype" w:hAnsi="Palatino Linotype"/>
          <w:strike w:val="1"/>
          <w:color w:val="ff0000"/>
        </w:rPr>
      </w:pPr>
      <w:r w:rsidDel="00000000" w:rsidR="00000000" w:rsidRPr="00000000">
        <w:rPr>
          <w:rFonts w:ascii="Palatino Linotype" w:cs="Palatino Linotype" w:eastAsia="Palatino Linotype" w:hAnsi="Palatino Linotype"/>
          <w:rtl w:val="0"/>
        </w:rPr>
        <w:t xml:space="preserve">Por lo cual, dar a conocer información de servidores públicos </w:t>
      </w:r>
      <w:r w:rsidDel="00000000" w:rsidR="00000000" w:rsidRPr="00000000">
        <w:rPr>
          <w:rFonts w:ascii="Palatino Linotype" w:cs="Palatino Linotype" w:eastAsia="Palatino Linotype" w:hAnsi="Palatino Linotype"/>
          <w:b w:val="1"/>
          <w:u w:val="single"/>
          <w:rtl w:val="0"/>
        </w:rPr>
        <w:t xml:space="preserve">por actos u omisiones considerados como </w:t>
      </w:r>
      <w:r w:rsidDel="00000000" w:rsidR="00000000" w:rsidRPr="00000000">
        <w:rPr>
          <w:rFonts w:ascii="Palatino Linotype" w:cs="Palatino Linotype" w:eastAsia="Palatino Linotype" w:hAnsi="Palatino Linotype"/>
          <w:rtl w:val="0"/>
        </w:rPr>
        <w:t xml:space="preserve">no grave o de aquellos que fueron absueltos , la cual no causa una afectación a otros.</w:t>
      </w:r>
      <w:r w:rsidDel="00000000" w:rsidR="00000000" w:rsidRPr="00000000">
        <w:rPr>
          <w:rtl w:val="0"/>
        </w:rPr>
      </w:r>
    </w:p>
    <w:p w:rsidR="00000000" w:rsidDel="00000000" w:rsidP="00000000" w:rsidRDefault="00000000" w:rsidRPr="00000000" w14:paraId="0000015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cabe señalar que en la documental remitida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si bien es cierto se observa que pretendió clasificar el a)  el nombre del policía;  b)  el  nombre de una particular; así como,  c) la firma de los  integrantes de la Comisión de Honor y justicia; también lo es que la versión pública no se realizó de manera adecuada. </w:t>
      </w:r>
    </w:p>
    <w:p w:rsidR="00000000" w:rsidDel="00000000" w:rsidP="00000000" w:rsidRDefault="00000000" w:rsidRPr="00000000" w14:paraId="0000015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término, se advierte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testó la firma del Presidente de la Comisión de Honor y Justicia, del Secretario Técnico del Comité de Honor y Justicia, siendo que estos datos personales no actualizan el supuesto de clasificación como confidencial.</w:t>
      </w:r>
    </w:p>
    <w:p w:rsidR="00000000" w:rsidDel="00000000" w:rsidP="00000000" w:rsidRDefault="00000000" w:rsidRPr="00000000" w14:paraId="0000015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considerando que los servidores públicos al ejercer actos de autoridad, recibir o ejercer recursos públicos trae como consecuencia que el régimen de protección de sus datos personales sea menor que el de una persona que no realiza actos de autoridad ni recibe ni ejerce recursos públicos. Esto, en razón de que la ciudadanía se encuentra facultada para buscar, recibir y difundir toda aquella información que se derive del ejercicio de las facultades, funciones y competencias que llevan   a cabo todos los servidores públicos adscritos a los sujetos obligados. </w:t>
      </w:r>
    </w:p>
    <w:p w:rsidR="00000000" w:rsidDel="00000000" w:rsidP="00000000" w:rsidRDefault="00000000" w:rsidRPr="00000000" w14:paraId="0000015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reforzar la publicidad de la firma de los servidores públicos, es necesario traer a colación lo que el Criterio 10/10 del  instituto Nacional de Transparencia, Acceso a la Información y Protección de Datos Personales  señala:   </w:t>
      </w:r>
    </w:p>
    <w:p w:rsidR="00000000" w:rsidDel="00000000" w:rsidP="00000000" w:rsidRDefault="00000000" w:rsidRPr="00000000" w14:paraId="0000015B">
      <w:pPr>
        <w:spacing w:line="360" w:lineRule="auto"/>
        <w:ind w:right="9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“La firma de los servidores públicos es información de carácter público cuando ésta es utilizada en el ejercicio de las facultades conferidas para el desempeño  del  servicio  público.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Expedientes: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636/08         Comisión Nacional Bancaria y de Valores – Alonso Gómez-Robledo, Verduzco; 2700/09       Consejo Nacional para Prevenir la Discriminación – Jacqueline, Peschard Mariscal; 3415/09       Instituto Mexicano de Tecnología del Agua – María Marván Laborde; 3701/09       Administración Portuaria Integral de Tuxpan, S.A. de C.V. - Jacqueline Peschard Mariscal; 599/10         Secretaría de Economía -  Jacqueline Peschard Mariscal”(Sic)</w:t>
      </w:r>
      <w:r w:rsidDel="00000000" w:rsidR="00000000" w:rsidRPr="00000000">
        <w:rPr>
          <w:rtl w:val="0"/>
        </w:rPr>
      </w:r>
    </w:p>
    <w:p w:rsidR="00000000" w:rsidDel="00000000" w:rsidP="00000000" w:rsidRDefault="00000000" w:rsidRPr="00000000" w14:paraId="0000015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tiene entonces que la firma de los servidores públicos si bien es un dato personal, cuando es emitida en el ejercicio de las funciones conferidas o en cumplimiento de sus obligaciones es de carácter público, en el caso concreto al que nos constreñimos, se testo la firma de los servidores públicos que integran el Comité de Honor y Justicia, la cual se debió de dejarse  visible en razón de que su firma a avala la decisión que se determine por parte del comité.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otra tesitura, es de importancia precisar que el Sujeto Obligado también proporcionó a través de su respuesta información testada, sin embargo, para darle sustento a la clasificación que realizó, debió de haber enviado su respectivo Acuerdo de Clasificación de la Información emitido por el Comité de Transparencia, en el cual estableciera de  manera fundada y motivada las razones que lo llevaron a testar dichos datos, situación que no ocurrió, aunado a que del estudio de la documental proporcionada, esta Autoridad no tiene certeza plena de los datos que fueron testados y es por ello que es dable ORDENAR las documentales que den cuenta de los solicitado por el particular acompañadas del acuerdo que sustente la elaboración de la versión pública.  </w:t>
      </w:r>
    </w:p>
    <w:p w:rsidR="00000000" w:rsidDel="00000000" w:rsidP="00000000" w:rsidRDefault="00000000" w:rsidRPr="00000000" w14:paraId="0000016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del análisis, respecto de la versión pública pretendida por el Sujeto Obligado, se advierte que se puede visualizar de manera parcial el nombre y datos que refieren la ubicación en la que ocurrieron los hechos, información que hace identificable al denunciante.  </w:t>
      </w:r>
    </w:p>
    <w:p w:rsidR="00000000" w:rsidDel="00000000" w:rsidP="00000000" w:rsidRDefault="00000000" w:rsidRPr="00000000" w14:paraId="0000016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6">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Bajo este contexto, resulta procedente girar </w:t>
      </w:r>
      <w:r w:rsidDel="00000000" w:rsidR="00000000" w:rsidRPr="00000000">
        <w:rPr>
          <w:rFonts w:ascii="Palatino Linotype" w:cs="Palatino Linotype" w:eastAsia="Palatino Linotype" w:hAnsi="Palatino Linotype"/>
          <w:color w:val="000000"/>
          <w:rtl w:val="0"/>
        </w:rPr>
        <w:t xml:space="preserve">oficio al Titular de la Dirección General de Protección de Datos Personales, en atención al artículo 82, fracción XXVII de la Ley de Protección de Datos Personales del Estado de México y Municipios.</w:t>
      </w:r>
    </w:p>
    <w:p w:rsidR="00000000" w:rsidDel="00000000" w:rsidP="00000000" w:rsidRDefault="00000000" w:rsidRPr="00000000" w14:paraId="00000167">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168">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este sentido, los principios y derechos en materia de datos personales tendrán como límite en cuanto a su observancia y ejercicio, la protección de seguridad nacional, el orden, la seguridad, la salud públicos, </w:t>
      </w:r>
      <w:r w:rsidDel="00000000" w:rsidR="00000000" w:rsidRPr="00000000">
        <w:rPr>
          <w:rFonts w:ascii="Palatino Linotype" w:cs="Palatino Linotype" w:eastAsia="Palatino Linotype" w:hAnsi="Palatino Linotype"/>
          <w:b w:val="1"/>
          <w:color w:val="000000"/>
          <w:u w:val="single"/>
          <w:rtl w:val="0"/>
        </w:rPr>
        <w:t xml:space="preserve">así como los derechos de terceros. </w:t>
      </w:r>
      <w:r w:rsidDel="00000000" w:rsidR="00000000" w:rsidRPr="00000000">
        <w:rPr>
          <w:rFonts w:ascii="Palatino Linotype" w:cs="Palatino Linotype" w:eastAsia="Palatino Linotype" w:hAnsi="Palatino Linotype"/>
          <w:color w:val="000000"/>
          <w:rtl w:val="0"/>
        </w:rPr>
        <w:t xml:space="preserve">Por ello, se insta atentamente al particular a guardar confidencialidad respecto de los datos personales remitidos indebidamente mediante respuesta primigenia, en atención a las disposiciones establecidas en la Ley Federal de Protección de Datos Personales en Posesión de los Particulares. </w:t>
      </w:r>
    </w:p>
    <w:p w:rsidR="00000000" w:rsidDel="00000000" w:rsidP="00000000" w:rsidRDefault="00000000" w:rsidRPr="00000000" w14:paraId="0000016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A">
      <w:pPr>
        <w:tabs>
          <w:tab w:val="left" w:leader="none" w:pos="0"/>
        </w:tabs>
        <w:spacing w:after="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es de señalar que en el documento remitido en respuesta se dejó visible el nombre del Representante de la Unidad Operativa de Investigación y al respecto cabe hacer mención que el artículo 81 fracción III de la Ley de Seguridad del Estado de México, establece lo siguiente: </w:t>
      </w:r>
    </w:p>
    <w:p w:rsidR="00000000" w:rsidDel="00000000" w:rsidP="00000000" w:rsidRDefault="00000000" w:rsidRPr="00000000" w14:paraId="0000016B">
      <w:pPr>
        <w:spacing w:line="360" w:lineRule="auto"/>
        <w:ind w:left="720"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16C">
      <w:pPr>
        <w:spacing w:line="276" w:lineRule="auto"/>
        <w:ind w:left="720"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81.-</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Del="00000000" w:rsidR="00000000" w:rsidRPr="00000000">
        <w:rPr>
          <w:rFonts w:ascii="Palatino Linotype" w:cs="Palatino Linotype" w:eastAsia="Palatino Linotype" w:hAnsi="Palatino Linotype"/>
          <w:i w:val="1"/>
          <w:sz w:val="22"/>
          <w:szCs w:val="22"/>
          <w:rtl w:val="0"/>
        </w:rPr>
        <w:t xml:space="preserve"> en los casos siguientes:</w:t>
      </w:r>
    </w:p>
    <w:p w:rsidR="00000000" w:rsidDel="00000000" w:rsidP="00000000" w:rsidRDefault="00000000" w:rsidRPr="00000000" w14:paraId="0000016D">
      <w:pPr>
        <w:spacing w:line="276" w:lineRule="auto"/>
        <w:ind w:left="720"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6E">
      <w:pPr>
        <w:spacing w:line="276" w:lineRule="auto"/>
        <w:ind w:left="720"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relativa a servidores públicos miembros de las instituciones de seguridad pública, cuya revelación pueda poner en riesgo su vida e integridad física con motivo de sus funciones;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6F">
      <w:pPr>
        <w:spacing w:line="360" w:lineRule="auto"/>
        <w:ind w:left="720" w:right="8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(Énfasis añadido)</w:t>
      </w:r>
    </w:p>
    <w:p w:rsidR="00000000" w:rsidDel="00000000" w:rsidP="00000000" w:rsidRDefault="00000000" w:rsidRPr="00000000" w14:paraId="0000017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1">
      <w:pPr>
        <w:tabs>
          <w:tab w:val="left" w:leader="none" w:pos="0"/>
        </w:tabs>
        <w:spacing w:after="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Argumento que se fortalece con lo estipulado en el criterio número 6-09, del Instituto Nacional de Transparencia, Acceso a la Información y Protección de Datos Personales, antes (INAI)</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el cual refiere: </w:t>
      </w:r>
    </w:p>
    <w:p w:rsidR="00000000" w:rsidDel="00000000" w:rsidP="00000000" w:rsidRDefault="00000000" w:rsidRPr="00000000" w14:paraId="00000172">
      <w:pPr>
        <w:spacing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3">
      <w:pPr>
        <w:spacing w:line="276" w:lineRule="auto"/>
        <w:ind w:left="720" w:right="567" w:firstLine="0"/>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“Criterio 6-09</w:t>
      </w:r>
      <w:r w:rsidDel="00000000" w:rsidR="00000000" w:rsidRPr="00000000">
        <w:rPr>
          <w:rtl w:val="0"/>
        </w:rPr>
      </w:r>
    </w:p>
    <w:p w:rsidR="00000000" w:rsidDel="00000000" w:rsidP="00000000" w:rsidRDefault="00000000" w:rsidRPr="00000000" w14:paraId="00000174">
      <w:pPr>
        <w:spacing w:line="276" w:lineRule="auto"/>
        <w:ind w:left="720"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Nombres de servidores públicos dedicados a actividades en materia de seguridad, por excepción pueden considerarse información reservada. </w:t>
      </w:r>
      <w:r w:rsidDel="00000000" w:rsidR="00000000" w:rsidRPr="00000000">
        <w:rPr>
          <w:rFonts w:ascii="Palatino Linotype" w:cs="Palatino Linotype" w:eastAsia="Palatino Linotype" w:hAnsi="Palatino Linotype"/>
          <w:i w:val="1"/>
          <w:sz w:val="22"/>
          <w:szCs w:val="22"/>
          <w:rtl w:val="0"/>
        </w:rPr>
        <w:t xml:space="preserve">De conformidad con el artículo 7, fracciones I y III de la Ley Federal de Transparencia y Acceso a la Información Pública Gubernamental </w:t>
      </w:r>
      <w:r w:rsidDel="00000000" w:rsidR="00000000" w:rsidRPr="00000000">
        <w:rPr>
          <w:rFonts w:ascii="Palatino Linotype" w:cs="Palatino Linotype" w:eastAsia="Palatino Linotype" w:hAnsi="Palatino Linotype"/>
          <w:b w:val="1"/>
          <w:i w:val="1"/>
          <w:sz w:val="22"/>
          <w:szCs w:val="22"/>
          <w:rtl w:val="0"/>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Del="00000000" w:rsidR="00000000" w:rsidRPr="00000000">
        <w:rPr>
          <w:rFonts w:ascii="Palatino Linotype" w:cs="Palatino Linotype" w:eastAsia="Palatino Linotype" w:hAnsi="Palatino Linotype"/>
          <w:i w:val="1"/>
          <w:sz w:val="22"/>
          <w:szCs w:val="22"/>
          <w:rtl w:val="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Del="00000000" w:rsidR="00000000" w:rsidRPr="00000000">
        <w:rPr>
          <w:rFonts w:ascii="Palatino Linotype" w:cs="Palatino Linotype" w:eastAsia="Palatino Linotype" w:hAnsi="Palatino Linotype"/>
          <w:b w:val="1"/>
          <w:i w:val="1"/>
          <w:sz w:val="22"/>
          <w:szCs w:val="22"/>
          <w:rtl w:val="0"/>
        </w:rPr>
        <w:t xml:space="preserve">el artículo 13, fracción I de la ley de referencia se establece que podrá clasificarse aquella información cuya difusión pueda comprometer la seguridad nacional y pública</w:t>
      </w:r>
      <w:r w:rsidDel="00000000" w:rsidR="00000000" w:rsidRPr="00000000">
        <w:rPr>
          <w:rFonts w:ascii="Palatino Linotype" w:cs="Palatino Linotype" w:eastAsia="Palatino Linotype" w:hAnsi="Palatino Linotype"/>
          <w:i w:val="1"/>
          <w:sz w:val="22"/>
          <w:szCs w:val="22"/>
          <w:rtl w:val="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Del="00000000" w:rsidR="00000000" w:rsidRPr="00000000">
        <w:rPr>
          <w:rFonts w:ascii="Palatino Linotype" w:cs="Palatino Linotype" w:eastAsia="Palatino Linotype" w:hAnsi="Palatino Linotype"/>
          <w:b w:val="1"/>
          <w:i w:val="1"/>
          <w:sz w:val="22"/>
          <w:szCs w:val="22"/>
          <w:rtl w:val="0"/>
        </w:rPr>
        <w:t xml:space="preserve">por lo que la reserva de la relación de los nombres y las funciones que desempeñan los servidores públicos que prestan sus servicios en áreas de seguridad nacional o pública</w:t>
      </w:r>
      <w:r w:rsidDel="00000000" w:rsidR="00000000" w:rsidRPr="00000000">
        <w:rPr>
          <w:rFonts w:ascii="Palatino Linotype" w:cs="Palatino Linotype" w:eastAsia="Palatino Linotype" w:hAnsi="Palatino Linotype"/>
          <w:i w:val="1"/>
          <w:sz w:val="22"/>
          <w:szCs w:val="22"/>
          <w:rtl w:val="0"/>
        </w:rPr>
        <w:t xml:space="preserve">, puede llegar a constituirse en un componente fundamental en el esfuerzo que realiza el Estado Mexicano para garantizar la seguridad del país en sus diferentes vertientes” (Sic)</w:t>
      </w:r>
    </w:p>
    <w:p w:rsidR="00000000" w:rsidDel="00000000" w:rsidP="00000000" w:rsidRDefault="00000000" w:rsidRPr="00000000" w14:paraId="00000175">
      <w:pPr>
        <w:tabs>
          <w:tab w:val="left" w:leader="none" w:pos="3583"/>
        </w:tabs>
        <w:spacing w:line="360" w:lineRule="auto"/>
        <w:ind w:left="720" w:right="56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(Énfasis añadido).</w:t>
      </w:r>
    </w:p>
    <w:p w:rsidR="00000000" w:rsidDel="00000000" w:rsidP="00000000" w:rsidRDefault="00000000" w:rsidRPr="00000000" w14:paraId="00000176">
      <w:pPr>
        <w:tabs>
          <w:tab w:val="left" w:leader="none" w:pos="3583"/>
        </w:tabs>
        <w:spacing w:line="360" w:lineRule="auto"/>
        <w:ind w:left="720" w:right="56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77">
      <w:pPr>
        <w:tabs>
          <w:tab w:val="left" w:leader="none" w:pos="0"/>
        </w:tabs>
        <w:spacing w:after="160" w:line="360" w:lineRule="auto"/>
        <w:jc w:val="both"/>
        <w:rPr>
          <w:rFonts w:ascii="Palatino Linotype" w:cs="Palatino Linotype" w:eastAsia="Palatino Linotype" w:hAnsi="Palatino Linotype"/>
          <w:color w:val="ff0000"/>
        </w:rPr>
      </w:pPr>
      <w:r w:rsidDel="00000000" w:rsidR="00000000" w:rsidRPr="00000000">
        <w:rPr>
          <w:rFonts w:ascii="Palatino Linotype" w:cs="Palatino Linotype" w:eastAsia="Palatino Linotype" w:hAnsi="Palatino Linotype"/>
          <w:color w:val="ff0000"/>
          <w:rtl w:val="0"/>
        </w:rPr>
        <w:t xml:space="preserve">Precisado lo anterior,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efecto, la Secretaría técnica del Pleno hará del conocimiento del órgano de control de la instancia competente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222. Son causas de responsabilidad administrativa de los servidores públicos de los sujetos obligados, por incumplimiento de las obligaciones establecidas en la materia de la presente Ley, las siguientes: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 Cualquier acto u omisión que provoque la suspensión o deficiencia en la atención de las solicitudes de información;</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IV. Entregar información clasificada como reservada;</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tabs>
          <w:tab w:val="left" w:leader="none" w:pos="851"/>
        </w:tabs>
        <w:spacing w:after="160" w:line="360" w:lineRule="auto"/>
        <w:ind w:left="851"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“Artículo 19. Corresponde a la Secretaría Técnica del Pleno ejercer las atribuciones siguientes:</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851" w:right="822"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22"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822"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822" w:firstLine="0"/>
        <w:jc w:val="both"/>
        <w:rPr>
          <w:rFonts w:ascii="Palatino Linotype" w:cs="Palatino Linotype" w:eastAsia="Palatino Linotype" w:hAnsi="Palatino Linotyp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es menester en este asunto, dar vista a la Secretaría Técnica del Pleno a efecto de que ejerza las atribuciones previstas en la normatividad aplicable y comunique al  Órgano de Control del Sujeto Obligado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00000" w:rsidDel="00000000" w:rsidP="00000000" w:rsidRDefault="00000000" w:rsidRPr="00000000" w14:paraId="0000018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de la lectura de la solicitud de información, no pasa desapercibido que el particular, requirió la entrega del soporte documental, mediante copia certificada, siendo necesario señalar que dicha modalidad de entrega recae en el supuesto previsto en el artículo 174 fracciones I, III y párrafo segundo de la Ley de Transparencia y Acceso a la Información Pública del Estado de México y Municipios, a saber:</w:t>
      </w:r>
    </w:p>
    <w:p w:rsidR="00000000" w:rsidDel="00000000" w:rsidP="00000000" w:rsidRDefault="00000000" w:rsidRPr="00000000" w14:paraId="0000018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174.</w:t>
      </w:r>
      <w:r w:rsidDel="00000000" w:rsidR="00000000" w:rsidRPr="00000000">
        <w:rPr>
          <w:rFonts w:ascii="Palatino Linotype" w:cs="Palatino Linotype" w:eastAsia="Palatino Linotype" w:hAnsi="Palatino Linotype"/>
          <w:i w:val="1"/>
          <w:sz w:val="22"/>
          <w:szCs w:val="22"/>
          <w:rtl w:val="0"/>
        </w:rPr>
        <w:t xml:space="preserve"> En caso de existir costos para obtener la información deberán cubrirse de manera previa a la entrega y no podrán ser superiores a la suma de: </w:t>
      </w:r>
    </w:p>
    <w:p w:rsidR="00000000" w:rsidDel="00000000" w:rsidP="00000000" w:rsidRDefault="00000000" w:rsidRPr="00000000" w14:paraId="0000018C">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El costo de los materiales utilizados en la reproducción de la información;</w:t>
      </w:r>
    </w:p>
    <w:p w:rsidR="00000000" w:rsidDel="00000000" w:rsidP="00000000" w:rsidRDefault="00000000" w:rsidRPr="00000000" w14:paraId="0000018D">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8E">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El pago de la certificación de los documentos, cuando proceda.</w:t>
      </w:r>
    </w:p>
    <w:p w:rsidR="00000000" w:rsidDel="00000000" w:rsidP="00000000" w:rsidRDefault="00000000" w:rsidRPr="00000000" w14:paraId="0000018F">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9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9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Y,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rsidR="00000000" w:rsidDel="00000000" w:rsidP="00000000" w:rsidRDefault="00000000" w:rsidRPr="00000000" w14:paraId="00000192">
      <w:pPr>
        <w:spacing w:after="280" w:before="280" w:line="360" w:lineRule="auto"/>
        <w:ind w:firstLine="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rsidR="00000000" w:rsidDel="00000000" w:rsidP="00000000" w:rsidRDefault="00000000" w:rsidRPr="00000000" w14:paraId="00000193">
      <w:pPr>
        <w:spacing w:line="360" w:lineRule="auto"/>
        <w:ind w:firstLine="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 realizar el pago establecido en el artículo 148, fracción II del Código Financiero.</w:t>
      </w:r>
    </w:p>
    <w:p w:rsidR="00000000" w:rsidDel="00000000" w:rsidP="00000000" w:rsidRDefault="00000000" w:rsidRPr="00000000" w14:paraId="00000194">
      <w:pPr>
        <w:spacing w:line="360" w:lineRule="auto"/>
        <w:ind w:firstLine="1"/>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4140000" cy="1621422"/>
            <wp:effectExtent b="0" l="0" r="0" t="0"/>
            <wp:docPr id="72" name="image4.png"/>
            <a:graphic>
              <a:graphicData uri="http://schemas.openxmlformats.org/drawingml/2006/picture">
                <pic:pic>
                  <pic:nvPicPr>
                    <pic:cNvPr id="0" name="image4.png"/>
                    <pic:cNvPicPr preferRelativeResize="0"/>
                  </pic:nvPicPr>
                  <pic:blipFill>
                    <a:blip r:embed="rId11"/>
                    <a:srcRect b="37757" l="0" r="0" t="0"/>
                    <a:stretch>
                      <a:fillRect/>
                    </a:stretch>
                  </pic:blipFill>
                  <pic:spPr>
                    <a:xfrm>
                      <a:off x="0" y="0"/>
                      <a:ext cx="4140000" cy="162142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1155700</wp:posOffset>
                </wp:positionV>
                <wp:extent cx="4218183" cy="540036"/>
                <wp:effectExtent b="0" l="0" r="0" t="0"/>
                <wp:wrapNone/>
                <wp:docPr id="68" name=""/>
                <a:graphic>
                  <a:graphicData uri="http://schemas.microsoft.com/office/word/2010/wordprocessingShape">
                    <wps:wsp>
                      <wps:cNvSpPr/>
                      <wps:cNvPr id="3" name="Shape 3"/>
                      <wps:spPr>
                        <a:xfrm>
                          <a:off x="3275009" y="3548082"/>
                          <a:ext cx="4141983" cy="463836"/>
                        </a:xfrm>
                        <a:prstGeom prst="rect">
                          <a:avLst/>
                        </a:prstGeom>
                        <a:noFill/>
                        <a:ln cap="flat" cmpd="sng" w="38100">
                          <a:solidFill>
                            <a:srgbClr val="C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1155700</wp:posOffset>
                </wp:positionV>
                <wp:extent cx="4218183" cy="540036"/>
                <wp:effectExtent b="0" l="0" r="0" t="0"/>
                <wp:wrapNone/>
                <wp:docPr id="68"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218183" cy="540036"/>
                        </a:xfrm>
                        <a:prstGeom prst="rect"/>
                        <a:ln/>
                      </pic:spPr>
                    </pic:pic>
                  </a:graphicData>
                </a:graphic>
              </wp:anchor>
            </w:drawing>
          </mc:Fallback>
        </mc:AlternateContent>
      </w:r>
    </w:p>
    <w:p w:rsidR="00000000" w:rsidDel="00000000" w:rsidP="00000000" w:rsidRDefault="00000000" w:rsidRPr="00000000" w14:paraId="00000195">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es evidente que la entrega de la información al particular mediante copias certificadas procederá una vez que se acredite el pago de derechos correspondiente.</w:t>
      </w:r>
    </w:p>
    <w:p w:rsidR="00000000" w:rsidDel="00000000" w:rsidP="00000000" w:rsidRDefault="00000000" w:rsidRPr="00000000" w14:paraId="00000196">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Dicha modalidad de entrega en copias certificadas no implica que se tenga que acudir ante un notario o fedatario público, sino que faculta a los servidores públicos para que expidan certificaciones de los documentos solicitados que obran en los archivos de las dependencias o entidades en copia simple u original según sea el caso.</w:t>
      </w:r>
    </w:p>
    <w:p w:rsidR="00000000" w:rsidDel="00000000" w:rsidP="00000000" w:rsidRDefault="00000000" w:rsidRPr="00000000" w14:paraId="00000197">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rsidR="00000000" w:rsidDel="00000000" w:rsidP="00000000" w:rsidRDefault="00000000" w:rsidRPr="00000000" w14:paraId="00000198">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Del="00000000" w:rsidR="00000000" w:rsidRPr="00000000">
        <w:rPr>
          <w:rFonts w:ascii="Palatino Linotype" w:cs="Palatino Linotype" w:eastAsia="Palatino Linotype" w:hAnsi="Palatino Linotype"/>
          <w:vertAlign w:val="superscript"/>
        </w:rPr>
        <w:footnoteReference w:customMarkFollows="0" w:id="3"/>
      </w:r>
      <w:r w:rsidDel="00000000" w:rsidR="00000000" w:rsidRPr="00000000">
        <w:rPr>
          <w:rtl w:val="0"/>
        </w:rPr>
      </w:r>
    </w:p>
    <w:p w:rsidR="00000000" w:rsidDel="00000000" w:rsidP="00000000" w:rsidRDefault="00000000" w:rsidRPr="00000000" w14:paraId="00000199">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Sirve de fundamentación a lo antes expresado, el criterio 2/09 del entonces Instituto Federal de Acceso a la Información Pública y Protección de Datos Personales que se transcribe a continuación para la claridad de las razones que justifican la actuación de este órgano garante.</w:t>
      </w:r>
    </w:p>
    <w:p w:rsidR="00000000" w:rsidDel="00000000" w:rsidP="00000000" w:rsidRDefault="00000000" w:rsidRPr="00000000" w14:paraId="0000019A">
      <w:pPr>
        <w:spacing w:after="16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“Copias certificadas. La certificación prevista en la Ley Federal de Transparencia y Acceso a la Información Pública Gubernamental corrobora que el documento es una copia fiel del que obra en los archivos de la dependencia o entidad.</w:t>
      </w:r>
      <w:r w:rsidDel="00000000" w:rsidR="00000000" w:rsidRPr="00000000">
        <w:rPr>
          <w:rFonts w:ascii="Palatino Linotype" w:cs="Palatino Linotype" w:eastAsia="Palatino Linotype" w:hAnsi="Palatino Linotype"/>
          <w:i w:val="1"/>
          <w:sz w:val="22"/>
          <w:szCs w:val="22"/>
          <w:rtl w:val="0"/>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000000" w:rsidDel="00000000" w:rsidP="00000000" w:rsidRDefault="00000000" w:rsidRPr="00000000" w14:paraId="0000019B">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para la entrega de la información certificada tal y como fue solicitada por el particular en el asunto que nos ocupa,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deberá hacer del conocimiento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vía SAIMEX</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u w:val="single"/>
          <w:rtl w:val="0"/>
        </w:rPr>
        <w:t xml:space="preserve">el costo total por la reproducción y certificación de la información requerida,</w:t>
      </w:r>
      <w:r w:rsidDel="00000000" w:rsidR="00000000" w:rsidRPr="00000000">
        <w:rPr>
          <w:rFonts w:ascii="Palatino Linotype" w:cs="Palatino Linotype" w:eastAsia="Palatino Linotype" w:hAnsi="Palatino Linotype"/>
          <w:rtl w:val="0"/>
        </w:rPr>
        <w:t xml:space="preserve"> así como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el procedimiento para la entrega de la misma en el que se establezca: procedimiento para realizar el pago correspondiente, lugar, día y horarios en los que podrá presentarse a recoger las copias certificadas y el nombre del o los servidores públicos que le atenderán.</w:t>
      </w:r>
    </w:p>
    <w:p w:rsidR="00000000" w:rsidDel="00000000" w:rsidP="00000000" w:rsidRDefault="00000000" w:rsidRPr="00000000" w14:paraId="0000019C">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9D">
      <w:pPr>
        <w:spacing w:after="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Versión Pública. </w:t>
      </w:r>
      <w:r w:rsidDel="00000000" w:rsidR="00000000" w:rsidRPr="00000000">
        <w:rPr>
          <w:rFonts w:ascii="Palatino Linotype" w:cs="Palatino Linotype" w:eastAsia="Palatino Linotype" w:hAnsi="Palatino Linotype"/>
          <w:rtl w:val="0"/>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tendrá que hacer la elaboración de una versión pública de los documentos que vaya entregar para dar cumplimiento a esta resolución, a fin de satisfacer el derecho de acceso a la información pública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sin menoscabar el derecho a la protección de los datos personales de terceros.</w:t>
      </w:r>
    </w:p>
    <w:p w:rsidR="00000000" w:rsidDel="00000000" w:rsidP="00000000" w:rsidRDefault="00000000" w:rsidRPr="00000000" w14:paraId="0000019E">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9F">
      <w:pPr>
        <w:spacing w:after="240" w:before="0" w:line="360" w:lineRule="auto"/>
        <w:ind w:right="5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de conformidad a lo que señalan los artículos 3, fracciones IX, XX, XXXII, XLV; 6, 137 y 143 fracción I, de la Ley de Transparencia y Acceso a la Información Pública del Estado de México y Municipios vigente, que se leen como sigue:</w:t>
      </w:r>
    </w:p>
    <w:p w:rsidR="00000000" w:rsidDel="00000000" w:rsidP="00000000" w:rsidRDefault="00000000" w:rsidRPr="00000000" w14:paraId="000001A0">
      <w:pPr>
        <w:ind w:left="993" w:right="104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 “Artículo 3. Para los efectos de la presente Ley se entenderá por:</w:t>
      </w:r>
    </w:p>
    <w:p w:rsidR="00000000" w:rsidDel="00000000" w:rsidP="00000000" w:rsidRDefault="00000000" w:rsidRPr="00000000" w14:paraId="000001A1">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 Datos personales:</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información concerniente a una persona, identificada o identificable</w:t>
      </w:r>
      <w:r w:rsidDel="00000000" w:rsidR="00000000" w:rsidRPr="00000000">
        <w:rPr>
          <w:rFonts w:ascii="Palatino Linotype" w:cs="Palatino Linotype" w:eastAsia="Palatino Linotype" w:hAnsi="Palatino Linotype"/>
          <w:i w:val="1"/>
          <w:sz w:val="22"/>
          <w:szCs w:val="22"/>
          <w:rtl w:val="0"/>
        </w:rPr>
        <w:t xml:space="preserve"> según lo dispuesto por la Ley de Protección de Datos Personales del Estado de México;</w:t>
      </w:r>
    </w:p>
    <w:p w:rsidR="00000000" w:rsidDel="00000000" w:rsidP="00000000" w:rsidRDefault="00000000" w:rsidRPr="00000000" w14:paraId="000001A2">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 Información clasificada:</w:t>
      </w:r>
      <w:r w:rsidDel="00000000" w:rsidR="00000000" w:rsidRPr="00000000">
        <w:rPr>
          <w:rFonts w:ascii="Palatino Linotype" w:cs="Palatino Linotype" w:eastAsia="Palatino Linotype" w:hAnsi="Palatino Linotype"/>
          <w:i w:val="1"/>
          <w:sz w:val="22"/>
          <w:szCs w:val="22"/>
          <w:rtl w:val="0"/>
        </w:rPr>
        <w:t xml:space="preserve"> Aquella considerada por la presente Ley como reservada o confidencial;</w:t>
      </w:r>
    </w:p>
    <w:p w:rsidR="00000000" w:rsidDel="00000000" w:rsidP="00000000" w:rsidRDefault="00000000" w:rsidRPr="00000000" w14:paraId="000001A3">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XXXII. Protección de Datos Personales:</w:t>
      </w:r>
      <w:r w:rsidDel="00000000" w:rsidR="00000000" w:rsidRPr="00000000">
        <w:rPr>
          <w:rFonts w:ascii="Palatino Linotype" w:cs="Palatino Linotype" w:eastAsia="Palatino Linotype" w:hAnsi="Palatino Linotype"/>
          <w:i w:val="1"/>
          <w:sz w:val="22"/>
          <w:szCs w:val="22"/>
          <w:rtl w:val="0"/>
        </w:rPr>
        <w:t xml:space="preserve"> Derecho humano que tutela la privacidad de datos personales en poder de los sujetos obligados y sujetos particulares;</w:t>
      </w:r>
    </w:p>
    <w:p w:rsidR="00000000" w:rsidDel="00000000" w:rsidP="00000000" w:rsidRDefault="00000000" w:rsidRPr="00000000" w14:paraId="000001A4">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XLV. Versión pública</w:t>
      </w:r>
      <w:r w:rsidDel="00000000" w:rsidR="00000000" w:rsidRPr="00000000">
        <w:rPr>
          <w:rFonts w:ascii="Palatino Linotype" w:cs="Palatino Linotype" w:eastAsia="Palatino Linotype" w:hAnsi="Palatino Linotype"/>
          <w:i w:val="1"/>
          <w:sz w:val="22"/>
          <w:szCs w:val="22"/>
          <w:rtl w:val="0"/>
        </w:rPr>
        <w:t xml:space="preserve">: Documento en el que se elimine, suprime o borra la información clasificada como reservada o confidencial para permitir su acceso.”</w:t>
      </w:r>
    </w:p>
    <w:p w:rsidR="00000000" w:rsidDel="00000000" w:rsidP="00000000" w:rsidRDefault="00000000" w:rsidRPr="00000000" w14:paraId="000001A5">
      <w:pPr>
        <w:ind w:left="993" w:right="104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A6">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w:t>
      </w:r>
      <w:r w:rsidDel="00000000" w:rsidR="00000000" w:rsidRPr="00000000">
        <w:rPr>
          <w:rFonts w:ascii="Palatino Linotype" w:cs="Palatino Linotype" w:eastAsia="Palatino Linotype" w:hAnsi="Palatino Linotype"/>
          <w:i w:val="1"/>
          <w:sz w:val="22"/>
          <w:szCs w:val="22"/>
          <w:rtl w:val="0"/>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00000" w:rsidDel="00000000" w:rsidP="00000000" w:rsidRDefault="00000000" w:rsidRPr="00000000" w14:paraId="000001A7">
      <w:pPr>
        <w:spacing w:after="0" w:lineRule="auto"/>
        <w:ind w:left="993" w:right="104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A8">
      <w:pPr>
        <w:spacing w:after="0" w:before="0" w:lineRule="auto"/>
        <w:ind w:left="993" w:right="104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137.</w:t>
      </w:r>
      <w:r w:rsidDel="00000000" w:rsidR="00000000" w:rsidRPr="00000000">
        <w:rPr>
          <w:rFonts w:ascii="Palatino Linotype" w:cs="Palatino Linotype" w:eastAsia="Palatino Linotype" w:hAnsi="Palatino Linotype"/>
          <w:i w:val="1"/>
          <w:sz w:val="22"/>
          <w:szCs w:val="22"/>
          <w:rtl w:val="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Del="00000000" w:rsidR="00000000" w:rsidRPr="00000000">
        <w:rPr>
          <w:rtl w:val="0"/>
        </w:rPr>
      </w:r>
    </w:p>
    <w:p w:rsidR="00000000" w:rsidDel="00000000" w:rsidP="00000000" w:rsidRDefault="00000000" w:rsidRPr="00000000" w14:paraId="000001A9">
      <w:pPr>
        <w:spacing w:after="0" w:before="0" w:lineRule="auto"/>
        <w:ind w:left="993" w:right="104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1AA">
      <w:pPr>
        <w:spacing w:after="0" w:before="0" w:lineRule="auto"/>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143</w:t>
      </w:r>
      <w:r w:rsidDel="00000000" w:rsidR="00000000" w:rsidRPr="00000000">
        <w:rPr>
          <w:rFonts w:ascii="Palatino Linotype" w:cs="Palatino Linotype" w:eastAsia="Palatino Linotype" w:hAnsi="Palatino Linotype"/>
          <w:i w:val="1"/>
          <w:sz w:val="22"/>
          <w:szCs w:val="22"/>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1AB">
      <w:pPr>
        <w:spacing w:after="0" w:before="0" w:lineRule="auto"/>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 refiera a la información privada y los datos personales concernientes a una persona física o jurídica colectiva identificada o identificable;</w:t>
      </w:r>
    </w:p>
    <w:p w:rsidR="00000000" w:rsidDel="00000000" w:rsidP="00000000" w:rsidRDefault="00000000" w:rsidRPr="00000000" w14:paraId="000001AC">
      <w:pPr>
        <w:spacing w:after="0" w:before="0" w:lineRule="auto"/>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1AD">
      <w:pPr>
        <w:spacing w:after="0" w:before="0" w:lineRule="auto"/>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 que presenten los particulares a los sujetos obligados, de conformidad con lo dispuesto por las leyes o los tratados internacionales.” (Sic)</w:t>
      </w:r>
    </w:p>
    <w:p w:rsidR="00000000" w:rsidDel="00000000" w:rsidP="00000000" w:rsidRDefault="00000000" w:rsidRPr="00000000" w14:paraId="000001AE">
      <w:pPr>
        <w:spacing w:after="0" w:before="0" w:lineRule="auto"/>
        <w:ind w:left="993" w:right="104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AF">
      <w:pPr>
        <w:spacing w:after="0" w:before="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deberá proceder a testar los datos personales que se encuentren contenidos en los documentos a entregar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para satisfacer el derecho de acceso a la información pública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000000" w:rsidDel="00000000" w:rsidP="00000000" w:rsidRDefault="00000000" w:rsidRPr="00000000" w14:paraId="000001B0">
      <w:pPr>
        <w:spacing w:after="0" w:before="0"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B1">
      <w:pPr>
        <w:spacing w:after="0" w:before="0" w:line="360" w:lineRule="auto"/>
        <w:ind w:right="5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00000" w:rsidDel="00000000" w:rsidP="00000000" w:rsidRDefault="00000000" w:rsidRPr="00000000" w14:paraId="000001B2">
      <w:pPr>
        <w:spacing w:after="0" w:before="0" w:line="360" w:lineRule="auto"/>
        <w:ind w:right="5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B3">
      <w:pPr>
        <w:spacing w:after="0" w:before="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sino que ello deberá realizarse en términos de lo que disponen los artículos 49 fracción VIII, 53, fracción X y 59, fracción V, de la Ley en consulta, cuyo sentido literal es el siguiente:</w:t>
      </w:r>
    </w:p>
    <w:p w:rsidR="00000000" w:rsidDel="00000000" w:rsidP="00000000" w:rsidRDefault="00000000" w:rsidRPr="00000000" w14:paraId="000001B4">
      <w:pPr>
        <w:spacing w:after="0" w:before="0"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B5">
      <w:pP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49.</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 Comités de Transparencia</w:t>
      </w:r>
      <w:r w:rsidDel="00000000" w:rsidR="00000000" w:rsidRPr="00000000">
        <w:rPr>
          <w:rFonts w:ascii="Palatino Linotype" w:cs="Palatino Linotype" w:eastAsia="Palatino Linotype" w:hAnsi="Palatino Linotype"/>
          <w:i w:val="1"/>
          <w:sz w:val="22"/>
          <w:szCs w:val="22"/>
          <w:rtl w:val="0"/>
        </w:rPr>
        <w:t xml:space="preserve"> tendrán las siguientes atribuciones:</w:t>
      </w:r>
    </w:p>
    <w:p w:rsidR="00000000" w:rsidDel="00000000" w:rsidP="00000000" w:rsidRDefault="00000000" w:rsidRPr="00000000" w14:paraId="000001B6">
      <w:pP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 Aprobar, modificar o revocar la clasificación de la información</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B7">
      <w:pP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53.</w:t>
      </w:r>
      <w:r w:rsidDel="00000000" w:rsidR="00000000" w:rsidRPr="00000000">
        <w:rPr>
          <w:rFonts w:ascii="Palatino Linotype" w:cs="Palatino Linotype" w:eastAsia="Palatino Linotype" w:hAnsi="Palatino Linotype"/>
          <w:i w:val="1"/>
          <w:sz w:val="22"/>
          <w:szCs w:val="22"/>
          <w:rtl w:val="0"/>
        </w:rPr>
        <w:t xml:space="preserve"> Las </w:t>
      </w:r>
      <w:r w:rsidDel="00000000" w:rsidR="00000000" w:rsidRPr="00000000">
        <w:rPr>
          <w:rFonts w:ascii="Palatino Linotype" w:cs="Palatino Linotype" w:eastAsia="Palatino Linotype" w:hAnsi="Palatino Linotype"/>
          <w:b w:val="1"/>
          <w:i w:val="1"/>
          <w:sz w:val="22"/>
          <w:szCs w:val="22"/>
          <w:rtl w:val="0"/>
        </w:rPr>
        <w:t xml:space="preserve">Unidades de Transparencia</w:t>
      </w:r>
      <w:r w:rsidDel="00000000" w:rsidR="00000000" w:rsidRPr="00000000">
        <w:rPr>
          <w:rFonts w:ascii="Palatino Linotype" w:cs="Palatino Linotype" w:eastAsia="Palatino Linotype" w:hAnsi="Palatino Linotype"/>
          <w:i w:val="1"/>
          <w:sz w:val="22"/>
          <w:szCs w:val="22"/>
          <w:rtl w:val="0"/>
        </w:rPr>
        <w:t xml:space="preserve"> tendrán las siguientes </w:t>
      </w:r>
      <w:r w:rsidDel="00000000" w:rsidR="00000000" w:rsidRPr="00000000">
        <w:rPr>
          <w:rFonts w:ascii="Palatino Linotype" w:cs="Palatino Linotype" w:eastAsia="Palatino Linotype" w:hAnsi="Palatino Linotype"/>
          <w:b w:val="1"/>
          <w:i w:val="1"/>
          <w:sz w:val="22"/>
          <w:szCs w:val="22"/>
          <w:rtl w:val="0"/>
        </w:rPr>
        <w:t xml:space="preserve">funciones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B8">
      <w:pP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 Presentar ante el Comité, el proyecto de clasificación de información</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1B9">
      <w:pP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59.</w:t>
      </w:r>
      <w:r w:rsidDel="00000000" w:rsidR="00000000" w:rsidRPr="00000000">
        <w:rPr>
          <w:rFonts w:ascii="Palatino Linotype" w:cs="Palatino Linotype" w:eastAsia="Palatino Linotype" w:hAnsi="Palatino Linotype"/>
          <w:i w:val="1"/>
          <w:sz w:val="22"/>
          <w:szCs w:val="22"/>
          <w:rtl w:val="0"/>
        </w:rPr>
        <w:t xml:space="preserve"> Los </w:t>
      </w:r>
      <w:r w:rsidDel="00000000" w:rsidR="00000000" w:rsidRPr="00000000">
        <w:rPr>
          <w:rFonts w:ascii="Palatino Linotype" w:cs="Palatino Linotype" w:eastAsia="Palatino Linotype" w:hAnsi="Palatino Linotype"/>
          <w:b w:val="1"/>
          <w:i w:val="1"/>
          <w:sz w:val="22"/>
          <w:szCs w:val="22"/>
          <w:rtl w:val="0"/>
        </w:rPr>
        <w:t xml:space="preserve">servidores públicos habilitados</w:t>
      </w:r>
      <w:r w:rsidDel="00000000" w:rsidR="00000000" w:rsidRPr="00000000">
        <w:rPr>
          <w:rFonts w:ascii="Palatino Linotype" w:cs="Palatino Linotype" w:eastAsia="Palatino Linotype" w:hAnsi="Palatino Linotype"/>
          <w:i w:val="1"/>
          <w:sz w:val="22"/>
          <w:szCs w:val="22"/>
          <w:rtl w:val="0"/>
        </w:rPr>
        <w:t xml:space="preserve"> tendrán las </w:t>
      </w:r>
      <w:r w:rsidDel="00000000" w:rsidR="00000000" w:rsidRPr="00000000">
        <w:rPr>
          <w:rFonts w:ascii="Palatino Linotype" w:cs="Palatino Linotype" w:eastAsia="Palatino Linotype" w:hAnsi="Palatino Linotype"/>
          <w:b w:val="1"/>
          <w:i w:val="1"/>
          <w:sz w:val="22"/>
          <w:szCs w:val="22"/>
          <w:rtl w:val="0"/>
        </w:rPr>
        <w:t xml:space="preserve">funciones</w:t>
      </w:r>
      <w:r w:rsidDel="00000000" w:rsidR="00000000" w:rsidRPr="00000000">
        <w:rPr>
          <w:rFonts w:ascii="Palatino Linotype" w:cs="Palatino Linotype" w:eastAsia="Palatino Linotype" w:hAnsi="Palatino Linotype"/>
          <w:i w:val="1"/>
          <w:sz w:val="22"/>
          <w:szCs w:val="22"/>
          <w:rtl w:val="0"/>
        </w:rPr>
        <w:t xml:space="preserve"> siguientes:</w:t>
      </w:r>
    </w:p>
    <w:p w:rsidR="00000000" w:rsidDel="00000000" w:rsidP="00000000" w:rsidRDefault="00000000" w:rsidRPr="00000000" w14:paraId="000001BA">
      <w:pP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Integrar y presentar al responsable de la Unidad de Transparencia la propuesta de clasificación de información</w:t>
      </w:r>
      <w:r w:rsidDel="00000000" w:rsidR="00000000" w:rsidRPr="00000000">
        <w:rPr>
          <w:rFonts w:ascii="Palatino Linotype" w:cs="Palatino Linotype" w:eastAsia="Palatino Linotype" w:hAnsi="Palatino Linotype"/>
          <w:i w:val="1"/>
          <w:sz w:val="22"/>
          <w:szCs w:val="22"/>
          <w:rtl w:val="0"/>
        </w:rPr>
        <w:t xml:space="preserve">, la cual tendrá los fundamentos y argumentos en que se basa dicha propuesta…”</w:t>
      </w:r>
    </w:p>
    <w:p w:rsidR="00000000" w:rsidDel="00000000" w:rsidP="00000000" w:rsidRDefault="00000000" w:rsidRPr="00000000" w14:paraId="000001BB">
      <w:pP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BC">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Denotándose de dichos elementos normativos que el determinar la clasificación de la información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00000" w:rsidDel="00000000" w:rsidP="00000000" w:rsidRDefault="00000000" w:rsidRPr="00000000" w14:paraId="000001BD">
      <w:pPr>
        <w:spacing w:after="240" w:before="0" w:lineRule="auto"/>
        <w:ind w:right="1041"/>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BE">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decir,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000000" w:rsidDel="00000000" w:rsidP="00000000" w:rsidRDefault="00000000" w:rsidRPr="00000000" w14:paraId="000001B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00000" w:rsidDel="00000000" w:rsidP="00000000" w:rsidRDefault="00000000" w:rsidRPr="00000000" w14:paraId="000001C0">
      <w:pPr>
        <w:numPr>
          <w:ilvl w:val="0"/>
          <w:numId w:val="5"/>
        </w:numPr>
        <w:pBdr>
          <w:top w:space="0" w:sz="0" w:val="nil"/>
          <w:left w:space="0" w:sz="0" w:val="nil"/>
          <w:bottom w:space="0" w:sz="0" w:val="nil"/>
          <w:right w:space="0" w:sz="0" w:val="nil"/>
          <w:between w:space="0" w:sz="0" w:val="nil"/>
        </w:pBdr>
        <w:spacing w:after="240" w:before="240" w:line="360" w:lineRule="auto"/>
        <w:ind w:left="1080" w:hanging="72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 E S U E L V E:</w:t>
      </w:r>
    </w:p>
    <w:p w:rsidR="00000000" w:rsidDel="00000000" w:rsidP="00000000" w:rsidRDefault="00000000" w:rsidRPr="00000000" w14:paraId="000001C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w:t>
      </w:r>
      <w:r w:rsidDel="00000000" w:rsidR="00000000" w:rsidRPr="00000000">
        <w:rPr>
          <w:rFonts w:ascii="Palatino Linotype" w:cs="Palatino Linotype" w:eastAsia="Palatino Linotype" w:hAnsi="Palatino Linotype"/>
          <w:rtl w:val="0"/>
        </w:rPr>
        <w:t xml:space="preserve">. Resultan   </w:t>
      </w:r>
      <w:r w:rsidDel="00000000" w:rsidR="00000000" w:rsidRPr="00000000">
        <w:rPr>
          <w:rFonts w:ascii="Palatino Linotype" w:cs="Palatino Linotype" w:eastAsia="Palatino Linotype" w:hAnsi="Palatino Linotype"/>
          <w:b w:val="1"/>
          <w:rtl w:val="0"/>
        </w:rPr>
        <w:t xml:space="preserve">fundados</w:t>
      </w:r>
      <w:r w:rsidDel="00000000" w:rsidR="00000000" w:rsidRPr="00000000">
        <w:rPr>
          <w:rFonts w:ascii="Palatino Linotype" w:cs="Palatino Linotype" w:eastAsia="Palatino Linotype" w:hAnsi="Palatino Linotype"/>
          <w:rtl w:val="0"/>
        </w:rPr>
        <w:t xml:space="preserve"> los motivos de inconformidad planteados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en el recurso de revisión </w:t>
      </w:r>
      <w:r w:rsidDel="00000000" w:rsidR="00000000" w:rsidRPr="00000000">
        <w:rPr>
          <w:rFonts w:ascii="Palatino Linotype" w:cs="Palatino Linotype" w:eastAsia="Palatino Linotype" w:hAnsi="Palatino Linotype"/>
          <w:b w:val="1"/>
          <w:rtl w:val="0"/>
        </w:rPr>
        <w:t xml:space="preserve">13944/INFOEM/IP/RR/2022 </w:t>
      </w:r>
      <w:r w:rsidDel="00000000" w:rsidR="00000000" w:rsidRPr="00000000">
        <w:rPr>
          <w:rFonts w:ascii="Palatino Linotype" w:cs="Palatino Linotype" w:eastAsia="Palatino Linotype" w:hAnsi="Palatino Linotype"/>
          <w:rtl w:val="0"/>
        </w:rPr>
        <w:t xml:space="preserve">por lo que, en términos del </w:t>
      </w:r>
      <w:r w:rsidDel="00000000" w:rsidR="00000000" w:rsidRPr="00000000">
        <w:rPr>
          <w:rFonts w:ascii="Palatino Linotype" w:cs="Palatino Linotype" w:eastAsia="Palatino Linotype" w:hAnsi="Palatino Linotype"/>
          <w:b w:val="1"/>
          <w:rtl w:val="0"/>
        </w:rPr>
        <w:t xml:space="preserve">Considerando Cuarto</w:t>
      </w:r>
      <w:r w:rsidDel="00000000" w:rsidR="00000000" w:rsidRPr="00000000">
        <w:rPr>
          <w:rFonts w:ascii="Palatino Linotype" w:cs="Palatino Linotype" w:eastAsia="Palatino Linotype" w:hAnsi="Palatino Linotype"/>
          <w:rtl w:val="0"/>
        </w:rPr>
        <w:t xml:space="preserve"> de la presente resolución, se </w:t>
      </w:r>
      <w:r w:rsidDel="00000000" w:rsidR="00000000" w:rsidRPr="00000000">
        <w:rPr>
          <w:rFonts w:ascii="Palatino Linotype" w:cs="Palatino Linotype" w:eastAsia="Palatino Linotype" w:hAnsi="Palatino Linotype"/>
          <w:b w:val="1"/>
          <w:rtl w:val="0"/>
        </w:rPr>
        <w:t xml:space="preserve">MODIFICA</w:t>
      </w:r>
      <w:r w:rsidDel="00000000" w:rsidR="00000000" w:rsidRPr="00000000">
        <w:rPr>
          <w:rFonts w:ascii="Palatino Linotype" w:cs="Palatino Linotype" w:eastAsia="Palatino Linotype" w:hAnsi="Palatino Linotype"/>
          <w:rtl w:val="0"/>
        </w:rPr>
        <w:t xml:space="preserve"> la respuesta emitida por el </w:t>
      </w:r>
      <w:r w:rsidDel="00000000" w:rsidR="00000000" w:rsidRPr="00000000">
        <w:rPr>
          <w:rFonts w:ascii="Palatino Linotype" w:cs="Palatino Linotype" w:eastAsia="Palatino Linotype" w:hAnsi="Palatino Linotype"/>
          <w:b w:val="1"/>
          <w:rtl w:val="0"/>
        </w:rPr>
        <w:t xml:space="preserve">Ayuntamiento de Almoloya del Río.</w:t>
      </w:r>
      <w:r w:rsidDel="00000000" w:rsidR="00000000" w:rsidRPr="00000000">
        <w:rPr>
          <w:rtl w:val="0"/>
        </w:rPr>
      </w:r>
    </w:p>
    <w:p w:rsidR="00000000" w:rsidDel="00000000" w:rsidP="00000000" w:rsidRDefault="00000000" w:rsidRPr="00000000" w14:paraId="000001C2">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términos del </w:t>
      </w:r>
      <w:r w:rsidDel="00000000" w:rsidR="00000000" w:rsidRPr="00000000">
        <w:rPr>
          <w:rFonts w:ascii="Palatino Linotype" w:cs="Palatino Linotype" w:eastAsia="Palatino Linotype" w:hAnsi="Palatino Linotype"/>
          <w:b w:val="1"/>
          <w:rtl w:val="0"/>
        </w:rPr>
        <w:t xml:space="preserve">Considerando Cuarto</w:t>
      </w:r>
      <w:r w:rsidDel="00000000" w:rsidR="00000000" w:rsidRPr="00000000">
        <w:rPr>
          <w:rFonts w:ascii="Palatino Linotype" w:cs="Palatino Linotype" w:eastAsia="Palatino Linotype" w:hAnsi="Palatino Linotype"/>
          <w:rtl w:val="0"/>
        </w:rPr>
        <w:t xml:space="preserve"> de esta resolución haga entrega 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 través del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y en copia certificada, en versión pública,  lo siguiente:</w:t>
      </w:r>
    </w:p>
    <w:p w:rsidR="00000000" w:rsidDel="00000000" w:rsidP="00000000" w:rsidRDefault="00000000" w:rsidRPr="00000000" w14:paraId="000001C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67" w:right="49" w:hanging="18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Actas de las sesiones del Consejo de Honor y Justicia del Municipio de Almoloya del Rio  del 01 de agosto de 2021 al 01 de agosto de 2022.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0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widowControl w:val="0"/>
        <w:ind w:left="567" w:right="4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000000" w:rsidDel="00000000" w:rsidP="00000000" w:rsidRDefault="00000000" w:rsidRPr="00000000" w14:paraId="000001C6">
      <w:pPr>
        <w:widowControl w:val="0"/>
        <w:ind w:left="567" w:right="4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1C7">
      <w:pPr>
        <w:widowControl w:val="0"/>
        <w:ind w:left="567" w:right="4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Para el caso de  información que se ordena su entrega no hayan causado ejecutoria o no hayan sido declarados totalmente concluidos, </w:t>
      </w:r>
      <w:r w:rsidDel="00000000" w:rsidR="00000000" w:rsidRPr="00000000">
        <w:rPr>
          <w:rFonts w:ascii="Palatino Linotype" w:cs="Palatino Linotype" w:eastAsia="Palatino Linotype" w:hAnsi="Palatino Linotype"/>
          <w:b w:val="1"/>
          <w:i w:val="1"/>
          <w:rtl w:val="0"/>
        </w:rPr>
        <w:t xml:space="preserve">el Sujeto Obligado</w:t>
      </w:r>
      <w:r w:rsidDel="00000000" w:rsidR="00000000" w:rsidRPr="00000000">
        <w:rPr>
          <w:rFonts w:ascii="Palatino Linotype" w:cs="Palatino Linotype" w:eastAsia="Palatino Linotype" w:hAnsi="Palatino Linotype"/>
          <w:i w:val="1"/>
          <w:rtl w:val="0"/>
        </w:rPr>
        <w:t xml:space="preserve"> deberá entregar el Acuerdo de Clasificación de la Información como reservada en su totalidad, emitido por el Comité de Transparencia, con excepción de los procedimientos que se encuentren en trámite relacionados con actos de corrupción, violaciones graves de derechos humanos o delitos de lesa humanidad. </w:t>
      </w:r>
    </w:p>
    <w:p w:rsidR="00000000" w:rsidDel="00000000" w:rsidP="00000000" w:rsidRDefault="00000000" w:rsidRPr="00000000" w14:paraId="000001C8">
      <w:pPr>
        <w:spacing w:after="240" w:before="240" w:lineRule="auto"/>
        <w:ind w:lef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Para la entrega de la información mediante copia certificada, el Sujeto Obligado previamente deberá hacer de conocimiento de la parte </w:t>
      </w:r>
      <w:r w:rsidDel="00000000" w:rsidR="00000000" w:rsidRPr="00000000">
        <w:rPr>
          <w:rFonts w:ascii="Palatino Linotype" w:cs="Palatino Linotype" w:eastAsia="Palatino Linotype" w:hAnsi="Palatino Linotype"/>
          <w:b w:val="1"/>
          <w:i w:val="1"/>
          <w:rtl w:val="0"/>
        </w:rPr>
        <w:t xml:space="preserve">Recurrente</w:t>
      </w:r>
      <w:r w:rsidDel="00000000" w:rsidR="00000000" w:rsidRPr="00000000">
        <w:rPr>
          <w:rFonts w:ascii="Palatino Linotype" w:cs="Palatino Linotype" w:eastAsia="Palatino Linotype" w:hAnsi="Palatino Linotype"/>
          <w:i w:val="1"/>
          <w:rtl w:val="0"/>
        </w:rPr>
        <w:t xml:space="preserve">, vía SAIMEX, el costo por la reproducción en su caso, el lugar, día y horarios en los que podrá acceder a la información, así como el nombre del o los servidores públicos que le atenderán</w:t>
      </w:r>
    </w:p>
    <w:p w:rsidR="00000000" w:rsidDel="00000000" w:rsidP="00000000" w:rsidRDefault="00000000" w:rsidRPr="00000000" w14:paraId="000001C9">
      <w:pPr>
        <w:widowControl w:val="0"/>
        <w:ind w:left="567" w:right="4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1C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b w:val="1"/>
          <w:rtl w:val="0"/>
        </w:rPr>
        <w:t xml:space="preserve">Notifíquese vía SAIMEX, </w:t>
      </w:r>
      <w:r w:rsidDel="00000000" w:rsidR="00000000" w:rsidRPr="00000000">
        <w:rPr>
          <w:rFonts w:ascii="Palatino Linotype" w:cs="Palatino Linotype" w:eastAsia="Palatino Linotype" w:hAnsi="Palatino Linotype"/>
          <w:rtl w:val="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00000" w:rsidDel="00000000" w:rsidP="00000000" w:rsidRDefault="00000000" w:rsidRPr="00000000" w14:paraId="000001C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manera fundada y motivada, podrá solicitar una ampliación de plazo para el cumplimiento de la presente resolución.</w:t>
      </w:r>
    </w:p>
    <w:p w:rsidR="00000000" w:rsidDel="00000000" w:rsidP="00000000" w:rsidRDefault="00000000" w:rsidRPr="00000000" w14:paraId="000001C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b w:val="1"/>
          <w:sz w:val="22"/>
          <w:szCs w:val="22"/>
          <w:rtl w:val="0"/>
        </w:rPr>
        <w:t xml:space="preserve">NOTIFÍQUESE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rtl w:val="0"/>
        </w:rPr>
        <w:t xml:space="preserve">al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Sexto. GÍRESE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oficio al Titular de la Dirección General de Protección de Datos Personales, en atención al artículo 82, fracción XXVII de la Ley de Protección de Datos Personales del Estado de México y Municipios, en términos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Considerando CUARTO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de la presente resolución.</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Séptimo. </w:t>
      </w:r>
      <w:r w:rsidDel="00000000" w:rsidR="00000000" w:rsidRPr="00000000">
        <w:rPr>
          <w:rFonts w:ascii="Palatino Linotype" w:cs="Palatino Linotype" w:eastAsia="Palatino Linotype" w:hAnsi="Palatino Linotype"/>
          <w:rtl w:val="0"/>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Del="00000000" w:rsidR="00000000" w:rsidRPr="00000000">
        <w:rPr>
          <w:rFonts w:ascii="Palatino Linotype" w:cs="Palatino Linotype" w:eastAsia="Palatino Linotype" w:hAnsi="Palatino Linotype"/>
          <w:b w:val="1"/>
          <w:rtl w:val="0"/>
        </w:rPr>
        <w:t xml:space="preserve">Considerando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SEXTO</w:t>
      </w:r>
      <w:r w:rsidDel="00000000" w:rsidR="00000000" w:rsidRPr="00000000">
        <w:rPr>
          <w:rFonts w:ascii="Palatino Linotype" w:cs="Palatino Linotype" w:eastAsia="Palatino Linotype" w:hAnsi="Palatino Linotype"/>
          <w:rtl w:val="0"/>
        </w:rPr>
        <w:t xml:space="preserve"> de la presente resolución.</w:t>
      </w:r>
      <w:r w:rsidDel="00000000" w:rsidR="00000000" w:rsidRPr="00000000">
        <w:rPr>
          <w:rtl w:val="0"/>
        </w:rPr>
      </w:r>
    </w:p>
    <w:p w:rsidR="00000000" w:rsidDel="00000000" w:rsidP="00000000" w:rsidRDefault="00000000" w:rsidRPr="00000000" w14:paraId="000001D0">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D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MAYORÍA DE VOTOS, EL PLENO DEL INSTITUTO DE TRANSPARENCIA, ACCESO A LA INFORMACIÓN PÚBLICA Y PROTECCIÓN DE DATOS PERSONALES DEL ESTADO DE MÉXICO Y MUNICIPIOS, CONFORMADO POR LOS COMISIONADOS JOSÉ MARTÍNEZ VILCHIS EMITIENDO VOTO PARTICULAR; MARÍA DEL ROSARIO MEJÍA AYALA, EMITIENDO VOTO PARTICULAR, SHARON CRISTINA MORALES MARTÍNEZ, EMITIENDO VOTO DISIDENTE; LUIS GUSTAVO PARRA NORIEGA, EMITIENDO VOTO PARTICULAR Y GUADALUPE RAMÍREZ PEÑA; EN LA DÉCIMA NOVENA SESIÓN ORDINARIA CELEBRADA EL VEINTICUATRO DE MAYO DE DOS MIL VEINTITRES, ANTE EL SECRETARIO TÉCNICO DEL PLENO, ALEXIS TAPIA RAMÍREZ.</w:t>
      </w:r>
    </w:p>
    <w:p w:rsidR="00000000" w:rsidDel="00000000" w:rsidP="00000000" w:rsidRDefault="00000000" w:rsidRPr="00000000" w14:paraId="000001D2">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D3">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D4">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D5">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D6">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D7">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D8">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D9">
      <w:pPr>
        <w:spacing w:after="240" w:before="240"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1DA">
      <w:pPr>
        <w:spacing w:after="240" w:before="24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1DB">
      <w:pPr>
        <w:spacing w:after="240" w:before="240" w:lineRule="auto"/>
        <w:jc w:val="both"/>
        <w:rPr>
          <w:rFonts w:ascii="Palatino Linotype" w:cs="Palatino Linotype" w:eastAsia="Palatino Linotype" w:hAnsi="Palatino Linotype"/>
          <w:sz w:val="20"/>
          <w:szCs w:val="20"/>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DC">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Del="00000000" w:rsidR="00000000" w:rsidRPr="00000000">
        <w:rPr>
          <w:rFonts w:ascii="Cambria" w:cs="Cambria" w:eastAsia="Cambria" w:hAnsi="Cambria"/>
          <w:color w:val="000000"/>
          <w:sz w:val="20"/>
          <w:szCs w:val="20"/>
          <w:rtl w:val="0"/>
        </w:rPr>
        <w:t xml:space="preserve"> (…)</w:t>
      </w:r>
    </w:p>
  </w:footnote>
  <w:footnote w:id="1">
    <w:p w:rsidR="00000000" w:rsidDel="00000000" w:rsidP="00000000" w:rsidRDefault="00000000" w:rsidRPr="00000000" w14:paraId="000001DD">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9"/>
          <w:szCs w:val="19"/>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2">
    <w:p w:rsidR="00000000" w:rsidDel="00000000" w:rsidP="00000000" w:rsidRDefault="00000000" w:rsidRPr="00000000" w14:paraId="000001DE">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la Suprema Corte de Justicia de la Nación ha reconocido como derechos fundamentales de las personas, el derecho a la intimidad y a la propia imagen, en el siguiente criterio: “DERECHOS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w:t>
      </w:r>
    </w:p>
  </w:footnote>
  <w:footnote w:id="3">
    <w:p w:rsidR="00000000" w:rsidDel="00000000" w:rsidP="00000000" w:rsidRDefault="00000000" w:rsidRPr="00000000" w14:paraId="000001DF">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-699134</wp:posOffset>
          </wp:positionH>
          <wp:positionV relativeFrom="paragraph">
            <wp:posOffset>-644524</wp:posOffset>
          </wp:positionV>
          <wp:extent cx="7809865" cy="10165715"/>
          <wp:effectExtent b="0" l="0" r="0" t="0"/>
          <wp:wrapNone/>
          <wp:docPr id="7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6095.0" w:type="dxa"/>
      <w:jc w:val="left"/>
      <w:tblInd w:w="2762.0" w:type="dxa"/>
      <w:tblLayout w:type="fixed"/>
      <w:tblLook w:val="0400"/>
    </w:tblPr>
    <w:tblGrid>
      <w:gridCol w:w="2551"/>
      <w:gridCol w:w="3544"/>
      <w:tblGridChange w:id="0">
        <w:tblGrid>
          <w:gridCol w:w="2551"/>
          <w:gridCol w:w="3544"/>
        </w:tblGrid>
      </w:tblGridChange>
    </w:tblGrid>
    <w:tr>
      <w:trPr>
        <w:cantSplit w:val="0"/>
        <w:tblHeader w:val="0"/>
      </w:trPr>
      <w:tc>
        <w:tcPr>
          <w:shd w:fill="auto" w:val="clear"/>
          <w:vAlign w:val="center"/>
        </w:tcPr>
        <w:p w:rsidR="00000000" w:rsidDel="00000000" w:rsidP="00000000" w:rsidRDefault="00000000" w:rsidRPr="00000000" w14:paraId="000001E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Recurso de Revisión:</w:t>
          </w:r>
        </w:p>
      </w:tc>
      <w:tc>
        <w:tcPr>
          <w:shd w:fill="auto" w:val="clear"/>
          <w:vAlign w:val="center"/>
        </w:tcPr>
        <w:p w:rsidR="00000000" w:rsidDel="00000000" w:rsidP="00000000" w:rsidRDefault="00000000" w:rsidRPr="00000000" w14:paraId="000001E2">
          <w:pPr>
            <w:tabs>
              <w:tab w:val="left" w:leader="none" w:pos="3153"/>
            </w:tabs>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13944/INFOEM/IP/RR/2022</w:t>
          </w:r>
        </w:p>
      </w:tc>
    </w:tr>
    <w:tr>
      <w:trPr>
        <w:cantSplit w:val="0"/>
        <w:trHeight w:val="130" w:hRule="atLeast"/>
        <w:tblHeader w:val="0"/>
      </w:trPr>
      <w:tc>
        <w:tcPr>
          <w:shd w:fill="auto" w:val="clear"/>
          <w:vAlign w:val="center"/>
        </w:tcPr>
        <w:p w:rsidR="00000000" w:rsidDel="00000000" w:rsidP="00000000" w:rsidRDefault="00000000" w:rsidRPr="00000000" w14:paraId="000001E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Recurrente:</w:t>
          </w:r>
        </w:p>
      </w:tc>
      <w:tc>
        <w:tcPr>
          <w:shd w:fill="auto" w:val="clear"/>
          <w:vAlign w:val="center"/>
        </w:tcPr>
        <w:p w:rsidR="00000000" w:rsidDel="00000000" w:rsidP="00000000" w:rsidRDefault="00000000" w:rsidRPr="00000000" w14:paraId="000001E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XXXX XXXXXX XXXXX</w:t>
          </w:r>
        </w:p>
      </w:tc>
    </w:tr>
    <w:tr>
      <w:trPr>
        <w:cantSplit w:val="0"/>
        <w:trHeight w:val="228" w:hRule="atLeast"/>
        <w:tblHeader w:val="0"/>
      </w:trPr>
      <w:tc>
        <w:tcPr>
          <w:shd w:fill="auto" w:val="clear"/>
          <w:vAlign w:val="center"/>
        </w:tcPr>
        <w:p w:rsidR="00000000" w:rsidDel="00000000" w:rsidP="00000000" w:rsidRDefault="00000000" w:rsidRPr="00000000" w14:paraId="000001E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Sujeto Obligado:</w:t>
          </w:r>
        </w:p>
      </w:tc>
      <w:tc>
        <w:tcPr>
          <w:shd w:fill="auto" w:val="clear"/>
          <w:vAlign w:val="center"/>
        </w:tcPr>
        <w:p w:rsidR="00000000" w:rsidDel="00000000" w:rsidP="00000000" w:rsidRDefault="00000000" w:rsidRPr="00000000" w14:paraId="000001E6">
          <w:pPr>
            <w:ind w:left="-45" w:right="176"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E7">
          <w:pPr>
            <w:ind w:left="-45" w:right="17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Almoloya del Río</w:t>
          </w:r>
        </w:p>
      </w:tc>
    </w:tr>
    <w:tr>
      <w:trPr>
        <w:cantSplit w:val="0"/>
        <w:tblHeader w:val="0"/>
      </w:trPr>
      <w:tc>
        <w:tcPr>
          <w:shd w:fill="auto" w:val="clear"/>
          <w:vAlign w:val="center"/>
        </w:tcPr>
        <w:p w:rsidR="00000000" w:rsidDel="00000000" w:rsidP="00000000" w:rsidRDefault="00000000" w:rsidRPr="00000000" w14:paraId="000001E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 Ponente:</w:t>
          </w:r>
        </w:p>
      </w:tc>
      <w:tc>
        <w:tcPr>
          <w:shd w:fill="auto" w:val="clear"/>
          <w:vAlign w:val="center"/>
        </w:tcPr>
        <w:p w:rsidR="00000000" w:rsidDel="00000000" w:rsidP="00000000" w:rsidRDefault="00000000" w:rsidRPr="00000000" w14:paraId="000001E9">
          <w:pPr>
            <w:ind w:left="-45" w:right="-533"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Guadalupe Ramírez Peña</w:t>
          </w:r>
        </w:p>
      </w:tc>
    </w:tr>
  </w:tbl>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-405764</wp:posOffset>
          </wp:positionV>
          <wp:extent cx="7809865" cy="10165715"/>
          <wp:effectExtent b="0" l="0" r="0" t="0"/>
          <wp:wrapNone/>
          <wp:docPr id="6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1E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Recurso de Revisión:</w:t>
          </w:r>
        </w:p>
      </w:tc>
      <w:tc>
        <w:tcPr>
          <w:shd w:fill="auto" w:val="clear"/>
          <w:vAlign w:val="center"/>
        </w:tcPr>
        <w:p w:rsidR="00000000" w:rsidDel="00000000" w:rsidP="00000000" w:rsidRDefault="00000000" w:rsidRPr="00000000" w14:paraId="000001ED">
          <w:pPr>
            <w:ind w:right="175"/>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13944/INFOEM/IP/RR/2022</w:t>
          </w:r>
        </w:p>
      </w:tc>
    </w:tr>
    <w:tr>
      <w:trPr>
        <w:cantSplit w:val="0"/>
        <w:trHeight w:val="228" w:hRule="atLeast"/>
        <w:tblHeader w:val="0"/>
      </w:trPr>
      <w:tc>
        <w:tcPr>
          <w:shd w:fill="auto" w:val="clear"/>
          <w:vAlign w:val="center"/>
        </w:tcPr>
        <w:p w:rsidR="00000000" w:rsidDel="00000000" w:rsidP="00000000" w:rsidRDefault="00000000" w:rsidRPr="00000000" w14:paraId="000001E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Sujeto obligado:</w:t>
          </w:r>
        </w:p>
      </w:tc>
      <w:tc>
        <w:tcPr>
          <w:shd w:fill="auto" w:val="clear"/>
          <w:vAlign w:val="center"/>
        </w:tcPr>
        <w:p w:rsidR="00000000" w:rsidDel="00000000" w:rsidP="00000000" w:rsidRDefault="00000000" w:rsidRPr="00000000" w14:paraId="000001EF">
          <w:pPr>
            <w:ind w:right="176"/>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Almoloya del Río</w:t>
          </w:r>
        </w:p>
      </w:tc>
    </w:tr>
    <w:tr>
      <w:trPr>
        <w:cantSplit w:val="0"/>
        <w:trHeight w:val="311" w:hRule="atLeast"/>
        <w:tblHeader w:val="0"/>
      </w:trPr>
      <w:tc>
        <w:tcPr>
          <w:shd w:fill="auto" w:val="clear"/>
          <w:vAlign w:val="center"/>
        </w:tcPr>
        <w:p w:rsidR="00000000" w:rsidDel="00000000" w:rsidP="00000000" w:rsidRDefault="00000000" w:rsidRPr="00000000" w14:paraId="000001F0">
          <w:pPr>
            <w:ind w:right="-1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 Ponente:</w:t>
          </w:r>
        </w:p>
      </w:tc>
      <w:tc>
        <w:tcPr>
          <w:shd w:fill="auto" w:val="clear"/>
          <w:vAlign w:val="center"/>
        </w:tcPr>
        <w:p w:rsidR="00000000" w:rsidDel="00000000" w:rsidP="00000000" w:rsidRDefault="00000000" w:rsidRPr="00000000" w14:paraId="000001F1">
          <w:pPr>
            <w:ind w:right="175"/>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Guadalupe Ramírez Peña</w:t>
          </w:r>
        </w:p>
      </w:tc>
    </w:tr>
  </w:tbl>
  <w:p w:rsidR="00000000" w:rsidDel="00000000" w:rsidP="00000000" w:rsidRDefault="00000000" w:rsidRPr="00000000" w14:paraId="000001F2">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2">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2902"/>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lang w:val="es-MX"/>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val="1"/>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val="1"/>
    <w:qFormat w:val="1"/>
    <w:rsid w:val="002944C8"/>
    <w:rPr>
      <w:vertAlign w:val="superscript"/>
    </w:rPr>
  </w:style>
  <w:style w:type="paragraph" w:styleId="Sinespaciado">
    <w:name w:val="No Spacing"/>
    <w:aliases w:val="Francesa,INAI"/>
    <w:link w:val="SinespaciadoCar"/>
    <w:uiPriority w:val="1"/>
    <w:qFormat w:val="1"/>
    <w:rsid w:val="002944C8"/>
    <w:rPr>
      <w:lang w:val="es-MX"/>
    </w:rPr>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qFormat w:val="1"/>
    <w:rsid w:val="002944C8"/>
    <w:pPr>
      <w:autoSpaceDE w:val="0"/>
      <w:autoSpaceDN w:val="0"/>
      <w:adjustRightInd w:val="0"/>
    </w:pPr>
    <w:rPr>
      <w:rFonts w:ascii="Arial" w:cs="Arial" w:hAnsi="Arial" w:eastAsiaTheme="minorHAnsi"/>
      <w:color w:val="000000"/>
      <w:lang w:eastAsia="en-US" w:val="es-MX"/>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rPr>
      <w:lang w:val="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INAI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39"/>
    <w:rsid w:val="00BB3A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val="es-MX"/>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val="es-MX"/>
    </w:rPr>
  </w:style>
  <w:style w:type="paragraph" w:styleId="m5127500252372250437gmail-paragraph" w:customStyle="1">
    <w:name w:val="m_5127500252372250437gmail-paragraph"/>
    <w:basedOn w:val="Normal"/>
    <w:rsid w:val="00980B7E"/>
    <w:pPr>
      <w:spacing w:after="100" w:afterAutospacing="1" w:before="100" w:beforeAutospacing="1"/>
    </w:pPr>
    <w:rPr>
      <w:lang w:val="es-MX"/>
    </w:r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rPr>
      <w:lang w:val="es-MX"/>
    </w:r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rPr>
      <w:lang w:val="es-MX"/>
    </w:r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rPr>
      <w:lang w:val="es-MX"/>
    </w:rPr>
  </w:style>
  <w:style w:type="paragraph" w:styleId="m" w:customStyle="1">
    <w:name w:val="m"/>
    <w:basedOn w:val="Normal"/>
    <w:rsid w:val="007B00BD"/>
    <w:pPr>
      <w:spacing w:after="100" w:afterAutospacing="1" w:before="100" w:beforeAutospacing="1"/>
    </w:pPr>
    <w:rPr>
      <w:lang w:val="es-MX"/>
    </w:r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val="es-MX"/>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rPr>
      <w:lang w:val="es-MX"/>
    </w:rPr>
  </w:style>
  <w:style w:type="paragraph" w:styleId="n2" w:customStyle="1">
    <w:name w:val="n2"/>
    <w:basedOn w:val="Normal"/>
    <w:rsid w:val="009D307C"/>
    <w:pPr>
      <w:spacing w:after="100" w:afterAutospacing="1" w:before="100" w:beforeAutospacing="1"/>
    </w:pPr>
    <w:rPr>
      <w:lang w:val="es-MX"/>
    </w:r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rPr>
      <w:lang w:val="es-MX"/>
    </w:rPr>
  </w:style>
  <w:style w:type="paragraph" w:styleId="j2" w:customStyle="1">
    <w:name w:val="j2"/>
    <w:basedOn w:val="Normal"/>
    <w:rsid w:val="009D307C"/>
    <w:pPr>
      <w:spacing w:after="100" w:afterAutospacing="1" w:before="100" w:before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Revisin">
    <w:name w:val="Revision"/>
    <w:hidden w:val="1"/>
    <w:uiPriority w:val="99"/>
    <w:semiHidden w:val="1"/>
    <w:rsid w:val="00564B24"/>
  </w:style>
  <w:style w:type="table" w:styleId="Tablanormal11" w:customStyle="1">
    <w:name w:val="Tabla normal 11"/>
    <w:basedOn w:val="Tablanormal"/>
    <w:next w:val="Tablanormal1"/>
    <w:uiPriority w:val="41"/>
    <w:rsid w:val="007A5E15"/>
    <w:rPr>
      <w:rFonts w:eastAsia="Calibri"/>
      <w:sz w:val="22"/>
      <w:szCs w:val="22"/>
      <w:lang w:eastAsia="en-US" w:val="es-MX"/>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Tablanormal1">
    <w:name w:val="Plain Table 1"/>
    <w:basedOn w:val="Tablanormal"/>
    <w:uiPriority w:val="41"/>
    <w:rsid w:val="007A5E15"/>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TextonotapieCar1" w:customStyle="1">
    <w:name w:val="Texto nota pie Car1"/>
    <w:uiPriority w:val="99"/>
    <w:rsid w:val="006233E2"/>
    <w:rPr>
      <w:rFonts w:ascii="Times New Roman" w:cs="Times New Roman" w:eastAsia="Times New Roman" w:hAnsi="Times New Roman"/>
      <w:sz w:val="20"/>
      <w:szCs w:val="20"/>
      <w:lang w:eastAsia="es-ES" w:val="es-ES"/>
    </w:rPr>
  </w:style>
  <w:style w:type="paragraph" w:styleId="Subttulo">
    <w:name w:val="Subtitle"/>
    <w:basedOn w:val="Normal"/>
    <w:next w:val="Normal"/>
    <w:link w:val="SubttuloCar"/>
    <w:pPr>
      <w:spacing w:after="160"/>
    </w:pPr>
    <w:rPr>
      <w:rFonts w:ascii="Cambria" w:cs="Cambria" w:eastAsia="Cambria" w:hAnsi="Cambria"/>
      <w:color w:val="5a5a5a"/>
      <w:sz w:val="22"/>
      <w:szCs w:val="22"/>
    </w:rPr>
  </w:style>
  <w:style w:type="character" w:styleId="SubttuloCar" w:customStyle="1">
    <w:name w:val="Subtítulo Car"/>
    <w:basedOn w:val="Fuentedeprrafopredeter"/>
    <w:link w:val="Subttulo"/>
    <w:uiPriority w:val="11"/>
    <w:rsid w:val="00D91005"/>
    <w:rPr>
      <w:color w:val="5a5a5a" w:themeColor="text1" w:themeTint="0000A5"/>
      <w:spacing w:val="15"/>
      <w:sz w:val="22"/>
      <w:szCs w:val="22"/>
      <w:lang w:val="es-ES"/>
    </w:rPr>
  </w:style>
  <w:style w:type="table" w:styleId="12" w:customStyle="1">
    <w:name w:val="12"/>
    <w:basedOn w:val="TableNormal10"/>
    <w:rPr>
      <w:sz w:val="22"/>
      <w:szCs w:val="22"/>
    </w:rPr>
    <w:tblPr>
      <w:tblStyleRowBandSize w:val="1"/>
      <w:tblStyleColBandSize w:val="1"/>
      <w:tblCellMar>
        <w:left w:w="108.0" w:type="dxa"/>
        <w:right w:w="108.0" w:type="dxa"/>
      </w:tblCellMar>
    </w:tblPr>
  </w:style>
  <w:style w:type="table" w:styleId="11" w:customStyle="1">
    <w:name w:val="11"/>
    <w:basedOn w:val="TableNormal10"/>
    <w:rPr>
      <w:sz w:val="22"/>
      <w:szCs w:val="22"/>
    </w:rPr>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0" w:customStyle="1">
    <w:name w:val="10"/>
    <w:basedOn w:val="TableNormal10"/>
    <w:tblPr>
      <w:tblStyleRowBandSize w:val="1"/>
      <w:tblStyleColBandSize w:val="1"/>
      <w:tblCellMar>
        <w:left w:w="115.0" w:type="dxa"/>
        <w:right w:w="115.0" w:type="dxa"/>
      </w:tblCellMar>
    </w:tblPr>
  </w:style>
  <w:style w:type="table" w:styleId="9" w:customStyle="1">
    <w:name w:val="9"/>
    <w:basedOn w:val="TableNormal10"/>
    <w:tblPr>
      <w:tblStyleRowBandSize w:val="1"/>
      <w:tblStyleColBandSize w:val="1"/>
      <w:tblCellMar>
        <w:left w:w="115.0" w:type="dxa"/>
        <w:right w:w="115.0" w:type="dxa"/>
      </w:tblCellMar>
    </w:tblPr>
  </w:style>
  <w:style w:type="table" w:styleId="8" w:customStyle="1">
    <w:name w:val="8"/>
    <w:basedOn w:val="TableNormal10"/>
    <w:rPr>
      <w:sz w:val="22"/>
      <w:szCs w:val="22"/>
    </w:rPr>
    <w:tblPr>
      <w:tblStyleRowBandSize w:val="1"/>
      <w:tblStyleColBandSize w:val="1"/>
      <w:tblCellMar>
        <w:left w:w="115.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7" w:customStyle="1">
    <w:name w:val="7"/>
    <w:basedOn w:val="TableNormal10"/>
    <w:rPr>
      <w:sz w:val="22"/>
      <w:szCs w:val="22"/>
    </w:rPr>
    <w:tblPr>
      <w:tblStyleRowBandSize w:val="1"/>
      <w:tblStyleColBandSize w:val="1"/>
      <w:tblCellMar>
        <w:left w:w="115.0" w:type="dxa"/>
        <w:right w:w="115.0" w:type="dxa"/>
      </w:tblCellMar>
    </w:tblPr>
  </w:style>
  <w:style w:type="table" w:styleId="6" w:customStyle="1">
    <w:name w:val="6"/>
    <w:basedOn w:val="TableNormal10"/>
    <w:rPr>
      <w:sz w:val="22"/>
      <w:szCs w:val="22"/>
    </w:rPr>
    <w:tblPr>
      <w:tblStyleRowBandSize w:val="1"/>
      <w:tblStyleColBandSize w:val="1"/>
      <w:tblCellMar>
        <w:left w:w="115.0" w:type="dxa"/>
        <w:right w:w="115.0" w:type="dxa"/>
      </w:tblCellMar>
    </w:tblPr>
  </w:style>
  <w:style w:type="table" w:styleId="5" w:customStyle="1">
    <w:name w:val="5"/>
    <w:basedOn w:val="TableNormal2"/>
    <w:rPr>
      <w:sz w:val="22"/>
      <w:szCs w:val="22"/>
    </w:rPr>
    <w:tblPr>
      <w:tblStyleRowBandSize w:val="1"/>
      <w:tblStyleColBandSize w:val="1"/>
      <w:tblCellMar>
        <w:left w:w="115.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4" w:customStyle="1">
    <w:name w:val="4"/>
    <w:basedOn w:val="TableNormal2"/>
    <w:rPr>
      <w:sz w:val="22"/>
      <w:szCs w:val="22"/>
    </w:rPr>
    <w:tblPr>
      <w:tblStyleRowBandSize w:val="1"/>
      <w:tblStyleColBandSize w:val="1"/>
      <w:tblCellMar>
        <w:left w:w="115.0" w:type="dxa"/>
        <w:right w:w="115.0" w:type="dxa"/>
      </w:tblCellMar>
    </w:tblPr>
  </w:style>
  <w:style w:type="table" w:styleId="3" w:customStyle="1">
    <w:name w:val="3"/>
    <w:basedOn w:val="TableNormal2"/>
    <w:rPr>
      <w:sz w:val="22"/>
      <w:szCs w:val="22"/>
    </w:rPr>
    <w:tblPr>
      <w:tblStyleRowBandSize w:val="1"/>
      <w:tblStyleColBandSize w:val="1"/>
      <w:tblCellMar>
        <w:left w:w="115.0" w:type="dxa"/>
        <w:right w:w="115.0" w:type="dxa"/>
      </w:tblCellMar>
    </w:tblPr>
  </w:style>
  <w:style w:type="table" w:styleId="2" w:customStyle="1">
    <w:name w:val="2"/>
    <w:basedOn w:val="TableNormal3"/>
    <w:rPr>
      <w:sz w:val="22"/>
      <w:szCs w:val="22"/>
    </w:rPr>
    <w:tblPr>
      <w:tblStyleRowBandSize w:val="1"/>
      <w:tblStyleColBandSize w:val="1"/>
      <w:tblCellMar>
        <w:left w:w="115.0" w:type="dxa"/>
        <w:right w:w="115.0" w:type="dxa"/>
      </w:tblCellMar>
    </w:tblPr>
  </w:style>
  <w:style w:type="table" w:styleId="1" w:customStyle="1">
    <w:name w:val="1"/>
    <w:basedOn w:val="TableNormal3"/>
    <w:rPr>
      <w:sz w:val="22"/>
      <w:szCs w:val="22"/>
    </w:rPr>
    <w:tblPr>
      <w:tblStyleRowBandSize w:val="1"/>
      <w:tblStyleColBandSize w:val="1"/>
      <w:tblCellMar>
        <w:left w:w="115.0" w:type="dxa"/>
        <w:right w:w="115.0" w:type="dxa"/>
      </w:tblCellMar>
    </w:tblPr>
  </w:style>
  <w:style w:type="table" w:styleId="Tablaconcuadrcula1" w:customStyle="1">
    <w:name w:val="Tabla con cuadrícula1"/>
    <w:basedOn w:val="Tablanormal"/>
    <w:next w:val="Tablaconcuadrcula"/>
    <w:uiPriority w:val="59"/>
    <w:rsid w:val="001F195A"/>
    <w:rPr>
      <w:rFonts w:ascii="Calibri" w:eastAsia="Calibri" w:hAnsi="Calibr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70.0" w:type="dxa"/>
        <w:right w:w="70.0" w:type="dxa"/>
      </w:tblCellMar>
    </w:tblPr>
  </w:style>
  <w:style w:type="table" w:styleId="a2" w:customStyle="1">
    <w:basedOn w:val="TableNormal1"/>
    <w:rPr>
      <w:sz w:val="22"/>
      <w:szCs w:val="22"/>
    </w:rPr>
    <w:tblPr>
      <w:tblStyleRowBandSize w:val="1"/>
      <w:tblStyleColBandSize w:val="1"/>
      <w:tblCellMar>
        <w:left w:w="115.0" w:type="dxa"/>
        <w:right w:w="115.0" w:type="dxa"/>
      </w:tblCellMar>
    </w:tblPr>
  </w:style>
  <w:style w:type="table" w:styleId="a3" w:customStyle="1">
    <w:basedOn w:val="TableNormal1"/>
    <w:rPr>
      <w:sz w:val="22"/>
      <w:szCs w:val="22"/>
    </w:rPr>
    <w:tblPr>
      <w:tblStyleRowBandSize w:val="1"/>
      <w:tblStyleColBandSize w:val="1"/>
      <w:tblCellMar>
        <w:left w:w="115.0" w:type="dxa"/>
        <w:right w:w="115.0" w:type="dxa"/>
      </w:tblCellMar>
    </w:tblPr>
  </w:style>
  <w:style w:type="table" w:styleId="a4" w:customStyle="1">
    <w:basedOn w:val="TableNormal0"/>
    <w:rPr>
      <w:rFonts w:ascii="Calibri" w:cs="Calibri" w:eastAsia="Calibri" w:hAnsi="Calibri"/>
      <w:sz w:val="22"/>
      <w:szCs w:val="22"/>
    </w:rPr>
    <w:tblPr>
      <w:tblStyleRowBandSize w:val="1"/>
      <w:tblStyleColBandSize w:val="1"/>
      <w:tblCellMar>
        <w:left w:w="115.0" w:type="dxa"/>
        <w:right w:w="115.0" w:type="dxa"/>
      </w:tblCellMar>
    </w:tblPr>
  </w:style>
  <w:style w:type="table" w:styleId="a5" w:customStyle="1">
    <w:basedOn w:val="TableNormal0"/>
    <w:rPr>
      <w:rFonts w:ascii="Calibri" w:cs="Calibri" w:eastAsia="Calibri" w:hAnsi="Calibri"/>
      <w:sz w:val="22"/>
      <w:szCs w:val="22"/>
    </w:rPr>
    <w:tblPr>
      <w:tblStyleRowBandSize w:val="1"/>
      <w:tblStyleColBandSize w:val="1"/>
      <w:tblCellMar>
        <w:left w:w="115.0" w:type="dxa"/>
        <w:right w:w="115.0" w:type="dxa"/>
      </w:tblCellMar>
    </w:tblPr>
  </w:style>
  <w:style w:type="paragraph" w:styleId="Listaconvietas2">
    <w:name w:val="List Bullet 2"/>
    <w:basedOn w:val="Normal"/>
    <w:uiPriority w:val="99"/>
    <w:unhideWhenUsed w:val="1"/>
    <w:rsid w:val="00282C5F"/>
    <w:pPr>
      <w:numPr>
        <w:numId w:val="4"/>
      </w:numPr>
      <w:contextualSpacing w:val="1"/>
    </w:pPr>
  </w:style>
  <w:style w:type="paragraph" w:styleId="INFOEM" w:customStyle="1">
    <w:name w:val="INFOEM"/>
    <w:basedOn w:val="Normal"/>
    <w:qFormat w:val="1"/>
    <w:rsid w:val="00B3155A"/>
    <w:pPr>
      <w:spacing w:after="160" w:before="240" w:line="360" w:lineRule="auto"/>
      <w:ind w:left="851" w:right="851"/>
      <w:jc w:val="both"/>
    </w:pPr>
    <w:rPr>
      <w:rFonts w:ascii="Palatino Linotype" w:cs="Arial" w:hAnsi="Palatino Linotype" w:eastAsiaTheme="minorHAnsi"/>
      <w:i w:val="1"/>
      <w:sz w:val="22"/>
      <w:szCs w:val="22"/>
      <w:lang w:eastAsia="en-US" w:val="es-MX"/>
    </w:rPr>
  </w:style>
  <w:style w:type="paragraph" w:styleId="Subtitle">
    <w:name w:val="Subtitle"/>
    <w:basedOn w:val="Normal"/>
    <w:next w:val="Normal"/>
    <w:pPr>
      <w:spacing w:after="160" w:lineRule="auto"/>
    </w:pPr>
    <w:rPr>
      <w:rFonts w:ascii="Cambria" w:cs="Cambria" w:eastAsia="Cambria" w:hAnsi="Cambria"/>
      <w:color w:val="5a5a5a"/>
      <w:sz w:val="22"/>
      <w:szCs w:val="22"/>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eader" Target="header2.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f5CSCp2Ach3Qs1FaSAj5mRwXXg==">CgMxLjAyCGgudHlqY3d0MgloLjN6bnlzaDcyCGguZ2pkZ3hzMgloLjFmb2I5dGU4AHIhMVlYN0xpU2FNS0s1dklpMTlPd2ZHcDBZN0xVNFB3X3Jm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2023-06-05T21:14:00Z</dcterms:created>
  <dc:creator>iMac</dc:creator>
</cp:coreProperties>
</file>