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A6BFA" w14:textId="2A2DA89B" w:rsidR="00662C69" w:rsidRPr="00B0578D" w:rsidRDefault="009B11D6" w:rsidP="00C1682A">
      <w:pPr>
        <w:tabs>
          <w:tab w:val="left" w:pos="0"/>
          <w:tab w:val="left" w:pos="3465"/>
        </w:tabs>
        <w:spacing w:line="360" w:lineRule="auto"/>
        <w:jc w:val="both"/>
        <w:rPr>
          <w:rFonts w:ascii="Palatino Linotype" w:hAnsi="Palatino Linotype"/>
        </w:rPr>
      </w:pPr>
      <w:r w:rsidRPr="00B0578D">
        <w:rPr>
          <w:rFonts w:ascii="Palatino Linotype" w:hAnsi="Palatino Linotype"/>
        </w:rPr>
        <w:t>R</w:t>
      </w:r>
      <w:r w:rsidR="00662C69" w:rsidRPr="00B0578D">
        <w:rPr>
          <w:rFonts w:ascii="Palatino Linotype" w:hAnsi="Palatino Linotype"/>
        </w:rPr>
        <w:t>esolución del Pleno del Instituto de Transparencia, Acceso a la Información Pública y Protección de Datos Personales del Estado de México y Mun</w:t>
      </w:r>
      <w:r w:rsidR="000D5A1D" w:rsidRPr="00B0578D">
        <w:rPr>
          <w:rFonts w:ascii="Palatino Linotype" w:hAnsi="Palatino Linotype"/>
        </w:rPr>
        <w:t>icipios, con</w:t>
      </w:r>
      <w:r w:rsidR="00662C69" w:rsidRPr="00B0578D">
        <w:rPr>
          <w:rFonts w:ascii="Palatino Linotype" w:hAnsi="Palatino Linotype"/>
        </w:rPr>
        <w:t xml:space="preserve"> </w:t>
      </w:r>
      <w:r w:rsidR="00485DB6" w:rsidRPr="00B0578D">
        <w:rPr>
          <w:rFonts w:ascii="Palatino Linotype" w:hAnsi="Palatino Linotype"/>
        </w:rPr>
        <w:t xml:space="preserve">domicilio </w:t>
      </w:r>
      <w:r w:rsidR="00662C69" w:rsidRPr="00B0578D">
        <w:rPr>
          <w:rFonts w:ascii="Palatino Linotype" w:hAnsi="Palatino Linotype"/>
        </w:rPr>
        <w:t xml:space="preserve">en Metepec, Estado de México; </w:t>
      </w:r>
      <w:r w:rsidR="00F91466" w:rsidRPr="00B0578D">
        <w:rPr>
          <w:rFonts w:ascii="Palatino Linotype" w:hAnsi="Palatino Linotype"/>
        </w:rPr>
        <w:t xml:space="preserve">de fecha </w:t>
      </w:r>
      <w:r w:rsidR="00A52A0C" w:rsidRPr="00B0578D">
        <w:rPr>
          <w:rFonts w:ascii="Palatino Linotype" w:hAnsi="Palatino Linotype"/>
        </w:rPr>
        <w:t>dieciocho</w:t>
      </w:r>
      <w:r w:rsidR="00F91466" w:rsidRPr="00B0578D">
        <w:rPr>
          <w:rFonts w:ascii="Palatino Linotype" w:hAnsi="Palatino Linotype"/>
        </w:rPr>
        <w:t xml:space="preserve"> (</w:t>
      </w:r>
      <w:r w:rsidR="00A52A0C" w:rsidRPr="00B0578D">
        <w:rPr>
          <w:rFonts w:ascii="Palatino Linotype" w:hAnsi="Palatino Linotype"/>
        </w:rPr>
        <w:t>18</w:t>
      </w:r>
      <w:r w:rsidR="00F91466" w:rsidRPr="00B0578D">
        <w:rPr>
          <w:rFonts w:ascii="Palatino Linotype" w:hAnsi="Palatino Linotype"/>
        </w:rPr>
        <w:t xml:space="preserve">) de </w:t>
      </w:r>
      <w:r w:rsidR="00A52A0C" w:rsidRPr="00B0578D">
        <w:rPr>
          <w:rFonts w:ascii="Palatino Linotype" w:hAnsi="Palatino Linotype"/>
        </w:rPr>
        <w:t>enero</w:t>
      </w:r>
      <w:r w:rsidR="00F91466" w:rsidRPr="00B0578D">
        <w:rPr>
          <w:rFonts w:ascii="Palatino Linotype" w:hAnsi="Palatino Linotype"/>
        </w:rPr>
        <w:t xml:space="preserve"> de dos mil veinti</w:t>
      </w:r>
      <w:r w:rsidR="00A52A0C" w:rsidRPr="00B0578D">
        <w:rPr>
          <w:rFonts w:ascii="Palatino Linotype" w:hAnsi="Palatino Linotype"/>
        </w:rPr>
        <w:t>trés.</w:t>
      </w:r>
    </w:p>
    <w:p w14:paraId="350D3475" w14:textId="77777777" w:rsidR="008A5A73" w:rsidRPr="00B0578D" w:rsidRDefault="008A5A73" w:rsidP="00C1682A">
      <w:pPr>
        <w:tabs>
          <w:tab w:val="left" w:pos="0"/>
          <w:tab w:val="left" w:pos="3465"/>
        </w:tabs>
        <w:spacing w:line="360" w:lineRule="auto"/>
        <w:jc w:val="both"/>
        <w:rPr>
          <w:rFonts w:ascii="Palatino Linotype" w:hAnsi="Palatino Linotype"/>
        </w:rPr>
      </w:pPr>
    </w:p>
    <w:p w14:paraId="56A22FCA" w14:textId="63911B21" w:rsidR="00112BFF" w:rsidRPr="00B0578D" w:rsidRDefault="00112BFF" w:rsidP="00112BFF">
      <w:pPr>
        <w:pStyle w:val="Encabezado"/>
        <w:spacing w:line="360" w:lineRule="auto"/>
        <w:jc w:val="both"/>
        <w:rPr>
          <w:rFonts w:ascii="Palatino Linotype" w:eastAsia="Times New Roman" w:hAnsi="Palatino Linotype" w:cs="Times New Roman"/>
          <w:b/>
          <w:color w:val="000000" w:themeColor="text1"/>
        </w:rPr>
      </w:pPr>
      <w:r w:rsidRPr="00B0578D">
        <w:rPr>
          <w:rFonts w:ascii="Palatino Linotype" w:eastAsia="Times New Roman" w:hAnsi="Palatino Linotype" w:cs="Times New Roman"/>
          <w:b/>
          <w:color w:val="000000" w:themeColor="text1"/>
        </w:rPr>
        <w:t>VISTO</w:t>
      </w:r>
      <w:r w:rsidRPr="00B0578D">
        <w:rPr>
          <w:rFonts w:ascii="Palatino Linotype" w:eastAsia="Times New Roman" w:hAnsi="Palatino Linotype" w:cs="Times New Roman"/>
          <w:color w:val="000000" w:themeColor="text1"/>
        </w:rPr>
        <w:t xml:space="preserve"> </w:t>
      </w:r>
      <w:r w:rsidR="00883F62" w:rsidRPr="00B0578D">
        <w:rPr>
          <w:rFonts w:ascii="Palatino Linotype" w:hAnsi="Palatino Linotype"/>
        </w:rPr>
        <w:t>el</w:t>
      </w:r>
      <w:r w:rsidR="00F91466" w:rsidRPr="00B0578D">
        <w:rPr>
          <w:rFonts w:ascii="Palatino Linotype" w:eastAsia="Times New Roman" w:hAnsi="Palatino Linotype" w:cs="Times New Roman"/>
          <w:color w:val="000000" w:themeColor="text1"/>
        </w:rPr>
        <w:t xml:space="preserve"> expediente electrónico formado con motivo del recurso de revisión número </w:t>
      </w:r>
      <w:r w:rsidR="00142B9F" w:rsidRPr="00B0578D">
        <w:rPr>
          <w:rFonts w:ascii="Palatino Linotype" w:hAnsi="Palatino Linotype" w:cs="Arial"/>
          <w:b/>
          <w:bCs/>
          <w:color w:val="000000" w:themeColor="text1"/>
          <w:lang w:eastAsia="es-MX"/>
        </w:rPr>
        <w:t>1</w:t>
      </w:r>
      <w:r w:rsidR="00A52A0C" w:rsidRPr="00B0578D">
        <w:rPr>
          <w:rFonts w:ascii="Palatino Linotype" w:hAnsi="Palatino Linotype" w:cs="Arial"/>
          <w:b/>
          <w:bCs/>
          <w:color w:val="000000" w:themeColor="text1"/>
          <w:lang w:eastAsia="es-MX"/>
        </w:rPr>
        <w:t>6633</w:t>
      </w:r>
      <w:r w:rsidR="00F91466" w:rsidRPr="00B0578D">
        <w:rPr>
          <w:rFonts w:ascii="Palatino Linotype" w:hAnsi="Palatino Linotype" w:cs="Arial"/>
          <w:b/>
          <w:bCs/>
          <w:color w:val="000000" w:themeColor="text1"/>
          <w:lang w:eastAsia="es-MX"/>
        </w:rPr>
        <w:t>/INFOEM/IP/RR/2022</w:t>
      </w:r>
      <w:r w:rsidR="00F91466" w:rsidRPr="00B0578D">
        <w:rPr>
          <w:rFonts w:ascii="Palatino Linotype" w:eastAsia="Times New Roman" w:hAnsi="Palatino Linotype" w:cs="Arial"/>
          <w:bCs/>
          <w:color w:val="000000" w:themeColor="text1"/>
        </w:rPr>
        <w:t xml:space="preserve">, </w:t>
      </w:r>
      <w:r w:rsidR="00F91466" w:rsidRPr="00B0578D">
        <w:rPr>
          <w:rFonts w:ascii="Palatino Linotype" w:eastAsia="Times New Roman" w:hAnsi="Palatino Linotype" w:cs="Times New Roman"/>
          <w:color w:val="000000" w:themeColor="text1"/>
        </w:rPr>
        <w:t xml:space="preserve">promovido por </w:t>
      </w:r>
      <w:r w:rsidR="00365130" w:rsidRPr="00B0578D">
        <w:rPr>
          <w:rFonts w:ascii="Palatino Linotype" w:eastAsia="Times New Roman" w:hAnsi="Palatino Linotype" w:cs="Times New Roman"/>
          <w:color w:val="000000" w:themeColor="text1"/>
        </w:rPr>
        <w:t>un</w:t>
      </w:r>
      <w:r w:rsidR="00365130" w:rsidRPr="00B0578D">
        <w:rPr>
          <w:rFonts w:ascii="Palatino Linotype" w:eastAsia="Times New Roman" w:hAnsi="Palatino Linotype" w:cs="Times New Roman"/>
          <w:b/>
          <w:bCs/>
          <w:color w:val="000000" w:themeColor="text1"/>
        </w:rPr>
        <w:t xml:space="preserve"> </w:t>
      </w:r>
      <w:r w:rsidR="00F91466" w:rsidRPr="00B0578D">
        <w:rPr>
          <w:rFonts w:ascii="Palatino Linotype" w:hAnsi="Palatino Linotype"/>
          <w:b/>
        </w:rPr>
        <w:t>Recurrente</w:t>
      </w:r>
      <w:r w:rsidR="00365130" w:rsidRPr="00B0578D">
        <w:rPr>
          <w:rFonts w:ascii="Palatino Linotype" w:hAnsi="Palatino Linotype"/>
          <w:b/>
        </w:rPr>
        <w:t xml:space="preserve"> o Particular</w:t>
      </w:r>
      <w:r w:rsidR="00F91466" w:rsidRPr="00B0578D">
        <w:rPr>
          <w:rFonts w:ascii="Palatino Linotype" w:eastAsia="Times New Roman" w:hAnsi="Palatino Linotype" w:cs="Arial"/>
          <w:color w:val="000000" w:themeColor="text1"/>
        </w:rPr>
        <w:t xml:space="preserve">, en contra de la respuesta </w:t>
      </w:r>
      <w:r w:rsidR="00142B9F" w:rsidRPr="00B0578D">
        <w:rPr>
          <w:rFonts w:ascii="Palatino Linotype" w:eastAsia="Times New Roman" w:hAnsi="Palatino Linotype" w:cs="Arial"/>
          <w:b/>
          <w:bCs/>
          <w:color w:val="000000" w:themeColor="text1"/>
        </w:rPr>
        <w:t xml:space="preserve">del Ayuntamiento de </w:t>
      </w:r>
      <w:r w:rsidR="00A52A0C" w:rsidRPr="00B0578D">
        <w:rPr>
          <w:rFonts w:ascii="Palatino Linotype" w:eastAsia="Times New Roman" w:hAnsi="Palatino Linotype" w:cs="Arial"/>
          <w:b/>
          <w:bCs/>
          <w:color w:val="000000" w:themeColor="text1"/>
        </w:rPr>
        <w:t>Huixquilucan</w:t>
      </w:r>
      <w:r w:rsidR="00F91466" w:rsidRPr="00B0578D">
        <w:rPr>
          <w:rFonts w:ascii="Palatino Linotype" w:eastAsia="Calibri" w:hAnsi="Palatino Linotype" w:cs="Arial"/>
          <w:color w:val="000000" w:themeColor="text1"/>
          <w:lang w:val="es-ES"/>
        </w:rPr>
        <w:t xml:space="preserve">, </w:t>
      </w:r>
      <w:r w:rsidR="00F91466" w:rsidRPr="00B0578D">
        <w:rPr>
          <w:rFonts w:ascii="Palatino Linotype" w:eastAsia="Times New Roman" w:hAnsi="Palatino Linotype" w:cs="Times New Roman"/>
          <w:color w:val="000000" w:themeColor="text1"/>
        </w:rPr>
        <w:t>en lo sucesivo el</w:t>
      </w:r>
      <w:r w:rsidR="00F91466" w:rsidRPr="00B0578D">
        <w:rPr>
          <w:rFonts w:ascii="Palatino Linotype" w:eastAsia="Times New Roman" w:hAnsi="Palatino Linotype" w:cs="Times New Roman"/>
          <w:b/>
          <w:color w:val="000000" w:themeColor="text1"/>
        </w:rPr>
        <w:t xml:space="preserve"> SUJETO OBLIGADO, </w:t>
      </w:r>
      <w:r w:rsidR="00F91466" w:rsidRPr="00B0578D">
        <w:rPr>
          <w:rFonts w:ascii="Palatino Linotype" w:eastAsia="Times New Roman" w:hAnsi="Palatino Linotype" w:cs="Times New Roman"/>
          <w:color w:val="000000" w:themeColor="text1"/>
        </w:rPr>
        <w:t>se procede a dictar la presente resolución, con base en los siguientes:</w:t>
      </w:r>
    </w:p>
    <w:p w14:paraId="27103692" w14:textId="77777777" w:rsidR="00933948" w:rsidRPr="00B0578D" w:rsidRDefault="00933948" w:rsidP="00C1682A">
      <w:pPr>
        <w:tabs>
          <w:tab w:val="left" w:pos="0"/>
        </w:tabs>
        <w:spacing w:line="360" w:lineRule="auto"/>
        <w:jc w:val="both"/>
        <w:rPr>
          <w:rFonts w:ascii="Palatino Linotype" w:hAnsi="Palatino Linotype"/>
        </w:rPr>
      </w:pPr>
    </w:p>
    <w:p w14:paraId="340A3EE1" w14:textId="77777777" w:rsidR="008A5A73" w:rsidRPr="00B0578D"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B0578D">
        <w:rPr>
          <w:rFonts w:ascii="Palatino Linotype" w:hAnsi="Palatino Linotype"/>
          <w:b/>
          <w:color w:val="000000" w:themeColor="text1"/>
          <w:sz w:val="24"/>
        </w:rPr>
        <w:t>ANTECEDENTES</w:t>
      </w:r>
      <w:bookmarkEnd w:id="0"/>
      <w:bookmarkEnd w:id="1"/>
      <w:bookmarkEnd w:id="2"/>
      <w:bookmarkEnd w:id="3"/>
    </w:p>
    <w:p w14:paraId="081B0E4A" w14:textId="77777777" w:rsidR="00C1682A" w:rsidRPr="00B0578D" w:rsidRDefault="00C1682A" w:rsidP="00C1682A">
      <w:pPr>
        <w:rPr>
          <w:lang w:eastAsia="en-US"/>
        </w:rPr>
      </w:pPr>
    </w:p>
    <w:p w14:paraId="10FFEA7A" w14:textId="62B9B1D9" w:rsidR="00F91466" w:rsidRPr="00B0578D" w:rsidRDefault="00112BFF"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El </w:t>
      </w:r>
      <w:r w:rsidR="00A52A0C" w:rsidRPr="00B0578D">
        <w:rPr>
          <w:rFonts w:ascii="Palatino Linotype" w:eastAsia="Calibri" w:hAnsi="Palatino Linotype" w:cs="Arial"/>
          <w:bCs/>
          <w:color w:val="000000" w:themeColor="text1"/>
          <w:lang w:val="es-ES"/>
        </w:rPr>
        <w:t xml:space="preserve">veinticuatro </w:t>
      </w:r>
      <w:r w:rsidR="00F91466" w:rsidRPr="00B0578D">
        <w:rPr>
          <w:rFonts w:ascii="Palatino Linotype" w:eastAsia="Calibri" w:hAnsi="Palatino Linotype" w:cs="Arial"/>
          <w:bCs/>
          <w:color w:val="000000" w:themeColor="text1"/>
          <w:lang w:val="es-ES"/>
        </w:rPr>
        <w:t>(</w:t>
      </w:r>
      <w:r w:rsidR="00A52A0C" w:rsidRPr="00B0578D">
        <w:rPr>
          <w:rFonts w:ascii="Palatino Linotype" w:eastAsia="Calibri" w:hAnsi="Palatino Linotype" w:cs="Arial"/>
          <w:bCs/>
          <w:color w:val="000000" w:themeColor="text1"/>
          <w:lang w:val="es-ES"/>
        </w:rPr>
        <w:t>24</w:t>
      </w:r>
      <w:r w:rsidR="00F91466" w:rsidRPr="00B0578D">
        <w:rPr>
          <w:rFonts w:ascii="Palatino Linotype" w:eastAsia="Calibri" w:hAnsi="Palatino Linotype" w:cs="Arial"/>
          <w:bCs/>
          <w:color w:val="000000" w:themeColor="text1"/>
          <w:lang w:val="es-ES"/>
        </w:rPr>
        <w:t xml:space="preserve">) de </w:t>
      </w:r>
      <w:r w:rsidR="00A52A0C" w:rsidRPr="00B0578D">
        <w:rPr>
          <w:rFonts w:ascii="Palatino Linotype" w:eastAsia="Calibri" w:hAnsi="Palatino Linotype" w:cs="Arial"/>
          <w:bCs/>
          <w:color w:val="000000" w:themeColor="text1"/>
          <w:lang w:val="es-ES"/>
        </w:rPr>
        <w:t>octubre</w:t>
      </w:r>
      <w:r w:rsidR="00F91466" w:rsidRPr="00B0578D">
        <w:rPr>
          <w:rFonts w:ascii="Palatino Linotype" w:eastAsia="Calibri" w:hAnsi="Palatino Linotype" w:cs="Arial"/>
          <w:bCs/>
          <w:color w:val="000000" w:themeColor="text1"/>
          <w:lang w:val="es-ES"/>
        </w:rPr>
        <w:t xml:space="preserve"> de dos </w:t>
      </w:r>
      <w:r w:rsidR="00F91466" w:rsidRPr="00B0578D">
        <w:rPr>
          <w:rFonts w:ascii="Palatino Linotype" w:eastAsia="Calibri" w:hAnsi="Palatino Linotype" w:cs="Arial"/>
          <w:color w:val="000000" w:themeColor="text1"/>
          <w:lang w:val="es-ES"/>
        </w:rPr>
        <w:t>mil veintidós,</w:t>
      </w:r>
      <w:r w:rsidR="00F91466" w:rsidRPr="00B0578D">
        <w:rPr>
          <w:rFonts w:ascii="Palatino Linotype" w:eastAsia="Calibri" w:hAnsi="Palatino Linotype" w:cs="Times New Roman"/>
          <w:color w:val="000000" w:themeColor="text1"/>
          <w:lang w:val="es-ES"/>
        </w:rPr>
        <w:t xml:space="preserve"> </w:t>
      </w:r>
      <w:r w:rsidR="00F91466" w:rsidRPr="00B0578D">
        <w:rPr>
          <w:rFonts w:ascii="Palatino Linotype" w:eastAsia="Calibri" w:hAnsi="Palatino Linotype" w:cs="Arial"/>
          <w:color w:val="000000" w:themeColor="text1"/>
          <w:lang w:val="es-ES"/>
        </w:rPr>
        <w:t>se</w:t>
      </w:r>
      <w:r w:rsidR="00F91466" w:rsidRPr="00B0578D">
        <w:rPr>
          <w:rFonts w:ascii="Palatino Linotype" w:eastAsia="Calibri" w:hAnsi="Palatino Linotype" w:cs="Arial"/>
          <w:b/>
          <w:color w:val="000000" w:themeColor="text1"/>
          <w:lang w:val="es-ES"/>
        </w:rPr>
        <w:t xml:space="preserve"> </w:t>
      </w:r>
      <w:r w:rsidR="00F91466" w:rsidRPr="00B0578D">
        <w:rPr>
          <w:rFonts w:ascii="Palatino Linotype" w:hAnsi="Palatino Linotype"/>
          <w:color w:val="000000" w:themeColor="text1"/>
        </w:rPr>
        <w:t>presentaron</w:t>
      </w:r>
      <w:r w:rsidR="00F91466" w:rsidRPr="00B0578D">
        <w:rPr>
          <w:rFonts w:ascii="Palatino Linotype" w:hAnsi="Palatino Linotype"/>
          <w:b/>
          <w:color w:val="000000" w:themeColor="text1"/>
        </w:rPr>
        <w:t xml:space="preserve"> </w:t>
      </w:r>
      <w:r w:rsidR="00F91466" w:rsidRPr="00B0578D">
        <w:rPr>
          <w:rFonts w:ascii="Palatino Linotype" w:eastAsia="Calibri" w:hAnsi="Palatino Linotype" w:cs="Arial"/>
          <w:color w:val="000000" w:themeColor="text1"/>
        </w:rPr>
        <w:t xml:space="preserve">vía Sistema de Acceso a la Información Mexiquense </w:t>
      </w:r>
      <w:r w:rsidR="00F91466" w:rsidRPr="00B0578D">
        <w:rPr>
          <w:rFonts w:ascii="Palatino Linotype" w:eastAsia="Calibri" w:hAnsi="Palatino Linotype" w:cs="Arial"/>
          <w:b/>
          <w:color w:val="000000" w:themeColor="text1"/>
        </w:rPr>
        <w:t>(SAIMEX)</w:t>
      </w:r>
      <w:r w:rsidR="00F91466" w:rsidRPr="00B0578D">
        <w:rPr>
          <w:rFonts w:ascii="Palatino Linotype" w:eastAsia="Calibri" w:hAnsi="Palatino Linotype" w:cs="Arial"/>
          <w:b/>
          <w:color w:val="000000" w:themeColor="text1"/>
          <w:lang w:val="es-ES"/>
        </w:rPr>
        <w:t>,</w:t>
      </w:r>
      <w:r w:rsidR="00F91466" w:rsidRPr="00B0578D">
        <w:rPr>
          <w:rFonts w:ascii="Palatino Linotype" w:eastAsia="Calibri" w:hAnsi="Palatino Linotype" w:cs="Arial"/>
          <w:color w:val="000000" w:themeColor="text1"/>
          <w:lang w:val="es-ES"/>
        </w:rPr>
        <w:t xml:space="preserve"> la solicitud de información pública registrada con el número </w:t>
      </w:r>
      <w:r w:rsidR="00F91466" w:rsidRPr="00B0578D">
        <w:rPr>
          <w:rFonts w:ascii="Palatino Linotype" w:hAnsi="Palatino Linotype"/>
          <w:b/>
        </w:rPr>
        <w:t>00</w:t>
      </w:r>
      <w:r w:rsidR="00A52A0C" w:rsidRPr="00B0578D">
        <w:rPr>
          <w:rFonts w:ascii="Palatino Linotype" w:hAnsi="Palatino Linotype"/>
          <w:b/>
        </w:rPr>
        <w:t>639</w:t>
      </w:r>
      <w:r w:rsidR="00F91466" w:rsidRPr="00B0578D">
        <w:rPr>
          <w:rFonts w:ascii="Palatino Linotype" w:hAnsi="Palatino Linotype"/>
          <w:b/>
        </w:rPr>
        <w:t>/</w:t>
      </w:r>
      <w:r w:rsidR="00A52A0C" w:rsidRPr="00B0578D">
        <w:rPr>
          <w:rFonts w:ascii="Palatino Linotype" w:hAnsi="Palatino Linotype"/>
          <w:b/>
        </w:rPr>
        <w:t>HUIXQUIL</w:t>
      </w:r>
      <w:r w:rsidR="00F91466" w:rsidRPr="00B0578D">
        <w:rPr>
          <w:rFonts w:ascii="Palatino Linotype" w:hAnsi="Palatino Linotype"/>
          <w:b/>
        </w:rPr>
        <w:t>/IP/2022</w:t>
      </w:r>
      <w:r w:rsidR="00F91466" w:rsidRPr="00B0578D">
        <w:rPr>
          <w:rFonts w:ascii="Palatino Linotype" w:hAnsi="Palatino Linotype"/>
          <w:b/>
          <w:bCs/>
          <w:color w:val="000000" w:themeColor="text1"/>
        </w:rPr>
        <w:t>,</w:t>
      </w:r>
      <w:r w:rsidR="00F91466" w:rsidRPr="00B0578D">
        <w:rPr>
          <w:rFonts w:ascii="Palatino Linotype" w:eastAsia="Calibri" w:hAnsi="Palatino Linotype" w:cs="Arial"/>
          <w:color w:val="000000" w:themeColor="text1"/>
          <w:lang w:val="es-ES"/>
        </w:rPr>
        <w:t xml:space="preserve"> mediante la cual se requirió lo siguiente:</w:t>
      </w:r>
    </w:p>
    <w:p w14:paraId="44D309A2" w14:textId="77777777" w:rsidR="00F91466" w:rsidRPr="00B0578D" w:rsidRDefault="00F91466" w:rsidP="00F91466">
      <w:pPr>
        <w:tabs>
          <w:tab w:val="left" w:pos="426"/>
          <w:tab w:val="left" w:pos="567"/>
        </w:tabs>
        <w:spacing w:line="360" w:lineRule="auto"/>
        <w:jc w:val="both"/>
        <w:rPr>
          <w:rFonts w:ascii="Palatino Linotype" w:eastAsia="Calibri" w:hAnsi="Palatino Linotype" w:cs="Arial"/>
          <w:color w:val="000000" w:themeColor="text1"/>
          <w:lang w:val="es-ES"/>
        </w:rPr>
      </w:pPr>
    </w:p>
    <w:p w14:paraId="6F257858" w14:textId="211E22CA" w:rsidR="00F91466" w:rsidRPr="00B0578D" w:rsidRDefault="00F91466" w:rsidP="00142B9F">
      <w:pPr>
        <w:ind w:left="567" w:right="565"/>
        <w:jc w:val="both"/>
        <w:rPr>
          <w:rFonts w:ascii="Palatino Linotype" w:eastAsia="Times New Roman" w:hAnsi="Palatino Linotype" w:cs="Times New Roman"/>
          <w:i/>
          <w:iCs/>
          <w:sz w:val="22"/>
          <w:szCs w:val="22"/>
          <w:lang w:val="es-MX" w:eastAsia="es-MX"/>
        </w:rPr>
      </w:pPr>
      <w:r w:rsidRPr="00B0578D">
        <w:rPr>
          <w:rFonts w:ascii="Palatino Linotype" w:hAnsi="Palatino Linotype"/>
          <w:i/>
          <w:iCs/>
          <w:color w:val="000000"/>
          <w:sz w:val="22"/>
          <w:szCs w:val="22"/>
        </w:rPr>
        <w:t>“</w:t>
      </w:r>
      <w:r w:rsidR="00A52A0C" w:rsidRPr="00B0578D">
        <w:rPr>
          <w:rFonts w:ascii="Palatino Linotype" w:hAnsi="Palatino Linotype"/>
          <w:i/>
          <w:iCs/>
          <w:color w:val="000000"/>
          <w:sz w:val="22"/>
          <w:szCs w:val="22"/>
        </w:rPr>
        <w:t>Quiero saber bajo que normatividad específicamente se fundamentan y motivan los actos que emite la DIRECCION DE CATASTRO de la Tesorería de Huixquilucan sobre diferencias de construcción actuando como autoridad fiscal siendo autoridades catastrales</w:t>
      </w:r>
      <w:r w:rsidRPr="00B0578D">
        <w:rPr>
          <w:rFonts w:ascii="Palatino Linotype" w:hAnsi="Palatino Linotype"/>
          <w:i/>
          <w:iCs/>
          <w:sz w:val="22"/>
          <w:szCs w:val="22"/>
        </w:rPr>
        <w:t>” (Sic)</w:t>
      </w:r>
    </w:p>
    <w:p w14:paraId="0B86C8C6" w14:textId="77777777" w:rsidR="00883F62" w:rsidRPr="00B0578D" w:rsidRDefault="00883F62" w:rsidP="00883F62">
      <w:pPr>
        <w:tabs>
          <w:tab w:val="left" w:pos="426"/>
          <w:tab w:val="left" w:pos="567"/>
        </w:tabs>
        <w:spacing w:line="360" w:lineRule="auto"/>
        <w:ind w:right="565"/>
        <w:jc w:val="both"/>
        <w:rPr>
          <w:rFonts w:ascii="Palatino Linotype" w:eastAsia="Calibri" w:hAnsi="Palatino Linotype" w:cs="Arial"/>
          <w:color w:val="000000" w:themeColor="text1"/>
        </w:rPr>
      </w:pPr>
    </w:p>
    <w:p w14:paraId="3D61F425" w14:textId="695E4BBC" w:rsidR="00365130" w:rsidRPr="00B0578D" w:rsidRDefault="007D17AA" w:rsidP="0036513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Se </w:t>
      </w:r>
      <w:r w:rsidR="00F91466" w:rsidRPr="00B0578D">
        <w:rPr>
          <w:rFonts w:ascii="Palatino Linotype" w:eastAsia="Times New Roman" w:hAnsi="Palatino Linotype" w:cs="Arial"/>
          <w:lang w:val="es-ES"/>
        </w:rPr>
        <w:t>señaló como modalidad de entrega de la información:</w:t>
      </w:r>
      <w:r w:rsidR="00142B9F" w:rsidRPr="00B0578D">
        <w:rPr>
          <w:rFonts w:ascii="Palatino Linotype" w:eastAsia="Times New Roman" w:hAnsi="Palatino Linotype" w:cs="Arial"/>
          <w:lang w:val="es-ES"/>
        </w:rPr>
        <w:t xml:space="preserve"> </w:t>
      </w:r>
      <w:r w:rsidR="00142B9F" w:rsidRPr="00B0578D">
        <w:rPr>
          <w:rFonts w:ascii="Palatino Linotype" w:eastAsia="Times New Roman" w:hAnsi="Palatino Linotype" w:cs="Arial"/>
          <w:b/>
          <w:bCs/>
          <w:lang w:val="es-ES"/>
        </w:rPr>
        <w:t>A través de SAIEMEX.</w:t>
      </w:r>
    </w:p>
    <w:p w14:paraId="0B7A626C" w14:textId="782BF1E5" w:rsidR="00883F62" w:rsidRPr="00B0578D" w:rsidRDefault="00B80DD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lastRenderedPageBreak/>
        <w:t xml:space="preserve">El </w:t>
      </w:r>
      <w:r w:rsidR="00A52A0C" w:rsidRPr="00B0578D">
        <w:rPr>
          <w:rFonts w:ascii="Palatino Linotype" w:eastAsia="Calibri" w:hAnsi="Palatino Linotype" w:cs="Arial"/>
          <w:color w:val="000000" w:themeColor="text1"/>
          <w:lang w:val="es-ES"/>
        </w:rPr>
        <w:t>veinticinco</w:t>
      </w:r>
      <w:r w:rsidR="00F91466" w:rsidRPr="00B0578D">
        <w:rPr>
          <w:rFonts w:ascii="Palatino Linotype" w:eastAsia="Calibri" w:hAnsi="Palatino Linotype" w:cs="Arial"/>
          <w:color w:val="000000" w:themeColor="text1"/>
          <w:lang w:val="es-AR"/>
        </w:rPr>
        <w:t xml:space="preserve"> (</w:t>
      </w:r>
      <w:r w:rsidR="00A52A0C" w:rsidRPr="00B0578D">
        <w:rPr>
          <w:rFonts w:ascii="Palatino Linotype" w:eastAsia="Calibri" w:hAnsi="Palatino Linotype" w:cs="Arial"/>
          <w:color w:val="000000" w:themeColor="text1"/>
          <w:lang w:val="es-AR"/>
        </w:rPr>
        <w:t>25</w:t>
      </w:r>
      <w:r w:rsidR="00F91466" w:rsidRPr="00B0578D">
        <w:rPr>
          <w:rFonts w:ascii="Palatino Linotype" w:eastAsia="Calibri" w:hAnsi="Palatino Linotype" w:cs="Arial"/>
          <w:color w:val="000000" w:themeColor="text1"/>
          <w:lang w:val="es-AR"/>
        </w:rPr>
        <w:t xml:space="preserve">) de </w:t>
      </w:r>
      <w:r w:rsidR="00A52A0C" w:rsidRPr="00B0578D">
        <w:rPr>
          <w:rFonts w:ascii="Palatino Linotype" w:eastAsia="Calibri" w:hAnsi="Palatino Linotype" w:cs="Arial"/>
          <w:color w:val="000000" w:themeColor="text1"/>
          <w:lang w:val="es-AR"/>
        </w:rPr>
        <w:t xml:space="preserve">octubre </w:t>
      </w:r>
      <w:r w:rsidR="00F91466" w:rsidRPr="00B0578D">
        <w:rPr>
          <w:rFonts w:ascii="Palatino Linotype" w:eastAsia="Calibri" w:hAnsi="Palatino Linotype" w:cs="Arial"/>
          <w:color w:val="000000" w:themeColor="text1"/>
          <w:lang w:val="es-AR"/>
        </w:rPr>
        <w:t xml:space="preserve">de dos mil veintidós, el </w:t>
      </w:r>
      <w:r w:rsidR="00F91466" w:rsidRPr="00B0578D">
        <w:rPr>
          <w:rFonts w:ascii="Palatino Linotype" w:eastAsia="Calibri" w:hAnsi="Palatino Linotype" w:cs="Arial"/>
          <w:b/>
          <w:bCs/>
          <w:color w:val="000000" w:themeColor="text1"/>
          <w:lang w:val="es-AR"/>
        </w:rPr>
        <w:t>SUJETO OBLIGADO</w:t>
      </w:r>
      <w:r w:rsidR="00F91466" w:rsidRPr="00B0578D">
        <w:rPr>
          <w:rFonts w:ascii="Palatino Linotype" w:eastAsia="Calibri" w:hAnsi="Palatino Linotype" w:cs="Arial"/>
          <w:color w:val="000000" w:themeColor="text1"/>
          <w:lang w:val="es-AR"/>
        </w:rPr>
        <w:t xml:space="preserve"> realizó un requerimiento al Servidor Público Habilitado, como se observa:</w:t>
      </w:r>
    </w:p>
    <w:p w14:paraId="48EBC97D" w14:textId="77777777" w:rsidR="00A52A0C" w:rsidRPr="00B0578D" w:rsidRDefault="00A52A0C" w:rsidP="00A52A0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DE845D" w14:textId="7D40F98E" w:rsidR="00B80DDA" w:rsidRPr="00B0578D" w:rsidRDefault="00A52A0C"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B0578D">
        <w:rPr>
          <w:rFonts w:ascii="Palatino Linotype" w:eastAsia="Calibri" w:hAnsi="Palatino Linotype" w:cs="Arial"/>
          <w:noProof/>
          <w:color w:val="000000" w:themeColor="text1"/>
          <w:lang w:val="es-MX" w:eastAsia="es-MX"/>
        </w:rPr>
        <w:drawing>
          <wp:inline distT="0" distB="0" distL="0" distR="0" wp14:anchorId="16C64BB3" wp14:editId="21E7DB3E">
            <wp:extent cx="5579745" cy="450215"/>
            <wp:effectExtent l="12700" t="12700" r="825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stretch>
                      <a:fillRect/>
                    </a:stretch>
                  </pic:blipFill>
                  <pic:spPr>
                    <a:xfrm>
                      <a:off x="0" y="0"/>
                      <a:ext cx="5579745" cy="450215"/>
                    </a:xfrm>
                    <a:prstGeom prst="rect">
                      <a:avLst/>
                    </a:prstGeom>
                    <a:ln>
                      <a:solidFill>
                        <a:schemeClr val="tx1"/>
                      </a:solidFill>
                    </a:ln>
                  </pic:spPr>
                </pic:pic>
              </a:graphicData>
            </a:graphic>
          </wp:inline>
        </w:drawing>
      </w:r>
    </w:p>
    <w:p w14:paraId="25C64BB9" w14:textId="77777777" w:rsidR="00142B9F" w:rsidRPr="00B0578D" w:rsidRDefault="00142B9F"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8898AE" w14:textId="2A427150" w:rsidR="00E41C80" w:rsidRPr="00B0578D"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AR"/>
        </w:rPr>
        <w:t xml:space="preserve">El </w:t>
      </w:r>
      <w:r w:rsidR="00A52A0C" w:rsidRPr="00B0578D">
        <w:rPr>
          <w:rFonts w:ascii="Palatino Linotype" w:eastAsia="Calibri" w:hAnsi="Palatino Linotype" w:cs="Arial"/>
          <w:color w:val="000000" w:themeColor="text1"/>
          <w:lang w:val="es-AR"/>
        </w:rPr>
        <w:t xml:space="preserve">quince </w:t>
      </w:r>
      <w:r w:rsidR="00F91466" w:rsidRPr="00B0578D">
        <w:rPr>
          <w:rFonts w:ascii="Palatino Linotype" w:eastAsia="Calibri" w:hAnsi="Palatino Linotype" w:cs="Arial"/>
          <w:color w:val="000000" w:themeColor="text1"/>
        </w:rPr>
        <w:t>(</w:t>
      </w:r>
      <w:r w:rsidR="00A52A0C" w:rsidRPr="00B0578D">
        <w:rPr>
          <w:rFonts w:ascii="Palatino Linotype" w:eastAsia="Calibri" w:hAnsi="Palatino Linotype" w:cs="Arial"/>
          <w:color w:val="000000" w:themeColor="text1"/>
        </w:rPr>
        <w:t>15</w:t>
      </w:r>
      <w:r w:rsidR="00F91466" w:rsidRPr="00B0578D">
        <w:rPr>
          <w:rFonts w:ascii="Palatino Linotype" w:eastAsia="Calibri" w:hAnsi="Palatino Linotype" w:cs="Arial"/>
          <w:color w:val="000000" w:themeColor="text1"/>
        </w:rPr>
        <w:t xml:space="preserve">) de </w:t>
      </w:r>
      <w:r w:rsidR="00A52A0C" w:rsidRPr="00B0578D">
        <w:rPr>
          <w:rFonts w:ascii="Palatino Linotype" w:eastAsia="Calibri" w:hAnsi="Palatino Linotype" w:cs="Arial"/>
          <w:color w:val="000000" w:themeColor="text1"/>
        </w:rPr>
        <w:t>noviembre</w:t>
      </w:r>
      <w:r w:rsidR="00F91466" w:rsidRPr="00B0578D">
        <w:rPr>
          <w:rFonts w:ascii="Palatino Linotype" w:eastAsia="Calibri" w:hAnsi="Palatino Linotype" w:cs="Arial"/>
          <w:color w:val="000000" w:themeColor="text1"/>
        </w:rPr>
        <w:t xml:space="preserve"> de dos mil veintidós, el </w:t>
      </w:r>
      <w:r w:rsidR="00F91466" w:rsidRPr="00B0578D">
        <w:rPr>
          <w:rFonts w:ascii="Palatino Linotype" w:eastAsia="Times New Roman" w:hAnsi="Palatino Linotype" w:cs="Arial"/>
          <w:b/>
          <w:color w:val="000000" w:themeColor="text1"/>
          <w:lang w:val="es-ES"/>
        </w:rPr>
        <w:t xml:space="preserve">SUJETO </w:t>
      </w:r>
      <w:r w:rsidR="00F91466" w:rsidRPr="00B0578D">
        <w:rPr>
          <w:rFonts w:ascii="Palatino Linotype" w:hAnsi="Palatino Linotype" w:cs="Arial"/>
          <w:b/>
        </w:rPr>
        <w:t>OBLIGADO</w:t>
      </w:r>
      <w:r w:rsidR="00F91466" w:rsidRPr="00B0578D">
        <w:rPr>
          <w:rFonts w:ascii="Palatino Linotype" w:hAnsi="Palatino Linotype" w:cs="Arial"/>
        </w:rPr>
        <w:t xml:space="preserve"> emitió respuesta a la solicitud de información, en los siguientes términos:</w:t>
      </w:r>
    </w:p>
    <w:p w14:paraId="5956548E" w14:textId="77777777" w:rsidR="000A5E8D" w:rsidRPr="00B0578D" w:rsidRDefault="000A5E8D" w:rsidP="00D25EA5">
      <w:pPr>
        <w:spacing w:line="276" w:lineRule="auto"/>
        <w:ind w:right="565"/>
        <w:jc w:val="both"/>
        <w:rPr>
          <w:rFonts w:ascii="Palatino Linotype" w:eastAsia="Times New Roman" w:hAnsi="Palatino Linotype" w:cs="Times New Roman"/>
          <w:sz w:val="22"/>
          <w:szCs w:val="22"/>
          <w:lang w:val="es-MX" w:eastAsia="es-ES_tradnl"/>
        </w:rPr>
      </w:pPr>
    </w:p>
    <w:p w14:paraId="13EA5BA3" w14:textId="568CC5E2" w:rsidR="00F91466" w:rsidRPr="00B0578D" w:rsidRDefault="00F91466" w:rsidP="00A64D31">
      <w:pPr>
        <w:ind w:left="567" w:right="565"/>
        <w:jc w:val="both"/>
        <w:rPr>
          <w:rFonts w:ascii="Palatino Linotype" w:eastAsia="Times New Roman" w:hAnsi="Palatino Linotype" w:cs="Times New Roman"/>
          <w:i/>
          <w:iCs/>
          <w:sz w:val="22"/>
          <w:szCs w:val="22"/>
          <w:lang w:val="es-MX" w:eastAsia="es-MX"/>
        </w:rPr>
      </w:pPr>
      <w:r w:rsidRPr="00B0578D">
        <w:rPr>
          <w:rFonts w:ascii="Palatino Linotype" w:hAnsi="Palatino Linotype" w:cs="Arial"/>
          <w:i/>
          <w:iCs/>
          <w:sz w:val="22"/>
          <w:szCs w:val="22"/>
        </w:rPr>
        <w:t>“</w:t>
      </w:r>
      <w:r w:rsidR="00365130" w:rsidRPr="00B0578D">
        <w:rPr>
          <w:rFonts w:ascii="Palatino Linotype" w:hAnsi="Palatino Linotype" w:cs="Arial"/>
          <w:i/>
          <w:iCs/>
          <w:sz w:val="22"/>
          <w:szCs w:val="22"/>
        </w:rPr>
        <w:t>…</w:t>
      </w:r>
      <w:r w:rsidR="00A64D31" w:rsidRPr="00B0578D">
        <w:rPr>
          <w:rFonts w:ascii="Palatino Linotype" w:hAnsi="Palatino Linotype" w:cs="Arial"/>
          <w:i/>
          <w:iCs/>
          <w:sz w:val="22"/>
          <w:szCs w:val="22"/>
        </w:rPr>
        <w:t>CON</w:t>
      </w:r>
      <w:r w:rsidR="00365130" w:rsidRPr="00B0578D">
        <w:rPr>
          <w:rFonts w:ascii="Palatino Linotype" w:hAnsi="Palatino Linotype" w:cs="Arial"/>
          <w:i/>
          <w:iCs/>
          <w:sz w:val="22"/>
          <w:szCs w:val="22"/>
        </w:rPr>
        <w:t xml:space="preserve"> </w:t>
      </w:r>
      <w:r w:rsidR="00A64D31" w:rsidRPr="00B0578D">
        <w:rPr>
          <w:rFonts w:ascii="Palatino Linotype" w:hAnsi="Palatino Linotype"/>
          <w:i/>
          <w:iCs/>
          <w:color w:val="000000"/>
          <w:sz w:val="22"/>
          <w:szCs w:val="22"/>
        </w:rPr>
        <w:t xml:space="preserve">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00639/HUIXQUIL/IP/2022, MISMA QUE A LA LETRA DICE: “Quiero saber bajo que normatividad específicamente se fundamentan y motivan los actos que emite la DIRECCION DE CATASTRO de la Tesorería de Huixquilucan sobre diferencias de construcción actuando como autoridad fiscal siendo autoridades </w:t>
      </w:r>
      <w:r w:rsidR="00A64D31" w:rsidRPr="00B0578D">
        <w:rPr>
          <w:rFonts w:ascii="Palatino Linotype" w:hAnsi="Palatino Linotype"/>
          <w:i/>
          <w:iCs/>
          <w:color w:val="000000"/>
          <w:sz w:val="22"/>
          <w:szCs w:val="22"/>
        </w:rPr>
        <w:lastRenderedPageBreak/>
        <w:t>catastrales.” (SIC) SOBRE EL PARTICULAR, ESTA UNIDAD DE TRANSPARENCIA EN EJERCICIO DE LAS ATRIBUCIONES QUE LA LEY LE CONFIERE, TURNO SU SOLICITUD DE INFORMACIÓN A LA SIGUIENTE AREA ADMINISTRATIVA: TESORERÌA MUNICIPAL QUE DE CONFORMIDAD CON LO ESTABLECIDO EN EL REGRLAMENTO ORGANICO MUNICIPAL ES COMPETENTE PARA CONTESTAR SU SOLICITUD DE INFORMACIÓN, MISMA QUE MANIFESTO LO SIGUIENTE: TESORERÌA MUNICIPAL: “SE ADJUNTA PDF.” (sic) SE ADJUNTA DOCUMENTO EN FORMATO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 (Sic)</w:t>
      </w:r>
    </w:p>
    <w:p w14:paraId="20CA274D" w14:textId="77777777" w:rsidR="00F91466" w:rsidRPr="00B0578D" w:rsidRDefault="00F91466" w:rsidP="00F91466">
      <w:pPr>
        <w:ind w:right="565"/>
        <w:jc w:val="both"/>
        <w:rPr>
          <w:rFonts w:ascii="Palatino Linotype" w:hAnsi="Palatino Linotype" w:cs="Arial"/>
          <w:i/>
          <w:iCs/>
          <w:sz w:val="22"/>
          <w:szCs w:val="22"/>
        </w:rPr>
      </w:pPr>
    </w:p>
    <w:p w14:paraId="22343568" w14:textId="34B2C791" w:rsidR="00365130" w:rsidRPr="00B0578D" w:rsidRDefault="00F91466" w:rsidP="00A64D31">
      <w:pPr>
        <w:spacing w:line="360" w:lineRule="auto"/>
        <w:ind w:right="-2"/>
        <w:jc w:val="both"/>
        <w:rPr>
          <w:rFonts w:ascii="Palatino Linotype" w:hAnsi="Palatino Linotype"/>
          <w:b/>
          <w:bCs/>
          <w:color w:val="000000" w:themeColor="text1"/>
          <w:sz w:val="22"/>
          <w:szCs w:val="22"/>
        </w:rPr>
      </w:pPr>
      <w:r w:rsidRPr="00B0578D">
        <w:rPr>
          <w:rFonts w:ascii="Palatino Linotype" w:hAnsi="Palatino Linotype"/>
          <w:sz w:val="22"/>
          <w:szCs w:val="22"/>
          <w:lang w:eastAsia="es-ES_tradnl"/>
        </w:rPr>
        <w:t>Se a</w:t>
      </w:r>
      <w:r w:rsidR="00A64D31" w:rsidRPr="00B0578D">
        <w:rPr>
          <w:rFonts w:ascii="Palatino Linotype" w:hAnsi="Palatino Linotype"/>
          <w:sz w:val="22"/>
          <w:szCs w:val="22"/>
          <w:lang w:eastAsia="es-ES_tradnl"/>
        </w:rPr>
        <w:t xml:space="preserve">djuntó un archivo electrónico en formato PDF, denominado </w:t>
      </w:r>
      <w:r w:rsidR="00A64D31" w:rsidRPr="00B0578D">
        <w:rPr>
          <w:rFonts w:ascii="Palatino Linotype" w:hAnsi="Palatino Linotype"/>
          <w:b/>
          <w:bCs/>
          <w:sz w:val="22"/>
          <w:szCs w:val="22"/>
          <w:lang w:eastAsia="es-ES_tradnl"/>
        </w:rPr>
        <w:t>Solicitud 00639HUIXQUILIP2022.pdf</w:t>
      </w:r>
      <w:r w:rsidR="00A64D31" w:rsidRPr="00B0578D">
        <w:rPr>
          <w:rFonts w:ascii="Palatino Linotype" w:hAnsi="Palatino Linotype"/>
          <w:sz w:val="22"/>
          <w:szCs w:val="22"/>
          <w:lang w:eastAsia="es-ES_tradnl"/>
        </w:rPr>
        <w:t xml:space="preserve">, el cual contiene un escrito de cuatro fojas, donde se informa el fundamento legal para cobrar las diferencias de construcción derivadas del Impuesto </w:t>
      </w:r>
      <w:r w:rsidR="00A64D31" w:rsidRPr="00B0578D">
        <w:rPr>
          <w:rFonts w:ascii="Palatino Linotype" w:hAnsi="Palatino Linotype"/>
          <w:sz w:val="22"/>
          <w:szCs w:val="22"/>
          <w:lang w:eastAsia="es-ES_tradnl"/>
        </w:rPr>
        <w:lastRenderedPageBreak/>
        <w:t>predial</w:t>
      </w:r>
      <w:r w:rsidR="00BD1B8B" w:rsidRPr="00B0578D">
        <w:rPr>
          <w:rFonts w:ascii="Palatino Linotype" w:hAnsi="Palatino Linotype"/>
          <w:sz w:val="22"/>
          <w:szCs w:val="22"/>
          <w:lang w:eastAsia="es-ES_tradnl"/>
        </w:rPr>
        <w:t xml:space="preserve"> </w:t>
      </w:r>
      <w:r w:rsidR="00BD1B8B" w:rsidRPr="00B0578D">
        <w:rPr>
          <w:rFonts w:ascii="Palatino Linotype" w:hAnsi="Palatino Linotype" w:cs="Arial"/>
          <w:color w:val="222222"/>
          <w:sz w:val="22"/>
          <w:szCs w:val="22"/>
          <w:shd w:val="clear" w:color="auto" w:fill="FFFFFF"/>
        </w:rPr>
        <w:t>el fundamento legal de las funciones y atribuciones de la Dirección de Catastro y del Tesorero Municipal, en relación con el tema.</w:t>
      </w:r>
    </w:p>
    <w:p w14:paraId="6C76ECBF" w14:textId="77777777" w:rsidR="00883F62" w:rsidRPr="00B0578D" w:rsidRDefault="00883F62" w:rsidP="00D25EA5">
      <w:pPr>
        <w:spacing w:line="276" w:lineRule="auto"/>
        <w:ind w:right="565"/>
        <w:jc w:val="both"/>
        <w:rPr>
          <w:rFonts w:ascii="Palatino Linotype" w:eastAsia="Times New Roman" w:hAnsi="Palatino Linotype" w:cs="Times New Roman"/>
          <w:sz w:val="22"/>
          <w:szCs w:val="22"/>
          <w:lang w:val="es-MX" w:eastAsia="es-ES_tradnl"/>
        </w:rPr>
      </w:pPr>
    </w:p>
    <w:p w14:paraId="296545C9" w14:textId="45DFDF04" w:rsidR="00D9301B" w:rsidRPr="00B0578D"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B0578D">
        <w:rPr>
          <w:rFonts w:ascii="Palatino Linotype" w:eastAsia="Times New Roman" w:hAnsi="Palatino Linotype" w:cs="Arial"/>
          <w:color w:val="000000" w:themeColor="text1"/>
          <w:lang w:val="es-ES"/>
        </w:rPr>
        <w:t>l</w:t>
      </w:r>
      <w:r w:rsidR="00883F62" w:rsidRPr="00B0578D">
        <w:rPr>
          <w:rFonts w:ascii="Palatino Linotype" w:eastAsia="Times New Roman" w:hAnsi="Palatino Linotype" w:cs="Arial"/>
          <w:color w:val="000000" w:themeColor="text1"/>
          <w:lang w:val="es-ES"/>
        </w:rPr>
        <w:t xml:space="preserve"> </w:t>
      </w:r>
      <w:r w:rsidR="00A64D31" w:rsidRPr="00B0578D">
        <w:rPr>
          <w:rFonts w:ascii="Palatino Linotype" w:eastAsia="Times New Roman" w:hAnsi="Palatino Linotype" w:cs="Arial"/>
          <w:bCs/>
          <w:color w:val="000000" w:themeColor="text1"/>
          <w:lang w:val="es-ES"/>
        </w:rPr>
        <w:t>diecisiete</w:t>
      </w:r>
      <w:r w:rsidR="00F91466" w:rsidRPr="00B0578D">
        <w:rPr>
          <w:rFonts w:ascii="Palatino Linotype" w:eastAsia="Times New Roman" w:hAnsi="Palatino Linotype" w:cs="Arial"/>
          <w:bCs/>
          <w:color w:val="000000" w:themeColor="text1"/>
          <w:lang w:val="es-ES"/>
        </w:rPr>
        <w:t xml:space="preserve"> (</w:t>
      </w:r>
      <w:r w:rsidR="00365130" w:rsidRPr="00B0578D">
        <w:rPr>
          <w:rFonts w:ascii="Palatino Linotype" w:eastAsia="Times New Roman" w:hAnsi="Palatino Linotype" w:cs="Arial"/>
          <w:bCs/>
          <w:color w:val="000000" w:themeColor="text1"/>
          <w:lang w:val="es-ES"/>
        </w:rPr>
        <w:t>1</w:t>
      </w:r>
      <w:r w:rsidR="00A64D31" w:rsidRPr="00B0578D">
        <w:rPr>
          <w:rFonts w:ascii="Palatino Linotype" w:eastAsia="Times New Roman" w:hAnsi="Palatino Linotype" w:cs="Arial"/>
          <w:bCs/>
          <w:color w:val="000000" w:themeColor="text1"/>
          <w:lang w:val="es-ES"/>
        </w:rPr>
        <w:t>7</w:t>
      </w:r>
      <w:r w:rsidR="00F91466" w:rsidRPr="00B0578D">
        <w:rPr>
          <w:rFonts w:ascii="Palatino Linotype" w:eastAsia="Times New Roman" w:hAnsi="Palatino Linotype" w:cs="Arial"/>
          <w:bCs/>
          <w:color w:val="000000" w:themeColor="text1"/>
          <w:lang w:val="es-ES"/>
        </w:rPr>
        <w:t xml:space="preserve">) de </w:t>
      </w:r>
      <w:r w:rsidR="00A64D31" w:rsidRPr="00B0578D">
        <w:rPr>
          <w:rFonts w:ascii="Palatino Linotype" w:eastAsia="Times New Roman" w:hAnsi="Palatino Linotype" w:cs="Arial"/>
          <w:bCs/>
          <w:color w:val="000000" w:themeColor="text1"/>
          <w:lang w:val="es-ES"/>
        </w:rPr>
        <w:t>noviembre</w:t>
      </w:r>
      <w:r w:rsidR="00F91466" w:rsidRPr="00B0578D">
        <w:rPr>
          <w:rFonts w:ascii="Palatino Linotype" w:eastAsia="Times New Roman" w:hAnsi="Palatino Linotype" w:cs="Arial"/>
          <w:bCs/>
          <w:color w:val="000000" w:themeColor="text1"/>
          <w:lang w:val="es-ES"/>
        </w:rPr>
        <w:t xml:space="preserve"> de dos</w:t>
      </w:r>
      <w:r w:rsidR="00F91466" w:rsidRPr="00B0578D">
        <w:rPr>
          <w:rFonts w:ascii="Palatino Linotype" w:eastAsia="Times New Roman" w:hAnsi="Palatino Linotype" w:cs="Arial"/>
          <w:color w:val="000000" w:themeColor="text1"/>
          <w:lang w:val="es-ES"/>
        </w:rPr>
        <w:t xml:space="preserve"> mil veintidós, </w:t>
      </w:r>
      <w:r w:rsidR="00F91466" w:rsidRPr="00B0578D">
        <w:rPr>
          <w:rFonts w:ascii="Palatino Linotype" w:hAnsi="Palatino Linotype"/>
          <w:color w:val="000000" w:themeColor="text1"/>
        </w:rPr>
        <w:t xml:space="preserve">se </w:t>
      </w:r>
      <w:r w:rsidR="00F91466" w:rsidRPr="00B0578D">
        <w:rPr>
          <w:rFonts w:ascii="Palatino Linotype" w:eastAsia="Times New Roman" w:hAnsi="Palatino Linotype" w:cs="Arial"/>
          <w:color w:val="000000" w:themeColor="text1"/>
          <w:lang w:val="es-ES"/>
        </w:rPr>
        <w:t>interpuso el recurso de revisión, en contra de la respuesta, señalando como:</w:t>
      </w:r>
    </w:p>
    <w:p w14:paraId="2D33072A" w14:textId="77777777" w:rsidR="00883F62" w:rsidRPr="00B0578D"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A69341" w14:textId="493C9FF9" w:rsidR="00F91466" w:rsidRPr="00B0578D" w:rsidRDefault="00F91466" w:rsidP="00365130">
      <w:pPr>
        <w:ind w:left="567" w:right="565"/>
        <w:jc w:val="both"/>
        <w:rPr>
          <w:rFonts w:ascii="Palatino Linotype" w:eastAsia="Times New Roman" w:hAnsi="Palatino Linotype" w:cs="Times New Roman"/>
          <w:i/>
          <w:iCs/>
          <w:sz w:val="22"/>
          <w:szCs w:val="22"/>
          <w:lang w:val="es-MX" w:eastAsia="es-MX"/>
        </w:rPr>
      </w:pPr>
      <w:r w:rsidRPr="00B0578D">
        <w:rPr>
          <w:rFonts w:ascii="Palatino Linotype" w:eastAsia="Calibri" w:hAnsi="Palatino Linotype" w:cs="Arial"/>
          <w:b/>
          <w:sz w:val="22"/>
          <w:szCs w:val="22"/>
        </w:rPr>
        <w:t>Acto impugnado</w:t>
      </w:r>
      <w:r w:rsidRPr="00B0578D">
        <w:rPr>
          <w:rFonts w:ascii="Palatino Linotype" w:eastAsia="Calibri" w:hAnsi="Palatino Linotype" w:cs="Arial"/>
          <w:sz w:val="22"/>
          <w:szCs w:val="22"/>
        </w:rPr>
        <w:t>:</w:t>
      </w:r>
      <w:r w:rsidRPr="00B0578D">
        <w:rPr>
          <w:rFonts w:ascii="Palatino Linotype" w:eastAsia="Calibri" w:hAnsi="Palatino Linotype" w:cs="Arial"/>
          <w:i/>
          <w:iCs/>
          <w:sz w:val="22"/>
          <w:szCs w:val="22"/>
        </w:rPr>
        <w:t xml:space="preserve"> “</w:t>
      </w:r>
      <w:r w:rsidR="00A64D31" w:rsidRPr="00B0578D">
        <w:rPr>
          <w:rFonts w:ascii="Palatino Linotype" w:hAnsi="Palatino Linotype"/>
          <w:i/>
          <w:iCs/>
          <w:color w:val="000000"/>
          <w:sz w:val="22"/>
          <w:szCs w:val="22"/>
        </w:rPr>
        <w:t>RESPUESTA A LA SOLICITUD 00639HUIXQUILIP2022</w:t>
      </w:r>
      <w:r w:rsidRPr="00B0578D">
        <w:rPr>
          <w:rFonts w:ascii="Palatino Linotype" w:hAnsi="Palatino Linotype"/>
          <w:i/>
          <w:iCs/>
          <w:color w:val="000000"/>
          <w:sz w:val="22"/>
          <w:szCs w:val="22"/>
        </w:rPr>
        <w:t>” (Sic)</w:t>
      </w:r>
    </w:p>
    <w:p w14:paraId="266BD28C" w14:textId="77777777" w:rsidR="00F91466" w:rsidRPr="00B0578D" w:rsidRDefault="00F91466" w:rsidP="00365130">
      <w:pPr>
        <w:ind w:left="567" w:right="565"/>
        <w:jc w:val="both"/>
        <w:rPr>
          <w:rFonts w:ascii="Palatino Linotype" w:hAnsi="Palatino Linotype"/>
          <w:i/>
          <w:iCs/>
          <w:sz w:val="22"/>
          <w:szCs w:val="22"/>
        </w:rPr>
      </w:pPr>
    </w:p>
    <w:p w14:paraId="1179059A" w14:textId="775DD921" w:rsidR="00F91466" w:rsidRPr="00B0578D" w:rsidRDefault="00F91466" w:rsidP="00365130">
      <w:pPr>
        <w:ind w:left="567" w:right="565"/>
        <w:jc w:val="both"/>
        <w:rPr>
          <w:rFonts w:ascii="Palatino Linotype" w:eastAsia="Times New Roman" w:hAnsi="Palatino Linotype" w:cs="Times New Roman"/>
          <w:sz w:val="22"/>
          <w:szCs w:val="22"/>
          <w:lang w:val="es-MX" w:eastAsia="es-MX"/>
        </w:rPr>
      </w:pPr>
      <w:r w:rsidRPr="00B0578D">
        <w:rPr>
          <w:rFonts w:ascii="Palatino Linotype" w:eastAsia="Calibri" w:hAnsi="Palatino Linotype" w:cs="Arial"/>
          <w:b/>
          <w:sz w:val="22"/>
          <w:szCs w:val="22"/>
        </w:rPr>
        <w:t>Razones o Motivos de inconformidad</w:t>
      </w:r>
      <w:r w:rsidRPr="00B0578D">
        <w:rPr>
          <w:rFonts w:ascii="Palatino Linotype" w:eastAsia="Calibri" w:hAnsi="Palatino Linotype" w:cs="Arial"/>
          <w:sz w:val="22"/>
          <w:szCs w:val="22"/>
        </w:rPr>
        <w:t>:</w:t>
      </w:r>
      <w:r w:rsidRPr="00B0578D">
        <w:rPr>
          <w:rFonts w:ascii="Palatino Linotype" w:eastAsia="Calibri" w:hAnsi="Palatino Linotype" w:cs="Arial"/>
          <w:i/>
          <w:iCs/>
          <w:sz w:val="22"/>
          <w:szCs w:val="22"/>
        </w:rPr>
        <w:t xml:space="preserve"> “</w:t>
      </w:r>
      <w:r w:rsidR="00A64D31" w:rsidRPr="00B0578D">
        <w:rPr>
          <w:rFonts w:ascii="Palatino Linotype" w:hAnsi="Palatino Linotype"/>
          <w:i/>
          <w:iCs/>
          <w:color w:val="000000"/>
          <w:sz w:val="22"/>
          <w:szCs w:val="22"/>
        </w:rPr>
        <w:t>La explicación plasmada en el documento de respuesta no responde a mi petición, toda vez que no especifica de manera clara y concisa, en que normatividad se encuentra establecido las facultades fiscales de la Dirección de Catastro para la emisión de lineas de captura por concepto de diferencias de construcción, toda vez que las mismas no son emitidas por el TESORERO MUNICIPAL, sino por personal que labora en la Dirección de Catastro</w:t>
      </w:r>
      <w:r w:rsidRPr="00B0578D">
        <w:rPr>
          <w:rFonts w:ascii="Palatino Linotype" w:hAnsi="Palatino Linotype"/>
          <w:i/>
          <w:iCs/>
          <w:sz w:val="22"/>
          <w:szCs w:val="22"/>
        </w:rPr>
        <w:t>” (Sic)</w:t>
      </w:r>
    </w:p>
    <w:p w14:paraId="2E32B952" w14:textId="77777777" w:rsidR="00F91466" w:rsidRPr="00B0578D" w:rsidRDefault="00F91466" w:rsidP="00883F62">
      <w:pPr>
        <w:ind w:right="565"/>
        <w:jc w:val="both"/>
        <w:rPr>
          <w:rFonts w:ascii="Palatino Linotype" w:hAnsi="Palatino Linotype"/>
          <w:i/>
          <w:sz w:val="22"/>
          <w:szCs w:val="22"/>
        </w:rPr>
      </w:pPr>
    </w:p>
    <w:p w14:paraId="6C6E1AD7" w14:textId="5E107A09" w:rsidR="00946C27" w:rsidRPr="00B0578D" w:rsidRDefault="00946C27"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Times New Roman" w:hAnsi="Palatino Linotype" w:cs="Arial"/>
          <w:color w:val="000000" w:themeColor="text1"/>
          <w:lang w:val="es-ES"/>
        </w:rPr>
        <w:t xml:space="preserve">Se </w:t>
      </w:r>
      <w:r w:rsidR="00883F62" w:rsidRPr="00B0578D">
        <w:rPr>
          <w:rFonts w:ascii="Palatino Linotype" w:hAnsi="Palatino Linotype" w:cs="Arial"/>
          <w:lang w:val="es-ES"/>
        </w:rPr>
        <w:t xml:space="preserve">registró el recurso de revisión bajo el número de expediente </w:t>
      </w:r>
      <w:r w:rsidR="00883F62" w:rsidRPr="00B0578D">
        <w:rPr>
          <w:rFonts w:ascii="Palatino Linotype" w:eastAsia="MS Mincho" w:hAnsi="Palatino Linotype" w:cs="Arial"/>
          <w:bCs/>
        </w:rPr>
        <w:t xml:space="preserve">al rubro indicado, asimismo con fundamento en lo dispuesto por el </w:t>
      </w:r>
      <w:r w:rsidR="00883F62" w:rsidRPr="00B0578D">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B0578D">
        <w:rPr>
          <w:rFonts w:ascii="Palatino Linotype" w:hAnsi="Palatino Linotype" w:cs="Arial"/>
          <w:lang w:val="es-ES"/>
        </w:rPr>
        <w:t xml:space="preserve">se turnó a la </w:t>
      </w:r>
      <w:r w:rsidR="00883F62" w:rsidRPr="00B0578D">
        <w:rPr>
          <w:rFonts w:ascii="Palatino Linotype" w:hAnsi="Palatino Linotype" w:cs="Arial"/>
          <w:b/>
          <w:lang w:val="es-ES"/>
        </w:rPr>
        <w:t>Comisionada María del Rosario Mejía Ayala</w:t>
      </w:r>
      <w:r w:rsidR="00883F62" w:rsidRPr="00B0578D">
        <w:rPr>
          <w:rFonts w:ascii="Palatino Linotype" w:hAnsi="Palatino Linotype" w:cs="Arial"/>
          <w:lang w:val="es-ES"/>
        </w:rPr>
        <w:t xml:space="preserve"> con el objeto de </w:t>
      </w:r>
      <w:r w:rsidR="00883F62" w:rsidRPr="00B0578D">
        <w:rPr>
          <w:rFonts w:ascii="Palatino Linotype" w:hAnsi="Palatino Linotype" w:cs="Arial"/>
        </w:rPr>
        <w:t>su análisis.</w:t>
      </w:r>
    </w:p>
    <w:p w14:paraId="39268230" w14:textId="77777777" w:rsidR="00365130" w:rsidRPr="00B0578D" w:rsidRDefault="00365130" w:rsidP="003651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5708A476" w14:textId="568DBCC3" w:rsidR="007F7802" w:rsidRPr="00B0578D" w:rsidRDefault="00883F62"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lang w:val="es-ES"/>
        </w:rPr>
        <w:t>La Comisionada Ponente con fundamento en lo dispuesto por el artículo 185 fracción II de la ley de la materia, a través del acuerdo de admisión de</w:t>
      </w:r>
      <w:r w:rsidR="00F91466" w:rsidRPr="00B0578D">
        <w:rPr>
          <w:rFonts w:ascii="Palatino Linotype" w:eastAsia="Calibri" w:hAnsi="Palatino Linotype" w:cs="Arial"/>
          <w:lang w:val="es-ES"/>
        </w:rPr>
        <w:t>l</w:t>
      </w:r>
      <w:r w:rsidR="00A64D31" w:rsidRPr="00B0578D">
        <w:rPr>
          <w:rFonts w:ascii="Palatino Linotype" w:eastAsia="Calibri" w:hAnsi="Palatino Linotype" w:cs="Arial"/>
          <w:lang w:val="es-ES"/>
        </w:rPr>
        <w:t xml:space="preserve"> veintitrés</w:t>
      </w:r>
      <w:r w:rsidR="00F91466" w:rsidRPr="00B0578D">
        <w:rPr>
          <w:rFonts w:ascii="Palatino Linotype" w:eastAsia="Calibri" w:hAnsi="Palatino Linotype" w:cs="Arial"/>
        </w:rPr>
        <w:t xml:space="preserve"> (</w:t>
      </w:r>
      <w:r w:rsidR="00A64D31" w:rsidRPr="00B0578D">
        <w:rPr>
          <w:rFonts w:ascii="Palatino Linotype" w:eastAsia="Calibri" w:hAnsi="Palatino Linotype" w:cs="Arial"/>
        </w:rPr>
        <w:t>23</w:t>
      </w:r>
      <w:r w:rsidR="00F91466" w:rsidRPr="00B0578D">
        <w:rPr>
          <w:rFonts w:ascii="Palatino Linotype" w:eastAsia="Calibri" w:hAnsi="Palatino Linotype" w:cs="Arial"/>
        </w:rPr>
        <w:t xml:space="preserve">) </w:t>
      </w:r>
      <w:r w:rsidR="00F91466" w:rsidRPr="00B0578D">
        <w:rPr>
          <w:rFonts w:ascii="Palatino Linotype" w:eastAsia="Calibri" w:hAnsi="Palatino Linotype" w:cs="Arial"/>
          <w:color w:val="000000" w:themeColor="text1"/>
          <w:lang w:val="es-ES"/>
        </w:rPr>
        <w:t xml:space="preserve">de </w:t>
      </w:r>
      <w:r w:rsidR="00A64D31" w:rsidRPr="00B0578D">
        <w:rPr>
          <w:rFonts w:ascii="Palatino Linotype" w:eastAsia="Calibri" w:hAnsi="Palatino Linotype" w:cs="Arial"/>
          <w:color w:val="000000" w:themeColor="text1"/>
          <w:lang w:val="es-ES"/>
        </w:rPr>
        <w:t>noviembre</w:t>
      </w:r>
      <w:r w:rsidR="00F91466" w:rsidRPr="00B0578D">
        <w:rPr>
          <w:rFonts w:ascii="Palatino Linotype" w:eastAsia="Calibri" w:hAnsi="Palatino Linotype" w:cs="Arial"/>
          <w:color w:val="000000" w:themeColor="text1"/>
          <w:lang w:val="es-ES"/>
        </w:rPr>
        <w:t xml:space="preserve"> de dos mil veintidós</w:t>
      </w:r>
      <w:r w:rsidRPr="00B0578D">
        <w:rPr>
          <w:rFonts w:ascii="Palatino Linotype" w:eastAsia="Calibri" w:hAnsi="Palatino Linotype" w:cs="Arial"/>
          <w:lang w:val="es-ES"/>
        </w:rPr>
        <w:t xml:space="preserve">, puso a disposición de las partes el expediente electrónico </w:t>
      </w:r>
      <w:r w:rsidRPr="00B0578D">
        <w:rPr>
          <w:rFonts w:ascii="Palatino Linotype" w:eastAsia="Calibri" w:hAnsi="Palatino Linotype" w:cs="Arial"/>
        </w:rPr>
        <w:t xml:space="preserve">vía </w:t>
      </w:r>
      <w:r w:rsidRPr="00B0578D">
        <w:rPr>
          <w:rFonts w:ascii="Palatino Linotype" w:eastAsia="Calibri" w:hAnsi="Palatino Linotype" w:cs="Arial"/>
          <w:lang w:val="es-ES"/>
        </w:rPr>
        <w:t xml:space="preserve">Sistema de Acceso a la Información Mexiquense </w:t>
      </w:r>
      <w:r w:rsidRPr="00B0578D">
        <w:rPr>
          <w:rFonts w:ascii="Palatino Linotype" w:eastAsia="Calibri" w:hAnsi="Palatino Linotype" w:cs="Arial"/>
          <w:b/>
          <w:lang w:val="es-ES"/>
        </w:rPr>
        <w:lastRenderedPageBreak/>
        <w:t xml:space="preserve">(SAIMEX) </w:t>
      </w:r>
      <w:r w:rsidRPr="00B0578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0578D">
        <w:rPr>
          <w:rFonts w:ascii="Palatino Linotype" w:eastAsia="Calibri" w:hAnsi="Palatino Linotype" w:cs="Arial"/>
          <w:b/>
          <w:lang w:val="es-ES"/>
        </w:rPr>
        <w:t>SUJETO OBLIGADO</w:t>
      </w:r>
      <w:r w:rsidRPr="00B0578D">
        <w:rPr>
          <w:rFonts w:ascii="Palatino Linotype" w:eastAsia="Calibri" w:hAnsi="Palatino Linotype" w:cs="Arial"/>
          <w:lang w:val="es-ES"/>
        </w:rPr>
        <w:t xml:space="preserve"> presentara el Informe Justificado procedente.</w:t>
      </w:r>
    </w:p>
    <w:p w14:paraId="019A348A" w14:textId="77777777" w:rsidR="00F91466" w:rsidRPr="00B0578D" w:rsidRDefault="00F91466" w:rsidP="00F91466">
      <w:pPr>
        <w:rPr>
          <w:rFonts w:ascii="Palatino Linotype" w:eastAsia="Calibri" w:hAnsi="Palatino Linotype" w:cs="Arial"/>
          <w:color w:val="000000" w:themeColor="text1"/>
          <w:lang w:val="es-ES"/>
        </w:rPr>
      </w:pPr>
    </w:p>
    <w:p w14:paraId="13DE344E" w14:textId="4298EF10" w:rsidR="007F7802" w:rsidRPr="00B0578D" w:rsidRDefault="00F91466"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bCs/>
          <w:color w:val="000000" w:themeColor="text1"/>
          <w:lang w:val="es-ES"/>
        </w:rPr>
        <w:t xml:space="preserve">El </w:t>
      </w:r>
      <w:r w:rsidR="00A64D31" w:rsidRPr="00B0578D">
        <w:rPr>
          <w:rFonts w:ascii="Palatino Linotype" w:eastAsia="Calibri" w:hAnsi="Palatino Linotype" w:cs="Arial"/>
          <w:bCs/>
          <w:color w:val="000000" w:themeColor="text1"/>
          <w:lang w:val="es-ES"/>
        </w:rPr>
        <w:t>cinco</w:t>
      </w:r>
      <w:r w:rsidRPr="00B0578D">
        <w:rPr>
          <w:rFonts w:ascii="Palatino Linotype" w:eastAsia="Calibri" w:hAnsi="Palatino Linotype" w:cs="Arial"/>
          <w:bCs/>
          <w:color w:val="000000" w:themeColor="text1"/>
          <w:lang w:val="es-ES"/>
        </w:rPr>
        <w:t xml:space="preserve"> (</w:t>
      </w:r>
      <w:r w:rsidR="00A64D31" w:rsidRPr="00B0578D">
        <w:rPr>
          <w:rFonts w:ascii="Palatino Linotype" w:eastAsia="Calibri" w:hAnsi="Palatino Linotype" w:cs="Arial"/>
          <w:bCs/>
          <w:color w:val="000000" w:themeColor="text1"/>
          <w:lang w:val="es-ES"/>
        </w:rPr>
        <w:t>0</w:t>
      </w:r>
      <w:r w:rsidR="00D371F7" w:rsidRPr="00B0578D">
        <w:rPr>
          <w:rFonts w:ascii="Palatino Linotype" w:eastAsia="Calibri" w:hAnsi="Palatino Linotype" w:cs="Arial"/>
          <w:bCs/>
          <w:color w:val="000000" w:themeColor="text1"/>
          <w:lang w:val="es-ES"/>
        </w:rPr>
        <w:t>5</w:t>
      </w:r>
      <w:r w:rsidRPr="00B0578D">
        <w:rPr>
          <w:rFonts w:ascii="Palatino Linotype" w:eastAsia="Calibri" w:hAnsi="Palatino Linotype" w:cs="Arial"/>
          <w:bCs/>
          <w:color w:val="000000" w:themeColor="text1"/>
          <w:lang w:val="es-ES"/>
        </w:rPr>
        <w:t xml:space="preserve">) de </w:t>
      </w:r>
      <w:r w:rsidR="00A64D31" w:rsidRPr="00B0578D">
        <w:rPr>
          <w:rFonts w:ascii="Palatino Linotype" w:eastAsia="Calibri" w:hAnsi="Palatino Linotype" w:cs="Arial"/>
          <w:bCs/>
          <w:color w:val="000000" w:themeColor="text1"/>
          <w:lang w:val="es-ES"/>
        </w:rPr>
        <w:t>diciembre</w:t>
      </w:r>
      <w:r w:rsidRPr="00B0578D">
        <w:rPr>
          <w:rFonts w:ascii="Palatino Linotype" w:eastAsia="Calibri" w:hAnsi="Palatino Linotype" w:cs="Arial"/>
          <w:bCs/>
          <w:color w:val="000000" w:themeColor="text1"/>
          <w:lang w:val="es-ES"/>
        </w:rPr>
        <w:t xml:space="preserve"> de dos</w:t>
      </w:r>
      <w:r w:rsidRPr="00B0578D">
        <w:rPr>
          <w:rFonts w:ascii="Palatino Linotype" w:eastAsia="Calibri" w:hAnsi="Palatino Linotype" w:cs="Arial"/>
          <w:color w:val="000000" w:themeColor="text1"/>
          <w:lang w:val="es-ES"/>
        </w:rPr>
        <w:t xml:space="preserve"> mil veintidós, el </w:t>
      </w:r>
      <w:r w:rsidRPr="00B0578D">
        <w:rPr>
          <w:rFonts w:ascii="Palatino Linotype" w:eastAsia="Calibri" w:hAnsi="Palatino Linotype" w:cs="Arial"/>
          <w:b/>
          <w:color w:val="000000" w:themeColor="text1"/>
          <w:lang w:val="es-ES"/>
        </w:rPr>
        <w:t>SUJETO OBLIGADO</w:t>
      </w:r>
      <w:r w:rsidRPr="00B0578D">
        <w:rPr>
          <w:rFonts w:ascii="Palatino Linotype" w:eastAsia="Calibri" w:hAnsi="Palatino Linotype" w:cs="Arial"/>
          <w:color w:val="000000" w:themeColor="text1"/>
          <w:lang w:val="es-ES"/>
        </w:rPr>
        <w:t xml:space="preserve"> rindió su </w:t>
      </w:r>
      <w:r w:rsidRPr="00B0578D">
        <w:rPr>
          <w:rFonts w:ascii="Palatino Linotype" w:eastAsia="Calibri" w:hAnsi="Palatino Linotype" w:cs="Arial"/>
          <w:lang w:val="es-ES"/>
        </w:rPr>
        <w:t>informe justificado</w:t>
      </w:r>
      <w:r w:rsidR="00365130" w:rsidRPr="00B0578D">
        <w:rPr>
          <w:rFonts w:ascii="Palatino Linotype" w:eastAsia="Calibri" w:hAnsi="Palatino Linotype" w:cs="Arial"/>
          <w:lang w:val="es-ES"/>
        </w:rPr>
        <w:t xml:space="preserve"> correspondiente</w:t>
      </w:r>
      <w:r w:rsidRPr="00B0578D">
        <w:rPr>
          <w:rFonts w:ascii="Palatino Linotype" w:eastAsia="Calibri" w:hAnsi="Palatino Linotype" w:cs="Arial"/>
          <w:lang w:val="es-ES"/>
        </w:rPr>
        <w:t xml:space="preserve"> a través de</w:t>
      </w:r>
      <w:r w:rsidR="001D75F9" w:rsidRPr="00B0578D">
        <w:rPr>
          <w:rFonts w:ascii="Palatino Linotype" w:eastAsia="Calibri" w:hAnsi="Palatino Linotype" w:cs="Arial"/>
          <w:lang w:val="es-ES"/>
        </w:rPr>
        <w:t xml:space="preserve"> </w:t>
      </w:r>
      <w:r w:rsidRPr="00B0578D">
        <w:rPr>
          <w:rFonts w:ascii="Palatino Linotype" w:eastAsia="Calibri" w:hAnsi="Palatino Linotype" w:cs="Arial"/>
          <w:lang w:val="es-ES"/>
        </w:rPr>
        <w:t>l</w:t>
      </w:r>
      <w:r w:rsidR="001D75F9" w:rsidRPr="00B0578D">
        <w:rPr>
          <w:rFonts w:ascii="Palatino Linotype" w:eastAsia="Calibri" w:hAnsi="Palatino Linotype" w:cs="Arial"/>
          <w:lang w:val="es-ES"/>
        </w:rPr>
        <w:t>os</w:t>
      </w:r>
      <w:r w:rsidRPr="00B0578D">
        <w:rPr>
          <w:rFonts w:ascii="Palatino Linotype" w:eastAsia="Calibri" w:hAnsi="Palatino Linotype" w:cs="Arial"/>
          <w:lang w:val="es-ES"/>
        </w:rPr>
        <w:t xml:space="preserve"> siguiente</w:t>
      </w:r>
      <w:r w:rsidR="001D75F9" w:rsidRPr="00B0578D">
        <w:rPr>
          <w:rFonts w:ascii="Palatino Linotype" w:eastAsia="Calibri" w:hAnsi="Palatino Linotype" w:cs="Arial"/>
          <w:lang w:val="es-ES"/>
        </w:rPr>
        <w:t>s</w:t>
      </w:r>
      <w:r w:rsidRPr="00B0578D">
        <w:rPr>
          <w:rFonts w:ascii="Palatino Linotype" w:eastAsia="Calibri" w:hAnsi="Palatino Linotype" w:cs="Arial"/>
          <w:lang w:val="es-ES"/>
        </w:rPr>
        <w:t xml:space="preserve"> archivo</w:t>
      </w:r>
      <w:r w:rsidR="001D75F9" w:rsidRPr="00B0578D">
        <w:rPr>
          <w:rFonts w:ascii="Palatino Linotype" w:eastAsia="Calibri" w:hAnsi="Palatino Linotype" w:cs="Arial"/>
          <w:lang w:val="es-ES"/>
        </w:rPr>
        <w:t>s</w:t>
      </w:r>
      <w:r w:rsidRPr="00B0578D">
        <w:rPr>
          <w:rFonts w:ascii="Palatino Linotype" w:eastAsia="Calibri" w:hAnsi="Palatino Linotype" w:cs="Arial"/>
          <w:lang w:val="es-ES"/>
        </w:rPr>
        <w:t xml:space="preserve"> electrónico</w:t>
      </w:r>
      <w:r w:rsidR="001D75F9" w:rsidRPr="00B0578D">
        <w:rPr>
          <w:rFonts w:ascii="Palatino Linotype" w:eastAsia="Calibri" w:hAnsi="Palatino Linotype" w:cs="Arial"/>
          <w:lang w:val="es-ES"/>
        </w:rPr>
        <w:t>s</w:t>
      </w:r>
      <w:r w:rsidR="00FB0A5A" w:rsidRPr="00B0578D">
        <w:rPr>
          <w:rFonts w:ascii="Palatino Linotype" w:eastAsia="Calibri" w:hAnsi="Palatino Linotype" w:cs="Arial"/>
          <w:lang w:val="es-ES"/>
        </w:rPr>
        <w:t>:</w:t>
      </w:r>
    </w:p>
    <w:p w14:paraId="00180E63" w14:textId="77777777" w:rsidR="00A64D31" w:rsidRPr="00B0578D" w:rsidRDefault="00A64D31" w:rsidP="00A64D3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397F916" w14:textId="183B9810" w:rsidR="00D20A57" w:rsidRPr="00B0578D" w:rsidRDefault="00A64D31" w:rsidP="00D20A57">
      <w:pPr>
        <w:tabs>
          <w:tab w:val="left" w:pos="426"/>
          <w:tab w:val="left" w:pos="567"/>
        </w:tabs>
        <w:spacing w:line="360" w:lineRule="auto"/>
        <w:ind w:left="567" w:right="565"/>
        <w:jc w:val="both"/>
        <w:rPr>
          <w:rFonts w:ascii="Palatino Linotype" w:hAnsi="Palatino Linotype"/>
          <w:sz w:val="22"/>
          <w:szCs w:val="22"/>
        </w:rPr>
      </w:pPr>
      <w:r w:rsidRPr="00B0578D">
        <w:rPr>
          <w:rFonts w:ascii="Palatino Linotype" w:hAnsi="Palatino Linotype"/>
          <w:b/>
          <w:bCs/>
          <w:sz w:val="22"/>
          <w:szCs w:val="22"/>
        </w:rPr>
        <w:t xml:space="preserve">INFORME JUSTIFICADO RR 16633 2022.pdf: </w:t>
      </w:r>
      <w:r w:rsidRPr="00B0578D">
        <w:rPr>
          <w:rFonts w:ascii="Palatino Linotype" w:hAnsi="Palatino Linotype"/>
          <w:sz w:val="22"/>
          <w:szCs w:val="22"/>
        </w:rPr>
        <w:t xml:space="preserve">Oficio suscrito y signado por el Titular de la Unidad de Transparencia, por medio del cual, remitió la respuesta </w:t>
      </w:r>
      <w:r w:rsidR="00D20A57" w:rsidRPr="00B0578D">
        <w:rPr>
          <w:rFonts w:ascii="Palatino Linotype" w:hAnsi="Palatino Linotype"/>
          <w:sz w:val="22"/>
          <w:szCs w:val="22"/>
        </w:rPr>
        <w:t>emitida por el Servidor Público Habilitado de la Tesorería Municipal en consecuencia del Recurso de Revisión interpuesto por el Solicitante.</w:t>
      </w:r>
    </w:p>
    <w:p w14:paraId="35A6467E" w14:textId="77777777" w:rsidR="00A64D31" w:rsidRPr="00B0578D" w:rsidRDefault="00A64D31" w:rsidP="00D20A57">
      <w:pPr>
        <w:tabs>
          <w:tab w:val="left" w:pos="426"/>
          <w:tab w:val="left" w:pos="567"/>
        </w:tabs>
        <w:spacing w:line="360" w:lineRule="auto"/>
        <w:ind w:left="567" w:right="565"/>
        <w:jc w:val="both"/>
        <w:rPr>
          <w:rFonts w:ascii="Palatino Linotype" w:hAnsi="Palatino Linotype"/>
          <w:b/>
          <w:bCs/>
          <w:sz w:val="22"/>
          <w:szCs w:val="22"/>
        </w:rPr>
      </w:pPr>
    </w:p>
    <w:p w14:paraId="6FC9BC06" w14:textId="4D0E2B6A" w:rsidR="00D20A57" w:rsidRPr="00B0578D" w:rsidRDefault="00A64D31" w:rsidP="00D20A57">
      <w:pPr>
        <w:tabs>
          <w:tab w:val="left" w:pos="426"/>
          <w:tab w:val="left" w:pos="567"/>
        </w:tabs>
        <w:spacing w:line="360" w:lineRule="auto"/>
        <w:ind w:left="567" w:right="565"/>
        <w:jc w:val="both"/>
        <w:rPr>
          <w:rFonts w:ascii="Palatino Linotype" w:hAnsi="Palatino Linotype"/>
          <w:sz w:val="22"/>
          <w:szCs w:val="22"/>
        </w:rPr>
      </w:pPr>
      <w:r w:rsidRPr="00B0578D">
        <w:rPr>
          <w:rFonts w:ascii="Palatino Linotype" w:hAnsi="Palatino Linotype"/>
          <w:b/>
          <w:bCs/>
          <w:sz w:val="22"/>
          <w:szCs w:val="22"/>
        </w:rPr>
        <w:t>RR 16633 INFOEM.pdf:</w:t>
      </w:r>
      <w:r w:rsidR="00D20A57" w:rsidRPr="00B0578D">
        <w:rPr>
          <w:rFonts w:ascii="Palatino Linotype" w:hAnsi="Palatino Linotype"/>
          <w:b/>
          <w:bCs/>
          <w:sz w:val="22"/>
          <w:szCs w:val="22"/>
        </w:rPr>
        <w:t xml:space="preserve"> </w:t>
      </w:r>
      <w:r w:rsidR="008F74B6" w:rsidRPr="00B0578D">
        <w:rPr>
          <w:rFonts w:ascii="Palatino Linotype" w:hAnsi="Palatino Linotype"/>
          <w:sz w:val="22"/>
          <w:szCs w:val="22"/>
        </w:rPr>
        <w:t>Oficio número</w:t>
      </w:r>
      <w:r w:rsidR="00774C6C" w:rsidRPr="00B0578D">
        <w:rPr>
          <w:rFonts w:ascii="Palatino Linotype" w:hAnsi="Palatino Linotype"/>
          <w:sz w:val="22"/>
          <w:szCs w:val="22"/>
        </w:rPr>
        <w:t xml:space="preserve"> TM/11</w:t>
      </w:r>
      <w:r w:rsidR="00D20A57" w:rsidRPr="00B0578D">
        <w:rPr>
          <w:rFonts w:ascii="Palatino Linotype" w:hAnsi="Palatino Linotype"/>
          <w:sz w:val="22"/>
          <w:szCs w:val="22"/>
        </w:rPr>
        <w:t>35</w:t>
      </w:r>
      <w:r w:rsidR="00774C6C" w:rsidRPr="00B0578D">
        <w:rPr>
          <w:rFonts w:ascii="Palatino Linotype" w:hAnsi="Palatino Linotype"/>
          <w:sz w:val="22"/>
          <w:szCs w:val="22"/>
        </w:rPr>
        <w:t>/</w:t>
      </w:r>
      <w:r w:rsidR="00D20A57" w:rsidRPr="00B0578D">
        <w:rPr>
          <w:rFonts w:ascii="Palatino Linotype" w:hAnsi="Palatino Linotype"/>
          <w:sz w:val="22"/>
          <w:szCs w:val="22"/>
        </w:rPr>
        <w:t>11/</w:t>
      </w:r>
      <w:r w:rsidR="00774C6C" w:rsidRPr="00B0578D">
        <w:rPr>
          <w:rFonts w:ascii="Palatino Linotype" w:hAnsi="Palatino Linotype"/>
          <w:sz w:val="22"/>
          <w:szCs w:val="22"/>
        </w:rPr>
        <w:t xml:space="preserve">2022 del </w:t>
      </w:r>
      <w:r w:rsidR="00D20A57" w:rsidRPr="00B0578D">
        <w:rPr>
          <w:rFonts w:ascii="Palatino Linotype" w:hAnsi="Palatino Linotype"/>
          <w:sz w:val="22"/>
          <w:szCs w:val="22"/>
        </w:rPr>
        <w:t>25</w:t>
      </w:r>
      <w:r w:rsidR="00774C6C" w:rsidRPr="00B0578D">
        <w:rPr>
          <w:rFonts w:ascii="Palatino Linotype" w:hAnsi="Palatino Linotype"/>
          <w:sz w:val="22"/>
          <w:szCs w:val="22"/>
        </w:rPr>
        <w:t xml:space="preserve"> de </w:t>
      </w:r>
      <w:r w:rsidR="00D20A57" w:rsidRPr="00B0578D">
        <w:rPr>
          <w:rFonts w:ascii="Palatino Linotype" w:hAnsi="Palatino Linotype"/>
          <w:sz w:val="22"/>
          <w:szCs w:val="22"/>
        </w:rPr>
        <w:t>noviembre</w:t>
      </w:r>
      <w:r w:rsidR="00774C6C" w:rsidRPr="00B0578D">
        <w:rPr>
          <w:rFonts w:ascii="Palatino Linotype" w:hAnsi="Palatino Linotype"/>
          <w:sz w:val="22"/>
          <w:szCs w:val="22"/>
        </w:rPr>
        <w:t xml:space="preserve"> de 2022, suscrito y signado por la Tesorer</w:t>
      </w:r>
      <w:r w:rsidR="00D20A57" w:rsidRPr="00B0578D">
        <w:rPr>
          <w:rFonts w:ascii="Palatino Linotype" w:hAnsi="Palatino Linotype"/>
          <w:sz w:val="22"/>
          <w:szCs w:val="22"/>
        </w:rPr>
        <w:t>o</w:t>
      </w:r>
      <w:r w:rsidR="00774C6C" w:rsidRPr="00B0578D">
        <w:rPr>
          <w:rFonts w:ascii="Palatino Linotype" w:hAnsi="Palatino Linotype"/>
          <w:sz w:val="22"/>
          <w:szCs w:val="22"/>
        </w:rPr>
        <w:t xml:space="preserve"> Municipal, por medio del cual, </w:t>
      </w:r>
      <w:r w:rsidR="00D20A57" w:rsidRPr="00B0578D">
        <w:rPr>
          <w:rFonts w:ascii="Palatino Linotype" w:hAnsi="Palatino Linotype"/>
          <w:sz w:val="22"/>
          <w:szCs w:val="22"/>
        </w:rPr>
        <w:t>remitió</w:t>
      </w:r>
      <w:r w:rsidR="00D20A57" w:rsidRPr="00B0578D">
        <w:rPr>
          <w:rFonts w:ascii="Palatino Linotype" w:hAnsi="Palatino Linotype"/>
          <w:b/>
          <w:bCs/>
          <w:sz w:val="22"/>
          <w:szCs w:val="22"/>
        </w:rPr>
        <w:t xml:space="preserve"> el Acuerdo por el que se delegan facultades del procedimiento administrativo de ejecución para el cobro de las diferencias de construcción del impuesto predial a favor de la Dirección de Registro del Patrimonio Público y del Catastro adscrita a la Tesorería Municipal, de fecha dos de febrero de dos mil veintidós.</w:t>
      </w:r>
    </w:p>
    <w:p w14:paraId="5CB7C400" w14:textId="77777777" w:rsidR="00D371F7" w:rsidRPr="00B0578D" w:rsidRDefault="00D371F7" w:rsidP="00D20A57">
      <w:pPr>
        <w:tabs>
          <w:tab w:val="left" w:pos="426"/>
          <w:tab w:val="left" w:pos="567"/>
        </w:tabs>
        <w:spacing w:line="360" w:lineRule="auto"/>
        <w:jc w:val="both"/>
        <w:rPr>
          <w:rFonts w:ascii="Palatino Linotype" w:hAnsi="Palatino Linotype"/>
        </w:rPr>
      </w:pPr>
    </w:p>
    <w:p w14:paraId="58359FFE" w14:textId="1D781609" w:rsidR="00C21DCC" w:rsidRPr="00B0578D" w:rsidRDefault="00FF3501" w:rsidP="00782C4F">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B0578D">
        <w:rPr>
          <w:rFonts w:ascii="Palatino Linotype" w:eastAsia="Calibri" w:hAnsi="Palatino Linotype" w:cs="Arial"/>
          <w:color w:val="000000" w:themeColor="text1"/>
          <w:lang w:val="es-ES"/>
        </w:rPr>
        <w:lastRenderedPageBreak/>
        <w:t xml:space="preserve">Por su parte </w:t>
      </w:r>
      <w:r w:rsidR="00AC5C2D" w:rsidRPr="00B0578D">
        <w:rPr>
          <w:rFonts w:ascii="Palatino Linotype" w:eastAsia="Calibri" w:hAnsi="Palatino Linotype" w:cs="Arial"/>
          <w:lang w:val="es-ES"/>
        </w:rPr>
        <w:t xml:space="preserve">el </w:t>
      </w:r>
      <w:r w:rsidR="00C21DCC" w:rsidRPr="00B0578D">
        <w:rPr>
          <w:rFonts w:ascii="Palatino Linotype" w:eastAsia="Calibri" w:hAnsi="Palatino Linotype" w:cs="Arial"/>
          <w:lang w:val="es-ES"/>
        </w:rPr>
        <w:t>Recurrente no realizó manifestaciones, ni ofreció pruebas o alegatos que a su derecho conviniera</w:t>
      </w:r>
      <w:r w:rsidR="001D3B96" w:rsidRPr="00B0578D">
        <w:rPr>
          <w:rFonts w:ascii="Palatino Linotype" w:eastAsia="Calibri" w:hAnsi="Palatino Linotype" w:cs="Arial"/>
          <w:lang w:val="es-ES"/>
        </w:rPr>
        <w:t>n.</w:t>
      </w:r>
    </w:p>
    <w:p w14:paraId="1C47C6E4" w14:textId="77777777" w:rsidR="00C21DCC" w:rsidRPr="00B0578D" w:rsidRDefault="00C21DCC" w:rsidP="00C21DCC">
      <w:pPr>
        <w:pStyle w:val="Prrafodelista"/>
        <w:tabs>
          <w:tab w:val="left" w:pos="426"/>
          <w:tab w:val="left" w:pos="567"/>
        </w:tabs>
        <w:spacing w:line="360" w:lineRule="auto"/>
        <w:ind w:left="0"/>
        <w:jc w:val="both"/>
        <w:rPr>
          <w:rFonts w:ascii="Palatino Linotype" w:hAnsi="Palatino Linotype"/>
        </w:rPr>
      </w:pPr>
    </w:p>
    <w:p w14:paraId="08A5D6B9" w14:textId="4700D403" w:rsidR="002149E5" w:rsidRPr="00B0578D"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B0578D">
        <w:rPr>
          <w:rFonts w:ascii="Palatino Linotype" w:hAnsi="Palatino Linotype"/>
        </w:rPr>
        <w:t xml:space="preserve">La </w:t>
      </w:r>
      <w:r w:rsidR="00C21DCC" w:rsidRPr="00B0578D">
        <w:rPr>
          <w:rFonts w:ascii="Palatino Linotype" w:eastAsia="MS Mincho" w:hAnsi="Palatino Linotype"/>
        </w:rPr>
        <w:t>Comisionada Ponente decretó el cierre de instrucción</w:t>
      </w:r>
      <w:r w:rsidR="00C21DCC" w:rsidRPr="00B0578D">
        <w:rPr>
          <w:rFonts w:ascii="Palatino Linotype" w:eastAsia="MS Mincho" w:hAnsi="Palatino Linotype" w:cs="Arial"/>
        </w:rPr>
        <w:t xml:space="preserve"> </w:t>
      </w:r>
      <w:r w:rsidR="00C21DCC" w:rsidRPr="00B0578D">
        <w:rPr>
          <w:rFonts w:ascii="Palatino Linotype" w:eastAsia="MS Mincho" w:hAnsi="Palatino Linotype"/>
        </w:rPr>
        <w:t xml:space="preserve">mediante acuerdo del </w:t>
      </w:r>
      <w:r w:rsidR="00D20A57" w:rsidRPr="00B0578D">
        <w:rPr>
          <w:rFonts w:ascii="Palatino Linotype" w:eastAsia="MS Mincho" w:hAnsi="Palatino Linotype"/>
        </w:rPr>
        <w:t>dieciocho</w:t>
      </w:r>
      <w:r w:rsidR="00C21DCC" w:rsidRPr="00B0578D">
        <w:rPr>
          <w:rFonts w:ascii="Palatino Linotype" w:eastAsia="MS Mincho" w:hAnsi="Palatino Linotype"/>
        </w:rPr>
        <w:t xml:space="preserve"> (</w:t>
      </w:r>
      <w:r w:rsidR="00D20A57" w:rsidRPr="00B0578D">
        <w:rPr>
          <w:rFonts w:ascii="Palatino Linotype" w:eastAsia="MS Mincho" w:hAnsi="Palatino Linotype"/>
        </w:rPr>
        <w:t>18</w:t>
      </w:r>
      <w:r w:rsidR="00C21DCC" w:rsidRPr="00B0578D">
        <w:rPr>
          <w:rFonts w:ascii="Palatino Linotype" w:eastAsia="MS Mincho" w:hAnsi="Palatino Linotype"/>
        </w:rPr>
        <w:t xml:space="preserve">) de </w:t>
      </w:r>
      <w:r w:rsidR="00D20A57" w:rsidRPr="00B0578D">
        <w:rPr>
          <w:rFonts w:ascii="Palatino Linotype" w:eastAsia="MS Mincho" w:hAnsi="Palatino Linotype"/>
        </w:rPr>
        <w:t>enero</w:t>
      </w:r>
      <w:r w:rsidR="00C21DCC" w:rsidRPr="00B0578D">
        <w:rPr>
          <w:rFonts w:ascii="Palatino Linotype" w:eastAsia="MS Mincho" w:hAnsi="Palatino Linotype"/>
        </w:rPr>
        <w:t xml:space="preserve"> de dos mil veinti</w:t>
      </w:r>
      <w:r w:rsidR="00D20A57" w:rsidRPr="00B0578D">
        <w:rPr>
          <w:rFonts w:ascii="Palatino Linotype" w:eastAsia="MS Mincho" w:hAnsi="Palatino Linotype"/>
        </w:rPr>
        <w:t>trés</w:t>
      </w:r>
      <w:r w:rsidR="00D43582" w:rsidRPr="00B0578D">
        <w:rPr>
          <w:rFonts w:ascii="Palatino Linotype" w:eastAsia="MS Mincho" w:hAnsi="Palatino Linotype"/>
        </w:rPr>
        <w:t>.</w:t>
      </w:r>
    </w:p>
    <w:p w14:paraId="5D2B2C08" w14:textId="77777777" w:rsidR="00867347" w:rsidRPr="00B0578D" w:rsidRDefault="00867347" w:rsidP="00867347">
      <w:pPr>
        <w:pStyle w:val="Prrafodelista"/>
        <w:tabs>
          <w:tab w:val="left" w:pos="426"/>
          <w:tab w:val="left" w:pos="567"/>
        </w:tabs>
        <w:spacing w:line="360" w:lineRule="auto"/>
        <w:ind w:left="0"/>
        <w:jc w:val="both"/>
        <w:rPr>
          <w:rFonts w:ascii="Palatino Linotype" w:hAnsi="Palatino Linotype"/>
        </w:rPr>
      </w:pPr>
    </w:p>
    <w:p w14:paraId="5C450AEB" w14:textId="77777777" w:rsidR="00836ADD" w:rsidRPr="00B0578D"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B0578D">
        <w:rPr>
          <w:rFonts w:ascii="Palatino Linotype" w:hAnsi="Palatino Linotype"/>
        </w:rPr>
        <w:t>Debido a</w:t>
      </w:r>
      <w:r w:rsidR="00867347" w:rsidRPr="00B0578D">
        <w:rPr>
          <w:rFonts w:ascii="Palatino Linotype" w:hAnsi="Palatino Linotype"/>
        </w:rPr>
        <w:t xml:space="preserve"> que fueron debidamente sustanciados los expedientes electrónicos y no existe diligencia pendiente de desahogo, se emite la Resolución que conforme a Derecho proceda;</w:t>
      </w:r>
      <w:r w:rsidR="0079454A" w:rsidRPr="00B0578D">
        <w:rPr>
          <w:rFonts w:ascii="Palatino Linotype" w:hAnsi="Palatino Linotype"/>
        </w:rPr>
        <w:t xml:space="preserve"> </w:t>
      </w:r>
      <w:r w:rsidR="00BE2314" w:rsidRPr="00B0578D">
        <w:rPr>
          <w:rFonts w:ascii="Palatino Linotype" w:hAnsi="Palatino Linotype"/>
        </w:rPr>
        <w:t xml:space="preserve">y - - - - - - </w:t>
      </w:r>
      <w:r w:rsidR="00C21DCC" w:rsidRPr="00B0578D">
        <w:rPr>
          <w:rFonts w:ascii="Palatino Linotype" w:hAnsi="Palatino Linotype"/>
        </w:rPr>
        <w:t xml:space="preserve">- - - - - - - - - - - - - - - - </w:t>
      </w:r>
      <w:r w:rsidR="002149E5" w:rsidRPr="00B0578D">
        <w:rPr>
          <w:rFonts w:ascii="Palatino Linotype" w:hAnsi="Palatino Linotype"/>
        </w:rPr>
        <w:t xml:space="preserve">- - - - - - - - - - - - - - - - - </w:t>
      </w:r>
      <w:r w:rsidR="00867347" w:rsidRPr="00B0578D">
        <w:rPr>
          <w:rFonts w:ascii="Palatino Linotype" w:hAnsi="Palatino Linotype"/>
        </w:rPr>
        <w:t xml:space="preserve">- - - - - - - - </w:t>
      </w:r>
    </w:p>
    <w:p w14:paraId="5FC0B54E" w14:textId="77777777" w:rsidR="00F91466" w:rsidRPr="00B0578D" w:rsidRDefault="00F91466" w:rsidP="005D4F86">
      <w:pPr>
        <w:pStyle w:val="Ttulo2"/>
        <w:jc w:val="center"/>
        <w:rPr>
          <w:rFonts w:ascii="Palatino Linotype" w:hAnsi="Palatino Linotype"/>
          <w:b/>
          <w:color w:val="000000" w:themeColor="text1"/>
          <w:sz w:val="24"/>
          <w:szCs w:val="24"/>
        </w:rPr>
      </w:pPr>
      <w:bookmarkStart w:id="18" w:name="_Toc88173806"/>
    </w:p>
    <w:p w14:paraId="7EF86CAA" w14:textId="77777777" w:rsidR="00946C27" w:rsidRPr="00B0578D" w:rsidRDefault="00946C27" w:rsidP="005D4F86">
      <w:pPr>
        <w:pStyle w:val="Ttulo2"/>
        <w:jc w:val="center"/>
        <w:rPr>
          <w:rFonts w:ascii="Palatino Linotype" w:hAnsi="Palatino Linotype"/>
          <w:b/>
          <w:color w:val="000000" w:themeColor="text1"/>
          <w:sz w:val="24"/>
          <w:szCs w:val="24"/>
        </w:rPr>
      </w:pPr>
      <w:r w:rsidRPr="00B0578D">
        <w:rPr>
          <w:rFonts w:ascii="Palatino Linotype" w:hAnsi="Palatino Linotype"/>
          <w:b/>
          <w:color w:val="000000" w:themeColor="text1"/>
          <w:sz w:val="24"/>
          <w:szCs w:val="24"/>
        </w:rPr>
        <w:t>CONSIDERANDO</w:t>
      </w:r>
      <w:bookmarkEnd w:id="18"/>
    </w:p>
    <w:p w14:paraId="1B6DB537" w14:textId="77777777" w:rsidR="00946C27" w:rsidRPr="00B0578D" w:rsidRDefault="00946C27" w:rsidP="00946C27">
      <w:pPr>
        <w:rPr>
          <w:lang w:eastAsia="en-US"/>
        </w:rPr>
      </w:pPr>
    </w:p>
    <w:p w14:paraId="5ACDB168" w14:textId="77777777" w:rsidR="00946C27" w:rsidRPr="00B0578D"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B0578D">
        <w:rPr>
          <w:rFonts w:ascii="Palatino Linotype" w:hAnsi="Palatino Linotype"/>
          <w:b/>
          <w:color w:val="auto"/>
          <w:sz w:val="24"/>
          <w:szCs w:val="24"/>
        </w:rPr>
        <w:t>PRIMERO. De la competencia</w:t>
      </w:r>
      <w:bookmarkEnd w:id="19"/>
      <w:bookmarkEnd w:id="20"/>
      <w:bookmarkEnd w:id="21"/>
      <w:bookmarkEnd w:id="22"/>
    </w:p>
    <w:p w14:paraId="201BC5FD" w14:textId="77777777" w:rsidR="00946C27" w:rsidRPr="00B0578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874144" w14:textId="77777777" w:rsidR="008E7BCF" w:rsidRPr="00B0578D"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Times New Roman"/>
        </w:rPr>
        <w:t xml:space="preserve">Este </w:t>
      </w:r>
      <w:r w:rsidR="0079454A" w:rsidRPr="00B0578D">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w:t>
      </w:r>
      <w:r w:rsidR="0079454A" w:rsidRPr="00B0578D">
        <w:rPr>
          <w:rFonts w:ascii="Palatino Linotype" w:eastAsia="Calibri" w:hAnsi="Palatino Linotype"/>
          <w:bCs/>
          <w:color w:val="000000" w:themeColor="text1"/>
        </w:rPr>
        <w:lastRenderedPageBreak/>
        <w:t>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B0578D">
        <w:rPr>
          <w:rFonts w:ascii="Palatino Linotype" w:hAnsi="Palatino Linotype"/>
        </w:rPr>
        <w:t>.</w:t>
      </w:r>
    </w:p>
    <w:p w14:paraId="33DFBD0C" w14:textId="77777777" w:rsidR="0079454A" w:rsidRPr="00B0578D"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644C0E" w14:textId="77777777" w:rsidR="00946C27" w:rsidRPr="00B0578D"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B0578D">
        <w:rPr>
          <w:rFonts w:ascii="Palatino Linotype" w:hAnsi="Palatino Linotype"/>
          <w:b/>
          <w:color w:val="auto"/>
          <w:sz w:val="24"/>
          <w:szCs w:val="24"/>
        </w:rPr>
        <w:t>SEGUNDO. De la oportunidad y procedencia.</w:t>
      </w:r>
      <w:bookmarkEnd w:id="23"/>
      <w:bookmarkEnd w:id="24"/>
      <w:bookmarkEnd w:id="25"/>
      <w:bookmarkEnd w:id="26"/>
    </w:p>
    <w:p w14:paraId="07C66EA2" w14:textId="77777777" w:rsidR="00946C27" w:rsidRPr="00B0578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8F0382" w14:textId="776716D7" w:rsidR="00E95684" w:rsidRPr="00B0578D"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B0578D">
        <w:rPr>
          <w:rFonts w:ascii="Palatino Linotype" w:eastAsia="Calibri" w:hAnsi="Palatino Linotype" w:cs="Arial"/>
          <w:color w:val="000000" w:themeColor="text1"/>
          <w:lang w:val="es-ES"/>
        </w:rPr>
        <w:t xml:space="preserve"> </w:t>
      </w:r>
      <w:r w:rsidR="00E95684" w:rsidRPr="00B0578D">
        <w:rPr>
          <w:rFonts w:ascii="Palatino Linotype" w:eastAsia="Calibri" w:hAnsi="Palatino Linotype" w:cs="Arial"/>
          <w:color w:val="000000" w:themeColor="text1"/>
        </w:rPr>
        <w:t xml:space="preserve">El </w:t>
      </w:r>
      <w:r w:rsidR="00C21DCC" w:rsidRPr="00B0578D">
        <w:rPr>
          <w:rFonts w:ascii="Palatino Linotype" w:eastAsia="Calibri" w:hAnsi="Palatino Linotype" w:cs="Arial"/>
        </w:rPr>
        <w:t xml:space="preserve">medio de impugnación fue presentado a través del </w:t>
      </w:r>
      <w:r w:rsidR="00C21DCC" w:rsidRPr="00B0578D">
        <w:rPr>
          <w:rFonts w:ascii="Palatino Linotype" w:eastAsia="Calibri" w:hAnsi="Palatino Linotype" w:cs="Arial"/>
          <w:b/>
        </w:rPr>
        <w:t>SAIMEX,</w:t>
      </w:r>
      <w:r w:rsidR="00C21DCC" w:rsidRPr="00B0578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B0578D">
        <w:rPr>
          <w:rFonts w:ascii="Palatino Linotype" w:eastAsia="Calibri" w:hAnsi="Palatino Linotype" w:cs="Arial"/>
          <w:b/>
        </w:rPr>
        <w:t>SUJETO OBLIGADO</w:t>
      </w:r>
      <w:r w:rsidR="00C21DCC" w:rsidRPr="00B0578D">
        <w:rPr>
          <w:rFonts w:ascii="Palatino Linotype" w:eastAsia="Calibri" w:hAnsi="Palatino Linotype" w:cs="Arial"/>
        </w:rPr>
        <w:t xml:space="preserve"> entregó respuesta el </w:t>
      </w:r>
      <w:r w:rsidR="00D20A57" w:rsidRPr="00B0578D">
        <w:rPr>
          <w:rFonts w:ascii="Palatino Linotype" w:eastAsia="Calibri" w:hAnsi="Palatino Linotype" w:cs="Arial"/>
        </w:rPr>
        <w:t>quince</w:t>
      </w:r>
      <w:r w:rsidR="00F7082F" w:rsidRPr="00B0578D">
        <w:rPr>
          <w:rFonts w:ascii="Palatino Linotype" w:eastAsia="Calibri" w:hAnsi="Palatino Linotype" w:cs="Arial"/>
        </w:rPr>
        <w:t xml:space="preserve"> </w:t>
      </w:r>
      <w:r w:rsidR="00D371F7" w:rsidRPr="00B0578D">
        <w:rPr>
          <w:rFonts w:ascii="Palatino Linotype" w:eastAsia="Calibri" w:hAnsi="Palatino Linotype" w:cs="Arial"/>
        </w:rPr>
        <w:t>(</w:t>
      </w:r>
      <w:r w:rsidR="00D20A57" w:rsidRPr="00B0578D">
        <w:rPr>
          <w:rFonts w:ascii="Palatino Linotype" w:eastAsia="Calibri" w:hAnsi="Palatino Linotype" w:cs="Arial"/>
        </w:rPr>
        <w:t>15</w:t>
      </w:r>
      <w:r w:rsidR="00C21DCC" w:rsidRPr="00B0578D">
        <w:rPr>
          <w:rFonts w:ascii="Palatino Linotype" w:eastAsia="Calibri" w:hAnsi="Palatino Linotype" w:cs="Arial"/>
        </w:rPr>
        <w:t xml:space="preserve">) de </w:t>
      </w:r>
      <w:r w:rsidR="00D20A57" w:rsidRPr="00B0578D">
        <w:rPr>
          <w:rFonts w:ascii="Palatino Linotype" w:eastAsia="Calibri" w:hAnsi="Palatino Linotype" w:cs="Arial"/>
        </w:rPr>
        <w:t>noviembre</w:t>
      </w:r>
      <w:r w:rsidR="00F7082F" w:rsidRPr="00B0578D">
        <w:rPr>
          <w:rFonts w:ascii="Palatino Linotype" w:eastAsia="Calibri" w:hAnsi="Palatino Linotype" w:cs="Arial"/>
        </w:rPr>
        <w:t xml:space="preserve"> </w:t>
      </w:r>
      <w:r w:rsidR="00C21DCC" w:rsidRPr="00B0578D">
        <w:rPr>
          <w:rFonts w:ascii="Palatino Linotype" w:eastAsia="Calibri" w:hAnsi="Palatino Linotype" w:cs="Arial"/>
        </w:rPr>
        <w:t xml:space="preserve">de dos mil veintidós, </w:t>
      </w:r>
      <w:r w:rsidR="00C21DCC" w:rsidRPr="00B0578D">
        <w:rPr>
          <w:rFonts w:ascii="Palatino Linotype" w:hAnsi="Palatino Linotype" w:cs="Arial"/>
        </w:rPr>
        <w:t xml:space="preserve">de tal forma que el plazo para interponer el recurso transcurrió del </w:t>
      </w:r>
      <w:r w:rsidR="00D20A57" w:rsidRPr="00B0578D">
        <w:rPr>
          <w:rFonts w:ascii="Palatino Linotype" w:hAnsi="Palatino Linotype" w:cs="Arial"/>
        </w:rPr>
        <w:t>dieciséis</w:t>
      </w:r>
      <w:r w:rsidR="001D1C19" w:rsidRPr="00B0578D">
        <w:rPr>
          <w:rFonts w:ascii="Palatino Linotype" w:hAnsi="Palatino Linotype" w:cs="Arial"/>
        </w:rPr>
        <w:t xml:space="preserve"> </w:t>
      </w:r>
      <w:r w:rsidR="00C21DCC" w:rsidRPr="00B0578D">
        <w:rPr>
          <w:rFonts w:ascii="Palatino Linotype" w:hAnsi="Palatino Linotype" w:cs="Arial"/>
        </w:rPr>
        <w:t>(</w:t>
      </w:r>
      <w:r w:rsidR="00D20A57" w:rsidRPr="00B0578D">
        <w:rPr>
          <w:rFonts w:ascii="Palatino Linotype" w:hAnsi="Palatino Linotype" w:cs="Arial"/>
        </w:rPr>
        <w:t>16</w:t>
      </w:r>
      <w:r w:rsidR="00C21DCC" w:rsidRPr="00B0578D">
        <w:rPr>
          <w:rFonts w:ascii="Palatino Linotype" w:hAnsi="Palatino Linotype" w:cs="Arial"/>
        </w:rPr>
        <w:t>)</w:t>
      </w:r>
      <w:r w:rsidR="001D1C19" w:rsidRPr="00B0578D">
        <w:rPr>
          <w:rFonts w:ascii="Palatino Linotype" w:hAnsi="Palatino Linotype" w:cs="Arial"/>
        </w:rPr>
        <w:t xml:space="preserve"> </w:t>
      </w:r>
      <w:r w:rsidR="00D371F7" w:rsidRPr="00B0578D">
        <w:rPr>
          <w:rFonts w:ascii="Palatino Linotype" w:hAnsi="Palatino Linotype" w:cs="Arial"/>
        </w:rPr>
        <w:t xml:space="preserve">de </w:t>
      </w:r>
      <w:r w:rsidR="00D20A57" w:rsidRPr="00B0578D">
        <w:rPr>
          <w:rFonts w:ascii="Palatino Linotype" w:hAnsi="Palatino Linotype" w:cs="Arial"/>
        </w:rPr>
        <w:t>noviembre</w:t>
      </w:r>
      <w:r w:rsidR="00D371F7" w:rsidRPr="00B0578D">
        <w:rPr>
          <w:rFonts w:ascii="Palatino Linotype" w:hAnsi="Palatino Linotype" w:cs="Arial"/>
        </w:rPr>
        <w:t xml:space="preserve"> </w:t>
      </w:r>
      <w:r w:rsidR="00C21DCC" w:rsidRPr="00B0578D">
        <w:rPr>
          <w:rFonts w:ascii="Palatino Linotype" w:hAnsi="Palatino Linotype" w:cs="Arial"/>
        </w:rPr>
        <w:t xml:space="preserve">al </w:t>
      </w:r>
      <w:r w:rsidR="00D20A57" w:rsidRPr="00B0578D">
        <w:rPr>
          <w:rFonts w:ascii="Palatino Linotype" w:hAnsi="Palatino Linotype" w:cs="Arial"/>
        </w:rPr>
        <w:t>siete</w:t>
      </w:r>
      <w:r w:rsidR="001D1C19" w:rsidRPr="00B0578D">
        <w:rPr>
          <w:rFonts w:ascii="Palatino Linotype" w:hAnsi="Palatino Linotype" w:cs="Arial"/>
        </w:rPr>
        <w:t xml:space="preserve"> </w:t>
      </w:r>
      <w:r w:rsidR="00C21DCC" w:rsidRPr="00B0578D">
        <w:rPr>
          <w:rFonts w:ascii="Palatino Linotype" w:hAnsi="Palatino Linotype" w:cs="Arial"/>
        </w:rPr>
        <w:t>(</w:t>
      </w:r>
      <w:r w:rsidR="001D1C19" w:rsidRPr="00B0578D">
        <w:rPr>
          <w:rFonts w:ascii="Palatino Linotype" w:hAnsi="Palatino Linotype" w:cs="Arial"/>
        </w:rPr>
        <w:t>0</w:t>
      </w:r>
      <w:r w:rsidR="00D20A57" w:rsidRPr="00B0578D">
        <w:rPr>
          <w:rFonts w:ascii="Palatino Linotype" w:hAnsi="Palatino Linotype" w:cs="Arial"/>
        </w:rPr>
        <w:t>7</w:t>
      </w:r>
      <w:r w:rsidR="00C21DCC" w:rsidRPr="00B0578D">
        <w:rPr>
          <w:rFonts w:ascii="Palatino Linotype" w:hAnsi="Palatino Linotype" w:cs="Arial"/>
        </w:rPr>
        <w:t xml:space="preserve">) de </w:t>
      </w:r>
      <w:r w:rsidR="00D20A57" w:rsidRPr="00B0578D">
        <w:rPr>
          <w:rFonts w:ascii="Palatino Linotype" w:hAnsi="Palatino Linotype" w:cs="Arial"/>
        </w:rPr>
        <w:t xml:space="preserve">diciembre </w:t>
      </w:r>
      <w:r w:rsidR="00C21DCC" w:rsidRPr="00B0578D">
        <w:rPr>
          <w:rFonts w:ascii="Palatino Linotype" w:hAnsi="Palatino Linotype" w:cs="Arial"/>
        </w:rPr>
        <w:t xml:space="preserve">de dos mil veintidós; en consecuencia, si </w:t>
      </w:r>
      <w:r w:rsidR="00642266" w:rsidRPr="00B0578D">
        <w:rPr>
          <w:rFonts w:ascii="Palatino Linotype" w:hAnsi="Palatino Linotype" w:cs="Arial"/>
        </w:rPr>
        <w:t>el</w:t>
      </w:r>
      <w:r w:rsidR="00B76C39" w:rsidRPr="00B0578D">
        <w:rPr>
          <w:rFonts w:ascii="Palatino Linotype" w:hAnsi="Palatino Linotype" w:cs="Arial"/>
        </w:rPr>
        <w:t xml:space="preserve"> P</w:t>
      </w:r>
      <w:r w:rsidR="00C21DCC" w:rsidRPr="00B0578D">
        <w:rPr>
          <w:rFonts w:ascii="Palatino Linotype" w:hAnsi="Palatino Linotype" w:cs="Arial"/>
        </w:rPr>
        <w:t>articular presentó su inconformidad el</w:t>
      </w:r>
      <w:r w:rsidR="00D371F7" w:rsidRPr="00B0578D">
        <w:rPr>
          <w:rFonts w:ascii="Palatino Linotype" w:hAnsi="Palatino Linotype" w:cs="Arial"/>
        </w:rPr>
        <w:t xml:space="preserve"> </w:t>
      </w:r>
      <w:r w:rsidR="00D20A57" w:rsidRPr="00B0578D">
        <w:rPr>
          <w:rFonts w:ascii="Palatino Linotype" w:hAnsi="Palatino Linotype" w:cs="Arial"/>
        </w:rPr>
        <w:t>diecisiete</w:t>
      </w:r>
      <w:r w:rsidR="00C21DCC" w:rsidRPr="00B0578D">
        <w:rPr>
          <w:rFonts w:ascii="Palatino Linotype" w:hAnsi="Palatino Linotype" w:cs="Arial"/>
        </w:rPr>
        <w:t xml:space="preserve"> (</w:t>
      </w:r>
      <w:r w:rsidR="00D371F7" w:rsidRPr="00B0578D">
        <w:rPr>
          <w:rFonts w:ascii="Palatino Linotype" w:hAnsi="Palatino Linotype" w:cs="Arial"/>
        </w:rPr>
        <w:t>1</w:t>
      </w:r>
      <w:r w:rsidR="00D20A57" w:rsidRPr="00B0578D">
        <w:rPr>
          <w:rFonts w:ascii="Palatino Linotype" w:hAnsi="Palatino Linotype" w:cs="Arial"/>
        </w:rPr>
        <w:t>7</w:t>
      </w:r>
      <w:r w:rsidR="00C21DCC" w:rsidRPr="00B0578D">
        <w:rPr>
          <w:rFonts w:ascii="Palatino Linotype" w:hAnsi="Palatino Linotype" w:cs="Arial"/>
        </w:rPr>
        <w:t xml:space="preserve">) de </w:t>
      </w:r>
      <w:r w:rsidR="00D20A57" w:rsidRPr="00B0578D">
        <w:rPr>
          <w:rFonts w:ascii="Palatino Linotype" w:hAnsi="Palatino Linotype" w:cs="Arial"/>
        </w:rPr>
        <w:t>noviembre</w:t>
      </w:r>
      <w:r w:rsidR="00C21DCC" w:rsidRPr="00B0578D">
        <w:rPr>
          <w:rFonts w:ascii="Palatino Linotype" w:hAnsi="Palatino Linotype" w:cs="Arial"/>
        </w:rPr>
        <w:t xml:space="preserve"> del presente año, se encuentra dentro de los márgenes temporales previstos en el artículo 178 de la </w:t>
      </w:r>
      <w:r w:rsidR="00C21DCC" w:rsidRPr="00B0578D">
        <w:rPr>
          <w:rFonts w:ascii="Palatino Linotype" w:hAnsi="Palatino Linotype" w:cs="Arial"/>
          <w:b/>
        </w:rPr>
        <w:t xml:space="preserve">Ley de Transparencia y Acceso a la Información Pública del Estado de México y Municipios </w:t>
      </w:r>
      <w:r w:rsidR="00C21DCC" w:rsidRPr="00B0578D">
        <w:rPr>
          <w:rFonts w:ascii="Palatino Linotype" w:hAnsi="Palatino Linotype" w:cs="Arial"/>
        </w:rPr>
        <w:t>vigente.</w:t>
      </w:r>
    </w:p>
    <w:p w14:paraId="650F18B2" w14:textId="77777777" w:rsidR="00D20A57" w:rsidRPr="00B0578D" w:rsidRDefault="00D20A57" w:rsidP="00D20A5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87BA1A1" w14:textId="392CE055" w:rsidR="00D371F7" w:rsidRPr="00B0578D"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B0578D">
        <w:rPr>
          <w:rFonts w:ascii="Palatino Linotype" w:eastAsia="Calibri" w:hAnsi="Palatino Linotype" w:cs="Arial"/>
        </w:rPr>
        <w:t xml:space="preserve">Por otra parte, de la revisión al expediente electrónico del </w:t>
      </w:r>
      <w:r w:rsidRPr="00B0578D">
        <w:rPr>
          <w:rFonts w:ascii="Palatino Linotype" w:eastAsia="Calibri" w:hAnsi="Palatino Linotype" w:cs="Arial"/>
          <w:b/>
        </w:rPr>
        <w:t>SAIMEX</w:t>
      </w:r>
      <w:r w:rsidRPr="00B0578D">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su nombre completo </w:t>
      </w:r>
      <w:r w:rsidRPr="00B0578D">
        <w:rPr>
          <w:rFonts w:ascii="Palatino Linotype" w:eastAsia="Calibri" w:hAnsi="Palatino Linotype" w:cs="Arial"/>
        </w:rPr>
        <w:lastRenderedPageBreak/>
        <w:t>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49F4687E" w14:textId="77777777" w:rsidR="00D371F7" w:rsidRPr="00B0578D" w:rsidRDefault="00D371F7" w:rsidP="00D371F7">
      <w:pPr>
        <w:pStyle w:val="Prrafodelista"/>
        <w:ind w:left="0"/>
        <w:rPr>
          <w:rFonts w:ascii="Palatino Linotype" w:eastAsia="Calibri" w:hAnsi="Palatino Linotype" w:cs="Arial"/>
        </w:rPr>
      </w:pPr>
    </w:p>
    <w:p w14:paraId="40597CCB" w14:textId="77777777" w:rsidR="00D371F7" w:rsidRPr="00B0578D"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B0578D">
        <w:rPr>
          <w:rFonts w:ascii="Palatino Linotype" w:eastAsia="Calibri" w:hAnsi="Palatino Linotype" w:cs="Arial"/>
        </w:rPr>
        <w:t xml:space="preserve">Esto es así, ya que de conformidad con los artículos 6, Apartado A, fracciones III y IV de la Constitución Política de los Estados Unidos Mexicanos y </w:t>
      </w:r>
      <w:r w:rsidRPr="00B0578D">
        <w:rPr>
          <w:rFonts w:ascii="Palatino Linotype" w:eastAsia="Calibri" w:hAnsi="Palatino Linotype" w:cs="Arial"/>
          <w:bCs/>
          <w:lang w:val="es-ES"/>
        </w:rPr>
        <w:t>5, párrafos vigésimo, vigésimo primero y vigésimo segundo fracciones IV y V </w:t>
      </w:r>
      <w:r w:rsidRPr="00B0578D">
        <w:rPr>
          <w:rFonts w:ascii="Palatino Linotype" w:eastAsia="Calibri" w:hAnsi="Palatino Linotype" w:cs="Aria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4155B7A" w14:textId="77777777" w:rsidR="00D371F7" w:rsidRPr="00B0578D" w:rsidRDefault="00D371F7" w:rsidP="00D371F7">
      <w:pPr>
        <w:pStyle w:val="Prrafodelista"/>
        <w:ind w:left="0"/>
        <w:rPr>
          <w:rFonts w:ascii="Palatino Linotype" w:eastAsia="Calibri" w:hAnsi="Palatino Linotype" w:cs="Arial"/>
        </w:rPr>
      </w:pPr>
    </w:p>
    <w:p w14:paraId="02632819" w14:textId="77777777" w:rsidR="00D371F7" w:rsidRPr="00B0578D"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B0578D">
        <w:rPr>
          <w:rFonts w:ascii="Palatino Linotype" w:eastAsia="Calibri" w:hAnsi="Palatino Linotype" w:cs="Arial"/>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B0578D">
        <w:rPr>
          <w:rFonts w:ascii="Palatino Linotype" w:eastAsia="Calibri" w:hAnsi="Palatino Linotype" w:cs="Arial"/>
        </w:rPr>
        <w:lastRenderedPageBreak/>
        <w:t>pueda ser anónima o no contener un nombre que identifique al solicitante o que permita tener certeza sobre su identidad.</w:t>
      </w:r>
    </w:p>
    <w:p w14:paraId="3105F337" w14:textId="77777777" w:rsidR="00D371F7" w:rsidRPr="00B0578D" w:rsidRDefault="00D371F7" w:rsidP="00D371F7">
      <w:pPr>
        <w:pStyle w:val="Prrafodelista"/>
        <w:ind w:left="0"/>
        <w:rPr>
          <w:rFonts w:ascii="Palatino Linotype" w:eastAsia="Calibri" w:hAnsi="Palatino Linotype" w:cs="Arial"/>
        </w:rPr>
      </w:pPr>
    </w:p>
    <w:p w14:paraId="4C505E4C" w14:textId="77777777" w:rsidR="00D371F7" w:rsidRPr="00B0578D"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B0578D">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23E67DF" w14:textId="77777777" w:rsidR="00D371F7" w:rsidRPr="00B0578D" w:rsidRDefault="00D371F7" w:rsidP="00D371F7">
      <w:pPr>
        <w:pStyle w:val="Prrafodelista"/>
        <w:ind w:left="0"/>
        <w:rPr>
          <w:rFonts w:ascii="Palatino Linotype" w:eastAsia="Calibri" w:hAnsi="Palatino Linotype" w:cs="Arial"/>
        </w:rPr>
      </w:pPr>
    </w:p>
    <w:p w14:paraId="306ED988" w14:textId="6F239CD1" w:rsidR="00D371F7" w:rsidRPr="00B0578D" w:rsidRDefault="00D371F7" w:rsidP="00D371F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23867715" w14:textId="77777777" w:rsidR="00946C27" w:rsidRPr="00B0578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45C126" w14:textId="48E42C7E" w:rsidR="0079454A" w:rsidRPr="00B0578D" w:rsidRDefault="00163084"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hAnsi="Palatino Linotype"/>
        </w:rPr>
        <w:t>Por</w:t>
      </w:r>
      <w:r w:rsidRPr="00B0578D">
        <w:rPr>
          <w:rFonts w:ascii="Palatino Linotype" w:eastAsia="Calibri" w:hAnsi="Palatino Linotype" w:cs="Arial"/>
        </w:rPr>
        <w:t xml:space="preserve"> otro lado, los</w:t>
      </w:r>
      <w:r w:rsidR="0032581C" w:rsidRPr="00B0578D">
        <w:rPr>
          <w:rFonts w:ascii="Palatino Linotype" w:eastAsia="Calibri" w:hAnsi="Palatino Linotype" w:cs="Arial"/>
        </w:rPr>
        <w:t xml:space="preserve"> escrito</w:t>
      </w:r>
      <w:r w:rsidRPr="00B0578D">
        <w:rPr>
          <w:rFonts w:ascii="Palatino Linotype" w:eastAsia="Calibri" w:hAnsi="Palatino Linotype" w:cs="Arial"/>
        </w:rPr>
        <w:t>s</w:t>
      </w:r>
      <w:r w:rsidR="0032581C" w:rsidRPr="00B0578D">
        <w:rPr>
          <w:rFonts w:ascii="Palatino Linotype" w:eastAsia="Calibri" w:hAnsi="Palatino Linotype" w:cs="Arial"/>
        </w:rPr>
        <w:t xml:space="preserve"> contiene</w:t>
      </w:r>
      <w:r w:rsidRPr="00B0578D">
        <w:rPr>
          <w:rFonts w:ascii="Palatino Linotype" w:eastAsia="Calibri" w:hAnsi="Palatino Linotype" w:cs="Arial"/>
        </w:rPr>
        <w:t>n</w:t>
      </w:r>
      <w:r w:rsidR="0032581C" w:rsidRPr="00B0578D">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48BB74F" w14:textId="77777777" w:rsidR="00D20A57" w:rsidRPr="00B0578D" w:rsidRDefault="00D20A57" w:rsidP="00D20A5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0FADBD" w14:textId="77777777" w:rsidR="00946C27" w:rsidRPr="00B0578D"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B0578D">
        <w:rPr>
          <w:rFonts w:ascii="Palatino Linotype" w:hAnsi="Palatino Linotype"/>
          <w:b/>
          <w:color w:val="auto"/>
          <w:sz w:val="24"/>
          <w:szCs w:val="24"/>
        </w:rPr>
        <w:t xml:space="preserve">TERCERO. </w:t>
      </w:r>
      <w:bookmarkEnd w:id="30"/>
      <w:bookmarkEnd w:id="31"/>
      <w:r w:rsidR="0079454A" w:rsidRPr="00B0578D">
        <w:rPr>
          <w:rFonts w:ascii="Palatino Linotype" w:hAnsi="Palatino Linotype"/>
          <w:b/>
          <w:color w:val="auto"/>
          <w:sz w:val="24"/>
          <w:szCs w:val="24"/>
        </w:rPr>
        <w:t>De las causales de sobreseimiento.</w:t>
      </w:r>
      <w:bookmarkEnd w:id="32"/>
    </w:p>
    <w:p w14:paraId="27890AD2" w14:textId="77777777" w:rsidR="00946C27" w:rsidRPr="00B0578D" w:rsidRDefault="00946C27" w:rsidP="00946C27">
      <w:pPr>
        <w:rPr>
          <w:lang w:eastAsia="en-US"/>
        </w:rPr>
      </w:pPr>
    </w:p>
    <w:p w14:paraId="4F70E7FD" w14:textId="77777777" w:rsidR="00C80885" w:rsidRPr="00B0578D" w:rsidRDefault="0079454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B0578D">
        <w:rPr>
          <w:rFonts w:ascii="Palatino Linotype" w:eastAsia="Calibri" w:hAnsi="Palatino Linotype" w:cs="Arial"/>
          <w:color w:val="000000" w:themeColor="text1"/>
        </w:rPr>
        <w:lastRenderedPageBreak/>
        <w:t xml:space="preserve">El recurso de revisión </w:t>
      </w:r>
      <w:r w:rsidRPr="00B0578D">
        <w:rPr>
          <w:rFonts w:ascii="Palatino Linotype" w:hAnsi="Palatino Linotype" w:cs="Arial"/>
        </w:rPr>
        <w:t xml:space="preserve">tiene como finalidad reparar cualquier posible afectación al derecho de acceso a la información pública en términos del Título Octavo de la Ley de </w:t>
      </w:r>
      <w:r w:rsidRPr="00B0578D">
        <w:rPr>
          <w:rFonts w:ascii="Palatino Linotype" w:eastAsia="Calibri" w:hAnsi="Palatino Linotype" w:cs="Arial"/>
        </w:rPr>
        <w:t>Transparencia, Acceso a la Información Pública del Estado de México y Municipios</w:t>
      </w:r>
      <w:r w:rsidRPr="00B0578D">
        <w:rPr>
          <w:rFonts w:ascii="Palatino Linotype" w:hAnsi="Palatino Linotype" w:cs="Arial"/>
        </w:rPr>
        <w:t xml:space="preserve">, y determinar la confirmación; revocación o modificación; desechamiento o </w:t>
      </w:r>
      <w:r w:rsidRPr="00B0578D">
        <w:rPr>
          <w:rFonts w:ascii="Palatino Linotype" w:hAnsi="Palatino Linotype" w:cs="Arial"/>
          <w:b/>
          <w:u w:val="single"/>
        </w:rPr>
        <w:t>sobreseimiento</w:t>
      </w:r>
      <w:r w:rsidRPr="00B0578D">
        <w:rPr>
          <w:rFonts w:ascii="Palatino Linotype" w:hAnsi="Palatino Linotype" w:cs="Arial"/>
        </w:rPr>
        <w:t xml:space="preserve">; y en su caso ordenar la entrega de la información con respecto a la respuesta emitida por el </w:t>
      </w:r>
      <w:r w:rsidRPr="00B0578D">
        <w:rPr>
          <w:rFonts w:ascii="Palatino Linotype" w:hAnsi="Palatino Linotype" w:cs="Arial"/>
          <w:b/>
        </w:rPr>
        <w:t>SUJETO</w:t>
      </w:r>
      <w:r w:rsidRPr="00B0578D">
        <w:rPr>
          <w:rFonts w:ascii="Palatino Linotype" w:hAnsi="Palatino Linotype" w:cs="Arial"/>
        </w:rPr>
        <w:t xml:space="preserve"> </w:t>
      </w:r>
      <w:r w:rsidRPr="00B0578D">
        <w:rPr>
          <w:rFonts w:ascii="Palatino Linotype" w:hAnsi="Palatino Linotype" w:cs="Arial"/>
          <w:b/>
        </w:rPr>
        <w:t>OBLIGADO</w:t>
      </w:r>
      <w:r w:rsidRPr="00B0578D">
        <w:rPr>
          <w:rFonts w:ascii="Palatino Linotype" w:hAnsi="Palatino Linotype" w:cs="Arial"/>
        </w:rPr>
        <w:t>.</w:t>
      </w:r>
    </w:p>
    <w:p w14:paraId="3980BC9D" w14:textId="77777777" w:rsidR="003F4920" w:rsidRPr="00B0578D" w:rsidRDefault="003F4920" w:rsidP="003F49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AD09580" w14:textId="77777777" w:rsidR="0079454A" w:rsidRPr="00B0578D"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rPr>
        <w:t xml:space="preserve">De </w:t>
      </w:r>
      <w:r w:rsidRPr="00B0578D">
        <w:rPr>
          <w:rFonts w:ascii="Palatino Linotype" w:eastAsia="Calibri" w:hAnsi="Palatino Linotype" w:cs="Times New Roman"/>
          <w:lang w:val="es-MX"/>
        </w:rPr>
        <w:t>acuerdo al precepto legal contenido</w:t>
      </w:r>
      <w:r w:rsidRPr="00B0578D">
        <w:rPr>
          <w:rFonts w:ascii="Palatino Linotype" w:eastAsia="Calibri" w:hAnsi="Palatino Linotype" w:cs="Times New Roman"/>
        </w:rPr>
        <w:t xml:space="preserve"> en la fracción III del artículo 192 de la </w:t>
      </w:r>
      <w:r w:rsidRPr="00B0578D">
        <w:rPr>
          <w:rFonts w:ascii="Palatino Linotype" w:eastAsia="Calibri" w:hAnsi="Palatino Linotype" w:cs="Times New Roman"/>
          <w:b/>
        </w:rPr>
        <w:t>Ley de Transparencia y Acceso a la Información Pública del Estado de México y Municipios</w:t>
      </w:r>
      <w:r w:rsidRPr="00B0578D">
        <w:rPr>
          <w:rFonts w:ascii="Palatino Linotype" w:eastAsia="Calibri" w:hAnsi="Palatino Linotype" w:cs="Times New Roman"/>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4F040765" w14:textId="77777777" w:rsidR="0079454A" w:rsidRPr="00B0578D" w:rsidRDefault="0079454A" w:rsidP="0079454A">
      <w:pPr>
        <w:pStyle w:val="Prrafodelista"/>
        <w:rPr>
          <w:rFonts w:ascii="Palatino Linotype" w:eastAsia="Calibri" w:hAnsi="Palatino Linotype" w:cs="Arial"/>
          <w:color w:val="000000" w:themeColor="text1"/>
          <w:lang w:val="es-ES"/>
        </w:rPr>
      </w:pPr>
    </w:p>
    <w:p w14:paraId="689C9ADC" w14:textId="77777777" w:rsidR="0079454A" w:rsidRPr="00B0578D"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Para </w:t>
      </w:r>
      <w:r w:rsidRPr="00B0578D">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B0578D">
        <w:rPr>
          <w:rFonts w:ascii="Palatino Linotype" w:eastAsia="Calibri" w:hAnsi="Palatino Linotype" w:cs="Times New Roman"/>
          <w:b/>
        </w:rPr>
        <w:t>SUJETO OBLIGADO</w:t>
      </w:r>
      <w:r w:rsidRPr="00B0578D">
        <w:rPr>
          <w:rFonts w:ascii="Palatino Linotype" w:eastAsia="Calibri" w:hAnsi="Palatino Linotype" w:cs="Times New Roman"/>
        </w:rPr>
        <w:t>:</w:t>
      </w:r>
    </w:p>
    <w:p w14:paraId="5AEDDCB6" w14:textId="77777777" w:rsidR="0079454A" w:rsidRPr="00B0578D" w:rsidRDefault="0079454A" w:rsidP="003F4920">
      <w:pPr>
        <w:rPr>
          <w:rFonts w:ascii="Palatino Linotype" w:eastAsia="Calibri" w:hAnsi="Palatino Linotype" w:cs="Arial"/>
          <w:color w:val="000000" w:themeColor="text1"/>
          <w:lang w:val="es-ES"/>
        </w:rPr>
      </w:pPr>
    </w:p>
    <w:p w14:paraId="72391672" w14:textId="77777777" w:rsidR="0079454A" w:rsidRPr="00B0578D" w:rsidRDefault="0079454A" w:rsidP="0079454A">
      <w:pPr>
        <w:numPr>
          <w:ilvl w:val="0"/>
          <w:numId w:val="6"/>
        </w:numPr>
        <w:spacing w:line="360" w:lineRule="auto"/>
        <w:ind w:left="567" w:right="616" w:firstLine="0"/>
        <w:contextualSpacing/>
        <w:jc w:val="both"/>
        <w:rPr>
          <w:rFonts w:ascii="Palatino Linotype" w:hAnsi="Palatino Linotype" w:cs="Arial"/>
        </w:rPr>
      </w:pPr>
      <w:r w:rsidRPr="00B0578D">
        <w:rPr>
          <w:rFonts w:ascii="Palatino Linotype" w:hAnsi="Palatino Linotype" w:cs="Arial"/>
          <w:b/>
        </w:rPr>
        <w:t>Modifique el acto impugnado:</w:t>
      </w:r>
      <w:r w:rsidRPr="00B0578D">
        <w:rPr>
          <w:rFonts w:ascii="Palatino Linotype" w:hAnsi="Palatino Linotype" w:cs="Arial"/>
        </w:rPr>
        <w:t xml:space="preserve"> Se actualiza cuando el </w:t>
      </w:r>
      <w:r w:rsidRPr="00B0578D">
        <w:rPr>
          <w:rFonts w:ascii="Palatino Linotype" w:hAnsi="Palatino Linotype" w:cs="Arial"/>
          <w:b/>
        </w:rPr>
        <w:t>SUJETO OBLIGADO</w:t>
      </w:r>
      <w:r w:rsidRPr="00B0578D">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131EF593" w14:textId="77777777" w:rsidR="0079454A" w:rsidRPr="00B0578D" w:rsidRDefault="0079454A" w:rsidP="0079454A">
      <w:pPr>
        <w:spacing w:line="360" w:lineRule="auto"/>
        <w:ind w:left="567" w:right="616"/>
        <w:contextualSpacing/>
        <w:jc w:val="both"/>
        <w:rPr>
          <w:rFonts w:ascii="Palatino Linotype" w:hAnsi="Palatino Linotype" w:cs="Arial"/>
        </w:rPr>
      </w:pPr>
    </w:p>
    <w:p w14:paraId="25BFBA15" w14:textId="5D929B47" w:rsidR="0079454A" w:rsidRPr="00B0578D" w:rsidRDefault="0079454A" w:rsidP="00C0159D">
      <w:pPr>
        <w:numPr>
          <w:ilvl w:val="0"/>
          <w:numId w:val="6"/>
        </w:numPr>
        <w:spacing w:line="360" w:lineRule="auto"/>
        <w:ind w:left="567" w:right="616" w:firstLine="0"/>
        <w:contextualSpacing/>
        <w:jc w:val="both"/>
        <w:rPr>
          <w:rFonts w:ascii="Palatino Linotype" w:hAnsi="Palatino Linotype" w:cs="Arial"/>
        </w:rPr>
      </w:pPr>
      <w:r w:rsidRPr="00B0578D">
        <w:rPr>
          <w:rFonts w:ascii="Palatino Linotype" w:hAnsi="Palatino Linotype" w:cs="Arial"/>
          <w:b/>
        </w:rPr>
        <w:t>Revoque el acto impugnado:</w:t>
      </w:r>
      <w:r w:rsidRPr="00B0578D">
        <w:rPr>
          <w:rFonts w:ascii="Palatino Linotype" w:hAnsi="Palatino Linotype" w:cs="Arial"/>
        </w:rPr>
        <w:t xml:space="preserve"> En este supuesto, el </w:t>
      </w:r>
      <w:r w:rsidRPr="00B0578D">
        <w:rPr>
          <w:rFonts w:ascii="Palatino Linotype" w:hAnsi="Palatino Linotype" w:cs="Arial"/>
          <w:b/>
        </w:rPr>
        <w:t>SUJETO OBLIGADO</w:t>
      </w:r>
      <w:r w:rsidRPr="00B0578D">
        <w:rPr>
          <w:rFonts w:ascii="Palatino Linotype" w:hAnsi="Palatino Linotype" w:cs="Arial"/>
        </w:rPr>
        <w:t xml:space="preserve"> deja sin efectos la primera respuesta y en su lugar emite otra que satisfaga lo solicitado por </w:t>
      </w:r>
      <w:r w:rsidR="00642266" w:rsidRPr="00B0578D">
        <w:rPr>
          <w:rFonts w:ascii="Palatino Linotype" w:hAnsi="Palatino Linotype" w:cs="Arial"/>
        </w:rPr>
        <w:t xml:space="preserve">el </w:t>
      </w:r>
      <w:r w:rsidR="00B76C39" w:rsidRPr="00B0578D">
        <w:rPr>
          <w:rFonts w:ascii="Palatino Linotype" w:hAnsi="Palatino Linotype" w:cs="Arial"/>
        </w:rPr>
        <w:t>P</w:t>
      </w:r>
      <w:r w:rsidRPr="00B0578D">
        <w:rPr>
          <w:rFonts w:ascii="Palatino Linotype" w:hAnsi="Palatino Linotype" w:cs="Arial"/>
        </w:rPr>
        <w:t>articular en un primer momento.</w:t>
      </w:r>
    </w:p>
    <w:p w14:paraId="47527B84" w14:textId="77777777" w:rsidR="00C0159D" w:rsidRPr="00B0578D" w:rsidRDefault="00C0159D" w:rsidP="00C0159D">
      <w:pPr>
        <w:spacing w:line="360" w:lineRule="auto"/>
        <w:ind w:right="616"/>
        <w:contextualSpacing/>
        <w:jc w:val="both"/>
        <w:rPr>
          <w:rFonts w:ascii="Palatino Linotype" w:hAnsi="Palatino Linotype" w:cs="Arial"/>
        </w:rPr>
      </w:pPr>
    </w:p>
    <w:p w14:paraId="42594029" w14:textId="06905FEE" w:rsidR="00D570D1" w:rsidRPr="00B0578D" w:rsidRDefault="0079454A" w:rsidP="00D57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Las </w:t>
      </w:r>
      <w:r w:rsidRPr="00B0578D">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w:t>
      </w:r>
      <w:r w:rsidR="00642266" w:rsidRPr="00B0578D">
        <w:rPr>
          <w:rFonts w:ascii="Palatino Linotype" w:eastAsia="Calibri" w:hAnsi="Palatino Linotype" w:cs="Times New Roman"/>
        </w:rPr>
        <w:t>l</w:t>
      </w:r>
      <w:r w:rsidR="00B76C39" w:rsidRPr="00B0578D">
        <w:rPr>
          <w:rFonts w:ascii="Palatino Linotype" w:eastAsia="Calibri" w:hAnsi="Palatino Linotype" w:cs="Times New Roman"/>
        </w:rPr>
        <w:t xml:space="preserve"> P</w:t>
      </w:r>
      <w:r w:rsidRPr="00B0578D">
        <w:rPr>
          <w:rFonts w:ascii="Palatino Linotype" w:eastAsia="Calibri" w:hAnsi="Palatino Linotype" w:cs="Times New Roman"/>
        </w:rPr>
        <w:t>articular, ya sea porque se hizo la entrega de la información solicitada o porque se completó la misma.</w:t>
      </w:r>
    </w:p>
    <w:p w14:paraId="74FF2A20" w14:textId="77777777" w:rsidR="00A324B2" w:rsidRPr="00B0578D" w:rsidRDefault="00A324B2" w:rsidP="00A324B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CB016F5" w14:textId="14613282" w:rsidR="001D773A" w:rsidRPr="00B0578D" w:rsidRDefault="00D570D1" w:rsidP="001D773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lang w:val="es-ES"/>
        </w:rPr>
      </w:pPr>
      <w:r w:rsidRPr="00B0578D">
        <w:rPr>
          <w:rFonts w:ascii="Palatino Linotype" w:eastAsia="Calibri" w:hAnsi="Palatino Linotype" w:cs="Arial"/>
          <w:color w:val="000000" w:themeColor="text1"/>
          <w:lang w:val="es-ES"/>
        </w:rPr>
        <w:t xml:space="preserve">En el presente caso, </w:t>
      </w:r>
      <w:r w:rsidR="00AC5C2D" w:rsidRPr="00B0578D">
        <w:rPr>
          <w:rFonts w:ascii="Palatino Linotype" w:eastAsia="Times New Roman" w:hAnsi="Palatino Linotype" w:cs="Arial"/>
          <w:color w:val="000000"/>
          <w:lang w:val="es-ES"/>
        </w:rPr>
        <w:t>el</w:t>
      </w:r>
      <w:r w:rsidR="001A16C3" w:rsidRPr="00B0578D">
        <w:rPr>
          <w:rFonts w:ascii="Palatino Linotype" w:eastAsia="Times New Roman" w:hAnsi="Palatino Linotype" w:cs="Arial"/>
          <w:color w:val="000000"/>
          <w:lang w:val="es-ES"/>
        </w:rPr>
        <w:t xml:space="preserve"> Recurrente</w:t>
      </w:r>
      <w:r w:rsidRPr="00B0578D">
        <w:rPr>
          <w:rFonts w:ascii="Palatino Linotype" w:eastAsia="Times New Roman" w:hAnsi="Palatino Linotype" w:cs="Arial"/>
          <w:color w:val="000000"/>
          <w:lang w:val="es-ES"/>
        </w:rPr>
        <w:t xml:space="preserve"> solicitó</w:t>
      </w:r>
      <w:r w:rsidR="00FE3C06" w:rsidRPr="00B0578D">
        <w:rPr>
          <w:rFonts w:ascii="Palatino Linotype" w:eastAsia="Times New Roman" w:hAnsi="Palatino Linotype" w:cs="Arial"/>
          <w:color w:val="000000"/>
          <w:lang w:val="es-ES"/>
        </w:rPr>
        <w:t>:</w:t>
      </w:r>
      <w:r w:rsidR="00681811" w:rsidRPr="00B0578D">
        <w:rPr>
          <w:rFonts w:ascii="Palatino Linotype" w:eastAsia="Calibri" w:hAnsi="Palatino Linotype" w:cs="Arial"/>
          <w:color w:val="000000" w:themeColor="text1"/>
          <w:lang w:val="es-ES"/>
        </w:rPr>
        <w:t xml:space="preserve"> </w:t>
      </w:r>
      <w:r w:rsidR="001A16C3" w:rsidRPr="00B0578D">
        <w:rPr>
          <w:rFonts w:ascii="Palatino Linotype" w:eastAsia="Calibri" w:hAnsi="Palatino Linotype" w:cs="Arial"/>
          <w:i/>
          <w:iCs/>
          <w:color w:val="000000" w:themeColor="text1"/>
          <w:lang w:val="es-ES"/>
        </w:rPr>
        <w:t>“</w:t>
      </w:r>
      <w:r w:rsidR="001D773A" w:rsidRPr="00B0578D">
        <w:rPr>
          <w:rFonts w:ascii="Palatino Linotype" w:eastAsia="Calibri" w:hAnsi="Palatino Linotype" w:cs="Arial"/>
          <w:i/>
          <w:iCs/>
          <w:lang w:val="es-ES"/>
        </w:rPr>
        <w:t>Quiero s</w:t>
      </w:r>
      <w:r w:rsidR="001D773A" w:rsidRPr="00B0578D">
        <w:rPr>
          <w:rFonts w:ascii="Palatino Linotype" w:hAnsi="Palatino Linotype"/>
          <w:i/>
          <w:iCs/>
          <w:color w:val="000000"/>
        </w:rPr>
        <w:t>aber</w:t>
      </w:r>
      <w:r w:rsidR="001D773A" w:rsidRPr="00B0578D">
        <w:rPr>
          <w:rFonts w:ascii="Palatino Linotype" w:hAnsi="Palatino Linotype"/>
          <w:b/>
          <w:bCs/>
          <w:i/>
          <w:iCs/>
          <w:color w:val="000000"/>
        </w:rPr>
        <w:t xml:space="preserve"> bajo que normatividad específicamente se fundamentan y motivan los actos que emite la DIRECCION DE CATASTRO de la Tesorería </w:t>
      </w:r>
      <w:r w:rsidR="001D773A" w:rsidRPr="00B0578D">
        <w:rPr>
          <w:rFonts w:ascii="Palatino Linotype" w:hAnsi="Palatino Linotype"/>
          <w:i/>
          <w:iCs/>
          <w:color w:val="000000"/>
        </w:rPr>
        <w:t xml:space="preserve">de Huixquilucan sobre diferencias de construcción actuando </w:t>
      </w:r>
      <w:r w:rsidR="001D773A" w:rsidRPr="00B0578D">
        <w:rPr>
          <w:rFonts w:ascii="Palatino Linotype" w:hAnsi="Palatino Linotype"/>
          <w:b/>
          <w:bCs/>
          <w:i/>
          <w:iCs/>
          <w:color w:val="000000"/>
        </w:rPr>
        <w:t>como autoridad fiscal siendo autoridades catastrales</w:t>
      </w:r>
      <w:r w:rsidR="001D773A" w:rsidRPr="00B0578D">
        <w:rPr>
          <w:rFonts w:ascii="Palatino Linotype" w:hAnsi="Palatino Linotype"/>
          <w:i/>
          <w:iCs/>
          <w:color w:val="000000"/>
        </w:rPr>
        <w:t>” (Sic)</w:t>
      </w:r>
    </w:p>
    <w:p w14:paraId="282DDAA1" w14:textId="77777777" w:rsidR="00681811" w:rsidRPr="00B0578D" w:rsidRDefault="00681811" w:rsidP="0068181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A003FCB" w14:textId="4F593056" w:rsidR="001D1C19" w:rsidRPr="00B0578D" w:rsidRDefault="00FE3C06" w:rsidP="00BD1B8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Times New Roman" w:hAnsi="Palatino Linotype" w:cs="Arial"/>
          <w:color w:val="000000"/>
          <w:lang w:val="es-ES"/>
        </w:rPr>
        <w:t>E</w:t>
      </w:r>
      <w:r w:rsidR="00D570D1" w:rsidRPr="00B0578D">
        <w:rPr>
          <w:rFonts w:ascii="Palatino Linotype" w:eastAsia="Times New Roman" w:hAnsi="Palatino Linotype" w:cs="Arial"/>
          <w:color w:val="000000"/>
          <w:lang w:val="es-ES"/>
        </w:rPr>
        <w:t>n respuesta, el</w:t>
      </w:r>
      <w:r w:rsidR="00785D88" w:rsidRPr="00B0578D">
        <w:rPr>
          <w:rFonts w:ascii="Palatino Linotype" w:hAnsi="Palatino Linotype"/>
          <w:color w:val="000000"/>
        </w:rPr>
        <w:t xml:space="preserve"> </w:t>
      </w:r>
      <w:r w:rsidR="00785D88" w:rsidRPr="00B0578D">
        <w:rPr>
          <w:rFonts w:ascii="Palatino Linotype" w:hAnsi="Palatino Linotype"/>
          <w:b/>
          <w:color w:val="000000"/>
        </w:rPr>
        <w:t>SUJETO OBLIGADO</w:t>
      </w:r>
      <w:r w:rsidR="00785D88" w:rsidRPr="00B0578D">
        <w:rPr>
          <w:rFonts w:ascii="Palatino Linotype" w:hAnsi="Palatino Linotype"/>
          <w:color w:val="000000"/>
        </w:rPr>
        <w:t xml:space="preserve"> </w:t>
      </w:r>
      <w:r w:rsidR="001D773A" w:rsidRPr="00B0578D">
        <w:rPr>
          <w:rFonts w:ascii="Palatino Linotype" w:hAnsi="Palatino Linotype"/>
          <w:color w:val="000000"/>
        </w:rPr>
        <w:t xml:space="preserve">remitió un escrito proporcionado por el </w:t>
      </w:r>
      <w:r w:rsidR="001D773A" w:rsidRPr="00B0578D">
        <w:rPr>
          <w:rFonts w:ascii="Palatino Linotype" w:hAnsi="Palatino Linotype"/>
          <w:lang w:eastAsia="es-ES_tradnl"/>
        </w:rPr>
        <w:t>Servidor Público Habilitado de la Tesorería Municipal, según consta en el SAIMEX; por medio del cual se informó el fundamento legal para cobrar las diferencias de construcción derivadas del Impuesto predial</w:t>
      </w:r>
      <w:r w:rsidR="00BD1B8B" w:rsidRPr="00B0578D">
        <w:rPr>
          <w:rFonts w:ascii="Palatino Linotype" w:hAnsi="Palatino Linotype"/>
          <w:lang w:eastAsia="es-ES_tradnl"/>
        </w:rPr>
        <w:t xml:space="preserve">, así como, </w:t>
      </w:r>
      <w:r w:rsidR="00BD1B8B" w:rsidRPr="00B0578D">
        <w:rPr>
          <w:rFonts w:ascii="Palatino Linotype" w:hAnsi="Palatino Linotype" w:cs="Arial"/>
          <w:color w:val="222222"/>
          <w:shd w:val="clear" w:color="auto" w:fill="FFFFFF"/>
        </w:rPr>
        <w:t xml:space="preserve">el fundamento legal de las </w:t>
      </w:r>
      <w:r w:rsidR="00BD1B8B" w:rsidRPr="00B0578D">
        <w:rPr>
          <w:rFonts w:ascii="Palatino Linotype" w:hAnsi="Palatino Linotype" w:cs="Arial"/>
          <w:color w:val="222222"/>
          <w:shd w:val="clear" w:color="auto" w:fill="FFFFFF"/>
        </w:rPr>
        <w:lastRenderedPageBreak/>
        <w:t>funciones y atribuciones de la Dirección de Catastro y del Tesorero Municipal, en relación con el tema;</w:t>
      </w:r>
      <w:r w:rsidR="001D773A" w:rsidRPr="00B0578D">
        <w:rPr>
          <w:rFonts w:ascii="Palatino Linotype" w:hAnsi="Palatino Linotype"/>
          <w:lang w:eastAsia="es-ES_tradnl"/>
        </w:rPr>
        <w:t xml:space="preserve"> en los siguientes términos:</w:t>
      </w:r>
    </w:p>
    <w:p w14:paraId="4EC56EAB" w14:textId="2A5D7DD7" w:rsidR="001D773A" w:rsidRPr="00B0578D" w:rsidRDefault="001D773A" w:rsidP="001D773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8374CEC" w14:textId="77777777" w:rsidR="001D773A" w:rsidRPr="00B0578D" w:rsidRDefault="001D773A" w:rsidP="001D773A">
      <w:pPr>
        <w:ind w:left="567" w:right="565"/>
        <w:jc w:val="both"/>
        <w:rPr>
          <w:rFonts w:ascii="Palatino Linotype" w:hAnsi="Palatino Linotype"/>
          <w:i/>
          <w:iCs/>
          <w:sz w:val="22"/>
          <w:szCs w:val="22"/>
        </w:rPr>
      </w:pPr>
      <w:r w:rsidRPr="00B0578D">
        <w:rPr>
          <w:rFonts w:ascii="Palatino Linotype" w:eastAsia="Calibri" w:hAnsi="Palatino Linotype" w:cs="Arial"/>
          <w:i/>
          <w:iCs/>
          <w:color w:val="000000" w:themeColor="text1"/>
          <w:sz w:val="22"/>
          <w:szCs w:val="22"/>
          <w:lang w:val="es-ES"/>
        </w:rPr>
        <w:t>“</w:t>
      </w:r>
      <w:r w:rsidRPr="00B0578D">
        <w:rPr>
          <w:rFonts w:ascii="Palatino Linotype" w:hAnsi="Palatino Linotype"/>
          <w:i/>
          <w:iCs/>
          <w:sz w:val="22"/>
          <w:szCs w:val="22"/>
        </w:rPr>
        <w:t xml:space="preserve">Por lo que respecta al </w:t>
      </w:r>
      <w:r w:rsidRPr="00B0578D">
        <w:rPr>
          <w:rFonts w:ascii="Palatino Linotype" w:hAnsi="Palatino Linotype"/>
          <w:b/>
          <w:bCs/>
          <w:i/>
          <w:iCs/>
          <w:sz w:val="22"/>
          <w:szCs w:val="22"/>
        </w:rPr>
        <w:t xml:space="preserve">fundamento legal para cobrar las Diferencias de construcción derivadas del Impuesto Predial </w:t>
      </w:r>
      <w:r w:rsidRPr="00B0578D">
        <w:rPr>
          <w:rFonts w:ascii="Palatino Linotype" w:hAnsi="Palatino Linotype"/>
          <w:i/>
          <w:iCs/>
          <w:sz w:val="22"/>
          <w:szCs w:val="22"/>
        </w:rPr>
        <w:t>me permito informar lo siguiente:</w:t>
      </w:r>
    </w:p>
    <w:p w14:paraId="061BC986" w14:textId="77777777" w:rsidR="001D773A" w:rsidRPr="00B0578D" w:rsidRDefault="001D773A" w:rsidP="001D773A">
      <w:pPr>
        <w:ind w:left="567" w:right="565"/>
        <w:jc w:val="both"/>
        <w:rPr>
          <w:rFonts w:ascii="Palatino Linotype" w:hAnsi="Palatino Linotype"/>
          <w:i/>
          <w:iCs/>
          <w:sz w:val="22"/>
          <w:szCs w:val="22"/>
        </w:rPr>
      </w:pPr>
    </w:p>
    <w:p w14:paraId="1751E6B1" w14:textId="77777777" w:rsidR="001D773A" w:rsidRPr="00B0578D" w:rsidRDefault="001D773A" w:rsidP="001D773A">
      <w:pPr>
        <w:ind w:left="567" w:right="565"/>
        <w:jc w:val="both"/>
        <w:rPr>
          <w:rFonts w:ascii="Palatino Linotype" w:hAnsi="Palatino Linotype"/>
          <w:i/>
          <w:iCs/>
          <w:sz w:val="22"/>
          <w:szCs w:val="22"/>
        </w:rPr>
      </w:pPr>
      <w:r w:rsidRPr="00B0578D">
        <w:rPr>
          <w:rFonts w:ascii="Palatino Linotype" w:hAnsi="Palatino Linotype"/>
          <w:i/>
          <w:iCs/>
          <w:sz w:val="22"/>
          <w:szCs w:val="22"/>
        </w:rPr>
        <w:t xml:space="preserve">Con fundamento en </w:t>
      </w:r>
      <w:r w:rsidRPr="00B0578D">
        <w:rPr>
          <w:rFonts w:ascii="Palatino Linotype" w:hAnsi="Palatino Linotype"/>
          <w:b/>
          <w:bCs/>
          <w:i/>
          <w:iCs/>
          <w:sz w:val="22"/>
          <w:szCs w:val="22"/>
        </w:rPr>
        <w:t>los artículos 108, 110, 112 y 175 Bis del código financiero</w:t>
      </w:r>
      <w:r w:rsidRPr="00B0578D">
        <w:rPr>
          <w:rFonts w:ascii="Palatino Linotype" w:hAnsi="Palatino Linotype"/>
          <w:i/>
          <w:iCs/>
          <w:sz w:val="22"/>
          <w:szCs w:val="22"/>
        </w:rPr>
        <w:t xml:space="preserve"> en referencia; mismos que a la letra dicen: </w:t>
      </w:r>
    </w:p>
    <w:p w14:paraId="2DC4CEE5" w14:textId="77777777" w:rsidR="001D773A" w:rsidRPr="00B0578D" w:rsidRDefault="001D773A" w:rsidP="001D773A">
      <w:pPr>
        <w:ind w:left="567" w:right="565"/>
        <w:jc w:val="both"/>
        <w:rPr>
          <w:rFonts w:ascii="Palatino Linotype" w:hAnsi="Palatino Linotype"/>
          <w:i/>
          <w:iCs/>
          <w:sz w:val="22"/>
          <w:szCs w:val="22"/>
        </w:rPr>
      </w:pPr>
    </w:p>
    <w:p w14:paraId="656E4CC5" w14:textId="77777777" w:rsidR="001D773A" w:rsidRPr="00B0578D" w:rsidRDefault="001D773A" w:rsidP="001D773A">
      <w:pPr>
        <w:ind w:left="567" w:right="565"/>
        <w:jc w:val="both"/>
        <w:rPr>
          <w:rFonts w:ascii="Palatino Linotype" w:hAnsi="Palatino Linotype"/>
          <w:i/>
          <w:iCs/>
          <w:sz w:val="22"/>
          <w:szCs w:val="22"/>
        </w:rPr>
      </w:pPr>
      <w:r w:rsidRPr="00B0578D">
        <w:rPr>
          <w:rFonts w:ascii="Palatino Linotype" w:hAnsi="Palatino Linotype"/>
          <w:i/>
          <w:iCs/>
          <w:sz w:val="22"/>
          <w:szCs w:val="22"/>
        </w:rPr>
        <w:t>“Artículo 108</w:t>
      </w:r>
      <w:r w:rsidRPr="00B0578D">
        <w:rPr>
          <w:rFonts w:ascii="Palatino Linotype" w:hAnsi="Palatino Linotype"/>
          <w:b/>
          <w:bCs/>
          <w:i/>
          <w:iCs/>
          <w:sz w:val="22"/>
          <w:szCs w:val="22"/>
        </w:rPr>
        <w:t>.- La base gravable del Impuesto Predial será el valor catastral declarado por los propietarios o poseedores de inmuebles, mediante manifestación que presenten ante la unidad de catastro municipal</w:t>
      </w:r>
      <w:r w:rsidRPr="00B0578D">
        <w:rPr>
          <w:rFonts w:ascii="Palatino Linotype" w:hAnsi="Palatino Linotype"/>
          <w:i/>
          <w:iCs/>
          <w:sz w:val="22"/>
          <w:szCs w:val="22"/>
        </w:rPr>
        <w:t xml:space="preserve"> que le corresponda o bien a través del formato digital autorizado, que se encuentre determinado, conforme a las Tablas de Valores Unitarios de Suelo y Construcciones vigentes publicadas en el Periódico Oficial.” </w:t>
      </w:r>
    </w:p>
    <w:p w14:paraId="0E4CDD09" w14:textId="77777777" w:rsidR="001D773A" w:rsidRPr="00B0578D" w:rsidRDefault="001D773A" w:rsidP="001D773A">
      <w:pPr>
        <w:ind w:left="567" w:right="565"/>
        <w:jc w:val="both"/>
        <w:rPr>
          <w:rFonts w:ascii="Palatino Linotype" w:hAnsi="Palatino Linotype"/>
          <w:i/>
          <w:iCs/>
          <w:sz w:val="22"/>
          <w:szCs w:val="22"/>
        </w:rPr>
      </w:pPr>
    </w:p>
    <w:p w14:paraId="633D7EA8" w14:textId="77777777" w:rsidR="001D773A" w:rsidRPr="00B0578D" w:rsidRDefault="001D773A" w:rsidP="001D773A">
      <w:pPr>
        <w:ind w:left="567" w:right="565"/>
        <w:jc w:val="both"/>
        <w:rPr>
          <w:rFonts w:ascii="Palatino Linotype" w:hAnsi="Palatino Linotype"/>
          <w:b/>
          <w:bCs/>
          <w:i/>
          <w:iCs/>
          <w:sz w:val="22"/>
          <w:szCs w:val="22"/>
        </w:rPr>
      </w:pPr>
      <w:r w:rsidRPr="00B0578D">
        <w:rPr>
          <w:rFonts w:ascii="Palatino Linotype" w:hAnsi="Palatino Linotype"/>
          <w:i/>
          <w:iCs/>
          <w:sz w:val="22"/>
          <w:szCs w:val="22"/>
        </w:rPr>
        <w:t xml:space="preserve">“Artículo 110.- Cuando se modifiquen los valores catastrales de los inmuebles, el impuesto que resulte de aplicar el nuevo valor, se pagará a partir del bimestre siguiente a la fecha de su modificación. En los casos en que se realice alguna modificación de la superficie de terreno o construcción, así como de la tipología de construcción, conforme a lo manifestado por el contribuyente o verificado por la autoridad fiscal, </w:t>
      </w:r>
      <w:r w:rsidRPr="00B0578D">
        <w:rPr>
          <w:rFonts w:ascii="Palatino Linotype" w:hAnsi="Palatino Linotype"/>
          <w:b/>
          <w:bCs/>
          <w:i/>
          <w:iCs/>
          <w:sz w:val="22"/>
          <w:szCs w:val="22"/>
        </w:rPr>
        <w:t xml:space="preserve">ésta podrá proceder al cobro de las diferencias que resulten aplicables, considerando las actualizaciones del valor catastral del ejercicio que corresponda, así como de los 5 ejercicios fiscales anteriores.” </w:t>
      </w:r>
    </w:p>
    <w:p w14:paraId="75381EBE" w14:textId="77777777" w:rsidR="001D773A" w:rsidRPr="00B0578D" w:rsidRDefault="001D773A" w:rsidP="001D773A">
      <w:pPr>
        <w:ind w:left="567" w:right="565"/>
        <w:jc w:val="both"/>
        <w:rPr>
          <w:rFonts w:ascii="Palatino Linotype" w:hAnsi="Palatino Linotype"/>
          <w:i/>
          <w:iCs/>
          <w:sz w:val="22"/>
          <w:szCs w:val="22"/>
        </w:rPr>
      </w:pPr>
    </w:p>
    <w:p w14:paraId="0FAB593B" w14:textId="4930EE70" w:rsidR="00F7467E" w:rsidRPr="00B0578D" w:rsidRDefault="001D773A" w:rsidP="001D773A">
      <w:pPr>
        <w:ind w:left="567" w:right="565"/>
        <w:jc w:val="both"/>
        <w:rPr>
          <w:rFonts w:ascii="Palatino Linotype" w:hAnsi="Palatino Linotype"/>
          <w:i/>
          <w:iCs/>
          <w:sz w:val="22"/>
          <w:szCs w:val="22"/>
        </w:rPr>
      </w:pPr>
      <w:r w:rsidRPr="00B0578D">
        <w:rPr>
          <w:rFonts w:ascii="Palatino Linotype" w:hAnsi="Palatino Linotype"/>
          <w:i/>
          <w:iCs/>
          <w:sz w:val="22"/>
          <w:szCs w:val="22"/>
        </w:rPr>
        <w:t>“Artículo 112. El pago del impuesto se efectuará en una sola exhibición durante los meses de enero, febrero y marzo, cuando su importe sea hasta de seis veces el valor diario de la Unidad de Medida y Actualización vigente.</w:t>
      </w:r>
    </w:p>
    <w:p w14:paraId="41F7AA62" w14:textId="0EA26F78" w:rsidR="001D773A" w:rsidRPr="00B0578D" w:rsidRDefault="001D773A" w:rsidP="001D773A">
      <w:pPr>
        <w:ind w:left="567" w:right="565"/>
        <w:jc w:val="both"/>
        <w:rPr>
          <w:rFonts w:ascii="Palatino Linotype" w:hAnsi="Palatino Linotype"/>
          <w:i/>
          <w:iCs/>
          <w:sz w:val="22"/>
          <w:szCs w:val="22"/>
        </w:rPr>
      </w:pPr>
    </w:p>
    <w:p w14:paraId="7988CEDE" w14:textId="77777777" w:rsidR="001D773A" w:rsidRPr="00B0578D" w:rsidRDefault="001D773A" w:rsidP="001D773A">
      <w:pPr>
        <w:ind w:left="567" w:right="565"/>
        <w:jc w:val="both"/>
        <w:rPr>
          <w:rFonts w:ascii="Palatino Linotype" w:hAnsi="Palatino Linotype"/>
          <w:i/>
          <w:iCs/>
          <w:sz w:val="22"/>
          <w:szCs w:val="22"/>
        </w:rPr>
      </w:pPr>
      <w:r w:rsidRPr="00B0578D">
        <w:rPr>
          <w:rFonts w:ascii="Palatino Linotype" w:hAnsi="Palatino Linotype"/>
          <w:i/>
          <w:iCs/>
          <w:sz w:val="22"/>
          <w:szCs w:val="22"/>
        </w:rPr>
        <w:t xml:space="preserve">(…) </w:t>
      </w:r>
      <w:r w:rsidRPr="00B0578D">
        <w:rPr>
          <w:rFonts w:ascii="Palatino Linotype" w:hAnsi="Palatino Linotype"/>
          <w:b/>
          <w:bCs/>
          <w:i/>
          <w:iCs/>
          <w:sz w:val="22"/>
          <w:szCs w:val="22"/>
        </w:rPr>
        <w:t xml:space="preserve">En el caso de terminación de construcciones, reconstrucciones, ampliaciones, vencimiento de la licencia de construcción o su prórroga, o cuando las edificaciones correspondientes sean habitadas u ocupadas aun sin estar terminadas, deberá de manifestarse ante la autoridad, en cuyo caso el </w:t>
      </w:r>
      <w:r w:rsidRPr="00B0578D">
        <w:rPr>
          <w:rFonts w:ascii="Palatino Linotype" w:hAnsi="Palatino Linotype"/>
          <w:b/>
          <w:bCs/>
          <w:i/>
          <w:iCs/>
          <w:sz w:val="22"/>
          <w:szCs w:val="22"/>
        </w:rPr>
        <w:lastRenderedPageBreak/>
        <w:t>impuesto resultante se pagará a partir del bimestre siguiente a la fecha en que ocurra el hecho o circunstancia</w:t>
      </w:r>
      <w:r w:rsidRPr="00B0578D">
        <w:rPr>
          <w:rFonts w:ascii="Palatino Linotype" w:hAnsi="Palatino Linotype"/>
          <w:i/>
          <w:iCs/>
          <w:sz w:val="22"/>
          <w:szCs w:val="22"/>
        </w:rPr>
        <w:t xml:space="preserve">.” </w:t>
      </w:r>
    </w:p>
    <w:p w14:paraId="75CAE36D" w14:textId="77777777" w:rsidR="001D773A" w:rsidRPr="00B0578D" w:rsidRDefault="001D773A" w:rsidP="001D773A">
      <w:pPr>
        <w:ind w:left="567" w:right="565"/>
        <w:jc w:val="both"/>
        <w:rPr>
          <w:rFonts w:ascii="Palatino Linotype" w:hAnsi="Palatino Linotype"/>
          <w:i/>
          <w:iCs/>
          <w:sz w:val="22"/>
          <w:szCs w:val="22"/>
        </w:rPr>
      </w:pPr>
    </w:p>
    <w:p w14:paraId="72B941C4" w14:textId="77777777" w:rsidR="001D773A" w:rsidRPr="00B0578D" w:rsidRDefault="001D773A" w:rsidP="001D773A">
      <w:pPr>
        <w:ind w:left="567" w:right="565"/>
        <w:jc w:val="both"/>
        <w:rPr>
          <w:rFonts w:ascii="Palatino Linotype" w:hAnsi="Palatino Linotype"/>
          <w:i/>
          <w:iCs/>
          <w:sz w:val="22"/>
          <w:szCs w:val="22"/>
        </w:rPr>
      </w:pPr>
      <w:r w:rsidRPr="00B0578D">
        <w:rPr>
          <w:rFonts w:ascii="Palatino Linotype" w:hAnsi="Palatino Linotype"/>
          <w:i/>
          <w:iCs/>
          <w:sz w:val="22"/>
          <w:szCs w:val="22"/>
        </w:rPr>
        <w:t xml:space="preserve">“Artículo 175 Bis.- Cuando se modifique la superficie de terreno o de construcción, cualquiera que sea la causa, los propietarios o poseedores de esos inmuebles deberán declarar ante la autoridad catastral municipal dichas modificaciones, </w:t>
      </w:r>
      <w:r w:rsidRPr="00B0578D">
        <w:rPr>
          <w:rFonts w:ascii="Palatino Linotype" w:hAnsi="Palatino Linotype"/>
          <w:b/>
          <w:bCs/>
          <w:i/>
          <w:iCs/>
          <w:sz w:val="22"/>
          <w:szCs w:val="22"/>
        </w:rPr>
        <w:t>mediante manifestación catastral que presenten en los formatos autorizados</w:t>
      </w:r>
      <w:r w:rsidRPr="00B0578D">
        <w:rPr>
          <w:rFonts w:ascii="Palatino Linotype" w:hAnsi="Palatino Linotype"/>
          <w:i/>
          <w:iCs/>
          <w:sz w:val="22"/>
          <w:szCs w:val="22"/>
        </w:rPr>
        <w:t xml:space="preserve">.(…)” </w:t>
      </w:r>
    </w:p>
    <w:p w14:paraId="18B32EA3" w14:textId="77777777" w:rsidR="001D773A" w:rsidRPr="00B0578D" w:rsidRDefault="001D773A" w:rsidP="001D773A">
      <w:pPr>
        <w:ind w:left="567" w:right="565"/>
        <w:jc w:val="both"/>
        <w:rPr>
          <w:rFonts w:ascii="Palatino Linotype" w:hAnsi="Palatino Linotype"/>
          <w:i/>
          <w:iCs/>
          <w:sz w:val="22"/>
          <w:szCs w:val="22"/>
        </w:rPr>
      </w:pPr>
    </w:p>
    <w:p w14:paraId="78E6C308" w14:textId="77777777" w:rsidR="001D773A" w:rsidRPr="00B0578D" w:rsidRDefault="001D773A" w:rsidP="001D773A">
      <w:pPr>
        <w:ind w:left="567" w:right="565"/>
        <w:jc w:val="both"/>
        <w:rPr>
          <w:rFonts w:ascii="Palatino Linotype" w:hAnsi="Palatino Linotype"/>
          <w:i/>
          <w:iCs/>
          <w:sz w:val="22"/>
          <w:szCs w:val="22"/>
        </w:rPr>
      </w:pPr>
      <w:r w:rsidRPr="00B0578D">
        <w:rPr>
          <w:rFonts w:ascii="Palatino Linotype" w:hAnsi="Palatino Linotype"/>
          <w:b/>
          <w:bCs/>
          <w:i/>
          <w:iCs/>
          <w:sz w:val="22"/>
          <w:szCs w:val="22"/>
        </w:rPr>
        <w:t>Estos artículos expresan que el Valor Catastral es la base gravable para determinar el monto a pagar del Impuesto Predial,</w:t>
      </w:r>
      <w:r w:rsidRPr="00B0578D">
        <w:rPr>
          <w:rFonts w:ascii="Palatino Linotype" w:hAnsi="Palatino Linotype"/>
          <w:i/>
          <w:iCs/>
          <w:sz w:val="22"/>
          <w:szCs w:val="22"/>
        </w:rPr>
        <w:t xml:space="preserve"> así como que los propietarios o poseedores de inmuebles deberán manifestar las modificaciones de superficie de terreno o de construcciones a través de los formatos autorizados para tal efecto, o bien, serán actualizados cuando sean detectados a través de barridos de campo por la autoridad catastral municipal, notificando previamente a los propietarios o poseedores, y siendo </w:t>
      </w:r>
      <w:r w:rsidRPr="00B0578D">
        <w:rPr>
          <w:rFonts w:ascii="Palatino Linotype" w:hAnsi="Palatino Linotype"/>
          <w:b/>
          <w:bCs/>
          <w:i/>
          <w:iCs/>
          <w:sz w:val="22"/>
          <w:szCs w:val="22"/>
        </w:rPr>
        <w:t>el titular de la Dirección del Registro del Patrimonio Público y del Catastro adscrito a esta Tesorería Municipal,</w:t>
      </w:r>
      <w:r w:rsidRPr="00B0578D">
        <w:rPr>
          <w:rFonts w:ascii="Palatino Linotype" w:hAnsi="Palatino Linotype"/>
          <w:i/>
          <w:iCs/>
          <w:sz w:val="22"/>
          <w:szCs w:val="22"/>
        </w:rPr>
        <w:t xml:space="preserve"> la autoridad catastral de conformidad al artículo 169 fracción IV Código Financiero del Estado de México y Municipios, es quien está facultado para realizar el ALTA DE CONSTRUCCIÓN DE INMUEBLE y determinar el valor catastral correspondiente de conformidad a los artículos 171 fracciones III, VI y XIX, 175, 175 Bis y 177 del Código Financiero en comento, así como del Reglamento del Título Quinto del mismo, denominado “Del Catastro” y del Manual Catastral del Estado de México. </w:t>
      </w:r>
    </w:p>
    <w:p w14:paraId="52031094" w14:textId="77777777" w:rsidR="001D773A" w:rsidRPr="00B0578D" w:rsidRDefault="001D773A" w:rsidP="001D773A">
      <w:pPr>
        <w:ind w:left="567" w:right="565"/>
        <w:jc w:val="both"/>
        <w:rPr>
          <w:rFonts w:ascii="Palatino Linotype" w:hAnsi="Palatino Linotype"/>
          <w:i/>
          <w:iCs/>
          <w:sz w:val="22"/>
          <w:szCs w:val="22"/>
        </w:rPr>
      </w:pPr>
    </w:p>
    <w:p w14:paraId="52E32FB1" w14:textId="77777777" w:rsidR="001D773A" w:rsidRPr="00B0578D" w:rsidRDefault="001D773A" w:rsidP="001D773A">
      <w:pPr>
        <w:ind w:left="567" w:right="565"/>
        <w:jc w:val="both"/>
        <w:rPr>
          <w:rFonts w:ascii="Palatino Linotype" w:hAnsi="Palatino Linotype"/>
          <w:i/>
          <w:iCs/>
          <w:sz w:val="22"/>
          <w:szCs w:val="22"/>
        </w:rPr>
      </w:pPr>
      <w:r w:rsidRPr="00B0578D">
        <w:rPr>
          <w:rFonts w:ascii="Palatino Linotype" w:hAnsi="Palatino Linotype"/>
          <w:i/>
          <w:iCs/>
          <w:sz w:val="22"/>
          <w:szCs w:val="22"/>
        </w:rPr>
        <w:t xml:space="preserve">Por lo anterior, es que </w:t>
      </w:r>
      <w:r w:rsidRPr="00B0578D">
        <w:rPr>
          <w:rFonts w:ascii="Palatino Linotype" w:hAnsi="Palatino Linotype"/>
          <w:b/>
          <w:bCs/>
          <w:i/>
          <w:iCs/>
          <w:sz w:val="22"/>
          <w:szCs w:val="22"/>
        </w:rPr>
        <w:t>la Dirección de Catastro únicamente realiza notificaciones de detección de Diferencias de Construcción</w:t>
      </w:r>
      <w:r w:rsidRPr="00B0578D">
        <w:rPr>
          <w:rFonts w:ascii="Palatino Linotype" w:hAnsi="Palatino Linotype"/>
          <w:i/>
          <w:iCs/>
          <w:sz w:val="22"/>
          <w:szCs w:val="22"/>
        </w:rPr>
        <w:t xml:space="preserve">, tal y como lo establece la ley, a efecto de otorgar un termino para que los propietarios o poseedores puedan declarar la superficie adicional a través de manifestación y documentos con los que soporte su dicho, mismos que serán verificados por la autoridad catastral para corroborar la veracidad de los datos manifestados y /o determinar las diferencias que resulten para cuantificar el valor catastral real y con ello calcular el impuesto predial y sus diferencias que se debe pagar, de acuerdo a la licencia de construcción o bien, a los años que pueden ser cobrados contemplados en el artículo 43 del código. </w:t>
      </w:r>
    </w:p>
    <w:p w14:paraId="30739516" w14:textId="77777777" w:rsidR="001D773A" w:rsidRPr="00B0578D" w:rsidRDefault="001D773A" w:rsidP="001D773A">
      <w:pPr>
        <w:ind w:left="567" w:right="565"/>
        <w:jc w:val="both"/>
        <w:rPr>
          <w:rFonts w:ascii="Palatino Linotype" w:hAnsi="Palatino Linotype"/>
          <w:i/>
          <w:iCs/>
          <w:sz w:val="22"/>
          <w:szCs w:val="22"/>
        </w:rPr>
      </w:pPr>
    </w:p>
    <w:p w14:paraId="5F1878C2" w14:textId="77777777" w:rsidR="001D773A" w:rsidRPr="00B0578D" w:rsidRDefault="001D773A" w:rsidP="001D773A">
      <w:pPr>
        <w:ind w:left="567" w:right="565"/>
        <w:jc w:val="both"/>
        <w:rPr>
          <w:rFonts w:ascii="Palatino Linotype" w:hAnsi="Palatino Linotype"/>
          <w:b/>
          <w:bCs/>
          <w:i/>
          <w:iCs/>
          <w:sz w:val="22"/>
          <w:szCs w:val="22"/>
        </w:rPr>
      </w:pPr>
      <w:r w:rsidRPr="00B0578D">
        <w:rPr>
          <w:rFonts w:ascii="Palatino Linotype" w:hAnsi="Palatino Linotype"/>
          <w:i/>
          <w:iCs/>
          <w:sz w:val="22"/>
          <w:szCs w:val="22"/>
        </w:rPr>
        <w:t xml:space="preserve">Asimismo, </w:t>
      </w:r>
      <w:r w:rsidRPr="00B0578D">
        <w:rPr>
          <w:rFonts w:ascii="Palatino Linotype" w:hAnsi="Palatino Linotype"/>
          <w:b/>
          <w:bCs/>
          <w:i/>
          <w:iCs/>
          <w:sz w:val="22"/>
          <w:szCs w:val="22"/>
        </w:rPr>
        <w:t xml:space="preserve">el Tesorero Municipal siendo la autoridad fiscal municipal de conformidad al artículo 16 del multicitado código, este encargado de la administración, recaudación, determinación, y cobranza de los ingresos </w:t>
      </w:r>
      <w:r w:rsidRPr="00B0578D">
        <w:rPr>
          <w:rFonts w:ascii="Palatino Linotype" w:hAnsi="Palatino Linotype"/>
          <w:b/>
          <w:bCs/>
          <w:i/>
          <w:iCs/>
          <w:sz w:val="22"/>
          <w:szCs w:val="22"/>
        </w:rPr>
        <w:lastRenderedPageBreak/>
        <w:t xml:space="preserve">municipales, tiene facultades de comprobación establecidas en el artículo 48 del Código en comento, del cual se desprende lo siguiente: </w:t>
      </w:r>
    </w:p>
    <w:p w14:paraId="7751D044" w14:textId="77777777" w:rsidR="001D773A" w:rsidRPr="00B0578D" w:rsidRDefault="001D773A" w:rsidP="001D773A">
      <w:pPr>
        <w:ind w:left="567" w:right="565"/>
        <w:jc w:val="both"/>
        <w:rPr>
          <w:rFonts w:ascii="Palatino Linotype" w:hAnsi="Palatino Linotype"/>
          <w:i/>
          <w:iCs/>
          <w:sz w:val="22"/>
          <w:szCs w:val="22"/>
        </w:rPr>
      </w:pPr>
    </w:p>
    <w:p w14:paraId="25DF4031" w14:textId="77777777" w:rsidR="001D773A" w:rsidRPr="00B0578D" w:rsidRDefault="001D773A" w:rsidP="001D773A">
      <w:pPr>
        <w:ind w:left="567" w:right="565"/>
        <w:jc w:val="both"/>
        <w:rPr>
          <w:rFonts w:ascii="Palatino Linotype" w:hAnsi="Palatino Linotype"/>
          <w:b/>
          <w:bCs/>
          <w:i/>
          <w:iCs/>
          <w:sz w:val="22"/>
          <w:szCs w:val="22"/>
        </w:rPr>
      </w:pPr>
      <w:r w:rsidRPr="00B0578D">
        <w:rPr>
          <w:rFonts w:ascii="Palatino Linotype" w:hAnsi="Palatino Linotype"/>
          <w:b/>
          <w:bCs/>
          <w:i/>
          <w:iCs/>
          <w:sz w:val="22"/>
          <w:szCs w:val="22"/>
        </w:rPr>
        <w:t xml:space="preserve">“Artículo 48.- Las autoridades fiscales, para determinar la existencia de créditos fiscales, dar las bases de su liquidación o cerciorarse del cumplimiento a las disposiciones de este Código, estarán facultadas para: </w:t>
      </w:r>
    </w:p>
    <w:p w14:paraId="3AA187EC" w14:textId="77777777" w:rsidR="001D773A" w:rsidRPr="00B0578D" w:rsidRDefault="001D773A" w:rsidP="001D773A">
      <w:pPr>
        <w:ind w:left="567" w:right="565"/>
        <w:jc w:val="both"/>
        <w:rPr>
          <w:rFonts w:ascii="Palatino Linotype" w:hAnsi="Palatino Linotype"/>
          <w:b/>
          <w:bCs/>
          <w:i/>
          <w:iCs/>
          <w:sz w:val="22"/>
          <w:szCs w:val="22"/>
        </w:rPr>
      </w:pPr>
    </w:p>
    <w:p w14:paraId="23D39B1F" w14:textId="77777777" w:rsidR="001D773A" w:rsidRPr="00B0578D" w:rsidRDefault="001D773A" w:rsidP="001D773A">
      <w:pPr>
        <w:ind w:left="567" w:right="565"/>
        <w:jc w:val="both"/>
        <w:rPr>
          <w:rFonts w:ascii="Palatino Linotype" w:hAnsi="Palatino Linotype"/>
          <w:b/>
          <w:bCs/>
          <w:i/>
          <w:iCs/>
          <w:sz w:val="22"/>
          <w:szCs w:val="22"/>
        </w:rPr>
      </w:pPr>
      <w:r w:rsidRPr="00B0578D">
        <w:rPr>
          <w:rFonts w:ascii="Palatino Linotype" w:hAnsi="Palatino Linotype"/>
          <w:b/>
          <w:bCs/>
          <w:i/>
          <w:iCs/>
          <w:sz w:val="22"/>
          <w:szCs w:val="22"/>
        </w:rPr>
        <w:t xml:space="preserve">(..) VI. Revisar las manifestaciones y avalúos de inmuebles que presenten los contribuyentes y en caso de encontrar errores de carácter aritmético, de clasificación, de aplicación de valores, de superficie de terreno o de construcción, o del número de niveles, determinar las diferencias que procedan. (…)” </w:t>
      </w:r>
    </w:p>
    <w:p w14:paraId="06166CEF" w14:textId="77777777" w:rsidR="001D773A" w:rsidRPr="00B0578D" w:rsidRDefault="001D773A" w:rsidP="001D773A">
      <w:pPr>
        <w:ind w:left="567" w:right="565"/>
        <w:jc w:val="both"/>
        <w:rPr>
          <w:rFonts w:ascii="Palatino Linotype" w:hAnsi="Palatino Linotype"/>
          <w:i/>
          <w:iCs/>
          <w:sz w:val="22"/>
          <w:szCs w:val="22"/>
        </w:rPr>
      </w:pPr>
    </w:p>
    <w:p w14:paraId="25E79018" w14:textId="77777777" w:rsidR="001D773A" w:rsidRPr="00B0578D" w:rsidRDefault="001D773A" w:rsidP="001D773A">
      <w:pPr>
        <w:ind w:left="567" w:right="565"/>
        <w:jc w:val="both"/>
        <w:rPr>
          <w:rFonts w:ascii="Palatino Linotype" w:hAnsi="Palatino Linotype"/>
          <w:i/>
          <w:iCs/>
          <w:sz w:val="22"/>
          <w:szCs w:val="22"/>
        </w:rPr>
      </w:pPr>
      <w:r w:rsidRPr="00B0578D">
        <w:rPr>
          <w:rFonts w:ascii="Palatino Linotype" w:hAnsi="Palatino Linotype"/>
          <w:i/>
          <w:iCs/>
          <w:sz w:val="22"/>
          <w:szCs w:val="22"/>
        </w:rPr>
        <w:t xml:space="preserve">Es decir, que </w:t>
      </w:r>
      <w:r w:rsidRPr="00B0578D">
        <w:rPr>
          <w:rFonts w:ascii="Palatino Linotype" w:hAnsi="Palatino Linotype"/>
          <w:b/>
          <w:bCs/>
          <w:i/>
          <w:iCs/>
          <w:sz w:val="22"/>
          <w:szCs w:val="22"/>
        </w:rPr>
        <w:t>el Tesorero tiene además las facultades de cobranza de las diferencias derivadas del Impuesto Predial motivo del presente asunto, y por ende, puede realizar el cobro a través del Procedimiento Administrativo de Ejecución establecido en el Titulo Décimo Tercero del Código Financiero para el Estado de México, pues las notificaciones de liquidación de pago de diferencias las emite y firma únicamente el Tesorero Municipal ya que en ningún momento la Dirección de Catastro hace funciones de fiscalización, sino únicamente de detección de diferencias de construcción mismas que como ya se mencionó son cobradas por la autoridad fiscal municipal.</w:t>
      </w:r>
      <w:r w:rsidRPr="00B0578D">
        <w:rPr>
          <w:rFonts w:ascii="Palatino Linotype" w:hAnsi="Palatino Linotype"/>
          <w:i/>
          <w:iCs/>
          <w:sz w:val="22"/>
          <w:szCs w:val="22"/>
        </w:rPr>
        <w:t xml:space="preserve"> </w:t>
      </w:r>
    </w:p>
    <w:p w14:paraId="0464F076" w14:textId="77777777" w:rsidR="001D773A" w:rsidRPr="00B0578D" w:rsidRDefault="001D773A" w:rsidP="001D773A">
      <w:pPr>
        <w:ind w:left="567" w:right="565"/>
        <w:jc w:val="both"/>
        <w:rPr>
          <w:rFonts w:ascii="Palatino Linotype" w:hAnsi="Palatino Linotype"/>
          <w:i/>
          <w:iCs/>
          <w:sz w:val="22"/>
          <w:szCs w:val="22"/>
        </w:rPr>
      </w:pPr>
    </w:p>
    <w:p w14:paraId="7D73EA6B" w14:textId="77777777" w:rsidR="001D773A" w:rsidRPr="00B0578D" w:rsidRDefault="001D773A" w:rsidP="001D773A">
      <w:pPr>
        <w:ind w:left="567" w:right="565"/>
        <w:jc w:val="both"/>
        <w:rPr>
          <w:rFonts w:ascii="Palatino Linotype" w:hAnsi="Palatino Linotype"/>
          <w:b/>
          <w:bCs/>
          <w:i/>
          <w:iCs/>
          <w:sz w:val="22"/>
          <w:szCs w:val="22"/>
        </w:rPr>
      </w:pPr>
      <w:r w:rsidRPr="00B0578D">
        <w:rPr>
          <w:rFonts w:ascii="Palatino Linotype" w:hAnsi="Palatino Linotype"/>
          <w:i/>
          <w:iCs/>
          <w:sz w:val="22"/>
          <w:szCs w:val="22"/>
        </w:rPr>
        <w:t xml:space="preserve">En conclusión, el impuesto predial puede entenderse como la contribución que todos los propietarios de inmuebles realizan al Municipio en el que se encuentra el inmueble, con el objeto de aportar los recursos para la prestación de los servicios públicos del Municipio; </w:t>
      </w:r>
      <w:r w:rsidRPr="00B0578D">
        <w:rPr>
          <w:rFonts w:ascii="Palatino Linotype" w:hAnsi="Palatino Linotype"/>
          <w:b/>
          <w:bCs/>
          <w:i/>
          <w:iCs/>
          <w:sz w:val="22"/>
          <w:szCs w:val="22"/>
        </w:rPr>
        <w:t xml:space="preserve">y su pago y cobro es obligatorio de acuerdo al artículo 31 fracción IV de la Constitución Mexicana. </w:t>
      </w:r>
    </w:p>
    <w:p w14:paraId="6B274722" w14:textId="77777777" w:rsidR="001D773A" w:rsidRPr="00B0578D" w:rsidRDefault="001D773A" w:rsidP="001D773A">
      <w:pPr>
        <w:ind w:left="567" w:right="565"/>
        <w:jc w:val="both"/>
        <w:rPr>
          <w:rFonts w:ascii="Palatino Linotype" w:hAnsi="Palatino Linotype"/>
          <w:i/>
          <w:iCs/>
          <w:sz w:val="22"/>
          <w:szCs w:val="22"/>
        </w:rPr>
      </w:pPr>
    </w:p>
    <w:p w14:paraId="7C0F99BA" w14:textId="4010E188" w:rsidR="00F7467E" w:rsidRPr="00B0578D" w:rsidRDefault="001D773A" w:rsidP="00653809">
      <w:pPr>
        <w:ind w:left="567" w:right="565"/>
        <w:jc w:val="both"/>
        <w:rPr>
          <w:rFonts w:ascii="Palatino Linotype" w:hAnsi="Palatino Linotype"/>
          <w:i/>
          <w:iCs/>
          <w:sz w:val="22"/>
          <w:szCs w:val="22"/>
        </w:rPr>
      </w:pPr>
      <w:r w:rsidRPr="00B0578D">
        <w:rPr>
          <w:rFonts w:ascii="Palatino Linotype" w:hAnsi="Palatino Linotype"/>
          <w:i/>
          <w:iCs/>
          <w:sz w:val="22"/>
          <w:szCs w:val="22"/>
        </w:rPr>
        <w:t xml:space="preserve">Asimismo, los hechos gravables, son todos aquellos actos jurídicos por los cuales se da nacimiento a la obligación de cumplir con el pago del impuesto, en este caso al ser las diferencias de construcción el tema que nos ocupa, resulta importante mencionar que la obligación surge cuando se realiza la construcción del predio a través de la licencia de construcción y como prueba la constancia y/o aviso de terminación de la misma, ya que el valor del inmueble aumenta (determinado por la autoridad catastral) y con ello el impuesto predial en el que se encuentran obligados todas aquellas personas físicas y </w:t>
      </w:r>
      <w:r w:rsidRPr="00B0578D">
        <w:rPr>
          <w:rFonts w:ascii="Palatino Linotype" w:hAnsi="Palatino Linotype"/>
          <w:i/>
          <w:iCs/>
          <w:sz w:val="22"/>
          <w:szCs w:val="22"/>
        </w:rPr>
        <w:lastRenderedPageBreak/>
        <w:t xml:space="preserve">morales propietarias o poseedoras de inmuebles, </w:t>
      </w:r>
      <w:r w:rsidRPr="00B0578D">
        <w:rPr>
          <w:rFonts w:ascii="Palatino Linotype" w:hAnsi="Palatino Linotype"/>
          <w:b/>
          <w:bCs/>
          <w:i/>
          <w:iCs/>
          <w:sz w:val="22"/>
          <w:szCs w:val="22"/>
        </w:rPr>
        <w:t>mismos que podrán ser cobrados a través del Procedimiento Administrativo de Ejecución cuando los propietarios o poseedores no pagaran en el tiempo establecido (facultad de la autoridad fiscal “Tesorero Municipal”), por ello, es que ambas autoridades trabajan en conjunto para realizar dicho procedimiento, cada quien desempeñando sus facultades y atribuciones conferidas por ley.”</w:t>
      </w:r>
      <w:r w:rsidRPr="00B0578D">
        <w:rPr>
          <w:rFonts w:ascii="Palatino Linotype" w:hAnsi="Palatino Linotype"/>
          <w:i/>
          <w:iCs/>
          <w:sz w:val="22"/>
          <w:szCs w:val="22"/>
        </w:rPr>
        <w:t xml:space="preserve"> (Sic)</w:t>
      </w:r>
    </w:p>
    <w:p w14:paraId="63E0223D" w14:textId="62A905E1" w:rsidR="00F7467E" w:rsidRPr="00B0578D" w:rsidRDefault="00F7467E" w:rsidP="00F7467E">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4DBACDF9" w14:textId="77777777" w:rsidR="00653809" w:rsidRPr="00B0578D" w:rsidRDefault="00785D88" w:rsidP="0065380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B0578D">
        <w:rPr>
          <w:rFonts w:ascii="Palatino Linotype" w:eastAsia="Calibri" w:hAnsi="Palatino Linotype" w:cs="Arial"/>
          <w:color w:val="000000" w:themeColor="text1"/>
          <w:lang w:val="es-ES"/>
        </w:rPr>
        <w:t xml:space="preserve">Inconforme </w:t>
      </w:r>
      <w:r w:rsidRPr="00B0578D">
        <w:rPr>
          <w:rFonts w:ascii="Palatino Linotype" w:hAnsi="Palatino Linotype"/>
        </w:rPr>
        <w:t xml:space="preserve">con la respuesta, </w:t>
      </w:r>
      <w:r w:rsidR="00642266" w:rsidRPr="00B0578D">
        <w:rPr>
          <w:rFonts w:ascii="Palatino Linotype" w:hAnsi="Palatino Linotype"/>
        </w:rPr>
        <w:t>el</w:t>
      </w:r>
      <w:r w:rsidR="002755DE" w:rsidRPr="00B0578D">
        <w:rPr>
          <w:rFonts w:ascii="Palatino Linotype" w:hAnsi="Palatino Linotype"/>
        </w:rPr>
        <w:t xml:space="preserve"> Particular</w:t>
      </w:r>
      <w:r w:rsidRPr="00B0578D">
        <w:rPr>
          <w:rFonts w:ascii="Palatino Linotype" w:hAnsi="Palatino Linotype"/>
        </w:rPr>
        <w:t xml:space="preserve"> interpuso </w:t>
      </w:r>
      <w:r w:rsidR="002755DE" w:rsidRPr="00B0578D">
        <w:rPr>
          <w:rFonts w:ascii="Palatino Linotype" w:hAnsi="Palatino Linotype"/>
        </w:rPr>
        <w:t xml:space="preserve">el </w:t>
      </w:r>
      <w:r w:rsidRPr="00B0578D">
        <w:rPr>
          <w:rFonts w:ascii="Palatino Linotype" w:hAnsi="Palatino Linotype"/>
        </w:rPr>
        <w:t xml:space="preserve">recurso de revisión, </w:t>
      </w:r>
      <w:r w:rsidR="003F4920" w:rsidRPr="00B0578D">
        <w:rPr>
          <w:rFonts w:ascii="Palatino Linotype" w:hAnsi="Palatino Linotype"/>
        </w:rPr>
        <w:t>donde manifestó</w:t>
      </w:r>
      <w:r w:rsidRPr="00B0578D">
        <w:rPr>
          <w:rFonts w:ascii="Palatino Linotype" w:hAnsi="Palatino Linotype"/>
        </w:rPr>
        <w:t xml:space="preserve"> como motivo de inconformidad</w:t>
      </w:r>
      <w:r w:rsidR="002755DE" w:rsidRPr="00B0578D">
        <w:rPr>
          <w:rFonts w:ascii="Palatino Linotype" w:hAnsi="Palatino Linotype"/>
        </w:rPr>
        <w:t xml:space="preserve">, </w:t>
      </w:r>
      <w:r w:rsidR="00653809" w:rsidRPr="00B0578D">
        <w:rPr>
          <w:rFonts w:ascii="Palatino Linotype" w:hAnsi="Palatino Linotype"/>
        </w:rPr>
        <w:t>lo siguiente: “</w:t>
      </w:r>
      <w:r w:rsidR="00653809" w:rsidRPr="00B0578D">
        <w:rPr>
          <w:rFonts w:ascii="Palatino Linotype" w:eastAsia="Calibri" w:hAnsi="Palatino Linotype" w:cs="Arial"/>
          <w:i/>
          <w:iCs/>
          <w:color w:val="000000" w:themeColor="text1"/>
          <w:lang w:val="es-ES"/>
        </w:rPr>
        <w:t xml:space="preserve">La </w:t>
      </w:r>
      <w:r w:rsidR="00653809" w:rsidRPr="00B0578D">
        <w:rPr>
          <w:rFonts w:ascii="Palatino Linotype" w:hAnsi="Palatino Linotype"/>
          <w:i/>
          <w:iCs/>
          <w:color w:val="000000"/>
        </w:rPr>
        <w:t xml:space="preserve">explicación plasmada en el documento de respuesta </w:t>
      </w:r>
      <w:r w:rsidR="00653809" w:rsidRPr="00B0578D">
        <w:rPr>
          <w:rFonts w:ascii="Palatino Linotype" w:hAnsi="Palatino Linotype"/>
          <w:b/>
          <w:bCs/>
          <w:i/>
          <w:iCs/>
          <w:color w:val="000000"/>
        </w:rPr>
        <w:t>no responde a mi petición</w:t>
      </w:r>
      <w:r w:rsidR="00653809" w:rsidRPr="00B0578D">
        <w:rPr>
          <w:rFonts w:ascii="Palatino Linotype" w:hAnsi="Palatino Linotype"/>
          <w:i/>
          <w:iCs/>
          <w:color w:val="000000"/>
        </w:rPr>
        <w:t xml:space="preserve"> , toda vez que </w:t>
      </w:r>
      <w:r w:rsidR="00653809" w:rsidRPr="00B0578D">
        <w:rPr>
          <w:rFonts w:ascii="Palatino Linotype" w:hAnsi="Palatino Linotype"/>
          <w:b/>
          <w:bCs/>
          <w:i/>
          <w:iCs/>
          <w:color w:val="000000"/>
        </w:rPr>
        <w:t>no especifica de manera clara y concisa, en que normatividad se encuentra establecido las facultades fiscales de la Dirección de Catastro para la emisión de lineas de captura por concepto de diferencias de construcción, toda vez que las mismas no son emitidas por el TESORERO MUNICIPAL, sino por personal que labora en la Dirección de Catastro</w:t>
      </w:r>
      <w:r w:rsidR="00653809" w:rsidRPr="00B0578D">
        <w:rPr>
          <w:rFonts w:ascii="Palatino Linotype" w:hAnsi="Palatino Linotype"/>
          <w:i/>
          <w:iCs/>
          <w:color w:val="000000"/>
        </w:rPr>
        <w:t>” (Sic)</w:t>
      </w:r>
    </w:p>
    <w:p w14:paraId="543AD924" w14:textId="77777777" w:rsidR="00653809" w:rsidRPr="00B0578D" w:rsidRDefault="00653809" w:rsidP="00653809">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41890B26" w14:textId="77777777" w:rsidR="00653809" w:rsidRPr="00B0578D" w:rsidRDefault="003F4920" w:rsidP="0065380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B0578D">
        <w:rPr>
          <w:rFonts w:ascii="Palatino Linotype" w:eastAsia="Calibri" w:hAnsi="Palatino Linotype" w:cs="Arial"/>
          <w:color w:val="000000" w:themeColor="text1"/>
          <w:lang w:val="es-ES"/>
        </w:rPr>
        <w:t>En consecuencia</w:t>
      </w:r>
      <w:r w:rsidR="000E1D82" w:rsidRPr="00B0578D">
        <w:rPr>
          <w:rFonts w:ascii="Palatino Linotype" w:eastAsia="Calibri" w:hAnsi="Palatino Linotype" w:cs="Arial"/>
          <w:color w:val="000000" w:themeColor="text1"/>
          <w:lang w:val="es-ES"/>
        </w:rPr>
        <w:t xml:space="preserve">, el </w:t>
      </w:r>
      <w:r w:rsidR="000E1D82" w:rsidRPr="00B0578D">
        <w:rPr>
          <w:rFonts w:ascii="Palatino Linotype" w:eastAsia="Calibri" w:hAnsi="Palatino Linotype" w:cs="Arial"/>
          <w:b/>
          <w:bCs/>
          <w:color w:val="000000" w:themeColor="text1"/>
          <w:lang w:val="es-ES"/>
        </w:rPr>
        <w:t>SUJETO OBLIGADO</w:t>
      </w:r>
      <w:r w:rsidR="000E1D82" w:rsidRPr="00B0578D">
        <w:rPr>
          <w:rFonts w:ascii="Palatino Linotype" w:eastAsia="Calibri" w:hAnsi="Palatino Linotype" w:cs="Arial"/>
          <w:color w:val="000000" w:themeColor="text1"/>
          <w:lang w:val="es-ES"/>
        </w:rPr>
        <w:t xml:space="preserve"> </w:t>
      </w:r>
      <w:r w:rsidRPr="00B0578D">
        <w:rPr>
          <w:rFonts w:ascii="Palatino Linotype" w:eastAsia="Calibri" w:hAnsi="Palatino Linotype" w:cs="Arial"/>
          <w:color w:val="000000" w:themeColor="text1"/>
          <w:lang w:val="es-ES"/>
        </w:rPr>
        <w:t>rindió</w:t>
      </w:r>
      <w:r w:rsidR="002755DE" w:rsidRPr="00B0578D">
        <w:rPr>
          <w:rFonts w:ascii="Palatino Linotype" w:eastAsia="Calibri" w:hAnsi="Palatino Linotype" w:cs="Arial"/>
          <w:color w:val="000000" w:themeColor="text1"/>
          <w:lang w:val="es-ES"/>
        </w:rPr>
        <w:t xml:space="preserve"> el informe justificado</w:t>
      </w:r>
      <w:r w:rsidRPr="00B0578D">
        <w:rPr>
          <w:rFonts w:ascii="Palatino Linotype" w:eastAsia="Calibri" w:hAnsi="Palatino Linotype" w:cs="Arial"/>
          <w:color w:val="000000" w:themeColor="text1"/>
          <w:lang w:val="es-ES"/>
        </w:rPr>
        <w:t xml:space="preserve"> correspondiente</w:t>
      </w:r>
      <w:r w:rsidR="002755DE" w:rsidRPr="00B0578D">
        <w:rPr>
          <w:rFonts w:ascii="Palatino Linotype" w:eastAsia="Calibri" w:hAnsi="Palatino Linotype" w:cs="Arial"/>
          <w:color w:val="000000" w:themeColor="text1"/>
          <w:lang w:val="es-ES"/>
        </w:rPr>
        <w:t>,</w:t>
      </w:r>
      <w:r w:rsidRPr="00B0578D">
        <w:rPr>
          <w:rFonts w:ascii="Palatino Linotype" w:eastAsia="Calibri" w:hAnsi="Palatino Linotype" w:cs="Arial"/>
          <w:color w:val="000000" w:themeColor="text1"/>
          <w:lang w:val="es-ES"/>
        </w:rPr>
        <w:t xml:space="preserve"> </w:t>
      </w:r>
      <w:r w:rsidR="00653809" w:rsidRPr="00B0578D">
        <w:rPr>
          <w:rFonts w:ascii="Palatino Linotype" w:eastAsia="Calibri" w:hAnsi="Palatino Linotype" w:cs="Arial"/>
          <w:color w:val="000000" w:themeColor="text1"/>
          <w:lang w:val="es-ES"/>
        </w:rPr>
        <w:t>a través del</w:t>
      </w:r>
      <w:r w:rsidR="00653809" w:rsidRPr="00B0578D">
        <w:rPr>
          <w:rFonts w:ascii="Palatino Linotype" w:hAnsi="Palatino Linotype" w:cs="Arial"/>
          <w:color w:val="000000" w:themeColor="text1"/>
        </w:rPr>
        <w:t xml:space="preserve"> oficio </w:t>
      </w:r>
      <w:r w:rsidR="00653809" w:rsidRPr="00B0578D">
        <w:rPr>
          <w:rFonts w:ascii="Palatino Linotype" w:hAnsi="Palatino Linotype"/>
        </w:rPr>
        <w:t>número TM/1135/11/2022 del 25 de noviembre de 2022, suscrito y signado por la Tesorero Municipal, por medio del cual, remitió</w:t>
      </w:r>
      <w:r w:rsidR="00653809" w:rsidRPr="00B0578D">
        <w:rPr>
          <w:rFonts w:ascii="Palatino Linotype" w:hAnsi="Palatino Linotype"/>
          <w:b/>
          <w:bCs/>
        </w:rPr>
        <w:t xml:space="preserve"> el Acuerdo por el que se delegan facultades del procedimiento administrativo de ejecución para el cobro de las diferencias de construcción del impuesto predial a favor de la Dirección de Registro del Patrimonio Público y del Catastro adscrita a la Tesorería Municipal, de fecha dos de febrero de dos mil veintidós</w:t>
      </w:r>
      <w:r w:rsidR="00653809" w:rsidRPr="00B0578D">
        <w:rPr>
          <w:rFonts w:ascii="Palatino Linotype" w:hAnsi="Palatino Linotype"/>
        </w:rPr>
        <w:t>; como se observa:</w:t>
      </w:r>
    </w:p>
    <w:p w14:paraId="587D9FFD" w14:textId="0D2EA6F9" w:rsidR="00CC27F8" w:rsidRPr="00B0578D" w:rsidRDefault="00653809" w:rsidP="00653809">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r w:rsidRPr="00B0578D">
        <w:rPr>
          <w:rFonts w:ascii="Palatino Linotype" w:eastAsia="Calibri" w:hAnsi="Palatino Linotype" w:cs="Arial"/>
          <w:b/>
          <w:bCs/>
          <w:noProof/>
          <w:color w:val="000000" w:themeColor="text1"/>
          <w:lang w:val="es-MX" w:eastAsia="es-MX"/>
        </w:rPr>
        <w:lastRenderedPageBreak/>
        <w:drawing>
          <wp:inline distT="0" distB="0" distL="0" distR="0" wp14:anchorId="6386C76E" wp14:editId="08F9C186">
            <wp:extent cx="5440045" cy="6817360"/>
            <wp:effectExtent l="12700" t="12700" r="8255"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a:stretch>
                      <a:fillRect/>
                    </a:stretch>
                  </pic:blipFill>
                  <pic:spPr>
                    <a:xfrm>
                      <a:off x="0" y="0"/>
                      <a:ext cx="5440045" cy="6817360"/>
                    </a:xfrm>
                    <a:prstGeom prst="rect">
                      <a:avLst/>
                    </a:prstGeom>
                    <a:ln>
                      <a:solidFill>
                        <a:schemeClr val="tx1"/>
                      </a:solidFill>
                    </a:ln>
                  </pic:spPr>
                </pic:pic>
              </a:graphicData>
            </a:graphic>
          </wp:inline>
        </w:drawing>
      </w:r>
    </w:p>
    <w:p w14:paraId="51C8675D" w14:textId="0BB02CD4" w:rsidR="00653809" w:rsidRPr="00B0578D" w:rsidRDefault="00B30B8C" w:rsidP="00653809">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r w:rsidRPr="00B0578D">
        <w:rPr>
          <w:rFonts w:ascii="Palatino Linotype" w:eastAsia="Calibri" w:hAnsi="Palatino Linotype" w:cs="Arial"/>
          <w:b/>
          <w:bCs/>
          <w:noProof/>
          <w:color w:val="000000" w:themeColor="text1"/>
          <w:lang w:val="es-MX" w:eastAsia="es-MX"/>
        </w:rPr>
        <w:lastRenderedPageBreak/>
        <w:drawing>
          <wp:inline distT="0" distB="0" distL="0" distR="0" wp14:anchorId="00B478FE" wp14:editId="4369E8B2">
            <wp:extent cx="5354955" cy="6817360"/>
            <wp:effectExtent l="12700" t="12700" r="17145" b="152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stretch>
                      <a:fillRect/>
                    </a:stretch>
                  </pic:blipFill>
                  <pic:spPr>
                    <a:xfrm>
                      <a:off x="0" y="0"/>
                      <a:ext cx="5354955" cy="6817360"/>
                    </a:xfrm>
                    <a:prstGeom prst="rect">
                      <a:avLst/>
                    </a:prstGeom>
                    <a:ln>
                      <a:solidFill>
                        <a:schemeClr val="tx1"/>
                      </a:solidFill>
                    </a:ln>
                  </pic:spPr>
                </pic:pic>
              </a:graphicData>
            </a:graphic>
          </wp:inline>
        </w:drawing>
      </w:r>
    </w:p>
    <w:p w14:paraId="4DDBB88B" w14:textId="6614FC0D" w:rsidR="00653809" w:rsidRPr="00B0578D" w:rsidRDefault="00CF1CE5" w:rsidP="00653809">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r w:rsidRPr="00B0578D">
        <w:rPr>
          <w:rFonts w:ascii="Palatino Linotype" w:eastAsia="Calibri" w:hAnsi="Palatino Linotype" w:cs="Arial"/>
          <w:b/>
          <w:bCs/>
          <w:noProof/>
          <w:color w:val="000000" w:themeColor="text1"/>
          <w:lang w:val="es-MX" w:eastAsia="es-MX"/>
        </w:rPr>
        <w:lastRenderedPageBreak/>
        <mc:AlternateContent>
          <mc:Choice Requires="wps">
            <w:drawing>
              <wp:anchor distT="0" distB="0" distL="114300" distR="114300" simplePos="0" relativeHeight="251660288" behindDoc="0" locked="0" layoutInCell="1" allowOverlap="1" wp14:anchorId="4E16678C" wp14:editId="1A53D0B1">
                <wp:simplePos x="0" y="0"/>
                <wp:positionH relativeFrom="column">
                  <wp:posOffset>729787</wp:posOffset>
                </wp:positionH>
                <wp:positionV relativeFrom="paragraph">
                  <wp:posOffset>1218445</wp:posOffset>
                </wp:positionV>
                <wp:extent cx="4409646" cy="840260"/>
                <wp:effectExtent l="63500" t="38100" r="60960" b="74295"/>
                <wp:wrapNone/>
                <wp:docPr id="21" name="Rectángulo 21"/>
                <wp:cNvGraphicFramePr/>
                <a:graphic xmlns:a="http://schemas.openxmlformats.org/drawingml/2006/main">
                  <a:graphicData uri="http://schemas.microsoft.com/office/word/2010/wordprocessingShape">
                    <wps:wsp>
                      <wps:cNvSpPr/>
                      <wps:spPr>
                        <a:xfrm>
                          <a:off x="0" y="0"/>
                          <a:ext cx="4409646" cy="840260"/>
                        </a:xfrm>
                        <a:prstGeom prst="rect">
                          <a:avLst/>
                        </a:prstGeom>
                        <a:noFill/>
                        <a:ln w="25400">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22E4C2" id="Rectángulo 21" o:spid="_x0000_s1026" style="position:absolute;margin-left:57.45pt;margin-top:95.95pt;width:347.2pt;height:66.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" filled="f" strokecolor="#c0504d [3205]" strokeweight="2pt">
                <v:shadow on="t" color="black" opacity="22937f" origin=",.5" offset="0,.63889mm"/>
              </v:rect>
            </w:pict>
          </mc:Fallback>
        </mc:AlternateContent>
      </w:r>
      <w:r w:rsidR="00B30B8C" w:rsidRPr="00B0578D">
        <w:rPr>
          <w:rFonts w:ascii="Palatino Linotype" w:eastAsia="Calibri" w:hAnsi="Palatino Linotype" w:cs="Arial"/>
          <w:b/>
          <w:bCs/>
          <w:noProof/>
          <w:color w:val="000000" w:themeColor="text1"/>
          <w:lang w:val="es-MX" w:eastAsia="es-MX"/>
        </w:rPr>
        <w:drawing>
          <wp:inline distT="0" distB="0" distL="0" distR="0" wp14:anchorId="2CDE592F" wp14:editId="0F054310">
            <wp:extent cx="5528945" cy="6817360"/>
            <wp:effectExtent l="12700" t="12700" r="8255" b="152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1"/>
                    <a:stretch>
                      <a:fillRect/>
                    </a:stretch>
                  </pic:blipFill>
                  <pic:spPr>
                    <a:xfrm>
                      <a:off x="0" y="0"/>
                      <a:ext cx="5528945" cy="6817360"/>
                    </a:xfrm>
                    <a:prstGeom prst="rect">
                      <a:avLst/>
                    </a:prstGeom>
                    <a:ln>
                      <a:solidFill>
                        <a:schemeClr val="tx1"/>
                      </a:solidFill>
                    </a:ln>
                  </pic:spPr>
                </pic:pic>
              </a:graphicData>
            </a:graphic>
          </wp:inline>
        </w:drawing>
      </w:r>
    </w:p>
    <w:p w14:paraId="4285ECAE" w14:textId="14F15B01" w:rsidR="00653809" w:rsidRPr="00B0578D" w:rsidRDefault="00B30B8C" w:rsidP="00653809">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r w:rsidRPr="00B0578D">
        <w:rPr>
          <w:rFonts w:ascii="Palatino Linotype" w:eastAsia="Calibri" w:hAnsi="Palatino Linotype" w:cs="Arial"/>
          <w:b/>
          <w:bCs/>
          <w:noProof/>
          <w:color w:val="000000" w:themeColor="text1"/>
          <w:lang w:val="es-MX" w:eastAsia="es-MX"/>
        </w:rPr>
        <w:lastRenderedPageBreak/>
        <mc:AlternateContent>
          <mc:Choice Requires="wps">
            <w:drawing>
              <wp:anchor distT="0" distB="0" distL="114300" distR="114300" simplePos="0" relativeHeight="251659264" behindDoc="0" locked="0" layoutInCell="1" allowOverlap="1" wp14:anchorId="0A3CE146" wp14:editId="1996854A">
                <wp:simplePos x="0" y="0"/>
                <wp:positionH relativeFrom="column">
                  <wp:posOffset>342608</wp:posOffset>
                </wp:positionH>
                <wp:positionV relativeFrom="paragraph">
                  <wp:posOffset>987784</wp:posOffset>
                </wp:positionV>
                <wp:extent cx="4934465" cy="1988409"/>
                <wp:effectExtent l="63500" t="38100" r="69850" b="81915"/>
                <wp:wrapNone/>
                <wp:docPr id="20" name="Rectángulo 20"/>
                <wp:cNvGraphicFramePr/>
                <a:graphic xmlns:a="http://schemas.openxmlformats.org/drawingml/2006/main">
                  <a:graphicData uri="http://schemas.microsoft.com/office/word/2010/wordprocessingShape">
                    <wps:wsp>
                      <wps:cNvSpPr/>
                      <wps:spPr>
                        <a:xfrm>
                          <a:off x="0" y="0"/>
                          <a:ext cx="4934465" cy="1988409"/>
                        </a:xfrm>
                        <a:prstGeom prst="rect">
                          <a:avLst/>
                        </a:prstGeom>
                        <a:noFill/>
                        <a:ln w="28575">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6C6A07" id="Rectángulo 20" o:spid="_x0000_s1026" style="position:absolute;margin-left:27pt;margin-top:77.8pt;width:388.55pt;height:156.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" filled="f" strokecolor="#c0504d [3205]" strokeweight="2.25pt">
                <v:shadow on="t" color="black" opacity="22937f" origin=",.5" offset="0,.63889mm"/>
              </v:rect>
            </w:pict>
          </mc:Fallback>
        </mc:AlternateContent>
      </w:r>
      <w:r w:rsidRPr="00B0578D">
        <w:rPr>
          <w:rFonts w:ascii="Palatino Linotype" w:eastAsia="Calibri" w:hAnsi="Palatino Linotype" w:cs="Arial"/>
          <w:b/>
          <w:bCs/>
          <w:noProof/>
          <w:color w:val="000000" w:themeColor="text1"/>
          <w:lang w:val="es-MX" w:eastAsia="es-MX"/>
        </w:rPr>
        <w:drawing>
          <wp:inline distT="0" distB="0" distL="0" distR="0" wp14:anchorId="1A930326" wp14:editId="56E2C410">
            <wp:extent cx="5490845" cy="6817360"/>
            <wp:effectExtent l="12700" t="12700" r="8255"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2"/>
                    <a:stretch>
                      <a:fillRect/>
                    </a:stretch>
                  </pic:blipFill>
                  <pic:spPr>
                    <a:xfrm>
                      <a:off x="0" y="0"/>
                      <a:ext cx="5490845" cy="6817360"/>
                    </a:xfrm>
                    <a:prstGeom prst="rect">
                      <a:avLst/>
                    </a:prstGeom>
                    <a:ln>
                      <a:solidFill>
                        <a:schemeClr val="tx1"/>
                      </a:solidFill>
                    </a:ln>
                  </pic:spPr>
                </pic:pic>
              </a:graphicData>
            </a:graphic>
          </wp:inline>
        </w:drawing>
      </w:r>
    </w:p>
    <w:p w14:paraId="5013875F" w14:textId="24755185" w:rsidR="004B0829" w:rsidRPr="00B0578D" w:rsidRDefault="004B0829"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lastRenderedPageBreak/>
        <w:t>Conforme a lo anterior</w:t>
      </w:r>
      <w:r w:rsidR="000010B4" w:rsidRPr="00B0578D">
        <w:rPr>
          <w:rFonts w:ascii="Palatino Linotype" w:eastAsia="Calibri" w:hAnsi="Palatino Linotype" w:cs="Arial"/>
          <w:color w:val="000000" w:themeColor="text1"/>
          <w:lang w:val="es-ES"/>
        </w:rPr>
        <w:t xml:space="preserve">, se </w:t>
      </w:r>
      <w:r w:rsidR="00CC27F8" w:rsidRPr="00B0578D">
        <w:rPr>
          <w:rFonts w:ascii="Palatino Linotype" w:eastAsia="Calibri" w:hAnsi="Palatino Linotype" w:cs="Arial"/>
          <w:color w:val="000000" w:themeColor="text1"/>
          <w:lang w:val="es-ES"/>
        </w:rPr>
        <w:t xml:space="preserve">tiene </w:t>
      </w:r>
      <w:r w:rsidR="000010B4" w:rsidRPr="00B0578D">
        <w:rPr>
          <w:rFonts w:ascii="Palatino Linotype" w:eastAsia="Calibri" w:hAnsi="Palatino Linotype" w:cs="Arial"/>
          <w:color w:val="000000" w:themeColor="text1"/>
          <w:lang w:val="es-ES"/>
        </w:rPr>
        <w:t>que</w:t>
      </w:r>
      <w:r w:rsidRPr="00B0578D">
        <w:rPr>
          <w:rFonts w:ascii="Palatino Linotype" w:eastAsia="Calibri" w:hAnsi="Palatino Linotype" w:cs="Arial"/>
          <w:color w:val="000000" w:themeColor="text1"/>
          <w:lang w:val="es-ES"/>
        </w:rPr>
        <w:t>,</w:t>
      </w:r>
      <w:r w:rsidR="000010B4" w:rsidRPr="00B0578D">
        <w:rPr>
          <w:rFonts w:ascii="Palatino Linotype" w:eastAsia="Calibri" w:hAnsi="Palatino Linotype" w:cs="Arial"/>
          <w:color w:val="000000" w:themeColor="text1"/>
          <w:lang w:val="es-ES"/>
        </w:rPr>
        <w:t xml:space="preserve"> </w:t>
      </w:r>
      <w:r w:rsidR="00FC511E" w:rsidRPr="00B0578D">
        <w:rPr>
          <w:rFonts w:ascii="Palatino Linotype" w:eastAsia="Calibri" w:hAnsi="Palatino Linotype" w:cs="Arial"/>
          <w:color w:val="000000" w:themeColor="text1"/>
          <w:lang w:val="es-ES"/>
        </w:rPr>
        <w:t xml:space="preserve">por medio de un acto jurídico posterior como lo es el informe justificado, el </w:t>
      </w:r>
      <w:r w:rsidR="00FC511E" w:rsidRPr="00B0578D">
        <w:rPr>
          <w:rFonts w:ascii="Palatino Linotype" w:eastAsia="Calibri" w:hAnsi="Palatino Linotype" w:cs="Arial"/>
          <w:b/>
          <w:bCs/>
          <w:color w:val="000000" w:themeColor="text1"/>
          <w:lang w:val="es-ES"/>
        </w:rPr>
        <w:t>SUJETO OBLIGADO</w:t>
      </w:r>
      <w:r w:rsidR="00FC511E" w:rsidRPr="00B0578D">
        <w:rPr>
          <w:rFonts w:ascii="Palatino Linotype" w:eastAsia="Calibri" w:hAnsi="Palatino Linotype" w:cs="Arial"/>
          <w:color w:val="000000" w:themeColor="text1"/>
          <w:lang w:val="es-ES"/>
        </w:rPr>
        <w:t xml:space="preserve"> aportó información novedosa</w:t>
      </w:r>
      <w:r w:rsidRPr="00B0578D">
        <w:rPr>
          <w:rFonts w:ascii="Palatino Linotype" w:eastAsia="Calibri" w:hAnsi="Palatino Linotype" w:cs="Arial"/>
          <w:color w:val="000000" w:themeColor="text1"/>
          <w:lang w:val="es-ES"/>
        </w:rPr>
        <w:t xml:space="preserve"> misma que colma el requerimiento de</w:t>
      </w:r>
      <w:r w:rsidR="00D94022" w:rsidRPr="00B0578D">
        <w:rPr>
          <w:rFonts w:ascii="Palatino Linotype" w:eastAsia="Calibri" w:hAnsi="Palatino Linotype" w:cs="Arial"/>
          <w:color w:val="000000" w:themeColor="text1"/>
          <w:lang w:val="es-ES"/>
        </w:rPr>
        <w:t>l</w:t>
      </w:r>
      <w:r w:rsidRPr="00B0578D">
        <w:rPr>
          <w:rFonts w:ascii="Palatino Linotype" w:eastAsia="Calibri" w:hAnsi="Palatino Linotype" w:cs="Arial"/>
          <w:color w:val="000000" w:themeColor="text1"/>
          <w:lang w:val="es-ES"/>
        </w:rPr>
        <w:t xml:space="preserve"> </w:t>
      </w:r>
      <w:r w:rsidRPr="00B0578D">
        <w:rPr>
          <w:rFonts w:ascii="Palatino Linotype" w:eastAsia="Calibri" w:hAnsi="Palatino Linotype" w:cs="Arial"/>
          <w:b/>
          <w:bCs/>
          <w:color w:val="000000" w:themeColor="text1"/>
          <w:lang w:val="es-ES"/>
        </w:rPr>
        <w:t>RECURRENTE</w:t>
      </w:r>
      <w:r w:rsidR="005B5FB3" w:rsidRPr="00B0578D">
        <w:rPr>
          <w:rFonts w:ascii="Palatino Linotype" w:eastAsia="Calibri" w:hAnsi="Palatino Linotype" w:cs="Arial"/>
          <w:color w:val="000000" w:themeColor="text1"/>
          <w:lang w:val="es-ES"/>
        </w:rPr>
        <w:t xml:space="preserve">, </w:t>
      </w:r>
      <w:r w:rsidRPr="00B0578D">
        <w:rPr>
          <w:rFonts w:ascii="Palatino Linotype" w:eastAsia="Calibri" w:hAnsi="Palatino Linotype" w:cs="Arial"/>
          <w:color w:val="000000" w:themeColor="text1"/>
          <w:lang w:val="es-ES"/>
        </w:rPr>
        <w:t xml:space="preserve">ya que modificó su respuesta inicial al hacer entrega </w:t>
      </w:r>
      <w:r w:rsidR="00D94022" w:rsidRPr="00B0578D">
        <w:rPr>
          <w:rFonts w:ascii="Palatino Linotype" w:eastAsia="Calibri" w:hAnsi="Palatino Linotype" w:cs="Arial"/>
          <w:color w:val="000000" w:themeColor="text1"/>
          <w:lang w:val="es-ES"/>
        </w:rPr>
        <w:t>de</w:t>
      </w:r>
      <w:r w:rsidR="00B30B8C" w:rsidRPr="00B0578D">
        <w:rPr>
          <w:rFonts w:ascii="Palatino Linotype" w:eastAsia="Calibri" w:hAnsi="Palatino Linotype" w:cs="Arial"/>
          <w:color w:val="000000" w:themeColor="text1"/>
          <w:lang w:val="es-ES"/>
        </w:rPr>
        <w:t>l</w:t>
      </w:r>
      <w:r w:rsidR="00D94022" w:rsidRPr="00B0578D">
        <w:rPr>
          <w:rFonts w:ascii="Palatino Linotype" w:eastAsia="Calibri" w:hAnsi="Palatino Linotype" w:cs="Arial"/>
          <w:color w:val="000000" w:themeColor="text1"/>
          <w:lang w:val="es-ES"/>
        </w:rPr>
        <w:t xml:space="preserve"> documento donde </w:t>
      </w:r>
      <w:r w:rsidR="00B30B8C" w:rsidRPr="00B0578D">
        <w:rPr>
          <w:rFonts w:ascii="Palatino Linotype" w:eastAsia="Calibri" w:hAnsi="Palatino Linotype" w:cs="Arial"/>
          <w:color w:val="000000" w:themeColor="text1"/>
          <w:lang w:val="es-ES"/>
        </w:rPr>
        <w:t>se advierte que la Tesorería Municipal delegó</w:t>
      </w:r>
      <w:r w:rsidR="00B30B8C" w:rsidRPr="00B0578D">
        <w:rPr>
          <w:rFonts w:ascii="Palatino Linotype" w:hAnsi="Palatino Linotype"/>
        </w:rPr>
        <w:t xml:space="preserve"> las facultades del procedimiento administrativo de ejecución para el cobro de las diferencias de construcción del impuesto predial a favor de la Dirección de Registro del Patrimonio Público y del Catastro, por medio del acuerdo signado por le Tesorero Municipal, mismo que entró en vigor el día y fecha de su emisión y firma, el dos de febrero de dos mil veintidós.</w:t>
      </w:r>
    </w:p>
    <w:p w14:paraId="0884C2C7" w14:textId="77777777" w:rsidR="004B0829" w:rsidRPr="00B0578D" w:rsidRDefault="004B0829" w:rsidP="004B082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CD202D" w14:textId="77777777" w:rsidR="00390DCE" w:rsidRPr="00B0578D" w:rsidRDefault="00F503E1"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En este sentido</w:t>
      </w:r>
      <w:r w:rsidR="00390DCE" w:rsidRPr="00B0578D">
        <w:rPr>
          <w:rFonts w:ascii="Palatino Linotype" w:eastAsia="Calibri" w:hAnsi="Palatino Linotype" w:cs="Arial"/>
          <w:color w:val="000000" w:themeColor="text1"/>
          <w:lang w:val="es-ES"/>
        </w:rPr>
        <w:t xml:space="preserve">, </w:t>
      </w:r>
      <w:r w:rsidR="00390DCE" w:rsidRPr="00B0578D">
        <w:rPr>
          <w:rFonts w:ascii="Palatino Linotype" w:hAnsi="Palatino Linotype" w:cs="Arial"/>
          <w:bCs/>
          <w:szCs w:val="22"/>
        </w:rPr>
        <w:t xml:space="preserve">es dable sostener que, al haber existido un pronunciamiento por parte del </w:t>
      </w:r>
      <w:r w:rsidR="00390DCE" w:rsidRPr="00B0578D">
        <w:rPr>
          <w:rFonts w:ascii="Palatino Linotype" w:hAnsi="Palatino Linotype" w:cs="Arial"/>
          <w:b/>
          <w:bCs/>
          <w:szCs w:val="22"/>
        </w:rPr>
        <w:t>SUJETO OBLIGADO</w:t>
      </w:r>
      <w:r w:rsidR="00390DCE" w:rsidRPr="00B0578D">
        <w:rPr>
          <w:rFonts w:ascii="Palatino Linotype" w:hAnsi="Palatino Linotype" w:cs="Arial"/>
          <w:bCs/>
          <w:szCs w:val="22"/>
        </w:rPr>
        <w:t>, este Instituto no está facultado para manifestarse sobre la veracidad de este, pues no existe precepto legal alguno en la Ley de la materia que lo faculte para que, vía recurso de revisión, pueda pronunciarse al respecto.</w:t>
      </w:r>
    </w:p>
    <w:p w14:paraId="72583A22" w14:textId="77777777" w:rsidR="00390DCE" w:rsidRPr="00B0578D"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BB17BF" w14:textId="77777777" w:rsidR="00390DCE" w:rsidRPr="00B0578D" w:rsidRDefault="00390DCE"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Sirve </w:t>
      </w:r>
      <w:r w:rsidRPr="00B0578D">
        <w:rPr>
          <w:rFonts w:ascii="Palatino Linotype" w:hAnsi="Palatino Linotype" w:cs="Arial"/>
          <w:bCs/>
          <w:szCs w:val="22"/>
          <w:lang w:val="es-ES"/>
        </w:rPr>
        <w:t xml:space="preserve">de apoyo a lo anterior, </w:t>
      </w:r>
      <w:r w:rsidRPr="00B0578D">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4D8ADBB8" w14:textId="77777777" w:rsidR="00390DCE" w:rsidRPr="00B0578D"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31BF9CF" w14:textId="77777777" w:rsidR="00390DCE" w:rsidRPr="00B0578D" w:rsidRDefault="00390DCE" w:rsidP="009A4A08">
      <w:pPr>
        <w:tabs>
          <w:tab w:val="left" w:pos="709"/>
        </w:tabs>
        <w:ind w:left="567" w:right="565"/>
        <w:jc w:val="both"/>
        <w:rPr>
          <w:rFonts w:ascii="Palatino Linotype" w:hAnsi="Palatino Linotype" w:cs="Arial"/>
          <w:b/>
          <w:bCs/>
          <w:i/>
          <w:sz w:val="22"/>
          <w:szCs w:val="22"/>
        </w:rPr>
      </w:pPr>
      <w:r w:rsidRPr="00B0578D">
        <w:rPr>
          <w:rFonts w:ascii="Palatino Linotype" w:hAnsi="Palatino Linotype" w:cs="Arial"/>
          <w:b/>
          <w:bCs/>
          <w:i/>
          <w:sz w:val="22"/>
          <w:szCs w:val="22"/>
        </w:rPr>
        <w:lastRenderedPageBreak/>
        <w:t>“El Instituto Federal de Acceso a la Información y Protección de Datos no cuenta con facultades para pronunciarse respecto de la veracidad de los documentos proporcionados por los sujetos obligados</w:t>
      </w:r>
      <w:r w:rsidRPr="00B0578D">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0578D">
        <w:rPr>
          <w:rFonts w:ascii="Palatino Linotype" w:hAnsi="Palatino Linotype" w:cs="Arial"/>
          <w:b/>
          <w:bCs/>
          <w:i/>
          <w:sz w:val="22"/>
          <w:szCs w:val="22"/>
        </w:rPr>
        <w:t>”</w:t>
      </w:r>
    </w:p>
    <w:p w14:paraId="434B5D7B" w14:textId="77777777" w:rsidR="00CE5FA1" w:rsidRPr="00B0578D" w:rsidRDefault="00CE5FA1" w:rsidP="00A77234">
      <w:pPr>
        <w:tabs>
          <w:tab w:val="left" w:pos="709"/>
        </w:tabs>
        <w:ind w:right="565"/>
        <w:jc w:val="both"/>
        <w:rPr>
          <w:rFonts w:ascii="Palatino Linotype" w:hAnsi="Palatino Linotype" w:cs="Arial"/>
          <w:b/>
          <w:bCs/>
          <w:i/>
          <w:sz w:val="22"/>
          <w:szCs w:val="22"/>
        </w:rPr>
      </w:pPr>
    </w:p>
    <w:p w14:paraId="3D4E0503" w14:textId="7786A754" w:rsidR="008E0416" w:rsidRPr="00B0578D"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Así, </w:t>
      </w:r>
      <w:r w:rsidRPr="00B0578D">
        <w:rPr>
          <w:rFonts w:ascii="Palatino Linotype" w:eastAsia="Calibri" w:hAnsi="Palatino Linotype" w:cs="Times New Roman"/>
        </w:rPr>
        <w:t xml:space="preserve">este Pleno advierte que el </w:t>
      </w:r>
      <w:r w:rsidRPr="00B0578D">
        <w:rPr>
          <w:rFonts w:ascii="Palatino Linotype" w:eastAsia="Calibri" w:hAnsi="Palatino Linotype" w:cs="Times New Roman"/>
          <w:b/>
        </w:rPr>
        <w:t>SUJETO OBLIGADO</w:t>
      </w:r>
      <w:r w:rsidRPr="00B0578D">
        <w:rPr>
          <w:rFonts w:ascii="Palatino Linotype" w:eastAsia="Calibri" w:hAnsi="Palatino Linotype" w:cs="Times New Roman"/>
        </w:rPr>
        <w:t xml:space="preserve"> </w:t>
      </w:r>
      <w:r w:rsidRPr="00B0578D">
        <w:rPr>
          <w:rFonts w:ascii="Palatino Linotype" w:eastAsia="Calibri" w:hAnsi="Palatino Linotype" w:cs="Times New Roman"/>
          <w:b/>
        </w:rPr>
        <w:t>modific</w:t>
      </w:r>
      <w:r w:rsidR="004B0829" w:rsidRPr="00B0578D">
        <w:rPr>
          <w:rFonts w:ascii="Palatino Linotype" w:eastAsia="Calibri" w:hAnsi="Palatino Linotype" w:cs="Times New Roman"/>
          <w:b/>
        </w:rPr>
        <w:t xml:space="preserve">ó </w:t>
      </w:r>
      <w:r w:rsidRPr="00B0578D">
        <w:rPr>
          <w:rFonts w:ascii="Palatino Linotype" w:eastAsia="Calibri" w:hAnsi="Palatino Linotype" w:cs="Times New Roman"/>
        </w:rPr>
        <w:t>el acto que le dio origen al recurso de revisión, lo que trae como consecuencia que el mismo quede sin materia, actualizándose de este modo, la hipótesis jurídica contenida en la fracción III del artículo</w:t>
      </w:r>
      <w:r w:rsidR="00913117" w:rsidRPr="00B0578D">
        <w:rPr>
          <w:rFonts w:ascii="Palatino Linotype" w:eastAsia="Calibri" w:hAnsi="Palatino Linotype" w:cs="Times New Roman"/>
        </w:rPr>
        <w:t xml:space="preserve"> 192 de la Ley de Transparencia Local</w:t>
      </w:r>
      <w:r w:rsidRPr="00B0578D">
        <w:rPr>
          <w:rFonts w:ascii="Palatino Linotype" w:eastAsia="Calibri" w:hAnsi="Palatino Linotype" w:cs="Times New Roman"/>
        </w:rPr>
        <w:t>.</w:t>
      </w:r>
    </w:p>
    <w:p w14:paraId="752308F2" w14:textId="77777777" w:rsidR="008E0416" w:rsidRPr="00B0578D"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C1B2958" w14:textId="77777777" w:rsidR="008E0416" w:rsidRPr="00B0578D"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Ahora bien, </w:t>
      </w:r>
      <w:r w:rsidRPr="00B0578D">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B0578D">
        <w:rPr>
          <w:rFonts w:ascii="Palatino Linotype" w:eastAsia="Calibri" w:hAnsi="Palatino Linotype" w:cs="Times New Roman"/>
          <w:b/>
        </w:rPr>
        <w:t>SUJETOS OBLIGADOS</w:t>
      </w:r>
      <w:r w:rsidRPr="00B0578D">
        <w:rPr>
          <w:rFonts w:ascii="Palatino Linotype" w:eastAsia="Calibri" w:hAnsi="Palatino Linotype" w:cs="Times New Roman"/>
        </w:rPr>
        <w:t xml:space="preserve"> o la negativa de entrega de la misma, derivada de la solicitud de información pública.</w:t>
      </w:r>
    </w:p>
    <w:p w14:paraId="190DF182" w14:textId="77777777" w:rsidR="008E0416" w:rsidRPr="00B0578D" w:rsidRDefault="008E0416" w:rsidP="00913117">
      <w:pPr>
        <w:rPr>
          <w:rFonts w:ascii="Palatino Linotype" w:eastAsia="Calibri" w:hAnsi="Palatino Linotype" w:cs="Arial"/>
          <w:color w:val="000000" w:themeColor="text1"/>
          <w:lang w:val="es-ES"/>
        </w:rPr>
      </w:pPr>
    </w:p>
    <w:p w14:paraId="46F6C837" w14:textId="77777777" w:rsidR="008E0416" w:rsidRPr="00B0578D" w:rsidRDefault="008E0416" w:rsidP="00354DA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De </w:t>
      </w:r>
      <w:r w:rsidRPr="00B0578D">
        <w:rPr>
          <w:rFonts w:ascii="Palatino Linotype" w:eastAsia="Calibri" w:hAnsi="Palatino Linotype" w:cs="Times New Roman"/>
        </w:rPr>
        <w:t xml:space="preserve">este modo, cuando el </w:t>
      </w:r>
      <w:r w:rsidRPr="00B0578D">
        <w:rPr>
          <w:rFonts w:ascii="Palatino Linotype" w:eastAsia="Calibri" w:hAnsi="Palatino Linotype" w:cs="Times New Roman"/>
          <w:b/>
        </w:rPr>
        <w:t xml:space="preserve">SUJETO OBLIGADO, </w:t>
      </w:r>
      <w:r w:rsidRPr="00B0578D">
        <w:rPr>
          <w:rFonts w:ascii="Palatino Linotype" w:eastAsia="Calibri" w:hAnsi="Palatino Linotype" w:cs="Times New Roman"/>
        </w:rPr>
        <w:t xml:space="preserve">antes de que se dicte resolución definitiva, entrega la información solicitada o completa la información que en un </w:t>
      </w:r>
      <w:r w:rsidRPr="00B0578D">
        <w:rPr>
          <w:rFonts w:ascii="Palatino Linotype" w:eastAsia="Calibri" w:hAnsi="Palatino Linotype" w:cs="Times New Roman"/>
        </w:rPr>
        <w:lastRenderedPageBreak/>
        <w:t xml:space="preserve">primer momento fue incompleta o no correspondió con lo solicitado; el recurso de revisión que al efecto se haya interpuesto queda sin materia lo que imposibilita el estudio de fondo de la </w:t>
      </w:r>
      <w:r w:rsidRPr="00B0578D">
        <w:rPr>
          <w:rFonts w:ascii="Palatino Linotype" w:eastAsia="Calibri" w:hAnsi="Palatino Linotype" w:cs="Times New Roman"/>
          <w:i/>
        </w:rPr>
        <w:t>litis</w:t>
      </w:r>
      <w:r w:rsidRPr="00B0578D">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046BC478" w14:textId="77777777" w:rsidR="00F503E1" w:rsidRPr="00B0578D" w:rsidRDefault="00F503E1" w:rsidP="00F503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5CE4F2" w14:textId="77777777" w:rsidR="008E0416" w:rsidRPr="00B0578D"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Sirve </w:t>
      </w:r>
      <w:r w:rsidRPr="00B0578D">
        <w:rPr>
          <w:rFonts w:ascii="Palatino Linotype" w:eastAsia="Calibri" w:hAnsi="Palatino Linotype" w:cs="Times New Roman"/>
        </w:rPr>
        <w:t>de sustento a lo anterior la siguiente jurisprudencia por contradicción, cuyo rubro, texto y datos de identificación son los siguientes:</w:t>
      </w:r>
    </w:p>
    <w:p w14:paraId="47C7D7FA" w14:textId="77777777" w:rsidR="008E0416" w:rsidRPr="00B0578D" w:rsidRDefault="008E0416" w:rsidP="008E0416">
      <w:pPr>
        <w:pStyle w:val="Prrafodelista"/>
        <w:rPr>
          <w:rFonts w:ascii="Palatino Linotype" w:eastAsia="Calibri" w:hAnsi="Palatino Linotype" w:cs="Arial"/>
          <w:color w:val="000000" w:themeColor="text1"/>
          <w:lang w:val="es-ES"/>
        </w:rPr>
      </w:pPr>
    </w:p>
    <w:p w14:paraId="44AD9005" w14:textId="43C531DC" w:rsidR="008E0416" w:rsidRPr="00B0578D" w:rsidRDefault="008E0416" w:rsidP="00B30B8C">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B0578D">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B0578D">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517AF69E" w14:textId="77777777" w:rsidR="008E0416" w:rsidRPr="00B0578D"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lastRenderedPageBreak/>
        <w:t xml:space="preserve">La </w:t>
      </w:r>
      <w:r w:rsidRPr="00B0578D">
        <w:rPr>
          <w:rFonts w:ascii="Palatino Linotype" w:eastAsia="Calibri" w:hAnsi="Palatino Linotype" w:cs="Times New Roman"/>
        </w:rPr>
        <w:t xml:space="preserve">anterior jurisprudencia resulta aplicable al presente asunto, en dos aspectos: </w:t>
      </w:r>
    </w:p>
    <w:p w14:paraId="7553ED54" w14:textId="77777777" w:rsidR="008E0416" w:rsidRPr="00B0578D" w:rsidRDefault="008E0416" w:rsidP="00D94022">
      <w:pPr>
        <w:pStyle w:val="Prrafodelista"/>
        <w:tabs>
          <w:tab w:val="left" w:pos="426"/>
          <w:tab w:val="left" w:pos="567"/>
        </w:tabs>
        <w:ind w:left="0"/>
        <w:jc w:val="both"/>
        <w:rPr>
          <w:rFonts w:ascii="Palatino Linotype" w:eastAsia="Calibri" w:hAnsi="Palatino Linotype" w:cs="Times New Roman"/>
        </w:rPr>
      </w:pPr>
    </w:p>
    <w:p w14:paraId="2FC498DE" w14:textId="77777777" w:rsidR="008E0416" w:rsidRPr="00B0578D" w:rsidRDefault="008E0416" w:rsidP="00D94022">
      <w:pPr>
        <w:numPr>
          <w:ilvl w:val="0"/>
          <w:numId w:val="7"/>
        </w:numPr>
        <w:ind w:left="567" w:right="616" w:firstLine="0"/>
        <w:contextualSpacing/>
        <w:jc w:val="both"/>
        <w:rPr>
          <w:rFonts w:ascii="Palatino Linotype" w:eastAsia="Calibri" w:hAnsi="Palatino Linotype" w:cs="Times New Roman"/>
        </w:rPr>
      </w:pPr>
      <w:r w:rsidRPr="00B0578D">
        <w:rPr>
          <w:rFonts w:ascii="Palatino Linotype" w:eastAsia="Calibri" w:hAnsi="Palatino Linotype" w:cs="Times New Roman"/>
          <w:b/>
        </w:rPr>
        <w:t>La cesación de los efectos perniciosos del acto de autoridad:</w:t>
      </w:r>
      <w:r w:rsidRPr="00B0578D">
        <w:rPr>
          <w:rFonts w:ascii="Palatino Linotype" w:eastAsia="Calibri" w:hAnsi="Palatino Linotype" w:cs="Times New Roman"/>
        </w:rPr>
        <w:t xml:space="preserve"> Al respecto, la Ley de Transparencia contempla la figura jurídica del sobreseimiento cuando el </w:t>
      </w:r>
      <w:r w:rsidRPr="00B0578D">
        <w:rPr>
          <w:rFonts w:ascii="Palatino Linotype" w:eastAsia="Calibri" w:hAnsi="Palatino Linotype" w:cs="Times New Roman"/>
          <w:b/>
        </w:rPr>
        <w:t>SUJETO OBLIGADO</w:t>
      </w:r>
      <w:r w:rsidRPr="00B0578D">
        <w:rPr>
          <w:rFonts w:ascii="Palatino Linotype" w:eastAsia="Calibri" w:hAnsi="Palatino Linotype" w:cs="Times New Roman"/>
        </w:rPr>
        <w:t xml:space="preserve"> de </w:t>
      </w:r>
      <w:r w:rsidRPr="00B0578D">
        <w:rPr>
          <w:rFonts w:ascii="Palatino Linotype" w:eastAsia="Calibri" w:hAnsi="Palatino Linotype" w:cs="Times New Roman"/>
          <w:i/>
        </w:rPr>
        <w:t>motu proprio</w:t>
      </w:r>
      <w:r w:rsidRPr="00B0578D">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24293F1D" w14:textId="77777777" w:rsidR="008E0416" w:rsidRPr="00B0578D" w:rsidRDefault="008E0416" w:rsidP="00D94022">
      <w:pPr>
        <w:ind w:left="567" w:right="616"/>
        <w:contextualSpacing/>
        <w:rPr>
          <w:rFonts w:ascii="Palatino Linotype" w:eastAsia="Calibri" w:hAnsi="Palatino Linotype" w:cs="Times New Roman"/>
        </w:rPr>
      </w:pPr>
    </w:p>
    <w:p w14:paraId="5D66F36E" w14:textId="77777777" w:rsidR="008E0416" w:rsidRPr="00B0578D" w:rsidRDefault="008E0416" w:rsidP="00D94022">
      <w:pPr>
        <w:numPr>
          <w:ilvl w:val="0"/>
          <w:numId w:val="7"/>
        </w:numPr>
        <w:ind w:left="567" w:right="616" w:firstLine="0"/>
        <w:contextualSpacing/>
        <w:jc w:val="both"/>
        <w:rPr>
          <w:rFonts w:ascii="Palatino Linotype" w:eastAsia="Calibri" w:hAnsi="Palatino Linotype" w:cs="Times New Roman"/>
        </w:rPr>
      </w:pPr>
      <w:r w:rsidRPr="00B0578D">
        <w:rPr>
          <w:rFonts w:ascii="Palatino Linotype" w:eastAsia="Calibri" w:hAnsi="Palatino Linotype" w:cs="Times New Roman"/>
          <w:b/>
        </w:rPr>
        <w:t>El momento procesal para modificar el acto impugnado:</w:t>
      </w:r>
      <w:r w:rsidRPr="00B0578D">
        <w:rPr>
          <w:rFonts w:ascii="Palatino Linotype" w:eastAsia="Calibri" w:hAnsi="Palatino Linotype" w:cs="Times New Roman"/>
        </w:rPr>
        <w:t xml:space="preserve"> Para que se actualice el sobreseimiento de un recurso de revisión, el </w:t>
      </w:r>
      <w:r w:rsidRPr="00B0578D">
        <w:rPr>
          <w:rFonts w:ascii="Palatino Linotype" w:eastAsia="Calibri" w:hAnsi="Palatino Linotype" w:cs="Times New Roman"/>
          <w:b/>
        </w:rPr>
        <w:t>SUJETO OBLIGADO</w:t>
      </w:r>
      <w:r w:rsidRPr="00B0578D">
        <w:rPr>
          <w:rFonts w:ascii="Palatino Linotype" w:eastAsia="Calibri" w:hAnsi="Palatino Linotype" w:cs="Times New Roman"/>
        </w:rPr>
        <w:t xml:space="preserve"> puede entregar o completar la información al momento de rendir su informe de justificación o </w:t>
      </w:r>
      <w:r w:rsidRPr="00B0578D">
        <w:rPr>
          <w:rFonts w:ascii="Palatino Linotype" w:eastAsia="Calibri" w:hAnsi="Palatino Linotype" w:cs="Times New Roman"/>
          <w:b/>
          <w:u w:val="single"/>
        </w:rPr>
        <w:t>posteriormente</w:t>
      </w:r>
      <w:r w:rsidRPr="00B0578D">
        <w:rPr>
          <w:rFonts w:ascii="Palatino Linotype" w:eastAsia="Calibri" w:hAnsi="Palatino Linotype" w:cs="Times New Roman"/>
        </w:rPr>
        <w:t xml:space="preserve"> a éste, siempre y cuando el Pleno del Instituto no haya dictado resolución definitiva.</w:t>
      </w:r>
    </w:p>
    <w:p w14:paraId="5195B021" w14:textId="77777777" w:rsidR="008E0416" w:rsidRPr="00B0578D"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692D4C7" w14:textId="77777777" w:rsidR="002C26FE" w:rsidRPr="00B0578D"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Eduardo Pallares, </w:t>
      </w:r>
      <w:r w:rsidRPr="00B0578D">
        <w:rPr>
          <w:rFonts w:ascii="Palatino Linotype" w:eastAsia="Calibri" w:hAnsi="Palatino Linotype" w:cs="Times New Roman"/>
        </w:rPr>
        <w:t xml:space="preserve">en su artículo </w:t>
      </w:r>
      <w:r w:rsidRPr="00B0578D">
        <w:rPr>
          <w:rFonts w:ascii="Palatino Linotype" w:eastAsia="Calibri" w:hAnsi="Palatino Linotype" w:cs="Times New Roman"/>
          <w:i/>
        </w:rPr>
        <w:t>“La caducidad y el sobreseimiento en el amparo”</w:t>
      </w:r>
      <w:r w:rsidRPr="00B0578D">
        <w:rPr>
          <w:rFonts w:ascii="Palatino Linotype" w:eastAsia="Calibri" w:hAnsi="Palatino Linotype" w:cs="Times New Roman"/>
        </w:rPr>
        <w:t xml:space="preserve">, cita la definición de Aguilera Paz, aduciendo que se </w:t>
      </w:r>
      <w:r w:rsidRPr="00B0578D">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B0578D">
        <w:rPr>
          <w:rFonts w:ascii="Palatino Linotype" w:eastAsia="Calibri" w:hAnsi="Palatino Linotype" w:cs="Times New Roman"/>
        </w:rPr>
        <w:t xml:space="preserve">. </w:t>
      </w:r>
      <w:r w:rsidR="00836ADD" w:rsidRPr="00B0578D">
        <w:rPr>
          <w:rFonts w:ascii="Palatino Linotype" w:eastAsia="Calibri" w:hAnsi="Palatino Linotype" w:cs="Times New Roman"/>
        </w:rPr>
        <w:t>Asimismo,</w:t>
      </w:r>
      <w:r w:rsidRPr="00B0578D">
        <w:rPr>
          <w:rFonts w:ascii="Palatino Linotype" w:eastAsia="Calibri" w:hAnsi="Palatino Linotype" w:cs="Times New Roman"/>
        </w:rPr>
        <w:t xml:space="preserve"> señala que existe el sobreseimiento provisional y el definitivo</w:t>
      </w:r>
      <w:r w:rsidRPr="00B0578D">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79F9BA9E" w14:textId="77777777" w:rsidR="00CE5FA1" w:rsidRPr="00B0578D" w:rsidRDefault="00CE5FA1" w:rsidP="00CE5FA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C7947FD" w14:textId="77777777" w:rsidR="002C26FE" w:rsidRPr="00B0578D"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Así, </w:t>
      </w:r>
      <w:r w:rsidRPr="00B0578D">
        <w:rPr>
          <w:rFonts w:ascii="Palatino Linotype" w:eastAsia="Calibri" w:hAnsi="Palatino Linotype" w:cs="Times New Roman"/>
        </w:rPr>
        <w:t xml:space="preserve">para la doctrina el sobreseimiento provoca que un procedimiento se suspenda o se resuelva en definitiva </w:t>
      </w:r>
      <w:r w:rsidRPr="00B0578D">
        <w:rPr>
          <w:rFonts w:ascii="Palatino Linotype" w:eastAsia="Calibri" w:hAnsi="Palatino Linotype" w:cs="Times New Roman"/>
          <w:b/>
          <w:u w:val="single"/>
        </w:rPr>
        <w:t xml:space="preserve">sin que se entre al estudio de los agravios o </w:t>
      </w:r>
      <w:r w:rsidRPr="00B0578D">
        <w:rPr>
          <w:rFonts w:ascii="Palatino Linotype" w:eastAsia="Calibri" w:hAnsi="Palatino Linotype" w:cs="Times New Roman"/>
          <w:b/>
          <w:u w:val="single"/>
        </w:rPr>
        <w:lastRenderedPageBreak/>
        <w:t xml:space="preserve">motivos de inconformidad. </w:t>
      </w:r>
      <w:r w:rsidRPr="00B0578D">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53CBBA35" w14:textId="77777777" w:rsidR="002C26FE" w:rsidRPr="00B0578D" w:rsidRDefault="002C26FE" w:rsidP="00CE5FA1">
      <w:pPr>
        <w:rPr>
          <w:rFonts w:ascii="Palatino Linotype" w:eastAsia="Calibri" w:hAnsi="Palatino Linotype" w:cs="Arial"/>
          <w:color w:val="000000" w:themeColor="text1"/>
          <w:lang w:val="es-ES"/>
        </w:rPr>
      </w:pPr>
    </w:p>
    <w:p w14:paraId="49B3627D" w14:textId="77777777" w:rsidR="002C26FE" w:rsidRPr="00B0578D" w:rsidRDefault="002C26FE" w:rsidP="00D94022">
      <w:pPr>
        <w:ind w:left="567" w:right="565"/>
        <w:contextualSpacing/>
        <w:jc w:val="both"/>
        <w:rPr>
          <w:rFonts w:ascii="Palatino Linotype" w:eastAsia="Calibri" w:hAnsi="Palatino Linotype" w:cs="Times New Roman"/>
          <w:i/>
          <w:sz w:val="22"/>
          <w:lang w:val="es-AR"/>
        </w:rPr>
      </w:pPr>
      <w:r w:rsidRPr="00B0578D">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B0578D">
        <w:rPr>
          <w:rFonts w:ascii="Palatino Linotype" w:eastAsia="Calibri" w:hAnsi="Palatino Linotype" w:cs="Times New Roman"/>
          <w:i/>
          <w:sz w:val="22"/>
          <w:lang w:val="es-AR"/>
        </w:rPr>
        <w:t xml:space="preserve"> en el juicio de amparo directo </w:t>
      </w:r>
      <w:r w:rsidRPr="00B0578D">
        <w:rPr>
          <w:rFonts w:ascii="Palatino Linotype" w:eastAsia="Calibri" w:hAnsi="Palatino Linotype" w:cs="Times New Roman"/>
          <w:b/>
          <w:i/>
          <w:sz w:val="22"/>
          <w:lang w:val="es-AR"/>
        </w:rPr>
        <w:t>provoca la terminación de la controversia planteada</w:t>
      </w:r>
      <w:r w:rsidRPr="00B0578D">
        <w:rPr>
          <w:rFonts w:ascii="Palatino Linotype" w:eastAsia="Calibri" w:hAnsi="Palatino Linotype" w:cs="Times New Roman"/>
          <w:i/>
          <w:sz w:val="22"/>
          <w:lang w:val="es-AR"/>
        </w:rPr>
        <w:t xml:space="preserve"> por el quejoso en la demanda de amparo</w:t>
      </w:r>
      <w:r w:rsidRPr="00B0578D">
        <w:rPr>
          <w:rFonts w:ascii="Palatino Linotype" w:eastAsia="Calibri" w:hAnsi="Palatino Linotype" w:cs="Times New Roman"/>
          <w:b/>
          <w:i/>
          <w:sz w:val="22"/>
          <w:lang w:val="es-AR"/>
        </w:rPr>
        <w:t>, sin hacer un pronunciamiento de fondo sobre la legalidad o ilegalidad de la sentencia reclamada</w:t>
      </w:r>
      <w:r w:rsidRPr="00B0578D">
        <w:rPr>
          <w:rFonts w:ascii="Palatino Linotype" w:eastAsia="Calibri" w:hAnsi="Palatino Linotype" w:cs="Times New Roman"/>
          <w:i/>
          <w:sz w:val="22"/>
          <w:lang w:val="es-AR"/>
        </w:rPr>
        <w:t xml:space="preserve">. </w:t>
      </w:r>
      <w:r w:rsidRPr="00B0578D">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B0578D">
        <w:rPr>
          <w:rFonts w:ascii="Palatino Linotype" w:eastAsia="Calibri" w:hAnsi="Palatino Linotype" w:cs="Times New Roman"/>
          <w:i/>
          <w:sz w:val="22"/>
          <w:lang w:val="es-AR"/>
        </w:rPr>
        <w:t>.</w:t>
      </w:r>
    </w:p>
    <w:p w14:paraId="01D62A15" w14:textId="77777777" w:rsidR="002C26FE" w:rsidRPr="00B0578D" w:rsidRDefault="002C26FE" w:rsidP="00D94022">
      <w:pPr>
        <w:ind w:left="567" w:right="565"/>
        <w:contextualSpacing/>
        <w:jc w:val="both"/>
        <w:rPr>
          <w:rFonts w:ascii="Palatino Linotype" w:eastAsia="Calibri" w:hAnsi="Palatino Linotype" w:cs="Times New Roman"/>
          <w:i/>
          <w:sz w:val="22"/>
          <w:lang w:val="es-AR"/>
        </w:rPr>
      </w:pPr>
      <w:r w:rsidRPr="00B0578D">
        <w:rPr>
          <w:rFonts w:ascii="Palatino Linotype" w:eastAsia="Calibri" w:hAnsi="Palatino Linotype" w:cs="Times New Roman"/>
          <w:i/>
          <w:sz w:val="22"/>
          <w:lang w:val="es-AR"/>
        </w:rPr>
        <w:t>SÉPTIMO TRIBUNAL COLEGIADO EN MATERIA CIVIL DEL PRIMER CIRCUITO.</w:t>
      </w:r>
    </w:p>
    <w:p w14:paraId="4274A0DD" w14:textId="04ECBFEA" w:rsidR="002C26FE" w:rsidRPr="00B0578D" w:rsidRDefault="002C26FE" w:rsidP="00D94022">
      <w:pPr>
        <w:ind w:left="567" w:right="565"/>
        <w:contextualSpacing/>
        <w:jc w:val="both"/>
        <w:rPr>
          <w:rFonts w:ascii="Palatino Linotype" w:eastAsia="Calibri" w:hAnsi="Palatino Linotype" w:cs="Times New Roman"/>
          <w:b/>
          <w:i/>
          <w:sz w:val="22"/>
          <w:lang w:val="es-AR"/>
        </w:rPr>
      </w:pPr>
      <w:r w:rsidRPr="00B0578D">
        <w:rPr>
          <w:rFonts w:ascii="Palatino Linotype" w:eastAsia="Calibri" w:hAnsi="Palatino Linotype" w:cs="Times New Roman"/>
          <w:i/>
          <w:sz w:val="22"/>
          <w:lang w:val="es-AR"/>
        </w:rPr>
        <w:t>Amparo directo 699/2008. Mariana Leticia González Steele. 13 de noviembre de 2008. Unanimidad de votos. Ponente: Sara Judith Montalvo Trejo. Secretario: Arnulfo Mateos García.</w:t>
      </w:r>
    </w:p>
    <w:p w14:paraId="098B1C3F" w14:textId="77777777" w:rsidR="00D94022" w:rsidRPr="00B0578D" w:rsidRDefault="00D94022" w:rsidP="00D94022">
      <w:pPr>
        <w:spacing w:line="360" w:lineRule="auto"/>
        <w:ind w:left="567" w:right="565"/>
        <w:contextualSpacing/>
        <w:jc w:val="both"/>
        <w:rPr>
          <w:rFonts w:ascii="Palatino Linotype" w:eastAsia="Calibri" w:hAnsi="Palatino Linotype" w:cs="Times New Roman"/>
          <w:b/>
          <w:i/>
          <w:sz w:val="22"/>
          <w:lang w:val="es-AR"/>
        </w:rPr>
      </w:pPr>
    </w:p>
    <w:p w14:paraId="0F4C0DCA" w14:textId="77777777" w:rsidR="002C26FE" w:rsidRPr="00B0578D"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Consecuentemente, </w:t>
      </w:r>
      <w:r w:rsidRPr="00B0578D">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73B9A724" w14:textId="77777777" w:rsidR="002C26FE" w:rsidRPr="00B0578D"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BF7852" w14:textId="7F1696E4" w:rsidR="0099101B" w:rsidRPr="00B0578D" w:rsidRDefault="002C26FE"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Times New Roman"/>
        </w:rPr>
        <w:t xml:space="preserve">Bajo </w:t>
      </w:r>
      <w:r w:rsidRPr="00B0578D">
        <w:rPr>
          <w:rFonts w:ascii="Palatino Linotype" w:eastAsia="Calibri" w:hAnsi="Palatino Linotype" w:cs="Times New Roman"/>
          <w:lang w:val="es-CO"/>
        </w:rPr>
        <w:t xml:space="preserve">ese tenor y en términos del artículo 186 fracción I este Pleno determina el </w:t>
      </w:r>
      <w:r w:rsidRPr="00B0578D">
        <w:rPr>
          <w:rFonts w:ascii="Palatino Linotype" w:eastAsia="Calibri" w:hAnsi="Palatino Linotype" w:cs="Times New Roman"/>
          <w:b/>
          <w:lang w:val="es-CO"/>
        </w:rPr>
        <w:t xml:space="preserve">SOBRESEIMIENTO </w:t>
      </w:r>
      <w:r w:rsidRPr="00B0578D">
        <w:rPr>
          <w:rFonts w:ascii="Palatino Linotype" w:eastAsia="Calibri" w:hAnsi="Palatino Linotype" w:cs="Times New Roman"/>
          <w:lang w:val="es-CO"/>
        </w:rPr>
        <w:t xml:space="preserve">del presente recurso de revisión, toda vez que la afectación al </w:t>
      </w:r>
      <w:r w:rsidRPr="00B0578D">
        <w:rPr>
          <w:rFonts w:ascii="Palatino Linotype" w:eastAsia="Calibri" w:hAnsi="Palatino Linotype" w:cs="Times New Roman"/>
          <w:lang w:val="es-CO"/>
        </w:rPr>
        <w:lastRenderedPageBreak/>
        <w:t>derecho de acceso a la información pública establecido constitucionalmente a favor de</w:t>
      </w:r>
      <w:r w:rsidR="00642266" w:rsidRPr="00B0578D">
        <w:rPr>
          <w:rFonts w:ascii="Palatino Linotype" w:eastAsia="Calibri" w:hAnsi="Palatino Linotype" w:cs="Times New Roman"/>
          <w:lang w:val="es-CO"/>
        </w:rPr>
        <w:t>l</w:t>
      </w:r>
      <w:r w:rsidR="00B76C39" w:rsidRPr="00B0578D">
        <w:rPr>
          <w:rFonts w:ascii="Palatino Linotype" w:eastAsia="Calibri" w:hAnsi="Palatino Linotype" w:cs="Times New Roman"/>
          <w:lang w:val="es-CO"/>
        </w:rPr>
        <w:t xml:space="preserve"> </w:t>
      </w:r>
      <w:r w:rsidR="00F503E1" w:rsidRPr="00B0578D">
        <w:rPr>
          <w:rFonts w:ascii="Palatino Linotype" w:eastAsia="Calibri" w:hAnsi="Palatino Linotype" w:cs="Times New Roman"/>
          <w:lang w:val="es-CO"/>
        </w:rPr>
        <w:t>Particular</w:t>
      </w:r>
      <w:r w:rsidRPr="00B0578D">
        <w:rPr>
          <w:rFonts w:ascii="Palatino Linotype" w:eastAsia="Calibri" w:hAnsi="Palatino Linotype" w:cs="Times New Roman"/>
          <w:lang w:val="es-CO"/>
        </w:rPr>
        <w:t xml:space="preserve"> ha sido resarcida.</w:t>
      </w:r>
      <w:bookmarkEnd w:id="33"/>
      <w:bookmarkEnd w:id="34"/>
      <w:bookmarkEnd w:id="35"/>
      <w:bookmarkEnd w:id="36"/>
    </w:p>
    <w:p w14:paraId="20A79E18" w14:textId="77777777" w:rsidR="00B30B8C" w:rsidRPr="00B0578D" w:rsidRDefault="00B30B8C" w:rsidP="00B30B8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6C236E" w14:textId="38C7651E" w:rsidR="002C26FE" w:rsidRPr="00B0578D" w:rsidRDefault="00F45BE1"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0578D">
        <w:rPr>
          <w:rFonts w:ascii="Palatino Linotype" w:eastAsia="Calibri" w:hAnsi="Palatino Linotype" w:cs="Arial"/>
          <w:color w:val="000000" w:themeColor="text1"/>
          <w:lang w:val="es-ES"/>
        </w:rPr>
        <w:t xml:space="preserve">Por lo anteriormente expuesto y fundado, este </w:t>
      </w:r>
      <w:r w:rsidRPr="00B0578D">
        <w:rPr>
          <w:rFonts w:ascii="Palatino Linotype" w:eastAsia="Calibri" w:hAnsi="Palatino Linotype" w:cs="Arial"/>
          <w:b/>
          <w:color w:val="000000" w:themeColor="text1"/>
          <w:lang w:val="es-ES"/>
        </w:rPr>
        <w:t>ÓRGANO GARANTE</w:t>
      </w:r>
      <w:r w:rsidRPr="00B0578D">
        <w:rPr>
          <w:rFonts w:ascii="Palatino Linotype" w:eastAsia="Calibri" w:hAnsi="Palatino Linotype" w:cs="Arial"/>
          <w:color w:val="000000" w:themeColor="text1"/>
          <w:lang w:val="es-ES"/>
        </w:rPr>
        <w:t xml:space="preserve"> emite los siguientes:</w:t>
      </w:r>
    </w:p>
    <w:p w14:paraId="547F0DA2" w14:textId="77777777" w:rsidR="00D94022" w:rsidRPr="00B0578D" w:rsidRDefault="00D94022" w:rsidP="00D94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981E42" w14:textId="77777777" w:rsidR="002C26FE" w:rsidRPr="00B0578D" w:rsidRDefault="002C26FE" w:rsidP="002C26FE">
      <w:pPr>
        <w:spacing w:line="360" w:lineRule="auto"/>
        <w:jc w:val="center"/>
        <w:rPr>
          <w:rFonts w:ascii="Palatino Linotype" w:hAnsi="Palatino Linotype"/>
          <w:b/>
          <w:lang w:val="es-ES"/>
        </w:rPr>
      </w:pPr>
      <w:r w:rsidRPr="00B0578D">
        <w:rPr>
          <w:rFonts w:ascii="Palatino Linotype" w:hAnsi="Palatino Linotype"/>
          <w:b/>
          <w:lang w:val="es-ES"/>
        </w:rPr>
        <w:t>R E S O L U T I V O S</w:t>
      </w:r>
    </w:p>
    <w:p w14:paraId="56CDA803" w14:textId="77777777" w:rsidR="002C26FE" w:rsidRPr="00B0578D" w:rsidRDefault="002C26FE" w:rsidP="0099101B">
      <w:pPr>
        <w:spacing w:line="360" w:lineRule="auto"/>
        <w:jc w:val="both"/>
        <w:rPr>
          <w:rFonts w:ascii="Palatino Linotype" w:hAnsi="Palatino Linotype"/>
          <w:lang w:val="es-ES"/>
        </w:rPr>
      </w:pPr>
    </w:p>
    <w:p w14:paraId="2AB3535B" w14:textId="3C32A511" w:rsidR="002C26FE" w:rsidRPr="00B0578D" w:rsidRDefault="002C26FE" w:rsidP="009A4A08">
      <w:pPr>
        <w:pStyle w:val="Sinespaciado"/>
        <w:spacing w:line="360" w:lineRule="auto"/>
        <w:ind w:right="-2"/>
        <w:jc w:val="both"/>
        <w:rPr>
          <w:rFonts w:ascii="Palatino Linotype" w:hAnsi="Palatino Linotype"/>
          <w:bCs/>
          <w:szCs w:val="20"/>
        </w:rPr>
      </w:pPr>
      <w:r w:rsidRPr="00B0578D">
        <w:rPr>
          <w:rFonts w:ascii="Palatino Linotype" w:hAnsi="Palatino Linotype"/>
          <w:b/>
          <w:szCs w:val="20"/>
        </w:rPr>
        <w:t xml:space="preserve">PRIMERO. </w:t>
      </w:r>
      <w:r w:rsidRPr="00B0578D">
        <w:rPr>
          <w:rFonts w:ascii="Palatino Linotype" w:hAnsi="Palatino Linotype"/>
          <w:szCs w:val="20"/>
        </w:rPr>
        <w:t xml:space="preserve">Se </w:t>
      </w:r>
      <w:r w:rsidRPr="00B0578D">
        <w:rPr>
          <w:rFonts w:ascii="Palatino Linotype" w:hAnsi="Palatino Linotype"/>
          <w:b/>
          <w:szCs w:val="20"/>
        </w:rPr>
        <w:t>SOBRESEE</w:t>
      </w:r>
      <w:r w:rsidRPr="00B0578D">
        <w:rPr>
          <w:rFonts w:ascii="Palatino Linotype" w:hAnsi="Palatino Linotype"/>
          <w:szCs w:val="20"/>
        </w:rPr>
        <w:t xml:space="preserve"> el recurso de revisión número </w:t>
      </w:r>
      <w:r w:rsidR="00B30B8C" w:rsidRPr="00B0578D">
        <w:rPr>
          <w:rFonts w:ascii="Palatino Linotype" w:hAnsi="Palatino Linotype"/>
          <w:b/>
          <w:szCs w:val="20"/>
        </w:rPr>
        <w:t>16633</w:t>
      </w:r>
      <w:r w:rsidRPr="00B0578D">
        <w:rPr>
          <w:rFonts w:ascii="Palatino Linotype" w:hAnsi="Palatino Linotype"/>
          <w:b/>
          <w:szCs w:val="20"/>
        </w:rPr>
        <w:t>/INFOEM/IP/RR/202</w:t>
      </w:r>
      <w:r w:rsidR="009A4A08" w:rsidRPr="00B0578D">
        <w:rPr>
          <w:rFonts w:ascii="Palatino Linotype" w:hAnsi="Palatino Linotype"/>
          <w:b/>
          <w:szCs w:val="20"/>
        </w:rPr>
        <w:t xml:space="preserve">2 </w:t>
      </w:r>
      <w:r w:rsidR="009A4A08" w:rsidRPr="00B0578D">
        <w:rPr>
          <w:rFonts w:ascii="Palatino Linotype" w:hAnsi="Palatino Linotype"/>
          <w:bCs/>
          <w:szCs w:val="20"/>
        </w:rPr>
        <w:t xml:space="preserve">conforme al artículo 192 fracción </w:t>
      </w:r>
      <w:r w:rsidR="00913117" w:rsidRPr="00B0578D">
        <w:rPr>
          <w:rFonts w:ascii="Palatino Linotype" w:hAnsi="Palatino Linotype"/>
          <w:bCs/>
          <w:szCs w:val="20"/>
        </w:rPr>
        <w:t>III</w:t>
      </w:r>
      <w:r w:rsidR="009A4A08" w:rsidRPr="00B0578D">
        <w:rPr>
          <w:rFonts w:ascii="Palatino Linotype" w:hAnsi="Palatino Linotype"/>
          <w:bCs/>
          <w:szCs w:val="20"/>
        </w:rPr>
        <w:t xml:space="preserve"> de la Ley de Transparencia y Acceso a la Información Pública del Estado de México y Municipios</w:t>
      </w:r>
      <w:r w:rsidRPr="00B0578D">
        <w:rPr>
          <w:rFonts w:ascii="Palatino Linotype" w:hAnsi="Palatino Linotype"/>
          <w:bCs/>
          <w:szCs w:val="20"/>
        </w:rPr>
        <w:t>,</w:t>
      </w:r>
      <w:r w:rsidRPr="00B0578D">
        <w:rPr>
          <w:rFonts w:ascii="Palatino Linotype" w:hAnsi="Palatino Linotype"/>
          <w:szCs w:val="20"/>
        </w:rPr>
        <w:t xml:space="preserve"> porque </w:t>
      </w:r>
      <w:r w:rsidR="00913117" w:rsidRPr="00B0578D">
        <w:rPr>
          <w:rFonts w:ascii="Palatino Linotype" w:hAnsi="Palatino Linotype"/>
          <w:szCs w:val="20"/>
        </w:rPr>
        <w:t xml:space="preserve">al </w:t>
      </w:r>
      <w:r w:rsidR="00913117" w:rsidRPr="00B0578D">
        <w:rPr>
          <w:rFonts w:ascii="Palatino Linotype" w:hAnsi="Palatino Linotype"/>
          <w:b/>
          <w:bCs/>
          <w:szCs w:val="20"/>
        </w:rPr>
        <w:t>modificar la respuesta a través de</w:t>
      </w:r>
      <w:r w:rsidR="00354DA4" w:rsidRPr="00B0578D">
        <w:rPr>
          <w:rFonts w:ascii="Palatino Linotype" w:hAnsi="Palatino Linotype"/>
          <w:b/>
          <w:bCs/>
          <w:szCs w:val="20"/>
        </w:rPr>
        <w:t xml:space="preserve">l informe justificado </w:t>
      </w:r>
      <w:r w:rsidR="00CE6C3D" w:rsidRPr="00B0578D">
        <w:rPr>
          <w:rFonts w:ascii="Palatino Linotype" w:hAnsi="Palatino Linotype"/>
          <w:b/>
          <w:bCs/>
          <w:szCs w:val="20"/>
        </w:rPr>
        <w:t>y atender lo solicitado</w:t>
      </w:r>
      <w:r w:rsidR="00913117" w:rsidRPr="00B0578D">
        <w:rPr>
          <w:rFonts w:ascii="Palatino Linotype" w:hAnsi="Palatino Linotype"/>
          <w:szCs w:val="20"/>
        </w:rPr>
        <w:t xml:space="preserve">, </w:t>
      </w:r>
      <w:r w:rsidRPr="00B0578D">
        <w:rPr>
          <w:rFonts w:ascii="Palatino Linotype" w:hAnsi="Palatino Linotype"/>
          <w:szCs w:val="20"/>
        </w:rPr>
        <w:t xml:space="preserve">el recurso de revisión quedó sin materia en términos del Considerando </w:t>
      </w:r>
      <w:r w:rsidRPr="00B0578D">
        <w:rPr>
          <w:rFonts w:ascii="Palatino Linotype" w:hAnsi="Palatino Linotype"/>
          <w:b/>
          <w:szCs w:val="20"/>
        </w:rPr>
        <w:t>TERCERO</w:t>
      </w:r>
      <w:r w:rsidRPr="00B0578D">
        <w:rPr>
          <w:rFonts w:ascii="Palatino Linotype" w:hAnsi="Palatino Linotype"/>
          <w:szCs w:val="20"/>
        </w:rPr>
        <w:t xml:space="preserve"> de la presente resolución.</w:t>
      </w:r>
    </w:p>
    <w:p w14:paraId="3C91A2D9" w14:textId="77777777" w:rsidR="002C26FE" w:rsidRPr="00B0578D" w:rsidRDefault="002C26FE" w:rsidP="00836ADD">
      <w:pPr>
        <w:pStyle w:val="Sinespaciado"/>
        <w:spacing w:line="360" w:lineRule="auto"/>
        <w:jc w:val="both"/>
        <w:rPr>
          <w:rFonts w:ascii="Palatino Linotype" w:hAnsi="Palatino Linotype"/>
          <w:szCs w:val="20"/>
        </w:rPr>
      </w:pPr>
    </w:p>
    <w:p w14:paraId="3A21420A" w14:textId="77777777" w:rsidR="002C26FE" w:rsidRPr="00B0578D" w:rsidRDefault="002C26FE" w:rsidP="00836ADD">
      <w:pPr>
        <w:pStyle w:val="Sinespaciado"/>
        <w:spacing w:line="360" w:lineRule="auto"/>
        <w:jc w:val="both"/>
        <w:rPr>
          <w:rFonts w:ascii="Palatino Linotype" w:eastAsia="Calibri" w:hAnsi="Palatino Linotype" w:cs="Arial"/>
          <w:b/>
          <w:bCs/>
          <w:lang w:val="es-ES"/>
        </w:rPr>
      </w:pPr>
      <w:r w:rsidRPr="00B0578D">
        <w:rPr>
          <w:rFonts w:ascii="Palatino Linotype" w:eastAsia="Calibri" w:hAnsi="Palatino Linotype" w:cs="Arial"/>
          <w:b/>
          <w:bCs/>
          <w:lang w:val="es-ES"/>
        </w:rPr>
        <w:t xml:space="preserve">SEGUNDO. REMÍTASE </w:t>
      </w:r>
      <w:r w:rsidRPr="00B0578D">
        <w:rPr>
          <w:rFonts w:ascii="Palatino Linotype" w:eastAsia="Calibri" w:hAnsi="Palatino Linotype" w:cs="Arial"/>
          <w:bCs/>
          <w:lang w:val="es-ES"/>
        </w:rPr>
        <w:t xml:space="preserve">a través del Sistema de Acceso a la Información Mexiquense </w:t>
      </w:r>
      <w:r w:rsidRPr="00B0578D">
        <w:rPr>
          <w:rFonts w:ascii="Palatino Linotype" w:eastAsia="Calibri" w:hAnsi="Palatino Linotype" w:cs="Arial"/>
          <w:b/>
          <w:bCs/>
          <w:lang w:val="es-ES"/>
        </w:rPr>
        <w:t xml:space="preserve">(SAIMEX) </w:t>
      </w:r>
      <w:r w:rsidRPr="00B0578D">
        <w:rPr>
          <w:rFonts w:ascii="Palatino Linotype" w:eastAsia="Calibri" w:hAnsi="Palatino Linotype" w:cs="Arial"/>
          <w:bCs/>
          <w:lang w:val="es-ES"/>
        </w:rPr>
        <w:t>la presente resolución al Titular de la Unidad de Transparencia del</w:t>
      </w:r>
      <w:r w:rsidRPr="00B0578D">
        <w:rPr>
          <w:rFonts w:ascii="Palatino Linotype" w:eastAsia="Calibri" w:hAnsi="Palatino Linotype" w:cs="Arial"/>
          <w:b/>
          <w:bCs/>
          <w:lang w:val="es-ES"/>
        </w:rPr>
        <w:t xml:space="preserve"> SUJETO OBLIGADO. </w:t>
      </w:r>
    </w:p>
    <w:p w14:paraId="28EF3FFE" w14:textId="77777777" w:rsidR="002C26FE" w:rsidRPr="00B0578D" w:rsidRDefault="002C26FE" w:rsidP="00836ADD">
      <w:pPr>
        <w:pStyle w:val="Sinespaciado"/>
        <w:spacing w:line="360" w:lineRule="auto"/>
        <w:jc w:val="both"/>
        <w:rPr>
          <w:rFonts w:ascii="Palatino Linotype" w:eastAsia="Palatino Linotype" w:hAnsi="Palatino Linotype" w:cs="Palatino Linotype"/>
          <w:b/>
        </w:rPr>
      </w:pPr>
    </w:p>
    <w:p w14:paraId="7D76BC40" w14:textId="4D06A702" w:rsidR="002C26FE" w:rsidRPr="00B0578D" w:rsidRDefault="002C26FE" w:rsidP="00836ADD">
      <w:pPr>
        <w:pStyle w:val="Sinespaciado"/>
        <w:spacing w:line="360" w:lineRule="auto"/>
        <w:jc w:val="both"/>
        <w:rPr>
          <w:rFonts w:ascii="Palatino Linotype" w:eastAsia="Calibri" w:hAnsi="Palatino Linotype" w:cs="Arial"/>
          <w:b/>
          <w:bCs/>
          <w:lang w:val="es-ES"/>
        </w:rPr>
      </w:pPr>
      <w:r w:rsidRPr="00B0578D">
        <w:rPr>
          <w:rFonts w:ascii="Palatino Linotype" w:eastAsia="Times New Roman" w:hAnsi="Palatino Linotype" w:cs="Arial"/>
          <w:b/>
        </w:rPr>
        <w:t xml:space="preserve">TERCERO. </w:t>
      </w:r>
      <w:r w:rsidRPr="00B0578D">
        <w:rPr>
          <w:rFonts w:ascii="Palatino Linotype" w:eastAsia="Times New Roman" w:hAnsi="Palatino Linotype" w:cs="Times New Roman"/>
          <w:b/>
          <w:bCs/>
          <w:lang w:val="es-ES"/>
        </w:rPr>
        <w:t xml:space="preserve">Notifíquese </w:t>
      </w:r>
      <w:r w:rsidR="00B76C39" w:rsidRPr="00B0578D">
        <w:rPr>
          <w:rFonts w:ascii="Palatino Linotype" w:eastAsia="Times New Roman" w:hAnsi="Palatino Linotype" w:cs="Times New Roman"/>
          <w:bCs/>
          <w:lang w:val="es-ES"/>
        </w:rPr>
        <w:t>a</w:t>
      </w:r>
      <w:r w:rsidR="00AC5C2D" w:rsidRPr="00B0578D">
        <w:rPr>
          <w:rFonts w:ascii="Palatino Linotype" w:eastAsia="Times New Roman" w:hAnsi="Palatino Linotype" w:cs="Times New Roman"/>
          <w:bCs/>
          <w:lang w:val="es-ES"/>
        </w:rPr>
        <w:t>l</w:t>
      </w:r>
      <w:r w:rsidRPr="00B0578D">
        <w:rPr>
          <w:rFonts w:ascii="Palatino Linotype" w:eastAsia="Times New Roman" w:hAnsi="Palatino Linotype" w:cs="Times New Roman"/>
          <w:bCs/>
          <w:lang w:val="es-ES"/>
        </w:rPr>
        <w:t xml:space="preserve"> </w:t>
      </w:r>
      <w:r w:rsidRPr="00B0578D">
        <w:rPr>
          <w:rFonts w:ascii="Palatino Linotype" w:eastAsia="Times New Roman" w:hAnsi="Palatino Linotype" w:cs="Times New Roman"/>
          <w:b/>
          <w:bCs/>
          <w:lang w:val="es-ES"/>
        </w:rPr>
        <w:t>RECURRENTE</w:t>
      </w:r>
      <w:r w:rsidRPr="00B0578D">
        <w:rPr>
          <w:rFonts w:ascii="Palatino Linotype" w:hAnsi="Palatino Linotype"/>
        </w:rPr>
        <w:t xml:space="preserve"> </w:t>
      </w:r>
      <w:r w:rsidRPr="00B0578D">
        <w:rPr>
          <w:rFonts w:ascii="Palatino Linotype" w:eastAsia="Times New Roman" w:hAnsi="Palatino Linotype" w:cs="Times New Roman"/>
          <w:lang w:val="es-ES" w:eastAsia="es-MX"/>
        </w:rPr>
        <w:t>la presente resolución</w:t>
      </w:r>
      <w:r w:rsidR="006C050A" w:rsidRPr="00B0578D">
        <w:rPr>
          <w:rFonts w:ascii="Palatino Linotype" w:eastAsia="Times New Roman" w:hAnsi="Palatino Linotype" w:cs="Times New Roman"/>
          <w:lang w:val="es-ES" w:eastAsia="es-MX"/>
        </w:rPr>
        <w:t xml:space="preserve"> </w:t>
      </w:r>
      <w:r w:rsidRPr="00B0578D">
        <w:rPr>
          <w:rFonts w:ascii="Palatino Linotype" w:eastAsia="Calibri" w:hAnsi="Palatino Linotype" w:cs="Arial"/>
          <w:bCs/>
          <w:lang w:val="es-ES"/>
        </w:rPr>
        <w:t xml:space="preserve">a través del Sistema de Acceso a la Información Mexiquense </w:t>
      </w:r>
      <w:r w:rsidRPr="00B0578D">
        <w:rPr>
          <w:rFonts w:ascii="Palatino Linotype" w:eastAsia="Calibri" w:hAnsi="Palatino Linotype" w:cs="Arial"/>
          <w:b/>
          <w:bCs/>
          <w:lang w:val="es-ES"/>
        </w:rPr>
        <w:t>(SAIMEX)</w:t>
      </w:r>
      <w:r w:rsidR="00836ADD" w:rsidRPr="00B0578D">
        <w:rPr>
          <w:rFonts w:ascii="Palatino Linotype" w:eastAsia="Calibri" w:hAnsi="Palatino Linotype" w:cs="Arial"/>
          <w:b/>
          <w:bCs/>
          <w:lang w:val="es-ES"/>
        </w:rPr>
        <w:t>.</w:t>
      </w:r>
    </w:p>
    <w:p w14:paraId="4F20E04E" w14:textId="77777777" w:rsidR="006C050A" w:rsidRPr="00B0578D"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3B49F052" w14:textId="137D11BD" w:rsidR="007D13C0" w:rsidRPr="00B0578D" w:rsidRDefault="002C26FE" w:rsidP="00836ADD">
      <w:pPr>
        <w:spacing w:line="360" w:lineRule="auto"/>
        <w:jc w:val="both"/>
        <w:rPr>
          <w:rFonts w:ascii="Palatino Linotype" w:eastAsia="MS Mincho" w:hAnsi="Palatino Linotype" w:cs="Times New Roman"/>
          <w:lang w:val="es-ES"/>
        </w:rPr>
      </w:pPr>
      <w:r w:rsidRPr="00B0578D">
        <w:rPr>
          <w:rFonts w:ascii="Palatino Linotype" w:eastAsia="MS Mincho" w:hAnsi="Palatino Linotype" w:cs="Times New Roman"/>
          <w:b/>
          <w:lang w:val="es-MX"/>
        </w:rPr>
        <w:lastRenderedPageBreak/>
        <w:t>CUARTO.</w:t>
      </w:r>
      <w:r w:rsidRPr="00B0578D">
        <w:rPr>
          <w:rFonts w:ascii="Palatino Linotype" w:eastAsia="MS Mincho" w:hAnsi="Palatino Linotype" w:cs="Times New Roman"/>
          <w:lang w:val="es-MX"/>
        </w:rPr>
        <w:t xml:space="preserve"> </w:t>
      </w:r>
      <w:r w:rsidRPr="00B0578D">
        <w:rPr>
          <w:rFonts w:ascii="Palatino Linotype" w:eastAsia="MS Mincho" w:hAnsi="Palatino Linotype" w:cs="Times New Roman"/>
          <w:lang w:val="es-ES"/>
        </w:rPr>
        <w:t>Se hace del conocimiento de</w:t>
      </w:r>
      <w:r w:rsidR="00AC5C2D" w:rsidRPr="00B0578D">
        <w:rPr>
          <w:rFonts w:ascii="Palatino Linotype" w:eastAsia="MS Mincho" w:hAnsi="Palatino Linotype" w:cs="Times New Roman"/>
          <w:lang w:val="es-ES"/>
        </w:rPr>
        <w:t>l</w:t>
      </w:r>
      <w:r w:rsidRPr="00B0578D">
        <w:rPr>
          <w:rFonts w:ascii="Palatino Linotype" w:eastAsia="MS Mincho" w:hAnsi="Palatino Linotype" w:cs="Times New Roman"/>
          <w:lang w:val="es-ES"/>
        </w:rPr>
        <w:t xml:space="preserve"> </w:t>
      </w:r>
      <w:r w:rsidRPr="00B0578D">
        <w:rPr>
          <w:rFonts w:ascii="Palatino Linotype" w:eastAsia="Times New Roman" w:hAnsi="Palatino Linotype" w:cs="Times New Roman"/>
          <w:b/>
          <w:bCs/>
          <w:lang w:val="es-ES"/>
        </w:rPr>
        <w:t>RECURRENTE</w:t>
      </w:r>
      <w:r w:rsidRPr="00B0578D">
        <w:rPr>
          <w:rFonts w:ascii="Palatino Linotype" w:hAnsi="Palatino Linotype"/>
        </w:rPr>
        <w:t xml:space="preserve"> </w:t>
      </w:r>
      <w:r w:rsidRPr="00B0578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B0578D">
        <w:rPr>
          <w:rFonts w:ascii="Palatino Linotype" w:eastAsia="MS Mincho" w:hAnsi="Palatino Linotype" w:cs="Times New Roman"/>
          <w:bCs/>
          <w:lang w:val="es-ES"/>
        </w:rPr>
        <w:t>vía juicio de amparo</w:t>
      </w:r>
      <w:r w:rsidRPr="00B0578D">
        <w:rPr>
          <w:rFonts w:ascii="Palatino Linotype" w:eastAsia="MS Mincho" w:hAnsi="Palatino Linotype" w:cs="Times New Roman"/>
          <w:lang w:val="es-ES"/>
        </w:rPr>
        <w:t> en los términos de las leyes aplicables.</w:t>
      </w:r>
    </w:p>
    <w:p w14:paraId="1E95476B" w14:textId="77777777" w:rsidR="00A77234" w:rsidRPr="00B0578D" w:rsidRDefault="00A77234" w:rsidP="00836ADD">
      <w:pPr>
        <w:spacing w:line="360" w:lineRule="auto"/>
        <w:jc w:val="both"/>
        <w:rPr>
          <w:rFonts w:ascii="Palatino Linotype" w:eastAsia="MS Mincho" w:hAnsi="Palatino Linotype" w:cs="Times New Roman"/>
          <w:lang w:val="es-ES"/>
        </w:rPr>
      </w:pPr>
    </w:p>
    <w:bookmarkEnd w:id="27"/>
    <w:bookmarkEnd w:id="28"/>
    <w:bookmarkEnd w:id="29"/>
    <w:p w14:paraId="4767FDB2" w14:textId="77777777" w:rsidR="00E81718" w:rsidRDefault="00E81718" w:rsidP="00E81718">
      <w:pPr>
        <w:spacing w:before="240" w:after="240" w:line="360" w:lineRule="auto"/>
        <w:jc w:val="both"/>
        <w:rPr>
          <w:rFonts w:ascii="Palatino Linotype" w:hAnsi="Palatino Linotype"/>
        </w:rPr>
      </w:pPr>
      <w:r w:rsidRPr="00B0578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DIECIOCHO (18) DE ENERO DE DOS MIL VEINTITRÉS, ANTE EL SECRETARIO TÉCNICO DEL PLENO ALEXIS TAPIA RAMÍREZ.</w:t>
      </w:r>
      <w:bookmarkStart w:id="37" w:name="_GoBack"/>
      <w:bookmarkEnd w:id="37"/>
      <w:r w:rsidRPr="00624AAD">
        <w:rPr>
          <w:rFonts w:ascii="Palatino Linotype" w:hAnsi="Palatino Linotype"/>
        </w:rPr>
        <w:t xml:space="preserve"> </w:t>
      </w:r>
    </w:p>
    <w:p w14:paraId="7658E340" w14:textId="77777777" w:rsidR="00836ADD" w:rsidRDefault="00836ADD" w:rsidP="00836ADD">
      <w:pPr>
        <w:spacing w:line="360" w:lineRule="auto"/>
        <w:jc w:val="both"/>
        <w:rPr>
          <w:rFonts w:ascii="Palatino Linotype" w:hAnsi="Palatino Linotype" w:cs="Tahoma"/>
        </w:rPr>
      </w:pPr>
    </w:p>
    <w:p w14:paraId="4B12F38D" w14:textId="77777777" w:rsidR="00836ADD" w:rsidRDefault="00836ADD" w:rsidP="00836ADD">
      <w:pPr>
        <w:spacing w:line="360" w:lineRule="auto"/>
        <w:jc w:val="both"/>
        <w:rPr>
          <w:rFonts w:ascii="Palatino Linotype" w:hAnsi="Palatino Linotype" w:cs="Tahoma"/>
        </w:rPr>
      </w:pPr>
    </w:p>
    <w:p w14:paraId="3116583E" w14:textId="77777777" w:rsidR="00836ADD" w:rsidRDefault="00836ADD" w:rsidP="00836ADD">
      <w:pPr>
        <w:spacing w:line="360" w:lineRule="auto"/>
        <w:jc w:val="both"/>
        <w:rPr>
          <w:rFonts w:ascii="Palatino Linotype" w:hAnsi="Palatino Linotype" w:cs="Tahoma"/>
        </w:rPr>
      </w:pPr>
    </w:p>
    <w:p w14:paraId="41440B34" w14:textId="77777777" w:rsidR="00836ADD" w:rsidRDefault="00836ADD" w:rsidP="00836ADD">
      <w:pPr>
        <w:spacing w:line="360" w:lineRule="auto"/>
        <w:jc w:val="both"/>
        <w:rPr>
          <w:rFonts w:ascii="Palatino Linotype" w:hAnsi="Palatino Linotype" w:cs="Tahoma"/>
        </w:rPr>
      </w:pPr>
    </w:p>
    <w:p w14:paraId="6A6EAB12" w14:textId="77777777" w:rsidR="00836ADD" w:rsidRDefault="00836ADD" w:rsidP="00836ADD">
      <w:pPr>
        <w:spacing w:line="360" w:lineRule="auto"/>
        <w:jc w:val="both"/>
        <w:rPr>
          <w:rFonts w:ascii="Palatino Linotype" w:hAnsi="Palatino Linotype" w:cs="Tahoma"/>
        </w:rPr>
      </w:pPr>
    </w:p>
    <w:p w14:paraId="32A5C1EF" w14:textId="77777777" w:rsidR="00836ADD" w:rsidRDefault="00836ADD" w:rsidP="00836ADD">
      <w:pPr>
        <w:spacing w:line="360" w:lineRule="auto"/>
        <w:jc w:val="both"/>
        <w:rPr>
          <w:rFonts w:ascii="Palatino Linotype" w:hAnsi="Palatino Linotype" w:cs="Tahoma"/>
        </w:rPr>
      </w:pPr>
    </w:p>
    <w:p w14:paraId="1C0DB2FC" w14:textId="77777777" w:rsidR="00836ADD" w:rsidRDefault="00836ADD" w:rsidP="00836ADD">
      <w:pPr>
        <w:spacing w:line="360" w:lineRule="auto"/>
        <w:jc w:val="both"/>
        <w:rPr>
          <w:rFonts w:ascii="Palatino Linotype" w:hAnsi="Palatino Linotype" w:cs="Tahoma"/>
        </w:rPr>
      </w:pPr>
    </w:p>
    <w:p w14:paraId="54983A1F" w14:textId="77777777" w:rsidR="00836ADD" w:rsidRDefault="00836ADD" w:rsidP="00836ADD">
      <w:pPr>
        <w:spacing w:line="360" w:lineRule="auto"/>
        <w:jc w:val="both"/>
        <w:rPr>
          <w:rFonts w:ascii="Palatino Linotype" w:hAnsi="Palatino Linotype" w:cs="Tahoma"/>
        </w:rPr>
      </w:pPr>
    </w:p>
    <w:p w14:paraId="6EFAA986" w14:textId="77777777" w:rsidR="00836ADD" w:rsidRDefault="00836ADD" w:rsidP="00836ADD">
      <w:pPr>
        <w:spacing w:line="360" w:lineRule="auto"/>
        <w:jc w:val="both"/>
        <w:rPr>
          <w:rFonts w:ascii="Palatino Linotype" w:hAnsi="Palatino Linotype" w:cs="Tahoma"/>
        </w:rPr>
      </w:pPr>
    </w:p>
    <w:p w14:paraId="214679F6" w14:textId="77777777" w:rsidR="00836ADD" w:rsidRDefault="00836ADD" w:rsidP="00836ADD">
      <w:pPr>
        <w:spacing w:line="360" w:lineRule="auto"/>
        <w:jc w:val="both"/>
        <w:rPr>
          <w:rFonts w:ascii="Palatino Linotype" w:hAnsi="Palatino Linotype" w:cs="Tahoma"/>
        </w:rPr>
      </w:pPr>
    </w:p>
    <w:p w14:paraId="27C184A5" w14:textId="77777777" w:rsidR="00836ADD" w:rsidRDefault="00836ADD" w:rsidP="00836ADD">
      <w:pPr>
        <w:spacing w:line="360" w:lineRule="auto"/>
        <w:jc w:val="both"/>
        <w:rPr>
          <w:rFonts w:ascii="Palatino Linotype" w:hAnsi="Palatino Linotype" w:cs="Tahoma"/>
        </w:rPr>
      </w:pPr>
    </w:p>
    <w:p w14:paraId="460A8336" w14:textId="77777777" w:rsidR="00836ADD" w:rsidRDefault="00836ADD" w:rsidP="00836ADD">
      <w:pPr>
        <w:spacing w:line="360" w:lineRule="auto"/>
        <w:jc w:val="both"/>
        <w:rPr>
          <w:rFonts w:ascii="Palatino Linotype" w:hAnsi="Palatino Linotype" w:cs="Tahoma"/>
        </w:rPr>
      </w:pPr>
    </w:p>
    <w:p w14:paraId="1C587D38" w14:textId="77777777" w:rsidR="00836ADD" w:rsidRDefault="00836ADD" w:rsidP="00836ADD">
      <w:pPr>
        <w:spacing w:line="360" w:lineRule="auto"/>
        <w:jc w:val="both"/>
        <w:rPr>
          <w:rFonts w:ascii="Palatino Linotype" w:hAnsi="Palatino Linotype" w:cs="Tahoma"/>
        </w:rPr>
      </w:pPr>
    </w:p>
    <w:p w14:paraId="09C89594"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09541" w14:textId="77777777" w:rsidR="000A2BCA" w:rsidRDefault="000A2BCA" w:rsidP="00587366">
      <w:r>
        <w:separator/>
      </w:r>
    </w:p>
  </w:endnote>
  <w:endnote w:type="continuationSeparator" w:id="0">
    <w:p w14:paraId="16928F70" w14:textId="77777777" w:rsidR="000A2BCA" w:rsidRDefault="000A2BC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2B1664FD" w14:textId="77777777" w:rsidR="00AA5FE2" w:rsidRPr="00883450" w:rsidRDefault="00AA5FE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0578D">
              <w:rPr>
                <w:rFonts w:ascii="Palatino Linotype" w:hAnsi="Palatino Linotype"/>
                <w:b/>
                <w:bCs/>
                <w:noProof/>
                <w:sz w:val="22"/>
                <w:szCs w:val="20"/>
              </w:rPr>
              <w:t>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0578D">
              <w:rPr>
                <w:rFonts w:ascii="Palatino Linotype" w:hAnsi="Palatino Linotype"/>
                <w:b/>
                <w:bCs/>
                <w:noProof/>
                <w:sz w:val="22"/>
                <w:szCs w:val="20"/>
              </w:rPr>
              <w:t>27</w:t>
            </w:r>
            <w:r w:rsidRPr="00883450">
              <w:rPr>
                <w:rFonts w:ascii="Palatino Linotype" w:hAnsi="Palatino Linotype"/>
                <w:b/>
                <w:bCs/>
                <w:sz w:val="22"/>
                <w:szCs w:val="20"/>
              </w:rPr>
              <w:fldChar w:fldCharType="end"/>
            </w:r>
          </w:p>
        </w:sdtContent>
      </w:sdt>
    </w:sdtContent>
  </w:sdt>
  <w:p w14:paraId="152CFAE8" w14:textId="77777777" w:rsidR="00AA5FE2" w:rsidRDefault="00AA5F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A295" w14:textId="77777777" w:rsidR="00AA5FE2" w:rsidRPr="00883450" w:rsidRDefault="00AA5FE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0578D" w:rsidRPr="00B0578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0578D" w:rsidRPr="00B0578D">
      <w:rPr>
        <w:rFonts w:ascii="Palatino Linotype" w:hAnsi="Palatino Linotype"/>
        <w:noProof/>
        <w:sz w:val="22"/>
        <w:szCs w:val="22"/>
        <w:lang w:val="es-ES"/>
      </w:rPr>
      <w:t>27</w:t>
    </w:r>
    <w:r w:rsidRPr="00883450">
      <w:rPr>
        <w:rFonts w:ascii="Palatino Linotype" w:hAnsi="Palatino Linotype"/>
        <w:sz w:val="22"/>
        <w:szCs w:val="22"/>
      </w:rPr>
      <w:fldChar w:fldCharType="end"/>
    </w:r>
  </w:p>
  <w:p w14:paraId="0C3DE2E2" w14:textId="77777777" w:rsidR="00AA5FE2" w:rsidRPr="00883450" w:rsidRDefault="00AA5FE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CA529" w14:textId="77777777" w:rsidR="000A2BCA" w:rsidRDefault="000A2BCA" w:rsidP="00587366">
      <w:r>
        <w:separator/>
      </w:r>
    </w:p>
  </w:footnote>
  <w:footnote w:type="continuationSeparator" w:id="0">
    <w:p w14:paraId="62768F80" w14:textId="77777777" w:rsidR="000A2BCA" w:rsidRDefault="000A2BCA"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602A" w14:textId="77777777" w:rsidR="00AA5FE2" w:rsidRDefault="003F4920"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sidR="00AA5FE2">
      <w:tab/>
    </w:r>
  </w:p>
  <w:p w14:paraId="32FF217F" w14:textId="77777777" w:rsidR="00AA5FE2" w:rsidRDefault="00AA5FE2">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A5FE2" w:rsidRPr="00674A46" w14:paraId="52B999F0" w14:textId="77777777" w:rsidTr="00F3586F">
      <w:trPr>
        <w:trHeight w:val="138"/>
      </w:trPr>
      <w:tc>
        <w:tcPr>
          <w:tcW w:w="3544" w:type="dxa"/>
          <w:vAlign w:val="center"/>
        </w:tcPr>
        <w:p w14:paraId="00B4D0BE"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14:paraId="33B8C711" w14:textId="24D99B8C" w:rsidR="00AA5FE2" w:rsidRPr="00F91466" w:rsidRDefault="00142B9F" w:rsidP="00986821">
          <w:pPr>
            <w:pStyle w:val="Encabezado"/>
            <w:jc w:val="both"/>
            <w:rPr>
              <w:rFonts w:ascii="Palatino Linotype" w:hAnsi="Palatino Linotype" w:cs="Arial"/>
              <w:b/>
              <w:bCs/>
              <w:sz w:val="20"/>
              <w:szCs w:val="20"/>
              <w:lang w:eastAsia="es-MX"/>
            </w:rPr>
          </w:pPr>
          <w:r>
            <w:rPr>
              <w:rFonts w:ascii="Palatino Linotype" w:hAnsi="Palatino Linotype" w:cs="Arial"/>
              <w:b/>
              <w:bCs/>
              <w:sz w:val="20"/>
              <w:szCs w:val="20"/>
              <w:lang w:eastAsia="es-MX"/>
            </w:rPr>
            <w:t>1</w:t>
          </w:r>
          <w:r w:rsidR="00A52A0C">
            <w:rPr>
              <w:rFonts w:ascii="Palatino Linotype" w:hAnsi="Palatino Linotype" w:cs="Arial"/>
              <w:b/>
              <w:bCs/>
              <w:sz w:val="20"/>
              <w:szCs w:val="20"/>
              <w:lang w:eastAsia="es-MX"/>
            </w:rPr>
            <w:t>6633</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674A46" w14:paraId="43CB6082" w14:textId="77777777" w:rsidTr="00F3586F">
      <w:trPr>
        <w:trHeight w:val="233"/>
      </w:trPr>
      <w:tc>
        <w:tcPr>
          <w:tcW w:w="3544" w:type="dxa"/>
          <w:vAlign w:val="center"/>
        </w:tcPr>
        <w:p w14:paraId="35536B76"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14:paraId="5C4E52CD" w14:textId="7871B31F" w:rsidR="00AA5FE2" w:rsidRPr="00F91466" w:rsidRDefault="00142B9F" w:rsidP="00462780">
          <w:pPr>
            <w:pStyle w:val="Encabezado"/>
            <w:jc w:val="both"/>
            <w:rPr>
              <w:rFonts w:ascii="Palatino Linotype" w:hAnsi="Palatino Linotype"/>
              <w:b/>
              <w:sz w:val="20"/>
              <w:szCs w:val="20"/>
            </w:rPr>
          </w:pPr>
          <w:r>
            <w:rPr>
              <w:rFonts w:ascii="Palatino Linotype" w:eastAsia="Times New Roman" w:hAnsi="Palatino Linotype"/>
              <w:b/>
              <w:sz w:val="20"/>
              <w:szCs w:val="20"/>
            </w:rPr>
            <w:t xml:space="preserve">Ayuntamiento de </w:t>
          </w:r>
          <w:r w:rsidR="00A52A0C">
            <w:rPr>
              <w:rFonts w:ascii="Palatino Linotype" w:eastAsia="Times New Roman" w:hAnsi="Palatino Linotype"/>
              <w:b/>
              <w:sz w:val="20"/>
              <w:szCs w:val="20"/>
            </w:rPr>
            <w:t>Huixquilucan</w:t>
          </w:r>
        </w:p>
      </w:tc>
    </w:tr>
    <w:tr w:rsidR="00AA5FE2" w:rsidRPr="00674A46" w14:paraId="17E61498" w14:textId="77777777" w:rsidTr="00F3586F">
      <w:trPr>
        <w:trHeight w:val="321"/>
      </w:trPr>
      <w:tc>
        <w:tcPr>
          <w:tcW w:w="3544" w:type="dxa"/>
          <w:vAlign w:val="center"/>
        </w:tcPr>
        <w:p w14:paraId="6C42337D"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14:paraId="42BE4190" w14:textId="77777777" w:rsidR="00AA5FE2" w:rsidRPr="00F91466" w:rsidRDefault="00AA5FE2"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70B0D88B" w14:textId="77777777" w:rsidR="00AA5FE2" w:rsidRDefault="00AA5FE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B2B8" w14:textId="77777777" w:rsidR="00AA5FE2" w:rsidRDefault="00B0578D" w:rsidP="00472C41">
    <w:pPr>
      <w:pStyle w:val="Encabezado"/>
      <w:tabs>
        <w:tab w:val="clear" w:pos="4252"/>
        <w:tab w:val="clear" w:pos="8504"/>
        <w:tab w:val="left" w:pos="3103"/>
      </w:tabs>
    </w:pPr>
    <w:r>
      <w:rPr>
        <w:noProof/>
        <w:lang w:val="es-MX" w:eastAsia="es-MX"/>
      </w:rPr>
      <w:pict w14:anchorId="19D1A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1025"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AA5FE2">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A5FE2" w:rsidRPr="00674A46" w14:paraId="184152C7" w14:textId="77777777" w:rsidTr="00F3586F">
      <w:trPr>
        <w:trHeight w:val="138"/>
      </w:trPr>
      <w:tc>
        <w:tcPr>
          <w:tcW w:w="3261" w:type="dxa"/>
          <w:vAlign w:val="center"/>
        </w:tcPr>
        <w:p w14:paraId="1818144A"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14:paraId="6ECF0D62" w14:textId="5EA26C8A" w:rsidR="00AA5FE2" w:rsidRPr="00F91466" w:rsidRDefault="00142B9F" w:rsidP="00184C8E">
          <w:pPr>
            <w:pStyle w:val="Encabezado"/>
            <w:rPr>
              <w:rFonts w:ascii="Palatino Linotype" w:hAnsi="Palatino Linotype"/>
              <w:b/>
              <w:sz w:val="20"/>
              <w:szCs w:val="20"/>
            </w:rPr>
          </w:pPr>
          <w:r>
            <w:rPr>
              <w:rFonts w:ascii="Palatino Linotype" w:hAnsi="Palatino Linotype" w:cs="Arial"/>
              <w:b/>
              <w:bCs/>
              <w:sz w:val="20"/>
              <w:szCs w:val="20"/>
              <w:lang w:eastAsia="es-MX"/>
            </w:rPr>
            <w:t>1</w:t>
          </w:r>
          <w:r w:rsidR="00A52A0C">
            <w:rPr>
              <w:rFonts w:ascii="Palatino Linotype" w:hAnsi="Palatino Linotype" w:cs="Arial"/>
              <w:b/>
              <w:bCs/>
              <w:sz w:val="20"/>
              <w:szCs w:val="20"/>
              <w:lang w:eastAsia="es-MX"/>
            </w:rPr>
            <w:t>6633</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B75F20" w14:paraId="17C185E7" w14:textId="77777777" w:rsidTr="00F3586F">
      <w:trPr>
        <w:trHeight w:val="233"/>
      </w:trPr>
      <w:tc>
        <w:tcPr>
          <w:tcW w:w="3261" w:type="dxa"/>
          <w:vAlign w:val="center"/>
        </w:tcPr>
        <w:p w14:paraId="1D115E9B"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14:paraId="3E6730A2" w14:textId="204CC50B" w:rsidR="00AA5FE2" w:rsidRPr="00F91466" w:rsidRDefault="00AA5FE2" w:rsidP="00F0190C">
          <w:pPr>
            <w:pStyle w:val="Encabezado"/>
            <w:ind w:right="234"/>
            <w:rPr>
              <w:rFonts w:ascii="Palatino Linotype" w:hAnsi="Palatino Linotype"/>
              <w:b/>
              <w:sz w:val="20"/>
              <w:szCs w:val="20"/>
            </w:rPr>
          </w:pPr>
        </w:p>
      </w:tc>
    </w:tr>
    <w:tr w:rsidR="00AA5FE2" w:rsidRPr="00674A46" w14:paraId="38F539EF" w14:textId="77777777" w:rsidTr="00F3586F">
      <w:trPr>
        <w:trHeight w:val="321"/>
      </w:trPr>
      <w:tc>
        <w:tcPr>
          <w:tcW w:w="3261" w:type="dxa"/>
          <w:vAlign w:val="center"/>
        </w:tcPr>
        <w:p w14:paraId="763ABA98"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14:paraId="46154497" w14:textId="77091D79" w:rsidR="00AA5FE2" w:rsidRPr="00F91466" w:rsidRDefault="00142B9F" w:rsidP="00462780">
          <w:pPr>
            <w:pStyle w:val="Encabezado"/>
            <w:jc w:val="both"/>
            <w:rPr>
              <w:rFonts w:ascii="Palatino Linotype" w:hAnsi="Palatino Linotype"/>
              <w:b/>
              <w:sz w:val="20"/>
              <w:szCs w:val="20"/>
            </w:rPr>
          </w:pPr>
          <w:r>
            <w:rPr>
              <w:rFonts w:ascii="Palatino Linotype" w:eastAsia="Times New Roman" w:hAnsi="Palatino Linotype"/>
              <w:b/>
              <w:sz w:val="20"/>
              <w:szCs w:val="20"/>
            </w:rPr>
            <w:t xml:space="preserve">Ayuntamiento de </w:t>
          </w:r>
          <w:r w:rsidR="00A52A0C">
            <w:rPr>
              <w:rFonts w:ascii="Palatino Linotype" w:eastAsia="Times New Roman" w:hAnsi="Palatino Linotype"/>
              <w:b/>
              <w:sz w:val="20"/>
              <w:szCs w:val="20"/>
            </w:rPr>
            <w:t>Huixquilucan</w:t>
          </w:r>
        </w:p>
      </w:tc>
    </w:tr>
    <w:tr w:rsidR="00AA5FE2" w:rsidRPr="00674A46" w14:paraId="42DF337E" w14:textId="77777777" w:rsidTr="00F3586F">
      <w:trPr>
        <w:trHeight w:val="321"/>
      </w:trPr>
      <w:tc>
        <w:tcPr>
          <w:tcW w:w="3261" w:type="dxa"/>
          <w:vAlign w:val="center"/>
        </w:tcPr>
        <w:p w14:paraId="32BC60F0"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14:paraId="7FDFAC3A" w14:textId="77777777" w:rsidR="00AA5FE2" w:rsidRPr="00F91466" w:rsidRDefault="00AA5FE2"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07C73D85" w14:textId="77777777" w:rsidR="00AA5FE2" w:rsidRDefault="00AA5FE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6FC2223"/>
    <w:multiLevelType w:val="hybridMultilevel"/>
    <w:tmpl w:val="832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8A01CC"/>
    <w:multiLevelType w:val="hybridMultilevel"/>
    <w:tmpl w:val="2132E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B57C45"/>
    <w:multiLevelType w:val="hybridMultilevel"/>
    <w:tmpl w:val="37982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8">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1"/>
  </w:num>
  <w:num w:numId="3">
    <w:abstractNumId w:val="16"/>
  </w:num>
  <w:num w:numId="4">
    <w:abstractNumId w:val="2"/>
  </w:num>
  <w:num w:numId="5">
    <w:abstractNumId w:val="18"/>
  </w:num>
  <w:num w:numId="6">
    <w:abstractNumId w:val="17"/>
  </w:num>
  <w:num w:numId="7">
    <w:abstractNumId w:val="9"/>
  </w:num>
  <w:num w:numId="8">
    <w:abstractNumId w:val="13"/>
  </w:num>
  <w:num w:numId="9">
    <w:abstractNumId w:val="14"/>
  </w:num>
  <w:num w:numId="10">
    <w:abstractNumId w:val="10"/>
  </w:num>
  <w:num w:numId="11">
    <w:abstractNumId w:val="8"/>
  </w:num>
  <w:num w:numId="12">
    <w:abstractNumId w:val="19"/>
  </w:num>
  <w:num w:numId="13">
    <w:abstractNumId w:val="11"/>
  </w:num>
  <w:num w:numId="14">
    <w:abstractNumId w:val="5"/>
  </w:num>
  <w:num w:numId="15">
    <w:abstractNumId w:val="15"/>
  </w:num>
  <w:num w:numId="16">
    <w:abstractNumId w:val="7"/>
  </w:num>
  <w:num w:numId="17">
    <w:abstractNumId w:val="3"/>
  </w:num>
  <w:num w:numId="18">
    <w:abstractNumId w:val="4"/>
  </w:num>
  <w:num w:numId="19">
    <w:abstractNumId w:val="0"/>
  </w:num>
  <w:num w:numId="2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407F"/>
    <w:rsid w:val="000058E3"/>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2BCA"/>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B9F"/>
    <w:rsid w:val="00142CE4"/>
    <w:rsid w:val="001430CA"/>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93C"/>
    <w:rsid w:val="001D39FC"/>
    <w:rsid w:val="001D3AB5"/>
    <w:rsid w:val="001D3B96"/>
    <w:rsid w:val="001D47E9"/>
    <w:rsid w:val="001D746B"/>
    <w:rsid w:val="001D75F9"/>
    <w:rsid w:val="001D773A"/>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130"/>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18AC"/>
    <w:rsid w:val="003E1C38"/>
    <w:rsid w:val="003E2030"/>
    <w:rsid w:val="003E2E91"/>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76F01"/>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0829"/>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266"/>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809"/>
    <w:rsid w:val="00653E8D"/>
    <w:rsid w:val="0065715E"/>
    <w:rsid w:val="00657670"/>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3A9"/>
    <w:rsid w:val="006718FB"/>
    <w:rsid w:val="006720F3"/>
    <w:rsid w:val="0067288B"/>
    <w:rsid w:val="00672942"/>
    <w:rsid w:val="00673695"/>
    <w:rsid w:val="00674701"/>
    <w:rsid w:val="00674A46"/>
    <w:rsid w:val="006752B0"/>
    <w:rsid w:val="00676959"/>
    <w:rsid w:val="00676C6B"/>
    <w:rsid w:val="00676E9D"/>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349"/>
    <w:rsid w:val="007665D7"/>
    <w:rsid w:val="007674F3"/>
    <w:rsid w:val="00767CD2"/>
    <w:rsid w:val="00770347"/>
    <w:rsid w:val="00770859"/>
    <w:rsid w:val="007721A1"/>
    <w:rsid w:val="0077374A"/>
    <w:rsid w:val="0077381A"/>
    <w:rsid w:val="007740B2"/>
    <w:rsid w:val="00774A5F"/>
    <w:rsid w:val="00774C6C"/>
    <w:rsid w:val="00774DFD"/>
    <w:rsid w:val="007752C7"/>
    <w:rsid w:val="007753FA"/>
    <w:rsid w:val="0077544D"/>
    <w:rsid w:val="007764C8"/>
    <w:rsid w:val="0077696C"/>
    <w:rsid w:val="00776F99"/>
    <w:rsid w:val="00777B16"/>
    <w:rsid w:val="007802A1"/>
    <w:rsid w:val="0078079A"/>
    <w:rsid w:val="00780E72"/>
    <w:rsid w:val="00782C4F"/>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4D9"/>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125"/>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4B6"/>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2A0C"/>
    <w:rsid w:val="00A53AF8"/>
    <w:rsid w:val="00A5413B"/>
    <w:rsid w:val="00A5717B"/>
    <w:rsid w:val="00A572BC"/>
    <w:rsid w:val="00A61049"/>
    <w:rsid w:val="00A621A5"/>
    <w:rsid w:val="00A64036"/>
    <w:rsid w:val="00A64161"/>
    <w:rsid w:val="00A64D3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C2D"/>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78D"/>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7F9"/>
    <w:rsid w:val="00B216E2"/>
    <w:rsid w:val="00B21C9A"/>
    <w:rsid w:val="00B23627"/>
    <w:rsid w:val="00B23909"/>
    <w:rsid w:val="00B24217"/>
    <w:rsid w:val="00B249F0"/>
    <w:rsid w:val="00B25BF3"/>
    <w:rsid w:val="00B25D17"/>
    <w:rsid w:val="00B275EA"/>
    <w:rsid w:val="00B30B8C"/>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556"/>
    <w:rsid w:val="00BA7987"/>
    <w:rsid w:val="00BA7AAE"/>
    <w:rsid w:val="00BA7CFA"/>
    <w:rsid w:val="00BB0282"/>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1B8B"/>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0B7E"/>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7F8"/>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1CE5"/>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5688"/>
    <w:rsid w:val="00D07227"/>
    <w:rsid w:val="00D12C5F"/>
    <w:rsid w:val="00D12D70"/>
    <w:rsid w:val="00D12EE7"/>
    <w:rsid w:val="00D130AF"/>
    <w:rsid w:val="00D1373C"/>
    <w:rsid w:val="00D1418F"/>
    <w:rsid w:val="00D15162"/>
    <w:rsid w:val="00D1674E"/>
    <w:rsid w:val="00D16EC5"/>
    <w:rsid w:val="00D17702"/>
    <w:rsid w:val="00D17C3D"/>
    <w:rsid w:val="00D20924"/>
    <w:rsid w:val="00D20A57"/>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1F7"/>
    <w:rsid w:val="00D37494"/>
    <w:rsid w:val="00D37495"/>
    <w:rsid w:val="00D3789A"/>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022"/>
    <w:rsid w:val="00D942E8"/>
    <w:rsid w:val="00D947F0"/>
    <w:rsid w:val="00D95F73"/>
    <w:rsid w:val="00D963CC"/>
    <w:rsid w:val="00D968B4"/>
    <w:rsid w:val="00D96E40"/>
    <w:rsid w:val="00D96EB7"/>
    <w:rsid w:val="00D9726D"/>
    <w:rsid w:val="00D9728D"/>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1718"/>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24A"/>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60"/>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03E1"/>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082F"/>
    <w:rsid w:val="00F7286D"/>
    <w:rsid w:val="00F72B99"/>
    <w:rsid w:val="00F72CCD"/>
    <w:rsid w:val="00F72E9F"/>
    <w:rsid w:val="00F739E9"/>
    <w:rsid w:val="00F73C2F"/>
    <w:rsid w:val="00F7467E"/>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7AFE"/>
    <w:rsid w:val="00FA008B"/>
    <w:rsid w:val="00FA0128"/>
    <w:rsid w:val="00FA14BA"/>
    <w:rsid w:val="00FA1786"/>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C70"/>
    <w:rsid w:val="00FC44A1"/>
    <w:rsid w:val="00FC453A"/>
    <w:rsid w:val="00FC4DEB"/>
    <w:rsid w:val="00FC511E"/>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5E0FEA"/>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UnresolvedMention">
    <w:name w:val="Unresolved Mention"/>
    <w:basedOn w:val="Fuentedeprrafopredeter"/>
    <w:uiPriority w:val="99"/>
    <w:semiHidden/>
    <w:unhideWhenUsed/>
    <w:rsid w:val="009041E1"/>
    <w:rPr>
      <w:color w:val="605E5C"/>
      <w:shd w:val="clear" w:color="auto" w:fill="E1DFDD"/>
    </w:rPr>
  </w:style>
  <w:style w:type="paragraph" w:styleId="Listaconvietas2">
    <w:name w:val="List Bullet 2"/>
    <w:basedOn w:val="Normal"/>
    <w:uiPriority w:val="99"/>
    <w:unhideWhenUsed/>
    <w:qFormat/>
    <w:rsid w:val="00D371F7"/>
    <w:pPr>
      <w:numPr>
        <w:numId w:val="19"/>
      </w:numPr>
      <w:contextualSpacing/>
    </w:pPr>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32750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6265790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4375891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57924633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1811099">
      <w:bodyDiv w:val="1"/>
      <w:marLeft w:val="0"/>
      <w:marRight w:val="0"/>
      <w:marTop w:val="0"/>
      <w:marBottom w:val="0"/>
      <w:divBdr>
        <w:top w:val="none" w:sz="0" w:space="0" w:color="auto"/>
        <w:left w:val="none" w:sz="0" w:space="0" w:color="auto"/>
        <w:bottom w:val="none" w:sz="0" w:space="0" w:color="auto"/>
        <w:right w:val="none" w:sz="0" w:space="0" w:color="auto"/>
      </w:divBdr>
    </w:div>
    <w:div w:id="176252809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B01B5-A3A5-4490-9DDD-63F3C67A0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5268</Words>
  <Characters>28976</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2019-01-21T23:42:00Z</cp:lastPrinted>
  <dcterms:created xsi:type="dcterms:W3CDTF">2023-01-12T19:43:00Z</dcterms:created>
  <dcterms:modified xsi:type="dcterms:W3CDTF">2023-02-09T21:49:00Z</dcterms:modified>
</cp:coreProperties>
</file>