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5E90E"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veintitrés de agosto de dos mil veintitrés. </w:t>
      </w:r>
    </w:p>
    <w:p w14:paraId="30EA6F94" w14:textId="5EF1FFF3"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VISTO</w:t>
      </w:r>
      <w:r w:rsidRPr="00D365BF">
        <w:rPr>
          <w:rFonts w:ascii="Palatino Linotype" w:eastAsia="Palatino Linotype" w:hAnsi="Palatino Linotype" w:cs="Palatino Linotype"/>
        </w:rPr>
        <w:t xml:space="preserve"> el expediente formado con motivo del recurso de revisión </w:t>
      </w:r>
      <w:r w:rsidRPr="00D365BF">
        <w:rPr>
          <w:rFonts w:ascii="Palatino Linotype" w:eastAsia="Palatino Linotype" w:hAnsi="Palatino Linotype" w:cs="Palatino Linotype"/>
          <w:b/>
        </w:rPr>
        <w:t>17419/INFOEM/IP/RR/2022</w:t>
      </w:r>
      <w:r w:rsidRPr="00D365BF">
        <w:rPr>
          <w:rFonts w:ascii="Palatino Linotype" w:eastAsia="Palatino Linotype" w:hAnsi="Palatino Linotype" w:cs="Palatino Linotype"/>
        </w:rPr>
        <w:t>, interpuesto por</w:t>
      </w:r>
      <w:r w:rsidRPr="00D365BF">
        <w:rPr>
          <w:rFonts w:ascii="Palatino Linotype" w:eastAsia="Palatino Linotype" w:hAnsi="Palatino Linotype" w:cs="Palatino Linotype"/>
          <w:b/>
        </w:rPr>
        <w:t xml:space="preserve"> </w:t>
      </w:r>
      <w:r w:rsidR="00D3531C">
        <w:rPr>
          <w:rFonts w:ascii="Palatino Linotype" w:eastAsia="Palatino Linotype" w:hAnsi="Palatino Linotype" w:cs="Palatino Linotype"/>
          <w:b/>
        </w:rPr>
        <w:t>XXXXXXXX XXXXXX XXXX</w:t>
      </w:r>
      <w:r w:rsidRPr="00D365BF">
        <w:rPr>
          <w:rFonts w:ascii="Palatino Linotype" w:eastAsia="Palatino Linotype" w:hAnsi="Palatino Linotype" w:cs="Palatino Linotype"/>
          <w:b/>
        </w:rPr>
        <w:t>,</w:t>
      </w:r>
      <w:r w:rsidRPr="00D365BF">
        <w:rPr>
          <w:rFonts w:ascii="Palatino Linotype" w:eastAsia="Palatino Linotype" w:hAnsi="Palatino Linotype" w:cs="Palatino Linotype"/>
        </w:rPr>
        <w:t xml:space="preserve"> en lo sucesivo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xml:space="preserve"> en contra de la respuesta a su solicitud de información con número de folio</w:t>
      </w:r>
      <w:r w:rsidRPr="00D365BF">
        <w:rPr>
          <w:rFonts w:ascii="Palatino Linotype" w:eastAsia="Palatino Linotype" w:hAnsi="Palatino Linotype" w:cs="Palatino Linotype"/>
          <w:b/>
        </w:rPr>
        <w:t xml:space="preserve"> 00946/NAUCALPA/IP/2022, </w:t>
      </w:r>
      <w:r w:rsidRPr="00D365BF">
        <w:rPr>
          <w:rFonts w:ascii="Palatino Linotype" w:eastAsia="Palatino Linotype" w:hAnsi="Palatino Linotype" w:cs="Palatino Linotype"/>
        </w:rPr>
        <w:t xml:space="preserve">por parte del </w:t>
      </w:r>
      <w:r w:rsidRPr="00D365BF">
        <w:rPr>
          <w:rFonts w:ascii="Palatino Linotype" w:eastAsia="Palatino Linotype" w:hAnsi="Palatino Linotype" w:cs="Palatino Linotype"/>
          <w:b/>
        </w:rPr>
        <w:t xml:space="preserve">Ayuntamiento de Naucalpan de Juárez, </w:t>
      </w:r>
      <w:r w:rsidRPr="00D365BF">
        <w:rPr>
          <w:rFonts w:ascii="Palatino Linotype" w:eastAsia="Palatino Linotype" w:hAnsi="Palatino Linotype" w:cs="Palatino Linotype"/>
        </w:rPr>
        <w:t xml:space="preserve">en lo sucesivo el </w:t>
      </w:r>
      <w:r w:rsidRPr="00D365BF">
        <w:rPr>
          <w:rFonts w:ascii="Palatino Linotype" w:eastAsia="Palatino Linotype" w:hAnsi="Palatino Linotype" w:cs="Palatino Linotype"/>
          <w:b/>
        </w:rPr>
        <w:t xml:space="preserve">SUJETO OBLIGADO, </w:t>
      </w:r>
      <w:r w:rsidRPr="00D365BF">
        <w:rPr>
          <w:rFonts w:ascii="Palatino Linotype" w:eastAsia="Palatino Linotype" w:hAnsi="Palatino Linotype" w:cs="Palatino Linotype"/>
        </w:rPr>
        <w:t xml:space="preserve">se procede a dictar la presente resolución con base en los siguientes: </w:t>
      </w:r>
    </w:p>
    <w:p w14:paraId="2CC7466A" w14:textId="77777777" w:rsidR="00443F9D" w:rsidRPr="00D365BF" w:rsidRDefault="001B2381">
      <w:pPr>
        <w:spacing w:before="240" w:after="240" w:line="360" w:lineRule="auto"/>
        <w:jc w:val="center"/>
        <w:rPr>
          <w:rFonts w:ascii="Palatino Linotype" w:eastAsia="Palatino Linotype" w:hAnsi="Palatino Linotype" w:cs="Palatino Linotype"/>
          <w:b/>
        </w:rPr>
      </w:pPr>
      <w:r w:rsidRPr="00D365BF">
        <w:rPr>
          <w:rFonts w:ascii="Palatino Linotype" w:eastAsia="Palatino Linotype" w:hAnsi="Palatino Linotype" w:cs="Palatino Linotype"/>
          <w:b/>
        </w:rPr>
        <w:t>I. A N T E C E D E N T E S</w:t>
      </w:r>
    </w:p>
    <w:p w14:paraId="73E510D5"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1. Solicitud de acceso a la información.</w:t>
      </w:r>
      <w:r w:rsidRPr="00D365BF">
        <w:rPr>
          <w:rFonts w:ascii="Palatino Linotype" w:eastAsia="Palatino Linotype" w:hAnsi="Palatino Linotype" w:cs="Palatino Linotype"/>
        </w:rPr>
        <w:t xml:space="preserve"> Con fecha </w:t>
      </w:r>
      <w:r w:rsidRPr="00D365BF">
        <w:rPr>
          <w:rFonts w:ascii="Palatino Linotype" w:eastAsia="Palatino Linotype" w:hAnsi="Palatino Linotype" w:cs="Palatino Linotype"/>
          <w:b/>
        </w:rPr>
        <w:t>veintiséis de octubre de dos mil veintidós,</w:t>
      </w:r>
      <w:r w:rsidRPr="00D365BF">
        <w:rPr>
          <w:rFonts w:ascii="Palatino Linotype" w:eastAsia="Palatino Linotype" w:hAnsi="Palatino Linotype" w:cs="Palatino Linotype"/>
        </w:rPr>
        <w:t xml:space="preserve"> la parte </w:t>
      </w:r>
      <w:r w:rsidRPr="00D365BF">
        <w:rPr>
          <w:rFonts w:ascii="Palatino Linotype" w:eastAsia="Palatino Linotype" w:hAnsi="Palatino Linotype" w:cs="Palatino Linotype"/>
          <w:b/>
        </w:rPr>
        <w:t xml:space="preserve">RECURRENTE </w:t>
      </w:r>
      <w:r w:rsidRPr="00D365BF">
        <w:rPr>
          <w:rFonts w:ascii="Palatino Linotype" w:eastAsia="Palatino Linotype" w:hAnsi="Palatino Linotype" w:cs="Palatino Linotype"/>
        </w:rPr>
        <w:t xml:space="preserve">presentó, a través del Sistema de Acceso a la Información Mexiquense, en lo subsecuente el </w:t>
      </w:r>
      <w:r w:rsidRPr="00D365BF">
        <w:rPr>
          <w:rFonts w:ascii="Palatino Linotype" w:eastAsia="Palatino Linotype" w:hAnsi="Palatino Linotype" w:cs="Palatino Linotype"/>
          <w:b/>
        </w:rPr>
        <w:t>SAIMEX,</w:t>
      </w:r>
      <w:r w:rsidRPr="00D365BF">
        <w:rPr>
          <w:rFonts w:ascii="Palatino Linotype" w:eastAsia="Palatino Linotype" w:hAnsi="Palatino Linotype" w:cs="Palatino Linotype"/>
        </w:rPr>
        <w:t xml:space="preserve"> ante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la solicitud de acceso a la información pública, a la que se le asignó el número</w:t>
      </w:r>
      <w:r w:rsidRPr="00D365BF">
        <w:rPr>
          <w:rFonts w:ascii="Palatino Linotype" w:eastAsia="Palatino Linotype" w:hAnsi="Palatino Linotype" w:cs="Palatino Linotype"/>
          <w:b/>
        </w:rPr>
        <w:t xml:space="preserve"> 00946/NAUCALPA/IP/2022, </w:t>
      </w:r>
      <w:r w:rsidRPr="00D365BF">
        <w:rPr>
          <w:rFonts w:ascii="Palatino Linotype" w:eastAsia="Palatino Linotype" w:hAnsi="Palatino Linotype" w:cs="Palatino Linotype"/>
        </w:rPr>
        <w:t xml:space="preserve">mediante la cual requirió la información siguiente: </w:t>
      </w:r>
    </w:p>
    <w:p w14:paraId="35C3A60A" w14:textId="77777777" w:rsidR="00443F9D" w:rsidRPr="00D365BF" w:rsidRDefault="001B2381">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D365BF">
        <w:rPr>
          <w:rFonts w:ascii="Palatino Linotype" w:eastAsia="Palatino Linotype" w:hAnsi="Palatino Linotype" w:cs="Palatino Linotype"/>
          <w:i/>
          <w:sz w:val="22"/>
          <w:szCs w:val="22"/>
        </w:rPr>
        <w:t xml:space="preserve">“Se solicita copia simple de la licencia de uso de suelo de los inmuebles ubicados en circuito Economistas mz1, calle Alberto J. Pani lote 30 A, lote 30 B, lote 30 C y lote 30 D, Esquina González Aparicio y calle Enrique de González Aparicio #5 Fraccionamiento Ciudad Satélite, en Naucalpan de Juárez, Estado de México. Se solicita la copia simple de la licencia de construcción los inmuebles ubicados en circuito Economistas mz1, calle Alberto J. Pani lote 30 A, lote 30 B, lote 30 C y lote 30 D, Esquina González Aparicio y calle Enrique de González Aparicio #5 Fraccionamiento Ciudad Satélite, en Naucalpan de Juárez, Estado de México. Se </w:t>
      </w:r>
      <w:r w:rsidRPr="00D365BF">
        <w:rPr>
          <w:rFonts w:ascii="Palatino Linotype" w:eastAsia="Palatino Linotype" w:hAnsi="Palatino Linotype" w:cs="Palatino Linotype"/>
          <w:i/>
          <w:sz w:val="22"/>
          <w:szCs w:val="22"/>
        </w:rPr>
        <w:lastRenderedPageBreak/>
        <w:t>solicita la copia simple de la licencia de terminación de obra de los inmuebles ubicados en circuito Economistas mz1, calle Alberto J. Pani lote 30 A, lote 30 B, lote 30 C y lote 30 D, Esquina González Aparicio y calle Enrique de González Aparicio #5 Fraccionamiento Ciudad Satélite, en Naucalpan de Juárez, Estado de México. Se solicita la copia simple de la licencia de funcionamiento de los inmuebles ubicados en circuito Economistas mz1, calle Alberto J. Pani lote 30 A, lote 30 B, lote 30 C y lote 30 D, Esquina González Aparicio y calle Enrique de González Aparicio #5 Fraccionamiento Ciudad Satélite, en Naucalpan de Juárez, Estado de México. Se solicita la copia simple de la licencia de impacto ambiental de los inmuebles ubicados en circuito Economistas mz1, calle Alberto J. Pani lote 30 A, lote 30 B, lote 30 C y lote 30 D, Esquina González Aparicio y calle Enrique de González Aparicio #5 Fraccionamiento Ciudad Satélite, en Naucalpan de Juárez, Estado de México. Se solicita la copia simple de la licencia protección civil de los inmuebles ubicados en circuito Economistas mz1, calle Alberto J. Pani lote 30 A, lote 30 B, lote 30 C y lote 30 D, Esquina González Aparicio y calle Enrique de González Aparicio #5 Fraccionamiento Ciudad Satélite, en Naucalpan de Juárez, Estado de México. Se solicita la copia simple del uso de suelo de todo el Fraccionamiento de Ciudad Satélite, en Naucalpan de Juárez, Estado de México.” (Sic)</w:t>
      </w:r>
    </w:p>
    <w:p w14:paraId="2DC5AA05" w14:textId="77777777" w:rsidR="00443F9D" w:rsidRPr="00D365BF" w:rsidRDefault="00443F9D">
      <w:pPr>
        <w:spacing w:before="240"/>
        <w:ind w:left="851" w:right="902"/>
        <w:jc w:val="both"/>
        <w:rPr>
          <w:rFonts w:ascii="Palatino Linotype" w:eastAsia="Palatino Linotype" w:hAnsi="Palatino Linotype" w:cs="Palatino Linotype"/>
          <w:i/>
          <w:sz w:val="22"/>
          <w:szCs w:val="22"/>
        </w:rPr>
      </w:pPr>
    </w:p>
    <w:p w14:paraId="13185A3C"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Modalidad de Entrega:</w:t>
      </w:r>
      <w:r w:rsidRPr="00D365BF">
        <w:rPr>
          <w:rFonts w:ascii="Palatino Linotype" w:eastAsia="Palatino Linotype" w:hAnsi="Palatino Linotype" w:cs="Palatino Linotype"/>
        </w:rPr>
        <w:t xml:space="preserve"> A través de SAIMEX.</w:t>
      </w:r>
    </w:p>
    <w:p w14:paraId="284A7029" w14:textId="77777777" w:rsidR="00443F9D" w:rsidRPr="00D365BF" w:rsidRDefault="001B2381">
      <w:pPr>
        <w:spacing w:before="240" w:after="240" w:line="360" w:lineRule="auto"/>
        <w:ind w:right="49"/>
        <w:jc w:val="both"/>
        <w:rPr>
          <w:rFonts w:ascii="Palatino Linotype" w:eastAsia="Palatino Linotype" w:hAnsi="Palatino Linotype" w:cs="Palatino Linotype"/>
        </w:rPr>
      </w:pPr>
      <w:r w:rsidRPr="00D365BF">
        <w:rPr>
          <w:rFonts w:ascii="Palatino Linotype" w:eastAsia="Palatino Linotype" w:hAnsi="Palatino Linotype" w:cs="Palatino Linotype"/>
          <w:b/>
        </w:rPr>
        <w:t xml:space="preserve">2. Prórroga. </w:t>
      </w:r>
      <w:r w:rsidRPr="00D365BF">
        <w:rPr>
          <w:rFonts w:ascii="Palatino Linotype" w:eastAsia="Palatino Linotype" w:hAnsi="Palatino Linotype" w:cs="Palatino Linotype"/>
        </w:rPr>
        <w:t xml:space="preserve">En fecha </w:t>
      </w:r>
      <w:r w:rsidRPr="00D365BF">
        <w:rPr>
          <w:rFonts w:ascii="Palatino Linotype" w:eastAsia="Palatino Linotype" w:hAnsi="Palatino Linotype" w:cs="Palatino Linotype"/>
          <w:b/>
        </w:rPr>
        <w:t>diecisiete de noviembre de dos mil veintidós</w:t>
      </w:r>
      <w:r w:rsidRPr="00D365BF">
        <w:rPr>
          <w:rFonts w:ascii="Palatino Linotype" w:eastAsia="Palatino Linotype" w:hAnsi="Palatino Linotype" w:cs="Palatino Linotype"/>
        </w:rPr>
        <w:t xml:space="preserve">,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notificó al particular la prórroga para atender su solicitud de información, medularmente en los siguientes términos: </w:t>
      </w:r>
    </w:p>
    <w:p w14:paraId="4ABDAFDB" w14:textId="77777777" w:rsidR="00443F9D" w:rsidRPr="00D365BF" w:rsidRDefault="001B2381">
      <w:pPr>
        <w:spacing w:before="240"/>
        <w:ind w:left="567"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A105207" w14:textId="77777777" w:rsidR="00443F9D" w:rsidRPr="00D365BF" w:rsidRDefault="001B2381">
      <w:pPr>
        <w:ind w:left="567"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se solicita prorroga por seguir en la búsqueda de la información.</w:t>
      </w:r>
    </w:p>
    <w:p w14:paraId="0F27BED9" w14:textId="77777777" w:rsidR="00443F9D" w:rsidRPr="00D365BF" w:rsidRDefault="001B2381">
      <w:pPr>
        <w:ind w:left="567"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LIC. MARIO MANUEL SÁNCHEZ VILLAFUERTE</w:t>
      </w:r>
    </w:p>
    <w:p w14:paraId="02D13851" w14:textId="77777777" w:rsidR="00443F9D" w:rsidRPr="00D365BF" w:rsidRDefault="001B2381">
      <w:pPr>
        <w:ind w:left="567"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Responsable de la Unidad de Transparencia”</w:t>
      </w:r>
    </w:p>
    <w:p w14:paraId="2F6A38B8" w14:textId="77777777" w:rsidR="00443F9D" w:rsidRPr="00D365BF" w:rsidRDefault="00443F9D">
      <w:pPr>
        <w:spacing w:after="240" w:line="360" w:lineRule="auto"/>
        <w:jc w:val="both"/>
        <w:rPr>
          <w:rFonts w:ascii="Palatino Linotype" w:eastAsia="Palatino Linotype" w:hAnsi="Palatino Linotype" w:cs="Palatino Linotype"/>
          <w:b/>
        </w:rPr>
      </w:pPr>
    </w:p>
    <w:p w14:paraId="190EB4A7" w14:textId="77777777" w:rsidR="00443F9D" w:rsidRPr="00D365BF" w:rsidRDefault="00443F9D">
      <w:pPr>
        <w:spacing w:after="240" w:line="360" w:lineRule="auto"/>
        <w:jc w:val="both"/>
        <w:rPr>
          <w:rFonts w:ascii="Palatino Linotype" w:eastAsia="Palatino Linotype" w:hAnsi="Palatino Linotype" w:cs="Palatino Linotype"/>
          <w:b/>
        </w:rPr>
      </w:pPr>
    </w:p>
    <w:p w14:paraId="643531EC" w14:textId="77777777" w:rsidR="00443F9D" w:rsidRPr="00D365BF" w:rsidRDefault="001B2381">
      <w:pPr>
        <w:spacing w:after="240" w:line="360" w:lineRule="auto"/>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rPr>
        <w:lastRenderedPageBreak/>
        <w:t xml:space="preserve">3. Respuesta. </w:t>
      </w:r>
      <w:r w:rsidRPr="00D365BF">
        <w:rPr>
          <w:rFonts w:ascii="Palatino Linotype" w:eastAsia="Palatino Linotype" w:hAnsi="Palatino Linotype" w:cs="Palatino Linotype"/>
        </w:rPr>
        <w:t xml:space="preserve">Con fecha </w:t>
      </w:r>
      <w:r w:rsidRPr="00D365BF">
        <w:rPr>
          <w:rFonts w:ascii="Palatino Linotype" w:eastAsia="Palatino Linotype" w:hAnsi="Palatino Linotype" w:cs="Palatino Linotype"/>
          <w:b/>
        </w:rPr>
        <w:t>veintinueve de noviembre de dos mil veintidós</w:t>
      </w:r>
      <w:r w:rsidRPr="00D365BF">
        <w:rPr>
          <w:rFonts w:ascii="Palatino Linotype" w:eastAsia="Palatino Linotype" w:hAnsi="Palatino Linotype" w:cs="Palatino Linotype"/>
        </w:rPr>
        <w:t xml:space="preserve">, el </w:t>
      </w:r>
      <w:r w:rsidRPr="00D365BF">
        <w:rPr>
          <w:rFonts w:ascii="Palatino Linotype" w:eastAsia="Palatino Linotype" w:hAnsi="Palatino Linotype" w:cs="Palatino Linotype"/>
          <w:b/>
        </w:rPr>
        <w:t xml:space="preserve">SUJETO OBLIGADO </w:t>
      </w:r>
      <w:r w:rsidRPr="00D365BF">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D365BF">
        <w:rPr>
          <w:rFonts w:ascii="Palatino Linotype" w:eastAsia="Palatino Linotype" w:hAnsi="Palatino Linotype" w:cs="Palatino Linotype"/>
          <w:i/>
          <w:sz w:val="22"/>
          <w:szCs w:val="22"/>
        </w:rPr>
        <w:t xml:space="preserve">  </w:t>
      </w:r>
    </w:p>
    <w:p w14:paraId="67C920F8" w14:textId="77777777" w:rsidR="00443F9D" w:rsidRPr="00D365BF" w:rsidRDefault="001B2381">
      <w:pPr>
        <w:spacing w:before="240"/>
        <w:ind w:left="851" w:right="902"/>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“…atención a la solicitud de acceso a la información pública ingresada mediante el Sistema de Acceso a la Información Mexiquense (SAIMEX), Al respecto y con fundamento en lo dispuesto por los artículo 6 de la Constitución Política de los Estados Unidos Mexicanos; 5 de la Constitución Política del Estado Libre y Soberano de México; 1, 2 fracciones II, V, y VIII, 3, 4, 11, 41 y 46 de la Ley de Transparencia y Acceso a la Información Pública del Estado de México; me permito informarle lo siguiente: derivado de la búsqueda de la información se informa que dicha documentación es confidencial toda vez que contiene datos personales concernientes a una persona física o jurídicamente colectiva identificada o identificable...” (Sic)</w:t>
      </w:r>
    </w:p>
    <w:p w14:paraId="2A02BC10" w14:textId="77777777" w:rsidR="00443F9D" w:rsidRPr="00D365BF" w:rsidRDefault="001B2381">
      <w:pPr>
        <w:spacing w:before="240" w:after="240" w:line="360" w:lineRule="auto"/>
        <w:ind w:right="49"/>
        <w:jc w:val="both"/>
        <w:rPr>
          <w:rFonts w:ascii="Palatino Linotype" w:eastAsia="Palatino Linotype" w:hAnsi="Palatino Linotype" w:cs="Palatino Linotype"/>
        </w:rPr>
      </w:pPr>
      <w:r w:rsidRPr="00D365BF">
        <w:rPr>
          <w:rFonts w:ascii="Palatino Linotype" w:eastAsia="Palatino Linotype" w:hAnsi="Palatino Linotype" w:cs="Palatino Linotype"/>
          <w:b/>
        </w:rPr>
        <w:t xml:space="preserve">4. Interposición del recurso de revisión. </w:t>
      </w:r>
      <w:r w:rsidRPr="00D365BF">
        <w:rPr>
          <w:rFonts w:ascii="Palatino Linotype" w:eastAsia="Palatino Linotype" w:hAnsi="Palatino Linotype" w:cs="Palatino Linotype"/>
        </w:rPr>
        <w:t xml:space="preserve">Inconforme con los términos de la respuesta emitida por parte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el </w:t>
      </w:r>
      <w:r w:rsidRPr="00D365BF">
        <w:rPr>
          <w:rFonts w:ascii="Palatino Linotype" w:eastAsia="Palatino Linotype" w:hAnsi="Palatino Linotype" w:cs="Palatino Linotype"/>
          <w:b/>
        </w:rPr>
        <w:t>dieciséis de diciembre del dos mil veintidós,</w:t>
      </w:r>
      <w:r w:rsidRPr="00D365BF">
        <w:rPr>
          <w:rFonts w:ascii="Palatino Linotype" w:eastAsia="Palatino Linotype" w:hAnsi="Palatino Linotype" w:cs="Palatino Linotype"/>
        </w:rPr>
        <w:t xml:space="preserve"> la parte recurrente interpuso el recurso de revisión a través de </w:t>
      </w:r>
      <w:r w:rsidRPr="00D365BF">
        <w:rPr>
          <w:rFonts w:ascii="Palatino Linotype" w:eastAsia="Palatino Linotype" w:hAnsi="Palatino Linotype" w:cs="Palatino Linotype"/>
          <w:b/>
        </w:rPr>
        <w:t xml:space="preserve">SAIMEX, </w:t>
      </w:r>
      <w:r w:rsidRPr="00D365BF">
        <w:rPr>
          <w:rFonts w:ascii="Palatino Linotype" w:eastAsia="Palatino Linotype" w:hAnsi="Palatino Linotype" w:cs="Palatino Linotype"/>
        </w:rPr>
        <w:t>en donde se manifestó de la siguiente manera:</w:t>
      </w:r>
    </w:p>
    <w:p w14:paraId="45F56FDA" w14:textId="77777777" w:rsidR="00443F9D" w:rsidRPr="00D365BF" w:rsidRDefault="001B2381">
      <w:pPr>
        <w:tabs>
          <w:tab w:val="left" w:pos="2745"/>
        </w:tabs>
        <w:spacing w:before="240" w:after="240" w:line="360" w:lineRule="auto"/>
        <w:jc w:val="both"/>
        <w:rPr>
          <w:rFonts w:ascii="Palatino Linotype" w:eastAsia="Palatino Linotype" w:hAnsi="Palatino Linotype" w:cs="Palatino Linotype"/>
          <w:b/>
        </w:rPr>
      </w:pPr>
      <w:r w:rsidRPr="00D365BF">
        <w:rPr>
          <w:rFonts w:ascii="Palatino Linotype" w:eastAsia="Palatino Linotype" w:hAnsi="Palatino Linotype" w:cs="Palatino Linotype"/>
          <w:b/>
        </w:rPr>
        <w:t xml:space="preserve">Acto impugnado: </w:t>
      </w:r>
      <w:r w:rsidRPr="00D365BF">
        <w:rPr>
          <w:rFonts w:ascii="Palatino Linotype" w:eastAsia="Palatino Linotype" w:hAnsi="Palatino Linotype" w:cs="Palatino Linotype"/>
          <w:b/>
        </w:rPr>
        <w:tab/>
      </w:r>
    </w:p>
    <w:p w14:paraId="73D0E751" w14:textId="77777777" w:rsidR="00443F9D" w:rsidRPr="00D365BF" w:rsidRDefault="001B2381">
      <w:pPr>
        <w:ind w:left="851" w:right="902"/>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“No se me contesto lo que estaba solicitando” (Sic)</w:t>
      </w:r>
    </w:p>
    <w:p w14:paraId="3047088F" w14:textId="77777777" w:rsidR="00443F9D" w:rsidRPr="00D365BF" w:rsidRDefault="00443F9D">
      <w:pPr>
        <w:ind w:left="851" w:right="902"/>
        <w:jc w:val="both"/>
        <w:rPr>
          <w:rFonts w:ascii="Palatino Linotype" w:eastAsia="Palatino Linotype" w:hAnsi="Palatino Linotype" w:cs="Palatino Linotype"/>
          <w:i/>
          <w:sz w:val="22"/>
          <w:szCs w:val="22"/>
        </w:rPr>
      </w:pPr>
    </w:p>
    <w:p w14:paraId="302032C9"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Y Razones o motivos de inconformidad</w:t>
      </w:r>
      <w:r w:rsidRPr="00D365BF">
        <w:rPr>
          <w:rFonts w:ascii="Palatino Linotype" w:eastAsia="Palatino Linotype" w:hAnsi="Palatino Linotype" w:cs="Palatino Linotype"/>
        </w:rPr>
        <w:t>:</w:t>
      </w:r>
    </w:p>
    <w:p w14:paraId="5E4924E1" w14:textId="77777777" w:rsidR="00443F9D" w:rsidRPr="00D365BF" w:rsidRDefault="001B2381">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D365BF">
        <w:rPr>
          <w:rFonts w:ascii="Palatino Linotype" w:eastAsia="Palatino Linotype" w:hAnsi="Palatino Linotype" w:cs="Palatino Linotype"/>
          <w:i/>
          <w:sz w:val="22"/>
          <w:szCs w:val="22"/>
        </w:rPr>
        <w:t xml:space="preserve"> “No estoy satisfecho con la respuesta brindada” (Sic)</w:t>
      </w:r>
    </w:p>
    <w:p w14:paraId="3718C01A" w14:textId="77777777" w:rsidR="00443F9D" w:rsidRPr="00D365BF" w:rsidRDefault="00443F9D">
      <w:pPr>
        <w:ind w:left="851" w:right="902"/>
        <w:jc w:val="both"/>
        <w:rPr>
          <w:rFonts w:ascii="Palatino Linotype" w:eastAsia="Palatino Linotype" w:hAnsi="Palatino Linotype" w:cs="Palatino Linotype"/>
          <w:i/>
          <w:sz w:val="22"/>
          <w:szCs w:val="22"/>
        </w:rPr>
      </w:pPr>
    </w:p>
    <w:p w14:paraId="4B8E82A8" w14:textId="77777777" w:rsidR="00443F9D" w:rsidRPr="00D365BF" w:rsidRDefault="001B2381">
      <w:pPr>
        <w:spacing w:line="360" w:lineRule="auto"/>
        <w:ind w:right="51"/>
        <w:jc w:val="both"/>
        <w:rPr>
          <w:rFonts w:ascii="Palatino Linotype" w:eastAsia="Palatino Linotype" w:hAnsi="Palatino Linotype" w:cs="Palatino Linotype"/>
        </w:rPr>
      </w:pPr>
      <w:r w:rsidRPr="00D365BF">
        <w:rPr>
          <w:rFonts w:ascii="Palatino Linotype" w:eastAsia="Palatino Linotype" w:hAnsi="Palatino Linotype" w:cs="Palatino Linotype"/>
          <w:b/>
        </w:rPr>
        <w:t xml:space="preserve">5. Turno. </w:t>
      </w:r>
      <w:r w:rsidRPr="00D365B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D365BF">
        <w:rPr>
          <w:rFonts w:ascii="Palatino Linotype" w:eastAsia="Palatino Linotype" w:hAnsi="Palatino Linotype" w:cs="Palatino Linotype"/>
        </w:rPr>
        <w:lastRenderedPageBreak/>
        <w:t xml:space="preserve">del Estado de México y Municipios, a la Comisionada </w:t>
      </w:r>
      <w:r w:rsidRPr="00D365BF">
        <w:rPr>
          <w:rFonts w:ascii="Palatino Linotype" w:eastAsia="Palatino Linotype" w:hAnsi="Palatino Linotype" w:cs="Palatino Linotype"/>
          <w:b/>
        </w:rPr>
        <w:t xml:space="preserve">Guadalupe Ramírez Peña, </w:t>
      </w:r>
      <w:r w:rsidRPr="00D365BF">
        <w:rPr>
          <w:rFonts w:ascii="Palatino Linotype" w:eastAsia="Palatino Linotype" w:hAnsi="Palatino Linotype" w:cs="Palatino Linotype"/>
        </w:rPr>
        <w:t xml:space="preserve">a efecto de que analizara sobre su admisión o su </w:t>
      </w:r>
      <w:proofErr w:type="spellStart"/>
      <w:r w:rsidRPr="00D365BF">
        <w:rPr>
          <w:rFonts w:ascii="Palatino Linotype" w:eastAsia="Palatino Linotype" w:hAnsi="Palatino Linotype" w:cs="Palatino Linotype"/>
        </w:rPr>
        <w:t>desechamiento</w:t>
      </w:r>
      <w:proofErr w:type="spellEnd"/>
      <w:r w:rsidRPr="00D365BF">
        <w:rPr>
          <w:rFonts w:ascii="Palatino Linotype" w:eastAsia="Palatino Linotype" w:hAnsi="Palatino Linotype" w:cs="Palatino Linotype"/>
        </w:rPr>
        <w:t>.</w:t>
      </w:r>
    </w:p>
    <w:p w14:paraId="35373F5F" w14:textId="77777777" w:rsidR="00443F9D" w:rsidRPr="00D365BF" w:rsidRDefault="00443F9D">
      <w:pPr>
        <w:spacing w:line="360" w:lineRule="auto"/>
        <w:ind w:right="51"/>
        <w:jc w:val="both"/>
        <w:rPr>
          <w:rFonts w:ascii="Palatino Linotype" w:eastAsia="Palatino Linotype" w:hAnsi="Palatino Linotype" w:cs="Palatino Linotype"/>
        </w:rPr>
      </w:pPr>
    </w:p>
    <w:p w14:paraId="2386FF46" w14:textId="77777777" w:rsidR="00443F9D" w:rsidRPr="00D365BF" w:rsidRDefault="001B2381">
      <w:pPr>
        <w:spacing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6. Admisión del Recurso de revisión.</w:t>
      </w:r>
      <w:r w:rsidRPr="00D365BF">
        <w:rPr>
          <w:rFonts w:ascii="Palatino Linotype" w:eastAsia="Palatino Linotype" w:hAnsi="Palatino Linotype" w:cs="Palatino Linotype"/>
        </w:rPr>
        <w:t xml:space="preserve"> Con fecha</w:t>
      </w:r>
      <w:r w:rsidRPr="00D365BF">
        <w:rPr>
          <w:rFonts w:ascii="Palatino Linotype" w:eastAsia="Palatino Linotype" w:hAnsi="Palatino Linotype" w:cs="Palatino Linotype"/>
          <w:b/>
        </w:rPr>
        <w:t xml:space="preserve"> veintiuno de diciembre de dos mil veintidós, </w:t>
      </w:r>
      <w:r w:rsidRPr="00D365B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365BF">
        <w:rPr>
          <w:rFonts w:ascii="Palatino Linotype" w:eastAsia="Palatino Linotype" w:hAnsi="Palatino Linotype" w:cs="Palatino Linotype"/>
          <w:b/>
        </w:rPr>
        <w:t xml:space="preserve">SUJETO OBLIGADO </w:t>
      </w:r>
      <w:r w:rsidRPr="00D365BF">
        <w:rPr>
          <w:rFonts w:ascii="Palatino Linotype" w:eastAsia="Palatino Linotype" w:hAnsi="Palatino Linotype" w:cs="Palatino Linotype"/>
        </w:rPr>
        <w:t>presentara su informe justificado.</w:t>
      </w:r>
    </w:p>
    <w:p w14:paraId="0CFBD927" w14:textId="77777777" w:rsidR="00443F9D" w:rsidRPr="00D365BF" w:rsidRDefault="001B238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6. Manifestaciones</w:t>
      </w:r>
      <w:r w:rsidRPr="00D365BF">
        <w:rPr>
          <w:rFonts w:ascii="Palatino Linotype" w:eastAsia="Palatino Linotype" w:hAnsi="Palatino Linotype" w:cs="Palatino Linotype"/>
        </w:rPr>
        <w:t xml:space="preserve">. De las constancias que integran el expediente en que se actúa se advierte que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fue omisa en presentar sus alegatos o manifestación alguna.</w:t>
      </w:r>
    </w:p>
    <w:p w14:paraId="34C673E7"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Por su parte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en fechas trece de enero, catorce y veintisiete de febrero, ambos del año dos mil veintitrés, adjuntó los archivos electrónicos siguientes:</w:t>
      </w:r>
    </w:p>
    <w:p w14:paraId="3C592A61" w14:textId="77777777" w:rsidR="00443F9D" w:rsidRPr="00D365BF" w:rsidRDefault="00443F9D">
      <w:pPr>
        <w:spacing w:line="360" w:lineRule="auto"/>
        <w:jc w:val="both"/>
        <w:rPr>
          <w:rFonts w:ascii="Palatino Linotype" w:eastAsia="Palatino Linotype" w:hAnsi="Palatino Linotype" w:cs="Palatino Linotype"/>
        </w:rPr>
      </w:pPr>
    </w:p>
    <w:p w14:paraId="43BB8D53"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w:t>
      </w:r>
      <w:hyperlink r:id="rId8">
        <w:r w:rsidRPr="00D365BF">
          <w:rPr>
            <w:rFonts w:ascii="Palatino Linotype" w:eastAsia="Palatino Linotype" w:hAnsi="Palatino Linotype" w:cs="Palatino Linotype"/>
            <w:b/>
            <w:u w:val="single"/>
          </w:rPr>
          <w:t>CJ-002-2023.pdf</w:t>
        </w:r>
      </w:hyperlink>
      <w:r w:rsidRPr="00D365BF">
        <w:rPr>
          <w:rFonts w:ascii="Palatino Linotype" w:eastAsia="Palatino Linotype" w:hAnsi="Palatino Linotype" w:cs="Palatino Linotype"/>
          <w:b/>
          <w:u w:val="single"/>
        </w:rPr>
        <w:t>”,</w:t>
      </w:r>
      <w:r w:rsidRPr="00D365BF">
        <w:rPr>
          <w:rFonts w:ascii="Palatino Linotype" w:eastAsia="Palatino Linotype" w:hAnsi="Palatino Linotype" w:cs="Palatino Linotype"/>
        </w:rPr>
        <w:t xml:space="preserve"> el cual contiene el oficio número CJ/002/2023, por medio del cual el Coordinador Jurídico adscrito a la Coordinación Municipal de Protección Civil y Bomberos, solicitó al Jefe de Departamento de Verificación y Clausuras, realice una búsqueda exhaustiva y razonable en los archivos físicos y digitales que obren en su departamento a efecto de localizar algún documento emitido por esa Coordinación Municipal de Protección Civil y Bomberos que lleve el nombre de licencia de </w:t>
      </w:r>
      <w:r w:rsidRPr="00D365BF">
        <w:rPr>
          <w:rFonts w:ascii="Palatino Linotype" w:eastAsia="Palatino Linotype" w:hAnsi="Palatino Linotype" w:cs="Palatino Linotype"/>
        </w:rPr>
        <w:lastRenderedPageBreak/>
        <w:t>protección civil, o cualquier otro tipo de licencia o permiso que se haya emitido a favor de los titulares y/o poseedores de los inmuebles ubicados en las siguientes direcciones:</w:t>
      </w:r>
    </w:p>
    <w:p w14:paraId="0D298AF0" w14:textId="77777777" w:rsidR="00443F9D" w:rsidRPr="00D365BF" w:rsidRDefault="00443F9D">
      <w:pPr>
        <w:spacing w:line="360" w:lineRule="auto"/>
        <w:jc w:val="both"/>
        <w:rPr>
          <w:rFonts w:ascii="Palatino Linotype" w:eastAsia="Palatino Linotype" w:hAnsi="Palatino Linotype" w:cs="Palatino Linotype"/>
        </w:rPr>
      </w:pPr>
    </w:p>
    <w:p w14:paraId="0DC3CE3D"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B, lote 30 C y lote 30 D, Esquina González Aparicio.</w:t>
      </w:r>
    </w:p>
    <w:p w14:paraId="2BCBC4B7"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calle Enrique de González Aparicio #5 Fraccionamiento Ciudad Satélite, en Naucalpan de Juárez, Estado de México</w:t>
      </w:r>
    </w:p>
    <w:p w14:paraId="4346700E" w14:textId="77777777" w:rsidR="00443F9D" w:rsidRPr="00D365BF" w:rsidRDefault="00443F9D">
      <w:pPr>
        <w:spacing w:line="360" w:lineRule="auto"/>
        <w:jc w:val="both"/>
        <w:rPr>
          <w:rFonts w:ascii="Palatino Linotype" w:eastAsia="Palatino Linotype" w:hAnsi="Palatino Linotype" w:cs="Palatino Linotype"/>
        </w:rPr>
      </w:pPr>
    </w:p>
    <w:p w14:paraId="00459F2F" w14:textId="77777777" w:rsidR="00443F9D" w:rsidRPr="00D365BF" w:rsidRDefault="001B2381">
      <w:pPr>
        <w:spacing w:line="360" w:lineRule="auto"/>
        <w:jc w:val="both"/>
        <w:rPr>
          <w:rFonts w:ascii="Palatino Linotype" w:eastAsia="Palatino Linotype" w:hAnsi="Palatino Linotype" w:cs="Palatino Linotype"/>
        </w:rPr>
      </w:pPr>
      <w:proofErr w:type="gramStart"/>
      <w:r w:rsidRPr="00D365BF">
        <w:rPr>
          <w:rFonts w:ascii="Palatino Linotype" w:eastAsia="Palatino Linotype" w:hAnsi="Palatino Linotype" w:cs="Palatino Linotype"/>
        </w:rPr>
        <w:t>Lo  anterior</w:t>
      </w:r>
      <w:proofErr w:type="gramEnd"/>
      <w:r w:rsidRPr="00D365BF">
        <w:rPr>
          <w:rFonts w:ascii="Palatino Linotype" w:eastAsia="Palatino Linotype" w:hAnsi="Palatino Linotype" w:cs="Palatino Linotype"/>
        </w:rPr>
        <w:t xml:space="preserve"> por ser la única unidad administrativa que emite dictámenes de viabilidad (antes dictámenes de condiciones de seguridad) y dictámenes de protección civil de bajo riesgo (antes dictamen de viabilidad), documentos que de manera coloquial se podrían entender como licencias para el público general.</w:t>
      </w:r>
    </w:p>
    <w:p w14:paraId="09F8763D" w14:textId="77777777" w:rsidR="00443F9D" w:rsidRPr="00D365BF" w:rsidRDefault="00443F9D">
      <w:pPr>
        <w:spacing w:line="360" w:lineRule="auto"/>
        <w:jc w:val="both"/>
        <w:rPr>
          <w:rFonts w:ascii="Palatino Linotype" w:eastAsia="Palatino Linotype" w:hAnsi="Palatino Linotype" w:cs="Palatino Linotype"/>
        </w:rPr>
      </w:pPr>
    </w:p>
    <w:p w14:paraId="1BDCC36D"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w:t>
      </w:r>
      <w:proofErr w:type="spellStart"/>
      <w:r w:rsidR="00D3531C">
        <w:fldChar w:fldCharType="begin"/>
      </w:r>
      <w:r w:rsidR="00D3531C">
        <w:instrText xml:space="preserve"> HYPERLINK "https://saimex.org.mx/saimex/solicitud/downloadAttach/1678493.page" \h </w:instrText>
      </w:r>
      <w:r w:rsidR="00D3531C">
        <w:fldChar w:fldCharType="separate"/>
      </w:r>
      <w:r w:rsidRPr="00D365BF">
        <w:rPr>
          <w:rFonts w:ascii="Palatino Linotype" w:eastAsia="Palatino Linotype" w:hAnsi="Palatino Linotype" w:cs="Palatino Linotype"/>
          <w:b/>
          <w:u w:val="single"/>
        </w:rPr>
        <w:t>Notificacion</w:t>
      </w:r>
      <w:proofErr w:type="spellEnd"/>
      <w:r w:rsidRPr="00D365BF">
        <w:rPr>
          <w:rFonts w:ascii="Palatino Linotype" w:eastAsia="Palatino Linotype" w:hAnsi="Palatino Linotype" w:cs="Palatino Linotype"/>
          <w:b/>
          <w:u w:val="single"/>
        </w:rPr>
        <w:t xml:space="preserve"> de Recurso de </w:t>
      </w:r>
      <w:proofErr w:type="spellStart"/>
      <w:r w:rsidRPr="00D365BF">
        <w:rPr>
          <w:rFonts w:ascii="Palatino Linotype" w:eastAsia="Palatino Linotype" w:hAnsi="Palatino Linotype" w:cs="Palatino Linotype"/>
          <w:b/>
          <w:u w:val="single"/>
        </w:rPr>
        <w:t>Revision</w:t>
      </w:r>
      <w:proofErr w:type="spellEnd"/>
      <w:r w:rsidRPr="00D365BF">
        <w:rPr>
          <w:rFonts w:ascii="Palatino Linotype" w:eastAsia="Palatino Linotype" w:hAnsi="Palatino Linotype" w:cs="Palatino Linotype"/>
          <w:b/>
          <w:u w:val="single"/>
        </w:rPr>
        <w:t xml:space="preserve"> 17419-22-1.pdf</w:t>
      </w:r>
      <w:r w:rsidR="00D3531C">
        <w:rPr>
          <w:rFonts w:ascii="Palatino Linotype" w:eastAsia="Palatino Linotype" w:hAnsi="Palatino Linotype" w:cs="Palatino Linotype"/>
          <w:b/>
          <w:u w:val="single"/>
        </w:rPr>
        <w:fldChar w:fldCharType="end"/>
      </w:r>
      <w:r w:rsidRPr="00D365BF">
        <w:rPr>
          <w:rFonts w:ascii="Palatino Linotype" w:eastAsia="Palatino Linotype" w:hAnsi="Palatino Linotype" w:cs="Palatino Linotype"/>
          <w:b/>
          <w:u w:val="single"/>
        </w:rPr>
        <w:t>”,</w:t>
      </w:r>
      <w:r w:rsidRPr="00D365BF">
        <w:rPr>
          <w:rFonts w:ascii="Palatino Linotype" w:eastAsia="Palatino Linotype" w:hAnsi="Palatino Linotype" w:cs="Palatino Linotype"/>
        </w:rPr>
        <w:t xml:space="preserve"> el cual corresponde a la notificación que realizó la Unidad de Transparencia y Acceso a la Información Pública a la Dirección de Desarrollo Urbano, ambos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sobre el recurso de revisión </w:t>
      </w:r>
      <w:r w:rsidRPr="00D365BF">
        <w:rPr>
          <w:rFonts w:ascii="Palatino Linotype" w:eastAsia="Palatino Linotype" w:hAnsi="Palatino Linotype" w:cs="Palatino Linotype"/>
          <w:b/>
        </w:rPr>
        <w:t xml:space="preserve">17419/INFOEM/IP/RR/2022, </w:t>
      </w:r>
      <w:r w:rsidRPr="00D365BF">
        <w:rPr>
          <w:rFonts w:ascii="Palatino Linotype" w:eastAsia="Palatino Linotype" w:hAnsi="Palatino Linotype" w:cs="Palatino Linotype"/>
        </w:rPr>
        <w:t>para que dentro del término de siete días rindiera su informe justificado, precisando los puntos de la solicitud de acceso a la información pública de los cuales se solicita búsqueda exhaustiva.</w:t>
      </w:r>
    </w:p>
    <w:p w14:paraId="7F41F677" w14:textId="77777777" w:rsidR="00443F9D" w:rsidRPr="00D365BF" w:rsidRDefault="00443F9D">
      <w:pPr>
        <w:spacing w:line="360" w:lineRule="auto"/>
        <w:jc w:val="both"/>
        <w:rPr>
          <w:rFonts w:ascii="Palatino Linotype" w:eastAsia="Palatino Linotype" w:hAnsi="Palatino Linotype" w:cs="Palatino Linotype"/>
        </w:rPr>
      </w:pPr>
    </w:p>
    <w:p w14:paraId="209927EF"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u w:val="single"/>
        </w:rPr>
        <w:t>“</w:t>
      </w:r>
      <w:hyperlink r:id="rId9">
        <w:r w:rsidRPr="00D365BF">
          <w:rPr>
            <w:rFonts w:ascii="Palatino Linotype" w:eastAsia="Palatino Linotype" w:hAnsi="Palatino Linotype" w:cs="Palatino Linotype"/>
            <w:b/>
            <w:u w:val="single"/>
          </w:rPr>
          <w:t>DVYC-05-2023.pdf</w:t>
        </w:r>
      </w:hyperlink>
      <w:r w:rsidRPr="00D365BF">
        <w:rPr>
          <w:rFonts w:ascii="Palatino Linotype" w:eastAsia="Palatino Linotype" w:hAnsi="Palatino Linotype" w:cs="Palatino Linotype"/>
        </w:rPr>
        <w:t xml:space="preserve">”, el cual corresponde a la respuesta otorgada por el Jefe de Departamento de Verificación y Clausuras al requerimiento realizado por el </w:t>
      </w:r>
      <w:r w:rsidRPr="00D365BF">
        <w:rPr>
          <w:rFonts w:ascii="Palatino Linotype" w:eastAsia="Palatino Linotype" w:hAnsi="Palatino Linotype" w:cs="Palatino Linotype"/>
          <w:b/>
        </w:rPr>
        <w:t xml:space="preserve">Coordinador Jurídico adscrito a la Coordinación Municipal de Protección Civil y </w:t>
      </w:r>
      <w:r w:rsidRPr="00D365BF">
        <w:rPr>
          <w:rFonts w:ascii="Palatino Linotype" w:eastAsia="Palatino Linotype" w:hAnsi="Palatino Linotype" w:cs="Palatino Linotype"/>
          <w:b/>
        </w:rPr>
        <w:lastRenderedPageBreak/>
        <w:t>Bomberos, ambos del SUJETO OBLIGADO, mediante el cual informó que después de una búsqueda exhaustiva y razonable en los archivos de esta Departamento de Verificación y Clausuras no se encontró trámite alguno para la expedición de Dictamen de Condiciones de Seguridad por  lo que respecta al año 2022, respecto de los inmuebles:</w:t>
      </w:r>
    </w:p>
    <w:p w14:paraId="2E9DBEE3" w14:textId="77777777" w:rsidR="00443F9D" w:rsidRPr="00D365BF" w:rsidRDefault="00443F9D">
      <w:pPr>
        <w:spacing w:line="360" w:lineRule="auto"/>
        <w:jc w:val="both"/>
        <w:rPr>
          <w:rFonts w:ascii="Palatino Linotype" w:eastAsia="Palatino Linotype" w:hAnsi="Palatino Linotype" w:cs="Palatino Linotype"/>
        </w:rPr>
      </w:pPr>
    </w:p>
    <w:p w14:paraId="74B0D3BE"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B, lote 30 C y lote 30 D, Esquina González Aparicio.</w:t>
      </w:r>
    </w:p>
    <w:p w14:paraId="3EB81297"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calle Enrique de González Aparicio #5 Fraccionamiento Ciudad Satélite, en Naucalpan de Juárez, Estado de México</w:t>
      </w:r>
    </w:p>
    <w:p w14:paraId="36ADFA5B" w14:textId="77777777" w:rsidR="00443F9D" w:rsidRPr="00D365BF" w:rsidRDefault="00443F9D">
      <w:pPr>
        <w:spacing w:line="360" w:lineRule="auto"/>
        <w:jc w:val="both"/>
        <w:rPr>
          <w:rFonts w:ascii="Palatino Linotype" w:eastAsia="Palatino Linotype" w:hAnsi="Palatino Linotype" w:cs="Palatino Linotype"/>
        </w:rPr>
      </w:pPr>
    </w:p>
    <w:p w14:paraId="4B6A442F"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w:t>
      </w:r>
      <w:hyperlink r:id="rId10">
        <w:r w:rsidRPr="00D365BF">
          <w:rPr>
            <w:rFonts w:ascii="Palatino Linotype" w:eastAsia="Palatino Linotype" w:hAnsi="Palatino Linotype" w:cs="Palatino Linotype"/>
            <w:b/>
          </w:rPr>
          <w:t>CMPCYB-CJ-005-2023.pdf</w:t>
        </w:r>
      </w:hyperlink>
      <w:r w:rsidRPr="00D365BF">
        <w:rPr>
          <w:rFonts w:ascii="Palatino Linotype" w:eastAsia="Palatino Linotype" w:hAnsi="Palatino Linotype" w:cs="Palatino Linotype"/>
          <w:b/>
        </w:rPr>
        <w:t>”,</w:t>
      </w:r>
      <w:r w:rsidRPr="00D365BF">
        <w:rPr>
          <w:rFonts w:ascii="Palatino Linotype" w:eastAsia="Palatino Linotype" w:hAnsi="Palatino Linotype" w:cs="Palatino Linotype"/>
        </w:rPr>
        <w:t xml:space="preserve"> el cual contiene el número de oficio CMPCYB/CJ/005/2023, por medio del cual la Coordinación Municipal de Protección Civil y Bomberos del Ayuntamiento Naucalpan de Juárez, rindió su informe justificado por medio del cual informó que dentro del Departamento de Verificación y Clausuras no se encontró trámite alguno para la expedición de Dictamen de Condiciones de Seguridad por  lo que respecta al año 2022, solicitando que se confirme la declaración de inexistencia de la información solicitada por no obrar en los archivos de esta dependencia, para lo cual dice anexar el oficio número CJ/002/2023, DVYC/05/2023 y el acta de inexistencia del nueve de enero del 2023.</w:t>
      </w:r>
    </w:p>
    <w:p w14:paraId="46C691B8" w14:textId="77777777" w:rsidR="00443F9D" w:rsidRPr="00D365BF" w:rsidRDefault="00443F9D">
      <w:pPr>
        <w:spacing w:line="360" w:lineRule="auto"/>
        <w:jc w:val="both"/>
        <w:rPr>
          <w:rFonts w:ascii="Palatino Linotype" w:eastAsia="Palatino Linotype" w:hAnsi="Palatino Linotype" w:cs="Palatino Linotype"/>
        </w:rPr>
      </w:pPr>
    </w:p>
    <w:p w14:paraId="4AD12718"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w:t>
      </w:r>
      <w:hyperlink r:id="rId11">
        <w:r w:rsidRPr="00D365BF">
          <w:rPr>
            <w:rFonts w:ascii="Palatino Linotype" w:eastAsia="Palatino Linotype" w:hAnsi="Palatino Linotype" w:cs="Palatino Linotype"/>
          </w:rPr>
          <w:t>DGDYFE-02-2022.pdf</w:t>
        </w:r>
      </w:hyperlink>
      <w:r w:rsidRPr="00D365BF">
        <w:rPr>
          <w:rFonts w:ascii="Palatino Linotype" w:eastAsia="Palatino Linotype" w:hAnsi="Palatino Linotype" w:cs="Palatino Linotype"/>
        </w:rPr>
        <w:t xml:space="preserve">”, el cual contiene el número de oficio </w:t>
      </w:r>
      <w:proofErr w:type="spellStart"/>
      <w:r w:rsidRPr="00D365BF">
        <w:rPr>
          <w:rFonts w:ascii="Palatino Linotype" w:eastAsia="Palatino Linotype" w:hAnsi="Palatino Linotype" w:cs="Palatino Linotype"/>
        </w:rPr>
        <w:t>DGDyFE</w:t>
      </w:r>
      <w:proofErr w:type="spellEnd"/>
      <w:r w:rsidRPr="00D365BF">
        <w:rPr>
          <w:rFonts w:ascii="Palatino Linotype" w:eastAsia="Palatino Linotype" w:hAnsi="Palatino Linotype" w:cs="Palatino Linotype"/>
        </w:rPr>
        <w:t xml:space="preserve">/02/2022 por medio del cual la Dirección General de Desarrollo y Fomento Económico del Ayuntamiento Naucalpan de Juárez, informó que derivado de la búsqueda </w:t>
      </w:r>
      <w:r w:rsidRPr="00D365BF">
        <w:rPr>
          <w:rFonts w:ascii="Palatino Linotype" w:eastAsia="Palatino Linotype" w:hAnsi="Palatino Linotype" w:cs="Palatino Linotype"/>
        </w:rPr>
        <w:lastRenderedPageBreak/>
        <w:t>exhaustiva y razonable se encontró el expediente relacionado con los inmuebles ubicados en:</w:t>
      </w:r>
    </w:p>
    <w:p w14:paraId="54D5A919" w14:textId="77777777" w:rsidR="00443F9D" w:rsidRPr="00D365BF" w:rsidRDefault="00443F9D">
      <w:pPr>
        <w:spacing w:line="360" w:lineRule="auto"/>
        <w:jc w:val="both"/>
        <w:rPr>
          <w:rFonts w:ascii="Palatino Linotype" w:eastAsia="Palatino Linotype" w:hAnsi="Palatino Linotype" w:cs="Palatino Linotype"/>
        </w:rPr>
      </w:pPr>
    </w:p>
    <w:p w14:paraId="23C4F4B5" w14:textId="77777777" w:rsidR="00443F9D" w:rsidRPr="00D365BF" w:rsidRDefault="001B238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Calle Enrique </w:t>
      </w:r>
      <w:proofErr w:type="spellStart"/>
      <w:r w:rsidRPr="00D365BF">
        <w:rPr>
          <w:rFonts w:ascii="Palatino Linotype" w:eastAsia="Palatino Linotype" w:hAnsi="Palatino Linotype" w:cs="Palatino Linotype"/>
        </w:rPr>
        <w:t>Gtz</w:t>
      </w:r>
      <w:proofErr w:type="spellEnd"/>
      <w:r w:rsidRPr="00D365BF">
        <w:rPr>
          <w:rFonts w:ascii="Palatino Linotype" w:eastAsia="Palatino Linotype" w:hAnsi="Palatino Linotype" w:cs="Palatino Linotype"/>
        </w:rPr>
        <w:t xml:space="preserve">. Aparicio, esquina Alberto J. </w:t>
      </w:r>
      <w:proofErr w:type="spellStart"/>
      <w:r w:rsidRPr="00D365BF">
        <w:rPr>
          <w:rFonts w:ascii="Palatino Linotype" w:eastAsia="Palatino Linotype" w:hAnsi="Palatino Linotype" w:cs="Palatino Linotype"/>
        </w:rPr>
        <w:t>Panini</w:t>
      </w:r>
      <w:proofErr w:type="spellEnd"/>
      <w:r w:rsidRPr="00D365BF">
        <w:rPr>
          <w:rFonts w:ascii="Palatino Linotype" w:eastAsia="Palatino Linotype" w:hAnsi="Palatino Linotype" w:cs="Palatino Linotype"/>
        </w:rPr>
        <w:t xml:space="preserve"> #5, </w:t>
      </w:r>
      <w:proofErr w:type="spellStart"/>
      <w:r w:rsidRPr="00D365BF">
        <w:rPr>
          <w:rFonts w:ascii="Palatino Linotype" w:eastAsia="Palatino Linotype" w:hAnsi="Palatino Linotype" w:cs="Palatino Linotype"/>
        </w:rPr>
        <w:t>lte</w:t>
      </w:r>
      <w:proofErr w:type="spellEnd"/>
      <w:r w:rsidRPr="00D365BF">
        <w:rPr>
          <w:rFonts w:ascii="Palatino Linotype" w:eastAsia="Palatino Linotype" w:hAnsi="Palatino Linotype" w:cs="Palatino Linotype"/>
        </w:rPr>
        <w:t xml:space="preserve"> 30-B y 29-C, Manzana 1-A y 1, Colonia Ciudad Satélite en Naucalpan de Juárez Estado de México. </w:t>
      </w:r>
    </w:p>
    <w:p w14:paraId="55EC8850" w14:textId="77777777" w:rsidR="00443F9D" w:rsidRPr="00D365BF" w:rsidRDefault="00443F9D">
      <w:pPr>
        <w:spacing w:line="360" w:lineRule="auto"/>
        <w:jc w:val="both"/>
        <w:rPr>
          <w:rFonts w:ascii="Palatino Linotype" w:eastAsia="Palatino Linotype" w:hAnsi="Palatino Linotype" w:cs="Palatino Linotype"/>
        </w:rPr>
      </w:pPr>
    </w:p>
    <w:p w14:paraId="6E36469E"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Remitiendo para tal efecto, copia fotostática de la Licencia de Funcionamiento número de folio   1404, con fecha de emisión 6 de julio del año 2022, con vigencia al día 31 de diciembre del año 2022.</w:t>
      </w:r>
    </w:p>
    <w:p w14:paraId="33400845" w14:textId="77777777" w:rsidR="00443F9D" w:rsidRPr="00D365BF" w:rsidRDefault="00443F9D">
      <w:pPr>
        <w:spacing w:line="360" w:lineRule="auto"/>
        <w:jc w:val="both"/>
        <w:rPr>
          <w:rFonts w:ascii="Palatino Linotype" w:eastAsia="Palatino Linotype" w:hAnsi="Palatino Linotype" w:cs="Palatino Linotype"/>
        </w:rPr>
      </w:pPr>
    </w:p>
    <w:p w14:paraId="3A8A160F"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En relación a los inmuebles ubicados en:</w:t>
      </w:r>
    </w:p>
    <w:p w14:paraId="5E7D12DE" w14:textId="77777777" w:rsidR="00443F9D" w:rsidRPr="00D365BF" w:rsidRDefault="00443F9D">
      <w:pPr>
        <w:spacing w:line="360" w:lineRule="auto"/>
        <w:jc w:val="both"/>
        <w:rPr>
          <w:rFonts w:ascii="Palatino Linotype" w:eastAsia="Palatino Linotype" w:hAnsi="Palatino Linotype" w:cs="Palatino Linotype"/>
        </w:rPr>
      </w:pPr>
    </w:p>
    <w:p w14:paraId="7F49AB2E"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C y lote 30 D, Esquina González Aparicio y calle Enrique de González Aparicio #5 Fraccionamiento Ciudad Satélite, en Naucalpan de Juárez, Estado de México</w:t>
      </w:r>
    </w:p>
    <w:p w14:paraId="4839106D" w14:textId="77777777" w:rsidR="00443F9D" w:rsidRPr="00D365BF" w:rsidRDefault="00443F9D">
      <w:pPr>
        <w:spacing w:line="360" w:lineRule="auto"/>
        <w:jc w:val="both"/>
        <w:rPr>
          <w:rFonts w:ascii="Palatino Linotype" w:eastAsia="Palatino Linotype" w:hAnsi="Palatino Linotype" w:cs="Palatino Linotype"/>
        </w:rPr>
      </w:pPr>
    </w:p>
    <w:p w14:paraId="5038043B" w14:textId="77777777" w:rsidR="00443F9D" w:rsidRPr="00D365BF" w:rsidRDefault="001B2381">
      <w:pPr>
        <w:spacing w:line="360" w:lineRule="auto"/>
        <w:jc w:val="both"/>
        <w:rPr>
          <w:rFonts w:ascii="Palatino Linotype" w:eastAsia="Palatino Linotype" w:hAnsi="Palatino Linotype" w:cs="Palatino Linotype"/>
          <w:b/>
        </w:rPr>
      </w:pPr>
      <w:r w:rsidRPr="00D365BF">
        <w:rPr>
          <w:rFonts w:ascii="Palatino Linotype" w:eastAsia="Palatino Linotype" w:hAnsi="Palatino Linotype" w:cs="Palatino Linotype"/>
          <w:b/>
        </w:rPr>
        <w:t xml:space="preserve">Informó que después de una búsqueda minuciosa y razonable en los archivos físicos y electrónicos que resguarda esta Dirección General de Desarrollo y Fomento Económico del Ayuntamiento Naucalpan de Juárez, así como las áreas que lo conforman, no se cuenta con licencia de funcionamiento generada por esta Dirección General en el domicilio y lotes que se hacen mención.  </w:t>
      </w:r>
    </w:p>
    <w:p w14:paraId="10073516" w14:textId="77777777" w:rsidR="00443F9D" w:rsidRPr="00D365BF" w:rsidRDefault="00443F9D">
      <w:pPr>
        <w:spacing w:line="360" w:lineRule="auto"/>
        <w:jc w:val="both"/>
        <w:rPr>
          <w:rFonts w:ascii="Palatino Linotype" w:eastAsia="Palatino Linotype" w:hAnsi="Palatino Linotype" w:cs="Palatino Linotype"/>
          <w:b/>
        </w:rPr>
      </w:pPr>
    </w:p>
    <w:p w14:paraId="7F8C44CF" w14:textId="77777777" w:rsidR="00443F9D" w:rsidRPr="00D365BF" w:rsidRDefault="001B2381">
      <w:pPr>
        <w:spacing w:line="360" w:lineRule="auto"/>
        <w:jc w:val="both"/>
        <w:rPr>
          <w:rFonts w:ascii="Palatino Linotype" w:eastAsia="Palatino Linotype" w:hAnsi="Palatino Linotype" w:cs="Palatino Linotype"/>
          <w:b/>
        </w:rPr>
      </w:pPr>
      <w:r w:rsidRPr="00D365BF">
        <w:rPr>
          <w:rFonts w:ascii="Palatino Linotype" w:eastAsia="Palatino Linotype" w:hAnsi="Palatino Linotype" w:cs="Palatino Linotype"/>
          <w:b/>
        </w:rPr>
        <w:t xml:space="preserve">Por otra </w:t>
      </w:r>
      <w:proofErr w:type="gramStart"/>
      <w:r w:rsidRPr="00D365BF">
        <w:rPr>
          <w:rFonts w:ascii="Palatino Linotype" w:eastAsia="Palatino Linotype" w:hAnsi="Palatino Linotype" w:cs="Palatino Linotype"/>
          <w:b/>
        </w:rPr>
        <w:t>parte</w:t>
      </w:r>
      <w:proofErr w:type="gramEnd"/>
      <w:r w:rsidRPr="00D365BF">
        <w:rPr>
          <w:rFonts w:ascii="Palatino Linotype" w:eastAsia="Palatino Linotype" w:hAnsi="Palatino Linotype" w:cs="Palatino Linotype"/>
          <w:b/>
        </w:rPr>
        <w:t xml:space="preserve"> señaló:</w:t>
      </w:r>
    </w:p>
    <w:p w14:paraId="4338C5C4" w14:textId="77777777" w:rsidR="00443F9D" w:rsidRPr="00D365BF" w:rsidRDefault="00443F9D">
      <w:pPr>
        <w:spacing w:line="360" w:lineRule="auto"/>
        <w:jc w:val="both"/>
      </w:pPr>
    </w:p>
    <w:p w14:paraId="7407C0C0" w14:textId="77777777" w:rsidR="00443F9D" w:rsidRPr="00D365BF" w:rsidRDefault="001B2381">
      <w:pPr>
        <w:spacing w:line="360" w:lineRule="auto"/>
        <w:jc w:val="both"/>
        <w:rPr>
          <w:rFonts w:ascii="Palatino Linotype" w:eastAsia="Palatino Linotype" w:hAnsi="Palatino Linotype" w:cs="Palatino Linotype"/>
          <w:b/>
        </w:rPr>
      </w:pPr>
      <w:r w:rsidRPr="00D365BF">
        <w:rPr>
          <w:noProof/>
          <w:lang w:val="es-MX"/>
        </w:rPr>
        <w:drawing>
          <wp:inline distT="0" distB="0" distL="0" distR="0" wp14:anchorId="3982D3FF" wp14:editId="6B0BA27E">
            <wp:extent cx="5517522" cy="1689891"/>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41271" t="47590" r="26460" b="27568"/>
                    <a:stretch>
                      <a:fillRect/>
                    </a:stretch>
                  </pic:blipFill>
                  <pic:spPr>
                    <a:xfrm>
                      <a:off x="0" y="0"/>
                      <a:ext cx="5517522" cy="1689891"/>
                    </a:xfrm>
                    <a:prstGeom prst="rect">
                      <a:avLst/>
                    </a:prstGeom>
                    <a:ln/>
                  </pic:spPr>
                </pic:pic>
              </a:graphicData>
            </a:graphic>
          </wp:inline>
        </w:drawing>
      </w:r>
    </w:p>
    <w:p w14:paraId="687A69B4"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En cuanto a la licencia de funcionamiento cabe señalar que dicha Dirección general la remitió en versión pública, clasificando como confidencial los datos concernientes a nombre personal de las personas físicas, registro federal de contribuyentes, nombre y firma quien recibió la licencia en cuestión, solicitando que se convocara al Comité de Transparencia, para ello adjuntó un cuadro de clasificación y la propia licencia de funcionamiento número 1404.</w:t>
      </w:r>
    </w:p>
    <w:p w14:paraId="3B360438" w14:textId="77777777" w:rsidR="00443F9D" w:rsidRPr="00D365BF" w:rsidRDefault="00443F9D">
      <w:pPr>
        <w:spacing w:line="360" w:lineRule="auto"/>
        <w:jc w:val="both"/>
        <w:rPr>
          <w:rFonts w:ascii="Palatino Linotype" w:eastAsia="Palatino Linotype" w:hAnsi="Palatino Linotype" w:cs="Palatino Linotype"/>
        </w:rPr>
      </w:pPr>
    </w:p>
    <w:p w14:paraId="224CAC6A"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u w:val="single"/>
        </w:rPr>
        <w:t>“</w:t>
      </w:r>
      <w:hyperlink r:id="rId13">
        <w:r w:rsidRPr="00D365BF">
          <w:rPr>
            <w:rFonts w:ascii="Palatino Linotype" w:eastAsia="Palatino Linotype" w:hAnsi="Palatino Linotype" w:cs="Palatino Linotype"/>
            <w:b/>
            <w:u w:val="single"/>
          </w:rPr>
          <w:t>DGMA-1216-2022.pdf</w:t>
        </w:r>
      </w:hyperlink>
      <w:r w:rsidRPr="00D365BF">
        <w:rPr>
          <w:rFonts w:ascii="Palatino Linotype" w:eastAsia="Palatino Linotype" w:hAnsi="Palatino Linotype" w:cs="Palatino Linotype"/>
          <w:b/>
          <w:u w:val="single"/>
        </w:rPr>
        <w:t>”</w:t>
      </w:r>
      <w:r w:rsidRPr="00D365BF">
        <w:rPr>
          <w:rFonts w:ascii="Palatino Linotype" w:eastAsia="Palatino Linotype" w:hAnsi="Palatino Linotype" w:cs="Palatino Linotype"/>
        </w:rPr>
        <w:t xml:space="preserve">, el cual contiene el oficio número DGMA/1216/2022, por medio del cual el Director General del Medio Ambiente informó al Titular de la Unidad de Transparencia y Acceso a la Información Pública, ambos del Ayuntamiento Naucalpan de Juárez, sobre la Licencia de impacto ambiental, señalando que dicho documento se elabora en la Dirección General de Ordenamiento e Impacto Ambiental </w:t>
      </w:r>
      <w:r w:rsidRPr="00D365BF">
        <w:rPr>
          <w:rFonts w:ascii="Palatino Linotype" w:eastAsia="Palatino Linotype" w:hAnsi="Palatino Linotype" w:cs="Palatino Linotype"/>
          <w:b/>
          <w:u w:val="single"/>
        </w:rPr>
        <w:t xml:space="preserve">de la Secretaría de Medio Ambiente del Estado de México, </w:t>
      </w:r>
      <w:r w:rsidRPr="00D365BF">
        <w:rPr>
          <w:rFonts w:ascii="Palatino Linotype" w:eastAsia="Palatino Linotype" w:hAnsi="Palatino Linotype" w:cs="Palatino Linotype"/>
        </w:rPr>
        <w:t xml:space="preserve">quien a su vez se la turna, </w:t>
      </w:r>
      <w:r w:rsidRPr="00D365BF">
        <w:rPr>
          <w:rFonts w:ascii="Palatino Linotype" w:eastAsia="Palatino Linotype" w:hAnsi="Palatino Linotype" w:cs="Palatino Linotype"/>
          <w:b/>
        </w:rPr>
        <w:t>en caso de ser necesario</w:t>
      </w:r>
      <w:r w:rsidRPr="00D365BF">
        <w:rPr>
          <w:rFonts w:ascii="Palatino Linotype" w:eastAsia="Palatino Linotype" w:hAnsi="Palatino Linotype" w:cs="Palatino Linotype"/>
        </w:rPr>
        <w:t xml:space="preserve">, a la Dirección General de Desarrollo Urbano, por lo cual esta Dirección General no cuenta con ningún documento al respecto. </w:t>
      </w:r>
      <w:proofErr w:type="gramStart"/>
      <w:r w:rsidRPr="00D365BF">
        <w:rPr>
          <w:rFonts w:ascii="Palatino Linotype" w:eastAsia="Palatino Linotype" w:hAnsi="Palatino Linotype" w:cs="Palatino Linotype"/>
        </w:rPr>
        <w:t>Asimismo</w:t>
      </w:r>
      <w:proofErr w:type="gramEnd"/>
      <w:r w:rsidRPr="00D365BF">
        <w:rPr>
          <w:rFonts w:ascii="Palatino Linotype" w:eastAsia="Palatino Linotype" w:hAnsi="Palatino Linotype" w:cs="Palatino Linotype"/>
        </w:rPr>
        <w:t xml:space="preserve"> señaló que es precisó dirigirse a la Dirección de Desarrollo Urbano para solicitarlo. </w:t>
      </w:r>
    </w:p>
    <w:p w14:paraId="727F30B4" w14:textId="77777777" w:rsidR="00443F9D" w:rsidRPr="00D365BF" w:rsidRDefault="00443F9D">
      <w:pPr>
        <w:spacing w:line="360" w:lineRule="auto"/>
        <w:jc w:val="both"/>
        <w:rPr>
          <w:rFonts w:ascii="Palatino Linotype" w:eastAsia="Palatino Linotype" w:hAnsi="Palatino Linotype" w:cs="Palatino Linotype"/>
        </w:rPr>
      </w:pPr>
    </w:p>
    <w:p w14:paraId="147C4D33"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w:t>
      </w:r>
      <w:hyperlink r:id="rId14">
        <w:r w:rsidRPr="00D365BF">
          <w:rPr>
            <w:rFonts w:ascii="Palatino Linotype" w:eastAsia="Palatino Linotype" w:hAnsi="Palatino Linotype" w:cs="Palatino Linotype"/>
          </w:rPr>
          <w:t>acuerdo CT-NAU--ACTA-ORD-003-2023-005.pdf</w:t>
        </w:r>
      </w:hyperlink>
      <w:r w:rsidRPr="00D365BF">
        <w:rPr>
          <w:rFonts w:ascii="Palatino Linotype" w:eastAsia="Palatino Linotype" w:hAnsi="Palatino Linotype" w:cs="Palatino Linotype"/>
        </w:rPr>
        <w:t xml:space="preserve">”, el cual contiene el acuerdo número CT/NAU/ACTA/ORD/003/2023/005, dictado en la tercera sesión ordinaria del año 2023 del Comité de Transparencia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por medio del cual se aprobó la clasificación como confidencial de los datos personales contenidos en las licencias de uso de suelo LUS/0734/2019 y LUS/2008/2020, para dar contestación a la solicitud de acceso a la información pública, constante en seis foja. </w:t>
      </w:r>
    </w:p>
    <w:p w14:paraId="7FAA4EE7" w14:textId="77777777" w:rsidR="00443F9D" w:rsidRPr="00D365BF" w:rsidRDefault="00443F9D">
      <w:pPr>
        <w:spacing w:line="360" w:lineRule="auto"/>
        <w:jc w:val="both"/>
        <w:rPr>
          <w:rFonts w:ascii="Palatino Linotype" w:eastAsia="Palatino Linotype" w:hAnsi="Palatino Linotype" w:cs="Palatino Linotype"/>
        </w:rPr>
      </w:pPr>
    </w:p>
    <w:p w14:paraId="43A1E8A8" w14:textId="77777777" w:rsidR="00443F9D" w:rsidRPr="00D365BF" w:rsidRDefault="00D3531C">
      <w:pPr>
        <w:spacing w:line="360" w:lineRule="auto"/>
        <w:jc w:val="both"/>
        <w:rPr>
          <w:rFonts w:ascii="Palatino Linotype" w:eastAsia="Palatino Linotype" w:hAnsi="Palatino Linotype" w:cs="Palatino Linotype"/>
        </w:rPr>
      </w:pPr>
      <w:hyperlink r:id="rId15">
        <w:r w:rsidR="001B2381" w:rsidRPr="00D365BF">
          <w:rPr>
            <w:rFonts w:ascii="Palatino Linotype" w:eastAsia="Palatino Linotype" w:hAnsi="Palatino Linotype" w:cs="Palatino Linotype"/>
          </w:rPr>
          <w:t xml:space="preserve">“Acta 3 </w:t>
        </w:r>
        <w:proofErr w:type="spellStart"/>
        <w:r w:rsidR="001B2381" w:rsidRPr="00D365BF">
          <w:rPr>
            <w:rFonts w:ascii="Palatino Linotype" w:eastAsia="Palatino Linotype" w:hAnsi="Palatino Linotype" w:cs="Palatino Linotype"/>
          </w:rPr>
          <w:t>ra</w:t>
        </w:r>
        <w:proofErr w:type="spellEnd"/>
        <w:r w:rsidR="001B2381" w:rsidRPr="00D365BF">
          <w:rPr>
            <w:rFonts w:ascii="Palatino Linotype" w:eastAsia="Palatino Linotype" w:hAnsi="Palatino Linotype" w:cs="Palatino Linotype"/>
          </w:rPr>
          <w:t xml:space="preserve"> </w:t>
        </w:r>
        <w:proofErr w:type="spellStart"/>
        <w:r w:rsidR="001B2381" w:rsidRPr="00D365BF">
          <w:rPr>
            <w:rFonts w:ascii="Palatino Linotype" w:eastAsia="Palatino Linotype" w:hAnsi="Palatino Linotype" w:cs="Palatino Linotype"/>
          </w:rPr>
          <w:t>Sesion</w:t>
        </w:r>
        <w:proofErr w:type="spellEnd"/>
        <w:r w:rsidR="001B2381" w:rsidRPr="00D365BF">
          <w:rPr>
            <w:rFonts w:ascii="Palatino Linotype" w:eastAsia="Palatino Linotype" w:hAnsi="Palatino Linotype" w:cs="Palatino Linotype"/>
          </w:rPr>
          <w:t xml:space="preserve"> Ordinaria 2023.pdf</w:t>
        </w:r>
      </w:hyperlink>
      <w:r w:rsidR="001B2381" w:rsidRPr="00D365BF">
        <w:rPr>
          <w:rFonts w:ascii="Palatino Linotype" w:eastAsia="Palatino Linotype" w:hAnsi="Palatino Linotype" w:cs="Palatino Linotype"/>
        </w:rPr>
        <w:t xml:space="preserve">”, el cual contiene el acta de la tercera sesión ordinaria del año 2023 del Comité de Transparencia del </w:t>
      </w:r>
      <w:r w:rsidR="001B2381" w:rsidRPr="00D365BF">
        <w:rPr>
          <w:rFonts w:ascii="Palatino Linotype" w:eastAsia="Palatino Linotype" w:hAnsi="Palatino Linotype" w:cs="Palatino Linotype"/>
          <w:b/>
        </w:rPr>
        <w:t xml:space="preserve">SUJETO OBLIGADO, </w:t>
      </w:r>
      <w:r w:rsidR="001B2381" w:rsidRPr="00D365BF">
        <w:rPr>
          <w:rFonts w:ascii="Palatino Linotype" w:eastAsia="Palatino Linotype" w:hAnsi="Palatino Linotype" w:cs="Palatino Linotype"/>
        </w:rPr>
        <w:t xml:space="preserve">por medio del cual se aprobó la clasificación como confidencial de los datos personales contenidos en las licencias de uso de suelo LUS/0734/2019 y LUS/2008/2020, para dar contestación a la solicitud de acceso a la información pública. </w:t>
      </w:r>
    </w:p>
    <w:p w14:paraId="35674EDF" w14:textId="77777777" w:rsidR="00443F9D" w:rsidRPr="00D365BF" w:rsidRDefault="00443F9D">
      <w:pPr>
        <w:spacing w:line="360" w:lineRule="auto"/>
        <w:jc w:val="both"/>
        <w:rPr>
          <w:rFonts w:ascii="Palatino Linotype" w:eastAsia="Palatino Linotype" w:hAnsi="Palatino Linotype" w:cs="Palatino Linotype"/>
        </w:rPr>
      </w:pPr>
    </w:p>
    <w:p w14:paraId="574992AF"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w:t>
      </w:r>
      <w:hyperlink r:id="rId16">
        <w:r w:rsidRPr="00D365BF">
          <w:rPr>
            <w:rFonts w:ascii="Palatino Linotype" w:eastAsia="Palatino Linotype" w:hAnsi="Palatino Linotype" w:cs="Palatino Linotype"/>
          </w:rPr>
          <w:t>RR 17419_Censurado.pdf</w:t>
        </w:r>
      </w:hyperlink>
      <w:r w:rsidRPr="00D365BF">
        <w:rPr>
          <w:rFonts w:ascii="Palatino Linotype" w:eastAsia="Palatino Linotype" w:hAnsi="Palatino Linotype" w:cs="Palatino Linotype"/>
        </w:rPr>
        <w:t>”, el cual contiene las licencias de uso de suelo número LUS/0734/2019 y LUS/2008/2020, en versión pública.</w:t>
      </w:r>
    </w:p>
    <w:p w14:paraId="3C8D1CF7" w14:textId="77777777" w:rsidR="00443F9D" w:rsidRPr="00D365BF" w:rsidRDefault="00443F9D">
      <w:pPr>
        <w:spacing w:line="360" w:lineRule="auto"/>
        <w:jc w:val="both"/>
        <w:rPr>
          <w:rFonts w:ascii="Palatino Linotype" w:eastAsia="Palatino Linotype" w:hAnsi="Palatino Linotype" w:cs="Palatino Linotype"/>
        </w:rPr>
      </w:pPr>
    </w:p>
    <w:p w14:paraId="0C9CFDF6"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w:t>
      </w:r>
      <w:hyperlink r:id="rId17">
        <w:r w:rsidRPr="00D365BF">
          <w:rPr>
            <w:rFonts w:ascii="Palatino Linotype" w:eastAsia="Palatino Linotype" w:hAnsi="Palatino Linotype" w:cs="Palatino Linotype"/>
          </w:rPr>
          <w:t>DGDYFE-208-2023.pdf</w:t>
        </w:r>
      </w:hyperlink>
      <w:r w:rsidRPr="00D365BF">
        <w:rPr>
          <w:rFonts w:ascii="Palatino Linotype" w:eastAsia="Palatino Linotype" w:hAnsi="Palatino Linotype" w:cs="Palatino Linotype"/>
        </w:rPr>
        <w:t xml:space="preserve">”, el cual contiene el número de oficio </w:t>
      </w:r>
      <w:proofErr w:type="spellStart"/>
      <w:r w:rsidRPr="00D365BF">
        <w:rPr>
          <w:rFonts w:ascii="Palatino Linotype" w:eastAsia="Palatino Linotype" w:hAnsi="Palatino Linotype" w:cs="Palatino Linotype"/>
        </w:rPr>
        <w:t>DGDyFE</w:t>
      </w:r>
      <w:proofErr w:type="spellEnd"/>
      <w:r w:rsidRPr="00D365BF">
        <w:rPr>
          <w:rFonts w:ascii="Palatino Linotype" w:eastAsia="Palatino Linotype" w:hAnsi="Palatino Linotype" w:cs="Palatino Linotype"/>
        </w:rPr>
        <w:t>/208/2022 por medio del cual la Dirección General de Desarrollo y Fomento Económico del Ayuntamiento Naucalpan de Juárez, remitió la licencia de funcionamiento número de folio 1404 en versión pública, respecto del inmueble ubicado en:</w:t>
      </w:r>
    </w:p>
    <w:p w14:paraId="7DC76BC1" w14:textId="77777777" w:rsidR="00443F9D" w:rsidRPr="00D365BF" w:rsidRDefault="00443F9D">
      <w:pPr>
        <w:spacing w:line="360" w:lineRule="auto"/>
        <w:jc w:val="both"/>
        <w:rPr>
          <w:rFonts w:ascii="Palatino Linotype" w:eastAsia="Palatino Linotype" w:hAnsi="Palatino Linotype" w:cs="Palatino Linotype"/>
        </w:rPr>
      </w:pPr>
    </w:p>
    <w:p w14:paraId="667DBD74" w14:textId="77777777" w:rsidR="00443F9D" w:rsidRPr="00D365BF" w:rsidRDefault="001B238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 lote 30ª, lote 30-C y lote 30-D, esquina González y calle González Aparicio #</w:t>
      </w:r>
      <w:proofErr w:type="gramStart"/>
      <w:r w:rsidRPr="00D365BF">
        <w:rPr>
          <w:rFonts w:ascii="Palatino Linotype" w:eastAsia="Palatino Linotype" w:hAnsi="Palatino Linotype" w:cs="Palatino Linotype"/>
        </w:rPr>
        <w:t>5,  fraccionamiento</w:t>
      </w:r>
      <w:proofErr w:type="gramEnd"/>
      <w:r w:rsidRPr="00D365BF">
        <w:rPr>
          <w:rFonts w:ascii="Palatino Linotype" w:eastAsia="Palatino Linotype" w:hAnsi="Palatino Linotype" w:cs="Palatino Linotype"/>
        </w:rPr>
        <w:t xml:space="preserve"> Ciudad Satélite en Naucalpan de Juárez Estado de México. </w:t>
      </w:r>
    </w:p>
    <w:p w14:paraId="00D9EC2D"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 xml:space="preserve">Los cuales se determinó poner a la vista de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sin que hiciera manifestación alguna. </w:t>
      </w:r>
    </w:p>
    <w:p w14:paraId="43463671" w14:textId="77777777" w:rsidR="00443F9D" w:rsidRPr="00D365BF" w:rsidRDefault="00443F9D">
      <w:pPr>
        <w:widowControl w:val="0"/>
        <w:spacing w:line="360" w:lineRule="auto"/>
        <w:jc w:val="both"/>
        <w:rPr>
          <w:rFonts w:ascii="Palatino Linotype" w:eastAsia="Palatino Linotype" w:hAnsi="Palatino Linotype" w:cs="Palatino Linotype"/>
        </w:rPr>
      </w:pPr>
    </w:p>
    <w:p w14:paraId="77A35A73" w14:textId="77777777" w:rsidR="00443F9D" w:rsidRPr="00D365BF" w:rsidRDefault="001B2381">
      <w:pPr>
        <w:widowControl w:val="0"/>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7</w:t>
      </w:r>
      <w:r w:rsidRPr="00D365BF">
        <w:rPr>
          <w:rFonts w:ascii="Palatino Linotype" w:eastAsia="Palatino Linotype" w:hAnsi="Palatino Linotype" w:cs="Palatino Linotype"/>
        </w:rPr>
        <w:t xml:space="preserve">. </w:t>
      </w:r>
      <w:r w:rsidRPr="00D365BF">
        <w:rPr>
          <w:rFonts w:ascii="Palatino Linotype" w:eastAsia="Palatino Linotype" w:hAnsi="Palatino Linotype" w:cs="Palatino Linotype"/>
          <w:b/>
        </w:rPr>
        <w:t>Ampliación del plazo.</w:t>
      </w:r>
      <w:r w:rsidRPr="00D365BF">
        <w:rPr>
          <w:rFonts w:ascii="Palatino Linotype" w:eastAsia="Palatino Linotype" w:hAnsi="Palatino Linotype" w:cs="Palatino Linotype"/>
        </w:rPr>
        <w:t xml:space="preserve"> En fecha nueve de agosto del año dos mil veintitrés, con fundamento en el artículo 181, párrafo tercero de la Ley de Transparencia y Acceso a la Información Pública del Estado de México y Municipios, se acordó la ampliación del plazo para su resolución.</w:t>
      </w:r>
    </w:p>
    <w:p w14:paraId="50D1EB6E" w14:textId="77777777" w:rsidR="00443F9D" w:rsidRPr="00D365BF" w:rsidRDefault="00443F9D">
      <w:pPr>
        <w:widowControl w:val="0"/>
        <w:spacing w:line="360" w:lineRule="auto"/>
        <w:jc w:val="both"/>
        <w:rPr>
          <w:rFonts w:ascii="Palatino Linotype" w:eastAsia="Palatino Linotype" w:hAnsi="Palatino Linotype" w:cs="Palatino Linotype"/>
        </w:rPr>
      </w:pPr>
    </w:p>
    <w:p w14:paraId="2041CC54" w14:textId="77777777" w:rsidR="00443F9D" w:rsidRPr="00D365BF" w:rsidRDefault="001B2381">
      <w:pPr>
        <w:widowControl w:val="0"/>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1748858A" w14:textId="77777777" w:rsidR="00443F9D" w:rsidRPr="00D365BF" w:rsidRDefault="00443F9D">
      <w:pPr>
        <w:widowControl w:val="0"/>
        <w:spacing w:line="360" w:lineRule="auto"/>
        <w:jc w:val="both"/>
        <w:rPr>
          <w:rFonts w:ascii="Palatino Linotype" w:eastAsia="Palatino Linotype" w:hAnsi="Palatino Linotype" w:cs="Palatino Linotype"/>
        </w:rPr>
      </w:pPr>
    </w:p>
    <w:p w14:paraId="5437BC80"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9474B45" w14:textId="77777777" w:rsidR="00443F9D" w:rsidRPr="00D365BF" w:rsidRDefault="00443F9D">
      <w:pPr>
        <w:spacing w:line="360" w:lineRule="auto"/>
        <w:jc w:val="both"/>
        <w:rPr>
          <w:rFonts w:ascii="Palatino Linotype" w:eastAsia="Palatino Linotype" w:hAnsi="Palatino Linotype" w:cs="Palatino Linotype"/>
        </w:rPr>
      </w:pPr>
    </w:p>
    <w:p w14:paraId="3F1F8EED"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BAF37D" w14:textId="77777777" w:rsidR="00443F9D" w:rsidRPr="00D365BF" w:rsidRDefault="00443F9D">
      <w:pPr>
        <w:spacing w:line="360" w:lineRule="auto"/>
        <w:jc w:val="both"/>
        <w:rPr>
          <w:rFonts w:ascii="Palatino Linotype" w:eastAsia="Palatino Linotype" w:hAnsi="Palatino Linotype" w:cs="Palatino Linotype"/>
        </w:rPr>
      </w:pPr>
    </w:p>
    <w:p w14:paraId="771BD0A2"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11FC8F9" w14:textId="77777777" w:rsidR="00443F9D" w:rsidRPr="00D365BF" w:rsidRDefault="00443F9D">
      <w:pPr>
        <w:spacing w:line="360" w:lineRule="auto"/>
        <w:jc w:val="both"/>
        <w:rPr>
          <w:rFonts w:ascii="Palatino Linotype" w:eastAsia="Palatino Linotype" w:hAnsi="Palatino Linotype" w:cs="Palatino Linotype"/>
        </w:rPr>
      </w:pPr>
    </w:p>
    <w:p w14:paraId="3B6D9E26" w14:textId="77777777" w:rsidR="00443F9D" w:rsidRPr="00D365BF" w:rsidRDefault="001B2381">
      <w:pPr>
        <w:spacing w:line="360" w:lineRule="auto"/>
        <w:jc w:val="both"/>
        <w:rPr>
          <w:rFonts w:ascii="Palatino Linotype" w:eastAsia="Palatino Linotype" w:hAnsi="Palatino Linotype" w:cs="Palatino Linotype"/>
          <w:strike/>
        </w:rPr>
      </w:pPr>
      <w:r w:rsidRPr="00D365B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758D94A" w14:textId="77777777" w:rsidR="00443F9D" w:rsidRPr="00D365BF" w:rsidRDefault="00443F9D">
      <w:pPr>
        <w:spacing w:line="360" w:lineRule="auto"/>
        <w:jc w:val="both"/>
        <w:rPr>
          <w:rFonts w:ascii="Palatino Linotype" w:eastAsia="Palatino Linotype" w:hAnsi="Palatino Linotype" w:cs="Palatino Linotype"/>
        </w:rPr>
      </w:pPr>
    </w:p>
    <w:p w14:paraId="2694EE1C" w14:textId="77777777" w:rsidR="00443F9D" w:rsidRPr="00D365BF" w:rsidRDefault="001B2381">
      <w:pPr>
        <w:numPr>
          <w:ilvl w:val="0"/>
          <w:numId w:val="1"/>
        </w:numPr>
        <w:ind w:left="851"/>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A7F7653" w14:textId="77777777" w:rsidR="00443F9D" w:rsidRPr="00D365BF" w:rsidRDefault="00443F9D">
      <w:pPr>
        <w:ind w:left="851" w:hanging="360"/>
        <w:jc w:val="both"/>
        <w:rPr>
          <w:rFonts w:ascii="Palatino Linotype" w:eastAsia="Palatino Linotype" w:hAnsi="Palatino Linotype" w:cs="Palatino Linotype"/>
        </w:rPr>
      </w:pPr>
    </w:p>
    <w:p w14:paraId="46EB12F0" w14:textId="77777777" w:rsidR="00443F9D" w:rsidRPr="00D365BF" w:rsidRDefault="001B2381">
      <w:pPr>
        <w:numPr>
          <w:ilvl w:val="0"/>
          <w:numId w:val="1"/>
        </w:numPr>
        <w:ind w:left="851"/>
        <w:jc w:val="both"/>
        <w:rPr>
          <w:rFonts w:ascii="Palatino Linotype" w:eastAsia="Palatino Linotype" w:hAnsi="Palatino Linotype" w:cs="Palatino Linotype"/>
        </w:rPr>
      </w:pPr>
      <w:r w:rsidRPr="00D365BF">
        <w:rPr>
          <w:rFonts w:ascii="Palatino Linotype" w:eastAsia="Palatino Linotype" w:hAnsi="Palatino Linotype" w:cs="Palatino Linotype"/>
        </w:rPr>
        <w:t>Actividad Procesal del interesado. Acciones u omisiones del interesado.</w:t>
      </w:r>
    </w:p>
    <w:p w14:paraId="43425149" w14:textId="77777777" w:rsidR="00443F9D" w:rsidRPr="00D365BF" w:rsidRDefault="00443F9D">
      <w:pPr>
        <w:ind w:left="851" w:hanging="360"/>
        <w:jc w:val="both"/>
        <w:rPr>
          <w:rFonts w:ascii="Palatino Linotype" w:eastAsia="Palatino Linotype" w:hAnsi="Palatino Linotype" w:cs="Palatino Linotype"/>
        </w:rPr>
      </w:pPr>
    </w:p>
    <w:p w14:paraId="62353E07" w14:textId="77777777" w:rsidR="00443F9D" w:rsidRPr="00D365BF" w:rsidRDefault="001B2381">
      <w:pPr>
        <w:numPr>
          <w:ilvl w:val="0"/>
          <w:numId w:val="1"/>
        </w:numPr>
        <w:ind w:left="851"/>
        <w:jc w:val="both"/>
        <w:rPr>
          <w:rFonts w:ascii="Palatino Linotype" w:eastAsia="Palatino Linotype" w:hAnsi="Palatino Linotype" w:cs="Palatino Linotype"/>
        </w:rPr>
      </w:pPr>
      <w:r w:rsidRPr="00D365BF">
        <w:rPr>
          <w:rFonts w:ascii="Palatino Linotype" w:eastAsia="Palatino Linotype" w:hAnsi="Palatino Linotype" w:cs="Palatino Linotype"/>
        </w:rPr>
        <w:t>Conducta de la Autoridad: Las Acciones u omisiones realizadas en el procedimiento. Así como si la autoridad actuó con la debida diligencia.</w:t>
      </w:r>
    </w:p>
    <w:p w14:paraId="2F996A96" w14:textId="77777777" w:rsidR="00443F9D" w:rsidRPr="00D365BF" w:rsidRDefault="00443F9D">
      <w:pPr>
        <w:ind w:left="851" w:hanging="360"/>
        <w:rPr>
          <w:rFonts w:ascii="Palatino Linotype" w:eastAsia="Palatino Linotype" w:hAnsi="Palatino Linotype" w:cs="Palatino Linotype"/>
        </w:rPr>
      </w:pPr>
    </w:p>
    <w:p w14:paraId="2B9AC061" w14:textId="77777777" w:rsidR="00443F9D" w:rsidRPr="00D365BF" w:rsidRDefault="001B2381">
      <w:pPr>
        <w:ind w:left="851" w:hanging="360"/>
        <w:jc w:val="both"/>
        <w:rPr>
          <w:rFonts w:ascii="Palatino Linotype" w:eastAsia="Palatino Linotype" w:hAnsi="Palatino Linotype" w:cs="Palatino Linotype"/>
        </w:rPr>
      </w:pPr>
      <w:r w:rsidRPr="00D365BF">
        <w:rPr>
          <w:rFonts w:ascii="Palatino Linotype" w:eastAsia="Palatino Linotype" w:hAnsi="Palatino Linotype" w:cs="Palatino Linotype"/>
        </w:rPr>
        <w:t>d) La afectación generada en la situación jurídica de la persona involucrada en el proceso: Violación a sus derechos humanos.</w:t>
      </w:r>
    </w:p>
    <w:p w14:paraId="6AD31271" w14:textId="77777777" w:rsidR="00443F9D" w:rsidRPr="00D365BF" w:rsidRDefault="00443F9D">
      <w:pPr>
        <w:spacing w:line="360" w:lineRule="auto"/>
        <w:jc w:val="both"/>
        <w:rPr>
          <w:rFonts w:ascii="Palatino Linotype" w:eastAsia="Palatino Linotype" w:hAnsi="Palatino Linotype" w:cs="Palatino Linotype"/>
        </w:rPr>
      </w:pPr>
    </w:p>
    <w:p w14:paraId="3E7764A6"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D365BF">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055D07DB" w14:textId="77777777" w:rsidR="00443F9D" w:rsidRPr="00D365BF" w:rsidRDefault="00443F9D">
      <w:pPr>
        <w:spacing w:line="360" w:lineRule="auto"/>
        <w:jc w:val="both"/>
        <w:rPr>
          <w:rFonts w:ascii="Palatino Linotype" w:eastAsia="Palatino Linotype" w:hAnsi="Palatino Linotype" w:cs="Palatino Linotype"/>
        </w:rPr>
      </w:pPr>
    </w:p>
    <w:p w14:paraId="5D02FDFA" w14:textId="77777777" w:rsidR="00443F9D" w:rsidRPr="00D365BF" w:rsidRDefault="001B2381">
      <w:pPr>
        <w:spacing w:line="360" w:lineRule="auto"/>
        <w:jc w:val="both"/>
        <w:rPr>
          <w:rFonts w:ascii="Palatino Linotype" w:eastAsia="Palatino Linotype" w:hAnsi="Palatino Linotype" w:cs="Palatino Linotype"/>
          <w:b/>
        </w:rPr>
      </w:pPr>
      <w:r w:rsidRPr="00D365B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365B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365BF">
        <w:rPr>
          <w:rFonts w:ascii="Palatino Linotype" w:eastAsia="Palatino Linotype" w:hAnsi="Palatino Linotype" w:cs="Palatino Linotype"/>
        </w:rPr>
        <w:t>, visible en la Gaceta del Seminario Judicial de la Federación con el registro digital 205635.</w:t>
      </w:r>
    </w:p>
    <w:p w14:paraId="56D63A1C" w14:textId="77777777" w:rsidR="00443F9D" w:rsidRPr="00D365BF" w:rsidRDefault="00443F9D">
      <w:pPr>
        <w:spacing w:line="360" w:lineRule="auto"/>
        <w:jc w:val="both"/>
        <w:rPr>
          <w:rFonts w:ascii="Palatino Linotype" w:eastAsia="Palatino Linotype" w:hAnsi="Palatino Linotype" w:cs="Palatino Linotype"/>
        </w:rPr>
      </w:pPr>
    </w:p>
    <w:p w14:paraId="7380194A"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5712EA" w14:textId="77777777" w:rsidR="00443F9D" w:rsidRPr="00D365BF" w:rsidRDefault="00443F9D">
      <w:pPr>
        <w:spacing w:line="360" w:lineRule="auto"/>
        <w:jc w:val="both"/>
        <w:rPr>
          <w:rFonts w:ascii="Palatino Linotype" w:eastAsia="Palatino Linotype" w:hAnsi="Palatino Linotype" w:cs="Palatino Linotype"/>
        </w:rPr>
      </w:pPr>
    </w:p>
    <w:p w14:paraId="6B7D4531"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FD44CC1" w14:textId="77777777" w:rsidR="00443F9D" w:rsidRPr="00D365BF" w:rsidRDefault="00443F9D">
      <w:pPr>
        <w:spacing w:line="360" w:lineRule="auto"/>
        <w:jc w:val="both"/>
        <w:rPr>
          <w:rFonts w:ascii="Palatino Linotype" w:eastAsia="Palatino Linotype" w:hAnsi="Palatino Linotype" w:cs="Palatino Linotype"/>
        </w:rPr>
      </w:pPr>
    </w:p>
    <w:p w14:paraId="4E916DF1"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 </w:t>
      </w:r>
      <w:r w:rsidRPr="00D365BF">
        <w:rPr>
          <w:rFonts w:ascii="Palatino Linotype" w:eastAsia="Palatino Linotype" w:hAnsi="Palatino Linotype" w:cs="Palatino Linotype"/>
          <w:i/>
        </w:rPr>
        <w:t>“PLAZO RAZONABLE PARA RESOLVER. DIMENSIÓN Y EFECTOS DE ESTE CONCEPTO CUANDO SE ADUCE EXCESIVA CARGA DE TRABAJO.”</w:t>
      </w:r>
      <w:r w:rsidRPr="00D365BF">
        <w:rPr>
          <w:rFonts w:ascii="Palatino Linotype" w:eastAsia="Palatino Linotype" w:hAnsi="Palatino Linotype" w:cs="Palatino Linotype"/>
        </w:rPr>
        <w:t xml:space="preserve"> consultable en el Seminario Judicial de la Federación y su gaceta, con el registro digital 2002351.</w:t>
      </w:r>
    </w:p>
    <w:p w14:paraId="3C338A9F" w14:textId="77777777" w:rsidR="00443F9D" w:rsidRPr="00D365BF" w:rsidRDefault="00443F9D">
      <w:pPr>
        <w:spacing w:line="360" w:lineRule="auto"/>
        <w:jc w:val="both"/>
        <w:rPr>
          <w:rFonts w:ascii="Palatino Linotype" w:eastAsia="Palatino Linotype" w:hAnsi="Palatino Linotype" w:cs="Palatino Linotype"/>
          <w:b/>
        </w:rPr>
      </w:pPr>
    </w:p>
    <w:p w14:paraId="2059C7F6"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i/>
        </w:rPr>
        <w:t>“PLAZO RAZONABLE PARA RESOLVER. CONCEPTO Y ELEMENTOS QUE LO INTEGRAN A LA LUZ DEL DERECHO INTERNACIONAL DE LOS DERECHOS HUMANOS.”</w:t>
      </w:r>
      <w:r w:rsidRPr="00D365BF">
        <w:rPr>
          <w:rFonts w:ascii="Palatino Linotype" w:eastAsia="Palatino Linotype" w:hAnsi="Palatino Linotype" w:cs="Palatino Linotype"/>
        </w:rPr>
        <w:t>, visible en el Seminario Judicial de la Federación y su gaceta, con el registro digital 2002350.</w:t>
      </w:r>
    </w:p>
    <w:p w14:paraId="2F58E5CF" w14:textId="77777777" w:rsidR="00443F9D" w:rsidRPr="00D365BF" w:rsidRDefault="00443F9D">
      <w:pPr>
        <w:spacing w:line="360" w:lineRule="auto"/>
        <w:jc w:val="both"/>
        <w:rPr>
          <w:rFonts w:ascii="Palatino Linotype" w:eastAsia="Palatino Linotype" w:hAnsi="Palatino Linotype" w:cs="Palatino Linotype"/>
        </w:rPr>
      </w:pPr>
    </w:p>
    <w:p w14:paraId="00750DF2"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5A4A4ED"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 xml:space="preserve">8. Cierre de instrucción. </w:t>
      </w:r>
      <w:r w:rsidRPr="00D365BF">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365BF">
        <w:rPr>
          <w:rFonts w:ascii="Palatino Linotype" w:eastAsia="Palatino Linotype" w:hAnsi="Palatino Linotype" w:cs="Palatino Linotype"/>
          <w:b/>
        </w:rPr>
        <w:t>quince de agosto de dos mil veintitrés</w:t>
      </w:r>
      <w:r w:rsidRPr="00D365BF">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3857F1CA"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0E3A19F" w14:textId="77777777" w:rsidR="00443F9D" w:rsidRPr="00D365BF" w:rsidRDefault="001B2381">
      <w:pPr>
        <w:widowControl w:val="0"/>
        <w:spacing w:line="360" w:lineRule="auto"/>
        <w:jc w:val="center"/>
        <w:rPr>
          <w:rFonts w:ascii="Palatino Linotype" w:eastAsia="Palatino Linotype" w:hAnsi="Palatino Linotype" w:cs="Palatino Linotype"/>
          <w:b/>
        </w:rPr>
      </w:pPr>
      <w:r w:rsidRPr="00D365BF">
        <w:rPr>
          <w:rFonts w:ascii="Palatino Linotype" w:eastAsia="Palatino Linotype" w:hAnsi="Palatino Linotype" w:cs="Palatino Linotype"/>
          <w:b/>
        </w:rPr>
        <w:t>II. C O N S I D E R A N D O S</w:t>
      </w:r>
    </w:p>
    <w:p w14:paraId="57BC1AA4" w14:textId="77777777" w:rsidR="00443F9D" w:rsidRPr="00D365BF" w:rsidRDefault="00443F9D">
      <w:pPr>
        <w:widowControl w:val="0"/>
        <w:spacing w:line="360" w:lineRule="auto"/>
        <w:jc w:val="center"/>
        <w:rPr>
          <w:rFonts w:ascii="Palatino Linotype" w:eastAsia="Palatino Linotype" w:hAnsi="Palatino Linotype" w:cs="Palatino Linotype"/>
          <w:b/>
        </w:rPr>
      </w:pPr>
    </w:p>
    <w:p w14:paraId="6656E329"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Primero. Competencia.</w:t>
      </w:r>
      <w:r w:rsidRPr="00D365B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E559714" w14:textId="77777777" w:rsidR="00443F9D" w:rsidRPr="00D365BF" w:rsidRDefault="001B2381">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D365BF">
        <w:rPr>
          <w:rFonts w:ascii="Palatino Linotype" w:eastAsia="Palatino Linotype" w:hAnsi="Palatino Linotype" w:cs="Palatino Linotype"/>
          <w:b/>
        </w:rPr>
        <w:t xml:space="preserve">Segundo. Oportunidad y Procedibilidad del Recurso de Revisión. </w:t>
      </w:r>
      <w:r w:rsidRPr="00D365BF">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emitió su respuesta a la solicitud </w:t>
      </w:r>
      <w:r w:rsidRPr="00D365BF">
        <w:rPr>
          <w:rFonts w:ascii="Palatino Linotype" w:eastAsia="Palatino Linotype" w:hAnsi="Palatino Linotype" w:cs="Palatino Linotype"/>
        </w:rPr>
        <w:lastRenderedPageBreak/>
        <w:t xml:space="preserve">planteada por la parte solicitante el veintinueve de noviembre del año dos mil veintidós y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xml:space="preserve"> presentó su recurso de revisión el dieciséis de diciembre del mismo año, esto es, al décimo tercer día hábil siguiente del conocimiento de la respuesta. </w:t>
      </w:r>
    </w:p>
    <w:p w14:paraId="2491A56C" w14:textId="77777777" w:rsidR="00443F9D" w:rsidRPr="00D365BF" w:rsidRDefault="001B2381">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D365BF">
        <w:rPr>
          <w:rFonts w:ascii="Palatino Linotype" w:eastAsia="Palatino Linotype" w:hAnsi="Palatino Linotype" w:cs="Palatino Linotype"/>
          <w:b/>
        </w:rPr>
        <w:t>EL</w:t>
      </w:r>
      <w:r w:rsidRPr="00D365BF">
        <w:rPr>
          <w:rFonts w:ascii="Palatino Linotype" w:eastAsia="Palatino Linotype" w:hAnsi="Palatino Linotype" w:cs="Palatino Linotype"/>
        </w:rPr>
        <w:t xml:space="preserve"> </w:t>
      </w:r>
      <w:r w:rsidRPr="00D365BF">
        <w:rPr>
          <w:rFonts w:ascii="Palatino Linotype" w:eastAsia="Palatino Linotype" w:hAnsi="Palatino Linotype" w:cs="Palatino Linotype"/>
          <w:b/>
        </w:rPr>
        <w:t>SAIMEX</w:t>
      </w:r>
      <w:r w:rsidRPr="00D365BF">
        <w:rPr>
          <w:rFonts w:ascii="Palatino Linotype" w:eastAsia="Palatino Linotype" w:hAnsi="Palatino Linotype" w:cs="Palatino Linotype"/>
        </w:rPr>
        <w:t>.</w:t>
      </w:r>
    </w:p>
    <w:p w14:paraId="0283DAD5" w14:textId="77777777" w:rsidR="00443F9D" w:rsidRPr="00D365BF" w:rsidRDefault="00443F9D">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176ED282" w14:textId="77777777" w:rsidR="00443F9D" w:rsidRPr="00D365BF" w:rsidRDefault="001B2381">
      <w:pPr>
        <w:spacing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118E7064" w14:textId="77777777" w:rsidR="00443F9D" w:rsidRPr="00D365BF" w:rsidRDefault="001B2381">
      <w:pPr>
        <w:ind w:left="1276" w:right="1752"/>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 xml:space="preserve">Artículo 179. </w:t>
      </w:r>
      <w:r w:rsidRPr="00D365B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07A686C" w14:textId="77777777" w:rsidR="00443F9D" w:rsidRPr="00D365BF" w:rsidRDefault="001B2381">
      <w:pPr>
        <w:ind w:left="1276" w:right="1752"/>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 La negativa de la información solicitada…” (Sic)</w:t>
      </w:r>
    </w:p>
    <w:p w14:paraId="1304C4A3" w14:textId="77777777" w:rsidR="00443F9D" w:rsidRPr="00D365BF" w:rsidRDefault="00443F9D">
      <w:pPr>
        <w:ind w:left="1276" w:right="1752"/>
        <w:jc w:val="both"/>
        <w:rPr>
          <w:rFonts w:ascii="Palatino Linotype" w:eastAsia="Palatino Linotype" w:hAnsi="Palatino Linotype" w:cs="Palatino Linotype"/>
          <w:i/>
          <w:sz w:val="22"/>
          <w:szCs w:val="22"/>
        </w:rPr>
      </w:pPr>
    </w:p>
    <w:p w14:paraId="38F86D0B" w14:textId="77777777" w:rsidR="00443F9D" w:rsidRPr="00D365BF" w:rsidRDefault="001B2381">
      <w:pPr>
        <w:spacing w:before="280" w:after="28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Tercero. Materia de Revisión</w:t>
      </w:r>
      <w:r w:rsidRPr="00D365BF">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D365BF">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información pública </w:t>
      </w:r>
      <w:r w:rsidRPr="00D365BF">
        <w:rPr>
          <w:rFonts w:ascii="Palatino Linotype" w:eastAsia="Palatino Linotype" w:hAnsi="Palatino Linotype" w:cs="Palatino Linotype"/>
        </w:rPr>
        <w:t xml:space="preserve">de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o en su defecto, en caso de ser procedente, ordenar la entrega de información.</w:t>
      </w:r>
    </w:p>
    <w:p w14:paraId="2D7C11F1"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lastRenderedPageBreak/>
        <w:t xml:space="preserve">Cuarto. Estudio de fondo del asunto. </w:t>
      </w:r>
      <w:r w:rsidRPr="00D365BF">
        <w:rPr>
          <w:rFonts w:ascii="Palatino Linotype" w:eastAsia="Palatino Linotype" w:hAnsi="Palatino Linotype" w:cs="Palatino Linotype"/>
        </w:rPr>
        <w:t xml:space="preserve">es conveniente sí el informe justificado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BC92751" w14:textId="77777777" w:rsidR="00443F9D" w:rsidRPr="00D365BF" w:rsidRDefault="001B2381">
      <w:pPr>
        <w:spacing w:before="240"/>
        <w:ind w:left="709" w:right="76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Artículo 4.</w:t>
      </w:r>
      <w:r w:rsidRPr="00D365B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F5FCF5" w14:textId="77777777" w:rsidR="00443F9D" w:rsidRPr="00D365BF" w:rsidRDefault="001B2381">
      <w:pPr>
        <w:ind w:left="709" w:right="76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365B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F6151F" w14:textId="77777777" w:rsidR="00443F9D" w:rsidRPr="00D365BF" w:rsidRDefault="001B2381">
      <w:pPr>
        <w:ind w:left="709" w:right="76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64954976"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w:t>
      </w:r>
      <w:r w:rsidRPr="00D365BF">
        <w:rPr>
          <w:rFonts w:ascii="Palatino Linotype" w:eastAsia="Palatino Linotype" w:hAnsi="Palatino Linotype" w:cs="Palatino Linotype"/>
        </w:rPr>
        <w:lastRenderedPageBreak/>
        <w:t>la Ley de Transparencia y Acceso a la Información Pública del Estado de México y Municipios, el cual a la letra dice:</w:t>
      </w:r>
    </w:p>
    <w:p w14:paraId="4E300FCE" w14:textId="77777777" w:rsidR="00443F9D" w:rsidRPr="00D365BF" w:rsidRDefault="001B2381">
      <w:pPr>
        <w:ind w:left="567" w:right="758"/>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Artículo12.-</w:t>
      </w:r>
      <w:r w:rsidRPr="00D365B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4DB26CE" w14:textId="77777777" w:rsidR="00443F9D" w:rsidRPr="00D365BF" w:rsidRDefault="001B2381">
      <w:pPr>
        <w:ind w:left="567" w:right="758"/>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365BF">
        <w:rPr>
          <w:rFonts w:ascii="Palatino Linotype" w:eastAsia="Palatino Linotype" w:hAnsi="Palatino Linotype" w:cs="Palatino Linotype"/>
          <w:i/>
          <w:sz w:val="22"/>
          <w:szCs w:val="22"/>
        </w:rPr>
        <w:t xml:space="preserve">. </w:t>
      </w:r>
      <w:r w:rsidRPr="00D365B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66C85EE" w14:textId="77777777" w:rsidR="00443F9D" w:rsidRPr="00D365BF" w:rsidRDefault="00443F9D">
      <w:pPr>
        <w:spacing w:line="360" w:lineRule="auto"/>
        <w:ind w:right="-93"/>
        <w:jc w:val="both"/>
        <w:rPr>
          <w:rFonts w:ascii="Palatino Linotype" w:eastAsia="Palatino Linotype" w:hAnsi="Palatino Linotype" w:cs="Palatino Linotype"/>
        </w:rPr>
      </w:pPr>
    </w:p>
    <w:p w14:paraId="0C5AADD1" w14:textId="77777777" w:rsidR="00443F9D" w:rsidRPr="00D365BF" w:rsidRDefault="001B2381">
      <w:pPr>
        <w:spacing w:line="360" w:lineRule="auto"/>
        <w:ind w:right="-93"/>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DCAE0CD" w14:textId="77777777" w:rsidR="00443F9D" w:rsidRPr="00D365BF" w:rsidRDefault="00443F9D">
      <w:pPr>
        <w:spacing w:line="360" w:lineRule="auto"/>
        <w:ind w:right="-93"/>
        <w:jc w:val="both"/>
        <w:rPr>
          <w:rFonts w:ascii="Palatino Linotype" w:eastAsia="Palatino Linotype" w:hAnsi="Palatino Linotype" w:cs="Palatino Linotype"/>
        </w:rPr>
      </w:pPr>
    </w:p>
    <w:p w14:paraId="3B1EE2F4" w14:textId="77777777" w:rsidR="00443F9D" w:rsidRPr="00D365BF" w:rsidRDefault="001B2381">
      <w:pPr>
        <w:spacing w:line="360" w:lineRule="auto"/>
        <w:jc w:val="both"/>
        <w:rPr>
          <w:rFonts w:ascii="Palatino Linotype" w:eastAsia="Palatino Linotype" w:hAnsi="Palatino Linotype" w:cs="Palatino Linotype"/>
          <w:b/>
        </w:rPr>
      </w:pPr>
      <w:r w:rsidRPr="00D365B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D365BF">
        <w:rPr>
          <w:rFonts w:ascii="Palatino Linotype" w:eastAsia="Palatino Linotype" w:hAnsi="Palatino Linotype" w:cs="Palatino Linotype"/>
          <w:b/>
        </w:rPr>
        <w:t xml:space="preserve"> </w:t>
      </w:r>
    </w:p>
    <w:p w14:paraId="2AF5733F" w14:textId="77777777" w:rsidR="00443F9D" w:rsidRPr="00D365BF" w:rsidRDefault="001B2381">
      <w:pPr>
        <w:ind w:left="851" w:right="90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No existe obligación de elaborar documentos ad hoc para atender las solicitudes de acceso a la información.</w:t>
      </w:r>
      <w:r w:rsidRPr="00D365B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D365BF">
        <w:rPr>
          <w:rFonts w:ascii="Palatino Linotype" w:eastAsia="Palatino Linotype" w:hAnsi="Palatino Linotype" w:cs="Palatino Linotype"/>
          <w:i/>
          <w:sz w:val="22"/>
          <w:szCs w:val="22"/>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14:paraId="2553121A" w14:textId="77777777" w:rsidR="00443F9D" w:rsidRPr="00D365BF" w:rsidRDefault="001B2381">
      <w:pPr>
        <w:ind w:left="851" w:right="90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Resoluciones: </w:t>
      </w:r>
    </w:p>
    <w:p w14:paraId="7EEA3D98" w14:textId="77777777" w:rsidR="00443F9D" w:rsidRPr="00D365BF" w:rsidRDefault="001B2381">
      <w:pPr>
        <w:ind w:left="851" w:right="901"/>
        <w:jc w:val="both"/>
        <w:rPr>
          <w:rFonts w:ascii="Palatino Linotype" w:eastAsia="Palatino Linotype" w:hAnsi="Palatino Linotype" w:cs="Palatino Linotype"/>
          <w:i/>
          <w:sz w:val="22"/>
          <w:szCs w:val="22"/>
        </w:rPr>
      </w:pPr>
      <w:r w:rsidRPr="00D365BF">
        <w:rPr>
          <w:rFonts w:ascii="Noto Sans Symbols" w:eastAsia="Noto Sans Symbols" w:hAnsi="Noto Sans Symbols" w:cs="Noto Sans Symbols"/>
          <w:i/>
          <w:sz w:val="22"/>
          <w:szCs w:val="22"/>
        </w:rPr>
        <w:t>∙</w:t>
      </w:r>
      <w:r w:rsidRPr="00D365BF">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7B49DB5D" w14:textId="77777777" w:rsidR="00443F9D" w:rsidRPr="00D365BF" w:rsidRDefault="001B2381">
      <w:pPr>
        <w:ind w:left="851" w:right="901"/>
        <w:jc w:val="both"/>
        <w:rPr>
          <w:rFonts w:ascii="Palatino Linotype" w:eastAsia="Palatino Linotype" w:hAnsi="Palatino Linotype" w:cs="Palatino Linotype"/>
          <w:i/>
          <w:sz w:val="22"/>
          <w:szCs w:val="22"/>
        </w:rPr>
      </w:pPr>
      <w:r w:rsidRPr="00D365BF">
        <w:rPr>
          <w:rFonts w:ascii="Noto Sans Symbols" w:eastAsia="Noto Sans Symbols" w:hAnsi="Noto Sans Symbols" w:cs="Noto Sans Symbols"/>
          <w:i/>
          <w:sz w:val="22"/>
          <w:szCs w:val="22"/>
        </w:rPr>
        <w:t>∙</w:t>
      </w:r>
      <w:r w:rsidRPr="00D365BF">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B717565" w14:textId="77777777" w:rsidR="00443F9D" w:rsidRPr="00D365BF" w:rsidRDefault="001B2381">
      <w:pPr>
        <w:ind w:left="851" w:right="901"/>
        <w:jc w:val="both"/>
        <w:rPr>
          <w:rFonts w:ascii="Palatino Linotype" w:eastAsia="Palatino Linotype" w:hAnsi="Palatino Linotype" w:cs="Palatino Linotype"/>
          <w:i/>
          <w:sz w:val="22"/>
          <w:szCs w:val="22"/>
        </w:rPr>
      </w:pPr>
      <w:r w:rsidRPr="00D365BF">
        <w:rPr>
          <w:rFonts w:ascii="Noto Sans Symbols" w:eastAsia="Noto Sans Symbols" w:hAnsi="Noto Sans Symbols" w:cs="Noto Sans Symbols"/>
          <w:i/>
          <w:sz w:val="22"/>
          <w:szCs w:val="22"/>
        </w:rPr>
        <w:t>∙</w:t>
      </w:r>
      <w:r w:rsidRPr="00D365BF">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2AB19236" w14:textId="77777777" w:rsidR="00443F9D" w:rsidRPr="00D365BF" w:rsidRDefault="00443F9D">
      <w:pPr>
        <w:spacing w:line="360" w:lineRule="auto"/>
        <w:jc w:val="both"/>
        <w:rPr>
          <w:rFonts w:ascii="Palatino Linotype" w:eastAsia="Palatino Linotype" w:hAnsi="Palatino Linotype" w:cs="Palatino Linotype"/>
        </w:rPr>
      </w:pPr>
    </w:p>
    <w:p w14:paraId="7942F862"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93FAE7B" w14:textId="77777777" w:rsidR="00443F9D" w:rsidRPr="00D365BF" w:rsidRDefault="00443F9D">
      <w:pPr>
        <w:spacing w:line="360" w:lineRule="auto"/>
        <w:jc w:val="both"/>
        <w:rPr>
          <w:rFonts w:ascii="Palatino Linotype" w:eastAsia="Palatino Linotype" w:hAnsi="Palatino Linotype" w:cs="Palatino Linotype"/>
        </w:rPr>
      </w:pPr>
    </w:p>
    <w:p w14:paraId="3B15674C" w14:textId="77777777" w:rsidR="00443F9D" w:rsidRPr="00D365BF" w:rsidRDefault="001B2381">
      <w:pPr>
        <w:spacing w:line="360" w:lineRule="auto"/>
        <w:ind w:right="49"/>
        <w:jc w:val="both"/>
        <w:rPr>
          <w:rFonts w:ascii="Palatino Linotype" w:eastAsia="Palatino Linotype" w:hAnsi="Palatino Linotype" w:cs="Palatino Linotype"/>
        </w:rPr>
      </w:pPr>
      <w:r w:rsidRPr="00D365B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F289471" w14:textId="77777777" w:rsidR="00443F9D" w:rsidRPr="00D365BF" w:rsidRDefault="00443F9D">
      <w:pPr>
        <w:spacing w:line="360" w:lineRule="auto"/>
        <w:ind w:right="49"/>
        <w:jc w:val="both"/>
        <w:rPr>
          <w:rFonts w:ascii="Palatino Linotype" w:eastAsia="Palatino Linotype" w:hAnsi="Palatino Linotype" w:cs="Palatino Linotype"/>
        </w:rPr>
      </w:pPr>
    </w:p>
    <w:p w14:paraId="12D397FB"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A7A455C" w14:textId="77777777" w:rsidR="00443F9D" w:rsidRPr="00D365BF" w:rsidRDefault="00443F9D">
      <w:pPr>
        <w:ind w:left="851" w:right="899"/>
        <w:jc w:val="both"/>
        <w:rPr>
          <w:rFonts w:ascii="Palatino Linotype" w:eastAsia="Palatino Linotype" w:hAnsi="Palatino Linotype" w:cs="Palatino Linotype"/>
          <w:i/>
          <w:sz w:val="22"/>
          <w:szCs w:val="22"/>
        </w:rPr>
      </w:pPr>
    </w:p>
    <w:p w14:paraId="1FC3B7B6"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 xml:space="preserve">Artículo 3. </w:t>
      </w:r>
      <w:r w:rsidRPr="00D365BF">
        <w:rPr>
          <w:rFonts w:ascii="Palatino Linotype" w:eastAsia="Palatino Linotype" w:hAnsi="Palatino Linotype" w:cs="Palatino Linotype"/>
          <w:i/>
          <w:sz w:val="22"/>
          <w:szCs w:val="22"/>
        </w:rPr>
        <w:t>Para los efectos de la presente Ley se entenderá por:</w:t>
      </w:r>
    </w:p>
    <w:p w14:paraId="326B7A10"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60369373"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XI. Documento:</w:t>
      </w:r>
      <w:r w:rsidRPr="00D365BF">
        <w:rPr>
          <w:rFonts w:ascii="Palatino Linotype" w:eastAsia="Palatino Linotype" w:hAnsi="Palatino Linotype" w:cs="Palatino Linotype"/>
          <w:i/>
          <w:sz w:val="22"/>
          <w:szCs w:val="22"/>
        </w:rPr>
        <w:t xml:space="preserve"> Los expedientes, reportes, estudios, actas</w:t>
      </w:r>
      <w:r w:rsidRPr="00D365BF">
        <w:rPr>
          <w:rFonts w:ascii="Palatino Linotype" w:eastAsia="Palatino Linotype" w:hAnsi="Palatino Linotype" w:cs="Palatino Linotype"/>
          <w:b/>
          <w:i/>
          <w:sz w:val="22"/>
          <w:szCs w:val="22"/>
        </w:rPr>
        <w:t>,</w:t>
      </w:r>
      <w:r w:rsidRPr="00D365B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8C3823D" w14:textId="77777777" w:rsidR="00443F9D" w:rsidRPr="00D365BF" w:rsidRDefault="00443F9D">
      <w:pPr>
        <w:ind w:left="851" w:right="899"/>
        <w:jc w:val="both"/>
        <w:rPr>
          <w:rFonts w:ascii="Palatino Linotype" w:eastAsia="Palatino Linotype" w:hAnsi="Palatino Linotype" w:cs="Palatino Linotype"/>
          <w:sz w:val="22"/>
          <w:szCs w:val="22"/>
        </w:rPr>
      </w:pPr>
    </w:p>
    <w:p w14:paraId="6F68215E"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D510BB" w14:textId="77777777" w:rsidR="00443F9D" w:rsidRPr="00D365BF" w:rsidRDefault="001B2381">
      <w:pPr>
        <w:ind w:left="851" w:right="899"/>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sz w:val="22"/>
          <w:szCs w:val="22"/>
        </w:rPr>
        <w:t>“</w:t>
      </w:r>
      <w:r w:rsidRPr="00D365BF">
        <w:rPr>
          <w:rFonts w:ascii="Palatino Linotype" w:eastAsia="Palatino Linotype" w:hAnsi="Palatino Linotype" w:cs="Palatino Linotype"/>
          <w:b/>
          <w:i/>
          <w:sz w:val="22"/>
          <w:szCs w:val="22"/>
        </w:rPr>
        <w:t>CRITERIO 0002-11</w:t>
      </w:r>
    </w:p>
    <w:p w14:paraId="70EF99E4"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365B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w:t>
      </w:r>
      <w:r w:rsidRPr="00D365BF">
        <w:rPr>
          <w:rFonts w:ascii="Palatino Linotype" w:eastAsia="Palatino Linotype" w:hAnsi="Palatino Linotype" w:cs="Palatino Linotype"/>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14:paraId="32EFB65E"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En </w:t>
      </w:r>
      <w:proofErr w:type="gramStart"/>
      <w:r w:rsidRPr="00D365BF">
        <w:rPr>
          <w:rFonts w:ascii="Palatino Linotype" w:eastAsia="Palatino Linotype" w:hAnsi="Palatino Linotype" w:cs="Palatino Linotype"/>
          <w:i/>
          <w:sz w:val="22"/>
          <w:szCs w:val="22"/>
        </w:rPr>
        <w:t>consecuencia</w:t>
      </w:r>
      <w:proofErr w:type="gramEnd"/>
      <w:r w:rsidRPr="00D365B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133F56A"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365BF">
        <w:rPr>
          <w:rFonts w:ascii="Palatino Linotype" w:eastAsia="Palatino Linotype" w:hAnsi="Palatino Linotype" w:cs="Palatino Linotype"/>
          <w:i/>
          <w:sz w:val="22"/>
          <w:szCs w:val="22"/>
        </w:rPr>
        <w:t>que</w:t>
      </w:r>
      <w:proofErr w:type="gramEnd"/>
      <w:r w:rsidRPr="00D365BF">
        <w:rPr>
          <w:rFonts w:ascii="Palatino Linotype" w:eastAsia="Palatino Linotype" w:hAnsi="Palatino Linotype" w:cs="Palatino Linotype"/>
          <w:i/>
          <w:sz w:val="22"/>
          <w:szCs w:val="22"/>
        </w:rPr>
        <w:t xml:space="preserve"> en ejercicio de las atribuciones conferidas, sea generada por los Sujetos Obligados;</w:t>
      </w:r>
    </w:p>
    <w:p w14:paraId="315A9F01" w14:textId="77777777" w:rsidR="00443F9D" w:rsidRPr="00D365BF" w:rsidRDefault="001B2381">
      <w:pPr>
        <w:ind w:left="851" w:right="899"/>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D365BF">
        <w:rPr>
          <w:rFonts w:ascii="Palatino Linotype" w:eastAsia="Palatino Linotype" w:hAnsi="Palatino Linotype" w:cs="Palatino Linotype"/>
          <w:b/>
          <w:i/>
          <w:sz w:val="22"/>
          <w:szCs w:val="22"/>
        </w:rPr>
        <w:t>que</w:t>
      </w:r>
      <w:proofErr w:type="gramEnd"/>
      <w:r w:rsidRPr="00D365BF">
        <w:rPr>
          <w:rFonts w:ascii="Palatino Linotype" w:eastAsia="Palatino Linotype" w:hAnsi="Palatino Linotype" w:cs="Palatino Linotype"/>
          <w:b/>
          <w:i/>
          <w:sz w:val="22"/>
          <w:szCs w:val="22"/>
        </w:rPr>
        <w:t xml:space="preserve"> en ejercicio de las atribuciones conferidas, sea administrada por los Sujetos Obligados, y</w:t>
      </w:r>
    </w:p>
    <w:p w14:paraId="7C92A561" w14:textId="77777777" w:rsidR="00443F9D" w:rsidRPr="00D365BF" w:rsidRDefault="001B2381">
      <w:pPr>
        <w:ind w:left="851" w:right="899"/>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D365BF">
        <w:rPr>
          <w:rFonts w:ascii="Palatino Linotype" w:eastAsia="Palatino Linotype" w:hAnsi="Palatino Linotype" w:cs="Palatino Linotype"/>
          <w:b/>
          <w:i/>
          <w:sz w:val="22"/>
          <w:szCs w:val="22"/>
        </w:rPr>
        <w:t>.”(</w:t>
      </w:r>
      <w:proofErr w:type="gramEnd"/>
      <w:r w:rsidRPr="00D365BF">
        <w:rPr>
          <w:rFonts w:ascii="Palatino Linotype" w:eastAsia="Palatino Linotype" w:hAnsi="Palatino Linotype" w:cs="Palatino Linotype"/>
          <w:b/>
          <w:i/>
          <w:sz w:val="22"/>
          <w:szCs w:val="22"/>
        </w:rPr>
        <w:t>Sic)</w:t>
      </w:r>
    </w:p>
    <w:p w14:paraId="20DF6709"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Naucalpan de Juárez, de los inmuebles ubicados en:</w:t>
      </w:r>
    </w:p>
    <w:p w14:paraId="35809438" w14:textId="77777777" w:rsidR="00443F9D" w:rsidRPr="00D365BF" w:rsidRDefault="001B2381">
      <w:pPr>
        <w:numPr>
          <w:ilvl w:val="0"/>
          <w:numId w:val="8"/>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B, lote 30 C y lote 30 D, Esquina González Aparicio, Fraccionamiento Ciudad Satélite, en Naucalpan de Juárez, Estado de México.</w:t>
      </w:r>
    </w:p>
    <w:p w14:paraId="20C2FAEB" w14:textId="77777777" w:rsidR="00443F9D" w:rsidRPr="00D365BF" w:rsidRDefault="001B2381">
      <w:pPr>
        <w:numPr>
          <w:ilvl w:val="0"/>
          <w:numId w:val="8"/>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Calle Enrique de González Aparicio #5 Fraccionamiento Ciudad Satélite, en Naucalpan de Juárez, Estado de México</w:t>
      </w:r>
    </w:p>
    <w:p w14:paraId="7320C34A" w14:textId="77777777" w:rsidR="00443F9D" w:rsidRPr="00D365BF" w:rsidRDefault="001B2381">
      <w:pPr>
        <w:spacing w:before="240" w:after="240" w:line="360" w:lineRule="auto"/>
        <w:ind w:right="49"/>
        <w:jc w:val="both"/>
        <w:rPr>
          <w:rFonts w:ascii="Palatino Linotype" w:eastAsia="Palatino Linotype" w:hAnsi="Palatino Linotype" w:cs="Palatino Linotype"/>
        </w:rPr>
      </w:pPr>
      <w:r w:rsidRPr="00D365BF">
        <w:rPr>
          <w:rFonts w:ascii="Palatino Linotype" w:eastAsia="Palatino Linotype" w:hAnsi="Palatino Linotype" w:cs="Palatino Linotype"/>
        </w:rPr>
        <w:t>Lo siguiente:</w:t>
      </w:r>
    </w:p>
    <w:p w14:paraId="4AF0D762" w14:textId="77777777" w:rsidR="00443F9D" w:rsidRPr="00D365BF" w:rsidRDefault="001B2381">
      <w:pPr>
        <w:numPr>
          <w:ilvl w:val="0"/>
          <w:numId w:val="9"/>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Copia simple de la licencia de uso de suelo. </w:t>
      </w:r>
    </w:p>
    <w:p w14:paraId="14839ADA" w14:textId="77777777" w:rsidR="00443F9D" w:rsidRPr="00D365BF" w:rsidRDefault="001B238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Copia simple de la licencia de construcción. </w:t>
      </w:r>
    </w:p>
    <w:p w14:paraId="17D86547" w14:textId="77777777" w:rsidR="00443F9D" w:rsidRPr="00D365BF" w:rsidRDefault="001B238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Copia simple de la licencia de terminación de obra. </w:t>
      </w:r>
    </w:p>
    <w:p w14:paraId="63B22497" w14:textId="77777777" w:rsidR="00443F9D" w:rsidRPr="00D365BF" w:rsidRDefault="001B238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Copia simple de la licencia de funcionamiento </w:t>
      </w:r>
    </w:p>
    <w:p w14:paraId="44329FDA" w14:textId="77777777" w:rsidR="00443F9D" w:rsidRPr="00D365BF" w:rsidRDefault="001B238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Copia simple de la licencia de impacto ambiental.</w:t>
      </w:r>
    </w:p>
    <w:p w14:paraId="652B56B8" w14:textId="77777777" w:rsidR="00443F9D" w:rsidRPr="00D365BF" w:rsidRDefault="001B238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 xml:space="preserve">Copia simple de la licencia protección civil. </w:t>
      </w:r>
    </w:p>
    <w:p w14:paraId="4AAAB998" w14:textId="77777777" w:rsidR="00443F9D" w:rsidRPr="00D365BF" w:rsidRDefault="001B2381">
      <w:pPr>
        <w:numPr>
          <w:ilvl w:val="0"/>
          <w:numId w:val="9"/>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Copia simple del uso de suelo de todo el Fraccionamiento de Ciudad Satélite, en Naucalpan de Juárez, Estado de México.</w:t>
      </w:r>
    </w:p>
    <w:p w14:paraId="129ED383" w14:textId="77777777" w:rsidR="00443F9D" w:rsidRPr="00D365BF" w:rsidRDefault="001B2381">
      <w:pPr>
        <w:spacing w:before="240" w:after="240" w:line="360" w:lineRule="auto"/>
        <w:ind w:right="49"/>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respuesta,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sólo se concretó a señalar que derivado de la búsqueda de la información, informó que dicha documentación es confidencial toda vez que contiene datos personales concernientes a una persona física o jurídicamente colectiva identificada o identificable.</w:t>
      </w:r>
    </w:p>
    <w:p w14:paraId="72251384" w14:textId="77777777" w:rsidR="00443F9D" w:rsidRPr="00D365BF" w:rsidRDefault="001B2381">
      <w:pPr>
        <w:spacing w:before="240" w:after="240" w:line="360" w:lineRule="auto"/>
        <w:jc w:val="both"/>
        <w:rPr>
          <w:rFonts w:ascii="Palatino Linotype" w:eastAsia="Palatino Linotype" w:hAnsi="Palatino Linotype" w:cs="Palatino Linotype"/>
          <w:i/>
        </w:rPr>
      </w:pPr>
      <w:r w:rsidRPr="00D365BF">
        <w:rPr>
          <w:rFonts w:ascii="Palatino Linotype" w:eastAsia="Palatino Linotype" w:hAnsi="Palatino Linotype" w:cs="Palatino Linotype"/>
        </w:rPr>
        <w:t xml:space="preserve">No conforme con la respuesta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xml:space="preserve"> interpuso el recurso de revisión que se analiza en el presente asunto, en donde se quejó en lo medular por la negativa de la información solicitada. </w:t>
      </w:r>
    </w:p>
    <w:p w14:paraId="136AA15F"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Ante la interposición del recurso de revisión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rindió su informe justificado mediante el cual hizo entrega de una licencia de funcionamiento y dos licencias de uso de suelo, las cuales serán motivo de estudio en el apartado correspondiente.</w:t>
      </w:r>
    </w:p>
    <w:p w14:paraId="7CBD7B12" w14:textId="77777777" w:rsidR="00443F9D" w:rsidRPr="00D365BF" w:rsidRDefault="00443F9D">
      <w:pPr>
        <w:spacing w:line="360" w:lineRule="auto"/>
        <w:jc w:val="both"/>
      </w:pPr>
    </w:p>
    <w:p w14:paraId="0C275F46"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Con base en lo precedente, se determina que la información proporcionada por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en su informe justificado, cumple parcialmente con lo establecido por los artículos 4, 12 y 24 último párrafo de la Ley de Transparencia y Acceso a la Información Pública del Estado de México y Municipios; por ello, los motivos de inconformidad acontecen fundados para revocar la respuesta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en razón de las consideraciones de derecho que a continuación se exponen:</w:t>
      </w:r>
    </w:p>
    <w:p w14:paraId="5D7EAC1D" w14:textId="77777777" w:rsidR="00443F9D" w:rsidRPr="00D365BF" w:rsidRDefault="00443F9D">
      <w:pPr>
        <w:spacing w:line="360" w:lineRule="auto"/>
        <w:jc w:val="both"/>
        <w:rPr>
          <w:rFonts w:ascii="Palatino Linotype" w:eastAsia="Palatino Linotype" w:hAnsi="Palatino Linotype" w:cs="Palatino Linotype"/>
        </w:rPr>
      </w:pPr>
    </w:p>
    <w:p w14:paraId="5F9DAA67"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 xml:space="preserve">Antes del estudio de fondo, se debe precisar que en cuanto a la respuesta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en el sentido de que señaló “que derivado de la búsqueda de la información se informa que dicha documentación es confidencial toda vez que contiene datos personales concernientes a una persona física o jurídicamente colectiva identificada o identificable”, sin embargo, es de señalar que para clasificar la información como confidencial es necesario que se acompañe el acuerdo del Comité de Transparencia del Ayuntamiento de Naucalpan de Juárez y realizarlo en las formalidades señaladas en la Ley de Transparencia y Acceso a la Información Pública del Estado de México y Municipios y de los </w:t>
      </w:r>
      <w:r w:rsidRPr="00D365BF">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365BF">
        <w:rPr>
          <w:rFonts w:ascii="Palatino Linotype" w:eastAsia="Palatino Linotype" w:hAnsi="Palatino Linotype" w:cs="Palatino Linotype"/>
        </w:rPr>
        <w:t>, publicados en el Diario Oficial de la Federación en fecha dieciocho de noviembre del año dos mil veintidós.</w:t>
      </w:r>
    </w:p>
    <w:p w14:paraId="3E9F1167" w14:textId="77777777" w:rsidR="00443F9D" w:rsidRPr="00D365BF" w:rsidRDefault="00443F9D">
      <w:pPr>
        <w:spacing w:line="360" w:lineRule="auto"/>
        <w:jc w:val="both"/>
        <w:rPr>
          <w:rFonts w:ascii="Palatino Linotype" w:eastAsia="Palatino Linotype" w:hAnsi="Palatino Linotype" w:cs="Palatino Linotype"/>
        </w:rPr>
      </w:pPr>
    </w:p>
    <w:p w14:paraId="776B6A0A" w14:textId="77777777" w:rsidR="00443F9D" w:rsidRPr="00D365BF" w:rsidRDefault="001B2381">
      <w:pPr>
        <w:spacing w:line="360" w:lineRule="auto"/>
        <w:ind w:right="51"/>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Es decir,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ED008BA" w14:textId="77777777" w:rsidR="00443F9D" w:rsidRPr="00D365BF" w:rsidRDefault="00443F9D">
      <w:pPr>
        <w:spacing w:line="360" w:lineRule="auto"/>
        <w:jc w:val="both"/>
        <w:rPr>
          <w:rFonts w:ascii="Palatino Linotype" w:eastAsia="Palatino Linotype" w:hAnsi="Palatino Linotype" w:cs="Palatino Linotype"/>
        </w:rPr>
      </w:pPr>
    </w:p>
    <w:p w14:paraId="3DEBB497" w14:textId="77777777" w:rsidR="00443F9D" w:rsidRPr="00D365BF" w:rsidRDefault="001B2381">
      <w:pPr>
        <w:spacing w:line="360" w:lineRule="auto"/>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b/>
          <w:u w:val="single"/>
        </w:rPr>
        <w:lastRenderedPageBreak/>
        <w:t>En cuanto a los puntos de la solicitud respecto a la Licencia de Uso de Suelo, de los inmuebles ubicados en:</w:t>
      </w:r>
    </w:p>
    <w:p w14:paraId="167BE9C9" w14:textId="77777777" w:rsidR="00443F9D" w:rsidRPr="00D365BF" w:rsidRDefault="00443F9D">
      <w:pPr>
        <w:spacing w:line="360" w:lineRule="auto"/>
        <w:jc w:val="both"/>
        <w:rPr>
          <w:rFonts w:ascii="Palatino Linotype" w:eastAsia="Palatino Linotype" w:hAnsi="Palatino Linotype" w:cs="Palatino Linotype"/>
          <w:b/>
          <w:u w:val="single"/>
        </w:rPr>
      </w:pPr>
    </w:p>
    <w:p w14:paraId="2AC49133" w14:textId="77777777" w:rsidR="00443F9D" w:rsidRPr="00D365BF" w:rsidRDefault="001B2381">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b/>
          <w:u w:val="single"/>
        </w:rPr>
        <w:t>Circuito Economistas mz1, calle Alberto J. Pani lote 30 A, lote 30 B, lote 30 C y lote 30 D, Esquina González Aparicio, Fraccionamiento Ciudad Satélite, en Naucalpan de Juárez, Estado de México.</w:t>
      </w:r>
    </w:p>
    <w:p w14:paraId="52030873" w14:textId="77777777" w:rsidR="00443F9D" w:rsidRPr="00D365BF" w:rsidRDefault="001B2381">
      <w:pPr>
        <w:pBdr>
          <w:top w:val="nil"/>
          <w:left w:val="nil"/>
          <w:bottom w:val="nil"/>
          <w:right w:val="nil"/>
          <w:between w:val="nil"/>
        </w:pBdr>
        <w:spacing w:line="360" w:lineRule="auto"/>
        <w:ind w:left="720"/>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b/>
          <w:u w:val="single"/>
        </w:rPr>
        <w:t>-Calle Enrique de González Aparicio #5 Fraccionamiento Ciudad Satélite, en Naucalpan de Juárez, Estado de México</w:t>
      </w:r>
    </w:p>
    <w:p w14:paraId="59680316" w14:textId="77777777" w:rsidR="00443F9D" w:rsidRPr="00D365BF" w:rsidRDefault="001B2381">
      <w:pPr>
        <w:numPr>
          <w:ilvl w:val="0"/>
          <w:numId w:val="10"/>
        </w:numPr>
        <w:pBdr>
          <w:top w:val="nil"/>
          <w:left w:val="nil"/>
          <w:bottom w:val="nil"/>
          <w:right w:val="nil"/>
          <w:between w:val="nil"/>
        </w:pBdr>
        <w:spacing w:after="240" w:line="360" w:lineRule="auto"/>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b/>
          <w:u w:val="single"/>
        </w:rPr>
        <w:t>Copia simple del uso de suelo de todo el Fraccionamiento de Ciudad Satélite, en Naucalpan de Juárez, Estado de México.</w:t>
      </w:r>
    </w:p>
    <w:p w14:paraId="064B3EA2"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Sobre la naturaleza de la información, es necesario señalar que la Ley Orgánica Municipal del Estado de México en su artículo 114 señala que cada Ayuntamiento elaborará su plan de desarrollo municipal y los programas de trabajo necesarios para su ejecución en forma democrática y participativa. Aunado a lo anterior, respecto el Plan de Desarrollo Municipal y la Ley Orgánica Municipal del Estado de México, establece lo siguiente:</w:t>
      </w:r>
    </w:p>
    <w:p w14:paraId="0FAE85F3" w14:textId="77777777" w:rsidR="00443F9D" w:rsidRPr="00D365BF" w:rsidRDefault="00443F9D">
      <w:pPr>
        <w:spacing w:line="360" w:lineRule="auto"/>
        <w:jc w:val="both"/>
        <w:rPr>
          <w:rFonts w:ascii="Palatino Linotype" w:eastAsia="Palatino Linotype" w:hAnsi="Palatino Linotype" w:cs="Palatino Linotype"/>
          <w:sz w:val="22"/>
          <w:szCs w:val="22"/>
        </w:rPr>
      </w:pPr>
    </w:p>
    <w:p w14:paraId="35557E7D"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114.- Cada ayuntamiento elaborará su plan de desarrollo municipal y los programas de trabajo necesarios para su ejecución en forma democrática y participativa.</w:t>
      </w:r>
    </w:p>
    <w:p w14:paraId="2BE258A1"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116.-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p w14:paraId="256EDC73" w14:textId="77777777" w:rsidR="00443F9D" w:rsidRPr="00D365BF" w:rsidRDefault="00443F9D">
      <w:pPr>
        <w:ind w:left="851" w:right="899"/>
        <w:jc w:val="both"/>
        <w:rPr>
          <w:rFonts w:ascii="Palatino Linotype" w:eastAsia="Palatino Linotype" w:hAnsi="Palatino Linotype" w:cs="Palatino Linotype"/>
          <w:i/>
          <w:sz w:val="22"/>
          <w:szCs w:val="22"/>
        </w:rPr>
      </w:pPr>
    </w:p>
    <w:p w14:paraId="290BF7F4"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117.- El Plan de Desarrollo Municipal tendrá los objetivos siguientes:</w:t>
      </w:r>
    </w:p>
    <w:p w14:paraId="4B340CC1"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 Atender las demandas prioritarias de la población;</w:t>
      </w:r>
    </w:p>
    <w:p w14:paraId="26DA1C09"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 Propiciar el desarrollo armónico del municipio;</w:t>
      </w:r>
    </w:p>
    <w:p w14:paraId="18724988"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lastRenderedPageBreak/>
        <w:t>III. Asegurar la participación de la sociedad en las acciones del gobierno municipal;</w:t>
      </w:r>
    </w:p>
    <w:p w14:paraId="737BAC16"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IV. Vincular el Plan de Desarrollo Municipal con los planes de desarrollo federal y estatal;</w:t>
      </w:r>
    </w:p>
    <w:p w14:paraId="6A85C558"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V. Aplicar de manera racional los recursos financieros para el cumplimiento del plan y los programas de desarrollo.</w:t>
      </w:r>
    </w:p>
    <w:p w14:paraId="28F0BCD4"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3688CE28"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118.- El Plan de Desarrollo Municipal contendrá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w:t>
      </w:r>
    </w:p>
    <w:p w14:paraId="3959B6C3" w14:textId="77777777" w:rsidR="00443F9D" w:rsidRPr="00D365BF" w:rsidRDefault="00443F9D">
      <w:pPr>
        <w:ind w:left="851" w:right="899"/>
        <w:jc w:val="both"/>
        <w:rPr>
          <w:rFonts w:ascii="Palatino Linotype" w:eastAsia="Palatino Linotype" w:hAnsi="Palatino Linotype" w:cs="Palatino Linotype"/>
          <w:i/>
          <w:sz w:val="22"/>
          <w:szCs w:val="22"/>
        </w:rPr>
      </w:pPr>
    </w:p>
    <w:p w14:paraId="41C535B3"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121.- Los ayuntamientos publicarán su Plan de Desarrollo Municipal a través de la Gaceta Municipal y de los estrados de los Ayuntamientos durante el primer año de gestión y lo difundirán en forma extensa</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45A9EC38" w14:textId="77777777" w:rsidR="00443F9D" w:rsidRPr="00D365BF" w:rsidRDefault="00443F9D">
      <w:pPr>
        <w:spacing w:line="360" w:lineRule="auto"/>
        <w:ind w:left="567" w:right="539"/>
        <w:jc w:val="both"/>
        <w:rPr>
          <w:rFonts w:ascii="Palatino Linotype" w:eastAsia="Palatino Linotype" w:hAnsi="Palatino Linotype" w:cs="Palatino Linotype"/>
          <w:i/>
        </w:rPr>
      </w:pPr>
    </w:p>
    <w:p w14:paraId="22D7F22B" w14:textId="77777777" w:rsidR="00443F9D" w:rsidRPr="00D365BF" w:rsidRDefault="001B2381">
      <w:pPr>
        <w:tabs>
          <w:tab w:val="left" w:pos="4962"/>
        </w:tabs>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Así de lo anterior, se advierte que el Plan de Desarrollo Municipal es el instrumento de planeación que tiene la capacidad de asignar recursos para la ejecución y el desarrollo de los proyectos relacionados con el objetivo</w:t>
      </w:r>
      <w:r w:rsidRPr="00D365BF">
        <w:rPr>
          <w:rFonts w:ascii="Palatino Linotype" w:eastAsia="Palatino Linotype" w:hAnsi="Palatino Linotype" w:cs="Palatino Linotype"/>
          <w:b/>
        </w:rPr>
        <w:t xml:space="preserve"> </w:t>
      </w:r>
      <w:r w:rsidRPr="00D365BF">
        <w:rPr>
          <w:rFonts w:ascii="Palatino Linotype" w:eastAsia="Palatino Linotype" w:hAnsi="Palatino Linotype" w:cs="Palatino Linotype"/>
        </w:rPr>
        <w:t>de desarrollo territorial durante la vigencia de un periodo de gobierno.</w:t>
      </w:r>
    </w:p>
    <w:p w14:paraId="51721C95" w14:textId="77777777" w:rsidR="00443F9D" w:rsidRPr="00D365BF" w:rsidRDefault="00443F9D">
      <w:pPr>
        <w:tabs>
          <w:tab w:val="left" w:pos="4962"/>
        </w:tabs>
        <w:spacing w:line="360" w:lineRule="auto"/>
        <w:jc w:val="both"/>
        <w:rPr>
          <w:rFonts w:ascii="Palatino Linotype" w:eastAsia="Palatino Linotype" w:hAnsi="Palatino Linotype" w:cs="Palatino Linotype"/>
        </w:rPr>
      </w:pPr>
    </w:p>
    <w:p w14:paraId="21BF6C7A" w14:textId="77777777" w:rsidR="00443F9D" w:rsidRPr="00D365BF" w:rsidRDefault="001B2381">
      <w:pPr>
        <w:tabs>
          <w:tab w:val="left" w:pos="4962"/>
        </w:tabs>
        <w:spacing w:line="360" w:lineRule="auto"/>
        <w:jc w:val="both"/>
        <w:rPr>
          <w:rFonts w:ascii="Palatino Linotype" w:eastAsia="Palatino Linotype" w:hAnsi="Palatino Linotype" w:cs="Palatino Linotype"/>
        </w:rPr>
      </w:pPr>
      <w:proofErr w:type="gramStart"/>
      <w:r w:rsidRPr="00D365BF">
        <w:rPr>
          <w:rFonts w:ascii="Palatino Linotype" w:eastAsia="Palatino Linotype" w:hAnsi="Palatino Linotype" w:cs="Palatino Linotype"/>
        </w:rPr>
        <w:t>Asimismo</w:t>
      </w:r>
      <w:proofErr w:type="gramEnd"/>
      <w:r w:rsidRPr="00D365BF">
        <w:rPr>
          <w:rFonts w:ascii="Palatino Linotype" w:eastAsia="Palatino Linotype" w:hAnsi="Palatino Linotype" w:cs="Palatino Linotype"/>
        </w:rPr>
        <w:t xml:space="preserve"> el artículo 12 de la Ley Orgánica Municipal del Estado de México, faculta a los Ayuntamiento, entre ellos al Ayuntamiento de Naucalpan de Juárez, la regularización de su suelo, en términos de los Planes de Desarrollo Urbano, el cual señala:</w:t>
      </w:r>
    </w:p>
    <w:p w14:paraId="47B150D2" w14:textId="77777777" w:rsidR="00443F9D" w:rsidRPr="00D365BF" w:rsidRDefault="00443F9D">
      <w:pPr>
        <w:tabs>
          <w:tab w:val="left" w:pos="4962"/>
        </w:tabs>
        <w:spacing w:line="360" w:lineRule="auto"/>
        <w:jc w:val="both"/>
        <w:rPr>
          <w:rFonts w:ascii="Palatino Linotype" w:eastAsia="Palatino Linotype" w:hAnsi="Palatino Linotype" w:cs="Palatino Linotype"/>
        </w:rPr>
      </w:pPr>
    </w:p>
    <w:p w14:paraId="78767395"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12.- Los municipios controlarán y vigilarán, coordinada y concurrentemente con el Gobierno del Estado, la utilización del suelo en sus jurisdicciones territoriales, en los términos de la ley de la materia y los Planes de Desarrollo Urbano correspondientes.” (Sic)</w:t>
      </w:r>
    </w:p>
    <w:p w14:paraId="733D1F86" w14:textId="77777777" w:rsidR="00443F9D" w:rsidRPr="00D365BF" w:rsidRDefault="00443F9D">
      <w:pPr>
        <w:tabs>
          <w:tab w:val="left" w:pos="4962"/>
        </w:tabs>
        <w:spacing w:line="360" w:lineRule="auto"/>
        <w:jc w:val="both"/>
        <w:rPr>
          <w:rFonts w:ascii="Palatino Linotype" w:eastAsia="Palatino Linotype" w:hAnsi="Palatino Linotype" w:cs="Palatino Linotype"/>
        </w:rPr>
      </w:pPr>
    </w:p>
    <w:p w14:paraId="0AEF5663" w14:textId="77777777" w:rsidR="00443F9D" w:rsidRPr="00D365BF" w:rsidRDefault="001B2381">
      <w:pPr>
        <w:tabs>
          <w:tab w:val="left" w:pos="4962"/>
        </w:tabs>
        <w:spacing w:line="360" w:lineRule="auto"/>
        <w:jc w:val="both"/>
        <w:rPr>
          <w:rFonts w:ascii="Palatino Linotype" w:eastAsia="Palatino Linotype" w:hAnsi="Palatino Linotype" w:cs="Palatino Linotype"/>
        </w:rPr>
      </w:pPr>
      <w:proofErr w:type="gramStart"/>
      <w:r w:rsidRPr="00D365BF">
        <w:rPr>
          <w:rFonts w:ascii="Palatino Linotype" w:eastAsia="Palatino Linotype" w:hAnsi="Palatino Linotype" w:cs="Palatino Linotype"/>
        </w:rPr>
        <w:lastRenderedPageBreak/>
        <w:t>Además</w:t>
      </w:r>
      <w:proofErr w:type="gramEnd"/>
      <w:r w:rsidRPr="00D365BF">
        <w:rPr>
          <w:rFonts w:ascii="Palatino Linotype" w:eastAsia="Palatino Linotype" w:hAnsi="Palatino Linotype" w:cs="Palatino Linotype"/>
        </w:rPr>
        <w:t xml:space="preserve"> el Código Administrativo del Estado de México en su artículo 5.10, fracción VI señala que los municipios tendrán la atribución de expedir </w:t>
      </w:r>
      <w:r w:rsidRPr="00D365BF">
        <w:rPr>
          <w:rFonts w:ascii="Palatino Linotype" w:eastAsia="Palatino Linotype" w:hAnsi="Palatino Linotype" w:cs="Palatino Linotype"/>
          <w:u w:val="single"/>
        </w:rPr>
        <w:t>licencias de uso de suelo, como se advierte a continuación:</w:t>
      </w:r>
    </w:p>
    <w:p w14:paraId="1AD1CD70" w14:textId="77777777" w:rsidR="00443F9D" w:rsidRPr="00D365BF" w:rsidRDefault="00443F9D">
      <w:pPr>
        <w:tabs>
          <w:tab w:val="left" w:pos="4962"/>
        </w:tabs>
        <w:spacing w:line="360" w:lineRule="auto"/>
        <w:jc w:val="both"/>
        <w:rPr>
          <w:rFonts w:ascii="Palatino Linotype" w:eastAsia="Palatino Linotype" w:hAnsi="Palatino Linotype" w:cs="Palatino Linotype"/>
          <w:sz w:val="22"/>
          <w:szCs w:val="22"/>
        </w:rPr>
      </w:pPr>
    </w:p>
    <w:p w14:paraId="7DC30160"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5.10. Los municipios tendrán las atribuciones siguientes: </w:t>
      </w:r>
    </w:p>
    <w:p w14:paraId="3D18A8DA"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7612791A"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 Expedir cédulas informativas de zonificación, </w:t>
      </w:r>
      <w:r w:rsidRPr="00D365BF">
        <w:rPr>
          <w:rFonts w:ascii="Palatino Linotype" w:eastAsia="Palatino Linotype" w:hAnsi="Palatino Linotype" w:cs="Palatino Linotype"/>
          <w:b/>
          <w:i/>
          <w:sz w:val="22"/>
          <w:szCs w:val="22"/>
        </w:rPr>
        <w:t>licencias de uso de suelo</w:t>
      </w:r>
      <w:r w:rsidRPr="00D365BF">
        <w:rPr>
          <w:rFonts w:ascii="Palatino Linotype" w:eastAsia="Palatino Linotype" w:hAnsi="Palatino Linotype" w:cs="Palatino Linotype"/>
          <w:i/>
          <w:sz w:val="22"/>
          <w:szCs w:val="22"/>
        </w:rPr>
        <w:t xml:space="preserve"> y licencias de construcción</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3DBCC658" w14:textId="77777777" w:rsidR="00443F9D" w:rsidRPr="00D365BF" w:rsidRDefault="00443F9D">
      <w:pPr>
        <w:tabs>
          <w:tab w:val="left" w:pos="4962"/>
        </w:tabs>
        <w:spacing w:line="360" w:lineRule="auto"/>
        <w:jc w:val="both"/>
        <w:rPr>
          <w:rFonts w:ascii="Palatino Linotype" w:eastAsia="Palatino Linotype" w:hAnsi="Palatino Linotype" w:cs="Palatino Linotype"/>
          <w:sz w:val="22"/>
          <w:szCs w:val="22"/>
        </w:rPr>
      </w:pPr>
    </w:p>
    <w:p w14:paraId="0E11E707" w14:textId="77777777" w:rsidR="00443F9D" w:rsidRPr="00D365BF" w:rsidRDefault="001B2381">
      <w:pPr>
        <w:tabs>
          <w:tab w:val="left" w:pos="4962"/>
        </w:tabs>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Por su parte el Reglamento del Libro Quinto del Código Administrativo del Estado de México, sobre las licencias de uso de suelo señala lo siguiente:</w:t>
      </w:r>
    </w:p>
    <w:p w14:paraId="5FD8AED7" w14:textId="77777777" w:rsidR="00443F9D" w:rsidRPr="00D365BF" w:rsidRDefault="00443F9D">
      <w:pPr>
        <w:tabs>
          <w:tab w:val="left" w:pos="4962"/>
        </w:tabs>
        <w:spacing w:line="360" w:lineRule="auto"/>
        <w:jc w:val="both"/>
        <w:rPr>
          <w:rFonts w:ascii="Palatino Linotype" w:eastAsia="Palatino Linotype" w:hAnsi="Palatino Linotype" w:cs="Palatino Linotype"/>
          <w:sz w:val="22"/>
          <w:szCs w:val="22"/>
        </w:rPr>
      </w:pPr>
    </w:p>
    <w:p w14:paraId="16B849E5"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DEL OBJETO DE LA LICENCIA DE USO DEL SUELO</w:t>
      </w:r>
    </w:p>
    <w:p w14:paraId="36F79D39"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135. La licencia de uso del suelo tendrá por objeto autorizar las normas para el uso y aprovechamiento de un determinado predio tales como: el coeficiente de ocupación del suelo, el coeficiente de utilización del suelo, la altura máxima de edificación, el número de cajones de estacionamiento, y en su caso el alineamiento y número oficial, además de señalar las restricciones correspondientes del Plan Municipal de Desarrollo Urbano correspondiente. A solicitud del interesado la licencia de uso del suelo podrá contener también el alineamiento y número oficial.</w:t>
      </w:r>
    </w:p>
    <w:p w14:paraId="5457750A" w14:textId="77777777" w:rsidR="00443F9D" w:rsidRPr="00D365BF" w:rsidRDefault="00443F9D">
      <w:pPr>
        <w:ind w:left="851" w:right="899"/>
        <w:jc w:val="both"/>
        <w:rPr>
          <w:rFonts w:ascii="Palatino Linotype" w:eastAsia="Palatino Linotype" w:hAnsi="Palatino Linotype" w:cs="Palatino Linotype"/>
          <w:i/>
          <w:sz w:val="22"/>
          <w:szCs w:val="22"/>
        </w:rPr>
      </w:pPr>
    </w:p>
    <w:p w14:paraId="3A31D899"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DEL PROCEDIMIENTO PARA OBTENER LICENCIA DE USO DEL SUELO </w:t>
      </w:r>
    </w:p>
    <w:p w14:paraId="254F48DD"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136. El procedimiento para obtener licencia de uso del suelo se sujetará a lo siguiente:</w:t>
      </w:r>
    </w:p>
    <w:p w14:paraId="6DAB139C"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 El interesado presentará solicitud ante la autoridad competente, en la que señalará lo siguiente:</w:t>
      </w:r>
    </w:p>
    <w:p w14:paraId="571C32E5"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 Uso actual y pretendido del suelo;</w:t>
      </w:r>
    </w:p>
    <w:p w14:paraId="6FD95255"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B) Superficie total del predio;</w:t>
      </w:r>
    </w:p>
    <w:p w14:paraId="7F386A3B"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C) Superficie construida o por construir;</w:t>
      </w:r>
    </w:p>
    <w:p w14:paraId="3250543E"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D) Clave catastral, si la hubiere;</w:t>
      </w:r>
    </w:p>
    <w:p w14:paraId="4EBC9D46"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E) Localización del inmueble, a través de representación gráfica (croquis);</w:t>
      </w:r>
    </w:p>
    <w:p w14:paraId="34EA5C99"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 A la solicitud se acompañarán los documentos siguientes:</w:t>
      </w:r>
    </w:p>
    <w:p w14:paraId="1DEF2F14"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 Título de propiedad y certificado de inscripción en el Instituto de la Función Registral del Estado de México;</w:t>
      </w:r>
    </w:p>
    <w:p w14:paraId="7BEDCF67"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lastRenderedPageBreak/>
        <w:t>B) En caso de posesión del inmueble o predio, podrá acreditarse con alguno de los documentos siguientes:</w:t>
      </w:r>
      <w:r w:rsidRPr="00D365BF">
        <w:rPr>
          <w:rFonts w:ascii="Palatino Linotype" w:eastAsia="Palatino Linotype" w:hAnsi="Palatino Linotype" w:cs="Palatino Linotype"/>
          <w:i/>
          <w:sz w:val="22"/>
          <w:szCs w:val="22"/>
        </w:rPr>
        <w:br/>
        <w:t xml:space="preserve"> 1. Contrato de compra-venta, usufructo, comodato o arrendamiento vigente sobre el inmueble;</w:t>
      </w:r>
    </w:p>
    <w:p w14:paraId="6D3AAB03"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2. Resolución judicial firme que constituya o declare la propiedad o posesión o cualquier otro derecho real o personal vigente a favor del solicitante sobre el inmueble;</w:t>
      </w:r>
    </w:p>
    <w:p w14:paraId="7EBF7105"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3. Inmatriculación administrativa;</w:t>
      </w:r>
    </w:p>
    <w:p w14:paraId="115FD26B"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4. Recibo de pago del impuesto sobre traslación de dominio;</w:t>
      </w:r>
    </w:p>
    <w:p w14:paraId="24180141"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5. Acta de entrega de la posesión, en caso de viviendas;</w:t>
      </w:r>
    </w:p>
    <w:p w14:paraId="47F4DECC"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6. Cédula de contratación con el Instituto;</w:t>
      </w:r>
    </w:p>
    <w:p w14:paraId="18141D31"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7. En el caso de terrenos ejidales o comunales, certificado parcelario, certificado de derechos agrarios o resolución agraria, cédula de contratación con el Instituto de Suelo Sustentable, y</w:t>
      </w:r>
    </w:p>
    <w:p w14:paraId="56B0958D"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C) Dictamen Único, en el caso de usos del suelo de impacto urbano a que se refiere el artículo 5.35 del Código.</w:t>
      </w:r>
    </w:p>
    <w:p w14:paraId="4F661744"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La autoridad competente expedirá la licencia de uso del suelo dentro de los cinco días siguientes a la presentación de la solicitud y de los documentos que deben acompañarla, previo el pago de los derechos correspondientes, salvo que se solicite la opinión de la Secretaría, cuando no se cuente con plan de desarrollo urbano, en cuyo caso el plazo se extenderá hasta en cinco días </w:t>
      </w:r>
      <w:proofErr w:type="spellStart"/>
      <w:r w:rsidRPr="00D365BF">
        <w:rPr>
          <w:rFonts w:ascii="Palatino Linotype" w:eastAsia="Palatino Linotype" w:hAnsi="Palatino Linotype" w:cs="Palatino Linotype"/>
          <w:i/>
          <w:sz w:val="22"/>
          <w:szCs w:val="22"/>
        </w:rPr>
        <w:t>mas</w:t>
      </w:r>
      <w:proofErr w:type="spellEnd"/>
      <w:r w:rsidRPr="00D365BF">
        <w:rPr>
          <w:rFonts w:ascii="Palatino Linotype" w:eastAsia="Palatino Linotype" w:hAnsi="Palatino Linotype" w:cs="Palatino Linotype"/>
          <w:i/>
          <w:sz w:val="22"/>
          <w:szCs w:val="22"/>
        </w:rPr>
        <w:t>.</w:t>
      </w:r>
    </w:p>
    <w:p w14:paraId="1A976BC4" w14:textId="77777777" w:rsidR="00443F9D" w:rsidRPr="00D365BF" w:rsidRDefault="00443F9D">
      <w:pPr>
        <w:ind w:left="851" w:right="899"/>
        <w:jc w:val="both"/>
        <w:rPr>
          <w:rFonts w:ascii="Palatino Linotype" w:eastAsia="Palatino Linotype" w:hAnsi="Palatino Linotype" w:cs="Palatino Linotype"/>
          <w:i/>
          <w:sz w:val="22"/>
          <w:szCs w:val="22"/>
        </w:rPr>
      </w:pPr>
    </w:p>
    <w:p w14:paraId="3E0DEC6F"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DEL CONTENIDO DE LA LICENCIA DE USO DEL SUELO</w:t>
      </w:r>
    </w:p>
    <w:p w14:paraId="37343AF0"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137. La licencia de uso del suelo deberá contener, cuando menos, lo siguiente:</w:t>
      </w:r>
    </w:p>
    <w:p w14:paraId="69C5D024"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 Número de la licencia;</w:t>
      </w:r>
    </w:p>
    <w:p w14:paraId="64CEF5CE"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 Ubicación del predio o inmueble y en su caso, clave catastral;</w:t>
      </w:r>
    </w:p>
    <w:p w14:paraId="72B8BBEC"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III. Nombre y domicilio del solicitante;</w:t>
      </w:r>
    </w:p>
    <w:p w14:paraId="340E2FA4"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IV. Uso o usos del suelo que se autorizan;</w:t>
      </w:r>
    </w:p>
    <w:p w14:paraId="1F46776E"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V. Densidad de vivienda, en su caso;</w:t>
      </w:r>
    </w:p>
    <w:p w14:paraId="6D606A0F"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VI. Coeficiente de ocupación del suelo y coeficiente de utilización del suelo;</w:t>
      </w:r>
    </w:p>
    <w:p w14:paraId="26D1BD02"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VII. Altura máxima de edificación;</w:t>
      </w:r>
    </w:p>
    <w:p w14:paraId="574CBD6F"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VIII. Número obligatorio de cajones de estacionamiento;</w:t>
      </w:r>
    </w:p>
    <w:p w14:paraId="360C1EA5"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IX. Alineamiento y número oficial;</w:t>
      </w:r>
    </w:p>
    <w:p w14:paraId="0A00792F"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X. La normatividad, y obligaciones que deriven del Dictamen Único y las Evaluaciones Técnicas</w:t>
      </w:r>
    </w:p>
    <w:p w14:paraId="4F35C05D"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de Factibilidad, en su caso;</w:t>
      </w:r>
    </w:p>
    <w:p w14:paraId="5C2183C7"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XI. Restricciones federales, estatales y municipales;</w:t>
      </w:r>
    </w:p>
    <w:p w14:paraId="0CC95AE3"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XII. La normatividad y obligaciones que deriven de los dictámenes en materia de conservación</w:t>
      </w:r>
    </w:p>
    <w:p w14:paraId="23B07807"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lastRenderedPageBreak/>
        <w:t>del patrimonio histórico, artístico y cultural, en su caso;</w:t>
      </w:r>
    </w:p>
    <w:p w14:paraId="43F97BE9"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XIII. Vigencia de la licencia;</w:t>
      </w:r>
    </w:p>
    <w:p w14:paraId="55136B8A"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XIV. Lugar y fecha en que se expide, y</w:t>
      </w:r>
    </w:p>
    <w:p w14:paraId="65117B6D"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XV. Nombre, cargo y firma de quien la autoriza.</w:t>
      </w:r>
    </w:p>
    <w:p w14:paraId="6AB8ECD2"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Cuando el interesado únicamente solicite alineamiento y número oficial, la licencia de uso de suelo solo contendrá los datos a que refieren las fracciones I, II, III y XI de este artículo.” (Sic)</w:t>
      </w:r>
    </w:p>
    <w:p w14:paraId="53622787" w14:textId="77777777" w:rsidR="00443F9D" w:rsidRPr="00D365BF" w:rsidRDefault="00443F9D">
      <w:pPr>
        <w:ind w:left="851" w:right="899"/>
        <w:jc w:val="both"/>
        <w:rPr>
          <w:rFonts w:ascii="Palatino Linotype" w:eastAsia="Palatino Linotype" w:hAnsi="Palatino Linotype" w:cs="Palatino Linotype"/>
          <w:sz w:val="22"/>
          <w:szCs w:val="22"/>
        </w:rPr>
      </w:pPr>
    </w:p>
    <w:p w14:paraId="77934DD1" w14:textId="77777777" w:rsidR="00443F9D" w:rsidRPr="00D365BF" w:rsidRDefault="001B2381">
      <w:pPr>
        <w:spacing w:line="360" w:lineRule="auto"/>
        <w:ind w:right="-93"/>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También, es importante referir las atribuciones de área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que dio respuesta, siendo la Dirección General de Desarrollo Urbano del Ayuntamiento de Naucalpan de Juárez, las cuales se encuentran señaladas en el artículo 96 </w:t>
      </w:r>
      <w:proofErr w:type="spellStart"/>
      <w:r w:rsidRPr="00D365BF">
        <w:rPr>
          <w:rFonts w:ascii="Palatino Linotype" w:eastAsia="Palatino Linotype" w:hAnsi="Palatino Linotype" w:cs="Palatino Linotype"/>
        </w:rPr>
        <w:t>sexies</w:t>
      </w:r>
      <w:proofErr w:type="spellEnd"/>
      <w:r w:rsidRPr="00D365BF">
        <w:rPr>
          <w:rFonts w:ascii="Palatino Linotype" w:eastAsia="Palatino Linotype" w:hAnsi="Palatino Linotype" w:cs="Palatino Linotype"/>
        </w:rPr>
        <w:t xml:space="preserve"> en específico en la fracción VI de la Ley Orgánica Municipal del Estado de México, que señala:</w:t>
      </w:r>
    </w:p>
    <w:p w14:paraId="691D3AB7" w14:textId="77777777" w:rsidR="00443F9D" w:rsidRPr="00D365BF" w:rsidRDefault="00443F9D">
      <w:pPr>
        <w:spacing w:line="360" w:lineRule="auto"/>
        <w:ind w:right="-93"/>
        <w:jc w:val="both"/>
        <w:rPr>
          <w:rFonts w:ascii="Palatino Linotype" w:eastAsia="Palatino Linotype" w:hAnsi="Palatino Linotype" w:cs="Palatino Linotype"/>
        </w:rPr>
      </w:pPr>
    </w:p>
    <w:p w14:paraId="21627EFC"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96. </w:t>
      </w:r>
      <w:proofErr w:type="spellStart"/>
      <w:r w:rsidRPr="00D365BF">
        <w:rPr>
          <w:rFonts w:ascii="Palatino Linotype" w:eastAsia="Palatino Linotype" w:hAnsi="Palatino Linotype" w:cs="Palatino Linotype"/>
          <w:i/>
          <w:sz w:val="22"/>
          <w:szCs w:val="22"/>
        </w:rPr>
        <w:t>Sexies</w:t>
      </w:r>
      <w:proofErr w:type="spellEnd"/>
      <w:r w:rsidRPr="00D365BF">
        <w:rPr>
          <w:rFonts w:ascii="Palatino Linotype" w:eastAsia="Palatino Linotype" w:hAnsi="Palatino Linotype" w:cs="Palatino Linotype"/>
          <w:i/>
          <w:sz w:val="22"/>
          <w:szCs w:val="22"/>
        </w:rPr>
        <w:t xml:space="preserve">. El </w:t>
      </w:r>
      <w:proofErr w:type="gramStart"/>
      <w:r w:rsidRPr="00D365BF">
        <w:rPr>
          <w:rFonts w:ascii="Palatino Linotype" w:eastAsia="Palatino Linotype" w:hAnsi="Palatino Linotype" w:cs="Palatino Linotype"/>
          <w:i/>
          <w:sz w:val="22"/>
          <w:szCs w:val="22"/>
        </w:rPr>
        <w:t>Director</w:t>
      </w:r>
      <w:proofErr w:type="gramEnd"/>
      <w:r w:rsidRPr="00D365BF">
        <w:rPr>
          <w:rFonts w:ascii="Palatino Linotype" w:eastAsia="Palatino Linotype" w:hAnsi="Palatino Linotype" w:cs="Palatino Linotype"/>
          <w:i/>
          <w:sz w:val="22"/>
          <w:szCs w:val="22"/>
        </w:rPr>
        <w:t xml:space="preserve"> de Desarrollo Urbano o el Titular de la Unidad Administrativa equivalente, tiene las atribuciones siguientes: </w:t>
      </w:r>
    </w:p>
    <w:p w14:paraId="5AAE50BA"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VI. Analizar las cédulas informativas de zonificación, licencias de uso de suelo y licencias de construcción</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6C5BDED6" w14:textId="77777777" w:rsidR="00443F9D" w:rsidRPr="00D365BF" w:rsidRDefault="00443F9D">
      <w:pPr>
        <w:spacing w:line="360" w:lineRule="auto"/>
        <w:ind w:right="-93"/>
        <w:jc w:val="both"/>
        <w:rPr>
          <w:rFonts w:ascii="Palatino Linotype" w:eastAsia="Palatino Linotype" w:hAnsi="Palatino Linotype" w:cs="Palatino Linotype"/>
        </w:rPr>
      </w:pPr>
    </w:p>
    <w:p w14:paraId="1B80ADD5" w14:textId="77777777" w:rsidR="00443F9D" w:rsidRPr="00D365BF" w:rsidRDefault="001B2381">
      <w:pPr>
        <w:spacing w:line="360" w:lineRule="auto"/>
        <w:ind w:right="-93"/>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Lo que se robustece con lo señalado por el </w:t>
      </w:r>
      <w:hyperlink r:id="rId18">
        <w:r w:rsidRPr="00D365BF">
          <w:rPr>
            <w:rFonts w:ascii="Palatino Linotype" w:eastAsia="Palatino Linotype" w:hAnsi="Palatino Linotype" w:cs="Palatino Linotype"/>
          </w:rPr>
          <w:t>Reglamento Interno De La Dirección General De Desarrollo Urbano Del Municipio De Naucalpan De Juárez, México</w:t>
        </w:r>
      </w:hyperlink>
      <w:r w:rsidRPr="00D365BF">
        <w:rPr>
          <w:rFonts w:ascii="Palatino Linotype" w:eastAsia="Palatino Linotype" w:hAnsi="Palatino Linotype" w:cs="Palatino Linotype"/>
        </w:rPr>
        <w:t xml:space="preserve">, en su artículo 9 fracción XXX, que establece: </w:t>
      </w:r>
    </w:p>
    <w:p w14:paraId="3299820C" w14:textId="77777777" w:rsidR="00443F9D" w:rsidRPr="00D365BF" w:rsidRDefault="00443F9D">
      <w:pPr>
        <w:spacing w:line="360" w:lineRule="auto"/>
        <w:ind w:right="-93"/>
        <w:jc w:val="both"/>
        <w:rPr>
          <w:rFonts w:ascii="Palatino Linotype" w:eastAsia="Palatino Linotype" w:hAnsi="Palatino Linotype" w:cs="Palatino Linotype"/>
        </w:rPr>
      </w:pPr>
    </w:p>
    <w:p w14:paraId="461ECCA4"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9.- La Dirección General, estará a cargo de un titular, que se denominará </w:t>
      </w:r>
      <w:proofErr w:type="gramStart"/>
      <w:r w:rsidRPr="00D365BF">
        <w:rPr>
          <w:rFonts w:ascii="Palatino Linotype" w:eastAsia="Palatino Linotype" w:hAnsi="Palatino Linotype" w:cs="Palatino Linotype"/>
          <w:i/>
          <w:sz w:val="22"/>
          <w:szCs w:val="22"/>
        </w:rPr>
        <w:t>Director</w:t>
      </w:r>
      <w:proofErr w:type="gramEnd"/>
      <w:r w:rsidRPr="00D365BF">
        <w:rPr>
          <w:rFonts w:ascii="Palatino Linotype" w:eastAsia="Palatino Linotype" w:hAnsi="Palatino Linotype" w:cs="Palatino Linotype"/>
          <w:i/>
          <w:sz w:val="22"/>
          <w:szCs w:val="22"/>
        </w:rPr>
        <w:t>(a) General; y adicional a las atribuciones generales contenidas en el Reglamento Orgánico con este carácter, tendrá las siguientes atribuciones no delegables:</w:t>
      </w:r>
    </w:p>
    <w:p w14:paraId="269D97F5"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06DB4675"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XXX. Expedir la autorización de Cambio de Uso de Suelo, de Densidad e Intensidad y Altura de edificaciones, la Licencia de Uso de Suelo que requiera de Evaluación de Impacto Estatal, previamente expedido por la Secretaría de Desarrollo Urbano y Obra, la Licencia de Construcción, Constancias de </w:t>
      </w:r>
      <w:r w:rsidRPr="00D365BF">
        <w:rPr>
          <w:rFonts w:ascii="Palatino Linotype" w:eastAsia="Palatino Linotype" w:hAnsi="Palatino Linotype" w:cs="Palatino Linotype"/>
          <w:i/>
          <w:sz w:val="22"/>
          <w:szCs w:val="22"/>
        </w:rPr>
        <w:lastRenderedPageBreak/>
        <w:t>Suspensión Voluntaria y de terminación de Obra parcial o total, que tenga sustento en la Licencia de Uso de Suelo…” (Sic)</w:t>
      </w:r>
    </w:p>
    <w:p w14:paraId="252AAFAD" w14:textId="77777777" w:rsidR="00443F9D" w:rsidRPr="00D365BF" w:rsidRDefault="00443F9D">
      <w:pPr>
        <w:spacing w:line="360" w:lineRule="auto"/>
        <w:ind w:right="-93"/>
        <w:jc w:val="both"/>
        <w:rPr>
          <w:rFonts w:ascii="Palatino Linotype" w:eastAsia="Palatino Linotype" w:hAnsi="Palatino Linotype" w:cs="Palatino Linotype"/>
        </w:rPr>
      </w:pPr>
    </w:p>
    <w:p w14:paraId="71A24A06" w14:textId="77777777" w:rsidR="00443F9D" w:rsidRPr="00D365BF" w:rsidRDefault="001B2381">
      <w:pPr>
        <w:spacing w:line="360" w:lineRule="auto"/>
        <w:ind w:right="-93"/>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De la normatividad anteriormente mencionada se advierte que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cuenta con atribuciones para emitir los documentos solicitados por el Particular, además de que la información requerida no sólo es información pública, sino que también una obligación de transparencia como se muestra a continuación:</w:t>
      </w:r>
    </w:p>
    <w:p w14:paraId="79FEC1A3" w14:textId="77777777" w:rsidR="00443F9D" w:rsidRPr="00D365BF" w:rsidRDefault="00443F9D">
      <w:pPr>
        <w:spacing w:line="360" w:lineRule="auto"/>
        <w:ind w:right="-93"/>
        <w:jc w:val="both"/>
        <w:rPr>
          <w:rFonts w:ascii="Palatino Linotype" w:eastAsia="Palatino Linotype" w:hAnsi="Palatino Linotype" w:cs="Palatino Linotype"/>
          <w:sz w:val="22"/>
          <w:szCs w:val="22"/>
        </w:rPr>
      </w:pPr>
    </w:p>
    <w:p w14:paraId="3D5774FD"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5F2FE19A"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 En el caso del Poder Ejecutivo y los Municipios, en el ámbito de su competencia:</w:t>
      </w:r>
    </w:p>
    <w:p w14:paraId="4AEECD07"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a) a e) …</w:t>
      </w:r>
    </w:p>
    <w:p w14:paraId="463C5797" w14:textId="77777777" w:rsidR="00443F9D" w:rsidRPr="00D365BF" w:rsidRDefault="001B2381">
      <w:pPr>
        <w:ind w:left="851" w:right="89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f) La información detallada que contengan los planes de desarrollo urbano, ordenamiento territorial y ecológico, </w:t>
      </w:r>
      <w:r w:rsidRPr="00D365BF">
        <w:rPr>
          <w:rFonts w:ascii="Palatino Linotype" w:eastAsia="Palatino Linotype" w:hAnsi="Palatino Linotype" w:cs="Palatino Linotype"/>
          <w:b/>
          <w:i/>
          <w:sz w:val="22"/>
          <w:szCs w:val="22"/>
          <w:u w:val="single"/>
        </w:rPr>
        <w:t>los tipos y usos de suelo</w:t>
      </w:r>
      <w:r w:rsidRPr="00D365BF">
        <w:rPr>
          <w:rFonts w:ascii="Palatino Linotype" w:eastAsia="Palatino Linotype" w:hAnsi="Palatino Linotype" w:cs="Palatino Linotype"/>
          <w:i/>
          <w:sz w:val="22"/>
          <w:szCs w:val="22"/>
        </w:rPr>
        <w:t xml:space="preserve">, </w:t>
      </w:r>
      <w:r w:rsidRPr="00D365BF">
        <w:rPr>
          <w:rFonts w:ascii="Palatino Linotype" w:eastAsia="Palatino Linotype" w:hAnsi="Palatino Linotype" w:cs="Palatino Linotype"/>
          <w:b/>
          <w:i/>
          <w:sz w:val="22"/>
          <w:szCs w:val="22"/>
        </w:rPr>
        <w:t>licencias de uso</w:t>
      </w:r>
      <w:r w:rsidRPr="00D365BF">
        <w:rPr>
          <w:rFonts w:ascii="Palatino Linotype" w:eastAsia="Palatino Linotype" w:hAnsi="Palatino Linotype" w:cs="Palatino Linotype"/>
          <w:i/>
          <w:sz w:val="22"/>
          <w:szCs w:val="22"/>
        </w:rPr>
        <w:t xml:space="preserve"> y construcción otorgadas por los gobiernos municipales</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13F911BA"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Precisado lo anterior, regresando con la </w:t>
      </w:r>
      <w:proofErr w:type="gramStart"/>
      <w:r w:rsidRPr="00D365BF">
        <w:rPr>
          <w:rFonts w:ascii="Palatino Linotype" w:eastAsia="Palatino Linotype" w:hAnsi="Palatino Linotype" w:cs="Palatino Linotype"/>
        </w:rPr>
        <w:t>respuesta  de</w:t>
      </w:r>
      <w:proofErr w:type="gramEnd"/>
      <w:r w:rsidRPr="00D365BF">
        <w:rPr>
          <w:rFonts w:ascii="Palatino Linotype" w:eastAsia="Palatino Linotype" w:hAnsi="Palatino Linotype" w:cs="Palatino Linotype"/>
        </w:rPr>
        <w:t xml:space="preserve"> la Dirección General de Desarrollo Urbano del Municipio de Naucalpan de Juárez, en donde remitió las licencias de uso de suelo número LUS/0734/2019 y LUS/2008/2020, ambas correspondientes al predio ubicado en:</w:t>
      </w:r>
    </w:p>
    <w:p w14:paraId="5529C630" w14:textId="77777777" w:rsidR="00443F9D" w:rsidRPr="00D365BF" w:rsidRDefault="001B2381">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Alberto J. Pani, número 5, lote 30-B, Manzana 1-A del Fraccionamiento Ciudad Satélite, en Naucalpan de Juárez, Estado de México.</w:t>
      </w:r>
    </w:p>
    <w:p w14:paraId="3EA5136D"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En versión pública, en ese sentido se procede analizar si la información que se testó es pública o confidencial, conforme a lo siguiente:</w:t>
      </w:r>
    </w:p>
    <w:p w14:paraId="5DE71D54"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Información confidencial:</w:t>
      </w:r>
    </w:p>
    <w:p w14:paraId="065D0C77" w14:textId="77777777" w:rsidR="00443F9D" w:rsidRPr="00D365BF" w:rsidRDefault="001B2381">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b/>
        </w:rPr>
      </w:pPr>
      <w:r w:rsidRPr="00D365BF">
        <w:rPr>
          <w:rFonts w:ascii="Palatino Linotype" w:eastAsia="Palatino Linotype" w:hAnsi="Palatino Linotype" w:cs="Palatino Linotype"/>
          <w:b/>
        </w:rPr>
        <w:lastRenderedPageBreak/>
        <w:t xml:space="preserve">Clave catastral </w:t>
      </w:r>
    </w:p>
    <w:p w14:paraId="3AB3E8C1" w14:textId="77777777" w:rsidR="00443F9D" w:rsidRPr="00D365BF" w:rsidRDefault="00443F9D">
      <w:pPr>
        <w:spacing w:line="360" w:lineRule="auto"/>
        <w:ind w:right="-93"/>
        <w:jc w:val="both"/>
        <w:rPr>
          <w:rFonts w:ascii="Palatino Linotype" w:eastAsia="Palatino Linotype" w:hAnsi="Palatino Linotype" w:cs="Palatino Linotype"/>
          <w:b/>
        </w:rPr>
      </w:pPr>
    </w:p>
    <w:p w14:paraId="22F4FE72" w14:textId="77777777" w:rsidR="00443F9D" w:rsidRPr="00D365BF" w:rsidRDefault="001B2381">
      <w:pPr>
        <w:spacing w:line="360" w:lineRule="auto"/>
        <w:ind w:right="-93"/>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Por cuanto hace a la </w:t>
      </w:r>
      <w:r w:rsidRPr="00D365BF">
        <w:rPr>
          <w:rFonts w:ascii="Palatino Linotype" w:eastAsia="Palatino Linotype" w:hAnsi="Palatino Linotype" w:cs="Palatino Linotype"/>
          <w:b/>
        </w:rPr>
        <w:t>clave catastral</w:t>
      </w:r>
      <w:r w:rsidRPr="00D365BF">
        <w:rPr>
          <w:rFonts w:ascii="Palatino Linotype" w:eastAsia="Palatino Linotype" w:hAnsi="Palatino Linotype" w:cs="Palatino Linotype"/>
        </w:rPr>
        <w:t>;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2BD21616" w14:textId="77777777" w:rsidR="00443F9D" w:rsidRPr="00D365BF" w:rsidRDefault="00443F9D">
      <w:pPr>
        <w:spacing w:line="360" w:lineRule="auto"/>
        <w:ind w:right="-93"/>
        <w:jc w:val="both"/>
        <w:rPr>
          <w:rFonts w:ascii="Palatino Linotype" w:eastAsia="Palatino Linotype" w:hAnsi="Palatino Linotype" w:cs="Palatino Linotype"/>
        </w:rPr>
      </w:pPr>
    </w:p>
    <w:p w14:paraId="35A60616" w14:textId="77777777" w:rsidR="00443F9D" w:rsidRPr="00D365BF" w:rsidRDefault="001B2381">
      <w:pPr>
        <w:spacing w:line="360" w:lineRule="auto"/>
        <w:ind w:right="-93"/>
        <w:jc w:val="both"/>
        <w:rPr>
          <w:rFonts w:ascii="Palatino Linotype" w:eastAsia="Palatino Linotype" w:hAnsi="Palatino Linotype" w:cs="Palatino Linotype"/>
        </w:rPr>
      </w:pPr>
      <w:r w:rsidRPr="00D365BF">
        <w:rPr>
          <w:rFonts w:ascii="Palatino Linotype" w:eastAsia="Palatino Linotype" w:hAnsi="Palatino Linotype" w:cs="Palatino Linotype"/>
        </w:rPr>
        <w:t>El diccionario de Datos catastrales Escala 1:1000 del Instituto Nacional de Estadística y Geografía (INEGI), contempla en su glosario la definición de clave catastral, la cual, es la siguiente:</w:t>
      </w:r>
    </w:p>
    <w:p w14:paraId="3D444765" w14:textId="77777777" w:rsidR="00443F9D" w:rsidRPr="00D365BF" w:rsidRDefault="00443F9D">
      <w:pPr>
        <w:spacing w:line="360" w:lineRule="auto"/>
        <w:ind w:right="-93"/>
        <w:jc w:val="both"/>
        <w:rPr>
          <w:rFonts w:ascii="Palatino Linotype" w:eastAsia="Palatino Linotype" w:hAnsi="Palatino Linotype" w:cs="Palatino Linotype"/>
        </w:rPr>
      </w:pPr>
    </w:p>
    <w:p w14:paraId="7F73B984" w14:textId="77777777" w:rsidR="00443F9D" w:rsidRPr="00D365BF" w:rsidRDefault="001B2381">
      <w:pPr>
        <w:ind w:left="567" w:right="53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 xml:space="preserve">Clave catastral: </w:t>
      </w:r>
      <w:r w:rsidRPr="00D365BF">
        <w:rPr>
          <w:rFonts w:ascii="Palatino Linotype" w:eastAsia="Palatino Linotype" w:hAnsi="Palatino Linotype" w:cs="Palatino Linotype"/>
          <w:i/>
          <w:sz w:val="22"/>
          <w:szCs w:val="22"/>
        </w:rPr>
        <w:t xml:space="preserve">El código que identifica al predio de forma única para su localización geográfica, mismo que es asignado a cada uno de ellos en el momento de su inscripción en el padrón catastral por las Unidades del estado con atribuciones </w:t>
      </w:r>
      <w:proofErr w:type="gramStart"/>
      <w:r w:rsidRPr="00D365BF">
        <w:rPr>
          <w:rFonts w:ascii="Palatino Linotype" w:eastAsia="Palatino Linotype" w:hAnsi="Palatino Linotype" w:cs="Palatino Linotype"/>
          <w:i/>
          <w:sz w:val="22"/>
          <w:szCs w:val="22"/>
        </w:rPr>
        <w:t>catastrales”(</w:t>
      </w:r>
      <w:proofErr w:type="gramEnd"/>
      <w:r w:rsidRPr="00D365BF">
        <w:rPr>
          <w:rFonts w:ascii="Palatino Linotype" w:eastAsia="Palatino Linotype" w:hAnsi="Palatino Linotype" w:cs="Palatino Linotype"/>
          <w:i/>
          <w:sz w:val="22"/>
          <w:szCs w:val="22"/>
        </w:rPr>
        <w:t>Sic)</w:t>
      </w:r>
    </w:p>
    <w:p w14:paraId="15A0F644" w14:textId="77777777" w:rsidR="00443F9D" w:rsidRPr="00D365BF" w:rsidRDefault="00443F9D">
      <w:pPr>
        <w:spacing w:line="360" w:lineRule="auto"/>
        <w:ind w:right="-93"/>
        <w:jc w:val="both"/>
        <w:rPr>
          <w:rFonts w:ascii="Palatino Linotype" w:eastAsia="Palatino Linotype" w:hAnsi="Palatino Linotype" w:cs="Palatino Linotype"/>
        </w:rPr>
      </w:pPr>
    </w:p>
    <w:p w14:paraId="5B14452D" w14:textId="77777777" w:rsidR="00443F9D" w:rsidRPr="00D365BF" w:rsidRDefault="001B2381">
      <w:pPr>
        <w:spacing w:line="360" w:lineRule="auto"/>
        <w:ind w:right="-93"/>
        <w:jc w:val="both"/>
        <w:rPr>
          <w:rFonts w:ascii="Palatino Linotype" w:eastAsia="Palatino Linotype" w:hAnsi="Palatino Linotype" w:cs="Palatino Linotype"/>
        </w:rPr>
      </w:pPr>
      <w:r w:rsidRPr="00D365BF">
        <w:rPr>
          <w:rFonts w:ascii="Palatino Linotype" w:eastAsia="Palatino Linotype" w:hAnsi="Palatino Linotype" w:cs="Palatino Linotype"/>
        </w:rPr>
        <w:t>Así mismo, dicho diccionario estipula dos tipos de Claves catastrales, siendo estas la Estándar y la Original, cuyo diccionario de datos catastrales Escala 1:1000 del INEGI, las define como</w:t>
      </w:r>
    </w:p>
    <w:p w14:paraId="33AEAB36" w14:textId="77777777" w:rsidR="00443F9D" w:rsidRPr="00D365BF" w:rsidRDefault="00443F9D">
      <w:pPr>
        <w:spacing w:line="360" w:lineRule="auto"/>
        <w:ind w:right="-93"/>
        <w:jc w:val="both"/>
        <w:rPr>
          <w:rFonts w:ascii="Palatino Linotype" w:eastAsia="Palatino Linotype" w:hAnsi="Palatino Linotype" w:cs="Palatino Linotype"/>
        </w:rPr>
      </w:pPr>
    </w:p>
    <w:p w14:paraId="4EEB049E" w14:textId="77777777" w:rsidR="00443F9D" w:rsidRPr="00D365BF" w:rsidRDefault="001B2381">
      <w:pPr>
        <w:ind w:left="567" w:right="53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rPr>
        <w:t>“</w:t>
      </w:r>
      <w:r w:rsidRPr="00D365BF">
        <w:rPr>
          <w:rFonts w:ascii="Palatino Linotype" w:eastAsia="Palatino Linotype" w:hAnsi="Palatino Linotype" w:cs="Palatino Linotype"/>
          <w:i/>
          <w:sz w:val="22"/>
          <w:szCs w:val="22"/>
        </w:rPr>
        <w:t xml:space="preserve">CLAVE CATASTRAL ESTÁNDAR: Código de 31 caracteres conformado por elementos administrativos y que identifica al objeto espacial en forma única para su localización, compuesto por: Estado (2) + Región Catastral (3) + Municipio (3) + Zona Catastral (2) + Localidad (4) + Sector Catastral (3) + </w:t>
      </w:r>
      <w:proofErr w:type="gramStart"/>
      <w:r w:rsidRPr="00D365BF">
        <w:rPr>
          <w:rFonts w:ascii="Palatino Linotype" w:eastAsia="Palatino Linotype" w:hAnsi="Palatino Linotype" w:cs="Palatino Linotype"/>
          <w:i/>
          <w:sz w:val="22"/>
          <w:szCs w:val="22"/>
        </w:rPr>
        <w:t>Manzana(</w:t>
      </w:r>
      <w:proofErr w:type="gramEnd"/>
      <w:r w:rsidRPr="00D365BF">
        <w:rPr>
          <w:rFonts w:ascii="Palatino Linotype" w:eastAsia="Palatino Linotype" w:hAnsi="Palatino Linotype" w:cs="Palatino Linotype"/>
          <w:i/>
          <w:sz w:val="22"/>
          <w:szCs w:val="22"/>
        </w:rPr>
        <w:t>3) + Predio (5) +  Condominio: edificio (2) y unidad (4).</w:t>
      </w:r>
    </w:p>
    <w:p w14:paraId="291CFE9C" w14:textId="77777777" w:rsidR="00443F9D" w:rsidRPr="00D365BF" w:rsidRDefault="00443F9D">
      <w:pPr>
        <w:ind w:left="567" w:right="539"/>
        <w:jc w:val="both"/>
        <w:rPr>
          <w:rFonts w:ascii="Palatino Linotype" w:eastAsia="Palatino Linotype" w:hAnsi="Palatino Linotype" w:cs="Palatino Linotype"/>
          <w:i/>
          <w:sz w:val="22"/>
          <w:szCs w:val="22"/>
        </w:rPr>
      </w:pPr>
    </w:p>
    <w:p w14:paraId="58607F03" w14:textId="77777777" w:rsidR="00443F9D" w:rsidRPr="00D365BF" w:rsidRDefault="001B2381">
      <w:pPr>
        <w:ind w:left="567" w:right="53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CLAVE CATASTRAL ORIGINAL: Código que identifica al objeto espacial el cual es asignado, por el Catastro Estatal, Municipal o por el registro Agrario Nacional” (Sic9</w:t>
      </w:r>
    </w:p>
    <w:p w14:paraId="08F575DA" w14:textId="77777777" w:rsidR="00443F9D" w:rsidRPr="00D365BF" w:rsidRDefault="00443F9D">
      <w:pPr>
        <w:spacing w:line="360" w:lineRule="auto"/>
        <w:ind w:right="-93"/>
        <w:jc w:val="both"/>
        <w:rPr>
          <w:rFonts w:ascii="Palatino Linotype" w:eastAsia="Palatino Linotype" w:hAnsi="Palatino Linotype" w:cs="Palatino Linotype"/>
        </w:rPr>
      </w:pPr>
    </w:p>
    <w:p w14:paraId="4BB6E4EA" w14:textId="77777777" w:rsidR="00443F9D" w:rsidRPr="00D365BF" w:rsidRDefault="001B2381">
      <w:pPr>
        <w:spacing w:line="360" w:lineRule="auto"/>
        <w:ind w:right="-93"/>
        <w:jc w:val="both"/>
        <w:rPr>
          <w:rFonts w:ascii="Palatino Linotype" w:eastAsia="Palatino Linotype" w:hAnsi="Palatino Linotype" w:cs="Palatino Linotype"/>
          <w:b/>
        </w:rPr>
      </w:pPr>
      <w:r w:rsidRPr="00D365BF">
        <w:rPr>
          <w:rFonts w:ascii="Palatino Linotype" w:eastAsia="Palatino Linotype" w:hAnsi="Palatino Linotype" w:cs="Palatino Linotype"/>
        </w:rPr>
        <w:t xml:space="preserve">Conforme a lo anterior, se advierte que el dato en comento, hace referencia a un predio determinado, que lo hace identificable mediante su localización geográfica e inscripción al padrón catastral de cada entidad federativa, por lo que pudiera revelar información inherente al patrimonio del propietario de dicho predio o inmueble, por lo que de igual manera </w:t>
      </w:r>
      <w:r w:rsidRPr="00D365BF">
        <w:rPr>
          <w:rFonts w:ascii="Palatino Linotype" w:eastAsia="Palatino Linotype" w:hAnsi="Palatino Linotype" w:cs="Palatino Linotype"/>
          <w:b/>
        </w:rPr>
        <w:t>procede a clasificar dicho dato como confidencial.</w:t>
      </w:r>
    </w:p>
    <w:p w14:paraId="4278D21B" w14:textId="77777777" w:rsidR="00443F9D" w:rsidRPr="00D365BF" w:rsidRDefault="00443F9D">
      <w:pPr>
        <w:spacing w:line="360" w:lineRule="auto"/>
        <w:ind w:right="-93"/>
        <w:jc w:val="both"/>
        <w:rPr>
          <w:rFonts w:ascii="Palatino Linotype" w:eastAsia="Palatino Linotype" w:hAnsi="Palatino Linotype" w:cs="Palatino Linotype"/>
          <w:b/>
        </w:rPr>
      </w:pPr>
    </w:p>
    <w:p w14:paraId="30211B45" w14:textId="77777777" w:rsidR="00443F9D" w:rsidRPr="00D365BF" w:rsidRDefault="001B2381">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b/>
        </w:rPr>
      </w:pPr>
      <w:r w:rsidRPr="00D365BF">
        <w:rPr>
          <w:rFonts w:ascii="Palatino Linotype" w:eastAsia="Palatino Linotype" w:hAnsi="Palatino Linotype" w:cs="Palatino Linotype"/>
          <w:b/>
        </w:rPr>
        <w:t>Domicilio particular.</w:t>
      </w:r>
    </w:p>
    <w:p w14:paraId="011FE828"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principio, resulta necesario aclarar que en las Licencias de Uso de Suelo hay dos tipos de domicilio, uno que corresponde al del solicitante, correspondiente a su residencia o donde comúnmente habita, en caso de persona jurídico colectiva, donde realiza su actividad, mientras que también está la ubicación del predio o inmueble que se autoriza para realizar una construcción, modificación u obra; por lo que, no necesariamente corresponden al mismo dato. </w:t>
      </w:r>
    </w:p>
    <w:p w14:paraId="401A01F3"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el caso en concreto, se considera que el domicilio del solicitante, cuando corresponde a la ubicación del predio autorizado en la licencia de uso de suelo, debe ser público, porque permite verificar el tipo de uso de suelo del predio, el que se indica en la licencia. </w:t>
      </w:r>
    </w:p>
    <w:p w14:paraId="40C9A2B1"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No obstante, si el domicilio particular contenido en la licencia de uso de suelo es de persona física distinto al de la ubicación del predio; debe ser confidencial pues da cuenta del lugar donde está asentado el domicilio del solicitante y por ende, debe </w:t>
      </w:r>
      <w:r w:rsidRPr="00D365BF">
        <w:rPr>
          <w:rFonts w:ascii="Palatino Linotype" w:eastAsia="Palatino Linotype" w:hAnsi="Palatino Linotype" w:cs="Palatino Linotype"/>
        </w:rPr>
        <w:lastRenderedPageBreak/>
        <w:t>resguardarse en la especie, porque no tiene incidencia directa con la licencia solicitada, por lo que, se actualiza la causal de clasificación establecida en el artículo 143, fracción I de la Ley de Transparencia y Acceso a la Información Pública del Estado de México y Municipios.</w:t>
      </w:r>
    </w:p>
    <w:p w14:paraId="12733652" w14:textId="77777777" w:rsidR="00443F9D" w:rsidRPr="00D365BF" w:rsidRDefault="001B2381">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b/>
        </w:rPr>
      </w:pPr>
      <w:r w:rsidRPr="00D365BF">
        <w:rPr>
          <w:rFonts w:ascii="Palatino Linotype" w:eastAsia="Palatino Linotype" w:hAnsi="Palatino Linotype" w:cs="Palatino Linotype"/>
          <w:b/>
        </w:rPr>
        <w:t xml:space="preserve">Nombre del solicitante </w:t>
      </w:r>
    </w:p>
    <w:p w14:paraId="68F7AF58"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 este respecto, el nombre del Titular de una licencia de uso de suelo, constituye un dato personal susceptible de ser clasificado como confidencial, siempre y cuando no involucre el aprovechamiento de bienes, servicios y/o recursos públicos, por lo que, se actualiza la causal de clasificación establecida en el artículo 143, fracción I de la Ley de Transparencia y Acceso a la Información Pública del Estado de México y Municipios. </w:t>
      </w:r>
    </w:p>
    <w:p w14:paraId="010EAEB8"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Lo anterior, encuentra sustento en el Criterio Relevante 01/18 emitido por este Órgano Garante, mismo que establece lo siguiente: </w:t>
      </w:r>
    </w:p>
    <w:p w14:paraId="2B5183F7" w14:textId="77777777" w:rsidR="00443F9D" w:rsidRPr="00D365BF" w:rsidRDefault="001B2381">
      <w:pPr>
        <w:ind w:left="567" w:right="53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Nombre del titular de una licencia que no involucre el aprovechamiento de bienes, servicios y/o recursos públicos, constituye un dato personal susceptible de clasificar como confidencial.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w:t>
      </w:r>
      <w:r w:rsidRPr="00D365BF">
        <w:rPr>
          <w:rFonts w:ascii="Palatino Linotype" w:eastAsia="Palatino Linotype" w:hAnsi="Palatino Linotype" w:cs="Palatino Linotype"/>
          <w:i/>
          <w:sz w:val="22"/>
          <w:szCs w:val="22"/>
        </w:rPr>
        <w:lastRenderedPageBreak/>
        <w:t xml:space="preserve">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 </w:t>
      </w:r>
    </w:p>
    <w:p w14:paraId="71405A45" w14:textId="77777777" w:rsidR="00443F9D" w:rsidRPr="00D365BF" w:rsidRDefault="00443F9D">
      <w:pPr>
        <w:ind w:left="567" w:right="539"/>
        <w:jc w:val="both"/>
        <w:rPr>
          <w:rFonts w:ascii="Palatino Linotype" w:eastAsia="Palatino Linotype" w:hAnsi="Palatino Linotype" w:cs="Palatino Linotype"/>
          <w:i/>
          <w:sz w:val="22"/>
          <w:szCs w:val="22"/>
        </w:rPr>
      </w:pPr>
    </w:p>
    <w:p w14:paraId="4CD3EF9B" w14:textId="77777777" w:rsidR="00443F9D" w:rsidRPr="00D365BF" w:rsidRDefault="001B2381">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b/>
        </w:rPr>
      </w:pPr>
      <w:r w:rsidRPr="00D365BF">
        <w:rPr>
          <w:rFonts w:ascii="Palatino Linotype" w:eastAsia="Palatino Linotype" w:hAnsi="Palatino Linotype" w:cs="Palatino Linotype"/>
          <w:b/>
        </w:rPr>
        <w:t>Nombre y firma de quien recibió la licencia.</w:t>
      </w:r>
    </w:p>
    <w:p w14:paraId="799BEA24"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 este respecto, constituye un dato personal susceptible de ser clasificado como confidencial, siempre y cuando la licencia expedida no involucre el aprovechamiento de bienes, servicios y/o recursos públicos, por lo que, se actualiza la causal de clasificación establecida en el artículo 143, fracción I de la Ley de Transparencia y Acceso a la Información Pública del Estado de México y Municipios. </w:t>
      </w:r>
    </w:p>
    <w:p w14:paraId="6D72694D" w14:textId="77777777" w:rsidR="00443F9D" w:rsidRPr="00D365BF" w:rsidRDefault="001B2381">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D365BF">
        <w:rPr>
          <w:rFonts w:ascii="Palatino Linotype" w:eastAsia="Palatino Linotype" w:hAnsi="Palatino Linotype" w:cs="Palatino Linotype"/>
          <w:b/>
        </w:rPr>
        <w:t>Superficie del predio</w:t>
      </w:r>
    </w:p>
    <w:p w14:paraId="593EA37C"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 </w:t>
      </w:r>
    </w:p>
    <w:p w14:paraId="5312B745"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El patrimonio es considerado información confidencial atendiendo a los Criterios para la Clasificación de la Información Pública de las Dependencias, Organismos Auxiliares y Fideicomisos Públicos de la Administración Pública del Estado de México que establecen textualmente:</w:t>
      </w:r>
    </w:p>
    <w:p w14:paraId="100DA923"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 xml:space="preserve"> </w:t>
      </w:r>
    </w:p>
    <w:p w14:paraId="771E59BC" w14:textId="77777777" w:rsidR="00443F9D" w:rsidRPr="00D365BF" w:rsidRDefault="001B2381">
      <w:pPr>
        <w:spacing w:before="240"/>
        <w:ind w:left="567" w:right="618"/>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roofErr w:type="gramStart"/>
      <w:r w:rsidRPr="00D365BF">
        <w:rPr>
          <w:rFonts w:ascii="Palatino Linotype" w:eastAsia="Palatino Linotype" w:hAnsi="Palatino Linotype" w:cs="Palatino Linotype"/>
          <w:i/>
          <w:sz w:val="22"/>
          <w:szCs w:val="22"/>
        </w:rPr>
        <w:t>Trigésimo.-</w:t>
      </w:r>
      <w:proofErr w:type="gramEnd"/>
      <w:r w:rsidRPr="00D365BF">
        <w:rPr>
          <w:rFonts w:ascii="Palatino Linotype" w:eastAsia="Palatino Linotype" w:hAnsi="Palatino Linotype" w:cs="Palatino Linotype"/>
          <w:i/>
          <w:sz w:val="22"/>
          <w:szCs w:val="22"/>
        </w:rPr>
        <w:t xml:space="preserve"> Será confidencial la información que contenga datos personales de una persona física identificada relativos a:</w:t>
      </w:r>
    </w:p>
    <w:p w14:paraId="62658013" w14:textId="77777777" w:rsidR="00443F9D" w:rsidRPr="00D365BF" w:rsidRDefault="001B2381">
      <w:pPr>
        <w:ind w:left="567" w:right="618"/>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6AEF3FA0" w14:textId="77777777" w:rsidR="00443F9D" w:rsidRPr="00D365BF" w:rsidRDefault="001B2381">
      <w:pPr>
        <w:ind w:left="567" w:right="618"/>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IX. Patrimonio; [...]</w:t>
      </w:r>
    </w:p>
    <w:p w14:paraId="7768DE73" w14:textId="77777777" w:rsidR="00443F9D" w:rsidRPr="00D365BF" w:rsidRDefault="00443F9D">
      <w:pPr>
        <w:spacing w:after="240" w:line="360" w:lineRule="auto"/>
        <w:jc w:val="both"/>
        <w:rPr>
          <w:rFonts w:ascii="Palatino Linotype" w:eastAsia="Palatino Linotype" w:hAnsi="Palatino Linotype" w:cs="Palatino Linotype"/>
        </w:rPr>
      </w:pPr>
    </w:p>
    <w:p w14:paraId="0D2ACF67" w14:textId="77777777" w:rsidR="00443F9D" w:rsidRPr="00D365BF" w:rsidRDefault="001B2381">
      <w:pPr>
        <w:spacing w:before="240" w:after="240" w:line="360" w:lineRule="auto"/>
        <w:ind w:right="49"/>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ese sentido se procede analizar el acuerdo de clasificación emitido por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de acuerdo al siguiente cuadro: </w:t>
      </w:r>
    </w:p>
    <w:tbl>
      <w:tblPr>
        <w:tblStyle w:val="ad"/>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D365BF" w:rsidRPr="00D365BF" w14:paraId="7D9E764E" w14:textId="77777777">
        <w:trPr>
          <w:trHeight w:val="569"/>
        </w:trPr>
        <w:tc>
          <w:tcPr>
            <w:tcW w:w="1548" w:type="dxa"/>
            <w:shd w:val="clear" w:color="auto" w:fill="92D050"/>
          </w:tcPr>
          <w:p w14:paraId="3E634C01" w14:textId="77777777" w:rsidR="00443F9D" w:rsidRPr="00D365BF" w:rsidRDefault="001B2381">
            <w:pPr>
              <w:spacing w:before="100" w:after="200" w:line="276" w:lineRule="auto"/>
              <w:jc w:val="center"/>
              <w:rPr>
                <w:rFonts w:ascii="Palatino Linotype" w:eastAsia="Palatino Linotype" w:hAnsi="Palatino Linotype" w:cs="Palatino Linotype"/>
                <w:b/>
                <w:sz w:val="18"/>
                <w:szCs w:val="18"/>
              </w:rPr>
            </w:pPr>
            <w:r w:rsidRPr="00D365BF">
              <w:rPr>
                <w:rFonts w:ascii="Palatino Linotype" w:eastAsia="Palatino Linotype" w:hAnsi="Palatino Linotype" w:cs="Palatino Linotype"/>
                <w:b/>
                <w:sz w:val="18"/>
                <w:szCs w:val="18"/>
              </w:rPr>
              <w:t>Elementos del acuerdo de clasificación</w:t>
            </w:r>
          </w:p>
        </w:tc>
        <w:tc>
          <w:tcPr>
            <w:tcW w:w="6020" w:type="dxa"/>
            <w:gridSpan w:val="2"/>
            <w:shd w:val="clear" w:color="auto" w:fill="92D050"/>
          </w:tcPr>
          <w:p w14:paraId="026794F0" w14:textId="77777777" w:rsidR="00443F9D" w:rsidRPr="00D365BF" w:rsidRDefault="001B2381">
            <w:pPr>
              <w:spacing w:before="100" w:after="200" w:line="276" w:lineRule="auto"/>
              <w:jc w:val="center"/>
              <w:rPr>
                <w:rFonts w:ascii="Palatino Linotype" w:eastAsia="Palatino Linotype" w:hAnsi="Palatino Linotype" w:cs="Palatino Linotype"/>
                <w:b/>
                <w:sz w:val="18"/>
                <w:szCs w:val="18"/>
              </w:rPr>
            </w:pPr>
            <w:r w:rsidRPr="00D365BF">
              <w:rPr>
                <w:rFonts w:ascii="Palatino Linotype" w:eastAsia="Palatino Linotype" w:hAnsi="Palatino Linotype" w:cs="Palatino Linotype"/>
                <w:b/>
                <w:sz w:val="18"/>
                <w:szCs w:val="18"/>
              </w:rPr>
              <w:t>Contenido</w:t>
            </w:r>
          </w:p>
        </w:tc>
        <w:tc>
          <w:tcPr>
            <w:tcW w:w="1499" w:type="dxa"/>
            <w:shd w:val="clear" w:color="auto" w:fill="92D050"/>
          </w:tcPr>
          <w:p w14:paraId="5AC9751B" w14:textId="77777777" w:rsidR="00443F9D" w:rsidRPr="00D365BF" w:rsidRDefault="001B2381">
            <w:pPr>
              <w:spacing w:before="100" w:after="200" w:line="276" w:lineRule="auto"/>
              <w:jc w:val="center"/>
              <w:rPr>
                <w:rFonts w:ascii="Palatino Linotype" w:eastAsia="Palatino Linotype" w:hAnsi="Palatino Linotype" w:cs="Palatino Linotype"/>
                <w:b/>
                <w:sz w:val="18"/>
                <w:szCs w:val="18"/>
              </w:rPr>
            </w:pPr>
            <w:r w:rsidRPr="00D365BF">
              <w:rPr>
                <w:rFonts w:ascii="Palatino Linotype" w:eastAsia="Palatino Linotype" w:hAnsi="Palatino Linotype" w:cs="Palatino Linotype"/>
                <w:b/>
                <w:sz w:val="18"/>
                <w:szCs w:val="18"/>
              </w:rPr>
              <w:t>¿Cumple?</w:t>
            </w:r>
          </w:p>
        </w:tc>
      </w:tr>
      <w:tr w:rsidR="00D365BF" w:rsidRPr="00D365BF" w14:paraId="5C13BC5F" w14:textId="77777777">
        <w:tc>
          <w:tcPr>
            <w:tcW w:w="1548" w:type="dxa"/>
          </w:tcPr>
          <w:p w14:paraId="432D9BF3" w14:textId="77777777" w:rsidR="00443F9D" w:rsidRPr="00D365BF" w:rsidRDefault="001B2381">
            <w:pPr>
              <w:spacing w:before="100" w:after="200" w:line="276" w:lineRule="auto"/>
              <w:jc w:val="center"/>
              <w:rPr>
                <w:rFonts w:ascii="Palatino Linotype" w:eastAsia="Palatino Linotype" w:hAnsi="Palatino Linotype" w:cs="Palatino Linotype"/>
                <w:sz w:val="18"/>
                <w:szCs w:val="18"/>
              </w:rPr>
            </w:pPr>
            <w:r w:rsidRPr="00D365BF">
              <w:rPr>
                <w:rFonts w:ascii="Palatino Linotype" w:eastAsia="Palatino Linotype" w:hAnsi="Palatino Linotype" w:cs="Palatino Linotype"/>
                <w:b/>
                <w:sz w:val="18"/>
                <w:szCs w:val="18"/>
              </w:rPr>
              <w:t>Número de folio de la solicitud</w:t>
            </w:r>
          </w:p>
        </w:tc>
        <w:tc>
          <w:tcPr>
            <w:tcW w:w="6020" w:type="dxa"/>
            <w:gridSpan w:val="2"/>
          </w:tcPr>
          <w:p w14:paraId="47C49ECE" w14:textId="77777777" w:rsidR="00443F9D" w:rsidRPr="00D365BF" w:rsidRDefault="001B2381">
            <w:pPr>
              <w:spacing w:before="100" w:after="200" w:line="276" w:lineRule="auto"/>
              <w:rPr>
                <w:rFonts w:ascii="Calibri" w:eastAsia="Calibri" w:hAnsi="Calibri" w:cs="Calibri"/>
                <w:sz w:val="20"/>
                <w:szCs w:val="20"/>
              </w:rPr>
            </w:pPr>
            <w:r w:rsidRPr="00D365BF">
              <w:rPr>
                <w:noProof/>
                <w:lang w:val="es-MX"/>
              </w:rPr>
              <w:drawing>
                <wp:inline distT="0" distB="0" distL="0" distR="0" wp14:anchorId="3865B934" wp14:editId="317EDC6E">
                  <wp:extent cx="3470177" cy="393890"/>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32557" t="26920" r="18454" b="62186"/>
                          <a:stretch>
                            <a:fillRect/>
                          </a:stretch>
                        </pic:blipFill>
                        <pic:spPr>
                          <a:xfrm>
                            <a:off x="0" y="0"/>
                            <a:ext cx="3470177" cy="393890"/>
                          </a:xfrm>
                          <a:prstGeom prst="rect">
                            <a:avLst/>
                          </a:prstGeom>
                          <a:ln/>
                        </pic:spPr>
                      </pic:pic>
                    </a:graphicData>
                  </a:graphic>
                </wp:inline>
              </w:drawing>
            </w:r>
          </w:p>
        </w:tc>
        <w:tc>
          <w:tcPr>
            <w:tcW w:w="1499" w:type="dxa"/>
          </w:tcPr>
          <w:p w14:paraId="5D0D2365" w14:textId="77777777" w:rsidR="00443F9D" w:rsidRPr="00D365BF" w:rsidRDefault="001B2381">
            <w:pPr>
              <w:spacing w:before="100" w:after="200" w:line="276" w:lineRule="auto"/>
              <w:jc w:val="center"/>
              <w:rPr>
                <w:rFonts w:ascii="Palatino Linotype" w:eastAsia="Palatino Linotype" w:hAnsi="Palatino Linotype" w:cs="Palatino Linotype"/>
                <w:b/>
                <w:sz w:val="22"/>
                <w:szCs w:val="22"/>
              </w:rPr>
            </w:pPr>
            <w:r w:rsidRPr="00D365BF">
              <w:rPr>
                <w:rFonts w:ascii="Palatino Linotype" w:eastAsia="Palatino Linotype" w:hAnsi="Palatino Linotype" w:cs="Palatino Linotype"/>
                <w:b/>
                <w:sz w:val="22"/>
                <w:szCs w:val="22"/>
              </w:rPr>
              <w:t>Sí</w:t>
            </w:r>
          </w:p>
        </w:tc>
      </w:tr>
      <w:tr w:rsidR="00D365BF" w:rsidRPr="00D365BF" w14:paraId="3CCBBE24" w14:textId="77777777">
        <w:tc>
          <w:tcPr>
            <w:tcW w:w="1548" w:type="dxa"/>
          </w:tcPr>
          <w:p w14:paraId="7C2E6AD0" w14:textId="77777777" w:rsidR="00443F9D" w:rsidRPr="00D365BF" w:rsidRDefault="001B2381">
            <w:pPr>
              <w:spacing w:before="100" w:after="200" w:line="276" w:lineRule="auto"/>
              <w:jc w:val="center"/>
              <w:rPr>
                <w:rFonts w:ascii="Palatino Linotype" w:eastAsia="Palatino Linotype" w:hAnsi="Palatino Linotype" w:cs="Palatino Linotype"/>
                <w:sz w:val="18"/>
                <w:szCs w:val="18"/>
              </w:rPr>
            </w:pPr>
            <w:r w:rsidRPr="00D365BF">
              <w:rPr>
                <w:rFonts w:ascii="Palatino Linotype" w:eastAsia="Palatino Linotype" w:hAnsi="Palatino Linotype" w:cs="Palatino Linotype"/>
                <w:b/>
                <w:sz w:val="18"/>
                <w:szCs w:val="18"/>
              </w:rPr>
              <w:t>Referencia de la información solicitada</w:t>
            </w:r>
          </w:p>
        </w:tc>
        <w:tc>
          <w:tcPr>
            <w:tcW w:w="6020" w:type="dxa"/>
            <w:gridSpan w:val="2"/>
          </w:tcPr>
          <w:p w14:paraId="1BC4B9C2" w14:textId="77777777" w:rsidR="00443F9D" w:rsidRPr="00D365BF" w:rsidRDefault="001B2381">
            <w:pPr>
              <w:spacing w:before="100" w:after="200" w:line="276" w:lineRule="auto"/>
              <w:jc w:val="center"/>
              <w:rPr>
                <w:rFonts w:ascii="Palatino Linotype" w:eastAsia="Palatino Linotype" w:hAnsi="Palatino Linotype" w:cs="Palatino Linotype"/>
              </w:rPr>
            </w:pPr>
            <w:r w:rsidRPr="00D365BF">
              <w:rPr>
                <w:noProof/>
                <w:lang w:val="es-MX"/>
              </w:rPr>
              <w:drawing>
                <wp:inline distT="0" distB="0" distL="0" distR="0" wp14:anchorId="6ADB27F3" wp14:editId="749873C2">
                  <wp:extent cx="3098940" cy="1120925"/>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35947" t="37804" r="19578" b="15473"/>
                          <a:stretch>
                            <a:fillRect/>
                          </a:stretch>
                        </pic:blipFill>
                        <pic:spPr>
                          <a:xfrm>
                            <a:off x="0" y="0"/>
                            <a:ext cx="3098940" cy="1120925"/>
                          </a:xfrm>
                          <a:prstGeom prst="rect">
                            <a:avLst/>
                          </a:prstGeom>
                          <a:ln/>
                        </pic:spPr>
                      </pic:pic>
                    </a:graphicData>
                  </a:graphic>
                </wp:inline>
              </w:drawing>
            </w:r>
          </w:p>
        </w:tc>
        <w:tc>
          <w:tcPr>
            <w:tcW w:w="1499" w:type="dxa"/>
          </w:tcPr>
          <w:p w14:paraId="6516F541" w14:textId="77777777" w:rsidR="00443F9D" w:rsidRPr="00D365BF" w:rsidRDefault="001B2381">
            <w:pPr>
              <w:spacing w:before="100" w:after="200" w:line="276" w:lineRule="auto"/>
              <w:jc w:val="center"/>
              <w:rPr>
                <w:rFonts w:ascii="Palatino Linotype" w:eastAsia="Palatino Linotype" w:hAnsi="Palatino Linotype" w:cs="Palatino Linotype"/>
                <w:b/>
                <w:sz w:val="22"/>
                <w:szCs w:val="22"/>
              </w:rPr>
            </w:pPr>
            <w:r w:rsidRPr="00D365BF">
              <w:rPr>
                <w:rFonts w:ascii="Palatino Linotype" w:eastAsia="Palatino Linotype" w:hAnsi="Palatino Linotype" w:cs="Palatino Linotype"/>
                <w:b/>
                <w:sz w:val="22"/>
                <w:szCs w:val="22"/>
              </w:rPr>
              <w:t>Sí</w:t>
            </w:r>
          </w:p>
        </w:tc>
      </w:tr>
      <w:tr w:rsidR="00D365BF" w:rsidRPr="00D365BF" w14:paraId="5B699C01" w14:textId="77777777">
        <w:tc>
          <w:tcPr>
            <w:tcW w:w="1548" w:type="dxa"/>
          </w:tcPr>
          <w:p w14:paraId="6F4A4AC2" w14:textId="77777777" w:rsidR="00443F9D" w:rsidRPr="00D365BF" w:rsidRDefault="001B2381">
            <w:pPr>
              <w:spacing w:before="100" w:after="200" w:line="276" w:lineRule="auto"/>
              <w:jc w:val="center"/>
              <w:rPr>
                <w:rFonts w:ascii="Palatino Linotype" w:eastAsia="Palatino Linotype" w:hAnsi="Palatino Linotype" w:cs="Palatino Linotype"/>
                <w:b/>
                <w:sz w:val="18"/>
                <w:szCs w:val="18"/>
              </w:rPr>
            </w:pPr>
            <w:r w:rsidRPr="00D365BF">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14:paraId="1022F2F5" w14:textId="77777777" w:rsidR="00443F9D" w:rsidRPr="00D365BF" w:rsidRDefault="001B2381">
            <w:pPr>
              <w:spacing w:before="100" w:after="200" w:line="276" w:lineRule="auto"/>
              <w:rPr>
                <w:rFonts w:ascii="Calibri" w:eastAsia="Calibri" w:hAnsi="Calibri" w:cs="Calibri"/>
                <w:sz w:val="20"/>
                <w:szCs w:val="20"/>
              </w:rPr>
            </w:pPr>
            <w:r w:rsidRPr="00D365BF">
              <w:rPr>
                <w:noProof/>
                <w:lang w:val="es-MX"/>
              </w:rPr>
              <w:drawing>
                <wp:inline distT="0" distB="0" distL="0" distR="0" wp14:anchorId="179DDBA1" wp14:editId="1DFF7699">
                  <wp:extent cx="3600552" cy="147858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33361" t="39521" r="17647" b="6306"/>
                          <a:stretch>
                            <a:fillRect/>
                          </a:stretch>
                        </pic:blipFill>
                        <pic:spPr>
                          <a:xfrm>
                            <a:off x="0" y="0"/>
                            <a:ext cx="3600552" cy="1478580"/>
                          </a:xfrm>
                          <a:prstGeom prst="rect">
                            <a:avLst/>
                          </a:prstGeom>
                          <a:ln/>
                        </pic:spPr>
                      </pic:pic>
                    </a:graphicData>
                  </a:graphic>
                </wp:inline>
              </w:drawing>
            </w:r>
          </w:p>
        </w:tc>
        <w:tc>
          <w:tcPr>
            <w:tcW w:w="1499" w:type="dxa"/>
          </w:tcPr>
          <w:p w14:paraId="27CF6BDC" w14:textId="77777777" w:rsidR="00443F9D" w:rsidRPr="00D365BF" w:rsidRDefault="001B2381">
            <w:pPr>
              <w:spacing w:before="100" w:after="200"/>
              <w:jc w:val="center"/>
              <w:rPr>
                <w:rFonts w:ascii="Palatino Linotype" w:eastAsia="Palatino Linotype" w:hAnsi="Palatino Linotype" w:cs="Palatino Linotype"/>
                <w:b/>
                <w:sz w:val="22"/>
                <w:szCs w:val="22"/>
              </w:rPr>
            </w:pPr>
            <w:r w:rsidRPr="00D365BF">
              <w:rPr>
                <w:rFonts w:ascii="Palatino Linotype" w:eastAsia="Palatino Linotype" w:hAnsi="Palatino Linotype" w:cs="Palatino Linotype"/>
                <w:b/>
                <w:sz w:val="20"/>
                <w:szCs w:val="20"/>
              </w:rPr>
              <w:t>Sí</w:t>
            </w:r>
          </w:p>
        </w:tc>
      </w:tr>
      <w:tr w:rsidR="00D365BF" w:rsidRPr="00D365BF" w14:paraId="06597C97" w14:textId="77777777">
        <w:tc>
          <w:tcPr>
            <w:tcW w:w="1548" w:type="dxa"/>
          </w:tcPr>
          <w:p w14:paraId="7D92BE55" w14:textId="77777777" w:rsidR="00443F9D" w:rsidRPr="00D365BF" w:rsidRDefault="001B2381">
            <w:pPr>
              <w:spacing w:before="100" w:after="200" w:line="276" w:lineRule="auto"/>
              <w:jc w:val="center"/>
              <w:rPr>
                <w:rFonts w:ascii="Palatino Linotype" w:eastAsia="Palatino Linotype" w:hAnsi="Palatino Linotype" w:cs="Palatino Linotype"/>
                <w:sz w:val="18"/>
                <w:szCs w:val="18"/>
              </w:rPr>
            </w:pPr>
            <w:r w:rsidRPr="00D365BF">
              <w:rPr>
                <w:rFonts w:ascii="Palatino Linotype" w:eastAsia="Palatino Linotype" w:hAnsi="Palatino Linotype" w:cs="Palatino Linotype"/>
                <w:b/>
                <w:sz w:val="18"/>
                <w:szCs w:val="18"/>
              </w:rPr>
              <w:t>Motivación Legal</w:t>
            </w:r>
          </w:p>
        </w:tc>
        <w:tc>
          <w:tcPr>
            <w:tcW w:w="6020" w:type="dxa"/>
            <w:gridSpan w:val="2"/>
          </w:tcPr>
          <w:p w14:paraId="019CB945" w14:textId="77777777" w:rsidR="00443F9D" w:rsidRPr="00D365BF" w:rsidRDefault="00443F9D">
            <w:pPr>
              <w:spacing w:before="100" w:after="200" w:line="276" w:lineRule="auto"/>
            </w:pPr>
          </w:p>
          <w:p w14:paraId="747C3F3D" w14:textId="77777777" w:rsidR="00443F9D" w:rsidRPr="00D365BF" w:rsidRDefault="001B2381">
            <w:pPr>
              <w:spacing w:before="100" w:after="200" w:line="276" w:lineRule="auto"/>
            </w:pPr>
            <w:r w:rsidRPr="00D365BF">
              <w:rPr>
                <w:noProof/>
                <w:lang w:val="es-MX"/>
              </w:rPr>
              <w:lastRenderedPageBreak/>
              <w:drawing>
                <wp:inline distT="0" distB="0" distL="0" distR="0" wp14:anchorId="6C758D84" wp14:editId="74C2FB29">
                  <wp:extent cx="3550426" cy="1758003"/>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33202" t="25489" r="18453" b="20342"/>
                          <a:stretch>
                            <a:fillRect/>
                          </a:stretch>
                        </pic:blipFill>
                        <pic:spPr>
                          <a:xfrm>
                            <a:off x="0" y="0"/>
                            <a:ext cx="3550426" cy="1758003"/>
                          </a:xfrm>
                          <a:prstGeom prst="rect">
                            <a:avLst/>
                          </a:prstGeom>
                          <a:ln/>
                        </pic:spPr>
                      </pic:pic>
                    </a:graphicData>
                  </a:graphic>
                </wp:inline>
              </w:drawing>
            </w:r>
          </w:p>
          <w:p w14:paraId="5D9309AF" w14:textId="77777777" w:rsidR="00443F9D" w:rsidRPr="00D365BF" w:rsidRDefault="001B2381">
            <w:pPr>
              <w:spacing w:before="100" w:after="200" w:line="276" w:lineRule="auto"/>
            </w:pPr>
            <w:r w:rsidRPr="00D365BF">
              <w:rPr>
                <w:noProof/>
                <w:lang w:val="es-MX"/>
              </w:rPr>
              <w:drawing>
                <wp:inline distT="0" distB="0" distL="0" distR="0" wp14:anchorId="772A379F" wp14:editId="29A4C5F9">
                  <wp:extent cx="3493760" cy="2486778"/>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38516" t="14318" r="22977" b="6882"/>
                          <a:stretch>
                            <a:fillRect/>
                          </a:stretch>
                        </pic:blipFill>
                        <pic:spPr>
                          <a:xfrm>
                            <a:off x="0" y="0"/>
                            <a:ext cx="3493760" cy="2486778"/>
                          </a:xfrm>
                          <a:prstGeom prst="rect">
                            <a:avLst/>
                          </a:prstGeom>
                          <a:ln/>
                        </pic:spPr>
                      </pic:pic>
                    </a:graphicData>
                  </a:graphic>
                </wp:inline>
              </w:drawing>
            </w:r>
          </w:p>
        </w:tc>
        <w:tc>
          <w:tcPr>
            <w:tcW w:w="1499" w:type="dxa"/>
          </w:tcPr>
          <w:p w14:paraId="6CE773FC" w14:textId="77777777" w:rsidR="00443F9D" w:rsidRPr="00D365BF" w:rsidRDefault="001B2381">
            <w:pPr>
              <w:spacing w:before="100" w:after="200" w:line="276" w:lineRule="auto"/>
              <w:jc w:val="center"/>
              <w:rPr>
                <w:rFonts w:ascii="Palatino Linotype" w:eastAsia="Palatino Linotype" w:hAnsi="Palatino Linotype" w:cs="Palatino Linotype"/>
                <w:b/>
                <w:sz w:val="20"/>
                <w:szCs w:val="20"/>
              </w:rPr>
            </w:pPr>
            <w:r w:rsidRPr="00D365BF">
              <w:rPr>
                <w:rFonts w:ascii="Palatino Linotype" w:eastAsia="Palatino Linotype" w:hAnsi="Palatino Linotype" w:cs="Palatino Linotype"/>
                <w:b/>
                <w:sz w:val="20"/>
                <w:szCs w:val="20"/>
              </w:rPr>
              <w:lastRenderedPageBreak/>
              <w:t>Sí</w:t>
            </w:r>
          </w:p>
        </w:tc>
      </w:tr>
      <w:tr w:rsidR="00443F9D" w:rsidRPr="00D365BF" w14:paraId="301B751D" w14:textId="77777777">
        <w:tc>
          <w:tcPr>
            <w:tcW w:w="1555" w:type="dxa"/>
            <w:gridSpan w:val="2"/>
            <w:shd w:val="clear" w:color="auto" w:fill="auto"/>
          </w:tcPr>
          <w:p w14:paraId="320D7204" w14:textId="77777777" w:rsidR="00443F9D" w:rsidRPr="00D365BF" w:rsidRDefault="001B2381">
            <w:pPr>
              <w:spacing w:before="100" w:after="200" w:line="276" w:lineRule="auto"/>
              <w:jc w:val="center"/>
              <w:rPr>
                <w:rFonts w:ascii="Palatino Linotype" w:eastAsia="Palatino Linotype" w:hAnsi="Palatino Linotype" w:cs="Palatino Linotype"/>
                <w:b/>
                <w:sz w:val="22"/>
                <w:szCs w:val="22"/>
              </w:rPr>
            </w:pPr>
            <w:r w:rsidRPr="00D365BF">
              <w:rPr>
                <w:rFonts w:ascii="Palatino Linotype" w:eastAsia="Palatino Linotype" w:hAnsi="Palatino Linotype" w:cs="Palatino Linotype"/>
                <w:b/>
                <w:sz w:val="18"/>
                <w:szCs w:val="18"/>
              </w:rPr>
              <w:t>Autoridades competentes.</w:t>
            </w:r>
          </w:p>
        </w:tc>
        <w:tc>
          <w:tcPr>
            <w:tcW w:w="6013" w:type="dxa"/>
            <w:shd w:val="clear" w:color="auto" w:fill="auto"/>
          </w:tcPr>
          <w:p w14:paraId="48DBD008" w14:textId="77777777" w:rsidR="00443F9D" w:rsidRPr="00D365BF" w:rsidRDefault="001B2381">
            <w:pPr>
              <w:spacing w:before="100" w:after="200" w:line="276" w:lineRule="auto"/>
              <w:jc w:val="center"/>
            </w:pPr>
            <w:r w:rsidRPr="00D365BF">
              <w:rPr>
                <w:noProof/>
                <w:lang w:val="es-MX"/>
              </w:rPr>
              <w:drawing>
                <wp:inline distT="0" distB="0" distL="0" distR="0" wp14:anchorId="314BBAFF" wp14:editId="4151A4CC">
                  <wp:extent cx="2976757" cy="1264425"/>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l="30923" t="15178" r="14222" b="23851"/>
                          <a:stretch>
                            <a:fillRect/>
                          </a:stretch>
                        </pic:blipFill>
                        <pic:spPr>
                          <a:xfrm>
                            <a:off x="0" y="0"/>
                            <a:ext cx="2976757" cy="1264425"/>
                          </a:xfrm>
                          <a:prstGeom prst="rect">
                            <a:avLst/>
                          </a:prstGeom>
                          <a:ln/>
                        </pic:spPr>
                      </pic:pic>
                    </a:graphicData>
                  </a:graphic>
                </wp:inline>
              </w:drawing>
            </w:r>
          </w:p>
        </w:tc>
        <w:tc>
          <w:tcPr>
            <w:tcW w:w="1499" w:type="dxa"/>
            <w:shd w:val="clear" w:color="auto" w:fill="auto"/>
          </w:tcPr>
          <w:p w14:paraId="33C88ECF" w14:textId="77777777" w:rsidR="00443F9D" w:rsidRPr="00D365BF" w:rsidRDefault="001B2381">
            <w:pPr>
              <w:spacing w:before="100" w:after="200" w:line="276" w:lineRule="auto"/>
              <w:jc w:val="center"/>
              <w:rPr>
                <w:rFonts w:ascii="Palatino Linotype" w:eastAsia="Palatino Linotype" w:hAnsi="Palatino Linotype" w:cs="Palatino Linotype"/>
                <w:b/>
                <w:sz w:val="22"/>
                <w:szCs w:val="22"/>
              </w:rPr>
            </w:pPr>
            <w:r w:rsidRPr="00D365BF">
              <w:rPr>
                <w:rFonts w:ascii="Palatino Linotype" w:eastAsia="Palatino Linotype" w:hAnsi="Palatino Linotype" w:cs="Palatino Linotype"/>
                <w:b/>
                <w:sz w:val="18"/>
                <w:szCs w:val="18"/>
              </w:rPr>
              <w:t>Si</w:t>
            </w:r>
          </w:p>
        </w:tc>
      </w:tr>
    </w:tbl>
    <w:p w14:paraId="2868B22D" w14:textId="77777777" w:rsidR="00443F9D" w:rsidRPr="00D365BF" w:rsidRDefault="00443F9D">
      <w:pPr>
        <w:spacing w:line="360" w:lineRule="auto"/>
        <w:jc w:val="both"/>
        <w:rPr>
          <w:rFonts w:ascii="Palatino Linotype" w:eastAsia="Palatino Linotype" w:hAnsi="Palatino Linotype" w:cs="Palatino Linotype"/>
        </w:rPr>
      </w:pPr>
    </w:p>
    <w:p w14:paraId="53883D9D" w14:textId="77777777" w:rsidR="00443F9D" w:rsidRPr="00D365BF" w:rsidRDefault="001B2381">
      <w:pPr>
        <w:widowControl w:val="0"/>
        <w:tabs>
          <w:tab w:val="left" w:pos="1701"/>
          <w:tab w:val="left" w:pos="1843"/>
        </w:tabs>
        <w:spacing w:before="360" w:after="240" w:line="360" w:lineRule="auto"/>
        <w:ind w:right="49"/>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Por ende, en el presente caso,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atendió las disposiciones en materia de protección de datos personales, a fin de salvaguardar los datos de particulares al emitir el debido Acuerdo que sustente la clasificación de las licencias </w:t>
      </w:r>
      <w:r w:rsidRPr="00D365BF">
        <w:rPr>
          <w:rFonts w:ascii="Palatino Linotype" w:eastAsia="Palatino Linotype" w:hAnsi="Palatino Linotype" w:cs="Palatino Linotype"/>
        </w:rPr>
        <w:lastRenderedPageBreak/>
        <w:t>de referencia.</w:t>
      </w:r>
    </w:p>
    <w:p w14:paraId="2CB0A500" w14:textId="77777777" w:rsidR="00443F9D" w:rsidRPr="00D365BF" w:rsidRDefault="001B2381">
      <w:pPr>
        <w:widowControl w:val="0"/>
        <w:tabs>
          <w:tab w:val="left" w:pos="1701"/>
          <w:tab w:val="left" w:pos="1843"/>
        </w:tabs>
        <w:spacing w:before="360" w:after="240" w:line="360" w:lineRule="auto"/>
        <w:ind w:right="162"/>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Así es, que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cumplió con cada uno de los requisitos señalados en la Ley de Protección de Datos Personales en Posesión de Sujetos Obligados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señaló el artículo, fracción, inciso, párrafo o numeral de la Ley que expresamente le otorga el carácter de confidencial.</w:t>
      </w:r>
    </w:p>
    <w:p w14:paraId="0FB6B93C"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w:t>
      </w:r>
      <w:proofErr w:type="gramStart"/>
      <w:r w:rsidRPr="00D365BF">
        <w:rPr>
          <w:rFonts w:ascii="Palatino Linotype" w:eastAsia="Palatino Linotype" w:hAnsi="Palatino Linotype" w:cs="Palatino Linotype"/>
        </w:rPr>
        <w:t>consecuencia</w:t>
      </w:r>
      <w:proofErr w:type="gramEnd"/>
      <w:r w:rsidRPr="00D365BF">
        <w:rPr>
          <w:rFonts w:ascii="Palatino Linotype" w:eastAsia="Palatino Linotype" w:hAnsi="Palatino Linotype" w:cs="Palatino Linotype"/>
        </w:rPr>
        <w:t xml:space="preserve"> se determina que la versión pública emitida en las licencias de uso de suelo número LUS/0734/2019 y LUS/2008/2020, remitido en informe justificado, son correctas, colmando con ello el derecho de acceso a la información pública de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xml:space="preserve">. </w:t>
      </w:r>
    </w:p>
    <w:p w14:paraId="6FECEA2B"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Por otro </w:t>
      </w:r>
      <w:proofErr w:type="gramStart"/>
      <w:r w:rsidRPr="00D365BF">
        <w:rPr>
          <w:rFonts w:ascii="Palatino Linotype" w:eastAsia="Palatino Linotype" w:hAnsi="Palatino Linotype" w:cs="Palatino Linotype"/>
        </w:rPr>
        <w:t>lado</w:t>
      </w:r>
      <w:proofErr w:type="gramEnd"/>
      <w:r w:rsidRPr="00D365BF">
        <w:rPr>
          <w:rFonts w:ascii="Palatino Linotype" w:eastAsia="Palatino Linotype" w:hAnsi="Palatino Linotype" w:cs="Palatino Linotype"/>
        </w:rPr>
        <w:t xml:space="preserve">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omitió pronunciarse sobre el uso de suelo de todo el fraccionamiento de Ciudad Satélite en Naucalpan de Juárez, Estado de México, y en su caso de las licencias de uso de suelo de los predios ubicados en:</w:t>
      </w:r>
    </w:p>
    <w:p w14:paraId="6EE05660" w14:textId="77777777" w:rsidR="00443F9D" w:rsidRPr="00D365BF" w:rsidRDefault="001B2381">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 Circuito Economistas mz1, calle Alberto J. Pani lote 30-A, lote 30-C y lote 30-D, Esquina González Aparicio, Fraccionamiento Ciudad Satélite, en Naucalpan de Juárez, Estado de México. </w:t>
      </w:r>
    </w:p>
    <w:p w14:paraId="2F5E8A4D"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consecuencia, el pronunciamiento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careció de los principios de congruencia y exhaustividad, como refuerzo de lo anterior, resulta crucial el Criterio 02/17, emitido por el Pleno del Instituto Nacional de Transparencia </w:t>
      </w:r>
      <w:r w:rsidRPr="00D365BF">
        <w:rPr>
          <w:rFonts w:ascii="Palatino Linotype" w:eastAsia="Palatino Linotype" w:hAnsi="Palatino Linotype" w:cs="Palatino Linotype"/>
        </w:rPr>
        <w:lastRenderedPageBreak/>
        <w:t>y Acceso a la Información y Protección de Datos Personales, de título y texto siguientes:</w:t>
      </w:r>
    </w:p>
    <w:p w14:paraId="58EC7554" w14:textId="77777777" w:rsidR="00443F9D" w:rsidRPr="00D365BF" w:rsidRDefault="001B2381">
      <w:pPr>
        <w:spacing w:before="80" w:after="240"/>
        <w:ind w:left="567" w:right="90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 xml:space="preserve">“Congruencia y exhaustividad. Sus alcances para garantizar el derecho de acceso a la información. </w:t>
      </w:r>
      <w:r w:rsidRPr="00D365BF">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365BF">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D365BF">
        <w:rPr>
          <w:rFonts w:ascii="Palatino Linotype" w:eastAsia="Palatino Linotype" w:hAnsi="Palatino Linotype" w:cs="Palatino Linotype"/>
          <w:i/>
          <w:sz w:val="22"/>
          <w:szCs w:val="22"/>
        </w:rPr>
        <w:t xml:space="preserve">; mientras que </w:t>
      </w:r>
      <w:r w:rsidRPr="00D365BF">
        <w:rPr>
          <w:rFonts w:ascii="Palatino Linotype" w:eastAsia="Palatino Linotype" w:hAnsi="Palatino Linotype" w:cs="Palatino Linotype"/>
          <w:b/>
          <w:i/>
          <w:sz w:val="22"/>
          <w:szCs w:val="22"/>
        </w:rPr>
        <w:t>la exhaustividad significa que dicha respuesta se refiera expresamente a cada uno de los puntos solicitados</w:t>
      </w:r>
      <w:r w:rsidRPr="00D365BF">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025DEAB1" w14:textId="77777777" w:rsidR="00443F9D" w:rsidRPr="00D365BF" w:rsidRDefault="00443F9D">
      <w:pPr>
        <w:spacing w:line="360" w:lineRule="auto"/>
        <w:jc w:val="both"/>
        <w:rPr>
          <w:rFonts w:ascii="Palatino Linotype" w:eastAsia="Palatino Linotype" w:hAnsi="Palatino Linotype" w:cs="Palatino Linotype"/>
        </w:rPr>
      </w:pPr>
    </w:p>
    <w:p w14:paraId="68012D3D" w14:textId="77777777" w:rsidR="00443F9D" w:rsidRPr="00D365BF" w:rsidRDefault="001B2381">
      <w:pPr>
        <w:tabs>
          <w:tab w:val="left" w:pos="7938"/>
        </w:tabs>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En ese sentido, de acuerdo al artículo 52 del Reglamento Orgánico de la Administración Pública Municipal de Naucalpan de Juárez, Estado de México, que establece entre otras cuestiones, las siguientes:</w:t>
      </w:r>
    </w:p>
    <w:p w14:paraId="10316C0F" w14:textId="77777777" w:rsidR="00443F9D" w:rsidRPr="00D365BF" w:rsidRDefault="00443F9D">
      <w:pPr>
        <w:tabs>
          <w:tab w:val="left" w:pos="7938"/>
        </w:tabs>
        <w:spacing w:line="360" w:lineRule="auto"/>
        <w:jc w:val="both"/>
        <w:rPr>
          <w:rFonts w:ascii="Palatino Linotype" w:eastAsia="Palatino Linotype" w:hAnsi="Palatino Linotype" w:cs="Palatino Linotype"/>
        </w:rPr>
      </w:pPr>
    </w:p>
    <w:p w14:paraId="530B3F55"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Artículo 52.</w:t>
      </w:r>
      <w:r w:rsidRPr="00D365BF">
        <w:rPr>
          <w:rFonts w:ascii="Palatino Linotype" w:eastAsia="Palatino Linotype" w:hAnsi="Palatino Linotype" w:cs="Palatino Linotype"/>
          <w:i/>
          <w:sz w:val="22"/>
          <w:szCs w:val="22"/>
        </w:rPr>
        <w:t xml:space="preserve">- La Dirección General de Desarrollo Urbano, estará a cargo de un titular, que se denominará </w:t>
      </w:r>
      <w:proofErr w:type="gramStart"/>
      <w:r w:rsidRPr="00D365BF">
        <w:rPr>
          <w:rFonts w:ascii="Palatino Linotype" w:eastAsia="Palatino Linotype" w:hAnsi="Palatino Linotype" w:cs="Palatino Linotype"/>
          <w:i/>
          <w:sz w:val="22"/>
          <w:szCs w:val="22"/>
        </w:rPr>
        <w:t>Directora</w:t>
      </w:r>
      <w:proofErr w:type="gramEnd"/>
      <w:r w:rsidRPr="00D365BF">
        <w:rPr>
          <w:rFonts w:ascii="Palatino Linotype" w:eastAsia="Palatino Linotype" w:hAnsi="Palatino Linotype" w:cs="Palatino Linotype"/>
          <w:i/>
          <w:sz w:val="22"/>
          <w:szCs w:val="22"/>
        </w:rPr>
        <w:t xml:space="preserve"> o Director General de Desarrollo Urbano y tendrá las siguientes atribuciones:</w:t>
      </w:r>
    </w:p>
    <w:p w14:paraId="71898F72"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I. Vigilar que la ocupación, la utilización y aprovechamiento del suelo en el Municipio sea congruente con el Plan de Desarrollo Urbano Municipal vigente;</w:t>
      </w:r>
    </w:p>
    <w:p w14:paraId="4550F403"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4DADEAA2"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 xml:space="preserve">XIV. </w:t>
      </w:r>
      <w:r w:rsidRPr="00D365BF">
        <w:rPr>
          <w:rFonts w:ascii="Palatino Linotype" w:eastAsia="Palatino Linotype" w:hAnsi="Palatino Linotype" w:cs="Palatino Linotype"/>
          <w:b/>
          <w:i/>
          <w:sz w:val="22"/>
          <w:szCs w:val="22"/>
          <w:u w:val="single"/>
        </w:rPr>
        <w:t>Expedir la autorización de Cambio de Uso de Suelo</w:t>
      </w:r>
      <w:r w:rsidRPr="00D365BF">
        <w:rPr>
          <w:rFonts w:ascii="Palatino Linotype" w:eastAsia="Palatino Linotype" w:hAnsi="Palatino Linotype" w:cs="Palatino Linotype"/>
          <w:i/>
          <w:sz w:val="22"/>
          <w:szCs w:val="22"/>
        </w:rPr>
        <w:t>, de Densidad e Intensidad y Altura de edificaciones, la Licencia de Uso de Suelo que requiera de Evaluación de Impacto Estatal, previamente expedido por la Secretaría de Desarrollo Urbano, la Licencia de Construcción, Constancias de Suspensión Voluntaria y de terminación de Obra parcial o total, que tenga sustento en la Licencia de Uso de Suelo;</w:t>
      </w:r>
    </w:p>
    <w:p w14:paraId="240F3700"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w:t>
      </w:r>
    </w:p>
    <w:p w14:paraId="76BDAEEC"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lastRenderedPageBreak/>
        <w:t>XXI.</w:t>
      </w:r>
      <w:r w:rsidRPr="00D365BF">
        <w:rPr>
          <w:rFonts w:ascii="Palatino Linotype" w:eastAsia="Palatino Linotype" w:hAnsi="Palatino Linotype" w:cs="Palatino Linotype"/>
          <w:i/>
          <w:sz w:val="22"/>
          <w:szCs w:val="22"/>
        </w:rPr>
        <w:t xml:space="preserve"> Difundir entre la población los </w:t>
      </w:r>
      <w:r w:rsidRPr="00D365BF">
        <w:rPr>
          <w:rFonts w:ascii="Palatino Linotype" w:eastAsia="Palatino Linotype" w:hAnsi="Palatino Linotype" w:cs="Palatino Linotype"/>
          <w:b/>
          <w:i/>
          <w:sz w:val="22"/>
          <w:szCs w:val="22"/>
          <w:u w:val="single"/>
        </w:rPr>
        <w:t>Planes de Desarrollo Urbano</w:t>
      </w:r>
      <w:r w:rsidRPr="00D365BF">
        <w:rPr>
          <w:rFonts w:ascii="Palatino Linotype" w:eastAsia="Palatino Linotype" w:hAnsi="Palatino Linotype" w:cs="Palatino Linotype"/>
          <w:i/>
          <w:sz w:val="22"/>
          <w:szCs w:val="22"/>
        </w:rPr>
        <w:t>, así como informarle sobre los trámites para obtener las licencias, autorizaciones, permisos, constancias, cédulas, avisos y factibilidades de su competencia</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65EC8F37" w14:textId="77777777" w:rsidR="00443F9D" w:rsidRPr="00D365BF" w:rsidRDefault="00443F9D">
      <w:pPr>
        <w:spacing w:line="360" w:lineRule="auto"/>
        <w:jc w:val="both"/>
        <w:rPr>
          <w:rFonts w:ascii="Palatino Linotype" w:eastAsia="Palatino Linotype" w:hAnsi="Palatino Linotype" w:cs="Palatino Linotype"/>
        </w:rPr>
      </w:pPr>
    </w:p>
    <w:p w14:paraId="3F3F1802"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Por su parte el Reglamento del Ordenamiento Territorial de los Asentamientos Humanos y Desarrollo Urbano del Municipio de Naucalpan de Juárez, México, establece para el caso que nos ocupa lo siguiente:</w:t>
      </w:r>
    </w:p>
    <w:p w14:paraId="7288D532" w14:textId="77777777" w:rsidR="00443F9D" w:rsidRPr="00D365BF" w:rsidRDefault="00443F9D">
      <w:pPr>
        <w:spacing w:line="360" w:lineRule="auto"/>
        <w:jc w:val="both"/>
        <w:rPr>
          <w:rFonts w:ascii="Palatino Linotype" w:eastAsia="Palatino Linotype" w:hAnsi="Palatino Linotype" w:cs="Palatino Linotype"/>
        </w:rPr>
      </w:pPr>
    </w:p>
    <w:p w14:paraId="0667E284"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rPr>
        <w:t>“</w:t>
      </w:r>
      <w:r w:rsidRPr="00D365BF">
        <w:rPr>
          <w:rFonts w:ascii="Palatino Linotype" w:eastAsia="Palatino Linotype" w:hAnsi="Palatino Linotype" w:cs="Palatino Linotype"/>
          <w:b/>
          <w:i/>
          <w:sz w:val="22"/>
          <w:szCs w:val="22"/>
        </w:rPr>
        <w:t>Artículo 2.-</w:t>
      </w:r>
      <w:r w:rsidRPr="00D365BF">
        <w:rPr>
          <w:rFonts w:ascii="Palatino Linotype" w:eastAsia="Palatino Linotype" w:hAnsi="Palatino Linotype" w:cs="Palatino Linotype"/>
          <w:i/>
          <w:sz w:val="22"/>
          <w:szCs w:val="22"/>
        </w:rPr>
        <w:t xml:space="preserve"> Para efectos de este Reglamento se entiende por:</w:t>
      </w:r>
    </w:p>
    <w:p w14:paraId="5A69A576"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21FD92F6"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 xml:space="preserve">XXIV. Destino del </w:t>
      </w:r>
      <w:proofErr w:type="gramStart"/>
      <w:r w:rsidRPr="00D365BF">
        <w:rPr>
          <w:rFonts w:ascii="Palatino Linotype" w:eastAsia="Palatino Linotype" w:hAnsi="Palatino Linotype" w:cs="Palatino Linotype"/>
          <w:b/>
          <w:i/>
          <w:sz w:val="22"/>
          <w:szCs w:val="22"/>
        </w:rPr>
        <w:t>Suelo</w:t>
      </w:r>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 xml:space="preserve"> Es el fin público a que se prevé dedicar </w:t>
      </w:r>
      <w:r w:rsidRPr="00D365BF">
        <w:rPr>
          <w:rFonts w:ascii="Palatino Linotype" w:eastAsia="Palatino Linotype" w:hAnsi="Palatino Linotype" w:cs="Palatino Linotype"/>
          <w:b/>
          <w:i/>
          <w:sz w:val="22"/>
          <w:szCs w:val="22"/>
          <w:u w:val="single"/>
        </w:rPr>
        <w:t>determinada área o predio</w:t>
      </w:r>
      <w:r w:rsidRPr="00D365BF">
        <w:rPr>
          <w:rFonts w:ascii="Palatino Linotype" w:eastAsia="Palatino Linotype" w:hAnsi="Palatino Linotype" w:cs="Palatino Linotype"/>
          <w:i/>
          <w:sz w:val="22"/>
          <w:szCs w:val="22"/>
        </w:rPr>
        <w:t>;</w:t>
      </w:r>
    </w:p>
    <w:p w14:paraId="17FB9AD8"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2A702224"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 xml:space="preserve">LXVI. Uso del </w:t>
      </w:r>
      <w:proofErr w:type="gramStart"/>
      <w:r w:rsidRPr="00D365BF">
        <w:rPr>
          <w:rFonts w:ascii="Palatino Linotype" w:eastAsia="Palatino Linotype" w:hAnsi="Palatino Linotype" w:cs="Palatino Linotype"/>
          <w:b/>
          <w:i/>
          <w:sz w:val="22"/>
          <w:szCs w:val="22"/>
        </w:rPr>
        <w:t>Suelo</w:t>
      </w:r>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 xml:space="preserve"> Es el fin particular a que podrá dedicarse </w:t>
      </w:r>
      <w:r w:rsidRPr="00D365BF">
        <w:rPr>
          <w:rFonts w:ascii="Palatino Linotype" w:eastAsia="Palatino Linotype" w:hAnsi="Palatino Linotype" w:cs="Palatino Linotype"/>
          <w:b/>
          <w:i/>
          <w:sz w:val="22"/>
          <w:szCs w:val="22"/>
          <w:u w:val="single"/>
        </w:rPr>
        <w:t>determinada área o predio</w:t>
      </w:r>
      <w:r w:rsidRPr="00D365BF">
        <w:rPr>
          <w:rFonts w:ascii="Palatino Linotype" w:eastAsia="Palatino Linotype" w:hAnsi="Palatino Linotype" w:cs="Palatino Linotype"/>
          <w:i/>
          <w:sz w:val="22"/>
          <w:szCs w:val="22"/>
        </w:rPr>
        <w:t>, de conformidad con lo establecido por los Planes de Desarrollo Urbano respectivos;</w:t>
      </w:r>
    </w:p>
    <w:p w14:paraId="2ADA9878"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1F1801D2"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Artículo 5.-</w:t>
      </w:r>
      <w:r w:rsidRPr="00D365BF">
        <w:rPr>
          <w:rFonts w:ascii="Palatino Linotype" w:eastAsia="Palatino Linotype" w:hAnsi="Palatino Linotype" w:cs="Palatino Linotype"/>
          <w:i/>
          <w:sz w:val="22"/>
          <w:szCs w:val="22"/>
        </w:rPr>
        <w:t xml:space="preserve"> Corresponde a la Dirección el ejercicio de las siguientes atribuciones:</w:t>
      </w:r>
    </w:p>
    <w:p w14:paraId="770AA10A"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6DD0EEF9"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V. Autorizar, controlar y vigilar la utilización del suelo, salvo lo referente a la Licencia de Funcionamiento</w:t>
      </w:r>
      <w:r w:rsidRPr="00D365BF">
        <w:rPr>
          <w:rFonts w:ascii="Palatino Linotype" w:eastAsia="Palatino Linotype" w:hAnsi="Palatino Linotype" w:cs="Palatino Linotype"/>
          <w:i/>
          <w:sz w:val="22"/>
          <w:szCs w:val="22"/>
        </w:rPr>
        <w:t>;</w:t>
      </w:r>
    </w:p>
    <w:p w14:paraId="036CA77E"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7A6248F0"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Artículo 17.-</w:t>
      </w:r>
      <w:r w:rsidRPr="00D365BF">
        <w:rPr>
          <w:rFonts w:ascii="Palatino Linotype" w:eastAsia="Palatino Linotype" w:hAnsi="Palatino Linotype" w:cs="Palatino Linotype"/>
          <w:i/>
          <w:sz w:val="22"/>
          <w:szCs w:val="22"/>
        </w:rPr>
        <w:t xml:space="preserve"> Para los efectos de ordenar y regular los Asentamientos Humanos en el territorio municipal, el Plan Municipal de Desarrollo Urbano y los Planes que deriven de éste, clasificarán el territorio en: </w:t>
      </w:r>
    </w:p>
    <w:p w14:paraId="279519EC"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 xml:space="preserve">I. Áreas </w:t>
      </w:r>
      <w:proofErr w:type="gramStart"/>
      <w:r w:rsidRPr="00D365BF">
        <w:rPr>
          <w:rFonts w:ascii="Palatino Linotype" w:eastAsia="Palatino Linotype" w:hAnsi="Palatino Linotype" w:cs="Palatino Linotype"/>
          <w:b/>
          <w:i/>
          <w:sz w:val="22"/>
          <w:szCs w:val="22"/>
        </w:rPr>
        <w:t>Urbanas</w:t>
      </w:r>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 xml:space="preserve"> Son las áreas que así definidas en el respectivo Plan de Desarrollo Urbano, se encuentran constituidas por zonas edificadas total o parcialmente en donde existen al menos servicios de agua potable, drenaje, alcantarillado y energía eléctrica, sin perjuicio de que coexistan con predios o carentes de los mismos; </w:t>
      </w:r>
    </w:p>
    <w:p w14:paraId="1E103A98"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 xml:space="preserve">II. Áreas </w:t>
      </w:r>
      <w:proofErr w:type="gramStart"/>
      <w:r w:rsidRPr="00D365BF">
        <w:rPr>
          <w:rFonts w:ascii="Palatino Linotype" w:eastAsia="Palatino Linotype" w:hAnsi="Palatino Linotype" w:cs="Palatino Linotype"/>
          <w:b/>
          <w:i/>
          <w:sz w:val="22"/>
          <w:szCs w:val="22"/>
        </w:rPr>
        <w:t>Urbanizables</w:t>
      </w:r>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 xml:space="preserve"> Son las áreas que así definidas en el respectivo Plan de Desarrollo Urbano, están previstas para el crecimiento de los Centros de Población, por reunir las condiciones para ser dotadas de infraestructura urbana, equipamiento urbano y servicios públicos. Pudiendo ser:</w:t>
      </w:r>
    </w:p>
    <w:p w14:paraId="6FA4941C" w14:textId="77777777" w:rsidR="00443F9D" w:rsidRPr="00D365BF" w:rsidRDefault="00443F9D">
      <w:pPr>
        <w:pBdr>
          <w:top w:val="nil"/>
          <w:left w:val="nil"/>
          <w:bottom w:val="nil"/>
          <w:right w:val="nil"/>
          <w:between w:val="nil"/>
        </w:pBdr>
        <w:ind w:left="720"/>
        <w:jc w:val="both"/>
        <w:rPr>
          <w:rFonts w:ascii="Palatino Linotype" w:eastAsia="Palatino Linotype" w:hAnsi="Palatino Linotype" w:cs="Palatino Linotype"/>
          <w:i/>
          <w:sz w:val="22"/>
          <w:szCs w:val="22"/>
        </w:rPr>
      </w:pPr>
    </w:p>
    <w:p w14:paraId="17D2ED89"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 Áreas Urbanizables Programadas; y </w:t>
      </w:r>
    </w:p>
    <w:p w14:paraId="11EF61E3"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b) Áreas Urbanizables No Programadas. </w:t>
      </w:r>
    </w:p>
    <w:p w14:paraId="278AEF06" w14:textId="77777777" w:rsidR="00443F9D" w:rsidRPr="00D365BF" w:rsidRDefault="00443F9D">
      <w:pPr>
        <w:pBdr>
          <w:top w:val="nil"/>
          <w:left w:val="nil"/>
          <w:bottom w:val="nil"/>
          <w:right w:val="nil"/>
          <w:between w:val="nil"/>
        </w:pBdr>
        <w:ind w:left="720"/>
        <w:jc w:val="both"/>
        <w:rPr>
          <w:rFonts w:ascii="Palatino Linotype" w:eastAsia="Palatino Linotype" w:hAnsi="Palatino Linotype" w:cs="Palatino Linotype"/>
          <w:i/>
          <w:sz w:val="22"/>
          <w:szCs w:val="22"/>
        </w:rPr>
      </w:pPr>
    </w:p>
    <w:p w14:paraId="18007D71" w14:textId="77777777" w:rsidR="00443F9D" w:rsidRPr="00D365BF" w:rsidRDefault="001B2381">
      <w:pPr>
        <w:pBdr>
          <w:top w:val="nil"/>
          <w:left w:val="nil"/>
          <w:bottom w:val="nil"/>
          <w:right w:val="nil"/>
          <w:between w:val="nil"/>
        </w:pBdr>
        <w:ind w:left="72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lastRenderedPageBreak/>
        <w:t xml:space="preserve">III. Áreas No </w:t>
      </w:r>
      <w:proofErr w:type="gramStart"/>
      <w:r w:rsidRPr="00D365BF">
        <w:rPr>
          <w:rFonts w:ascii="Palatino Linotype" w:eastAsia="Palatino Linotype" w:hAnsi="Palatino Linotype" w:cs="Palatino Linotype"/>
          <w:b/>
          <w:i/>
          <w:sz w:val="22"/>
          <w:szCs w:val="22"/>
        </w:rPr>
        <w:t>Urbanizables.-</w:t>
      </w:r>
      <w:proofErr w:type="gramEnd"/>
      <w:r w:rsidRPr="00D365BF">
        <w:rPr>
          <w:rFonts w:ascii="Palatino Linotype" w:eastAsia="Palatino Linotype" w:hAnsi="Palatino Linotype" w:cs="Palatino Linotype"/>
          <w:i/>
          <w:sz w:val="22"/>
          <w:szCs w:val="22"/>
        </w:rPr>
        <w:t xml:space="preserve"> Son las áreas que así definidas en el respectivo Plan de Desarrollo Urbano, quedan excluidas del Desarrollo Urbano, así como todos aquellos predios ubicados por encima de la cota de dos mil ochocientos sobre el nivel del mar y las demás áreas que con este carácter se encuentren definidas en los ordenamientos jurídicos aplicables de la materia.”(Sic)</w:t>
      </w:r>
    </w:p>
    <w:p w14:paraId="65D91DBB" w14:textId="77777777" w:rsidR="00443F9D" w:rsidRPr="00D365BF" w:rsidRDefault="00443F9D">
      <w:pPr>
        <w:spacing w:line="360" w:lineRule="auto"/>
        <w:jc w:val="both"/>
        <w:rPr>
          <w:rFonts w:ascii="Palatino Linotype" w:eastAsia="Palatino Linotype" w:hAnsi="Palatino Linotype" w:cs="Palatino Linotype"/>
        </w:rPr>
      </w:pPr>
    </w:p>
    <w:p w14:paraId="55568C4A"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Como podemos apreciar de acuerdo con las atribuciones y responsabilidades establecidas en los artículos mencionados, la Dirección de Desarrollo Urbano tiene la tarea de autorizar, controlar y vigilar la utilización del suelo en el municipio, así como expedir licencias, autorizaciones y permisos relacionados con el cambio de uso de suelo, densidad e intensidad de edificaciones, por área o predio. </w:t>
      </w:r>
    </w:p>
    <w:p w14:paraId="7450C84C" w14:textId="77777777" w:rsidR="00443F9D" w:rsidRPr="00D365BF" w:rsidRDefault="00443F9D">
      <w:pPr>
        <w:spacing w:line="360" w:lineRule="auto"/>
        <w:jc w:val="both"/>
        <w:rPr>
          <w:rFonts w:ascii="Palatino Linotype" w:eastAsia="Palatino Linotype" w:hAnsi="Palatino Linotype" w:cs="Palatino Linotype"/>
        </w:rPr>
      </w:pPr>
    </w:p>
    <w:p w14:paraId="5A210E82"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Por lo que se considera que dentro de las funciones y competencias de la Dirección de Desarrollo Urbano se incluya la documentación del uso de suelo por colonia, para evaluar y controlar el cumplimiento de los planes de desarrollo urbano y la congruencia de la ocupación y utilización del suelo con dichos planes.</w:t>
      </w:r>
    </w:p>
    <w:p w14:paraId="413677A7" w14:textId="77777777" w:rsidR="00443F9D" w:rsidRPr="00D365BF" w:rsidRDefault="00443F9D">
      <w:pPr>
        <w:spacing w:line="360" w:lineRule="auto"/>
        <w:jc w:val="both"/>
        <w:rPr>
          <w:rFonts w:ascii="Palatino Linotype" w:eastAsia="Palatino Linotype" w:hAnsi="Palatino Linotype" w:cs="Palatino Linotype"/>
        </w:rPr>
      </w:pPr>
    </w:p>
    <w:p w14:paraId="6199271F"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Razones por las cuales lo procedente es ordenar, los documentos en donde conste el uso de suelo del Fraccionamiento de Ciudad Satélite en Naucalpan de Juárez, Estado de México en versión pública conforme a lo señalado en el presente punto y considerando quinto del presente fallo. </w:t>
      </w:r>
    </w:p>
    <w:p w14:paraId="4B7EA7DA" w14:textId="77777777" w:rsidR="00443F9D" w:rsidRPr="00D365BF" w:rsidRDefault="00443F9D">
      <w:pPr>
        <w:spacing w:line="360" w:lineRule="auto"/>
        <w:jc w:val="both"/>
        <w:rPr>
          <w:rFonts w:ascii="Palatino Linotype" w:eastAsia="Palatino Linotype" w:hAnsi="Palatino Linotype" w:cs="Palatino Linotype"/>
        </w:rPr>
      </w:pPr>
    </w:p>
    <w:p w14:paraId="54FA3CFF" w14:textId="77777777" w:rsidR="00443F9D" w:rsidRPr="00D365BF" w:rsidRDefault="001B2381">
      <w:pPr>
        <w:spacing w:before="240" w:after="240" w:line="360" w:lineRule="auto"/>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b/>
          <w:u w:val="single"/>
        </w:rPr>
        <w:t>En otro orden de ideas, en cuanto al requerimiento relacionado a:</w:t>
      </w:r>
    </w:p>
    <w:p w14:paraId="1F02E492" w14:textId="77777777" w:rsidR="00443F9D" w:rsidRPr="00D365BF" w:rsidRDefault="001B2381">
      <w:pPr>
        <w:numPr>
          <w:ilvl w:val="0"/>
          <w:numId w:val="9"/>
        </w:numPr>
        <w:pBdr>
          <w:top w:val="nil"/>
          <w:left w:val="nil"/>
          <w:bottom w:val="nil"/>
          <w:right w:val="nil"/>
          <w:between w:val="nil"/>
        </w:pBdr>
        <w:spacing w:before="240" w:line="360" w:lineRule="auto"/>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b/>
          <w:u w:val="single"/>
        </w:rPr>
        <w:t xml:space="preserve">Copia simple de la licencia de construcción. </w:t>
      </w:r>
    </w:p>
    <w:p w14:paraId="4D077806" w14:textId="77777777" w:rsidR="00443F9D" w:rsidRPr="00D365BF" w:rsidRDefault="001B2381">
      <w:pPr>
        <w:numPr>
          <w:ilvl w:val="0"/>
          <w:numId w:val="9"/>
        </w:numPr>
        <w:pBdr>
          <w:top w:val="nil"/>
          <w:left w:val="nil"/>
          <w:bottom w:val="nil"/>
          <w:right w:val="nil"/>
          <w:between w:val="nil"/>
        </w:pBdr>
        <w:spacing w:after="240" w:line="360" w:lineRule="auto"/>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b/>
          <w:u w:val="single"/>
        </w:rPr>
        <w:t xml:space="preserve">Copia simple de la licencia de terminación de obra. </w:t>
      </w:r>
    </w:p>
    <w:p w14:paraId="329466DB"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De los predios ubicados en:</w:t>
      </w:r>
    </w:p>
    <w:p w14:paraId="023AAFE3" w14:textId="77777777" w:rsidR="00443F9D" w:rsidRPr="00D365BF" w:rsidRDefault="001B2381">
      <w:pPr>
        <w:numPr>
          <w:ilvl w:val="0"/>
          <w:numId w:val="8"/>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B, lote 30 C y lote 30 D, Esquina González Aparicio, Fraccionamiento Ciudad Satélite, en Naucalpan de Juárez, Estado de México.</w:t>
      </w:r>
    </w:p>
    <w:p w14:paraId="207A4027" w14:textId="77777777" w:rsidR="00443F9D" w:rsidRPr="00D365BF" w:rsidRDefault="001B2381">
      <w:pPr>
        <w:numPr>
          <w:ilvl w:val="0"/>
          <w:numId w:val="8"/>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Calle Enrique de González Aparicio #5 Fraccionamiento Ciudad Satélite, en Naucalpan de Juárez, Estado de México</w:t>
      </w:r>
    </w:p>
    <w:p w14:paraId="0CFBE3DA"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Sobre la naturaleza de la información, es necesario remitirnos al contenido del artículo 115 fracciones I, II y V de la Constitución Política de los Estados Unidos Mexicanos que establece en lo que nos interesa, lo siguiente: </w:t>
      </w:r>
    </w:p>
    <w:p w14:paraId="3660D7D8" w14:textId="77777777" w:rsidR="00443F9D" w:rsidRPr="00D365BF" w:rsidRDefault="00443F9D">
      <w:pPr>
        <w:spacing w:line="360" w:lineRule="auto"/>
        <w:jc w:val="both"/>
        <w:rPr>
          <w:rFonts w:ascii="Palatino Linotype" w:eastAsia="Palatino Linotype" w:hAnsi="Palatino Linotype" w:cs="Palatino Linotype"/>
        </w:rPr>
      </w:pPr>
    </w:p>
    <w:p w14:paraId="3C455568"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rPr>
        <w:t>“</w:t>
      </w:r>
      <w:r w:rsidRPr="00D365BF">
        <w:rPr>
          <w:rFonts w:ascii="Palatino Linotype" w:eastAsia="Palatino Linotype" w:hAnsi="Palatino Linotype" w:cs="Palatino Linotype"/>
          <w:i/>
          <w:sz w:val="22"/>
          <w:szCs w:val="22"/>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AEA4BC0"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 Cada Municipio será gobernado por un Ayuntamiento de elección popular directa, integrado por un </w:t>
      </w:r>
      <w:proofErr w:type="gramStart"/>
      <w:r w:rsidRPr="00D365BF">
        <w:rPr>
          <w:rFonts w:ascii="Palatino Linotype" w:eastAsia="Palatino Linotype" w:hAnsi="Palatino Linotype" w:cs="Palatino Linotype"/>
          <w:i/>
          <w:sz w:val="22"/>
          <w:szCs w:val="22"/>
        </w:rPr>
        <w:t>Presidente</w:t>
      </w:r>
      <w:proofErr w:type="gramEnd"/>
      <w:r w:rsidRPr="00D365BF">
        <w:rPr>
          <w:rFonts w:ascii="Palatino Linotype" w:eastAsia="Palatino Linotype" w:hAnsi="Palatino Linotype" w:cs="Palatino Linotype"/>
          <w:i/>
          <w:sz w:val="22"/>
          <w:szCs w:val="22"/>
        </w:rPr>
        <w:t xml:space="preserv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1968DDD8"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 </w:t>
      </w:r>
    </w:p>
    <w:p w14:paraId="671359D2"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6C69A986"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 </w:t>
      </w:r>
    </w:p>
    <w:p w14:paraId="2C996A86"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 Los Municipios, en los términos de las leyes federales y Estatales relativas, estarán facultados para: </w:t>
      </w:r>
    </w:p>
    <w:p w14:paraId="14985F70"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lastRenderedPageBreak/>
        <w:t xml:space="preserve">a) Formular, aprobar y administrar la zonificación y planes de desarrollo urbano municipal; (…) </w:t>
      </w:r>
    </w:p>
    <w:p w14:paraId="34920D7A"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d) Autorizar, controlar y vigilar la utilización del suelo, en el ámbito de su competencia, en sus jurisdicciones territoriales; </w:t>
      </w:r>
    </w:p>
    <w:p w14:paraId="621BC73A"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e) Intervenir en la regularización de la tenencia de la tierra urbana; </w:t>
      </w:r>
    </w:p>
    <w:p w14:paraId="5EB6E7F7"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u w:val="single"/>
        </w:rPr>
        <w:t>f) Otorgar licencias y permisos para construcciones</w:t>
      </w:r>
      <w:r w:rsidRPr="00D365BF">
        <w:rPr>
          <w:rFonts w:ascii="Palatino Linotype" w:eastAsia="Palatino Linotype" w:hAnsi="Palatino Linotype" w:cs="Palatino Linotype"/>
          <w:i/>
          <w:sz w:val="22"/>
          <w:szCs w:val="22"/>
        </w:rPr>
        <w:t xml:space="preserve">; </w:t>
      </w:r>
    </w:p>
    <w:p w14:paraId="29EDDE27"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g) Participar en la creación y administración de zonas de reservas ecológicas y en la elaboración y aplicación de programas de ordenamiento en esta materia; </w:t>
      </w:r>
    </w:p>
    <w:p w14:paraId="25703578"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h) Intervenir en la formulación y aplicación de programas de transporte público de pasajeros cuando aquellos afecten su ámbito territorial… (Sic)</w:t>
      </w:r>
    </w:p>
    <w:p w14:paraId="5CBFF204" w14:textId="77777777" w:rsidR="00443F9D" w:rsidRPr="00D365BF" w:rsidRDefault="00443F9D">
      <w:pPr>
        <w:spacing w:line="360" w:lineRule="auto"/>
        <w:jc w:val="both"/>
        <w:rPr>
          <w:rFonts w:ascii="Palatino Linotype" w:eastAsia="Palatino Linotype" w:hAnsi="Palatino Linotype" w:cs="Palatino Linotype"/>
        </w:rPr>
      </w:pPr>
    </w:p>
    <w:p w14:paraId="4AB470D9"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Así, 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jurídica y patrimonio propio, en este sentido tendrán la facultad de aprobar con acuerdo a las leyes su bando, reglamentos, circulares y disposiciones administrativas de observancia general dentro de su circunscripción.</w:t>
      </w:r>
    </w:p>
    <w:p w14:paraId="075A162B" w14:textId="77777777" w:rsidR="00443F9D" w:rsidRPr="00D365BF" w:rsidRDefault="00443F9D">
      <w:pPr>
        <w:spacing w:line="360" w:lineRule="auto"/>
        <w:jc w:val="both"/>
        <w:rPr>
          <w:rFonts w:ascii="Palatino Linotype" w:eastAsia="Palatino Linotype" w:hAnsi="Palatino Linotype" w:cs="Palatino Linotype"/>
        </w:rPr>
      </w:pPr>
    </w:p>
    <w:p w14:paraId="2611213A" w14:textId="77777777" w:rsidR="00443F9D" w:rsidRPr="00D365BF" w:rsidRDefault="001B2381">
      <w:pPr>
        <w:spacing w:line="360" w:lineRule="auto"/>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rPr>
        <w:t xml:space="preserve">Asimismo, que son responsables de formular los planes de desarrollo urbano municipal, así como de autorizar, controlar y vigilar la utilización del suelo, consecuentemente </w:t>
      </w:r>
      <w:r w:rsidRPr="00D365BF">
        <w:rPr>
          <w:rFonts w:ascii="Palatino Linotype" w:eastAsia="Palatino Linotype" w:hAnsi="Palatino Linotype" w:cs="Palatino Linotype"/>
          <w:b/>
          <w:u w:val="single"/>
        </w:rPr>
        <w:t xml:space="preserve">están facultados para otorgar licencias y permisos para construcciones. </w:t>
      </w:r>
    </w:p>
    <w:p w14:paraId="7A346AFC" w14:textId="77777777" w:rsidR="00443F9D" w:rsidRPr="00D365BF" w:rsidRDefault="00443F9D">
      <w:pPr>
        <w:spacing w:line="360" w:lineRule="auto"/>
        <w:jc w:val="both"/>
        <w:rPr>
          <w:rFonts w:ascii="Palatino Linotype" w:eastAsia="Palatino Linotype" w:hAnsi="Palatino Linotype" w:cs="Palatino Linotype"/>
        </w:rPr>
      </w:pPr>
    </w:p>
    <w:p w14:paraId="47F9393C"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Por su parte, la Ley Orgánica Municipal del Estado de México dispone en sus artículos 15, 27, 28, 31 fracción XXIV y 91, lo siguiente:</w:t>
      </w:r>
    </w:p>
    <w:p w14:paraId="3F159E05" w14:textId="77777777" w:rsidR="00443F9D" w:rsidRPr="00D365BF" w:rsidRDefault="00443F9D">
      <w:pPr>
        <w:spacing w:line="360" w:lineRule="auto"/>
        <w:jc w:val="both"/>
        <w:rPr>
          <w:rFonts w:ascii="Palatino Linotype" w:eastAsia="Palatino Linotype" w:hAnsi="Palatino Linotype" w:cs="Palatino Linotype"/>
        </w:rPr>
      </w:pPr>
    </w:p>
    <w:p w14:paraId="3B5BFCE2"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15.- Cada municipio será gobernado por un ayuntamiento de elección popular directa y no habrá ninguna autoridad intermedia entre éste y el Gobierno del Estado… </w:t>
      </w:r>
      <w:r w:rsidRPr="00D365BF">
        <w:rPr>
          <w:rFonts w:ascii="Palatino Linotype" w:eastAsia="Palatino Linotype" w:hAnsi="Palatino Linotype" w:cs="Palatino Linotype"/>
          <w:i/>
          <w:sz w:val="22"/>
          <w:szCs w:val="22"/>
        </w:rPr>
        <w:lastRenderedPageBreak/>
        <w:t xml:space="preserve">Artículo 27.- Los ayuntamientos como órganos deliberantes, deberán resolver colegiadamente los asuntos de su competencia… </w:t>
      </w:r>
    </w:p>
    <w:p w14:paraId="5301467D"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31.- Son atribuciones de los ayuntamientos: </w:t>
      </w:r>
    </w:p>
    <w:p w14:paraId="72FA01D3"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 </w:t>
      </w:r>
    </w:p>
    <w:p w14:paraId="7C24E260"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XXIV </w:t>
      </w:r>
      <w:proofErr w:type="spellStart"/>
      <w:r w:rsidRPr="00D365BF">
        <w:rPr>
          <w:rFonts w:ascii="Palatino Linotype" w:eastAsia="Palatino Linotype" w:hAnsi="Palatino Linotype" w:cs="Palatino Linotype"/>
          <w:i/>
          <w:sz w:val="22"/>
          <w:szCs w:val="22"/>
        </w:rPr>
        <w:t>Quáter</w:t>
      </w:r>
      <w:proofErr w:type="spellEnd"/>
      <w:r w:rsidRPr="00D365BF">
        <w:rPr>
          <w:rFonts w:ascii="Palatino Linotype" w:eastAsia="Palatino Linotype" w:hAnsi="Palatino Linotype" w:cs="Palatino Linotype"/>
          <w:i/>
          <w:sz w:val="22"/>
          <w:szCs w:val="22"/>
        </w:rPr>
        <w:t xml:space="preserve">.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 </w:t>
      </w:r>
    </w:p>
    <w:p w14:paraId="2E0D7E47"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96. </w:t>
      </w:r>
      <w:proofErr w:type="spellStart"/>
      <w:proofErr w:type="gramStart"/>
      <w:r w:rsidRPr="00D365BF">
        <w:rPr>
          <w:rFonts w:ascii="Palatino Linotype" w:eastAsia="Palatino Linotype" w:hAnsi="Palatino Linotype" w:cs="Palatino Linotype"/>
          <w:i/>
          <w:sz w:val="22"/>
          <w:szCs w:val="22"/>
        </w:rPr>
        <w:t>Sexies</w:t>
      </w:r>
      <w:proofErr w:type="spellEnd"/>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 xml:space="preserve"> El Director de Desarrollo Urbano o el Titular de la Unidad Administrativa equivalente, tiene las atribuciones siguientes: </w:t>
      </w:r>
    </w:p>
    <w:p w14:paraId="56B237F1"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 VI. Analizar las cédulas informativas de zonificación, licencias de uso de suelo y licencias de construcción; </w:t>
      </w:r>
    </w:p>
    <w:p w14:paraId="0E1903B4"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VII. Vigilar la utilización y aprovechamiento del suelo con fines urbanos, en su circunscripción </w:t>
      </w:r>
      <w:proofErr w:type="gramStart"/>
      <w:r w:rsidRPr="00D365BF">
        <w:rPr>
          <w:rFonts w:ascii="Palatino Linotype" w:eastAsia="Palatino Linotype" w:hAnsi="Palatino Linotype" w:cs="Palatino Linotype"/>
          <w:i/>
          <w:sz w:val="22"/>
          <w:szCs w:val="22"/>
        </w:rPr>
        <w:t>territorial;…</w:t>
      </w:r>
      <w:proofErr w:type="gramEnd"/>
      <w:r w:rsidRPr="00D365BF">
        <w:rPr>
          <w:rFonts w:ascii="Palatino Linotype" w:eastAsia="Palatino Linotype" w:hAnsi="Palatino Linotype" w:cs="Palatino Linotype"/>
          <w:i/>
          <w:sz w:val="22"/>
          <w:szCs w:val="22"/>
        </w:rPr>
        <w:t>” (Sic)</w:t>
      </w:r>
    </w:p>
    <w:p w14:paraId="70AFBA1F" w14:textId="77777777" w:rsidR="00443F9D" w:rsidRPr="00D365BF" w:rsidRDefault="00443F9D">
      <w:pPr>
        <w:ind w:left="567" w:right="567"/>
        <w:jc w:val="both"/>
        <w:rPr>
          <w:rFonts w:ascii="Palatino Linotype" w:eastAsia="Palatino Linotype" w:hAnsi="Palatino Linotype" w:cs="Palatino Linotype"/>
          <w:i/>
          <w:sz w:val="22"/>
          <w:szCs w:val="22"/>
        </w:rPr>
      </w:pPr>
    </w:p>
    <w:p w14:paraId="20843E23"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Luego entonces le corresponde al Ayuntamiento, el de otorgar licencias de construcción a través del </w:t>
      </w:r>
      <w:proofErr w:type="gramStart"/>
      <w:r w:rsidRPr="00D365BF">
        <w:rPr>
          <w:rFonts w:ascii="Palatino Linotype" w:eastAsia="Palatino Linotype" w:hAnsi="Palatino Linotype" w:cs="Palatino Linotype"/>
        </w:rPr>
        <w:t>Director</w:t>
      </w:r>
      <w:proofErr w:type="gramEnd"/>
      <w:r w:rsidRPr="00D365BF">
        <w:rPr>
          <w:rFonts w:ascii="Palatino Linotype" w:eastAsia="Palatino Linotype" w:hAnsi="Palatino Linotype" w:cs="Palatino Linotype"/>
        </w:rPr>
        <w:t xml:space="preserve"> de Desarrollo Urbano. </w:t>
      </w:r>
    </w:p>
    <w:p w14:paraId="0C507665" w14:textId="77777777" w:rsidR="00443F9D" w:rsidRPr="00D365BF" w:rsidRDefault="00443F9D">
      <w:pPr>
        <w:spacing w:line="360" w:lineRule="auto"/>
        <w:jc w:val="both"/>
        <w:rPr>
          <w:rFonts w:ascii="Palatino Linotype" w:eastAsia="Palatino Linotype" w:hAnsi="Palatino Linotype" w:cs="Palatino Linotype"/>
        </w:rPr>
      </w:pPr>
    </w:p>
    <w:p w14:paraId="05DAC495"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Mientras que el diverso 18.6 del Código Administrativo del Estado de México, dispone que son atribuciones de los Municipios, expedir licencias, permisos y constancias en materia de construcción, de conformidad con lo dispuesto por este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 </w:t>
      </w:r>
    </w:p>
    <w:p w14:paraId="34B42AF9" w14:textId="77777777" w:rsidR="00443F9D" w:rsidRPr="00D365BF" w:rsidRDefault="00443F9D">
      <w:pPr>
        <w:spacing w:line="360" w:lineRule="auto"/>
        <w:jc w:val="both"/>
        <w:rPr>
          <w:rFonts w:ascii="Palatino Linotype" w:eastAsia="Palatino Linotype" w:hAnsi="Palatino Linotype" w:cs="Palatino Linotype"/>
        </w:rPr>
      </w:pPr>
    </w:p>
    <w:p w14:paraId="7EE157B0"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Por su parte el Libro Décimo Octavo del Código en estudio, tiene por objeto regular las construcciones privadas que se realicen en territorial con el fin de que satisfagan condiciones de seguridad, habitabilidad, calidad, higiene, funcionalidad, </w:t>
      </w:r>
      <w:r w:rsidRPr="00D365BF">
        <w:rPr>
          <w:rFonts w:ascii="Palatino Linotype" w:eastAsia="Palatino Linotype" w:hAnsi="Palatino Linotype" w:cs="Palatino Linotype"/>
        </w:rPr>
        <w:lastRenderedPageBreak/>
        <w:t>sustentabilidad e integración al contexto e imagen urbana, por lo que toda construcción debe sujetarse a lo siguiente:</w:t>
      </w:r>
    </w:p>
    <w:p w14:paraId="25EDF4D9" w14:textId="77777777" w:rsidR="00443F9D" w:rsidRPr="00D365BF" w:rsidRDefault="00443F9D">
      <w:pPr>
        <w:spacing w:line="360" w:lineRule="auto"/>
        <w:jc w:val="both"/>
        <w:rPr>
          <w:rFonts w:ascii="Palatino Linotype" w:eastAsia="Palatino Linotype" w:hAnsi="Palatino Linotype" w:cs="Palatino Linotype"/>
        </w:rPr>
      </w:pPr>
    </w:p>
    <w:p w14:paraId="34D6F0B0"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18.3.- Toda construcción se sujetará a lo siguiente: </w:t>
      </w:r>
    </w:p>
    <w:p w14:paraId="34DC7132"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 A las disposiciones de este Libro, del Libro Quinto del Código y su Reglamento, a las Normas Técnicas y a las demás disposiciones jurídicas aplicables; </w:t>
      </w:r>
    </w:p>
    <w:p w14:paraId="07EF5C2A"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II. Requerirán para su ejecución de la correspondiente licencia de construcción, salvo los casos de excepción que se establecen en este Libro; </w:t>
      </w:r>
    </w:p>
    <w:p w14:paraId="04AF784D"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III. Requerirán de la respectiva constancia de terminación de obra; </w:t>
      </w:r>
    </w:p>
    <w:p w14:paraId="5AA6C88F"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IV. Observarán la normatividad de uso y aprovechamiento del suelo contenida en los planes de desarrollo urbano correspondientes; </w:t>
      </w:r>
    </w:p>
    <w:p w14:paraId="4B6904B1"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 Contarán con los cajones de estacionamiento que establezca el plan municipal de desarrollo urbano correspondiente, atendiendo lo que al respecto determine la normatividad aplicable; </w:t>
      </w:r>
    </w:p>
    <w:p w14:paraId="16E5E5FA"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 Garantizarán su iluminación, ventilación y asoleamiento, la mitigación de efectos negativos que puedan causar a las construcciones vecinas; </w:t>
      </w:r>
    </w:p>
    <w:p w14:paraId="0CB45BF9"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VII. Cumplirán los requisitos de seguridad estructural que les permitan satisfacer los fines para los cuales fueron proyectadas; </w:t>
      </w:r>
    </w:p>
    <w:p w14:paraId="7E39231D"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VIII. Estarán provistas de los servicios básicos de agua potable, desalojo de aguas residuales y energía eléctrica; </w:t>
      </w:r>
    </w:p>
    <w:p w14:paraId="7105108F"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IX. Dispondrán de espacios y muebles sanitarios de bajo consumo de agua, en número suficiente para los usuarios y de conformidad a las normas oficiales mexicanas; </w:t>
      </w:r>
    </w:p>
    <w:p w14:paraId="6A59360F"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X. Cumplirán con las previsiones correspondientes a protección civil, ingeniería sanitaria y personas con discapacidad; </w:t>
      </w:r>
    </w:p>
    <w:p w14:paraId="7B7BBDE1"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XI. 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 </w:t>
      </w:r>
    </w:p>
    <w:p w14:paraId="5530582C"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XII. Las dedicadas a servicios de radiotelecomunicación o similares y anuncios publicitarios que requieran elementos estructurales, fomentarán su integración al contexto y se ajustarán a las disposiciones aplicables; y </w:t>
      </w:r>
    </w:p>
    <w:p w14:paraId="3AB37E81"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XIII. Procurarán la utilización de tecnologías a efecto de lograr un aprovechamiento sustentable de los recursos naturales y el cuidado de la biosfera</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1308F1A2" w14:textId="77777777" w:rsidR="00443F9D" w:rsidRPr="00D365BF" w:rsidRDefault="00443F9D">
      <w:pPr>
        <w:spacing w:line="360" w:lineRule="auto"/>
        <w:jc w:val="both"/>
        <w:rPr>
          <w:rFonts w:ascii="Palatino Linotype" w:eastAsia="Palatino Linotype" w:hAnsi="Palatino Linotype" w:cs="Palatino Linotype"/>
        </w:rPr>
      </w:pPr>
    </w:p>
    <w:p w14:paraId="592A945D"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Ahora bien, en términos generales conviene precisar que la licencia de construcción tiene por objeto sujetar a las edificaciones que se realicen en territorio municipal a la </w:t>
      </w:r>
      <w:r w:rsidRPr="00D365BF">
        <w:rPr>
          <w:rFonts w:ascii="Palatino Linotype" w:eastAsia="Palatino Linotype" w:hAnsi="Palatino Linotype" w:cs="Palatino Linotype"/>
        </w:rPr>
        <w:lastRenderedPageBreak/>
        <w:t>normatividad contenida en los Planes de Desarrollo Urbano correspondientes, el Reglamento y demás ordenamientos legales aplicables, misma que solo surte efectos respecto del inmueble a que la misma refiera, para efectos de obra nueva, ampliación de obra existente, modificación de la obra existente, modificación del proyecto de una obra autorizada, relación de una obra existente, demolición, excavación, relleno, construcción de bardas, construcción e instalación de antenas para radiocomunicaciones, construcción e instalación de anuncios publicitarios que requieran de elementos estructurales, cambio de la construcción a régimen de condominio, ocupación temporal de la vía pública, obras de conexión de agua potable, drenaje y sus obras realizadas por particulares, como así lo señala el artículo 18.20 del código administrativo del Estado de México, que señala:</w:t>
      </w:r>
    </w:p>
    <w:p w14:paraId="518A9CAF" w14:textId="77777777" w:rsidR="00443F9D" w:rsidRPr="00D365BF" w:rsidRDefault="00443F9D">
      <w:pPr>
        <w:spacing w:line="360" w:lineRule="auto"/>
        <w:jc w:val="both"/>
        <w:rPr>
          <w:rFonts w:ascii="Palatino Linotype" w:eastAsia="Palatino Linotype" w:hAnsi="Palatino Linotype" w:cs="Palatino Linotype"/>
        </w:rPr>
      </w:pPr>
    </w:p>
    <w:p w14:paraId="4DA9CACD"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18.20.- La licencia de construcción tiene por objeto autorizar: </w:t>
      </w:r>
    </w:p>
    <w:p w14:paraId="05D60387"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 Obra nueva; </w:t>
      </w:r>
    </w:p>
    <w:p w14:paraId="7E51F87A"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II. Ampliación, modificación o reparación que afecte elementos estructurales de la obra existente; </w:t>
      </w:r>
    </w:p>
    <w:p w14:paraId="29B6677E"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III. Demolición parcial o total;</w:t>
      </w:r>
    </w:p>
    <w:p w14:paraId="55AD1A53"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IV. Excavación o relleno; </w:t>
      </w:r>
    </w:p>
    <w:p w14:paraId="6CD7BBEA"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 Construcción de bardas; </w:t>
      </w:r>
    </w:p>
    <w:p w14:paraId="2B50F114"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 Obras de conexión a las redes de agua potable y drenaje; </w:t>
      </w:r>
    </w:p>
    <w:p w14:paraId="5B3D437D"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VII. Modificación del proyecto de una obra autorizada; </w:t>
      </w:r>
    </w:p>
    <w:p w14:paraId="5852E73A"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VIII. Construcción e instalación de estaciones repetidoras y antenas para radiotelecomunicaciones; </w:t>
      </w:r>
    </w:p>
    <w:p w14:paraId="7F7D8D95"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IX. Anuncios publicitarios que requieran de elementos estructurales; y </w:t>
      </w:r>
    </w:p>
    <w:p w14:paraId="0EAD9474"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X. Instalaciones o modificaciones de ascensores para personas, montacargas, escaleras mecánicas o cualquier otro mecanismo de transporte electromecánico. </w:t>
      </w:r>
    </w:p>
    <w:p w14:paraId="3424DB6A"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La licencia de construcción tendrá vigencia de un año y podrá autorizar, además del uso de la vía pública, uno o más de los rubros señalados, conforme a la solicitud que se presente. 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w:t>
      </w:r>
      <w:r w:rsidRPr="00D365BF">
        <w:rPr>
          <w:rFonts w:ascii="Palatino Linotype" w:eastAsia="Palatino Linotype" w:hAnsi="Palatino Linotype" w:cs="Palatino Linotype"/>
          <w:i/>
          <w:sz w:val="22"/>
          <w:szCs w:val="22"/>
        </w:rPr>
        <w:lastRenderedPageBreak/>
        <w:t xml:space="preserve">presentación o recepción de la solicitud que reúna todos los requisitos establecidos en la Ley. </w:t>
      </w:r>
    </w:p>
    <w:p w14:paraId="050250F8"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Las licencias de construcción de inmuebles destinados a la actividad comercial o industrial de bajo impacto y que sean menores a 2,000 metros cuadrados, serán expedidas, en caso de proceder, en el plazo de un día hábil a partir de la recepción de la solicitud que reúna los requisitos de Ley. </w:t>
      </w:r>
    </w:p>
    <w:p w14:paraId="44E8FD4E"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Quedan exceptuadas de obtener la licencia de construcción a que se refiere el presente artículo, las obras que se ejecuten en bienes inmuebles que sean propiedad o posesión del Gobierno del Estado de México y destinados a la prestación de servicios públicos.” (Sic)</w:t>
      </w:r>
    </w:p>
    <w:p w14:paraId="394A708E" w14:textId="77777777" w:rsidR="00443F9D" w:rsidRPr="00D365BF" w:rsidRDefault="00443F9D">
      <w:pPr>
        <w:spacing w:line="360" w:lineRule="auto"/>
        <w:jc w:val="both"/>
        <w:rPr>
          <w:rFonts w:ascii="Palatino Linotype" w:eastAsia="Palatino Linotype" w:hAnsi="Palatino Linotype" w:cs="Palatino Linotype"/>
        </w:rPr>
      </w:pPr>
    </w:p>
    <w:p w14:paraId="77CCBB8B"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Bajo esa óptica, para solicitar una licencia de construcción se deberá acompañar como mínimo lo siguiente, en términos de lo señalado por el artículo 18.21 fracciones I, II y III, inciso A de código administrativo del Estado de México, que señala:</w:t>
      </w:r>
    </w:p>
    <w:p w14:paraId="0443BA09" w14:textId="77777777" w:rsidR="00443F9D" w:rsidRPr="00D365BF" w:rsidRDefault="00443F9D">
      <w:pPr>
        <w:spacing w:line="360" w:lineRule="auto"/>
        <w:jc w:val="both"/>
        <w:rPr>
          <w:rFonts w:ascii="Palatino Linotype" w:eastAsia="Palatino Linotype" w:hAnsi="Palatino Linotype" w:cs="Palatino Linotype"/>
        </w:rPr>
      </w:pPr>
    </w:p>
    <w:p w14:paraId="3544AC88"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18.21. A la solicitud de licencia de construcción se acompañará como mínimo: I. Documento que acredite la personalidad del solicitante; </w:t>
      </w:r>
    </w:p>
    <w:p w14:paraId="269BBF44"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II. Documento que acredite la propiedad o la posesión en concepto de propietario del inmueble; </w:t>
      </w:r>
    </w:p>
    <w:p w14:paraId="40054FB9"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III. De acuerdo al tipo de licencia de construcción que se solicite, adicionalmente se requerirá: </w:t>
      </w:r>
    </w:p>
    <w:p w14:paraId="26D032A4"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 Para obra nueva, así como para la ampliación, modificación o reparación que afecte elementos estructurales de una obra existente: </w:t>
      </w:r>
    </w:p>
    <w:p w14:paraId="1C338D87"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1.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y Obra. </w:t>
      </w:r>
    </w:p>
    <w:p w14:paraId="00C9469E"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2. Constancia de alineamiento y número oficial;</w:t>
      </w:r>
    </w:p>
    <w:p w14:paraId="44A6D551"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3. Planos arquitectónicos del proyecto, firmados por </w:t>
      </w:r>
      <w:proofErr w:type="gramStart"/>
      <w:r w:rsidRPr="00D365BF">
        <w:rPr>
          <w:rFonts w:ascii="Palatino Linotype" w:eastAsia="Palatino Linotype" w:hAnsi="Palatino Linotype" w:cs="Palatino Linotype"/>
          <w:i/>
          <w:sz w:val="22"/>
          <w:szCs w:val="22"/>
        </w:rPr>
        <w:t>Director</w:t>
      </w:r>
      <w:proofErr w:type="gramEnd"/>
      <w:r w:rsidRPr="00D365BF">
        <w:rPr>
          <w:rFonts w:ascii="Palatino Linotype" w:eastAsia="Palatino Linotype" w:hAnsi="Palatino Linotype" w:cs="Palatino Linotype"/>
          <w:i/>
          <w:sz w:val="22"/>
          <w:szCs w:val="22"/>
        </w:rPr>
        <w:t xml:space="preserve"> Responsable de Obra y/o Corresponsable de Obra. </w:t>
      </w:r>
    </w:p>
    <w:p w14:paraId="4F526DED"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w:t>
      </w:r>
      <w:proofErr w:type="gramStart"/>
      <w:r w:rsidRPr="00D365BF">
        <w:rPr>
          <w:rFonts w:ascii="Palatino Linotype" w:eastAsia="Palatino Linotype" w:hAnsi="Palatino Linotype" w:cs="Palatino Linotype"/>
          <w:i/>
          <w:sz w:val="22"/>
          <w:szCs w:val="22"/>
        </w:rPr>
        <w:t>Director</w:t>
      </w:r>
      <w:proofErr w:type="gramEnd"/>
      <w:r w:rsidRPr="00D365BF">
        <w:rPr>
          <w:rFonts w:ascii="Palatino Linotype" w:eastAsia="Palatino Linotype" w:hAnsi="Palatino Linotype" w:cs="Palatino Linotype"/>
          <w:i/>
          <w:sz w:val="22"/>
          <w:szCs w:val="22"/>
        </w:rPr>
        <w:t xml:space="preserve"> Responsable de Obra y/o Corresponsable de Obra, en el caso de construcciones en régimen de propiedad en condominio. </w:t>
      </w:r>
    </w:p>
    <w:p w14:paraId="284FF8D0"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lastRenderedPageBreak/>
        <w:t xml:space="preserve">5. Planos estructurales, firmados por el </w:t>
      </w:r>
      <w:proofErr w:type="gramStart"/>
      <w:r w:rsidRPr="00D365BF">
        <w:rPr>
          <w:rFonts w:ascii="Palatino Linotype" w:eastAsia="Palatino Linotype" w:hAnsi="Palatino Linotype" w:cs="Palatino Linotype"/>
          <w:i/>
          <w:sz w:val="22"/>
          <w:szCs w:val="22"/>
        </w:rPr>
        <w:t>Director</w:t>
      </w:r>
      <w:proofErr w:type="gramEnd"/>
      <w:r w:rsidRPr="00D365BF">
        <w:rPr>
          <w:rFonts w:ascii="Palatino Linotype" w:eastAsia="Palatino Linotype" w:hAnsi="Palatino Linotype" w:cs="Palatino Linotype"/>
          <w:i/>
          <w:sz w:val="22"/>
          <w:szCs w:val="22"/>
        </w:rPr>
        <w:t xml:space="preserve"> Responsable de Obra y/o Corresponsable de Obra. </w:t>
      </w:r>
    </w:p>
    <w:p w14:paraId="1F0903A1"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6. Planos de instalaciones hidráulicas, sanitarias, eléctricas y especiales, firmados por el </w:t>
      </w:r>
      <w:proofErr w:type="gramStart"/>
      <w:r w:rsidRPr="00D365BF">
        <w:rPr>
          <w:rFonts w:ascii="Palatino Linotype" w:eastAsia="Palatino Linotype" w:hAnsi="Palatino Linotype" w:cs="Palatino Linotype"/>
          <w:i/>
          <w:sz w:val="22"/>
          <w:szCs w:val="22"/>
        </w:rPr>
        <w:t>Director</w:t>
      </w:r>
      <w:proofErr w:type="gramEnd"/>
      <w:r w:rsidRPr="00D365BF">
        <w:rPr>
          <w:rFonts w:ascii="Palatino Linotype" w:eastAsia="Palatino Linotype" w:hAnsi="Palatino Linotype" w:cs="Palatino Linotype"/>
          <w:i/>
          <w:sz w:val="22"/>
          <w:szCs w:val="22"/>
        </w:rPr>
        <w:t xml:space="preserve"> Responsable de Obra y/o Corresponsable de Obra.</w:t>
      </w:r>
    </w:p>
    <w:p w14:paraId="37DCF694"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 xml:space="preserve"> </w:t>
      </w:r>
      <w:r w:rsidRPr="00D365BF">
        <w:rPr>
          <w:rFonts w:ascii="Palatino Linotype" w:eastAsia="Palatino Linotype" w:hAnsi="Palatino Linotype" w:cs="Palatino Linotype"/>
          <w:i/>
          <w:sz w:val="22"/>
          <w:szCs w:val="22"/>
        </w:rPr>
        <w:t xml:space="preserve">7. Constancia de terminación de obra, en los casos de ampliación, modificación o reparación de la obra existente. </w:t>
      </w:r>
    </w:p>
    <w:p w14:paraId="32EC635C"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8. Evaluación técnica de impacto en materia de agua, drenaje, alcantarillado y tratamiento de aguas residuales o documento que acredite la existencia y dotación de agua potable para el desarrollo que se pretende, así como incorporación a los sistemas de agua potable y alcantarillado, el cual será emitido por la Comisión del Agua del Estado de México o autoridad competente, en su caso. </w:t>
      </w:r>
    </w:p>
    <w:p w14:paraId="31AC80DD"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9. Tratándose de conjuntos urbanos, condominios y lotificaciones de vivienda, industriales, comerciales, de servicios y mixtos, la evaluación técnica de impacto en materia de agua, drenaje, alcantarillado y tratamiento de aguas residuales será exigible para la asignación de obligaciones en materia de infraestructura, vinculantes a la autorización que emita la Secretaría de Desarrollo Urbano y Obra, conforme a lo dispuesto por el Libro Quinto del presente Código y su Reglamento, así como la Ley del Agua para el Estado de México y Municipios” (Sic)</w:t>
      </w:r>
    </w:p>
    <w:p w14:paraId="41D859DA" w14:textId="77777777" w:rsidR="00443F9D" w:rsidRPr="00D365BF" w:rsidRDefault="00443F9D">
      <w:pPr>
        <w:spacing w:line="360" w:lineRule="auto"/>
        <w:jc w:val="both"/>
        <w:rPr>
          <w:rFonts w:ascii="Palatino Linotype" w:eastAsia="Palatino Linotype" w:hAnsi="Palatino Linotype" w:cs="Palatino Linotype"/>
        </w:rPr>
      </w:pPr>
    </w:p>
    <w:p w14:paraId="23FBE98C"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ese sentido se comprende, que el </w:t>
      </w:r>
      <w:r w:rsidRPr="00D365BF">
        <w:rPr>
          <w:rFonts w:ascii="Palatino Linotype" w:eastAsia="Palatino Linotype" w:hAnsi="Palatino Linotype" w:cs="Palatino Linotype"/>
          <w:b/>
        </w:rPr>
        <w:t xml:space="preserve">SUJETO OBLIGADO </w:t>
      </w:r>
      <w:r w:rsidRPr="00D365BF">
        <w:rPr>
          <w:rFonts w:ascii="Palatino Linotype" w:eastAsia="Palatino Linotype" w:hAnsi="Palatino Linotype" w:cs="Palatino Linotype"/>
        </w:rPr>
        <w:t>es competente para atender las cuestiones de fondo del presente medio de impugnación, a partir del marco jurídico analizado, toda vez que regula lo relativo a las licencias de construcción, máxime, que en términos del artículo 52 fracción XIV del Reglamento Orgánico de la Administración Pública Municipal de Naucalpan de Juárez, Estado de México, que señala:</w:t>
      </w:r>
    </w:p>
    <w:p w14:paraId="123B622D" w14:textId="77777777" w:rsidR="00443F9D" w:rsidRPr="00D365BF" w:rsidRDefault="00443F9D">
      <w:pPr>
        <w:spacing w:line="360" w:lineRule="auto"/>
        <w:jc w:val="both"/>
        <w:rPr>
          <w:rFonts w:ascii="Palatino Linotype" w:eastAsia="Palatino Linotype" w:hAnsi="Palatino Linotype" w:cs="Palatino Linotype"/>
        </w:rPr>
      </w:pPr>
    </w:p>
    <w:p w14:paraId="0B320250"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52.- La Dirección General de Desarrollo Urbano, estará a cargo de un titular, que se denominará </w:t>
      </w:r>
      <w:proofErr w:type="gramStart"/>
      <w:r w:rsidRPr="00D365BF">
        <w:rPr>
          <w:rFonts w:ascii="Palatino Linotype" w:eastAsia="Palatino Linotype" w:hAnsi="Palatino Linotype" w:cs="Palatino Linotype"/>
          <w:i/>
          <w:sz w:val="22"/>
          <w:szCs w:val="22"/>
        </w:rPr>
        <w:t>Directora</w:t>
      </w:r>
      <w:proofErr w:type="gramEnd"/>
      <w:r w:rsidRPr="00D365BF">
        <w:rPr>
          <w:rFonts w:ascii="Palatino Linotype" w:eastAsia="Palatino Linotype" w:hAnsi="Palatino Linotype" w:cs="Palatino Linotype"/>
          <w:i/>
          <w:sz w:val="22"/>
          <w:szCs w:val="22"/>
        </w:rPr>
        <w:t xml:space="preserve"> o Director General de Desarrollo Urbano y tendrá las siguientes atribuciones:</w:t>
      </w:r>
    </w:p>
    <w:p w14:paraId="188F5FC0"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4F59146D" w14:textId="77777777" w:rsidR="00443F9D" w:rsidRPr="00D365BF" w:rsidRDefault="001B2381">
      <w:pPr>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XIV. Expedir la autorización</w:t>
      </w:r>
      <w:r w:rsidRPr="00D365BF">
        <w:rPr>
          <w:rFonts w:ascii="Palatino Linotype" w:eastAsia="Palatino Linotype" w:hAnsi="Palatino Linotype" w:cs="Palatino Linotype"/>
          <w:i/>
          <w:sz w:val="22"/>
          <w:szCs w:val="22"/>
        </w:rPr>
        <w:t xml:space="preserve"> de Cambio de Uso de Suelo, de Densidad e Intensidad y Altura de edificaciones, la Licencia de Uso de Suelo que requiera de Evaluación de Impacto Estatal, previamente expedido por la Secretaría de Desarrollo Urbano, </w:t>
      </w:r>
      <w:r w:rsidRPr="00D365BF">
        <w:rPr>
          <w:rFonts w:ascii="Palatino Linotype" w:eastAsia="Palatino Linotype" w:hAnsi="Palatino Linotype" w:cs="Palatino Linotype"/>
          <w:b/>
          <w:i/>
          <w:sz w:val="22"/>
          <w:szCs w:val="22"/>
        </w:rPr>
        <w:t xml:space="preserve">la </w:t>
      </w:r>
      <w:r w:rsidRPr="00D365BF">
        <w:rPr>
          <w:rFonts w:ascii="Palatino Linotype" w:eastAsia="Palatino Linotype" w:hAnsi="Palatino Linotype" w:cs="Palatino Linotype"/>
          <w:b/>
          <w:i/>
          <w:sz w:val="22"/>
          <w:szCs w:val="22"/>
        </w:rPr>
        <w:lastRenderedPageBreak/>
        <w:t>Licencia de Construcción</w:t>
      </w:r>
      <w:r w:rsidRPr="00D365BF">
        <w:rPr>
          <w:rFonts w:ascii="Palatino Linotype" w:eastAsia="Palatino Linotype" w:hAnsi="Palatino Linotype" w:cs="Palatino Linotype"/>
          <w:i/>
          <w:sz w:val="22"/>
          <w:szCs w:val="22"/>
        </w:rPr>
        <w:t xml:space="preserve">, Constancias de Suspensión Voluntaria y </w:t>
      </w:r>
      <w:r w:rsidRPr="00D365BF">
        <w:rPr>
          <w:rFonts w:ascii="Palatino Linotype" w:eastAsia="Palatino Linotype" w:hAnsi="Palatino Linotype" w:cs="Palatino Linotype"/>
          <w:b/>
          <w:i/>
          <w:sz w:val="22"/>
          <w:szCs w:val="22"/>
          <w:u w:val="single"/>
        </w:rPr>
        <w:t>de terminación de Obra parcial o total,</w:t>
      </w:r>
      <w:r w:rsidRPr="00D365BF">
        <w:rPr>
          <w:rFonts w:ascii="Palatino Linotype" w:eastAsia="Palatino Linotype" w:hAnsi="Palatino Linotype" w:cs="Palatino Linotype"/>
          <w:i/>
          <w:sz w:val="22"/>
          <w:szCs w:val="22"/>
        </w:rPr>
        <w:t xml:space="preserve"> que tenga sustento en la Licencia de Uso de Suelo</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277184F9" w14:textId="77777777" w:rsidR="00443F9D" w:rsidRPr="00D365BF" w:rsidRDefault="00443F9D">
      <w:pPr>
        <w:ind w:left="567" w:right="567"/>
        <w:jc w:val="both"/>
        <w:rPr>
          <w:rFonts w:ascii="Palatino Linotype" w:eastAsia="Palatino Linotype" w:hAnsi="Palatino Linotype" w:cs="Palatino Linotype"/>
          <w:i/>
          <w:sz w:val="22"/>
          <w:szCs w:val="22"/>
        </w:rPr>
      </w:pPr>
    </w:p>
    <w:p w14:paraId="49070319"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tiene la obligación de </w:t>
      </w:r>
      <w:proofErr w:type="spellStart"/>
      <w:r w:rsidRPr="00D365BF">
        <w:rPr>
          <w:rFonts w:ascii="Palatino Linotype" w:eastAsia="Palatino Linotype" w:hAnsi="Palatino Linotype" w:cs="Palatino Linotype"/>
        </w:rPr>
        <w:t>aperturar</w:t>
      </w:r>
      <w:proofErr w:type="spellEnd"/>
      <w:r w:rsidRPr="00D365BF">
        <w:rPr>
          <w:rFonts w:ascii="Palatino Linotype" w:eastAsia="Palatino Linotype" w:hAnsi="Palatino Linotype" w:cs="Palatino Linotype"/>
        </w:rPr>
        <w:t xml:space="preserve"> expedientes relativos a las solicitudes de licencias de construcción en cualquiera de sus modalidades, con lo cual se acredita que, dentro de los archivos de la Dirección General de Desarrollo Urbano del Ayuntamiento de Naucalpan, debe obrar el expediente relativo a la licencia de construcción y en su caso de la terminación de la obra y pueden ser entregados en versión pública conforme a lo señalado por el considerando quinto presente fallo.</w:t>
      </w:r>
    </w:p>
    <w:p w14:paraId="2D0EAA3A" w14:textId="77777777" w:rsidR="00443F9D" w:rsidRPr="00D365BF" w:rsidRDefault="00443F9D">
      <w:pPr>
        <w:spacing w:line="360" w:lineRule="auto"/>
        <w:jc w:val="both"/>
        <w:rPr>
          <w:rFonts w:ascii="Palatino Linotype" w:eastAsia="Palatino Linotype" w:hAnsi="Palatino Linotype" w:cs="Palatino Linotype"/>
        </w:rPr>
      </w:pPr>
    </w:p>
    <w:p w14:paraId="26A54C3D"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Máxime que de una revisión a la licencia de uso de suelo que se entregaron en respuesta, se advierte que en los predios señalados se les expidieron licencias de construcción y terminación de obra desde el año 1971 y 1973; respectivamente, como se advierte a continuación en la siguiente imagen de manera de ejemplo:</w:t>
      </w:r>
    </w:p>
    <w:p w14:paraId="2E6A797B" w14:textId="77777777" w:rsidR="00443F9D" w:rsidRPr="00D365BF" w:rsidRDefault="00443F9D">
      <w:pPr>
        <w:spacing w:line="360" w:lineRule="auto"/>
        <w:jc w:val="both"/>
      </w:pPr>
    </w:p>
    <w:p w14:paraId="45C33BCD" w14:textId="77777777" w:rsidR="00443F9D" w:rsidRPr="00D365BF" w:rsidRDefault="001B2381">
      <w:pPr>
        <w:spacing w:line="360" w:lineRule="auto"/>
        <w:jc w:val="both"/>
        <w:rPr>
          <w:rFonts w:ascii="Palatino Linotype" w:eastAsia="Palatino Linotype" w:hAnsi="Palatino Linotype" w:cs="Palatino Linotype"/>
        </w:rPr>
      </w:pPr>
      <w:r w:rsidRPr="00D365BF">
        <w:rPr>
          <w:noProof/>
          <w:lang w:val="es-MX"/>
        </w:rPr>
        <w:drawing>
          <wp:inline distT="0" distB="0" distL="0" distR="0" wp14:anchorId="742C0FFB" wp14:editId="596E0346">
            <wp:extent cx="5540389" cy="1678272"/>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28781" t="31037" r="11653" b="38668"/>
                    <a:stretch>
                      <a:fillRect/>
                    </a:stretch>
                  </pic:blipFill>
                  <pic:spPr>
                    <a:xfrm>
                      <a:off x="0" y="0"/>
                      <a:ext cx="5540389" cy="1678272"/>
                    </a:xfrm>
                    <a:prstGeom prst="rect">
                      <a:avLst/>
                    </a:prstGeom>
                    <a:ln/>
                  </pic:spPr>
                </pic:pic>
              </a:graphicData>
            </a:graphic>
          </wp:inline>
        </w:drawing>
      </w:r>
    </w:p>
    <w:p w14:paraId="6DD9F253" w14:textId="77777777" w:rsidR="00443F9D" w:rsidRPr="00D365BF" w:rsidRDefault="00443F9D">
      <w:pPr>
        <w:spacing w:line="360" w:lineRule="auto"/>
        <w:jc w:val="both"/>
        <w:rPr>
          <w:rFonts w:ascii="Palatino Linotype" w:eastAsia="Palatino Linotype" w:hAnsi="Palatino Linotype" w:cs="Palatino Linotype"/>
        </w:rPr>
      </w:pPr>
    </w:p>
    <w:p w14:paraId="5D324599"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También es pertinente aclarar, que si bien dichas licencias de construcción y terminación, no se expidieron por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sino por el Gobierno del Estado de México, lo cierto es que deben obran dentro de los expedientes del </w:t>
      </w:r>
      <w:r w:rsidRPr="00D365BF">
        <w:rPr>
          <w:rFonts w:ascii="Palatino Linotype" w:eastAsia="Palatino Linotype" w:hAnsi="Palatino Linotype" w:cs="Palatino Linotype"/>
        </w:rPr>
        <w:lastRenderedPageBreak/>
        <w:t xml:space="preserve">Ayuntamiento de Naucalpan de Juárez, como autoridad encargada de utilización y aprovechamiento del suelo con fines urbanos. </w:t>
      </w:r>
    </w:p>
    <w:p w14:paraId="6CA4EAB3" w14:textId="77777777" w:rsidR="00443F9D" w:rsidRPr="00D365BF" w:rsidRDefault="00443F9D">
      <w:pPr>
        <w:spacing w:line="360" w:lineRule="auto"/>
        <w:jc w:val="both"/>
        <w:rPr>
          <w:rFonts w:ascii="Palatino Linotype" w:eastAsia="Palatino Linotype" w:hAnsi="Palatino Linotype" w:cs="Palatino Linotype"/>
        </w:rPr>
      </w:pPr>
    </w:p>
    <w:p w14:paraId="0DCCD95B"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Además, no se debe perder de vista que la información solicitada se trata de una obligación de transparencia específica en términos de lo señalado por el artículo 92 fracción I inciso “f”, de la Ley de la Materia que señala:</w:t>
      </w:r>
    </w:p>
    <w:p w14:paraId="06BB2325" w14:textId="77777777" w:rsidR="00443F9D" w:rsidRPr="00D365BF" w:rsidRDefault="00443F9D">
      <w:pPr>
        <w:spacing w:line="360" w:lineRule="auto"/>
        <w:jc w:val="both"/>
        <w:rPr>
          <w:rFonts w:ascii="Palatino Linotype" w:eastAsia="Palatino Linotype" w:hAnsi="Palatino Linotype" w:cs="Palatino Linotype"/>
        </w:rPr>
      </w:pPr>
    </w:p>
    <w:p w14:paraId="544006ED" w14:textId="77777777" w:rsidR="00443F9D" w:rsidRPr="00D365BF" w:rsidRDefault="001B2381">
      <w:pPr>
        <w:spacing w:before="240" w:after="240" w:line="276" w:lineRule="auto"/>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92. </w:t>
      </w:r>
      <w:r w:rsidRPr="00D365BF">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w:t>
      </w:r>
      <w:r w:rsidRPr="00D365BF">
        <w:rPr>
          <w:rFonts w:ascii="Palatino Linotype" w:eastAsia="Palatino Linotype" w:hAnsi="Palatino Linotype" w:cs="Palatino Linotype"/>
          <w:i/>
          <w:sz w:val="22"/>
          <w:szCs w:val="22"/>
        </w:rPr>
        <w:t xml:space="preserve">, de los temas, </w:t>
      </w:r>
      <w:r w:rsidRPr="00D365BF">
        <w:rPr>
          <w:rFonts w:ascii="Palatino Linotype" w:eastAsia="Palatino Linotype" w:hAnsi="Palatino Linotype" w:cs="Palatino Linotype"/>
          <w:b/>
          <w:i/>
          <w:sz w:val="22"/>
          <w:szCs w:val="22"/>
        </w:rPr>
        <w:t>documentos</w:t>
      </w:r>
      <w:r w:rsidRPr="00D365BF">
        <w:rPr>
          <w:rFonts w:ascii="Palatino Linotype" w:eastAsia="Palatino Linotype" w:hAnsi="Palatino Linotype" w:cs="Palatino Linotype"/>
          <w:i/>
          <w:sz w:val="22"/>
          <w:szCs w:val="22"/>
        </w:rPr>
        <w:t xml:space="preserve"> y políticas </w:t>
      </w:r>
      <w:r w:rsidRPr="00D365BF">
        <w:rPr>
          <w:rFonts w:ascii="Palatino Linotype" w:eastAsia="Palatino Linotype" w:hAnsi="Palatino Linotype" w:cs="Palatino Linotype"/>
          <w:b/>
          <w:i/>
          <w:sz w:val="22"/>
          <w:szCs w:val="22"/>
        </w:rPr>
        <w:t>que a continuación se señalan</w:t>
      </w:r>
      <w:r w:rsidRPr="00D365BF">
        <w:rPr>
          <w:rFonts w:ascii="Palatino Linotype" w:eastAsia="Palatino Linotype" w:hAnsi="Palatino Linotype" w:cs="Palatino Linotype"/>
          <w:i/>
          <w:sz w:val="22"/>
          <w:szCs w:val="22"/>
        </w:rPr>
        <w:t>:</w:t>
      </w:r>
    </w:p>
    <w:p w14:paraId="37568CB0" w14:textId="77777777" w:rsidR="00443F9D" w:rsidRPr="00D365BF" w:rsidRDefault="001B2381">
      <w:pPr>
        <w:spacing w:before="240" w:after="240" w:line="276" w:lineRule="auto"/>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XXXII. Las</w:t>
      </w:r>
      <w:r w:rsidRPr="00D365BF">
        <w:rPr>
          <w:rFonts w:ascii="Palatino Linotype" w:eastAsia="Palatino Linotype" w:hAnsi="Palatino Linotype" w:cs="Palatino Linotype"/>
          <w:i/>
          <w:sz w:val="22"/>
          <w:szCs w:val="22"/>
        </w:rPr>
        <w:t xml:space="preserve"> concesiones, contratos, convenios, permisos, </w:t>
      </w:r>
      <w:r w:rsidRPr="00D365BF">
        <w:rPr>
          <w:rFonts w:ascii="Palatino Linotype" w:eastAsia="Palatino Linotype" w:hAnsi="Palatino Linotype" w:cs="Palatino Linotype"/>
          <w:b/>
          <w:i/>
          <w:sz w:val="22"/>
          <w:szCs w:val="22"/>
        </w:rPr>
        <w:t>licencias</w:t>
      </w:r>
      <w:r w:rsidRPr="00D365BF">
        <w:rPr>
          <w:rFonts w:ascii="Palatino Linotype" w:eastAsia="Palatino Linotype" w:hAnsi="Palatino Linotype" w:cs="Palatino Linotype"/>
          <w:i/>
          <w:sz w:val="22"/>
          <w:szCs w:val="22"/>
        </w:rPr>
        <w:t xml:space="preserve"> o autorizaciones otorgados, </w:t>
      </w:r>
      <w:r w:rsidRPr="00D365BF">
        <w:rPr>
          <w:rFonts w:ascii="Palatino Linotype" w:eastAsia="Palatino Linotype" w:hAnsi="Palatino Linotype" w:cs="Palatino Linotype"/>
          <w:b/>
          <w:i/>
          <w:sz w:val="22"/>
          <w:szCs w:val="22"/>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D365BF">
        <w:rPr>
          <w:rFonts w:ascii="Palatino Linotype" w:eastAsia="Palatino Linotype" w:hAnsi="Palatino Linotype" w:cs="Palatino Linotype"/>
          <w:i/>
          <w:sz w:val="22"/>
          <w:szCs w:val="22"/>
        </w:rPr>
        <w:t>…” (Sic)</w:t>
      </w:r>
    </w:p>
    <w:p w14:paraId="0E600692" w14:textId="77777777" w:rsidR="00443F9D" w:rsidRPr="00D365BF" w:rsidRDefault="00443F9D">
      <w:pPr>
        <w:spacing w:line="360" w:lineRule="auto"/>
        <w:jc w:val="both"/>
        <w:rPr>
          <w:rFonts w:ascii="Palatino Linotype" w:eastAsia="Palatino Linotype" w:hAnsi="Palatino Linotype" w:cs="Palatino Linotype"/>
        </w:rPr>
      </w:pPr>
    </w:p>
    <w:p w14:paraId="14E8BF39" w14:textId="77777777" w:rsidR="00443F9D" w:rsidRPr="00D365BF" w:rsidRDefault="001B2381">
      <w:pPr>
        <w:spacing w:line="360" w:lineRule="auto"/>
        <w:jc w:val="both"/>
        <w:rPr>
          <w:rFonts w:ascii="Palatino Linotype" w:eastAsia="Palatino Linotype" w:hAnsi="Palatino Linotype" w:cs="Palatino Linotype"/>
        </w:rPr>
      </w:pPr>
      <w:proofErr w:type="gramStart"/>
      <w:r w:rsidRPr="00D365BF">
        <w:rPr>
          <w:rFonts w:ascii="Palatino Linotype" w:eastAsia="Palatino Linotype" w:hAnsi="Palatino Linotype" w:cs="Palatino Linotype"/>
        </w:rPr>
        <w:t>En  consecuencia</w:t>
      </w:r>
      <w:proofErr w:type="gramEnd"/>
      <w:r w:rsidRPr="00D365BF">
        <w:rPr>
          <w:rFonts w:ascii="Palatino Linotype" w:eastAsia="Palatino Linotype" w:hAnsi="Palatino Linotype" w:cs="Palatino Linotype"/>
        </w:rPr>
        <w:t xml:space="preserve"> la respuesta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careció de los principios de congruencia y exhaustividad, en términos del Criterio 02/17, emitido por el Pleno del Instituto Nacional de Transparencia y Acceso a la Información y Protección de Datos Personales, ya referido.</w:t>
      </w:r>
    </w:p>
    <w:p w14:paraId="3FFC9951" w14:textId="77777777" w:rsidR="00443F9D" w:rsidRPr="00D365BF" w:rsidRDefault="00443F9D">
      <w:pPr>
        <w:spacing w:line="360" w:lineRule="auto"/>
        <w:jc w:val="both"/>
        <w:rPr>
          <w:rFonts w:ascii="Palatino Linotype" w:eastAsia="Palatino Linotype" w:hAnsi="Palatino Linotype" w:cs="Palatino Linotype"/>
        </w:rPr>
      </w:pPr>
    </w:p>
    <w:p w14:paraId="58928753"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Razones por las cuales lo procedente es ordenar las Licencias de Construcción y terminación de obra de los inmuebles ubicados en:</w:t>
      </w:r>
    </w:p>
    <w:p w14:paraId="085E5F43" w14:textId="77777777" w:rsidR="00443F9D" w:rsidRPr="00D365BF" w:rsidRDefault="00443F9D">
      <w:pPr>
        <w:spacing w:line="360" w:lineRule="auto"/>
        <w:jc w:val="both"/>
        <w:rPr>
          <w:rFonts w:ascii="Palatino Linotype" w:eastAsia="Palatino Linotype" w:hAnsi="Palatino Linotype" w:cs="Palatino Linotype"/>
        </w:rPr>
      </w:pPr>
    </w:p>
    <w:p w14:paraId="2779343B" w14:textId="77777777" w:rsidR="00443F9D" w:rsidRPr="00D365BF" w:rsidRDefault="001B238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Circuito Economistas mz1, calle Alberto J. Pani lote 30 A, lote 30 B, lote 30 C y lote 30 D, Esquina González Aparicio y calle Enrique de González Aparicio #5 Fraccionamiento Ciudad Satélite, en Naucalpan de Juárez, Estado de México.</w:t>
      </w:r>
    </w:p>
    <w:p w14:paraId="6FD57952" w14:textId="77777777" w:rsidR="00443F9D" w:rsidRPr="00D365BF" w:rsidRDefault="00443F9D">
      <w:pPr>
        <w:spacing w:line="360" w:lineRule="auto"/>
        <w:jc w:val="both"/>
        <w:rPr>
          <w:rFonts w:ascii="Palatino Linotype" w:eastAsia="Palatino Linotype" w:hAnsi="Palatino Linotype" w:cs="Palatino Linotype"/>
        </w:rPr>
      </w:pPr>
    </w:p>
    <w:p w14:paraId="6B9C4056"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versión pública conforme a lo señalado en los considerandos cuarto y quinto del presente fallo. </w:t>
      </w:r>
    </w:p>
    <w:p w14:paraId="645D25B1" w14:textId="77777777" w:rsidR="00443F9D" w:rsidRPr="00D365BF" w:rsidRDefault="001B2381">
      <w:pPr>
        <w:spacing w:before="240" w:after="240" w:line="360" w:lineRule="auto"/>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b/>
          <w:u w:val="single"/>
        </w:rPr>
        <w:t>En otro orden de ideas, en cuanto a la Licencia de Funcionamiento, de los inmuebles ubicados en:</w:t>
      </w:r>
    </w:p>
    <w:p w14:paraId="647BDA47" w14:textId="77777777" w:rsidR="00443F9D" w:rsidRPr="00D365BF" w:rsidRDefault="001B238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B, lote 30 C y lote 30 D, Esquina González Aparicio y calle Enrique de González Aparicio #5 Fraccionamiento Ciudad Satélite, en Naucalpan de Juárez, Estado de México.</w:t>
      </w:r>
    </w:p>
    <w:p w14:paraId="7E71D3F8" w14:textId="77777777" w:rsidR="00443F9D" w:rsidRPr="00D365BF" w:rsidRDefault="00443F9D">
      <w:pPr>
        <w:spacing w:line="360" w:lineRule="auto"/>
        <w:jc w:val="both"/>
        <w:rPr>
          <w:rFonts w:ascii="Palatino Linotype" w:eastAsia="Palatino Linotype" w:hAnsi="Palatino Linotype" w:cs="Palatino Linotype"/>
        </w:rPr>
      </w:pPr>
    </w:p>
    <w:p w14:paraId="6FDDCCCC"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En respuesta la Dirección General de Desarrollo y Fomento Económico del Ayuntamiento Naucalpan de Juárez, informó que derivado de la búsqueda exhaustiva y razonable se encontró el expediente relacionado con los inmuebles ubicados en:</w:t>
      </w:r>
    </w:p>
    <w:p w14:paraId="2B06AA1E" w14:textId="77777777" w:rsidR="00443F9D" w:rsidRPr="00D365BF" w:rsidRDefault="00443F9D">
      <w:pPr>
        <w:spacing w:line="360" w:lineRule="auto"/>
        <w:jc w:val="both"/>
        <w:rPr>
          <w:rFonts w:ascii="Palatino Linotype" w:eastAsia="Palatino Linotype" w:hAnsi="Palatino Linotype" w:cs="Palatino Linotype"/>
        </w:rPr>
      </w:pPr>
    </w:p>
    <w:p w14:paraId="39B90C0D" w14:textId="77777777" w:rsidR="00443F9D" w:rsidRPr="00D365BF" w:rsidRDefault="001B238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Calle Enrique </w:t>
      </w:r>
      <w:proofErr w:type="spellStart"/>
      <w:r w:rsidRPr="00D365BF">
        <w:rPr>
          <w:rFonts w:ascii="Palatino Linotype" w:eastAsia="Palatino Linotype" w:hAnsi="Palatino Linotype" w:cs="Palatino Linotype"/>
        </w:rPr>
        <w:t>Gtz</w:t>
      </w:r>
      <w:proofErr w:type="spellEnd"/>
      <w:r w:rsidRPr="00D365BF">
        <w:rPr>
          <w:rFonts w:ascii="Palatino Linotype" w:eastAsia="Palatino Linotype" w:hAnsi="Palatino Linotype" w:cs="Palatino Linotype"/>
        </w:rPr>
        <w:t xml:space="preserve">. Aparicio, esquina Alberto J. </w:t>
      </w:r>
      <w:proofErr w:type="spellStart"/>
      <w:r w:rsidRPr="00D365BF">
        <w:rPr>
          <w:rFonts w:ascii="Palatino Linotype" w:eastAsia="Palatino Linotype" w:hAnsi="Palatino Linotype" w:cs="Palatino Linotype"/>
        </w:rPr>
        <w:t>Panini</w:t>
      </w:r>
      <w:proofErr w:type="spellEnd"/>
      <w:r w:rsidRPr="00D365BF">
        <w:rPr>
          <w:rFonts w:ascii="Palatino Linotype" w:eastAsia="Palatino Linotype" w:hAnsi="Palatino Linotype" w:cs="Palatino Linotype"/>
        </w:rPr>
        <w:t xml:space="preserve"> #5, </w:t>
      </w:r>
      <w:proofErr w:type="spellStart"/>
      <w:r w:rsidRPr="00D365BF">
        <w:rPr>
          <w:rFonts w:ascii="Palatino Linotype" w:eastAsia="Palatino Linotype" w:hAnsi="Palatino Linotype" w:cs="Palatino Linotype"/>
        </w:rPr>
        <w:t>lte</w:t>
      </w:r>
      <w:proofErr w:type="spellEnd"/>
      <w:r w:rsidRPr="00D365BF">
        <w:rPr>
          <w:rFonts w:ascii="Palatino Linotype" w:eastAsia="Palatino Linotype" w:hAnsi="Palatino Linotype" w:cs="Palatino Linotype"/>
        </w:rPr>
        <w:t xml:space="preserve"> 30-B y 29-C, Manzana 1-A y 1, Colonia Ciudad Satélite en Naucalpan de Juárez Estado de México. </w:t>
      </w:r>
    </w:p>
    <w:p w14:paraId="0B102FAF" w14:textId="77777777" w:rsidR="00443F9D" w:rsidRPr="00D365BF" w:rsidRDefault="00443F9D">
      <w:pPr>
        <w:spacing w:line="360" w:lineRule="auto"/>
        <w:jc w:val="both"/>
        <w:rPr>
          <w:rFonts w:ascii="Palatino Linotype" w:eastAsia="Palatino Linotype" w:hAnsi="Palatino Linotype" w:cs="Palatino Linotype"/>
        </w:rPr>
      </w:pPr>
    </w:p>
    <w:p w14:paraId="070201B4"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Remitiendo para tal efecto, copia fotostática de la Licencia de Funcionamiento número de folio 1404, con fecha de emisión 6 de julio del año 2022, con vigencia al día 31 de diciembre del año 2022, en versión pública.</w:t>
      </w:r>
    </w:p>
    <w:p w14:paraId="7308018C" w14:textId="77777777" w:rsidR="00443F9D" w:rsidRPr="00D365BF" w:rsidRDefault="00443F9D">
      <w:pPr>
        <w:spacing w:line="360" w:lineRule="auto"/>
        <w:jc w:val="both"/>
        <w:rPr>
          <w:rFonts w:ascii="Palatino Linotype" w:eastAsia="Palatino Linotype" w:hAnsi="Palatino Linotype" w:cs="Palatino Linotype"/>
        </w:rPr>
      </w:pPr>
    </w:p>
    <w:p w14:paraId="153049AE"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En relación a los inmuebles ubicados en:</w:t>
      </w:r>
    </w:p>
    <w:p w14:paraId="78874863" w14:textId="77777777" w:rsidR="00443F9D" w:rsidRPr="00D365BF" w:rsidRDefault="00443F9D">
      <w:pPr>
        <w:spacing w:line="360" w:lineRule="auto"/>
        <w:jc w:val="both"/>
        <w:rPr>
          <w:rFonts w:ascii="Palatino Linotype" w:eastAsia="Palatino Linotype" w:hAnsi="Palatino Linotype" w:cs="Palatino Linotype"/>
        </w:rPr>
      </w:pPr>
    </w:p>
    <w:p w14:paraId="78F0F64C"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C y lote 30 D, Esquina González Aparicio y calle Enrique de González Aparicio #5 Fraccionamiento Ciudad Satélite, en Naucalpan de Juárez, Estado de México</w:t>
      </w:r>
    </w:p>
    <w:p w14:paraId="4F25B705" w14:textId="77777777" w:rsidR="00443F9D" w:rsidRPr="00D365BF" w:rsidRDefault="00443F9D">
      <w:pPr>
        <w:spacing w:line="360" w:lineRule="auto"/>
        <w:jc w:val="both"/>
        <w:rPr>
          <w:rFonts w:ascii="Palatino Linotype" w:eastAsia="Palatino Linotype" w:hAnsi="Palatino Linotype" w:cs="Palatino Linotype"/>
        </w:rPr>
      </w:pPr>
    </w:p>
    <w:p w14:paraId="74EB2CEE"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Informó que después de una búsqueda minuciosa y razonable en los archivos físicos y electrónicos que resguarda esta Dirección General de Desarrollo y Fomento Económico del Ayuntamiento Naucalpan de Juárez, así como las áreas que lo conforman, no se cuenta con licencia de funcionamiento generada por esta Dirección General en el domicilio y lotes que se hacen mención. </w:t>
      </w:r>
    </w:p>
    <w:p w14:paraId="7D2798CC"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Bajo esa óptica, en cuanto a la Licencia de Funcionamiento entregada en informe justificado, se considera por este Organismo Garante analizar cuál es información que es considerada como </w:t>
      </w:r>
      <w:proofErr w:type="gramStart"/>
      <w:r w:rsidRPr="00D365BF">
        <w:rPr>
          <w:rFonts w:ascii="Palatino Linotype" w:eastAsia="Palatino Linotype" w:hAnsi="Palatino Linotype" w:cs="Palatino Linotype"/>
        </w:rPr>
        <w:t>pública  y</w:t>
      </w:r>
      <w:proofErr w:type="gramEnd"/>
      <w:r w:rsidRPr="00D365BF">
        <w:rPr>
          <w:rFonts w:ascii="Palatino Linotype" w:eastAsia="Palatino Linotype" w:hAnsi="Palatino Linotype" w:cs="Palatino Linotype"/>
        </w:rPr>
        <w:t xml:space="preserve"> la que es confidencial, conforme a lo siguiente:</w:t>
      </w:r>
    </w:p>
    <w:p w14:paraId="731DD181" w14:textId="77777777" w:rsidR="00443F9D" w:rsidRPr="00D365BF" w:rsidRDefault="001B2381">
      <w:pPr>
        <w:spacing w:before="240" w:after="240" w:line="360" w:lineRule="auto"/>
        <w:jc w:val="both"/>
        <w:rPr>
          <w:rFonts w:ascii="Palatino Linotype" w:eastAsia="Palatino Linotype" w:hAnsi="Palatino Linotype" w:cs="Palatino Linotype"/>
          <w:u w:val="single"/>
        </w:rPr>
      </w:pPr>
      <w:r w:rsidRPr="00D365BF">
        <w:rPr>
          <w:rFonts w:ascii="Palatino Linotype" w:eastAsia="Palatino Linotype" w:hAnsi="Palatino Linotype" w:cs="Palatino Linotype"/>
          <w:u w:val="single"/>
        </w:rPr>
        <w:t>Información que es considera como confidencial:</w:t>
      </w:r>
    </w:p>
    <w:p w14:paraId="59FB2465" w14:textId="77777777" w:rsidR="00443F9D" w:rsidRPr="00D365BF" w:rsidRDefault="00443F9D">
      <w:pPr>
        <w:ind w:left="567" w:right="539"/>
        <w:jc w:val="both"/>
        <w:rPr>
          <w:rFonts w:ascii="Palatino Linotype" w:eastAsia="Palatino Linotype" w:hAnsi="Palatino Linotype" w:cs="Palatino Linotype"/>
          <w:i/>
          <w:sz w:val="22"/>
          <w:szCs w:val="22"/>
        </w:rPr>
      </w:pPr>
    </w:p>
    <w:p w14:paraId="12B00B24" w14:textId="77777777" w:rsidR="00443F9D" w:rsidRPr="00D365BF" w:rsidRDefault="001B2381">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b/>
        </w:rPr>
      </w:pPr>
      <w:r w:rsidRPr="00D365BF">
        <w:rPr>
          <w:rFonts w:ascii="Palatino Linotype" w:eastAsia="Palatino Linotype" w:hAnsi="Palatino Linotype" w:cs="Palatino Linotype"/>
          <w:b/>
        </w:rPr>
        <w:t>Nombre y firma de quien recibió la licencia.</w:t>
      </w:r>
    </w:p>
    <w:p w14:paraId="06A80C65"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 este respecto, constituye un dato personal susceptible de ser clasificado como confidencial, siempre y cuando la licencia expedida no involucre el </w:t>
      </w:r>
      <w:r w:rsidRPr="00D365BF">
        <w:rPr>
          <w:rFonts w:ascii="Palatino Linotype" w:eastAsia="Palatino Linotype" w:hAnsi="Palatino Linotype" w:cs="Palatino Linotype"/>
        </w:rPr>
        <w:lastRenderedPageBreak/>
        <w:t>aprovechamiento de bienes, servicios y/o recursos públicos y que la misma haya recibido una persona física, por lo que, se actualiza la causal de clasificación establecida en el artículo 143, fracción I de la Ley de Transparencia y Acceso a la Información Pública del Estado de México y Municipios.</w:t>
      </w:r>
    </w:p>
    <w:p w14:paraId="77F02786" w14:textId="77777777" w:rsidR="00443F9D" w:rsidRPr="00D365BF" w:rsidRDefault="001B2381">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D365BF">
        <w:rPr>
          <w:rFonts w:ascii="Palatino Linotype" w:eastAsia="Palatino Linotype" w:hAnsi="Palatino Linotype" w:cs="Palatino Linotype"/>
          <w:b/>
        </w:rPr>
        <w:t>RFC.</w:t>
      </w:r>
    </w:p>
    <w:p w14:paraId="53293FA8" w14:textId="77777777" w:rsidR="00443F9D" w:rsidRPr="00D365BF" w:rsidRDefault="001B2381">
      <w:pPr>
        <w:spacing w:before="240" w:after="240" w:line="360" w:lineRule="auto"/>
        <w:jc w:val="both"/>
        <w:rPr>
          <w:rFonts w:ascii="Palatino Linotype" w:eastAsia="Palatino Linotype" w:hAnsi="Palatino Linotype" w:cs="Palatino Linotype"/>
          <w:b/>
        </w:rPr>
      </w:pPr>
      <w:r w:rsidRPr="00D365BF">
        <w:rPr>
          <w:rFonts w:ascii="Palatino Linotype" w:eastAsia="Palatino Linotype" w:hAnsi="Palatino Linotype" w:cs="Palatino Linotype"/>
        </w:rPr>
        <w:t>El</w:t>
      </w:r>
      <w:r w:rsidRPr="00D365BF">
        <w:rPr>
          <w:rFonts w:ascii="Palatino Linotype" w:eastAsia="Palatino Linotype" w:hAnsi="Palatino Linotype" w:cs="Palatino Linotype"/>
          <w:b/>
        </w:rPr>
        <w:t xml:space="preserve"> RFC, </w:t>
      </w:r>
      <w:r w:rsidRPr="00D365BF">
        <w:rPr>
          <w:rFonts w:ascii="Palatino Linotype" w:eastAsia="Palatino Linotype" w:hAnsi="Palatino Linotype" w:cs="Palatino Linotype"/>
        </w:rPr>
        <w:t>de personas morales es considerado como confidencial</w:t>
      </w:r>
      <w:r w:rsidRPr="00D365BF">
        <w:rPr>
          <w:rFonts w:ascii="Palatino Linotype" w:eastAsia="Palatino Linotype" w:hAnsi="Palatino Linotype" w:cs="Palatino Linotype"/>
          <w:b/>
        </w:rPr>
        <w:t xml:space="preserve"> </w:t>
      </w:r>
      <w:r w:rsidRPr="00D365BF">
        <w:rPr>
          <w:rFonts w:ascii="Palatino Linotype" w:eastAsia="Palatino Linotype" w:hAnsi="Palatino Linotype" w:cs="Palatino Linotype"/>
        </w:rPr>
        <w:t xml:space="preserve">en razón de que no existe una relación comercial entre el titular </w:t>
      </w:r>
      <w:proofErr w:type="gramStart"/>
      <w:r w:rsidRPr="00D365BF">
        <w:rPr>
          <w:rFonts w:ascii="Palatino Linotype" w:eastAsia="Palatino Linotype" w:hAnsi="Palatino Linotype" w:cs="Palatino Linotype"/>
        </w:rPr>
        <w:t>de  la</w:t>
      </w:r>
      <w:proofErr w:type="gramEnd"/>
      <w:r w:rsidRPr="00D365BF">
        <w:rPr>
          <w:rFonts w:ascii="Palatino Linotype" w:eastAsia="Palatino Linotype" w:hAnsi="Palatino Linotype" w:cs="Palatino Linotype"/>
        </w:rPr>
        <w:t xml:space="preserve"> licencia de funcionamiento con el</w:t>
      </w:r>
      <w:r w:rsidRPr="00D365BF">
        <w:rPr>
          <w:rFonts w:ascii="Palatino Linotype" w:eastAsia="Palatino Linotype" w:hAnsi="Palatino Linotype" w:cs="Palatino Linotype"/>
          <w:b/>
        </w:rPr>
        <w:t xml:space="preserve"> SUJETO OBLIGADO, </w:t>
      </w:r>
      <w:r w:rsidRPr="00D365BF">
        <w:rPr>
          <w:rFonts w:ascii="Palatino Linotype" w:eastAsia="Palatino Linotype" w:hAnsi="Palatino Linotype" w:cs="Palatino Linotype"/>
        </w:rPr>
        <w:t>además que darlo a conocer no abonada a la transparencia y rendición de cuentas, por no estar involucrados recursos públicos.</w:t>
      </w:r>
      <w:r w:rsidRPr="00D365BF">
        <w:rPr>
          <w:rFonts w:ascii="Palatino Linotype" w:eastAsia="Palatino Linotype" w:hAnsi="Palatino Linotype" w:cs="Palatino Linotype"/>
          <w:b/>
        </w:rPr>
        <w:t xml:space="preserve"> </w:t>
      </w:r>
    </w:p>
    <w:p w14:paraId="707BF329" w14:textId="77777777" w:rsidR="00443F9D" w:rsidRPr="00D365BF" w:rsidRDefault="001B2381">
      <w:pPr>
        <w:spacing w:before="240" w:after="240" w:line="360" w:lineRule="auto"/>
        <w:jc w:val="both"/>
        <w:rPr>
          <w:rFonts w:ascii="Palatino Linotype" w:eastAsia="Palatino Linotype" w:hAnsi="Palatino Linotype" w:cs="Palatino Linotype"/>
          <w:u w:val="single"/>
        </w:rPr>
      </w:pPr>
      <w:r w:rsidRPr="00D365BF">
        <w:rPr>
          <w:rFonts w:ascii="Palatino Linotype" w:eastAsia="Palatino Linotype" w:hAnsi="Palatino Linotype" w:cs="Palatino Linotype"/>
          <w:u w:val="single"/>
        </w:rPr>
        <w:t>Información que es considera como pública:</w:t>
      </w:r>
    </w:p>
    <w:p w14:paraId="5E2C51A5" w14:textId="77777777" w:rsidR="00443F9D" w:rsidRPr="00D365BF" w:rsidRDefault="001B2381">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b/>
          <w:strike/>
        </w:rPr>
      </w:pPr>
      <w:r w:rsidRPr="00D365BF">
        <w:rPr>
          <w:rFonts w:ascii="Palatino Linotype" w:eastAsia="Palatino Linotype" w:hAnsi="Palatino Linotype" w:cs="Palatino Linotype"/>
          <w:b/>
        </w:rPr>
        <w:t xml:space="preserve">Nombre comercial. </w:t>
      </w:r>
    </w:p>
    <w:p w14:paraId="65451A8E"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Es considerado como público, al no actualizar ninguna de las causales previstas en el artículo 143 de la Ley de Transparencia y Acceso a la Información Pública del Estado de México y Municipios, no resulta procedente su clasificación. </w:t>
      </w:r>
    </w:p>
    <w:p w14:paraId="27189DD8"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Precisado lo anterior, no pasa desapercibido que de la información remitida en informe justificado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fue omiso en remitir el acuerdo que sustente la versión pública de dicha licencia de funcionamiento; por ende,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w:t>
      </w:r>
      <w:r w:rsidRPr="00D365BF">
        <w:rPr>
          <w:rFonts w:ascii="Palatino Linotype" w:eastAsia="Palatino Linotype" w:hAnsi="Palatino Linotype" w:cs="Palatino Linotype"/>
        </w:rPr>
        <w:lastRenderedPageBreak/>
        <w:t>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66C1C4A"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Razones por las cuales lo procedente ordena en una correcta versión pública las licencias de funcionamiento número 1404, remitida en informe justificado y en términos de lo señalado por el considerando quinto del presente fallo.</w:t>
      </w:r>
    </w:p>
    <w:p w14:paraId="2C864542" w14:textId="77777777" w:rsidR="00443F9D" w:rsidRPr="00D365BF" w:rsidRDefault="001B2381">
      <w:pPr>
        <w:spacing w:before="240"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Por otro </w:t>
      </w:r>
      <w:proofErr w:type="gramStart"/>
      <w:r w:rsidRPr="00D365BF">
        <w:rPr>
          <w:rFonts w:ascii="Palatino Linotype" w:eastAsia="Palatino Linotype" w:hAnsi="Palatino Linotype" w:cs="Palatino Linotype"/>
        </w:rPr>
        <w:t>lado</w:t>
      </w:r>
      <w:proofErr w:type="gramEnd"/>
      <w:r w:rsidRPr="00D365BF">
        <w:rPr>
          <w:rFonts w:ascii="Palatino Linotype" w:eastAsia="Palatino Linotype" w:hAnsi="Palatino Linotype" w:cs="Palatino Linotype"/>
        </w:rPr>
        <w:t xml:space="preserve"> en cuanto, punto de la solicitud en donde la Dirección General de Desarrollo y Fomento Económico del Ayuntamiento Naucalpan de Juárez, informó en relación a los inmuebles ubicados en:</w:t>
      </w:r>
    </w:p>
    <w:p w14:paraId="361BD0EA"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C y lote 30 D, Esquina González Aparicio y calle Enrique de González Aparicio #5 Fraccionamiento Ciudad Satélite, en Naucalpan de Juárez, Estado de México</w:t>
      </w:r>
    </w:p>
    <w:p w14:paraId="642A75FA" w14:textId="77777777" w:rsidR="00443F9D" w:rsidRPr="00D365BF" w:rsidRDefault="00443F9D">
      <w:pPr>
        <w:spacing w:line="360" w:lineRule="auto"/>
        <w:jc w:val="both"/>
        <w:rPr>
          <w:rFonts w:ascii="Palatino Linotype" w:eastAsia="Palatino Linotype" w:hAnsi="Palatino Linotype" w:cs="Palatino Linotype"/>
        </w:rPr>
      </w:pPr>
    </w:p>
    <w:p w14:paraId="4BFCD0E9"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Que después de una búsqueda minuciosa y razonable en los archivos físicos y electrónicos que resguarda dicha Dirección General, así como las áreas que lo conforman, no se cuenta con licencia de funcionamiento generada por esta Dirección General en el domicilio y lotes que se hacen mención, circunstancia que se traduce como un hecho negativo y ante un hecho negativo debe decirse que el Pleno de este Órgano Garante ha sostenido que resulta innecesaria una declaratoria de inexistencia en términos de los artículos 19, 169 y 170 de la Ley de Transparencia y </w:t>
      </w:r>
      <w:r w:rsidRPr="00D365BF">
        <w:rPr>
          <w:rFonts w:ascii="Palatino Linotype" w:eastAsia="Palatino Linotype" w:hAnsi="Palatino Linotype" w:cs="Palatino Linotype"/>
        </w:rPr>
        <w:lastRenderedPageBreak/>
        <w:t>Acceso a la Información Pública del Estado de México y Municipios, resultando aplicable la siguiente tesis:</w:t>
      </w:r>
    </w:p>
    <w:p w14:paraId="3CE7535C" w14:textId="77777777" w:rsidR="00443F9D" w:rsidRPr="00D365BF" w:rsidRDefault="001B2381">
      <w:pPr>
        <w:spacing w:before="120" w:after="120"/>
        <w:ind w:left="567" w:right="851"/>
        <w:jc w:val="center"/>
        <w:rPr>
          <w:rFonts w:ascii="Palatino Linotype" w:eastAsia="Palatino Linotype" w:hAnsi="Palatino Linotype" w:cs="Palatino Linotype"/>
          <w:i/>
          <w:sz w:val="22"/>
          <w:szCs w:val="22"/>
        </w:rPr>
      </w:pPr>
      <w:r w:rsidRPr="00D365BF">
        <w:rPr>
          <w:rFonts w:ascii="Palatino Linotype" w:eastAsia="Palatino Linotype" w:hAnsi="Palatino Linotype" w:cs="Palatino Linotype"/>
        </w:rPr>
        <w:t xml:space="preserve"> “</w:t>
      </w:r>
      <w:r w:rsidRPr="00D365BF">
        <w:rPr>
          <w:rFonts w:ascii="Palatino Linotype" w:eastAsia="Palatino Linotype" w:hAnsi="Palatino Linotype" w:cs="Palatino Linotype"/>
          <w:b/>
          <w:i/>
          <w:sz w:val="22"/>
          <w:szCs w:val="22"/>
        </w:rPr>
        <w:t>HECHOS NEGATIVOS, NO SON SUSCEPTIBLES DE DEMOSTRACIÓN</w:t>
      </w:r>
      <w:r w:rsidRPr="00D365BF">
        <w:rPr>
          <w:rFonts w:ascii="Palatino Linotype" w:eastAsia="Palatino Linotype" w:hAnsi="Palatino Linotype" w:cs="Palatino Linotype"/>
          <w:i/>
          <w:sz w:val="22"/>
          <w:szCs w:val="22"/>
        </w:rPr>
        <w:t>.</w:t>
      </w:r>
    </w:p>
    <w:p w14:paraId="1175CCA9"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6F3939DF" w14:textId="77777777" w:rsidR="00443F9D" w:rsidRPr="00D365BF" w:rsidRDefault="00443F9D">
      <w:pPr>
        <w:ind w:left="851" w:right="851"/>
        <w:jc w:val="both"/>
        <w:rPr>
          <w:rFonts w:ascii="Palatino Linotype" w:eastAsia="Palatino Linotype" w:hAnsi="Palatino Linotype" w:cs="Palatino Linotype"/>
          <w:i/>
          <w:sz w:val="22"/>
          <w:szCs w:val="22"/>
        </w:rPr>
      </w:pPr>
    </w:p>
    <w:p w14:paraId="016E0EFC" w14:textId="77777777" w:rsidR="00443F9D" w:rsidRPr="00D365BF" w:rsidRDefault="001B2381">
      <w:pPr>
        <w:spacing w:before="120" w:after="120"/>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Amparo en revisión 2022/61. José García </w:t>
      </w:r>
      <w:proofErr w:type="gramStart"/>
      <w:r w:rsidRPr="00D365BF">
        <w:rPr>
          <w:rFonts w:ascii="Palatino Linotype" w:eastAsia="Palatino Linotype" w:hAnsi="Palatino Linotype" w:cs="Palatino Linotype"/>
          <w:i/>
          <w:sz w:val="22"/>
          <w:szCs w:val="22"/>
        </w:rPr>
        <w:t>Florín</w:t>
      </w:r>
      <w:proofErr w:type="gramEnd"/>
      <w:r w:rsidRPr="00D365BF">
        <w:rPr>
          <w:rFonts w:ascii="Palatino Linotype" w:eastAsia="Palatino Linotype" w:hAnsi="Palatino Linotype" w:cs="Palatino Linotype"/>
          <w:i/>
          <w:sz w:val="22"/>
          <w:szCs w:val="22"/>
        </w:rPr>
        <w:t xml:space="preserve"> (Menor). 9 de octubre de 1961. Cinco votos. Ponente: José Rivera Pérez Campos.” (Sic)</w:t>
      </w:r>
    </w:p>
    <w:p w14:paraId="76418D78" w14:textId="77777777" w:rsidR="00443F9D" w:rsidRPr="00D365BF" w:rsidRDefault="00443F9D">
      <w:pPr>
        <w:spacing w:line="360" w:lineRule="auto"/>
        <w:jc w:val="both"/>
        <w:rPr>
          <w:rFonts w:ascii="Palatino Linotype" w:eastAsia="Palatino Linotype" w:hAnsi="Palatino Linotype" w:cs="Palatino Linotype"/>
        </w:rPr>
      </w:pPr>
    </w:p>
    <w:p w14:paraId="4BDD3014"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Ya que el área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que se pronunció fue la Dirección General de Desarrollo y Fomento Económico del Ayuntamiento Naucalpan de Juárez, que en términos de lo señalado por el artículo 61 fracción IV del Reglamento Orgánico de la Administración Pública Municipal de Naucalpan de Juárez, Estado de México, que señala:</w:t>
      </w:r>
    </w:p>
    <w:p w14:paraId="7F8A3B77" w14:textId="77777777" w:rsidR="00443F9D" w:rsidRPr="00D365BF" w:rsidRDefault="00443F9D">
      <w:pPr>
        <w:spacing w:line="360" w:lineRule="auto"/>
        <w:jc w:val="both"/>
        <w:rPr>
          <w:rFonts w:ascii="Palatino Linotype" w:eastAsia="Palatino Linotype" w:hAnsi="Palatino Linotype" w:cs="Palatino Linotype"/>
        </w:rPr>
      </w:pPr>
    </w:p>
    <w:p w14:paraId="75183A04"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61.- La Dirección General de Desarrollo y Fomento Económico, estará a cargo de un titular, que se denominará </w:t>
      </w:r>
      <w:proofErr w:type="gramStart"/>
      <w:r w:rsidRPr="00D365BF">
        <w:rPr>
          <w:rFonts w:ascii="Palatino Linotype" w:eastAsia="Palatino Linotype" w:hAnsi="Palatino Linotype" w:cs="Palatino Linotype"/>
          <w:i/>
          <w:sz w:val="22"/>
          <w:szCs w:val="22"/>
        </w:rPr>
        <w:t>Directora</w:t>
      </w:r>
      <w:proofErr w:type="gramEnd"/>
      <w:r w:rsidRPr="00D365BF">
        <w:rPr>
          <w:rFonts w:ascii="Palatino Linotype" w:eastAsia="Palatino Linotype" w:hAnsi="Palatino Linotype" w:cs="Palatino Linotype"/>
          <w:i/>
          <w:sz w:val="22"/>
          <w:szCs w:val="22"/>
        </w:rPr>
        <w:t xml:space="preserve"> o Director General de Desarrollo y Fomento Económico y tendrá las siguientes atribuciones:</w:t>
      </w:r>
    </w:p>
    <w:p w14:paraId="3D7699F9"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09FDBC4D"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V. Impulsar la simplificación de trámites, homologación de documentación y reducción de plazos para el otorgamiento de permisos, licencias y autorizaciones del orden municipal, de conformidad con la Ley para la Mejora Regulatoria del Estado de México y sus Municipios, la Ley de Competitividad y Ordenamiento Comercial del Estado de México, la Ley de Fomento Económico para el Estado de México, sus respectivos reglamentos y demás disposiciones jurídicas aplicables…” (Sic)</w:t>
      </w:r>
    </w:p>
    <w:p w14:paraId="662D9D74" w14:textId="77777777" w:rsidR="00443F9D" w:rsidRPr="00D365BF" w:rsidRDefault="00443F9D">
      <w:pPr>
        <w:spacing w:line="360" w:lineRule="auto"/>
        <w:jc w:val="both"/>
        <w:rPr>
          <w:rFonts w:ascii="Palatino Linotype" w:eastAsia="Palatino Linotype" w:hAnsi="Palatino Linotype" w:cs="Palatino Linotype"/>
        </w:rPr>
      </w:pPr>
    </w:p>
    <w:p w14:paraId="7EFE4FEA"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Siendo el área competente para conocer de la información solicitada por el particular, colmando con ello el derecho de acceso a la información del particular.</w:t>
      </w:r>
    </w:p>
    <w:p w14:paraId="7D4CCFF8" w14:textId="77777777" w:rsidR="00443F9D" w:rsidRPr="00D365BF" w:rsidRDefault="00443F9D">
      <w:pPr>
        <w:spacing w:line="360" w:lineRule="auto"/>
        <w:jc w:val="both"/>
        <w:rPr>
          <w:rFonts w:ascii="Palatino Linotype" w:eastAsia="Palatino Linotype" w:hAnsi="Palatino Linotype" w:cs="Palatino Linotype"/>
        </w:rPr>
      </w:pPr>
    </w:p>
    <w:p w14:paraId="06D368FD" w14:textId="77777777" w:rsidR="00443F9D" w:rsidRPr="00D365BF" w:rsidRDefault="001B2381">
      <w:pPr>
        <w:spacing w:after="12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76F6A2E" w14:textId="77777777" w:rsidR="00443F9D" w:rsidRPr="00D365BF" w:rsidRDefault="001B2381">
      <w:pPr>
        <w:spacing w:before="120" w:after="120"/>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365BF">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0849505D" w14:textId="77777777" w:rsidR="00443F9D" w:rsidRPr="00D365BF" w:rsidRDefault="00443F9D">
      <w:pPr>
        <w:spacing w:line="360" w:lineRule="auto"/>
        <w:jc w:val="both"/>
        <w:rPr>
          <w:rFonts w:ascii="Palatino Linotype" w:eastAsia="Palatino Linotype" w:hAnsi="Palatino Linotype" w:cs="Palatino Linotype"/>
        </w:rPr>
      </w:pPr>
    </w:p>
    <w:p w14:paraId="7F9CB7C1" w14:textId="77777777" w:rsidR="00443F9D" w:rsidRPr="00D365BF" w:rsidRDefault="001B2381">
      <w:pPr>
        <w:spacing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3A425B41"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u w:val="single"/>
        </w:rPr>
        <w:lastRenderedPageBreak/>
        <w:t>En lo que concierne a la Licencia de Impacto Ambiental</w:t>
      </w:r>
      <w:r w:rsidRPr="00D365BF">
        <w:rPr>
          <w:rFonts w:ascii="Palatino Linotype" w:eastAsia="Palatino Linotype" w:hAnsi="Palatino Linotype" w:cs="Palatino Linotype"/>
        </w:rPr>
        <w:t>, de los de los inmuebles ubicados en circuito Economistas mz1, calle Alberto J. Pani lote 30 A, lote 30 B, lote 30 C y lote 30 D, Esquina González Aparicio y calle Enrique de González Aparicio #5 Fraccionamiento Ciudad Satélite, en Naucalpan de Juárez, Estado de México.</w:t>
      </w:r>
    </w:p>
    <w:p w14:paraId="1EB39512" w14:textId="77777777" w:rsidR="00443F9D" w:rsidRPr="00D365BF" w:rsidRDefault="00443F9D">
      <w:pPr>
        <w:spacing w:line="360" w:lineRule="auto"/>
        <w:jc w:val="both"/>
        <w:rPr>
          <w:rFonts w:ascii="Palatino Linotype" w:eastAsia="Palatino Linotype" w:hAnsi="Palatino Linotype" w:cs="Palatino Linotype"/>
        </w:rPr>
      </w:pPr>
    </w:p>
    <w:p w14:paraId="6A6A9FD0"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a través su Director General del Medio Ambiente informó que sobre la Licencia de impacto ambiental, que dicho documento se elabora en la Dirección General de Ordenamiento e Impacto Ambiental de la Secretaría de Medio Ambiente del Estado de México, quien a su vez se la turna a la Dirección General de Desarrollo Urbano, por lo cual esta Dirección General no cuenta con ningún documento al respecto, circunstancia que se traduciría como un hecho negativo; sin embargo, si bien es cierto que el área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que se pronunció fue la Director General del Medio Ambiente, que en términos de lo señalado por el artículo 59 fracción VI del Reglamento Orgánico de la Administración Pública Municipal de Naucalpan de Juárez, Estado de México, que señala:</w:t>
      </w:r>
    </w:p>
    <w:p w14:paraId="1781EB52" w14:textId="77777777" w:rsidR="00443F9D" w:rsidRPr="00D365BF" w:rsidRDefault="00443F9D">
      <w:pPr>
        <w:spacing w:line="360" w:lineRule="auto"/>
        <w:jc w:val="both"/>
        <w:rPr>
          <w:rFonts w:ascii="Palatino Linotype" w:eastAsia="Palatino Linotype" w:hAnsi="Palatino Linotype" w:cs="Palatino Linotype"/>
        </w:rPr>
      </w:pPr>
    </w:p>
    <w:p w14:paraId="6E2D6CD2"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59.- La Dirección General de Medio Ambiente, estará a cargo de un titular, que se denominará </w:t>
      </w:r>
      <w:proofErr w:type="gramStart"/>
      <w:r w:rsidRPr="00D365BF">
        <w:rPr>
          <w:rFonts w:ascii="Palatino Linotype" w:eastAsia="Palatino Linotype" w:hAnsi="Palatino Linotype" w:cs="Palatino Linotype"/>
          <w:i/>
          <w:sz w:val="22"/>
          <w:szCs w:val="22"/>
        </w:rPr>
        <w:t>Directora</w:t>
      </w:r>
      <w:proofErr w:type="gramEnd"/>
      <w:r w:rsidRPr="00D365BF">
        <w:rPr>
          <w:rFonts w:ascii="Palatino Linotype" w:eastAsia="Palatino Linotype" w:hAnsi="Palatino Linotype" w:cs="Palatino Linotype"/>
          <w:i/>
          <w:sz w:val="22"/>
          <w:szCs w:val="22"/>
        </w:rPr>
        <w:t xml:space="preserve"> o Director General de Medio Ambiente; y tendrá las siguientes atribuciones:</w:t>
      </w:r>
    </w:p>
    <w:p w14:paraId="5FB4B1CB"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32159C2D"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VI. Expedir, entregar, autorizar, negar o revocar la Licencia Ambiental Municipal, de conformidad con las disposiciones legales vigentes…” (Sic)</w:t>
      </w:r>
    </w:p>
    <w:p w14:paraId="0215459D" w14:textId="77777777" w:rsidR="00443F9D" w:rsidRPr="00D365BF" w:rsidRDefault="00443F9D">
      <w:pPr>
        <w:spacing w:line="360" w:lineRule="auto"/>
        <w:jc w:val="both"/>
        <w:rPr>
          <w:rFonts w:ascii="Palatino Linotype" w:eastAsia="Palatino Linotype" w:hAnsi="Palatino Linotype" w:cs="Palatino Linotype"/>
        </w:rPr>
      </w:pPr>
    </w:p>
    <w:p w14:paraId="051C54A8"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Siendo el área competente para conocer de la información solicitada por el particular; no obstante, de la respuesta se observa que manifestó que el documento solicitado se elabora en la Dirección General de Ordenamiento e Impacto Ambiental de la Secretaría de Medio Ambiente del Estado de México, siendo que esta tiene las </w:t>
      </w:r>
      <w:r w:rsidRPr="00D365BF">
        <w:rPr>
          <w:rFonts w:ascii="Palatino Linotype" w:eastAsia="Palatino Linotype" w:hAnsi="Palatino Linotype" w:cs="Palatino Linotype"/>
        </w:rPr>
        <w:lastRenderedPageBreak/>
        <w:t>siguientes atribuciones, en términos de lo señalado por el artículo 11 del Reglamento Interior de la Secretaría del Medio Ambiente, las cuales son:</w:t>
      </w:r>
    </w:p>
    <w:p w14:paraId="2AE8627D" w14:textId="77777777" w:rsidR="00443F9D" w:rsidRPr="00D365BF" w:rsidRDefault="00443F9D">
      <w:pPr>
        <w:spacing w:line="360" w:lineRule="auto"/>
        <w:jc w:val="both"/>
        <w:rPr>
          <w:rFonts w:ascii="Palatino Linotype" w:eastAsia="Palatino Linotype" w:hAnsi="Palatino Linotype" w:cs="Palatino Linotype"/>
        </w:rPr>
      </w:pPr>
    </w:p>
    <w:p w14:paraId="30171B63"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11. Corresponden a la Dirección General de Ordenamiento e Impacto Ambiental las atribuciones siguientes: </w:t>
      </w:r>
    </w:p>
    <w:p w14:paraId="01826239"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 Elaborar y gestionar el Programa de Ordenamiento Ecológico del Territorio Estatal, en coordinación con las dependencias estatales y municipales competentes, así como llevar a cabo su ejecución y proponer su actualización; </w:t>
      </w:r>
    </w:p>
    <w:p w14:paraId="01FED7DA"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II. Compilar y difundir las guías metodológicas y la normativa ambiental relacionada con la elaboración de ordenamientos ecológicos y estudios de impacto ambiental; </w:t>
      </w:r>
    </w:p>
    <w:p w14:paraId="28AB6555"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III. Elaborar y someter a consideración del </w:t>
      </w:r>
      <w:proofErr w:type="gramStart"/>
      <w:r w:rsidRPr="00D365BF">
        <w:rPr>
          <w:rFonts w:ascii="Palatino Linotype" w:eastAsia="Palatino Linotype" w:hAnsi="Palatino Linotype" w:cs="Palatino Linotype"/>
          <w:i/>
          <w:sz w:val="22"/>
          <w:szCs w:val="22"/>
        </w:rPr>
        <w:t>Secretario</w:t>
      </w:r>
      <w:proofErr w:type="gramEnd"/>
      <w:r w:rsidRPr="00D365BF">
        <w:rPr>
          <w:rFonts w:ascii="Palatino Linotype" w:eastAsia="Palatino Linotype" w:hAnsi="Palatino Linotype" w:cs="Palatino Linotype"/>
          <w:i/>
          <w:sz w:val="22"/>
          <w:szCs w:val="22"/>
        </w:rPr>
        <w:t xml:space="preserve"> la guía metodológica para que los Ayuntamientos elaboren los Programas de Ordenamiento Ecológico del Territorio Municipal; </w:t>
      </w:r>
    </w:p>
    <w:p w14:paraId="525B2BC4" w14:textId="77777777" w:rsidR="00443F9D" w:rsidRPr="00D365BF" w:rsidRDefault="001B2381">
      <w:pPr>
        <w:ind w:left="851" w:right="851"/>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 xml:space="preserve">IV. Emitir las evaluaciones técnicas de impacto en materia ambiental; así como los estudios de riesgo que se requieran para éstas; </w:t>
      </w:r>
    </w:p>
    <w:p w14:paraId="0EAAE8C1" w14:textId="77777777" w:rsidR="00443F9D" w:rsidRPr="00D365BF" w:rsidRDefault="001B2381">
      <w:pPr>
        <w:ind w:left="851" w:right="851"/>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 xml:space="preserve">V. Expedir dictámenes y opiniones técnicas en materia de ordenamiento ecológico para proyectos, obras o acciones, públicas o privadas, a desarrollar en el territorio del Estado de México; </w:t>
      </w:r>
    </w:p>
    <w:p w14:paraId="4DAFF2D4"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 Dar seguimiento a las condicionantes establecidas en las evaluaciones técnicas de impacto en materia ambiental; </w:t>
      </w:r>
    </w:p>
    <w:p w14:paraId="72038A20" w14:textId="77777777" w:rsidR="00443F9D" w:rsidRPr="00D365BF" w:rsidRDefault="001B2381">
      <w:pPr>
        <w:ind w:left="851" w:right="851"/>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 xml:space="preserve">VII. Integrar, administrar y disponer para su consulta, información sobre impacto y riesgo ambiental, de conformidad con lo previsto en la Ley de Transparencia y Acceso a la Información Pública del Estado de México y Municipios; </w:t>
      </w:r>
    </w:p>
    <w:p w14:paraId="0CD6E909"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VIII. Incluir estrategias, políticas y acciones en materia ambiental, en los planes y programas de desarrollo estatal y municipal presentados ante el COPLADEM, y </w:t>
      </w:r>
    </w:p>
    <w:p w14:paraId="2BB6B80A"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IX. Las demás que le confieran otras disposiciones jurídicas aplicables y las que le encomiende el </w:t>
      </w:r>
      <w:proofErr w:type="gramStart"/>
      <w:r w:rsidRPr="00D365BF">
        <w:rPr>
          <w:rFonts w:ascii="Palatino Linotype" w:eastAsia="Palatino Linotype" w:hAnsi="Palatino Linotype" w:cs="Palatino Linotype"/>
          <w:i/>
          <w:sz w:val="22"/>
          <w:szCs w:val="22"/>
        </w:rPr>
        <w:t>Secretario</w:t>
      </w:r>
      <w:proofErr w:type="gramEnd"/>
      <w:r w:rsidRPr="00D365BF">
        <w:rPr>
          <w:rFonts w:ascii="Palatino Linotype" w:eastAsia="Palatino Linotype" w:hAnsi="Palatino Linotype" w:cs="Palatino Linotype"/>
          <w:i/>
          <w:sz w:val="22"/>
          <w:szCs w:val="22"/>
        </w:rPr>
        <w:t>.” (Sic)</w:t>
      </w:r>
    </w:p>
    <w:p w14:paraId="1BBF3333" w14:textId="77777777" w:rsidR="00443F9D" w:rsidRPr="00D365BF" w:rsidRDefault="00443F9D">
      <w:pPr>
        <w:spacing w:line="360" w:lineRule="auto"/>
        <w:jc w:val="both"/>
      </w:pPr>
    </w:p>
    <w:p w14:paraId="111BDDA8" w14:textId="77777777" w:rsidR="00443F9D" w:rsidRPr="00D365BF" w:rsidRDefault="001B2381">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D365BF">
        <w:rPr>
          <w:rFonts w:ascii="Palatino Linotype" w:eastAsia="Palatino Linotype" w:hAnsi="Palatino Linotype" w:cs="Palatino Linotype"/>
        </w:rPr>
        <w:t>En ese tenor, se concluye que, el Ayuntamiento Naucalpan de Juárez</w:t>
      </w:r>
      <w:r w:rsidRPr="00D365BF">
        <w:rPr>
          <w:rFonts w:ascii="Palatino Linotype" w:eastAsia="Palatino Linotype" w:hAnsi="Palatino Linotype" w:cs="Palatino Linotype"/>
          <w:b/>
        </w:rPr>
        <w:t xml:space="preserve">, </w:t>
      </w:r>
      <w:r w:rsidRPr="00D365BF">
        <w:rPr>
          <w:rFonts w:ascii="Palatino Linotype" w:eastAsia="Palatino Linotype" w:hAnsi="Palatino Linotype" w:cs="Palatino Linotype"/>
        </w:rPr>
        <w:t>declinó la competencia para cocer de la información solicitada a la Secretaría de Medio Ambiente del Estado de México; pero, omitió emitir su acuerdo de incompetencia respectivo.</w:t>
      </w:r>
    </w:p>
    <w:p w14:paraId="75133D5C" w14:textId="77777777" w:rsidR="00443F9D" w:rsidRPr="00D365BF" w:rsidRDefault="00443F9D">
      <w:pPr>
        <w:spacing w:line="360" w:lineRule="auto"/>
        <w:jc w:val="both"/>
        <w:rPr>
          <w:rFonts w:ascii="Palatino Linotype" w:eastAsia="Palatino Linotype" w:hAnsi="Palatino Linotype" w:cs="Palatino Linotype"/>
        </w:rPr>
      </w:pPr>
    </w:p>
    <w:p w14:paraId="7E25EFA0"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ese sentido, Cabanellas, Guillermo (1993), en el </w:t>
      </w:r>
      <w:r w:rsidRPr="00D365BF">
        <w:rPr>
          <w:rFonts w:ascii="Palatino Linotype" w:eastAsia="Palatino Linotype" w:hAnsi="Palatino Linotype" w:cs="Palatino Linotype"/>
          <w:i/>
        </w:rPr>
        <w:t>“Diccionario Jurídico Elemental”</w:t>
      </w:r>
      <w:r w:rsidRPr="00D365BF">
        <w:rPr>
          <w:rFonts w:ascii="Palatino Linotype" w:eastAsia="Palatino Linotype" w:hAnsi="Palatino Linotype" w:cs="Palatino Linotype"/>
        </w:rPr>
        <w:t xml:space="preserve"> (p. 32 y 161) la competencia o bien, la incompetencia se refiere a:  </w:t>
      </w:r>
    </w:p>
    <w:p w14:paraId="1066BB0C" w14:textId="77777777" w:rsidR="00443F9D" w:rsidRPr="00D365BF" w:rsidRDefault="00443F9D">
      <w:pPr>
        <w:spacing w:line="360" w:lineRule="auto"/>
        <w:jc w:val="both"/>
        <w:rPr>
          <w:rFonts w:ascii="Palatino Linotype" w:eastAsia="Palatino Linotype" w:hAnsi="Palatino Linotype" w:cs="Palatino Linotype"/>
        </w:rPr>
      </w:pPr>
    </w:p>
    <w:p w14:paraId="502280D1" w14:textId="77777777" w:rsidR="00443F9D" w:rsidRPr="00D365BF" w:rsidRDefault="001B2381">
      <w:pPr>
        <w:numPr>
          <w:ilvl w:val="0"/>
          <w:numId w:val="6"/>
        </w:numPr>
        <w:spacing w:line="360" w:lineRule="auto"/>
        <w:jc w:val="both"/>
        <w:rPr>
          <w:rFonts w:ascii="Palatino Linotype" w:eastAsia="Palatino Linotype" w:hAnsi="Palatino Linotype" w:cs="Palatino Linotype"/>
          <w:sz w:val="22"/>
          <w:szCs w:val="22"/>
        </w:rPr>
      </w:pPr>
      <w:r w:rsidRPr="00D365BF">
        <w:rPr>
          <w:rFonts w:ascii="Palatino Linotype" w:eastAsia="Palatino Linotype" w:hAnsi="Palatino Linotype" w:cs="Palatino Linotype"/>
          <w:b/>
          <w:sz w:val="22"/>
          <w:szCs w:val="22"/>
        </w:rPr>
        <w:t xml:space="preserve">Competencia: </w:t>
      </w:r>
      <w:r w:rsidRPr="00D365BF">
        <w:rPr>
          <w:rFonts w:ascii="Palatino Linotype" w:eastAsia="Palatino Linotype" w:hAnsi="Palatino Linotype" w:cs="Palatino Linotype"/>
          <w:sz w:val="22"/>
          <w:szCs w:val="22"/>
        </w:rPr>
        <w:t>La capacidad de una autoridad para conocer sobre una materia o asunto.</w:t>
      </w:r>
    </w:p>
    <w:p w14:paraId="56B4BA60" w14:textId="77777777" w:rsidR="00443F9D" w:rsidRPr="00D365BF" w:rsidRDefault="001B2381">
      <w:pPr>
        <w:numPr>
          <w:ilvl w:val="0"/>
          <w:numId w:val="6"/>
        </w:numPr>
        <w:spacing w:line="360" w:lineRule="auto"/>
        <w:jc w:val="both"/>
        <w:rPr>
          <w:rFonts w:ascii="Palatino Linotype" w:eastAsia="Palatino Linotype" w:hAnsi="Palatino Linotype" w:cs="Palatino Linotype"/>
          <w:sz w:val="22"/>
          <w:szCs w:val="22"/>
        </w:rPr>
      </w:pPr>
      <w:r w:rsidRPr="00D365BF">
        <w:rPr>
          <w:rFonts w:ascii="Palatino Linotype" w:eastAsia="Palatino Linotype" w:hAnsi="Palatino Linotype" w:cs="Palatino Linotype"/>
          <w:b/>
          <w:sz w:val="22"/>
          <w:szCs w:val="22"/>
        </w:rPr>
        <w:t>Incompetencia:</w:t>
      </w:r>
      <w:r w:rsidRPr="00D365BF">
        <w:rPr>
          <w:rFonts w:ascii="Palatino Linotype" w:eastAsia="Palatino Linotype" w:hAnsi="Palatino Linotype" w:cs="Palatino Linotype"/>
          <w:sz w:val="22"/>
          <w:szCs w:val="22"/>
        </w:rPr>
        <w:t xml:space="preserve"> Falta de Competencia.</w:t>
      </w:r>
    </w:p>
    <w:p w14:paraId="6E5ED6A7" w14:textId="77777777" w:rsidR="00443F9D" w:rsidRPr="00D365BF" w:rsidRDefault="00443F9D">
      <w:pPr>
        <w:spacing w:line="360" w:lineRule="auto"/>
        <w:jc w:val="both"/>
        <w:rPr>
          <w:rFonts w:ascii="Palatino Linotype" w:eastAsia="Palatino Linotype" w:hAnsi="Palatino Linotype" w:cs="Palatino Linotype"/>
        </w:rPr>
      </w:pPr>
    </w:p>
    <w:p w14:paraId="475DC672"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Por lo que, </w:t>
      </w:r>
      <w:r w:rsidRPr="00D365BF">
        <w:rPr>
          <w:rFonts w:ascii="Palatino Linotype" w:eastAsia="Palatino Linotype" w:hAnsi="Palatino Linotype" w:cs="Palatino Linotype"/>
          <w:b/>
        </w:rPr>
        <w:t>la incompetencia</w:t>
      </w:r>
      <w:r w:rsidRPr="00D365BF">
        <w:rPr>
          <w:rFonts w:ascii="Palatino Linotype" w:eastAsia="Palatino Linotype" w:hAnsi="Palatino Linotype" w:cs="Palatino Linotype"/>
        </w:rPr>
        <w:t xml:space="preserve">,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D365BF">
        <w:rPr>
          <w:rFonts w:ascii="Palatino Linotype" w:eastAsia="Palatino Linotype" w:hAnsi="Palatino Linotype" w:cs="Palatino Linotype"/>
        </w:rPr>
        <w:t>Mayo</w:t>
      </w:r>
      <w:proofErr w:type="gramEnd"/>
      <w:r w:rsidRPr="00D365BF">
        <w:rPr>
          <w:rFonts w:ascii="Palatino Linotype" w:eastAsia="Palatino Linotype" w:hAnsi="Palatino Linotype" w:cs="Palatino Linotype"/>
        </w:rPr>
        <w:t xml:space="preserve"> de 2002, Pág. 1243, ya que precisa lo siguiente: </w:t>
      </w:r>
    </w:p>
    <w:p w14:paraId="7392CDF7" w14:textId="77777777" w:rsidR="00443F9D" w:rsidRPr="00D365BF" w:rsidRDefault="00443F9D">
      <w:pPr>
        <w:spacing w:line="360" w:lineRule="auto"/>
        <w:jc w:val="both"/>
        <w:rPr>
          <w:rFonts w:ascii="Palatino Linotype" w:eastAsia="Palatino Linotype" w:hAnsi="Palatino Linotype" w:cs="Palatino Linotype"/>
        </w:rPr>
      </w:pPr>
    </w:p>
    <w:p w14:paraId="61F472AA" w14:textId="77777777" w:rsidR="00443F9D" w:rsidRPr="00D365BF" w:rsidRDefault="001B2381">
      <w:pPr>
        <w:spacing w:line="276" w:lineRule="auto"/>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 xml:space="preserve">“LEGITIMACIÓN DE FUNCIONARIOS PÚBLICOS. LOS TRIBUNALES DE AMPARO, POR ESTAR VINCULADOS CON EL CONCEPTO DE COMPETENCIA A QUE SE REFIERE EL ARTÍCULO 16 CONSTITUCIONAL, NO PUEDEN CONOCER DE AQUÉLLA. </w:t>
      </w:r>
      <w:r w:rsidRPr="00D365BF">
        <w:rPr>
          <w:rFonts w:ascii="Palatino Linotype" w:eastAsia="Palatino Linotype" w:hAnsi="Palatino Linotype" w:cs="Palatino Linotype"/>
          <w:i/>
          <w:sz w:val="22"/>
          <w:szCs w:val="22"/>
        </w:rPr>
        <w:t>El artículo </w:t>
      </w:r>
      <w:hyperlink r:id="rId25">
        <w:r w:rsidRPr="00D365BF">
          <w:rPr>
            <w:rFonts w:ascii="Palatino Linotype" w:eastAsia="Palatino Linotype" w:hAnsi="Palatino Linotype" w:cs="Palatino Linotype"/>
            <w:i/>
            <w:sz w:val="22"/>
            <w:szCs w:val="22"/>
            <w:u w:val="single"/>
          </w:rPr>
          <w:t>16 constitucional</w:t>
        </w:r>
      </w:hyperlink>
      <w:r w:rsidRPr="00D365BF">
        <w:rPr>
          <w:rFonts w:ascii="Palatino Linotype" w:eastAsia="Palatino Linotype" w:hAnsi="Palatino Linotype" w:cs="Palatino Linotype"/>
          <w:i/>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administrativa.”(Sic)</w:t>
      </w:r>
    </w:p>
    <w:p w14:paraId="79DFE05C" w14:textId="77777777" w:rsidR="00443F9D" w:rsidRPr="00D365BF" w:rsidRDefault="00443F9D">
      <w:pPr>
        <w:spacing w:line="360" w:lineRule="auto"/>
        <w:jc w:val="both"/>
        <w:rPr>
          <w:rFonts w:ascii="Palatino Linotype" w:eastAsia="Palatino Linotype" w:hAnsi="Palatino Linotype" w:cs="Palatino Linotype"/>
        </w:rPr>
      </w:pPr>
    </w:p>
    <w:p w14:paraId="1CAF2C40"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 xml:space="preserve">De la misma manera, resulta necesario traer a colación, el Criterio 13/17, emitido por el Instituto Nacional de Transparencia, Acceso a la Información y Protección de Datos Personales, que dispone lo siguiente: </w:t>
      </w:r>
    </w:p>
    <w:p w14:paraId="07414C6D" w14:textId="77777777" w:rsidR="00443F9D" w:rsidRPr="00D365BF" w:rsidRDefault="00443F9D">
      <w:pPr>
        <w:spacing w:line="360" w:lineRule="auto"/>
        <w:jc w:val="both"/>
        <w:rPr>
          <w:rFonts w:ascii="Palatino Linotype" w:eastAsia="Palatino Linotype" w:hAnsi="Palatino Linotype" w:cs="Palatino Linotype"/>
        </w:rPr>
      </w:pPr>
    </w:p>
    <w:p w14:paraId="6F1D9569" w14:textId="77777777" w:rsidR="00443F9D" w:rsidRPr="00D365BF" w:rsidRDefault="001B2381">
      <w:pPr>
        <w:spacing w:line="276" w:lineRule="auto"/>
        <w:ind w:left="567" w:right="567"/>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 xml:space="preserve">Incompetencia. </w:t>
      </w:r>
      <w:r w:rsidRPr="00D365BF">
        <w:rPr>
          <w:rFonts w:ascii="Palatino Linotype" w:eastAsia="Palatino Linotype" w:hAnsi="Palatino Linotype" w:cs="Palatino Linotype"/>
          <w:i/>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5CF9D69A" w14:textId="77777777" w:rsidR="00443F9D" w:rsidRPr="00D365BF" w:rsidRDefault="00443F9D">
      <w:pPr>
        <w:spacing w:line="360" w:lineRule="auto"/>
        <w:jc w:val="both"/>
        <w:rPr>
          <w:rFonts w:ascii="Palatino Linotype" w:eastAsia="Palatino Linotype" w:hAnsi="Palatino Linotype" w:cs="Palatino Linotype"/>
        </w:rPr>
      </w:pPr>
    </w:p>
    <w:p w14:paraId="77AABCB7"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tal virtud, la </w:t>
      </w:r>
      <w:r w:rsidRPr="00D365BF">
        <w:rPr>
          <w:rFonts w:ascii="Palatino Linotype" w:eastAsia="Palatino Linotype" w:hAnsi="Palatino Linotype" w:cs="Palatino Linotype"/>
          <w:b/>
        </w:rPr>
        <w:t xml:space="preserve">incompetencia </w:t>
      </w:r>
      <w:r w:rsidRPr="00D365BF">
        <w:rPr>
          <w:rFonts w:ascii="Palatino Linotype" w:eastAsia="Palatino Linotype" w:hAnsi="Palatino Linotype" w:cs="Palatino Linotype"/>
        </w:rPr>
        <w:t>implica que, de conformidad con las atribuciones conferidas al sujeto obligado, no habría razón por la cual este deba contar con la información solicitada, en cuyo caso, tendría que orientar al particular para que acuda a la instancia competente.</w:t>
      </w:r>
    </w:p>
    <w:p w14:paraId="6C16B276" w14:textId="77777777" w:rsidR="00443F9D" w:rsidRPr="00D365BF" w:rsidRDefault="00443F9D">
      <w:pPr>
        <w:spacing w:line="360" w:lineRule="auto"/>
        <w:jc w:val="both"/>
        <w:rPr>
          <w:rFonts w:ascii="Palatino Linotype" w:eastAsia="Palatino Linotype" w:hAnsi="Palatino Linotype" w:cs="Palatino Linotype"/>
        </w:rPr>
      </w:pPr>
    </w:p>
    <w:p w14:paraId="3DC94DFB" w14:textId="77777777" w:rsidR="00443F9D" w:rsidRPr="00D365BF" w:rsidRDefault="001B2381">
      <w:pPr>
        <w:tabs>
          <w:tab w:val="left" w:pos="142"/>
          <w:tab w:val="left" w:pos="284"/>
        </w:tabs>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Ahora bien, en cuanto hace a la Declaración de Incompetencia la Ley de Transparencia y Acceso a la Información Pública del Estado de México, establece, en los artículos 49, fracción II y 167, lo siguiente: </w:t>
      </w:r>
    </w:p>
    <w:p w14:paraId="6EC16C6C" w14:textId="77777777" w:rsidR="00443F9D" w:rsidRPr="00D365BF" w:rsidRDefault="00443F9D">
      <w:pPr>
        <w:tabs>
          <w:tab w:val="left" w:pos="142"/>
          <w:tab w:val="left" w:pos="284"/>
        </w:tabs>
        <w:spacing w:line="360" w:lineRule="auto"/>
        <w:jc w:val="both"/>
        <w:rPr>
          <w:rFonts w:ascii="Palatino Linotype" w:eastAsia="Palatino Linotype" w:hAnsi="Palatino Linotype" w:cs="Palatino Linotype"/>
        </w:rPr>
      </w:pPr>
    </w:p>
    <w:p w14:paraId="0D696E10" w14:textId="77777777" w:rsidR="00443F9D" w:rsidRPr="00D365BF" w:rsidRDefault="001B2381">
      <w:pPr>
        <w:tabs>
          <w:tab w:val="left" w:pos="142"/>
          <w:tab w:val="left" w:pos="284"/>
        </w:tabs>
        <w:spacing w:line="276" w:lineRule="auto"/>
        <w:ind w:left="567" w:right="99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Artículo 49.</w:t>
      </w:r>
      <w:r w:rsidRPr="00D365BF">
        <w:rPr>
          <w:rFonts w:ascii="Palatino Linotype" w:eastAsia="Palatino Linotype" w:hAnsi="Palatino Linotype" w:cs="Palatino Linotype"/>
          <w:i/>
          <w:sz w:val="22"/>
          <w:szCs w:val="22"/>
        </w:rPr>
        <w:t xml:space="preserve"> </w:t>
      </w:r>
      <w:r w:rsidRPr="00D365BF">
        <w:rPr>
          <w:rFonts w:ascii="Palatino Linotype" w:eastAsia="Palatino Linotype" w:hAnsi="Palatino Linotype" w:cs="Palatino Linotype"/>
          <w:b/>
          <w:i/>
          <w:sz w:val="22"/>
          <w:szCs w:val="22"/>
        </w:rPr>
        <w:t>Los Comités de Transparencia</w:t>
      </w:r>
      <w:r w:rsidRPr="00D365BF">
        <w:rPr>
          <w:rFonts w:ascii="Palatino Linotype" w:eastAsia="Palatino Linotype" w:hAnsi="Palatino Linotype" w:cs="Palatino Linotype"/>
          <w:i/>
          <w:sz w:val="22"/>
          <w:szCs w:val="22"/>
        </w:rPr>
        <w:t xml:space="preserve"> tendrán las siguientes atribuciones:</w:t>
      </w:r>
    </w:p>
    <w:p w14:paraId="20B014FC" w14:textId="77777777" w:rsidR="00443F9D" w:rsidRPr="00D365BF" w:rsidRDefault="001B2381">
      <w:pPr>
        <w:tabs>
          <w:tab w:val="left" w:pos="142"/>
          <w:tab w:val="left" w:pos="284"/>
        </w:tabs>
        <w:spacing w:line="276" w:lineRule="auto"/>
        <w:ind w:left="567" w:right="990"/>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w:t>
      </w:r>
    </w:p>
    <w:p w14:paraId="1E21D1BA" w14:textId="77777777" w:rsidR="00443F9D" w:rsidRPr="00D365BF" w:rsidRDefault="001B2381">
      <w:pPr>
        <w:tabs>
          <w:tab w:val="left" w:pos="142"/>
          <w:tab w:val="left" w:pos="284"/>
        </w:tabs>
        <w:spacing w:line="276" w:lineRule="auto"/>
        <w:ind w:left="567" w:right="990"/>
        <w:jc w:val="both"/>
        <w:rPr>
          <w:rFonts w:ascii="Palatino Linotype" w:eastAsia="Palatino Linotype" w:hAnsi="Palatino Linotype" w:cs="Palatino Linotype"/>
          <w:b/>
          <w:i/>
          <w:sz w:val="22"/>
          <w:szCs w:val="22"/>
          <w:u w:val="single"/>
        </w:rPr>
      </w:pPr>
      <w:r w:rsidRPr="00D365BF">
        <w:rPr>
          <w:rFonts w:ascii="Palatino Linotype" w:eastAsia="Palatino Linotype" w:hAnsi="Palatino Linotype" w:cs="Palatino Linotype"/>
          <w:b/>
          <w:i/>
          <w:sz w:val="22"/>
          <w:szCs w:val="22"/>
        </w:rPr>
        <w:t>II.</w:t>
      </w:r>
      <w:r w:rsidRPr="00D365BF">
        <w:rPr>
          <w:sz w:val="22"/>
          <w:szCs w:val="22"/>
        </w:rPr>
        <w:t xml:space="preserve"> </w:t>
      </w:r>
      <w:r w:rsidRPr="00D365BF">
        <w:rPr>
          <w:rFonts w:ascii="Palatino Linotype" w:eastAsia="Palatino Linotype" w:hAnsi="Palatino Linotype" w:cs="Palatino Linotype"/>
          <w:b/>
          <w:i/>
          <w:sz w:val="22"/>
          <w:szCs w:val="22"/>
        </w:rPr>
        <w:t>Confirmar, modificar o revocar</w:t>
      </w:r>
      <w:r w:rsidRPr="00D365BF">
        <w:rPr>
          <w:rFonts w:ascii="Palatino Linotype" w:eastAsia="Palatino Linotype" w:hAnsi="Palatino Linotype" w:cs="Palatino Linotype"/>
          <w:i/>
          <w:sz w:val="22"/>
          <w:szCs w:val="22"/>
        </w:rPr>
        <w:t xml:space="preserve"> las determinaciones </w:t>
      </w:r>
      <w:proofErr w:type="gramStart"/>
      <w:r w:rsidRPr="00D365BF">
        <w:rPr>
          <w:rFonts w:ascii="Palatino Linotype" w:eastAsia="Palatino Linotype" w:hAnsi="Palatino Linotype" w:cs="Palatino Linotype"/>
          <w:i/>
          <w:sz w:val="22"/>
          <w:szCs w:val="22"/>
        </w:rPr>
        <w:t>que</w:t>
      </w:r>
      <w:proofErr w:type="gramEnd"/>
      <w:r w:rsidRPr="00D365BF">
        <w:rPr>
          <w:rFonts w:ascii="Palatino Linotype" w:eastAsia="Palatino Linotype" w:hAnsi="Palatino Linotype" w:cs="Palatino Linotype"/>
          <w:i/>
          <w:sz w:val="22"/>
          <w:szCs w:val="22"/>
        </w:rPr>
        <w:t xml:space="preserve"> en materia de ampliación del plazo de respuesta, clasificación de la información </w:t>
      </w:r>
      <w:r w:rsidRPr="00D365BF">
        <w:rPr>
          <w:rFonts w:ascii="Palatino Linotype" w:eastAsia="Palatino Linotype" w:hAnsi="Palatino Linotype" w:cs="Palatino Linotype"/>
          <w:b/>
          <w:i/>
          <w:sz w:val="22"/>
          <w:szCs w:val="22"/>
        </w:rPr>
        <w:t>y declaración</w:t>
      </w:r>
      <w:r w:rsidRPr="00D365BF">
        <w:rPr>
          <w:rFonts w:ascii="Palatino Linotype" w:eastAsia="Palatino Linotype" w:hAnsi="Palatino Linotype" w:cs="Palatino Linotype"/>
          <w:i/>
          <w:sz w:val="22"/>
          <w:szCs w:val="22"/>
        </w:rPr>
        <w:t xml:space="preserve"> de inexistencia o </w:t>
      </w:r>
      <w:r w:rsidRPr="00D365BF">
        <w:rPr>
          <w:rFonts w:ascii="Palatino Linotype" w:eastAsia="Palatino Linotype" w:hAnsi="Palatino Linotype" w:cs="Palatino Linotype"/>
          <w:b/>
          <w:i/>
          <w:sz w:val="22"/>
          <w:szCs w:val="22"/>
        </w:rPr>
        <w:t>de incompetencia realicen los titulares de las áreas de los sujetos obligados;</w:t>
      </w:r>
    </w:p>
    <w:p w14:paraId="12779FAB" w14:textId="77777777" w:rsidR="00443F9D" w:rsidRPr="00D365BF" w:rsidRDefault="001B2381">
      <w:pPr>
        <w:tabs>
          <w:tab w:val="left" w:pos="142"/>
          <w:tab w:val="left" w:pos="284"/>
        </w:tabs>
        <w:spacing w:line="276" w:lineRule="auto"/>
        <w:ind w:left="567" w:right="990"/>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w:t>
      </w:r>
    </w:p>
    <w:p w14:paraId="12352775" w14:textId="77777777" w:rsidR="00443F9D" w:rsidRPr="00D365BF" w:rsidRDefault="001B2381">
      <w:pPr>
        <w:tabs>
          <w:tab w:val="left" w:pos="142"/>
          <w:tab w:val="left" w:pos="284"/>
        </w:tabs>
        <w:spacing w:line="276" w:lineRule="auto"/>
        <w:ind w:left="567" w:right="990"/>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Artículo 167</w:t>
      </w:r>
      <w:r w:rsidRPr="00D365BF">
        <w:rPr>
          <w:rFonts w:ascii="Palatino Linotype" w:eastAsia="Palatino Linotype" w:hAnsi="Palatino Linotype" w:cs="Palatino Linotype"/>
          <w:i/>
          <w:sz w:val="22"/>
          <w:szCs w:val="22"/>
        </w:rPr>
        <w:t xml:space="preserve">. </w:t>
      </w:r>
      <w:r w:rsidRPr="00D365BF">
        <w:rPr>
          <w:rFonts w:ascii="Palatino Linotype" w:eastAsia="Palatino Linotype" w:hAnsi="Palatino Linotype" w:cs="Palatino Linotype"/>
          <w:b/>
          <w:i/>
          <w:sz w:val="22"/>
          <w:szCs w:val="22"/>
        </w:rPr>
        <w:t>Cuando las unidades de transparencia determinen la notoria incompetencia</w:t>
      </w:r>
      <w:r w:rsidRPr="00D365BF">
        <w:rPr>
          <w:rFonts w:ascii="Palatino Linotype" w:eastAsia="Palatino Linotype" w:hAnsi="Palatino Linotype" w:cs="Palatino Linotype"/>
          <w:i/>
          <w:sz w:val="22"/>
          <w:szCs w:val="22"/>
        </w:rPr>
        <w:t xml:space="preserve"> por parte de los sujetos obligados, dentro del ámbito de aplicación, </w:t>
      </w:r>
      <w:r w:rsidRPr="00D365BF">
        <w:rPr>
          <w:rFonts w:ascii="Palatino Linotype" w:eastAsia="Palatino Linotype" w:hAnsi="Palatino Linotype" w:cs="Palatino Linotype"/>
          <w:i/>
          <w:sz w:val="22"/>
          <w:szCs w:val="22"/>
        </w:rPr>
        <w:lastRenderedPageBreak/>
        <w:t xml:space="preserve">para atender la solicitud de acceso a la información, </w:t>
      </w:r>
      <w:r w:rsidRPr="00D365BF">
        <w:rPr>
          <w:rFonts w:ascii="Palatino Linotype" w:eastAsia="Palatino Linotype" w:hAnsi="Palatino Linotype" w:cs="Palatino Linotype"/>
          <w:b/>
          <w:i/>
          <w:sz w:val="22"/>
          <w:szCs w:val="22"/>
        </w:rPr>
        <w:t>deberán comunicarlo al solicitante, dentro de los tres días hábiles posteriores a la recepción de la solicitud</w:t>
      </w:r>
      <w:r w:rsidRPr="00D365BF">
        <w:rPr>
          <w:rFonts w:ascii="Palatino Linotype" w:eastAsia="Palatino Linotype" w:hAnsi="Palatino Linotype" w:cs="Palatino Linotype"/>
          <w:i/>
          <w:sz w:val="22"/>
          <w:szCs w:val="22"/>
        </w:rPr>
        <w:t xml:space="preserve"> y, </w:t>
      </w:r>
      <w:r w:rsidRPr="00D365BF">
        <w:rPr>
          <w:rFonts w:ascii="Palatino Linotype" w:eastAsia="Palatino Linotype" w:hAnsi="Palatino Linotype" w:cs="Palatino Linotype"/>
          <w:b/>
          <w:i/>
          <w:sz w:val="22"/>
          <w:szCs w:val="22"/>
        </w:rPr>
        <w:t>en su caso orientar al solicitante, el o los sujetos obligados competentes.</w:t>
      </w:r>
    </w:p>
    <w:p w14:paraId="1C378028" w14:textId="77777777" w:rsidR="00443F9D" w:rsidRPr="00D365BF" w:rsidRDefault="00443F9D">
      <w:pPr>
        <w:tabs>
          <w:tab w:val="left" w:pos="142"/>
          <w:tab w:val="left" w:pos="284"/>
        </w:tabs>
        <w:spacing w:line="360" w:lineRule="auto"/>
        <w:ind w:left="567" w:right="990"/>
        <w:jc w:val="both"/>
        <w:rPr>
          <w:rFonts w:ascii="Palatino Linotype" w:eastAsia="Palatino Linotype" w:hAnsi="Palatino Linotype" w:cs="Palatino Linotype"/>
          <w:b/>
          <w:i/>
        </w:rPr>
      </w:pPr>
    </w:p>
    <w:p w14:paraId="183C5168" w14:textId="77777777" w:rsidR="00443F9D" w:rsidRPr="00D365BF" w:rsidRDefault="001B2381">
      <w:pPr>
        <w:tabs>
          <w:tab w:val="left" w:pos="142"/>
          <w:tab w:val="left" w:pos="284"/>
        </w:tabs>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obligados competentes. </w:t>
      </w:r>
    </w:p>
    <w:p w14:paraId="5D0BB236" w14:textId="77777777" w:rsidR="00443F9D" w:rsidRPr="00D365BF" w:rsidRDefault="00443F9D">
      <w:pPr>
        <w:tabs>
          <w:tab w:val="left" w:pos="142"/>
          <w:tab w:val="left" w:pos="284"/>
        </w:tabs>
        <w:spacing w:line="360" w:lineRule="auto"/>
        <w:jc w:val="both"/>
        <w:rPr>
          <w:rFonts w:ascii="Palatino Linotype" w:eastAsia="Palatino Linotype" w:hAnsi="Palatino Linotype" w:cs="Palatino Linotype"/>
        </w:rPr>
      </w:pPr>
    </w:p>
    <w:p w14:paraId="24C09AA2" w14:textId="77777777" w:rsidR="00443F9D" w:rsidRPr="00D365BF" w:rsidRDefault="001B2381">
      <w:pPr>
        <w:spacing w:line="360" w:lineRule="auto"/>
        <w:ind w:right="18"/>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Como sustento de lo anterior, resulta aplicable el Criterio 20/20, emitido por el Instituto Nacional de Transparencia, Acceso a la Información, y Protección de Datos Personales, INAI, que lleva por rubro y texto los siguientes:  </w:t>
      </w:r>
    </w:p>
    <w:p w14:paraId="0BF90A9A" w14:textId="77777777" w:rsidR="00443F9D" w:rsidRPr="00D365BF" w:rsidRDefault="00443F9D">
      <w:pPr>
        <w:spacing w:line="360" w:lineRule="auto"/>
        <w:ind w:left="851" w:right="900"/>
        <w:jc w:val="both"/>
        <w:rPr>
          <w:rFonts w:ascii="Palatino Linotype" w:eastAsia="Palatino Linotype" w:hAnsi="Palatino Linotype" w:cs="Palatino Linotype"/>
          <w:b/>
          <w:i/>
        </w:rPr>
      </w:pPr>
    </w:p>
    <w:p w14:paraId="6C186FF0" w14:textId="77777777" w:rsidR="00443F9D" w:rsidRPr="00D365BF" w:rsidRDefault="001B2381">
      <w:pPr>
        <w:spacing w:line="276" w:lineRule="auto"/>
        <w:ind w:left="567" w:right="900"/>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“Declaración de incompetencia por parte del Comité, cuando no sea notoria o manifiesta.</w:t>
      </w:r>
      <w:r w:rsidRPr="00D365BF">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008B3AA9" w14:textId="77777777" w:rsidR="00443F9D" w:rsidRPr="00D365BF" w:rsidRDefault="00443F9D">
      <w:pPr>
        <w:spacing w:line="276" w:lineRule="auto"/>
        <w:ind w:left="567" w:right="900"/>
        <w:jc w:val="both"/>
        <w:rPr>
          <w:rFonts w:ascii="Palatino Linotype" w:eastAsia="Palatino Linotype" w:hAnsi="Palatino Linotype" w:cs="Palatino Linotype"/>
          <w:i/>
          <w:sz w:val="22"/>
          <w:szCs w:val="22"/>
        </w:rPr>
      </w:pPr>
    </w:p>
    <w:p w14:paraId="78560B3B" w14:textId="77777777" w:rsidR="00443F9D" w:rsidRPr="00D365BF" w:rsidRDefault="001B2381">
      <w:pPr>
        <w:tabs>
          <w:tab w:val="left" w:pos="142"/>
          <w:tab w:val="left" w:pos="284"/>
        </w:tabs>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w:t>
      </w:r>
      <w:r w:rsidRPr="00D365BF">
        <w:rPr>
          <w:rFonts w:ascii="Palatino Linotype" w:eastAsia="Palatino Linotype" w:hAnsi="Palatino Linotype" w:cs="Palatino Linotype"/>
        </w:rPr>
        <w:lastRenderedPageBreak/>
        <w:t>aquellos casos en los que exista</w:t>
      </w:r>
      <w:r w:rsidRPr="00D365BF">
        <w:rPr>
          <w:rFonts w:ascii="Palatino Linotype" w:eastAsia="Palatino Linotype" w:hAnsi="Palatino Linotype" w:cs="Palatino Linotype"/>
          <w:b/>
        </w:rPr>
        <w:t xml:space="preserve"> </w:t>
      </w:r>
      <w:r w:rsidRPr="00D365BF">
        <w:rPr>
          <w:rFonts w:ascii="Palatino Linotype" w:eastAsia="Palatino Linotype" w:hAnsi="Palatino Linotype" w:cs="Palatino Linotype"/>
        </w:rPr>
        <w:t>duda razonable sobre la administración del documento materia de la solicitud de información, como se lee enseguida:</w:t>
      </w:r>
    </w:p>
    <w:p w14:paraId="17F9CC3A" w14:textId="77777777" w:rsidR="00443F9D" w:rsidRPr="00D365BF" w:rsidRDefault="00443F9D">
      <w:pPr>
        <w:spacing w:line="360" w:lineRule="auto"/>
        <w:ind w:left="851" w:right="900"/>
        <w:jc w:val="both"/>
        <w:rPr>
          <w:rFonts w:ascii="Palatino Linotype" w:eastAsia="Palatino Linotype" w:hAnsi="Palatino Linotype" w:cs="Palatino Linotype"/>
          <w:b/>
          <w:i/>
        </w:rPr>
      </w:pPr>
    </w:p>
    <w:p w14:paraId="651C7A66" w14:textId="77777777" w:rsidR="00443F9D" w:rsidRPr="00D365BF" w:rsidRDefault="001B2381">
      <w:pPr>
        <w:spacing w:line="276" w:lineRule="auto"/>
        <w:ind w:left="567" w:right="843"/>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D365BF">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D365BF">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D365BF">
        <w:rPr>
          <w:rFonts w:ascii="Palatino Linotype" w:eastAsia="Palatino Linotype" w:hAnsi="Palatino Linotype" w:cs="Palatino Linotype"/>
          <w:b/>
          <w:i/>
          <w:sz w:val="22"/>
          <w:szCs w:val="22"/>
          <w:u w:val="single"/>
        </w:rPr>
        <w:t>impiden determinar dentro del término legal de tres días hábiles</w:t>
      </w:r>
      <w:r w:rsidRPr="00D365BF">
        <w:rPr>
          <w:rFonts w:ascii="Palatino Linotype" w:eastAsia="Palatino Linotype" w:hAnsi="Palatino Linotype" w:cs="Palatino Linotype"/>
          <w:b/>
          <w:i/>
          <w:sz w:val="22"/>
          <w:szCs w:val="22"/>
        </w:rPr>
        <w:t>, si se posee o no la información por el Sujeto Obligado requerid</w:t>
      </w:r>
      <w:r w:rsidRPr="00D365BF">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10909724" w14:textId="77777777" w:rsidR="00443F9D" w:rsidRPr="00D365BF" w:rsidRDefault="00443F9D">
      <w:pPr>
        <w:spacing w:line="360" w:lineRule="auto"/>
        <w:jc w:val="both"/>
        <w:rPr>
          <w:rFonts w:ascii="Palatino Linotype" w:eastAsia="Palatino Linotype" w:hAnsi="Palatino Linotype" w:cs="Palatino Linotype"/>
        </w:rPr>
      </w:pPr>
    </w:p>
    <w:p w14:paraId="1602EBC4" w14:textId="77777777" w:rsidR="00443F9D" w:rsidRPr="00D365BF" w:rsidRDefault="001B2381">
      <w:pPr>
        <w:spacing w:line="360" w:lineRule="auto"/>
        <w:jc w:val="both"/>
        <w:rPr>
          <w:rFonts w:ascii="Palatino Linotype" w:eastAsia="Palatino Linotype" w:hAnsi="Palatino Linotype" w:cs="Palatino Linotype"/>
          <w:b/>
          <w:u w:val="single"/>
        </w:rPr>
      </w:pPr>
      <w:r w:rsidRPr="00D365BF">
        <w:rPr>
          <w:rFonts w:ascii="Palatino Linotype" w:eastAsia="Palatino Linotype" w:hAnsi="Palatino Linotype" w:cs="Palatino Linotype"/>
        </w:rPr>
        <w:t xml:space="preserve">En lo que respecta al presente asunto, se advierte que la solicitud de información fue presentada en fecha </w:t>
      </w:r>
      <w:r w:rsidRPr="00D365BF">
        <w:rPr>
          <w:rFonts w:ascii="Palatino Linotype" w:eastAsia="Palatino Linotype" w:hAnsi="Palatino Linotype" w:cs="Palatino Linotype"/>
          <w:b/>
        </w:rPr>
        <w:t>veintiséis de octubre de dos mil veintidós</w:t>
      </w:r>
      <w:r w:rsidRPr="00D365BF">
        <w:rPr>
          <w:rFonts w:ascii="Palatino Linotype" w:eastAsia="Palatino Linotype" w:hAnsi="Palatino Linotype" w:cs="Palatino Linotype"/>
        </w:rPr>
        <w:t xml:space="preserve"> y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declinó su competencia el </w:t>
      </w:r>
      <w:r w:rsidRPr="00D365BF">
        <w:rPr>
          <w:rFonts w:ascii="Palatino Linotype" w:eastAsia="Palatino Linotype" w:hAnsi="Palatino Linotype" w:cs="Palatino Linotype"/>
          <w:b/>
        </w:rPr>
        <w:t>veinte de diciembre</w:t>
      </w:r>
      <w:r w:rsidRPr="00D365BF">
        <w:rPr>
          <w:rFonts w:ascii="Palatino Linotype" w:eastAsia="Palatino Linotype" w:hAnsi="Palatino Linotype" w:cs="Palatino Linotype"/>
        </w:rPr>
        <w:t xml:space="preserve"> </w:t>
      </w:r>
      <w:r w:rsidRPr="00D365BF">
        <w:rPr>
          <w:rFonts w:ascii="Palatino Linotype" w:eastAsia="Palatino Linotype" w:hAnsi="Palatino Linotype" w:cs="Palatino Linotype"/>
          <w:b/>
        </w:rPr>
        <w:t>del dos mil veintidós</w:t>
      </w:r>
      <w:r w:rsidRPr="00D365BF">
        <w:rPr>
          <w:rFonts w:ascii="Palatino Linotype" w:eastAsia="Palatino Linotype" w:hAnsi="Palatino Linotype" w:cs="Palatino Linotype"/>
        </w:rPr>
        <w:t xml:space="preserve">, </w:t>
      </w:r>
      <w:r w:rsidRPr="00D365BF">
        <w:rPr>
          <w:rFonts w:ascii="Palatino Linotype" w:eastAsia="Palatino Linotype" w:hAnsi="Palatino Linotype" w:cs="Palatino Linotype"/>
        </w:rPr>
        <w:lastRenderedPageBreak/>
        <w:t xml:space="preserve">es decir, al trigésimo séptimo día siguiente a la fecha de presentación de la solicitud de información, es por lo que, </w:t>
      </w:r>
      <w:r w:rsidRPr="00D365BF">
        <w:rPr>
          <w:rFonts w:ascii="Palatino Linotype" w:eastAsia="Palatino Linotype" w:hAnsi="Palatino Linotype" w:cs="Palatino Linotype"/>
          <w:b/>
          <w:u w:val="single"/>
        </w:rPr>
        <w:t>al no haber cumplido con el plazo de tres días</w:t>
      </w:r>
      <w:r w:rsidRPr="00D365BF">
        <w:rPr>
          <w:rFonts w:ascii="Palatino Linotype" w:eastAsia="Palatino Linotype" w:hAnsi="Palatino Linotype" w:cs="Palatino Linotype"/>
        </w:rPr>
        <w:t xml:space="preserve"> que otorga la Ley en la materia para señalar su falta de atribuciones, competencias y funciones para generar y administrar lo solicitado, </w:t>
      </w:r>
      <w:r w:rsidRPr="00D365BF">
        <w:rPr>
          <w:rFonts w:ascii="Palatino Linotype" w:eastAsia="Palatino Linotype" w:hAnsi="Palatino Linotype" w:cs="Palatino Linotype"/>
          <w:b/>
          <w:u w:val="single"/>
        </w:rPr>
        <w:t xml:space="preserve">resulta procedente ordenar una declaratoria formal de incompetencia. </w:t>
      </w:r>
    </w:p>
    <w:p w14:paraId="091B6DB6" w14:textId="77777777" w:rsidR="00443F9D" w:rsidRPr="00D365BF" w:rsidRDefault="001B2381">
      <w:pPr>
        <w:spacing w:before="240" w:after="240" w:line="360" w:lineRule="auto"/>
        <w:jc w:val="both"/>
        <w:rPr>
          <w:rFonts w:ascii="Palatino Linotype" w:eastAsia="Palatino Linotype" w:hAnsi="Palatino Linotype" w:cs="Palatino Linotype"/>
        </w:rPr>
      </w:pPr>
      <w:proofErr w:type="gramStart"/>
      <w:r w:rsidRPr="00D365BF">
        <w:rPr>
          <w:rFonts w:ascii="Palatino Linotype" w:eastAsia="Palatino Linotype" w:hAnsi="Palatino Linotype" w:cs="Palatino Linotype"/>
          <w:b/>
          <w:u w:val="single"/>
        </w:rPr>
        <w:t>Finalmente</w:t>
      </w:r>
      <w:proofErr w:type="gramEnd"/>
      <w:r w:rsidRPr="00D365BF">
        <w:rPr>
          <w:rFonts w:ascii="Palatino Linotype" w:eastAsia="Palatino Linotype" w:hAnsi="Palatino Linotype" w:cs="Palatino Linotype"/>
          <w:b/>
          <w:u w:val="single"/>
        </w:rPr>
        <w:t xml:space="preserve"> en cuanto al requerimiento de información sobre la licencia protección civil</w:t>
      </w:r>
      <w:r w:rsidRPr="00D365BF">
        <w:rPr>
          <w:rFonts w:ascii="Palatino Linotype" w:eastAsia="Palatino Linotype" w:hAnsi="Palatino Linotype" w:cs="Palatino Linotype"/>
        </w:rPr>
        <w:t>, de los de los inmuebles ubicados en circuito Economistas mz1, calle Alberto J. Pani lote 30 A, lote 30 B, lote 30 C y lote 30 D, Esquina González Aparicio y calle Enrique de González Aparicio #5 Fraccionamiento Ciudad Satélite, en Naucalpan de Juárez, Estado de México.</w:t>
      </w:r>
    </w:p>
    <w:p w14:paraId="7C4C98BC"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a través su Coordinador Jurídico adscrito a la Coordinación Municipal de Protección Civil y Bomberos, solicitó al Jefe de Departamento de Verificación y Clausuras, realice una búsqueda exhaustiva y razonable en los archivos físicos y digitales que obren en su departamento a efecto de localizar algún documento emitido por esta Coordinación Municipal de Protección Civil y Bomberos que lleve el nombre de licencia de protección civil, o cualquier otro tipo de licencia o permiso que se haya emitido a favor de los titulares y/o poseedores de los inmuebles ubicados en las siguientes direcciones:</w:t>
      </w:r>
    </w:p>
    <w:p w14:paraId="218C584A" w14:textId="77777777" w:rsidR="00443F9D" w:rsidRPr="00D365BF" w:rsidRDefault="00443F9D">
      <w:pPr>
        <w:spacing w:line="360" w:lineRule="auto"/>
        <w:jc w:val="both"/>
        <w:rPr>
          <w:rFonts w:ascii="Palatino Linotype" w:eastAsia="Palatino Linotype" w:hAnsi="Palatino Linotype" w:cs="Palatino Linotype"/>
        </w:rPr>
      </w:pPr>
    </w:p>
    <w:p w14:paraId="2023C941"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B, lote 30 C y lote 30 D, Esquina González Aparicio.</w:t>
      </w:r>
    </w:p>
    <w:p w14:paraId="17EC8933"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calle Enrique de González Aparicio #5 Fraccionamiento Ciudad Satélite, en Naucalpan de Juárez, Estado de México</w:t>
      </w:r>
    </w:p>
    <w:p w14:paraId="6858210C" w14:textId="77777777" w:rsidR="00443F9D" w:rsidRPr="00D365BF" w:rsidRDefault="00443F9D">
      <w:pPr>
        <w:spacing w:line="360" w:lineRule="auto"/>
        <w:jc w:val="both"/>
        <w:rPr>
          <w:rFonts w:ascii="Palatino Linotype" w:eastAsia="Palatino Linotype" w:hAnsi="Palatino Linotype" w:cs="Palatino Linotype"/>
        </w:rPr>
      </w:pPr>
    </w:p>
    <w:p w14:paraId="17F8BA0E"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Ante ello, Jefe de Departamento de Verificación y Clausuras adscrito a la Coordinación Municipal de Protección Civil y Bomberos, informó que después de una búsqueda exhaustiva y razonable en los archivos de esta Departamento de Verificación y Clausuras no se encontró trámite alguno para la expedición de Dictamen de Condiciones de Seguridad </w:t>
      </w:r>
      <w:proofErr w:type="gramStart"/>
      <w:r w:rsidRPr="00D365BF">
        <w:rPr>
          <w:rFonts w:ascii="Palatino Linotype" w:eastAsia="Palatino Linotype" w:hAnsi="Palatino Linotype" w:cs="Palatino Linotype"/>
        </w:rPr>
        <w:t>por  lo</w:t>
      </w:r>
      <w:proofErr w:type="gramEnd"/>
      <w:r w:rsidRPr="00D365BF">
        <w:rPr>
          <w:rFonts w:ascii="Palatino Linotype" w:eastAsia="Palatino Linotype" w:hAnsi="Palatino Linotype" w:cs="Palatino Linotype"/>
        </w:rPr>
        <w:t xml:space="preserve"> que respecta al año 2022, de los inmuebles:</w:t>
      </w:r>
    </w:p>
    <w:p w14:paraId="3C0665C1" w14:textId="77777777" w:rsidR="00443F9D" w:rsidRPr="00D365BF" w:rsidRDefault="00443F9D">
      <w:pPr>
        <w:spacing w:line="360" w:lineRule="auto"/>
        <w:jc w:val="both"/>
        <w:rPr>
          <w:rFonts w:ascii="Palatino Linotype" w:eastAsia="Palatino Linotype" w:hAnsi="Palatino Linotype" w:cs="Palatino Linotype"/>
        </w:rPr>
      </w:pPr>
    </w:p>
    <w:p w14:paraId="5C7A7F91"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B, lote 30 C y lote 30 D, Esquina González Aparicio.</w:t>
      </w:r>
    </w:p>
    <w:p w14:paraId="627CD170" w14:textId="77777777" w:rsidR="00443F9D" w:rsidRPr="00D365BF" w:rsidRDefault="001B2381">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calle Enrique de González Aparicio #5 Fraccionamiento Ciudad Satélite, en Naucalpan de Juárez, Estado de México</w:t>
      </w:r>
    </w:p>
    <w:p w14:paraId="697BA7E0" w14:textId="77777777" w:rsidR="00443F9D" w:rsidRPr="00D365BF" w:rsidRDefault="00443F9D">
      <w:pPr>
        <w:spacing w:line="360" w:lineRule="auto"/>
        <w:jc w:val="both"/>
        <w:rPr>
          <w:rFonts w:ascii="Palatino Linotype" w:eastAsia="Palatino Linotype" w:hAnsi="Palatino Linotype" w:cs="Palatino Linotype"/>
        </w:rPr>
      </w:pPr>
    </w:p>
    <w:p w14:paraId="47E435AF"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Ahora bien, si bien es cierto que el área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que se pronunció fue la Coordinación Municipal de Protección Civil y Bomberos, que en términos de lo señalado por el artículo 63 fracción XVIII del Reglamento Orgánico de la Administración Pública Municipal de Naucalpan de Juárez, Estado de México, que señala:</w:t>
      </w:r>
    </w:p>
    <w:p w14:paraId="18EC5757" w14:textId="77777777" w:rsidR="00443F9D" w:rsidRPr="00D365BF" w:rsidRDefault="00443F9D">
      <w:pPr>
        <w:spacing w:line="360" w:lineRule="auto"/>
        <w:jc w:val="both"/>
        <w:rPr>
          <w:rFonts w:ascii="Palatino Linotype" w:eastAsia="Palatino Linotype" w:hAnsi="Palatino Linotype" w:cs="Palatino Linotype"/>
        </w:rPr>
      </w:pPr>
    </w:p>
    <w:p w14:paraId="3DDF5323"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“Artículo 63.- La Coordinación Municipal de Protección Civil y Bomberos, estará a cargo de un titular, que se denominará Coordinadora o Coordinador Municipal de Protección Civil y Bomberos y tendrá las siguientes atribuciones: </w:t>
      </w:r>
    </w:p>
    <w:p w14:paraId="3B8537D6"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p>
    <w:p w14:paraId="00BBE995"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XVIII. Emitir el Dictamen de Viabilidad de establecimientos de espectáculos públicos </w:t>
      </w:r>
      <w:r w:rsidRPr="00D365BF">
        <w:rPr>
          <w:rFonts w:ascii="Palatino Linotype" w:eastAsia="Palatino Linotype" w:hAnsi="Palatino Linotype" w:cs="Palatino Linotype"/>
          <w:b/>
          <w:i/>
          <w:sz w:val="22"/>
          <w:szCs w:val="22"/>
        </w:rPr>
        <w:t>e instituciones educativas</w:t>
      </w:r>
      <w:r w:rsidRPr="00D365BF">
        <w:rPr>
          <w:rFonts w:ascii="Palatino Linotype" w:eastAsia="Palatino Linotype" w:hAnsi="Palatino Linotype" w:cs="Palatino Linotype"/>
          <w:i/>
          <w:sz w:val="22"/>
          <w:szCs w:val="22"/>
        </w:rPr>
        <w:t>, que hayan cumplido con las medidas preventivas y de seguridad prevista en el Bando Municipal y demás normatividad aplicable;” (Sic)</w:t>
      </w:r>
    </w:p>
    <w:p w14:paraId="43FCAEA1" w14:textId="77777777" w:rsidR="00443F9D" w:rsidRPr="00D365BF" w:rsidRDefault="00443F9D">
      <w:pPr>
        <w:spacing w:line="360" w:lineRule="auto"/>
        <w:jc w:val="both"/>
        <w:rPr>
          <w:rFonts w:ascii="Palatino Linotype" w:eastAsia="Palatino Linotype" w:hAnsi="Palatino Linotype" w:cs="Palatino Linotype"/>
        </w:rPr>
      </w:pPr>
    </w:p>
    <w:p w14:paraId="4FC4247D"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Siendo el área competente para conocer de la información solicitada por el particular; sin embargo, de una revisión a la solicitud el particular fue omiso en señalar una temporalidad de la información solicitada, por ello, en ejercicio de la facultad de suplencia 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la solicitud, es decir, del veintiséis de octubre de dos mil veintiuno al veintiséis de octubre de dos mil veintidós.</w:t>
      </w:r>
    </w:p>
    <w:p w14:paraId="32B8B816" w14:textId="77777777" w:rsidR="00443F9D" w:rsidRPr="00D365BF" w:rsidRDefault="00443F9D">
      <w:pPr>
        <w:spacing w:line="360" w:lineRule="auto"/>
        <w:jc w:val="both"/>
        <w:rPr>
          <w:rFonts w:ascii="Palatino Linotype" w:eastAsia="Palatino Linotype" w:hAnsi="Palatino Linotype" w:cs="Palatino Linotype"/>
        </w:rPr>
      </w:pPr>
    </w:p>
    <w:p w14:paraId="737AF450"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“Lo anterior se robustece con el criterio de interpretación 03/19 emitido por el Instituto Nacional de Transparencia Acceso a la Información y Protección de Datos Personales, INAI, en el cual es del tenor literal siguiente:</w:t>
      </w:r>
    </w:p>
    <w:p w14:paraId="4EFB9679" w14:textId="77777777" w:rsidR="00443F9D" w:rsidRPr="00D365BF" w:rsidRDefault="001B2381">
      <w:pPr>
        <w:ind w:left="851" w:right="8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24C89213" w14:textId="77777777" w:rsidR="00443F9D" w:rsidRPr="00D365BF" w:rsidRDefault="00443F9D">
      <w:pPr>
        <w:spacing w:line="360" w:lineRule="auto"/>
        <w:jc w:val="both"/>
        <w:rPr>
          <w:rFonts w:ascii="Palatino Linotype" w:eastAsia="Palatino Linotype" w:hAnsi="Palatino Linotype" w:cs="Palatino Linotype"/>
        </w:rPr>
      </w:pPr>
    </w:p>
    <w:p w14:paraId="3D98AEE1"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Establecido lo anterior, del pronunciamiento de la Coordinación Municipal de Protección Civil y Bomberos, se advierte que sólo hizo una búsqueda del año dos mil veintidós, es decir, del primero enero al veintiséis de octubre del año dos mil veintidós, omitiendo la búsqueda del periodo comprendido del veintiséis de octubre al treinta y uno de diciembre del año 2021, de ahí que, su respuesta careció de los principios de congruencia y exhaustividad, en términos del Criterio 02/17, emitido </w:t>
      </w:r>
      <w:r w:rsidRPr="00D365BF">
        <w:rPr>
          <w:rFonts w:ascii="Palatino Linotype" w:eastAsia="Palatino Linotype" w:hAnsi="Palatino Linotype" w:cs="Palatino Linotype"/>
        </w:rPr>
        <w:lastRenderedPageBreak/>
        <w:t>por el Pleno del Instituto Nacional de Transparencia y Acceso a la Información y Protección de Datos Personales, previamente citado.</w:t>
      </w:r>
    </w:p>
    <w:p w14:paraId="2579CE9F" w14:textId="77777777" w:rsidR="00443F9D" w:rsidRPr="00D365BF" w:rsidRDefault="00443F9D">
      <w:pPr>
        <w:spacing w:line="360" w:lineRule="auto"/>
        <w:jc w:val="both"/>
        <w:rPr>
          <w:rFonts w:ascii="Palatino Linotype" w:eastAsia="Palatino Linotype" w:hAnsi="Palatino Linotype" w:cs="Palatino Linotype"/>
        </w:rPr>
      </w:pPr>
    </w:p>
    <w:p w14:paraId="4CF87E48"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Razones por las cuales lo procedente es ordenar una nueva búsqueda exhaustiva y razonable  del documento o documentos en donde conste </w:t>
      </w:r>
      <w:r w:rsidRPr="00D365BF">
        <w:rPr>
          <w:rFonts w:ascii="Palatino Linotype" w:eastAsia="Palatino Linotype" w:hAnsi="Palatino Linotype" w:cs="Palatino Linotype"/>
          <w:b/>
          <w:u w:val="single"/>
        </w:rPr>
        <w:t>la licencia protección civil</w:t>
      </w:r>
      <w:r w:rsidRPr="00D365BF">
        <w:rPr>
          <w:rFonts w:ascii="Palatino Linotype" w:eastAsia="Palatino Linotype" w:hAnsi="Palatino Linotype" w:cs="Palatino Linotype"/>
        </w:rPr>
        <w:t xml:space="preserve">, de los de los inmuebles ubicados en circuito Economistas mz1, calle Alberto J. Pani lote 30 A, lote 30 B, lote 30 C y lote 30 D, Esquina González Aparicio y calle Enrique de González Aparicio #5 Fraccionamiento Ciudad Satélite, en Naucalpan de Juárez, Estado de México, y en versión pública conforme a lo señalado en el presente punto y considerando quinto del presente fallo. </w:t>
      </w:r>
    </w:p>
    <w:p w14:paraId="741165CC" w14:textId="77777777" w:rsidR="00443F9D" w:rsidRPr="00D365BF" w:rsidRDefault="00443F9D">
      <w:pPr>
        <w:spacing w:line="360" w:lineRule="auto"/>
        <w:jc w:val="both"/>
        <w:rPr>
          <w:rFonts w:ascii="Palatino Linotype" w:eastAsia="Palatino Linotype" w:hAnsi="Palatino Linotype" w:cs="Palatino Linotype"/>
        </w:rPr>
      </w:pPr>
    </w:p>
    <w:p w14:paraId="5A7B348D"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 xml:space="preserve">Quinto. Versión Pública. </w:t>
      </w:r>
      <w:r w:rsidRPr="00D365BF">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xml:space="preserve"> sin menoscabar el derecho a la protección de los datos personales de terceros.</w:t>
      </w:r>
    </w:p>
    <w:p w14:paraId="439BDF5D" w14:textId="77777777" w:rsidR="00443F9D" w:rsidRPr="00D365BF" w:rsidRDefault="001B2381">
      <w:pPr>
        <w:spacing w:before="240" w:after="240" w:line="360" w:lineRule="auto"/>
        <w:ind w:right="50"/>
        <w:jc w:val="both"/>
        <w:rPr>
          <w:rFonts w:ascii="Palatino Linotype" w:eastAsia="Palatino Linotype" w:hAnsi="Palatino Linotype" w:cs="Palatino Linotype"/>
        </w:rPr>
      </w:pPr>
      <w:r w:rsidRPr="00D365BF">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DD4B9F7" w14:textId="77777777" w:rsidR="00443F9D" w:rsidRPr="00D365BF" w:rsidRDefault="001B2381">
      <w:pPr>
        <w:ind w:left="993" w:right="1041"/>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lastRenderedPageBreak/>
        <w:t xml:space="preserve"> “Artículo 3. Para los efectos de la presente Ley se entenderá por:</w:t>
      </w:r>
    </w:p>
    <w:p w14:paraId="74EF27FF" w14:textId="77777777" w:rsidR="00443F9D" w:rsidRPr="00D365BF" w:rsidRDefault="001B2381">
      <w:pPr>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IX. Datos personales:</w:t>
      </w:r>
      <w:r w:rsidRPr="00D365BF">
        <w:rPr>
          <w:rFonts w:ascii="Palatino Linotype" w:eastAsia="Palatino Linotype" w:hAnsi="Palatino Linotype" w:cs="Palatino Linotype"/>
          <w:i/>
          <w:sz w:val="22"/>
          <w:szCs w:val="22"/>
        </w:rPr>
        <w:t xml:space="preserve"> </w:t>
      </w:r>
      <w:r w:rsidRPr="00D365BF">
        <w:rPr>
          <w:rFonts w:ascii="Palatino Linotype" w:eastAsia="Palatino Linotype" w:hAnsi="Palatino Linotype" w:cs="Palatino Linotype"/>
          <w:b/>
          <w:i/>
          <w:sz w:val="22"/>
          <w:szCs w:val="22"/>
        </w:rPr>
        <w:t>La información concerniente a una persona, identificada o identificable</w:t>
      </w:r>
      <w:r w:rsidRPr="00D365BF">
        <w:rPr>
          <w:rFonts w:ascii="Palatino Linotype" w:eastAsia="Palatino Linotype" w:hAnsi="Palatino Linotype" w:cs="Palatino Linotype"/>
          <w:i/>
          <w:sz w:val="22"/>
          <w:szCs w:val="22"/>
        </w:rPr>
        <w:t xml:space="preserve"> según lo dispuesto por la Ley de Protección de Datos Personales del Estado de México;</w:t>
      </w:r>
    </w:p>
    <w:p w14:paraId="15DE57BA" w14:textId="77777777" w:rsidR="00443F9D" w:rsidRPr="00D365BF" w:rsidRDefault="001B2381">
      <w:pPr>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XX. Información clasificada:</w:t>
      </w:r>
      <w:r w:rsidRPr="00D365BF">
        <w:rPr>
          <w:rFonts w:ascii="Palatino Linotype" w:eastAsia="Palatino Linotype" w:hAnsi="Palatino Linotype" w:cs="Palatino Linotype"/>
          <w:i/>
          <w:sz w:val="22"/>
          <w:szCs w:val="22"/>
        </w:rPr>
        <w:t xml:space="preserve"> Aquella considerada por la presente Ley como reservada o confidencial;</w:t>
      </w:r>
    </w:p>
    <w:p w14:paraId="0DD8383D" w14:textId="77777777" w:rsidR="00443F9D" w:rsidRPr="00D365BF" w:rsidRDefault="001B2381">
      <w:pPr>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XXXII. Protección de Datos Personales:</w:t>
      </w:r>
      <w:r w:rsidRPr="00D365BF">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AF24272" w14:textId="77777777" w:rsidR="00443F9D" w:rsidRPr="00D365BF" w:rsidRDefault="001B2381">
      <w:pPr>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XLV. Versión pública</w:t>
      </w:r>
      <w:r w:rsidRPr="00D365B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AEBD16C" w14:textId="77777777" w:rsidR="00443F9D" w:rsidRPr="00D365BF" w:rsidRDefault="00443F9D">
      <w:pPr>
        <w:ind w:left="993" w:right="1041"/>
        <w:jc w:val="both"/>
        <w:rPr>
          <w:rFonts w:ascii="Palatino Linotype" w:eastAsia="Palatino Linotype" w:hAnsi="Palatino Linotype" w:cs="Palatino Linotype"/>
          <w:i/>
          <w:sz w:val="22"/>
          <w:szCs w:val="22"/>
        </w:rPr>
      </w:pPr>
    </w:p>
    <w:p w14:paraId="43CE1D69" w14:textId="77777777" w:rsidR="00443F9D" w:rsidRPr="00D365BF" w:rsidRDefault="001B2381">
      <w:pPr>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“Artículo 6.</w:t>
      </w:r>
      <w:r w:rsidRPr="00D365BF">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54B24AD" w14:textId="77777777" w:rsidR="00443F9D" w:rsidRPr="00D365BF" w:rsidRDefault="00443F9D">
      <w:pPr>
        <w:ind w:left="993" w:right="1041"/>
        <w:jc w:val="both"/>
        <w:rPr>
          <w:rFonts w:ascii="Palatino Linotype" w:eastAsia="Palatino Linotype" w:hAnsi="Palatino Linotype" w:cs="Palatino Linotype"/>
          <w:i/>
          <w:sz w:val="22"/>
          <w:szCs w:val="22"/>
        </w:rPr>
      </w:pPr>
    </w:p>
    <w:p w14:paraId="3ECAF164" w14:textId="77777777" w:rsidR="00443F9D" w:rsidRPr="00D365BF" w:rsidRDefault="001B2381">
      <w:pPr>
        <w:ind w:left="993" w:right="1041"/>
        <w:jc w:val="both"/>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“Artículo 137.</w:t>
      </w:r>
      <w:r w:rsidRPr="00D365B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A9B5C6D" w14:textId="77777777" w:rsidR="00443F9D" w:rsidRPr="00D365BF" w:rsidRDefault="00443F9D">
      <w:pPr>
        <w:ind w:left="993" w:right="1041"/>
        <w:jc w:val="both"/>
        <w:rPr>
          <w:rFonts w:ascii="Palatino Linotype" w:eastAsia="Palatino Linotype" w:hAnsi="Palatino Linotype" w:cs="Palatino Linotype"/>
          <w:b/>
          <w:i/>
          <w:sz w:val="22"/>
          <w:szCs w:val="22"/>
        </w:rPr>
      </w:pPr>
    </w:p>
    <w:p w14:paraId="053585F0" w14:textId="77777777" w:rsidR="00443F9D" w:rsidRPr="00D365BF" w:rsidRDefault="001B2381">
      <w:pPr>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“Artículo 143</w:t>
      </w:r>
      <w:r w:rsidRPr="00D365B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15FEE79" w14:textId="77777777" w:rsidR="00443F9D" w:rsidRPr="00D365BF" w:rsidRDefault="001B2381">
      <w:pPr>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I.</w:t>
      </w:r>
      <w:r w:rsidRPr="00D365BF">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84C9132" w14:textId="77777777" w:rsidR="00443F9D" w:rsidRPr="00D365BF" w:rsidRDefault="001B2381">
      <w:pPr>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C6ADABD" w14:textId="77777777" w:rsidR="00443F9D" w:rsidRPr="00D365BF" w:rsidRDefault="001B2381">
      <w:pPr>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A5691FA" w14:textId="77777777" w:rsidR="00443F9D" w:rsidRPr="00D365BF" w:rsidRDefault="00443F9D">
      <w:pPr>
        <w:ind w:left="993" w:right="1041"/>
        <w:jc w:val="both"/>
        <w:rPr>
          <w:rFonts w:ascii="Palatino Linotype" w:eastAsia="Palatino Linotype" w:hAnsi="Palatino Linotype" w:cs="Palatino Linotype"/>
          <w:i/>
          <w:sz w:val="22"/>
          <w:szCs w:val="22"/>
        </w:rPr>
      </w:pPr>
    </w:p>
    <w:p w14:paraId="562AED79" w14:textId="77777777" w:rsidR="00443F9D" w:rsidRPr="00D365BF" w:rsidRDefault="001B2381">
      <w:pPr>
        <w:spacing w:line="360" w:lineRule="auto"/>
        <w:ind w:right="51"/>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para satisfacer el derecho de acceso a la información pública de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7E52A00" w14:textId="77777777" w:rsidR="00443F9D" w:rsidRPr="00D365BF" w:rsidRDefault="00443F9D">
      <w:pPr>
        <w:spacing w:line="360" w:lineRule="auto"/>
        <w:ind w:right="51"/>
        <w:jc w:val="both"/>
        <w:rPr>
          <w:rFonts w:ascii="Palatino Linotype" w:eastAsia="Palatino Linotype" w:hAnsi="Palatino Linotype" w:cs="Palatino Linotype"/>
        </w:rPr>
      </w:pPr>
    </w:p>
    <w:p w14:paraId="3D89232F" w14:textId="77777777" w:rsidR="00443F9D" w:rsidRPr="00D365BF" w:rsidRDefault="001B2381">
      <w:pPr>
        <w:spacing w:line="360" w:lineRule="auto"/>
        <w:ind w:right="50"/>
        <w:jc w:val="both"/>
        <w:rPr>
          <w:rFonts w:ascii="Palatino Linotype" w:eastAsia="Palatino Linotype" w:hAnsi="Palatino Linotype" w:cs="Palatino Linotype"/>
        </w:rPr>
      </w:pPr>
      <w:r w:rsidRPr="00D365B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1178C1A" w14:textId="77777777" w:rsidR="00443F9D" w:rsidRPr="00D365BF" w:rsidRDefault="00443F9D">
      <w:pPr>
        <w:spacing w:line="360" w:lineRule="auto"/>
        <w:ind w:right="50"/>
        <w:jc w:val="both"/>
        <w:rPr>
          <w:rFonts w:ascii="Palatino Linotype" w:eastAsia="Palatino Linotype" w:hAnsi="Palatino Linotype" w:cs="Palatino Linotype"/>
        </w:rPr>
      </w:pPr>
    </w:p>
    <w:p w14:paraId="0F66ACF8" w14:textId="77777777" w:rsidR="00443F9D" w:rsidRPr="00D365BF" w:rsidRDefault="001B2381">
      <w:pPr>
        <w:spacing w:line="360" w:lineRule="auto"/>
        <w:ind w:right="51"/>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D365BF">
        <w:rPr>
          <w:rFonts w:ascii="Palatino Linotype" w:eastAsia="Palatino Linotype" w:hAnsi="Palatino Linotype" w:cs="Palatino Linotype"/>
        </w:rPr>
        <w:t>Responsable</w:t>
      </w:r>
      <w:proofErr w:type="gramEnd"/>
      <w:r w:rsidRPr="00D365BF">
        <w:rPr>
          <w:rFonts w:ascii="Palatino Linotype" w:eastAsia="Palatino Linotype" w:hAnsi="Palatino Linotype" w:cs="Palatino Linotype"/>
        </w:rPr>
        <w:t xml:space="preserve"> de la Unidad de Transparencia del Sujeto Obligado, sino que ello deberá realizarse en términos de </w:t>
      </w:r>
      <w:r w:rsidRPr="00D365BF">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14:paraId="710672AB" w14:textId="77777777" w:rsidR="00443F9D" w:rsidRPr="00D365BF" w:rsidRDefault="00443F9D">
      <w:pPr>
        <w:spacing w:line="360" w:lineRule="auto"/>
        <w:ind w:right="51"/>
        <w:jc w:val="both"/>
        <w:rPr>
          <w:rFonts w:ascii="Palatino Linotype" w:eastAsia="Palatino Linotype" w:hAnsi="Palatino Linotype" w:cs="Palatino Linotype"/>
        </w:rPr>
      </w:pPr>
    </w:p>
    <w:p w14:paraId="1F69FC64" w14:textId="77777777" w:rsidR="00443F9D" w:rsidRPr="00D365BF" w:rsidRDefault="001B2381">
      <w:pPr>
        <w:ind w:left="992" w:right="1043"/>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“Artículo 49.</w:t>
      </w:r>
      <w:r w:rsidRPr="00D365BF">
        <w:rPr>
          <w:rFonts w:ascii="Palatino Linotype" w:eastAsia="Palatino Linotype" w:hAnsi="Palatino Linotype" w:cs="Palatino Linotype"/>
          <w:i/>
          <w:sz w:val="22"/>
          <w:szCs w:val="22"/>
        </w:rPr>
        <w:t xml:space="preserve"> </w:t>
      </w:r>
      <w:r w:rsidRPr="00D365BF">
        <w:rPr>
          <w:rFonts w:ascii="Palatino Linotype" w:eastAsia="Palatino Linotype" w:hAnsi="Palatino Linotype" w:cs="Palatino Linotype"/>
          <w:b/>
          <w:i/>
          <w:sz w:val="22"/>
          <w:szCs w:val="22"/>
        </w:rPr>
        <w:t>Los Comités de Transparencia</w:t>
      </w:r>
      <w:r w:rsidRPr="00D365BF">
        <w:rPr>
          <w:rFonts w:ascii="Palatino Linotype" w:eastAsia="Palatino Linotype" w:hAnsi="Palatino Linotype" w:cs="Palatino Linotype"/>
          <w:i/>
          <w:sz w:val="22"/>
          <w:szCs w:val="22"/>
        </w:rPr>
        <w:t xml:space="preserve"> tendrán las siguientes atribuciones:</w:t>
      </w:r>
    </w:p>
    <w:p w14:paraId="40043BF4" w14:textId="77777777" w:rsidR="00443F9D" w:rsidRPr="00D365BF" w:rsidRDefault="001B2381">
      <w:pPr>
        <w:ind w:left="992" w:right="1043"/>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VIII. Aprobar, modificar o revocar la clasificación de la información</w:t>
      </w:r>
      <w:r w:rsidRPr="00D365BF">
        <w:rPr>
          <w:rFonts w:ascii="Palatino Linotype" w:eastAsia="Palatino Linotype" w:hAnsi="Palatino Linotype" w:cs="Palatino Linotype"/>
          <w:i/>
          <w:sz w:val="22"/>
          <w:szCs w:val="22"/>
        </w:rPr>
        <w:t>…”</w:t>
      </w:r>
    </w:p>
    <w:p w14:paraId="7D7CDF3F" w14:textId="77777777" w:rsidR="00443F9D" w:rsidRPr="00D365BF" w:rsidRDefault="001B2381">
      <w:pPr>
        <w:ind w:left="992" w:right="1043"/>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w:t>
      </w:r>
      <w:r w:rsidRPr="00D365BF">
        <w:rPr>
          <w:rFonts w:ascii="Palatino Linotype" w:eastAsia="Palatino Linotype" w:hAnsi="Palatino Linotype" w:cs="Palatino Linotype"/>
          <w:b/>
          <w:i/>
          <w:sz w:val="22"/>
          <w:szCs w:val="22"/>
        </w:rPr>
        <w:t>Artículo 53.</w:t>
      </w:r>
      <w:r w:rsidRPr="00D365BF">
        <w:rPr>
          <w:rFonts w:ascii="Palatino Linotype" w:eastAsia="Palatino Linotype" w:hAnsi="Palatino Linotype" w:cs="Palatino Linotype"/>
          <w:i/>
          <w:sz w:val="22"/>
          <w:szCs w:val="22"/>
        </w:rPr>
        <w:t xml:space="preserve"> Las </w:t>
      </w:r>
      <w:r w:rsidRPr="00D365BF">
        <w:rPr>
          <w:rFonts w:ascii="Palatino Linotype" w:eastAsia="Palatino Linotype" w:hAnsi="Palatino Linotype" w:cs="Palatino Linotype"/>
          <w:b/>
          <w:i/>
          <w:sz w:val="22"/>
          <w:szCs w:val="22"/>
        </w:rPr>
        <w:t>Unidades de Transparencia</w:t>
      </w:r>
      <w:r w:rsidRPr="00D365BF">
        <w:rPr>
          <w:rFonts w:ascii="Palatino Linotype" w:eastAsia="Palatino Linotype" w:hAnsi="Palatino Linotype" w:cs="Palatino Linotype"/>
          <w:i/>
          <w:sz w:val="22"/>
          <w:szCs w:val="22"/>
        </w:rPr>
        <w:t xml:space="preserve"> tendrán las siguientes </w:t>
      </w:r>
      <w:r w:rsidRPr="00D365BF">
        <w:rPr>
          <w:rFonts w:ascii="Palatino Linotype" w:eastAsia="Palatino Linotype" w:hAnsi="Palatino Linotype" w:cs="Palatino Linotype"/>
          <w:b/>
          <w:i/>
          <w:sz w:val="22"/>
          <w:szCs w:val="22"/>
        </w:rPr>
        <w:t>funciones</w:t>
      </w:r>
      <w:r w:rsidRPr="00D365BF">
        <w:rPr>
          <w:rFonts w:ascii="Palatino Linotype" w:eastAsia="Palatino Linotype" w:hAnsi="Palatino Linotype" w:cs="Palatino Linotype"/>
          <w:i/>
          <w:sz w:val="22"/>
          <w:szCs w:val="22"/>
        </w:rPr>
        <w:t>:</w:t>
      </w:r>
    </w:p>
    <w:p w14:paraId="3A8D6B66" w14:textId="77777777" w:rsidR="00443F9D" w:rsidRPr="00D365BF" w:rsidRDefault="001B2381">
      <w:pPr>
        <w:ind w:left="992" w:right="1043"/>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X. Presentar ante el Comité, el proyecto de clasificación de información</w:t>
      </w:r>
      <w:r w:rsidRPr="00D365BF">
        <w:rPr>
          <w:rFonts w:ascii="Palatino Linotype" w:eastAsia="Palatino Linotype" w:hAnsi="Palatino Linotype" w:cs="Palatino Linotype"/>
          <w:i/>
          <w:sz w:val="22"/>
          <w:szCs w:val="22"/>
        </w:rPr>
        <w:t xml:space="preserve">…” </w:t>
      </w:r>
    </w:p>
    <w:p w14:paraId="5E5DF71A" w14:textId="77777777" w:rsidR="00443F9D" w:rsidRPr="00D365BF" w:rsidRDefault="001B2381">
      <w:pPr>
        <w:ind w:left="992" w:right="1043"/>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“Artículo 59.</w:t>
      </w:r>
      <w:r w:rsidRPr="00D365BF">
        <w:rPr>
          <w:rFonts w:ascii="Palatino Linotype" w:eastAsia="Palatino Linotype" w:hAnsi="Palatino Linotype" w:cs="Palatino Linotype"/>
          <w:i/>
          <w:sz w:val="22"/>
          <w:szCs w:val="22"/>
        </w:rPr>
        <w:t xml:space="preserve"> Los </w:t>
      </w:r>
      <w:r w:rsidRPr="00D365BF">
        <w:rPr>
          <w:rFonts w:ascii="Palatino Linotype" w:eastAsia="Palatino Linotype" w:hAnsi="Palatino Linotype" w:cs="Palatino Linotype"/>
          <w:b/>
          <w:i/>
          <w:sz w:val="22"/>
          <w:szCs w:val="22"/>
        </w:rPr>
        <w:t>servidores públicos habilitados</w:t>
      </w:r>
      <w:r w:rsidRPr="00D365BF">
        <w:rPr>
          <w:rFonts w:ascii="Palatino Linotype" w:eastAsia="Palatino Linotype" w:hAnsi="Palatino Linotype" w:cs="Palatino Linotype"/>
          <w:i/>
          <w:sz w:val="22"/>
          <w:szCs w:val="22"/>
        </w:rPr>
        <w:t xml:space="preserve"> tendrán las </w:t>
      </w:r>
      <w:r w:rsidRPr="00D365BF">
        <w:rPr>
          <w:rFonts w:ascii="Palatino Linotype" w:eastAsia="Palatino Linotype" w:hAnsi="Palatino Linotype" w:cs="Palatino Linotype"/>
          <w:b/>
          <w:i/>
          <w:sz w:val="22"/>
          <w:szCs w:val="22"/>
        </w:rPr>
        <w:t>funciones</w:t>
      </w:r>
      <w:r w:rsidRPr="00D365BF">
        <w:rPr>
          <w:rFonts w:ascii="Palatino Linotype" w:eastAsia="Palatino Linotype" w:hAnsi="Palatino Linotype" w:cs="Palatino Linotype"/>
          <w:i/>
          <w:sz w:val="22"/>
          <w:szCs w:val="22"/>
        </w:rPr>
        <w:t xml:space="preserve"> siguientes:</w:t>
      </w:r>
    </w:p>
    <w:p w14:paraId="55DD927C" w14:textId="77777777" w:rsidR="00443F9D" w:rsidRPr="00D365BF" w:rsidRDefault="001B2381">
      <w:pPr>
        <w:ind w:left="992" w:right="1043"/>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365BF">
        <w:rPr>
          <w:rFonts w:ascii="Palatino Linotype" w:eastAsia="Palatino Linotype" w:hAnsi="Palatino Linotype" w:cs="Palatino Linotype"/>
          <w:i/>
          <w:sz w:val="22"/>
          <w:szCs w:val="22"/>
        </w:rPr>
        <w:t>, la cual tendrá los fundamentos y argumentos en que se basa dicha propuesta</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30498A6C" w14:textId="77777777" w:rsidR="00443F9D" w:rsidRPr="00D365BF" w:rsidRDefault="00443F9D">
      <w:pPr>
        <w:ind w:left="992" w:right="1043"/>
        <w:jc w:val="both"/>
        <w:rPr>
          <w:rFonts w:ascii="Palatino Linotype" w:eastAsia="Palatino Linotype" w:hAnsi="Palatino Linotype" w:cs="Palatino Linotype"/>
          <w:i/>
          <w:sz w:val="22"/>
          <w:szCs w:val="22"/>
        </w:rPr>
      </w:pPr>
    </w:p>
    <w:p w14:paraId="10500FE1"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A7DD884" w14:textId="77777777" w:rsidR="00443F9D" w:rsidRPr="00D365BF" w:rsidRDefault="00443F9D">
      <w:pPr>
        <w:spacing w:line="360" w:lineRule="auto"/>
        <w:jc w:val="both"/>
        <w:rPr>
          <w:rFonts w:ascii="Palatino Linotype" w:eastAsia="Palatino Linotype" w:hAnsi="Palatino Linotype" w:cs="Palatino Linotype"/>
        </w:rPr>
      </w:pPr>
    </w:p>
    <w:p w14:paraId="78E83F7A"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0D8315F" w14:textId="77777777" w:rsidR="00443F9D" w:rsidRPr="00D365BF" w:rsidRDefault="00443F9D">
      <w:pPr>
        <w:spacing w:line="360" w:lineRule="auto"/>
        <w:jc w:val="both"/>
        <w:rPr>
          <w:rFonts w:ascii="Palatino Linotype" w:eastAsia="Palatino Linotype" w:hAnsi="Palatino Linotype" w:cs="Palatino Linotype"/>
        </w:rPr>
      </w:pPr>
    </w:p>
    <w:p w14:paraId="00EABB58" w14:textId="77777777" w:rsidR="00443F9D" w:rsidRPr="00D365BF" w:rsidRDefault="001B2381">
      <w:pPr>
        <w:spacing w:after="240"/>
        <w:ind w:left="993" w:right="104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lastRenderedPageBreak/>
        <w:t>“</w:t>
      </w:r>
      <w:r w:rsidRPr="00D365BF">
        <w:rPr>
          <w:rFonts w:ascii="Palatino Linotype" w:eastAsia="Palatino Linotype" w:hAnsi="Palatino Linotype" w:cs="Palatino Linotype"/>
          <w:b/>
          <w:i/>
          <w:sz w:val="22"/>
          <w:szCs w:val="22"/>
        </w:rPr>
        <w:t>Artículo 149.</w:t>
      </w:r>
      <w:r w:rsidRPr="00D365BF">
        <w:rPr>
          <w:rFonts w:ascii="Palatino Linotype" w:eastAsia="Palatino Linotype" w:hAnsi="Palatino Linotype" w:cs="Palatino Linotype"/>
          <w:i/>
          <w:sz w:val="22"/>
          <w:szCs w:val="22"/>
        </w:rPr>
        <w:t xml:space="preserve"> El </w:t>
      </w:r>
      <w:r w:rsidRPr="00D365BF">
        <w:rPr>
          <w:rFonts w:ascii="Palatino Linotype" w:eastAsia="Palatino Linotype" w:hAnsi="Palatino Linotype" w:cs="Palatino Linotype"/>
          <w:b/>
          <w:i/>
          <w:sz w:val="22"/>
          <w:szCs w:val="22"/>
        </w:rPr>
        <w:t>acuerdo que clasifique la información como confidencial</w:t>
      </w:r>
      <w:r w:rsidRPr="00D365B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D365BF">
        <w:rPr>
          <w:rFonts w:ascii="Palatino Linotype" w:eastAsia="Palatino Linotype" w:hAnsi="Palatino Linotype" w:cs="Palatino Linotype"/>
          <w:i/>
          <w:sz w:val="22"/>
          <w:szCs w:val="22"/>
        </w:rPr>
        <w:t>.”(</w:t>
      </w:r>
      <w:proofErr w:type="gramEnd"/>
      <w:r w:rsidRPr="00D365BF">
        <w:rPr>
          <w:rFonts w:ascii="Palatino Linotype" w:eastAsia="Palatino Linotype" w:hAnsi="Palatino Linotype" w:cs="Palatino Linotype"/>
          <w:i/>
          <w:sz w:val="22"/>
          <w:szCs w:val="22"/>
        </w:rPr>
        <w:t>Sic)</w:t>
      </w:r>
    </w:p>
    <w:p w14:paraId="4821CA6E" w14:textId="77777777" w:rsidR="00443F9D" w:rsidRPr="00D365BF" w:rsidRDefault="00443F9D">
      <w:pPr>
        <w:spacing w:before="240" w:line="360" w:lineRule="auto"/>
        <w:ind w:right="51"/>
        <w:jc w:val="both"/>
        <w:rPr>
          <w:rFonts w:ascii="Palatino Linotype" w:eastAsia="Palatino Linotype" w:hAnsi="Palatino Linotype" w:cs="Palatino Linotype"/>
          <w:i/>
          <w:sz w:val="22"/>
          <w:szCs w:val="22"/>
        </w:rPr>
      </w:pPr>
    </w:p>
    <w:p w14:paraId="535FAA6C" w14:textId="77777777" w:rsidR="00443F9D" w:rsidRPr="00D365BF" w:rsidRDefault="001B2381">
      <w:pPr>
        <w:spacing w:line="360" w:lineRule="auto"/>
        <w:ind w:right="51"/>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Es decir,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819D544" w14:textId="77777777" w:rsidR="00443F9D" w:rsidRPr="00D365BF" w:rsidRDefault="00443F9D">
      <w:pPr>
        <w:spacing w:line="360" w:lineRule="auto"/>
        <w:jc w:val="both"/>
        <w:rPr>
          <w:rFonts w:ascii="Palatino Linotype" w:eastAsia="Palatino Linotype" w:hAnsi="Palatino Linotype" w:cs="Palatino Linotype"/>
        </w:rPr>
      </w:pPr>
    </w:p>
    <w:p w14:paraId="321757FD"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Al respecto, se destaca que la versión pública que elabore 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365BF">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365BF">
        <w:rPr>
          <w:rFonts w:ascii="Palatino Linotype" w:eastAsia="Palatino Linotype" w:hAnsi="Palatino Linotype" w:cs="Palatino Linotype"/>
        </w:rPr>
        <w:t xml:space="preserve">, publicados en el Diario Oficial de </w:t>
      </w:r>
      <w:r w:rsidRPr="00D365BF">
        <w:rPr>
          <w:rFonts w:ascii="Palatino Linotype" w:eastAsia="Palatino Linotype" w:hAnsi="Palatino Linotype" w:cs="Palatino Linotype"/>
        </w:rPr>
        <w:lastRenderedPageBreak/>
        <w:t>la Federación en fecha dieciocho de noviembre del año dos mil veintidós, mediante Acuerdo del Consejo Nacional del Sistema Nacional de Transparencia, Acceso a la Información Pública y Protección de Datos Personales, que literalmente expresan:</w:t>
      </w:r>
    </w:p>
    <w:p w14:paraId="449746EC" w14:textId="77777777" w:rsidR="00443F9D" w:rsidRPr="00D365BF" w:rsidRDefault="00443F9D">
      <w:pPr>
        <w:ind w:left="709" w:right="709"/>
        <w:jc w:val="both"/>
        <w:rPr>
          <w:rFonts w:ascii="Palatino Linotype" w:eastAsia="Palatino Linotype" w:hAnsi="Palatino Linotype" w:cs="Palatino Linotype"/>
          <w:b/>
          <w:i/>
          <w:sz w:val="22"/>
          <w:szCs w:val="22"/>
        </w:rPr>
      </w:pPr>
    </w:p>
    <w:p w14:paraId="7A88A68B"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76A2864"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i/>
          <w:sz w:val="22"/>
          <w:szCs w:val="22"/>
        </w:rPr>
        <w:t>“</w:t>
      </w:r>
      <w:proofErr w:type="gramStart"/>
      <w:r w:rsidRPr="00D365BF">
        <w:rPr>
          <w:rFonts w:ascii="Palatino Linotype" w:eastAsia="Palatino Linotype" w:hAnsi="Palatino Linotype" w:cs="Palatino Linotype"/>
          <w:b/>
          <w:i/>
          <w:sz w:val="22"/>
          <w:szCs w:val="22"/>
        </w:rPr>
        <w:t>Segundo.-</w:t>
      </w:r>
      <w:proofErr w:type="gramEnd"/>
      <w:r w:rsidRPr="00D365BF">
        <w:rPr>
          <w:rFonts w:ascii="Palatino Linotype" w:eastAsia="Palatino Linotype" w:hAnsi="Palatino Linotype" w:cs="Palatino Linotype"/>
          <w:i/>
          <w:sz w:val="22"/>
          <w:szCs w:val="22"/>
        </w:rPr>
        <w:t xml:space="preserve"> Para efectos de los presentes Lineamientos Generales, se entenderá por:</w:t>
      </w:r>
    </w:p>
    <w:p w14:paraId="6E9C74F1"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XVIII.</w:t>
      </w:r>
      <w:r w:rsidRPr="00D365BF">
        <w:rPr>
          <w:rFonts w:ascii="Palatino Linotype" w:eastAsia="Palatino Linotype" w:hAnsi="Palatino Linotype" w:cs="Palatino Linotype"/>
          <w:i/>
          <w:sz w:val="22"/>
          <w:szCs w:val="22"/>
        </w:rPr>
        <w:t xml:space="preserve"> </w:t>
      </w:r>
      <w:r w:rsidRPr="00D365BF">
        <w:rPr>
          <w:rFonts w:ascii="Palatino Linotype" w:eastAsia="Palatino Linotype" w:hAnsi="Palatino Linotype" w:cs="Palatino Linotype"/>
          <w:b/>
          <w:i/>
          <w:sz w:val="22"/>
          <w:szCs w:val="22"/>
        </w:rPr>
        <w:t>Versión pública:</w:t>
      </w:r>
      <w:r w:rsidRPr="00D365B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D365BF">
        <w:rPr>
          <w:rFonts w:ascii="Palatino Linotype" w:eastAsia="Palatino Linotype" w:hAnsi="Palatino Linotype" w:cs="Palatino Linotype"/>
          <w:b/>
          <w:i/>
          <w:sz w:val="22"/>
          <w:szCs w:val="22"/>
          <w:u w:val="single"/>
        </w:rPr>
        <w:t>fundando y motivando la</w:t>
      </w:r>
      <w:r w:rsidRPr="00D365BF">
        <w:rPr>
          <w:rFonts w:ascii="Palatino Linotype" w:eastAsia="Palatino Linotype" w:hAnsi="Palatino Linotype" w:cs="Palatino Linotype"/>
          <w:i/>
          <w:sz w:val="22"/>
          <w:szCs w:val="22"/>
        </w:rPr>
        <w:t xml:space="preserve"> reserva o </w:t>
      </w:r>
      <w:r w:rsidRPr="00D365BF">
        <w:rPr>
          <w:rFonts w:ascii="Palatino Linotype" w:eastAsia="Palatino Linotype" w:hAnsi="Palatino Linotype" w:cs="Palatino Linotype"/>
          <w:b/>
          <w:i/>
          <w:sz w:val="22"/>
          <w:szCs w:val="22"/>
          <w:u w:val="single"/>
        </w:rPr>
        <w:t>confidencialidad</w:t>
      </w:r>
      <w:r w:rsidRPr="00D365BF">
        <w:rPr>
          <w:rFonts w:ascii="Palatino Linotype" w:eastAsia="Palatino Linotype" w:hAnsi="Palatino Linotype" w:cs="Palatino Linotype"/>
          <w:i/>
          <w:sz w:val="22"/>
          <w:szCs w:val="22"/>
        </w:rPr>
        <w:t>, a través de la resolución que para tal efecto emita el Comité de Transparencia.</w:t>
      </w:r>
    </w:p>
    <w:p w14:paraId="033F41FB"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Cuarto.</w:t>
      </w:r>
      <w:r w:rsidRPr="00D365BF">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CD2FA8C"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4E2A7D3"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Quinto.</w:t>
      </w:r>
      <w:r w:rsidRPr="00D365B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64D27C2"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w:t>
      </w:r>
    </w:p>
    <w:p w14:paraId="08FB4314"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Séptimo.</w:t>
      </w:r>
      <w:r w:rsidRPr="00D365BF">
        <w:rPr>
          <w:rFonts w:ascii="Palatino Linotype" w:eastAsia="Palatino Linotype" w:hAnsi="Palatino Linotype" w:cs="Palatino Linotype"/>
          <w:i/>
          <w:sz w:val="22"/>
          <w:szCs w:val="22"/>
        </w:rPr>
        <w:t xml:space="preserve"> La clasificación de la información se llevará a cabo en el momento en que:</w:t>
      </w:r>
    </w:p>
    <w:p w14:paraId="2A4904A6"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I.</w:t>
      </w:r>
      <w:r w:rsidRPr="00D365BF">
        <w:rPr>
          <w:rFonts w:ascii="Palatino Linotype" w:eastAsia="Palatino Linotype" w:hAnsi="Palatino Linotype" w:cs="Palatino Linotype"/>
          <w:i/>
          <w:sz w:val="22"/>
          <w:szCs w:val="22"/>
        </w:rPr>
        <w:t xml:space="preserve"> Se reciba una solicitud de acceso a la información;</w:t>
      </w:r>
    </w:p>
    <w:p w14:paraId="4E44187D" w14:textId="77777777" w:rsidR="00443F9D" w:rsidRPr="00D365BF" w:rsidRDefault="001B2381">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II.</w:t>
      </w:r>
      <w:r w:rsidRPr="00D365BF">
        <w:rPr>
          <w:rFonts w:ascii="Palatino Linotype" w:eastAsia="Palatino Linotype" w:hAnsi="Palatino Linotype" w:cs="Palatino Linotype"/>
          <w:i/>
          <w:sz w:val="22"/>
          <w:szCs w:val="22"/>
        </w:rPr>
        <w:t xml:space="preserve"> </w:t>
      </w:r>
      <w:proofErr w:type="gramStart"/>
      <w:r w:rsidRPr="00D365BF">
        <w:rPr>
          <w:rFonts w:ascii="Palatino Linotype" w:eastAsia="Palatino Linotype" w:hAnsi="Palatino Linotype" w:cs="Palatino Linotype"/>
          <w:i/>
          <w:sz w:val="22"/>
          <w:szCs w:val="22"/>
        </w:rPr>
        <w:t>Se  determine</w:t>
      </w:r>
      <w:proofErr w:type="gramEnd"/>
      <w:r w:rsidRPr="00D365BF">
        <w:rPr>
          <w:rFonts w:ascii="Palatino Linotype" w:eastAsia="Palatino Linotype" w:hAnsi="Palatino Linotype" w:cs="Palatino Linotype"/>
          <w:i/>
          <w:sz w:val="22"/>
          <w:szCs w:val="22"/>
        </w:rPr>
        <w:t xml:space="preserve"> mediante resolución del Comité de Transparencia, el órgano garante </w:t>
      </w:r>
    </w:p>
    <w:p w14:paraId="256C587E"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i/>
          <w:sz w:val="22"/>
          <w:szCs w:val="22"/>
        </w:rPr>
        <w:t>competente, o en cumplimiento a una sentencia del Poder Judicial; o</w:t>
      </w:r>
    </w:p>
    <w:p w14:paraId="488B8E86"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III.</w:t>
      </w:r>
      <w:r w:rsidRPr="00D365B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CE77FBA"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81BBC44"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lastRenderedPageBreak/>
        <w:t>Octavo.</w:t>
      </w:r>
      <w:r w:rsidRPr="00D365B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B12514B"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8C5AD39" w14:textId="77777777" w:rsidR="00443F9D" w:rsidRPr="00D365BF" w:rsidRDefault="001B2381">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2932AAB"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Noveno.</w:t>
      </w:r>
      <w:r w:rsidRPr="00D365B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2D8961F"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b/>
          <w:i/>
          <w:sz w:val="22"/>
          <w:szCs w:val="22"/>
        </w:rPr>
        <w:t>Décimo.</w:t>
      </w:r>
      <w:r w:rsidRPr="00D365B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A03FF59"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667DC3D" w14:textId="77777777" w:rsidR="00443F9D" w:rsidRPr="00D365BF" w:rsidRDefault="001B2381">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Décimo primero.</w:t>
      </w:r>
      <w:r w:rsidRPr="00D365B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978E103" w14:textId="77777777" w:rsidR="00443F9D" w:rsidRPr="00D365BF" w:rsidRDefault="00443F9D">
      <w:pPr>
        <w:pBdr>
          <w:top w:val="nil"/>
          <w:left w:val="nil"/>
          <w:bottom w:val="nil"/>
          <w:right w:val="nil"/>
          <w:between w:val="nil"/>
        </w:pBdr>
        <w:ind w:right="709"/>
        <w:jc w:val="both"/>
      </w:pPr>
    </w:p>
    <w:p w14:paraId="4D5CE331" w14:textId="77777777" w:rsidR="00443F9D" w:rsidRPr="00D365BF" w:rsidRDefault="001B2381">
      <w:pPr>
        <w:pBdr>
          <w:top w:val="nil"/>
          <w:left w:val="nil"/>
          <w:bottom w:val="nil"/>
          <w:right w:val="nil"/>
          <w:between w:val="nil"/>
        </w:pBdr>
        <w:ind w:left="709" w:right="709"/>
        <w:jc w:val="both"/>
      </w:pPr>
      <w:r w:rsidRPr="00D365BF">
        <w:rPr>
          <w:rFonts w:ascii="Palatino Linotype" w:eastAsia="Palatino Linotype" w:hAnsi="Palatino Linotype" w:cs="Palatino Linotype"/>
          <w:i/>
          <w:sz w:val="22"/>
          <w:szCs w:val="22"/>
        </w:rPr>
        <w:t>[…]</w:t>
      </w:r>
    </w:p>
    <w:p w14:paraId="7F84A3FE" w14:textId="77777777" w:rsidR="00443F9D" w:rsidRPr="00D365BF" w:rsidRDefault="001B2381">
      <w:pPr>
        <w:pBdr>
          <w:top w:val="nil"/>
          <w:left w:val="nil"/>
          <w:bottom w:val="nil"/>
          <w:right w:val="nil"/>
          <w:between w:val="nil"/>
        </w:pBdr>
        <w:ind w:left="709" w:right="709"/>
        <w:jc w:val="center"/>
      </w:pPr>
      <w:r w:rsidRPr="00D365BF">
        <w:rPr>
          <w:rFonts w:ascii="Palatino Linotype" w:eastAsia="Palatino Linotype" w:hAnsi="Palatino Linotype" w:cs="Palatino Linotype"/>
          <w:b/>
          <w:i/>
          <w:sz w:val="22"/>
          <w:szCs w:val="22"/>
        </w:rPr>
        <w:t>CAPÍTULO VIII</w:t>
      </w:r>
    </w:p>
    <w:p w14:paraId="1E943545" w14:textId="77777777" w:rsidR="00443F9D" w:rsidRPr="00D365BF" w:rsidRDefault="001B2381">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D365BF">
        <w:rPr>
          <w:rFonts w:ascii="Palatino Linotype" w:eastAsia="Palatino Linotype" w:hAnsi="Palatino Linotype" w:cs="Palatino Linotype"/>
          <w:b/>
          <w:i/>
          <w:sz w:val="22"/>
          <w:szCs w:val="22"/>
        </w:rPr>
        <w:t>DE LOS ELEMENTOS PARA LA CLASIFICACIÓN</w:t>
      </w:r>
    </w:p>
    <w:p w14:paraId="36CC646B"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Quincuagésimo</w:t>
      </w:r>
      <w:r w:rsidRPr="00D365BF">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A353A3B"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Quincuagésimo primero</w:t>
      </w:r>
      <w:r w:rsidRPr="00D365BF">
        <w:rPr>
          <w:rFonts w:ascii="Palatino Linotype" w:eastAsia="Palatino Linotype" w:hAnsi="Palatino Linotype" w:cs="Palatino Linotype"/>
          <w:i/>
          <w:sz w:val="22"/>
          <w:szCs w:val="22"/>
        </w:rPr>
        <w:t>. Toda acta del Comité de Transparencia deberá contener:</w:t>
      </w:r>
    </w:p>
    <w:p w14:paraId="4707CFB6"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lastRenderedPageBreak/>
        <w:t xml:space="preserve">I. El número de sesión y fecha; </w:t>
      </w:r>
    </w:p>
    <w:p w14:paraId="11B850A3"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 El nombre del área que solicitó la clasificación de información;</w:t>
      </w:r>
    </w:p>
    <w:p w14:paraId="66FA36AF"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III. La fundamentación legal y motivación correspondiente;</w:t>
      </w:r>
    </w:p>
    <w:p w14:paraId="2810BDA1"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IV. La resolución o resoluciones aprobadas; y</w:t>
      </w:r>
    </w:p>
    <w:p w14:paraId="25478C1A"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V. La rúbrica o firma digital de cada integrante del Comité de Transparencia. </w:t>
      </w:r>
    </w:p>
    <w:p w14:paraId="44D68747"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51093B8"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 Los motivos y razonamientos que sustenten la confirmación o modificación de la prueba de daño;</w:t>
      </w:r>
    </w:p>
    <w:p w14:paraId="17FFED63"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 Descripción de las partes o secciones reservadas, en caso de clasificación parcial;</w:t>
      </w:r>
    </w:p>
    <w:p w14:paraId="5042A609"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III. El periodo por el que mantendrá su clasificación y fecha de expiración; y</w:t>
      </w:r>
    </w:p>
    <w:p w14:paraId="27E89484"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IV. El nombre del titular y área encargada de realizar la versión pública del documento, en su caso.</w:t>
      </w:r>
    </w:p>
    <w:p w14:paraId="20965F5A"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3D4B98A"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2DEC5AA"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b/>
          <w:i/>
          <w:sz w:val="22"/>
          <w:szCs w:val="22"/>
        </w:rPr>
        <w:t>Quincuagésimo segundo</w:t>
      </w:r>
      <w:r w:rsidRPr="00D365BF">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751DF20"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AE9BCB2"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3F8CBFC"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AB65BC9"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lastRenderedPageBreak/>
        <w:t>III. Señalar las personas o instancias autorizadas a acceder a la información clasificada.</w:t>
      </w:r>
    </w:p>
    <w:p w14:paraId="20EC14AC"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BE1DE7B" w14:textId="77777777" w:rsidR="00443F9D" w:rsidRPr="00D365BF" w:rsidRDefault="001B2381">
      <w:pPr>
        <w:pBdr>
          <w:top w:val="nil"/>
          <w:left w:val="nil"/>
          <w:bottom w:val="nil"/>
          <w:right w:val="nil"/>
          <w:between w:val="nil"/>
        </w:pBdr>
        <w:spacing w:after="160"/>
        <w:ind w:left="709" w:right="709"/>
        <w:jc w:val="both"/>
      </w:pPr>
      <w:r w:rsidRPr="00D365BF">
        <w:rPr>
          <w:rFonts w:ascii="Palatino Linotype" w:eastAsia="Palatino Linotype" w:hAnsi="Palatino Linotype" w:cs="Palatino Linotype"/>
          <w:b/>
          <w:i/>
          <w:sz w:val="22"/>
          <w:szCs w:val="22"/>
        </w:rPr>
        <w:t xml:space="preserve">Quincuagésimo tercero. </w:t>
      </w:r>
      <w:r w:rsidRPr="00D365BF">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D365BF">
        <w:rPr>
          <w:rFonts w:ascii="Palatino Linotype" w:eastAsia="Palatino Linotype" w:hAnsi="Palatino Linotype" w:cs="Palatino Linotype"/>
          <w:b/>
          <w:i/>
          <w:sz w:val="22"/>
          <w:szCs w:val="22"/>
          <w:u w:val="single"/>
        </w:rPr>
        <w:t>siguiente:</w:t>
      </w:r>
      <w:r w:rsidRPr="00D365BF">
        <w:rPr>
          <w:rFonts w:ascii="Palatino Linotype" w:eastAsia="Palatino Linotype" w:hAnsi="Palatino Linotype" w:cs="Palatino Linotype"/>
          <w:i/>
          <w:sz w:val="22"/>
          <w:szCs w:val="22"/>
        </w:rPr>
        <w:t>:</w:t>
      </w:r>
      <w:proofErr w:type="gramEnd"/>
    </w:p>
    <w:tbl>
      <w:tblPr>
        <w:tblStyle w:val="ae"/>
        <w:tblW w:w="8833" w:type="dxa"/>
        <w:jc w:val="center"/>
        <w:tblInd w:w="0" w:type="dxa"/>
        <w:tblLayout w:type="fixed"/>
        <w:tblLook w:val="0400" w:firstRow="0" w:lastRow="0" w:firstColumn="0" w:lastColumn="0" w:noHBand="0" w:noVBand="1"/>
      </w:tblPr>
      <w:tblGrid>
        <w:gridCol w:w="1660"/>
        <w:gridCol w:w="1980"/>
        <w:gridCol w:w="5193"/>
      </w:tblGrid>
      <w:tr w:rsidR="00D365BF" w:rsidRPr="00D365BF" w14:paraId="3D7B7CAE"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4320DFE9" w14:textId="77777777" w:rsidR="00443F9D" w:rsidRPr="00D365BF" w:rsidRDefault="00443F9D"/>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3AD592"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01967"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b/>
                <w:i/>
              </w:rPr>
              <w:t>Dónde:</w:t>
            </w:r>
          </w:p>
        </w:tc>
      </w:tr>
      <w:tr w:rsidR="00D365BF" w:rsidRPr="00D365BF" w14:paraId="149AB099"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6AE738"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35182D"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D3F1A" w14:textId="77777777" w:rsidR="00443F9D" w:rsidRPr="00D365BF" w:rsidRDefault="001B2381">
            <w:pPr>
              <w:pBdr>
                <w:top w:val="nil"/>
                <w:left w:val="nil"/>
                <w:bottom w:val="nil"/>
                <w:right w:val="nil"/>
                <w:between w:val="nil"/>
              </w:pBdr>
              <w:jc w:val="both"/>
            </w:pPr>
            <w:r w:rsidRPr="00D365BF">
              <w:rPr>
                <w:rFonts w:ascii="Palatino Linotype" w:eastAsia="Palatino Linotype" w:hAnsi="Palatino Linotype" w:cs="Palatino Linotype"/>
                <w:i/>
              </w:rPr>
              <w:t>Se anotará la fecha en la que el Comité de Transparencia confirmó la clasificación del documento o expediente, en su caso.</w:t>
            </w:r>
          </w:p>
        </w:tc>
      </w:tr>
      <w:tr w:rsidR="00D365BF" w:rsidRPr="00D365BF" w14:paraId="617EDAD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75A37E" w14:textId="77777777" w:rsidR="00443F9D" w:rsidRPr="00D365BF" w:rsidRDefault="00443F9D">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0DDE4E"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1645C1" w14:textId="77777777" w:rsidR="00443F9D" w:rsidRPr="00D365BF" w:rsidRDefault="001B2381">
            <w:pPr>
              <w:pBdr>
                <w:top w:val="nil"/>
                <w:left w:val="nil"/>
                <w:bottom w:val="nil"/>
                <w:right w:val="nil"/>
                <w:between w:val="nil"/>
              </w:pBdr>
              <w:jc w:val="both"/>
            </w:pPr>
            <w:r w:rsidRPr="00D365BF">
              <w:rPr>
                <w:rFonts w:ascii="Palatino Linotype" w:eastAsia="Palatino Linotype" w:hAnsi="Palatino Linotype" w:cs="Palatino Linotype"/>
                <w:i/>
              </w:rPr>
              <w:t>Se señalará el nombre del área del cual es titular quien clasifica.</w:t>
            </w:r>
          </w:p>
        </w:tc>
      </w:tr>
      <w:tr w:rsidR="00D365BF" w:rsidRPr="00D365BF" w14:paraId="5289B71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9E9996" w14:textId="77777777" w:rsidR="00443F9D" w:rsidRPr="00D365BF" w:rsidRDefault="00443F9D">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6F8C5"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3258EA" w14:textId="77777777" w:rsidR="00443F9D" w:rsidRPr="00D365BF" w:rsidRDefault="001B2381">
            <w:pPr>
              <w:pBdr>
                <w:top w:val="nil"/>
                <w:left w:val="nil"/>
                <w:bottom w:val="nil"/>
                <w:right w:val="nil"/>
                <w:between w:val="nil"/>
              </w:pBdr>
              <w:jc w:val="both"/>
            </w:pPr>
            <w:r w:rsidRPr="00D365BF">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D365BF" w:rsidRPr="00D365BF" w14:paraId="7DE0815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41BC09" w14:textId="77777777" w:rsidR="00443F9D" w:rsidRPr="00D365BF" w:rsidRDefault="00443F9D">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74E1B"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C3B6C" w14:textId="77777777" w:rsidR="00443F9D" w:rsidRPr="00D365BF" w:rsidRDefault="001B2381">
            <w:pPr>
              <w:pBdr>
                <w:top w:val="nil"/>
                <w:left w:val="nil"/>
                <w:bottom w:val="nil"/>
                <w:right w:val="nil"/>
                <w:between w:val="nil"/>
              </w:pBdr>
              <w:jc w:val="both"/>
            </w:pPr>
            <w:r w:rsidRPr="00D365BF">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D365BF" w:rsidRPr="00D365BF" w14:paraId="1B3B20C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FB28A" w14:textId="77777777" w:rsidR="00443F9D" w:rsidRPr="00D365BF" w:rsidRDefault="00443F9D">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12562"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404DC" w14:textId="77777777" w:rsidR="00443F9D" w:rsidRPr="00D365BF" w:rsidRDefault="001B2381">
            <w:pPr>
              <w:pBdr>
                <w:top w:val="nil"/>
                <w:left w:val="nil"/>
                <w:bottom w:val="nil"/>
                <w:right w:val="nil"/>
                <w:between w:val="nil"/>
              </w:pBdr>
              <w:jc w:val="both"/>
            </w:pPr>
            <w:r w:rsidRPr="00D365BF">
              <w:rPr>
                <w:rFonts w:ascii="Palatino Linotype" w:eastAsia="Palatino Linotype" w:hAnsi="Palatino Linotype" w:cs="Palatino Linotype"/>
                <w:i/>
              </w:rPr>
              <w:t>Se señalará el nombre del ordenamiento, el o los artículos, fracción(es), párrafo(s) con base en los cuales se sustente la reserva.</w:t>
            </w:r>
          </w:p>
        </w:tc>
      </w:tr>
      <w:tr w:rsidR="00D365BF" w:rsidRPr="00D365BF" w14:paraId="4C4A1F9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641B66" w14:textId="77777777" w:rsidR="00443F9D" w:rsidRPr="00D365BF" w:rsidRDefault="00443F9D">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BF3FF"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4C2C3D" w14:textId="77777777" w:rsidR="00443F9D" w:rsidRPr="00D365BF" w:rsidRDefault="001B2381">
            <w:pPr>
              <w:pBdr>
                <w:top w:val="nil"/>
                <w:left w:val="nil"/>
                <w:bottom w:val="nil"/>
                <w:right w:val="nil"/>
                <w:between w:val="nil"/>
              </w:pBdr>
              <w:jc w:val="both"/>
            </w:pPr>
            <w:r w:rsidRPr="00D365BF">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D365BF" w:rsidRPr="00D365BF" w14:paraId="6F020C2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ABA2D3" w14:textId="77777777" w:rsidR="00443F9D" w:rsidRPr="00D365BF" w:rsidRDefault="00443F9D">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925BDC"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ACD48" w14:textId="77777777" w:rsidR="00443F9D" w:rsidRPr="00D365BF" w:rsidRDefault="001B2381">
            <w:pPr>
              <w:pBdr>
                <w:top w:val="nil"/>
                <w:left w:val="nil"/>
                <w:bottom w:val="nil"/>
                <w:right w:val="nil"/>
                <w:between w:val="nil"/>
              </w:pBdr>
              <w:jc w:val="both"/>
            </w:pPr>
            <w:r w:rsidRPr="00D365BF">
              <w:rPr>
                <w:rFonts w:ascii="Palatino Linotype" w:eastAsia="Palatino Linotype" w:hAnsi="Palatino Linotype" w:cs="Palatino Linotype"/>
                <w:i/>
              </w:rPr>
              <w:t>Rúbrica autógrafa o firma digital de quien clasifica.</w:t>
            </w:r>
          </w:p>
        </w:tc>
      </w:tr>
      <w:tr w:rsidR="00D365BF" w:rsidRPr="00D365BF" w14:paraId="3D01B3C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987168" w14:textId="77777777" w:rsidR="00443F9D" w:rsidRPr="00D365BF" w:rsidRDefault="00443F9D">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382C4"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C66D5" w14:textId="77777777" w:rsidR="00443F9D" w:rsidRPr="00D365BF" w:rsidRDefault="001B2381">
            <w:pPr>
              <w:pBdr>
                <w:top w:val="nil"/>
                <w:left w:val="nil"/>
                <w:bottom w:val="nil"/>
                <w:right w:val="nil"/>
                <w:between w:val="nil"/>
              </w:pBdr>
              <w:jc w:val="both"/>
            </w:pPr>
            <w:r w:rsidRPr="00D365BF">
              <w:rPr>
                <w:rFonts w:ascii="Palatino Linotype" w:eastAsia="Palatino Linotype" w:hAnsi="Palatino Linotype" w:cs="Palatino Linotype"/>
                <w:i/>
              </w:rPr>
              <w:t>Se anotará la fecha en que se desclasifica el documento.</w:t>
            </w:r>
          </w:p>
        </w:tc>
      </w:tr>
      <w:tr w:rsidR="00D365BF" w:rsidRPr="00D365BF" w14:paraId="0DEBF07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599356" w14:textId="77777777" w:rsidR="00443F9D" w:rsidRPr="00D365BF" w:rsidRDefault="00443F9D">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601C3" w14:textId="77777777" w:rsidR="00443F9D" w:rsidRPr="00D365BF" w:rsidRDefault="001B2381">
            <w:pPr>
              <w:pBdr>
                <w:top w:val="nil"/>
                <w:left w:val="nil"/>
                <w:bottom w:val="nil"/>
                <w:right w:val="nil"/>
                <w:between w:val="nil"/>
              </w:pBdr>
              <w:jc w:val="center"/>
            </w:pPr>
            <w:r w:rsidRPr="00D365BF">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2E8688" w14:textId="77777777" w:rsidR="00443F9D" w:rsidRPr="00D365BF" w:rsidRDefault="001B2381">
            <w:pPr>
              <w:pBdr>
                <w:top w:val="nil"/>
                <w:left w:val="nil"/>
                <w:bottom w:val="nil"/>
                <w:right w:val="nil"/>
                <w:between w:val="nil"/>
              </w:pBdr>
              <w:jc w:val="both"/>
            </w:pPr>
            <w:r w:rsidRPr="00D365BF">
              <w:rPr>
                <w:rFonts w:ascii="Palatino Linotype" w:eastAsia="Palatino Linotype" w:hAnsi="Palatino Linotype" w:cs="Palatino Linotype"/>
                <w:i/>
              </w:rPr>
              <w:t>Rúbrica autógrafa o firma digital de quien desclasifica.</w:t>
            </w:r>
          </w:p>
        </w:tc>
      </w:tr>
      <w:tr w:rsidR="00D365BF" w:rsidRPr="00D365BF" w14:paraId="0AAAE7D9"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73DB25" w14:textId="77777777" w:rsidR="00443F9D" w:rsidRPr="00D365BF" w:rsidRDefault="00443F9D">
            <w:pPr>
              <w:widowControl w:val="0"/>
              <w:pBdr>
                <w:top w:val="nil"/>
                <w:left w:val="nil"/>
                <w:bottom w:val="nil"/>
                <w:right w:val="nil"/>
                <w:between w:val="nil"/>
              </w:pBdr>
              <w:spacing w:line="276" w:lineRule="auto"/>
            </w:pPr>
          </w:p>
        </w:tc>
      </w:tr>
    </w:tbl>
    <w:p w14:paraId="598D154C" w14:textId="77777777" w:rsidR="00443F9D" w:rsidRPr="00D365BF" w:rsidRDefault="001B2381">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lastRenderedPageBreak/>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476D78F" w14:textId="77777777" w:rsidR="00443F9D" w:rsidRPr="00D365BF" w:rsidRDefault="001B2381">
      <w:pPr>
        <w:pBdr>
          <w:top w:val="nil"/>
          <w:left w:val="nil"/>
          <w:bottom w:val="nil"/>
          <w:right w:val="nil"/>
          <w:between w:val="nil"/>
        </w:pBdr>
        <w:spacing w:after="160"/>
        <w:ind w:left="709" w:right="709"/>
        <w:jc w:val="both"/>
      </w:pPr>
      <w:r w:rsidRPr="00D365BF">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D365BF">
        <w:rPr>
          <w:rFonts w:ascii="Palatino Linotype" w:eastAsia="Palatino Linotype" w:hAnsi="Palatino Linotype" w:cs="Palatino Linotype"/>
          <w:i/>
          <w:sz w:val="22"/>
          <w:szCs w:val="22"/>
        </w:rPr>
        <w:t>testado</w:t>
      </w:r>
      <w:proofErr w:type="spellEnd"/>
      <w:r w:rsidRPr="00D365B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2E383F59" w14:textId="77777777" w:rsidR="00443F9D" w:rsidRPr="00D365BF" w:rsidRDefault="00443F9D">
      <w:pPr>
        <w:jc w:val="both"/>
      </w:pPr>
    </w:p>
    <w:p w14:paraId="3EE30E3A" w14:textId="77777777" w:rsidR="00443F9D" w:rsidRPr="00D365BF" w:rsidRDefault="00443F9D"/>
    <w:p w14:paraId="27A59932"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16F2C9A4" w14:textId="77777777" w:rsidR="00443F9D" w:rsidRPr="00D365BF" w:rsidRDefault="00443F9D">
      <w:pPr>
        <w:spacing w:line="360" w:lineRule="auto"/>
        <w:jc w:val="both"/>
        <w:rPr>
          <w:rFonts w:ascii="Palatino Linotype" w:eastAsia="Palatino Linotype" w:hAnsi="Palatino Linotype" w:cs="Palatino Linotype"/>
        </w:rPr>
      </w:pPr>
    </w:p>
    <w:p w14:paraId="7B2E4E13" w14:textId="77777777" w:rsidR="00443F9D" w:rsidRPr="00D365BF" w:rsidRDefault="001B2381">
      <w:pPr>
        <w:shd w:val="clear" w:color="auto" w:fill="FFFFFF"/>
        <w:spacing w:line="360" w:lineRule="auto"/>
        <w:ind w:right="51"/>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w:t>
      </w:r>
    </w:p>
    <w:p w14:paraId="3A762344" w14:textId="77777777" w:rsidR="00443F9D" w:rsidRPr="00D365BF" w:rsidRDefault="001B2381">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b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133C4FD" w14:textId="77777777" w:rsidR="00443F9D" w:rsidRPr="00D365BF" w:rsidRDefault="001B2381">
      <w:pPr>
        <w:widowControl w:val="0"/>
        <w:spacing w:line="360" w:lineRule="auto"/>
        <w:jc w:val="center"/>
        <w:rPr>
          <w:rFonts w:ascii="Palatino Linotype" w:eastAsia="Palatino Linotype" w:hAnsi="Palatino Linotype" w:cs="Palatino Linotype"/>
          <w:b/>
        </w:rPr>
      </w:pPr>
      <w:r w:rsidRPr="00D365BF">
        <w:rPr>
          <w:rFonts w:ascii="Palatino Linotype" w:eastAsia="Palatino Linotype" w:hAnsi="Palatino Linotype" w:cs="Palatino Linotype"/>
          <w:b/>
        </w:rPr>
        <w:t>III. R E S U E L V E:</w:t>
      </w:r>
    </w:p>
    <w:p w14:paraId="1A18FD39" w14:textId="77777777" w:rsidR="00443F9D" w:rsidRPr="00D365BF" w:rsidRDefault="00443F9D">
      <w:pPr>
        <w:pBdr>
          <w:top w:val="nil"/>
          <w:left w:val="nil"/>
          <w:bottom w:val="nil"/>
          <w:right w:val="nil"/>
          <w:between w:val="nil"/>
        </w:pBdr>
        <w:spacing w:line="360" w:lineRule="auto"/>
        <w:jc w:val="both"/>
        <w:rPr>
          <w:rFonts w:ascii="Palatino Linotype" w:eastAsia="Palatino Linotype" w:hAnsi="Palatino Linotype" w:cs="Palatino Linotype"/>
        </w:rPr>
      </w:pPr>
    </w:p>
    <w:p w14:paraId="4BB728FB"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 xml:space="preserve">PRIMERO. </w:t>
      </w:r>
      <w:r w:rsidRPr="00D365BF">
        <w:rPr>
          <w:rFonts w:ascii="Palatino Linotype" w:eastAsia="Palatino Linotype" w:hAnsi="Palatino Linotype" w:cs="Palatino Linotype"/>
        </w:rPr>
        <w:t>Se</w:t>
      </w:r>
      <w:r w:rsidRPr="00D365BF">
        <w:t xml:space="preserve"> </w:t>
      </w:r>
      <w:r w:rsidRPr="00D365BF">
        <w:rPr>
          <w:rFonts w:ascii="Palatino Linotype" w:eastAsia="Palatino Linotype" w:hAnsi="Palatino Linotype" w:cs="Palatino Linotype"/>
          <w:b/>
        </w:rPr>
        <w:t xml:space="preserve">REVOCA </w:t>
      </w:r>
      <w:r w:rsidRPr="00D365BF">
        <w:rPr>
          <w:rFonts w:ascii="Palatino Linotype" w:eastAsia="Palatino Linotype" w:hAnsi="Palatino Linotype" w:cs="Palatino Linotype"/>
        </w:rPr>
        <w:t xml:space="preserve">la respuesta entregada por </w:t>
      </w:r>
      <w:r w:rsidRPr="00D365BF">
        <w:rPr>
          <w:rFonts w:ascii="Palatino Linotype" w:eastAsia="Palatino Linotype" w:hAnsi="Palatino Linotype" w:cs="Palatino Linotype"/>
          <w:b/>
        </w:rPr>
        <w:t xml:space="preserve">EL SUJETO OBLIGADO </w:t>
      </w:r>
      <w:r w:rsidRPr="00D365BF">
        <w:rPr>
          <w:rFonts w:ascii="Palatino Linotype" w:eastAsia="Palatino Linotype" w:hAnsi="Palatino Linotype" w:cs="Palatino Linotype"/>
        </w:rPr>
        <w:t xml:space="preserve">a la solicitud de información </w:t>
      </w:r>
      <w:r w:rsidRPr="00D365BF">
        <w:rPr>
          <w:rFonts w:ascii="Palatino Linotype" w:eastAsia="Palatino Linotype" w:hAnsi="Palatino Linotype" w:cs="Palatino Linotype"/>
          <w:b/>
        </w:rPr>
        <w:t>00946/NAUCALPA/IP/2022</w:t>
      </w:r>
      <w:r w:rsidRPr="00D365BF">
        <w:rPr>
          <w:rFonts w:ascii="Palatino Linotype" w:eastAsia="Palatino Linotype" w:hAnsi="Palatino Linotype" w:cs="Palatino Linotype"/>
        </w:rPr>
        <w:t>,</w:t>
      </w:r>
      <w:r w:rsidRPr="00D365BF">
        <w:rPr>
          <w:rFonts w:ascii="Palatino Linotype" w:eastAsia="Palatino Linotype" w:hAnsi="Palatino Linotype" w:cs="Palatino Linotype"/>
          <w:b/>
        </w:rPr>
        <w:t xml:space="preserve"> </w:t>
      </w:r>
      <w:r w:rsidRPr="00D365BF">
        <w:rPr>
          <w:rFonts w:ascii="Palatino Linotype" w:eastAsia="Palatino Linotype" w:hAnsi="Palatino Linotype" w:cs="Palatino Linotype"/>
        </w:rPr>
        <w:t xml:space="preserve">por resultar fundadas las razones o motivos de inconformidad hechos valer por </w:t>
      </w:r>
      <w:r w:rsidRPr="00D365BF">
        <w:rPr>
          <w:rFonts w:ascii="Palatino Linotype" w:eastAsia="Palatino Linotype" w:hAnsi="Palatino Linotype" w:cs="Palatino Linotype"/>
          <w:b/>
        </w:rPr>
        <w:t xml:space="preserve">la parte RECURRENTE, </w:t>
      </w:r>
      <w:r w:rsidRPr="00D365BF">
        <w:rPr>
          <w:rFonts w:ascii="Palatino Linotype" w:eastAsia="Palatino Linotype" w:hAnsi="Palatino Linotype" w:cs="Palatino Linotype"/>
        </w:rPr>
        <w:t xml:space="preserve">en el recurso de revisión </w:t>
      </w:r>
      <w:r w:rsidRPr="00D365BF">
        <w:rPr>
          <w:rFonts w:ascii="Palatino Linotype" w:eastAsia="Palatino Linotype" w:hAnsi="Palatino Linotype" w:cs="Palatino Linotype"/>
          <w:b/>
        </w:rPr>
        <w:t>17419/INFOEM/IP/RR/2022,</w:t>
      </w:r>
      <w:r w:rsidRPr="00D365BF">
        <w:rPr>
          <w:rFonts w:ascii="Palatino Linotype" w:eastAsia="Palatino Linotype" w:hAnsi="Palatino Linotype" w:cs="Palatino Linotype"/>
        </w:rPr>
        <w:t xml:space="preserve"> en términos del considerando </w:t>
      </w:r>
      <w:r w:rsidRPr="00D365BF">
        <w:rPr>
          <w:rFonts w:ascii="Palatino Linotype" w:eastAsia="Palatino Linotype" w:hAnsi="Palatino Linotype" w:cs="Palatino Linotype"/>
          <w:b/>
        </w:rPr>
        <w:t>Cuarto</w:t>
      </w:r>
      <w:r w:rsidRPr="00D365BF">
        <w:rPr>
          <w:rFonts w:ascii="Palatino Linotype" w:eastAsia="Palatino Linotype" w:hAnsi="Palatino Linotype" w:cs="Palatino Linotype"/>
        </w:rPr>
        <w:t xml:space="preserve"> de la presente Resolución.</w:t>
      </w:r>
    </w:p>
    <w:p w14:paraId="4CAC04A4" w14:textId="77777777" w:rsidR="00443F9D" w:rsidRPr="00D365BF" w:rsidRDefault="00443F9D">
      <w:pPr>
        <w:spacing w:line="360" w:lineRule="auto"/>
        <w:jc w:val="both"/>
        <w:rPr>
          <w:rFonts w:ascii="Palatino Linotype" w:eastAsia="Palatino Linotype" w:hAnsi="Palatino Linotype" w:cs="Palatino Linotype"/>
          <w:b/>
        </w:rPr>
      </w:pPr>
    </w:p>
    <w:p w14:paraId="7E3AF126" w14:textId="77777777" w:rsidR="00443F9D" w:rsidRPr="00D365BF" w:rsidRDefault="001B2381">
      <w:pPr>
        <w:spacing w:line="360" w:lineRule="auto"/>
        <w:ind w:right="49"/>
        <w:jc w:val="both"/>
        <w:rPr>
          <w:rFonts w:ascii="Palatino Linotype" w:eastAsia="Palatino Linotype" w:hAnsi="Palatino Linotype" w:cs="Palatino Linotype"/>
        </w:rPr>
      </w:pPr>
      <w:r w:rsidRPr="00D365BF">
        <w:rPr>
          <w:rFonts w:ascii="Palatino Linotype" w:eastAsia="Palatino Linotype" w:hAnsi="Palatino Linotype" w:cs="Palatino Linotype"/>
          <w:b/>
        </w:rPr>
        <w:t xml:space="preserve">SEGUNDO. </w:t>
      </w:r>
      <w:r w:rsidRPr="00D365BF">
        <w:rPr>
          <w:rFonts w:ascii="Palatino Linotype" w:eastAsia="Palatino Linotype" w:hAnsi="Palatino Linotype" w:cs="Palatino Linotype"/>
        </w:rPr>
        <w:t>Se</w:t>
      </w:r>
      <w:r w:rsidRPr="00D365BF">
        <w:rPr>
          <w:rFonts w:ascii="Palatino Linotype" w:eastAsia="Palatino Linotype" w:hAnsi="Palatino Linotype" w:cs="Palatino Linotype"/>
          <w:b/>
        </w:rPr>
        <w:t xml:space="preserve"> ORDENA </w:t>
      </w:r>
      <w:r w:rsidRPr="00D365BF">
        <w:rPr>
          <w:rFonts w:ascii="Palatino Linotype" w:eastAsia="Palatino Linotype" w:hAnsi="Palatino Linotype" w:cs="Palatino Linotype"/>
        </w:rPr>
        <w:t xml:space="preserve">al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xml:space="preserve"> a que,</w:t>
      </w:r>
      <w:r w:rsidRPr="00D365BF">
        <w:rPr>
          <w:rFonts w:ascii="Palatino Linotype" w:eastAsia="Palatino Linotype" w:hAnsi="Palatino Linotype" w:cs="Palatino Linotype"/>
          <w:b/>
        </w:rPr>
        <w:t xml:space="preserve"> </w:t>
      </w:r>
      <w:r w:rsidRPr="00D365BF">
        <w:rPr>
          <w:rFonts w:ascii="Palatino Linotype" w:eastAsia="Palatino Linotype" w:hAnsi="Palatino Linotype" w:cs="Palatino Linotype"/>
        </w:rPr>
        <w:t>en términos del Considerando Cuarto y Quinto, haga entrega vía Sistema de Acceso a la Información Mexiquense (SAIMEX) y en versión pública, en donde conste lo siguiente:</w:t>
      </w:r>
    </w:p>
    <w:p w14:paraId="36423C63" w14:textId="77777777" w:rsidR="00443F9D" w:rsidRPr="00D365BF" w:rsidRDefault="00443F9D">
      <w:pPr>
        <w:spacing w:line="360" w:lineRule="auto"/>
        <w:ind w:right="49"/>
        <w:jc w:val="both"/>
        <w:rPr>
          <w:rFonts w:ascii="Palatino Linotype" w:eastAsia="Palatino Linotype" w:hAnsi="Palatino Linotype" w:cs="Palatino Linotype"/>
        </w:rPr>
      </w:pPr>
    </w:p>
    <w:p w14:paraId="261365ED" w14:textId="77777777" w:rsidR="00443F9D" w:rsidRPr="00D365BF" w:rsidRDefault="001B2381">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Documento que dé cuenta del uso de suelo del Fraccionamiento de Ciudad Satélite en Naucalpan de Juárez, Estado de México, al mayor grado de desagregación posible, vigente al veintiséis de octubre del año dos mil veintidós. </w:t>
      </w:r>
    </w:p>
    <w:p w14:paraId="513A0545" w14:textId="77777777" w:rsidR="00443F9D" w:rsidRPr="00D365BF" w:rsidRDefault="001B2381">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lastRenderedPageBreak/>
        <w:t>Las Licencias de Construcción y Terminación de Obra, que obre en sus archivos al veintisiete de octubre del año dos mil veintidós, de los inmuebles ubicados en:</w:t>
      </w:r>
    </w:p>
    <w:p w14:paraId="39E90F8B" w14:textId="77777777" w:rsidR="00443F9D" w:rsidRPr="00D365BF" w:rsidRDefault="001B2381">
      <w:pPr>
        <w:pBdr>
          <w:top w:val="nil"/>
          <w:left w:val="nil"/>
          <w:bottom w:val="nil"/>
          <w:right w:val="nil"/>
          <w:between w:val="nil"/>
        </w:pBdr>
        <w:spacing w:line="360" w:lineRule="auto"/>
        <w:ind w:left="720"/>
        <w:jc w:val="both"/>
        <w:rPr>
          <w:rFonts w:ascii="Palatino Linotype" w:eastAsia="Palatino Linotype" w:hAnsi="Palatino Linotype" w:cs="Palatino Linotype"/>
        </w:rPr>
      </w:pPr>
      <w:r w:rsidRPr="00D365BF">
        <w:rPr>
          <w:rFonts w:ascii="Palatino Linotype" w:eastAsia="Palatino Linotype" w:hAnsi="Palatino Linotype" w:cs="Palatino Linotype"/>
        </w:rPr>
        <w:t>-Circuito Economistas mz1, calle Alberto J. Pani lote 30 A, lote 30 B, lote 30 C y lote 30 D, Esquina González Aparicio y calle Enrique de González Aparicio #5 Fraccionamiento Ciudad Satélite, en Naucalpan de Juárez, Estado de México.</w:t>
      </w:r>
    </w:p>
    <w:p w14:paraId="3D061B6B" w14:textId="77777777" w:rsidR="00443F9D" w:rsidRPr="00D365BF" w:rsidRDefault="001B2381">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La licencia de funcionamiento número 1404, remitida en informe justificado.</w:t>
      </w:r>
    </w:p>
    <w:p w14:paraId="2E569C22" w14:textId="77777777" w:rsidR="00443F9D" w:rsidRPr="00D365BF" w:rsidRDefault="001B2381">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La licencia de protección civil de los de los inmuebles ubicados en circuito Economistas mz1, calle Alberto J. Pani lote 30 A, lote 30 B, lote 30 C y lote 30 D, Esquina González Aparicio y calle Enrique de González Aparicio #5 Fraccionamiento Ciudad Satélite, en Naucalpan de Juárez, Estado de México, del periodo comprendido del veintiséis de octubre al treinta y uno de diciembre del año 2021.</w:t>
      </w:r>
    </w:p>
    <w:p w14:paraId="4BB08A09" w14:textId="77777777" w:rsidR="00443F9D" w:rsidRPr="00D365BF" w:rsidRDefault="001B2381">
      <w:pPr>
        <w:pBdr>
          <w:top w:val="nil"/>
          <w:left w:val="nil"/>
          <w:bottom w:val="nil"/>
          <w:right w:val="nil"/>
          <w:between w:val="nil"/>
        </w:pBdr>
        <w:tabs>
          <w:tab w:val="left" w:pos="851"/>
        </w:tabs>
        <w:spacing w:after="240"/>
        <w:ind w:left="709"/>
        <w:jc w:val="both"/>
        <w:rPr>
          <w:rFonts w:ascii="Palatino Linotype" w:eastAsia="Palatino Linotype" w:hAnsi="Palatino Linotype" w:cs="Palatino Linotype"/>
          <w:i/>
        </w:rPr>
      </w:pPr>
      <w:r w:rsidRPr="00D365BF">
        <w:rPr>
          <w:rFonts w:ascii="Palatino Linotype" w:eastAsia="Palatino Linotype" w:hAnsi="Palatino Linotype" w:cs="Palatino Linotype"/>
          <w:i/>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los que se deberán poner a disposición del </w:t>
      </w:r>
      <w:r w:rsidRPr="00D365BF">
        <w:rPr>
          <w:rFonts w:ascii="Palatino Linotype" w:eastAsia="Palatino Linotype" w:hAnsi="Palatino Linotype" w:cs="Palatino Linotype"/>
          <w:b/>
          <w:i/>
        </w:rPr>
        <w:t>RECURRENTE</w:t>
      </w:r>
      <w:r w:rsidRPr="00D365BF">
        <w:rPr>
          <w:rFonts w:ascii="Palatino Linotype" w:eastAsia="Palatino Linotype" w:hAnsi="Palatino Linotype" w:cs="Palatino Linotype"/>
          <w:i/>
        </w:rPr>
        <w:t>, mismo que igualmente hará de su conocimiento.</w:t>
      </w:r>
    </w:p>
    <w:p w14:paraId="4EAC5243" w14:textId="77777777" w:rsidR="00443F9D" w:rsidRPr="00D365BF" w:rsidRDefault="001B2381">
      <w:pPr>
        <w:pBdr>
          <w:top w:val="nil"/>
          <w:left w:val="nil"/>
          <w:bottom w:val="nil"/>
          <w:right w:val="nil"/>
          <w:between w:val="nil"/>
        </w:pBdr>
        <w:ind w:left="720" w:right="51"/>
        <w:jc w:val="both"/>
        <w:rPr>
          <w:rFonts w:ascii="Palatino Linotype" w:eastAsia="Palatino Linotype" w:hAnsi="Palatino Linotype" w:cs="Palatino Linotype"/>
          <w:i/>
          <w:sz w:val="22"/>
          <w:szCs w:val="22"/>
        </w:rPr>
      </w:pPr>
      <w:r w:rsidRPr="00D365BF">
        <w:rPr>
          <w:rFonts w:ascii="Palatino Linotype" w:eastAsia="Palatino Linotype" w:hAnsi="Palatino Linotype" w:cs="Palatino Linotype"/>
          <w:i/>
          <w:sz w:val="22"/>
          <w:szCs w:val="22"/>
        </w:rPr>
        <w:t xml:space="preserve">Para el caso en el que no cuente con la información ordenada en el inciso a y d, por no haberse generado, poseído o administrado, deberá hacerlo del conocimiento de </w:t>
      </w:r>
      <w:r w:rsidRPr="00D365BF">
        <w:rPr>
          <w:rFonts w:ascii="Palatino Linotype" w:eastAsia="Palatino Linotype" w:hAnsi="Palatino Linotype" w:cs="Palatino Linotype"/>
          <w:b/>
          <w:i/>
          <w:sz w:val="22"/>
          <w:szCs w:val="22"/>
        </w:rPr>
        <w:t>la parte Recurrente</w:t>
      </w:r>
      <w:r w:rsidRPr="00D365BF">
        <w:rPr>
          <w:rFonts w:ascii="Palatino Linotype" w:eastAsia="Palatino Linotype" w:hAnsi="Palatino Linotype" w:cs="Palatino Linotype"/>
          <w:i/>
          <w:sz w:val="22"/>
          <w:szCs w:val="22"/>
        </w:rPr>
        <w:t xml:space="preserve"> de manera fundada y motivada, en términos del segundo párrafo del artículo 19 de la Ley de Transparencia y Acceso a la Información Pública del Estado de México y Municipios. </w:t>
      </w:r>
    </w:p>
    <w:p w14:paraId="43DCA9C2" w14:textId="77777777" w:rsidR="00443F9D" w:rsidRPr="00D365BF" w:rsidRDefault="00443F9D">
      <w:pPr>
        <w:pBdr>
          <w:top w:val="nil"/>
          <w:left w:val="nil"/>
          <w:bottom w:val="nil"/>
          <w:right w:val="nil"/>
          <w:between w:val="nil"/>
        </w:pBdr>
        <w:tabs>
          <w:tab w:val="left" w:pos="851"/>
        </w:tabs>
        <w:spacing w:before="240"/>
        <w:ind w:left="709"/>
        <w:jc w:val="both"/>
        <w:rPr>
          <w:rFonts w:ascii="Palatino Linotype" w:eastAsia="Palatino Linotype" w:hAnsi="Palatino Linotype" w:cs="Palatino Linotype"/>
          <w:i/>
        </w:rPr>
      </w:pPr>
    </w:p>
    <w:p w14:paraId="03695404" w14:textId="77777777" w:rsidR="00443F9D" w:rsidRPr="00D365BF" w:rsidRDefault="001B2381">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rPr>
        <w:t xml:space="preserve">El Acuerdo emitido por el Comité de Transparencia del Ayuntamiento Naucalpan de Juárez que confirme la incompetencia respecto de la </w:t>
      </w:r>
      <w:r w:rsidRPr="00D365BF">
        <w:rPr>
          <w:rFonts w:ascii="Palatino Linotype" w:eastAsia="Palatino Linotype" w:hAnsi="Palatino Linotype" w:cs="Palatino Linotype"/>
        </w:rPr>
        <w:lastRenderedPageBreak/>
        <w:t>información que le competen a la Secretaría del Medio Ambiente, relacionada con la Licencia de Impacto Ambiental, de los inmuebles descritos en la solicitud número 00946/NAUCALPA/IP/2022.</w:t>
      </w:r>
    </w:p>
    <w:p w14:paraId="7AC8DD70" w14:textId="77777777" w:rsidR="00443F9D" w:rsidRPr="00D365BF" w:rsidRDefault="00443F9D">
      <w:pPr>
        <w:pBdr>
          <w:top w:val="nil"/>
          <w:left w:val="nil"/>
          <w:bottom w:val="nil"/>
          <w:right w:val="nil"/>
          <w:between w:val="nil"/>
        </w:pBdr>
        <w:spacing w:line="276" w:lineRule="auto"/>
        <w:ind w:left="567" w:right="49"/>
        <w:jc w:val="both"/>
        <w:rPr>
          <w:rFonts w:ascii="Palatino Linotype" w:eastAsia="Palatino Linotype" w:hAnsi="Palatino Linotype" w:cs="Palatino Linotype"/>
          <w:i/>
        </w:rPr>
      </w:pPr>
    </w:p>
    <w:p w14:paraId="06E4168A" w14:textId="77777777" w:rsidR="00443F9D" w:rsidRPr="00D365BF" w:rsidRDefault="001B2381">
      <w:pPr>
        <w:spacing w:line="360" w:lineRule="auto"/>
        <w:ind w:right="-93"/>
        <w:jc w:val="both"/>
        <w:rPr>
          <w:rFonts w:ascii="Palatino Linotype" w:eastAsia="Palatino Linotype" w:hAnsi="Palatino Linotype" w:cs="Palatino Linotype"/>
        </w:rPr>
      </w:pPr>
      <w:r w:rsidRPr="00D365BF">
        <w:rPr>
          <w:rFonts w:ascii="Palatino Linotype" w:eastAsia="Palatino Linotype" w:hAnsi="Palatino Linotype" w:cs="Palatino Linotype"/>
          <w:b/>
        </w:rPr>
        <w:t xml:space="preserve">TERCERO. Notifíquese </w:t>
      </w:r>
      <w:r w:rsidRPr="00D365BF">
        <w:rPr>
          <w:rFonts w:ascii="Palatino Linotype" w:eastAsia="Palatino Linotype" w:hAnsi="Palatino Linotype" w:cs="Palatino Linotype"/>
        </w:rPr>
        <w:t>la presente resolución al T</w:t>
      </w:r>
      <w:r w:rsidRPr="00D365BF">
        <w:rPr>
          <w:rFonts w:ascii="Palatino Linotype" w:eastAsia="Palatino Linotype" w:hAnsi="Palatino Linotype" w:cs="Palatino Linotype"/>
          <w:b/>
        </w:rPr>
        <w:t xml:space="preserve">itular de la Unidad de Transparencia </w:t>
      </w:r>
      <w:r w:rsidRPr="00D365BF">
        <w:rPr>
          <w:rFonts w:ascii="Palatino Linotype" w:eastAsia="Palatino Linotype" w:hAnsi="Palatino Linotype" w:cs="Palatino Linotype"/>
        </w:rPr>
        <w:t xml:space="preserve">del </w:t>
      </w:r>
      <w:r w:rsidRPr="00D365BF">
        <w:rPr>
          <w:rFonts w:ascii="Palatino Linotype" w:eastAsia="Palatino Linotype" w:hAnsi="Palatino Linotype" w:cs="Palatino Linotype"/>
          <w:b/>
        </w:rPr>
        <w:t>SUJETO OBLIGADO</w:t>
      </w:r>
      <w:r w:rsidRPr="00D365BF">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741618E" w14:textId="77777777" w:rsidR="00443F9D" w:rsidRPr="00D365BF" w:rsidRDefault="00443F9D">
      <w:pPr>
        <w:spacing w:line="360" w:lineRule="auto"/>
        <w:ind w:right="-93"/>
        <w:jc w:val="both"/>
        <w:rPr>
          <w:rFonts w:ascii="Palatino Linotype" w:eastAsia="Palatino Linotype" w:hAnsi="Palatino Linotype" w:cs="Palatino Linotype"/>
        </w:rPr>
      </w:pPr>
    </w:p>
    <w:p w14:paraId="224871FC" w14:textId="77777777" w:rsidR="00443F9D" w:rsidRPr="00D365BF" w:rsidRDefault="001B2381">
      <w:pPr>
        <w:spacing w:line="360" w:lineRule="auto"/>
        <w:jc w:val="both"/>
        <w:rPr>
          <w:rFonts w:ascii="Palatino Linotype" w:eastAsia="Palatino Linotype" w:hAnsi="Palatino Linotype" w:cs="Palatino Linotype"/>
        </w:rPr>
      </w:pPr>
      <w:r w:rsidRPr="00D365BF">
        <w:rPr>
          <w:rFonts w:ascii="Palatino Linotype" w:eastAsia="Palatino Linotype" w:hAnsi="Palatino Linotype" w:cs="Palatino Linotype"/>
          <w:b/>
        </w:rPr>
        <w:t xml:space="preserve">CUARTO. </w:t>
      </w:r>
      <w:r w:rsidRPr="00D365B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D365BF">
        <w:rPr>
          <w:rFonts w:ascii="Palatino Linotype" w:eastAsia="Palatino Linotype" w:hAnsi="Palatino Linotype" w:cs="Palatino Linotype"/>
          <w:b/>
        </w:rPr>
        <w:t>EL SUJETO OBLIGADO</w:t>
      </w:r>
      <w:r w:rsidRPr="00D365BF">
        <w:rPr>
          <w:rFonts w:ascii="Palatino Linotype" w:eastAsia="Palatino Linotype" w:hAnsi="Palatino Linotype" w:cs="Palatino Linotype"/>
        </w:rPr>
        <w:t xml:space="preserve"> de manera fundada y motivada, podrá solicitar una ampliación de plazo para el cumplimiento de la presente resolución.</w:t>
      </w:r>
    </w:p>
    <w:p w14:paraId="50498B84" w14:textId="77777777" w:rsidR="00443F9D" w:rsidRPr="00D365BF" w:rsidRDefault="00443F9D">
      <w:pPr>
        <w:spacing w:line="360" w:lineRule="auto"/>
        <w:jc w:val="both"/>
        <w:rPr>
          <w:rFonts w:ascii="Palatino Linotype" w:eastAsia="Palatino Linotype" w:hAnsi="Palatino Linotype" w:cs="Palatino Linotype"/>
          <w:b/>
        </w:rPr>
      </w:pPr>
    </w:p>
    <w:p w14:paraId="307A1EEC" w14:textId="77777777" w:rsidR="00443F9D" w:rsidRPr="00D365BF" w:rsidRDefault="001B2381">
      <w:pPr>
        <w:spacing w:line="360" w:lineRule="auto"/>
        <w:ind w:right="49"/>
        <w:jc w:val="both"/>
        <w:rPr>
          <w:rFonts w:ascii="Palatino Linotype" w:eastAsia="Palatino Linotype" w:hAnsi="Palatino Linotype" w:cs="Palatino Linotype"/>
        </w:rPr>
      </w:pPr>
      <w:bookmarkStart w:id="3" w:name="_heading=h.2et92p0" w:colFirst="0" w:colLast="0"/>
      <w:bookmarkEnd w:id="3"/>
      <w:r w:rsidRPr="00D365BF">
        <w:rPr>
          <w:rFonts w:ascii="Palatino Linotype" w:eastAsia="Palatino Linotype" w:hAnsi="Palatino Linotype" w:cs="Palatino Linotype"/>
          <w:b/>
        </w:rPr>
        <w:t>QUINTO. Notifíquese vía SAIMEX</w:t>
      </w:r>
      <w:r w:rsidRPr="00D365BF">
        <w:rPr>
          <w:rFonts w:ascii="Palatino Linotype" w:eastAsia="Palatino Linotype" w:hAnsi="Palatino Linotype" w:cs="Palatino Linotype"/>
        </w:rPr>
        <w:t xml:space="preserve">, a la parte </w:t>
      </w:r>
      <w:r w:rsidRPr="00D365BF">
        <w:rPr>
          <w:rFonts w:ascii="Palatino Linotype" w:eastAsia="Palatino Linotype" w:hAnsi="Palatino Linotype" w:cs="Palatino Linotype"/>
          <w:b/>
        </w:rPr>
        <w:t>RECURRENTE</w:t>
      </w:r>
      <w:r w:rsidRPr="00D365B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w:t>
      </w:r>
      <w:r w:rsidRPr="00D365BF">
        <w:rPr>
          <w:rFonts w:ascii="Palatino Linotype" w:eastAsia="Palatino Linotype" w:hAnsi="Palatino Linotype" w:cs="Palatino Linotype"/>
        </w:rPr>
        <w:lastRenderedPageBreak/>
        <w:t>Municipios, podrá impugnar la presente resolución vía Juicio de Amparo en los términos de las leyes aplicables.</w:t>
      </w:r>
    </w:p>
    <w:p w14:paraId="580100A6" w14:textId="5E36CF40" w:rsidR="00443F9D" w:rsidRDefault="001B2381">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D365B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TRIGÉSIMA SESIÓN ORDINARIA CELEBRADA EL VEINTITRÉS DE AGOSTO DE DOS MIL VEINTITRÉS, ANTE EL SECRETARIO TÉCNICO DEL PLENO ALEXIS TAPIA RAMÍREZ.</w:t>
      </w:r>
    </w:p>
    <w:p w14:paraId="77B9C4C1" w14:textId="2CBE1FA5" w:rsidR="00D20417" w:rsidRDefault="00D20417">
      <w:pPr>
        <w:spacing w:before="240" w:after="240" w:line="360" w:lineRule="auto"/>
        <w:jc w:val="both"/>
        <w:rPr>
          <w:rFonts w:ascii="Palatino Linotype" w:eastAsia="Palatino Linotype" w:hAnsi="Palatino Linotype" w:cs="Palatino Linotype"/>
        </w:rPr>
      </w:pPr>
    </w:p>
    <w:p w14:paraId="14D0B66A" w14:textId="25F2C033" w:rsidR="00D20417" w:rsidRDefault="00D20417">
      <w:pPr>
        <w:spacing w:before="240" w:after="240" w:line="360" w:lineRule="auto"/>
        <w:jc w:val="both"/>
        <w:rPr>
          <w:rFonts w:ascii="Palatino Linotype" w:eastAsia="Palatino Linotype" w:hAnsi="Palatino Linotype" w:cs="Palatino Linotype"/>
        </w:rPr>
      </w:pPr>
    </w:p>
    <w:p w14:paraId="6CC42723" w14:textId="3C1E55E9" w:rsidR="00D20417" w:rsidRDefault="00D20417">
      <w:pPr>
        <w:spacing w:before="240" w:after="240" w:line="360" w:lineRule="auto"/>
        <w:jc w:val="both"/>
        <w:rPr>
          <w:rFonts w:ascii="Palatino Linotype" w:eastAsia="Palatino Linotype" w:hAnsi="Palatino Linotype" w:cs="Palatino Linotype"/>
        </w:rPr>
      </w:pPr>
    </w:p>
    <w:p w14:paraId="72D2B092" w14:textId="17CCC495" w:rsidR="00D20417" w:rsidRDefault="00D20417">
      <w:pPr>
        <w:spacing w:before="240" w:after="240" w:line="360" w:lineRule="auto"/>
        <w:jc w:val="both"/>
        <w:rPr>
          <w:rFonts w:ascii="Palatino Linotype" w:eastAsia="Palatino Linotype" w:hAnsi="Palatino Linotype" w:cs="Palatino Linotype"/>
        </w:rPr>
      </w:pPr>
    </w:p>
    <w:p w14:paraId="259E3F34" w14:textId="42EB74C6" w:rsidR="00D20417" w:rsidRDefault="00D20417">
      <w:pPr>
        <w:spacing w:before="240" w:after="240" w:line="360" w:lineRule="auto"/>
        <w:jc w:val="both"/>
        <w:rPr>
          <w:rFonts w:ascii="Palatino Linotype" w:eastAsia="Palatino Linotype" w:hAnsi="Palatino Linotype" w:cs="Palatino Linotype"/>
        </w:rPr>
      </w:pPr>
    </w:p>
    <w:p w14:paraId="5DEBA353" w14:textId="33E5875D" w:rsidR="00D20417" w:rsidRDefault="00D20417">
      <w:pPr>
        <w:spacing w:before="240" w:after="240" w:line="360" w:lineRule="auto"/>
        <w:jc w:val="both"/>
        <w:rPr>
          <w:rFonts w:ascii="Palatino Linotype" w:eastAsia="Palatino Linotype" w:hAnsi="Palatino Linotype" w:cs="Palatino Linotype"/>
        </w:rPr>
      </w:pPr>
    </w:p>
    <w:p w14:paraId="0786B6F5" w14:textId="56258302" w:rsidR="00D20417" w:rsidRDefault="00D20417">
      <w:pPr>
        <w:spacing w:before="240" w:after="240" w:line="360" w:lineRule="auto"/>
        <w:jc w:val="both"/>
        <w:rPr>
          <w:rFonts w:ascii="Palatino Linotype" w:eastAsia="Palatino Linotype" w:hAnsi="Palatino Linotype" w:cs="Palatino Linotype"/>
        </w:rPr>
      </w:pPr>
    </w:p>
    <w:p w14:paraId="781FD1CB" w14:textId="77C0526D" w:rsidR="00D20417" w:rsidRDefault="00D20417">
      <w:pPr>
        <w:spacing w:before="240" w:after="240" w:line="360" w:lineRule="auto"/>
        <w:jc w:val="both"/>
        <w:rPr>
          <w:rFonts w:ascii="Palatino Linotype" w:eastAsia="Palatino Linotype" w:hAnsi="Palatino Linotype" w:cs="Palatino Linotype"/>
        </w:rPr>
      </w:pPr>
    </w:p>
    <w:p w14:paraId="28271F34" w14:textId="7FE4CE40" w:rsidR="00D20417" w:rsidRDefault="00D20417">
      <w:pPr>
        <w:spacing w:before="240" w:after="240" w:line="360" w:lineRule="auto"/>
        <w:jc w:val="both"/>
        <w:rPr>
          <w:rFonts w:ascii="Palatino Linotype" w:eastAsia="Palatino Linotype" w:hAnsi="Palatino Linotype" w:cs="Palatino Linotype"/>
        </w:rPr>
      </w:pPr>
    </w:p>
    <w:p w14:paraId="07C96E94" w14:textId="55A3EB05" w:rsidR="00D20417" w:rsidRDefault="00D20417">
      <w:pPr>
        <w:spacing w:before="240" w:after="240" w:line="360" w:lineRule="auto"/>
        <w:jc w:val="both"/>
        <w:rPr>
          <w:rFonts w:ascii="Palatino Linotype" w:eastAsia="Palatino Linotype" w:hAnsi="Palatino Linotype" w:cs="Palatino Linotype"/>
        </w:rPr>
      </w:pPr>
    </w:p>
    <w:p w14:paraId="0C7C150F" w14:textId="0F4085B1" w:rsidR="00D20417" w:rsidRDefault="00D20417">
      <w:pPr>
        <w:spacing w:before="240" w:after="240" w:line="360" w:lineRule="auto"/>
        <w:jc w:val="both"/>
        <w:rPr>
          <w:rFonts w:ascii="Palatino Linotype" w:eastAsia="Palatino Linotype" w:hAnsi="Palatino Linotype" w:cs="Palatino Linotype"/>
        </w:rPr>
      </w:pPr>
    </w:p>
    <w:p w14:paraId="39559558" w14:textId="234F13BB" w:rsidR="00D20417" w:rsidRDefault="00D20417">
      <w:pPr>
        <w:spacing w:before="240" w:after="240" w:line="360" w:lineRule="auto"/>
        <w:jc w:val="both"/>
        <w:rPr>
          <w:rFonts w:ascii="Palatino Linotype" w:eastAsia="Palatino Linotype" w:hAnsi="Palatino Linotype" w:cs="Palatino Linotype"/>
        </w:rPr>
      </w:pPr>
    </w:p>
    <w:p w14:paraId="2BB4C0B4" w14:textId="77777777" w:rsidR="00D20417" w:rsidRPr="00D365BF" w:rsidRDefault="00D20417">
      <w:pPr>
        <w:spacing w:before="240" w:after="240" w:line="360" w:lineRule="auto"/>
        <w:jc w:val="both"/>
        <w:rPr>
          <w:rFonts w:ascii="Palatino Linotype" w:eastAsia="Palatino Linotype" w:hAnsi="Palatino Linotype" w:cs="Palatino Linotype"/>
        </w:rPr>
      </w:pPr>
    </w:p>
    <w:sectPr w:rsidR="00D20417" w:rsidRPr="00D365BF">
      <w:headerReference w:type="default" r:id="rId26"/>
      <w:footerReference w:type="default" r:id="rId27"/>
      <w:headerReference w:type="first" r:id="rId28"/>
      <w:footerReference w:type="first" r:id="rId29"/>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D8DEA" w14:textId="77777777" w:rsidR="0013603B" w:rsidRDefault="0013603B">
      <w:r>
        <w:separator/>
      </w:r>
    </w:p>
  </w:endnote>
  <w:endnote w:type="continuationSeparator" w:id="0">
    <w:p w14:paraId="776B0CAC" w14:textId="77777777" w:rsidR="0013603B" w:rsidRDefault="0013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1FB8" w14:textId="77777777" w:rsidR="00443F9D" w:rsidRDefault="001B238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365BF">
      <w:rPr>
        <w:rFonts w:ascii="Palatino Linotype" w:eastAsia="Palatino Linotype" w:hAnsi="Palatino Linotype" w:cs="Palatino Linotype"/>
        <w:b/>
        <w:noProof/>
        <w:color w:val="000000"/>
        <w:sz w:val="20"/>
        <w:szCs w:val="20"/>
      </w:rPr>
      <w:t>74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365BF">
      <w:rPr>
        <w:rFonts w:ascii="Palatino Linotype" w:eastAsia="Palatino Linotype" w:hAnsi="Palatino Linotype" w:cs="Palatino Linotype"/>
        <w:b/>
        <w:noProof/>
        <w:color w:val="000000"/>
        <w:sz w:val="20"/>
        <w:szCs w:val="20"/>
      </w:rPr>
      <w:t>76</w:t>
    </w:r>
    <w:r>
      <w:rPr>
        <w:rFonts w:ascii="Palatino Linotype" w:eastAsia="Palatino Linotype" w:hAnsi="Palatino Linotype" w:cs="Palatino Linotype"/>
        <w:b/>
        <w:color w:val="000000"/>
        <w:sz w:val="20"/>
        <w:szCs w:val="20"/>
      </w:rPr>
      <w:fldChar w:fldCharType="end"/>
    </w:r>
  </w:p>
  <w:p w14:paraId="567E905D" w14:textId="77777777" w:rsidR="00443F9D" w:rsidRDefault="00443F9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3E8F" w14:textId="77777777" w:rsidR="00443F9D" w:rsidRDefault="001B238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365B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365BF">
      <w:rPr>
        <w:rFonts w:ascii="Palatino Linotype" w:eastAsia="Palatino Linotype" w:hAnsi="Palatino Linotype" w:cs="Palatino Linotype"/>
        <w:b/>
        <w:noProof/>
        <w:color w:val="000000"/>
        <w:sz w:val="20"/>
        <w:szCs w:val="20"/>
      </w:rPr>
      <w:t>76</w:t>
    </w:r>
    <w:r>
      <w:rPr>
        <w:rFonts w:ascii="Palatino Linotype" w:eastAsia="Palatino Linotype" w:hAnsi="Palatino Linotype" w:cs="Palatino Linotype"/>
        <w:b/>
        <w:color w:val="000000"/>
        <w:sz w:val="20"/>
        <w:szCs w:val="20"/>
      </w:rPr>
      <w:fldChar w:fldCharType="end"/>
    </w:r>
  </w:p>
  <w:p w14:paraId="3AA2D821" w14:textId="77777777" w:rsidR="00443F9D" w:rsidRDefault="00443F9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F695D" w14:textId="77777777" w:rsidR="0013603B" w:rsidRDefault="0013603B">
      <w:r>
        <w:separator/>
      </w:r>
    </w:p>
  </w:footnote>
  <w:footnote w:type="continuationSeparator" w:id="0">
    <w:p w14:paraId="17DB4517" w14:textId="77777777" w:rsidR="0013603B" w:rsidRDefault="00136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84DE" w14:textId="77777777" w:rsidR="00443F9D" w:rsidRDefault="001B238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8C24C88" wp14:editId="20FEAFAF">
          <wp:simplePos x="0" y="0"/>
          <wp:positionH relativeFrom="column">
            <wp:posOffset>-1080130</wp:posOffset>
          </wp:positionH>
          <wp:positionV relativeFrom="paragraph">
            <wp:posOffset>-488310</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443F9D" w14:paraId="3726851F" w14:textId="77777777">
      <w:tc>
        <w:tcPr>
          <w:tcW w:w="2489" w:type="dxa"/>
          <w:shd w:val="clear" w:color="auto" w:fill="auto"/>
        </w:tcPr>
        <w:p w14:paraId="5EF00406" w14:textId="77777777" w:rsidR="00443F9D" w:rsidRDefault="001B23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8D7500B" w14:textId="77777777" w:rsidR="00443F9D" w:rsidRDefault="001B238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17419/INFOEM/IP/RR/2022</w:t>
          </w:r>
        </w:p>
      </w:tc>
    </w:tr>
    <w:tr w:rsidR="00443F9D" w14:paraId="480E6DC9" w14:textId="77777777">
      <w:trPr>
        <w:trHeight w:val="228"/>
      </w:trPr>
      <w:tc>
        <w:tcPr>
          <w:tcW w:w="2489" w:type="dxa"/>
          <w:shd w:val="clear" w:color="auto" w:fill="auto"/>
          <w:vAlign w:val="center"/>
        </w:tcPr>
        <w:p w14:paraId="5BCDC8E8" w14:textId="77777777" w:rsidR="00443F9D" w:rsidRDefault="001B23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0A15389" w14:textId="77777777" w:rsidR="00443F9D" w:rsidRDefault="001B2381">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Naucalpan de Juárez.</w:t>
          </w:r>
        </w:p>
      </w:tc>
    </w:tr>
    <w:tr w:rsidR="00443F9D" w14:paraId="66C36A45" w14:textId="77777777">
      <w:tc>
        <w:tcPr>
          <w:tcW w:w="2489" w:type="dxa"/>
          <w:shd w:val="clear" w:color="auto" w:fill="auto"/>
          <w:vAlign w:val="center"/>
        </w:tcPr>
        <w:p w14:paraId="6C9688A4" w14:textId="77777777" w:rsidR="00443F9D" w:rsidRDefault="001B238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604F1F6" w14:textId="77777777" w:rsidR="00443F9D" w:rsidRDefault="001B238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D0B53A" w14:textId="77777777" w:rsidR="00443F9D" w:rsidRDefault="001B238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8C9FB" w14:textId="77777777" w:rsidR="00443F9D" w:rsidRDefault="00443F9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
      <w:tblW w:w="5670" w:type="dxa"/>
      <w:tblInd w:w="3261" w:type="dxa"/>
      <w:tblLayout w:type="fixed"/>
      <w:tblLook w:val="0400" w:firstRow="0" w:lastRow="0" w:firstColumn="0" w:lastColumn="0" w:noHBand="0" w:noVBand="1"/>
    </w:tblPr>
    <w:tblGrid>
      <w:gridCol w:w="2551"/>
      <w:gridCol w:w="3119"/>
    </w:tblGrid>
    <w:tr w:rsidR="00443F9D" w14:paraId="1AA1DF20" w14:textId="77777777">
      <w:tc>
        <w:tcPr>
          <w:tcW w:w="2551" w:type="dxa"/>
          <w:shd w:val="clear" w:color="auto" w:fill="auto"/>
          <w:vAlign w:val="center"/>
        </w:tcPr>
        <w:p w14:paraId="1E896D44" w14:textId="77777777" w:rsidR="00443F9D" w:rsidRDefault="001B23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9317D55" w14:textId="77777777" w:rsidR="00443F9D" w:rsidRDefault="001B238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17419/INFOEM/IP/RR/2022</w:t>
          </w:r>
        </w:p>
      </w:tc>
    </w:tr>
    <w:tr w:rsidR="00443F9D" w14:paraId="351AB1FE" w14:textId="77777777">
      <w:trPr>
        <w:trHeight w:val="130"/>
      </w:trPr>
      <w:tc>
        <w:tcPr>
          <w:tcW w:w="2551" w:type="dxa"/>
          <w:shd w:val="clear" w:color="auto" w:fill="auto"/>
          <w:vAlign w:val="center"/>
        </w:tcPr>
        <w:p w14:paraId="4EF99FC6" w14:textId="77777777" w:rsidR="00443F9D" w:rsidRDefault="001B23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9733DE7" w14:textId="03F9303C" w:rsidR="00443F9D" w:rsidRDefault="00D3531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 XXXXXX XXXX</w:t>
          </w:r>
        </w:p>
      </w:tc>
    </w:tr>
    <w:tr w:rsidR="00443F9D" w14:paraId="3BBFFE07" w14:textId="77777777">
      <w:trPr>
        <w:trHeight w:val="228"/>
      </w:trPr>
      <w:tc>
        <w:tcPr>
          <w:tcW w:w="2551" w:type="dxa"/>
          <w:shd w:val="clear" w:color="auto" w:fill="auto"/>
          <w:vAlign w:val="center"/>
        </w:tcPr>
        <w:p w14:paraId="5C2B2667" w14:textId="77777777" w:rsidR="00443F9D" w:rsidRDefault="001B23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E6D220B" w14:textId="77777777" w:rsidR="00443F9D" w:rsidRDefault="001B2381">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443F9D" w14:paraId="0C05D280" w14:textId="77777777">
      <w:tc>
        <w:tcPr>
          <w:tcW w:w="2551" w:type="dxa"/>
          <w:shd w:val="clear" w:color="auto" w:fill="auto"/>
          <w:vAlign w:val="center"/>
        </w:tcPr>
        <w:p w14:paraId="4F811A19" w14:textId="77777777" w:rsidR="00443F9D" w:rsidRDefault="001B238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6D31CD5" w14:textId="77777777" w:rsidR="00443F9D" w:rsidRDefault="001B238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69380A" w14:textId="77777777" w:rsidR="00443F9D" w:rsidRDefault="001B238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5A6A1D7" wp14:editId="449BAA12">
          <wp:simplePos x="0" y="0"/>
          <wp:positionH relativeFrom="column">
            <wp:posOffset>-1089655</wp:posOffset>
          </wp:positionH>
          <wp:positionV relativeFrom="paragraph">
            <wp:posOffset>-1169665</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233"/>
    <w:multiLevelType w:val="multilevel"/>
    <w:tmpl w:val="E6A4DCC2"/>
    <w:lvl w:ilvl="0">
      <w:start w:val="1"/>
      <w:numFmt w:val="bullet"/>
      <w:pStyle w:val="Listaconvietas3"/>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1D2EF5"/>
    <w:multiLevelType w:val="multilevel"/>
    <w:tmpl w:val="59D47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592280"/>
    <w:multiLevelType w:val="multilevel"/>
    <w:tmpl w:val="8E5CEBA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29F5A08"/>
    <w:multiLevelType w:val="multilevel"/>
    <w:tmpl w:val="41165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FF733D"/>
    <w:multiLevelType w:val="multilevel"/>
    <w:tmpl w:val="6F489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9B45E4"/>
    <w:multiLevelType w:val="multilevel"/>
    <w:tmpl w:val="1B02872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52E42F5A"/>
    <w:multiLevelType w:val="multilevel"/>
    <w:tmpl w:val="B75E0F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560224"/>
    <w:multiLevelType w:val="multilevel"/>
    <w:tmpl w:val="908E2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1F38AF"/>
    <w:multiLevelType w:val="multilevel"/>
    <w:tmpl w:val="949CA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A210C0D"/>
    <w:multiLevelType w:val="multilevel"/>
    <w:tmpl w:val="23B65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4"/>
  </w:num>
  <w:num w:numId="4">
    <w:abstractNumId w:val="7"/>
  </w:num>
  <w:num w:numId="5">
    <w:abstractNumId w:val="6"/>
  </w:num>
  <w:num w:numId="6">
    <w:abstractNumId w:val="2"/>
  </w:num>
  <w:num w:numId="7">
    <w:abstractNumId w:val="3"/>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F9D"/>
    <w:rsid w:val="0013603B"/>
    <w:rsid w:val="001B2381"/>
    <w:rsid w:val="00342632"/>
    <w:rsid w:val="00443F9D"/>
    <w:rsid w:val="00487C29"/>
    <w:rsid w:val="00C74593"/>
    <w:rsid w:val="00D20417"/>
    <w:rsid w:val="00D3531C"/>
    <w:rsid w:val="00D365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02F4D"/>
  <w15:docId w15:val="{D53DED66-0C54-4EB1-93A3-60681E15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FB"/>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8111F6"/>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top w:w="15" w:type="dxa"/>
        <w:left w:w="115" w:type="dxa"/>
        <w:bottom w:w="15" w:type="dxa"/>
        <w:right w:w="115" w:type="dxa"/>
      </w:tblCellMar>
    </w:tblPr>
  </w:style>
  <w:style w:type="table" w:customStyle="1" w:styleId="af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78492.page" TargetMode="External"/><Relationship Id="rId13" Type="http://schemas.openxmlformats.org/officeDocument/2006/relationships/hyperlink" Target="https://saimex.org.mx/saimex/solicitud/downloadAttach/1678497.page" TargetMode="External"/><Relationship Id="rId18" Type="http://schemas.openxmlformats.org/officeDocument/2006/relationships/hyperlink" Target="https://naucalpan.gob.mx/wp-content/uploads/2020/07/66-.-REGLAMENTO-INTERNO-DE-LA-DIRECCION-GENERAL-DE-DESARROLLO-URBANO-DEL-MUNICIPIO-DE-NAUCALPAN-DE-JUAREZ-MEXICO.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saimex.org.mx/saimex/solicitud/downloadAttach/1719525.page"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s://saimex.org.mx/saimex/solicitud/downloadAttach/1709274.page"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78496.page"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saimex.org.mx/saimex/solicitud/downloadAttach/1709273.page"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hyperlink" Target="https://saimex.org.mx/saimex/solicitud/downloadAttach/1678495.page"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678494.page" TargetMode="External"/><Relationship Id="rId14" Type="http://schemas.openxmlformats.org/officeDocument/2006/relationships/hyperlink" Target="https://saimex.org.mx/saimex/solicitud/downloadAttach/1709272.page"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ygbTUTekO/zslJed+usXK7xQ==">CgMxLjAyCGguZ2pkZ3hzMgloLjMwajB6bGwyCGgudHlqY3d0MgloLjJldDkycDAyCWguMWZvYjl0ZTgAciExR1lNOHV6aThhbEluN1h0S0sxZmRIYmZmMDNpWUJKQUQ=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77</Pages>
  <Words>19905</Words>
  <Characters>109478</Characters>
  <Application>Microsoft Office Word</Application>
  <DocSecurity>4</DocSecurity>
  <Lines>912</Lines>
  <Paragraphs>258</Paragraphs>
  <ScaleCrop>false</ScaleCrop>
  <Company>HP Inc.</Company>
  <LinksUpToDate>false</LinksUpToDate>
  <CharactersWithSpaces>129125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2023-08-25T04:31:00Z</cp:lastPrinted>
  <dcterms:created xsi:type="dcterms:W3CDTF">2023-09-04T22:38:00Z</dcterms:created>
  <dcterms:modified xsi:type="dcterms:W3CDTF">2023-09-04T22:38:00Z</dcterms:modified>
</cp:coreProperties>
</file>