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4767" w:rsidRDefault="001A4767">
      <w:pPr>
        <w:widowControl w:val="0"/>
        <w:pBdr>
          <w:top w:val="nil"/>
          <w:left w:val="nil"/>
          <w:bottom w:val="nil"/>
          <w:right w:val="nil"/>
          <w:between w:val="nil"/>
        </w:pBdr>
        <w:spacing w:line="276" w:lineRule="auto"/>
      </w:pPr>
    </w:p>
    <w:p w:rsidR="001A4767" w:rsidRPr="00897F1E" w:rsidRDefault="00384B6A">
      <w:pPr>
        <w:spacing w:line="360" w:lineRule="auto"/>
        <w:jc w:val="both"/>
        <w:rPr>
          <w:rFonts w:ascii="Palatino Linotype" w:eastAsia="Palatino Linotype" w:hAnsi="Palatino Linotype" w:cs="Palatino Linotype"/>
          <w:color w:val="0D0D0D"/>
          <w:sz w:val="24"/>
          <w:szCs w:val="24"/>
        </w:rPr>
      </w:pPr>
      <w:r w:rsidRPr="00897F1E">
        <w:rPr>
          <w:rFonts w:ascii="Palatino Linotype" w:eastAsia="Palatino Linotype" w:hAnsi="Palatino Linotype" w:cs="Palatino Linotype"/>
          <w:color w:val="0D0D0D"/>
          <w:sz w:val="24"/>
          <w:szCs w:val="24"/>
        </w:rPr>
        <w:t xml:space="preserve">Resolución del Pleno del Instituto de Transparencia, Acceso a la Información Pública y Protección de Datos Personales del Estado de México y Municipios, con domicilio en Metepec, Estado de México, de fecha tres de octubre de dos mil veintitrés. </w:t>
      </w:r>
    </w:p>
    <w:p w:rsidR="001A4767" w:rsidRPr="00897F1E" w:rsidRDefault="001A4767">
      <w:pPr>
        <w:spacing w:line="360" w:lineRule="auto"/>
        <w:jc w:val="center"/>
        <w:rPr>
          <w:rFonts w:ascii="Palatino Linotype" w:eastAsia="Palatino Linotype" w:hAnsi="Palatino Linotype" w:cs="Palatino Linotype"/>
          <w:color w:val="0D0D0D"/>
          <w:sz w:val="24"/>
          <w:szCs w:val="24"/>
        </w:rPr>
      </w:pPr>
    </w:p>
    <w:p w:rsidR="001A4767" w:rsidRPr="00897F1E" w:rsidRDefault="00384B6A">
      <w:pPr>
        <w:spacing w:line="360" w:lineRule="auto"/>
        <w:jc w:val="both"/>
        <w:rPr>
          <w:rFonts w:ascii="Palatino Linotype" w:eastAsia="Palatino Linotype" w:hAnsi="Palatino Linotype" w:cs="Palatino Linotype"/>
          <w:color w:val="0D0D0D"/>
          <w:sz w:val="24"/>
          <w:szCs w:val="24"/>
        </w:rPr>
      </w:pPr>
      <w:r w:rsidRPr="00897F1E">
        <w:rPr>
          <w:rFonts w:ascii="Palatino Linotype" w:eastAsia="Palatino Linotype" w:hAnsi="Palatino Linotype" w:cs="Palatino Linotype"/>
          <w:b/>
          <w:color w:val="0D0D0D"/>
          <w:sz w:val="24"/>
          <w:szCs w:val="24"/>
        </w:rPr>
        <w:t xml:space="preserve">VISTO </w:t>
      </w:r>
      <w:r w:rsidRPr="00897F1E">
        <w:rPr>
          <w:rFonts w:ascii="Palatino Linotype" w:eastAsia="Palatino Linotype" w:hAnsi="Palatino Linotype" w:cs="Palatino Linotype"/>
          <w:color w:val="0D0D0D"/>
          <w:sz w:val="24"/>
          <w:szCs w:val="24"/>
        </w:rPr>
        <w:t xml:space="preserve">el expediente conformado con motivo del Recurso de Revisión </w:t>
      </w:r>
      <w:r w:rsidRPr="00897F1E">
        <w:rPr>
          <w:rFonts w:ascii="Palatino Linotype" w:eastAsia="Palatino Linotype" w:hAnsi="Palatino Linotype" w:cs="Palatino Linotype"/>
          <w:b/>
          <w:color w:val="0D0D0D"/>
          <w:sz w:val="24"/>
          <w:szCs w:val="24"/>
        </w:rPr>
        <w:t>13389/INFOEM/IP/RR/2022</w:t>
      </w:r>
      <w:r w:rsidRPr="00897F1E">
        <w:rPr>
          <w:rFonts w:ascii="Palatino Linotype" w:eastAsia="Palatino Linotype" w:hAnsi="Palatino Linotype" w:cs="Palatino Linotype"/>
          <w:color w:val="0D0D0D"/>
          <w:sz w:val="24"/>
          <w:szCs w:val="24"/>
        </w:rPr>
        <w:t xml:space="preserve">, interpuesto por </w:t>
      </w:r>
      <w:r w:rsidR="00E04B43">
        <w:rPr>
          <w:rFonts w:ascii="Palatino Linotype" w:eastAsia="Palatino Linotype" w:hAnsi="Palatino Linotype" w:cs="Palatino Linotype"/>
          <w:b/>
          <w:color w:val="0D0D0D"/>
          <w:sz w:val="24"/>
          <w:szCs w:val="24"/>
        </w:rPr>
        <w:t>XXXX XXXX</w:t>
      </w:r>
      <w:bookmarkStart w:id="0" w:name="_GoBack"/>
      <w:bookmarkEnd w:id="0"/>
      <w:r w:rsidR="00E04B43">
        <w:rPr>
          <w:rFonts w:ascii="Palatino Linotype" w:eastAsia="Palatino Linotype" w:hAnsi="Palatino Linotype" w:cs="Palatino Linotype"/>
          <w:b/>
          <w:color w:val="0D0D0D"/>
          <w:sz w:val="24"/>
          <w:szCs w:val="24"/>
        </w:rPr>
        <w:t xml:space="preserve"> XXXXXX XXXXX</w:t>
      </w:r>
      <w:r w:rsidRPr="00897F1E">
        <w:rPr>
          <w:rFonts w:ascii="Palatino Linotype" w:eastAsia="Palatino Linotype" w:hAnsi="Palatino Linotype" w:cs="Palatino Linotype"/>
          <w:color w:val="0D0D0D"/>
          <w:sz w:val="24"/>
          <w:szCs w:val="24"/>
        </w:rPr>
        <w:t xml:space="preserve">, en lo sucesivo, la parte Recurrente, en contra de la respuesta del Sujeto Obligado, </w:t>
      </w:r>
      <w:r w:rsidRPr="00897F1E">
        <w:rPr>
          <w:rFonts w:ascii="Palatino Linotype" w:eastAsia="Palatino Linotype" w:hAnsi="Palatino Linotype" w:cs="Palatino Linotype"/>
          <w:b/>
          <w:color w:val="0D0D0D"/>
          <w:sz w:val="24"/>
          <w:szCs w:val="24"/>
        </w:rPr>
        <w:t>Procuraduría de Protección al Ambiente del Estado de México</w:t>
      </w:r>
      <w:r w:rsidRPr="00897F1E">
        <w:rPr>
          <w:rFonts w:ascii="Palatino Linotype" w:eastAsia="Palatino Linotype" w:hAnsi="Palatino Linotype" w:cs="Palatino Linotype"/>
          <w:color w:val="0D0D0D"/>
          <w:sz w:val="24"/>
          <w:szCs w:val="24"/>
        </w:rPr>
        <w:t>, a la solicitud de acceso a la información pública</w:t>
      </w:r>
      <w:r w:rsidRPr="00897F1E">
        <w:rPr>
          <w:rFonts w:ascii="Palatino Linotype" w:eastAsia="Palatino Linotype" w:hAnsi="Palatino Linotype" w:cs="Palatino Linotype"/>
          <w:b/>
          <w:color w:val="0D0D0D"/>
          <w:sz w:val="24"/>
          <w:szCs w:val="24"/>
        </w:rPr>
        <w:t xml:space="preserve"> 00088/PROPAEM/IP/2022</w:t>
      </w:r>
      <w:r w:rsidRPr="00897F1E">
        <w:rPr>
          <w:rFonts w:ascii="Palatino Linotype" w:eastAsia="Palatino Linotype" w:hAnsi="Palatino Linotype" w:cs="Palatino Linotype"/>
          <w:color w:val="0D0D0D"/>
          <w:sz w:val="24"/>
          <w:szCs w:val="24"/>
        </w:rPr>
        <w:t>, se emite la presente Resolución, con base en los Antecedentes y Considerandos que a continuación se exponen:</w:t>
      </w:r>
    </w:p>
    <w:p w:rsidR="001A4767" w:rsidRPr="00897F1E" w:rsidRDefault="001A4767">
      <w:pPr>
        <w:spacing w:line="360" w:lineRule="auto"/>
        <w:rPr>
          <w:rFonts w:ascii="Palatino Linotype" w:eastAsia="Palatino Linotype" w:hAnsi="Palatino Linotype" w:cs="Palatino Linotype"/>
          <w:color w:val="0D0D0D"/>
          <w:sz w:val="24"/>
          <w:szCs w:val="24"/>
        </w:rPr>
      </w:pPr>
    </w:p>
    <w:p w:rsidR="001A4767" w:rsidRPr="00897F1E" w:rsidRDefault="00384B6A">
      <w:pPr>
        <w:tabs>
          <w:tab w:val="center" w:pos="4522"/>
          <w:tab w:val="left" w:pos="7245"/>
        </w:tabs>
        <w:spacing w:line="360" w:lineRule="auto"/>
        <w:jc w:val="center"/>
        <w:rPr>
          <w:rFonts w:ascii="Palatino Linotype" w:eastAsia="Palatino Linotype" w:hAnsi="Palatino Linotype" w:cs="Palatino Linotype"/>
          <w:b/>
          <w:color w:val="0D0D0D"/>
          <w:sz w:val="24"/>
          <w:szCs w:val="24"/>
        </w:rPr>
      </w:pPr>
      <w:r w:rsidRPr="00897F1E">
        <w:rPr>
          <w:rFonts w:ascii="Palatino Linotype" w:eastAsia="Palatino Linotype" w:hAnsi="Palatino Linotype" w:cs="Palatino Linotype"/>
          <w:b/>
          <w:color w:val="0D0D0D"/>
          <w:sz w:val="24"/>
          <w:szCs w:val="24"/>
        </w:rPr>
        <w:t>ANTECEDENTES:</w:t>
      </w:r>
    </w:p>
    <w:p w:rsidR="001A4767" w:rsidRPr="00897F1E" w:rsidRDefault="001A4767">
      <w:pPr>
        <w:pBdr>
          <w:top w:val="nil"/>
          <w:left w:val="nil"/>
          <w:bottom w:val="nil"/>
          <w:right w:val="nil"/>
          <w:between w:val="nil"/>
        </w:pBdr>
        <w:tabs>
          <w:tab w:val="left" w:pos="567"/>
        </w:tabs>
        <w:spacing w:line="360" w:lineRule="auto"/>
        <w:jc w:val="both"/>
        <w:rPr>
          <w:rFonts w:ascii="Palatino Linotype" w:eastAsia="Palatino Linotype" w:hAnsi="Palatino Linotype" w:cs="Palatino Linotype"/>
          <w:color w:val="0D0D0D"/>
          <w:sz w:val="24"/>
          <w:szCs w:val="24"/>
        </w:rPr>
      </w:pPr>
    </w:p>
    <w:p w:rsidR="001A4767" w:rsidRPr="00897F1E" w:rsidRDefault="00384B6A">
      <w:pPr>
        <w:pBdr>
          <w:top w:val="nil"/>
          <w:left w:val="nil"/>
          <w:bottom w:val="nil"/>
          <w:right w:val="nil"/>
          <w:between w:val="nil"/>
        </w:pBdr>
        <w:tabs>
          <w:tab w:val="left" w:pos="567"/>
        </w:tabs>
        <w:spacing w:line="360" w:lineRule="auto"/>
        <w:jc w:val="both"/>
        <w:rPr>
          <w:rFonts w:ascii="Palatino Linotype" w:eastAsia="Palatino Linotype" w:hAnsi="Palatino Linotype" w:cs="Palatino Linotype"/>
          <w:b/>
          <w:color w:val="0D0D0D"/>
          <w:sz w:val="24"/>
          <w:szCs w:val="24"/>
        </w:rPr>
      </w:pPr>
      <w:r w:rsidRPr="00897F1E">
        <w:rPr>
          <w:rFonts w:ascii="Palatino Linotype" w:eastAsia="Palatino Linotype" w:hAnsi="Palatino Linotype" w:cs="Palatino Linotype"/>
          <w:b/>
          <w:color w:val="0D0D0D"/>
          <w:sz w:val="24"/>
          <w:szCs w:val="24"/>
        </w:rPr>
        <w:t xml:space="preserve">1. Presentación de la solicitud de información. </w:t>
      </w:r>
      <w:r w:rsidRPr="00897F1E">
        <w:rPr>
          <w:rFonts w:ascii="Palatino Linotype" w:eastAsia="Palatino Linotype" w:hAnsi="Palatino Linotype" w:cs="Palatino Linotype"/>
          <w:color w:val="0D0D0D"/>
          <w:sz w:val="24"/>
          <w:szCs w:val="24"/>
        </w:rPr>
        <w:t xml:space="preserve">Con fecha </w:t>
      </w:r>
      <w:r w:rsidRPr="00897F1E">
        <w:rPr>
          <w:rFonts w:ascii="Palatino Linotype" w:eastAsia="Palatino Linotype" w:hAnsi="Palatino Linotype" w:cs="Palatino Linotype"/>
          <w:b/>
          <w:color w:val="0D0D0D"/>
          <w:sz w:val="24"/>
          <w:szCs w:val="24"/>
        </w:rPr>
        <w:t>veintitrés de junio de dos mil veintidós</w:t>
      </w:r>
      <w:r w:rsidRPr="00897F1E">
        <w:rPr>
          <w:rFonts w:ascii="Palatino Linotype" w:eastAsia="Palatino Linotype" w:hAnsi="Palatino Linotype" w:cs="Palatino Linotype"/>
          <w:color w:val="0D0D0D"/>
          <w:sz w:val="24"/>
          <w:szCs w:val="24"/>
        </w:rPr>
        <w:t>, la parte Recurrente presentó una solicitud de acceso a la información pública, a través del Sistema de Acceso a la Información Mexiquense (SAIMEX), ante la Procuraduría de Protección al Ambiente del Estado de México, en donde requirió lo siguiente:</w:t>
      </w:r>
    </w:p>
    <w:p w:rsidR="001A4767" w:rsidRPr="00897F1E" w:rsidRDefault="00384B6A">
      <w:pPr>
        <w:tabs>
          <w:tab w:val="left" w:pos="4667"/>
        </w:tabs>
        <w:spacing w:line="360" w:lineRule="auto"/>
        <w:ind w:left="567" w:right="567"/>
        <w:jc w:val="both"/>
        <w:rPr>
          <w:rFonts w:ascii="Palatino Linotype" w:eastAsia="Palatino Linotype" w:hAnsi="Palatino Linotype" w:cs="Palatino Linotype"/>
          <w:b/>
          <w:i/>
          <w:color w:val="0D0D0D"/>
          <w:sz w:val="24"/>
          <w:szCs w:val="24"/>
        </w:rPr>
      </w:pPr>
      <w:r w:rsidRPr="00897F1E">
        <w:rPr>
          <w:rFonts w:ascii="Palatino Linotype" w:eastAsia="Palatino Linotype" w:hAnsi="Palatino Linotype" w:cs="Palatino Linotype"/>
          <w:b/>
          <w:i/>
          <w:color w:val="0D0D0D"/>
          <w:sz w:val="24"/>
          <w:szCs w:val="24"/>
        </w:rPr>
        <w:t xml:space="preserve"> </w:t>
      </w:r>
    </w:p>
    <w:p w:rsidR="001A4767" w:rsidRPr="00897F1E" w:rsidRDefault="00384B6A">
      <w:pPr>
        <w:tabs>
          <w:tab w:val="left" w:pos="4667"/>
        </w:tabs>
        <w:spacing w:line="276" w:lineRule="auto"/>
        <w:ind w:left="567" w:right="567"/>
        <w:jc w:val="both"/>
        <w:rPr>
          <w:rFonts w:ascii="Palatino Linotype" w:eastAsia="Palatino Linotype" w:hAnsi="Palatino Linotype" w:cs="Palatino Linotype"/>
          <w:i/>
          <w:color w:val="0D0D0D"/>
          <w:sz w:val="22"/>
          <w:szCs w:val="22"/>
        </w:rPr>
      </w:pPr>
      <w:r w:rsidRPr="00897F1E">
        <w:rPr>
          <w:rFonts w:ascii="Palatino Linotype" w:eastAsia="Palatino Linotype" w:hAnsi="Palatino Linotype" w:cs="Palatino Linotype"/>
          <w:b/>
          <w:i/>
          <w:color w:val="0D0D0D"/>
          <w:sz w:val="22"/>
          <w:szCs w:val="22"/>
        </w:rPr>
        <w:t xml:space="preserve">DESCRIPCIÓN CLARA Y PRECISA DE LA INFORMACIÓN SOLICITADA. </w:t>
      </w:r>
      <w:r w:rsidRPr="00897F1E">
        <w:rPr>
          <w:rFonts w:ascii="Palatino Linotype" w:eastAsia="Palatino Linotype" w:hAnsi="Palatino Linotype" w:cs="Palatino Linotype"/>
          <w:i/>
          <w:color w:val="0D0D0D"/>
          <w:sz w:val="22"/>
          <w:szCs w:val="22"/>
        </w:rPr>
        <w:t xml:space="preserve">DE CONFORMIDAD CON los artículos; 1, 4 cuarto y quinto párrafo, 6 segundo párrafo y su apartado A, 14 segundo párrafo y 16 segundo párrafo de la Constitución Política de Los Estados Unidos Mexicanos, 10 y 11 del Protocolo Adicional a la Convención Americana </w:t>
      </w:r>
      <w:r w:rsidRPr="00897F1E">
        <w:rPr>
          <w:rFonts w:ascii="Palatino Linotype" w:eastAsia="Palatino Linotype" w:hAnsi="Palatino Linotype" w:cs="Palatino Linotype"/>
          <w:i/>
          <w:color w:val="0D0D0D"/>
          <w:sz w:val="22"/>
          <w:szCs w:val="22"/>
        </w:rPr>
        <w:lastRenderedPageBreak/>
        <w:t xml:space="preserve">sobre Derechos Humanos en Materia de Derechos Económicos, Sociales y Culturales "PROTOCOLO DE SAN SALVADOR", 4, 5, 6, 7, 101 fracción IV y 115 de la Ley General de Transparencia y Acceso a la Información Pública, 4, 5, 7, 8, 123 fracción IV y 142 de la Ley de Transparencia y Acceso a la Información Pública del Estado de México y Municipios, a los LINEAMIENTOS GENERALES EN MATERIA DE CLASIFICACIÓN Y DESCLASIFICACIÓN DE LA INFORMACIÓN, ASÍ COMO PARA LA ELABORACIÓN DE VERSIONES PÚBLICAS; Capítulos IX del ANEXO DEL ACUERDO CONAIP/SNT/ACUERDO/EXT18/03/2016-03,a los indicios y denuncias por corrupción presentados, según los expedientes siguientes; En el Órgano Superior de Fiscalización del Estado de México (OSFEM) EAI/UI/DEN/003/2021 y en la Fiscalía General de Justicia del Estado de México NIC. FRM/FRM/02/MPI/184/00066/21/10, en consonancia a la Resolución del Pleno del Instituto Nacional de Acceso a la Información expediente Caso relevante RRA 4436/18 en contra de la Procuraduría General de la República Comisionado ponente: Oscar Mauricio Guerra Ford, “de acuerdo con el principio de máxima publicidad, la apertura es la regla, y el secreto es la excepción” (Corte IDH, Caso Claude Reyes y otros vs. Chile, párrafos 86 y 92), por lo que SOLICITO que la Procuraduría de Protección al Ambiente del Estado de México (PROPAEM) ME ENVIÉ VÍA SAIMEX LA INFORMACIÓN PÚBLICA SIGUIENTE; 1.- El escrito inicial de demanda de juicio administrativo contra el C. Procurador de Protección al Ambiente del Estado de México entre otros, interpuesto el 22 de noviembre de 2021 en la primera sala regional de jurisdicción ordinaria con sede en Toluca del Tribunal de Justicia Administrativa del Estado de México, por el C. Gustavo Martínez </w:t>
      </w:r>
      <w:proofErr w:type="spellStart"/>
      <w:r w:rsidRPr="00897F1E">
        <w:rPr>
          <w:rFonts w:ascii="Palatino Linotype" w:eastAsia="Palatino Linotype" w:hAnsi="Palatino Linotype" w:cs="Palatino Linotype"/>
          <w:i/>
          <w:color w:val="0D0D0D"/>
          <w:sz w:val="22"/>
          <w:szCs w:val="22"/>
        </w:rPr>
        <w:t>Martínez</w:t>
      </w:r>
      <w:proofErr w:type="spellEnd"/>
      <w:r w:rsidRPr="00897F1E">
        <w:rPr>
          <w:rFonts w:ascii="Palatino Linotype" w:eastAsia="Palatino Linotype" w:hAnsi="Palatino Linotype" w:cs="Palatino Linotype"/>
          <w:i/>
          <w:color w:val="0D0D0D"/>
          <w:sz w:val="22"/>
          <w:szCs w:val="22"/>
        </w:rPr>
        <w:t xml:space="preserve"> en su carácter de Subdirector de Asuntos Contenciosos de la Consejería Jurídica del municipio de Tlalnepantla de Baz Estado de México y apoderado legal del presidente municipal de Tlalnepantla, México, promoción con número de registro 161194. 2.- Las pruebas que acompañaron el escrito inicial de demanda, señalado en el punto 1 de esta solicitud de información pública, consistentes en los ANEXOS DOS, TRES, CUATRO, CINCO, SEIS, SIETE, OCHO, NUEVE, DIEZ, ONCE, DOCE, TRECE Y CATORCE 3.- El expediente generado por la emisión de los sellos de clausura Nos. 10045/2021 10046/2021, 10047/2021, 10048/2021. 10049/2021 y 10050/2021 emitidos por la PROPAEM al denominado Relleno Sanitario de Tlalnepantla o su conversión a Centro Integral de Residuos Sólidos de Tlalnepantla.</w:t>
      </w:r>
    </w:p>
    <w:p w:rsidR="001A4767" w:rsidRPr="00897F1E" w:rsidRDefault="001A4767">
      <w:pPr>
        <w:tabs>
          <w:tab w:val="left" w:pos="4667"/>
        </w:tabs>
        <w:spacing w:line="276" w:lineRule="auto"/>
        <w:ind w:left="567" w:right="567"/>
        <w:jc w:val="both"/>
        <w:rPr>
          <w:rFonts w:ascii="Palatino Linotype" w:eastAsia="Palatino Linotype" w:hAnsi="Palatino Linotype" w:cs="Palatino Linotype"/>
          <w:b/>
          <w:i/>
          <w:color w:val="0D0D0D"/>
          <w:sz w:val="22"/>
          <w:szCs w:val="22"/>
        </w:rPr>
      </w:pPr>
    </w:p>
    <w:p w:rsidR="001A4767" w:rsidRPr="00897F1E" w:rsidRDefault="00384B6A">
      <w:pPr>
        <w:tabs>
          <w:tab w:val="left" w:pos="4667"/>
        </w:tabs>
        <w:spacing w:line="360" w:lineRule="auto"/>
        <w:ind w:left="567" w:right="567"/>
        <w:jc w:val="both"/>
        <w:rPr>
          <w:rFonts w:ascii="Palatino Linotype" w:eastAsia="Palatino Linotype" w:hAnsi="Palatino Linotype" w:cs="Palatino Linotype"/>
          <w:b/>
          <w:i/>
          <w:color w:val="0D0D0D"/>
          <w:sz w:val="24"/>
          <w:szCs w:val="24"/>
        </w:rPr>
      </w:pPr>
      <w:r w:rsidRPr="00897F1E">
        <w:rPr>
          <w:rFonts w:ascii="Palatino Linotype" w:eastAsia="Palatino Linotype" w:hAnsi="Palatino Linotype" w:cs="Palatino Linotype"/>
          <w:b/>
          <w:i/>
          <w:color w:val="0D0D0D"/>
          <w:sz w:val="24"/>
          <w:szCs w:val="24"/>
        </w:rPr>
        <w:lastRenderedPageBreak/>
        <w:t>“MODALIDAD DE ENTREGA</w:t>
      </w:r>
    </w:p>
    <w:p w:rsidR="001A4767" w:rsidRPr="00897F1E" w:rsidRDefault="00384B6A">
      <w:pPr>
        <w:spacing w:line="360" w:lineRule="auto"/>
        <w:ind w:left="567" w:right="567"/>
        <w:jc w:val="both"/>
        <w:rPr>
          <w:rFonts w:ascii="Palatino Linotype" w:eastAsia="Palatino Linotype" w:hAnsi="Palatino Linotype" w:cs="Palatino Linotype"/>
          <w:i/>
          <w:color w:val="0D0D0D"/>
          <w:sz w:val="24"/>
          <w:szCs w:val="24"/>
        </w:rPr>
      </w:pPr>
      <w:r w:rsidRPr="00897F1E">
        <w:rPr>
          <w:rFonts w:ascii="Palatino Linotype" w:eastAsia="Palatino Linotype" w:hAnsi="Palatino Linotype" w:cs="Palatino Linotype"/>
          <w:i/>
          <w:color w:val="0D0D0D"/>
          <w:sz w:val="24"/>
          <w:szCs w:val="24"/>
        </w:rPr>
        <w:t>A través del SAIMEX”</w:t>
      </w:r>
    </w:p>
    <w:p w:rsidR="001A4767" w:rsidRPr="00897F1E" w:rsidRDefault="001A4767">
      <w:pPr>
        <w:spacing w:line="360" w:lineRule="auto"/>
        <w:ind w:left="567" w:right="567"/>
        <w:jc w:val="both"/>
        <w:rPr>
          <w:rFonts w:ascii="Palatino Linotype" w:eastAsia="Palatino Linotype" w:hAnsi="Palatino Linotype" w:cs="Palatino Linotype"/>
          <w:i/>
          <w:color w:val="0D0D0D"/>
          <w:sz w:val="24"/>
          <w:szCs w:val="24"/>
        </w:rPr>
      </w:pPr>
    </w:p>
    <w:p w:rsidR="001A4767" w:rsidRPr="00897F1E" w:rsidRDefault="00384B6A">
      <w:pPr>
        <w:pBdr>
          <w:top w:val="nil"/>
          <w:left w:val="nil"/>
          <w:bottom w:val="nil"/>
          <w:right w:val="nil"/>
          <w:between w:val="nil"/>
        </w:pBdr>
        <w:tabs>
          <w:tab w:val="left" w:pos="567"/>
        </w:tabs>
        <w:spacing w:line="360" w:lineRule="auto"/>
        <w:jc w:val="both"/>
        <w:rPr>
          <w:rFonts w:ascii="Palatino Linotype" w:eastAsia="Palatino Linotype" w:hAnsi="Palatino Linotype" w:cs="Palatino Linotype"/>
          <w:color w:val="0D0D0D"/>
          <w:sz w:val="24"/>
          <w:szCs w:val="24"/>
        </w:rPr>
      </w:pPr>
      <w:bookmarkStart w:id="1" w:name="_heading=h.gjdgxs" w:colFirst="0" w:colLast="0"/>
      <w:bookmarkEnd w:id="1"/>
      <w:r w:rsidRPr="00897F1E">
        <w:rPr>
          <w:rFonts w:ascii="Palatino Linotype" w:eastAsia="Palatino Linotype" w:hAnsi="Palatino Linotype" w:cs="Palatino Linotype"/>
          <w:b/>
          <w:color w:val="0D0D0D"/>
          <w:sz w:val="24"/>
          <w:szCs w:val="24"/>
        </w:rPr>
        <w:t xml:space="preserve">2. Incompetencia Parcial. </w:t>
      </w:r>
      <w:r w:rsidRPr="00897F1E">
        <w:rPr>
          <w:rFonts w:ascii="Palatino Linotype" w:eastAsia="Palatino Linotype" w:hAnsi="Palatino Linotype" w:cs="Palatino Linotype"/>
          <w:color w:val="0D0D0D"/>
          <w:sz w:val="24"/>
          <w:szCs w:val="24"/>
        </w:rPr>
        <w:t xml:space="preserve">Con fecha </w:t>
      </w:r>
      <w:r w:rsidRPr="00897F1E">
        <w:rPr>
          <w:rFonts w:ascii="Palatino Linotype" w:eastAsia="Palatino Linotype" w:hAnsi="Palatino Linotype" w:cs="Palatino Linotype"/>
          <w:b/>
          <w:color w:val="0D0D0D"/>
          <w:sz w:val="24"/>
          <w:szCs w:val="24"/>
        </w:rPr>
        <w:t>veintiocho de junio de dos mil veintidós</w:t>
      </w:r>
      <w:r w:rsidRPr="00897F1E">
        <w:rPr>
          <w:rFonts w:ascii="Palatino Linotype" w:eastAsia="Palatino Linotype" w:hAnsi="Palatino Linotype" w:cs="Palatino Linotype"/>
          <w:color w:val="0D0D0D"/>
          <w:sz w:val="24"/>
          <w:szCs w:val="24"/>
        </w:rPr>
        <w:t xml:space="preserve">, la Procuraduría de Protección al Ambiente del Estado de México notificó a la Solicitante, mediante el Sistema de Acceso a la Información Mexiquense (SAIMEX), la respuesta al tenor de lo siguiente: </w:t>
      </w:r>
    </w:p>
    <w:p w:rsidR="001A4767" w:rsidRPr="00897F1E" w:rsidRDefault="001A4767">
      <w:pPr>
        <w:pBdr>
          <w:top w:val="nil"/>
          <w:left w:val="nil"/>
          <w:bottom w:val="nil"/>
          <w:right w:val="nil"/>
          <w:between w:val="nil"/>
        </w:pBdr>
        <w:tabs>
          <w:tab w:val="left" w:pos="567"/>
        </w:tabs>
        <w:spacing w:line="276" w:lineRule="auto"/>
        <w:jc w:val="both"/>
        <w:rPr>
          <w:rFonts w:ascii="Palatino Linotype" w:eastAsia="Palatino Linotype" w:hAnsi="Palatino Linotype" w:cs="Palatino Linotype"/>
          <w:i/>
          <w:color w:val="0D0D0D"/>
          <w:sz w:val="22"/>
          <w:szCs w:val="22"/>
        </w:rPr>
      </w:pPr>
    </w:p>
    <w:p w:rsidR="001A4767" w:rsidRPr="00897F1E" w:rsidRDefault="00384B6A">
      <w:pPr>
        <w:pBdr>
          <w:top w:val="nil"/>
          <w:left w:val="nil"/>
          <w:bottom w:val="nil"/>
          <w:right w:val="nil"/>
          <w:between w:val="nil"/>
        </w:pBdr>
        <w:tabs>
          <w:tab w:val="left" w:pos="567"/>
        </w:tabs>
        <w:spacing w:line="276" w:lineRule="auto"/>
        <w:ind w:left="567" w:right="539"/>
        <w:jc w:val="both"/>
        <w:rPr>
          <w:rFonts w:ascii="Palatino Linotype" w:eastAsia="Palatino Linotype" w:hAnsi="Palatino Linotype" w:cs="Palatino Linotype"/>
          <w:i/>
          <w:color w:val="0D0D0D"/>
          <w:sz w:val="22"/>
          <w:szCs w:val="22"/>
        </w:rPr>
      </w:pPr>
      <w:r w:rsidRPr="00897F1E">
        <w:rPr>
          <w:rFonts w:ascii="Palatino Linotype" w:eastAsia="Palatino Linotype" w:hAnsi="Palatino Linotype" w:cs="Palatino Linotype"/>
          <w:i/>
          <w:color w:val="0D0D0D"/>
          <w:sz w:val="22"/>
          <w:szCs w:val="22"/>
        </w:rPr>
        <w:t xml:space="preserve">Con fundamento en lo dispuesto por los artículos 3, fracción XLIV, 23 fracción I, 24 fracciones XI y XXIV, 58, 59, 167, así como demás preceptos relativos, vigentes y aplicables de la Ley de Transparencia y Acceso a la Información Pública del Estado de México y Municipios, de manera atenta y respetuosa, manifiesto a usted lo siguiente: En atención al contenido de su amable solicitud y en estricto apego al principio de máxima publicidad, me dirijo a usted respetuosamente, con la finalidad de otorgar puntual atención a las interrogantes que integran su requerimiento de información pública, en los siguientes términos: Por lo que respecta a la parte de su solicitud consistente en: “DE CONFORMIDAD CON los artículos; 1, 4 cuarto y quinto párrafo, 6 segundo párrafo y su apartado A, 14 segundo párrafo y 16 segundo párrafo de la Constitución Política de Los Estados Unidos Mexicanos, 10 y 11 del Protocolo Adicional a la Convención Americana sobre Derechos Humanos en Materia de Derechos Económicos, Sociales y Culturales "PROTOCOLO DE SAN SALVADOR", 4, 5, 6, 7, 101 fracción IV y 115 de la Ley General de Transparencia y Acceso a la Información Pública, 4, 5, 7, 8, 123 fracción IV y 142 de la Ley de Transparencia y Acceso a la Información Pública del Estado de México y Municipios, a los LINEAMIENTOS GENERALES EN MATERIA DE CLASIFICACIÓN Y DESCLASIFICACIÓN DE LA INFORMACIÓN, ASÍ COMO PARA LA ELABORACIÓN DE VERSIONES PÚBLICAS; Capítulos IX del ANEXO DEL ACUERDO CONAIP/SNT/ACUERDO/EXT18/03/2016-03,a los indicios y denuncias por corrupción presentados, según los expedientes siguientes; En el Órgano Superior de Fiscalización del Estado de México (OSFEM) EAI/UI/DEN/003/2021 y en la Fiscalía General de Justicia del Estado de México NIC. </w:t>
      </w:r>
      <w:r w:rsidRPr="00897F1E">
        <w:rPr>
          <w:rFonts w:ascii="Palatino Linotype" w:eastAsia="Palatino Linotype" w:hAnsi="Palatino Linotype" w:cs="Palatino Linotype"/>
          <w:i/>
          <w:color w:val="0D0D0D"/>
          <w:sz w:val="22"/>
          <w:szCs w:val="22"/>
        </w:rPr>
        <w:lastRenderedPageBreak/>
        <w:t>FRM/FRM/02/MPI/184/00066/21/10, en consonancia a la Resolución del Pleno del Instituto Nacional de Acceso a la Información expediente Caso relevante RRA 4436/18 en contra de la Procuraduría General de la República Comisionado ponente: Oscar Mauricio Guerra Ford, “de acuerdo con el principio de máxima publicidad, la apertura es la regla, y el secreto es la excepción” (Corte IDH, Caso Claude Reyes y otros vs. Chile, párrafos 86 y 92), por lo que SOLICITO que la Procuraduría de Protección al Ambiente del Estado de México (PROPAEM) ME ENVIÉ VÍA SAIMEX LA INFORMACIÓN PÚBLICA SIGUIENTE</w:t>
      </w:r>
      <w:proofErr w:type="gramStart"/>
      <w:r w:rsidRPr="00897F1E">
        <w:rPr>
          <w:rFonts w:ascii="Palatino Linotype" w:eastAsia="Palatino Linotype" w:hAnsi="Palatino Linotype" w:cs="Palatino Linotype"/>
          <w:i/>
          <w:color w:val="0D0D0D"/>
          <w:sz w:val="22"/>
          <w:szCs w:val="22"/>
        </w:rPr>
        <w:t>; …</w:t>
      </w:r>
      <w:proofErr w:type="gramEnd"/>
      <w:r w:rsidRPr="00897F1E">
        <w:rPr>
          <w:rFonts w:ascii="Palatino Linotype" w:eastAsia="Palatino Linotype" w:hAnsi="Palatino Linotype" w:cs="Palatino Linotype"/>
          <w:i/>
          <w:color w:val="0D0D0D"/>
          <w:sz w:val="22"/>
          <w:szCs w:val="22"/>
        </w:rPr>
        <w:t xml:space="preserve"> … 3.- El expediente generado por la emisión de los sellos de clausura Nos. 10045/2021 10046/2021, 10047/2021, 10048/2021. 10049/2021 y 10050/2021 emitidos por la PROPAEM al denominado Relleno Sanitario de Tlalnepantla o su conversión a Centro Integral de Residuos Sólidos de Tlalnepantla.” Atentamente le refiero, que de conformidad con lo previsto en el segundo párrafo del artículo 167 de la Ley de Transparencia y Acceso a la Información Pública del Estado de México y Municipios, esta Procuraduría resulta competente para pronunciarse al respecto, motivo por el cual, proporcionará la respuesta correspondiente en los plazos y formas establecidos por la Ley de la materia. Ahora bien, en cuanto hace al contenido de su amable requerimiento de información, consistente en: “DE CONFORMIDAD CON los artículos; 1, 4 cuarto y quinto párrafo, 6 segundo párrafo y su apartado A, 14 segundo párrafo y 16 segundo párrafo de la Constitución Política de Los Estados Unidos Mexicanos, 10 y 11 del Protocolo Adicional a la Convención Americana sobre Derechos Humanos en Materia de Derechos Económicos, Sociales y Culturales "PROTOCOLO DE SAN SALVADOR", 4, 5, 6, 7, 101 fracción IV y 115 de la Ley General de Transparencia y Acceso a la Información Pública, 4, 5, 7, 8, 123 fracción IV y 142 de la Ley de Transparencia y Acceso a la Información Pública del Estado de México y Municipios, a los LINEAMIENTOS GENERALES EN MATERIA DE CLASIFICACIÓN Y DESCLASIFICACIÓN DE LA INFORMACIÓN, ASÍ COMO PARA LA ELABORACIÓN DE VERSIONES PÚBLICAS; Capítulos IX del ANEXO DEL ACUERDO CONAIP/SNT/ACUERDO/EXT18/03/2016-03,a los indicios y denuncias por corrupción presentados, según los expedientes siguientes; En el Órgano Superior de Fiscalización del Estado de México (OSFEM) EAI/UI/DEN/003/2021 y en la Fiscalía General de Justicia del Estado de México NIC. FRM/FRM/02/MPI/184/00066/21/10, en consonancia a la Resolución del Pleno del Instituto Nacional de Acceso a la Información expediente Caso relevante RRA 4436/18 en contra de la Procuraduría General de la República Comisionado </w:t>
      </w:r>
      <w:r w:rsidRPr="00897F1E">
        <w:rPr>
          <w:rFonts w:ascii="Palatino Linotype" w:eastAsia="Palatino Linotype" w:hAnsi="Palatino Linotype" w:cs="Palatino Linotype"/>
          <w:i/>
          <w:color w:val="0D0D0D"/>
          <w:sz w:val="22"/>
          <w:szCs w:val="22"/>
        </w:rPr>
        <w:lastRenderedPageBreak/>
        <w:t xml:space="preserve">ponente: Oscar Mauricio Guerra Ford, “de acuerdo con el principio de máxima publicidad, la apertura es la regla, y el secreto es la excepción” (Corte IDH, Caso Claude Reyes y otros vs. Chile, párrafos 86 y 92), por lo que SOLICITO que la Procuraduría de Protección al Ambiente del Estado de México (PROPAEM) ME ENVIÉ VÍA SAIMEX LA INFORMACIÓN PÚBLICA SIGUIENTE; 1.- El escrito inicial de demanda de juicio administrativo contra el C. Procurador de Protección al Ambiente del Estado de México entre otros, interpuesto el 22 de noviembre de 2021 en la primera sala regional de jurisdicción ordinaria con sede en Toluca del Tribunal de Justicia Administrativa del Estado de México, por el C. Gustavo Martínez </w:t>
      </w:r>
      <w:proofErr w:type="spellStart"/>
      <w:r w:rsidRPr="00897F1E">
        <w:rPr>
          <w:rFonts w:ascii="Palatino Linotype" w:eastAsia="Palatino Linotype" w:hAnsi="Palatino Linotype" w:cs="Palatino Linotype"/>
          <w:i/>
          <w:color w:val="0D0D0D"/>
          <w:sz w:val="22"/>
          <w:szCs w:val="22"/>
        </w:rPr>
        <w:t>Martínez</w:t>
      </w:r>
      <w:proofErr w:type="spellEnd"/>
      <w:r w:rsidRPr="00897F1E">
        <w:rPr>
          <w:rFonts w:ascii="Palatino Linotype" w:eastAsia="Palatino Linotype" w:hAnsi="Palatino Linotype" w:cs="Palatino Linotype"/>
          <w:i/>
          <w:color w:val="0D0D0D"/>
          <w:sz w:val="22"/>
          <w:szCs w:val="22"/>
        </w:rPr>
        <w:t xml:space="preserve"> en su carácter de Subdirector de Asuntos Contenciosos de la Consejería Jurídica del municipio de Tlalnepantla de Baz Estado de México y apoderado legal del presidente municipal de Tlalnepantla, México, promoción con número de registro 161194. 2.- Las pruebas que acompañaron el escrito inicial de demanda, señalado en el punto 1 de esta solicitud de información pública, consistentes en los ANEXOS DOS, TRES, CUATRO, CINCO, SEIS, SIETE, OCHO, NUEVE, DIEZ, ONCE, DOCE, TRECE Y CATORCE … ” De manera atenta y respetuosa, hago de su conocimiento que </w:t>
      </w:r>
      <w:r w:rsidRPr="00897F1E">
        <w:rPr>
          <w:rFonts w:ascii="Palatino Linotype" w:eastAsia="Palatino Linotype" w:hAnsi="Palatino Linotype" w:cs="Palatino Linotype"/>
          <w:b/>
          <w:i/>
          <w:color w:val="0D0D0D"/>
          <w:sz w:val="22"/>
          <w:szCs w:val="22"/>
          <w:u w:val="single"/>
        </w:rPr>
        <w:t>este Sujeto Obligado no genera ni administra la información relativa a esta parte de su requerimiento, en virtud de que no corresponde a las atribuciones, funciones y facultades de la Procuraduría de Protección al Ambiente del Estado de México (PROPAEM), mismas que se encuentran contenidas en el artículo 4 del Decreto del Ejecutivo del Estado por el que se transforma el Órgano Desconcentrado denominado Procuraduría de Protección al Ambiente del Estado de México, en Organismo Público Descentralizado, publicado en el Periódico Oficial “Gaceta del Gobierno”, el 7 de diciembre de 2007; así como en el Decreto del Ejecutivo del Estado por el que se reforma el diverso por el que se transforma el Órgano Desconcentrado denominado Procuraduría de Protección al Ambiente del Estado de México, en Organismo Público Descentralizado, publicado en el Periódico Oficial “Gaceta del Gobierno”, el 16 de diciembre de 2011.</w:t>
      </w:r>
      <w:r w:rsidRPr="00897F1E">
        <w:rPr>
          <w:rFonts w:ascii="Palatino Linotype" w:eastAsia="Palatino Linotype" w:hAnsi="Palatino Linotype" w:cs="Palatino Linotype"/>
          <w:i/>
          <w:color w:val="0D0D0D"/>
          <w:sz w:val="22"/>
          <w:szCs w:val="22"/>
        </w:rPr>
        <w:t xml:space="preserve"> </w:t>
      </w:r>
      <w:r w:rsidRPr="00897F1E">
        <w:rPr>
          <w:rFonts w:ascii="Palatino Linotype" w:eastAsia="Palatino Linotype" w:hAnsi="Palatino Linotype" w:cs="Palatino Linotype"/>
          <w:b/>
          <w:i/>
          <w:color w:val="0D0D0D"/>
          <w:sz w:val="22"/>
          <w:szCs w:val="22"/>
          <w:u w:val="single"/>
        </w:rPr>
        <w:t xml:space="preserve">En ese sentido, se observa que existe fundamento y motivo para determinar la notoria incompetencia parcial de este Organismo para atender la parte de su solicitud de información pública que nos ocupa en estos últimos párrafos; razón por la cual, de conformidad con lo previsto en el artículo 167 de la Ley de Transparencia y Acceso a la Información Pública del Estado de México y Municipios me permito orientarle a efecto de que en caso </w:t>
      </w:r>
      <w:r w:rsidRPr="00897F1E">
        <w:rPr>
          <w:rFonts w:ascii="Palatino Linotype" w:eastAsia="Palatino Linotype" w:hAnsi="Palatino Linotype" w:cs="Palatino Linotype"/>
          <w:b/>
          <w:i/>
          <w:color w:val="0D0D0D"/>
          <w:sz w:val="22"/>
          <w:szCs w:val="22"/>
          <w:u w:val="single"/>
        </w:rPr>
        <w:lastRenderedPageBreak/>
        <w:t xml:space="preserve">de estimarlo conveniente, pudiera usted presentar su solicitud de información ante los siguientes Sujetos Obligados, quienes pudieran contar con la información relativa a su amable requerimiento: </w:t>
      </w:r>
      <w:r w:rsidRPr="00897F1E">
        <w:rPr>
          <w:rFonts w:ascii="Palatino Linotype" w:eastAsia="Palatino Linotype" w:hAnsi="Palatino Linotype" w:cs="Palatino Linotype"/>
          <w:b/>
          <w:i/>
          <w:color w:val="0D0D0D"/>
          <w:sz w:val="22"/>
          <w:szCs w:val="22"/>
          <w:u w:val="single"/>
        </w:rPr>
        <w:t xml:space="preserve"> Tribunal de Justicia Administrativa del Estado de México, específicamente con la Lic. Leslie Adriana Serrano Flores, Titular de la Unidad de Información, Planeación, Programación y Evaluación y Titular de la Unidad de Transparencia, con domicilio en calle Andrés Benavides, número 136, colonia Ciprés, C.P. 50120, Toluca, Estado de México, teléfonos: 7222885498, ext. 104 y 7222885497, ext. 105, correo electrónico: uippe@trijaem.gob.mx, en un horario de atención de lunes a viernes de 9:00 a 18:00 horas. </w:t>
      </w:r>
      <w:r w:rsidRPr="00897F1E">
        <w:rPr>
          <w:rFonts w:ascii="Palatino Linotype" w:eastAsia="Palatino Linotype" w:hAnsi="Palatino Linotype" w:cs="Palatino Linotype"/>
          <w:b/>
          <w:i/>
          <w:color w:val="0D0D0D"/>
          <w:sz w:val="22"/>
          <w:szCs w:val="22"/>
          <w:u w:val="single"/>
        </w:rPr>
        <w:t> H. Ayuntamiento de Tlalnepantla de Baz, específicamente con la Mtra. Clara Camacho Méndez, Titular de la Unidad de Transparencia y Acceso a la Información Pública, con domicilio en avenida Mariano Escobedo, s/n, colonia Tlalnepantla, C.P. 54000, Tlalnepantla de Baz, Estado de México, teléfono: 5553663800, ext. 3956, correo electrónico: transparencia@tlalnepantla.gob.mx, en un horario de atención de lunes a viernes de 9:00 a 18:00 horas. Sin otro particular, le envío un cordial saludo</w:t>
      </w:r>
      <w:r w:rsidRPr="00897F1E">
        <w:rPr>
          <w:rFonts w:ascii="Palatino Linotype" w:eastAsia="Palatino Linotype" w:hAnsi="Palatino Linotype" w:cs="Palatino Linotype"/>
          <w:i/>
          <w:color w:val="0D0D0D"/>
          <w:sz w:val="22"/>
          <w:szCs w:val="22"/>
        </w:rPr>
        <w:t>.</w:t>
      </w:r>
    </w:p>
    <w:p w:rsidR="001A4767" w:rsidRPr="00897F1E" w:rsidRDefault="001A4767">
      <w:pPr>
        <w:spacing w:line="360" w:lineRule="auto"/>
        <w:jc w:val="both"/>
        <w:rPr>
          <w:rFonts w:ascii="Palatino Linotype" w:eastAsia="Palatino Linotype" w:hAnsi="Palatino Linotype" w:cs="Palatino Linotype"/>
          <w:color w:val="0D0D0D"/>
          <w:sz w:val="24"/>
          <w:szCs w:val="24"/>
        </w:rPr>
      </w:pPr>
    </w:p>
    <w:p w:rsidR="001A4767" w:rsidRPr="00897F1E" w:rsidRDefault="00384B6A">
      <w:pPr>
        <w:spacing w:line="360" w:lineRule="auto"/>
        <w:jc w:val="both"/>
        <w:rPr>
          <w:rFonts w:ascii="Palatino Linotype" w:eastAsia="Palatino Linotype" w:hAnsi="Palatino Linotype" w:cs="Palatino Linotype"/>
          <w:color w:val="0D0D0D"/>
          <w:sz w:val="24"/>
          <w:szCs w:val="24"/>
        </w:rPr>
      </w:pPr>
      <w:r w:rsidRPr="00897F1E">
        <w:rPr>
          <w:rFonts w:ascii="Palatino Linotype" w:eastAsia="Palatino Linotype" w:hAnsi="Palatino Linotype" w:cs="Palatino Linotype"/>
          <w:color w:val="0D0D0D"/>
          <w:sz w:val="24"/>
          <w:szCs w:val="24"/>
        </w:rPr>
        <w:t xml:space="preserve">Asimismo, adjuntó lo que se describe a continuación: </w:t>
      </w:r>
    </w:p>
    <w:p w:rsidR="001A4767" w:rsidRPr="00897F1E" w:rsidRDefault="001A4767">
      <w:pPr>
        <w:spacing w:line="360" w:lineRule="auto"/>
        <w:jc w:val="both"/>
        <w:rPr>
          <w:rFonts w:ascii="Palatino Linotype" w:eastAsia="Palatino Linotype" w:hAnsi="Palatino Linotype" w:cs="Palatino Linotype"/>
          <w:color w:val="0D0D0D"/>
          <w:sz w:val="24"/>
          <w:szCs w:val="24"/>
        </w:rPr>
      </w:pPr>
    </w:p>
    <w:p w:rsidR="001A4767" w:rsidRPr="00897F1E" w:rsidRDefault="00384B6A">
      <w:pPr>
        <w:numPr>
          <w:ilvl w:val="0"/>
          <w:numId w:val="10"/>
        </w:numPr>
        <w:pBdr>
          <w:top w:val="nil"/>
          <w:left w:val="nil"/>
          <w:bottom w:val="nil"/>
          <w:right w:val="nil"/>
          <w:between w:val="nil"/>
        </w:pBdr>
        <w:spacing w:line="360" w:lineRule="auto"/>
        <w:jc w:val="both"/>
        <w:rPr>
          <w:rFonts w:ascii="Palatino Linotype" w:eastAsia="Palatino Linotype" w:hAnsi="Palatino Linotype" w:cs="Palatino Linotype"/>
          <w:color w:val="0D0D0D"/>
          <w:sz w:val="22"/>
          <w:szCs w:val="22"/>
        </w:rPr>
      </w:pPr>
      <w:r w:rsidRPr="00897F1E">
        <w:rPr>
          <w:rFonts w:ascii="Palatino Linotype" w:eastAsia="Palatino Linotype" w:hAnsi="Palatino Linotype" w:cs="Palatino Linotype"/>
          <w:color w:val="0D0D0D"/>
          <w:sz w:val="22"/>
          <w:szCs w:val="22"/>
        </w:rPr>
        <w:t xml:space="preserve">Oficio de fecha veintiocho de junio de dos mil veintidós, signado por el titular de la Unidad de Transparencia, mediante el cual informa que respecto al escrito inicial de demanda de juicio administrativo y las pruebas que lo acompañan, el Sujeto Obligado es incompetente parcialmente, por lo que, puede dirigir su solicitud de información al Tribunal de Justicia Administrativa del Estado de México y/o al Ayuntamiento de Tlalnepantla de Baz. </w:t>
      </w:r>
    </w:p>
    <w:p w:rsidR="001A4767" w:rsidRPr="00897F1E" w:rsidRDefault="001A4767">
      <w:pPr>
        <w:spacing w:line="360" w:lineRule="auto"/>
        <w:jc w:val="both"/>
        <w:rPr>
          <w:rFonts w:ascii="Palatino Linotype" w:eastAsia="Palatino Linotype" w:hAnsi="Palatino Linotype" w:cs="Palatino Linotype"/>
          <w:color w:val="0D0D0D"/>
          <w:sz w:val="24"/>
          <w:szCs w:val="24"/>
        </w:rPr>
      </w:pPr>
    </w:p>
    <w:p w:rsidR="001A4767" w:rsidRPr="00897F1E" w:rsidRDefault="00384B6A">
      <w:pPr>
        <w:spacing w:line="360" w:lineRule="auto"/>
        <w:jc w:val="both"/>
        <w:rPr>
          <w:rFonts w:ascii="Palatino Linotype" w:eastAsia="Palatino Linotype" w:hAnsi="Palatino Linotype" w:cs="Palatino Linotype"/>
          <w:color w:val="0D0D0D"/>
          <w:sz w:val="24"/>
          <w:szCs w:val="24"/>
        </w:rPr>
      </w:pPr>
      <w:r w:rsidRPr="00897F1E">
        <w:rPr>
          <w:rFonts w:ascii="Palatino Linotype" w:eastAsia="Palatino Linotype" w:hAnsi="Palatino Linotype" w:cs="Palatino Linotype"/>
          <w:b/>
          <w:color w:val="0D0D0D"/>
          <w:sz w:val="24"/>
          <w:szCs w:val="24"/>
        </w:rPr>
        <w:t xml:space="preserve">3. Respuesta. </w:t>
      </w:r>
      <w:r w:rsidRPr="00897F1E">
        <w:rPr>
          <w:rFonts w:ascii="Palatino Linotype" w:eastAsia="Palatino Linotype" w:hAnsi="Palatino Linotype" w:cs="Palatino Linotype"/>
          <w:color w:val="0D0D0D"/>
          <w:sz w:val="24"/>
          <w:szCs w:val="24"/>
        </w:rPr>
        <w:t xml:space="preserve">En fecha </w:t>
      </w:r>
      <w:r w:rsidRPr="00897F1E">
        <w:rPr>
          <w:rFonts w:ascii="Palatino Linotype" w:eastAsia="Palatino Linotype" w:hAnsi="Palatino Linotype" w:cs="Palatino Linotype"/>
          <w:b/>
          <w:color w:val="0D0D0D"/>
          <w:sz w:val="24"/>
          <w:szCs w:val="24"/>
        </w:rPr>
        <w:t>catorce de julio de dos mil veintidós</w:t>
      </w:r>
      <w:r w:rsidRPr="00897F1E">
        <w:rPr>
          <w:rFonts w:ascii="Palatino Linotype" w:eastAsia="Palatino Linotype" w:hAnsi="Palatino Linotype" w:cs="Palatino Linotype"/>
          <w:color w:val="0D0D0D"/>
          <w:sz w:val="24"/>
          <w:szCs w:val="24"/>
        </w:rPr>
        <w:t xml:space="preserve">, el Sujeto Obligado emitió respuesta a la solicitud de información, al tenor de lo siguiente: </w:t>
      </w:r>
    </w:p>
    <w:p w:rsidR="001A4767" w:rsidRPr="00897F1E" w:rsidRDefault="001A4767">
      <w:pPr>
        <w:spacing w:line="360" w:lineRule="auto"/>
        <w:jc w:val="both"/>
        <w:rPr>
          <w:rFonts w:ascii="Palatino Linotype" w:eastAsia="Palatino Linotype" w:hAnsi="Palatino Linotype" w:cs="Palatino Linotype"/>
          <w:color w:val="0D0D0D"/>
          <w:sz w:val="24"/>
          <w:szCs w:val="24"/>
        </w:rPr>
      </w:pPr>
    </w:p>
    <w:p w:rsidR="001A4767" w:rsidRPr="00897F1E" w:rsidRDefault="00384B6A">
      <w:pPr>
        <w:spacing w:line="360" w:lineRule="auto"/>
        <w:ind w:left="567" w:right="539"/>
        <w:jc w:val="both"/>
        <w:rPr>
          <w:rFonts w:ascii="Palatino Linotype" w:eastAsia="Palatino Linotype" w:hAnsi="Palatino Linotype" w:cs="Palatino Linotype"/>
          <w:i/>
          <w:color w:val="0D0D0D"/>
          <w:sz w:val="22"/>
          <w:szCs w:val="22"/>
        </w:rPr>
      </w:pPr>
      <w:r w:rsidRPr="00897F1E">
        <w:rPr>
          <w:rFonts w:ascii="Palatino Linotype" w:eastAsia="Palatino Linotype" w:hAnsi="Palatino Linotype" w:cs="Palatino Linotype"/>
          <w:i/>
          <w:color w:val="0D0D0D"/>
          <w:sz w:val="22"/>
          <w:szCs w:val="22"/>
        </w:rPr>
        <w:lastRenderedPageBreak/>
        <w:t>En respuesta a la solicitud recibida, nos permitimos hacer de su conocimiento que con fundamento en el artículo 53, Fracciones: II, V y VI de la Ley de Transparencia y Acceso a la Información Pública del Estado de México y Municipios, le contestamos que:</w:t>
      </w:r>
    </w:p>
    <w:p w:rsidR="001A4767" w:rsidRPr="00897F1E" w:rsidRDefault="00384B6A">
      <w:pPr>
        <w:spacing w:line="360" w:lineRule="auto"/>
        <w:ind w:left="567" w:right="539"/>
        <w:jc w:val="both"/>
        <w:rPr>
          <w:rFonts w:ascii="Palatino Linotype" w:eastAsia="Palatino Linotype" w:hAnsi="Palatino Linotype" w:cs="Palatino Linotype"/>
          <w:i/>
          <w:color w:val="0D0D0D"/>
          <w:sz w:val="22"/>
          <w:szCs w:val="22"/>
        </w:rPr>
      </w:pPr>
      <w:r w:rsidRPr="00897F1E">
        <w:rPr>
          <w:rFonts w:ascii="Palatino Linotype" w:eastAsia="Palatino Linotype" w:hAnsi="Palatino Linotype" w:cs="Palatino Linotype"/>
          <w:i/>
          <w:color w:val="0D0D0D"/>
          <w:sz w:val="22"/>
          <w:szCs w:val="22"/>
        </w:rPr>
        <w:t xml:space="preserve">Con fundamento en lo dispuesto por los artículos 3 fracción XLIV, 8, 12, 21, 23 fracción I, 24 fracciones XI y XXIV, 58, 59, 91, 129, 140 fracción VIII, 162, 167, 173, así como demás preceptos relativos, vigentes y aplicables de la Ley de Transparencia y Acceso a la Información Pública del Estado de México y Municipios, me dirijo a usted, para remitirle el diverso 221C0201000200L/UT/ 234 /2022, por medio del cual, este Sujeto Obligado realiza el pronunciamiento respecto a la información requerida en su amable solicitud registrada en el Sistema de Acceso a la Información Mexiquense (SAIMEX), con el folio 00088/PROPAEM/IP/2022. En dicho comunicado se manifiesta, que en fecha 28 de junio del 2022, le fue remitido vía SAIMEX, el oficio número 221C0201000200L/UT/ 224 /2022, por medio del cual, se </w:t>
      </w:r>
      <w:r w:rsidRPr="00897F1E">
        <w:rPr>
          <w:rFonts w:ascii="Palatino Linotype" w:eastAsia="Palatino Linotype" w:hAnsi="Palatino Linotype" w:cs="Palatino Linotype"/>
          <w:b/>
          <w:i/>
          <w:color w:val="0D0D0D"/>
          <w:sz w:val="22"/>
          <w:szCs w:val="22"/>
          <w:u w:val="single"/>
        </w:rPr>
        <w:t>hizo de su conocimiento que la información contenida en los puntos 1 y 2 de su requerimiento, no resulta ser competencia de este Sujeto Obligado, en virtud de que la misma no es generada ni administrada por esta Procuraduría Ambiental</w:t>
      </w:r>
      <w:r w:rsidRPr="00897F1E">
        <w:rPr>
          <w:rFonts w:ascii="Palatino Linotype" w:eastAsia="Palatino Linotype" w:hAnsi="Palatino Linotype" w:cs="Palatino Linotype"/>
          <w:i/>
          <w:color w:val="0D0D0D"/>
          <w:sz w:val="22"/>
          <w:szCs w:val="22"/>
        </w:rPr>
        <w:t xml:space="preserve">, toda vez que no corresponde a las atribuciones, funciones y facultades que sí son competencia, procediendo a orientarle, a efecto de que de estimarlo conveniente, pudiera presentar su solicitud de información ante los Sujetos Obligados correspondientes. Ahora bien, en relación a la respuesta correspondiente al </w:t>
      </w:r>
      <w:r w:rsidRPr="00897F1E">
        <w:rPr>
          <w:rFonts w:ascii="Palatino Linotype" w:eastAsia="Palatino Linotype" w:hAnsi="Palatino Linotype" w:cs="Palatino Linotype"/>
          <w:b/>
          <w:i/>
          <w:color w:val="0D0D0D"/>
          <w:sz w:val="22"/>
          <w:szCs w:val="22"/>
          <w:u w:val="single"/>
        </w:rPr>
        <w:t xml:space="preserve">punto 3 de su amable requerimiento, mismo que sí resulta ser competencia de este Sujeto Obligado, con fundamento en lo dispuesto por el artículo 167 segundo párrafo de la Ley de Transparencia y Acceso a la Información Pública del Estado de México y Municipios, adjunto al presente el oficio 221C0201000500L/SASP/0160/2022, suscrito y signado por la Lic. María Reyna Dávila Terreros, Subdirectora de Atención y Seguimiento de Procedimientos y Servidora Pública Habilitada de esta </w:t>
      </w:r>
      <w:r w:rsidRPr="00897F1E">
        <w:rPr>
          <w:rFonts w:ascii="Palatino Linotype" w:eastAsia="Palatino Linotype" w:hAnsi="Palatino Linotype" w:cs="Palatino Linotype"/>
          <w:b/>
          <w:i/>
          <w:color w:val="0D0D0D"/>
          <w:sz w:val="22"/>
          <w:szCs w:val="22"/>
          <w:u w:val="single"/>
        </w:rPr>
        <w:lastRenderedPageBreak/>
        <w:t>Procuraduría de Protección al Ambiente del Estado de México. En este comunicado, la Servidora Pública Habilitada refiere que de conformidad con lo dispuesto en el artículo 91 de la Ley de Transparencia y Acceso a la Información Pública del Estado de México y Municipios, no es posible entregar la información requerida en dicho punto de su solicitud, al encontrarse en los supuestos previstos en el artículo 113 fracción XI de la Ley General de Transparencia y Acceso a la Información Pública y 140 fracción VIII de la Ley de Transparencia vigente en la entidad, remitiendo el Acta de la Segunda Sesión Ordinaria 2022 del Comité de Transparencia de este Sujeto Obligado, misma que contiene el acuerdo respectivo debidamente fundado y motivado, realizando la aplicación consistente en la prueba de daño, establecida en el artículo 129 de la Ley de Transparencia vigente en la Entidad. En conclusión, tal como puede observarse, con estos tres comunicados que le son enviados a través del SAIMEX, se ha otorgado atención a la totalidad de la información requerida en su solicitud de información pública con número de folio 00088/PROPAEM/IP/2022, dentro de los plazos y mecanismos establecidos por la Ley en materia. Sin más por el momento, le envío un cordial saludo</w:t>
      </w:r>
      <w:r w:rsidRPr="00897F1E">
        <w:rPr>
          <w:rFonts w:ascii="Palatino Linotype" w:eastAsia="Palatino Linotype" w:hAnsi="Palatino Linotype" w:cs="Palatino Linotype"/>
          <w:i/>
          <w:color w:val="0D0D0D"/>
          <w:sz w:val="22"/>
          <w:szCs w:val="22"/>
        </w:rPr>
        <w:t>.</w:t>
      </w:r>
    </w:p>
    <w:p w:rsidR="001A4767" w:rsidRPr="00897F1E" w:rsidRDefault="001A4767">
      <w:pPr>
        <w:widowControl w:val="0"/>
        <w:spacing w:line="360" w:lineRule="auto"/>
        <w:jc w:val="both"/>
        <w:rPr>
          <w:rFonts w:ascii="Palatino Linotype" w:eastAsia="Palatino Linotype" w:hAnsi="Palatino Linotype" w:cs="Palatino Linotype"/>
          <w:color w:val="0D0D0D"/>
          <w:sz w:val="24"/>
          <w:szCs w:val="24"/>
        </w:rPr>
      </w:pPr>
    </w:p>
    <w:p w:rsidR="001A4767" w:rsidRPr="00897F1E" w:rsidRDefault="00384B6A">
      <w:pPr>
        <w:widowControl w:val="0"/>
        <w:spacing w:line="360" w:lineRule="auto"/>
        <w:jc w:val="both"/>
        <w:rPr>
          <w:rFonts w:ascii="Palatino Linotype" w:eastAsia="Palatino Linotype" w:hAnsi="Palatino Linotype" w:cs="Palatino Linotype"/>
          <w:color w:val="0D0D0D"/>
          <w:sz w:val="24"/>
          <w:szCs w:val="24"/>
        </w:rPr>
      </w:pPr>
      <w:r w:rsidRPr="00897F1E">
        <w:rPr>
          <w:rFonts w:ascii="Palatino Linotype" w:eastAsia="Palatino Linotype" w:hAnsi="Palatino Linotype" w:cs="Palatino Linotype"/>
          <w:color w:val="0D0D0D"/>
          <w:sz w:val="24"/>
          <w:szCs w:val="24"/>
        </w:rPr>
        <w:t xml:space="preserve">Asimismo, adjuntó a su respuesta, lo que se describe a continuación: </w:t>
      </w:r>
    </w:p>
    <w:p w:rsidR="001A4767" w:rsidRPr="00897F1E" w:rsidRDefault="001A4767">
      <w:pPr>
        <w:widowControl w:val="0"/>
        <w:spacing w:line="360" w:lineRule="auto"/>
        <w:jc w:val="both"/>
        <w:rPr>
          <w:rFonts w:ascii="Palatino Linotype" w:eastAsia="Palatino Linotype" w:hAnsi="Palatino Linotype" w:cs="Palatino Linotype"/>
          <w:color w:val="0D0D0D"/>
          <w:sz w:val="24"/>
          <w:szCs w:val="24"/>
        </w:rPr>
      </w:pPr>
    </w:p>
    <w:p w:rsidR="001A4767" w:rsidRPr="00897F1E" w:rsidRDefault="00384B6A">
      <w:pPr>
        <w:widowControl w:val="0"/>
        <w:numPr>
          <w:ilvl w:val="0"/>
          <w:numId w:val="10"/>
        </w:numPr>
        <w:pBdr>
          <w:top w:val="nil"/>
          <w:left w:val="nil"/>
          <w:bottom w:val="nil"/>
          <w:right w:val="nil"/>
          <w:between w:val="nil"/>
        </w:pBdr>
        <w:spacing w:line="360" w:lineRule="auto"/>
        <w:jc w:val="both"/>
        <w:rPr>
          <w:rFonts w:ascii="Palatino Linotype" w:eastAsia="Palatino Linotype" w:hAnsi="Palatino Linotype" w:cs="Palatino Linotype"/>
          <w:color w:val="0D0D0D"/>
          <w:sz w:val="22"/>
          <w:szCs w:val="22"/>
          <w:u w:val="single"/>
        </w:rPr>
      </w:pPr>
      <w:r w:rsidRPr="00897F1E">
        <w:rPr>
          <w:rFonts w:ascii="Palatino Linotype" w:eastAsia="Palatino Linotype" w:hAnsi="Palatino Linotype" w:cs="Palatino Linotype"/>
          <w:color w:val="0D0D0D"/>
          <w:sz w:val="22"/>
          <w:szCs w:val="22"/>
        </w:rPr>
        <w:t xml:space="preserve">Oficio de fecha catorce de julio de dos mil veintidós, signado por la Titular de la Unidad de Transparencia, mediante el cual informa que en lo que hace al expediente generado por la emisión de los sellos de clausura… emitidos por la PROPAEM al denominado Relleno Sanitario de Tlalnepantla o su conversión a Centro integral de Residuos Sólidos; </w:t>
      </w:r>
      <w:r w:rsidRPr="00897F1E">
        <w:rPr>
          <w:rFonts w:ascii="Palatino Linotype" w:eastAsia="Palatino Linotype" w:hAnsi="Palatino Linotype" w:cs="Palatino Linotype"/>
          <w:color w:val="0D0D0D"/>
          <w:sz w:val="22"/>
          <w:szCs w:val="22"/>
          <w:u w:val="single"/>
        </w:rPr>
        <w:t xml:space="preserve">no es posible entregar la información requerida en virtud de que </w:t>
      </w:r>
      <w:r w:rsidRPr="00897F1E">
        <w:rPr>
          <w:rFonts w:ascii="Palatino Linotype" w:eastAsia="Palatino Linotype" w:hAnsi="Palatino Linotype" w:cs="Palatino Linotype"/>
          <w:color w:val="0D0D0D"/>
          <w:sz w:val="22"/>
          <w:szCs w:val="22"/>
          <w:u w:val="single"/>
        </w:rPr>
        <w:lastRenderedPageBreak/>
        <w:t xml:space="preserve">actualiza la causal de clasificación prevista en la fracción VIII del artículo 140 de la Ley de Transparencia y Acceso a la Información Pública del Estado de México y Municipios. </w:t>
      </w:r>
    </w:p>
    <w:p w:rsidR="001A4767" w:rsidRPr="00897F1E" w:rsidRDefault="00384B6A">
      <w:pPr>
        <w:widowControl w:val="0"/>
        <w:numPr>
          <w:ilvl w:val="0"/>
          <w:numId w:val="10"/>
        </w:numPr>
        <w:pBdr>
          <w:top w:val="nil"/>
          <w:left w:val="nil"/>
          <w:bottom w:val="nil"/>
          <w:right w:val="nil"/>
          <w:between w:val="nil"/>
        </w:pBdr>
        <w:spacing w:line="360" w:lineRule="auto"/>
        <w:jc w:val="both"/>
        <w:rPr>
          <w:rFonts w:ascii="Palatino Linotype" w:eastAsia="Palatino Linotype" w:hAnsi="Palatino Linotype" w:cs="Palatino Linotype"/>
          <w:color w:val="0D0D0D"/>
          <w:sz w:val="22"/>
          <w:szCs w:val="22"/>
        </w:rPr>
      </w:pPr>
      <w:r w:rsidRPr="00897F1E">
        <w:rPr>
          <w:rFonts w:ascii="Palatino Linotype" w:eastAsia="Palatino Linotype" w:hAnsi="Palatino Linotype" w:cs="Palatino Linotype"/>
          <w:color w:val="0D0D0D"/>
          <w:sz w:val="22"/>
          <w:szCs w:val="22"/>
        </w:rPr>
        <w:t xml:space="preserve">Oficio de fecha catorce de julio de dos mil veintidós, signado por la Subdirectora de Atención y Seguimiento de Procedimientos, mediante el cual informa que no es posible entregar la información requerida en virtud de que actualiza la causal de clasificación prevista en la fracción VIII del artículo 140 de la Ley de Transparencia y Acceso a la Información Pública del Estado de México y Municipios y que, se adjunta el Acta de la Segunda Sesión Ordinaria 2022. </w:t>
      </w:r>
    </w:p>
    <w:p w:rsidR="001A4767" w:rsidRPr="00897F1E" w:rsidRDefault="00384B6A">
      <w:pPr>
        <w:widowControl w:val="0"/>
        <w:numPr>
          <w:ilvl w:val="0"/>
          <w:numId w:val="10"/>
        </w:numPr>
        <w:pBdr>
          <w:top w:val="nil"/>
          <w:left w:val="nil"/>
          <w:bottom w:val="nil"/>
          <w:right w:val="nil"/>
          <w:between w:val="nil"/>
        </w:pBdr>
        <w:spacing w:line="360" w:lineRule="auto"/>
        <w:jc w:val="both"/>
        <w:rPr>
          <w:rFonts w:ascii="Palatino Linotype" w:eastAsia="Palatino Linotype" w:hAnsi="Palatino Linotype" w:cs="Palatino Linotype"/>
          <w:color w:val="0D0D0D"/>
          <w:sz w:val="22"/>
          <w:szCs w:val="22"/>
        </w:rPr>
      </w:pPr>
      <w:r w:rsidRPr="00897F1E">
        <w:rPr>
          <w:rFonts w:ascii="Palatino Linotype" w:eastAsia="Palatino Linotype" w:hAnsi="Palatino Linotype" w:cs="Palatino Linotype"/>
          <w:color w:val="0D0D0D"/>
          <w:sz w:val="22"/>
          <w:szCs w:val="22"/>
        </w:rPr>
        <w:t xml:space="preserve">Acta de la Segunda Sesión Ordinaria 2022 emitida por el Comité de Transparencia de la Procuraduría de Protección al Ambiente del Estado de México. </w:t>
      </w:r>
    </w:p>
    <w:p w:rsidR="001A4767" w:rsidRPr="00897F1E" w:rsidRDefault="001A4767">
      <w:pPr>
        <w:widowControl w:val="0"/>
        <w:spacing w:line="360" w:lineRule="auto"/>
        <w:jc w:val="both"/>
        <w:rPr>
          <w:rFonts w:ascii="Palatino Linotype" w:eastAsia="Palatino Linotype" w:hAnsi="Palatino Linotype" w:cs="Palatino Linotype"/>
          <w:color w:val="0D0D0D"/>
          <w:sz w:val="24"/>
          <w:szCs w:val="24"/>
        </w:rPr>
      </w:pPr>
    </w:p>
    <w:p w:rsidR="001A4767" w:rsidRPr="00897F1E" w:rsidRDefault="00384B6A">
      <w:pPr>
        <w:widowControl w:val="0"/>
        <w:spacing w:line="360" w:lineRule="auto"/>
        <w:jc w:val="both"/>
        <w:rPr>
          <w:rFonts w:ascii="Palatino Linotype" w:eastAsia="Palatino Linotype" w:hAnsi="Palatino Linotype" w:cs="Palatino Linotype"/>
          <w:color w:val="0D0D0D"/>
          <w:sz w:val="24"/>
          <w:szCs w:val="24"/>
        </w:rPr>
      </w:pPr>
      <w:r w:rsidRPr="00897F1E">
        <w:rPr>
          <w:rFonts w:ascii="Palatino Linotype" w:eastAsia="Palatino Linotype" w:hAnsi="Palatino Linotype" w:cs="Palatino Linotype"/>
          <w:b/>
          <w:color w:val="0D0D0D"/>
          <w:sz w:val="24"/>
          <w:szCs w:val="24"/>
        </w:rPr>
        <w:t>4. Interposición del Recurso de Revisión.</w:t>
      </w:r>
      <w:r w:rsidRPr="00897F1E">
        <w:rPr>
          <w:rFonts w:ascii="Palatino Linotype" w:eastAsia="Palatino Linotype" w:hAnsi="Palatino Linotype" w:cs="Palatino Linotype"/>
          <w:color w:val="0D0D0D"/>
          <w:sz w:val="24"/>
          <w:szCs w:val="24"/>
        </w:rPr>
        <w:t xml:space="preserve"> Con fecha </w:t>
      </w:r>
      <w:r w:rsidRPr="00897F1E">
        <w:rPr>
          <w:rFonts w:ascii="Palatino Linotype" w:eastAsia="Palatino Linotype" w:hAnsi="Palatino Linotype" w:cs="Palatino Linotype"/>
          <w:b/>
          <w:color w:val="0D0D0D"/>
          <w:sz w:val="24"/>
          <w:szCs w:val="24"/>
        </w:rPr>
        <w:t>diecisiete de agosto de dos mil veintidós</w:t>
      </w:r>
      <w:r w:rsidRPr="00897F1E">
        <w:rPr>
          <w:rFonts w:ascii="Palatino Linotype" w:eastAsia="Palatino Linotype" w:hAnsi="Palatino Linotype" w:cs="Palatino Linotype"/>
          <w:color w:val="0D0D0D"/>
          <w:sz w:val="24"/>
          <w:szCs w:val="24"/>
        </w:rPr>
        <w:t>, se recibió en este Instituto, a través del Sistema de Acceso a la Información Mexiquense (SAIMEX), Recurso de Revisión interpuesto por la parte Recurrente, en contra de la respuesta del Sujeto Obligado, en los siguientes términos:</w:t>
      </w:r>
    </w:p>
    <w:p w:rsidR="001A4767" w:rsidRPr="00897F1E" w:rsidRDefault="001A4767">
      <w:pPr>
        <w:widowControl w:val="0"/>
        <w:spacing w:line="360" w:lineRule="auto"/>
        <w:jc w:val="both"/>
        <w:rPr>
          <w:rFonts w:ascii="Palatino Linotype" w:eastAsia="Palatino Linotype" w:hAnsi="Palatino Linotype" w:cs="Palatino Linotype"/>
          <w:color w:val="0D0D0D"/>
          <w:sz w:val="24"/>
          <w:szCs w:val="24"/>
        </w:rPr>
      </w:pPr>
    </w:p>
    <w:p w:rsidR="001A4767" w:rsidRPr="00897F1E" w:rsidRDefault="00384B6A">
      <w:pPr>
        <w:tabs>
          <w:tab w:val="left" w:pos="4667"/>
        </w:tabs>
        <w:spacing w:line="360" w:lineRule="auto"/>
        <w:ind w:left="567" w:right="567"/>
        <w:jc w:val="both"/>
        <w:rPr>
          <w:rFonts w:ascii="Palatino Linotype" w:eastAsia="Palatino Linotype" w:hAnsi="Palatino Linotype" w:cs="Palatino Linotype"/>
          <w:i/>
          <w:color w:val="0D0D0D"/>
          <w:sz w:val="22"/>
          <w:szCs w:val="22"/>
        </w:rPr>
      </w:pPr>
      <w:r w:rsidRPr="00897F1E">
        <w:rPr>
          <w:rFonts w:ascii="Palatino Linotype" w:eastAsia="Palatino Linotype" w:hAnsi="Palatino Linotype" w:cs="Palatino Linotype"/>
          <w:b/>
          <w:i/>
          <w:color w:val="0D0D0D"/>
          <w:sz w:val="22"/>
          <w:szCs w:val="22"/>
        </w:rPr>
        <w:t>ACTO IMPUGNADO</w:t>
      </w:r>
      <w:r w:rsidRPr="00897F1E">
        <w:rPr>
          <w:rFonts w:ascii="Palatino Linotype" w:eastAsia="Palatino Linotype" w:hAnsi="Palatino Linotype" w:cs="Palatino Linotype"/>
          <w:i/>
          <w:color w:val="0D0D0D"/>
          <w:sz w:val="22"/>
          <w:szCs w:val="22"/>
        </w:rPr>
        <w:t xml:space="preserve">. “La clasificación de la información </w:t>
      </w:r>
      <w:proofErr w:type="spellStart"/>
      <w:r w:rsidRPr="00897F1E">
        <w:rPr>
          <w:rFonts w:ascii="Palatino Linotype" w:eastAsia="Palatino Linotype" w:hAnsi="Palatino Linotype" w:cs="Palatino Linotype"/>
          <w:i/>
          <w:color w:val="0D0D0D"/>
          <w:sz w:val="22"/>
          <w:szCs w:val="22"/>
        </w:rPr>
        <w:t>publica</w:t>
      </w:r>
      <w:proofErr w:type="spellEnd"/>
      <w:r w:rsidRPr="00897F1E">
        <w:rPr>
          <w:rFonts w:ascii="Palatino Linotype" w:eastAsia="Palatino Linotype" w:hAnsi="Palatino Linotype" w:cs="Palatino Linotype"/>
          <w:i/>
          <w:color w:val="0D0D0D"/>
          <w:sz w:val="22"/>
          <w:szCs w:val="22"/>
        </w:rPr>
        <w:t xml:space="preserve"> solicitada” (Sic.)</w:t>
      </w:r>
    </w:p>
    <w:p w:rsidR="001A4767" w:rsidRPr="00897F1E" w:rsidRDefault="001A4767">
      <w:pPr>
        <w:spacing w:line="360" w:lineRule="auto"/>
        <w:ind w:right="567"/>
        <w:jc w:val="both"/>
        <w:rPr>
          <w:rFonts w:ascii="Palatino Linotype" w:eastAsia="Palatino Linotype" w:hAnsi="Palatino Linotype" w:cs="Palatino Linotype"/>
          <w:i/>
          <w:color w:val="0D0D0D"/>
          <w:sz w:val="22"/>
          <w:szCs w:val="22"/>
        </w:rPr>
      </w:pPr>
    </w:p>
    <w:p w:rsidR="001A4767" w:rsidRPr="00897F1E" w:rsidRDefault="00384B6A">
      <w:pPr>
        <w:spacing w:line="360" w:lineRule="auto"/>
        <w:ind w:left="567" w:right="567"/>
        <w:jc w:val="both"/>
        <w:rPr>
          <w:rFonts w:ascii="Palatino Linotype" w:eastAsia="Palatino Linotype" w:hAnsi="Palatino Linotype" w:cs="Palatino Linotype"/>
          <w:b/>
          <w:i/>
          <w:color w:val="0D0D0D"/>
          <w:sz w:val="22"/>
          <w:szCs w:val="22"/>
        </w:rPr>
      </w:pPr>
      <w:r w:rsidRPr="00897F1E">
        <w:rPr>
          <w:rFonts w:ascii="Palatino Linotype" w:eastAsia="Palatino Linotype" w:hAnsi="Palatino Linotype" w:cs="Palatino Linotype"/>
          <w:b/>
          <w:i/>
          <w:color w:val="0D0D0D"/>
          <w:sz w:val="22"/>
          <w:szCs w:val="22"/>
        </w:rPr>
        <w:t xml:space="preserve">RAZONES O MOTIVOS DE LA INCONFORMIDAD. </w:t>
      </w:r>
      <w:r w:rsidRPr="00897F1E">
        <w:rPr>
          <w:rFonts w:ascii="Palatino Linotype" w:eastAsia="Palatino Linotype" w:hAnsi="Palatino Linotype" w:cs="Palatino Linotype"/>
          <w:i/>
          <w:color w:val="0D0D0D"/>
          <w:sz w:val="22"/>
          <w:szCs w:val="22"/>
        </w:rPr>
        <w:t xml:space="preserve">“El sujeto obligado y/o su comité de transparencia </w:t>
      </w:r>
      <w:r w:rsidRPr="00897F1E">
        <w:rPr>
          <w:rFonts w:ascii="Palatino Linotype" w:eastAsia="Palatino Linotype" w:hAnsi="Palatino Linotype" w:cs="Palatino Linotype"/>
          <w:b/>
          <w:i/>
          <w:color w:val="0D0D0D"/>
          <w:sz w:val="22"/>
          <w:szCs w:val="22"/>
          <w:u w:val="single"/>
        </w:rPr>
        <w:t xml:space="preserve">omitió que la información </w:t>
      </w:r>
      <w:proofErr w:type="spellStart"/>
      <w:r w:rsidRPr="00897F1E">
        <w:rPr>
          <w:rFonts w:ascii="Palatino Linotype" w:eastAsia="Palatino Linotype" w:hAnsi="Palatino Linotype" w:cs="Palatino Linotype"/>
          <w:b/>
          <w:i/>
          <w:color w:val="0D0D0D"/>
          <w:sz w:val="22"/>
          <w:szCs w:val="22"/>
          <w:u w:val="single"/>
        </w:rPr>
        <w:t>publica</w:t>
      </w:r>
      <w:proofErr w:type="spellEnd"/>
      <w:r w:rsidRPr="00897F1E">
        <w:rPr>
          <w:rFonts w:ascii="Palatino Linotype" w:eastAsia="Palatino Linotype" w:hAnsi="Palatino Linotype" w:cs="Palatino Linotype"/>
          <w:b/>
          <w:i/>
          <w:color w:val="0D0D0D"/>
          <w:sz w:val="22"/>
          <w:szCs w:val="22"/>
          <w:u w:val="single"/>
        </w:rPr>
        <w:t xml:space="preserve"> solicitada se trata con actos de </w:t>
      </w:r>
      <w:proofErr w:type="spellStart"/>
      <w:r w:rsidRPr="00897F1E">
        <w:rPr>
          <w:rFonts w:ascii="Palatino Linotype" w:eastAsia="Palatino Linotype" w:hAnsi="Palatino Linotype" w:cs="Palatino Linotype"/>
          <w:b/>
          <w:i/>
          <w:color w:val="0D0D0D"/>
          <w:sz w:val="22"/>
          <w:szCs w:val="22"/>
          <w:u w:val="single"/>
        </w:rPr>
        <w:t>corrupcion</w:t>
      </w:r>
      <w:proofErr w:type="spellEnd"/>
      <w:r w:rsidRPr="00897F1E">
        <w:rPr>
          <w:rFonts w:ascii="Palatino Linotype" w:eastAsia="Palatino Linotype" w:hAnsi="Palatino Linotype" w:cs="Palatino Linotype"/>
          <w:b/>
          <w:i/>
          <w:color w:val="0D0D0D"/>
          <w:sz w:val="22"/>
          <w:szCs w:val="22"/>
          <w:u w:val="single"/>
        </w:rPr>
        <w:t xml:space="preserve">, </w:t>
      </w:r>
      <w:r w:rsidRPr="00897F1E">
        <w:rPr>
          <w:rFonts w:ascii="Palatino Linotype" w:eastAsia="Palatino Linotype" w:hAnsi="Palatino Linotype" w:cs="Palatino Linotype"/>
          <w:i/>
          <w:color w:val="0D0D0D"/>
          <w:sz w:val="22"/>
          <w:szCs w:val="22"/>
        </w:rPr>
        <w:t>tal y como fue señalado en la solicitud respectiva, también omitió la Resolución del Pleno del Instituto Nacional de Acceso a la Información expediente Caso relevante RRA 4436/18 en contra de la Procuraduría General de la República Comisionado ponente: Oscar Mauricio Guerra Ford.” (Sic.)</w:t>
      </w:r>
    </w:p>
    <w:p w:rsidR="001A4767" w:rsidRPr="00897F1E" w:rsidRDefault="001A4767">
      <w:pPr>
        <w:spacing w:line="360" w:lineRule="auto"/>
        <w:jc w:val="both"/>
        <w:rPr>
          <w:rFonts w:ascii="Palatino Linotype" w:eastAsia="Palatino Linotype" w:hAnsi="Palatino Linotype" w:cs="Palatino Linotype"/>
          <w:b/>
          <w:color w:val="0D0D0D"/>
          <w:sz w:val="24"/>
          <w:szCs w:val="24"/>
        </w:rPr>
      </w:pPr>
    </w:p>
    <w:p w:rsidR="001A4767" w:rsidRPr="00897F1E" w:rsidRDefault="00384B6A">
      <w:pPr>
        <w:spacing w:line="360" w:lineRule="auto"/>
        <w:jc w:val="both"/>
        <w:rPr>
          <w:rFonts w:ascii="Palatino Linotype" w:eastAsia="Palatino Linotype" w:hAnsi="Palatino Linotype" w:cs="Palatino Linotype"/>
          <w:color w:val="0D0D0D"/>
          <w:sz w:val="24"/>
          <w:szCs w:val="24"/>
        </w:rPr>
      </w:pPr>
      <w:r w:rsidRPr="00897F1E">
        <w:rPr>
          <w:rFonts w:ascii="Palatino Linotype" w:eastAsia="Palatino Linotype" w:hAnsi="Palatino Linotype" w:cs="Palatino Linotype"/>
          <w:b/>
          <w:color w:val="0D0D0D"/>
          <w:sz w:val="24"/>
          <w:szCs w:val="24"/>
        </w:rPr>
        <w:t xml:space="preserve">5. Turno del Recurso de Revisión. </w:t>
      </w:r>
      <w:r w:rsidRPr="00897F1E">
        <w:rPr>
          <w:rFonts w:ascii="Palatino Linotype" w:eastAsia="Palatino Linotype" w:hAnsi="Palatino Linotype" w:cs="Palatino Linotype"/>
          <w:color w:val="0D0D0D"/>
          <w:sz w:val="24"/>
          <w:szCs w:val="24"/>
        </w:rPr>
        <w:t>El diecisiete de agosto de dos mil veintidós, el Recurso de Revisión que ahora nos ocupa, se turnó a la Comisionada Ponente Guadalupe Ramírez Peña, para los efectos del artículo 185, fracción I de la Ley de Transparencia y Acceso a la Información Pública del Estado de México y Municipios.</w:t>
      </w:r>
    </w:p>
    <w:p w:rsidR="001A4767" w:rsidRPr="00897F1E" w:rsidRDefault="001A4767">
      <w:pPr>
        <w:spacing w:line="360" w:lineRule="auto"/>
        <w:jc w:val="both"/>
        <w:rPr>
          <w:rFonts w:ascii="Palatino Linotype" w:eastAsia="Palatino Linotype" w:hAnsi="Palatino Linotype" w:cs="Palatino Linotype"/>
          <w:color w:val="0D0D0D"/>
          <w:sz w:val="24"/>
          <w:szCs w:val="24"/>
        </w:rPr>
      </w:pPr>
    </w:p>
    <w:p w:rsidR="001A4767" w:rsidRPr="00897F1E" w:rsidRDefault="00384B6A">
      <w:pPr>
        <w:spacing w:line="360" w:lineRule="auto"/>
        <w:jc w:val="both"/>
        <w:rPr>
          <w:rFonts w:ascii="Palatino Linotype" w:eastAsia="Palatino Linotype" w:hAnsi="Palatino Linotype" w:cs="Palatino Linotype"/>
          <w:color w:val="0D0D0D"/>
          <w:sz w:val="24"/>
          <w:szCs w:val="24"/>
        </w:rPr>
      </w:pPr>
      <w:r w:rsidRPr="00897F1E">
        <w:rPr>
          <w:rFonts w:ascii="Palatino Linotype" w:eastAsia="Palatino Linotype" w:hAnsi="Palatino Linotype" w:cs="Palatino Linotype"/>
          <w:b/>
          <w:color w:val="0D0D0D"/>
          <w:sz w:val="24"/>
          <w:szCs w:val="24"/>
        </w:rPr>
        <w:t>6</w:t>
      </w:r>
      <w:r w:rsidRPr="00897F1E">
        <w:rPr>
          <w:rFonts w:ascii="Palatino Linotype" w:eastAsia="Palatino Linotype" w:hAnsi="Palatino Linotype" w:cs="Palatino Linotype"/>
          <w:color w:val="0D0D0D"/>
          <w:sz w:val="24"/>
          <w:szCs w:val="24"/>
        </w:rPr>
        <w:t>.</w:t>
      </w:r>
      <w:r w:rsidRPr="00897F1E">
        <w:rPr>
          <w:rFonts w:ascii="Palatino Linotype" w:eastAsia="Palatino Linotype" w:hAnsi="Palatino Linotype" w:cs="Palatino Linotype"/>
          <w:b/>
          <w:color w:val="0D0D0D"/>
          <w:sz w:val="24"/>
          <w:szCs w:val="24"/>
        </w:rPr>
        <w:t xml:space="preserve"> Admisión del Recurso de Revisión. </w:t>
      </w:r>
      <w:r w:rsidRPr="00897F1E">
        <w:rPr>
          <w:rFonts w:ascii="Palatino Linotype" w:eastAsia="Palatino Linotype" w:hAnsi="Palatino Linotype" w:cs="Palatino Linotype"/>
          <w:color w:val="0D0D0D"/>
          <w:sz w:val="24"/>
          <w:szCs w:val="24"/>
        </w:rPr>
        <w:t xml:space="preserve">El </w:t>
      </w:r>
      <w:r w:rsidRPr="00897F1E">
        <w:rPr>
          <w:rFonts w:ascii="Palatino Linotype" w:eastAsia="Palatino Linotype" w:hAnsi="Palatino Linotype" w:cs="Palatino Linotype"/>
          <w:b/>
          <w:color w:val="0D0D0D"/>
          <w:sz w:val="24"/>
          <w:szCs w:val="24"/>
        </w:rPr>
        <w:t>veintidós de agosto de dos mil veintidós</w:t>
      </w:r>
      <w:r w:rsidRPr="00897F1E">
        <w:rPr>
          <w:rFonts w:ascii="Palatino Linotype" w:eastAsia="Palatino Linotype" w:hAnsi="Palatino Linotype" w:cs="Palatino Linotype"/>
          <w:color w:val="0D0D0D"/>
          <w:sz w:val="24"/>
          <w:szCs w:val="24"/>
        </w:rPr>
        <w:t>, se acordó la admisión del Recurso de Revisión interpuesto por la Recurrente en contra del Sujeto Obligado, en términos del artículo 185, fracciones I y II de la Ley de Transparencia y Acceso a la Información Pública del Estado de México y Municipios, el cual fue notificado a las partes el mismo día, a través del Sistema de Acceso a la Información Mexiquense (SAIMEX), en el que se les otorgó un plazo de siete días hábiles posteriores a la misma, para que manifestaran lo que a su derecho conviniera y formularan alegatos.</w:t>
      </w:r>
    </w:p>
    <w:p w:rsidR="001A4767" w:rsidRPr="00897F1E" w:rsidRDefault="001A4767">
      <w:pPr>
        <w:spacing w:line="360" w:lineRule="auto"/>
        <w:jc w:val="both"/>
        <w:rPr>
          <w:rFonts w:ascii="Palatino Linotype" w:eastAsia="Palatino Linotype" w:hAnsi="Palatino Linotype" w:cs="Palatino Linotype"/>
          <w:color w:val="0D0D0D"/>
          <w:sz w:val="24"/>
          <w:szCs w:val="24"/>
        </w:rPr>
      </w:pPr>
    </w:p>
    <w:p w:rsidR="001A4767" w:rsidRPr="00897F1E" w:rsidRDefault="00384B6A">
      <w:pPr>
        <w:spacing w:line="360" w:lineRule="auto"/>
        <w:jc w:val="both"/>
        <w:rPr>
          <w:rFonts w:ascii="Palatino Linotype" w:eastAsia="Palatino Linotype" w:hAnsi="Palatino Linotype" w:cs="Palatino Linotype"/>
          <w:color w:val="0D0D0D"/>
          <w:sz w:val="24"/>
          <w:szCs w:val="24"/>
        </w:rPr>
      </w:pPr>
      <w:r w:rsidRPr="00897F1E">
        <w:rPr>
          <w:rFonts w:ascii="Palatino Linotype" w:eastAsia="Palatino Linotype" w:hAnsi="Palatino Linotype" w:cs="Palatino Linotype"/>
          <w:b/>
          <w:color w:val="0D0D0D"/>
          <w:sz w:val="24"/>
          <w:szCs w:val="24"/>
        </w:rPr>
        <w:t>7</w:t>
      </w:r>
      <w:r w:rsidRPr="00897F1E">
        <w:rPr>
          <w:rFonts w:ascii="Palatino Linotype" w:eastAsia="Palatino Linotype" w:hAnsi="Palatino Linotype" w:cs="Palatino Linotype"/>
          <w:color w:val="0D0D0D"/>
          <w:sz w:val="24"/>
          <w:szCs w:val="24"/>
        </w:rPr>
        <w:t xml:space="preserve">. </w:t>
      </w:r>
      <w:r w:rsidRPr="00897F1E">
        <w:rPr>
          <w:rFonts w:ascii="Palatino Linotype" w:eastAsia="Palatino Linotype" w:hAnsi="Palatino Linotype" w:cs="Palatino Linotype"/>
          <w:b/>
          <w:color w:val="0D0D0D"/>
          <w:sz w:val="24"/>
          <w:szCs w:val="24"/>
        </w:rPr>
        <w:t xml:space="preserve">Informe Justificado. </w:t>
      </w:r>
      <w:r w:rsidRPr="00897F1E">
        <w:rPr>
          <w:rFonts w:ascii="Palatino Linotype" w:eastAsia="Palatino Linotype" w:hAnsi="Palatino Linotype" w:cs="Palatino Linotype"/>
          <w:color w:val="0D0D0D"/>
          <w:sz w:val="24"/>
          <w:szCs w:val="24"/>
        </w:rPr>
        <w:t xml:space="preserve">El </w:t>
      </w:r>
      <w:r w:rsidRPr="00897F1E">
        <w:rPr>
          <w:rFonts w:ascii="Palatino Linotype" w:eastAsia="Palatino Linotype" w:hAnsi="Palatino Linotype" w:cs="Palatino Linotype"/>
          <w:b/>
          <w:color w:val="0D0D0D"/>
          <w:sz w:val="24"/>
          <w:szCs w:val="24"/>
        </w:rPr>
        <w:t>treinta y uno de agosto de dos mil veintidós</w:t>
      </w:r>
      <w:r w:rsidRPr="00897F1E">
        <w:rPr>
          <w:rFonts w:ascii="Palatino Linotype" w:eastAsia="Palatino Linotype" w:hAnsi="Palatino Linotype" w:cs="Palatino Linotype"/>
          <w:color w:val="0D0D0D"/>
          <w:sz w:val="24"/>
          <w:szCs w:val="24"/>
        </w:rPr>
        <w:t xml:space="preserve">, el Sujeto Obligado rindió su informe justificado, a través de los archivos que se describen a continuación: </w:t>
      </w:r>
    </w:p>
    <w:p w:rsidR="001A4767" w:rsidRPr="00897F1E" w:rsidRDefault="001A4767">
      <w:pPr>
        <w:spacing w:line="360" w:lineRule="auto"/>
        <w:jc w:val="both"/>
        <w:rPr>
          <w:rFonts w:ascii="Palatino Linotype" w:eastAsia="Palatino Linotype" w:hAnsi="Palatino Linotype" w:cs="Palatino Linotype"/>
          <w:color w:val="0D0D0D"/>
          <w:sz w:val="24"/>
          <w:szCs w:val="24"/>
        </w:rPr>
      </w:pPr>
    </w:p>
    <w:p w:rsidR="001A4767" w:rsidRPr="00897F1E" w:rsidRDefault="00384B6A">
      <w:pPr>
        <w:numPr>
          <w:ilvl w:val="0"/>
          <w:numId w:val="11"/>
        </w:numPr>
        <w:pBdr>
          <w:top w:val="nil"/>
          <w:left w:val="nil"/>
          <w:bottom w:val="nil"/>
          <w:right w:val="nil"/>
          <w:between w:val="nil"/>
        </w:pBdr>
        <w:spacing w:line="360" w:lineRule="auto"/>
        <w:jc w:val="both"/>
        <w:rPr>
          <w:rFonts w:ascii="Palatino Linotype" w:eastAsia="Palatino Linotype" w:hAnsi="Palatino Linotype" w:cs="Palatino Linotype"/>
          <w:color w:val="0D0D0D"/>
          <w:sz w:val="22"/>
          <w:szCs w:val="22"/>
        </w:rPr>
      </w:pPr>
      <w:r w:rsidRPr="00897F1E">
        <w:rPr>
          <w:rFonts w:ascii="Palatino Linotype" w:eastAsia="Palatino Linotype" w:hAnsi="Palatino Linotype" w:cs="Palatino Linotype"/>
          <w:color w:val="0D0D0D"/>
          <w:sz w:val="22"/>
          <w:szCs w:val="22"/>
        </w:rPr>
        <w:t xml:space="preserve">Oficio de fecha treinta y uno de agosto de dos mil veintidós, signado por la Subdirectora de Atención y Seguimiento de Procedimientos, mediante el cual ratificó su respuesta inicial. </w:t>
      </w:r>
    </w:p>
    <w:p w:rsidR="001A4767" w:rsidRPr="00897F1E" w:rsidRDefault="00384B6A">
      <w:pPr>
        <w:numPr>
          <w:ilvl w:val="0"/>
          <w:numId w:val="11"/>
        </w:numPr>
        <w:pBdr>
          <w:top w:val="nil"/>
          <w:left w:val="nil"/>
          <w:bottom w:val="nil"/>
          <w:right w:val="nil"/>
          <w:between w:val="nil"/>
        </w:pBdr>
        <w:spacing w:line="360" w:lineRule="auto"/>
        <w:jc w:val="both"/>
        <w:rPr>
          <w:rFonts w:ascii="Palatino Linotype" w:eastAsia="Palatino Linotype" w:hAnsi="Palatino Linotype" w:cs="Palatino Linotype"/>
          <w:color w:val="0D0D0D"/>
          <w:sz w:val="22"/>
          <w:szCs w:val="22"/>
        </w:rPr>
      </w:pPr>
      <w:r w:rsidRPr="00897F1E">
        <w:rPr>
          <w:rFonts w:ascii="Palatino Linotype" w:eastAsia="Palatino Linotype" w:hAnsi="Palatino Linotype" w:cs="Palatino Linotype"/>
          <w:color w:val="0D0D0D"/>
          <w:sz w:val="22"/>
          <w:szCs w:val="22"/>
        </w:rPr>
        <w:t>Gafete oficial de la Subdirectora de Atención y Seguimiento de Procedimientos.</w:t>
      </w:r>
    </w:p>
    <w:p w:rsidR="001A4767" w:rsidRPr="00897F1E" w:rsidRDefault="00384B6A">
      <w:pPr>
        <w:numPr>
          <w:ilvl w:val="0"/>
          <w:numId w:val="11"/>
        </w:numPr>
        <w:pBdr>
          <w:top w:val="nil"/>
          <w:left w:val="nil"/>
          <w:bottom w:val="nil"/>
          <w:right w:val="nil"/>
          <w:between w:val="nil"/>
        </w:pBdr>
        <w:spacing w:line="360" w:lineRule="auto"/>
        <w:jc w:val="both"/>
        <w:rPr>
          <w:rFonts w:ascii="Palatino Linotype" w:eastAsia="Palatino Linotype" w:hAnsi="Palatino Linotype" w:cs="Palatino Linotype"/>
          <w:color w:val="0D0D0D"/>
          <w:sz w:val="22"/>
          <w:szCs w:val="22"/>
        </w:rPr>
      </w:pPr>
      <w:r w:rsidRPr="00897F1E">
        <w:rPr>
          <w:rFonts w:ascii="Palatino Linotype" w:eastAsia="Palatino Linotype" w:hAnsi="Palatino Linotype" w:cs="Palatino Linotype"/>
          <w:color w:val="0D0D0D"/>
          <w:sz w:val="22"/>
          <w:szCs w:val="22"/>
        </w:rPr>
        <w:t>Acuse de la Solicitud de información 00088/PROPAEM/IP/2022.</w:t>
      </w:r>
    </w:p>
    <w:p w:rsidR="001A4767" w:rsidRPr="00897F1E" w:rsidRDefault="00384B6A">
      <w:pPr>
        <w:widowControl w:val="0"/>
        <w:numPr>
          <w:ilvl w:val="0"/>
          <w:numId w:val="11"/>
        </w:numPr>
        <w:pBdr>
          <w:top w:val="nil"/>
          <w:left w:val="nil"/>
          <w:bottom w:val="nil"/>
          <w:right w:val="nil"/>
          <w:between w:val="nil"/>
        </w:pBdr>
        <w:spacing w:line="360" w:lineRule="auto"/>
        <w:jc w:val="both"/>
        <w:rPr>
          <w:rFonts w:ascii="Palatino Linotype" w:eastAsia="Palatino Linotype" w:hAnsi="Palatino Linotype" w:cs="Palatino Linotype"/>
          <w:color w:val="0D0D0D"/>
          <w:sz w:val="22"/>
          <w:szCs w:val="22"/>
        </w:rPr>
      </w:pPr>
      <w:r w:rsidRPr="00897F1E">
        <w:rPr>
          <w:rFonts w:ascii="Palatino Linotype" w:eastAsia="Palatino Linotype" w:hAnsi="Palatino Linotype" w:cs="Palatino Linotype"/>
          <w:color w:val="0D0D0D"/>
          <w:sz w:val="22"/>
          <w:szCs w:val="22"/>
        </w:rPr>
        <w:lastRenderedPageBreak/>
        <w:t xml:space="preserve">Oficio de fecha catorce de julio de dos mil veintidós, signado por la Subdirectora de Atención y Seguimiento de Procedimientos, mediante el cual informa que no es posible entregar la información requerida en virtud de que actualiza la causal de clasificación prevista en la fracción VIII del artículo 140 de la Ley de Transparencia y Acceso a la Información Pública del Estado de México y Municipios y que, se adjunta el Acta de la Segunda Sesión Ordinaria 2022. </w:t>
      </w:r>
    </w:p>
    <w:p w:rsidR="001A4767" w:rsidRPr="00897F1E" w:rsidRDefault="00384B6A">
      <w:pPr>
        <w:widowControl w:val="0"/>
        <w:numPr>
          <w:ilvl w:val="0"/>
          <w:numId w:val="11"/>
        </w:numPr>
        <w:pBdr>
          <w:top w:val="nil"/>
          <w:left w:val="nil"/>
          <w:bottom w:val="nil"/>
          <w:right w:val="nil"/>
          <w:between w:val="nil"/>
        </w:pBdr>
        <w:spacing w:line="360" w:lineRule="auto"/>
        <w:jc w:val="both"/>
        <w:rPr>
          <w:rFonts w:ascii="Palatino Linotype" w:eastAsia="Palatino Linotype" w:hAnsi="Palatino Linotype" w:cs="Palatino Linotype"/>
          <w:color w:val="0D0D0D"/>
          <w:sz w:val="22"/>
          <w:szCs w:val="22"/>
        </w:rPr>
      </w:pPr>
      <w:r w:rsidRPr="00897F1E">
        <w:rPr>
          <w:rFonts w:ascii="Palatino Linotype" w:eastAsia="Palatino Linotype" w:hAnsi="Palatino Linotype" w:cs="Palatino Linotype"/>
          <w:color w:val="0D0D0D"/>
          <w:sz w:val="22"/>
          <w:szCs w:val="22"/>
        </w:rPr>
        <w:t xml:space="preserve">Acta de la Segunda Sesión Ordinaria 2022 emitida por el Comité de Transparencia de la Procuraduría de Protección al Ambiente del Estado de México. </w:t>
      </w:r>
    </w:p>
    <w:p w:rsidR="001A4767" w:rsidRPr="00897F1E" w:rsidRDefault="001A4767">
      <w:pPr>
        <w:spacing w:line="360" w:lineRule="auto"/>
        <w:jc w:val="both"/>
        <w:rPr>
          <w:rFonts w:ascii="Palatino Linotype" w:eastAsia="Palatino Linotype" w:hAnsi="Palatino Linotype" w:cs="Palatino Linotype"/>
          <w:color w:val="0D0D0D"/>
          <w:sz w:val="24"/>
          <w:szCs w:val="24"/>
        </w:rPr>
      </w:pPr>
    </w:p>
    <w:p w:rsidR="001A4767" w:rsidRPr="00897F1E" w:rsidRDefault="00384B6A">
      <w:pPr>
        <w:spacing w:line="360" w:lineRule="auto"/>
        <w:jc w:val="both"/>
        <w:rPr>
          <w:rFonts w:ascii="Palatino Linotype" w:eastAsia="Palatino Linotype" w:hAnsi="Palatino Linotype" w:cs="Palatino Linotype"/>
          <w:b/>
          <w:color w:val="0D0D0D"/>
          <w:sz w:val="24"/>
          <w:szCs w:val="24"/>
        </w:rPr>
      </w:pPr>
      <w:r w:rsidRPr="00897F1E">
        <w:rPr>
          <w:rFonts w:ascii="Palatino Linotype" w:eastAsia="Palatino Linotype" w:hAnsi="Palatino Linotype" w:cs="Palatino Linotype"/>
          <w:color w:val="0D0D0D"/>
          <w:sz w:val="24"/>
          <w:szCs w:val="24"/>
        </w:rPr>
        <w:t xml:space="preserve">Documentos que se hicieron del conocimiento de la parte Recurrente el </w:t>
      </w:r>
      <w:r w:rsidRPr="00897F1E">
        <w:rPr>
          <w:rFonts w:ascii="Palatino Linotype" w:eastAsia="Palatino Linotype" w:hAnsi="Palatino Linotype" w:cs="Palatino Linotype"/>
          <w:b/>
          <w:color w:val="0D0D0D"/>
          <w:sz w:val="24"/>
          <w:szCs w:val="24"/>
        </w:rPr>
        <w:t xml:space="preserve">diecinueve de junio de dos mil veintitrés. </w:t>
      </w:r>
    </w:p>
    <w:p w:rsidR="001A4767" w:rsidRPr="00897F1E" w:rsidRDefault="001A4767">
      <w:pPr>
        <w:spacing w:line="360" w:lineRule="auto"/>
        <w:jc w:val="both"/>
        <w:rPr>
          <w:rFonts w:ascii="Palatino Linotype" w:eastAsia="Palatino Linotype" w:hAnsi="Palatino Linotype" w:cs="Palatino Linotype"/>
          <w:b/>
          <w:color w:val="0D0D0D"/>
          <w:sz w:val="24"/>
          <w:szCs w:val="24"/>
        </w:rPr>
      </w:pPr>
    </w:p>
    <w:p w:rsidR="001A4767" w:rsidRPr="00897F1E" w:rsidRDefault="00384B6A">
      <w:pPr>
        <w:spacing w:line="360" w:lineRule="auto"/>
        <w:jc w:val="both"/>
        <w:rPr>
          <w:rFonts w:ascii="Palatino Linotype" w:eastAsia="Palatino Linotype" w:hAnsi="Palatino Linotype" w:cs="Palatino Linotype"/>
          <w:color w:val="0D0D0D"/>
          <w:sz w:val="24"/>
          <w:szCs w:val="24"/>
        </w:rPr>
      </w:pPr>
      <w:r w:rsidRPr="00897F1E">
        <w:rPr>
          <w:rFonts w:ascii="Palatino Linotype" w:eastAsia="Palatino Linotype" w:hAnsi="Palatino Linotype" w:cs="Palatino Linotype"/>
          <w:color w:val="0D0D0D"/>
          <w:sz w:val="24"/>
          <w:szCs w:val="24"/>
        </w:rPr>
        <w:t xml:space="preserve">La parte Recurrente no realizó manifestaciones. </w:t>
      </w:r>
    </w:p>
    <w:p w:rsidR="001A4767" w:rsidRPr="00897F1E" w:rsidRDefault="001A4767">
      <w:pPr>
        <w:spacing w:line="360" w:lineRule="auto"/>
        <w:jc w:val="both"/>
        <w:rPr>
          <w:rFonts w:ascii="Palatino Linotype" w:eastAsia="Palatino Linotype" w:hAnsi="Palatino Linotype" w:cs="Palatino Linotype"/>
          <w:b/>
          <w:color w:val="0D0D0D"/>
          <w:sz w:val="24"/>
          <w:szCs w:val="24"/>
        </w:rPr>
      </w:pPr>
    </w:p>
    <w:p w:rsidR="001A4767" w:rsidRPr="00897F1E" w:rsidRDefault="00384B6A">
      <w:pPr>
        <w:spacing w:line="360" w:lineRule="auto"/>
        <w:jc w:val="both"/>
        <w:rPr>
          <w:rFonts w:ascii="Palatino Linotype" w:eastAsia="Palatino Linotype" w:hAnsi="Palatino Linotype" w:cs="Palatino Linotype"/>
          <w:color w:val="0D0D0D"/>
          <w:sz w:val="24"/>
          <w:szCs w:val="24"/>
        </w:rPr>
      </w:pPr>
      <w:r w:rsidRPr="00897F1E">
        <w:rPr>
          <w:rFonts w:ascii="Palatino Linotype" w:eastAsia="Palatino Linotype" w:hAnsi="Palatino Linotype" w:cs="Palatino Linotype"/>
          <w:b/>
          <w:color w:val="0D0D0D"/>
          <w:sz w:val="24"/>
          <w:szCs w:val="24"/>
        </w:rPr>
        <w:t xml:space="preserve">8. Ampliación del plazo para resolver. </w:t>
      </w:r>
      <w:r w:rsidRPr="00897F1E">
        <w:rPr>
          <w:rFonts w:ascii="Palatino Linotype" w:eastAsia="Palatino Linotype" w:hAnsi="Palatino Linotype" w:cs="Palatino Linotype"/>
          <w:color w:val="000000"/>
          <w:sz w:val="24"/>
          <w:szCs w:val="24"/>
        </w:rPr>
        <w:t xml:space="preserve">El </w:t>
      </w:r>
      <w:r w:rsidRPr="00897F1E">
        <w:rPr>
          <w:rFonts w:ascii="Palatino Linotype" w:eastAsia="Palatino Linotype" w:hAnsi="Palatino Linotype" w:cs="Palatino Linotype"/>
          <w:b/>
          <w:color w:val="000000"/>
          <w:sz w:val="24"/>
          <w:szCs w:val="24"/>
        </w:rPr>
        <w:t>diecinueve de junio de dos mil veintitrés</w:t>
      </w:r>
      <w:r w:rsidRPr="00897F1E">
        <w:rPr>
          <w:rFonts w:ascii="Palatino Linotype" w:eastAsia="Palatino Linotype" w:hAnsi="Palatino Linotype" w:cs="Palatino Linotype"/>
          <w:color w:val="000000"/>
          <w:sz w:val="24"/>
          <w:szCs w:val="24"/>
        </w:rPr>
        <w:t>, se notificó a las partes el Acuerdo de Ampliación de Plazo para resolver el medio de impugnación que nos ocupa, en términos de lo dispuesto por el artículo 181, párrafo tercero de la Ley de Transparencia y Acceso a la Información Pública del Estado de México y Municipios.</w:t>
      </w:r>
    </w:p>
    <w:p w:rsidR="001A4767" w:rsidRPr="00897F1E" w:rsidRDefault="001A4767">
      <w:pPr>
        <w:spacing w:line="360" w:lineRule="auto"/>
        <w:jc w:val="both"/>
        <w:rPr>
          <w:rFonts w:ascii="Palatino Linotype" w:eastAsia="Palatino Linotype" w:hAnsi="Palatino Linotype" w:cs="Palatino Linotype"/>
          <w:sz w:val="24"/>
          <w:szCs w:val="24"/>
        </w:rPr>
      </w:pPr>
    </w:p>
    <w:p w:rsidR="001A4767" w:rsidRPr="00897F1E" w:rsidRDefault="00384B6A">
      <w:pPr>
        <w:spacing w:line="360" w:lineRule="auto"/>
        <w:jc w:val="both"/>
        <w:rPr>
          <w:rFonts w:ascii="Palatino Linotype" w:eastAsia="Palatino Linotype" w:hAnsi="Palatino Linotype" w:cs="Palatino Linotype"/>
          <w:color w:val="0D0D0D"/>
          <w:sz w:val="32"/>
          <w:szCs w:val="32"/>
        </w:rPr>
      </w:pPr>
      <w:r w:rsidRPr="00897F1E">
        <w:rPr>
          <w:rFonts w:ascii="Palatino Linotype" w:eastAsia="Palatino Linotype" w:hAnsi="Palatino Linotype" w:cs="Palatino Linotype"/>
          <w:sz w:val="24"/>
          <w:szCs w:val="24"/>
        </w:rPr>
        <w:t xml:space="preserve">Este organismo garante no pasa por alto justificar, que el plazo para emitir la resolución en el presente asunto encuentra justificación en el alto número de recursos de revisión recibidos dentro del año dos mil veintidós, que, en comparación con los recibidos el año dos mil veintiuno, se incrementó aproximadamente un 300%, </w:t>
      </w:r>
      <w:r w:rsidRPr="00897F1E">
        <w:rPr>
          <w:rFonts w:ascii="Palatino Linotype" w:eastAsia="Palatino Linotype" w:hAnsi="Palatino Linotype" w:cs="Palatino Linotype"/>
          <w:sz w:val="24"/>
          <w:szCs w:val="24"/>
        </w:rPr>
        <w:lastRenderedPageBreak/>
        <w:t>circunstancia atípica que ha rebasado las capacidades técnicas y humanas del personal encargado de la proyección de las resoluciones a dichos medios de impugnación.</w:t>
      </w:r>
    </w:p>
    <w:p w:rsidR="001A4767" w:rsidRPr="00897F1E" w:rsidRDefault="001A4767">
      <w:pPr>
        <w:spacing w:line="360" w:lineRule="auto"/>
        <w:jc w:val="both"/>
        <w:rPr>
          <w:rFonts w:ascii="Palatino Linotype" w:eastAsia="Palatino Linotype" w:hAnsi="Palatino Linotype" w:cs="Palatino Linotype"/>
          <w:color w:val="0D0D0D"/>
          <w:sz w:val="32"/>
          <w:szCs w:val="32"/>
        </w:rPr>
      </w:pPr>
    </w:p>
    <w:p w:rsidR="001A4767" w:rsidRPr="00897F1E" w:rsidRDefault="00384B6A">
      <w:pPr>
        <w:spacing w:line="360" w:lineRule="auto"/>
        <w:jc w:val="both"/>
        <w:rPr>
          <w:rFonts w:ascii="Palatino Linotype" w:eastAsia="Palatino Linotype" w:hAnsi="Palatino Linotype" w:cs="Palatino Linotype"/>
          <w:color w:val="0D0D0D"/>
          <w:sz w:val="40"/>
          <w:szCs w:val="40"/>
        </w:rPr>
      </w:pPr>
      <w:r w:rsidRPr="00897F1E">
        <w:rPr>
          <w:rFonts w:ascii="Palatino Linotype" w:eastAsia="Palatino Linotype" w:hAnsi="Palatino Linotype" w:cs="Palatino Linotype"/>
          <w:sz w:val="24"/>
          <w:szCs w:val="24"/>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rsidR="001A4767" w:rsidRPr="00897F1E" w:rsidRDefault="00384B6A">
      <w:pPr>
        <w:spacing w:line="360" w:lineRule="auto"/>
        <w:ind w:right="49"/>
        <w:jc w:val="both"/>
        <w:rPr>
          <w:rFonts w:ascii="Palatino Linotype" w:eastAsia="Palatino Linotype" w:hAnsi="Palatino Linotype" w:cs="Palatino Linotype"/>
        </w:rPr>
      </w:pPr>
      <w:r w:rsidRPr="00897F1E">
        <w:rPr>
          <w:rFonts w:ascii="Palatino Linotype" w:eastAsia="Palatino Linotype" w:hAnsi="Palatino Linotype" w:cs="Palatino Linotype"/>
        </w:rPr>
        <w:t xml:space="preserve"> </w:t>
      </w:r>
    </w:p>
    <w:p w:rsidR="001A4767" w:rsidRPr="00897F1E" w:rsidRDefault="00384B6A">
      <w:pPr>
        <w:spacing w:line="360" w:lineRule="auto"/>
        <w:ind w:right="49"/>
        <w:jc w:val="both"/>
        <w:rPr>
          <w:rFonts w:ascii="Palatino Linotype" w:eastAsia="Palatino Linotype" w:hAnsi="Palatino Linotype" w:cs="Palatino Linotype"/>
          <w:sz w:val="24"/>
          <w:szCs w:val="24"/>
        </w:rPr>
      </w:pPr>
      <w:r w:rsidRPr="00897F1E">
        <w:rPr>
          <w:rFonts w:ascii="Palatino Linotype" w:eastAsia="Palatino Linotype" w:hAnsi="Palatino Linotype" w:cs="Palatino Linotype"/>
          <w:sz w:val="24"/>
          <w:szCs w:val="24"/>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1A4767" w:rsidRPr="00897F1E" w:rsidRDefault="001A4767">
      <w:pPr>
        <w:spacing w:line="360" w:lineRule="auto"/>
        <w:ind w:right="49"/>
        <w:jc w:val="both"/>
        <w:rPr>
          <w:rFonts w:ascii="Palatino Linotype" w:eastAsia="Palatino Linotype" w:hAnsi="Palatino Linotype" w:cs="Palatino Linotype"/>
        </w:rPr>
      </w:pPr>
    </w:p>
    <w:p w:rsidR="001A4767" w:rsidRPr="00897F1E" w:rsidRDefault="00384B6A">
      <w:pPr>
        <w:spacing w:line="360" w:lineRule="auto"/>
        <w:ind w:right="49"/>
        <w:jc w:val="both"/>
        <w:rPr>
          <w:rFonts w:ascii="Palatino Linotype" w:eastAsia="Palatino Linotype" w:hAnsi="Palatino Linotype" w:cs="Palatino Linotype"/>
          <w:sz w:val="24"/>
          <w:szCs w:val="24"/>
        </w:rPr>
      </w:pPr>
      <w:r w:rsidRPr="00897F1E">
        <w:rPr>
          <w:rFonts w:ascii="Palatino Linotype" w:eastAsia="Palatino Linotype" w:hAnsi="Palatino Linotype" w:cs="Palatino Linotype"/>
          <w:sz w:val="24"/>
          <w:szCs w:val="24"/>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rsidR="001A4767" w:rsidRPr="00897F1E" w:rsidRDefault="001A4767">
      <w:pPr>
        <w:spacing w:line="360" w:lineRule="auto"/>
        <w:ind w:right="49"/>
        <w:jc w:val="both"/>
        <w:rPr>
          <w:rFonts w:ascii="Palatino Linotype" w:eastAsia="Palatino Linotype" w:hAnsi="Palatino Linotype" w:cs="Palatino Linotype"/>
        </w:rPr>
      </w:pPr>
    </w:p>
    <w:p w:rsidR="001A4767" w:rsidRPr="00897F1E" w:rsidRDefault="00384B6A">
      <w:pPr>
        <w:spacing w:line="360" w:lineRule="auto"/>
        <w:ind w:right="49"/>
        <w:jc w:val="both"/>
        <w:rPr>
          <w:rFonts w:ascii="Palatino Linotype" w:eastAsia="Palatino Linotype" w:hAnsi="Palatino Linotype" w:cs="Palatino Linotype"/>
          <w:sz w:val="24"/>
          <w:szCs w:val="24"/>
        </w:rPr>
      </w:pPr>
      <w:r w:rsidRPr="00897F1E">
        <w:rPr>
          <w:rFonts w:ascii="Palatino Linotype" w:eastAsia="Palatino Linotype" w:hAnsi="Palatino Linotype" w:cs="Palatino Linotype"/>
          <w:sz w:val="24"/>
          <w:szCs w:val="24"/>
        </w:rPr>
        <w:t xml:space="preserve">Por ello, excepcionalmente, si un asunto es resuelto con posterioridad a los plazos señalados por la norma debe analizarse la razonabilidad del tiempo necesario para su resolución, atentos a los siguientes criterios:  </w:t>
      </w:r>
    </w:p>
    <w:p w:rsidR="001A4767" w:rsidRPr="00897F1E" w:rsidRDefault="001A4767">
      <w:pPr>
        <w:spacing w:line="360" w:lineRule="auto"/>
        <w:ind w:right="49"/>
        <w:jc w:val="both"/>
        <w:rPr>
          <w:rFonts w:ascii="Palatino Linotype" w:eastAsia="Palatino Linotype" w:hAnsi="Palatino Linotype" w:cs="Palatino Linotype"/>
        </w:rPr>
      </w:pPr>
    </w:p>
    <w:p w:rsidR="001A4767" w:rsidRPr="00897F1E" w:rsidRDefault="00384B6A">
      <w:pPr>
        <w:tabs>
          <w:tab w:val="left" w:pos="709"/>
        </w:tabs>
        <w:spacing w:line="360" w:lineRule="auto"/>
        <w:ind w:left="567" w:right="560"/>
        <w:jc w:val="both"/>
        <w:rPr>
          <w:rFonts w:ascii="Palatino Linotype" w:eastAsia="Palatino Linotype" w:hAnsi="Palatino Linotype" w:cs="Palatino Linotype"/>
          <w:sz w:val="22"/>
          <w:szCs w:val="22"/>
        </w:rPr>
      </w:pPr>
      <w:r w:rsidRPr="00897F1E">
        <w:rPr>
          <w:rFonts w:ascii="Palatino Linotype" w:eastAsia="Palatino Linotype" w:hAnsi="Palatino Linotype" w:cs="Palatino Linotype"/>
          <w:b/>
          <w:sz w:val="22"/>
          <w:szCs w:val="22"/>
        </w:rPr>
        <w:lastRenderedPageBreak/>
        <w:t>a)    Complejidad del asunto:</w:t>
      </w:r>
      <w:r w:rsidRPr="00897F1E">
        <w:rPr>
          <w:rFonts w:ascii="Palatino Linotype" w:eastAsia="Palatino Linotype" w:hAnsi="Palatino Linotype" w:cs="Palatino Linotype"/>
          <w:sz w:val="22"/>
          <w:szCs w:val="22"/>
        </w:rPr>
        <w:t xml:space="preserve"> La complejidad de la prueba, la pluralidad de sujetos procesales, el tiempo transcurrido, las características y contexto del recurso.</w:t>
      </w:r>
    </w:p>
    <w:p w:rsidR="001A4767" w:rsidRPr="00897F1E" w:rsidRDefault="00384B6A">
      <w:pPr>
        <w:tabs>
          <w:tab w:val="left" w:pos="709"/>
        </w:tabs>
        <w:spacing w:line="360" w:lineRule="auto"/>
        <w:ind w:left="567" w:right="560"/>
        <w:jc w:val="both"/>
        <w:rPr>
          <w:rFonts w:ascii="Palatino Linotype" w:eastAsia="Palatino Linotype" w:hAnsi="Palatino Linotype" w:cs="Palatino Linotype"/>
          <w:sz w:val="22"/>
          <w:szCs w:val="22"/>
        </w:rPr>
      </w:pPr>
      <w:r w:rsidRPr="00897F1E">
        <w:rPr>
          <w:rFonts w:ascii="Palatino Linotype" w:eastAsia="Palatino Linotype" w:hAnsi="Palatino Linotype" w:cs="Palatino Linotype"/>
          <w:b/>
          <w:sz w:val="22"/>
          <w:szCs w:val="22"/>
        </w:rPr>
        <w:t>b)   Actividad Procesal del interesado</w:t>
      </w:r>
      <w:r w:rsidRPr="00897F1E">
        <w:rPr>
          <w:rFonts w:ascii="Palatino Linotype" w:eastAsia="Palatino Linotype" w:hAnsi="Palatino Linotype" w:cs="Palatino Linotype"/>
          <w:sz w:val="22"/>
          <w:szCs w:val="22"/>
        </w:rPr>
        <w:t>: Acciones u omisiones del interesado.</w:t>
      </w:r>
    </w:p>
    <w:p w:rsidR="001A4767" w:rsidRPr="00897F1E" w:rsidRDefault="00384B6A">
      <w:pPr>
        <w:tabs>
          <w:tab w:val="left" w:pos="851"/>
        </w:tabs>
        <w:spacing w:line="360" w:lineRule="auto"/>
        <w:ind w:left="567" w:right="560"/>
        <w:jc w:val="both"/>
        <w:rPr>
          <w:rFonts w:ascii="Palatino Linotype" w:eastAsia="Palatino Linotype" w:hAnsi="Palatino Linotype" w:cs="Palatino Linotype"/>
          <w:sz w:val="22"/>
          <w:szCs w:val="22"/>
        </w:rPr>
      </w:pPr>
      <w:r w:rsidRPr="00897F1E">
        <w:rPr>
          <w:rFonts w:ascii="Palatino Linotype" w:eastAsia="Palatino Linotype" w:hAnsi="Palatino Linotype" w:cs="Palatino Linotype"/>
          <w:b/>
          <w:sz w:val="22"/>
          <w:szCs w:val="22"/>
        </w:rPr>
        <w:t>c)  Conducta de la Autoridad:</w:t>
      </w:r>
      <w:r w:rsidRPr="00897F1E">
        <w:rPr>
          <w:rFonts w:ascii="Palatino Linotype" w:eastAsia="Palatino Linotype" w:hAnsi="Palatino Linotype" w:cs="Palatino Linotype"/>
          <w:sz w:val="22"/>
          <w:szCs w:val="22"/>
        </w:rPr>
        <w:t xml:space="preserve"> Las Acciones u omisiones realizadas en el procedimiento. Así como si la autoridad actuó con la debida diligencia.</w:t>
      </w:r>
    </w:p>
    <w:p w:rsidR="001A4767" w:rsidRPr="00897F1E" w:rsidRDefault="00384B6A">
      <w:pPr>
        <w:tabs>
          <w:tab w:val="left" w:pos="851"/>
        </w:tabs>
        <w:spacing w:line="360" w:lineRule="auto"/>
        <w:ind w:left="567" w:right="560"/>
        <w:jc w:val="both"/>
        <w:rPr>
          <w:rFonts w:ascii="Palatino Linotype" w:eastAsia="Palatino Linotype" w:hAnsi="Palatino Linotype" w:cs="Palatino Linotype"/>
          <w:sz w:val="22"/>
          <w:szCs w:val="22"/>
        </w:rPr>
      </w:pPr>
      <w:r w:rsidRPr="00897F1E">
        <w:rPr>
          <w:rFonts w:ascii="Palatino Linotype" w:eastAsia="Palatino Linotype" w:hAnsi="Palatino Linotype" w:cs="Palatino Linotype"/>
          <w:b/>
          <w:sz w:val="22"/>
          <w:szCs w:val="22"/>
        </w:rPr>
        <w:t>d) La afectación generada en la situación jurídica de la persona involucrada en el proceso:</w:t>
      </w:r>
      <w:r w:rsidRPr="00897F1E">
        <w:rPr>
          <w:rFonts w:ascii="Palatino Linotype" w:eastAsia="Palatino Linotype" w:hAnsi="Palatino Linotype" w:cs="Palatino Linotype"/>
          <w:sz w:val="22"/>
          <w:szCs w:val="22"/>
        </w:rPr>
        <w:t xml:space="preserve"> Violación a sus derechos humanos.</w:t>
      </w:r>
    </w:p>
    <w:p w:rsidR="001A4767" w:rsidRPr="00897F1E" w:rsidRDefault="001A4767">
      <w:pPr>
        <w:tabs>
          <w:tab w:val="left" w:pos="851"/>
        </w:tabs>
        <w:spacing w:line="360" w:lineRule="auto"/>
        <w:ind w:left="567" w:right="560"/>
        <w:jc w:val="both"/>
        <w:rPr>
          <w:rFonts w:ascii="Palatino Linotype" w:eastAsia="Palatino Linotype" w:hAnsi="Palatino Linotype" w:cs="Palatino Linotype"/>
        </w:rPr>
      </w:pPr>
    </w:p>
    <w:p w:rsidR="001A4767" w:rsidRPr="00897F1E" w:rsidRDefault="00384B6A">
      <w:pPr>
        <w:spacing w:line="360" w:lineRule="auto"/>
        <w:ind w:right="49"/>
        <w:jc w:val="both"/>
        <w:rPr>
          <w:rFonts w:ascii="Palatino Linotype" w:eastAsia="Palatino Linotype" w:hAnsi="Palatino Linotype" w:cs="Palatino Linotype"/>
          <w:sz w:val="24"/>
          <w:szCs w:val="24"/>
        </w:rPr>
      </w:pPr>
      <w:r w:rsidRPr="00897F1E">
        <w:rPr>
          <w:rFonts w:ascii="Palatino Linotype" w:eastAsia="Palatino Linotype" w:hAnsi="Palatino Linotype" w:cs="Palatino Linotype"/>
          <w:sz w:val="24"/>
          <w:szCs w:val="24"/>
        </w:rPr>
        <w:t xml:space="preserve">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 </w:t>
      </w:r>
    </w:p>
    <w:p w:rsidR="001A4767" w:rsidRPr="00897F1E" w:rsidRDefault="001A4767">
      <w:pPr>
        <w:spacing w:line="360" w:lineRule="auto"/>
        <w:ind w:right="49"/>
        <w:jc w:val="both"/>
        <w:rPr>
          <w:rFonts w:ascii="Palatino Linotype" w:eastAsia="Palatino Linotype" w:hAnsi="Palatino Linotype" w:cs="Palatino Linotype"/>
        </w:rPr>
      </w:pPr>
    </w:p>
    <w:p w:rsidR="001A4767" w:rsidRPr="00897F1E" w:rsidRDefault="00384B6A">
      <w:pPr>
        <w:spacing w:line="360" w:lineRule="auto"/>
        <w:ind w:right="49"/>
        <w:jc w:val="both"/>
        <w:rPr>
          <w:rFonts w:ascii="Palatino Linotype" w:eastAsia="Palatino Linotype" w:hAnsi="Palatino Linotype" w:cs="Palatino Linotype"/>
          <w:sz w:val="24"/>
          <w:szCs w:val="24"/>
        </w:rPr>
      </w:pPr>
      <w:r w:rsidRPr="00897F1E">
        <w:rPr>
          <w:rFonts w:ascii="Palatino Linotype" w:eastAsia="Palatino Linotype" w:hAnsi="Palatino Linotype" w:cs="Palatino Linotype"/>
          <w:sz w:val="24"/>
          <w:szCs w:val="24"/>
        </w:rPr>
        <w:t>Argumento que encuentra sustento en la jurisprudencia P</w:t>
      </w:r>
      <w:proofErr w:type="gramStart"/>
      <w:r w:rsidRPr="00897F1E">
        <w:rPr>
          <w:rFonts w:ascii="Palatino Linotype" w:eastAsia="Palatino Linotype" w:hAnsi="Palatino Linotype" w:cs="Palatino Linotype"/>
          <w:sz w:val="24"/>
          <w:szCs w:val="24"/>
        </w:rPr>
        <w:t>./</w:t>
      </w:r>
      <w:proofErr w:type="gramEnd"/>
      <w:r w:rsidRPr="00897F1E">
        <w:rPr>
          <w:rFonts w:ascii="Palatino Linotype" w:eastAsia="Palatino Linotype" w:hAnsi="Palatino Linotype" w:cs="Palatino Linotype"/>
          <w:sz w:val="24"/>
          <w:szCs w:val="24"/>
        </w:rPr>
        <w:t>J. 32/92 emitida por el Pleno de la Suprema Corte de Justicia de la Nación de rubro “</w:t>
      </w:r>
      <w:r w:rsidRPr="00897F1E">
        <w:rPr>
          <w:rFonts w:ascii="Palatino Linotype" w:eastAsia="Palatino Linotype" w:hAnsi="Palatino Linotype" w:cs="Palatino Linotype"/>
          <w:b/>
          <w:sz w:val="22"/>
          <w:szCs w:val="22"/>
        </w:rPr>
        <w:t>TÉRMINOS PROCESALES. PARA DETERMINAR SI UN FUNCIONARIO JUDICIAL ACTUÓ INDEBIDAMENTE POR NO RESPETARLOS SE DEBE ATENDER AL PRESUPUESTO QUE CONSIDERÓ EL LEGISLADOR AL FIJARLOS Y LAS CARACTERÍSTICAS DEL CASO.”</w:t>
      </w:r>
      <w:r w:rsidRPr="00897F1E">
        <w:rPr>
          <w:rFonts w:ascii="Palatino Linotype" w:eastAsia="Palatino Linotype" w:hAnsi="Palatino Linotype" w:cs="Palatino Linotype"/>
          <w:sz w:val="24"/>
          <w:szCs w:val="24"/>
        </w:rPr>
        <w:t>, visible en la Gaceta del Seminario Judicial de la Federación con el registro digital 205635.</w:t>
      </w:r>
    </w:p>
    <w:p w:rsidR="001A4767" w:rsidRPr="00897F1E" w:rsidRDefault="001A4767">
      <w:pPr>
        <w:spacing w:line="360" w:lineRule="auto"/>
        <w:ind w:right="49"/>
        <w:jc w:val="both"/>
        <w:rPr>
          <w:rFonts w:ascii="Palatino Linotype" w:eastAsia="Palatino Linotype" w:hAnsi="Palatino Linotype" w:cs="Palatino Linotype"/>
        </w:rPr>
      </w:pPr>
    </w:p>
    <w:p w:rsidR="001A4767" w:rsidRPr="00897F1E" w:rsidRDefault="00384B6A">
      <w:pPr>
        <w:spacing w:line="360" w:lineRule="auto"/>
        <w:ind w:right="49"/>
        <w:jc w:val="both"/>
        <w:rPr>
          <w:rFonts w:ascii="Palatino Linotype" w:eastAsia="Palatino Linotype" w:hAnsi="Palatino Linotype" w:cs="Palatino Linotype"/>
          <w:sz w:val="24"/>
          <w:szCs w:val="24"/>
        </w:rPr>
      </w:pPr>
      <w:r w:rsidRPr="00897F1E">
        <w:rPr>
          <w:rFonts w:ascii="Palatino Linotype" w:eastAsia="Palatino Linotype" w:hAnsi="Palatino Linotype" w:cs="Palatino Linotype"/>
          <w:sz w:val="24"/>
          <w:szCs w:val="24"/>
        </w:rPr>
        <w:t xml:space="preserve">Razones por las cuales cabe concluir que, la resolución al recurso de revisión se solventa hasta esta fecha, debido a que existe una excesiva carga de trabajo en </w:t>
      </w:r>
      <w:r w:rsidRPr="00897F1E">
        <w:rPr>
          <w:rFonts w:ascii="Palatino Linotype" w:eastAsia="Palatino Linotype" w:hAnsi="Palatino Linotype" w:cs="Palatino Linotype"/>
          <w:sz w:val="24"/>
          <w:szCs w:val="24"/>
        </w:rPr>
        <w:lastRenderedPageBreak/>
        <w:t>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1A4767" w:rsidRPr="00897F1E" w:rsidRDefault="001A4767">
      <w:pPr>
        <w:spacing w:line="360" w:lineRule="auto"/>
        <w:ind w:right="49"/>
        <w:jc w:val="both"/>
        <w:rPr>
          <w:rFonts w:ascii="Palatino Linotype" w:eastAsia="Palatino Linotype" w:hAnsi="Palatino Linotype" w:cs="Palatino Linotype"/>
        </w:rPr>
      </w:pPr>
    </w:p>
    <w:p w:rsidR="001A4767" w:rsidRPr="00897F1E" w:rsidRDefault="00384B6A">
      <w:pPr>
        <w:spacing w:line="360" w:lineRule="auto"/>
        <w:ind w:right="49"/>
        <w:jc w:val="both"/>
        <w:rPr>
          <w:rFonts w:ascii="Palatino Linotype" w:eastAsia="Palatino Linotype" w:hAnsi="Palatino Linotype" w:cs="Palatino Linotype"/>
          <w:sz w:val="24"/>
          <w:szCs w:val="24"/>
        </w:rPr>
      </w:pPr>
      <w:r w:rsidRPr="00897F1E">
        <w:rPr>
          <w:rFonts w:ascii="Palatino Linotype" w:eastAsia="Palatino Linotype" w:hAnsi="Palatino Linotype" w:cs="Palatino Linotype"/>
          <w:sz w:val="24"/>
          <w:szCs w:val="24"/>
        </w:rPr>
        <w:t>Al respecto, también son de considerar los criterios sostenidos por el Cuarto Tribunal Colegiado en Materia Administrativa del Primer Circuito, cuyos rubros y datos de identificación son los siguientes:</w:t>
      </w:r>
    </w:p>
    <w:p w:rsidR="001A4767" w:rsidRPr="00897F1E" w:rsidRDefault="00384B6A">
      <w:pPr>
        <w:spacing w:line="360" w:lineRule="auto"/>
        <w:ind w:right="49"/>
        <w:jc w:val="both"/>
        <w:rPr>
          <w:rFonts w:ascii="Palatino Linotype" w:eastAsia="Palatino Linotype" w:hAnsi="Palatino Linotype" w:cs="Palatino Linotype"/>
        </w:rPr>
      </w:pPr>
      <w:r w:rsidRPr="00897F1E">
        <w:rPr>
          <w:rFonts w:ascii="Palatino Linotype" w:eastAsia="Palatino Linotype" w:hAnsi="Palatino Linotype" w:cs="Palatino Linotype"/>
        </w:rPr>
        <w:t xml:space="preserve"> </w:t>
      </w:r>
    </w:p>
    <w:p w:rsidR="001A4767" w:rsidRPr="00897F1E" w:rsidRDefault="00384B6A">
      <w:pPr>
        <w:spacing w:line="360" w:lineRule="auto"/>
        <w:ind w:left="567" w:right="560"/>
        <w:jc w:val="both"/>
        <w:rPr>
          <w:rFonts w:ascii="Palatino Linotype" w:eastAsia="Palatino Linotype" w:hAnsi="Palatino Linotype" w:cs="Palatino Linotype"/>
          <w:sz w:val="22"/>
          <w:szCs w:val="22"/>
        </w:rPr>
      </w:pPr>
      <w:r w:rsidRPr="00897F1E">
        <w:rPr>
          <w:rFonts w:ascii="Palatino Linotype" w:eastAsia="Palatino Linotype" w:hAnsi="Palatino Linotype" w:cs="Palatino Linotype"/>
          <w:b/>
          <w:sz w:val="22"/>
          <w:szCs w:val="22"/>
        </w:rPr>
        <w:t xml:space="preserve"> “PLAZO RAZONABLE PARA RESOLVER. DIMENSIÓN Y EFECTOS DE ESTE CONCEPTO CUANDO SE ADUCE EXCESIVA CARGA DE TRABAJO.”</w:t>
      </w:r>
      <w:r w:rsidRPr="00897F1E">
        <w:rPr>
          <w:rFonts w:ascii="Palatino Linotype" w:eastAsia="Palatino Linotype" w:hAnsi="Palatino Linotype" w:cs="Palatino Linotype"/>
          <w:sz w:val="22"/>
          <w:szCs w:val="22"/>
        </w:rPr>
        <w:t xml:space="preserve"> consultable en el Seminario Judicial de la Federación y su gaceta, con el registro digital 2002351.</w:t>
      </w:r>
    </w:p>
    <w:p w:rsidR="001A4767" w:rsidRPr="00897F1E" w:rsidRDefault="00384B6A">
      <w:pPr>
        <w:spacing w:line="360" w:lineRule="auto"/>
        <w:ind w:left="567" w:right="560"/>
        <w:jc w:val="both"/>
        <w:rPr>
          <w:rFonts w:ascii="Palatino Linotype" w:eastAsia="Palatino Linotype" w:hAnsi="Palatino Linotype" w:cs="Palatino Linotype"/>
          <w:sz w:val="22"/>
          <w:szCs w:val="22"/>
        </w:rPr>
      </w:pPr>
      <w:r w:rsidRPr="00897F1E">
        <w:rPr>
          <w:rFonts w:ascii="Palatino Linotype" w:eastAsia="Palatino Linotype" w:hAnsi="Palatino Linotype" w:cs="Palatino Linotype"/>
          <w:sz w:val="22"/>
          <w:szCs w:val="22"/>
        </w:rPr>
        <w:t xml:space="preserve"> </w:t>
      </w:r>
    </w:p>
    <w:p w:rsidR="001A4767" w:rsidRPr="00897F1E" w:rsidRDefault="00384B6A">
      <w:pPr>
        <w:spacing w:line="360" w:lineRule="auto"/>
        <w:ind w:left="567" w:right="560"/>
        <w:jc w:val="both"/>
        <w:rPr>
          <w:rFonts w:ascii="Palatino Linotype" w:eastAsia="Palatino Linotype" w:hAnsi="Palatino Linotype" w:cs="Palatino Linotype"/>
          <w:sz w:val="22"/>
          <w:szCs w:val="22"/>
        </w:rPr>
      </w:pPr>
      <w:r w:rsidRPr="00897F1E">
        <w:rPr>
          <w:rFonts w:ascii="Palatino Linotype" w:eastAsia="Palatino Linotype" w:hAnsi="Palatino Linotype" w:cs="Palatino Linotype"/>
          <w:b/>
          <w:sz w:val="22"/>
          <w:szCs w:val="22"/>
        </w:rPr>
        <w:t>“PLAZO RAZONABLE PARA RESOLVER. CONCEPTO Y ELEMENTOS QUE LO INTEGRAN A LA LUZ DEL DERECHO INTERNACIONAL DE LOS DERECHOS HUMANOS.”,</w:t>
      </w:r>
      <w:r w:rsidRPr="00897F1E">
        <w:rPr>
          <w:rFonts w:ascii="Palatino Linotype" w:eastAsia="Palatino Linotype" w:hAnsi="Palatino Linotype" w:cs="Palatino Linotype"/>
          <w:sz w:val="22"/>
          <w:szCs w:val="22"/>
        </w:rPr>
        <w:t xml:space="preserve"> visible en el Seminario Judicial de la Federación y su gaceta, con el registro digital 2002350.</w:t>
      </w:r>
    </w:p>
    <w:p w:rsidR="001A4767" w:rsidRPr="00897F1E" w:rsidRDefault="001A4767">
      <w:pPr>
        <w:spacing w:line="360" w:lineRule="auto"/>
        <w:ind w:left="567" w:right="560"/>
        <w:jc w:val="both"/>
        <w:rPr>
          <w:rFonts w:ascii="Palatino Linotype" w:eastAsia="Palatino Linotype" w:hAnsi="Palatino Linotype" w:cs="Palatino Linotype"/>
          <w:sz w:val="22"/>
          <w:szCs w:val="22"/>
        </w:rPr>
      </w:pPr>
    </w:p>
    <w:p w:rsidR="001A4767" w:rsidRPr="00897F1E" w:rsidRDefault="00384B6A">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sz w:val="24"/>
          <w:szCs w:val="24"/>
        </w:rPr>
      </w:pPr>
      <w:r w:rsidRPr="00897F1E">
        <w:rPr>
          <w:rFonts w:ascii="Palatino Linotype" w:eastAsia="Palatino Linotype" w:hAnsi="Palatino Linotype" w:cs="Palatino Linotype"/>
          <w:color w:val="000000"/>
          <w:sz w:val="24"/>
          <w:szCs w:val="24"/>
        </w:rPr>
        <w:lastRenderedPageBreak/>
        <w:t>Por ello, este organismo garante comprometido con la tutela de los derechos humanos confiados señala que este exceso del plazo legal para resolver el presente asunto resulta de carácter excepcional.</w:t>
      </w:r>
    </w:p>
    <w:p w:rsidR="001A4767" w:rsidRPr="00897F1E" w:rsidRDefault="001A4767">
      <w:pPr>
        <w:spacing w:line="360" w:lineRule="auto"/>
        <w:jc w:val="both"/>
        <w:rPr>
          <w:rFonts w:ascii="Palatino Linotype" w:eastAsia="Palatino Linotype" w:hAnsi="Palatino Linotype" w:cs="Palatino Linotype"/>
          <w:b/>
          <w:color w:val="0D0D0D"/>
          <w:sz w:val="24"/>
          <w:szCs w:val="24"/>
        </w:rPr>
      </w:pPr>
    </w:p>
    <w:p w:rsidR="001A4767" w:rsidRPr="00897F1E" w:rsidRDefault="00384B6A">
      <w:pPr>
        <w:spacing w:line="360" w:lineRule="auto"/>
        <w:jc w:val="both"/>
        <w:rPr>
          <w:rFonts w:ascii="Palatino Linotype" w:eastAsia="Palatino Linotype" w:hAnsi="Palatino Linotype" w:cs="Palatino Linotype"/>
          <w:color w:val="0D0D0D"/>
          <w:sz w:val="24"/>
          <w:szCs w:val="24"/>
        </w:rPr>
      </w:pPr>
      <w:r w:rsidRPr="00897F1E">
        <w:rPr>
          <w:rFonts w:ascii="Palatino Linotype" w:eastAsia="Palatino Linotype" w:hAnsi="Palatino Linotype" w:cs="Palatino Linotype"/>
          <w:b/>
          <w:color w:val="0D0D0D"/>
          <w:sz w:val="24"/>
          <w:szCs w:val="24"/>
        </w:rPr>
        <w:t>9. Requerimiento de Información Adicional.</w:t>
      </w:r>
      <w:r w:rsidRPr="00897F1E">
        <w:rPr>
          <w:rFonts w:ascii="Palatino Linotype" w:eastAsia="Palatino Linotype" w:hAnsi="Palatino Linotype" w:cs="Palatino Linotype"/>
          <w:color w:val="0D0D0D"/>
          <w:sz w:val="24"/>
          <w:szCs w:val="24"/>
        </w:rPr>
        <w:t xml:space="preserve"> El </w:t>
      </w:r>
      <w:r w:rsidRPr="00897F1E">
        <w:rPr>
          <w:rFonts w:ascii="Palatino Linotype" w:eastAsia="Palatino Linotype" w:hAnsi="Palatino Linotype" w:cs="Palatino Linotype"/>
          <w:b/>
          <w:color w:val="0D0D0D"/>
          <w:sz w:val="24"/>
          <w:szCs w:val="24"/>
        </w:rPr>
        <w:t>diecinueve de septiembre de dos mil veintitrés</w:t>
      </w:r>
      <w:r w:rsidRPr="00897F1E">
        <w:rPr>
          <w:rFonts w:ascii="Palatino Linotype" w:eastAsia="Palatino Linotype" w:hAnsi="Palatino Linotype" w:cs="Palatino Linotype"/>
          <w:color w:val="0D0D0D"/>
          <w:sz w:val="24"/>
          <w:szCs w:val="24"/>
        </w:rPr>
        <w:t>, se emitió un requerimiento de información adicional, suscrito por la Comisionado Ponente, dirigido a la Titular de la Unidad de Transparencia del Ente Recurrido, de conformidad con los artículos 14, fracciones I, II, V y XVI, del Reglamento Interior del Instituto de Transparencia, Acceso a la Información Pública y Protección de Datos Personales del Estado de México y Municipios, mismo que fue notificado a la Procuraduría de Protección al Ambiente del Estado de México, el primero de julio de dicho año, a través de correo electrónico y el Sistema de Acceso a la Información Mexiquense (SAIMEX), por medio del cual se le solicitó que informará lo siguiente:</w:t>
      </w:r>
    </w:p>
    <w:p w:rsidR="001A4767" w:rsidRPr="00897F1E" w:rsidRDefault="001A4767">
      <w:pPr>
        <w:spacing w:line="276" w:lineRule="auto"/>
        <w:jc w:val="both"/>
        <w:rPr>
          <w:rFonts w:ascii="Palatino Linotype" w:eastAsia="Palatino Linotype" w:hAnsi="Palatino Linotype" w:cs="Palatino Linotype"/>
          <w:b/>
          <w:i/>
          <w:color w:val="0D0D0D"/>
          <w:sz w:val="24"/>
          <w:szCs w:val="24"/>
        </w:rPr>
      </w:pPr>
    </w:p>
    <w:p w:rsidR="001A4767" w:rsidRPr="00897F1E" w:rsidRDefault="00384B6A">
      <w:pPr>
        <w:spacing w:line="276" w:lineRule="auto"/>
        <w:ind w:left="567" w:right="567"/>
        <w:jc w:val="both"/>
        <w:rPr>
          <w:rFonts w:ascii="Palatino Linotype" w:eastAsia="Palatino Linotype" w:hAnsi="Palatino Linotype" w:cs="Palatino Linotype"/>
          <w:i/>
          <w:color w:val="0D0D0D"/>
          <w:sz w:val="22"/>
          <w:szCs w:val="22"/>
        </w:rPr>
      </w:pPr>
      <w:r w:rsidRPr="00897F1E">
        <w:rPr>
          <w:rFonts w:ascii="Palatino Linotype" w:eastAsia="Palatino Linotype" w:hAnsi="Palatino Linotype" w:cs="Palatino Linotype"/>
          <w:i/>
          <w:color w:val="0D0D0D"/>
          <w:sz w:val="22"/>
          <w:szCs w:val="22"/>
        </w:rPr>
        <w:t>“…</w:t>
      </w:r>
    </w:p>
    <w:p w:rsidR="001A4767" w:rsidRPr="00897F1E" w:rsidRDefault="00384B6A">
      <w:pPr>
        <w:spacing w:line="276" w:lineRule="auto"/>
        <w:ind w:left="567" w:right="567"/>
        <w:jc w:val="both"/>
        <w:rPr>
          <w:rFonts w:ascii="Palatino Linotype" w:eastAsia="Palatino Linotype" w:hAnsi="Palatino Linotype" w:cs="Palatino Linotype"/>
          <w:i/>
          <w:sz w:val="22"/>
          <w:szCs w:val="22"/>
        </w:rPr>
      </w:pPr>
      <w:r w:rsidRPr="00897F1E">
        <w:rPr>
          <w:rFonts w:ascii="Palatino Linotype" w:eastAsia="Palatino Linotype" w:hAnsi="Palatino Linotype" w:cs="Palatino Linotype"/>
          <w:i/>
          <w:sz w:val="22"/>
          <w:szCs w:val="22"/>
        </w:rPr>
        <w:t xml:space="preserve">a) Nombre del procedimiento administrativo, en materia ambiental; </w:t>
      </w:r>
    </w:p>
    <w:p w:rsidR="001A4767" w:rsidRPr="00897F1E" w:rsidRDefault="00384B6A">
      <w:pPr>
        <w:spacing w:line="276" w:lineRule="auto"/>
        <w:ind w:left="567" w:right="567"/>
        <w:jc w:val="both"/>
        <w:rPr>
          <w:rFonts w:ascii="Palatino Linotype" w:eastAsia="Palatino Linotype" w:hAnsi="Palatino Linotype" w:cs="Palatino Linotype"/>
          <w:i/>
          <w:sz w:val="22"/>
          <w:szCs w:val="22"/>
        </w:rPr>
      </w:pPr>
      <w:r w:rsidRPr="00897F1E">
        <w:rPr>
          <w:rFonts w:ascii="Palatino Linotype" w:eastAsia="Palatino Linotype" w:hAnsi="Palatino Linotype" w:cs="Palatino Linotype"/>
          <w:i/>
          <w:sz w:val="22"/>
          <w:szCs w:val="22"/>
        </w:rPr>
        <w:t xml:space="preserve">b) ¿En qué consiste y cuál es la normatividad que lo regula?; </w:t>
      </w:r>
    </w:p>
    <w:p w:rsidR="001A4767" w:rsidRPr="00897F1E" w:rsidRDefault="00384B6A">
      <w:pPr>
        <w:spacing w:line="276" w:lineRule="auto"/>
        <w:ind w:left="567" w:right="567"/>
        <w:jc w:val="both"/>
        <w:rPr>
          <w:rFonts w:ascii="Palatino Linotype" w:eastAsia="Palatino Linotype" w:hAnsi="Palatino Linotype" w:cs="Palatino Linotype"/>
          <w:i/>
          <w:sz w:val="22"/>
          <w:szCs w:val="22"/>
        </w:rPr>
      </w:pPr>
      <w:r w:rsidRPr="00897F1E">
        <w:rPr>
          <w:rFonts w:ascii="Palatino Linotype" w:eastAsia="Palatino Linotype" w:hAnsi="Palatino Linotype" w:cs="Palatino Linotype"/>
          <w:i/>
          <w:sz w:val="22"/>
          <w:szCs w:val="22"/>
        </w:rPr>
        <w:t xml:space="preserve">c) Nombre de las partes que conforman el procedimiento; </w:t>
      </w:r>
    </w:p>
    <w:p w:rsidR="001A4767" w:rsidRPr="00897F1E" w:rsidRDefault="00384B6A">
      <w:pPr>
        <w:spacing w:line="276" w:lineRule="auto"/>
        <w:ind w:left="567" w:right="567"/>
        <w:jc w:val="both"/>
        <w:rPr>
          <w:rFonts w:ascii="Palatino Linotype" w:eastAsia="Palatino Linotype" w:hAnsi="Palatino Linotype" w:cs="Palatino Linotype"/>
          <w:i/>
          <w:sz w:val="22"/>
          <w:szCs w:val="22"/>
        </w:rPr>
      </w:pPr>
      <w:r w:rsidRPr="00897F1E">
        <w:rPr>
          <w:rFonts w:ascii="Palatino Linotype" w:eastAsia="Palatino Linotype" w:hAnsi="Palatino Linotype" w:cs="Palatino Linotype"/>
          <w:i/>
          <w:sz w:val="22"/>
          <w:szCs w:val="22"/>
        </w:rPr>
        <w:t xml:space="preserve">d) ¿Cuáles son las etapas que conforman este?; </w:t>
      </w:r>
    </w:p>
    <w:p w:rsidR="001A4767" w:rsidRPr="00897F1E" w:rsidRDefault="00384B6A">
      <w:pPr>
        <w:spacing w:line="276" w:lineRule="auto"/>
        <w:ind w:left="567" w:right="567"/>
        <w:jc w:val="both"/>
        <w:rPr>
          <w:rFonts w:ascii="Palatino Linotype" w:eastAsia="Palatino Linotype" w:hAnsi="Palatino Linotype" w:cs="Palatino Linotype"/>
          <w:i/>
          <w:sz w:val="22"/>
          <w:szCs w:val="22"/>
        </w:rPr>
      </w:pPr>
      <w:r w:rsidRPr="00897F1E">
        <w:rPr>
          <w:rFonts w:ascii="Palatino Linotype" w:eastAsia="Palatino Linotype" w:hAnsi="Palatino Linotype" w:cs="Palatino Linotype"/>
          <w:i/>
          <w:sz w:val="22"/>
          <w:szCs w:val="22"/>
        </w:rPr>
        <w:t xml:space="preserve">e) Indique la etapa en la que se encontraba a la fecha de la solicitud; </w:t>
      </w:r>
    </w:p>
    <w:p w:rsidR="001A4767" w:rsidRPr="00897F1E" w:rsidRDefault="00384B6A">
      <w:pPr>
        <w:spacing w:line="276" w:lineRule="auto"/>
        <w:ind w:left="567" w:right="567"/>
        <w:jc w:val="both"/>
        <w:rPr>
          <w:rFonts w:ascii="Palatino Linotype" w:eastAsia="Palatino Linotype" w:hAnsi="Palatino Linotype" w:cs="Palatino Linotype"/>
          <w:i/>
          <w:sz w:val="22"/>
          <w:szCs w:val="22"/>
        </w:rPr>
      </w:pPr>
      <w:r w:rsidRPr="00897F1E">
        <w:rPr>
          <w:rFonts w:ascii="Palatino Linotype" w:eastAsia="Palatino Linotype" w:hAnsi="Palatino Linotype" w:cs="Palatino Linotype"/>
          <w:i/>
          <w:sz w:val="22"/>
          <w:szCs w:val="22"/>
        </w:rPr>
        <w:t xml:space="preserve">f) Fecha aproximada de conclusión; </w:t>
      </w:r>
    </w:p>
    <w:p w:rsidR="001A4767" w:rsidRPr="00897F1E" w:rsidRDefault="00384B6A">
      <w:pPr>
        <w:spacing w:line="276" w:lineRule="auto"/>
        <w:ind w:left="567" w:right="567"/>
        <w:jc w:val="both"/>
        <w:rPr>
          <w:rFonts w:ascii="Palatino Linotype" w:eastAsia="Palatino Linotype" w:hAnsi="Palatino Linotype" w:cs="Palatino Linotype"/>
          <w:i/>
          <w:sz w:val="22"/>
          <w:szCs w:val="22"/>
        </w:rPr>
      </w:pPr>
      <w:r w:rsidRPr="00897F1E">
        <w:rPr>
          <w:rFonts w:ascii="Palatino Linotype" w:eastAsia="Palatino Linotype" w:hAnsi="Palatino Linotype" w:cs="Palatino Linotype"/>
          <w:i/>
          <w:sz w:val="22"/>
          <w:szCs w:val="22"/>
        </w:rPr>
        <w:t xml:space="preserve">g) Razones por las cuáles, considera que la difusión de la información requerida por el Solicitante puede afectarlo; </w:t>
      </w:r>
    </w:p>
    <w:p w:rsidR="001A4767" w:rsidRPr="00897F1E" w:rsidRDefault="00384B6A">
      <w:pPr>
        <w:spacing w:line="276" w:lineRule="auto"/>
        <w:ind w:left="567" w:right="567"/>
        <w:jc w:val="both"/>
        <w:rPr>
          <w:rFonts w:ascii="Palatino Linotype" w:eastAsia="Palatino Linotype" w:hAnsi="Palatino Linotype" w:cs="Palatino Linotype"/>
          <w:i/>
          <w:sz w:val="22"/>
          <w:szCs w:val="22"/>
        </w:rPr>
      </w:pPr>
      <w:r w:rsidRPr="00897F1E">
        <w:rPr>
          <w:rFonts w:ascii="Palatino Linotype" w:eastAsia="Palatino Linotype" w:hAnsi="Palatino Linotype" w:cs="Palatino Linotype"/>
          <w:i/>
          <w:sz w:val="22"/>
          <w:szCs w:val="22"/>
        </w:rPr>
        <w:t>h) ¿Cómo incide en la toma de la decisión definitiva el dar a conocer el contenido en el expediente materia de la solicitud?;</w:t>
      </w:r>
    </w:p>
    <w:p w:rsidR="001A4767" w:rsidRPr="00897F1E" w:rsidRDefault="00384B6A">
      <w:pPr>
        <w:spacing w:line="276" w:lineRule="auto"/>
        <w:ind w:left="567" w:right="567"/>
        <w:jc w:val="both"/>
        <w:rPr>
          <w:rFonts w:ascii="Palatino Linotype" w:eastAsia="Palatino Linotype" w:hAnsi="Palatino Linotype" w:cs="Palatino Linotype"/>
          <w:i/>
          <w:sz w:val="22"/>
          <w:szCs w:val="22"/>
        </w:rPr>
      </w:pPr>
      <w:r w:rsidRPr="00897F1E">
        <w:rPr>
          <w:rFonts w:ascii="Palatino Linotype" w:eastAsia="Palatino Linotype" w:hAnsi="Palatino Linotype" w:cs="Palatino Linotype"/>
          <w:i/>
          <w:sz w:val="22"/>
          <w:szCs w:val="22"/>
        </w:rPr>
        <w:lastRenderedPageBreak/>
        <w:t xml:space="preserve"> i) ¿Por qué razón los sellos de clausura identificados con los número 10045/2021, 10046/2021, 10047/2021, 10048/2021, 10049/2021 y 10050/2021 forman parte integral del expediente administrativo con número PROPAEM-2021-07/VM/0466?; </w:t>
      </w:r>
    </w:p>
    <w:p w:rsidR="001A4767" w:rsidRPr="00897F1E" w:rsidRDefault="00384B6A">
      <w:pPr>
        <w:spacing w:line="276" w:lineRule="auto"/>
        <w:ind w:left="567" w:right="567"/>
        <w:jc w:val="both"/>
        <w:rPr>
          <w:rFonts w:ascii="Palatino Linotype" w:eastAsia="Palatino Linotype" w:hAnsi="Palatino Linotype" w:cs="Palatino Linotype"/>
          <w:i/>
          <w:sz w:val="22"/>
          <w:szCs w:val="22"/>
        </w:rPr>
      </w:pPr>
      <w:r w:rsidRPr="00897F1E">
        <w:rPr>
          <w:rFonts w:ascii="Palatino Linotype" w:eastAsia="Palatino Linotype" w:hAnsi="Palatino Linotype" w:cs="Palatino Linotype"/>
          <w:i/>
          <w:sz w:val="22"/>
          <w:szCs w:val="22"/>
        </w:rPr>
        <w:t xml:space="preserve">j) ¿Por qué razón o circunstancia se emitieron los sellos de clausura identificados con los número 10045/2021, 10046/2021, 10047/2021, 10048/2021, 10049/2021 y 10050/2021?; </w:t>
      </w:r>
    </w:p>
    <w:p w:rsidR="001A4767" w:rsidRPr="00897F1E" w:rsidRDefault="00384B6A">
      <w:pPr>
        <w:spacing w:line="276" w:lineRule="auto"/>
        <w:ind w:left="567" w:right="567"/>
        <w:jc w:val="both"/>
        <w:rPr>
          <w:rFonts w:ascii="Palatino Linotype" w:eastAsia="Palatino Linotype" w:hAnsi="Palatino Linotype" w:cs="Palatino Linotype"/>
          <w:i/>
          <w:color w:val="0D0D0D"/>
          <w:sz w:val="22"/>
          <w:szCs w:val="22"/>
        </w:rPr>
      </w:pPr>
      <w:proofErr w:type="gramStart"/>
      <w:r w:rsidRPr="00897F1E">
        <w:rPr>
          <w:rFonts w:ascii="Palatino Linotype" w:eastAsia="Palatino Linotype" w:hAnsi="Palatino Linotype" w:cs="Palatino Linotype"/>
          <w:i/>
          <w:sz w:val="22"/>
          <w:szCs w:val="22"/>
        </w:rPr>
        <w:t>k</w:t>
      </w:r>
      <w:proofErr w:type="gramEnd"/>
      <w:r w:rsidRPr="00897F1E">
        <w:rPr>
          <w:rFonts w:ascii="Palatino Linotype" w:eastAsia="Palatino Linotype" w:hAnsi="Palatino Linotype" w:cs="Palatino Linotype"/>
          <w:i/>
          <w:sz w:val="22"/>
          <w:szCs w:val="22"/>
        </w:rPr>
        <w:t>) ¿El expediente reservado se relaciona con actos de corrupción y/o alguna excepción prevista en el artículo 142 de la Ley de Transparencia y Acceso a la Información Pública del Estado de México y Municipios?</w:t>
      </w:r>
      <w:r w:rsidRPr="00897F1E">
        <w:rPr>
          <w:rFonts w:ascii="Palatino Linotype" w:eastAsia="Palatino Linotype" w:hAnsi="Palatino Linotype" w:cs="Palatino Linotype"/>
          <w:i/>
          <w:color w:val="0D0D0D"/>
          <w:sz w:val="22"/>
          <w:szCs w:val="22"/>
        </w:rPr>
        <w:t>…”</w:t>
      </w:r>
    </w:p>
    <w:p w:rsidR="001A4767" w:rsidRPr="00897F1E" w:rsidRDefault="001A4767">
      <w:pPr>
        <w:spacing w:line="360" w:lineRule="auto"/>
        <w:jc w:val="both"/>
        <w:rPr>
          <w:rFonts w:ascii="Palatino Linotype" w:eastAsia="Palatino Linotype" w:hAnsi="Palatino Linotype" w:cs="Palatino Linotype"/>
          <w:b/>
          <w:color w:val="0D0D0D"/>
          <w:sz w:val="24"/>
          <w:szCs w:val="24"/>
        </w:rPr>
      </w:pPr>
    </w:p>
    <w:p w:rsidR="001A4767" w:rsidRPr="00897F1E" w:rsidRDefault="00384B6A">
      <w:pPr>
        <w:spacing w:line="360" w:lineRule="auto"/>
        <w:jc w:val="both"/>
        <w:rPr>
          <w:rFonts w:ascii="Palatino Linotype" w:eastAsia="Palatino Linotype" w:hAnsi="Palatino Linotype" w:cs="Palatino Linotype"/>
          <w:color w:val="0D0D0D"/>
          <w:sz w:val="24"/>
          <w:szCs w:val="24"/>
        </w:rPr>
      </w:pPr>
      <w:r w:rsidRPr="00897F1E">
        <w:rPr>
          <w:rFonts w:ascii="Palatino Linotype" w:eastAsia="Palatino Linotype" w:hAnsi="Palatino Linotype" w:cs="Palatino Linotype"/>
          <w:b/>
          <w:color w:val="0D0D0D"/>
          <w:sz w:val="24"/>
          <w:szCs w:val="24"/>
        </w:rPr>
        <w:t xml:space="preserve">10. Desahogo del Requerimiento de Información Adicional. </w:t>
      </w:r>
      <w:r w:rsidRPr="00897F1E">
        <w:rPr>
          <w:rFonts w:ascii="Palatino Linotype" w:eastAsia="Palatino Linotype" w:hAnsi="Palatino Linotype" w:cs="Palatino Linotype"/>
          <w:color w:val="0D0D0D"/>
          <w:sz w:val="24"/>
          <w:szCs w:val="24"/>
        </w:rPr>
        <w:t xml:space="preserve">El </w:t>
      </w:r>
      <w:r w:rsidRPr="00897F1E">
        <w:rPr>
          <w:rFonts w:ascii="Palatino Linotype" w:eastAsia="Palatino Linotype" w:hAnsi="Palatino Linotype" w:cs="Palatino Linotype"/>
          <w:b/>
          <w:color w:val="0D0D0D"/>
          <w:sz w:val="24"/>
          <w:szCs w:val="24"/>
        </w:rPr>
        <w:t>veintidós de septiembre de dos mil veintitrés</w:t>
      </w:r>
      <w:r w:rsidRPr="00897F1E">
        <w:rPr>
          <w:rFonts w:ascii="Palatino Linotype" w:eastAsia="Palatino Linotype" w:hAnsi="Palatino Linotype" w:cs="Palatino Linotype"/>
          <w:color w:val="0D0D0D"/>
          <w:sz w:val="24"/>
          <w:szCs w:val="24"/>
        </w:rPr>
        <w:t xml:space="preserve">, se recibió el desahogo del requerimiento de información adicional del Sujeto Obligado, el cual precisa lo siguiente: </w:t>
      </w:r>
    </w:p>
    <w:p w:rsidR="001A4767" w:rsidRPr="00897F1E" w:rsidRDefault="00384B6A">
      <w:pPr>
        <w:spacing w:line="276" w:lineRule="auto"/>
        <w:ind w:left="567" w:right="539"/>
        <w:jc w:val="both"/>
        <w:rPr>
          <w:rFonts w:ascii="Palatino Linotype" w:eastAsia="Palatino Linotype" w:hAnsi="Palatino Linotype" w:cs="Palatino Linotype"/>
          <w:b/>
          <w:i/>
          <w:color w:val="0D0D0D"/>
          <w:sz w:val="22"/>
          <w:szCs w:val="22"/>
        </w:rPr>
      </w:pPr>
      <w:r w:rsidRPr="00897F1E">
        <w:rPr>
          <w:rFonts w:ascii="Palatino Linotype" w:eastAsia="Palatino Linotype" w:hAnsi="Palatino Linotype" w:cs="Palatino Linotype"/>
          <w:i/>
          <w:color w:val="0D0D0D"/>
          <w:sz w:val="22"/>
          <w:szCs w:val="22"/>
        </w:rPr>
        <w:t xml:space="preserve">a) </w:t>
      </w:r>
      <w:r w:rsidRPr="00897F1E">
        <w:rPr>
          <w:rFonts w:ascii="Palatino Linotype" w:eastAsia="Palatino Linotype" w:hAnsi="Palatino Linotype" w:cs="Palatino Linotype"/>
          <w:b/>
          <w:i/>
          <w:color w:val="0D0D0D"/>
          <w:sz w:val="22"/>
          <w:szCs w:val="22"/>
        </w:rPr>
        <w:t xml:space="preserve">Nombre del procedimiento administrativo en materia ambiental; </w:t>
      </w:r>
    </w:p>
    <w:p w:rsidR="001A4767" w:rsidRPr="00897F1E" w:rsidRDefault="00384B6A">
      <w:pPr>
        <w:spacing w:line="276" w:lineRule="auto"/>
        <w:ind w:left="567" w:right="539"/>
        <w:jc w:val="both"/>
        <w:rPr>
          <w:rFonts w:ascii="Palatino Linotype" w:eastAsia="Palatino Linotype" w:hAnsi="Palatino Linotype" w:cs="Palatino Linotype"/>
          <w:i/>
          <w:color w:val="0D0D0D"/>
          <w:sz w:val="22"/>
          <w:szCs w:val="22"/>
        </w:rPr>
      </w:pPr>
      <w:r w:rsidRPr="00897F1E">
        <w:rPr>
          <w:rFonts w:ascii="Palatino Linotype" w:eastAsia="Palatino Linotype" w:hAnsi="Palatino Linotype" w:cs="Palatino Linotype"/>
          <w:i/>
          <w:color w:val="0D0D0D"/>
          <w:sz w:val="22"/>
          <w:szCs w:val="22"/>
        </w:rPr>
        <w:t>Procedimiento Administrativo Común, con número de expediente PROPAEM-2021-07/VM/0466</w:t>
      </w:r>
    </w:p>
    <w:p w:rsidR="001A4767" w:rsidRPr="00897F1E" w:rsidRDefault="00384B6A">
      <w:pPr>
        <w:spacing w:line="276" w:lineRule="auto"/>
        <w:ind w:left="567" w:right="539"/>
        <w:jc w:val="both"/>
        <w:rPr>
          <w:rFonts w:ascii="Palatino Linotype" w:eastAsia="Palatino Linotype" w:hAnsi="Palatino Linotype" w:cs="Palatino Linotype"/>
          <w:b/>
          <w:i/>
          <w:color w:val="0D0D0D"/>
          <w:sz w:val="22"/>
          <w:szCs w:val="22"/>
          <w:u w:val="single"/>
        </w:rPr>
      </w:pPr>
      <w:r w:rsidRPr="00897F1E">
        <w:rPr>
          <w:rFonts w:ascii="Palatino Linotype" w:eastAsia="Palatino Linotype" w:hAnsi="Palatino Linotype" w:cs="Palatino Linotype"/>
          <w:i/>
          <w:color w:val="0D0D0D"/>
          <w:sz w:val="22"/>
          <w:szCs w:val="22"/>
        </w:rPr>
        <w:t xml:space="preserve">b) </w:t>
      </w:r>
      <w:r w:rsidRPr="00897F1E">
        <w:rPr>
          <w:rFonts w:ascii="Palatino Linotype" w:eastAsia="Palatino Linotype" w:hAnsi="Palatino Linotype" w:cs="Palatino Linotype"/>
          <w:b/>
          <w:i/>
          <w:color w:val="0D0D0D"/>
          <w:sz w:val="22"/>
          <w:szCs w:val="22"/>
        </w:rPr>
        <w:t xml:space="preserve">¿En qué consiste y cuál es la normatividad que lo regula? </w:t>
      </w:r>
      <w:r w:rsidRPr="00897F1E">
        <w:rPr>
          <w:rFonts w:ascii="Palatino Linotype" w:eastAsia="Palatino Linotype" w:hAnsi="Palatino Linotype" w:cs="Palatino Linotype"/>
          <w:i/>
          <w:color w:val="0D0D0D"/>
          <w:sz w:val="22"/>
          <w:szCs w:val="22"/>
        </w:rPr>
        <w:t xml:space="preserve">El Procedimiento administrativo común, es un conjunto de actos jurídicos encaminados a que se otorgue cumplimiento a la normatividad ambiental vigente, mismo que comprende diversas etapas procesales, sustentado en las disposiciones establecidas en el Código de Procedimientos Administrativos del Estado de México y el cual, se inicia en contra de una persona física o jurídico colectiva, </w:t>
      </w:r>
      <w:r w:rsidRPr="00897F1E">
        <w:rPr>
          <w:rFonts w:ascii="Palatino Linotype" w:eastAsia="Palatino Linotype" w:hAnsi="Palatino Linotype" w:cs="Palatino Linotype"/>
          <w:b/>
          <w:i/>
          <w:color w:val="0D0D0D"/>
          <w:sz w:val="22"/>
          <w:szCs w:val="22"/>
          <w:u w:val="single"/>
        </w:rPr>
        <w:t>por detectarse irregularidades en el desarrollo de sus actividades en materia ambiental.</w:t>
      </w:r>
    </w:p>
    <w:p w:rsidR="001A4767" w:rsidRPr="00897F1E" w:rsidRDefault="00384B6A">
      <w:pPr>
        <w:spacing w:line="276" w:lineRule="auto"/>
        <w:ind w:left="567" w:right="539"/>
        <w:jc w:val="both"/>
        <w:rPr>
          <w:rFonts w:ascii="Palatino Linotype" w:eastAsia="Palatino Linotype" w:hAnsi="Palatino Linotype" w:cs="Palatino Linotype"/>
          <w:b/>
          <w:i/>
          <w:color w:val="0D0D0D"/>
          <w:sz w:val="22"/>
          <w:szCs w:val="22"/>
        </w:rPr>
      </w:pPr>
      <w:r w:rsidRPr="00897F1E">
        <w:rPr>
          <w:rFonts w:ascii="Palatino Linotype" w:eastAsia="Palatino Linotype" w:hAnsi="Palatino Linotype" w:cs="Palatino Linotype"/>
          <w:i/>
          <w:color w:val="0D0D0D"/>
          <w:sz w:val="22"/>
          <w:szCs w:val="22"/>
        </w:rPr>
        <w:t>La normatividad que rige dicho procedimiento administrativo es el Código para la Biodiversidad del</w:t>
      </w:r>
      <w:r w:rsidRPr="00897F1E">
        <w:rPr>
          <w:rFonts w:ascii="Palatino Linotype" w:eastAsia="Palatino Linotype" w:hAnsi="Palatino Linotype" w:cs="Palatino Linotype"/>
          <w:b/>
          <w:i/>
          <w:color w:val="0D0D0D"/>
          <w:sz w:val="22"/>
          <w:szCs w:val="22"/>
        </w:rPr>
        <w:t xml:space="preserve"> </w:t>
      </w:r>
      <w:r w:rsidRPr="00897F1E">
        <w:rPr>
          <w:rFonts w:ascii="Palatino Linotype" w:eastAsia="Palatino Linotype" w:hAnsi="Palatino Linotype" w:cs="Palatino Linotype"/>
          <w:i/>
          <w:color w:val="0D0D0D"/>
          <w:sz w:val="22"/>
          <w:szCs w:val="22"/>
        </w:rPr>
        <w:t>Estado de México y de manera supletoria, se aplica el Código de Procedimientos Administrativos del</w:t>
      </w:r>
      <w:r w:rsidRPr="00897F1E">
        <w:rPr>
          <w:rFonts w:ascii="Palatino Linotype" w:eastAsia="Palatino Linotype" w:hAnsi="Palatino Linotype" w:cs="Palatino Linotype"/>
          <w:b/>
          <w:i/>
          <w:color w:val="0D0D0D"/>
          <w:sz w:val="22"/>
          <w:szCs w:val="22"/>
        </w:rPr>
        <w:t xml:space="preserve"> </w:t>
      </w:r>
      <w:r w:rsidRPr="00897F1E">
        <w:rPr>
          <w:rFonts w:ascii="Palatino Linotype" w:eastAsia="Palatino Linotype" w:hAnsi="Palatino Linotype" w:cs="Palatino Linotype"/>
          <w:i/>
          <w:color w:val="0D0D0D"/>
          <w:sz w:val="22"/>
          <w:szCs w:val="22"/>
        </w:rPr>
        <w:t>Estado de México.</w:t>
      </w:r>
    </w:p>
    <w:p w:rsidR="001A4767" w:rsidRPr="00897F1E" w:rsidRDefault="00384B6A">
      <w:pPr>
        <w:spacing w:line="276" w:lineRule="auto"/>
        <w:ind w:left="567" w:right="539"/>
        <w:jc w:val="both"/>
        <w:rPr>
          <w:rFonts w:ascii="Palatino Linotype" w:eastAsia="Palatino Linotype" w:hAnsi="Palatino Linotype" w:cs="Palatino Linotype"/>
          <w:i/>
          <w:color w:val="0D0D0D"/>
          <w:sz w:val="22"/>
          <w:szCs w:val="22"/>
        </w:rPr>
      </w:pPr>
      <w:r w:rsidRPr="00897F1E">
        <w:rPr>
          <w:rFonts w:ascii="Palatino Linotype" w:eastAsia="Palatino Linotype" w:hAnsi="Palatino Linotype" w:cs="Palatino Linotype"/>
          <w:i/>
          <w:color w:val="0D0D0D"/>
          <w:sz w:val="22"/>
          <w:szCs w:val="22"/>
        </w:rPr>
        <w:t xml:space="preserve">De manera adicional le refiero, que en el Libro Segundo del Código para la Biodiversidad, se estableció una parte adjetiva, que es aplicable a todos los demás libros del Código para regular fundamentalmente el procedimiento administrativo para la imposición de sanciones, en los que se incluye, entre otras cosas, de una forma clara y congruente con las garantías de audiencia y seguridad jurídica: las reglas para realizar una visita de </w:t>
      </w:r>
      <w:r w:rsidRPr="00897F1E">
        <w:rPr>
          <w:rFonts w:ascii="Palatino Linotype" w:eastAsia="Palatino Linotype" w:hAnsi="Palatino Linotype" w:cs="Palatino Linotype"/>
          <w:i/>
          <w:color w:val="0D0D0D"/>
          <w:sz w:val="22"/>
          <w:szCs w:val="22"/>
        </w:rPr>
        <w:lastRenderedPageBreak/>
        <w:t>inspección; así como todo el procedimiento administrativo, en particular establece el derecho de ser oído y en su caso vencido.</w:t>
      </w:r>
    </w:p>
    <w:p w:rsidR="001A4767" w:rsidRPr="00897F1E" w:rsidRDefault="00384B6A">
      <w:pPr>
        <w:spacing w:line="276" w:lineRule="auto"/>
        <w:ind w:left="567" w:right="539"/>
        <w:jc w:val="both"/>
        <w:rPr>
          <w:rFonts w:ascii="Palatino Linotype" w:eastAsia="Palatino Linotype" w:hAnsi="Palatino Linotype" w:cs="Palatino Linotype"/>
          <w:i/>
          <w:color w:val="0D0D0D"/>
          <w:sz w:val="22"/>
          <w:szCs w:val="22"/>
        </w:rPr>
      </w:pPr>
      <w:r w:rsidRPr="00897F1E">
        <w:rPr>
          <w:rFonts w:ascii="Palatino Linotype" w:eastAsia="Palatino Linotype" w:hAnsi="Palatino Linotype" w:cs="Palatino Linotype"/>
          <w:i/>
          <w:color w:val="0D0D0D"/>
          <w:sz w:val="22"/>
          <w:szCs w:val="22"/>
        </w:rPr>
        <w:t>Lo anterior se observa de manera precisa en los ordenamientos jurídicos que se citan a continuación:</w:t>
      </w:r>
    </w:p>
    <w:p w:rsidR="001A4767" w:rsidRPr="00897F1E" w:rsidRDefault="00384B6A">
      <w:pPr>
        <w:spacing w:line="276" w:lineRule="auto"/>
        <w:ind w:left="567" w:right="539"/>
        <w:jc w:val="both"/>
        <w:rPr>
          <w:rFonts w:ascii="Palatino Linotype" w:eastAsia="Palatino Linotype" w:hAnsi="Palatino Linotype" w:cs="Palatino Linotype"/>
          <w:i/>
          <w:color w:val="0D0D0D"/>
          <w:sz w:val="22"/>
          <w:szCs w:val="22"/>
        </w:rPr>
      </w:pPr>
      <w:r w:rsidRPr="00897F1E">
        <w:rPr>
          <w:rFonts w:ascii="Palatino Linotype" w:eastAsia="Palatino Linotype" w:hAnsi="Palatino Linotype" w:cs="Palatino Linotype"/>
          <w:i/>
          <w:color w:val="0D0D0D"/>
          <w:sz w:val="22"/>
          <w:szCs w:val="22"/>
        </w:rPr>
        <w:t>…</w:t>
      </w:r>
    </w:p>
    <w:p w:rsidR="001A4767" w:rsidRPr="00897F1E" w:rsidRDefault="00384B6A">
      <w:pPr>
        <w:spacing w:line="276" w:lineRule="auto"/>
        <w:ind w:left="567" w:right="539"/>
        <w:jc w:val="both"/>
        <w:rPr>
          <w:rFonts w:ascii="Palatino Linotype" w:eastAsia="Palatino Linotype" w:hAnsi="Palatino Linotype" w:cs="Palatino Linotype"/>
          <w:b/>
          <w:i/>
          <w:color w:val="0D0D0D"/>
          <w:sz w:val="22"/>
          <w:szCs w:val="22"/>
        </w:rPr>
      </w:pPr>
      <w:r w:rsidRPr="00897F1E">
        <w:rPr>
          <w:rFonts w:ascii="Palatino Linotype" w:eastAsia="Palatino Linotype" w:hAnsi="Palatino Linotype" w:cs="Palatino Linotype"/>
          <w:b/>
          <w:i/>
          <w:color w:val="0D0D0D"/>
          <w:sz w:val="22"/>
          <w:szCs w:val="22"/>
        </w:rPr>
        <w:t>c) Nombre de las partes que conforman el procedimiento;</w:t>
      </w:r>
    </w:p>
    <w:p w:rsidR="001A4767" w:rsidRPr="00897F1E" w:rsidRDefault="00384B6A">
      <w:pPr>
        <w:spacing w:line="276" w:lineRule="auto"/>
        <w:ind w:left="567" w:right="539"/>
        <w:jc w:val="both"/>
        <w:rPr>
          <w:rFonts w:ascii="Palatino Linotype" w:eastAsia="Palatino Linotype" w:hAnsi="Palatino Linotype" w:cs="Palatino Linotype"/>
          <w:b/>
          <w:i/>
          <w:color w:val="0D0D0D"/>
          <w:sz w:val="22"/>
          <w:szCs w:val="22"/>
        </w:rPr>
      </w:pPr>
      <w:r w:rsidRPr="00897F1E">
        <w:rPr>
          <w:rFonts w:ascii="Palatino Linotype" w:eastAsia="Palatino Linotype" w:hAnsi="Palatino Linotype" w:cs="Palatino Linotype"/>
          <w:i/>
          <w:color w:val="0D0D0D"/>
          <w:sz w:val="22"/>
          <w:szCs w:val="22"/>
        </w:rPr>
        <w:t>En atención al presente punto, es importante precisar, que la figura del denunciante no forma parte del procedimiento administrativo común, sino que el mismo, puede ser parte del procedimiento cuando se apersone como tercero interesado dentro del mismo, de conformidad con lo dispuesto en el artículo 111 del</w:t>
      </w:r>
      <w:r w:rsidRPr="00897F1E">
        <w:rPr>
          <w:rFonts w:ascii="Palatino Linotype" w:eastAsia="Palatino Linotype" w:hAnsi="Palatino Linotype" w:cs="Palatino Linotype"/>
          <w:b/>
          <w:i/>
          <w:color w:val="0D0D0D"/>
          <w:sz w:val="22"/>
          <w:szCs w:val="22"/>
        </w:rPr>
        <w:t xml:space="preserve"> </w:t>
      </w:r>
      <w:r w:rsidRPr="00897F1E">
        <w:rPr>
          <w:rFonts w:ascii="Palatino Linotype" w:eastAsia="Palatino Linotype" w:hAnsi="Palatino Linotype" w:cs="Palatino Linotype"/>
          <w:i/>
          <w:color w:val="0D0D0D"/>
          <w:sz w:val="22"/>
          <w:szCs w:val="22"/>
        </w:rPr>
        <w:t>Código de Procedimientos Administrativos vigente en la Entidad.</w:t>
      </w:r>
    </w:p>
    <w:p w:rsidR="001A4767" w:rsidRPr="00897F1E" w:rsidRDefault="001A4767">
      <w:pPr>
        <w:spacing w:line="276" w:lineRule="auto"/>
        <w:ind w:left="567" w:right="539"/>
        <w:jc w:val="both"/>
        <w:rPr>
          <w:rFonts w:ascii="Palatino Linotype" w:eastAsia="Palatino Linotype" w:hAnsi="Palatino Linotype" w:cs="Palatino Linotype"/>
          <w:i/>
          <w:color w:val="0D0D0D"/>
          <w:sz w:val="22"/>
          <w:szCs w:val="22"/>
        </w:rPr>
      </w:pPr>
    </w:p>
    <w:p w:rsidR="001A4767" w:rsidRPr="00897F1E" w:rsidRDefault="00384B6A">
      <w:pPr>
        <w:spacing w:line="276" w:lineRule="auto"/>
        <w:ind w:left="567" w:right="539"/>
        <w:jc w:val="both"/>
        <w:rPr>
          <w:rFonts w:ascii="Palatino Linotype" w:eastAsia="Palatino Linotype" w:hAnsi="Palatino Linotype" w:cs="Palatino Linotype"/>
          <w:i/>
          <w:color w:val="0D0D0D"/>
          <w:sz w:val="22"/>
          <w:szCs w:val="22"/>
        </w:rPr>
      </w:pPr>
      <w:r w:rsidRPr="00897F1E">
        <w:rPr>
          <w:rFonts w:ascii="Palatino Linotype" w:eastAsia="Palatino Linotype" w:hAnsi="Palatino Linotype" w:cs="Palatino Linotype"/>
          <w:i/>
          <w:color w:val="0D0D0D"/>
          <w:sz w:val="22"/>
          <w:szCs w:val="22"/>
        </w:rPr>
        <w:t xml:space="preserve">Una vez precisado lo anterior, hago de su conocimiento que las partes en el procedimiento de mérito son: la Procuraduría de Protección al Ambiente del Estado de México, en su carácter de autoridad y el H. Ayuntamiento de </w:t>
      </w:r>
      <w:proofErr w:type="spellStart"/>
      <w:r w:rsidRPr="00897F1E">
        <w:rPr>
          <w:rFonts w:ascii="Palatino Linotype" w:eastAsia="Palatino Linotype" w:hAnsi="Palatino Linotype" w:cs="Palatino Linotype"/>
          <w:i/>
          <w:color w:val="0D0D0D"/>
          <w:sz w:val="22"/>
          <w:szCs w:val="22"/>
        </w:rPr>
        <w:t>Tlalnepantia</w:t>
      </w:r>
      <w:proofErr w:type="spellEnd"/>
      <w:r w:rsidRPr="00897F1E">
        <w:rPr>
          <w:rFonts w:ascii="Palatino Linotype" w:eastAsia="Palatino Linotype" w:hAnsi="Palatino Linotype" w:cs="Palatino Linotype"/>
          <w:i/>
          <w:color w:val="0D0D0D"/>
          <w:sz w:val="22"/>
          <w:szCs w:val="22"/>
        </w:rPr>
        <w:t xml:space="preserve"> de Baz, en su carácter de presunto infractor.</w:t>
      </w:r>
    </w:p>
    <w:p w:rsidR="001A4767" w:rsidRPr="00897F1E" w:rsidRDefault="001A4767">
      <w:pPr>
        <w:spacing w:line="276" w:lineRule="auto"/>
        <w:ind w:left="567" w:right="539"/>
        <w:jc w:val="both"/>
        <w:rPr>
          <w:rFonts w:ascii="Palatino Linotype" w:eastAsia="Palatino Linotype" w:hAnsi="Palatino Linotype" w:cs="Palatino Linotype"/>
          <w:i/>
          <w:color w:val="0D0D0D"/>
          <w:sz w:val="22"/>
          <w:szCs w:val="22"/>
        </w:rPr>
      </w:pPr>
    </w:p>
    <w:p w:rsidR="001A4767" w:rsidRPr="00897F1E" w:rsidRDefault="00384B6A">
      <w:pPr>
        <w:spacing w:line="276" w:lineRule="auto"/>
        <w:ind w:left="567" w:right="539"/>
        <w:jc w:val="both"/>
        <w:rPr>
          <w:rFonts w:ascii="Palatino Linotype" w:eastAsia="Palatino Linotype" w:hAnsi="Palatino Linotype" w:cs="Palatino Linotype"/>
          <w:i/>
          <w:color w:val="0D0D0D"/>
          <w:sz w:val="22"/>
          <w:szCs w:val="22"/>
        </w:rPr>
      </w:pPr>
      <w:r w:rsidRPr="00897F1E">
        <w:rPr>
          <w:rFonts w:ascii="Palatino Linotype" w:eastAsia="Palatino Linotype" w:hAnsi="Palatino Linotype" w:cs="Palatino Linotype"/>
          <w:i/>
          <w:color w:val="0D0D0D"/>
          <w:sz w:val="22"/>
          <w:szCs w:val="22"/>
        </w:rPr>
        <w:t>Por último, manifiesto que en el procedimiento de mérito no se cuenta con la figura de tercero interesado.</w:t>
      </w:r>
    </w:p>
    <w:p w:rsidR="001A4767" w:rsidRPr="00897F1E" w:rsidRDefault="001A4767">
      <w:pPr>
        <w:spacing w:line="276" w:lineRule="auto"/>
        <w:ind w:left="567" w:right="539"/>
        <w:jc w:val="both"/>
        <w:rPr>
          <w:rFonts w:ascii="Palatino Linotype" w:eastAsia="Palatino Linotype" w:hAnsi="Palatino Linotype" w:cs="Palatino Linotype"/>
          <w:i/>
          <w:color w:val="0D0D0D"/>
          <w:sz w:val="22"/>
          <w:szCs w:val="22"/>
        </w:rPr>
      </w:pPr>
    </w:p>
    <w:p w:rsidR="001A4767" w:rsidRPr="00897F1E" w:rsidRDefault="00384B6A">
      <w:pPr>
        <w:spacing w:line="276" w:lineRule="auto"/>
        <w:ind w:left="567" w:right="539"/>
        <w:jc w:val="both"/>
        <w:rPr>
          <w:rFonts w:ascii="Palatino Linotype" w:eastAsia="Palatino Linotype" w:hAnsi="Palatino Linotype" w:cs="Palatino Linotype"/>
          <w:b/>
          <w:i/>
          <w:color w:val="0D0D0D"/>
          <w:sz w:val="22"/>
          <w:szCs w:val="22"/>
        </w:rPr>
      </w:pPr>
      <w:r w:rsidRPr="00897F1E">
        <w:rPr>
          <w:rFonts w:ascii="Palatino Linotype" w:eastAsia="Palatino Linotype" w:hAnsi="Palatino Linotype" w:cs="Palatino Linotype"/>
          <w:b/>
          <w:i/>
          <w:color w:val="0D0D0D"/>
          <w:sz w:val="22"/>
          <w:szCs w:val="22"/>
        </w:rPr>
        <w:t>d) ¿Cuáles son las etapas que conforman este?</w:t>
      </w:r>
    </w:p>
    <w:p w:rsidR="001A4767" w:rsidRPr="00897F1E" w:rsidRDefault="00384B6A">
      <w:pPr>
        <w:spacing w:line="276" w:lineRule="auto"/>
        <w:ind w:left="567" w:right="539"/>
        <w:jc w:val="both"/>
        <w:rPr>
          <w:rFonts w:ascii="Palatino Linotype" w:eastAsia="Palatino Linotype" w:hAnsi="Palatino Linotype" w:cs="Palatino Linotype"/>
          <w:i/>
          <w:color w:val="0D0D0D"/>
          <w:sz w:val="22"/>
          <w:szCs w:val="22"/>
        </w:rPr>
      </w:pPr>
      <w:r w:rsidRPr="00897F1E">
        <w:rPr>
          <w:rFonts w:ascii="Palatino Linotype" w:eastAsia="Palatino Linotype" w:hAnsi="Palatino Linotype" w:cs="Palatino Linotype"/>
          <w:i/>
          <w:color w:val="0D0D0D"/>
          <w:sz w:val="22"/>
          <w:szCs w:val="22"/>
        </w:rPr>
        <w:t xml:space="preserve">Por cuanto hace a este punto, es de precisar que en estricto sentido, la denuncia no forma parte del procedimiento. </w:t>
      </w:r>
    </w:p>
    <w:p w:rsidR="001A4767" w:rsidRPr="00897F1E" w:rsidRDefault="001A4767">
      <w:pPr>
        <w:spacing w:line="276" w:lineRule="auto"/>
        <w:ind w:left="567" w:right="539"/>
        <w:jc w:val="both"/>
        <w:rPr>
          <w:rFonts w:ascii="Palatino Linotype" w:eastAsia="Palatino Linotype" w:hAnsi="Palatino Linotype" w:cs="Palatino Linotype"/>
          <w:i/>
          <w:color w:val="0D0D0D"/>
          <w:sz w:val="22"/>
          <w:szCs w:val="22"/>
        </w:rPr>
      </w:pPr>
    </w:p>
    <w:p w:rsidR="001A4767" w:rsidRPr="00897F1E" w:rsidRDefault="00384B6A">
      <w:pPr>
        <w:spacing w:line="276" w:lineRule="auto"/>
        <w:ind w:left="567" w:right="539"/>
        <w:jc w:val="both"/>
        <w:rPr>
          <w:rFonts w:ascii="Palatino Linotype" w:eastAsia="Palatino Linotype" w:hAnsi="Palatino Linotype" w:cs="Palatino Linotype"/>
          <w:i/>
          <w:color w:val="0D0D0D"/>
          <w:sz w:val="22"/>
          <w:szCs w:val="22"/>
        </w:rPr>
      </w:pPr>
      <w:r w:rsidRPr="00897F1E">
        <w:rPr>
          <w:rFonts w:ascii="Palatino Linotype" w:eastAsia="Palatino Linotype" w:hAnsi="Palatino Linotype" w:cs="Palatino Linotype"/>
          <w:i/>
          <w:color w:val="0D0D0D"/>
          <w:sz w:val="22"/>
          <w:szCs w:val="22"/>
        </w:rPr>
        <w:t xml:space="preserve">Por tal motivo, las etapas del procedimiento administrativo común son las siguientes: </w:t>
      </w:r>
    </w:p>
    <w:p w:rsidR="001A4767" w:rsidRPr="00897F1E" w:rsidRDefault="00384B6A">
      <w:pPr>
        <w:spacing w:line="276" w:lineRule="auto"/>
        <w:ind w:left="567" w:right="539"/>
        <w:jc w:val="center"/>
        <w:rPr>
          <w:rFonts w:ascii="Palatino Linotype" w:eastAsia="Palatino Linotype" w:hAnsi="Palatino Linotype" w:cs="Palatino Linotype"/>
          <w:i/>
          <w:color w:val="0D0D0D"/>
          <w:sz w:val="22"/>
          <w:szCs w:val="22"/>
        </w:rPr>
      </w:pPr>
      <w:r w:rsidRPr="00897F1E">
        <w:rPr>
          <w:rFonts w:ascii="Palatino Linotype" w:eastAsia="Palatino Linotype" w:hAnsi="Palatino Linotype" w:cs="Palatino Linotype"/>
          <w:i/>
          <w:noProof/>
          <w:color w:val="0D0D0D"/>
          <w:sz w:val="22"/>
          <w:szCs w:val="22"/>
          <w:lang w:eastAsia="es-MX"/>
        </w:rPr>
        <w:lastRenderedPageBreak/>
        <w:drawing>
          <wp:inline distT="0" distB="0" distL="0" distR="0">
            <wp:extent cx="4500947" cy="2214877"/>
            <wp:effectExtent l="0" t="0" r="0" b="0"/>
            <wp:docPr id="6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4500947" cy="2214877"/>
                    </a:xfrm>
                    <a:prstGeom prst="rect">
                      <a:avLst/>
                    </a:prstGeom>
                    <a:ln/>
                  </pic:spPr>
                </pic:pic>
              </a:graphicData>
            </a:graphic>
          </wp:inline>
        </w:drawing>
      </w:r>
    </w:p>
    <w:p w:rsidR="001A4767" w:rsidRPr="00897F1E" w:rsidRDefault="001A4767">
      <w:pPr>
        <w:spacing w:line="276" w:lineRule="auto"/>
        <w:ind w:left="567" w:right="539"/>
        <w:jc w:val="both"/>
        <w:rPr>
          <w:rFonts w:ascii="Palatino Linotype" w:eastAsia="Palatino Linotype" w:hAnsi="Palatino Linotype" w:cs="Palatino Linotype"/>
          <w:i/>
          <w:color w:val="0D0D0D"/>
          <w:sz w:val="22"/>
          <w:szCs w:val="22"/>
        </w:rPr>
      </w:pPr>
    </w:p>
    <w:p w:rsidR="001A4767" w:rsidRPr="00897F1E" w:rsidRDefault="00384B6A">
      <w:pPr>
        <w:spacing w:line="276" w:lineRule="auto"/>
        <w:ind w:left="567" w:right="539"/>
        <w:jc w:val="both"/>
        <w:rPr>
          <w:rFonts w:ascii="Palatino Linotype" w:eastAsia="Palatino Linotype" w:hAnsi="Palatino Linotype" w:cs="Palatino Linotype"/>
          <w:b/>
          <w:i/>
          <w:color w:val="0D0D0D"/>
          <w:sz w:val="22"/>
          <w:szCs w:val="22"/>
        </w:rPr>
      </w:pPr>
      <w:r w:rsidRPr="00897F1E">
        <w:rPr>
          <w:rFonts w:ascii="Palatino Linotype" w:eastAsia="Palatino Linotype" w:hAnsi="Palatino Linotype" w:cs="Palatino Linotype"/>
          <w:b/>
          <w:i/>
          <w:color w:val="0D0D0D"/>
          <w:sz w:val="22"/>
          <w:szCs w:val="22"/>
        </w:rPr>
        <w:t>e) Indique la etapa en la que se encontraba a la fecha de la solicitud;</w:t>
      </w:r>
    </w:p>
    <w:p w:rsidR="001A4767" w:rsidRPr="00897F1E" w:rsidRDefault="001A4767">
      <w:pPr>
        <w:spacing w:line="276" w:lineRule="auto"/>
        <w:ind w:left="567" w:right="539"/>
        <w:jc w:val="both"/>
        <w:rPr>
          <w:rFonts w:ascii="Palatino Linotype" w:eastAsia="Palatino Linotype" w:hAnsi="Palatino Linotype" w:cs="Palatino Linotype"/>
          <w:i/>
          <w:color w:val="0D0D0D"/>
          <w:sz w:val="22"/>
          <w:szCs w:val="22"/>
        </w:rPr>
      </w:pPr>
    </w:p>
    <w:p w:rsidR="001A4767" w:rsidRPr="00897F1E" w:rsidRDefault="00384B6A">
      <w:pPr>
        <w:spacing w:line="276" w:lineRule="auto"/>
        <w:ind w:left="567" w:right="539"/>
        <w:jc w:val="both"/>
        <w:rPr>
          <w:rFonts w:ascii="Palatino Linotype" w:eastAsia="Palatino Linotype" w:hAnsi="Palatino Linotype" w:cs="Palatino Linotype"/>
          <w:i/>
          <w:color w:val="0D0D0D"/>
          <w:sz w:val="22"/>
          <w:szCs w:val="22"/>
        </w:rPr>
      </w:pPr>
      <w:r w:rsidRPr="00897F1E">
        <w:rPr>
          <w:rFonts w:ascii="Palatino Linotype" w:eastAsia="Palatino Linotype" w:hAnsi="Palatino Linotype" w:cs="Palatino Linotype"/>
          <w:i/>
          <w:color w:val="0D0D0D"/>
          <w:sz w:val="22"/>
          <w:szCs w:val="22"/>
        </w:rPr>
        <w:t>El procedimiento administrativo PROPAEM-2021-07/VM/0466, seguido en forma de juicio se encontraba en la etapa de emisión y notificación de resolución</w:t>
      </w:r>
    </w:p>
    <w:p w:rsidR="001A4767" w:rsidRPr="00897F1E" w:rsidRDefault="001A4767">
      <w:pPr>
        <w:spacing w:line="276" w:lineRule="auto"/>
        <w:ind w:left="567" w:right="539"/>
        <w:jc w:val="both"/>
        <w:rPr>
          <w:rFonts w:ascii="Palatino Linotype" w:eastAsia="Palatino Linotype" w:hAnsi="Palatino Linotype" w:cs="Palatino Linotype"/>
          <w:i/>
          <w:color w:val="0D0D0D"/>
          <w:sz w:val="22"/>
          <w:szCs w:val="22"/>
        </w:rPr>
      </w:pPr>
    </w:p>
    <w:p w:rsidR="001A4767" w:rsidRPr="00897F1E" w:rsidRDefault="00384B6A">
      <w:pPr>
        <w:spacing w:line="276" w:lineRule="auto"/>
        <w:ind w:left="567" w:right="539"/>
        <w:jc w:val="both"/>
        <w:rPr>
          <w:rFonts w:ascii="Palatino Linotype" w:eastAsia="Palatino Linotype" w:hAnsi="Palatino Linotype" w:cs="Palatino Linotype"/>
          <w:b/>
          <w:i/>
          <w:color w:val="0D0D0D"/>
          <w:sz w:val="22"/>
          <w:szCs w:val="22"/>
        </w:rPr>
      </w:pPr>
      <w:r w:rsidRPr="00897F1E">
        <w:rPr>
          <w:rFonts w:ascii="Palatino Linotype" w:eastAsia="Palatino Linotype" w:hAnsi="Palatino Linotype" w:cs="Palatino Linotype"/>
          <w:b/>
          <w:i/>
          <w:color w:val="0D0D0D"/>
          <w:sz w:val="22"/>
          <w:szCs w:val="22"/>
        </w:rPr>
        <w:t>f) Fecha aproximada de conclusión;</w:t>
      </w:r>
    </w:p>
    <w:p w:rsidR="001A4767" w:rsidRPr="00897F1E" w:rsidRDefault="00384B6A">
      <w:pPr>
        <w:spacing w:line="276" w:lineRule="auto"/>
        <w:ind w:left="567" w:right="539"/>
        <w:jc w:val="both"/>
        <w:rPr>
          <w:rFonts w:ascii="Palatino Linotype" w:eastAsia="Palatino Linotype" w:hAnsi="Palatino Linotype" w:cs="Palatino Linotype"/>
          <w:b/>
          <w:i/>
          <w:color w:val="0D0D0D"/>
          <w:sz w:val="22"/>
          <w:szCs w:val="22"/>
        </w:rPr>
      </w:pPr>
      <w:r w:rsidRPr="00897F1E">
        <w:rPr>
          <w:rFonts w:ascii="Palatino Linotype" w:eastAsia="Palatino Linotype" w:hAnsi="Palatino Linotype" w:cs="Palatino Linotype"/>
          <w:i/>
          <w:color w:val="0D0D0D"/>
          <w:sz w:val="22"/>
          <w:szCs w:val="22"/>
        </w:rPr>
        <w:t>De manera atenta hago de su conocimiento, que el expediente número PROPAEM-2021-07/M/0466, se encuentra en etapa de emisión y notificación de resolución, y por tanto, se encuentra pendiente aún de la resolución que en derecho corresponda, la cual es el final del procedimiento administrativo sin embargo, si esta última condena al infractor a un hacer o dejar de hacer o realizar un pago, dicha conclusión será hasta que el particular dé cabal cumplimiento a lo condenado en la resolución.</w:t>
      </w:r>
    </w:p>
    <w:p w:rsidR="001A4767" w:rsidRPr="00897F1E" w:rsidRDefault="001A4767">
      <w:pPr>
        <w:spacing w:line="276" w:lineRule="auto"/>
        <w:ind w:left="567" w:right="539"/>
        <w:jc w:val="both"/>
        <w:rPr>
          <w:rFonts w:ascii="Palatino Linotype" w:eastAsia="Palatino Linotype" w:hAnsi="Palatino Linotype" w:cs="Palatino Linotype"/>
          <w:i/>
          <w:color w:val="0D0D0D"/>
          <w:sz w:val="22"/>
          <w:szCs w:val="22"/>
        </w:rPr>
      </w:pPr>
    </w:p>
    <w:p w:rsidR="001A4767" w:rsidRPr="00897F1E" w:rsidRDefault="00384B6A">
      <w:pPr>
        <w:spacing w:line="276" w:lineRule="auto"/>
        <w:ind w:left="567" w:right="539"/>
        <w:jc w:val="both"/>
        <w:rPr>
          <w:rFonts w:ascii="Palatino Linotype" w:eastAsia="Palatino Linotype" w:hAnsi="Palatino Linotype" w:cs="Palatino Linotype"/>
          <w:i/>
          <w:color w:val="0D0D0D"/>
          <w:sz w:val="22"/>
          <w:szCs w:val="22"/>
        </w:rPr>
      </w:pPr>
      <w:r w:rsidRPr="00897F1E">
        <w:rPr>
          <w:rFonts w:ascii="Palatino Linotype" w:eastAsia="Palatino Linotype" w:hAnsi="Palatino Linotype" w:cs="Palatino Linotype"/>
          <w:i/>
          <w:color w:val="0D0D0D"/>
          <w:sz w:val="22"/>
          <w:szCs w:val="22"/>
        </w:rPr>
        <w:t>En ese sentido, esta autoridad no puede proporcionar una fecha aproximada de conclusión, ya que con base en lo dispuesto en el marco jurídico que rige a esta autoridad ambiental, si para el caso que el infractor no realice el pago de la multa impuesta, se deberá dar vista a la Secretaría de Finanzas para que implemente el procedimiento administrativo de ejecución, sustanciación que es ajena a esta autoridad, adicional a los medios de defensa con los que cuenta el particular como lo es el Recurso de Inconformidad, Juicio Administrativo,</w:t>
      </w:r>
    </w:p>
    <w:p w:rsidR="001A4767" w:rsidRPr="00897F1E" w:rsidRDefault="00384B6A">
      <w:pPr>
        <w:spacing w:line="276" w:lineRule="auto"/>
        <w:ind w:left="567" w:right="539"/>
        <w:jc w:val="both"/>
        <w:rPr>
          <w:rFonts w:ascii="Palatino Linotype" w:eastAsia="Palatino Linotype" w:hAnsi="Palatino Linotype" w:cs="Palatino Linotype"/>
          <w:i/>
          <w:color w:val="0D0D0D"/>
          <w:sz w:val="22"/>
          <w:szCs w:val="22"/>
        </w:rPr>
      </w:pPr>
      <w:r w:rsidRPr="00897F1E">
        <w:rPr>
          <w:rFonts w:ascii="Palatino Linotype" w:eastAsia="Palatino Linotype" w:hAnsi="Palatino Linotype" w:cs="Palatino Linotype"/>
          <w:i/>
          <w:color w:val="0D0D0D"/>
          <w:sz w:val="22"/>
          <w:szCs w:val="22"/>
        </w:rPr>
        <w:t>Recurso de Revisión, Juicio de Amparo, Recurso de Revisión.</w:t>
      </w:r>
    </w:p>
    <w:p w:rsidR="001A4767" w:rsidRPr="00897F1E" w:rsidRDefault="001A4767">
      <w:pPr>
        <w:spacing w:line="276" w:lineRule="auto"/>
        <w:ind w:left="567" w:right="539"/>
        <w:jc w:val="both"/>
        <w:rPr>
          <w:rFonts w:ascii="Palatino Linotype" w:eastAsia="Palatino Linotype" w:hAnsi="Palatino Linotype" w:cs="Palatino Linotype"/>
          <w:i/>
          <w:color w:val="0D0D0D"/>
          <w:sz w:val="22"/>
          <w:szCs w:val="22"/>
        </w:rPr>
      </w:pPr>
    </w:p>
    <w:p w:rsidR="001A4767" w:rsidRPr="00897F1E" w:rsidRDefault="00384B6A">
      <w:pPr>
        <w:spacing w:line="276" w:lineRule="auto"/>
        <w:ind w:left="567" w:right="539"/>
        <w:jc w:val="both"/>
        <w:rPr>
          <w:rFonts w:ascii="Palatino Linotype" w:eastAsia="Palatino Linotype" w:hAnsi="Palatino Linotype" w:cs="Palatino Linotype"/>
          <w:b/>
          <w:i/>
          <w:color w:val="0D0D0D"/>
          <w:sz w:val="22"/>
          <w:szCs w:val="22"/>
        </w:rPr>
      </w:pPr>
      <w:r w:rsidRPr="00897F1E">
        <w:rPr>
          <w:rFonts w:ascii="Palatino Linotype" w:eastAsia="Palatino Linotype" w:hAnsi="Palatino Linotype" w:cs="Palatino Linotype"/>
          <w:b/>
          <w:i/>
          <w:color w:val="0D0D0D"/>
          <w:sz w:val="22"/>
          <w:szCs w:val="22"/>
        </w:rPr>
        <w:lastRenderedPageBreak/>
        <w:t>g) Razones por las cuáles, considera que la difusión de la información requerida por el solicitante puede afectarlo;</w:t>
      </w:r>
    </w:p>
    <w:p w:rsidR="001A4767" w:rsidRPr="00897F1E" w:rsidRDefault="001A4767">
      <w:pPr>
        <w:spacing w:line="276" w:lineRule="auto"/>
        <w:ind w:left="567" w:right="539"/>
        <w:jc w:val="both"/>
        <w:rPr>
          <w:rFonts w:ascii="Palatino Linotype" w:eastAsia="Palatino Linotype" w:hAnsi="Palatino Linotype" w:cs="Palatino Linotype"/>
          <w:i/>
          <w:color w:val="0D0D0D"/>
          <w:sz w:val="22"/>
          <w:szCs w:val="22"/>
        </w:rPr>
      </w:pPr>
    </w:p>
    <w:p w:rsidR="001A4767" w:rsidRPr="00897F1E" w:rsidRDefault="00384B6A">
      <w:pPr>
        <w:spacing w:line="276" w:lineRule="auto"/>
        <w:ind w:left="567" w:right="539"/>
        <w:jc w:val="both"/>
        <w:rPr>
          <w:rFonts w:ascii="Palatino Linotype" w:eastAsia="Palatino Linotype" w:hAnsi="Palatino Linotype" w:cs="Palatino Linotype"/>
          <w:b/>
          <w:i/>
          <w:color w:val="0D0D0D"/>
          <w:sz w:val="22"/>
          <w:szCs w:val="22"/>
        </w:rPr>
      </w:pPr>
      <w:r w:rsidRPr="00897F1E">
        <w:rPr>
          <w:rFonts w:ascii="Palatino Linotype" w:eastAsia="Palatino Linotype" w:hAnsi="Palatino Linotype" w:cs="Palatino Linotype"/>
          <w:b/>
          <w:i/>
          <w:color w:val="0D0D0D"/>
          <w:sz w:val="22"/>
          <w:szCs w:val="22"/>
        </w:rPr>
        <w:t xml:space="preserve">a) Porque constituye un riesgo real, demostrable e identificable. </w:t>
      </w:r>
    </w:p>
    <w:p w:rsidR="001A4767" w:rsidRPr="00897F1E" w:rsidRDefault="001A4767">
      <w:pPr>
        <w:spacing w:line="276" w:lineRule="auto"/>
        <w:ind w:left="567" w:right="539"/>
        <w:jc w:val="both"/>
        <w:rPr>
          <w:rFonts w:ascii="Palatino Linotype" w:eastAsia="Palatino Linotype" w:hAnsi="Palatino Linotype" w:cs="Palatino Linotype"/>
          <w:i/>
          <w:color w:val="0D0D0D"/>
          <w:sz w:val="22"/>
          <w:szCs w:val="22"/>
        </w:rPr>
      </w:pPr>
    </w:p>
    <w:p w:rsidR="001A4767" w:rsidRPr="00897F1E" w:rsidRDefault="00384B6A">
      <w:pPr>
        <w:spacing w:line="276" w:lineRule="auto"/>
        <w:ind w:left="567" w:right="539"/>
        <w:jc w:val="both"/>
        <w:rPr>
          <w:rFonts w:ascii="Palatino Linotype" w:eastAsia="Palatino Linotype" w:hAnsi="Palatino Linotype" w:cs="Palatino Linotype"/>
          <w:i/>
          <w:color w:val="0D0D0D"/>
          <w:sz w:val="22"/>
          <w:szCs w:val="22"/>
        </w:rPr>
      </w:pPr>
      <w:r w:rsidRPr="00897F1E">
        <w:rPr>
          <w:rFonts w:ascii="Palatino Linotype" w:eastAsia="Palatino Linotype" w:hAnsi="Palatino Linotype" w:cs="Palatino Linotype"/>
          <w:i/>
          <w:color w:val="0D0D0D"/>
          <w:sz w:val="22"/>
          <w:szCs w:val="22"/>
        </w:rPr>
        <w:t>Toda vez que de dar a conocer el contenido del expediente número PROPAEM-2021-07/V/M/0466, mismos que se encuentran en emisión de resolución respectiva en la Subdirección de Atención y Seguimiento de Procedimientos de esta autoridad ambiental, podría afectar al posible responsable infractor, pues se darían a conocer los motivos por los cuales se inspeccionó y se encontraron irregularidades u omisiones, lo cual podría generar una percepción negativa de este, sin que se hubiere probado su responsabilidad, además de que la ciudadanía podría considerar que hubo una actuación irregular sin que esta autoridad ambiental lo haya determinado, situación que podría afectar su honor, buena reputación o buena fama.</w:t>
      </w:r>
    </w:p>
    <w:p w:rsidR="001A4767" w:rsidRPr="00897F1E" w:rsidRDefault="00384B6A">
      <w:pPr>
        <w:spacing w:line="276" w:lineRule="auto"/>
        <w:ind w:left="567" w:right="539"/>
        <w:jc w:val="both"/>
        <w:rPr>
          <w:rFonts w:ascii="Palatino Linotype" w:eastAsia="Palatino Linotype" w:hAnsi="Palatino Linotype" w:cs="Palatino Linotype"/>
          <w:i/>
          <w:color w:val="0D0D0D"/>
          <w:sz w:val="22"/>
          <w:szCs w:val="22"/>
        </w:rPr>
      </w:pPr>
      <w:r w:rsidRPr="00897F1E">
        <w:rPr>
          <w:rFonts w:ascii="Palatino Linotype" w:eastAsia="Palatino Linotype" w:hAnsi="Palatino Linotype" w:cs="Palatino Linotype"/>
          <w:i/>
          <w:color w:val="0D0D0D"/>
          <w:sz w:val="22"/>
          <w:szCs w:val="22"/>
        </w:rPr>
        <w:t>…</w:t>
      </w:r>
    </w:p>
    <w:p w:rsidR="001A4767" w:rsidRPr="00897F1E" w:rsidRDefault="001A4767">
      <w:pPr>
        <w:spacing w:line="276" w:lineRule="auto"/>
        <w:ind w:left="567" w:right="539"/>
        <w:jc w:val="both"/>
        <w:rPr>
          <w:rFonts w:ascii="Palatino Linotype" w:eastAsia="Palatino Linotype" w:hAnsi="Palatino Linotype" w:cs="Palatino Linotype"/>
          <w:i/>
          <w:color w:val="0D0D0D"/>
          <w:sz w:val="22"/>
          <w:szCs w:val="22"/>
        </w:rPr>
      </w:pPr>
    </w:p>
    <w:p w:rsidR="001A4767" w:rsidRPr="00897F1E" w:rsidRDefault="00384B6A">
      <w:pPr>
        <w:spacing w:line="276" w:lineRule="auto"/>
        <w:ind w:left="567" w:right="539"/>
        <w:jc w:val="both"/>
        <w:rPr>
          <w:rFonts w:ascii="Palatino Linotype" w:eastAsia="Palatino Linotype" w:hAnsi="Palatino Linotype" w:cs="Palatino Linotype"/>
          <w:b/>
          <w:i/>
          <w:color w:val="0D0D0D"/>
          <w:sz w:val="22"/>
          <w:szCs w:val="22"/>
        </w:rPr>
      </w:pPr>
      <w:r w:rsidRPr="00897F1E">
        <w:rPr>
          <w:rFonts w:ascii="Palatino Linotype" w:eastAsia="Palatino Linotype" w:hAnsi="Palatino Linotype" w:cs="Palatino Linotype"/>
          <w:b/>
          <w:i/>
          <w:color w:val="0D0D0D"/>
          <w:sz w:val="22"/>
          <w:szCs w:val="22"/>
        </w:rPr>
        <w:t>h) ¿Cómo Incide en la toma de la decisión definitiva el dar a conocer el contenido en el expediente materia a solicitud?;</w:t>
      </w:r>
    </w:p>
    <w:p w:rsidR="001A4767" w:rsidRPr="00897F1E" w:rsidRDefault="00384B6A">
      <w:pPr>
        <w:spacing w:line="276" w:lineRule="auto"/>
        <w:ind w:left="567" w:right="539"/>
        <w:jc w:val="both"/>
        <w:rPr>
          <w:rFonts w:ascii="Palatino Linotype" w:eastAsia="Palatino Linotype" w:hAnsi="Palatino Linotype" w:cs="Palatino Linotype"/>
          <w:i/>
          <w:color w:val="0D0D0D"/>
          <w:sz w:val="22"/>
          <w:szCs w:val="22"/>
        </w:rPr>
      </w:pPr>
      <w:r w:rsidRPr="00897F1E">
        <w:rPr>
          <w:rFonts w:ascii="Palatino Linotype" w:eastAsia="Palatino Linotype" w:hAnsi="Palatino Linotype" w:cs="Palatino Linotype"/>
          <w:i/>
          <w:color w:val="0D0D0D"/>
          <w:sz w:val="22"/>
          <w:szCs w:val="22"/>
        </w:rPr>
        <w:t>Al respecto, como fuera referido anteriormente, esta autoridad considera que el otorgar la información antes de quedar firme el procedimiento en mérito puede afectar a que se conozcan datos inherentes al mismo, lo que depararía en la interposición de medios de defensa, así como afectar la fama pública y la esfera jurídica del presunto infractor; así mismo, esta Procuraduría tiene como finalidad velar por el interés público, social o general resguardado en el artículo 4º constitucional, por lo que otorgar dicha información presumiría una violación flagrante al debido proceso, toda vez que el revelar la información contenida en el asunto, conllevaría a que éste pueda ser susceptible a la manipulación de la información en perjuicio del presunto infractor y con ello a la violación al derecho a un medio ambiente sano para la población de la entidad.</w:t>
      </w:r>
    </w:p>
    <w:p w:rsidR="001A4767" w:rsidRPr="00897F1E" w:rsidRDefault="001A4767">
      <w:pPr>
        <w:spacing w:line="276" w:lineRule="auto"/>
        <w:ind w:left="567" w:right="539"/>
        <w:jc w:val="both"/>
        <w:rPr>
          <w:rFonts w:ascii="Palatino Linotype" w:eastAsia="Palatino Linotype" w:hAnsi="Palatino Linotype" w:cs="Palatino Linotype"/>
          <w:i/>
          <w:color w:val="0D0D0D"/>
          <w:sz w:val="22"/>
          <w:szCs w:val="22"/>
        </w:rPr>
      </w:pPr>
    </w:p>
    <w:p w:rsidR="001A4767" w:rsidRPr="00897F1E" w:rsidRDefault="00384B6A">
      <w:pPr>
        <w:spacing w:line="276" w:lineRule="auto"/>
        <w:ind w:left="567" w:right="539"/>
        <w:jc w:val="both"/>
        <w:rPr>
          <w:rFonts w:ascii="Palatino Linotype" w:eastAsia="Palatino Linotype" w:hAnsi="Palatino Linotype" w:cs="Palatino Linotype"/>
          <w:i/>
          <w:color w:val="0D0D0D"/>
          <w:sz w:val="22"/>
          <w:szCs w:val="22"/>
        </w:rPr>
      </w:pPr>
      <w:r w:rsidRPr="00897F1E">
        <w:rPr>
          <w:rFonts w:ascii="Palatino Linotype" w:eastAsia="Palatino Linotype" w:hAnsi="Palatino Linotype" w:cs="Palatino Linotype"/>
          <w:i/>
          <w:color w:val="0D0D0D"/>
          <w:sz w:val="22"/>
          <w:szCs w:val="22"/>
        </w:rPr>
        <w:t xml:space="preserve">En ese orden de ideas, el revelar datos del presunto infractor a un particular que no forma parte del procedimiento aun cuando existe dentro del Código de Procedimiento Administrativos del Estado de México, la formalidad establecida para ser parte del </w:t>
      </w:r>
      <w:r w:rsidRPr="00897F1E">
        <w:rPr>
          <w:rFonts w:ascii="Palatino Linotype" w:eastAsia="Palatino Linotype" w:hAnsi="Palatino Linotype" w:cs="Palatino Linotype"/>
          <w:i/>
          <w:color w:val="0D0D0D"/>
          <w:sz w:val="22"/>
          <w:szCs w:val="22"/>
        </w:rPr>
        <w:lastRenderedPageBreak/>
        <w:t xml:space="preserve">procedimiento </w:t>
      </w:r>
      <w:proofErr w:type="spellStart"/>
      <w:r w:rsidRPr="00897F1E">
        <w:rPr>
          <w:rFonts w:ascii="Palatino Linotype" w:eastAsia="Palatino Linotype" w:hAnsi="Palatino Linotype" w:cs="Palatino Linotype"/>
          <w:i/>
          <w:color w:val="0D0D0D"/>
          <w:sz w:val="22"/>
          <w:szCs w:val="22"/>
        </w:rPr>
        <w:t>haria</w:t>
      </w:r>
      <w:proofErr w:type="spellEnd"/>
      <w:r w:rsidRPr="00897F1E">
        <w:rPr>
          <w:rFonts w:ascii="Palatino Linotype" w:eastAsia="Palatino Linotype" w:hAnsi="Palatino Linotype" w:cs="Palatino Linotype"/>
          <w:i/>
          <w:color w:val="0D0D0D"/>
          <w:sz w:val="22"/>
          <w:szCs w:val="22"/>
        </w:rPr>
        <w:t xml:space="preserve"> que se violente la protección de datos de las partes que fungen en el mismo y de la normatividad en materia administrativa.</w:t>
      </w:r>
    </w:p>
    <w:p w:rsidR="001A4767" w:rsidRPr="00897F1E" w:rsidRDefault="001A4767">
      <w:pPr>
        <w:spacing w:line="276" w:lineRule="auto"/>
        <w:ind w:left="567" w:right="539"/>
        <w:jc w:val="both"/>
        <w:rPr>
          <w:rFonts w:ascii="Palatino Linotype" w:eastAsia="Palatino Linotype" w:hAnsi="Palatino Linotype" w:cs="Palatino Linotype"/>
          <w:i/>
          <w:color w:val="0D0D0D"/>
          <w:sz w:val="22"/>
          <w:szCs w:val="22"/>
        </w:rPr>
      </w:pPr>
    </w:p>
    <w:p w:rsidR="001A4767" w:rsidRPr="00897F1E" w:rsidRDefault="00384B6A">
      <w:pPr>
        <w:spacing w:line="276" w:lineRule="auto"/>
        <w:ind w:left="567" w:right="539"/>
        <w:jc w:val="both"/>
        <w:rPr>
          <w:rFonts w:ascii="Palatino Linotype" w:eastAsia="Palatino Linotype" w:hAnsi="Palatino Linotype" w:cs="Palatino Linotype"/>
          <w:i/>
          <w:color w:val="0D0D0D"/>
          <w:sz w:val="22"/>
          <w:szCs w:val="22"/>
        </w:rPr>
      </w:pPr>
      <w:r w:rsidRPr="00897F1E">
        <w:rPr>
          <w:rFonts w:ascii="Palatino Linotype" w:eastAsia="Palatino Linotype" w:hAnsi="Palatino Linotype" w:cs="Palatino Linotype"/>
          <w:i/>
          <w:color w:val="0D0D0D"/>
          <w:sz w:val="22"/>
          <w:szCs w:val="22"/>
        </w:rPr>
        <w:t>La ponderación de interés de reservar la información contenida en el expediente de mérito, parte de la premisa de que dicho expediente aún se encuentra sustanciándose, y el hecho de entregar la información con la que se cuenta, crearía un riesgo de perjuicio directo al debido proceso a través de la documentación con la que se integra dicho expediente, cabe hacer hincapié en el hecho de que se tiene la obligación de tramitar dicho expediente desde el inicio hasta su conclusión. Esto constituye un interés superior al derecho de acceso a la información debido a que existe disposición expresa.</w:t>
      </w:r>
    </w:p>
    <w:p w:rsidR="001A4767" w:rsidRPr="00897F1E" w:rsidRDefault="001A4767">
      <w:pPr>
        <w:spacing w:line="276" w:lineRule="auto"/>
        <w:ind w:left="567" w:right="539"/>
        <w:jc w:val="both"/>
        <w:rPr>
          <w:rFonts w:ascii="Palatino Linotype" w:eastAsia="Palatino Linotype" w:hAnsi="Palatino Linotype" w:cs="Palatino Linotype"/>
          <w:i/>
          <w:color w:val="0D0D0D"/>
          <w:sz w:val="22"/>
          <w:szCs w:val="22"/>
        </w:rPr>
      </w:pPr>
    </w:p>
    <w:p w:rsidR="001A4767" w:rsidRPr="00897F1E" w:rsidRDefault="00384B6A">
      <w:pPr>
        <w:spacing w:line="276" w:lineRule="auto"/>
        <w:ind w:left="567" w:right="539"/>
        <w:jc w:val="both"/>
        <w:rPr>
          <w:rFonts w:ascii="Palatino Linotype" w:eastAsia="Palatino Linotype" w:hAnsi="Palatino Linotype" w:cs="Palatino Linotype"/>
          <w:i/>
          <w:color w:val="0D0D0D"/>
          <w:sz w:val="22"/>
          <w:szCs w:val="22"/>
        </w:rPr>
      </w:pPr>
      <w:r w:rsidRPr="00897F1E">
        <w:rPr>
          <w:rFonts w:ascii="Palatino Linotype" w:eastAsia="Palatino Linotype" w:hAnsi="Palatino Linotype" w:cs="Palatino Linotype"/>
          <w:i/>
          <w:color w:val="0D0D0D"/>
          <w:sz w:val="22"/>
          <w:szCs w:val="22"/>
        </w:rPr>
        <w:t>Por lo anteriormente expuesto, de manera respetuosa le refiero que proporcionar la información afectaría y vulneraría la prerrogativa inherente al debido proceso en dicho procedimiento administrativo en materia ambiental, en tanto no haya quedado firme, tal como lo establece el artículo 140 fracción VIII de la Ley de Transparencia y Acceso a la Información Pública del Estado de México y Municipios, además de que traería como posible consecuencia aparejada, la interposición de diversos medios de defensa ante autoridades jurisdiccionales los cuales a su vez, pudieran según sea el caso, ordenar el cese o absolución del procedimiento incoado por esta autoridad ambiental, en contra del presunto infractor.</w:t>
      </w:r>
    </w:p>
    <w:p w:rsidR="001A4767" w:rsidRPr="00897F1E" w:rsidRDefault="001A4767">
      <w:pPr>
        <w:spacing w:line="276" w:lineRule="auto"/>
        <w:ind w:left="567" w:right="539"/>
        <w:jc w:val="both"/>
        <w:rPr>
          <w:rFonts w:ascii="Palatino Linotype" w:eastAsia="Palatino Linotype" w:hAnsi="Palatino Linotype" w:cs="Palatino Linotype"/>
          <w:i/>
          <w:color w:val="0D0D0D"/>
          <w:sz w:val="22"/>
          <w:szCs w:val="22"/>
        </w:rPr>
      </w:pPr>
    </w:p>
    <w:p w:rsidR="001A4767" w:rsidRPr="00897F1E" w:rsidRDefault="00384B6A">
      <w:pPr>
        <w:spacing w:line="276" w:lineRule="auto"/>
        <w:ind w:left="567" w:right="539"/>
        <w:jc w:val="both"/>
        <w:rPr>
          <w:rFonts w:ascii="Palatino Linotype" w:eastAsia="Palatino Linotype" w:hAnsi="Palatino Linotype" w:cs="Palatino Linotype"/>
          <w:b/>
          <w:i/>
          <w:color w:val="0D0D0D"/>
          <w:sz w:val="22"/>
          <w:szCs w:val="22"/>
        </w:rPr>
      </w:pPr>
      <w:r w:rsidRPr="00897F1E">
        <w:rPr>
          <w:rFonts w:ascii="Palatino Linotype" w:eastAsia="Palatino Linotype" w:hAnsi="Palatino Linotype" w:cs="Palatino Linotype"/>
          <w:b/>
          <w:i/>
          <w:color w:val="0D0D0D"/>
          <w:sz w:val="22"/>
          <w:szCs w:val="22"/>
        </w:rPr>
        <w:t>i) ¿Por qué razón los sellos de clausura identificados con los números 10045/2021, 10046/2021, 10047/2021, 10048/2021, 10049/2021 y 10050/2021 forman parte integral del expediente administrativo con número PROPAEM-2021-07/VM/0466?</w:t>
      </w:r>
    </w:p>
    <w:p w:rsidR="001A4767" w:rsidRPr="00897F1E" w:rsidRDefault="001A4767">
      <w:pPr>
        <w:spacing w:line="276" w:lineRule="auto"/>
        <w:ind w:left="567" w:right="539"/>
        <w:jc w:val="both"/>
        <w:rPr>
          <w:rFonts w:ascii="Palatino Linotype" w:eastAsia="Palatino Linotype" w:hAnsi="Palatino Linotype" w:cs="Palatino Linotype"/>
          <w:i/>
          <w:color w:val="0D0D0D"/>
          <w:sz w:val="22"/>
          <w:szCs w:val="22"/>
        </w:rPr>
      </w:pPr>
    </w:p>
    <w:p w:rsidR="001A4767" w:rsidRPr="00897F1E" w:rsidRDefault="00384B6A">
      <w:pPr>
        <w:spacing w:line="276" w:lineRule="auto"/>
        <w:ind w:left="567" w:right="539"/>
        <w:jc w:val="both"/>
        <w:rPr>
          <w:rFonts w:ascii="Palatino Linotype" w:eastAsia="Palatino Linotype" w:hAnsi="Palatino Linotype" w:cs="Palatino Linotype"/>
          <w:i/>
          <w:color w:val="0D0D0D"/>
          <w:sz w:val="22"/>
          <w:szCs w:val="22"/>
        </w:rPr>
      </w:pPr>
      <w:r w:rsidRPr="00897F1E">
        <w:rPr>
          <w:rFonts w:ascii="Palatino Linotype" w:eastAsia="Palatino Linotype" w:hAnsi="Palatino Linotype" w:cs="Palatino Linotype"/>
          <w:i/>
          <w:color w:val="0D0D0D"/>
          <w:sz w:val="22"/>
          <w:szCs w:val="22"/>
        </w:rPr>
        <w:t>Porque al momento de practicarse la visita de inspección que dio origen al procedimiento administrativo PROPAEM-2021-07/M/0466, el personal adscrito a esta Procuraduría Ambiental observó que se realizan actividades que pueden causar daños o deterioro graves a los recursos naturales, con repercusiones peligrosas para los ecosistemas y sus componentes, por lo que con fundamento en lo dispuesto por los artículos 2.67 fracción XX, 2.81, 2.130 fracciones I, VI y VII, 2133, 2.239, 2.241 fracción I, 2.277 fracción III, 2.281 fracción I, 2286 fracciones I y II del Código para la Biodiversidad del Estado de México, se decretó como medida de seguridad la clausura temporal total de las actividades realizadas.</w:t>
      </w:r>
    </w:p>
    <w:p w:rsidR="001A4767" w:rsidRPr="00897F1E" w:rsidRDefault="001A4767">
      <w:pPr>
        <w:spacing w:line="276" w:lineRule="auto"/>
        <w:ind w:left="567" w:right="539"/>
        <w:jc w:val="both"/>
        <w:rPr>
          <w:rFonts w:ascii="Palatino Linotype" w:eastAsia="Palatino Linotype" w:hAnsi="Palatino Linotype" w:cs="Palatino Linotype"/>
          <w:i/>
          <w:color w:val="0D0D0D"/>
          <w:sz w:val="22"/>
          <w:szCs w:val="22"/>
        </w:rPr>
      </w:pPr>
    </w:p>
    <w:p w:rsidR="001A4767" w:rsidRPr="00897F1E" w:rsidRDefault="00384B6A">
      <w:pPr>
        <w:spacing w:line="276" w:lineRule="auto"/>
        <w:ind w:left="567" w:right="539"/>
        <w:jc w:val="both"/>
        <w:rPr>
          <w:rFonts w:ascii="Palatino Linotype" w:eastAsia="Palatino Linotype" w:hAnsi="Palatino Linotype" w:cs="Palatino Linotype"/>
          <w:b/>
          <w:i/>
          <w:color w:val="0D0D0D"/>
          <w:sz w:val="22"/>
          <w:szCs w:val="22"/>
        </w:rPr>
      </w:pPr>
      <w:r w:rsidRPr="00897F1E">
        <w:rPr>
          <w:rFonts w:ascii="Palatino Linotype" w:eastAsia="Palatino Linotype" w:hAnsi="Palatino Linotype" w:cs="Palatino Linotype"/>
          <w:b/>
          <w:i/>
          <w:color w:val="0D0D0D"/>
          <w:sz w:val="22"/>
          <w:szCs w:val="22"/>
        </w:rPr>
        <w:t>j) ¿Por qué razón o circunstancia se emitieron los sellos de clausura identificados con los números 10045/2021, 10046/2021, 10047/2021, 10048/2021, 10049/2021 у 10050/2021?</w:t>
      </w:r>
    </w:p>
    <w:p w:rsidR="001A4767" w:rsidRPr="00897F1E" w:rsidRDefault="001A4767">
      <w:pPr>
        <w:spacing w:line="276" w:lineRule="auto"/>
        <w:ind w:left="567" w:right="539"/>
        <w:jc w:val="both"/>
        <w:rPr>
          <w:rFonts w:ascii="Palatino Linotype" w:eastAsia="Palatino Linotype" w:hAnsi="Palatino Linotype" w:cs="Palatino Linotype"/>
          <w:i/>
          <w:color w:val="0D0D0D"/>
          <w:sz w:val="22"/>
          <w:szCs w:val="22"/>
        </w:rPr>
      </w:pPr>
    </w:p>
    <w:p w:rsidR="001A4767" w:rsidRPr="00897F1E" w:rsidRDefault="00384B6A">
      <w:pPr>
        <w:spacing w:line="276" w:lineRule="auto"/>
        <w:ind w:left="567" w:right="539"/>
        <w:jc w:val="both"/>
        <w:rPr>
          <w:rFonts w:ascii="Palatino Linotype" w:eastAsia="Palatino Linotype" w:hAnsi="Palatino Linotype" w:cs="Palatino Linotype"/>
          <w:i/>
          <w:color w:val="0D0D0D"/>
          <w:sz w:val="22"/>
          <w:szCs w:val="22"/>
        </w:rPr>
      </w:pPr>
      <w:r w:rsidRPr="00897F1E">
        <w:rPr>
          <w:rFonts w:ascii="Palatino Linotype" w:eastAsia="Palatino Linotype" w:hAnsi="Palatino Linotype" w:cs="Palatino Linotype"/>
          <w:i/>
          <w:color w:val="0D0D0D"/>
          <w:sz w:val="22"/>
          <w:szCs w:val="22"/>
        </w:rPr>
        <w:t xml:space="preserve">Los sellos de clausura los impone esta </w:t>
      </w:r>
      <w:proofErr w:type="spellStart"/>
      <w:r w:rsidRPr="00897F1E">
        <w:rPr>
          <w:rFonts w:ascii="Palatino Linotype" w:eastAsia="Palatino Linotype" w:hAnsi="Palatino Linotype" w:cs="Palatino Linotype"/>
          <w:i/>
          <w:color w:val="0D0D0D"/>
          <w:sz w:val="22"/>
          <w:szCs w:val="22"/>
        </w:rPr>
        <w:t>Procuraduria</w:t>
      </w:r>
      <w:proofErr w:type="spellEnd"/>
      <w:r w:rsidRPr="00897F1E">
        <w:rPr>
          <w:rFonts w:ascii="Palatino Linotype" w:eastAsia="Palatino Linotype" w:hAnsi="Palatino Linotype" w:cs="Palatino Linotype"/>
          <w:i/>
          <w:color w:val="0D0D0D"/>
          <w:sz w:val="22"/>
          <w:szCs w:val="22"/>
        </w:rPr>
        <w:t xml:space="preserve"> de Protección al Ambiente del Estado de México cuando existen daños graves a la preservación, restauración y protección del medio ambiente, alterando significativamente el ambiente original ocasionado por la actividad del ser humano, dañando considerablemente los recursos naturales con repercusiones peligrosas para los ecosistemas que indudablemente afectan a las personas y a los ecosistemas, quienes tienen derecho a gozar de un ambiente sano y adecuado para su desarrollo y bienestar, tal como lo prevé el artículo 4 de la Constitución Política de los Estados Unidos Mexicanos, y derivado de que en el predio sujeto a inspección se realizan actividades que pueden causar daños o deterioro graves a los recursos naturales, con repercusiones peligrosas para los ecosistemas y sus componentes, por lo que con fundamento en lo dispuesto por los artículos 2.67 fracción XX, 281, 2.130 fracciones I, VI Y VII, 2.133, 2.239, 2.241 fracción I, 2.277 fracción III, 2281 fracción I, 2.286 fracciones I y </w:t>
      </w:r>
      <w:proofErr w:type="spellStart"/>
      <w:r w:rsidRPr="00897F1E">
        <w:rPr>
          <w:rFonts w:ascii="Palatino Linotype" w:eastAsia="Palatino Linotype" w:hAnsi="Palatino Linotype" w:cs="Palatino Linotype"/>
          <w:i/>
          <w:color w:val="0D0D0D"/>
          <w:sz w:val="22"/>
          <w:szCs w:val="22"/>
        </w:rPr>
        <w:t>lI</w:t>
      </w:r>
      <w:proofErr w:type="spellEnd"/>
      <w:r w:rsidRPr="00897F1E">
        <w:rPr>
          <w:rFonts w:ascii="Palatino Linotype" w:eastAsia="Palatino Linotype" w:hAnsi="Palatino Linotype" w:cs="Palatino Linotype"/>
          <w:i/>
          <w:color w:val="0D0D0D"/>
          <w:sz w:val="22"/>
          <w:szCs w:val="22"/>
        </w:rPr>
        <w:t xml:space="preserve"> del Código para la Biodiversidad del Estado de México, se decretó como medida de seguridad la clausura temporal total de las actividades realizadas; esto, derivado de que al momento de practicarse la visita de inspección correspondiente, se observaron posibles infracciones a la normatividad ambiental, específicamente a lo relativo al Impacto Ambiental.</w:t>
      </w:r>
    </w:p>
    <w:p w:rsidR="001A4767" w:rsidRPr="00897F1E" w:rsidRDefault="001A4767">
      <w:pPr>
        <w:spacing w:line="276" w:lineRule="auto"/>
        <w:ind w:left="567" w:right="539"/>
        <w:jc w:val="both"/>
        <w:rPr>
          <w:rFonts w:ascii="Palatino Linotype" w:eastAsia="Palatino Linotype" w:hAnsi="Palatino Linotype" w:cs="Palatino Linotype"/>
          <w:i/>
          <w:color w:val="0D0D0D"/>
          <w:sz w:val="22"/>
          <w:szCs w:val="22"/>
        </w:rPr>
      </w:pPr>
    </w:p>
    <w:p w:rsidR="001A4767" w:rsidRPr="00897F1E" w:rsidRDefault="00384B6A">
      <w:pPr>
        <w:spacing w:line="276" w:lineRule="auto"/>
        <w:ind w:left="567" w:right="539"/>
        <w:jc w:val="both"/>
        <w:rPr>
          <w:rFonts w:ascii="Palatino Linotype" w:eastAsia="Palatino Linotype" w:hAnsi="Palatino Linotype" w:cs="Palatino Linotype"/>
          <w:b/>
          <w:i/>
          <w:color w:val="0D0D0D"/>
          <w:sz w:val="22"/>
          <w:szCs w:val="22"/>
        </w:rPr>
      </w:pPr>
      <w:r w:rsidRPr="00897F1E">
        <w:rPr>
          <w:rFonts w:ascii="Palatino Linotype" w:eastAsia="Palatino Linotype" w:hAnsi="Palatino Linotype" w:cs="Palatino Linotype"/>
          <w:b/>
          <w:i/>
          <w:color w:val="0D0D0D"/>
          <w:sz w:val="22"/>
          <w:szCs w:val="22"/>
        </w:rPr>
        <w:t>k) ¿El expediente reservado se relaciona con actos de corrupción y/o alguna excepción prevista en el artículo 142 de la Ley de Transparencia y Acceso a la Información Pública del Estado de México y Municipios?</w:t>
      </w:r>
    </w:p>
    <w:p w:rsidR="001A4767" w:rsidRPr="00897F1E" w:rsidRDefault="001A4767">
      <w:pPr>
        <w:spacing w:line="276" w:lineRule="auto"/>
        <w:ind w:left="567" w:right="539"/>
        <w:jc w:val="both"/>
        <w:rPr>
          <w:rFonts w:ascii="Palatino Linotype" w:eastAsia="Palatino Linotype" w:hAnsi="Palatino Linotype" w:cs="Palatino Linotype"/>
          <w:i/>
          <w:color w:val="0D0D0D"/>
          <w:sz w:val="22"/>
          <w:szCs w:val="22"/>
        </w:rPr>
      </w:pPr>
    </w:p>
    <w:p w:rsidR="001A4767" w:rsidRPr="00897F1E" w:rsidRDefault="00384B6A">
      <w:pPr>
        <w:spacing w:line="276" w:lineRule="auto"/>
        <w:ind w:left="567" w:right="539"/>
        <w:jc w:val="both"/>
        <w:rPr>
          <w:rFonts w:ascii="Palatino Linotype" w:eastAsia="Palatino Linotype" w:hAnsi="Palatino Linotype" w:cs="Palatino Linotype"/>
          <w:i/>
          <w:color w:val="0D0D0D"/>
          <w:sz w:val="22"/>
          <w:szCs w:val="22"/>
        </w:rPr>
      </w:pPr>
      <w:r w:rsidRPr="00897F1E">
        <w:rPr>
          <w:rFonts w:ascii="Palatino Linotype" w:eastAsia="Palatino Linotype" w:hAnsi="Palatino Linotype" w:cs="Palatino Linotype"/>
          <w:i/>
          <w:color w:val="0D0D0D"/>
          <w:sz w:val="22"/>
          <w:szCs w:val="22"/>
        </w:rPr>
        <w:t>Primeramente, respecto a la interrogante consistente en que si el expediente reservado se relaciona con actos de corrupción, se hace de su conocimiento que dicha atribución no se encuentra conferida a esta Procuraduría de Protección al Ambiente del Estado de México, de conformidad con el artículo 4 del Decreto del Ejecutivo del</w:t>
      </w:r>
    </w:p>
    <w:p w:rsidR="001A4767" w:rsidRPr="00897F1E" w:rsidRDefault="001A4767">
      <w:pPr>
        <w:spacing w:line="276" w:lineRule="auto"/>
        <w:ind w:left="567" w:right="539"/>
        <w:jc w:val="both"/>
        <w:rPr>
          <w:rFonts w:ascii="Palatino Linotype" w:eastAsia="Palatino Linotype" w:hAnsi="Palatino Linotype" w:cs="Palatino Linotype"/>
          <w:i/>
          <w:color w:val="0D0D0D"/>
          <w:sz w:val="22"/>
          <w:szCs w:val="22"/>
        </w:rPr>
      </w:pPr>
    </w:p>
    <w:p w:rsidR="001A4767" w:rsidRPr="00897F1E" w:rsidRDefault="00384B6A">
      <w:pPr>
        <w:spacing w:line="276" w:lineRule="auto"/>
        <w:ind w:left="567" w:right="539"/>
        <w:jc w:val="both"/>
        <w:rPr>
          <w:rFonts w:ascii="Palatino Linotype" w:eastAsia="Palatino Linotype" w:hAnsi="Palatino Linotype" w:cs="Palatino Linotype"/>
          <w:i/>
          <w:color w:val="0D0D0D"/>
          <w:sz w:val="22"/>
          <w:szCs w:val="22"/>
        </w:rPr>
      </w:pPr>
      <w:r w:rsidRPr="00897F1E">
        <w:rPr>
          <w:rFonts w:ascii="Palatino Linotype" w:eastAsia="Palatino Linotype" w:hAnsi="Palatino Linotype" w:cs="Palatino Linotype"/>
          <w:i/>
          <w:color w:val="0D0D0D"/>
          <w:sz w:val="22"/>
          <w:szCs w:val="22"/>
        </w:rPr>
        <w:lastRenderedPageBreak/>
        <w:t xml:space="preserve">Estado por el que se transforma el Órgano Desconcentrado denominado Procuraduría de Protección al Ambiente del Estado de México, en Organismo Público Descentralizado, publicado en el Periódico Oficial "Gaceta del Gobierno" el 7 de diciembre de 2007, así como en el Decreto del Ejecutivo del Estadio por el que se reforma el diverso por el que se transforma el </w:t>
      </w:r>
      <w:proofErr w:type="spellStart"/>
      <w:r w:rsidRPr="00897F1E">
        <w:rPr>
          <w:rFonts w:ascii="Palatino Linotype" w:eastAsia="Palatino Linotype" w:hAnsi="Palatino Linotype" w:cs="Palatino Linotype"/>
          <w:i/>
          <w:color w:val="0D0D0D"/>
          <w:sz w:val="22"/>
          <w:szCs w:val="22"/>
        </w:rPr>
        <w:t>Organio</w:t>
      </w:r>
      <w:proofErr w:type="spellEnd"/>
      <w:r w:rsidRPr="00897F1E">
        <w:rPr>
          <w:rFonts w:ascii="Palatino Linotype" w:eastAsia="Palatino Linotype" w:hAnsi="Palatino Linotype" w:cs="Palatino Linotype"/>
          <w:i/>
          <w:color w:val="0D0D0D"/>
          <w:sz w:val="22"/>
          <w:szCs w:val="22"/>
        </w:rPr>
        <w:t xml:space="preserve"> Desconcentrado denominado Procuraduría de Protección al Ambiente del Estado de México, en Organismo Público Descentralizado, publicado en el Periódico Oficial "Gaceta del Gobierno" el 16 de diciembre de 201; por tal motivo no es posible atender su requerimiento en los términos solicitados</w:t>
      </w:r>
    </w:p>
    <w:p w:rsidR="001A4767" w:rsidRPr="00897F1E" w:rsidRDefault="001A4767">
      <w:pPr>
        <w:spacing w:line="276" w:lineRule="auto"/>
        <w:ind w:left="567" w:right="539"/>
        <w:jc w:val="both"/>
        <w:rPr>
          <w:rFonts w:ascii="Palatino Linotype" w:eastAsia="Palatino Linotype" w:hAnsi="Palatino Linotype" w:cs="Palatino Linotype"/>
          <w:i/>
          <w:color w:val="0D0D0D"/>
          <w:sz w:val="22"/>
          <w:szCs w:val="22"/>
        </w:rPr>
      </w:pPr>
    </w:p>
    <w:p w:rsidR="001A4767" w:rsidRPr="00897F1E" w:rsidRDefault="00384B6A">
      <w:pPr>
        <w:spacing w:line="276" w:lineRule="auto"/>
        <w:ind w:left="567" w:right="539"/>
        <w:jc w:val="both"/>
        <w:rPr>
          <w:rFonts w:ascii="Palatino Linotype" w:eastAsia="Palatino Linotype" w:hAnsi="Palatino Linotype" w:cs="Palatino Linotype"/>
          <w:i/>
          <w:color w:val="0D0D0D"/>
          <w:sz w:val="22"/>
          <w:szCs w:val="22"/>
        </w:rPr>
      </w:pPr>
      <w:r w:rsidRPr="00897F1E">
        <w:rPr>
          <w:rFonts w:ascii="Palatino Linotype" w:eastAsia="Palatino Linotype" w:hAnsi="Palatino Linotype" w:cs="Palatino Linotype"/>
          <w:i/>
          <w:color w:val="0D0D0D"/>
          <w:sz w:val="22"/>
          <w:szCs w:val="22"/>
        </w:rPr>
        <w:t xml:space="preserve">Ahora bien, por lo que respecta a su interrogante consistente en que si el expediente reservado se encuentra en alguna excepción prevista en el artículo 142 de la Ley de Trasparencia vigente en la Entidad; al respecto, hago de su conocimiento que el procedimiento administrativo PROPAEM-2021-07/M/0466, no se encuentra en alguna de las excepciones del artículo 142 de la Ley de Transparencia y Acceso a la Información Pública del Estado de México y Municipios, análisis que fue practicado por el Comité de Transparencia de esta </w:t>
      </w:r>
      <w:proofErr w:type="spellStart"/>
      <w:r w:rsidRPr="00897F1E">
        <w:rPr>
          <w:rFonts w:ascii="Palatino Linotype" w:eastAsia="Palatino Linotype" w:hAnsi="Palatino Linotype" w:cs="Palatino Linotype"/>
          <w:i/>
          <w:color w:val="0D0D0D"/>
          <w:sz w:val="22"/>
          <w:szCs w:val="22"/>
        </w:rPr>
        <w:t>Procuraduria</w:t>
      </w:r>
      <w:proofErr w:type="spellEnd"/>
      <w:r w:rsidRPr="00897F1E">
        <w:rPr>
          <w:rFonts w:ascii="Palatino Linotype" w:eastAsia="Palatino Linotype" w:hAnsi="Palatino Linotype" w:cs="Palatino Linotype"/>
          <w:i/>
          <w:color w:val="0D0D0D"/>
          <w:sz w:val="22"/>
          <w:szCs w:val="22"/>
        </w:rPr>
        <w:t xml:space="preserve"> de Protección al Ambiente del Estado de México, al momento de confirmar la reserva del mismo, ya que no corresponde a actos de corrupción, violaciones graves de derechos humanos, lesa humanidad, y/o alguna otra de las previstas por dicho artículo.</w:t>
      </w:r>
    </w:p>
    <w:p w:rsidR="001A4767" w:rsidRPr="00897F1E" w:rsidRDefault="001A4767">
      <w:pPr>
        <w:spacing w:line="276" w:lineRule="auto"/>
        <w:ind w:left="567" w:right="539"/>
        <w:jc w:val="both"/>
        <w:rPr>
          <w:rFonts w:ascii="Palatino Linotype" w:eastAsia="Palatino Linotype" w:hAnsi="Palatino Linotype" w:cs="Palatino Linotype"/>
          <w:i/>
          <w:color w:val="0D0D0D"/>
          <w:sz w:val="22"/>
          <w:szCs w:val="22"/>
        </w:rPr>
      </w:pPr>
    </w:p>
    <w:p w:rsidR="001A4767" w:rsidRPr="00897F1E" w:rsidRDefault="00384B6A">
      <w:pPr>
        <w:spacing w:line="276" w:lineRule="auto"/>
        <w:ind w:left="567" w:right="539"/>
        <w:jc w:val="both"/>
        <w:rPr>
          <w:rFonts w:ascii="Palatino Linotype" w:eastAsia="Palatino Linotype" w:hAnsi="Palatino Linotype" w:cs="Palatino Linotype"/>
          <w:i/>
          <w:color w:val="0D0D0D"/>
          <w:sz w:val="22"/>
          <w:szCs w:val="22"/>
        </w:rPr>
      </w:pPr>
      <w:r w:rsidRPr="00897F1E">
        <w:rPr>
          <w:rFonts w:ascii="Palatino Linotype" w:eastAsia="Palatino Linotype" w:hAnsi="Palatino Linotype" w:cs="Palatino Linotype"/>
          <w:i/>
          <w:color w:val="0D0D0D"/>
          <w:sz w:val="22"/>
          <w:szCs w:val="22"/>
        </w:rPr>
        <w:t>Por último y de manera respetuosa, con la finalidad de que el Órgano Garante pueda constatar la información requerida y el status en que se encuentra, se pone a su disposición el expediente de referencia, a efecto de que reúna los elementos necesarios para emitir la resolución que en derecho corresponda y constate el dicho de este Sujeto Obligado dicha información deberá ser mantenida con el carácter de reservada y no deberá estar disponible en el expediente, ya que no se trata de una desclasificación ni de violaciones graves a derechos humanos o delitos de lesa humanidad, de conformidad con el derecho nacional y los tratados internacionales de los que el Estado mexicano sea parte: lo anterior, de conformidad con lo dispuesto en los artículos 182 y 183 de la Ley de Transparencia y Acceso a la Información Pública del Estado de México y Municipios.</w:t>
      </w:r>
    </w:p>
    <w:p w:rsidR="001A4767" w:rsidRPr="00897F1E" w:rsidRDefault="001A4767">
      <w:pPr>
        <w:spacing w:line="360" w:lineRule="auto"/>
        <w:jc w:val="both"/>
        <w:rPr>
          <w:rFonts w:ascii="Palatino Linotype" w:eastAsia="Palatino Linotype" w:hAnsi="Palatino Linotype" w:cs="Palatino Linotype"/>
          <w:b/>
          <w:color w:val="0D0D0D"/>
          <w:sz w:val="24"/>
          <w:szCs w:val="24"/>
        </w:rPr>
      </w:pPr>
    </w:p>
    <w:p w:rsidR="001A4767" w:rsidRPr="00897F1E" w:rsidRDefault="00384B6A">
      <w:pPr>
        <w:spacing w:line="360" w:lineRule="auto"/>
        <w:jc w:val="both"/>
        <w:rPr>
          <w:rFonts w:ascii="Palatino Linotype" w:eastAsia="Palatino Linotype" w:hAnsi="Palatino Linotype" w:cs="Palatino Linotype"/>
          <w:color w:val="0D0D0D"/>
          <w:sz w:val="24"/>
          <w:szCs w:val="24"/>
        </w:rPr>
      </w:pPr>
      <w:r w:rsidRPr="00897F1E">
        <w:rPr>
          <w:rFonts w:ascii="Palatino Linotype" w:eastAsia="Palatino Linotype" w:hAnsi="Palatino Linotype" w:cs="Palatino Linotype"/>
          <w:b/>
          <w:color w:val="0D0D0D"/>
          <w:sz w:val="24"/>
          <w:szCs w:val="24"/>
        </w:rPr>
        <w:lastRenderedPageBreak/>
        <w:t>11. Cierre de instrucción.</w:t>
      </w:r>
      <w:r w:rsidRPr="00897F1E">
        <w:rPr>
          <w:rFonts w:ascii="Palatino Linotype" w:eastAsia="Palatino Linotype" w:hAnsi="Palatino Linotype" w:cs="Palatino Linotype"/>
          <w:color w:val="0D0D0D"/>
          <w:sz w:val="24"/>
          <w:szCs w:val="24"/>
        </w:rPr>
        <w:t xml:space="preserve"> El </w:t>
      </w:r>
      <w:r w:rsidRPr="00897F1E">
        <w:rPr>
          <w:rFonts w:ascii="Palatino Linotype" w:eastAsia="Palatino Linotype" w:hAnsi="Palatino Linotype" w:cs="Palatino Linotype"/>
          <w:b/>
          <w:color w:val="0D0D0D"/>
          <w:sz w:val="24"/>
          <w:szCs w:val="24"/>
        </w:rPr>
        <w:t>veintiséis de septiembre de dos mil veintitrés</w:t>
      </w:r>
      <w:r w:rsidRPr="00897F1E">
        <w:rPr>
          <w:rFonts w:ascii="Palatino Linotype" w:eastAsia="Palatino Linotype" w:hAnsi="Palatino Linotype" w:cs="Palatino Linotype"/>
          <w:color w:val="0D0D0D"/>
          <w:sz w:val="24"/>
          <w:szCs w:val="24"/>
        </w:rPr>
        <w:t xml:space="preserve">, </w:t>
      </w:r>
      <w:r w:rsidRPr="00897F1E">
        <w:rPr>
          <w:rFonts w:ascii="Palatino Linotype" w:eastAsia="Palatino Linotype" w:hAnsi="Palatino Linotype" w:cs="Palatino Linotype"/>
          <w:color w:val="000000"/>
          <w:sz w:val="24"/>
          <w:szCs w:val="24"/>
        </w:rPr>
        <w:t>la Comisionada Ponente determinó el cierre de instrucción en términos de la fracción VI del artículo 185 de la Ley de Transparencia y Acceso a la Información Pública del Estado de México y Municipios.</w:t>
      </w:r>
    </w:p>
    <w:p w:rsidR="001A4767" w:rsidRPr="00897F1E" w:rsidRDefault="001A4767">
      <w:pPr>
        <w:spacing w:line="360" w:lineRule="auto"/>
        <w:jc w:val="both"/>
        <w:rPr>
          <w:rFonts w:ascii="Palatino Linotype" w:eastAsia="Palatino Linotype" w:hAnsi="Palatino Linotype" w:cs="Palatino Linotype"/>
          <w:color w:val="0D0D0D"/>
          <w:sz w:val="24"/>
          <w:szCs w:val="24"/>
        </w:rPr>
      </w:pPr>
    </w:p>
    <w:p w:rsidR="001A4767" w:rsidRPr="00897F1E" w:rsidRDefault="00384B6A">
      <w:pPr>
        <w:spacing w:line="360" w:lineRule="auto"/>
        <w:jc w:val="both"/>
        <w:rPr>
          <w:rFonts w:ascii="Palatino Linotype" w:eastAsia="Palatino Linotype" w:hAnsi="Palatino Linotype" w:cs="Palatino Linotype"/>
          <w:color w:val="0D0D0D"/>
          <w:sz w:val="24"/>
          <w:szCs w:val="24"/>
        </w:rPr>
      </w:pPr>
      <w:r w:rsidRPr="00897F1E">
        <w:rPr>
          <w:rFonts w:ascii="Palatino Linotype" w:eastAsia="Palatino Linotype" w:hAnsi="Palatino Linotype" w:cs="Palatino Linotype"/>
          <w:color w:val="0D0D0D"/>
          <w:sz w:val="24"/>
          <w:szCs w:val="24"/>
        </w:rPr>
        <w:t xml:space="preserve">En razón de que fue debidamente sustanciado el expediente electrónico y no existe diligencia pendiente de desahogo, se emite la resolución que conforme a Derecho proceda, de acuerdo a los siguientes: </w:t>
      </w:r>
    </w:p>
    <w:p w:rsidR="001A4767" w:rsidRPr="00897F1E" w:rsidRDefault="001A4767">
      <w:pPr>
        <w:spacing w:line="360" w:lineRule="auto"/>
        <w:jc w:val="center"/>
        <w:rPr>
          <w:rFonts w:ascii="Palatino Linotype" w:eastAsia="Palatino Linotype" w:hAnsi="Palatino Linotype" w:cs="Palatino Linotype"/>
          <w:b/>
          <w:color w:val="0D0D0D"/>
          <w:sz w:val="24"/>
          <w:szCs w:val="24"/>
        </w:rPr>
      </w:pPr>
    </w:p>
    <w:p w:rsidR="001A4767" w:rsidRPr="00897F1E" w:rsidRDefault="00384B6A">
      <w:pPr>
        <w:spacing w:line="360" w:lineRule="auto"/>
        <w:jc w:val="center"/>
        <w:rPr>
          <w:rFonts w:ascii="Palatino Linotype" w:eastAsia="Palatino Linotype" w:hAnsi="Palatino Linotype" w:cs="Palatino Linotype"/>
          <w:b/>
          <w:color w:val="0D0D0D"/>
          <w:sz w:val="24"/>
          <w:szCs w:val="24"/>
        </w:rPr>
      </w:pPr>
      <w:r w:rsidRPr="00897F1E">
        <w:rPr>
          <w:rFonts w:ascii="Palatino Linotype" w:eastAsia="Palatino Linotype" w:hAnsi="Palatino Linotype" w:cs="Palatino Linotype"/>
          <w:b/>
          <w:color w:val="0D0D0D"/>
          <w:sz w:val="24"/>
          <w:szCs w:val="24"/>
        </w:rPr>
        <w:t>CONSIDERANDOS:</w:t>
      </w:r>
    </w:p>
    <w:p w:rsidR="001A4767" w:rsidRPr="00897F1E" w:rsidRDefault="001A4767">
      <w:pPr>
        <w:spacing w:line="360" w:lineRule="auto"/>
        <w:jc w:val="both"/>
        <w:rPr>
          <w:rFonts w:ascii="Palatino Linotype" w:eastAsia="Palatino Linotype" w:hAnsi="Palatino Linotype" w:cs="Palatino Linotype"/>
          <w:b/>
          <w:color w:val="0D0D0D"/>
          <w:sz w:val="24"/>
          <w:szCs w:val="24"/>
        </w:rPr>
      </w:pPr>
    </w:p>
    <w:p w:rsidR="001A4767" w:rsidRPr="00897F1E" w:rsidRDefault="00384B6A">
      <w:pPr>
        <w:spacing w:line="360" w:lineRule="auto"/>
        <w:jc w:val="both"/>
        <w:rPr>
          <w:rFonts w:ascii="Palatino Linotype" w:eastAsia="Palatino Linotype" w:hAnsi="Palatino Linotype" w:cs="Palatino Linotype"/>
          <w:b/>
          <w:color w:val="0D0D0D"/>
          <w:sz w:val="24"/>
          <w:szCs w:val="24"/>
        </w:rPr>
      </w:pPr>
      <w:r w:rsidRPr="00897F1E">
        <w:rPr>
          <w:rFonts w:ascii="Palatino Linotype" w:eastAsia="Palatino Linotype" w:hAnsi="Palatino Linotype" w:cs="Palatino Linotype"/>
          <w:b/>
          <w:color w:val="0D0D0D"/>
          <w:sz w:val="24"/>
          <w:szCs w:val="24"/>
        </w:rPr>
        <w:t>PRIMERO</w:t>
      </w:r>
      <w:r w:rsidRPr="00897F1E">
        <w:rPr>
          <w:rFonts w:ascii="Palatino Linotype" w:eastAsia="Palatino Linotype" w:hAnsi="Palatino Linotype" w:cs="Palatino Linotype"/>
          <w:color w:val="0D0D0D"/>
          <w:sz w:val="24"/>
          <w:szCs w:val="24"/>
        </w:rPr>
        <w:t xml:space="preserve">. </w:t>
      </w:r>
      <w:r w:rsidRPr="00897F1E">
        <w:rPr>
          <w:rFonts w:ascii="Palatino Linotype" w:eastAsia="Palatino Linotype" w:hAnsi="Palatino Linotype" w:cs="Palatino Linotype"/>
          <w:b/>
          <w:color w:val="0D0D0D"/>
          <w:sz w:val="24"/>
          <w:szCs w:val="24"/>
        </w:rPr>
        <w:t xml:space="preserve">Competencia. </w:t>
      </w:r>
      <w:r w:rsidRPr="00897F1E">
        <w:rPr>
          <w:rFonts w:ascii="Palatino Linotype" w:eastAsia="Palatino Linotype" w:hAnsi="Palatino Linotype" w:cs="Palatino Linotype"/>
          <w:color w:val="0D0D0D"/>
          <w:sz w:val="24"/>
          <w:szCs w:val="24"/>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XXIV y 11 del Reglamento Interior </w:t>
      </w:r>
      <w:r w:rsidRPr="00897F1E">
        <w:rPr>
          <w:rFonts w:ascii="Palatino Linotype" w:eastAsia="Palatino Linotype" w:hAnsi="Palatino Linotype" w:cs="Palatino Linotype"/>
          <w:color w:val="0D0D0D"/>
          <w:sz w:val="24"/>
          <w:szCs w:val="24"/>
        </w:rPr>
        <w:lastRenderedPageBreak/>
        <w:t>del Instituto de Transparencia, Acceso a la Información Pública y Protección de Datos Personales del Estado de México y Municipios.</w:t>
      </w:r>
    </w:p>
    <w:p w:rsidR="001A4767" w:rsidRPr="00897F1E" w:rsidRDefault="00384B6A">
      <w:pPr>
        <w:spacing w:line="360" w:lineRule="auto"/>
        <w:jc w:val="both"/>
        <w:rPr>
          <w:rFonts w:ascii="Palatino Linotype" w:eastAsia="Palatino Linotype" w:hAnsi="Palatino Linotype" w:cs="Palatino Linotype"/>
          <w:sz w:val="24"/>
          <w:szCs w:val="24"/>
        </w:rPr>
      </w:pPr>
      <w:r w:rsidRPr="00897F1E">
        <w:rPr>
          <w:rFonts w:ascii="Palatino Linotype" w:eastAsia="Palatino Linotype" w:hAnsi="Palatino Linotype" w:cs="Palatino Linotype"/>
          <w:b/>
          <w:sz w:val="24"/>
          <w:szCs w:val="24"/>
        </w:rPr>
        <w:t xml:space="preserve">Segundo. Oportunidad y </w:t>
      </w:r>
      <w:proofErr w:type="spellStart"/>
      <w:r w:rsidRPr="00897F1E">
        <w:rPr>
          <w:rFonts w:ascii="Palatino Linotype" w:eastAsia="Palatino Linotype" w:hAnsi="Palatino Linotype" w:cs="Palatino Linotype"/>
          <w:b/>
          <w:sz w:val="24"/>
          <w:szCs w:val="24"/>
        </w:rPr>
        <w:t>Procedibilidad</w:t>
      </w:r>
      <w:proofErr w:type="spellEnd"/>
      <w:r w:rsidRPr="00897F1E">
        <w:rPr>
          <w:rFonts w:ascii="Palatino Linotype" w:eastAsia="Palatino Linotype" w:hAnsi="Palatino Linotype" w:cs="Palatino Linotype"/>
          <w:b/>
          <w:sz w:val="24"/>
          <w:szCs w:val="24"/>
        </w:rPr>
        <w:t xml:space="preserve"> del Recurso de Revisión</w:t>
      </w:r>
      <w:r w:rsidRPr="00897F1E">
        <w:rPr>
          <w:rFonts w:ascii="Palatino Linotype" w:eastAsia="Palatino Linotype" w:hAnsi="Palatino Linotype" w:cs="Palatino Linotype"/>
          <w:sz w:val="24"/>
          <w:szCs w:val="24"/>
        </w:rPr>
        <w:t xml:space="preserve">. Previo al estudio del fondo del asunto, se procede a analizar los requisitos de oportunidad y </w:t>
      </w:r>
      <w:proofErr w:type="spellStart"/>
      <w:r w:rsidRPr="00897F1E">
        <w:rPr>
          <w:rFonts w:ascii="Palatino Linotype" w:eastAsia="Palatino Linotype" w:hAnsi="Palatino Linotype" w:cs="Palatino Linotype"/>
          <w:sz w:val="24"/>
          <w:szCs w:val="24"/>
        </w:rPr>
        <w:t>procedibilidad</w:t>
      </w:r>
      <w:proofErr w:type="spellEnd"/>
      <w:r w:rsidRPr="00897F1E">
        <w:rPr>
          <w:rFonts w:ascii="Palatino Linotype" w:eastAsia="Palatino Linotype" w:hAnsi="Palatino Linotype" w:cs="Palatino Linotype"/>
          <w:sz w:val="24"/>
          <w:szCs w:val="24"/>
        </w:rPr>
        <w:t xml:space="preserve"> que debe reunir el recurso de revisión interpuesto, previstos en los artículos 178 y 180 de la Ley de Transparencia y Acceso a la Información Pública del Estado de México y Municipios.</w:t>
      </w:r>
    </w:p>
    <w:p w:rsidR="001A4767" w:rsidRPr="00897F1E" w:rsidRDefault="001A4767">
      <w:pPr>
        <w:spacing w:line="360" w:lineRule="auto"/>
        <w:jc w:val="both"/>
        <w:rPr>
          <w:rFonts w:ascii="Palatino Linotype" w:eastAsia="Palatino Linotype" w:hAnsi="Palatino Linotype" w:cs="Palatino Linotype"/>
          <w:sz w:val="24"/>
          <w:szCs w:val="24"/>
        </w:rPr>
      </w:pPr>
    </w:p>
    <w:p w:rsidR="001A4767" w:rsidRPr="00897F1E" w:rsidRDefault="00384B6A">
      <w:pPr>
        <w:spacing w:line="360" w:lineRule="auto"/>
        <w:ind w:right="49"/>
        <w:jc w:val="both"/>
        <w:rPr>
          <w:rFonts w:ascii="Palatino Linotype" w:eastAsia="Palatino Linotype" w:hAnsi="Palatino Linotype" w:cs="Palatino Linotype"/>
          <w:sz w:val="24"/>
          <w:szCs w:val="24"/>
        </w:rPr>
      </w:pPr>
      <w:r w:rsidRPr="00897F1E">
        <w:rPr>
          <w:rFonts w:ascii="Palatino Linotype" w:eastAsia="Palatino Linotype" w:hAnsi="Palatino Linotype" w:cs="Palatino Linotype"/>
          <w:sz w:val="24"/>
          <w:szCs w:val="24"/>
        </w:rPr>
        <w:t xml:space="preserve">El recurso de revisión fue interpuesto dentro del plazo de quince días hábiles, previsto en el artículo 178 de la Ley de Transparencia y Acceso a la Información Pública del Estado de México y Municipios, ya que el </w:t>
      </w:r>
      <w:r w:rsidRPr="00897F1E">
        <w:rPr>
          <w:rFonts w:ascii="Palatino Linotype" w:eastAsia="Palatino Linotype" w:hAnsi="Palatino Linotype" w:cs="Palatino Linotype"/>
          <w:b/>
          <w:sz w:val="24"/>
          <w:szCs w:val="24"/>
        </w:rPr>
        <w:t>Sujeto Obligado</w:t>
      </w:r>
      <w:r w:rsidRPr="00897F1E">
        <w:rPr>
          <w:rFonts w:ascii="Palatino Linotype" w:eastAsia="Palatino Linotype" w:hAnsi="Palatino Linotype" w:cs="Palatino Linotype"/>
          <w:sz w:val="24"/>
          <w:szCs w:val="24"/>
        </w:rPr>
        <w:t xml:space="preserve"> proporcionó su respuesta a la solicitud de información el </w:t>
      </w:r>
      <w:r w:rsidRPr="00897F1E">
        <w:rPr>
          <w:rFonts w:ascii="Palatino Linotype" w:eastAsia="Palatino Linotype" w:hAnsi="Palatino Linotype" w:cs="Palatino Linotype"/>
          <w:b/>
          <w:sz w:val="24"/>
          <w:szCs w:val="24"/>
        </w:rPr>
        <w:t>catorce de julio de dos mil veintidós</w:t>
      </w:r>
      <w:r w:rsidRPr="00897F1E">
        <w:rPr>
          <w:rFonts w:ascii="Palatino Linotype" w:eastAsia="Palatino Linotype" w:hAnsi="Palatino Linotype" w:cs="Palatino Linotype"/>
          <w:sz w:val="24"/>
          <w:szCs w:val="24"/>
        </w:rPr>
        <w:t xml:space="preserve">, y la parte </w:t>
      </w:r>
      <w:r w:rsidRPr="00897F1E">
        <w:rPr>
          <w:rFonts w:ascii="Palatino Linotype" w:eastAsia="Palatino Linotype" w:hAnsi="Palatino Linotype" w:cs="Palatino Linotype"/>
          <w:b/>
          <w:sz w:val="24"/>
          <w:szCs w:val="24"/>
        </w:rPr>
        <w:t xml:space="preserve">Recurrente </w:t>
      </w:r>
      <w:r w:rsidRPr="00897F1E">
        <w:rPr>
          <w:rFonts w:ascii="Palatino Linotype" w:eastAsia="Palatino Linotype" w:hAnsi="Palatino Linotype" w:cs="Palatino Linotype"/>
          <w:sz w:val="24"/>
          <w:szCs w:val="24"/>
        </w:rPr>
        <w:t xml:space="preserve">presentó su Recurso de Revisión el </w:t>
      </w:r>
      <w:r w:rsidRPr="00897F1E">
        <w:rPr>
          <w:rFonts w:ascii="Palatino Linotype" w:eastAsia="Palatino Linotype" w:hAnsi="Palatino Linotype" w:cs="Palatino Linotype"/>
          <w:b/>
          <w:sz w:val="24"/>
          <w:szCs w:val="24"/>
        </w:rPr>
        <w:t>diecisiete de agosto de dos mil veintidós</w:t>
      </w:r>
      <w:r w:rsidRPr="00897F1E">
        <w:rPr>
          <w:rFonts w:ascii="Palatino Linotype" w:eastAsia="Palatino Linotype" w:hAnsi="Palatino Linotype" w:cs="Palatino Linotype"/>
          <w:sz w:val="24"/>
          <w:szCs w:val="24"/>
        </w:rPr>
        <w:t xml:space="preserve">, esto es, al décimo quinto día en que tuvo conocimiento de la respuesta.  </w:t>
      </w:r>
    </w:p>
    <w:p w:rsidR="001A4767" w:rsidRPr="00897F1E" w:rsidRDefault="001A4767">
      <w:pPr>
        <w:spacing w:line="360" w:lineRule="auto"/>
        <w:ind w:right="49"/>
        <w:jc w:val="both"/>
        <w:rPr>
          <w:rFonts w:ascii="Palatino Linotype" w:eastAsia="Palatino Linotype" w:hAnsi="Palatino Linotype" w:cs="Palatino Linotype"/>
          <w:sz w:val="24"/>
          <w:szCs w:val="24"/>
        </w:rPr>
      </w:pPr>
    </w:p>
    <w:p w:rsidR="001A4767" w:rsidRPr="00897F1E" w:rsidRDefault="00384B6A">
      <w:pPr>
        <w:spacing w:line="360" w:lineRule="auto"/>
        <w:jc w:val="both"/>
        <w:rPr>
          <w:rFonts w:ascii="Palatino Linotype" w:eastAsia="Palatino Linotype" w:hAnsi="Palatino Linotype" w:cs="Palatino Linotype"/>
          <w:color w:val="000000"/>
          <w:sz w:val="24"/>
          <w:szCs w:val="24"/>
        </w:rPr>
      </w:pPr>
      <w:r w:rsidRPr="00897F1E">
        <w:rPr>
          <w:rFonts w:ascii="Palatino Linotype" w:eastAsia="Palatino Linotype" w:hAnsi="Palatino Linotype" w:cs="Palatino Linotype"/>
          <w:color w:val="000000"/>
          <w:sz w:val="24"/>
          <w:szCs w:val="24"/>
        </w:rPr>
        <w:t>Al mismo tiempo, tras la revisión del formato de interposición del recurso, se concluye en la acreditación plena de todos y cada uno de los elementos formales exigidos por el artículo 180 de la Ley de Transparencia y Acceso a la Información Pública del Estado de México y Municipios, toda vez que fue ingresado a través del SAIMEX.</w:t>
      </w:r>
    </w:p>
    <w:p w:rsidR="001A4767" w:rsidRPr="00897F1E" w:rsidRDefault="001A4767">
      <w:pPr>
        <w:spacing w:line="360" w:lineRule="auto"/>
        <w:jc w:val="both"/>
        <w:rPr>
          <w:rFonts w:ascii="Palatino Linotype" w:eastAsia="Palatino Linotype" w:hAnsi="Palatino Linotype" w:cs="Palatino Linotype"/>
          <w:color w:val="000000"/>
          <w:sz w:val="24"/>
          <w:szCs w:val="24"/>
        </w:rPr>
      </w:pPr>
    </w:p>
    <w:p w:rsidR="001A4767" w:rsidRPr="00897F1E" w:rsidRDefault="00384B6A">
      <w:pPr>
        <w:spacing w:line="360" w:lineRule="auto"/>
        <w:jc w:val="both"/>
        <w:rPr>
          <w:rFonts w:ascii="Palatino Linotype" w:eastAsia="Palatino Linotype" w:hAnsi="Palatino Linotype" w:cs="Palatino Linotype"/>
          <w:sz w:val="24"/>
          <w:szCs w:val="24"/>
        </w:rPr>
      </w:pPr>
      <w:r w:rsidRPr="00897F1E">
        <w:rPr>
          <w:rFonts w:ascii="Palatino Linotype" w:eastAsia="Palatino Linotype" w:hAnsi="Palatino Linotype" w:cs="Palatino Linotype"/>
          <w:sz w:val="24"/>
          <w:szCs w:val="24"/>
        </w:rPr>
        <w:t>Asimismo, resulta procedente la interposición del recurso de revisión al rubro anotado, toda vez que se actualiza las hipótesis previstas en el artículo 179, fracción II de la ley de la materia, que a la letra dice:</w:t>
      </w:r>
    </w:p>
    <w:p w:rsidR="001A4767" w:rsidRPr="00897F1E" w:rsidRDefault="001A4767">
      <w:pPr>
        <w:spacing w:line="360" w:lineRule="auto"/>
        <w:jc w:val="both"/>
        <w:rPr>
          <w:rFonts w:ascii="Palatino Linotype" w:eastAsia="Palatino Linotype" w:hAnsi="Palatino Linotype" w:cs="Palatino Linotype"/>
          <w:sz w:val="24"/>
          <w:szCs w:val="24"/>
        </w:rPr>
      </w:pPr>
    </w:p>
    <w:p w:rsidR="001A4767" w:rsidRPr="00897F1E" w:rsidRDefault="00384B6A">
      <w:pPr>
        <w:spacing w:line="276" w:lineRule="auto"/>
        <w:ind w:left="567" w:right="616"/>
        <w:jc w:val="both"/>
        <w:rPr>
          <w:rFonts w:ascii="Palatino Linotype" w:eastAsia="Palatino Linotype" w:hAnsi="Palatino Linotype" w:cs="Palatino Linotype"/>
          <w:i/>
          <w:sz w:val="22"/>
          <w:szCs w:val="22"/>
        </w:rPr>
      </w:pPr>
      <w:r w:rsidRPr="00897F1E">
        <w:rPr>
          <w:rFonts w:ascii="Palatino Linotype" w:eastAsia="Palatino Linotype" w:hAnsi="Palatino Linotype" w:cs="Palatino Linotype"/>
          <w:i/>
          <w:sz w:val="22"/>
          <w:szCs w:val="22"/>
        </w:rPr>
        <w:t>“</w:t>
      </w:r>
      <w:r w:rsidRPr="00897F1E">
        <w:rPr>
          <w:rFonts w:ascii="Palatino Linotype" w:eastAsia="Palatino Linotype" w:hAnsi="Palatino Linotype" w:cs="Palatino Linotype"/>
          <w:b/>
          <w:i/>
          <w:sz w:val="22"/>
          <w:szCs w:val="22"/>
        </w:rPr>
        <w:t xml:space="preserve">Artículo 179. </w:t>
      </w:r>
      <w:r w:rsidRPr="00897F1E">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rsidR="001A4767" w:rsidRPr="00897F1E" w:rsidRDefault="00384B6A">
      <w:pPr>
        <w:spacing w:line="276" w:lineRule="auto"/>
        <w:ind w:left="567" w:right="616"/>
        <w:jc w:val="both"/>
        <w:rPr>
          <w:rFonts w:ascii="Palatino Linotype" w:eastAsia="Palatino Linotype" w:hAnsi="Palatino Linotype" w:cs="Palatino Linotype"/>
          <w:i/>
          <w:sz w:val="22"/>
          <w:szCs w:val="22"/>
        </w:rPr>
      </w:pPr>
      <w:r w:rsidRPr="00897F1E">
        <w:rPr>
          <w:rFonts w:ascii="Palatino Linotype" w:eastAsia="Palatino Linotype" w:hAnsi="Palatino Linotype" w:cs="Palatino Linotype"/>
          <w:i/>
          <w:sz w:val="22"/>
          <w:szCs w:val="22"/>
        </w:rPr>
        <w:t>…</w:t>
      </w:r>
    </w:p>
    <w:p w:rsidR="001A4767" w:rsidRPr="00897F1E" w:rsidRDefault="00384B6A">
      <w:pPr>
        <w:tabs>
          <w:tab w:val="left" w:pos="709"/>
          <w:tab w:val="left" w:pos="851"/>
        </w:tabs>
        <w:spacing w:line="276" w:lineRule="auto"/>
        <w:ind w:left="567" w:right="616"/>
        <w:jc w:val="both"/>
        <w:rPr>
          <w:rFonts w:ascii="Palatino Linotype" w:eastAsia="Palatino Linotype" w:hAnsi="Palatino Linotype" w:cs="Palatino Linotype"/>
          <w:b/>
          <w:i/>
          <w:sz w:val="22"/>
          <w:szCs w:val="22"/>
        </w:rPr>
      </w:pPr>
      <w:r w:rsidRPr="00897F1E">
        <w:rPr>
          <w:rFonts w:ascii="Palatino Linotype" w:eastAsia="Palatino Linotype" w:hAnsi="Palatino Linotype" w:cs="Palatino Linotype"/>
          <w:b/>
          <w:i/>
          <w:sz w:val="22"/>
          <w:szCs w:val="22"/>
        </w:rPr>
        <w:t>II. La clasificación de la información</w:t>
      </w:r>
      <w:proofErr w:type="gramStart"/>
      <w:r w:rsidRPr="00897F1E">
        <w:rPr>
          <w:rFonts w:ascii="Palatino Linotype" w:eastAsia="Palatino Linotype" w:hAnsi="Palatino Linotype" w:cs="Palatino Linotype"/>
          <w:b/>
          <w:i/>
          <w:sz w:val="22"/>
          <w:szCs w:val="22"/>
        </w:rPr>
        <w:t xml:space="preserve">; </w:t>
      </w:r>
      <w:proofErr w:type="gramEnd"/>
      <w:r w:rsidRPr="00897F1E">
        <w:rPr>
          <w:rFonts w:ascii="Palatino Linotype" w:eastAsia="Palatino Linotype" w:hAnsi="Palatino Linotype" w:cs="Palatino Linotype"/>
          <w:b/>
          <w:i/>
          <w:sz w:val="22"/>
          <w:szCs w:val="22"/>
        </w:rPr>
        <w:br/>
      </w:r>
      <w:r w:rsidRPr="00897F1E">
        <w:rPr>
          <w:rFonts w:ascii="Palatino Linotype" w:eastAsia="Palatino Linotype" w:hAnsi="Palatino Linotype" w:cs="Palatino Linotype"/>
          <w:i/>
          <w:sz w:val="22"/>
          <w:szCs w:val="22"/>
        </w:rPr>
        <w:t xml:space="preserve">…” </w:t>
      </w:r>
    </w:p>
    <w:p w:rsidR="001A4767" w:rsidRPr="00897F1E" w:rsidRDefault="001A4767">
      <w:pPr>
        <w:spacing w:line="360" w:lineRule="auto"/>
        <w:ind w:left="1440" w:right="616" w:hanging="873"/>
        <w:jc w:val="both"/>
        <w:rPr>
          <w:rFonts w:ascii="Palatino Linotype" w:eastAsia="Palatino Linotype" w:hAnsi="Palatino Linotype" w:cs="Palatino Linotype"/>
          <w:i/>
          <w:sz w:val="24"/>
          <w:szCs w:val="24"/>
        </w:rPr>
      </w:pPr>
    </w:p>
    <w:p w:rsidR="001A4767" w:rsidRPr="00897F1E" w:rsidRDefault="00384B6A">
      <w:pPr>
        <w:spacing w:line="360" w:lineRule="auto"/>
        <w:jc w:val="both"/>
        <w:rPr>
          <w:rFonts w:ascii="Palatino Linotype" w:eastAsia="Palatino Linotype" w:hAnsi="Palatino Linotype" w:cs="Palatino Linotype"/>
          <w:sz w:val="24"/>
          <w:szCs w:val="24"/>
        </w:rPr>
      </w:pPr>
      <w:r w:rsidRPr="00897F1E">
        <w:rPr>
          <w:rFonts w:ascii="Palatino Linotype" w:eastAsia="Palatino Linotype" w:hAnsi="Palatino Linotype" w:cs="Palatino Linotype"/>
          <w:b/>
          <w:color w:val="000000"/>
          <w:sz w:val="24"/>
          <w:szCs w:val="24"/>
        </w:rPr>
        <w:t>Tercero. Materia de Revisión</w:t>
      </w:r>
      <w:r w:rsidRPr="00897F1E">
        <w:rPr>
          <w:rFonts w:ascii="Palatino Linotype" w:eastAsia="Palatino Linotype" w:hAnsi="Palatino Linotype" w:cs="Palatino Linotype"/>
          <w:color w:val="000000"/>
          <w:sz w:val="24"/>
          <w:szCs w:val="24"/>
        </w:rPr>
        <w:t xml:space="preserve">: </w:t>
      </w:r>
      <w:r w:rsidRPr="00897F1E">
        <w:rPr>
          <w:rFonts w:ascii="Palatino Linotype" w:eastAsia="Palatino Linotype" w:hAnsi="Palatino Linotype" w:cs="Palatino Linotype"/>
          <w:sz w:val="24"/>
          <w:szCs w:val="24"/>
        </w:rPr>
        <w:t xml:space="preserve">De las constancias que integran el expediente electrónico se advierte que el tema sobre el que este Instituto se pronunciará será: </w:t>
      </w:r>
      <w:r w:rsidRPr="00897F1E">
        <w:rPr>
          <w:rFonts w:ascii="Palatino Linotype" w:eastAsia="Palatino Linotype" w:hAnsi="Palatino Linotype" w:cs="Palatino Linotype"/>
          <w:b/>
          <w:sz w:val="24"/>
          <w:szCs w:val="24"/>
        </w:rPr>
        <w:t xml:space="preserve">verificar si la respuesta otorgada por el SUJETO OBLIGADO es adecuada y suficiente para satisfacer el derecho de acceso a la información pública </w:t>
      </w:r>
      <w:r w:rsidRPr="00897F1E">
        <w:rPr>
          <w:rFonts w:ascii="Palatino Linotype" w:eastAsia="Palatino Linotype" w:hAnsi="Palatino Linotype" w:cs="Palatino Linotype"/>
          <w:sz w:val="24"/>
          <w:szCs w:val="24"/>
        </w:rPr>
        <w:t xml:space="preserve">del </w:t>
      </w:r>
      <w:r w:rsidRPr="00897F1E">
        <w:rPr>
          <w:rFonts w:ascii="Palatino Linotype" w:eastAsia="Palatino Linotype" w:hAnsi="Palatino Linotype" w:cs="Palatino Linotype"/>
          <w:b/>
          <w:sz w:val="24"/>
          <w:szCs w:val="24"/>
        </w:rPr>
        <w:t>RECURRENTE</w:t>
      </w:r>
      <w:r w:rsidRPr="00897F1E">
        <w:rPr>
          <w:rFonts w:ascii="Palatino Linotype" w:eastAsia="Palatino Linotype" w:hAnsi="Palatino Linotype" w:cs="Palatino Linotype"/>
          <w:sz w:val="24"/>
          <w:szCs w:val="24"/>
        </w:rPr>
        <w:t>, o en su defecto, en caso de ser procedente, ordenar la entrega de información.</w:t>
      </w:r>
    </w:p>
    <w:p w:rsidR="001A4767" w:rsidRPr="00897F1E" w:rsidRDefault="001A4767">
      <w:pPr>
        <w:spacing w:line="360" w:lineRule="auto"/>
        <w:jc w:val="both"/>
        <w:rPr>
          <w:rFonts w:ascii="Palatino Linotype" w:eastAsia="Palatino Linotype" w:hAnsi="Palatino Linotype" w:cs="Palatino Linotype"/>
          <w:sz w:val="24"/>
          <w:szCs w:val="24"/>
        </w:rPr>
      </w:pPr>
    </w:p>
    <w:p w:rsidR="001A4767" w:rsidRPr="00897F1E" w:rsidRDefault="00384B6A">
      <w:pPr>
        <w:spacing w:line="360" w:lineRule="auto"/>
        <w:jc w:val="both"/>
        <w:rPr>
          <w:rFonts w:ascii="Palatino Linotype" w:eastAsia="Palatino Linotype" w:hAnsi="Palatino Linotype" w:cs="Palatino Linotype"/>
          <w:sz w:val="24"/>
          <w:szCs w:val="24"/>
        </w:rPr>
      </w:pPr>
      <w:r w:rsidRPr="00897F1E">
        <w:rPr>
          <w:rFonts w:ascii="Palatino Linotype" w:eastAsia="Palatino Linotype" w:hAnsi="Palatino Linotype" w:cs="Palatino Linotype"/>
          <w:b/>
          <w:sz w:val="24"/>
          <w:szCs w:val="24"/>
        </w:rPr>
        <w:t xml:space="preserve">Cuarto. Estudio del asunto. </w:t>
      </w:r>
      <w:r w:rsidRPr="00897F1E">
        <w:rPr>
          <w:rFonts w:ascii="Palatino Linotype" w:eastAsia="Palatino Linotype" w:hAnsi="Palatino Linotype" w:cs="Palatino Linotype"/>
          <w:sz w:val="24"/>
          <w:szCs w:val="24"/>
        </w:rPr>
        <w:t xml:space="preserve">En principio, es conveniente analizar si la respuesta del </w:t>
      </w:r>
      <w:r w:rsidRPr="00897F1E">
        <w:rPr>
          <w:rFonts w:ascii="Palatino Linotype" w:eastAsia="Palatino Linotype" w:hAnsi="Palatino Linotype" w:cs="Palatino Linotype"/>
          <w:b/>
          <w:sz w:val="24"/>
          <w:szCs w:val="24"/>
        </w:rPr>
        <w:t>SUJETO OBLIGADO</w:t>
      </w:r>
      <w:r w:rsidRPr="00897F1E">
        <w:rPr>
          <w:rFonts w:ascii="Palatino Linotype" w:eastAsia="Palatino Linotype" w:hAnsi="Palatino Linotype" w:cs="Palatino Linotype"/>
          <w:sz w:val="24"/>
          <w:szCs w:val="24"/>
        </w:rPr>
        <w:t xml:space="preserve"> 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rsidR="001A4767" w:rsidRPr="00897F1E" w:rsidRDefault="001A4767">
      <w:pPr>
        <w:spacing w:line="360" w:lineRule="auto"/>
        <w:jc w:val="both"/>
        <w:rPr>
          <w:rFonts w:ascii="Palatino Linotype" w:eastAsia="Palatino Linotype" w:hAnsi="Palatino Linotype" w:cs="Palatino Linotype"/>
          <w:sz w:val="24"/>
          <w:szCs w:val="24"/>
        </w:rPr>
      </w:pPr>
    </w:p>
    <w:p w:rsidR="001A4767" w:rsidRPr="00897F1E" w:rsidRDefault="00384B6A">
      <w:pPr>
        <w:spacing w:line="276" w:lineRule="auto"/>
        <w:ind w:left="567" w:right="616"/>
        <w:jc w:val="both"/>
        <w:rPr>
          <w:rFonts w:ascii="Palatino Linotype" w:eastAsia="Palatino Linotype" w:hAnsi="Palatino Linotype" w:cs="Palatino Linotype"/>
          <w:i/>
          <w:sz w:val="22"/>
          <w:szCs w:val="22"/>
        </w:rPr>
      </w:pPr>
      <w:r w:rsidRPr="00897F1E">
        <w:rPr>
          <w:rFonts w:ascii="Palatino Linotype" w:eastAsia="Palatino Linotype" w:hAnsi="Palatino Linotype" w:cs="Palatino Linotype"/>
          <w:i/>
          <w:sz w:val="22"/>
          <w:szCs w:val="22"/>
        </w:rPr>
        <w:lastRenderedPageBreak/>
        <w:t>“</w:t>
      </w:r>
      <w:r w:rsidRPr="00897F1E">
        <w:rPr>
          <w:rFonts w:ascii="Palatino Linotype" w:eastAsia="Palatino Linotype" w:hAnsi="Palatino Linotype" w:cs="Palatino Linotype"/>
          <w:b/>
          <w:i/>
          <w:sz w:val="22"/>
          <w:szCs w:val="22"/>
        </w:rPr>
        <w:t>Artículo 4</w:t>
      </w:r>
      <w:r w:rsidRPr="00897F1E">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1A4767" w:rsidRPr="00897F1E" w:rsidRDefault="00384B6A">
      <w:pPr>
        <w:spacing w:line="276" w:lineRule="auto"/>
        <w:ind w:left="567" w:right="616"/>
        <w:jc w:val="both"/>
        <w:rPr>
          <w:rFonts w:ascii="Palatino Linotype" w:eastAsia="Palatino Linotype" w:hAnsi="Palatino Linotype" w:cs="Palatino Linotype"/>
          <w:i/>
          <w:sz w:val="22"/>
          <w:szCs w:val="22"/>
        </w:rPr>
      </w:pPr>
      <w:r w:rsidRPr="00897F1E">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897F1E">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1A4767" w:rsidRPr="00897F1E" w:rsidRDefault="00384B6A">
      <w:pPr>
        <w:spacing w:line="276" w:lineRule="auto"/>
        <w:ind w:left="567" w:right="616"/>
        <w:jc w:val="both"/>
        <w:rPr>
          <w:rFonts w:ascii="Palatino Linotype" w:eastAsia="Palatino Linotype" w:hAnsi="Palatino Linotype" w:cs="Palatino Linotype"/>
          <w:i/>
          <w:sz w:val="22"/>
          <w:szCs w:val="22"/>
        </w:rPr>
      </w:pPr>
      <w:r w:rsidRPr="00897F1E">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897F1E">
        <w:rPr>
          <w:rFonts w:ascii="Palatino Linotype" w:eastAsia="Palatino Linotype" w:hAnsi="Palatino Linotype" w:cs="Palatino Linotype"/>
          <w:i/>
          <w:sz w:val="22"/>
          <w:szCs w:val="22"/>
        </w:rPr>
        <w:t>.”</w:t>
      </w:r>
    </w:p>
    <w:p w:rsidR="001A4767" w:rsidRPr="00897F1E" w:rsidRDefault="001A4767">
      <w:pPr>
        <w:spacing w:line="360" w:lineRule="auto"/>
        <w:jc w:val="both"/>
        <w:rPr>
          <w:rFonts w:ascii="Palatino Linotype" w:eastAsia="Palatino Linotype" w:hAnsi="Palatino Linotype" w:cs="Palatino Linotype"/>
          <w:sz w:val="24"/>
          <w:szCs w:val="24"/>
        </w:rPr>
      </w:pPr>
    </w:p>
    <w:p w:rsidR="001A4767" w:rsidRPr="00897F1E" w:rsidRDefault="00384B6A">
      <w:pPr>
        <w:spacing w:line="360" w:lineRule="auto"/>
        <w:jc w:val="both"/>
        <w:rPr>
          <w:rFonts w:ascii="Palatino Linotype" w:eastAsia="Palatino Linotype" w:hAnsi="Palatino Linotype" w:cs="Palatino Linotype"/>
          <w:sz w:val="24"/>
          <w:szCs w:val="24"/>
        </w:rPr>
      </w:pPr>
      <w:r w:rsidRPr="00897F1E">
        <w:rPr>
          <w:rFonts w:ascii="Palatino Linotype" w:eastAsia="Palatino Linotype" w:hAnsi="Palatino Linotype" w:cs="Palatino Linotype"/>
          <w:sz w:val="24"/>
          <w:szCs w:val="24"/>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rsidR="001A4767" w:rsidRPr="00897F1E" w:rsidRDefault="001A4767">
      <w:pPr>
        <w:spacing w:line="360" w:lineRule="auto"/>
        <w:jc w:val="both"/>
        <w:rPr>
          <w:rFonts w:ascii="Palatino Linotype" w:eastAsia="Palatino Linotype" w:hAnsi="Palatino Linotype" w:cs="Palatino Linotype"/>
          <w:sz w:val="22"/>
          <w:szCs w:val="22"/>
        </w:rPr>
      </w:pPr>
    </w:p>
    <w:p w:rsidR="001A4767" w:rsidRPr="00897F1E" w:rsidRDefault="00384B6A">
      <w:pPr>
        <w:ind w:left="567" w:right="616"/>
        <w:jc w:val="both"/>
        <w:rPr>
          <w:rFonts w:ascii="Palatino Linotype" w:eastAsia="Palatino Linotype" w:hAnsi="Palatino Linotype" w:cs="Palatino Linotype"/>
          <w:i/>
          <w:sz w:val="22"/>
          <w:szCs w:val="22"/>
        </w:rPr>
      </w:pPr>
      <w:r w:rsidRPr="00897F1E">
        <w:rPr>
          <w:rFonts w:ascii="Palatino Linotype" w:eastAsia="Palatino Linotype" w:hAnsi="Palatino Linotype" w:cs="Palatino Linotype"/>
          <w:b/>
          <w:i/>
          <w:sz w:val="22"/>
          <w:szCs w:val="22"/>
        </w:rPr>
        <w:t>“Artículo 12.-</w:t>
      </w:r>
      <w:r w:rsidRPr="00897F1E">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rsidR="001A4767" w:rsidRPr="00897F1E" w:rsidRDefault="001A4767">
      <w:pPr>
        <w:ind w:left="567" w:right="616"/>
        <w:jc w:val="both"/>
        <w:rPr>
          <w:rFonts w:ascii="Palatino Linotype" w:eastAsia="Palatino Linotype" w:hAnsi="Palatino Linotype" w:cs="Palatino Linotype"/>
          <w:i/>
          <w:sz w:val="22"/>
          <w:szCs w:val="22"/>
        </w:rPr>
      </w:pPr>
    </w:p>
    <w:p w:rsidR="001A4767" w:rsidRPr="00897F1E" w:rsidRDefault="00384B6A">
      <w:pPr>
        <w:ind w:left="567" w:right="616"/>
        <w:jc w:val="both"/>
        <w:rPr>
          <w:rFonts w:ascii="Palatino Linotype" w:eastAsia="Palatino Linotype" w:hAnsi="Palatino Linotype" w:cs="Palatino Linotype"/>
          <w:i/>
          <w:sz w:val="22"/>
          <w:szCs w:val="22"/>
        </w:rPr>
      </w:pPr>
      <w:r w:rsidRPr="00897F1E">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897F1E">
        <w:rPr>
          <w:rFonts w:ascii="Palatino Linotype" w:eastAsia="Palatino Linotype" w:hAnsi="Palatino Linotype" w:cs="Palatino Linotype"/>
          <w:i/>
          <w:sz w:val="22"/>
          <w:szCs w:val="22"/>
        </w:rPr>
        <w:t xml:space="preserve">. </w:t>
      </w:r>
      <w:r w:rsidRPr="00897F1E">
        <w:rPr>
          <w:rFonts w:ascii="Palatino Linotype" w:eastAsia="Palatino Linotype" w:hAnsi="Palatino Linotype" w:cs="Palatino Linotype"/>
          <w:b/>
          <w:i/>
          <w:sz w:val="22"/>
          <w:szCs w:val="22"/>
        </w:rPr>
        <w:t xml:space="preserve">La obligación de proporcionar información no comprende el procesamiento de la </w:t>
      </w:r>
      <w:r w:rsidRPr="00897F1E">
        <w:rPr>
          <w:rFonts w:ascii="Palatino Linotype" w:eastAsia="Palatino Linotype" w:hAnsi="Palatino Linotype" w:cs="Palatino Linotype"/>
          <w:b/>
          <w:i/>
          <w:sz w:val="22"/>
          <w:szCs w:val="22"/>
        </w:rPr>
        <w:lastRenderedPageBreak/>
        <w:t xml:space="preserve">misma, ni el presentarla conforme al interés del solicitante; no estarán obligados a generarla, resumirla, efectuar cálculos o practicar investigaciones.” </w:t>
      </w:r>
    </w:p>
    <w:p w:rsidR="001A4767" w:rsidRPr="00897F1E" w:rsidRDefault="001A4767">
      <w:pPr>
        <w:spacing w:line="360" w:lineRule="auto"/>
        <w:ind w:right="-93"/>
        <w:jc w:val="both"/>
        <w:rPr>
          <w:rFonts w:ascii="Palatino Linotype" w:eastAsia="Palatino Linotype" w:hAnsi="Palatino Linotype" w:cs="Palatino Linotype"/>
          <w:sz w:val="24"/>
          <w:szCs w:val="24"/>
        </w:rPr>
      </w:pPr>
    </w:p>
    <w:p w:rsidR="001A4767" w:rsidRPr="00897F1E" w:rsidRDefault="00384B6A">
      <w:pPr>
        <w:spacing w:line="360" w:lineRule="auto"/>
        <w:ind w:right="-93"/>
        <w:jc w:val="both"/>
        <w:rPr>
          <w:rFonts w:ascii="Palatino Linotype" w:eastAsia="Palatino Linotype" w:hAnsi="Palatino Linotype" w:cs="Palatino Linotype"/>
          <w:sz w:val="24"/>
          <w:szCs w:val="24"/>
        </w:rPr>
      </w:pPr>
      <w:r w:rsidRPr="00897F1E">
        <w:rPr>
          <w:rFonts w:ascii="Palatino Linotype" w:eastAsia="Palatino Linotype" w:hAnsi="Palatino Linotype" w:cs="Palatino Linotype"/>
          <w:sz w:val="24"/>
          <w:szCs w:val="24"/>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solo se concretaran a proporcionar la información solicitada que tengan en su poder en el estado que se encuentran, sin necesidad de concretarse al interés o términos específicos del solicitante.</w:t>
      </w:r>
    </w:p>
    <w:p w:rsidR="001A4767" w:rsidRPr="00897F1E" w:rsidRDefault="001A4767">
      <w:pPr>
        <w:spacing w:line="360" w:lineRule="auto"/>
        <w:ind w:right="-93"/>
        <w:jc w:val="both"/>
        <w:rPr>
          <w:rFonts w:ascii="Palatino Linotype" w:eastAsia="Palatino Linotype" w:hAnsi="Palatino Linotype" w:cs="Palatino Linotype"/>
          <w:sz w:val="24"/>
          <w:szCs w:val="24"/>
        </w:rPr>
      </w:pPr>
    </w:p>
    <w:p w:rsidR="001A4767" w:rsidRPr="00897F1E" w:rsidRDefault="00384B6A">
      <w:pPr>
        <w:spacing w:line="360" w:lineRule="auto"/>
        <w:ind w:right="-93"/>
        <w:jc w:val="both"/>
        <w:rPr>
          <w:rFonts w:ascii="Palatino Linotype" w:eastAsia="Palatino Linotype" w:hAnsi="Palatino Linotype" w:cs="Palatino Linotype"/>
          <w:sz w:val="24"/>
          <w:szCs w:val="24"/>
        </w:rPr>
      </w:pPr>
      <w:r w:rsidRPr="00897F1E">
        <w:rPr>
          <w:rFonts w:ascii="Palatino Linotype" w:eastAsia="Palatino Linotype" w:hAnsi="Palatino Linotype" w:cs="Palatino Linotype"/>
          <w:sz w:val="24"/>
          <w:szCs w:val="24"/>
        </w:rPr>
        <w:t>Sirve de apoyo a lo anterior, el criterio 03-17, expuesto por el Instituto Nacional de Transparencia, Acceso a la Información y Protección de Datos Personales, que dice:</w:t>
      </w:r>
      <w:r w:rsidRPr="00897F1E">
        <w:rPr>
          <w:rFonts w:ascii="Palatino Linotype" w:eastAsia="Palatino Linotype" w:hAnsi="Palatino Linotype" w:cs="Palatino Linotype"/>
          <w:b/>
          <w:sz w:val="24"/>
          <w:szCs w:val="24"/>
        </w:rPr>
        <w:t xml:space="preserve"> </w:t>
      </w:r>
    </w:p>
    <w:p w:rsidR="001A4767" w:rsidRPr="00897F1E" w:rsidRDefault="001A4767">
      <w:pPr>
        <w:spacing w:line="360" w:lineRule="auto"/>
        <w:jc w:val="both"/>
        <w:rPr>
          <w:rFonts w:ascii="Palatino Linotype" w:eastAsia="Palatino Linotype" w:hAnsi="Palatino Linotype" w:cs="Palatino Linotype"/>
          <w:b/>
          <w:sz w:val="24"/>
          <w:szCs w:val="24"/>
        </w:rPr>
      </w:pPr>
    </w:p>
    <w:p w:rsidR="001A4767" w:rsidRPr="00897F1E" w:rsidRDefault="00384B6A">
      <w:pPr>
        <w:ind w:left="567" w:right="616"/>
        <w:jc w:val="both"/>
        <w:rPr>
          <w:rFonts w:ascii="Palatino Linotype" w:eastAsia="Palatino Linotype" w:hAnsi="Palatino Linotype" w:cs="Palatino Linotype"/>
          <w:i/>
          <w:sz w:val="22"/>
          <w:szCs w:val="22"/>
        </w:rPr>
      </w:pPr>
      <w:r w:rsidRPr="00897F1E">
        <w:rPr>
          <w:rFonts w:ascii="Palatino Linotype" w:eastAsia="Palatino Linotype" w:hAnsi="Palatino Linotype" w:cs="Palatino Linotype"/>
          <w:i/>
          <w:sz w:val="22"/>
          <w:szCs w:val="22"/>
        </w:rPr>
        <w:t>“</w:t>
      </w:r>
      <w:r w:rsidRPr="00897F1E">
        <w:rPr>
          <w:rFonts w:ascii="Palatino Linotype" w:eastAsia="Palatino Linotype" w:hAnsi="Palatino Linotype" w:cs="Palatino Linotype"/>
          <w:b/>
          <w:i/>
          <w:sz w:val="22"/>
          <w:szCs w:val="22"/>
        </w:rPr>
        <w:t>No existe obligación de elaborar documentos ad hoc para atender las solicitudes de acceso a la información.</w:t>
      </w:r>
      <w:r w:rsidRPr="00897F1E">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rsidR="001A4767" w:rsidRPr="00897F1E" w:rsidRDefault="001A4767">
      <w:pPr>
        <w:spacing w:line="360" w:lineRule="auto"/>
        <w:ind w:right="-93"/>
        <w:jc w:val="both"/>
        <w:rPr>
          <w:rFonts w:ascii="Palatino Linotype" w:eastAsia="Palatino Linotype" w:hAnsi="Palatino Linotype" w:cs="Palatino Linotype"/>
          <w:sz w:val="24"/>
          <w:szCs w:val="24"/>
        </w:rPr>
      </w:pPr>
    </w:p>
    <w:p w:rsidR="001A4767" w:rsidRPr="00897F1E" w:rsidRDefault="00384B6A">
      <w:pPr>
        <w:spacing w:line="360" w:lineRule="auto"/>
        <w:jc w:val="both"/>
        <w:rPr>
          <w:rFonts w:ascii="Palatino Linotype" w:eastAsia="Palatino Linotype" w:hAnsi="Palatino Linotype" w:cs="Palatino Linotype"/>
          <w:sz w:val="24"/>
          <w:szCs w:val="24"/>
        </w:rPr>
      </w:pPr>
      <w:r w:rsidRPr="00897F1E">
        <w:rPr>
          <w:rFonts w:ascii="Palatino Linotype" w:eastAsia="Palatino Linotype" w:hAnsi="Palatino Linotype" w:cs="Palatino Linotype"/>
          <w:sz w:val="24"/>
          <w:szCs w:val="24"/>
        </w:rPr>
        <w:t xml:space="preserve">En esa tesitura, el artículo 24 en su último párrafo de la Ley de la Materia, dispone que los Sujetos Obligados sólo proporcionarán la información pública que generen, </w:t>
      </w:r>
      <w:r w:rsidRPr="00897F1E">
        <w:rPr>
          <w:rFonts w:ascii="Palatino Linotype" w:eastAsia="Palatino Linotype" w:hAnsi="Palatino Linotype" w:cs="Palatino Linotype"/>
          <w:sz w:val="24"/>
          <w:szCs w:val="24"/>
        </w:rPr>
        <w:lastRenderedPageBreak/>
        <w:t>administren o posean en el ejercicio de sus atribuciones; por consiguiente, la información pública se encuentra a disposición de cualquier persona, lo que implica que es deber de los Sujetos Obligados, garantizar el Derecho de Acceso a la Información Pública.</w:t>
      </w:r>
    </w:p>
    <w:p w:rsidR="001A4767" w:rsidRPr="00897F1E" w:rsidRDefault="001A4767">
      <w:pPr>
        <w:spacing w:line="360" w:lineRule="auto"/>
        <w:jc w:val="both"/>
        <w:rPr>
          <w:rFonts w:ascii="Palatino Linotype" w:eastAsia="Palatino Linotype" w:hAnsi="Palatino Linotype" w:cs="Palatino Linotype"/>
          <w:sz w:val="24"/>
          <w:szCs w:val="24"/>
        </w:rPr>
      </w:pPr>
    </w:p>
    <w:p w:rsidR="001A4767" w:rsidRPr="00897F1E" w:rsidRDefault="00384B6A">
      <w:pPr>
        <w:spacing w:line="360" w:lineRule="auto"/>
        <w:ind w:right="49"/>
        <w:jc w:val="both"/>
        <w:rPr>
          <w:rFonts w:ascii="Palatino Linotype" w:eastAsia="Palatino Linotype" w:hAnsi="Palatino Linotype" w:cs="Palatino Linotype"/>
          <w:sz w:val="24"/>
          <w:szCs w:val="24"/>
        </w:rPr>
      </w:pPr>
      <w:r w:rsidRPr="00897F1E">
        <w:rPr>
          <w:rFonts w:ascii="Palatino Linotype" w:eastAsia="Palatino Linotype" w:hAnsi="Palatino Linotype" w:cs="Palatino Linotype"/>
          <w:sz w:val="24"/>
          <w:szCs w:val="24"/>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1A4767" w:rsidRPr="00897F1E" w:rsidRDefault="001A4767">
      <w:pPr>
        <w:spacing w:line="360" w:lineRule="auto"/>
        <w:ind w:right="49"/>
        <w:jc w:val="both"/>
        <w:rPr>
          <w:rFonts w:ascii="Palatino Linotype" w:eastAsia="Palatino Linotype" w:hAnsi="Palatino Linotype" w:cs="Palatino Linotype"/>
          <w:sz w:val="24"/>
          <w:szCs w:val="24"/>
        </w:rPr>
      </w:pPr>
    </w:p>
    <w:p w:rsidR="001A4767" w:rsidRPr="00897F1E" w:rsidRDefault="00384B6A">
      <w:pPr>
        <w:spacing w:line="360" w:lineRule="auto"/>
        <w:jc w:val="both"/>
        <w:rPr>
          <w:rFonts w:ascii="Palatino Linotype" w:eastAsia="Palatino Linotype" w:hAnsi="Palatino Linotype" w:cs="Palatino Linotype"/>
          <w:sz w:val="24"/>
          <w:szCs w:val="24"/>
        </w:rPr>
      </w:pPr>
      <w:r w:rsidRPr="00897F1E">
        <w:rPr>
          <w:rFonts w:ascii="Palatino Linotype" w:eastAsia="Palatino Linotype" w:hAnsi="Palatino Linotype" w:cs="Palatino Linotype"/>
          <w:sz w:val="24"/>
          <w:szCs w:val="24"/>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1A4767" w:rsidRPr="00897F1E" w:rsidRDefault="001A4767">
      <w:pPr>
        <w:ind w:left="567" w:right="616"/>
        <w:jc w:val="both"/>
        <w:rPr>
          <w:rFonts w:ascii="Palatino Linotype" w:eastAsia="Palatino Linotype" w:hAnsi="Palatino Linotype" w:cs="Palatino Linotype"/>
          <w:i/>
          <w:sz w:val="24"/>
          <w:szCs w:val="24"/>
        </w:rPr>
      </w:pPr>
    </w:p>
    <w:p w:rsidR="001A4767" w:rsidRPr="00897F1E" w:rsidRDefault="00384B6A">
      <w:pPr>
        <w:ind w:left="567" w:right="616"/>
        <w:jc w:val="both"/>
        <w:rPr>
          <w:rFonts w:ascii="Palatino Linotype" w:eastAsia="Palatino Linotype" w:hAnsi="Palatino Linotype" w:cs="Palatino Linotype"/>
          <w:i/>
          <w:sz w:val="22"/>
          <w:szCs w:val="22"/>
        </w:rPr>
      </w:pPr>
      <w:r w:rsidRPr="00897F1E">
        <w:rPr>
          <w:rFonts w:ascii="Palatino Linotype" w:eastAsia="Palatino Linotype" w:hAnsi="Palatino Linotype" w:cs="Palatino Linotype"/>
          <w:i/>
          <w:sz w:val="22"/>
          <w:szCs w:val="22"/>
        </w:rPr>
        <w:t>“</w:t>
      </w:r>
      <w:r w:rsidRPr="00897F1E">
        <w:rPr>
          <w:rFonts w:ascii="Palatino Linotype" w:eastAsia="Palatino Linotype" w:hAnsi="Palatino Linotype" w:cs="Palatino Linotype"/>
          <w:b/>
          <w:i/>
          <w:sz w:val="22"/>
          <w:szCs w:val="22"/>
        </w:rPr>
        <w:t xml:space="preserve">Artículo 3. </w:t>
      </w:r>
      <w:r w:rsidRPr="00897F1E">
        <w:rPr>
          <w:rFonts w:ascii="Palatino Linotype" w:eastAsia="Palatino Linotype" w:hAnsi="Palatino Linotype" w:cs="Palatino Linotype"/>
          <w:i/>
          <w:sz w:val="22"/>
          <w:szCs w:val="22"/>
        </w:rPr>
        <w:t>Para los efectos de la presente Ley se entenderá por:</w:t>
      </w:r>
    </w:p>
    <w:p w:rsidR="001A4767" w:rsidRPr="00897F1E" w:rsidRDefault="00384B6A">
      <w:pPr>
        <w:ind w:left="567" w:right="616"/>
        <w:jc w:val="both"/>
        <w:rPr>
          <w:rFonts w:ascii="Palatino Linotype" w:eastAsia="Palatino Linotype" w:hAnsi="Palatino Linotype" w:cs="Palatino Linotype"/>
          <w:i/>
          <w:sz w:val="22"/>
          <w:szCs w:val="22"/>
        </w:rPr>
      </w:pPr>
      <w:r w:rsidRPr="00897F1E">
        <w:rPr>
          <w:rFonts w:ascii="Palatino Linotype" w:eastAsia="Palatino Linotype" w:hAnsi="Palatino Linotype" w:cs="Palatino Linotype"/>
          <w:i/>
          <w:sz w:val="22"/>
          <w:szCs w:val="22"/>
        </w:rPr>
        <w:t>…</w:t>
      </w:r>
    </w:p>
    <w:p w:rsidR="001A4767" w:rsidRPr="00897F1E" w:rsidRDefault="00384B6A">
      <w:pPr>
        <w:ind w:left="567" w:right="616"/>
        <w:jc w:val="both"/>
        <w:rPr>
          <w:rFonts w:ascii="Palatino Linotype" w:eastAsia="Palatino Linotype" w:hAnsi="Palatino Linotype" w:cs="Palatino Linotype"/>
          <w:i/>
          <w:sz w:val="22"/>
          <w:szCs w:val="22"/>
        </w:rPr>
      </w:pPr>
      <w:r w:rsidRPr="00897F1E">
        <w:rPr>
          <w:rFonts w:ascii="Palatino Linotype" w:eastAsia="Palatino Linotype" w:hAnsi="Palatino Linotype" w:cs="Palatino Linotype"/>
          <w:b/>
          <w:i/>
          <w:sz w:val="22"/>
          <w:szCs w:val="22"/>
        </w:rPr>
        <w:lastRenderedPageBreak/>
        <w:t>XI. Documento:</w:t>
      </w:r>
      <w:r w:rsidRPr="00897F1E">
        <w:rPr>
          <w:rFonts w:ascii="Palatino Linotype" w:eastAsia="Palatino Linotype" w:hAnsi="Palatino Linotype" w:cs="Palatino Linotype"/>
          <w:i/>
          <w:sz w:val="22"/>
          <w:szCs w:val="22"/>
        </w:rPr>
        <w:t xml:space="preserve"> Los expedientes, reportes, estudios, actas</w:t>
      </w:r>
      <w:r w:rsidRPr="00897F1E">
        <w:rPr>
          <w:rFonts w:ascii="Palatino Linotype" w:eastAsia="Palatino Linotype" w:hAnsi="Palatino Linotype" w:cs="Palatino Linotype"/>
          <w:b/>
          <w:i/>
          <w:sz w:val="22"/>
          <w:szCs w:val="22"/>
        </w:rPr>
        <w:t>,</w:t>
      </w:r>
      <w:r w:rsidRPr="00897F1E">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rsidR="001A4767" w:rsidRPr="00897F1E" w:rsidRDefault="001A4767">
      <w:pPr>
        <w:spacing w:line="360" w:lineRule="auto"/>
        <w:ind w:left="851" w:right="899"/>
        <w:jc w:val="both"/>
        <w:rPr>
          <w:rFonts w:ascii="Palatino Linotype" w:eastAsia="Palatino Linotype" w:hAnsi="Palatino Linotype" w:cs="Palatino Linotype"/>
          <w:sz w:val="24"/>
          <w:szCs w:val="24"/>
        </w:rPr>
      </w:pPr>
    </w:p>
    <w:p w:rsidR="001A4767" w:rsidRPr="00897F1E" w:rsidRDefault="00384B6A">
      <w:pPr>
        <w:spacing w:line="360" w:lineRule="auto"/>
        <w:jc w:val="both"/>
        <w:rPr>
          <w:rFonts w:ascii="Palatino Linotype" w:eastAsia="Palatino Linotype" w:hAnsi="Palatino Linotype" w:cs="Palatino Linotype"/>
          <w:sz w:val="24"/>
          <w:szCs w:val="24"/>
        </w:rPr>
      </w:pPr>
      <w:r w:rsidRPr="00897F1E">
        <w:rPr>
          <w:rFonts w:ascii="Palatino Linotype" w:eastAsia="Palatino Linotype" w:hAnsi="Palatino Linotype" w:cs="Palatino Linotype"/>
          <w:sz w:val="24"/>
          <w:szCs w:val="24"/>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1A4767" w:rsidRPr="00897F1E" w:rsidRDefault="001A4767">
      <w:pPr>
        <w:spacing w:line="360" w:lineRule="auto"/>
        <w:jc w:val="both"/>
        <w:rPr>
          <w:rFonts w:ascii="Palatino Linotype" w:eastAsia="Palatino Linotype" w:hAnsi="Palatino Linotype" w:cs="Palatino Linotype"/>
          <w:sz w:val="24"/>
          <w:szCs w:val="24"/>
        </w:rPr>
      </w:pPr>
    </w:p>
    <w:p w:rsidR="001A4767" w:rsidRPr="00897F1E" w:rsidRDefault="00384B6A">
      <w:pPr>
        <w:ind w:left="567" w:right="616"/>
        <w:jc w:val="both"/>
        <w:rPr>
          <w:rFonts w:ascii="Palatino Linotype" w:eastAsia="Palatino Linotype" w:hAnsi="Palatino Linotype" w:cs="Palatino Linotype"/>
          <w:b/>
          <w:i/>
          <w:sz w:val="22"/>
          <w:szCs w:val="22"/>
        </w:rPr>
      </w:pPr>
      <w:r w:rsidRPr="00897F1E">
        <w:rPr>
          <w:rFonts w:ascii="Palatino Linotype" w:eastAsia="Palatino Linotype" w:hAnsi="Palatino Linotype" w:cs="Palatino Linotype"/>
          <w:b/>
          <w:sz w:val="22"/>
          <w:szCs w:val="22"/>
        </w:rPr>
        <w:t>“</w:t>
      </w:r>
      <w:r w:rsidRPr="00897F1E">
        <w:rPr>
          <w:rFonts w:ascii="Palatino Linotype" w:eastAsia="Palatino Linotype" w:hAnsi="Palatino Linotype" w:cs="Palatino Linotype"/>
          <w:b/>
          <w:i/>
          <w:sz w:val="22"/>
          <w:szCs w:val="22"/>
        </w:rPr>
        <w:t>CRITERIO 0002-11. INFORMACIÓN PÚBLICA, CONCEPTO DE, EN MATERIA DE TRANSPARENCIA. INTERPRETACIÓN SISTEMÁTICA DE LOS ARTÍCULOS 2°, FRACCIÓN V, XV, Y XVI, 3°, 4°, 11 Y 41.</w:t>
      </w:r>
      <w:r w:rsidRPr="00897F1E">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1A4767" w:rsidRPr="00897F1E" w:rsidRDefault="00384B6A">
      <w:pPr>
        <w:ind w:left="567" w:right="616"/>
        <w:jc w:val="both"/>
        <w:rPr>
          <w:rFonts w:ascii="Palatino Linotype" w:eastAsia="Palatino Linotype" w:hAnsi="Palatino Linotype" w:cs="Palatino Linotype"/>
          <w:i/>
          <w:sz w:val="22"/>
          <w:szCs w:val="22"/>
        </w:rPr>
      </w:pPr>
      <w:r w:rsidRPr="00897F1E">
        <w:rPr>
          <w:rFonts w:ascii="Palatino Linotype" w:eastAsia="Palatino Linotype" w:hAnsi="Palatino Linotype" w:cs="Palatino Linotype"/>
          <w:i/>
          <w:sz w:val="22"/>
          <w:szCs w:val="22"/>
        </w:rPr>
        <w:t>En consecuencia el acceso a la información se refiere a que se cumplan cualquiera de los siguientes tres supuestos:</w:t>
      </w:r>
    </w:p>
    <w:p w:rsidR="001A4767" w:rsidRPr="00897F1E" w:rsidRDefault="00384B6A">
      <w:pPr>
        <w:ind w:left="567" w:right="616"/>
        <w:jc w:val="both"/>
        <w:rPr>
          <w:rFonts w:ascii="Palatino Linotype" w:eastAsia="Palatino Linotype" w:hAnsi="Palatino Linotype" w:cs="Palatino Linotype"/>
          <w:i/>
          <w:sz w:val="22"/>
          <w:szCs w:val="22"/>
        </w:rPr>
      </w:pPr>
      <w:r w:rsidRPr="00897F1E">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rsidR="001A4767" w:rsidRPr="00897F1E" w:rsidRDefault="00384B6A">
      <w:pPr>
        <w:ind w:left="567" w:right="616"/>
        <w:jc w:val="both"/>
        <w:rPr>
          <w:rFonts w:ascii="Palatino Linotype" w:eastAsia="Palatino Linotype" w:hAnsi="Palatino Linotype" w:cs="Palatino Linotype"/>
          <w:b/>
          <w:i/>
          <w:sz w:val="22"/>
          <w:szCs w:val="22"/>
        </w:rPr>
      </w:pPr>
      <w:r w:rsidRPr="00897F1E">
        <w:rPr>
          <w:rFonts w:ascii="Palatino Linotype" w:eastAsia="Palatino Linotype" w:hAnsi="Palatino Linotype" w:cs="Palatino Linotype"/>
          <w:b/>
          <w:i/>
          <w:sz w:val="22"/>
          <w:szCs w:val="22"/>
        </w:rPr>
        <w:t>2) Que se trate de información registrada en cualquier soporte documental, que en ejercicio de las atribuciones conferidas, sea administrada por los Sujetos Obligados, y</w:t>
      </w:r>
    </w:p>
    <w:p w:rsidR="001A4767" w:rsidRPr="00897F1E" w:rsidRDefault="00384B6A">
      <w:pPr>
        <w:ind w:left="567" w:right="616"/>
        <w:jc w:val="both"/>
        <w:rPr>
          <w:rFonts w:ascii="Palatino Linotype" w:eastAsia="Palatino Linotype" w:hAnsi="Palatino Linotype" w:cs="Palatino Linotype"/>
          <w:b/>
          <w:i/>
          <w:sz w:val="22"/>
          <w:szCs w:val="22"/>
        </w:rPr>
      </w:pPr>
      <w:r w:rsidRPr="00897F1E">
        <w:rPr>
          <w:rFonts w:ascii="Palatino Linotype" w:eastAsia="Palatino Linotype" w:hAnsi="Palatino Linotype" w:cs="Palatino Linotype"/>
          <w:b/>
          <w:i/>
          <w:sz w:val="22"/>
          <w:szCs w:val="22"/>
        </w:rPr>
        <w:t xml:space="preserve">3) Que se trate de información registrada en cualquier soporte documental, que en ejercicio de las atribuciones conferidas, se encuentre en posesión de los Sujetos Obligados.” </w:t>
      </w:r>
    </w:p>
    <w:p w:rsidR="001A4767" w:rsidRPr="00897F1E" w:rsidRDefault="001A4767">
      <w:pPr>
        <w:spacing w:line="360" w:lineRule="auto"/>
        <w:ind w:right="-93"/>
        <w:jc w:val="both"/>
        <w:rPr>
          <w:rFonts w:ascii="Palatino Linotype" w:eastAsia="Palatino Linotype" w:hAnsi="Palatino Linotype" w:cs="Palatino Linotype"/>
          <w:sz w:val="22"/>
          <w:szCs w:val="22"/>
        </w:rPr>
      </w:pPr>
    </w:p>
    <w:p w:rsidR="001A4767" w:rsidRPr="00897F1E" w:rsidRDefault="00384B6A">
      <w:pPr>
        <w:pBdr>
          <w:top w:val="nil"/>
          <w:left w:val="nil"/>
          <w:bottom w:val="nil"/>
          <w:right w:val="nil"/>
          <w:between w:val="nil"/>
        </w:pBdr>
        <w:spacing w:line="360" w:lineRule="auto"/>
        <w:ind w:right="-150"/>
        <w:jc w:val="both"/>
        <w:rPr>
          <w:rFonts w:ascii="Palatino Linotype" w:eastAsia="Palatino Linotype" w:hAnsi="Palatino Linotype" w:cs="Palatino Linotype"/>
          <w:sz w:val="24"/>
          <w:szCs w:val="24"/>
        </w:rPr>
      </w:pPr>
      <w:r w:rsidRPr="00897F1E">
        <w:rPr>
          <w:rFonts w:ascii="Palatino Linotype" w:eastAsia="Palatino Linotype" w:hAnsi="Palatino Linotype" w:cs="Palatino Linotype"/>
          <w:sz w:val="24"/>
          <w:szCs w:val="24"/>
        </w:rPr>
        <w:lastRenderedPageBreak/>
        <w:t xml:space="preserve">Dicho lo anterior, se procede al análisis de los agravios hechos valer por la parte Recurrente que actualizan la causal de procedencia prevista en la fracción II del artículo 179 de la Ley de Transparencia y Acceso a la Información del Estado de México y Municipios, relativa a la clasificación de la información solicitada. </w:t>
      </w:r>
    </w:p>
    <w:p w:rsidR="001A4767" w:rsidRPr="00897F1E" w:rsidRDefault="001A4767">
      <w:pPr>
        <w:pBdr>
          <w:top w:val="nil"/>
          <w:left w:val="nil"/>
          <w:bottom w:val="nil"/>
          <w:right w:val="nil"/>
          <w:between w:val="nil"/>
        </w:pBdr>
        <w:spacing w:line="360" w:lineRule="auto"/>
        <w:ind w:right="-150"/>
        <w:jc w:val="both"/>
        <w:rPr>
          <w:rFonts w:ascii="Palatino Linotype" w:eastAsia="Palatino Linotype" w:hAnsi="Palatino Linotype" w:cs="Palatino Linotype"/>
          <w:sz w:val="24"/>
          <w:szCs w:val="24"/>
        </w:rPr>
      </w:pPr>
    </w:p>
    <w:p w:rsidR="001A4767" w:rsidRPr="00897F1E" w:rsidRDefault="00384B6A">
      <w:pPr>
        <w:pBdr>
          <w:top w:val="nil"/>
          <w:left w:val="nil"/>
          <w:bottom w:val="nil"/>
          <w:right w:val="nil"/>
          <w:between w:val="nil"/>
        </w:pBdr>
        <w:spacing w:line="360" w:lineRule="auto"/>
        <w:ind w:right="-150"/>
        <w:jc w:val="both"/>
        <w:rPr>
          <w:rFonts w:ascii="Palatino Linotype" w:eastAsia="Palatino Linotype" w:hAnsi="Palatino Linotype" w:cs="Palatino Linotype"/>
          <w:sz w:val="24"/>
          <w:szCs w:val="24"/>
        </w:rPr>
      </w:pPr>
      <w:r w:rsidRPr="00897F1E">
        <w:rPr>
          <w:rFonts w:ascii="Palatino Linotype" w:eastAsia="Palatino Linotype" w:hAnsi="Palatino Linotype" w:cs="Palatino Linotype"/>
          <w:sz w:val="24"/>
          <w:szCs w:val="24"/>
        </w:rPr>
        <w:t>En principio, resulta conveniente recordar que la pretensión de la parte Recurrente es obtener la siguiente información:</w:t>
      </w:r>
    </w:p>
    <w:p w:rsidR="001A4767" w:rsidRPr="00897F1E" w:rsidRDefault="001A4767">
      <w:pPr>
        <w:tabs>
          <w:tab w:val="left" w:pos="4667"/>
        </w:tabs>
        <w:spacing w:line="276" w:lineRule="auto"/>
        <w:ind w:right="567"/>
        <w:jc w:val="both"/>
        <w:rPr>
          <w:rFonts w:ascii="Palatino Linotype" w:eastAsia="Palatino Linotype" w:hAnsi="Palatino Linotype" w:cs="Palatino Linotype"/>
          <w:sz w:val="24"/>
          <w:szCs w:val="24"/>
        </w:rPr>
      </w:pPr>
    </w:p>
    <w:p w:rsidR="001A4767" w:rsidRPr="00897F1E" w:rsidRDefault="00384B6A">
      <w:pPr>
        <w:numPr>
          <w:ilvl w:val="0"/>
          <w:numId w:val="12"/>
        </w:numPr>
        <w:pBdr>
          <w:top w:val="nil"/>
          <w:left w:val="nil"/>
          <w:bottom w:val="nil"/>
          <w:right w:val="nil"/>
          <w:between w:val="nil"/>
        </w:pBdr>
        <w:tabs>
          <w:tab w:val="left" w:pos="4667"/>
        </w:tabs>
        <w:spacing w:line="276" w:lineRule="auto"/>
        <w:ind w:right="567"/>
        <w:jc w:val="both"/>
        <w:rPr>
          <w:rFonts w:ascii="Palatino Linotype" w:eastAsia="Palatino Linotype" w:hAnsi="Palatino Linotype" w:cs="Palatino Linotype"/>
          <w:color w:val="0D0D0D"/>
          <w:sz w:val="22"/>
          <w:szCs w:val="22"/>
        </w:rPr>
      </w:pPr>
      <w:r w:rsidRPr="00897F1E">
        <w:rPr>
          <w:rFonts w:ascii="Palatino Linotype" w:eastAsia="Palatino Linotype" w:hAnsi="Palatino Linotype" w:cs="Palatino Linotype"/>
          <w:color w:val="0D0D0D"/>
          <w:sz w:val="22"/>
          <w:szCs w:val="22"/>
        </w:rPr>
        <w:t xml:space="preserve">El escrito inicial de demanda de juicio administrativo contra el C. Procurador de Protección al Ambiente del Estado de México entre otros, interpuesto el 22 de noviembre de 2021 en la primera sala regional de jurisdicción ordinaria con sede en Toluca del Tribunal de Justicia Administrativa del Estado de México, por el C. Gustavo Martínez </w:t>
      </w:r>
      <w:proofErr w:type="spellStart"/>
      <w:r w:rsidRPr="00897F1E">
        <w:rPr>
          <w:rFonts w:ascii="Palatino Linotype" w:eastAsia="Palatino Linotype" w:hAnsi="Palatino Linotype" w:cs="Palatino Linotype"/>
          <w:color w:val="0D0D0D"/>
          <w:sz w:val="22"/>
          <w:szCs w:val="22"/>
        </w:rPr>
        <w:t>Martínez</w:t>
      </w:r>
      <w:proofErr w:type="spellEnd"/>
      <w:r w:rsidRPr="00897F1E">
        <w:rPr>
          <w:rFonts w:ascii="Palatino Linotype" w:eastAsia="Palatino Linotype" w:hAnsi="Palatino Linotype" w:cs="Palatino Linotype"/>
          <w:color w:val="0D0D0D"/>
          <w:sz w:val="22"/>
          <w:szCs w:val="22"/>
        </w:rPr>
        <w:t xml:space="preserve"> en su carácter de Subdirector de Asuntos Contenciosos de la Consejería Jurídica del municipio de Tlalnepantla de Baz Estado de México y apoderado legal del presidente municipal de Tlalnepantla, México, promoción con número de registro 161194. </w:t>
      </w:r>
    </w:p>
    <w:p w:rsidR="001A4767" w:rsidRPr="00897F1E" w:rsidRDefault="00384B6A">
      <w:pPr>
        <w:numPr>
          <w:ilvl w:val="0"/>
          <w:numId w:val="12"/>
        </w:numPr>
        <w:pBdr>
          <w:top w:val="nil"/>
          <w:left w:val="nil"/>
          <w:bottom w:val="nil"/>
          <w:right w:val="nil"/>
          <w:between w:val="nil"/>
        </w:pBdr>
        <w:tabs>
          <w:tab w:val="left" w:pos="4667"/>
        </w:tabs>
        <w:spacing w:line="276" w:lineRule="auto"/>
        <w:ind w:right="567"/>
        <w:jc w:val="both"/>
        <w:rPr>
          <w:rFonts w:ascii="Palatino Linotype" w:eastAsia="Palatino Linotype" w:hAnsi="Palatino Linotype" w:cs="Palatino Linotype"/>
          <w:color w:val="0D0D0D"/>
          <w:sz w:val="22"/>
          <w:szCs w:val="22"/>
        </w:rPr>
      </w:pPr>
      <w:r w:rsidRPr="00897F1E">
        <w:rPr>
          <w:rFonts w:ascii="Palatino Linotype" w:eastAsia="Palatino Linotype" w:hAnsi="Palatino Linotype" w:cs="Palatino Linotype"/>
          <w:color w:val="0D0D0D"/>
          <w:sz w:val="22"/>
          <w:szCs w:val="22"/>
        </w:rPr>
        <w:t xml:space="preserve">Las pruebas que acompañaron el escrito inicial de demanda, señalado en el punto 1 de esta solicitud de información pública, consistentes en los ANEXOS DOS, TRES, CUATRO, CINCO, SEIS, SIETE, OCHO, NUEVE, DIEZ, ONCE, DOCE, TRECE Y CATORCE </w:t>
      </w:r>
    </w:p>
    <w:p w:rsidR="001A4767" w:rsidRPr="00897F1E" w:rsidRDefault="00384B6A">
      <w:pPr>
        <w:numPr>
          <w:ilvl w:val="0"/>
          <w:numId w:val="12"/>
        </w:numPr>
        <w:pBdr>
          <w:top w:val="nil"/>
          <w:left w:val="nil"/>
          <w:bottom w:val="nil"/>
          <w:right w:val="nil"/>
          <w:between w:val="nil"/>
        </w:pBdr>
        <w:tabs>
          <w:tab w:val="left" w:pos="4667"/>
        </w:tabs>
        <w:spacing w:line="276" w:lineRule="auto"/>
        <w:ind w:right="567"/>
        <w:jc w:val="both"/>
        <w:rPr>
          <w:rFonts w:ascii="Palatino Linotype" w:eastAsia="Palatino Linotype" w:hAnsi="Palatino Linotype" w:cs="Palatino Linotype"/>
          <w:color w:val="0D0D0D"/>
          <w:sz w:val="22"/>
          <w:szCs w:val="22"/>
        </w:rPr>
      </w:pPr>
      <w:r w:rsidRPr="00897F1E">
        <w:rPr>
          <w:rFonts w:ascii="Palatino Linotype" w:eastAsia="Palatino Linotype" w:hAnsi="Palatino Linotype" w:cs="Palatino Linotype"/>
          <w:color w:val="0D0D0D"/>
          <w:sz w:val="22"/>
          <w:szCs w:val="22"/>
        </w:rPr>
        <w:t>El expediente generado por la emisión de los sellos de clausura Nos. 10045/2021 10046/2021, 10047/2021, 10048/2021. 10049/2021 y 10050/2021 emitidos por la PROPAEM al denominado Relleno Sanitario de Tlalnepantla o su conversión a Centro Integral de Residuos Sólidos de Tlalnepantla.</w:t>
      </w:r>
    </w:p>
    <w:p w:rsidR="001A4767" w:rsidRPr="00897F1E" w:rsidRDefault="00384B6A">
      <w:pPr>
        <w:pBdr>
          <w:top w:val="nil"/>
          <w:left w:val="nil"/>
          <w:bottom w:val="nil"/>
          <w:right w:val="nil"/>
          <w:between w:val="nil"/>
        </w:pBdr>
        <w:spacing w:line="360" w:lineRule="auto"/>
        <w:ind w:right="-150"/>
        <w:jc w:val="both"/>
        <w:rPr>
          <w:rFonts w:ascii="Palatino Linotype" w:eastAsia="Palatino Linotype" w:hAnsi="Palatino Linotype" w:cs="Palatino Linotype"/>
          <w:sz w:val="24"/>
          <w:szCs w:val="24"/>
        </w:rPr>
      </w:pPr>
      <w:r w:rsidRPr="00897F1E">
        <w:rPr>
          <w:rFonts w:ascii="Palatino Linotype" w:eastAsia="Palatino Linotype" w:hAnsi="Palatino Linotype" w:cs="Palatino Linotype"/>
          <w:sz w:val="24"/>
          <w:szCs w:val="24"/>
        </w:rPr>
        <w:t xml:space="preserve"> </w:t>
      </w:r>
    </w:p>
    <w:p w:rsidR="001A4767" w:rsidRPr="00897F1E" w:rsidRDefault="00384B6A">
      <w:pPr>
        <w:tabs>
          <w:tab w:val="left" w:pos="4962"/>
        </w:tabs>
        <w:spacing w:line="360" w:lineRule="auto"/>
        <w:jc w:val="both"/>
        <w:rPr>
          <w:rFonts w:ascii="Palatino Linotype" w:eastAsia="Palatino Linotype" w:hAnsi="Palatino Linotype" w:cs="Palatino Linotype"/>
          <w:color w:val="0D0D0D"/>
          <w:sz w:val="24"/>
          <w:szCs w:val="24"/>
        </w:rPr>
      </w:pPr>
      <w:r w:rsidRPr="00897F1E">
        <w:rPr>
          <w:rFonts w:ascii="Palatino Linotype" w:eastAsia="Palatino Linotype" w:hAnsi="Palatino Linotype" w:cs="Palatino Linotype"/>
          <w:color w:val="0D0D0D"/>
          <w:sz w:val="24"/>
          <w:szCs w:val="24"/>
        </w:rPr>
        <w:t xml:space="preserve">En respuesta, el Sujeto Obligado, a través de la Subdirectora de Atención y Seguimiento de Procedimientos informó que respecto al escrito inicial de demanda de juicio administrativo y las pruebas que lo acompañan, el Sujeto Obligado es </w:t>
      </w:r>
      <w:r w:rsidRPr="00897F1E">
        <w:rPr>
          <w:rFonts w:ascii="Palatino Linotype" w:eastAsia="Palatino Linotype" w:hAnsi="Palatino Linotype" w:cs="Palatino Linotype"/>
          <w:color w:val="0D0D0D"/>
          <w:sz w:val="24"/>
          <w:szCs w:val="24"/>
        </w:rPr>
        <w:lastRenderedPageBreak/>
        <w:t>incompetente parcialmente, por lo que, puede dirigir su solicitud de información al Tribunal de Justicia Administrativa del Estado de México y/o al Ayuntamiento de Tlalnepantla de Baz.</w:t>
      </w:r>
    </w:p>
    <w:p w:rsidR="001A4767" w:rsidRPr="00897F1E" w:rsidRDefault="00384B6A">
      <w:pPr>
        <w:tabs>
          <w:tab w:val="left" w:pos="4962"/>
        </w:tabs>
        <w:spacing w:line="360" w:lineRule="auto"/>
        <w:jc w:val="both"/>
        <w:rPr>
          <w:rFonts w:ascii="Palatino Linotype" w:eastAsia="Palatino Linotype" w:hAnsi="Palatino Linotype" w:cs="Palatino Linotype"/>
          <w:color w:val="0D0D0D"/>
          <w:sz w:val="24"/>
          <w:szCs w:val="24"/>
        </w:rPr>
      </w:pPr>
      <w:r w:rsidRPr="00897F1E">
        <w:rPr>
          <w:rFonts w:ascii="Palatino Linotype" w:eastAsia="Palatino Linotype" w:hAnsi="Palatino Linotype" w:cs="Palatino Linotype"/>
          <w:color w:val="0D0D0D"/>
          <w:sz w:val="24"/>
          <w:szCs w:val="24"/>
        </w:rPr>
        <w:t xml:space="preserve">Asimismo, precisó que respecto al expediente generado por la emisión de los sellos de clausura emitidos por la PROPAEM al denominado Relleno Sanitario de Tlalnepantla o su conversión a Centro integral de Residuos Sólidos; no es posible entregar la información requerida en virtud de que actualiza la causal de clasificación prevista en la fracción VIII del artículo 140 de la Ley de Transparencia y Acceso a la Información Pública del Estado de México y Municipios, del mismo modo, proporcionó el Acta de la Segunda Sesión Ordinaria 2022 emitida por el Comité de Transparencia de la Procuraduría de Protección al Ambiente del Estado de México. </w:t>
      </w:r>
    </w:p>
    <w:p w:rsidR="001A4767" w:rsidRPr="00897F1E" w:rsidRDefault="001A4767">
      <w:pPr>
        <w:tabs>
          <w:tab w:val="left" w:pos="4962"/>
        </w:tabs>
        <w:spacing w:line="360" w:lineRule="auto"/>
        <w:jc w:val="both"/>
        <w:rPr>
          <w:rFonts w:ascii="Palatino Linotype" w:eastAsia="Palatino Linotype" w:hAnsi="Palatino Linotype" w:cs="Palatino Linotype"/>
          <w:color w:val="0D0D0D"/>
          <w:sz w:val="24"/>
          <w:szCs w:val="24"/>
        </w:rPr>
      </w:pPr>
    </w:p>
    <w:p w:rsidR="001A4767" w:rsidRPr="00897F1E" w:rsidRDefault="00384B6A">
      <w:pPr>
        <w:tabs>
          <w:tab w:val="left" w:pos="4962"/>
        </w:tabs>
        <w:spacing w:line="360" w:lineRule="auto"/>
        <w:jc w:val="both"/>
        <w:rPr>
          <w:rFonts w:ascii="Palatino Linotype" w:eastAsia="Palatino Linotype" w:hAnsi="Palatino Linotype" w:cs="Palatino Linotype"/>
          <w:i/>
          <w:color w:val="0D0D0D"/>
          <w:sz w:val="22"/>
          <w:szCs w:val="22"/>
        </w:rPr>
      </w:pPr>
      <w:r w:rsidRPr="00897F1E">
        <w:rPr>
          <w:rFonts w:ascii="Palatino Linotype" w:eastAsia="Palatino Linotype" w:hAnsi="Palatino Linotype" w:cs="Palatino Linotype"/>
          <w:color w:val="0D0D0D"/>
          <w:sz w:val="24"/>
          <w:szCs w:val="24"/>
        </w:rPr>
        <w:t xml:space="preserve">Derivado de ello, la parte Recurrente se inconformó arguyendo lo siguiente: </w:t>
      </w:r>
      <w:r w:rsidRPr="00897F1E">
        <w:rPr>
          <w:rFonts w:ascii="Palatino Linotype" w:eastAsia="Palatino Linotype" w:hAnsi="Palatino Linotype" w:cs="Palatino Linotype"/>
          <w:i/>
          <w:color w:val="0D0D0D"/>
          <w:sz w:val="22"/>
          <w:szCs w:val="22"/>
        </w:rPr>
        <w:t xml:space="preserve">“El sujeto obligado y/o su comité de transparencia </w:t>
      </w:r>
      <w:r w:rsidRPr="00897F1E">
        <w:rPr>
          <w:rFonts w:ascii="Palatino Linotype" w:eastAsia="Palatino Linotype" w:hAnsi="Palatino Linotype" w:cs="Palatino Linotype"/>
          <w:b/>
          <w:i/>
          <w:color w:val="0D0D0D"/>
          <w:sz w:val="22"/>
          <w:szCs w:val="22"/>
          <w:u w:val="single"/>
        </w:rPr>
        <w:t>omitió que la información pública solicitada se trata con actos de corrupción</w:t>
      </w:r>
      <w:r w:rsidRPr="00897F1E">
        <w:rPr>
          <w:rFonts w:ascii="Palatino Linotype" w:eastAsia="Palatino Linotype" w:hAnsi="Palatino Linotype" w:cs="Palatino Linotype"/>
          <w:i/>
          <w:color w:val="0D0D0D"/>
          <w:sz w:val="22"/>
          <w:szCs w:val="22"/>
        </w:rPr>
        <w:t xml:space="preserve">, tal y como fue señalado en la solicitud respectiva, también omitió la Resolución del Pleno del Instituto Nacional de Acceso a la Información expediente Caso relevante RRA 4436/18 en contra de la Procuraduría General de la República Comisionado ponente: Oscar Mauricio Guerra Ford.” </w:t>
      </w:r>
    </w:p>
    <w:p w:rsidR="001A4767" w:rsidRPr="00897F1E" w:rsidRDefault="001A4767">
      <w:pPr>
        <w:tabs>
          <w:tab w:val="left" w:pos="4962"/>
        </w:tabs>
        <w:spacing w:line="360" w:lineRule="auto"/>
        <w:jc w:val="both"/>
        <w:rPr>
          <w:rFonts w:ascii="Palatino Linotype" w:eastAsia="Palatino Linotype" w:hAnsi="Palatino Linotype" w:cs="Palatino Linotype"/>
          <w:i/>
          <w:color w:val="0D0D0D"/>
          <w:sz w:val="22"/>
          <w:szCs w:val="22"/>
        </w:rPr>
      </w:pPr>
    </w:p>
    <w:p w:rsidR="001A4767" w:rsidRPr="00897F1E" w:rsidRDefault="00384B6A">
      <w:pPr>
        <w:tabs>
          <w:tab w:val="left" w:pos="4962"/>
        </w:tabs>
        <w:spacing w:line="360" w:lineRule="auto"/>
        <w:jc w:val="both"/>
        <w:rPr>
          <w:rFonts w:ascii="Palatino Linotype" w:eastAsia="Palatino Linotype" w:hAnsi="Palatino Linotype" w:cs="Palatino Linotype"/>
          <w:color w:val="0D0D0D"/>
          <w:sz w:val="24"/>
          <w:szCs w:val="24"/>
        </w:rPr>
      </w:pPr>
      <w:r w:rsidRPr="00897F1E">
        <w:rPr>
          <w:rFonts w:ascii="Palatino Linotype" w:eastAsia="Palatino Linotype" w:hAnsi="Palatino Linotype" w:cs="Palatino Linotype"/>
          <w:color w:val="0D0D0D"/>
          <w:sz w:val="24"/>
          <w:szCs w:val="24"/>
        </w:rPr>
        <w:t xml:space="preserve">Es así que, mediante informe justificado, el Sujeto Obligado ratificó su respuesta inicial. </w:t>
      </w:r>
    </w:p>
    <w:p w:rsidR="001A4767" w:rsidRPr="00897F1E" w:rsidRDefault="001A4767">
      <w:pPr>
        <w:tabs>
          <w:tab w:val="left" w:pos="4962"/>
        </w:tabs>
        <w:spacing w:line="360" w:lineRule="auto"/>
        <w:jc w:val="both"/>
        <w:rPr>
          <w:rFonts w:ascii="Palatino Linotype" w:eastAsia="Palatino Linotype" w:hAnsi="Palatino Linotype" w:cs="Palatino Linotype"/>
          <w:color w:val="0D0D0D"/>
          <w:sz w:val="24"/>
          <w:szCs w:val="24"/>
        </w:rPr>
      </w:pPr>
    </w:p>
    <w:p w:rsidR="001A4767" w:rsidRPr="00897F1E" w:rsidRDefault="00384B6A">
      <w:pPr>
        <w:tabs>
          <w:tab w:val="left" w:pos="4962"/>
        </w:tabs>
        <w:spacing w:line="360" w:lineRule="auto"/>
        <w:jc w:val="both"/>
        <w:rPr>
          <w:rFonts w:ascii="Palatino Linotype" w:eastAsia="Palatino Linotype" w:hAnsi="Palatino Linotype" w:cs="Palatino Linotype"/>
          <w:color w:val="0D0D0D"/>
          <w:sz w:val="24"/>
          <w:szCs w:val="24"/>
        </w:rPr>
      </w:pPr>
      <w:r w:rsidRPr="00897F1E">
        <w:rPr>
          <w:rFonts w:ascii="Palatino Linotype" w:eastAsia="Palatino Linotype" w:hAnsi="Palatino Linotype" w:cs="Palatino Linotype"/>
          <w:color w:val="0D0D0D"/>
          <w:sz w:val="24"/>
          <w:szCs w:val="24"/>
        </w:rPr>
        <w:t xml:space="preserve">Por lo anterior, este Organismo Garante notificó al Sujeto Obligado un requerimiento de información adicional de conformidad con los artículos 14, fracciones I, II, V y XVI, </w:t>
      </w:r>
      <w:r w:rsidRPr="00897F1E">
        <w:rPr>
          <w:rFonts w:ascii="Palatino Linotype" w:eastAsia="Palatino Linotype" w:hAnsi="Palatino Linotype" w:cs="Palatino Linotype"/>
          <w:color w:val="0D0D0D"/>
          <w:sz w:val="24"/>
          <w:szCs w:val="24"/>
        </w:rPr>
        <w:lastRenderedPageBreak/>
        <w:t xml:space="preserve">del Reglamento Interior del Instituto de Transparencia, Acceso a la Información Pública y Protección de Datos Personales del Estado de México y Municipios. </w:t>
      </w:r>
    </w:p>
    <w:p w:rsidR="001A4767" w:rsidRPr="00897F1E" w:rsidRDefault="001A4767">
      <w:pPr>
        <w:tabs>
          <w:tab w:val="left" w:pos="4962"/>
        </w:tabs>
        <w:spacing w:line="360" w:lineRule="auto"/>
        <w:jc w:val="both"/>
        <w:rPr>
          <w:rFonts w:ascii="Palatino Linotype" w:eastAsia="Palatino Linotype" w:hAnsi="Palatino Linotype" w:cs="Palatino Linotype"/>
          <w:color w:val="0D0D0D"/>
          <w:sz w:val="24"/>
          <w:szCs w:val="24"/>
        </w:rPr>
      </w:pPr>
    </w:p>
    <w:p w:rsidR="001A4767" w:rsidRPr="00897F1E" w:rsidRDefault="00384B6A">
      <w:pPr>
        <w:tabs>
          <w:tab w:val="left" w:pos="4962"/>
        </w:tabs>
        <w:spacing w:line="360" w:lineRule="auto"/>
        <w:jc w:val="both"/>
        <w:rPr>
          <w:rFonts w:ascii="Palatino Linotype" w:eastAsia="Palatino Linotype" w:hAnsi="Palatino Linotype" w:cs="Palatino Linotype"/>
          <w:color w:val="0D0D0D"/>
          <w:sz w:val="24"/>
          <w:szCs w:val="24"/>
        </w:rPr>
      </w:pPr>
      <w:r w:rsidRPr="00897F1E">
        <w:rPr>
          <w:rFonts w:ascii="Palatino Linotype" w:eastAsia="Palatino Linotype" w:hAnsi="Palatino Linotype" w:cs="Palatino Linotype"/>
          <w:color w:val="0D0D0D"/>
          <w:sz w:val="24"/>
          <w:szCs w:val="24"/>
        </w:rPr>
        <w:t xml:space="preserve">Posteriormente, el Sujeto Obligado desahogó el requerimiento de información adicional, en los siguientes términos: </w:t>
      </w:r>
    </w:p>
    <w:p w:rsidR="001A4767" w:rsidRPr="00897F1E" w:rsidRDefault="001A4767">
      <w:pPr>
        <w:tabs>
          <w:tab w:val="left" w:pos="4962"/>
        </w:tabs>
        <w:spacing w:line="360" w:lineRule="auto"/>
        <w:jc w:val="both"/>
        <w:rPr>
          <w:rFonts w:ascii="Palatino Linotype" w:eastAsia="Palatino Linotype" w:hAnsi="Palatino Linotype" w:cs="Palatino Linotype"/>
          <w:color w:val="0D0D0D"/>
          <w:sz w:val="24"/>
          <w:szCs w:val="24"/>
        </w:rPr>
      </w:pPr>
    </w:p>
    <w:p w:rsidR="001A4767" w:rsidRPr="00897F1E" w:rsidRDefault="00384B6A">
      <w:pPr>
        <w:spacing w:line="276" w:lineRule="auto"/>
        <w:ind w:left="567" w:right="539"/>
        <w:jc w:val="both"/>
        <w:rPr>
          <w:rFonts w:ascii="Palatino Linotype" w:eastAsia="Palatino Linotype" w:hAnsi="Palatino Linotype" w:cs="Palatino Linotype"/>
          <w:b/>
          <w:i/>
          <w:color w:val="0D0D0D"/>
          <w:sz w:val="22"/>
          <w:szCs w:val="22"/>
        </w:rPr>
      </w:pPr>
      <w:r w:rsidRPr="00897F1E">
        <w:rPr>
          <w:rFonts w:ascii="Palatino Linotype" w:eastAsia="Palatino Linotype" w:hAnsi="Palatino Linotype" w:cs="Palatino Linotype"/>
          <w:i/>
          <w:color w:val="0D0D0D"/>
          <w:sz w:val="22"/>
          <w:szCs w:val="22"/>
        </w:rPr>
        <w:t xml:space="preserve">a) </w:t>
      </w:r>
      <w:r w:rsidRPr="00897F1E">
        <w:rPr>
          <w:rFonts w:ascii="Palatino Linotype" w:eastAsia="Palatino Linotype" w:hAnsi="Palatino Linotype" w:cs="Palatino Linotype"/>
          <w:b/>
          <w:i/>
          <w:color w:val="0D0D0D"/>
          <w:sz w:val="22"/>
          <w:szCs w:val="22"/>
        </w:rPr>
        <w:t xml:space="preserve">Nombre del procedimiento administrativo en materia ambiental; </w:t>
      </w:r>
    </w:p>
    <w:p w:rsidR="001A4767" w:rsidRPr="00897F1E" w:rsidRDefault="00384B6A">
      <w:pPr>
        <w:spacing w:line="276" w:lineRule="auto"/>
        <w:ind w:left="567" w:right="539"/>
        <w:jc w:val="both"/>
        <w:rPr>
          <w:rFonts w:ascii="Palatino Linotype" w:eastAsia="Palatino Linotype" w:hAnsi="Palatino Linotype" w:cs="Palatino Linotype"/>
          <w:i/>
          <w:color w:val="0D0D0D"/>
          <w:sz w:val="22"/>
          <w:szCs w:val="22"/>
        </w:rPr>
      </w:pPr>
      <w:r w:rsidRPr="00897F1E">
        <w:rPr>
          <w:rFonts w:ascii="Palatino Linotype" w:eastAsia="Palatino Linotype" w:hAnsi="Palatino Linotype" w:cs="Palatino Linotype"/>
          <w:i/>
          <w:color w:val="0D0D0D"/>
          <w:sz w:val="22"/>
          <w:szCs w:val="22"/>
        </w:rPr>
        <w:t>Procedimiento Administrativo Común, con número de expediente PROPAEM-2021-07/VM/0466</w:t>
      </w:r>
    </w:p>
    <w:p w:rsidR="001A4767" w:rsidRPr="00897F1E" w:rsidRDefault="00384B6A">
      <w:pPr>
        <w:spacing w:line="276" w:lineRule="auto"/>
        <w:ind w:left="567" w:right="539"/>
        <w:jc w:val="both"/>
        <w:rPr>
          <w:rFonts w:ascii="Palatino Linotype" w:eastAsia="Palatino Linotype" w:hAnsi="Palatino Linotype" w:cs="Palatino Linotype"/>
          <w:b/>
          <w:i/>
          <w:color w:val="0D0D0D"/>
          <w:sz w:val="22"/>
          <w:szCs w:val="22"/>
        </w:rPr>
      </w:pPr>
      <w:r w:rsidRPr="00897F1E">
        <w:rPr>
          <w:rFonts w:ascii="Palatino Linotype" w:eastAsia="Palatino Linotype" w:hAnsi="Palatino Linotype" w:cs="Palatino Linotype"/>
          <w:i/>
          <w:color w:val="0D0D0D"/>
          <w:sz w:val="22"/>
          <w:szCs w:val="22"/>
        </w:rPr>
        <w:t xml:space="preserve">b) </w:t>
      </w:r>
      <w:r w:rsidRPr="00897F1E">
        <w:rPr>
          <w:rFonts w:ascii="Palatino Linotype" w:eastAsia="Palatino Linotype" w:hAnsi="Palatino Linotype" w:cs="Palatino Linotype"/>
          <w:b/>
          <w:i/>
          <w:color w:val="0D0D0D"/>
          <w:sz w:val="22"/>
          <w:szCs w:val="22"/>
        </w:rPr>
        <w:t xml:space="preserve">¿En qué consiste y cuál es la normatividad que lo regula? </w:t>
      </w:r>
      <w:r w:rsidRPr="00897F1E">
        <w:rPr>
          <w:rFonts w:ascii="Palatino Linotype" w:eastAsia="Palatino Linotype" w:hAnsi="Palatino Linotype" w:cs="Palatino Linotype"/>
          <w:i/>
          <w:color w:val="0D0D0D"/>
          <w:sz w:val="22"/>
          <w:szCs w:val="22"/>
        </w:rPr>
        <w:t>El Procedimiento administrativo común, es un conjunto de actos jurídicos encaminados a que se otorgue cumplimiento a la normatividad ambiental vigente, mismo que comprende diversas etapas procesales, sustentado en las disposiciones establecidas en el Código de Procedimientos Administrativos del Estado de México y el cual, se inicia en contra de una persona física o jurídico colectiva, por detectarse irregularidades en el desarrollo de sus actividades en materia ambiental.</w:t>
      </w:r>
    </w:p>
    <w:p w:rsidR="001A4767" w:rsidRPr="00897F1E" w:rsidRDefault="00384B6A">
      <w:pPr>
        <w:spacing w:line="276" w:lineRule="auto"/>
        <w:ind w:left="567" w:right="539"/>
        <w:jc w:val="both"/>
        <w:rPr>
          <w:rFonts w:ascii="Palatino Linotype" w:eastAsia="Palatino Linotype" w:hAnsi="Palatino Linotype" w:cs="Palatino Linotype"/>
          <w:b/>
          <w:i/>
          <w:color w:val="0D0D0D"/>
          <w:sz w:val="22"/>
          <w:szCs w:val="22"/>
        </w:rPr>
      </w:pPr>
      <w:r w:rsidRPr="00897F1E">
        <w:rPr>
          <w:rFonts w:ascii="Palatino Linotype" w:eastAsia="Palatino Linotype" w:hAnsi="Palatino Linotype" w:cs="Palatino Linotype"/>
          <w:i/>
          <w:color w:val="0D0D0D"/>
          <w:sz w:val="22"/>
          <w:szCs w:val="22"/>
        </w:rPr>
        <w:t>La normatividad que rige dicho procedimiento administrativo es el Código para la Biodiversidad del</w:t>
      </w:r>
      <w:r w:rsidRPr="00897F1E">
        <w:rPr>
          <w:rFonts w:ascii="Palatino Linotype" w:eastAsia="Palatino Linotype" w:hAnsi="Palatino Linotype" w:cs="Palatino Linotype"/>
          <w:b/>
          <w:i/>
          <w:color w:val="0D0D0D"/>
          <w:sz w:val="22"/>
          <w:szCs w:val="22"/>
        </w:rPr>
        <w:t xml:space="preserve"> </w:t>
      </w:r>
      <w:r w:rsidRPr="00897F1E">
        <w:rPr>
          <w:rFonts w:ascii="Palatino Linotype" w:eastAsia="Palatino Linotype" w:hAnsi="Palatino Linotype" w:cs="Palatino Linotype"/>
          <w:i/>
          <w:color w:val="0D0D0D"/>
          <w:sz w:val="22"/>
          <w:szCs w:val="22"/>
        </w:rPr>
        <w:t>Estado de México y de manera supletoria, se aplica el Código de Procedimientos Administrativos del</w:t>
      </w:r>
      <w:r w:rsidRPr="00897F1E">
        <w:rPr>
          <w:rFonts w:ascii="Palatino Linotype" w:eastAsia="Palatino Linotype" w:hAnsi="Palatino Linotype" w:cs="Palatino Linotype"/>
          <w:b/>
          <w:i/>
          <w:color w:val="0D0D0D"/>
          <w:sz w:val="22"/>
          <w:szCs w:val="22"/>
        </w:rPr>
        <w:t xml:space="preserve"> </w:t>
      </w:r>
      <w:r w:rsidRPr="00897F1E">
        <w:rPr>
          <w:rFonts w:ascii="Palatino Linotype" w:eastAsia="Palatino Linotype" w:hAnsi="Palatino Linotype" w:cs="Palatino Linotype"/>
          <w:i/>
          <w:color w:val="0D0D0D"/>
          <w:sz w:val="22"/>
          <w:szCs w:val="22"/>
        </w:rPr>
        <w:t>Estado de México.</w:t>
      </w:r>
    </w:p>
    <w:p w:rsidR="001A4767" w:rsidRPr="00897F1E" w:rsidRDefault="00384B6A">
      <w:pPr>
        <w:spacing w:line="276" w:lineRule="auto"/>
        <w:ind w:left="567" w:right="539"/>
        <w:jc w:val="both"/>
        <w:rPr>
          <w:rFonts w:ascii="Palatino Linotype" w:eastAsia="Palatino Linotype" w:hAnsi="Palatino Linotype" w:cs="Palatino Linotype"/>
          <w:i/>
          <w:color w:val="0D0D0D"/>
          <w:sz w:val="22"/>
          <w:szCs w:val="22"/>
        </w:rPr>
      </w:pPr>
      <w:r w:rsidRPr="00897F1E">
        <w:rPr>
          <w:rFonts w:ascii="Palatino Linotype" w:eastAsia="Palatino Linotype" w:hAnsi="Palatino Linotype" w:cs="Palatino Linotype"/>
          <w:i/>
          <w:color w:val="0D0D0D"/>
          <w:sz w:val="22"/>
          <w:szCs w:val="22"/>
        </w:rPr>
        <w:t>De manera adicional le refiero, que en el Libro Segundo del Código para la Biodiversidad, se estableció una parte adjetiva, que es aplicable a todos los demás libros del Código para regular fundamentalmente el procedimiento administrativo para la imposición de sanciones, en los que se incluye, entre otras cosas, de una forma clara y congruente con las garantías de audiencia y seguridad jurídica: las reglas para realizar una visita de inspección; así como todo el procedimiento administrativo, en particular establece el derecho de ser oído y en su caso vencido.</w:t>
      </w:r>
    </w:p>
    <w:p w:rsidR="001A4767" w:rsidRPr="00897F1E" w:rsidRDefault="00384B6A">
      <w:pPr>
        <w:spacing w:line="276" w:lineRule="auto"/>
        <w:ind w:left="567" w:right="539"/>
        <w:jc w:val="both"/>
        <w:rPr>
          <w:rFonts w:ascii="Palatino Linotype" w:eastAsia="Palatino Linotype" w:hAnsi="Palatino Linotype" w:cs="Palatino Linotype"/>
          <w:i/>
          <w:color w:val="0D0D0D"/>
          <w:sz w:val="22"/>
          <w:szCs w:val="22"/>
        </w:rPr>
      </w:pPr>
      <w:r w:rsidRPr="00897F1E">
        <w:rPr>
          <w:rFonts w:ascii="Palatino Linotype" w:eastAsia="Palatino Linotype" w:hAnsi="Palatino Linotype" w:cs="Palatino Linotype"/>
          <w:i/>
          <w:color w:val="0D0D0D"/>
          <w:sz w:val="22"/>
          <w:szCs w:val="22"/>
        </w:rPr>
        <w:t>Lo anterior se observa de manera precisa en los ordenamientos jurídicos que se citan a continuación:</w:t>
      </w:r>
    </w:p>
    <w:p w:rsidR="001A4767" w:rsidRPr="00897F1E" w:rsidRDefault="00384B6A">
      <w:pPr>
        <w:spacing w:line="276" w:lineRule="auto"/>
        <w:ind w:left="567" w:right="539"/>
        <w:jc w:val="both"/>
        <w:rPr>
          <w:rFonts w:ascii="Palatino Linotype" w:eastAsia="Palatino Linotype" w:hAnsi="Palatino Linotype" w:cs="Palatino Linotype"/>
          <w:i/>
          <w:color w:val="0D0D0D"/>
          <w:sz w:val="22"/>
          <w:szCs w:val="22"/>
        </w:rPr>
      </w:pPr>
      <w:r w:rsidRPr="00897F1E">
        <w:rPr>
          <w:rFonts w:ascii="Palatino Linotype" w:eastAsia="Palatino Linotype" w:hAnsi="Palatino Linotype" w:cs="Palatino Linotype"/>
          <w:i/>
          <w:color w:val="0D0D0D"/>
          <w:sz w:val="22"/>
          <w:szCs w:val="22"/>
        </w:rPr>
        <w:t>…</w:t>
      </w:r>
    </w:p>
    <w:p w:rsidR="001A4767" w:rsidRPr="00897F1E" w:rsidRDefault="00384B6A">
      <w:pPr>
        <w:spacing w:line="276" w:lineRule="auto"/>
        <w:ind w:left="567" w:right="539"/>
        <w:jc w:val="both"/>
        <w:rPr>
          <w:rFonts w:ascii="Palatino Linotype" w:eastAsia="Palatino Linotype" w:hAnsi="Palatino Linotype" w:cs="Palatino Linotype"/>
          <w:b/>
          <w:i/>
          <w:color w:val="0D0D0D"/>
          <w:sz w:val="22"/>
          <w:szCs w:val="22"/>
        </w:rPr>
      </w:pPr>
      <w:r w:rsidRPr="00897F1E">
        <w:rPr>
          <w:rFonts w:ascii="Palatino Linotype" w:eastAsia="Palatino Linotype" w:hAnsi="Palatino Linotype" w:cs="Palatino Linotype"/>
          <w:b/>
          <w:i/>
          <w:color w:val="0D0D0D"/>
          <w:sz w:val="22"/>
          <w:szCs w:val="22"/>
        </w:rPr>
        <w:t>c) Nombre de las partes que conforman el procedimiento;</w:t>
      </w:r>
    </w:p>
    <w:p w:rsidR="001A4767" w:rsidRPr="00897F1E" w:rsidRDefault="00384B6A">
      <w:pPr>
        <w:spacing w:line="276" w:lineRule="auto"/>
        <w:ind w:left="567" w:right="539"/>
        <w:jc w:val="both"/>
        <w:rPr>
          <w:rFonts w:ascii="Palatino Linotype" w:eastAsia="Palatino Linotype" w:hAnsi="Palatino Linotype" w:cs="Palatino Linotype"/>
          <w:b/>
          <w:i/>
          <w:color w:val="0D0D0D"/>
          <w:sz w:val="22"/>
          <w:szCs w:val="22"/>
        </w:rPr>
      </w:pPr>
      <w:r w:rsidRPr="00897F1E">
        <w:rPr>
          <w:rFonts w:ascii="Palatino Linotype" w:eastAsia="Palatino Linotype" w:hAnsi="Palatino Linotype" w:cs="Palatino Linotype"/>
          <w:i/>
          <w:color w:val="0D0D0D"/>
          <w:sz w:val="22"/>
          <w:szCs w:val="22"/>
        </w:rPr>
        <w:lastRenderedPageBreak/>
        <w:t>En atención al presente punto, es importante precisar, que la figura del denunciante no forma parte del procedimiento administrativo común, sino que el mismo, puede ser parte del procedimiento cuando se apersone como tercero interesado dentro del mismo, de conformidad con lo dispuesto en el artículo 111 del</w:t>
      </w:r>
      <w:r w:rsidRPr="00897F1E">
        <w:rPr>
          <w:rFonts w:ascii="Palatino Linotype" w:eastAsia="Palatino Linotype" w:hAnsi="Palatino Linotype" w:cs="Palatino Linotype"/>
          <w:b/>
          <w:i/>
          <w:color w:val="0D0D0D"/>
          <w:sz w:val="22"/>
          <w:szCs w:val="22"/>
        </w:rPr>
        <w:t xml:space="preserve"> </w:t>
      </w:r>
      <w:r w:rsidRPr="00897F1E">
        <w:rPr>
          <w:rFonts w:ascii="Palatino Linotype" w:eastAsia="Palatino Linotype" w:hAnsi="Palatino Linotype" w:cs="Palatino Linotype"/>
          <w:i/>
          <w:color w:val="0D0D0D"/>
          <w:sz w:val="22"/>
          <w:szCs w:val="22"/>
        </w:rPr>
        <w:t>Código de Procedimientos Administrativos vigente en la Entidad.</w:t>
      </w:r>
    </w:p>
    <w:p w:rsidR="001A4767" w:rsidRPr="00897F1E" w:rsidRDefault="001A4767">
      <w:pPr>
        <w:spacing w:line="276" w:lineRule="auto"/>
        <w:ind w:left="567" w:right="539"/>
        <w:jc w:val="both"/>
        <w:rPr>
          <w:rFonts w:ascii="Palatino Linotype" w:eastAsia="Palatino Linotype" w:hAnsi="Palatino Linotype" w:cs="Palatino Linotype"/>
          <w:i/>
          <w:color w:val="0D0D0D"/>
          <w:sz w:val="22"/>
          <w:szCs w:val="22"/>
        </w:rPr>
      </w:pPr>
    </w:p>
    <w:p w:rsidR="001A4767" w:rsidRPr="00897F1E" w:rsidRDefault="00384B6A">
      <w:pPr>
        <w:spacing w:line="276" w:lineRule="auto"/>
        <w:ind w:left="567" w:right="539"/>
        <w:jc w:val="both"/>
        <w:rPr>
          <w:rFonts w:ascii="Palatino Linotype" w:eastAsia="Palatino Linotype" w:hAnsi="Palatino Linotype" w:cs="Palatino Linotype"/>
          <w:i/>
          <w:color w:val="0D0D0D"/>
          <w:sz w:val="22"/>
          <w:szCs w:val="22"/>
        </w:rPr>
      </w:pPr>
      <w:r w:rsidRPr="00897F1E">
        <w:rPr>
          <w:rFonts w:ascii="Palatino Linotype" w:eastAsia="Palatino Linotype" w:hAnsi="Palatino Linotype" w:cs="Palatino Linotype"/>
          <w:i/>
          <w:color w:val="0D0D0D"/>
          <w:sz w:val="22"/>
          <w:szCs w:val="22"/>
        </w:rPr>
        <w:t xml:space="preserve">Una vez precisado lo anterior, hago de su conocimiento que las partes en el procedimiento de mérito son: la Procuraduría de Protección al Ambiente del Estado de México, en su carácter de autoridad y el H. Ayuntamiento de </w:t>
      </w:r>
      <w:proofErr w:type="spellStart"/>
      <w:r w:rsidRPr="00897F1E">
        <w:rPr>
          <w:rFonts w:ascii="Palatino Linotype" w:eastAsia="Palatino Linotype" w:hAnsi="Palatino Linotype" w:cs="Palatino Linotype"/>
          <w:i/>
          <w:color w:val="0D0D0D"/>
          <w:sz w:val="22"/>
          <w:szCs w:val="22"/>
        </w:rPr>
        <w:t>Tlalnepantia</w:t>
      </w:r>
      <w:proofErr w:type="spellEnd"/>
      <w:r w:rsidRPr="00897F1E">
        <w:rPr>
          <w:rFonts w:ascii="Palatino Linotype" w:eastAsia="Palatino Linotype" w:hAnsi="Palatino Linotype" w:cs="Palatino Linotype"/>
          <w:i/>
          <w:color w:val="0D0D0D"/>
          <w:sz w:val="22"/>
          <w:szCs w:val="22"/>
        </w:rPr>
        <w:t xml:space="preserve"> de Baz, en su carácter de presunto infractor.</w:t>
      </w:r>
    </w:p>
    <w:p w:rsidR="001A4767" w:rsidRPr="00897F1E" w:rsidRDefault="001A4767">
      <w:pPr>
        <w:spacing w:line="276" w:lineRule="auto"/>
        <w:ind w:left="567" w:right="539"/>
        <w:jc w:val="both"/>
        <w:rPr>
          <w:rFonts w:ascii="Palatino Linotype" w:eastAsia="Palatino Linotype" w:hAnsi="Palatino Linotype" w:cs="Palatino Linotype"/>
          <w:i/>
          <w:color w:val="0D0D0D"/>
          <w:sz w:val="22"/>
          <w:szCs w:val="22"/>
        </w:rPr>
      </w:pPr>
    </w:p>
    <w:p w:rsidR="001A4767" w:rsidRPr="00897F1E" w:rsidRDefault="00384B6A">
      <w:pPr>
        <w:spacing w:line="276" w:lineRule="auto"/>
        <w:ind w:left="567" w:right="539"/>
        <w:jc w:val="both"/>
        <w:rPr>
          <w:rFonts w:ascii="Palatino Linotype" w:eastAsia="Palatino Linotype" w:hAnsi="Palatino Linotype" w:cs="Palatino Linotype"/>
          <w:i/>
          <w:color w:val="0D0D0D"/>
          <w:sz w:val="22"/>
          <w:szCs w:val="22"/>
        </w:rPr>
      </w:pPr>
      <w:r w:rsidRPr="00897F1E">
        <w:rPr>
          <w:rFonts w:ascii="Palatino Linotype" w:eastAsia="Palatino Linotype" w:hAnsi="Palatino Linotype" w:cs="Palatino Linotype"/>
          <w:i/>
          <w:color w:val="0D0D0D"/>
          <w:sz w:val="22"/>
          <w:szCs w:val="22"/>
        </w:rPr>
        <w:t>Por último, manifiesto que en el procedimiento de mérito no se cuenta con la figura de tercero interesado.</w:t>
      </w:r>
    </w:p>
    <w:p w:rsidR="001A4767" w:rsidRPr="00897F1E" w:rsidRDefault="001A4767">
      <w:pPr>
        <w:spacing w:line="276" w:lineRule="auto"/>
        <w:ind w:left="567" w:right="539"/>
        <w:jc w:val="both"/>
        <w:rPr>
          <w:rFonts w:ascii="Palatino Linotype" w:eastAsia="Palatino Linotype" w:hAnsi="Palatino Linotype" w:cs="Palatino Linotype"/>
          <w:i/>
          <w:color w:val="0D0D0D"/>
          <w:sz w:val="22"/>
          <w:szCs w:val="22"/>
        </w:rPr>
      </w:pPr>
    </w:p>
    <w:p w:rsidR="001A4767" w:rsidRPr="00897F1E" w:rsidRDefault="00384B6A">
      <w:pPr>
        <w:spacing w:line="276" w:lineRule="auto"/>
        <w:ind w:left="567" w:right="539"/>
        <w:jc w:val="both"/>
        <w:rPr>
          <w:rFonts w:ascii="Palatino Linotype" w:eastAsia="Palatino Linotype" w:hAnsi="Palatino Linotype" w:cs="Palatino Linotype"/>
          <w:b/>
          <w:i/>
          <w:color w:val="0D0D0D"/>
          <w:sz w:val="22"/>
          <w:szCs w:val="22"/>
        </w:rPr>
      </w:pPr>
      <w:r w:rsidRPr="00897F1E">
        <w:rPr>
          <w:rFonts w:ascii="Palatino Linotype" w:eastAsia="Palatino Linotype" w:hAnsi="Palatino Linotype" w:cs="Palatino Linotype"/>
          <w:b/>
          <w:i/>
          <w:color w:val="0D0D0D"/>
          <w:sz w:val="22"/>
          <w:szCs w:val="22"/>
        </w:rPr>
        <w:t>d) ¿Cuáles son las etapas que conforman este?</w:t>
      </w:r>
    </w:p>
    <w:p w:rsidR="001A4767" w:rsidRPr="00897F1E" w:rsidRDefault="00384B6A">
      <w:pPr>
        <w:spacing w:line="276" w:lineRule="auto"/>
        <w:ind w:left="567" w:right="539"/>
        <w:jc w:val="both"/>
        <w:rPr>
          <w:rFonts w:ascii="Palatino Linotype" w:eastAsia="Palatino Linotype" w:hAnsi="Palatino Linotype" w:cs="Palatino Linotype"/>
          <w:i/>
          <w:color w:val="0D0D0D"/>
          <w:sz w:val="22"/>
          <w:szCs w:val="22"/>
        </w:rPr>
      </w:pPr>
      <w:r w:rsidRPr="00897F1E">
        <w:rPr>
          <w:rFonts w:ascii="Palatino Linotype" w:eastAsia="Palatino Linotype" w:hAnsi="Palatino Linotype" w:cs="Palatino Linotype"/>
          <w:i/>
          <w:color w:val="0D0D0D"/>
          <w:sz w:val="22"/>
          <w:szCs w:val="22"/>
        </w:rPr>
        <w:t xml:space="preserve">Por cuanto hace a este punto, es de precisar que en estricto sentido, la denuncia no forma parte del procedimiento. </w:t>
      </w:r>
    </w:p>
    <w:p w:rsidR="001A4767" w:rsidRPr="00897F1E" w:rsidRDefault="001A4767">
      <w:pPr>
        <w:spacing w:line="276" w:lineRule="auto"/>
        <w:ind w:left="567" w:right="539"/>
        <w:jc w:val="both"/>
        <w:rPr>
          <w:rFonts w:ascii="Palatino Linotype" w:eastAsia="Palatino Linotype" w:hAnsi="Palatino Linotype" w:cs="Palatino Linotype"/>
          <w:i/>
          <w:color w:val="0D0D0D"/>
          <w:sz w:val="22"/>
          <w:szCs w:val="22"/>
        </w:rPr>
      </w:pPr>
    </w:p>
    <w:p w:rsidR="001A4767" w:rsidRPr="00897F1E" w:rsidRDefault="00384B6A">
      <w:pPr>
        <w:spacing w:line="276" w:lineRule="auto"/>
        <w:ind w:left="567" w:right="539"/>
        <w:jc w:val="both"/>
        <w:rPr>
          <w:rFonts w:ascii="Palatino Linotype" w:eastAsia="Palatino Linotype" w:hAnsi="Palatino Linotype" w:cs="Palatino Linotype"/>
          <w:i/>
          <w:color w:val="0D0D0D"/>
          <w:sz w:val="22"/>
          <w:szCs w:val="22"/>
        </w:rPr>
      </w:pPr>
      <w:r w:rsidRPr="00897F1E">
        <w:rPr>
          <w:rFonts w:ascii="Palatino Linotype" w:eastAsia="Palatino Linotype" w:hAnsi="Palatino Linotype" w:cs="Palatino Linotype"/>
          <w:i/>
          <w:color w:val="0D0D0D"/>
          <w:sz w:val="22"/>
          <w:szCs w:val="22"/>
        </w:rPr>
        <w:t xml:space="preserve">Por tal motivo, las etapas del procedimiento administrativo común son las siguientes: </w:t>
      </w:r>
    </w:p>
    <w:p w:rsidR="001A4767" w:rsidRPr="00897F1E" w:rsidRDefault="00384B6A">
      <w:pPr>
        <w:spacing w:line="276" w:lineRule="auto"/>
        <w:ind w:left="567" w:right="539"/>
        <w:jc w:val="center"/>
        <w:rPr>
          <w:rFonts w:ascii="Palatino Linotype" w:eastAsia="Palatino Linotype" w:hAnsi="Palatino Linotype" w:cs="Palatino Linotype"/>
          <w:i/>
          <w:color w:val="0D0D0D"/>
          <w:sz w:val="22"/>
          <w:szCs w:val="22"/>
        </w:rPr>
      </w:pPr>
      <w:r w:rsidRPr="00897F1E">
        <w:rPr>
          <w:rFonts w:ascii="Palatino Linotype" w:eastAsia="Palatino Linotype" w:hAnsi="Palatino Linotype" w:cs="Palatino Linotype"/>
          <w:i/>
          <w:noProof/>
          <w:color w:val="0D0D0D"/>
          <w:sz w:val="22"/>
          <w:szCs w:val="22"/>
          <w:lang w:eastAsia="es-MX"/>
        </w:rPr>
        <w:drawing>
          <wp:inline distT="0" distB="0" distL="0" distR="0">
            <wp:extent cx="4500947" cy="2214877"/>
            <wp:effectExtent l="0" t="0" r="0" b="0"/>
            <wp:docPr id="6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4500947" cy="2214877"/>
                    </a:xfrm>
                    <a:prstGeom prst="rect">
                      <a:avLst/>
                    </a:prstGeom>
                    <a:ln/>
                  </pic:spPr>
                </pic:pic>
              </a:graphicData>
            </a:graphic>
          </wp:inline>
        </w:drawing>
      </w:r>
    </w:p>
    <w:p w:rsidR="001A4767" w:rsidRPr="00897F1E" w:rsidRDefault="001A4767">
      <w:pPr>
        <w:spacing w:line="276" w:lineRule="auto"/>
        <w:ind w:left="567" w:right="539"/>
        <w:jc w:val="both"/>
        <w:rPr>
          <w:rFonts w:ascii="Palatino Linotype" w:eastAsia="Palatino Linotype" w:hAnsi="Palatino Linotype" w:cs="Palatino Linotype"/>
          <w:i/>
          <w:color w:val="0D0D0D"/>
          <w:sz w:val="22"/>
          <w:szCs w:val="22"/>
        </w:rPr>
      </w:pPr>
    </w:p>
    <w:p w:rsidR="001A4767" w:rsidRPr="00897F1E" w:rsidRDefault="00384B6A">
      <w:pPr>
        <w:spacing w:line="276" w:lineRule="auto"/>
        <w:ind w:left="567" w:right="539"/>
        <w:jc w:val="both"/>
        <w:rPr>
          <w:rFonts w:ascii="Palatino Linotype" w:eastAsia="Palatino Linotype" w:hAnsi="Palatino Linotype" w:cs="Palatino Linotype"/>
          <w:b/>
          <w:i/>
          <w:color w:val="0D0D0D"/>
          <w:sz w:val="22"/>
          <w:szCs w:val="22"/>
        </w:rPr>
      </w:pPr>
      <w:r w:rsidRPr="00897F1E">
        <w:rPr>
          <w:rFonts w:ascii="Palatino Linotype" w:eastAsia="Palatino Linotype" w:hAnsi="Palatino Linotype" w:cs="Palatino Linotype"/>
          <w:b/>
          <w:i/>
          <w:color w:val="0D0D0D"/>
          <w:sz w:val="22"/>
          <w:szCs w:val="22"/>
        </w:rPr>
        <w:t>e) Indique la etapa en la que se encontraba a la fecha de la solicitud;</w:t>
      </w:r>
    </w:p>
    <w:p w:rsidR="001A4767" w:rsidRPr="00897F1E" w:rsidRDefault="001A4767">
      <w:pPr>
        <w:spacing w:line="276" w:lineRule="auto"/>
        <w:ind w:left="567" w:right="539"/>
        <w:jc w:val="both"/>
        <w:rPr>
          <w:rFonts w:ascii="Palatino Linotype" w:eastAsia="Palatino Linotype" w:hAnsi="Palatino Linotype" w:cs="Palatino Linotype"/>
          <w:i/>
          <w:color w:val="0D0D0D"/>
          <w:sz w:val="22"/>
          <w:szCs w:val="22"/>
        </w:rPr>
      </w:pPr>
    </w:p>
    <w:p w:rsidR="001A4767" w:rsidRPr="00897F1E" w:rsidRDefault="00384B6A">
      <w:pPr>
        <w:spacing w:line="276" w:lineRule="auto"/>
        <w:ind w:left="567" w:right="539"/>
        <w:jc w:val="both"/>
        <w:rPr>
          <w:rFonts w:ascii="Palatino Linotype" w:eastAsia="Palatino Linotype" w:hAnsi="Palatino Linotype" w:cs="Palatino Linotype"/>
          <w:i/>
          <w:color w:val="0D0D0D"/>
          <w:sz w:val="22"/>
          <w:szCs w:val="22"/>
        </w:rPr>
      </w:pPr>
      <w:r w:rsidRPr="00897F1E">
        <w:rPr>
          <w:rFonts w:ascii="Palatino Linotype" w:eastAsia="Palatino Linotype" w:hAnsi="Palatino Linotype" w:cs="Palatino Linotype"/>
          <w:i/>
          <w:color w:val="0D0D0D"/>
          <w:sz w:val="22"/>
          <w:szCs w:val="22"/>
        </w:rPr>
        <w:lastRenderedPageBreak/>
        <w:t>El procedimiento administrativo PROPAEM-2021-07/VM/0466, seguido en forma de juicio se encontraba en la etapa de emisión y notificación de resolución</w:t>
      </w:r>
    </w:p>
    <w:p w:rsidR="001A4767" w:rsidRPr="00897F1E" w:rsidRDefault="001A4767">
      <w:pPr>
        <w:spacing w:line="276" w:lineRule="auto"/>
        <w:ind w:left="567" w:right="539"/>
        <w:jc w:val="both"/>
        <w:rPr>
          <w:rFonts w:ascii="Palatino Linotype" w:eastAsia="Palatino Linotype" w:hAnsi="Palatino Linotype" w:cs="Palatino Linotype"/>
          <w:i/>
          <w:color w:val="0D0D0D"/>
          <w:sz w:val="22"/>
          <w:szCs w:val="22"/>
        </w:rPr>
      </w:pPr>
    </w:p>
    <w:p w:rsidR="001A4767" w:rsidRPr="00897F1E" w:rsidRDefault="00384B6A">
      <w:pPr>
        <w:spacing w:line="276" w:lineRule="auto"/>
        <w:ind w:left="567" w:right="539"/>
        <w:jc w:val="both"/>
        <w:rPr>
          <w:rFonts w:ascii="Palatino Linotype" w:eastAsia="Palatino Linotype" w:hAnsi="Palatino Linotype" w:cs="Palatino Linotype"/>
          <w:b/>
          <w:i/>
          <w:color w:val="0D0D0D"/>
          <w:sz w:val="22"/>
          <w:szCs w:val="22"/>
        </w:rPr>
      </w:pPr>
      <w:r w:rsidRPr="00897F1E">
        <w:rPr>
          <w:rFonts w:ascii="Palatino Linotype" w:eastAsia="Palatino Linotype" w:hAnsi="Palatino Linotype" w:cs="Palatino Linotype"/>
          <w:b/>
          <w:i/>
          <w:color w:val="0D0D0D"/>
          <w:sz w:val="22"/>
          <w:szCs w:val="22"/>
        </w:rPr>
        <w:t>f) Fecha aproximada de conclusión;</w:t>
      </w:r>
    </w:p>
    <w:p w:rsidR="001A4767" w:rsidRPr="00897F1E" w:rsidRDefault="00384B6A">
      <w:pPr>
        <w:spacing w:line="276" w:lineRule="auto"/>
        <w:ind w:left="567" w:right="539"/>
        <w:jc w:val="both"/>
        <w:rPr>
          <w:rFonts w:ascii="Palatino Linotype" w:eastAsia="Palatino Linotype" w:hAnsi="Palatino Linotype" w:cs="Palatino Linotype"/>
          <w:b/>
          <w:i/>
          <w:color w:val="0D0D0D"/>
          <w:sz w:val="22"/>
          <w:szCs w:val="22"/>
        </w:rPr>
      </w:pPr>
      <w:r w:rsidRPr="00897F1E">
        <w:rPr>
          <w:rFonts w:ascii="Palatino Linotype" w:eastAsia="Palatino Linotype" w:hAnsi="Palatino Linotype" w:cs="Palatino Linotype"/>
          <w:i/>
          <w:color w:val="0D0D0D"/>
          <w:sz w:val="22"/>
          <w:szCs w:val="22"/>
        </w:rPr>
        <w:t>De manera atenta hago de su conocimiento, que el expediente número PROPAEM-2021-07/M/0466, se encuentra en etapa de emisión y notificación de resolución, y por tanto, se encuentra pendiente aún de la resolución que en derecho corresponda, la cual es el final del procedimiento administrativo sin embargo, si esta última condena al infractor a un hacer o dejar de hacer o realizar un pago, dicha conclusión será hasta que el particular dé cabal cumplimiento a lo condenado en la resolución.</w:t>
      </w:r>
    </w:p>
    <w:p w:rsidR="001A4767" w:rsidRPr="00897F1E" w:rsidRDefault="001A4767">
      <w:pPr>
        <w:spacing w:line="276" w:lineRule="auto"/>
        <w:ind w:left="567" w:right="539"/>
        <w:jc w:val="both"/>
        <w:rPr>
          <w:rFonts w:ascii="Palatino Linotype" w:eastAsia="Palatino Linotype" w:hAnsi="Palatino Linotype" w:cs="Palatino Linotype"/>
          <w:i/>
          <w:color w:val="0D0D0D"/>
          <w:sz w:val="22"/>
          <w:szCs w:val="22"/>
        </w:rPr>
      </w:pPr>
    </w:p>
    <w:p w:rsidR="001A4767" w:rsidRPr="00897F1E" w:rsidRDefault="00384B6A">
      <w:pPr>
        <w:spacing w:line="276" w:lineRule="auto"/>
        <w:ind w:left="567" w:right="539"/>
        <w:jc w:val="both"/>
        <w:rPr>
          <w:rFonts w:ascii="Palatino Linotype" w:eastAsia="Palatino Linotype" w:hAnsi="Palatino Linotype" w:cs="Palatino Linotype"/>
          <w:i/>
          <w:color w:val="0D0D0D"/>
          <w:sz w:val="22"/>
          <w:szCs w:val="22"/>
        </w:rPr>
      </w:pPr>
      <w:r w:rsidRPr="00897F1E">
        <w:rPr>
          <w:rFonts w:ascii="Palatino Linotype" w:eastAsia="Palatino Linotype" w:hAnsi="Palatino Linotype" w:cs="Palatino Linotype"/>
          <w:i/>
          <w:color w:val="0D0D0D"/>
          <w:sz w:val="22"/>
          <w:szCs w:val="22"/>
        </w:rPr>
        <w:t>En ese sentido, esta autoridad no puede proporcionar una fecha aproximada de conclusión, ya que con base en lo dispuesto en el marco jurídico que rige a esta autoridad ambiental, si para el caso que el infractor no realice el pago de la multa impuesta, se deberá dar vista a la Secretaría de Finanzas para que implemente el procedimiento administrativo de ejecución, sustanciación que es ajena a esta autoridad, adicional a los medios de defensa con los que cuenta el particular como lo es el Recurso de Inconformidad, Juicio Administrativo,</w:t>
      </w:r>
    </w:p>
    <w:p w:rsidR="001A4767" w:rsidRPr="00897F1E" w:rsidRDefault="00384B6A">
      <w:pPr>
        <w:spacing w:line="276" w:lineRule="auto"/>
        <w:ind w:left="567" w:right="539"/>
        <w:jc w:val="both"/>
        <w:rPr>
          <w:rFonts w:ascii="Palatino Linotype" w:eastAsia="Palatino Linotype" w:hAnsi="Palatino Linotype" w:cs="Palatino Linotype"/>
          <w:i/>
          <w:color w:val="0D0D0D"/>
          <w:sz w:val="22"/>
          <w:szCs w:val="22"/>
        </w:rPr>
      </w:pPr>
      <w:r w:rsidRPr="00897F1E">
        <w:rPr>
          <w:rFonts w:ascii="Palatino Linotype" w:eastAsia="Palatino Linotype" w:hAnsi="Palatino Linotype" w:cs="Palatino Linotype"/>
          <w:i/>
          <w:color w:val="0D0D0D"/>
          <w:sz w:val="22"/>
          <w:szCs w:val="22"/>
        </w:rPr>
        <w:t>Recurso de Revisión, Juicio de Amparo, Recurso de Revisión.</w:t>
      </w:r>
    </w:p>
    <w:p w:rsidR="001A4767" w:rsidRPr="00897F1E" w:rsidRDefault="001A4767">
      <w:pPr>
        <w:spacing w:line="276" w:lineRule="auto"/>
        <w:ind w:left="567" w:right="539"/>
        <w:jc w:val="both"/>
        <w:rPr>
          <w:rFonts w:ascii="Palatino Linotype" w:eastAsia="Palatino Linotype" w:hAnsi="Palatino Linotype" w:cs="Palatino Linotype"/>
          <w:i/>
          <w:color w:val="0D0D0D"/>
          <w:sz w:val="22"/>
          <w:szCs w:val="22"/>
        </w:rPr>
      </w:pPr>
    </w:p>
    <w:p w:rsidR="001A4767" w:rsidRPr="00897F1E" w:rsidRDefault="00384B6A">
      <w:pPr>
        <w:spacing w:line="276" w:lineRule="auto"/>
        <w:ind w:left="567" w:right="539"/>
        <w:jc w:val="both"/>
        <w:rPr>
          <w:rFonts w:ascii="Palatino Linotype" w:eastAsia="Palatino Linotype" w:hAnsi="Palatino Linotype" w:cs="Palatino Linotype"/>
          <w:b/>
          <w:i/>
          <w:color w:val="0D0D0D"/>
          <w:sz w:val="22"/>
          <w:szCs w:val="22"/>
        </w:rPr>
      </w:pPr>
      <w:r w:rsidRPr="00897F1E">
        <w:rPr>
          <w:rFonts w:ascii="Palatino Linotype" w:eastAsia="Palatino Linotype" w:hAnsi="Palatino Linotype" w:cs="Palatino Linotype"/>
          <w:b/>
          <w:i/>
          <w:color w:val="0D0D0D"/>
          <w:sz w:val="22"/>
          <w:szCs w:val="22"/>
        </w:rPr>
        <w:t>g) Razones por las cuáles, considera que la difusión de la información requerida por el solicitante puede afectarlo;</w:t>
      </w:r>
    </w:p>
    <w:p w:rsidR="001A4767" w:rsidRPr="00897F1E" w:rsidRDefault="001A4767">
      <w:pPr>
        <w:spacing w:line="276" w:lineRule="auto"/>
        <w:ind w:left="567" w:right="539"/>
        <w:jc w:val="both"/>
        <w:rPr>
          <w:rFonts w:ascii="Palatino Linotype" w:eastAsia="Palatino Linotype" w:hAnsi="Palatino Linotype" w:cs="Palatino Linotype"/>
          <w:i/>
          <w:color w:val="0D0D0D"/>
          <w:sz w:val="22"/>
          <w:szCs w:val="22"/>
        </w:rPr>
      </w:pPr>
    </w:p>
    <w:p w:rsidR="001A4767" w:rsidRPr="00897F1E" w:rsidRDefault="00384B6A">
      <w:pPr>
        <w:spacing w:line="276" w:lineRule="auto"/>
        <w:ind w:left="567" w:right="539"/>
        <w:jc w:val="both"/>
        <w:rPr>
          <w:rFonts w:ascii="Palatino Linotype" w:eastAsia="Palatino Linotype" w:hAnsi="Palatino Linotype" w:cs="Palatino Linotype"/>
          <w:b/>
          <w:i/>
          <w:color w:val="0D0D0D"/>
          <w:sz w:val="22"/>
          <w:szCs w:val="22"/>
        </w:rPr>
      </w:pPr>
      <w:r w:rsidRPr="00897F1E">
        <w:rPr>
          <w:rFonts w:ascii="Palatino Linotype" w:eastAsia="Palatino Linotype" w:hAnsi="Palatino Linotype" w:cs="Palatino Linotype"/>
          <w:b/>
          <w:i/>
          <w:color w:val="0D0D0D"/>
          <w:sz w:val="22"/>
          <w:szCs w:val="22"/>
        </w:rPr>
        <w:t xml:space="preserve">a) Porque constituye un riesgo real, demostrable e identificable. </w:t>
      </w:r>
    </w:p>
    <w:p w:rsidR="001A4767" w:rsidRPr="00897F1E" w:rsidRDefault="001A4767">
      <w:pPr>
        <w:spacing w:line="276" w:lineRule="auto"/>
        <w:ind w:left="567" w:right="539"/>
        <w:jc w:val="both"/>
        <w:rPr>
          <w:rFonts w:ascii="Palatino Linotype" w:eastAsia="Palatino Linotype" w:hAnsi="Palatino Linotype" w:cs="Palatino Linotype"/>
          <w:i/>
          <w:color w:val="0D0D0D"/>
          <w:sz w:val="22"/>
          <w:szCs w:val="22"/>
        </w:rPr>
      </w:pPr>
    </w:p>
    <w:p w:rsidR="001A4767" w:rsidRPr="00897F1E" w:rsidRDefault="00384B6A">
      <w:pPr>
        <w:spacing w:line="276" w:lineRule="auto"/>
        <w:ind w:left="567" w:right="539"/>
        <w:jc w:val="both"/>
        <w:rPr>
          <w:rFonts w:ascii="Palatino Linotype" w:eastAsia="Palatino Linotype" w:hAnsi="Palatino Linotype" w:cs="Palatino Linotype"/>
          <w:i/>
          <w:color w:val="0D0D0D"/>
          <w:sz w:val="22"/>
          <w:szCs w:val="22"/>
        </w:rPr>
      </w:pPr>
      <w:r w:rsidRPr="00897F1E">
        <w:rPr>
          <w:rFonts w:ascii="Palatino Linotype" w:eastAsia="Palatino Linotype" w:hAnsi="Palatino Linotype" w:cs="Palatino Linotype"/>
          <w:i/>
          <w:color w:val="0D0D0D"/>
          <w:sz w:val="22"/>
          <w:szCs w:val="22"/>
        </w:rPr>
        <w:t>Toda vez que de dar a conocer el contenido del expediente número PROPAEM-2021-07/V/M/0466, mismos que se encuentran en emisión de resolución respectiva en la Subdirección de Atención y Seguimiento de Procedimientos de esta autoridad ambiental, podría afectar al posible responsable infractor, pues se darían a conocer los motivos por los cuales se inspeccionó y se encontraron irregularidades u omisiones, lo cual podría generar una percepción negativa de este, sin que se hubiere probado su responsabilidad, además de que la ciudadanía podría considerar que hubo una actuación irregular sin que esta autoridad ambiental lo haya determinado, situación que podría afectar su honor, buena reputación o buena fama.</w:t>
      </w:r>
    </w:p>
    <w:p w:rsidR="001A4767" w:rsidRPr="00897F1E" w:rsidRDefault="00384B6A">
      <w:pPr>
        <w:spacing w:line="276" w:lineRule="auto"/>
        <w:ind w:left="567" w:right="539"/>
        <w:jc w:val="both"/>
        <w:rPr>
          <w:rFonts w:ascii="Palatino Linotype" w:eastAsia="Palatino Linotype" w:hAnsi="Palatino Linotype" w:cs="Palatino Linotype"/>
          <w:i/>
          <w:color w:val="0D0D0D"/>
          <w:sz w:val="22"/>
          <w:szCs w:val="22"/>
        </w:rPr>
      </w:pPr>
      <w:r w:rsidRPr="00897F1E">
        <w:rPr>
          <w:rFonts w:ascii="Palatino Linotype" w:eastAsia="Palatino Linotype" w:hAnsi="Palatino Linotype" w:cs="Palatino Linotype"/>
          <w:i/>
          <w:color w:val="0D0D0D"/>
          <w:sz w:val="22"/>
          <w:szCs w:val="22"/>
        </w:rPr>
        <w:lastRenderedPageBreak/>
        <w:t>…</w:t>
      </w:r>
    </w:p>
    <w:p w:rsidR="001A4767" w:rsidRPr="00897F1E" w:rsidRDefault="001A4767">
      <w:pPr>
        <w:spacing w:line="276" w:lineRule="auto"/>
        <w:ind w:left="567" w:right="539"/>
        <w:jc w:val="both"/>
        <w:rPr>
          <w:rFonts w:ascii="Palatino Linotype" w:eastAsia="Palatino Linotype" w:hAnsi="Palatino Linotype" w:cs="Palatino Linotype"/>
          <w:i/>
          <w:color w:val="0D0D0D"/>
          <w:sz w:val="22"/>
          <w:szCs w:val="22"/>
        </w:rPr>
      </w:pPr>
    </w:p>
    <w:p w:rsidR="001A4767" w:rsidRPr="00897F1E" w:rsidRDefault="00384B6A">
      <w:pPr>
        <w:spacing w:line="276" w:lineRule="auto"/>
        <w:ind w:left="567" w:right="539"/>
        <w:jc w:val="both"/>
        <w:rPr>
          <w:rFonts w:ascii="Palatino Linotype" w:eastAsia="Palatino Linotype" w:hAnsi="Palatino Linotype" w:cs="Palatino Linotype"/>
          <w:b/>
          <w:i/>
          <w:color w:val="0D0D0D"/>
          <w:sz w:val="22"/>
          <w:szCs w:val="22"/>
        </w:rPr>
      </w:pPr>
      <w:r w:rsidRPr="00897F1E">
        <w:rPr>
          <w:rFonts w:ascii="Palatino Linotype" w:eastAsia="Palatino Linotype" w:hAnsi="Palatino Linotype" w:cs="Palatino Linotype"/>
          <w:b/>
          <w:i/>
          <w:color w:val="0D0D0D"/>
          <w:sz w:val="22"/>
          <w:szCs w:val="22"/>
        </w:rPr>
        <w:t>h) ¿Cómo Incide en la toma de la decisión definitiva el dar a conocer el contenido en el expediente materia a solicitud?;</w:t>
      </w:r>
    </w:p>
    <w:p w:rsidR="001A4767" w:rsidRPr="00897F1E" w:rsidRDefault="00384B6A">
      <w:pPr>
        <w:spacing w:line="276" w:lineRule="auto"/>
        <w:ind w:left="567" w:right="539"/>
        <w:jc w:val="both"/>
        <w:rPr>
          <w:rFonts w:ascii="Palatino Linotype" w:eastAsia="Palatino Linotype" w:hAnsi="Palatino Linotype" w:cs="Palatino Linotype"/>
          <w:i/>
          <w:color w:val="0D0D0D"/>
          <w:sz w:val="22"/>
          <w:szCs w:val="22"/>
        </w:rPr>
      </w:pPr>
      <w:r w:rsidRPr="00897F1E">
        <w:rPr>
          <w:rFonts w:ascii="Palatino Linotype" w:eastAsia="Palatino Linotype" w:hAnsi="Palatino Linotype" w:cs="Palatino Linotype"/>
          <w:i/>
          <w:color w:val="0D0D0D"/>
          <w:sz w:val="22"/>
          <w:szCs w:val="22"/>
        </w:rPr>
        <w:t>Al respecto, como fuera referido anteriormente, esta autoridad considera que el otorgar la información antes de quedar firme el procedimiento en mérito puede afectar a que se conozcan datos inherentes al mismo, lo que depararía en la interposición de medios de defensa, así como afectar la fama pública y la esfera jurídica del presunto infractor; así mismo, esta Procuraduría tiene como finalidad velar por el interés público, social o general resguardado en el artículo 4º constitucional, por lo que otorgar dicha información presumiría una violación flagrante al debido proceso, toda vez que el revelar la información contenida en el asunto, conllevaría a que éste pueda ser susceptible a la manipulación de la información en perjuicio del presunto infractor y con ello a la violación al derecho a un medio ambiente sano para la población de la entidad.</w:t>
      </w:r>
    </w:p>
    <w:p w:rsidR="001A4767" w:rsidRPr="00897F1E" w:rsidRDefault="001A4767">
      <w:pPr>
        <w:spacing w:line="276" w:lineRule="auto"/>
        <w:ind w:left="567" w:right="539"/>
        <w:jc w:val="both"/>
        <w:rPr>
          <w:rFonts w:ascii="Palatino Linotype" w:eastAsia="Palatino Linotype" w:hAnsi="Palatino Linotype" w:cs="Palatino Linotype"/>
          <w:i/>
          <w:color w:val="0D0D0D"/>
          <w:sz w:val="22"/>
          <w:szCs w:val="22"/>
        </w:rPr>
      </w:pPr>
    </w:p>
    <w:p w:rsidR="001A4767" w:rsidRPr="00897F1E" w:rsidRDefault="00384B6A">
      <w:pPr>
        <w:spacing w:line="276" w:lineRule="auto"/>
        <w:ind w:left="567" w:right="539"/>
        <w:jc w:val="both"/>
        <w:rPr>
          <w:rFonts w:ascii="Palatino Linotype" w:eastAsia="Palatino Linotype" w:hAnsi="Palatino Linotype" w:cs="Palatino Linotype"/>
          <w:i/>
          <w:color w:val="0D0D0D"/>
          <w:sz w:val="22"/>
          <w:szCs w:val="22"/>
        </w:rPr>
      </w:pPr>
      <w:r w:rsidRPr="00897F1E">
        <w:rPr>
          <w:rFonts w:ascii="Palatino Linotype" w:eastAsia="Palatino Linotype" w:hAnsi="Palatino Linotype" w:cs="Palatino Linotype"/>
          <w:i/>
          <w:color w:val="0D0D0D"/>
          <w:sz w:val="22"/>
          <w:szCs w:val="22"/>
        </w:rPr>
        <w:t xml:space="preserve">En ese orden de ideas, el revelar datos del presunto infractor a un particular que no forma parte del procedimiento aun cuando existe dentro del Código de Procedimiento Administrativos del Estado de México, la formalidad establecida para ser parte del procedimiento </w:t>
      </w:r>
      <w:proofErr w:type="spellStart"/>
      <w:r w:rsidRPr="00897F1E">
        <w:rPr>
          <w:rFonts w:ascii="Palatino Linotype" w:eastAsia="Palatino Linotype" w:hAnsi="Palatino Linotype" w:cs="Palatino Linotype"/>
          <w:i/>
          <w:color w:val="0D0D0D"/>
          <w:sz w:val="22"/>
          <w:szCs w:val="22"/>
        </w:rPr>
        <w:t>haria</w:t>
      </w:r>
      <w:proofErr w:type="spellEnd"/>
      <w:r w:rsidRPr="00897F1E">
        <w:rPr>
          <w:rFonts w:ascii="Palatino Linotype" w:eastAsia="Palatino Linotype" w:hAnsi="Palatino Linotype" w:cs="Palatino Linotype"/>
          <w:i/>
          <w:color w:val="0D0D0D"/>
          <w:sz w:val="22"/>
          <w:szCs w:val="22"/>
        </w:rPr>
        <w:t xml:space="preserve"> que se violente la protección de datos de las partes que fungen en el mismo y de la normatividad en materia administrativa.</w:t>
      </w:r>
    </w:p>
    <w:p w:rsidR="001A4767" w:rsidRPr="00897F1E" w:rsidRDefault="001A4767">
      <w:pPr>
        <w:spacing w:line="276" w:lineRule="auto"/>
        <w:ind w:left="567" w:right="539"/>
        <w:jc w:val="both"/>
        <w:rPr>
          <w:rFonts w:ascii="Palatino Linotype" w:eastAsia="Palatino Linotype" w:hAnsi="Palatino Linotype" w:cs="Palatino Linotype"/>
          <w:i/>
          <w:color w:val="0D0D0D"/>
          <w:sz w:val="22"/>
          <w:szCs w:val="22"/>
        </w:rPr>
      </w:pPr>
    </w:p>
    <w:p w:rsidR="001A4767" w:rsidRPr="00897F1E" w:rsidRDefault="00384B6A">
      <w:pPr>
        <w:spacing w:line="276" w:lineRule="auto"/>
        <w:ind w:left="567" w:right="539"/>
        <w:jc w:val="both"/>
        <w:rPr>
          <w:rFonts w:ascii="Palatino Linotype" w:eastAsia="Palatino Linotype" w:hAnsi="Palatino Linotype" w:cs="Palatino Linotype"/>
          <w:i/>
          <w:color w:val="0D0D0D"/>
          <w:sz w:val="22"/>
          <w:szCs w:val="22"/>
        </w:rPr>
      </w:pPr>
      <w:r w:rsidRPr="00897F1E">
        <w:rPr>
          <w:rFonts w:ascii="Palatino Linotype" w:eastAsia="Palatino Linotype" w:hAnsi="Palatino Linotype" w:cs="Palatino Linotype"/>
          <w:i/>
          <w:color w:val="0D0D0D"/>
          <w:sz w:val="22"/>
          <w:szCs w:val="22"/>
        </w:rPr>
        <w:t>La ponderación de interés de reservar la información contenida en el expediente de mérito, parte de la premisa de que dicho expediente aún se encuentra sustanciándose, y el hecho de entregar la información con la que se cuenta, crearía un riesgo de perjuicio directo al debido proceso a través de la documentación con la que se integra dicho expediente, cabe hacer hincapié en el hecho de que se tiene la obligación de tramitar dicho expediente desde el inicio hasta su conclusión. Esto constituye un interés superior al derecho de acceso a la información debido a que existe disposición expresa.</w:t>
      </w:r>
    </w:p>
    <w:p w:rsidR="001A4767" w:rsidRPr="00897F1E" w:rsidRDefault="001A4767">
      <w:pPr>
        <w:spacing w:line="276" w:lineRule="auto"/>
        <w:ind w:left="567" w:right="539"/>
        <w:jc w:val="both"/>
        <w:rPr>
          <w:rFonts w:ascii="Palatino Linotype" w:eastAsia="Palatino Linotype" w:hAnsi="Palatino Linotype" w:cs="Palatino Linotype"/>
          <w:i/>
          <w:color w:val="0D0D0D"/>
          <w:sz w:val="22"/>
          <w:szCs w:val="22"/>
        </w:rPr>
      </w:pPr>
    </w:p>
    <w:p w:rsidR="001A4767" w:rsidRPr="00897F1E" w:rsidRDefault="00384B6A">
      <w:pPr>
        <w:spacing w:line="276" w:lineRule="auto"/>
        <w:ind w:left="567" w:right="539"/>
        <w:jc w:val="both"/>
        <w:rPr>
          <w:rFonts w:ascii="Palatino Linotype" w:eastAsia="Palatino Linotype" w:hAnsi="Palatino Linotype" w:cs="Palatino Linotype"/>
          <w:i/>
          <w:color w:val="0D0D0D"/>
          <w:sz w:val="22"/>
          <w:szCs w:val="22"/>
        </w:rPr>
      </w:pPr>
      <w:r w:rsidRPr="00897F1E">
        <w:rPr>
          <w:rFonts w:ascii="Palatino Linotype" w:eastAsia="Palatino Linotype" w:hAnsi="Palatino Linotype" w:cs="Palatino Linotype"/>
          <w:i/>
          <w:color w:val="0D0D0D"/>
          <w:sz w:val="22"/>
          <w:szCs w:val="22"/>
        </w:rPr>
        <w:t xml:space="preserve">Por lo anteriormente expuesto, de manera respetuosa le refiero que proporcionar la información afectaría y vulneraría la prerrogativa inherente al debido proceso en dicho procedimiento administrativo en materia ambiental, en tanto no haya quedado firme, tal como lo establece el artículo 140 fracción VIII de la Ley de Transparencia y Acceso a la </w:t>
      </w:r>
      <w:r w:rsidRPr="00897F1E">
        <w:rPr>
          <w:rFonts w:ascii="Palatino Linotype" w:eastAsia="Palatino Linotype" w:hAnsi="Palatino Linotype" w:cs="Palatino Linotype"/>
          <w:i/>
          <w:color w:val="0D0D0D"/>
          <w:sz w:val="22"/>
          <w:szCs w:val="22"/>
        </w:rPr>
        <w:lastRenderedPageBreak/>
        <w:t>Información Pública del Estado de México y Municipios, además de que traería como posible consecuencia aparejada, la interposición de diversos medios de defensa ante autoridades jurisdiccionales los cuales a su vez, pudieran según sea el caso, ordenar el cese o absolución del procedimiento incoado por esta autoridad ambiental, en contra del presunto infractor.</w:t>
      </w:r>
    </w:p>
    <w:p w:rsidR="001A4767" w:rsidRPr="00897F1E" w:rsidRDefault="001A4767">
      <w:pPr>
        <w:spacing w:line="276" w:lineRule="auto"/>
        <w:ind w:left="567" w:right="539"/>
        <w:jc w:val="both"/>
        <w:rPr>
          <w:rFonts w:ascii="Palatino Linotype" w:eastAsia="Palatino Linotype" w:hAnsi="Palatino Linotype" w:cs="Palatino Linotype"/>
          <w:i/>
          <w:color w:val="0D0D0D"/>
          <w:sz w:val="22"/>
          <w:szCs w:val="22"/>
        </w:rPr>
      </w:pPr>
    </w:p>
    <w:p w:rsidR="001A4767" w:rsidRPr="00897F1E" w:rsidRDefault="00384B6A">
      <w:pPr>
        <w:spacing w:line="276" w:lineRule="auto"/>
        <w:ind w:left="567" w:right="539"/>
        <w:jc w:val="both"/>
        <w:rPr>
          <w:rFonts w:ascii="Palatino Linotype" w:eastAsia="Palatino Linotype" w:hAnsi="Palatino Linotype" w:cs="Palatino Linotype"/>
          <w:b/>
          <w:i/>
          <w:color w:val="0D0D0D"/>
          <w:sz w:val="22"/>
          <w:szCs w:val="22"/>
        </w:rPr>
      </w:pPr>
      <w:r w:rsidRPr="00897F1E">
        <w:rPr>
          <w:rFonts w:ascii="Palatino Linotype" w:eastAsia="Palatino Linotype" w:hAnsi="Palatino Linotype" w:cs="Palatino Linotype"/>
          <w:b/>
          <w:i/>
          <w:color w:val="0D0D0D"/>
          <w:sz w:val="22"/>
          <w:szCs w:val="22"/>
        </w:rPr>
        <w:t>i) ¿Por qué razón los sellos de clausura identificados con los números 10045/2021, 10046/2021, 10047/2021, 10048/2021, 10049/2021 y 10050/2021 forman parte integral del expediente administrativo con número PROPAEM-2021-07/VM/0466?</w:t>
      </w:r>
    </w:p>
    <w:p w:rsidR="001A4767" w:rsidRPr="00897F1E" w:rsidRDefault="001A4767">
      <w:pPr>
        <w:spacing w:line="276" w:lineRule="auto"/>
        <w:ind w:left="567" w:right="539"/>
        <w:jc w:val="both"/>
        <w:rPr>
          <w:rFonts w:ascii="Palatino Linotype" w:eastAsia="Palatino Linotype" w:hAnsi="Palatino Linotype" w:cs="Palatino Linotype"/>
          <w:i/>
          <w:color w:val="0D0D0D"/>
          <w:sz w:val="22"/>
          <w:szCs w:val="22"/>
        </w:rPr>
      </w:pPr>
    </w:p>
    <w:p w:rsidR="001A4767" w:rsidRPr="00897F1E" w:rsidRDefault="00384B6A">
      <w:pPr>
        <w:spacing w:line="276" w:lineRule="auto"/>
        <w:ind w:left="567" w:right="539"/>
        <w:jc w:val="both"/>
        <w:rPr>
          <w:rFonts w:ascii="Palatino Linotype" w:eastAsia="Palatino Linotype" w:hAnsi="Palatino Linotype" w:cs="Palatino Linotype"/>
          <w:i/>
          <w:color w:val="0D0D0D"/>
          <w:sz w:val="22"/>
          <w:szCs w:val="22"/>
        </w:rPr>
      </w:pPr>
      <w:r w:rsidRPr="00897F1E">
        <w:rPr>
          <w:rFonts w:ascii="Palatino Linotype" w:eastAsia="Palatino Linotype" w:hAnsi="Palatino Linotype" w:cs="Palatino Linotype"/>
          <w:i/>
          <w:color w:val="0D0D0D"/>
          <w:sz w:val="22"/>
          <w:szCs w:val="22"/>
        </w:rPr>
        <w:t>Porque al momento de practicarse la visita de inspección que dio origen al procedimiento administrativo PROPAEM-2021-07/M/0466, el personal adscrito a esta Procuraduría Ambiental observó que se realizan actividades que pueden causar daños o deterioro graves a los recursos naturales, con repercusiones peligrosas para los ecosistemas y sus componentes, por lo que con fundamento en lo dispuesto por los artículos 2.67 fracción XX, 2.81, 2.130 fracciones I, VI y VII, 2133, 2.239, 2.241 fracción I, 2.277 fracción III, 2.281 fracción I, 2286 fracciones I y II del Código para la Biodiversidad del Estado de México, se decretó como medida de seguridad la clausura temporal total de las actividades realizadas.</w:t>
      </w:r>
    </w:p>
    <w:p w:rsidR="001A4767" w:rsidRPr="00897F1E" w:rsidRDefault="001A4767">
      <w:pPr>
        <w:spacing w:line="276" w:lineRule="auto"/>
        <w:ind w:left="567" w:right="539"/>
        <w:jc w:val="both"/>
        <w:rPr>
          <w:rFonts w:ascii="Palatino Linotype" w:eastAsia="Palatino Linotype" w:hAnsi="Palatino Linotype" w:cs="Palatino Linotype"/>
          <w:i/>
          <w:color w:val="0D0D0D"/>
          <w:sz w:val="22"/>
          <w:szCs w:val="22"/>
        </w:rPr>
      </w:pPr>
    </w:p>
    <w:p w:rsidR="001A4767" w:rsidRPr="00897F1E" w:rsidRDefault="00384B6A">
      <w:pPr>
        <w:spacing w:line="276" w:lineRule="auto"/>
        <w:ind w:left="567" w:right="539"/>
        <w:jc w:val="both"/>
        <w:rPr>
          <w:rFonts w:ascii="Palatino Linotype" w:eastAsia="Palatino Linotype" w:hAnsi="Palatino Linotype" w:cs="Palatino Linotype"/>
          <w:b/>
          <w:i/>
          <w:color w:val="0D0D0D"/>
          <w:sz w:val="22"/>
          <w:szCs w:val="22"/>
        </w:rPr>
      </w:pPr>
      <w:r w:rsidRPr="00897F1E">
        <w:rPr>
          <w:rFonts w:ascii="Palatino Linotype" w:eastAsia="Palatino Linotype" w:hAnsi="Palatino Linotype" w:cs="Palatino Linotype"/>
          <w:b/>
          <w:i/>
          <w:color w:val="0D0D0D"/>
          <w:sz w:val="22"/>
          <w:szCs w:val="22"/>
        </w:rPr>
        <w:t>j) ¿Por qué razón o circunstancia se emitieron los sellos de clausura identificados con los números 10045/2021, 10046/2021, 10047/2021, 10048/2021, 10049/2021 у 10050/2021?</w:t>
      </w:r>
    </w:p>
    <w:p w:rsidR="001A4767" w:rsidRPr="00897F1E" w:rsidRDefault="001A4767">
      <w:pPr>
        <w:spacing w:line="276" w:lineRule="auto"/>
        <w:ind w:left="567" w:right="539"/>
        <w:jc w:val="both"/>
        <w:rPr>
          <w:rFonts w:ascii="Palatino Linotype" w:eastAsia="Palatino Linotype" w:hAnsi="Palatino Linotype" w:cs="Palatino Linotype"/>
          <w:i/>
          <w:color w:val="0D0D0D"/>
          <w:sz w:val="22"/>
          <w:szCs w:val="22"/>
        </w:rPr>
      </w:pPr>
    </w:p>
    <w:p w:rsidR="001A4767" w:rsidRPr="00897F1E" w:rsidRDefault="00384B6A">
      <w:pPr>
        <w:spacing w:line="276" w:lineRule="auto"/>
        <w:ind w:left="567" w:right="539"/>
        <w:jc w:val="both"/>
        <w:rPr>
          <w:rFonts w:ascii="Palatino Linotype" w:eastAsia="Palatino Linotype" w:hAnsi="Palatino Linotype" w:cs="Palatino Linotype"/>
          <w:i/>
          <w:color w:val="0D0D0D"/>
          <w:sz w:val="22"/>
          <w:szCs w:val="22"/>
        </w:rPr>
      </w:pPr>
      <w:r w:rsidRPr="00897F1E">
        <w:rPr>
          <w:rFonts w:ascii="Palatino Linotype" w:eastAsia="Palatino Linotype" w:hAnsi="Palatino Linotype" w:cs="Palatino Linotype"/>
          <w:i/>
          <w:color w:val="0D0D0D"/>
          <w:sz w:val="22"/>
          <w:szCs w:val="22"/>
        </w:rPr>
        <w:t xml:space="preserve">Los sellos de clausura los impone esta </w:t>
      </w:r>
      <w:proofErr w:type="spellStart"/>
      <w:r w:rsidRPr="00897F1E">
        <w:rPr>
          <w:rFonts w:ascii="Palatino Linotype" w:eastAsia="Palatino Linotype" w:hAnsi="Palatino Linotype" w:cs="Palatino Linotype"/>
          <w:i/>
          <w:color w:val="0D0D0D"/>
          <w:sz w:val="22"/>
          <w:szCs w:val="22"/>
        </w:rPr>
        <w:t>Procuraduria</w:t>
      </w:r>
      <w:proofErr w:type="spellEnd"/>
      <w:r w:rsidRPr="00897F1E">
        <w:rPr>
          <w:rFonts w:ascii="Palatino Linotype" w:eastAsia="Palatino Linotype" w:hAnsi="Palatino Linotype" w:cs="Palatino Linotype"/>
          <w:i/>
          <w:color w:val="0D0D0D"/>
          <w:sz w:val="22"/>
          <w:szCs w:val="22"/>
        </w:rPr>
        <w:t xml:space="preserve"> de Protección al Ambiente del Estado de México cuando existen daños graves a la preservación, restauración y protección del medio ambiente, alterando significativamente el ambiente original ocasionado por la actividad del ser humano, dañando considerablemente los recursos naturales con repercusiones peligrosas para los ecosistemas que indudablemente afectan a las personas y a los ecosistemas, quienes tienen derecho a gozar de un ambiente sano y adecuado para su desarrollo y bienestar, tal como lo prevé el artículo 4 de la Constitución Política de los Estados Unidos Mexicanos, y derivado de que en el predio sujeto a inspección se realizan actividades que pueden causar daños o deterioro graves a los recursos naturales, con repercusiones peligrosas para los ecosistemas y sus componentes, por lo que con </w:t>
      </w:r>
      <w:r w:rsidRPr="00897F1E">
        <w:rPr>
          <w:rFonts w:ascii="Palatino Linotype" w:eastAsia="Palatino Linotype" w:hAnsi="Palatino Linotype" w:cs="Palatino Linotype"/>
          <w:i/>
          <w:color w:val="0D0D0D"/>
          <w:sz w:val="22"/>
          <w:szCs w:val="22"/>
        </w:rPr>
        <w:lastRenderedPageBreak/>
        <w:t xml:space="preserve">fundamento en lo dispuesto por los artículos 2.67 fracción XX, 281, 2.130 fracciones I, VI Y VII, 2.133, 2.239, 2.241 fracción I, 2.277 fracción III, 2281 fracción I, 2.286 fracciones I y </w:t>
      </w:r>
      <w:proofErr w:type="spellStart"/>
      <w:r w:rsidRPr="00897F1E">
        <w:rPr>
          <w:rFonts w:ascii="Palatino Linotype" w:eastAsia="Palatino Linotype" w:hAnsi="Palatino Linotype" w:cs="Palatino Linotype"/>
          <w:i/>
          <w:color w:val="0D0D0D"/>
          <w:sz w:val="22"/>
          <w:szCs w:val="22"/>
        </w:rPr>
        <w:t>lI</w:t>
      </w:r>
      <w:proofErr w:type="spellEnd"/>
      <w:r w:rsidRPr="00897F1E">
        <w:rPr>
          <w:rFonts w:ascii="Palatino Linotype" w:eastAsia="Palatino Linotype" w:hAnsi="Palatino Linotype" w:cs="Palatino Linotype"/>
          <w:i/>
          <w:color w:val="0D0D0D"/>
          <w:sz w:val="22"/>
          <w:szCs w:val="22"/>
        </w:rPr>
        <w:t xml:space="preserve"> del Código para la Biodiversidad del Estado de México, se decretó como medida de seguridad la clausura temporal total de las actividades realizadas; esto, derivado de que al momento de practicarse la visita de inspección correspondiente, se observaron posibles infracciones a la normatividad ambiental, específicamente a lo relativo al Impacto Ambiental.</w:t>
      </w:r>
    </w:p>
    <w:p w:rsidR="001A4767" w:rsidRPr="00897F1E" w:rsidRDefault="001A4767">
      <w:pPr>
        <w:spacing w:line="276" w:lineRule="auto"/>
        <w:ind w:left="567" w:right="539"/>
        <w:jc w:val="both"/>
        <w:rPr>
          <w:rFonts w:ascii="Palatino Linotype" w:eastAsia="Palatino Linotype" w:hAnsi="Palatino Linotype" w:cs="Palatino Linotype"/>
          <w:i/>
          <w:color w:val="0D0D0D"/>
          <w:sz w:val="22"/>
          <w:szCs w:val="22"/>
        </w:rPr>
      </w:pPr>
    </w:p>
    <w:p w:rsidR="001A4767" w:rsidRPr="00897F1E" w:rsidRDefault="00384B6A">
      <w:pPr>
        <w:spacing w:line="276" w:lineRule="auto"/>
        <w:ind w:left="567" w:right="539"/>
        <w:jc w:val="both"/>
        <w:rPr>
          <w:rFonts w:ascii="Palatino Linotype" w:eastAsia="Palatino Linotype" w:hAnsi="Palatino Linotype" w:cs="Palatino Linotype"/>
          <w:b/>
          <w:i/>
          <w:color w:val="0D0D0D"/>
          <w:sz w:val="22"/>
          <w:szCs w:val="22"/>
        </w:rPr>
      </w:pPr>
      <w:r w:rsidRPr="00897F1E">
        <w:rPr>
          <w:rFonts w:ascii="Palatino Linotype" w:eastAsia="Palatino Linotype" w:hAnsi="Palatino Linotype" w:cs="Palatino Linotype"/>
          <w:b/>
          <w:i/>
          <w:color w:val="0D0D0D"/>
          <w:sz w:val="22"/>
          <w:szCs w:val="22"/>
        </w:rPr>
        <w:t>k) ¿El expediente reservado se relaciona con actos de corrupción y/o alguna excepción prevista en el artículo 142 de la Ley de Transparencia y Acceso a la Información Pública del Estado de México y Municipios?</w:t>
      </w:r>
    </w:p>
    <w:p w:rsidR="001A4767" w:rsidRPr="00897F1E" w:rsidRDefault="001A4767">
      <w:pPr>
        <w:spacing w:line="276" w:lineRule="auto"/>
        <w:ind w:left="567" w:right="539"/>
        <w:jc w:val="both"/>
        <w:rPr>
          <w:rFonts w:ascii="Palatino Linotype" w:eastAsia="Palatino Linotype" w:hAnsi="Palatino Linotype" w:cs="Palatino Linotype"/>
          <w:i/>
          <w:color w:val="0D0D0D"/>
          <w:sz w:val="22"/>
          <w:szCs w:val="22"/>
        </w:rPr>
      </w:pPr>
    </w:p>
    <w:p w:rsidR="001A4767" w:rsidRPr="00897F1E" w:rsidRDefault="00384B6A">
      <w:pPr>
        <w:spacing w:line="276" w:lineRule="auto"/>
        <w:ind w:left="567" w:right="539"/>
        <w:jc w:val="both"/>
        <w:rPr>
          <w:rFonts w:ascii="Palatino Linotype" w:eastAsia="Palatino Linotype" w:hAnsi="Palatino Linotype" w:cs="Palatino Linotype"/>
          <w:i/>
          <w:color w:val="0D0D0D"/>
          <w:sz w:val="22"/>
          <w:szCs w:val="22"/>
        </w:rPr>
      </w:pPr>
      <w:r w:rsidRPr="00897F1E">
        <w:rPr>
          <w:rFonts w:ascii="Palatino Linotype" w:eastAsia="Palatino Linotype" w:hAnsi="Palatino Linotype" w:cs="Palatino Linotype"/>
          <w:i/>
          <w:color w:val="0D0D0D"/>
          <w:sz w:val="22"/>
          <w:szCs w:val="22"/>
        </w:rPr>
        <w:t>Primeramente, respecto a la interrogante consistente en que si el expediente reservado se relaciona con actos de corrupción, se hace de su conocimiento que dicha atribución no se encuentra conferida a esta Procuraduría de Protección al Ambiente del Estado de México, de conformidad con el artículo 4 del Decreto del Ejecutivo del</w:t>
      </w:r>
    </w:p>
    <w:p w:rsidR="001A4767" w:rsidRPr="00897F1E" w:rsidRDefault="001A4767">
      <w:pPr>
        <w:spacing w:line="276" w:lineRule="auto"/>
        <w:ind w:left="567" w:right="539"/>
        <w:jc w:val="both"/>
        <w:rPr>
          <w:rFonts w:ascii="Palatino Linotype" w:eastAsia="Palatino Linotype" w:hAnsi="Palatino Linotype" w:cs="Palatino Linotype"/>
          <w:i/>
          <w:color w:val="0D0D0D"/>
          <w:sz w:val="22"/>
          <w:szCs w:val="22"/>
        </w:rPr>
      </w:pPr>
    </w:p>
    <w:p w:rsidR="001A4767" w:rsidRPr="00897F1E" w:rsidRDefault="00384B6A">
      <w:pPr>
        <w:spacing w:line="276" w:lineRule="auto"/>
        <w:ind w:left="567" w:right="539"/>
        <w:jc w:val="both"/>
        <w:rPr>
          <w:rFonts w:ascii="Palatino Linotype" w:eastAsia="Palatino Linotype" w:hAnsi="Palatino Linotype" w:cs="Palatino Linotype"/>
          <w:i/>
          <w:color w:val="0D0D0D"/>
          <w:sz w:val="22"/>
          <w:szCs w:val="22"/>
        </w:rPr>
      </w:pPr>
      <w:r w:rsidRPr="00897F1E">
        <w:rPr>
          <w:rFonts w:ascii="Palatino Linotype" w:eastAsia="Palatino Linotype" w:hAnsi="Palatino Linotype" w:cs="Palatino Linotype"/>
          <w:i/>
          <w:color w:val="0D0D0D"/>
          <w:sz w:val="22"/>
          <w:szCs w:val="22"/>
        </w:rPr>
        <w:t xml:space="preserve">Estado por el que se transforma el Órgano Desconcentrado denominado Procuraduría de Protección al Ambiente del Estado de México, en Organismo Público Descentralizado, publicado en el Periódico Oficial "Gaceta del Gobierno" el 7 de diciembre de 2007, así como en el Decreto del Ejecutivo del Estadio por el que se reforma el diverso por el que se transforma el </w:t>
      </w:r>
      <w:proofErr w:type="spellStart"/>
      <w:r w:rsidRPr="00897F1E">
        <w:rPr>
          <w:rFonts w:ascii="Palatino Linotype" w:eastAsia="Palatino Linotype" w:hAnsi="Palatino Linotype" w:cs="Palatino Linotype"/>
          <w:i/>
          <w:color w:val="0D0D0D"/>
          <w:sz w:val="22"/>
          <w:szCs w:val="22"/>
        </w:rPr>
        <w:t>Organio</w:t>
      </w:r>
      <w:proofErr w:type="spellEnd"/>
      <w:r w:rsidRPr="00897F1E">
        <w:rPr>
          <w:rFonts w:ascii="Palatino Linotype" w:eastAsia="Palatino Linotype" w:hAnsi="Palatino Linotype" w:cs="Palatino Linotype"/>
          <w:i/>
          <w:color w:val="0D0D0D"/>
          <w:sz w:val="22"/>
          <w:szCs w:val="22"/>
        </w:rPr>
        <w:t xml:space="preserve"> Desconcentrado denominado Procuraduría de Protección al Ambiente del Estado de México, en Organismo Público Descentralizado, publicado en el Periódico Oficial "Gaceta del Gobierno" el 16 de diciembre de 201; por tal motivo no es posible atender su requerimiento en los términos solicitados</w:t>
      </w:r>
    </w:p>
    <w:p w:rsidR="001A4767" w:rsidRPr="00897F1E" w:rsidRDefault="001A4767">
      <w:pPr>
        <w:spacing w:line="276" w:lineRule="auto"/>
        <w:ind w:left="567" w:right="539"/>
        <w:jc w:val="both"/>
        <w:rPr>
          <w:rFonts w:ascii="Palatino Linotype" w:eastAsia="Palatino Linotype" w:hAnsi="Palatino Linotype" w:cs="Palatino Linotype"/>
          <w:i/>
          <w:color w:val="0D0D0D"/>
          <w:sz w:val="22"/>
          <w:szCs w:val="22"/>
        </w:rPr>
      </w:pPr>
    </w:p>
    <w:p w:rsidR="001A4767" w:rsidRPr="00897F1E" w:rsidRDefault="00384B6A">
      <w:pPr>
        <w:spacing w:line="276" w:lineRule="auto"/>
        <w:ind w:left="567" w:right="539"/>
        <w:jc w:val="both"/>
        <w:rPr>
          <w:rFonts w:ascii="Palatino Linotype" w:eastAsia="Palatino Linotype" w:hAnsi="Palatino Linotype" w:cs="Palatino Linotype"/>
          <w:i/>
          <w:color w:val="0D0D0D"/>
          <w:sz w:val="22"/>
          <w:szCs w:val="22"/>
        </w:rPr>
      </w:pPr>
      <w:r w:rsidRPr="00897F1E">
        <w:rPr>
          <w:rFonts w:ascii="Palatino Linotype" w:eastAsia="Palatino Linotype" w:hAnsi="Palatino Linotype" w:cs="Palatino Linotype"/>
          <w:i/>
          <w:color w:val="0D0D0D"/>
          <w:sz w:val="22"/>
          <w:szCs w:val="22"/>
        </w:rPr>
        <w:t xml:space="preserve">Ahora bien, por lo que respecta a su interrogante consistente en que si el expediente reservado se encuentra en alguna excepción prevista en el artículo 142 de la Ley de Trasparencia vigente en la Entidad; al respecto, hago de su conocimiento que el procedimiento administrativo PROPAEM-2021-07/M/0466, no se encuentra en alguna de las excepciones del artículo 142 de la Ley de Transparencia y Acceso a la Información Pública del Estado de México y Municipios, análisis que fue practicado por el Comité de Transparencia de esta </w:t>
      </w:r>
      <w:proofErr w:type="spellStart"/>
      <w:r w:rsidRPr="00897F1E">
        <w:rPr>
          <w:rFonts w:ascii="Palatino Linotype" w:eastAsia="Palatino Linotype" w:hAnsi="Palatino Linotype" w:cs="Palatino Linotype"/>
          <w:i/>
          <w:color w:val="0D0D0D"/>
          <w:sz w:val="22"/>
          <w:szCs w:val="22"/>
        </w:rPr>
        <w:t>Procuraduria</w:t>
      </w:r>
      <w:proofErr w:type="spellEnd"/>
      <w:r w:rsidRPr="00897F1E">
        <w:rPr>
          <w:rFonts w:ascii="Palatino Linotype" w:eastAsia="Palatino Linotype" w:hAnsi="Palatino Linotype" w:cs="Palatino Linotype"/>
          <w:i/>
          <w:color w:val="0D0D0D"/>
          <w:sz w:val="22"/>
          <w:szCs w:val="22"/>
        </w:rPr>
        <w:t xml:space="preserve"> de Protección al Ambiente del Estado de México, al </w:t>
      </w:r>
      <w:r w:rsidRPr="00897F1E">
        <w:rPr>
          <w:rFonts w:ascii="Palatino Linotype" w:eastAsia="Palatino Linotype" w:hAnsi="Palatino Linotype" w:cs="Palatino Linotype"/>
          <w:i/>
          <w:color w:val="0D0D0D"/>
          <w:sz w:val="22"/>
          <w:szCs w:val="22"/>
        </w:rPr>
        <w:lastRenderedPageBreak/>
        <w:t>momento de confirmar la reserva del mismo, ya que no corresponde a actos de corrupción, violaciones graves de derechos humanos, lesa humanidad, y/o alguna otra de las previstas por dicho artículo.</w:t>
      </w:r>
    </w:p>
    <w:p w:rsidR="001A4767" w:rsidRPr="00897F1E" w:rsidRDefault="001A4767">
      <w:pPr>
        <w:spacing w:line="276" w:lineRule="auto"/>
        <w:ind w:left="567" w:right="539"/>
        <w:jc w:val="both"/>
        <w:rPr>
          <w:rFonts w:ascii="Palatino Linotype" w:eastAsia="Palatino Linotype" w:hAnsi="Palatino Linotype" w:cs="Palatino Linotype"/>
          <w:i/>
          <w:color w:val="0D0D0D"/>
          <w:sz w:val="22"/>
          <w:szCs w:val="22"/>
        </w:rPr>
      </w:pPr>
    </w:p>
    <w:p w:rsidR="001A4767" w:rsidRPr="00897F1E" w:rsidRDefault="00384B6A">
      <w:pPr>
        <w:spacing w:line="276" w:lineRule="auto"/>
        <w:ind w:left="567" w:right="539"/>
        <w:jc w:val="both"/>
        <w:rPr>
          <w:rFonts w:ascii="Palatino Linotype" w:eastAsia="Palatino Linotype" w:hAnsi="Palatino Linotype" w:cs="Palatino Linotype"/>
          <w:i/>
          <w:color w:val="0D0D0D"/>
          <w:sz w:val="22"/>
          <w:szCs w:val="22"/>
        </w:rPr>
      </w:pPr>
      <w:r w:rsidRPr="00897F1E">
        <w:rPr>
          <w:rFonts w:ascii="Palatino Linotype" w:eastAsia="Palatino Linotype" w:hAnsi="Palatino Linotype" w:cs="Palatino Linotype"/>
          <w:i/>
          <w:color w:val="0D0D0D"/>
          <w:sz w:val="22"/>
          <w:szCs w:val="22"/>
        </w:rPr>
        <w:t>Por último y de manera respetuosa, con la finalidad de que el Órgano Garante pueda constatar la información requerida y el status en que se encuentra, se pone a su disposición el expediente de referencia, a efecto de que reúna los elementos necesarios para emitir la resolución que en derecho corresponda y constate el dicho de este Sujeto Obligado dicha información deberá ser mantenida con el carácter de reservada y no deberá estar disponible en el expediente, ya que no se trata de una desclasificación ni de violaciones graves a derechos humanos o delitos de lesa humanidad, de conformidad con el derecho nacional y los tratados internacionales de los que el Estado mexicano sea parte: lo anterior, de conformidad con lo dispuesto en los artículos 182 y 183 de la Ley de Transparencia y Acceso a la Información Pública del Estado de México y Municipios.</w:t>
      </w:r>
    </w:p>
    <w:p w:rsidR="001A4767" w:rsidRPr="00897F1E" w:rsidRDefault="001A4767">
      <w:pPr>
        <w:tabs>
          <w:tab w:val="left" w:pos="4962"/>
        </w:tabs>
        <w:spacing w:line="360" w:lineRule="auto"/>
        <w:jc w:val="both"/>
        <w:rPr>
          <w:rFonts w:ascii="Palatino Linotype" w:eastAsia="Palatino Linotype" w:hAnsi="Palatino Linotype" w:cs="Palatino Linotype"/>
          <w:color w:val="0D0D0D"/>
          <w:sz w:val="24"/>
          <w:szCs w:val="24"/>
        </w:rPr>
      </w:pPr>
    </w:p>
    <w:p w:rsidR="001A4767" w:rsidRPr="00897F1E" w:rsidRDefault="00384B6A">
      <w:pPr>
        <w:spacing w:line="360" w:lineRule="auto"/>
        <w:ind w:right="-28"/>
        <w:jc w:val="both"/>
        <w:rPr>
          <w:rFonts w:ascii="Palatino Linotype" w:eastAsia="Palatino Linotype" w:hAnsi="Palatino Linotype" w:cs="Palatino Linotype"/>
          <w:sz w:val="24"/>
          <w:szCs w:val="24"/>
        </w:rPr>
      </w:pPr>
      <w:r w:rsidRPr="00897F1E">
        <w:rPr>
          <w:rFonts w:ascii="Palatino Linotype" w:eastAsia="Palatino Linotype" w:hAnsi="Palatino Linotype" w:cs="Palatino Linotype"/>
          <w:color w:val="0D0D0D"/>
          <w:sz w:val="24"/>
          <w:szCs w:val="24"/>
        </w:rPr>
        <w:t xml:space="preserve">Ahora bien, </w:t>
      </w:r>
      <w:r w:rsidRPr="00897F1E">
        <w:rPr>
          <w:rFonts w:ascii="Palatino Linotype" w:eastAsia="Palatino Linotype" w:hAnsi="Palatino Linotype" w:cs="Palatino Linotype"/>
          <w:sz w:val="24"/>
          <w:szCs w:val="24"/>
        </w:rPr>
        <w:t xml:space="preserve">es menester mencionar que la parte Recurrente únicamente se inconformó por la clasificación de la información como reservada; situación por la cual resulta aplicable el criterio sostenido por el Poder Judicial de la Federación de rubro </w:t>
      </w:r>
      <w:r w:rsidRPr="00897F1E">
        <w:rPr>
          <w:rFonts w:ascii="Palatino Linotype" w:eastAsia="Palatino Linotype" w:hAnsi="Palatino Linotype" w:cs="Palatino Linotype"/>
          <w:b/>
          <w:sz w:val="24"/>
          <w:szCs w:val="24"/>
        </w:rPr>
        <w:t>ACTOS CONSENTIDOS TÁCITAMENTE</w:t>
      </w:r>
      <w:r w:rsidRPr="00897F1E">
        <w:rPr>
          <w:rFonts w:ascii="Palatino Linotype" w:eastAsia="Palatino Linotype" w:hAnsi="Palatino Linotype" w:cs="Palatino Linotype"/>
          <w:sz w:val="24"/>
          <w:szCs w:val="24"/>
        </w:rPr>
        <w:t>,</w:t>
      </w:r>
      <w:r w:rsidRPr="00897F1E">
        <w:rPr>
          <w:rFonts w:ascii="Palatino Linotype" w:eastAsia="Palatino Linotype" w:hAnsi="Palatino Linotype" w:cs="Palatino Linotype"/>
          <w:b/>
          <w:sz w:val="24"/>
          <w:szCs w:val="24"/>
        </w:rPr>
        <w:t xml:space="preserve"> </w:t>
      </w:r>
      <w:r w:rsidRPr="00897F1E">
        <w:rPr>
          <w:rFonts w:ascii="Palatino Linotype" w:eastAsia="Palatino Linotype" w:hAnsi="Palatino Linotype" w:cs="Palatino Linotype"/>
          <w:sz w:val="24"/>
          <w:szCs w:val="24"/>
        </w:rPr>
        <w:t>Tesis VI.2o. J/21, emitida en la novena época, por el Segundo Tribunal Colegiado del Sexto Circuito, publicada en la Gaceta del Semanario Judicial de la Federación en agosto de 1995, página 291, número de registro 204707, del que se desprende que cuando no se reclaman los actos de autoridad en la vía y plazos establecidos en la Ley, se presume que el Particular está conforme con los mismos.</w:t>
      </w:r>
    </w:p>
    <w:p w:rsidR="001A4767" w:rsidRPr="00897F1E" w:rsidRDefault="001A4767">
      <w:pPr>
        <w:spacing w:line="360" w:lineRule="auto"/>
        <w:ind w:right="49"/>
        <w:jc w:val="both"/>
        <w:rPr>
          <w:rFonts w:ascii="Palatino Linotype" w:eastAsia="Palatino Linotype" w:hAnsi="Palatino Linotype" w:cs="Palatino Linotype"/>
        </w:rPr>
      </w:pPr>
    </w:p>
    <w:p w:rsidR="001A4767" w:rsidRPr="00897F1E" w:rsidRDefault="00384B6A">
      <w:pPr>
        <w:spacing w:line="360" w:lineRule="auto"/>
        <w:ind w:right="49"/>
        <w:jc w:val="both"/>
        <w:rPr>
          <w:rFonts w:ascii="Palatino Linotype" w:eastAsia="Palatino Linotype" w:hAnsi="Palatino Linotype" w:cs="Palatino Linotype"/>
          <w:b/>
          <w:sz w:val="24"/>
          <w:szCs w:val="24"/>
        </w:rPr>
      </w:pPr>
      <w:r w:rsidRPr="00897F1E">
        <w:rPr>
          <w:rFonts w:ascii="Palatino Linotype" w:eastAsia="Palatino Linotype" w:hAnsi="Palatino Linotype" w:cs="Palatino Linotype"/>
          <w:sz w:val="24"/>
          <w:szCs w:val="24"/>
        </w:rPr>
        <w:t xml:space="preserve"> De acuerdo con el criterio en comento, en el caso de que el Solicitante no haya manifestado su inconformidad en contra del acto en su totalidad o en cualquiera de sus partes, se tendrá por consentido al no haber realizado argumento alguno que </w:t>
      </w:r>
      <w:r w:rsidRPr="00897F1E">
        <w:rPr>
          <w:rFonts w:ascii="Palatino Linotype" w:eastAsia="Palatino Linotype" w:hAnsi="Palatino Linotype" w:cs="Palatino Linotype"/>
          <w:sz w:val="24"/>
          <w:szCs w:val="24"/>
        </w:rPr>
        <w:lastRenderedPageBreak/>
        <w:t xml:space="preserve">formulara un agravio en su contra, por lo que, en la especie, se valida la respuesta respecto de los puntos no controvertidos y se arriba a la conclusión de que estos </w:t>
      </w:r>
      <w:r w:rsidRPr="00897F1E">
        <w:rPr>
          <w:rFonts w:ascii="Palatino Linotype" w:eastAsia="Palatino Linotype" w:hAnsi="Palatino Linotype" w:cs="Palatino Linotype"/>
          <w:b/>
          <w:sz w:val="24"/>
          <w:szCs w:val="24"/>
        </w:rPr>
        <w:t>quedaron firmes.</w:t>
      </w:r>
    </w:p>
    <w:p w:rsidR="001A4767" w:rsidRPr="00897F1E" w:rsidRDefault="001A4767">
      <w:pPr>
        <w:spacing w:line="360" w:lineRule="auto"/>
        <w:ind w:right="49"/>
        <w:jc w:val="both"/>
        <w:rPr>
          <w:rFonts w:ascii="Palatino Linotype" w:eastAsia="Palatino Linotype" w:hAnsi="Palatino Linotype" w:cs="Palatino Linotype"/>
          <w:b/>
        </w:rPr>
      </w:pPr>
    </w:p>
    <w:p w:rsidR="001A4767" w:rsidRPr="00897F1E" w:rsidRDefault="00384B6A">
      <w:pPr>
        <w:spacing w:line="360" w:lineRule="auto"/>
        <w:ind w:right="49"/>
        <w:jc w:val="both"/>
        <w:rPr>
          <w:rFonts w:ascii="Palatino Linotype" w:eastAsia="Palatino Linotype" w:hAnsi="Palatino Linotype" w:cs="Palatino Linotype"/>
          <w:sz w:val="24"/>
          <w:szCs w:val="24"/>
        </w:rPr>
      </w:pPr>
      <w:r w:rsidRPr="00897F1E">
        <w:rPr>
          <w:rFonts w:ascii="Palatino Linotype" w:eastAsia="Palatino Linotype" w:hAnsi="Palatino Linotype" w:cs="Palatino Linotype"/>
          <w:sz w:val="24"/>
          <w:szCs w:val="24"/>
        </w:rPr>
        <w:t>Asimismo, resulta relevante traer a colación el Criterio 01/20, emitido por el Instituto Nacional de Transparencia, Acceso a la Información y Protección de Datos Personales, que establece lo siguiente:</w:t>
      </w:r>
    </w:p>
    <w:p w:rsidR="001A4767" w:rsidRPr="00897F1E" w:rsidRDefault="001A4767">
      <w:pPr>
        <w:spacing w:line="360" w:lineRule="auto"/>
        <w:ind w:right="49"/>
        <w:jc w:val="both"/>
        <w:rPr>
          <w:rFonts w:ascii="Palatino Linotype" w:eastAsia="Palatino Linotype" w:hAnsi="Palatino Linotype" w:cs="Palatino Linotype"/>
        </w:rPr>
      </w:pPr>
    </w:p>
    <w:p w:rsidR="001A4767" w:rsidRPr="00897F1E" w:rsidRDefault="00384B6A">
      <w:pPr>
        <w:spacing w:line="276" w:lineRule="auto"/>
        <w:ind w:left="567" w:right="560"/>
        <w:jc w:val="both"/>
        <w:rPr>
          <w:rFonts w:ascii="Palatino Linotype" w:eastAsia="Palatino Linotype" w:hAnsi="Palatino Linotype" w:cs="Palatino Linotype"/>
          <w:i/>
          <w:sz w:val="22"/>
          <w:szCs w:val="22"/>
        </w:rPr>
      </w:pPr>
      <w:r w:rsidRPr="00897F1E">
        <w:rPr>
          <w:rFonts w:ascii="Palatino Linotype" w:eastAsia="Palatino Linotype" w:hAnsi="Palatino Linotype" w:cs="Palatino Linotype"/>
          <w:i/>
          <w:sz w:val="22"/>
          <w:szCs w:val="22"/>
        </w:rPr>
        <w:t>“</w:t>
      </w:r>
      <w:r w:rsidRPr="00897F1E">
        <w:rPr>
          <w:rFonts w:ascii="Palatino Linotype" w:eastAsia="Palatino Linotype" w:hAnsi="Palatino Linotype" w:cs="Palatino Linotype"/>
          <w:b/>
          <w:i/>
          <w:sz w:val="22"/>
          <w:szCs w:val="22"/>
        </w:rPr>
        <w:t>Actos consentidos tácitamente. Improcedencia de su análisis</w:t>
      </w:r>
      <w:r w:rsidRPr="00897F1E">
        <w:rPr>
          <w:rFonts w:ascii="Palatino Linotype" w:eastAsia="Palatino Linotype" w:hAnsi="Palatino Linotype" w:cs="Palatino Linotype"/>
          <w:i/>
          <w:sz w:val="22"/>
          <w:szCs w:val="22"/>
        </w:rPr>
        <w:t xml:space="preserve">. Si en su recurso de revisión, la persona recurrente no expresó inconformidad alguna con ciertas partes de la respuesta otorgada, se entienden tácitamente consentidas, por ende, no deben formar parte del estudio de fondo de la resolución que emite el Instituto.” </w:t>
      </w:r>
    </w:p>
    <w:p w:rsidR="001A4767" w:rsidRPr="00897F1E" w:rsidRDefault="001A4767">
      <w:pPr>
        <w:spacing w:line="360" w:lineRule="auto"/>
        <w:ind w:right="49"/>
        <w:jc w:val="both"/>
        <w:rPr>
          <w:rFonts w:ascii="Palatino Linotype" w:eastAsia="Palatino Linotype" w:hAnsi="Palatino Linotype" w:cs="Palatino Linotype"/>
        </w:rPr>
      </w:pPr>
    </w:p>
    <w:p w:rsidR="001A4767" w:rsidRPr="00897F1E" w:rsidRDefault="00384B6A">
      <w:pPr>
        <w:spacing w:line="360" w:lineRule="auto"/>
        <w:ind w:right="49"/>
        <w:jc w:val="both"/>
        <w:rPr>
          <w:rFonts w:ascii="Palatino Linotype" w:eastAsia="Palatino Linotype" w:hAnsi="Palatino Linotype" w:cs="Palatino Linotype"/>
          <w:b/>
          <w:sz w:val="24"/>
          <w:szCs w:val="24"/>
        </w:rPr>
      </w:pPr>
      <w:r w:rsidRPr="00897F1E">
        <w:rPr>
          <w:rFonts w:ascii="Palatino Linotype" w:eastAsia="Palatino Linotype" w:hAnsi="Palatino Linotype" w:cs="Palatino Linotype"/>
          <w:sz w:val="24"/>
          <w:szCs w:val="24"/>
        </w:rPr>
        <w:t xml:space="preserve">Conforme al Criterio establecido, es improcedente entrar al análisis de las partes de la respuesta del Sujeto Obligado que no fueron impugnadas por el Recurrente, es decir, </w:t>
      </w:r>
      <w:r w:rsidRPr="00897F1E">
        <w:rPr>
          <w:rFonts w:ascii="Palatino Linotype" w:eastAsia="Palatino Linotype" w:hAnsi="Palatino Linotype" w:cs="Palatino Linotype"/>
          <w:b/>
          <w:sz w:val="24"/>
          <w:szCs w:val="24"/>
          <w:u w:val="single"/>
        </w:rPr>
        <w:t>es improcedente analizar lo relacionado con el escrito inicial de demanda del juicio administrativo y las pruebas que lo acompañan</w:t>
      </w:r>
      <w:r w:rsidRPr="00897F1E">
        <w:rPr>
          <w:rFonts w:ascii="Palatino Linotype" w:eastAsia="Palatino Linotype" w:hAnsi="Palatino Linotype" w:cs="Palatino Linotype"/>
          <w:sz w:val="24"/>
          <w:szCs w:val="24"/>
        </w:rPr>
        <w:t xml:space="preserve">, de lo cual, la Procuraduría de Protección al Ambiente del Estado de México, mencionó que era </w:t>
      </w:r>
      <w:r w:rsidRPr="00897F1E">
        <w:rPr>
          <w:rFonts w:ascii="Palatino Linotype" w:eastAsia="Palatino Linotype" w:hAnsi="Palatino Linotype" w:cs="Palatino Linotype"/>
          <w:b/>
          <w:sz w:val="24"/>
          <w:szCs w:val="24"/>
        </w:rPr>
        <w:t xml:space="preserve">incompetente. </w:t>
      </w:r>
    </w:p>
    <w:p w:rsidR="001A4767" w:rsidRPr="00897F1E" w:rsidRDefault="001A4767">
      <w:pPr>
        <w:spacing w:line="360" w:lineRule="auto"/>
        <w:jc w:val="both"/>
        <w:rPr>
          <w:rFonts w:ascii="Palatino Linotype" w:eastAsia="Palatino Linotype" w:hAnsi="Palatino Linotype" w:cs="Palatino Linotype"/>
          <w:b/>
          <w:color w:val="0D0D0D"/>
          <w:sz w:val="24"/>
          <w:szCs w:val="24"/>
        </w:rPr>
      </w:pPr>
    </w:p>
    <w:p w:rsidR="001A4767" w:rsidRPr="00897F1E" w:rsidRDefault="00384B6A">
      <w:pPr>
        <w:spacing w:line="360" w:lineRule="auto"/>
        <w:jc w:val="both"/>
        <w:rPr>
          <w:rFonts w:ascii="Palatino Linotype" w:eastAsia="Palatino Linotype" w:hAnsi="Palatino Linotype" w:cs="Palatino Linotype"/>
          <w:color w:val="0D0D0D"/>
          <w:sz w:val="24"/>
          <w:szCs w:val="24"/>
        </w:rPr>
      </w:pPr>
      <w:r w:rsidRPr="00897F1E">
        <w:rPr>
          <w:rFonts w:ascii="Palatino Linotype" w:eastAsia="Palatino Linotype" w:hAnsi="Palatino Linotype" w:cs="Palatino Linotype"/>
          <w:color w:val="0D0D0D"/>
          <w:sz w:val="24"/>
          <w:szCs w:val="24"/>
        </w:rPr>
        <w:t>Dicho lo anterior, en atención a los agravios hechos valer por la parte Recurrente, es de recordar que la Procuraduría de Protección al Ambiente del Estado de México, tanto en respuesta, como en Informe Justificado, si bien, precisó contar con la información referida, también lo es que la clasificó en su calidad de reservada, por lo que, se procede analizar dicha circunstancia.</w:t>
      </w:r>
    </w:p>
    <w:p w:rsidR="001A4767" w:rsidRPr="00897F1E" w:rsidRDefault="001A4767">
      <w:pPr>
        <w:spacing w:line="360" w:lineRule="auto"/>
        <w:jc w:val="both"/>
        <w:rPr>
          <w:rFonts w:ascii="Palatino Linotype" w:eastAsia="Palatino Linotype" w:hAnsi="Palatino Linotype" w:cs="Palatino Linotype"/>
          <w:b/>
          <w:color w:val="0D0D0D"/>
          <w:sz w:val="24"/>
          <w:szCs w:val="24"/>
        </w:rPr>
      </w:pPr>
    </w:p>
    <w:p w:rsidR="001A4767" w:rsidRPr="00897F1E" w:rsidRDefault="00384B6A">
      <w:pPr>
        <w:spacing w:line="360" w:lineRule="auto"/>
        <w:jc w:val="both"/>
        <w:rPr>
          <w:rFonts w:ascii="Palatino Linotype" w:eastAsia="Palatino Linotype" w:hAnsi="Palatino Linotype" w:cs="Palatino Linotype"/>
          <w:b/>
          <w:color w:val="0D0D0D"/>
          <w:sz w:val="24"/>
          <w:szCs w:val="24"/>
        </w:rPr>
      </w:pPr>
      <w:r w:rsidRPr="00897F1E">
        <w:rPr>
          <w:rFonts w:ascii="Palatino Linotype" w:eastAsia="Palatino Linotype" w:hAnsi="Palatino Linotype" w:cs="Palatino Linotype"/>
          <w:color w:val="0D0D0D"/>
          <w:sz w:val="24"/>
          <w:szCs w:val="24"/>
        </w:rPr>
        <w:lastRenderedPageBreak/>
        <w:t xml:space="preserve">Al respecto, cabe precisar, que conforme al artículo 20 de la Ley de Transparencia y Acceso a la Información Pública del Estado de México y Municipios, </w:t>
      </w:r>
      <w:r w:rsidRPr="00897F1E">
        <w:rPr>
          <w:rFonts w:ascii="Palatino Linotype" w:eastAsia="Palatino Linotype" w:hAnsi="Palatino Linotype" w:cs="Palatino Linotype"/>
          <w:b/>
          <w:color w:val="0D0D0D"/>
          <w:sz w:val="24"/>
          <w:szCs w:val="24"/>
        </w:rPr>
        <w:t>ante la negativa de acceso a la información o su inexistencia, el sujeto obligado deberá demostrar que encuentra en alguna de las excepciones establecidas en la normatividad aplicable.</w:t>
      </w:r>
    </w:p>
    <w:p w:rsidR="001A4767" w:rsidRPr="00897F1E" w:rsidRDefault="001A4767">
      <w:pPr>
        <w:spacing w:line="360" w:lineRule="auto"/>
        <w:jc w:val="both"/>
        <w:rPr>
          <w:rFonts w:ascii="Palatino Linotype" w:eastAsia="Palatino Linotype" w:hAnsi="Palatino Linotype" w:cs="Palatino Linotype"/>
          <w:color w:val="0D0D0D"/>
          <w:sz w:val="24"/>
          <w:szCs w:val="24"/>
        </w:rPr>
      </w:pPr>
    </w:p>
    <w:p w:rsidR="001A4767" w:rsidRPr="00897F1E" w:rsidRDefault="00384B6A">
      <w:pPr>
        <w:spacing w:line="360" w:lineRule="auto"/>
        <w:jc w:val="both"/>
        <w:rPr>
          <w:rFonts w:ascii="Palatino Linotype" w:eastAsia="Palatino Linotype" w:hAnsi="Palatino Linotype" w:cs="Palatino Linotype"/>
          <w:color w:val="0D0D0D"/>
          <w:sz w:val="24"/>
          <w:szCs w:val="24"/>
        </w:rPr>
      </w:pPr>
      <w:r w:rsidRPr="00897F1E">
        <w:rPr>
          <w:rFonts w:ascii="Palatino Linotype" w:eastAsia="Palatino Linotype" w:hAnsi="Palatino Linotype" w:cs="Palatino Linotype"/>
          <w:color w:val="0D0D0D"/>
          <w:sz w:val="24"/>
          <w:szCs w:val="24"/>
        </w:rPr>
        <w:t xml:space="preserve">En ese sentido, según Trujillo, Humberto (2019), en el “Diccionario de Transparencia y Acceso a la Información Pública” (p. 201), </w:t>
      </w:r>
      <w:r w:rsidRPr="00897F1E">
        <w:rPr>
          <w:rFonts w:ascii="Palatino Linotype" w:eastAsia="Palatino Linotype" w:hAnsi="Palatino Linotype" w:cs="Palatino Linotype"/>
          <w:b/>
          <w:color w:val="0D0D0D"/>
          <w:sz w:val="24"/>
          <w:szCs w:val="24"/>
        </w:rPr>
        <w:t xml:space="preserve">la negativa de acceso a la información </w:t>
      </w:r>
      <w:r w:rsidRPr="00897F1E">
        <w:rPr>
          <w:rFonts w:ascii="Palatino Linotype" w:eastAsia="Palatino Linotype" w:hAnsi="Palatino Linotype" w:cs="Palatino Linotype"/>
          <w:color w:val="0D0D0D"/>
          <w:sz w:val="24"/>
          <w:szCs w:val="24"/>
        </w:rPr>
        <w:t xml:space="preserve">ocurre cuanto de manera fundada y motivada, una autoridad la niega o la limita, por alguna de las siguientes razones: </w:t>
      </w:r>
    </w:p>
    <w:p w:rsidR="001A4767" w:rsidRPr="00897F1E" w:rsidRDefault="001A4767">
      <w:pPr>
        <w:spacing w:line="360" w:lineRule="auto"/>
        <w:jc w:val="both"/>
        <w:rPr>
          <w:rFonts w:ascii="Palatino Linotype" w:eastAsia="Palatino Linotype" w:hAnsi="Palatino Linotype" w:cs="Palatino Linotype"/>
          <w:color w:val="0D0D0D"/>
          <w:sz w:val="24"/>
          <w:szCs w:val="24"/>
        </w:rPr>
      </w:pPr>
    </w:p>
    <w:p w:rsidR="001A4767" w:rsidRPr="00897F1E" w:rsidRDefault="00384B6A">
      <w:pPr>
        <w:numPr>
          <w:ilvl w:val="0"/>
          <w:numId w:val="8"/>
        </w:numPr>
        <w:pBdr>
          <w:top w:val="nil"/>
          <w:left w:val="nil"/>
          <w:bottom w:val="nil"/>
          <w:right w:val="nil"/>
          <w:between w:val="nil"/>
        </w:pBdr>
        <w:spacing w:line="360" w:lineRule="auto"/>
        <w:jc w:val="both"/>
        <w:rPr>
          <w:rFonts w:ascii="Palatino Linotype" w:eastAsia="Palatino Linotype" w:hAnsi="Palatino Linotype" w:cs="Palatino Linotype"/>
          <w:b/>
          <w:color w:val="0D0D0D"/>
          <w:sz w:val="22"/>
          <w:szCs w:val="22"/>
        </w:rPr>
      </w:pPr>
      <w:r w:rsidRPr="00897F1E">
        <w:rPr>
          <w:rFonts w:ascii="Palatino Linotype" w:eastAsia="Palatino Linotype" w:hAnsi="Palatino Linotype" w:cs="Palatino Linotype"/>
          <w:b/>
          <w:color w:val="0D0D0D"/>
          <w:sz w:val="22"/>
          <w:szCs w:val="22"/>
        </w:rPr>
        <w:t xml:space="preserve">La inexistencia de la información (p. 171): </w:t>
      </w:r>
      <w:r w:rsidRPr="00897F1E">
        <w:rPr>
          <w:rFonts w:ascii="Palatino Linotype" w:eastAsia="Palatino Linotype" w:hAnsi="Palatino Linotype" w:cs="Palatino Linotype"/>
          <w:color w:val="0D0D0D"/>
          <w:sz w:val="22"/>
          <w:szCs w:val="22"/>
        </w:rPr>
        <w:t>Sucede cuando la información solicitada no se encuentra en los archivos públicos o clasificados de los entes sujetos a las Leyes de Transparencia.</w:t>
      </w:r>
    </w:p>
    <w:p w:rsidR="001A4767" w:rsidRPr="00897F1E" w:rsidRDefault="00384B6A">
      <w:pPr>
        <w:numPr>
          <w:ilvl w:val="0"/>
          <w:numId w:val="8"/>
        </w:numPr>
        <w:pBdr>
          <w:top w:val="nil"/>
          <w:left w:val="nil"/>
          <w:bottom w:val="nil"/>
          <w:right w:val="nil"/>
          <w:between w:val="nil"/>
        </w:pBdr>
        <w:spacing w:line="360" w:lineRule="auto"/>
        <w:jc w:val="both"/>
        <w:rPr>
          <w:rFonts w:ascii="Palatino Linotype" w:eastAsia="Palatino Linotype" w:hAnsi="Palatino Linotype" w:cs="Palatino Linotype"/>
          <w:b/>
          <w:color w:val="0D0D0D"/>
          <w:sz w:val="22"/>
          <w:szCs w:val="22"/>
        </w:rPr>
      </w:pPr>
      <w:r w:rsidRPr="00897F1E">
        <w:rPr>
          <w:rFonts w:ascii="Palatino Linotype" w:eastAsia="Palatino Linotype" w:hAnsi="Palatino Linotype" w:cs="Palatino Linotype"/>
          <w:b/>
          <w:color w:val="0D0D0D"/>
          <w:sz w:val="22"/>
          <w:szCs w:val="22"/>
        </w:rPr>
        <w:t xml:space="preserve">La incompetencia del Sujeto Obligado (p. 171): </w:t>
      </w:r>
      <w:r w:rsidRPr="00897F1E">
        <w:rPr>
          <w:rFonts w:ascii="Palatino Linotype" w:eastAsia="Palatino Linotype" w:hAnsi="Palatino Linotype" w:cs="Palatino Linotype"/>
          <w:color w:val="0D0D0D"/>
          <w:sz w:val="22"/>
          <w:szCs w:val="22"/>
        </w:rPr>
        <w:t>Ocurre cuando el Sujeto Obligado carece de atribuciones para poseer la información peticionada.</w:t>
      </w:r>
    </w:p>
    <w:p w:rsidR="001A4767" w:rsidRPr="00897F1E" w:rsidRDefault="00384B6A">
      <w:pPr>
        <w:numPr>
          <w:ilvl w:val="0"/>
          <w:numId w:val="8"/>
        </w:numPr>
        <w:pBdr>
          <w:top w:val="nil"/>
          <w:left w:val="nil"/>
          <w:bottom w:val="nil"/>
          <w:right w:val="nil"/>
          <w:between w:val="nil"/>
        </w:pBdr>
        <w:spacing w:line="360" w:lineRule="auto"/>
        <w:jc w:val="both"/>
        <w:rPr>
          <w:rFonts w:ascii="Palatino Linotype" w:eastAsia="Palatino Linotype" w:hAnsi="Palatino Linotype" w:cs="Palatino Linotype"/>
          <w:b/>
          <w:color w:val="0D0D0D"/>
          <w:sz w:val="24"/>
          <w:szCs w:val="24"/>
        </w:rPr>
      </w:pPr>
      <w:r w:rsidRPr="00897F1E">
        <w:rPr>
          <w:rFonts w:ascii="Palatino Linotype" w:eastAsia="Palatino Linotype" w:hAnsi="Palatino Linotype" w:cs="Palatino Linotype"/>
          <w:b/>
          <w:color w:val="0D0D0D"/>
          <w:sz w:val="22"/>
          <w:szCs w:val="22"/>
        </w:rPr>
        <w:t xml:space="preserve">La clasificación de la información (p. 70): </w:t>
      </w:r>
      <w:r w:rsidRPr="00897F1E">
        <w:rPr>
          <w:rFonts w:ascii="Palatino Linotype" w:eastAsia="Palatino Linotype" w:hAnsi="Palatino Linotype" w:cs="Palatino Linotype"/>
          <w:color w:val="0D0D0D"/>
          <w:sz w:val="22"/>
          <w:szCs w:val="22"/>
        </w:rPr>
        <w:t>Es el proceso o conjunto de acciones que realizan los sujetos obligados para establecer que determinada información se encuentra en alguno de los supuestos de reserva o confidencialidad establecidos en la legislación en materia de transparencia</w:t>
      </w:r>
      <w:r w:rsidRPr="00897F1E">
        <w:rPr>
          <w:rFonts w:ascii="Palatino Linotype" w:eastAsia="Palatino Linotype" w:hAnsi="Palatino Linotype" w:cs="Palatino Linotype"/>
          <w:color w:val="0D0D0D"/>
          <w:sz w:val="24"/>
          <w:szCs w:val="24"/>
        </w:rPr>
        <w:t>.</w:t>
      </w:r>
    </w:p>
    <w:p w:rsidR="001A4767" w:rsidRPr="00897F1E" w:rsidRDefault="001A4767">
      <w:pPr>
        <w:spacing w:line="360" w:lineRule="auto"/>
        <w:jc w:val="both"/>
        <w:rPr>
          <w:rFonts w:ascii="Palatino Linotype" w:eastAsia="Palatino Linotype" w:hAnsi="Palatino Linotype" w:cs="Palatino Linotype"/>
          <w:color w:val="0D0D0D"/>
          <w:sz w:val="24"/>
          <w:szCs w:val="24"/>
        </w:rPr>
      </w:pPr>
    </w:p>
    <w:p w:rsidR="001A4767" w:rsidRPr="00897F1E" w:rsidRDefault="00384B6A">
      <w:pPr>
        <w:spacing w:line="360" w:lineRule="auto"/>
        <w:jc w:val="both"/>
        <w:rPr>
          <w:rFonts w:ascii="Palatino Linotype" w:eastAsia="Palatino Linotype" w:hAnsi="Palatino Linotype" w:cs="Palatino Linotype"/>
          <w:b/>
          <w:color w:val="0D0D0D"/>
          <w:sz w:val="24"/>
          <w:szCs w:val="24"/>
        </w:rPr>
      </w:pPr>
      <w:r w:rsidRPr="00897F1E">
        <w:rPr>
          <w:rFonts w:ascii="Palatino Linotype" w:eastAsia="Palatino Linotype" w:hAnsi="Palatino Linotype" w:cs="Palatino Linotype"/>
          <w:color w:val="0D0D0D"/>
          <w:sz w:val="24"/>
          <w:szCs w:val="24"/>
        </w:rPr>
        <w:t xml:space="preserve">En ese orden de ideas y en atención a lo anterior, es de señalar que las excepciones al derecho de acceso a la información, consisten en que la documentación sea inexistente, </w:t>
      </w:r>
      <w:r w:rsidRPr="00897F1E">
        <w:rPr>
          <w:rFonts w:ascii="Palatino Linotype" w:eastAsia="Palatino Linotype" w:hAnsi="Palatino Linotype" w:cs="Palatino Linotype"/>
          <w:b/>
          <w:color w:val="0D0D0D"/>
          <w:sz w:val="24"/>
          <w:szCs w:val="24"/>
        </w:rPr>
        <w:t>se encuentre clasificada</w:t>
      </w:r>
      <w:r w:rsidRPr="00897F1E">
        <w:rPr>
          <w:rFonts w:ascii="Palatino Linotype" w:eastAsia="Palatino Linotype" w:hAnsi="Palatino Linotype" w:cs="Palatino Linotype"/>
          <w:color w:val="0D0D0D"/>
          <w:sz w:val="24"/>
          <w:szCs w:val="24"/>
        </w:rPr>
        <w:t xml:space="preserve">, o bien, el Sujeto Obligado sea incompetente para contar con </w:t>
      </w:r>
      <w:r w:rsidRPr="00897F1E">
        <w:rPr>
          <w:rFonts w:ascii="Palatino Linotype" w:eastAsia="Palatino Linotype" w:hAnsi="Palatino Linotype" w:cs="Palatino Linotype"/>
          <w:color w:val="0D0D0D"/>
          <w:sz w:val="24"/>
          <w:szCs w:val="24"/>
        </w:rPr>
        <w:lastRenderedPageBreak/>
        <w:t xml:space="preserve">esta; esto es, la negativa de acceso a la información, recae cuando la documentación no se encuentre en los archivos del sujeto obligado, o bien exista, pero no pueda proporcionarse por contener datos </w:t>
      </w:r>
      <w:r w:rsidRPr="00897F1E">
        <w:rPr>
          <w:rFonts w:ascii="Palatino Linotype" w:eastAsia="Palatino Linotype" w:hAnsi="Palatino Linotype" w:cs="Palatino Linotype"/>
          <w:b/>
          <w:color w:val="0D0D0D"/>
          <w:sz w:val="24"/>
          <w:szCs w:val="24"/>
        </w:rPr>
        <w:t>confidenciales o reservados.</w:t>
      </w:r>
    </w:p>
    <w:p w:rsidR="001A4767" w:rsidRPr="00897F1E" w:rsidRDefault="00384B6A">
      <w:pPr>
        <w:spacing w:line="360" w:lineRule="auto"/>
        <w:jc w:val="both"/>
        <w:rPr>
          <w:rFonts w:ascii="Palatino Linotype" w:eastAsia="Palatino Linotype" w:hAnsi="Palatino Linotype" w:cs="Palatino Linotype"/>
          <w:color w:val="0D0D0D"/>
          <w:sz w:val="24"/>
          <w:szCs w:val="24"/>
        </w:rPr>
      </w:pPr>
      <w:r w:rsidRPr="00897F1E">
        <w:rPr>
          <w:rFonts w:ascii="Palatino Linotype" w:eastAsia="Palatino Linotype" w:hAnsi="Palatino Linotype" w:cs="Palatino Linotype"/>
          <w:color w:val="0D0D0D"/>
          <w:sz w:val="24"/>
          <w:szCs w:val="24"/>
        </w:rPr>
        <w:t xml:space="preserve">Así, en los artículos 122, 128 y 130 de la Ley Transparencia y Acceso a la Información Pública del Estado de México y Municipios, se prevé que </w:t>
      </w:r>
      <w:r w:rsidRPr="00897F1E">
        <w:rPr>
          <w:rFonts w:ascii="Palatino Linotype" w:eastAsia="Palatino Linotype" w:hAnsi="Palatino Linotype" w:cs="Palatino Linotype"/>
          <w:b/>
          <w:color w:val="0D0D0D"/>
          <w:sz w:val="24"/>
          <w:szCs w:val="24"/>
        </w:rPr>
        <w:t xml:space="preserve">la clasificación </w:t>
      </w:r>
      <w:r w:rsidRPr="00897F1E">
        <w:rPr>
          <w:rFonts w:ascii="Palatino Linotype" w:eastAsia="Palatino Linotype" w:hAnsi="Palatino Linotype" w:cs="Palatino Linotype"/>
          <w:color w:val="0D0D0D"/>
          <w:sz w:val="24"/>
          <w:szCs w:val="24"/>
        </w:rPr>
        <w:t>es el proceso mediante el cual los sujetos obligados determinan que la información en su poder, actualiza alguno de los supuestos de reserva o confidencialidad. Además, que dichos entes deberán aplicar de manera restrictiva y limitada, las excepciones al derecho de acceso a la información, por lo que, tendrán que acreditar la procedencia.</w:t>
      </w:r>
    </w:p>
    <w:p w:rsidR="001A4767" w:rsidRPr="00897F1E" w:rsidRDefault="001A4767">
      <w:pPr>
        <w:spacing w:line="360" w:lineRule="auto"/>
        <w:jc w:val="both"/>
        <w:rPr>
          <w:rFonts w:ascii="Palatino Linotype" w:eastAsia="Palatino Linotype" w:hAnsi="Palatino Linotype" w:cs="Palatino Linotype"/>
          <w:color w:val="0D0D0D"/>
          <w:sz w:val="24"/>
          <w:szCs w:val="24"/>
        </w:rPr>
      </w:pPr>
    </w:p>
    <w:p w:rsidR="001A4767" w:rsidRPr="00897F1E" w:rsidRDefault="00384B6A">
      <w:pPr>
        <w:spacing w:line="360" w:lineRule="auto"/>
        <w:jc w:val="both"/>
        <w:rPr>
          <w:rFonts w:ascii="Palatino Linotype" w:eastAsia="Palatino Linotype" w:hAnsi="Palatino Linotype" w:cs="Palatino Linotype"/>
          <w:color w:val="0D0D0D"/>
          <w:sz w:val="24"/>
          <w:szCs w:val="24"/>
        </w:rPr>
      </w:pPr>
      <w:r w:rsidRPr="00897F1E">
        <w:rPr>
          <w:rFonts w:ascii="Palatino Linotype" w:eastAsia="Palatino Linotype" w:hAnsi="Palatino Linotype" w:cs="Palatino Linotype"/>
          <w:color w:val="0D0D0D"/>
          <w:sz w:val="24"/>
          <w:szCs w:val="24"/>
        </w:rPr>
        <w:t xml:space="preserve">Por lo cual, en los casos en que se niegue el acceso a la información, por actualizarse alguno de los supuestos de clasificación, </w:t>
      </w:r>
      <w:r w:rsidRPr="00897F1E">
        <w:rPr>
          <w:rFonts w:ascii="Palatino Linotype" w:eastAsia="Palatino Linotype" w:hAnsi="Palatino Linotype" w:cs="Palatino Linotype"/>
          <w:b/>
          <w:color w:val="0D0D0D"/>
          <w:sz w:val="24"/>
          <w:szCs w:val="24"/>
        </w:rPr>
        <w:t xml:space="preserve">el Comité de Transparencia deberá confirmar, modificar o revocar la decisión; </w:t>
      </w:r>
      <w:r w:rsidRPr="00897F1E">
        <w:rPr>
          <w:rFonts w:ascii="Palatino Linotype" w:eastAsia="Palatino Linotype" w:hAnsi="Palatino Linotype" w:cs="Palatino Linotype"/>
          <w:color w:val="0D0D0D"/>
          <w:sz w:val="24"/>
          <w:szCs w:val="24"/>
        </w:rPr>
        <w:t>además, deberá motivar la confirmación de dicha situación, señalando las razones, motivos o circunstancias especiales que llevaron al sujeto obligado a concluir que en el caso particular se ajusta al supuesto previsto por la norma legal invocada como fundamento.</w:t>
      </w:r>
    </w:p>
    <w:p w:rsidR="001A4767" w:rsidRPr="00897F1E" w:rsidRDefault="001A4767">
      <w:pPr>
        <w:spacing w:line="360" w:lineRule="auto"/>
        <w:jc w:val="both"/>
        <w:rPr>
          <w:rFonts w:ascii="Palatino Linotype" w:eastAsia="Palatino Linotype" w:hAnsi="Palatino Linotype" w:cs="Palatino Linotype"/>
          <w:color w:val="0D0D0D"/>
          <w:sz w:val="24"/>
          <w:szCs w:val="24"/>
        </w:rPr>
      </w:pPr>
    </w:p>
    <w:p w:rsidR="001A4767" w:rsidRPr="00897F1E" w:rsidRDefault="00384B6A">
      <w:pPr>
        <w:spacing w:line="360" w:lineRule="auto"/>
        <w:jc w:val="both"/>
        <w:rPr>
          <w:rFonts w:ascii="Palatino Linotype" w:eastAsia="Palatino Linotype" w:hAnsi="Palatino Linotype" w:cs="Palatino Linotype"/>
          <w:b/>
          <w:color w:val="0D0D0D"/>
          <w:sz w:val="24"/>
          <w:szCs w:val="24"/>
        </w:rPr>
      </w:pPr>
      <w:r w:rsidRPr="00897F1E">
        <w:rPr>
          <w:rFonts w:ascii="Palatino Linotype" w:eastAsia="Palatino Linotype" w:hAnsi="Palatino Linotype" w:cs="Palatino Linotype"/>
          <w:color w:val="0D0D0D"/>
          <w:sz w:val="24"/>
          <w:szCs w:val="24"/>
        </w:rPr>
        <w:t xml:space="preserve">Por su parte, según </w:t>
      </w:r>
      <w:proofErr w:type="spellStart"/>
      <w:r w:rsidRPr="00897F1E">
        <w:rPr>
          <w:rFonts w:ascii="Palatino Linotype" w:eastAsia="Palatino Linotype" w:hAnsi="Palatino Linotype" w:cs="Palatino Linotype"/>
          <w:color w:val="0D0D0D"/>
          <w:sz w:val="24"/>
          <w:szCs w:val="24"/>
        </w:rPr>
        <w:t>Bonifaz</w:t>
      </w:r>
      <w:proofErr w:type="spellEnd"/>
      <w:r w:rsidRPr="00897F1E">
        <w:rPr>
          <w:rFonts w:ascii="Palatino Linotype" w:eastAsia="Palatino Linotype" w:hAnsi="Palatino Linotype" w:cs="Palatino Linotype"/>
          <w:color w:val="0D0D0D"/>
          <w:sz w:val="24"/>
          <w:szCs w:val="24"/>
        </w:rPr>
        <w:t xml:space="preserve">, Leticia (2016), en la “Ley General de Transparencia y Acceso a la Información Pública Comentada” (p. 342), la </w:t>
      </w:r>
      <w:r w:rsidRPr="00897F1E">
        <w:rPr>
          <w:rFonts w:ascii="Palatino Linotype" w:eastAsia="Palatino Linotype" w:hAnsi="Palatino Linotype" w:cs="Palatino Linotype"/>
          <w:b/>
          <w:color w:val="0D0D0D"/>
          <w:sz w:val="24"/>
          <w:szCs w:val="24"/>
        </w:rPr>
        <w:t>clasificación de la información</w:t>
      </w:r>
      <w:r w:rsidRPr="00897F1E">
        <w:rPr>
          <w:rFonts w:ascii="Palatino Linotype" w:eastAsia="Palatino Linotype" w:hAnsi="Palatino Linotype" w:cs="Palatino Linotype"/>
          <w:color w:val="0D0D0D"/>
          <w:sz w:val="24"/>
          <w:szCs w:val="24"/>
        </w:rPr>
        <w:t xml:space="preserve">, ocurre cuando la autoridad niega el acceso a esta, por ser confidencial o reservada, para lo cual, los sujetos obligados, deberán realizar el proceso de clasificación, a la luz de los principios y disposiciones establecidas en las Leyes de </w:t>
      </w:r>
      <w:r w:rsidRPr="00897F1E">
        <w:rPr>
          <w:rFonts w:ascii="Palatino Linotype" w:eastAsia="Palatino Linotype" w:hAnsi="Palatino Linotype" w:cs="Palatino Linotype"/>
          <w:color w:val="0D0D0D"/>
          <w:sz w:val="24"/>
          <w:szCs w:val="24"/>
        </w:rPr>
        <w:lastRenderedPageBreak/>
        <w:t xml:space="preserve">Transparencia, fundando y motivando, </w:t>
      </w:r>
      <w:r w:rsidRPr="00897F1E">
        <w:rPr>
          <w:rFonts w:ascii="Palatino Linotype" w:eastAsia="Palatino Linotype" w:hAnsi="Palatino Linotype" w:cs="Palatino Linotype"/>
          <w:b/>
          <w:color w:val="0D0D0D"/>
          <w:sz w:val="24"/>
          <w:szCs w:val="24"/>
        </w:rPr>
        <w:t>de manera adecuada la negativa de información.</w:t>
      </w:r>
    </w:p>
    <w:p w:rsidR="001A4767" w:rsidRPr="00897F1E" w:rsidRDefault="001A4767">
      <w:pPr>
        <w:spacing w:line="360" w:lineRule="auto"/>
        <w:jc w:val="both"/>
        <w:rPr>
          <w:rFonts w:ascii="Palatino Linotype" w:eastAsia="Palatino Linotype" w:hAnsi="Palatino Linotype" w:cs="Palatino Linotype"/>
          <w:b/>
          <w:color w:val="0D0D0D"/>
          <w:sz w:val="24"/>
          <w:szCs w:val="24"/>
        </w:rPr>
      </w:pPr>
    </w:p>
    <w:p w:rsidR="001A4767" w:rsidRPr="00897F1E" w:rsidRDefault="00384B6A">
      <w:pPr>
        <w:spacing w:line="360" w:lineRule="auto"/>
        <w:jc w:val="both"/>
        <w:rPr>
          <w:rFonts w:ascii="Palatino Linotype" w:eastAsia="Palatino Linotype" w:hAnsi="Palatino Linotype" w:cs="Palatino Linotype"/>
          <w:color w:val="0D0D0D"/>
          <w:sz w:val="24"/>
          <w:szCs w:val="24"/>
        </w:rPr>
      </w:pPr>
      <w:r w:rsidRPr="00897F1E">
        <w:rPr>
          <w:rFonts w:ascii="Palatino Linotype" w:eastAsia="Palatino Linotype" w:hAnsi="Palatino Linotype" w:cs="Palatino Linotype"/>
          <w:color w:val="0D0D0D"/>
          <w:sz w:val="24"/>
          <w:szCs w:val="24"/>
        </w:rPr>
        <w:t xml:space="preserve">Conforme a lo anterior, en el presente caso, el la Procuraduría de Protección al Ambiente del Estado de México, no señaló que era inexistente la información; al contrario, precisó que no podía proporcionarla al ser reservada; esto es, aludió a una clasificación; al respecto, el </w:t>
      </w:r>
      <w:r w:rsidRPr="00897F1E">
        <w:rPr>
          <w:rFonts w:ascii="Palatino Linotype" w:eastAsia="Palatino Linotype" w:hAnsi="Palatino Linotype" w:cs="Palatino Linotype"/>
          <w:b/>
          <w:color w:val="0D0D0D"/>
          <w:sz w:val="24"/>
          <w:szCs w:val="24"/>
        </w:rPr>
        <w:t>Criterio 29/10</w:t>
      </w:r>
      <w:r w:rsidRPr="00897F1E">
        <w:rPr>
          <w:rFonts w:ascii="Palatino Linotype" w:eastAsia="Palatino Linotype" w:hAnsi="Palatino Linotype" w:cs="Palatino Linotype"/>
          <w:color w:val="0D0D0D"/>
          <w:sz w:val="24"/>
          <w:szCs w:val="24"/>
        </w:rPr>
        <w:t>, emitido por el Pleno del entonces Instituto Federal de Acceso a la Información y Protección de Datos, precisa lo siguiente:</w:t>
      </w:r>
    </w:p>
    <w:p w:rsidR="001A4767" w:rsidRPr="00897F1E" w:rsidRDefault="001A4767">
      <w:pPr>
        <w:spacing w:line="360" w:lineRule="auto"/>
        <w:jc w:val="both"/>
        <w:rPr>
          <w:rFonts w:ascii="Palatino Linotype" w:eastAsia="Palatino Linotype" w:hAnsi="Palatino Linotype" w:cs="Palatino Linotype"/>
          <w:color w:val="0D0D0D"/>
          <w:sz w:val="24"/>
          <w:szCs w:val="24"/>
        </w:rPr>
      </w:pPr>
    </w:p>
    <w:p w:rsidR="001A4767" w:rsidRPr="00897F1E" w:rsidRDefault="00384B6A">
      <w:pPr>
        <w:spacing w:line="276" w:lineRule="auto"/>
        <w:ind w:left="567" w:right="567"/>
        <w:jc w:val="both"/>
        <w:rPr>
          <w:rFonts w:ascii="Palatino Linotype" w:eastAsia="Palatino Linotype" w:hAnsi="Palatino Linotype" w:cs="Palatino Linotype"/>
          <w:i/>
          <w:color w:val="0D0D0D"/>
          <w:sz w:val="22"/>
          <w:szCs w:val="22"/>
        </w:rPr>
      </w:pPr>
      <w:r w:rsidRPr="00897F1E">
        <w:rPr>
          <w:rFonts w:ascii="Palatino Linotype" w:eastAsia="Palatino Linotype" w:hAnsi="Palatino Linotype" w:cs="Palatino Linotype"/>
          <w:b/>
          <w:i/>
          <w:color w:val="0D0D0D"/>
          <w:sz w:val="22"/>
          <w:szCs w:val="22"/>
        </w:rPr>
        <w:t>“La clasificación y la inexistencia de información son conceptos que no pueden coexistir.</w:t>
      </w:r>
      <w:r w:rsidRPr="00897F1E">
        <w:rPr>
          <w:rFonts w:ascii="Palatino Linotype" w:eastAsia="Palatino Linotype" w:hAnsi="Palatino Linotype" w:cs="Palatino Linotype"/>
          <w:i/>
          <w:color w:val="0D0D0D"/>
          <w:sz w:val="22"/>
          <w:szCs w:val="22"/>
        </w:rPr>
        <w:t xml:space="preserve"> La inexistencia implica necesariamente que la información no se encuentra en los archivos de la autoridad, no obstante que la dependencia o entidad cuente con facultades para poseer dicha información. En este sentido, la inexistencia es una calidad que se atribuye a la información solicitada. Por su parte, la clasificación es una característica que adquiere la información concreta contenida  en  un  documento  específico,  siempre  que  se  encuentre  en  los supuestos  establecidos  en  los  artículos  13  y  14  de  la  Ley  Federal  de Transparencia y Acceso a la Información Pública Gubernamental, para el caso de la información reservada, y 18 del mismo ordenamiento, para el caso de la información confidencial. Por lo anterior, la clasificación y la inexistencia no coexisten entre sí, en virtud de que la clasificación de información implica invariablemente la existencia de un documento o documentos determinados, mientras que la inexistencia conlleva la ausencia de los mismos en los archivos de la dependencia o entidad de que se trate.”</w:t>
      </w:r>
    </w:p>
    <w:p w:rsidR="001A4767" w:rsidRPr="00897F1E" w:rsidRDefault="001A4767">
      <w:pPr>
        <w:spacing w:line="360" w:lineRule="auto"/>
        <w:rPr>
          <w:rFonts w:ascii="Palatino Linotype" w:eastAsia="Palatino Linotype" w:hAnsi="Palatino Linotype" w:cs="Palatino Linotype"/>
          <w:color w:val="0D0D0D"/>
          <w:sz w:val="24"/>
          <w:szCs w:val="24"/>
        </w:rPr>
      </w:pPr>
    </w:p>
    <w:p w:rsidR="001A4767" w:rsidRPr="00897F1E" w:rsidRDefault="00384B6A">
      <w:pPr>
        <w:spacing w:line="360" w:lineRule="auto"/>
        <w:jc w:val="both"/>
        <w:rPr>
          <w:rFonts w:ascii="Palatino Linotype" w:eastAsia="Palatino Linotype" w:hAnsi="Palatino Linotype" w:cs="Palatino Linotype"/>
          <w:b/>
          <w:color w:val="0D0D0D"/>
          <w:sz w:val="24"/>
          <w:szCs w:val="24"/>
          <w:u w:val="single"/>
        </w:rPr>
      </w:pPr>
      <w:r w:rsidRPr="00897F1E">
        <w:rPr>
          <w:rFonts w:ascii="Palatino Linotype" w:eastAsia="Palatino Linotype" w:hAnsi="Palatino Linotype" w:cs="Palatino Linotype"/>
          <w:b/>
          <w:color w:val="0D0D0D"/>
          <w:sz w:val="24"/>
          <w:szCs w:val="24"/>
          <w:u w:val="single"/>
        </w:rPr>
        <w:t>Del citado criterio, se advierte que la clasificación y la inexistencia no coexisten entre sí, en virtud de que la primera implica la existencia de un documento o documentos determinados, mientras que la segunda conlleva a la ausencia de los mismos en los archivos de la dependencia o entidad de que se trate.</w:t>
      </w:r>
    </w:p>
    <w:p w:rsidR="001A4767" w:rsidRPr="00897F1E" w:rsidRDefault="001A4767">
      <w:pPr>
        <w:spacing w:line="360" w:lineRule="auto"/>
        <w:jc w:val="both"/>
        <w:rPr>
          <w:rFonts w:ascii="Palatino Linotype" w:eastAsia="Palatino Linotype" w:hAnsi="Palatino Linotype" w:cs="Palatino Linotype"/>
          <w:color w:val="0D0D0D"/>
          <w:sz w:val="24"/>
          <w:szCs w:val="24"/>
        </w:rPr>
      </w:pPr>
    </w:p>
    <w:p w:rsidR="001A4767" w:rsidRPr="00897F1E" w:rsidRDefault="00384B6A">
      <w:pPr>
        <w:spacing w:line="360" w:lineRule="auto"/>
        <w:jc w:val="both"/>
        <w:rPr>
          <w:rFonts w:ascii="Palatino Linotype" w:eastAsia="Palatino Linotype" w:hAnsi="Palatino Linotype" w:cs="Palatino Linotype"/>
          <w:color w:val="0D0D0D"/>
          <w:sz w:val="24"/>
          <w:szCs w:val="24"/>
        </w:rPr>
      </w:pPr>
      <w:r w:rsidRPr="00897F1E">
        <w:rPr>
          <w:rFonts w:ascii="Palatino Linotype" w:eastAsia="Palatino Linotype" w:hAnsi="Palatino Linotype" w:cs="Palatino Linotype"/>
          <w:color w:val="0D0D0D"/>
          <w:sz w:val="24"/>
          <w:szCs w:val="24"/>
        </w:rPr>
        <w:t xml:space="preserve">Conforme a lo anterior, se negó el acceso a la información peticionada por la parte Recurrente, al considerar que estaba clasificada; tan es así, que proporcionó el Acta de la Segunda Sesión Ordinaria 2022 emitida por el Comité de Transparencia de la Procuraduría de Protección al Ambiente del Estado de México, donde confirmó la clasificación de la información solicitada, como reservada, en términos del artículo 140, fracción VIII de la Ley de Transparencia y Acceso al a Información Pública del Estado de México y Municipios, relacionados con el 113, fracción XI de la Ley General de Transparencia y Acceso a la Información Pública.  </w:t>
      </w:r>
    </w:p>
    <w:p w:rsidR="001A4767" w:rsidRPr="00897F1E" w:rsidRDefault="001A4767">
      <w:pPr>
        <w:spacing w:line="360" w:lineRule="auto"/>
        <w:jc w:val="both"/>
        <w:rPr>
          <w:rFonts w:ascii="Palatino Linotype" w:eastAsia="Palatino Linotype" w:hAnsi="Palatino Linotype" w:cs="Palatino Linotype"/>
          <w:color w:val="0D0D0D"/>
          <w:sz w:val="24"/>
          <w:szCs w:val="24"/>
        </w:rPr>
      </w:pPr>
    </w:p>
    <w:p w:rsidR="001A4767" w:rsidRPr="00897F1E" w:rsidRDefault="00384B6A">
      <w:pPr>
        <w:spacing w:line="360" w:lineRule="auto"/>
        <w:jc w:val="center"/>
        <w:rPr>
          <w:rFonts w:ascii="Palatino Linotype" w:eastAsia="Palatino Linotype" w:hAnsi="Palatino Linotype" w:cs="Palatino Linotype"/>
          <w:color w:val="0D0D0D"/>
          <w:sz w:val="24"/>
          <w:szCs w:val="24"/>
        </w:rPr>
      </w:pPr>
      <w:r w:rsidRPr="00897F1E">
        <w:rPr>
          <w:rFonts w:ascii="Palatino Linotype" w:eastAsia="Palatino Linotype" w:hAnsi="Palatino Linotype" w:cs="Palatino Linotype"/>
          <w:noProof/>
          <w:color w:val="0D0D0D"/>
          <w:sz w:val="24"/>
          <w:szCs w:val="24"/>
          <w:lang w:eastAsia="es-MX"/>
        </w:rPr>
        <w:drawing>
          <wp:inline distT="0" distB="0" distL="0" distR="0">
            <wp:extent cx="4477375" cy="876422"/>
            <wp:effectExtent l="0" t="0" r="0" b="0"/>
            <wp:docPr id="6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9"/>
                    <a:srcRect/>
                    <a:stretch>
                      <a:fillRect/>
                    </a:stretch>
                  </pic:blipFill>
                  <pic:spPr>
                    <a:xfrm>
                      <a:off x="0" y="0"/>
                      <a:ext cx="4477375" cy="876422"/>
                    </a:xfrm>
                    <a:prstGeom prst="rect">
                      <a:avLst/>
                    </a:prstGeom>
                    <a:ln/>
                  </pic:spPr>
                </pic:pic>
              </a:graphicData>
            </a:graphic>
          </wp:inline>
        </w:drawing>
      </w:r>
      <w:r w:rsidRPr="00897F1E">
        <w:rPr>
          <w:noProof/>
          <w:lang w:eastAsia="es-MX"/>
        </w:rPr>
        <mc:AlternateContent>
          <mc:Choice Requires="wps">
            <w:drawing>
              <wp:anchor distT="0" distB="0" distL="114300" distR="114300" simplePos="0" relativeHeight="251658240" behindDoc="0" locked="0" layoutInCell="1" hidden="0" allowOverlap="1">
                <wp:simplePos x="0" y="0"/>
                <wp:positionH relativeFrom="column">
                  <wp:posOffset>622300</wp:posOffset>
                </wp:positionH>
                <wp:positionV relativeFrom="paragraph">
                  <wp:posOffset>292100</wp:posOffset>
                </wp:positionV>
                <wp:extent cx="4514850" cy="571500"/>
                <wp:effectExtent l="0" t="0" r="0" b="0"/>
                <wp:wrapNone/>
                <wp:docPr id="54" name="Rectángulo 54"/>
                <wp:cNvGraphicFramePr/>
                <a:graphic xmlns:a="http://schemas.openxmlformats.org/drawingml/2006/main">
                  <a:graphicData uri="http://schemas.microsoft.com/office/word/2010/wordprocessingShape">
                    <wps:wsp>
                      <wps:cNvSpPr/>
                      <wps:spPr>
                        <a:xfrm>
                          <a:off x="3102863" y="3508538"/>
                          <a:ext cx="4486275" cy="542925"/>
                        </a:xfrm>
                        <a:prstGeom prst="rect">
                          <a:avLst/>
                        </a:prstGeom>
                        <a:noFill/>
                        <a:ln w="28575" cap="flat" cmpd="sng">
                          <a:solidFill>
                            <a:srgbClr val="0C0C0C"/>
                          </a:solidFill>
                          <a:prstDash val="solid"/>
                          <a:miter lim="800000"/>
                          <a:headEnd type="none" w="sm" len="sm"/>
                          <a:tailEnd type="none" w="sm" len="sm"/>
                        </a:ln>
                      </wps:spPr>
                      <wps:txbx>
                        <w:txbxContent>
                          <w:p w:rsidR="00E04B43" w:rsidRDefault="00E04B43">
                            <w:pPr>
                              <w:textDirection w:val="btLr"/>
                            </w:pPr>
                          </w:p>
                        </w:txbxContent>
                      </wps:txbx>
                      <wps:bodyPr spcFirstLastPara="1" wrap="square" lIns="91425" tIns="91425" rIns="91425" bIns="91425" anchor="ctr" anchorCtr="0">
                        <a:noAutofit/>
                      </wps:bodyPr>
                    </wps:wsp>
                  </a:graphicData>
                </a:graphic>
              </wp:anchor>
            </w:drawing>
          </mc:Choice>
          <mc:Fallback>
            <w:pict>
              <v:rect id="Rectángulo 54" o:spid="_x0000_s1026" style="position:absolute;left:0;text-align:left;margin-left:49pt;margin-top:23pt;width:355.5pt;height:4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" filled="f" strokecolor="#0c0c0c" strokeweight="2.25pt">
                <v:stroke startarrowwidth="narrow" startarrowlength="short" endarrowwidth="narrow" endarrowlength="short"/>
                <v:textbox inset="2.53958mm,2.53958mm,2.53958mm,2.53958mm">
                  <w:txbxContent>
                    <w:p w:rsidR="00E04B43" w:rsidRDefault="00E04B43">
                      <w:pPr>
                        <w:textDirection w:val="btLr"/>
                      </w:pPr>
                    </w:p>
                  </w:txbxContent>
                </v:textbox>
              </v:rect>
            </w:pict>
          </mc:Fallback>
        </mc:AlternateContent>
      </w:r>
    </w:p>
    <w:p w:rsidR="001A4767" w:rsidRPr="00897F1E" w:rsidRDefault="00384B6A">
      <w:pPr>
        <w:spacing w:line="360" w:lineRule="auto"/>
        <w:jc w:val="center"/>
        <w:rPr>
          <w:rFonts w:ascii="Palatino Linotype" w:eastAsia="Palatino Linotype" w:hAnsi="Palatino Linotype" w:cs="Palatino Linotype"/>
          <w:color w:val="0D0D0D"/>
          <w:sz w:val="24"/>
          <w:szCs w:val="24"/>
        </w:rPr>
      </w:pPr>
      <w:r w:rsidRPr="00897F1E">
        <w:rPr>
          <w:rFonts w:ascii="Palatino Linotype" w:eastAsia="Palatino Linotype" w:hAnsi="Palatino Linotype" w:cs="Palatino Linotype"/>
          <w:noProof/>
          <w:color w:val="0D0D0D"/>
          <w:sz w:val="24"/>
          <w:szCs w:val="24"/>
          <w:lang w:eastAsia="es-MX"/>
        </w:rPr>
        <w:drawing>
          <wp:inline distT="0" distB="0" distL="0" distR="0">
            <wp:extent cx="4515480" cy="990738"/>
            <wp:effectExtent l="0" t="0" r="0" b="0"/>
            <wp:docPr id="6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4515480" cy="990738"/>
                    </a:xfrm>
                    <a:prstGeom prst="rect">
                      <a:avLst/>
                    </a:prstGeom>
                    <a:ln/>
                  </pic:spPr>
                </pic:pic>
              </a:graphicData>
            </a:graphic>
          </wp:inline>
        </w:drawing>
      </w:r>
      <w:r w:rsidRPr="00897F1E">
        <w:rPr>
          <w:noProof/>
          <w:lang w:eastAsia="es-MX"/>
        </w:rPr>
        <mc:AlternateContent>
          <mc:Choice Requires="wps">
            <w:drawing>
              <wp:anchor distT="0" distB="0" distL="114300" distR="114300" simplePos="0" relativeHeight="251659264" behindDoc="0" locked="0" layoutInCell="1" hidden="0" allowOverlap="1">
                <wp:simplePos x="0" y="0"/>
                <wp:positionH relativeFrom="column">
                  <wp:posOffset>622300</wp:posOffset>
                </wp:positionH>
                <wp:positionV relativeFrom="paragraph">
                  <wp:posOffset>0</wp:posOffset>
                </wp:positionV>
                <wp:extent cx="4505325" cy="990600"/>
                <wp:effectExtent l="0" t="0" r="0" b="0"/>
                <wp:wrapNone/>
                <wp:docPr id="53" name="Rectángulo 53"/>
                <wp:cNvGraphicFramePr/>
                <a:graphic xmlns:a="http://schemas.openxmlformats.org/drawingml/2006/main">
                  <a:graphicData uri="http://schemas.microsoft.com/office/word/2010/wordprocessingShape">
                    <wps:wsp>
                      <wps:cNvSpPr/>
                      <wps:spPr>
                        <a:xfrm>
                          <a:off x="3107625" y="3298988"/>
                          <a:ext cx="4476750" cy="962025"/>
                        </a:xfrm>
                        <a:prstGeom prst="rect">
                          <a:avLst/>
                        </a:prstGeom>
                        <a:noFill/>
                        <a:ln w="28575" cap="flat" cmpd="sng">
                          <a:solidFill>
                            <a:srgbClr val="0C0C0C"/>
                          </a:solidFill>
                          <a:prstDash val="solid"/>
                          <a:miter lim="800000"/>
                          <a:headEnd type="none" w="sm" len="sm"/>
                          <a:tailEnd type="none" w="sm" len="sm"/>
                        </a:ln>
                      </wps:spPr>
                      <wps:txbx>
                        <w:txbxContent>
                          <w:p w:rsidR="00E04B43" w:rsidRDefault="00E04B43">
                            <w:pPr>
                              <w:textDirection w:val="btLr"/>
                            </w:pPr>
                          </w:p>
                        </w:txbxContent>
                      </wps:txbx>
                      <wps:bodyPr spcFirstLastPara="1" wrap="square" lIns="91425" tIns="91425" rIns="91425" bIns="91425" anchor="ctr" anchorCtr="0">
                        <a:noAutofit/>
                      </wps:bodyPr>
                    </wps:wsp>
                  </a:graphicData>
                </a:graphic>
              </wp:anchor>
            </w:drawing>
          </mc:Choice>
          <mc:Fallback>
            <w:pict>
              <v:rect id="Rectángulo 53" o:spid="_x0000_s1027" style="position:absolute;left:0;text-align:left;margin-left:49pt;margin-top:0;width:354.75pt;height:78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" filled="f" strokecolor="#0c0c0c" strokeweight="2.25pt">
                <v:stroke startarrowwidth="narrow" startarrowlength="short" endarrowwidth="narrow" endarrowlength="short"/>
                <v:textbox inset="2.53958mm,2.53958mm,2.53958mm,2.53958mm">
                  <w:txbxContent>
                    <w:p w:rsidR="00E04B43" w:rsidRDefault="00E04B43">
                      <w:pPr>
                        <w:textDirection w:val="btLr"/>
                      </w:pPr>
                    </w:p>
                  </w:txbxContent>
                </v:textbox>
              </v:rect>
            </w:pict>
          </mc:Fallback>
        </mc:AlternateContent>
      </w:r>
    </w:p>
    <w:p w:rsidR="001A4767" w:rsidRPr="00897F1E" w:rsidRDefault="00384B6A">
      <w:pPr>
        <w:jc w:val="center"/>
        <w:rPr>
          <w:rFonts w:ascii="Palatino Linotype" w:eastAsia="Palatino Linotype" w:hAnsi="Palatino Linotype" w:cs="Palatino Linotype"/>
          <w:color w:val="0D0D0D"/>
          <w:sz w:val="24"/>
          <w:szCs w:val="24"/>
        </w:rPr>
      </w:pPr>
      <w:r w:rsidRPr="00897F1E">
        <w:rPr>
          <w:rFonts w:ascii="Palatino Linotype" w:eastAsia="Palatino Linotype" w:hAnsi="Palatino Linotype" w:cs="Palatino Linotype"/>
          <w:color w:val="0D0D0D"/>
          <w:sz w:val="24"/>
          <w:szCs w:val="24"/>
        </w:rPr>
        <w:t>…</w:t>
      </w:r>
    </w:p>
    <w:p w:rsidR="001A4767" w:rsidRPr="00897F1E" w:rsidRDefault="001A4767">
      <w:pPr>
        <w:spacing w:line="360" w:lineRule="auto"/>
        <w:jc w:val="both"/>
        <w:rPr>
          <w:rFonts w:ascii="Palatino Linotype" w:eastAsia="Palatino Linotype" w:hAnsi="Palatino Linotype" w:cs="Palatino Linotype"/>
          <w:color w:val="0D0D0D"/>
          <w:sz w:val="24"/>
          <w:szCs w:val="24"/>
        </w:rPr>
      </w:pPr>
    </w:p>
    <w:p w:rsidR="001A4767" w:rsidRPr="00897F1E" w:rsidRDefault="00384B6A">
      <w:pPr>
        <w:spacing w:line="360" w:lineRule="auto"/>
        <w:jc w:val="both"/>
        <w:rPr>
          <w:rFonts w:ascii="Palatino Linotype" w:eastAsia="Palatino Linotype" w:hAnsi="Palatino Linotype" w:cs="Palatino Linotype"/>
          <w:b/>
          <w:color w:val="0D0D0D"/>
          <w:sz w:val="24"/>
          <w:szCs w:val="24"/>
        </w:rPr>
      </w:pPr>
      <w:r w:rsidRPr="00897F1E">
        <w:rPr>
          <w:rFonts w:ascii="Palatino Linotype" w:eastAsia="Palatino Linotype" w:hAnsi="Palatino Linotype" w:cs="Palatino Linotype"/>
          <w:color w:val="0D0D0D"/>
          <w:sz w:val="24"/>
          <w:szCs w:val="24"/>
        </w:rPr>
        <w:t xml:space="preserve">En ese sentido, conforme al artículo 134 de la Ley de Transparencia y Acceso a la Información Pública del Estado de México y Municipios y el Sexto de los Lineamientos Generales en Materia de Clasificación y Desclasificación de la Información, así como para la Elaboración de Versiones Públicas –Lineamientos Generales-, los sujetos obligados no podrán emitir acuerdos de carácter general que clasifiquen documentos </w:t>
      </w:r>
      <w:r w:rsidRPr="00897F1E">
        <w:rPr>
          <w:rFonts w:ascii="Palatino Linotype" w:eastAsia="Palatino Linotype" w:hAnsi="Palatino Linotype" w:cs="Palatino Linotype"/>
          <w:color w:val="0D0D0D"/>
          <w:sz w:val="24"/>
          <w:szCs w:val="24"/>
        </w:rPr>
        <w:lastRenderedPageBreak/>
        <w:t xml:space="preserve">o expedientes; por lo que, la clasificación de información se llevará a cabo mediante un </w:t>
      </w:r>
      <w:r w:rsidRPr="00897F1E">
        <w:rPr>
          <w:rFonts w:ascii="Palatino Linotype" w:eastAsia="Palatino Linotype" w:hAnsi="Palatino Linotype" w:cs="Palatino Linotype"/>
          <w:b/>
          <w:color w:val="0D0D0D"/>
          <w:sz w:val="24"/>
          <w:szCs w:val="24"/>
        </w:rPr>
        <w:t>análisis caso por caso.</w:t>
      </w:r>
    </w:p>
    <w:p w:rsidR="001A4767" w:rsidRPr="00897F1E" w:rsidRDefault="001A4767">
      <w:pPr>
        <w:spacing w:line="360" w:lineRule="auto"/>
        <w:jc w:val="both"/>
        <w:rPr>
          <w:rFonts w:ascii="Palatino Linotype" w:eastAsia="Palatino Linotype" w:hAnsi="Palatino Linotype" w:cs="Palatino Linotype"/>
          <w:b/>
          <w:color w:val="0D0D0D"/>
          <w:sz w:val="24"/>
          <w:szCs w:val="24"/>
        </w:rPr>
      </w:pPr>
    </w:p>
    <w:p w:rsidR="001A4767" w:rsidRPr="00897F1E" w:rsidRDefault="00384B6A">
      <w:pPr>
        <w:spacing w:line="360" w:lineRule="auto"/>
        <w:jc w:val="both"/>
        <w:rPr>
          <w:rFonts w:ascii="Palatino Linotype" w:eastAsia="Palatino Linotype" w:hAnsi="Palatino Linotype" w:cs="Palatino Linotype"/>
          <w:color w:val="0D0D0D"/>
          <w:sz w:val="24"/>
          <w:szCs w:val="24"/>
        </w:rPr>
      </w:pPr>
      <w:r w:rsidRPr="00897F1E">
        <w:rPr>
          <w:rFonts w:ascii="Palatino Linotype" w:eastAsia="Palatino Linotype" w:hAnsi="Palatino Linotype" w:cs="Palatino Linotype"/>
          <w:color w:val="0D0D0D"/>
          <w:sz w:val="24"/>
          <w:szCs w:val="24"/>
        </w:rPr>
        <w:t xml:space="preserve">Además, el artículo 131 de la Ley referida, así como el Quinto de los Lineamientos Generales, establecen que los sujetos obligados </w:t>
      </w:r>
      <w:r w:rsidRPr="00897F1E">
        <w:rPr>
          <w:rFonts w:ascii="Palatino Linotype" w:eastAsia="Palatino Linotype" w:hAnsi="Palatino Linotype" w:cs="Palatino Linotype"/>
          <w:b/>
          <w:color w:val="0D0D0D"/>
          <w:sz w:val="24"/>
          <w:szCs w:val="24"/>
        </w:rPr>
        <w:t>deberán fundar y motivar</w:t>
      </w:r>
      <w:r w:rsidRPr="00897F1E">
        <w:rPr>
          <w:rFonts w:ascii="Palatino Linotype" w:eastAsia="Palatino Linotype" w:hAnsi="Palatino Linotype" w:cs="Palatino Linotype"/>
          <w:color w:val="0D0D0D"/>
          <w:sz w:val="24"/>
          <w:szCs w:val="24"/>
        </w:rPr>
        <w:t xml:space="preserve"> debidamente la clasificación de la información.</w:t>
      </w:r>
    </w:p>
    <w:p w:rsidR="001A4767" w:rsidRPr="00897F1E" w:rsidRDefault="00384B6A">
      <w:pPr>
        <w:spacing w:line="360" w:lineRule="auto"/>
        <w:jc w:val="both"/>
        <w:rPr>
          <w:rFonts w:ascii="Palatino Linotype" w:eastAsia="Palatino Linotype" w:hAnsi="Palatino Linotype" w:cs="Palatino Linotype"/>
          <w:color w:val="0D0D0D"/>
          <w:sz w:val="24"/>
          <w:szCs w:val="24"/>
        </w:rPr>
      </w:pPr>
      <w:r w:rsidRPr="00897F1E">
        <w:rPr>
          <w:rFonts w:ascii="Palatino Linotype" w:eastAsia="Palatino Linotype" w:hAnsi="Palatino Linotype" w:cs="Palatino Linotype"/>
          <w:color w:val="0D0D0D"/>
          <w:sz w:val="24"/>
          <w:szCs w:val="24"/>
        </w:rPr>
        <w:t>Al respecto, el Octavo de los Lineamientos Generales, precisa lo siguiente:</w:t>
      </w:r>
    </w:p>
    <w:p w:rsidR="001A4767" w:rsidRPr="00897F1E" w:rsidRDefault="001A4767">
      <w:pPr>
        <w:spacing w:line="360" w:lineRule="auto"/>
        <w:jc w:val="both"/>
        <w:rPr>
          <w:rFonts w:ascii="Palatino Linotype" w:eastAsia="Palatino Linotype" w:hAnsi="Palatino Linotype" w:cs="Palatino Linotype"/>
          <w:color w:val="0D0D0D"/>
          <w:sz w:val="24"/>
          <w:szCs w:val="24"/>
        </w:rPr>
      </w:pPr>
    </w:p>
    <w:p w:rsidR="001A4767" w:rsidRPr="00897F1E" w:rsidRDefault="00384B6A">
      <w:pPr>
        <w:numPr>
          <w:ilvl w:val="0"/>
          <w:numId w:val="9"/>
        </w:numPr>
        <w:spacing w:line="360" w:lineRule="auto"/>
        <w:jc w:val="both"/>
        <w:rPr>
          <w:rFonts w:ascii="Palatino Linotype" w:eastAsia="Palatino Linotype" w:hAnsi="Palatino Linotype" w:cs="Palatino Linotype"/>
          <w:color w:val="0D0D0D"/>
          <w:sz w:val="22"/>
          <w:szCs w:val="22"/>
        </w:rPr>
      </w:pPr>
      <w:r w:rsidRPr="00897F1E">
        <w:rPr>
          <w:rFonts w:ascii="Palatino Linotype" w:eastAsia="Palatino Linotype" w:hAnsi="Palatino Linotype" w:cs="Palatino Linotype"/>
          <w:b/>
          <w:color w:val="0D0D0D"/>
          <w:sz w:val="22"/>
          <w:szCs w:val="22"/>
        </w:rPr>
        <w:t>Para fundar la clasificación</w:t>
      </w:r>
      <w:r w:rsidRPr="00897F1E">
        <w:rPr>
          <w:rFonts w:ascii="Palatino Linotype" w:eastAsia="Palatino Linotype" w:hAnsi="Palatino Linotype" w:cs="Palatino Linotype"/>
          <w:color w:val="0D0D0D"/>
          <w:sz w:val="22"/>
          <w:szCs w:val="22"/>
        </w:rPr>
        <w:t xml:space="preserve"> de la información se deberán señalar el artículo, fracción, inciso, párrafo o numeral de la Ley aplicable;</w:t>
      </w:r>
    </w:p>
    <w:p w:rsidR="001A4767" w:rsidRPr="00897F1E" w:rsidRDefault="00384B6A">
      <w:pPr>
        <w:numPr>
          <w:ilvl w:val="0"/>
          <w:numId w:val="9"/>
        </w:numPr>
        <w:spacing w:line="360" w:lineRule="auto"/>
        <w:jc w:val="both"/>
        <w:rPr>
          <w:rFonts w:ascii="Palatino Linotype" w:eastAsia="Palatino Linotype" w:hAnsi="Palatino Linotype" w:cs="Palatino Linotype"/>
          <w:color w:val="0D0D0D"/>
          <w:sz w:val="22"/>
          <w:szCs w:val="22"/>
        </w:rPr>
      </w:pPr>
      <w:r w:rsidRPr="00897F1E">
        <w:rPr>
          <w:rFonts w:ascii="Palatino Linotype" w:eastAsia="Palatino Linotype" w:hAnsi="Palatino Linotype" w:cs="Palatino Linotype"/>
          <w:b/>
          <w:color w:val="0D0D0D"/>
          <w:sz w:val="22"/>
          <w:szCs w:val="22"/>
        </w:rPr>
        <w:t>Para motivar la clasificación</w:t>
      </w:r>
      <w:r w:rsidRPr="00897F1E">
        <w:rPr>
          <w:rFonts w:ascii="Palatino Linotype" w:eastAsia="Palatino Linotype" w:hAnsi="Palatino Linotype" w:cs="Palatino Linotype"/>
          <w:color w:val="0D0D0D"/>
          <w:sz w:val="22"/>
          <w:szCs w:val="22"/>
        </w:rPr>
        <w:t xml:space="preserve"> se deberán indicar las razones y circunstancias especiales que lo llevaron a concluir que el caso particular se ajusta al supuesto previsto por la norma legal invocada; la cual, en el caso de que se trate de información reservada, la motivación, deberá comprender las circunstancias que justifican el establecimiento de un determinado plazo de reserva.</w:t>
      </w:r>
    </w:p>
    <w:p w:rsidR="001A4767" w:rsidRPr="00897F1E" w:rsidRDefault="001A4767">
      <w:pPr>
        <w:pBdr>
          <w:top w:val="nil"/>
          <w:left w:val="nil"/>
          <w:bottom w:val="nil"/>
          <w:right w:val="nil"/>
          <w:between w:val="nil"/>
        </w:pBdr>
        <w:spacing w:line="360" w:lineRule="auto"/>
        <w:ind w:left="720"/>
        <w:rPr>
          <w:rFonts w:ascii="Palatino Linotype" w:eastAsia="Palatino Linotype" w:hAnsi="Palatino Linotype" w:cs="Palatino Linotype"/>
          <w:color w:val="0D0D0D"/>
          <w:sz w:val="24"/>
          <w:szCs w:val="24"/>
        </w:rPr>
      </w:pPr>
    </w:p>
    <w:p w:rsidR="001A4767" w:rsidRPr="00897F1E" w:rsidRDefault="00384B6A">
      <w:pPr>
        <w:spacing w:line="360" w:lineRule="auto"/>
        <w:jc w:val="both"/>
        <w:rPr>
          <w:rFonts w:ascii="Palatino Linotype" w:eastAsia="Palatino Linotype" w:hAnsi="Palatino Linotype" w:cs="Palatino Linotype"/>
          <w:color w:val="0D0D0D"/>
          <w:sz w:val="24"/>
          <w:szCs w:val="24"/>
        </w:rPr>
      </w:pPr>
      <w:r w:rsidRPr="00897F1E">
        <w:rPr>
          <w:rFonts w:ascii="Palatino Linotype" w:eastAsia="Palatino Linotype" w:hAnsi="Palatino Linotype" w:cs="Palatino Linotype"/>
          <w:color w:val="0D0D0D"/>
          <w:sz w:val="24"/>
          <w:szCs w:val="24"/>
        </w:rPr>
        <w:t>Lo anterior, toma sustento en la fracción VII, del artículo 1.8, del Código Administrativo del Estado de México, que establece que todo acto administrativo, debe estar fundado y motivado, esto es, que contenga con precisión, los preceptos legales aplicables, las circunstancias generales o especiales, razones particulares y causas que se hayan tomado en cuenta para la emisión del mismo; asimismo, la Tesis aislada número I. 4o. P. 56 P, Octava Época, publicada en el Semanario Judicial de la Federación, Tomo XIV, noviembre de mil novecientos noventa y cuatro, (p. 450), que establece lo siguiente:</w:t>
      </w:r>
    </w:p>
    <w:p w:rsidR="001A4767" w:rsidRPr="00897F1E" w:rsidRDefault="001A4767">
      <w:pPr>
        <w:spacing w:line="360" w:lineRule="auto"/>
        <w:jc w:val="both"/>
        <w:rPr>
          <w:rFonts w:ascii="Palatino Linotype" w:eastAsia="Palatino Linotype" w:hAnsi="Palatino Linotype" w:cs="Palatino Linotype"/>
          <w:color w:val="0D0D0D"/>
          <w:sz w:val="24"/>
          <w:szCs w:val="24"/>
        </w:rPr>
      </w:pPr>
    </w:p>
    <w:p w:rsidR="001A4767" w:rsidRPr="00897F1E" w:rsidRDefault="00384B6A">
      <w:pPr>
        <w:spacing w:line="276" w:lineRule="auto"/>
        <w:ind w:left="567" w:right="567"/>
        <w:jc w:val="both"/>
        <w:rPr>
          <w:rFonts w:ascii="Palatino Linotype" w:eastAsia="Palatino Linotype" w:hAnsi="Palatino Linotype" w:cs="Palatino Linotype"/>
          <w:i/>
          <w:color w:val="0D0D0D"/>
          <w:sz w:val="22"/>
          <w:szCs w:val="22"/>
        </w:rPr>
      </w:pPr>
      <w:r w:rsidRPr="00897F1E">
        <w:rPr>
          <w:rFonts w:ascii="Palatino Linotype" w:eastAsia="Palatino Linotype" w:hAnsi="Palatino Linotype" w:cs="Palatino Linotype"/>
          <w:b/>
          <w:i/>
          <w:color w:val="0D0D0D"/>
          <w:sz w:val="22"/>
          <w:szCs w:val="22"/>
        </w:rPr>
        <w:t xml:space="preserve">“FUNDAMENTACION Y MOTIVACION, CONCEPTO DE. </w:t>
      </w:r>
      <w:r w:rsidRPr="00897F1E">
        <w:rPr>
          <w:rFonts w:ascii="Palatino Linotype" w:eastAsia="Palatino Linotype" w:hAnsi="Palatino Linotype" w:cs="Palatino Linotype"/>
          <w:i/>
          <w:color w:val="0D0D0D"/>
          <w:sz w:val="22"/>
          <w:szCs w:val="22"/>
        </w:rPr>
        <w:t>La garantía de legalidad consagrada en el artículo 16 de nuestra Carta Magna, establece que todo acto de autoridad precisa encontrarse debidamente fundado y motivado, entendiéndose por lo primero la obligación de la autoridad que lo emite, para citar los preceptos legales, sustantivos y adjetivos, en que se apoye la determinación adoptada; y por lo segundo, que exprese una serie de razonamientos lógico-jurídicos sobre el por qué consideró que el caso concreto se ajusta a la hipótesis normativa.”</w:t>
      </w:r>
    </w:p>
    <w:p w:rsidR="001A4767" w:rsidRPr="00897F1E" w:rsidRDefault="00384B6A">
      <w:pPr>
        <w:spacing w:line="360" w:lineRule="auto"/>
        <w:jc w:val="both"/>
        <w:rPr>
          <w:rFonts w:ascii="Palatino Linotype" w:eastAsia="Palatino Linotype" w:hAnsi="Palatino Linotype" w:cs="Palatino Linotype"/>
          <w:color w:val="0D0D0D"/>
          <w:sz w:val="24"/>
          <w:szCs w:val="24"/>
        </w:rPr>
      </w:pPr>
      <w:r w:rsidRPr="00897F1E">
        <w:rPr>
          <w:rFonts w:ascii="Palatino Linotype" w:eastAsia="Palatino Linotype" w:hAnsi="Palatino Linotype" w:cs="Palatino Linotype"/>
          <w:color w:val="0D0D0D"/>
          <w:sz w:val="24"/>
          <w:szCs w:val="24"/>
        </w:rPr>
        <w:t>Conforme a lo anterior, se advierte lo siguiente:</w:t>
      </w:r>
    </w:p>
    <w:p w:rsidR="001A4767" w:rsidRPr="00897F1E" w:rsidRDefault="001A4767">
      <w:pPr>
        <w:spacing w:line="360" w:lineRule="auto"/>
        <w:jc w:val="both"/>
        <w:rPr>
          <w:rFonts w:ascii="Palatino Linotype" w:eastAsia="Palatino Linotype" w:hAnsi="Palatino Linotype" w:cs="Palatino Linotype"/>
          <w:color w:val="0D0D0D"/>
          <w:sz w:val="24"/>
          <w:szCs w:val="24"/>
        </w:rPr>
      </w:pPr>
    </w:p>
    <w:p w:rsidR="001A4767" w:rsidRPr="00897F1E" w:rsidRDefault="00384B6A">
      <w:pPr>
        <w:numPr>
          <w:ilvl w:val="0"/>
          <w:numId w:val="1"/>
        </w:numPr>
        <w:spacing w:line="360" w:lineRule="auto"/>
        <w:jc w:val="both"/>
        <w:rPr>
          <w:rFonts w:ascii="Palatino Linotype" w:eastAsia="Palatino Linotype" w:hAnsi="Palatino Linotype" w:cs="Palatino Linotype"/>
          <w:b/>
          <w:color w:val="0D0D0D"/>
          <w:sz w:val="22"/>
          <w:szCs w:val="22"/>
        </w:rPr>
      </w:pPr>
      <w:r w:rsidRPr="00897F1E">
        <w:rPr>
          <w:rFonts w:ascii="Palatino Linotype" w:eastAsia="Palatino Linotype" w:hAnsi="Palatino Linotype" w:cs="Palatino Linotype"/>
          <w:b/>
          <w:color w:val="0D0D0D"/>
          <w:sz w:val="22"/>
          <w:szCs w:val="22"/>
        </w:rPr>
        <w:t xml:space="preserve">Fundamentación: </w:t>
      </w:r>
      <w:r w:rsidRPr="00897F1E">
        <w:rPr>
          <w:rFonts w:ascii="Palatino Linotype" w:eastAsia="Palatino Linotype" w:hAnsi="Palatino Linotype" w:cs="Palatino Linotype"/>
          <w:color w:val="0D0D0D"/>
          <w:sz w:val="22"/>
          <w:szCs w:val="22"/>
        </w:rPr>
        <w:t>Obligación de la autoridad que emite un acto, para citar los preceptos legales, sustantivos y adjetivos, en que se apoye para la determinación tomada.</w:t>
      </w:r>
    </w:p>
    <w:p w:rsidR="001A4767" w:rsidRPr="00897F1E" w:rsidRDefault="00384B6A">
      <w:pPr>
        <w:numPr>
          <w:ilvl w:val="0"/>
          <w:numId w:val="1"/>
        </w:numPr>
        <w:spacing w:line="360" w:lineRule="auto"/>
        <w:jc w:val="both"/>
        <w:rPr>
          <w:rFonts w:ascii="Palatino Linotype" w:eastAsia="Palatino Linotype" w:hAnsi="Palatino Linotype" w:cs="Palatino Linotype"/>
          <w:b/>
          <w:color w:val="0D0D0D"/>
          <w:sz w:val="22"/>
          <w:szCs w:val="22"/>
        </w:rPr>
      </w:pPr>
      <w:r w:rsidRPr="00897F1E">
        <w:rPr>
          <w:rFonts w:ascii="Palatino Linotype" w:eastAsia="Palatino Linotype" w:hAnsi="Palatino Linotype" w:cs="Palatino Linotype"/>
          <w:b/>
          <w:color w:val="0D0D0D"/>
          <w:sz w:val="22"/>
          <w:szCs w:val="22"/>
        </w:rPr>
        <w:t xml:space="preserve">Motivación: </w:t>
      </w:r>
      <w:r w:rsidRPr="00897F1E">
        <w:rPr>
          <w:rFonts w:ascii="Palatino Linotype" w:eastAsia="Palatino Linotype" w:hAnsi="Palatino Linotype" w:cs="Palatino Linotype"/>
          <w:color w:val="0D0D0D"/>
          <w:sz w:val="22"/>
          <w:szCs w:val="22"/>
        </w:rPr>
        <w:t>Razonamientos lógico-jurídicos sobre porque se consideró en el caso en concreto, que se ajusta a la hipótesis normativa.</w:t>
      </w:r>
    </w:p>
    <w:p w:rsidR="001A4767" w:rsidRPr="00897F1E" w:rsidRDefault="001A4767">
      <w:pPr>
        <w:spacing w:line="360" w:lineRule="auto"/>
        <w:jc w:val="both"/>
        <w:rPr>
          <w:rFonts w:ascii="Palatino Linotype" w:eastAsia="Palatino Linotype" w:hAnsi="Palatino Linotype" w:cs="Palatino Linotype"/>
          <w:color w:val="0D0D0D"/>
          <w:sz w:val="24"/>
          <w:szCs w:val="24"/>
        </w:rPr>
      </w:pPr>
    </w:p>
    <w:p w:rsidR="001A4767" w:rsidRPr="00897F1E" w:rsidRDefault="00384B6A">
      <w:pPr>
        <w:spacing w:line="360" w:lineRule="auto"/>
        <w:jc w:val="both"/>
        <w:rPr>
          <w:rFonts w:ascii="Palatino Linotype" w:eastAsia="Palatino Linotype" w:hAnsi="Palatino Linotype" w:cs="Palatino Linotype"/>
          <w:color w:val="0D0D0D"/>
          <w:sz w:val="24"/>
          <w:szCs w:val="24"/>
        </w:rPr>
      </w:pPr>
      <w:r w:rsidRPr="00897F1E">
        <w:rPr>
          <w:rFonts w:ascii="Palatino Linotype" w:eastAsia="Palatino Linotype" w:hAnsi="Palatino Linotype" w:cs="Palatino Linotype"/>
          <w:color w:val="0D0D0D"/>
          <w:sz w:val="24"/>
          <w:szCs w:val="24"/>
        </w:rPr>
        <w:t>En ese orden de ideas, el Trigésimo tercero de los Lineamientos Generales, establece la forma en que se debe fundamentar y motivar la reserva de la información, es decir, a través de los siguientes pasos:</w:t>
      </w:r>
    </w:p>
    <w:p w:rsidR="001A4767" w:rsidRPr="00897F1E" w:rsidRDefault="001A4767">
      <w:pPr>
        <w:spacing w:line="360" w:lineRule="auto"/>
        <w:jc w:val="both"/>
        <w:rPr>
          <w:rFonts w:ascii="Palatino Linotype" w:eastAsia="Palatino Linotype" w:hAnsi="Palatino Linotype" w:cs="Palatino Linotype"/>
          <w:color w:val="0D0D0D"/>
          <w:sz w:val="24"/>
          <w:szCs w:val="24"/>
        </w:rPr>
      </w:pPr>
    </w:p>
    <w:p w:rsidR="001A4767" w:rsidRPr="00897F1E" w:rsidRDefault="00384B6A">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D0D0D"/>
          <w:sz w:val="22"/>
          <w:szCs w:val="22"/>
        </w:rPr>
      </w:pPr>
      <w:r w:rsidRPr="00897F1E">
        <w:rPr>
          <w:rFonts w:ascii="Palatino Linotype" w:eastAsia="Palatino Linotype" w:hAnsi="Palatino Linotype" w:cs="Palatino Linotype"/>
          <w:color w:val="0D0D0D"/>
          <w:sz w:val="22"/>
          <w:szCs w:val="22"/>
        </w:rPr>
        <w:t xml:space="preserve">Se deberá citar la fracción y, en su caso, la causal aplicable de las Ley General de Transparencia y Acceso a la Información Pública o, en el presente caso, de la Ley de Transparencia y Acceso a la Información Pública del Estado de México y Municipios, vinculándola con el Lineamiento específico; </w:t>
      </w:r>
    </w:p>
    <w:p w:rsidR="001A4767" w:rsidRPr="00897F1E" w:rsidRDefault="00384B6A">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D0D0D"/>
          <w:sz w:val="22"/>
          <w:szCs w:val="22"/>
        </w:rPr>
      </w:pPr>
      <w:r w:rsidRPr="00897F1E">
        <w:rPr>
          <w:rFonts w:ascii="Palatino Linotype" w:eastAsia="Palatino Linotype" w:hAnsi="Palatino Linotype" w:cs="Palatino Linotype"/>
          <w:color w:val="0D0D0D"/>
          <w:sz w:val="22"/>
          <w:szCs w:val="22"/>
        </w:rPr>
        <w:t>Se deberá demostrar que la publicidad de la información generaría un riesgo de perjuicio, que rebasa el interés público;</w:t>
      </w:r>
    </w:p>
    <w:p w:rsidR="001A4767" w:rsidRPr="00897F1E" w:rsidRDefault="00384B6A">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D0D0D"/>
          <w:sz w:val="22"/>
          <w:szCs w:val="22"/>
        </w:rPr>
      </w:pPr>
      <w:r w:rsidRPr="00897F1E">
        <w:rPr>
          <w:rFonts w:ascii="Palatino Linotype" w:eastAsia="Palatino Linotype" w:hAnsi="Palatino Linotype" w:cs="Palatino Linotype"/>
          <w:color w:val="0D0D0D"/>
          <w:sz w:val="22"/>
          <w:szCs w:val="22"/>
        </w:rPr>
        <w:lastRenderedPageBreak/>
        <w:t>Se acreditará el vínculo entre la difusión de la información y la afectación del interés jurídico tutelado;</w:t>
      </w:r>
    </w:p>
    <w:p w:rsidR="001A4767" w:rsidRPr="00897F1E" w:rsidRDefault="00384B6A">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D0D0D"/>
          <w:sz w:val="22"/>
          <w:szCs w:val="22"/>
        </w:rPr>
      </w:pPr>
      <w:r w:rsidRPr="00897F1E">
        <w:rPr>
          <w:rFonts w:ascii="Palatino Linotype" w:eastAsia="Palatino Linotype" w:hAnsi="Palatino Linotype" w:cs="Palatino Linotype"/>
          <w:color w:val="0D0D0D"/>
          <w:sz w:val="22"/>
          <w:szCs w:val="22"/>
        </w:rPr>
        <w:t>Se precisará las razones objetivas por las que la apertura de la información generaría una afectación, por medio del riesgo real, demostrable e identificable;</w:t>
      </w:r>
    </w:p>
    <w:p w:rsidR="001A4767" w:rsidRPr="00897F1E" w:rsidRDefault="00384B6A">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D0D0D"/>
          <w:sz w:val="22"/>
          <w:szCs w:val="22"/>
        </w:rPr>
      </w:pPr>
      <w:r w:rsidRPr="00897F1E">
        <w:rPr>
          <w:rFonts w:ascii="Palatino Linotype" w:eastAsia="Palatino Linotype" w:hAnsi="Palatino Linotype" w:cs="Palatino Linotype"/>
          <w:color w:val="0D0D0D"/>
          <w:sz w:val="22"/>
          <w:szCs w:val="22"/>
        </w:rPr>
        <w:t>Se deberán señalar las circunstancias de modo, tiempo y lugar del daño, y</w:t>
      </w:r>
    </w:p>
    <w:p w:rsidR="001A4767" w:rsidRPr="00897F1E" w:rsidRDefault="001A4767">
      <w:pPr>
        <w:pBdr>
          <w:top w:val="nil"/>
          <w:left w:val="nil"/>
          <w:bottom w:val="nil"/>
          <w:right w:val="nil"/>
          <w:between w:val="nil"/>
        </w:pBdr>
        <w:spacing w:line="360" w:lineRule="auto"/>
        <w:ind w:left="720"/>
        <w:rPr>
          <w:rFonts w:ascii="Palatino Linotype" w:eastAsia="Palatino Linotype" w:hAnsi="Palatino Linotype" w:cs="Palatino Linotype"/>
          <w:color w:val="0D0D0D"/>
          <w:sz w:val="22"/>
          <w:szCs w:val="22"/>
        </w:rPr>
      </w:pPr>
    </w:p>
    <w:p w:rsidR="001A4767" w:rsidRPr="00897F1E" w:rsidRDefault="00384B6A">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D0D0D"/>
          <w:sz w:val="22"/>
          <w:szCs w:val="22"/>
        </w:rPr>
      </w:pPr>
      <w:r w:rsidRPr="00897F1E">
        <w:rPr>
          <w:rFonts w:ascii="Palatino Linotype" w:eastAsia="Palatino Linotype" w:hAnsi="Palatino Linotype" w:cs="Palatino Linotype"/>
          <w:color w:val="0D0D0D"/>
          <w:sz w:val="22"/>
          <w:szCs w:val="22"/>
        </w:rPr>
        <w:t>Se elegirá la opción de excepción al acceso a la información que menos restrinja, la cual será adecuada y proporcional para la protección del interés público.</w:t>
      </w:r>
    </w:p>
    <w:p w:rsidR="001A4767" w:rsidRPr="00897F1E" w:rsidRDefault="001A4767">
      <w:pPr>
        <w:spacing w:line="360" w:lineRule="auto"/>
        <w:jc w:val="both"/>
        <w:rPr>
          <w:rFonts w:ascii="Palatino Linotype" w:eastAsia="Palatino Linotype" w:hAnsi="Palatino Linotype" w:cs="Palatino Linotype"/>
          <w:color w:val="0D0D0D"/>
          <w:sz w:val="24"/>
          <w:szCs w:val="24"/>
        </w:rPr>
      </w:pPr>
    </w:p>
    <w:p w:rsidR="001A4767" w:rsidRPr="00897F1E" w:rsidRDefault="00384B6A">
      <w:pPr>
        <w:spacing w:line="360" w:lineRule="auto"/>
        <w:jc w:val="both"/>
        <w:rPr>
          <w:rFonts w:ascii="Palatino Linotype" w:eastAsia="Palatino Linotype" w:hAnsi="Palatino Linotype" w:cs="Palatino Linotype"/>
          <w:color w:val="0D0D0D"/>
          <w:sz w:val="24"/>
          <w:szCs w:val="24"/>
        </w:rPr>
      </w:pPr>
      <w:r w:rsidRPr="00897F1E">
        <w:rPr>
          <w:rFonts w:ascii="Palatino Linotype" w:eastAsia="Palatino Linotype" w:hAnsi="Palatino Linotype" w:cs="Palatino Linotype"/>
          <w:color w:val="0D0D0D"/>
          <w:sz w:val="24"/>
          <w:szCs w:val="24"/>
        </w:rPr>
        <w:t xml:space="preserve">Ahora bien, toda vez que, el Comité de Transparencia reservó la información solicitada en apego a la fracción VIII del 140 de la Ley Estatal de Transparencia, relacionada con el 113, fracción XI, de la Ley General de Transparencia, se procede a analizar dichas causales, al tenor de lo siguiente: </w:t>
      </w:r>
    </w:p>
    <w:p w:rsidR="001A4767" w:rsidRPr="00897F1E" w:rsidRDefault="001A4767">
      <w:pPr>
        <w:spacing w:line="360" w:lineRule="auto"/>
        <w:jc w:val="both"/>
        <w:rPr>
          <w:rFonts w:ascii="Palatino Linotype" w:eastAsia="Palatino Linotype" w:hAnsi="Palatino Linotype" w:cs="Palatino Linotype"/>
          <w:color w:val="0D0D0D"/>
          <w:sz w:val="24"/>
          <w:szCs w:val="24"/>
        </w:rPr>
      </w:pPr>
    </w:p>
    <w:p w:rsidR="001A4767" w:rsidRPr="00897F1E" w:rsidRDefault="00384B6A">
      <w:pPr>
        <w:spacing w:line="360" w:lineRule="auto"/>
        <w:jc w:val="both"/>
        <w:rPr>
          <w:rFonts w:ascii="Palatino Linotype" w:eastAsia="Palatino Linotype" w:hAnsi="Palatino Linotype" w:cs="Palatino Linotype"/>
          <w:b/>
          <w:color w:val="0D0D0D"/>
          <w:sz w:val="24"/>
          <w:szCs w:val="24"/>
          <w:u w:val="single"/>
        </w:rPr>
      </w:pPr>
      <w:r w:rsidRPr="00897F1E">
        <w:rPr>
          <w:rFonts w:ascii="Palatino Linotype" w:eastAsia="Palatino Linotype" w:hAnsi="Palatino Linotype" w:cs="Palatino Linotype"/>
          <w:color w:val="0D0D0D"/>
          <w:sz w:val="24"/>
          <w:szCs w:val="24"/>
        </w:rPr>
        <w:t xml:space="preserve">De acuerdo con lo que establece el artículo 140, fracción VIII, de la Ley de Transparencia y Acceso a la Información Pública del Estado de México y Municipios (homólogo al 113, fracción XI, de la Ley General de Transparencia y Acceso a la Información Pública), </w:t>
      </w:r>
      <w:r w:rsidRPr="00897F1E">
        <w:rPr>
          <w:rFonts w:ascii="Palatino Linotype" w:eastAsia="Palatino Linotype" w:hAnsi="Palatino Linotype" w:cs="Palatino Linotype"/>
          <w:b/>
          <w:color w:val="0D0D0D"/>
          <w:sz w:val="24"/>
          <w:szCs w:val="24"/>
          <w:u w:val="single"/>
        </w:rPr>
        <w:t>será información reservada, aquella que vulnere la conducción de los expedientes judiciales o de los procedimientos administrativos seguidos en forma de juicio, en tanto no hayan causado estado.</w:t>
      </w:r>
    </w:p>
    <w:p w:rsidR="001A4767" w:rsidRPr="00897F1E" w:rsidRDefault="001A4767">
      <w:pPr>
        <w:spacing w:line="360" w:lineRule="auto"/>
        <w:jc w:val="both"/>
        <w:rPr>
          <w:rFonts w:ascii="Palatino Linotype" w:eastAsia="Palatino Linotype" w:hAnsi="Palatino Linotype" w:cs="Palatino Linotype"/>
          <w:color w:val="0D0D0D"/>
          <w:sz w:val="24"/>
          <w:szCs w:val="24"/>
        </w:rPr>
      </w:pPr>
    </w:p>
    <w:p w:rsidR="001A4767" w:rsidRPr="00897F1E" w:rsidRDefault="00384B6A">
      <w:pPr>
        <w:spacing w:line="360" w:lineRule="auto"/>
        <w:jc w:val="both"/>
        <w:rPr>
          <w:rFonts w:ascii="Palatino Linotype" w:eastAsia="Palatino Linotype" w:hAnsi="Palatino Linotype" w:cs="Palatino Linotype"/>
          <w:color w:val="0D0D0D"/>
          <w:sz w:val="24"/>
          <w:szCs w:val="24"/>
        </w:rPr>
      </w:pPr>
      <w:r w:rsidRPr="00897F1E">
        <w:rPr>
          <w:rFonts w:ascii="Palatino Linotype" w:eastAsia="Palatino Linotype" w:hAnsi="Palatino Linotype" w:cs="Palatino Linotype"/>
          <w:color w:val="0D0D0D"/>
          <w:sz w:val="24"/>
          <w:szCs w:val="24"/>
        </w:rPr>
        <w:t>En ese sentido, los Lineamientos Generales prevé lo siguiente:</w:t>
      </w:r>
    </w:p>
    <w:p w:rsidR="001A4767" w:rsidRPr="00897F1E" w:rsidRDefault="001A4767">
      <w:pPr>
        <w:spacing w:line="360" w:lineRule="auto"/>
        <w:jc w:val="both"/>
        <w:rPr>
          <w:rFonts w:ascii="Palatino Linotype" w:eastAsia="Palatino Linotype" w:hAnsi="Palatino Linotype" w:cs="Palatino Linotype"/>
          <w:color w:val="0D0D0D"/>
          <w:sz w:val="24"/>
          <w:szCs w:val="24"/>
        </w:rPr>
      </w:pPr>
    </w:p>
    <w:p w:rsidR="001A4767" w:rsidRPr="00897F1E" w:rsidRDefault="00384B6A">
      <w:pPr>
        <w:spacing w:line="276" w:lineRule="auto"/>
        <w:ind w:left="567" w:right="567"/>
        <w:jc w:val="both"/>
        <w:rPr>
          <w:rFonts w:ascii="Palatino Linotype" w:eastAsia="Palatino Linotype" w:hAnsi="Palatino Linotype" w:cs="Palatino Linotype"/>
          <w:i/>
          <w:color w:val="0D0D0D"/>
          <w:sz w:val="22"/>
          <w:szCs w:val="22"/>
        </w:rPr>
      </w:pPr>
      <w:r w:rsidRPr="00897F1E">
        <w:rPr>
          <w:rFonts w:ascii="Palatino Linotype" w:eastAsia="Palatino Linotype" w:hAnsi="Palatino Linotype" w:cs="Palatino Linotype"/>
          <w:b/>
          <w:i/>
          <w:color w:val="0D0D0D"/>
          <w:sz w:val="22"/>
          <w:szCs w:val="22"/>
        </w:rPr>
        <w:lastRenderedPageBreak/>
        <w:t>“Trigésimo.</w:t>
      </w:r>
      <w:r w:rsidRPr="00897F1E">
        <w:rPr>
          <w:rFonts w:ascii="Palatino Linotype" w:eastAsia="Palatino Linotype" w:hAnsi="Palatino Linotype" w:cs="Palatino Linotype"/>
          <w:i/>
          <w:color w:val="0D0D0D"/>
          <w:sz w:val="22"/>
          <w:szCs w:val="22"/>
        </w:rPr>
        <w:t xml:space="preserve"> De conformidad con el artículo 113, fracción XI de la Ley General, podrá considerarse como información reservada, aquella que vulnere la conducción de los expedientes judiciales o de los procedimientos administrativos seguidos en forma de juicio, siempre y cuando se acrediten los siguientes elementos: </w:t>
      </w:r>
    </w:p>
    <w:p w:rsidR="001A4767" w:rsidRPr="00897F1E" w:rsidRDefault="00384B6A">
      <w:pPr>
        <w:spacing w:line="276" w:lineRule="auto"/>
        <w:ind w:left="567" w:right="567"/>
        <w:jc w:val="both"/>
        <w:rPr>
          <w:rFonts w:ascii="Palatino Linotype" w:eastAsia="Palatino Linotype" w:hAnsi="Palatino Linotype" w:cs="Palatino Linotype"/>
          <w:i/>
          <w:color w:val="0D0D0D"/>
          <w:sz w:val="22"/>
          <w:szCs w:val="22"/>
        </w:rPr>
      </w:pPr>
      <w:r w:rsidRPr="00897F1E">
        <w:rPr>
          <w:rFonts w:ascii="Palatino Linotype" w:eastAsia="Palatino Linotype" w:hAnsi="Palatino Linotype" w:cs="Palatino Linotype"/>
          <w:b/>
          <w:i/>
          <w:color w:val="0D0D0D"/>
          <w:sz w:val="22"/>
          <w:szCs w:val="22"/>
        </w:rPr>
        <w:t>I.</w:t>
      </w:r>
      <w:r w:rsidRPr="00897F1E">
        <w:rPr>
          <w:rFonts w:ascii="Palatino Linotype" w:eastAsia="Palatino Linotype" w:hAnsi="Palatino Linotype" w:cs="Palatino Linotype"/>
          <w:i/>
          <w:color w:val="0D0D0D"/>
          <w:sz w:val="22"/>
          <w:szCs w:val="22"/>
        </w:rPr>
        <w:t xml:space="preserve"> La existencia de un juicio o procedimiento administrativo materialmente jurisdiccional, que se encuentre en trámite, y </w:t>
      </w:r>
    </w:p>
    <w:p w:rsidR="001A4767" w:rsidRPr="00897F1E" w:rsidRDefault="00384B6A">
      <w:pPr>
        <w:spacing w:line="276" w:lineRule="auto"/>
        <w:ind w:left="567" w:right="567"/>
        <w:jc w:val="both"/>
        <w:rPr>
          <w:rFonts w:ascii="Palatino Linotype" w:eastAsia="Palatino Linotype" w:hAnsi="Palatino Linotype" w:cs="Palatino Linotype"/>
          <w:i/>
          <w:color w:val="0D0D0D"/>
          <w:sz w:val="22"/>
          <w:szCs w:val="22"/>
        </w:rPr>
      </w:pPr>
      <w:r w:rsidRPr="00897F1E">
        <w:rPr>
          <w:rFonts w:ascii="Palatino Linotype" w:eastAsia="Palatino Linotype" w:hAnsi="Palatino Linotype" w:cs="Palatino Linotype"/>
          <w:b/>
          <w:i/>
          <w:color w:val="0D0D0D"/>
          <w:sz w:val="22"/>
          <w:szCs w:val="22"/>
        </w:rPr>
        <w:t>II.</w:t>
      </w:r>
      <w:r w:rsidRPr="00897F1E">
        <w:rPr>
          <w:rFonts w:ascii="Palatino Linotype" w:eastAsia="Palatino Linotype" w:hAnsi="Palatino Linotype" w:cs="Palatino Linotype"/>
          <w:i/>
          <w:color w:val="0D0D0D"/>
          <w:sz w:val="22"/>
          <w:szCs w:val="22"/>
        </w:rPr>
        <w:t xml:space="preserve"> Que la información solicitada se refiera a actuaciones, diligencias o constancias propias del procedimiento. </w:t>
      </w:r>
    </w:p>
    <w:p w:rsidR="001A4767" w:rsidRPr="00897F1E" w:rsidRDefault="001A4767">
      <w:pPr>
        <w:spacing w:line="276" w:lineRule="auto"/>
        <w:ind w:left="567" w:right="567"/>
        <w:jc w:val="both"/>
        <w:rPr>
          <w:rFonts w:ascii="Palatino Linotype" w:eastAsia="Palatino Linotype" w:hAnsi="Palatino Linotype" w:cs="Palatino Linotype"/>
          <w:i/>
          <w:color w:val="0D0D0D"/>
          <w:sz w:val="22"/>
          <w:szCs w:val="22"/>
        </w:rPr>
      </w:pPr>
    </w:p>
    <w:p w:rsidR="001A4767" w:rsidRPr="00897F1E" w:rsidRDefault="00384B6A">
      <w:pPr>
        <w:spacing w:line="276" w:lineRule="auto"/>
        <w:ind w:left="567" w:right="567"/>
        <w:jc w:val="both"/>
        <w:rPr>
          <w:rFonts w:ascii="Palatino Linotype" w:eastAsia="Palatino Linotype" w:hAnsi="Palatino Linotype" w:cs="Palatino Linotype"/>
          <w:i/>
          <w:color w:val="0D0D0D"/>
          <w:sz w:val="22"/>
          <w:szCs w:val="22"/>
        </w:rPr>
      </w:pPr>
      <w:r w:rsidRPr="00897F1E">
        <w:rPr>
          <w:rFonts w:ascii="Palatino Linotype" w:eastAsia="Palatino Linotype" w:hAnsi="Palatino Linotype" w:cs="Palatino Linotype"/>
          <w:i/>
          <w:color w:val="0D0D0D"/>
          <w:sz w:val="22"/>
          <w:szCs w:val="22"/>
        </w:rPr>
        <w:t xml:space="preserve">Para los efectos del primer párrafo de este numeral, se considera procedimiento seguido en forma de juicio a aquel formalmente administrativo, pero materialmente jurisdiccional; esto es, en el que concurran los siguientes elementos: </w:t>
      </w:r>
    </w:p>
    <w:p w:rsidR="001A4767" w:rsidRPr="00897F1E" w:rsidRDefault="00384B6A">
      <w:pPr>
        <w:spacing w:line="276" w:lineRule="auto"/>
        <w:ind w:left="567" w:right="567"/>
        <w:jc w:val="both"/>
        <w:rPr>
          <w:rFonts w:ascii="Palatino Linotype" w:eastAsia="Palatino Linotype" w:hAnsi="Palatino Linotype" w:cs="Palatino Linotype"/>
          <w:i/>
          <w:color w:val="0D0D0D"/>
          <w:sz w:val="22"/>
          <w:szCs w:val="22"/>
        </w:rPr>
      </w:pPr>
      <w:r w:rsidRPr="00897F1E">
        <w:rPr>
          <w:rFonts w:ascii="Palatino Linotype" w:eastAsia="Palatino Linotype" w:hAnsi="Palatino Linotype" w:cs="Palatino Linotype"/>
          <w:b/>
          <w:i/>
          <w:color w:val="0D0D0D"/>
          <w:sz w:val="22"/>
          <w:szCs w:val="22"/>
        </w:rPr>
        <w:t>1.</w:t>
      </w:r>
      <w:r w:rsidRPr="00897F1E">
        <w:rPr>
          <w:rFonts w:ascii="Palatino Linotype" w:eastAsia="Palatino Linotype" w:hAnsi="Palatino Linotype" w:cs="Palatino Linotype"/>
          <w:i/>
          <w:color w:val="0D0D0D"/>
          <w:sz w:val="22"/>
          <w:szCs w:val="22"/>
        </w:rPr>
        <w:t xml:space="preserve"> Que se trate de un procedimiento en el que la autoridad dirima una controversia entre partes contendientes, así como los procedimientos en que la autoridad, frente al particular, prepare su resolución definitiva, aunque sólo sea un trámite para cumplir con la garantía de audiencia, y </w:t>
      </w:r>
    </w:p>
    <w:p w:rsidR="001A4767" w:rsidRPr="00897F1E" w:rsidRDefault="00384B6A">
      <w:pPr>
        <w:spacing w:line="276" w:lineRule="auto"/>
        <w:ind w:left="567" w:right="567"/>
        <w:jc w:val="both"/>
        <w:rPr>
          <w:rFonts w:ascii="Palatino Linotype" w:eastAsia="Palatino Linotype" w:hAnsi="Palatino Linotype" w:cs="Palatino Linotype"/>
          <w:i/>
          <w:color w:val="0D0D0D"/>
          <w:sz w:val="22"/>
          <w:szCs w:val="22"/>
        </w:rPr>
      </w:pPr>
      <w:r w:rsidRPr="00897F1E">
        <w:rPr>
          <w:rFonts w:ascii="Palatino Linotype" w:eastAsia="Palatino Linotype" w:hAnsi="Palatino Linotype" w:cs="Palatino Linotype"/>
          <w:b/>
          <w:i/>
          <w:color w:val="0D0D0D"/>
          <w:sz w:val="22"/>
          <w:szCs w:val="22"/>
        </w:rPr>
        <w:t>2.</w:t>
      </w:r>
      <w:r w:rsidRPr="00897F1E">
        <w:rPr>
          <w:rFonts w:ascii="Palatino Linotype" w:eastAsia="Palatino Linotype" w:hAnsi="Palatino Linotype" w:cs="Palatino Linotype"/>
          <w:i/>
          <w:color w:val="0D0D0D"/>
          <w:sz w:val="22"/>
          <w:szCs w:val="22"/>
        </w:rPr>
        <w:t xml:space="preserve"> Que se cumplan las formalidades esenciales del procedimiento. </w:t>
      </w:r>
    </w:p>
    <w:p w:rsidR="001A4767" w:rsidRPr="00897F1E" w:rsidRDefault="00384B6A">
      <w:pPr>
        <w:spacing w:line="276" w:lineRule="auto"/>
        <w:ind w:left="567" w:right="567"/>
        <w:jc w:val="both"/>
        <w:rPr>
          <w:rFonts w:ascii="Palatino Linotype" w:eastAsia="Palatino Linotype" w:hAnsi="Palatino Linotype" w:cs="Palatino Linotype"/>
          <w:i/>
          <w:color w:val="0D0D0D"/>
          <w:sz w:val="22"/>
          <w:szCs w:val="22"/>
        </w:rPr>
      </w:pPr>
      <w:r w:rsidRPr="00897F1E">
        <w:rPr>
          <w:rFonts w:ascii="Palatino Linotype" w:eastAsia="Palatino Linotype" w:hAnsi="Palatino Linotype" w:cs="Palatino Linotype"/>
          <w:i/>
          <w:color w:val="0D0D0D"/>
          <w:sz w:val="22"/>
          <w:szCs w:val="22"/>
        </w:rPr>
        <w:t>No serán objeto de reserva las resoluciones interlocutorias o definitivas que se dicten dentro de los procedimientos o con las que se concluya el mismo. En estos casos deberá otorgarse acceso a la resolución en versión pública, testando la información clasificada.”</w:t>
      </w:r>
    </w:p>
    <w:p w:rsidR="001A4767" w:rsidRPr="00897F1E" w:rsidRDefault="001A4767">
      <w:pPr>
        <w:spacing w:line="360" w:lineRule="auto"/>
        <w:jc w:val="both"/>
        <w:rPr>
          <w:rFonts w:ascii="Palatino Linotype" w:eastAsia="Palatino Linotype" w:hAnsi="Palatino Linotype" w:cs="Palatino Linotype"/>
          <w:color w:val="0D0D0D"/>
          <w:sz w:val="24"/>
          <w:szCs w:val="24"/>
        </w:rPr>
      </w:pPr>
    </w:p>
    <w:p w:rsidR="001A4767" w:rsidRPr="00897F1E" w:rsidRDefault="00384B6A">
      <w:pPr>
        <w:spacing w:line="360" w:lineRule="auto"/>
        <w:jc w:val="both"/>
        <w:rPr>
          <w:rFonts w:ascii="Palatino Linotype" w:eastAsia="Palatino Linotype" w:hAnsi="Palatino Linotype" w:cs="Palatino Linotype"/>
          <w:color w:val="0D0D0D"/>
          <w:sz w:val="24"/>
          <w:szCs w:val="24"/>
        </w:rPr>
      </w:pPr>
      <w:r w:rsidRPr="00897F1E">
        <w:rPr>
          <w:rFonts w:ascii="Palatino Linotype" w:eastAsia="Palatino Linotype" w:hAnsi="Palatino Linotype" w:cs="Palatino Linotype"/>
          <w:color w:val="0D0D0D"/>
          <w:sz w:val="24"/>
          <w:szCs w:val="24"/>
        </w:rPr>
        <w:t>De la normatividad citada, se desprende que el supuesto de clasificación invocado por el sujeto obligado, prevé que como información reservada podrá clasificarse aquella que vulnere la conducción de los expedientes judiciales o de los procedimientos administrativos seguidos en forma de juicio, en tanto no hayan causado estado, por lo cual, para considerar que se actualiza dicha causal es necesario que se configuren los siguientes elementos:</w:t>
      </w:r>
    </w:p>
    <w:p w:rsidR="001A4767" w:rsidRPr="00897F1E" w:rsidRDefault="001A4767">
      <w:pPr>
        <w:spacing w:line="360" w:lineRule="auto"/>
        <w:jc w:val="both"/>
        <w:rPr>
          <w:rFonts w:ascii="Palatino Linotype" w:eastAsia="Palatino Linotype" w:hAnsi="Palatino Linotype" w:cs="Palatino Linotype"/>
          <w:color w:val="0D0D0D"/>
          <w:sz w:val="22"/>
          <w:szCs w:val="22"/>
        </w:rPr>
      </w:pPr>
    </w:p>
    <w:p w:rsidR="001A4767" w:rsidRPr="00897F1E" w:rsidRDefault="00384B6A">
      <w:pPr>
        <w:numPr>
          <w:ilvl w:val="0"/>
          <w:numId w:val="5"/>
        </w:numPr>
        <w:spacing w:line="360" w:lineRule="auto"/>
        <w:jc w:val="both"/>
        <w:rPr>
          <w:rFonts w:ascii="Palatino Linotype" w:eastAsia="Palatino Linotype" w:hAnsi="Palatino Linotype" w:cs="Palatino Linotype"/>
          <w:color w:val="0D0D0D"/>
          <w:sz w:val="22"/>
          <w:szCs w:val="22"/>
        </w:rPr>
      </w:pPr>
      <w:r w:rsidRPr="00897F1E">
        <w:rPr>
          <w:rFonts w:ascii="Palatino Linotype" w:eastAsia="Palatino Linotype" w:hAnsi="Palatino Linotype" w:cs="Palatino Linotype"/>
          <w:color w:val="0D0D0D"/>
          <w:sz w:val="22"/>
          <w:szCs w:val="22"/>
        </w:rPr>
        <w:lastRenderedPageBreak/>
        <w:t>La existencia de un juicio o procedimiento administrativo materialmente jurisdiccional, que se encuentre en trámite y,</w:t>
      </w:r>
    </w:p>
    <w:p w:rsidR="001A4767" w:rsidRPr="00897F1E" w:rsidRDefault="001A4767">
      <w:pPr>
        <w:spacing w:line="360" w:lineRule="auto"/>
        <w:ind w:left="720"/>
        <w:jc w:val="both"/>
        <w:rPr>
          <w:rFonts w:ascii="Palatino Linotype" w:eastAsia="Palatino Linotype" w:hAnsi="Palatino Linotype" w:cs="Palatino Linotype"/>
          <w:color w:val="0D0D0D"/>
          <w:sz w:val="22"/>
          <w:szCs w:val="22"/>
        </w:rPr>
      </w:pPr>
    </w:p>
    <w:p w:rsidR="001A4767" w:rsidRPr="00897F1E" w:rsidRDefault="00384B6A">
      <w:pPr>
        <w:numPr>
          <w:ilvl w:val="0"/>
          <w:numId w:val="5"/>
        </w:numPr>
        <w:spacing w:line="360" w:lineRule="auto"/>
        <w:jc w:val="both"/>
        <w:rPr>
          <w:rFonts w:ascii="Palatino Linotype" w:eastAsia="Palatino Linotype" w:hAnsi="Palatino Linotype" w:cs="Palatino Linotype"/>
          <w:color w:val="0D0D0D"/>
          <w:sz w:val="22"/>
          <w:szCs w:val="22"/>
        </w:rPr>
      </w:pPr>
      <w:r w:rsidRPr="00897F1E">
        <w:rPr>
          <w:rFonts w:ascii="Palatino Linotype" w:eastAsia="Palatino Linotype" w:hAnsi="Palatino Linotype" w:cs="Palatino Linotype"/>
          <w:color w:val="0D0D0D"/>
          <w:sz w:val="22"/>
          <w:szCs w:val="22"/>
        </w:rPr>
        <w:t>Que la información solicitada se refiera a actuaciones, diligencias o constancias propias del procedimiento.</w:t>
      </w:r>
    </w:p>
    <w:p w:rsidR="001A4767" w:rsidRPr="00897F1E" w:rsidRDefault="001A4767">
      <w:pPr>
        <w:spacing w:line="360" w:lineRule="auto"/>
        <w:jc w:val="both"/>
        <w:rPr>
          <w:rFonts w:ascii="Palatino Linotype" w:eastAsia="Palatino Linotype" w:hAnsi="Palatino Linotype" w:cs="Palatino Linotype"/>
          <w:color w:val="0D0D0D"/>
          <w:sz w:val="24"/>
          <w:szCs w:val="24"/>
        </w:rPr>
      </w:pPr>
    </w:p>
    <w:p w:rsidR="001A4767" w:rsidRPr="00897F1E" w:rsidRDefault="00384B6A">
      <w:pPr>
        <w:spacing w:line="360" w:lineRule="auto"/>
        <w:jc w:val="both"/>
        <w:rPr>
          <w:rFonts w:ascii="Palatino Linotype" w:eastAsia="Palatino Linotype" w:hAnsi="Palatino Linotype" w:cs="Palatino Linotype"/>
          <w:color w:val="0D0D0D"/>
          <w:sz w:val="24"/>
          <w:szCs w:val="24"/>
        </w:rPr>
      </w:pPr>
      <w:r w:rsidRPr="00897F1E">
        <w:rPr>
          <w:rFonts w:ascii="Palatino Linotype" w:eastAsia="Palatino Linotype" w:hAnsi="Palatino Linotype" w:cs="Palatino Linotype"/>
          <w:color w:val="0D0D0D"/>
          <w:sz w:val="24"/>
          <w:szCs w:val="24"/>
        </w:rPr>
        <w:t>Con base en lo expuesto, se advierte que la información susceptible de clasificarse como reservada bajo el supuesto aludido por el sujeto obligado, es aquella cuya difusión vulnere la conducción de los expedientes judiciales o procedimientos administrativos seguidos en forma de juicio, en tanto no hayan causado estado.</w:t>
      </w:r>
    </w:p>
    <w:p w:rsidR="001A4767" w:rsidRPr="00897F1E" w:rsidRDefault="001A4767">
      <w:pPr>
        <w:spacing w:line="360" w:lineRule="auto"/>
        <w:jc w:val="both"/>
        <w:rPr>
          <w:rFonts w:ascii="Palatino Linotype" w:eastAsia="Palatino Linotype" w:hAnsi="Palatino Linotype" w:cs="Palatino Linotype"/>
          <w:color w:val="0D0D0D"/>
          <w:sz w:val="24"/>
          <w:szCs w:val="24"/>
        </w:rPr>
      </w:pPr>
    </w:p>
    <w:p w:rsidR="001A4767" w:rsidRPr="00897F1E" w:rsidRDefault="00384B6A">
      <w:pPr>
        <w:spacing w:line="360" w:lineRule="auto"/>
        <w:jc w:val="both"/>
        <w:rPr>
          <w:rFonts w:ascii="Palatino Linotype" w:eastAsia="Palatino Linotype" w:hAnsi="Palatino Linotype" w:cs="Palatino Linotype"/>
          <w:color w:val="0D0D0D"/>
          <w:sz w:val="24"/>
          <w:szCs w:val="24"/>
        </w:rPr>
      </w:pPr>
      <w:r w:rsidRPr="00897F1E">
        <w:rPr>
          <w:rFonts w:ascii="Palatino Linotype" w:eastAsia="Palatino Linotype" w:hAnsi="Palatino Linotype" w:cs="Palatino Linotype"/>
          <w:color w:val="0D0D0D"/>
          <w:sz w:val="24"/>
          <w:szCs w:val="24"/>
        </w:rPr>
        <w:t>Por lo cual, se procede analizar cada uno de los requisitos señalados en los Lineamientos Generales, con la finalidad de verificar si se configura la hipótesis de reserva en estudio:</w:t>
      </w:r>
    </w:p>
    <w:p w:rsidR="001A4767" w:rsidRPr="00897F1E" w:rsidRDefault="001A4767">
      <w:pPr>
        <w:spacing w:line="360" w:lineRule="auto"/>
        <w:jc w:val="both"/>
        <w:rPr>
          <w:rFonts w:ascii="Palatino Linotype" w:eastAsia="Palatino Linotype" w:hAnsi="Palatino Linotype" w:cs="Palatino Linotype"/>
          <w:color w:val="0D0D0D"/>
          <w:sz w:val="24"/>
          <w:szCs w:val="24"/>
        </w:rPr>
      </w:pPr>
    </w:p>
    <w:p w:rsidR="001A4767" w:rsidRPr="00897F1E" w:rsidRDefault="00384B6A">
      <w:pPr>
        <w:numPr>
          <w:ilvl w:val="0"/>
          <w:numId w:val="6"/>
        </w:numPr>
        <w:spacing w:line="360" w:lineRule="auto"/>
        <w:jc w:val="both"/>
        <w:rPr>
          <w:rFonts w:ascii="Palatino Linotype" w:eastAsia="Palatino Linotype" w:hAnsi="Palatino Linotype" w:cs="Palatino Linotype"/>
          <w:b/>
          <w:color w:val="0D0D0D"/>
          <w:sz w:val="22"/>
          <w:szCs w:val="22"/>
        </w:rPr>
      </w:pPr>
      <w:r w:rsidRPr="00897F1E">
        <w:rPr>
          <w:rFonts w:ascii="Palatino Linotype" w:eastAsia="Palatino Linotype" w:hAnsi="Palatino Linotype" w:cs="Palatino Linotype"/>
          <w:b/>
          <w:color w:val="0D0D0D"/>
          <w:sz w:val="22"/>
          <w:szCs w:val="22"/>
        </w:rPr>
        <w:t>La existencia de un juicio o procedimiento administrativo materialmente jurisdiccional, que se encuentre en trámite.</w:t>
      </w:r>
    </w:p>
    <w:p w:rsidR="001A4767" w:rsidRPr="00897F1E" w:rsidRDefault="001A4767">
      <w:pPr>
        <w:spacing w:line="360" w:lineRule="auto"/>
        <w:jc w:val="both"/>
        <w:rPr>
          <w:rFonts w:ascii="Palatino Linotype" w:eastAsia="Palatino Linotype" w:hAnsi="Palatino Linotype" w:cs="Palatino Linotype"/>
          <w:b/>
          <w:color w:val="0D0D0D"/>
          <w:sz w:val="24"/>
          <w:szCs w:val="24"/>
        </w:rPr>
      </w:pPr>
    </w:p>
    <w:p w:rsidR="001A4767" w:rsidRPr="00897F1E" w:rsidRDefault="00384B6A">
      <w:pPr>
        <w:spacing w:line="360" w:lineRule="auto"/>
        <w:jc w:val="both"/>
        <w:rPr>
          <w:rFonts w:ascii="Palatino Linotype" w:eastAsia="Palatino Linotype" w:hAnsi="Palatino Linotype" w:cs="Palatino Linotype"/>
          <w:color w:val="0D0D0D"/>
          <w:sz w:val="24"/>
          <w:szCs w:val="24"/>
        </w:rPr>
      </w:pPr>
      <w:r w:rsidRPr="00897F1E">
        <w:rPr>
          <w:rFonts w:ascii="Palatino Linotype" w:eastAsia="Palatino Linotype" w:hAnsi="Palatino Linotype" w:cs="Palatino Linotype"/>
          <w:color w:val="0D0D0D"/>
          <w:sz w:val="24"/>
          <w:szCs w:val="24"/>
        </w:rPr>
        <w:t xml:space="preserve">Al respecto, en el presente caso, el expediente generado por la emisión de los sellos de clausura </w:t>
      </w:r>
      <w:r w:rsidRPr="00897F1E">
        <w:rPr>
          <w:rFonts w:ascii="Palatino Linotype" w:eastAsia="Palatino Linotype" w:hAnsi="Palatino Linotype" w:cs="Palatino Linotype"/>
          <w:sz w:val="22"/>
          <w:szCs w:val="22"/>
        </w:rPr>
        <w:t xml:space="preserve">10045/2021 10046/2021, 10047/2021, 10048/2021, 10049/2021 y 10050/2021, </w:t>
      </w:r>
      <w:r w:rsidRPr="00897F1E">
        <w:rPr>
          <w:rFonts w:ascii="Palatino Linotype" w:eastAsia="Palatino Linotype" w:hAnsi="Palatino Linotype" w:cs="Palatino Linotype"/>
          <w:color w:val="0D0D0D"/>
          <w:sz w:val="24"/>
          <w:szCs w:val="24"/>
        </w:rPr>
        <w:t xml:space="preserve"> identificado bajo el número </w:t>
      </w:r>
      <w:r w:rsidRPr="00897F1E">
        <w:rPr>
          <w:rFonts w:ascii="Palatino Linotype" w:eastAsia="Palatino Linotype" w:hAnsi="Palatino Linotype" w:cs="Palatino Linotype"/>
          <w:b/>
          <w:color w:val="0D0D0D"/>
          <w:sz w:val="24"/>
          <w:szCs w:val="24"/>
          <w:u w:val="single"/>
        </w:rPr>
        <w:t>PROPAEM-2021-07/VM/0466</w:t>
      </w:r>
      <w:r w:rsidRPr="00897F1E">
        <w:rPr>
          <w:rFonts w:ascii="Palatino Linotype" w:eastAsia="Palatino Linotype" w:hAnsi="Palatino Linotype" w:cs="Palatino Linotype"/>
          <w:color w:val="0D0D0D"/>
          <w:sz w:val="24"/>
          <w:szCs w:val="24"/>
        </w:rPr>
        <w:t xml:space="preserve">, se trata de un procedimientos administrativo, en materia ambiental, por lo que, es necesario analizar, si corresponde a aquellos seguido en forma de juicio y determinar, si se actualiza el </w:t>
      </w:r>
      <w:r w:rsidRPr="00897F1E">
        <w:rPr>
          <w:rFonts w:ascii="Palatino Linotype" w:eastAsia="Palatino Linotype" w:hAnsi="Palatino Linotype" w:cs="Palatino Linotype"/>
          <w:b/>
          <w:color w:val="0D0D0D"/>
          <w:sz w:val="24"/>
          <w:szCs w:val="24"/>
        </w:rPr>
        <w:t>primer elemento</w:t>
      </w:r>
      <w:r w:rsidRPr="00897F1E">
        <w:rPr>
          <w:rFonts w:ascii="Palatino Linotype" w:eastAsia="Palatino Linotype" w:hAnsi="Palatino Linotype" w:cs="Palatino Linotype"/>
          <w:color w:val="0D0D0D"/>
          <w:sz w:val="24"/>
          <w:szCs w:val="24"/>
        </w:rPr>
        <w:t>,</w:t>
      </w:r>
      <w:r w:rsidRPr="00897F1E">
        <w:rPr>
          <w:rFonts w:ascii="Palatino Linotype" w:eastAsia="Palatino Linotype" w:hAnsi="Palatino Linotype" w:cs="Palatino Linotype"/>
          <w:b/>
          <w:color w:val="0D0D0D"/>
          <w:sz w:val="24"/>
          <w:szCs w:val="24"/>
        </w:rPr>
        <w:t xml:space="preserve"> </w:t>
      </w:r>
      <w:r w:rsidRPr="00897F1E">
        <w:rPr>
          <w:rFonts w:ascii="Palatino Linotype" w:eastAsia="Palatino Linotype" w:hAnsi="Palatino Linotype" w:cs="Palatino Linotype"/>
          <w:color w:val="0D0D0D"/>
          <w:sz w:val="24"/>
          <w:szCs w:val="24"/>
        </w:rPr>
        <w:t>para actualizar la causal de clasificación en estudio.</w:t>
      </w:r>
    </w:p>
    <w:p w:rsidR="001A4767" w:rsidRPr="00897F1E" w:rsidRDefault="001A4767">
      <w:pPr>
        <w:spacing w:line="360" w:lineRule="auto"/>
        <w:jc w:val="both"/>
        <w:rPr>
          <w:rFonts w:ascii="Palatino Linotype" w:eastAsia="Palatino Linotype" w:hAnsi="Palatino Linotype" w:cs="Palatino Linotype"/>
          <w:color w:val="0D0D0D"/>
          <w:sz w:val="24"/>
          <w:szCs w:val="24"/>
        </w:rPr>
      </w:pPr>
    </w:p>
    <w:p w:rsidR="001A4767" w:rsidRPr="00897F1E" w:rsidRDefault="00384B6A">
      <w:pPr>
        <w:spacing w:line="360" w:lineRule="auto"/>
        <w:jc w:val="both"/>
        <w:rPr>
          <w:rFonts w:ascii="Palatino Linotype" w:eastAsia="Palatino Linotype" w:hAnsi="Palatino Linotype" w:cs="Palatino Linotype"/>
          <w:color w:val="0D0D0D"/>
          <w:sz w:val="24"/>
          <w:szCs w:val="24"/>
        </w:rPr>
      </w:pPr>
      <w:r w:rsidRPr="00897F1E">
        <w:rPr>
          <w:rFonts w:ascii="Palatino Linotype" w:eastAsia="Palatino Linotype" w:hAnsi="Palatino Linotype" w:cs="Palatino Linotype"/>
          <w:color w:val="0D0D0D"/>
          <w:sz w:val="24"/>
          <w:szCs w:val="24"/>
        </w:rPr>
        <w:t>En relación con lo anterior, es menester precisar que para que se trate de un</w:t>
      </w:r>
      <w:r w:rsidRPr="00897F1E">
        <w:rPr>
          <w:rFonts w:ascii="Palatino Linotype" w:eastAsia="Palatino Linotype" w:hAnsi="Palatino Linotype" w:cs="Palatino Linotype"/>
          <w:b/>
          <w:color w:val="0D0D0D"/>
          <w:sz w:val="24"/>
          <w:szCs w:val="24"/>
        </w:rPr>
        <w:t xml:space="preserve"> </w:t>
      </w:r>
      <w:r w:rsidRPr="00897F1E">
        <w:rPr>
          <w:rFonts w:ascii="Palatino Linotype" w:eastAsia="Palatino Linotype" w:hAnsi="Palatino Linotype" w:cs="Palatino Linotype"/>
          <w:color w:val="0D0D0D"/>
          <w:sz w:val="24"/>
          <w:szCs w:val="24"/>
        </w:rPr>
        <w:t xml:space="preserve">juicio o procedimiento administrativo materialmente jurisdiccional, debe cumplirse con lo dispuesto en los Lineamientos Generales, así como lo sostenido por la Segunda Sala de la Suprema Corte de Justicia de la Nación, en la Tesis 2a./J. 22/2003, consistente en que un </w:t>
      </w:r>
      <w:r w:rsidRPr="00897F1E">
        <w:rPr>
          <w:rFonts w:ascii="Palatino Linotype" w:eastAsia="Palatino Linotype" w:hAnsi="Palatino Linotype" w:cs="Palatino Linotype"/>
          <w:i/>
          <w:color w:val="0D0D0D"/>
          <w:sz w:val="24"/>
          <w:szCs w:val="24"/>
        </w:rPr>
        <w:t>“procedimiento en forma de juicio”,</w:t>
      </w:r>
      <w:r w:rsidRPr="00897F1E">
        <w:rPr>
          <w:rFonts w:ascii="Palatino Linotype" w:eastAsia="Palatino Linotype" w:hAnsi="Palatino Linotype" w:cs="Palatino Linotype"/>
          <w:color w:val="0D0D0D"/>
          <w:sz w:val="24"/>
          <w:szCs w:val="24"/>
        </w:rPr>
        <w:t xml:space="preserve"> debe entenderse </w:t>
      </w:r>
      <w:r w:rsidRPr="00897F1E">
        <w:rPr>
          <w:rFonts w:ascii="Palatino Linotype" w:eastAsia="Palatino Linotype" w:hAnsi="Palatino Linotype" w:cs="Palatino Linotype"/>
          <w:i/>
          <w:color w:val="0D0D0D"/>
          <w:sz w:val="24"/>
          <w:szCs w:val="24"/>
        </w:rPr>
        <w:t>lato sensu</w:t>
      </w:r>
      <w:r w:rsidRPr="00897F1E">
        <w:rPr>
          <w:rFonts w:ascii="Palatino Linotype" w:eastAsia="Palatino Linotype" w:hAnsi="Palatino Linotype" w:cs="Palatino Linotype"/>
          <w:color w:val="0D0D0D"/>
          <w:sz w:val="24"/>
          <w:szCs w:val="24"/>
        </w:rPr>
        <w:t>, no únicamente comprendiendo los procedimientos en que la autoridad dirime una controversia entre las partes, sino que deben incluir todos aquellos procedimientos en que una autoridad frente a la particular, prepara su resolución definitiva, aunque sólo sea un trámite para cumplir con la garantía de audiencia,</w:t>
      </w:r>
      <w:r w:rsidRPr="00897F1E">
        <w:rPr>
          <w:rFonts w:ascii="Palatino Linotype" w:eastAsia="Palatino Linotype" w:hAnsi="Palatino Linotype" w:cs="Palatino Linotype"/>
          <w:b/>
          <w:color w:val="0D0D0D"/>
          <w:sz w:val="24"/>
          <w:szCs w:val="24"/>
        </w:rPr>
        <w:t xml:space="preserve"> </w:t>
      </w:r>
      <w:r w:rsidRPr="00897F1E">
        <w:rPr>
          <w:rFonts w:ascii="Palatino Linotype" w:eastAsia="Palatino Linotype" w:hAnsi="Palatino Linotype" w:cs="Palatino Linotype"/>
          <w:color w:val="0D0D0D"/>
          <w:sz w:val="24"/>
          <w:szCs w:val="24"/>
        </w:rPr>
        <w:t>tal como se muestra a continuación:</w:t>
      </w:r>
    </w:p>
    <w:p w:rsidR="001A4767" w:rsidRPr="00897F1E" w:rsidRDefault="001A4767">
      <w:pPr>
        <w:spacing w:line="360" w:lineRule="auto"/>
        <w:jc w:val="both"/>
        <w:rPr>
          <w:rFonts w:ascii="Palatino Linotype" w:eastAsia="Palatino Linotype" w:hAnsi="Palatino Linotype" w:cs="Palatino Linotype"/>
          <w:color w:val="0D0D0D"/>
          <w:sz w:val="24"/>
          <w:szCs w:val="24"/>
        </w:rPr>
      </w:pPr>
    </w:p>
    <w:p w:rsidR="001A4767" w:rsidRPr="00897F1E" w:rsidRDefault="00384B6A">
      <w:pPr>
        <w:spacing w:line="276" w:lineRule="auto"/>
        <w:ind w:left="567" w:right="567"/>
        <w:jc w:val="both"/>
        <w:rPr>
          <w:rFonts w:ascii="Palatino Linotype" w:eastAsia="Palatino Linotype" w:hAnsi="Palatino Linotype" w:cs="Palatino Linotype"/>
          <w:i/>
          <w:color w:val="0D0D0D"/>
          <w:sz w:val="22"/>
          <w:szCs w:val="22"/>
        </w:rPr>
      </w:pPr>
      <w:r w:rsidRPr="00897F1E">
        <w:rPr>
          <w:rFonts w:ascii="Palatino Linotype" w:eastAsia="Palatino Linotype" w:hAnsi="Palatino Linotype" w:cs="Palatino Linotype"/>
          <w:color w:val="0D0D0D"/>
          <w:sz w:val="22"/>
          <w:szCs w:val="22"/>
        </w:rPr>
        <w:t>“</w:t>
      </w:r>
      <w:r w:rsidRPr="00897F1E">
        <w:rPr>
          <w:rFonts w:ascii="Palatino Linotype" w:eastAsia="Palatino Linotype" w:hAnsi="Palatino Linotype" w:cs="Palatino Linotype"/>
          <w:b/>
          <w:i/>
          <w:color w:val="0D0D0D"/>
          <w:sz w:val="22"/>
          <w:szCs w:val="22"/>
        </w:rPr>
        <w:t xml:space="preserve">PROCEDIMIENTOS EN FORMA DE JUICIO SEGUIDOS POR AUTORIDADES DISTINTAS DE TRIBUNALES A QUE SE REFIERE EL ARTÍCULO 114, FRACCIÓN II, PÁRRAFO SEGUNDO, DE LA LEY DE AMPARO. SU CONCEPTO COMPRENDE TANTO AQUELLOS EN QUE LA AUTORIDAD DIRIME UNA CONTROVERSIA ENTRE PARTES CONTENDIENTES, COMO LOS PROCEDIMIENTOS MEDIANTE LOS QUE LA AUTORIDAD PREPARA SU RESOLUCIÓN DEFINITIVA CON INTERVENCIÓN DEL PARTICULAR. </w:t>
      </w:r>
      <w:r w:rsidRPr="00897F1E">
        <w:rPr>
          <w:rFonts w:ascii="Palatino Linotype" w:eastAsia="Palatino Linotype" w:hAnsi="Palatino Linotype" w:cs="Palatino Linotype"/>
          <w:i/>
          <w:color w:val="0D0D0D"/>
          <w:sz w:val="22"/>
          <w:szCs w:val="22"/>
        </w:rPr>
        <w:t xml:space="preserve">La Ley de Amparo establece que tratándose de actos dentro de un procedimiento, la regla general, con algunas excepciones, es que el juicio constitucional sólo procede hasta la resolución definitiva, ocasión en la cual cabe alegar tanto violaciones de fondo como de procedimiento, sistema que tiene el propósito de armonizar la protección de las garantías constitucionales del gobernado, con la necesidad de asegurar la </w:t>
      </w:r>
      <w:proofErr w:type="spellStart"/>
      <w:r w:rsidRPr="00897F1E">
        <w:rPr>
          <w:rFonts w:ascii="Palatino Linotype" w:eastAsia="Palatino Linotype" w:hAnsi="Palatino Linotype" w:cs="Palatino Linotype"/>
          <w:i/>
          <w:color w:val="0D0D0D"/>
          <w:sz w:val="22"/>
          <w:szCs w:val="22"/>
        </w:rPr>
        <w:t>expeditez</w:t>
      </w:r>
      <w:proofErr w:type="spellEnd"/>
      <w:r w:rsidRPr="00897F1E">
        <w:rPr>
          <w:rFonts w:ascii="Palatino Linotype" w:eastAsia="Palatino Linotype" w:hAnsi="Palatino Linotype" w:cs="Palatino Linotype"/>
          <w:i/>
          <w:color w:val="0D0D0D"/>
          <w:sz w:val="22"/>
          <w:szCs w:val="22"/>
        </w:rPr>
        <w:t xml:space="preserve"> de las diligencias procedimentales. Tal es la estructura que dicha Ley adopta en el amparo directo, así como en los procedimientos de ejecución y en los procedimientos de remate, como lo establece en sus artículos </w:t>
      </w:r>
      <w:hyperlink r:id="rId11">
        <w:r w:rsidRPr="00897F1E">
          <w:rPr>
            <w:i/>
            <w:color w:val="0D0D0D"/>
            <w:sz w:val="22"/>
            <w:szCs w:val="22"/>
          </w:rPr>
          <w:t>158</w:t>
        </w:r>
      </w:hyperlink>
      <w:r w:rsidRPr="00897F1E">
        <w:rPr>
          <w:rFonts w:ascii="Palatino Linotype" w:eastAsia="Palatino Linotype" w:hAnsi="Palatino Linotype" w:cs="Palatino Linotype"/>
          <w:i/>
          <w:color w:val="0D0D0D"/>
          <w:sz w:val="22"/>
          <w:szCs w:val="22"/>
        </w:rPr>
        <w:t xml:space="preserve"> y </w:t>
      </w:r>
      <w:hyperlink r:id="rId12">
        <w:r w:rsidRPr="00897F1E">
          <w:rPr>
            <w:i/>
            <w:color w:val="0D0D0D"/>
            <w:sz w:val="22"/>
            <w:szCs w:val="22"/>
          </w:rPr>
          <w:t>114, fracción III</w:t>
        </w:r>
      </w:hyperlink>
      <w:r w:rsidRPr="00897F1E">
        <w:rPr>
          <w:rFonts w:ascii="Palatino Linotype" w:eastAsia="Palatino Linotype" w:hAnsi="Palatino Linotype" w:cs="Palatino Linotype"/>
          <w:i/>
          <w:color w:val="0D0D0D"/>
          <w:sz w:val="22"/>
          <w:szCs w:val="22"/>
        </w:rPr>
        <w:t xml:space="preserve">, respectivamente. Por tanto, al establecer el segundo párrafo de la fracción II del artículo 114 acabado de citar, que cuando el acto reclamado de autoridades distintas de tribunales </w:t>
      </w:r>
      <w:r w:rsidRPr="00897F1E">
        <w:rPr>
          <w:rFonts w:ascii="Palatino Linotype" w:eastAsia="Palatino Linotype" w:hAnsi="Palatino Linotype" w:cs="Palatino Linotype"/>
          <w:i/>
          <w:color w:val="0D0D0D"/>
          <w:sz w:val="22"/>
          <w:szCs w:val="22"/>
        </w:rPr>
        <w:lastRenderedPageBreak/>
        <w:t>judiciales, administrativos o del trabajo, emanen de un procedimiento en forma de juicio, el amparo sólo procede en contra de la resolución definitiva, debe interpretarse de manera amplia la expresión "procedimiento en forma de juicio", comprendiendo aquellos en que la autoridad dirime una controversia entre partes contendientes, así como todos los procedimientos en que la autoridad, frente al particular, prepara su resolución definitiva, aunque sólo sea un trámite para cumplir con la garantía de audiencia, pues si en todos ellos se reclaman actos dentro de procedimiento, en todos debe de aplicarse la misma regla, conclusión que es acorde con la interpretación literal de dicho párrafo.”</w:t>
      </w:r>
    </w:p>
    <w:p w:rsidR="001A4767" w:rsidRPr="00897F1E" w:rsidRDefault="001A4767">
      <w:pPr>
        <w:spacing w:line="360" w:lineRule="auto"/>
        <w:jc w:val="both"/>
        <w:rPr>
          <w:rFonts w:ascii="Palatino Linotype" w:eastAsia="Palatino Linotype" w:hAnsi="Palatino Linotype" w:cs="Palatino Linotype"/>
          <w:b/>
          <w:color w:val="0D0D0D"/>
          <w:sz w:val="24"/>
          <w:szCs w:val="24"/>
        </w:rPr>
      </w:pPr>
    </w:p>
    <w:p w:rsidR="001A4767" w:rsidRPr="00897F1E" w:rsidRDefault="00384B6A">
      <w:pPr>
        <w:spacing w:line="360" w:lineRule="auto"/>
        <w:jc w:val="both"/>
        <w:rPr>
          <w:rFonts w:ascii="Palatino Linotype" w:eastAsia="Palatino Linotype" w:hAnsi="Palatino Linotype" w:cs="Palatino Linotype"/>
          <w:color w:val="0D0D0D"/>
          <w:sz w:val="24"/>
          <w:szCs w:val="24"/>
        </w:rPr>
      </w:pPr>
      <w:r w:rsidRPr="00897F1E">
        <w:rPr>
          <w:rFonts w:ascii="Palatino Linotype" w:eastAsia="Palatino Linotype" w:hAnsi="Palatino Linotype" w:cs="Palatino Linotype"/>
          <w:color w:val="0D0D0D"/>
          <w:sz w:val="24"/>
          <w:szCs w:val="24"/>
        </w:rPr>
        <w:t>Ahora bien, es necesario señalar que, respecto a las formalidades esenciales del procedimiento, el Pleno de la Suprema de Corte de Justicia de la Nación mediante tesis jurisprudencial P./J.47/95, publicada en el Semanario Judicial de la Federación y su Gaceta, novena época, t. II, diciembre de 1995, página 133; ha sostenido:</w:t>
      </w:r>
    </w:p>
    <w:p w:rsidR="001A4767" w:rsidRPr="00897F1E" w:rsidRDefault="001A4767">
      <w:pPr>
        <w:spacing w:line="360" w:lineRule="auto"/>
        <w:jc w:val="both"/>
        <w:rPr>
          <w:rFonts w:ascii="Palatino Linotype" w:eastAsia="Palatino Linotype" w:hAnsi="Palatino Linotype" w:cs="Palatino Linotype"/>
          <w:color w:val="0D0D0D"/>
          <w:sz w:val="24"/>
          <w:szCs w:val="24"/>
        </w:rPr>
      </w:pPr>
    </w:p>
    <w:p w:rsidR="001A4767" w:rsidRPr="00897F1E" w:rsidRDefault="00384B6A">
      <w:pPr>
        <w:spacing w:line="276" w:lineRule="auto"/>
        <w:ind w:left="567" w:right="567"/>
        <w:jc w:val="both"/>
        <w:rPr>
          <w:rFonts w:ascii="Palatino Linotype" w:eastAsia="Palatino Linotype" w:hAnsi="Palatino Linotype" w:cs="Palatino Linotype"/>
          <w:i/>
          <w:color w:val="0D0D0D"/>
          <w:sz w:val="22"/>
          <w:szCs w:val="22"/>
        </w:rPr>
      </w:pPr>
      <w:r w:rsidRPr="00897F1E">
        <w:rPr>
          <w:rFonts w:ascii="Palatino Linotype" w:eastAsia="Palatino Linotype" w:hAnsi="Palatino Linotype" w:cs="Palatino Linotype"/>
          <w:b/>
          <w:i/>
          <w:color w:val="0D0D0D"/>
          <w:sz w:val="22"/>
          <w:szCs w:val="22"/>
        </w:rPr>
        <w:t xml:space="preserve">“FORMALIDADES ESENCIALES DEL PROCEDIMIENTO. SON LAS QUE GARANTIZAN UNA ADECUADA Y OPORTUNA DEFENSA PREVIA AL ACTO PRIVATIVO. </w:t>
      </w:r>
      <w:r w:rsidRPr="00897F1E">
        <w:rPr>
          <w:rFonts w:ascii="Palatino Linotype" w:eastAsia="Palatino Linotype" w:hAnsi="Palatino Linotype" w:cs="Palatino Linotype"/>
          <w:i/>
          <w:color w:val="0D0D0D"/>
          <w:sz w:val="22"/>
          <w:szCs w:val="22"/>
        </w:rPr>
        <w:t>La garantía de audiencia establecida por el artículo 14 constitucional consiste en otorgar al gobernado la oportunidad de defensa previamente al acto privativo de la vida, libertad, propiedad, posesiones o derechos, y su debido respeto impone a las autoridades, entre otras obligaciones, la de que en el juicio que se siga ‘se cumplan las formalidades esenciales del procedimiento’. Estas son las que resultan necesarias para garantizar la defensa adecuada antes del acto de privación y que, de manera genérica, se traducen en los siguientes requisitos: 1) La notificación del inicio del procedimiento y sus consecuencias; 2) La oportunidad de ofrecer y desahogar las pruebas en que se finque la defensa; 3) La oportunidad de alegar; y 4) El dictado de una resolución que dirima las cuestiones debatidas. De no respetarse estos requisitos, se dejaría de cumplir con el fin de la garantía de audiencia, que es evitar la indefensión del afectado.”</w:t>
      </w:r>
    </w:p>
    <w:p w:rsidR="001A4767" w:rsidRPr="00897F1E" w:rsidRDefault="001A4767">
      <w:pPr>
        <w:spacing w:line="360" w:lineRule="auto"/>
        <w:jc w:val="both"/>
        <w:rPr>
          <w:rFonts w:ascii="Palatino Linotype" w:eastAsia="Palatino Linotype" w:hAnsi="Palatino Linotype" w:cs="Palatino Linotype"/>
          <w:color w:val="0D0D0D"/>
          <w:sz w:val="24"/>
          <w:szCs w:val="24"/>
        </w:rPr>
      </w:pPr>
    </w:p>
    <w:p w:rsidR="001A4767" w:rsidRPr="00897F1E" w:rsidRDefault="00384B6A">
      <w:pPr>
        <w:spacing w:line="360" w:lineRule="auto"/>
        <w:jc w:val="both"/>
        <w:rPr>
          <w:rFonts w:ascii="Palatino Linotype" w:eastAsia="Palatino Linotype" w:hAnsi="Palatino Linotype" w:cs="Palatino Linotype"/>
          <w:color w:val="0D0D0D"/>
          <w:sz w:val="24"/>
          <w:szCs w:val="24"/>
        </w:rPr>
      </w:pPr>
      <w:r w:rsidRPr="00897F1E">
        <w:rPr>
          <w:rFonts w:ascii="Palatino Linotype" w:eastAsia="Palatino Linotype" w:hAnsi="Palatino Linotype" w:cs="Palatino Linotype"/>
          <w:color w:val="0D0D0D"/>
          <w:sz w:val="24"/>
          <w:szCs w:val="24"/>
        </w:rPr>
        <w:t xml:space="preserve">Del criterio jurisprudencial citado, se desprende que las formalidades esenciales del procedimiento que exige el párrafo segundo del artículo 14 de la Constitución Política </w:t>
      </w:r>
      <w:r w:rsidRPr="00897F1E">
        <w:rPr>
          <w:rFonts w:ascii="Palatino Linotype" w:eastAsia="Palatino Linotype" w:hAnsi="Palatino Linotype" w:cs="Palatino Linotype"/>
          <w:color w:val="0D0D0D"/>
          <w:sz w:val="24"/>
          <w:szCs w:val="24"/>
        </w:rPr>
        <w:lastRenderedPageBreak/>
        <w:t>de los Estados Unidos Mexicanos para que se respete la garantía de audiencia, son las que resultan necesarias para garantizar la defensa adecuada antes del acto de privación y que, de manera genérica, se traducen en los siguientes requisitos:</w:t>
      </w:r>
    </w:p>
    <w:p w:rsidR="001A4767" w:rsidRPr="00897F1E" w:rsidRDefault="001A4767">
      <w:pPr>
        <w:spacing w:line="360" w:lineRule="auto"/>
        <w:jc w:val="both"/>
        <w:rPr>
          <w:rFonts w:ascii="Palatino Linotype" w:eastAsia="Palatino Linotype" w:hAnsi="Palatino Linotype" w:cs="Palatino Linotype"/>
          <w:color w:val="0D0D0D"/>
          <w:sz w:val="24"/>
          <w:szCs w:val="24"/>
        </w:rPr>
      </w:pPr>
    </w:p>
    <w:p w:rsidR="001A4767" w:rsidRPr="00897F1E" w:rsidRDefault="00384B6A">
      <w:pPr>
        <w:numPr>
          <w:ilvl w:val="0"/>
          <w:numId w:val="13"/>
        </w:numPr>
        <w:spacing w:line="360" w:lineRule="auto"/>
        <w:ind w:left="851"/>
        <w:jc w:val="both"/>
        <w:rPr>
          <w:rFonts w:ascii="Palatino Linotype" w:eastAsia="Palatino Linotype" w:hAnsi="Palatino Linotype" w:cs="Palatino Linotype"/>
          <w:color w:val="0D0D0D"/>
          <w:sz w:val="22"/>
          <w:szCs w:val="22"/>
        </w:rPr>
      </w:pPr>
      <w:r w:rsidRPr="00897F1E">
        <w:rPr>
          <w:rFonts w:ascii="Palatino Linotype" w:eastAsia="Palatino Linotype" w:hAnsi="Palatino Linotype" w:cs="Palatino Linotype"/>
          <w:color w:val="0D0D0D"/>
          <w:sz w:val="22"/>
          <w:szCs w:val="22"/>
        </w:rPr>
        <w:t>La notificación del inicio del procedimiento y sus consecuencias;</w:t>
      </w:r>
    </w:p>
    <w:p w:rsidR="001A4767" w:rsidRPr="00897F1E" w:rsidRDefault="00384B6A">
      <w:pPr>
        <w:numPr>
          <w:ilvl w:val="0"/>
          <w:numId w:val="13"/>
        </w:numPr>
        <w:spacing w:line="360" w:lineRule="auto"/>
        <w:ind w:left="851"/>
        <w:jc w:val="both"/>
        <w:rPr>
          <w:rFonts w:ascii="Palatino Linotype" w:eastAsia="Palatino Linotype" w:hAnsi="Palatino Linotype" w:cs="Palatino Linotype"/>
          <w:color w:val="0D0D0D"/>
          <w:sz w:val="22"/>
          <w:szCs w:val="22"/>
        </w:rPr>
      </w:pPr>
      <w:r w:rsidRPr="00897F1E">
        <w:rPr>
          <w:rFonts w:ascii="Palatino Linotype" w:eastAsia="Palatino Linotype" w:hAnsi="Palatino Linotype" w:cs="Palatino Linotype"/>
          <w:color w:val="0D0D0D"/>
          <w:sz w:val="22"/>
          <w:szCs w:val="22"/>
        </w:rPr>
        <w:t xml:space="preserve">La oportunidad de ofrecer y desahogar pruebas; </w:t>
      </w:r>
    </w:p>
    <w:p w:rsidR="001A4767" w:rsidRPr="00897F1E" w:rsidRDefault="00384B6A">
      <w:pPr>
        <w:numPr>
          <w:ilvl w:val="0"/>
          <w:numId w:val="13"/>
        </w:numPr>
        <w:spacing w:line="360" w:lineRule="auto"/>
        <w:ind w:left="851"/>
        <w:jc w:val="both"/>
        <w:rPr>
          <w:rFonts w:ascii="Palatino Linotype" w:eastAsia="Palatino Linotype" w:hAnsi="Palatino Linotype" w:cs="Palatino Linotype"/>
          <w:color w:val="0D0D0D"/>
          <w:sz w:val="22"/>
          <w:szCs w:val="22"/>
        </w:rPr>
      </w:pPr>
      <w:r w:rsidRPr="00897F1E">
        <w:rPr>
          <w:rFonts w:ascii="Palatino Linotype" w:eastAsia="Palatino Linotype" w:hAnsi="Palatino Linotype" w:cs="Palatino Linotype"/>
          <w:color w:val="0D0D0D"/>
          <w:sz w:val="22"/>
          <w:szCs w:val="22"/>
        </w:rPr>
        <w:t>La oportunidad de alegar; y</w:t>
      </w:r>
    </w:p>
    <w:p w:rsidR="001A4767" w:rsidRPr="00897F1E" w:rsidRDefault="00384B6A">
      <w:pPr>
        <w:numPr>
          <w:ilvl w:val="0"/>
          <w:numId w:val="13"/>
        </w:numPr>
        <w:spacing w:line="360" w:lineRule="auto"/>
        <w:ind w:left="851"/>
        <w:jc w:val="both"/>
        <w:rPr>
          <w:rFonts w:ascii="Palatino Linotype" w:eastAsia="Palatino Linotype" w:hAnsi="Palatino Linotype" w:cs="Palatino Linotype"/>
          <w:color w:val="0D0D0D"/>
          <w:sz w:val="22"/>
          <w:szCs w:val="22"/>
        </w:rPr>
      </w:pPr>
      <w:r w:rsidRPr="00897F1E">
        <w:rPr>
          <w:rFonts w:ascii="Palatino Linotype" w:eastAsia="Palatino Linotype" w:hAnsi="Palatino Linotype" w:cs="Palatino Linotype"/>
          <w:color w:val="0D0D0D"/>
          <w:sz w:val="22"/>
          <w:szCs w:val="22"/>
        </w:rPr>
        <w:t>El dictado de una resolución que dirima las cuestiones debatidas.</w:t>
      </w:r>
    </w:p>
    <w:p w:rsidR="001A4767" w:rsidRPr="00897F1E" w:rsidRDefault="001A4767">
      <w:pPr>
        <w:spacing w:line="360" w:lineRule="auto"/>
        <w:jc w:val="both"/>
        <w:rPr>
          <w:rFonts w:ascii="Palatino Linotype" w:eastAsia="Palatino Linotype" w:hAnsi="Palatino Linotype" w:cs="Palatino Linotype"/>
          <w:color w:val="0D0D0D"/>
          <w:sz w:val="24"/>
          <w:szCs w:val="24"/>
        </w:rPr>
      </w:pPr>
    </w:p>
    <w:p w:rsidR="001A4767" w:rsidRPr="00897F1E" w:rsidRDefault="00384B6A">
      <w:pPr>
        <w:spacing w:line="360" w:lineRule="auto"/>
        <w:jc w:val="both"/>
        <w:rPr>
          <w:rFonts w:ascii="Palatino Linotype" w:eastAsia="Palatino Linotype" w:hAnsi="Palatino Linotype" w:cs="Palatino Linotype"/>
          <w:color w:val="0D0D0D"/>
          <w:sz w:val="24"/>
          <w:szCs w:val="24"/>
        </w:rPr>
      </w:pPr>
      <w:r w:rsidRPr="00897F1E">
        <w:rPr>
          <w:rFonts w:ascii="Palatino Linotype" w:eastAsia="Palatino Linotype" w:hAnsi="Palatino Linotype" w:cs="Palatino Linotype"/>
          <w:color w:val="0D0D0D"/>
          <w:sz w:val="24"/>
          <w:szCs w:val="24"/>
        </w:rPr>
        <w:t xml:space="preserve">Por lo que hace a la notificación del inicio del procedimiento y sus consecuencias, es la etapa en la que se hace del concomimiento de una de las partes que se ha instaurado un procedimiento en su contra; por lo que hace la oportunidad de ofrecer y desahogar pruebas, es la instancia en la que se da a las partes de presentar aquellos elementos de convicción que acrediten sus pretensiones; en relación con la fase de alegar, es aquella del proceso en que las partes presentan las manifestaciones que a su derecho convenga; y finalmente, por lo que hace al dictado de la resolución, versa en la determinación de la autoridad competente de las cuestiones debatidas. </w:t>
      </w:r>
    </w:p>
    <w:p w:rsidR="001A4767" w:rsidRPr="00897F1E" w:rsidRDefault="001A4767">
      <w:pPr>
        <w:spacing w:line="360" w:lineRule="auto"/>
        <w:jc w:val="both"/>
        <w:rPr>
          <w:rFonts w:ascii="Palatino Linotype" w:eastAsia="Palatino Linotype" w:hAnsi="Palatino Linotype" w:cs="Palatino Linotype"/>
          <w:color w:val="0D0D0D"/>
          <w:sz w:val="24"/>
          <w:szCs w:val="24"/>
        </w:rPr>
      </w:pPr>
    </w:p>
    <w:p w:rsidR="001A4767" w:rsidRPr="00897F1E" w:rsidRDefault="00384B6A">
      <w:pPr>
        <w:spacing w:line="360" w:lineRule="auto"/>
        <w:jc w:val="both"/>
        <w:rPr>
          <w:rFonts w:ascii="Palatino Linotype" w:eastAsia="Palatino Linotype" w:hAnsi="Palatino Linotype" w:cs="Palatino Linotype"/>
          <w:color w:val="0D0D0D"/>
          <w:sz w:val="24"/>
          <w:szCs w:val="24"/>
        </w:rPr>
      </w:pPr>
      <w:r w:rsidRPr="00897F1E">
        <w:rPr>
          <w:rFonts w:ascii="Palatino Linotype" w:eastAsia="Palatino Linotype" w:hAnsi="Palatino Linotype" w:cs="Palatino Linotype"/>
          <w:color w:val="0D0D0D"/>
          <w:sz w:val="24"/>
          <w:szCs w:val="24"/>
        </w:rPr>
        <w:t xml:space="preserve">En ese sentido, a efecto de corroborar si en efecto el procedimiento administrativo, en materia ambiental, se trata de un procedimiento administrativo materialmente jurisdiccional, es decir, seguido en forma de juicio, es necesario traer a colación la normatividad que las regula. </w:t>
      </w:r>
    </w:p>
    <w:p w:rsidR="001A4767" w:rsidRPr="00897F1E" w:rsidRDefault="001A4767">
      <w:pPr>
        <w:spacing w:line="360" w:lineRule="auto"/>
        <w:jc w:val="both"/>
        <w:rPr>
          <w:rFonts w:ascii="Palatino Linotype" w:eastAsia="Palatino Linotype" w:hAnsi="Palatino Linotype" w:cs="Palatino Linotype"/>
          <w:color w:val="0D0D0D"/>
          <w:sz w:val="24"/>
          <w:szCs w:val="24"/>
        </w:rPr>
      </w:pPr>
    </w:p>
    <w:p w:rsidR="001A4767" w:rsidRPr="00897F1E" w:rsidRDefault="00384B6A">
      <w:pPr>
        <w:spacing w:line="360" w:lineRule="auto"/>
        <w:jc w:val="both"/>
        <w:rPr>
          <w:rFonts w:ascii="Palatino Linotype" w:eastAsia="Palatino Linotype" w:hAnsi="Palatino Linotype" w:cs="Palatino Linotype"/>
          <w:color w:val="0D0D0D"/>
          <w:sz w:val="24"/>
          <w:szCs w:val="24"/>
        </w:rPr>
      </w:pPr>
      <w:r w:rsidRPr="00897F1E">
        <w:rPr>
          <w:rFonts w:ascii="Palatino Linotype" w:eastAsia="Palatino Linotype" w:hAnsi="Palatino Linotype" w:cs="Palatino Linotype"/>
          <w:color w:val="0D0D0D"/>
          <w:sz w:val="24"/>
          <w:szCs w:val="24"/>
        </w:rPr>
        <w:lastRenderedPageBreak/>
        <w:t xml:space="preserve">En principio, es necesario precisar que, de conformidad con lo señalado por el Sujeto Obligado en el desahogo del requerimiento de información adicional, el procedimiento administrativo se inició derivado de las visitas de inspección de las cuales se observó que se realizaban actividades que pudieran causar daños o deterioro graves a los recursos naturales, por lo que, se decretó como medida de seguridad la clausura temporal total de las actividades realizadas. </w:t>
      </w:r>
    </w:p>
    <w:p w:rsidR="001A4767" w:rsidRPr="00897F1E" w:rsidRDefault="001A4767">
      <w:pPr>
        <w:spacing w:line="360" w:lineRule="auto"/>
        <w:jc w:val="both"/>
        <w:rPr>
          <w:rFonts w:ascii="Palatino Linotype" w:eastAsia="Palatino Linotype" w:hAnsi="Palatino Linotype" w:cs="Palatino Linotype"/>
          <w:color w:val="0D0D0D"/>
          <w:sz w:val="24"/>
          <w:szCs w:val="24"/>
        </w:rPr>
      </w:pPr>
    </w:p>
    <w:p w:rsidR="001A4767" w:rsidRPr="00897F1E" w:rsidRDefault="00384B6A">
      <w:pPr>
        <w:spacing w:line="360" w:lineRule="auto"/>
        <w:jc w:val="both"/>
        <w:rPr>
          <w:rFonts w:ascii="Palatino Linotype" w:eastAsia="Palatino Linotype" w:hAnsi="Palatino Linotype" w:cs="Palatino Linotype"/>
          <w:color w:val="0D0D0D"/>
          <w:sz w:val="24"/>
          <w:szCs w:val="24"/>
        </w:rPr>
      </w:pPr>
      <w:r w:rsidRPr="00897F1E">
        <w:rPr>
          <w:rFonts w:ascii="Palatino Linotype" w:eastAsia="Palatino Linotype" w:hAnsi="Palatino Linotype" w:cs="Palatino Linotype"/>
          <w:color w:val="0D0D0D"/>
          <w:sz w:val="24"/>
          <w:szCs w:val="24"/>
        </w:rPr>
        <w:t>Al respecto, el artículo 2.231 del Código para la Biodiversidad del Estado de México, que precisa que las autoridades competentes podrán realizar visitas de inspección, por el personal debidamente autorizado.</w:t>
      </w:r>
    </w:p>
    <w:p w:rsidR="001A4767" w:rsidRPr="00897F1E" w:rsidRDefault="00384B6A">
      <w:pPr>
        <w:spacing w:line="360" w:lineRule="auto"/>
        <w:jc w:val="both"/>
        <w:rPr>
          <w:rFonts w:ascii="Palatino Linotype" w:eastAsia="Palatino Linotype" w:hAnsi="Palatino Linotype" w:cs="Palatino Linotype"/>
          <w:color w:val="0D0D0D"/>
          <w:sz w:val="24"/>
          <w:szCs w:val="24"/>
        </w:rPr>
      </w:pPr>
      <w:r w:rsidRPr="00897F1E">
        <w:rPr>
          <w:rFonts w:ascii="Palatino Linotype" w:eastAsia="Palatino Linotype" w:hAnsi="Palatino Linotype" w:cs="Palatino Linotype"/>
          <w:color w:val="0D0D0D"/>
          <w:sz w:val="24"/>
          <w:szCs w:val="24"/>
        </w:rPr>
        <w:t xml:space="preserve">En ese contexto, se localizó en la página del Sujeto Obligado, en el apartado de inspección y vigilancia </w:t>
      </w:r>
      <w:r w:rsidRPr="00897F1E">
        <w:rPr>
          <w:rFonts w:ascii="Palatino Linotype" w:eastAsia="Palatino Linotype" w:hAnsi="Palatino Linotype" w:cs="Palatino Linotype"/>
          <w:color w:val="0D0D0D"/>
          <w:sz w:val="22"/>
          <w:szCs w:val="22"/>
        </w:rPr>
        <w:t xml:space="preserve">(consultada el veintiséis de septiembre de dos mil veintitrés, en la liga electrónica </w:t>
      </w:r>
      <w:r w:rsidRPr="00897F1E">
        <w:rPr>
          <w:rFonts w:ascii="Palatino Linotype" w:eastAsia="Palatino Linotype" w:hAnsi="Palatino Linotype" w:cs="Palatino Linotype"/>
          <w:color w:val="0D0D0D"/>
          <w:sz w:val="22"/>
          <w:szCs w:val="22"/>
          <w:u w:val="single"/>
        </w:rPr>
        <w:t>https://propaem.edomex.gob.mx/node/210</w:t>
      </w:r>
      <w:r w:rsidRPr="00897F1E">
        <w:rPr>
          <w:rFonts w:ascii="Palatino Linotype" w:eastAsia="Palatino Linotype" w:hAnsi="Palatino Linotype" w:cs="Palatino Linotype"/>
          <w:color w:val="0D0D0D"/>
          <w:sz w:val="22"/>
          <w:szCs w:val="22"/>
        </w:rPr>
        <w:t xml:space="preserve">), </w:t>
      </w:r>
      <w:r w:rsidRPr="00897F1E">
        <w:rPr>
          <w:rFonts w:ascii="Palatino Linotype" w:eastAsia="Palatino Linotype" w:hAnsi="Palatino Linotype" w:cs="Palatino Linotype"/>
          <w:color w:val="0D0D0D"/>
          <w:sz w:val="24"/>
          <w:szCs w:val="24"/>
        </w:rPr>
        <w:t>que la Procuraduría de Protección al Ambiente del Estado de México, tiene dentro de sus atribuciones, las de ordenar y practicar las visitas de verificación de oficio o por denuncia a las fuentes móviles o fijas en etapa de construcción, pre-operativa y operativa, para cerciorarse del cumplimiento de los reglamentos, normas técnicas estatales ambientales y normas oficiales mexicanas.</w:t>
      </w:r>
    </w:p>
    <w:p w:rsidR="001A4767" w:rsidRPr="00897F1E" w:rsidRDefault="001A4767">
      <w:pPr>
        <w:spacing w:line="360" w:lineRule="auto"/>
        <w:jc w:val="both"/>
        <w:rPr>
          <w:rFonts w:ascii="Palatino Linotype" w:eastAsia="Palatino Linotype" w:hAnsi="Palatino Linotype" w:cs="Palatino Linotype"/>
          <w:color w:val="0D0D0D"/>
          <w:sz w:val="24"/>
          <w:szCs w:val="24"/>
        </w:rPr>
      </w:pPr>
    </w:p>
    <w:p w:rsidR="001A4767" w:rsidRPr="00897F1E" w:rsidRDefault="00384B6A">
      <w:pPr>
        <w:spacing w:line="360" w:lineRule="auto"/>
        <w:jc w:val="both"/>
        <w:rPr>
          <w:rFonts w:ascii="Palatino Linotype" w:eastAsia="Palatino Linotype" w:hAnsi="Palatino Linotype" w:cs="Palatino Linotype"/>
          <w:color w:val="0D0D0D"/>
          <w:sz w:val="24"/>
          <w:szCs w:val="24"/>
        </w:rPr>
      </w:pPr>
      <w:r w:rsidRPr="00897F1E">
        <w:rPr>
          <w:rFonts w:ascii="Palatino Linotype" w:eastAsia="Palatino Linotype" w:hAnsi="Palatino Linotype" w:cs="Palatino Linotype"/>
          <w:color w:val="0D0D0D"/>
          <w:sz w:val="24"/>
          <w:szCs w:val="24"/>
        </w:rPr>
        <w:t xml:space="preserve">En ese contexto, conforme al Manual de Procedimientos de la Subdirección de Verificación y Vigilancia y el Manual de Procedimientos de la Subdirección de Atención y Seguimiento de Procedimientos y en atención al desahogo del requerimiento de información adicional; se logra vislumbrar, que el procedimiento </w:t>
      </w:r>
      <w:r w:rsidRPr="00897F1E">
        <w:rPr>
          <w:rFonts w:ascii="Palatino Linotype" w:eastAsia="Palatino Linotype" w:hAnsi="Palatino Linotype" w:cs="Palatino Linotype"/>
          <w:color w:val="0D0D0D"/>
          <w:sz w:val="24"/>
          <w:szCs w:val="24"/>
        </w:rPr>
        <w:lastRenderedPageBreak/>
        <w:t>administrativo, en materia ambiental, aplicable al expediente solicitado, se desarrolla de la siguiente manera:</w:t>
      </w:r>
    </w:p>
    <w:p w:rsidR="001A4767" w:rsidRPr="00897F1E" w:rsidRDefault="001A4767">
      <w:pPr>
        <w:spacing w:line="360" w:lineRule="auto"/>
        <w:jc w:val="both"/>
        <w:rPr>
          <w:rFonts w:ascii="Palatino Linotype" w:eastAsia="Palatino Linotype" w:hAnsi="Palatino Linotype" w:cs="Palatino Linotype"/>
          <w:color w:val="0D0D0D"/>
          <w:sz w:val="24"/>
          <w:szCs w:val="24"/>
        </w:rPr>
      </w:pPr>
    </w:p>
    <w:p w:rsidR="001A4767" w:rsidRPr="00897F1E" w:rsidRDefault="00384B6A">
      <w:pPr>
        <w:numPr>
          <w:ilvl w:val="0"/>
          <w:numId w:val="14"/>
        </w:numPr>
        <w:pBdr>
          <w:top w:val="nil"/>
          <w:left w:val="nil"/>
          <w:bottom w:val="nil"/>
          <w:right w:val="nil"/>
          <w:between w:val="nil"/>
        </w:pBdr>
        <w:spacing w:line="360" w:lineRule="auto"/>
        <w:jc w:val="both"/>
        <w:rPr>
          <w:rFonts w:ascii="Palatino Linotype" w:eastAsia="Palatino Linotype" w:hAnsi="Palatino Linotype" w:cs="Palatino Linotype"/>
          <w:color w:val="0D0D0D"/>
          <w:sz w:val="22"/>
          <w:szCs w:val="22"/>
        </w:rPr>
      </w:pPr>
      <w:r w:rsidRPr="00897F1E">
        <w:rPr>
          <w:rFonts w:ascii="Palatino Linotype" w:eastAsia="Palatino Linotype" w:hAnsi="Palatino Linotype" w:cs="Palatino Linotype"/>
          <w:color w:val="0D0D0D"/>
          <w:sz w:val="22"/>
          <w:szCs w:val="22"/>
        </w:rPr>
        <w:t>Visita de inspección a fuentes contaminantes fijas o móviles:</w:t>
      </w:r>
    </w:p>
    <w:p w:rsidR="001A4767" w:rsidRPr="00897F1E" w:rsidRDefault="00384B6A">
      <w:pPr>
        <w:numPr>
          <w:ilvl w:val="0"/>
          <w:numId w:val="4"/>
        </w:numPr>
        <w:pBdr>
          <w:top w:val="nil"/>
          <w:left w:val="nil"/>
          <w:bottom w:val="nil"/>
          <w:right w:val="nil"/>
          <w:between w:val="nil"/>
        </w:pBdr>
        <w:spacing w:line="360" w:lineRule="auto"/>
        <w:ind w:left="993"/>
        <w:jc w:val="both"/>
        <w:rPr>
          <w:rFonts w:ascii="Palatino Linotype" w:eastAsia="Palatino Linotype" w:hAnsi="Palatino Linotype" w:cs="Palatino Linotype"/>
          <w:color w:val="0D0D0D"/>
          <w:sz w:val="22"/>
          <w:szCs w:val="22"/>
        </w:rPr>
      </w:pPr>
      <w:r w:rsidRPr="00897F1E">
        <w:rPr>
          <w:rFonts w:ascii="Palatino Linotype" w:eastAsia="Palatino Linotype" w:hAnsi="Palatino Linotype" w:cs="Palatino Linotype"/>
          <w:color w:val="0D0D0D"/>
          <w:sz w:val="22"/>
          <w:szCs w:val="22"/>
        </w:rPr>
        <w:t>Emisión de la Orden de visita de inspección;</w:t>
      </w:r>
    </w:p>
    <w:p w:rsidR="001A4767" w:rsidRPr="00897F1E" w:rsidRDefault="00384B6A">
      <w:pPr>
        <w:numPr>
          <w:ilvl w:val="0"/>
          <w:numId w:val="4"/>
        </w:numPr>
        <w:pBdr>
          <w:top w:val="nil"/>
          <w:left w:val="nil"/>
          <w:bottom w:val="nil"/>
          <w:right w:val="nil"/>
          <w:between w:val="nil"/>
        </w:pBdr>
        <w:spacing w:line="360" w:lineRule="auto"/>
        <w:ind w:left="993"/>
        <w:jc w:val="both"/>
        <w:rPr>
          <w:rFonts w:ascii="Palatino Linotype" w:eastAsia="Palatino Linotype" w:hAnsi="Palatino Linotype" w:cs="Palatino Linotype"/>
          <w:color w:val="0D0D0D"/>
          <w:sz w:val="22"/>
          <w:szCs w:val="22"/>
        </w:rPr>
      </w:pPr>
      <w:r w:rsidRPr="00897F1E">
        <w:rPr>
          <w:rFonts w:ascii="Palatino Linotype" w:eastAsia="Palatino Linotype" w:hAnsi="Palatino Linotype" w:cs="Palatino Linotype"/>
          <w:color w:val="0D0D0D"/>
          <w:sz w:val="22"/>
          <w:szCs w:val="22"/>
        </w:rPr>
        <w:t>Ejecución de la visita;</w:t>
      </w:r>
    </w:p>
    <w:p w:rsidR="001A4767" w:rsidRPr="00897F1E" w:rsidRDefault="00384B6A">
      <w:pPr>
        <w:numPr>
          <w:ilvl w:val="0"/>
          <w:numId w:val="4"/>
        </w:numPr>
        <w:pBdr>
          <w:top w:val="nil"/>
          <w:left w:val="nil"/>
          <w:bottom w:val="nil"/>
          <w:right w:val="nil"/>
          <w:between w:val="nil"/>
        </w:pBdr>
        <w:spacing w:line="360" w:lineRule="auto"/>
        <w:ind w:left="993"/>
        <w:jc w:val="both"/>
        <w:rPr>
          <w:rFonts w:ascii="Palatino Linotype" w:eastAsia="Palatino Linotype" w:hAnsi="Palatino Linotype" w:cs="Palatino Linotype"/>
          <w:color w:val="0D0D0D"/>
          <w:sz w:val="22"/>
          <w:szCs w:val="22"/>
        </w:rPr>
      </w:pPr>
      <w:r w:rsidRPr="00897F1E">
        <w:rPr>
          <w:rFonts w:ascii="Palatino Linotype" w:eastAsia="Palatino Linotype" w:hAnsi="Palatino Linotype" w:cs="Palatino Linotype"/>
          <w:color w:val="0D0D0D"/>
          <w:sz w:val="22"/>
          <w:szCs w:val="22"/>
        </w:rPr>
        <w:t>Generación del Acta Circunstancia o Nota Informativa (en caso de no poderse llevar a cabo la visita), y</w:t>
      </w:r>
    </w:p>
    <w:p w:rsidR="001A4767" w:rsidRPr="00897F1E" w:rsidRDefault="00384B6A">
      <w:pPr>
        <w:numPr>
          <w:ilvl w:val="0"/>
          <w:numId w:val="4"/>
        </w:numPr>
        <w:pBdr>
          <w:top w:val="nil"/>
          <w:left w:val="nil"/>
          <w:bottom w:val="nil"/>
          <w:right w:val="nil"/>
          <w:between w:val="nil"/>
        </w:pBdr>
        <w:spacing w:line="360" w:lineRule="auto"/>
        <w:ind w:left="993"/>
        <w:jc w:val="both"/>
        <w:rPr>
          <w:rFonts w:ascii="Palatino Linotype" w:eastAsia="Palatino Linotype" w:hAnsi="Palatino Linotype" w:cs="Palatino Linotype"/>
          <w:color w:val="0D0D0D"/>
          <w:sz w:val="22"/>
          <w:szCs w:val="22"/>
        </w:rPr>
      </w:pPr>
      <w:r w:rsidRPr="00897F1E">
        <w:rPr>
          <w:rFonts w:ascii="Palatino Linotype" w:eastAsia="Palatino Linotype" w:hAnsi="Palatino Linotype" w:cs="Palatino Linotype"/>
          <w:color w:val="0D0D0D"/>
          <w:sz w:val="22"/>
          <w:szCs w:val="22"/>
        </w:rPr>
        <w:t>Información previa: Se determina si existen posibles conductas infractoras, en caso negativo, se archiva el asunto.</w:t>
      </w:r>
    </w:p>
    <w:p w:rsidR="001A4767" w:rsidRPr="00897F1E" w:rsidRDefault="001A4767">
      <w:pPr>
        <w:pBdr>
          <w:top w:val="nil"/>
          <w:left w:val="nil"/>
          <w:bottom w:val="nil"/>
          <w:right w:val="nil"/>
          <w:between w:val="nil"/>
        </w:pBdr>
        <w:spacing w:line="360" w:lineRule="auto"/>
        <w:ind w:left="993"/>
        <w:jc w:val="both"/>
        <w:rPr>
          <w:rFonts w:ascii="Palatino Linotype" w:eastAsia="Palatino Linotype" w:hAnsi="Palatino Linotype" w:cs="Palatino Linotype"/>
          <w:color w:val="0D0D0D"/>
          <w:sz w:val="22"/>
          <w:szCs w:val="22"/>
        </w:rPr>
      </w:pPr>
    </w:p>
    <w:p w:rsidR="001A4767" w:rsidRPr="00897F1E" w:rsidRDefault="00384B6A">
      <w:pPr>
        <w:numPr>
          <w:ilvl w:val="0"/>
          <w:numId w:val="14"/>
        </w:numPr>
        <w:pBdr>
          <w:top w:val="nil"/>
          <w:left w:val="nil"/>
          <w:bottom w:val="nil"/>
          <w:right w:val="nil"/>
          <w:between w:val="nil"/>
        </w:pBdr>
        <w:spacing w:line="360" w:lineRule="auto"/>
        <w:jc w:val="both"/>
        <w:rPr>
          <w:rFonts w:ascii="Palatino Linotype" w:eastAsia="Palatino Linotype" w:hAnsi="Palatino Linotype" w:cs="Palatino Linotype"/>
          <w:color w:val="0D0D0D"/>
          <w:sz w:val="22"/>
          <w:szCs w:val="22"/>
        </w:rPr>
      </w:pPr>
      <w:r w:rsidRPr="00897F1E">
        <w:rPr>
          <w:rFonts w:ascii="Palatino Linotype" w:eastAsia="Palatino Linotype" w:hAnsi="Palatino Linotype" w:cs="Palatino Linotype"/>
          <w:color w:val="0D0D0D"/>
          <w:sz w:val="22"/>
          <w:szCs w:val="22"/>
        </w:rPr>
        <w:t>Procedimiento administrativo:</w:t>
      </w:r>
    </w:p>
    <w:p w:rsidR="001A4767" w:rsidRPr="00897F1E" w:rsidRDefault="00384B6A">
      <w:pPr>
        <w:numPr>
          <w:ilvl w:val="0"/>
          <w:numId w:val="4"/>
        </w:numPr>
        <w:pBdr>
          <w:top w:val="nil"/>
          <w:left w:val="nil"/>
          <w:bottom w:val="nil"/>
          <w:right w:val="nil"/>
          <w:between w:val="nil"/>
        </w:pBdr>
        <w:spacing w:line="360" w:lineRule="auto"/>
        <w:ind w:left="993"/>
        <w:jc w:val="both"/>
        <w:rPr>
          <w:rFonts w:ascii="Palatino Linotype" w:eastAsia="Palatino Linotype" w:hAnsi="Palatino Linotype" w:cs="Palatino Linotype"/>
          <w:color w:val="0D0D0D"/>
          <w:sz w:val="22"/>
          <w:szCs w:val="22"/>
        </w:rPr>
      </w:pPr>
      <w:r w:rsidRPr="00897F1E">
        <w:rPr>
          <w:rFonts w:ascii="Palatino Linotype" w:eastAsia="Palatino Linotype" w:hAnsi="Palatino Linotype" w:cs="Palatino Linotype"/>
          <w:color w:val="0D0D0D"/>
          <w:sz w:val="22"/>
          <w:szCs w:val="22"/>
        </w:rPr>
        <w:t>En caso, de que existan posibles infracciones, se emite el Acuerdo de Radicación e Inicio de procedimiento, el cual se notifica al posible infractor y se le hace del conocimiento, su derecho de garantía de audiencia;</w:t>
      </w:r>
    </w:p>
    <w:p w:rsidR="001A4767" w:rsidRPr="00897F1E" w:rsidRDefault="00384B6A">
      <w:pPr>
        <w:numPr>
          <w:ilvl w:val="0"/>
          <w:numId w:val="4"/>
        </w:numPr>
        <w:pBdr>
          <w:top w:val="nil"/>
          <w:left w:val="nil"/>
          <w:bottom w:val="nil"/>
          <w:right w:val="nil"/>
          <w:between w:val="nil"/>
        </w:pBdr>
        <w:spacing w:line="360" w:lineRule="auto"/>
        <w:ind w:left="993"/>
        <w:jc w:val="both"/>
        <w:rPr>
          <w:rFonts w:ascii="Palatino Linotype" w:eastAsia="Palatino Linotype" w:hAnsi="Palatino Linotype" w:cs="Palatino Linotype"/>
          <w:color w:val="0D0D0D"/>
          <w:sz w:val="22"/>
          <w:szCs w:val="22"/>
        </w:rPr>
      </w:pPr>
      <w:r w:rsidRPr="00897F1E">
        <w:rPr>
          <w:rFonts w:ascii="Palatino Linotype" w:eastAsia="Palatino Linotype" w:hAnsi="Palatino Linotype" w:cs="Palatino Linotype"/>
          <w:color w:val="0D0D0D"/>
          <w:sz w:val="22"/>
          <w:szCs w:val="22"/>
        </w:rPr>
        <w:t>Comparecencia de la garantía de audiencia, de manera escrita o verbal, con el fin de presentar y desahogar pruebas;</w:t>
      </w:r>
    </w:p>
    <w:p w:rsidR="001A4767" w:rsidRPr="00897F1E" w:rsidRDefault="00384B6A">
      <w:pPr>
        <w:numPr>
          <w:ilvl w:val="0"/>
          <w:numId w:val="4"/>
        </w:numPr>
        <w:pBdr>
          <w:top w:val="nil"/>
          <w:left w:val="nil"/>
          <w:bottom w:val="nil"/>
          <w:right w:val="nil"/>
          <w:between w:val="nil"/>
        </w:pBdr>
        <w:spacing w:line="360" w:lineRule="auto"/>
        <w:ind w:left="993"/>
        <w:jc w:val="both"/>
        <w:rPr>
          <w:rFonts w:ascii="Palatino Linotype" w:eastAsia="Palatino Linotype" w:hAnsi="Palatino Linotype" w:cs="Palatino Linotype"/>
          <w:color w:val="0D0D0D"/>
          <w:sz w:val="22"/>
          <w:szCs w:val="22"/>
        </w:rPr>
      </w:pPr>
      <w:r w:rsidRPr="00897F1E">
        <w:rPr>
          <w:rFonts w:ascii="Palatino Linotype" w:eastAsia="Palatino Linotype" w:hAnsi="Palatino Linotype" w:cs="Palatino Linotype"/>
          <w:color w:val="0D0D0D"/>
          <w:sz w:val="22"/>
          <w:szCs w:val="22"/>
        </w:rPr>
        <w:t>Se desahogan los alegatos y se emite el acuerdo respectivo, y</w:t>
      </w:r>
    </w:p>
    <w:p w:rsidR="001A4767" w:rsidRPr="00897F1E" w:rsidRDefault="00384B6A">
      <w:pPr>
        <w:numPr>
          <w:ilvl w:val="0"/>
          <w:numId w:val="4"/>
        </w:numPr>
        <w:pBdr>
          <w:top w:val="nil"/>
          <w:left w:val="nil"/>
          <w:bottom w:val="nil"/>
          <w:right w:val="nil"/>
          <w:between w:val="nil"/>
        </w:pBdr>
        <w:spacing w:line="360" w:lineRule="auto"/>
        <w:ind w:left="993"/>
        <w:jc w:val="both"/>
        <w:rPr>
          <w:rFonts w:ascii="Palatino Linotype" w:eastAsia="Palatino Linotype" w:hAnsi="Palatino Linotype" w:cs="Palatino Linotype"/>
          <w:color w:val="0D0D0D"/>
          <w:sz w:val="22"/>
          <w:szCs w:val="22"/>
        </w:rPr>
      </w:pPr>
      <w:r w:rsidRPr="00897F1E">
        <w:rPr>
          <w:rFonts w:ascii="Palatino Linotype" w:eastAsia="Palatino Linotype" w:hAnsi="Palatino Linotype" w:cs="Palatino Linotype"/>
          <w:color w:val="0D0D0D"/>
          <w:sz w:val="22"/>
          <w:szCs w:val="22"/>
        </w:rPr>
        <w:t>Se emite y notifica la resolución respectiva.</w:t>
      </w:r>
    </w:p>
    <w:p w:rsidR="001A4767" w:rsidRPr="00897F1E" w:rsidRDefault="001A4767">
      <w:pPr>
        <w:spacing w:line="360" w:lineRule="auto"/>
        <w:jc w:val="both"/>
        <w:rPr>
          <w:rFonts w:ascii="Palatino Linotype" w:eastAsia="Palatino Linotype" w:hAnsi="Palatino Linotype" w:cs="Palatino Linotype"/>
          <w:color w:val="0D0D0D"/>
          <w:sz w:val="22"/>
          <w:szCs w:val="22"/>
        </w:rPr>
      </w:pPr>
    </w:p>
    <w:p w:rsidR="001A4767" w:rsidRPr="00897F1E" w:rsidRDefault="00384B6A">
      <w:pPr>
        <w:spacing w:line="360" w:lineRule="auto"/>
        <w:jc w:val="both"/>
        <w:rPr>
          <w:rFonts w:ascii="Palatino Linotype" w:eastAsia="Palatino Linotype" w:hAnsi="Palatino Linotype" w:cs="Palatino Linotype"/>
          <w:color w:val="0D0D0D"/>
          <w:sz w:val="24"/>
          <w:szCs w:val="24"/>
        </w:rPr>
      </w:pPr>
      <w:r w:rsidRPr="00897F1E">
        <w:rPr>
          <w:rFonts w:ascii="Palatino Linotype" w:eastAsia="Palatino Linotype" w:hAnsi="Palatino Linotype" w:cs="Palatino Linotype"/>
          <w:color w:val="0D0D0D"/>
          <w:sz w:val="24"/>
          <w:szCs w:val="24"/>
        </w:rPr>
        <w:t xml:space="preserve">Conforme a lo anterior, se logra observar que el Procedimiento Administrativo en materia ambiental, cumple con las </w:t>
      </w:r>
      <w:r w:rsidRPr="00897F1E">
        <w:rPr>
          <w:rFonts w:ascii="Palatino Linotype" w:eastAsia="Palatino Linotype" w:hAnsi="Palatino Linotype" w:cs="Palatino Linotype"/>
          <w:b/>
          <w:color w:val="0D0D0D"/>
          <w:sz w:val="24"/>
          <w:szCs w:val="24"/>
        </w:rPr>
        <w:t>formalidades esenciales de un procedimiento seguido en forma de juicio</w:t>
      </w:r>
      <w:r w:rsidRPr="00897F1E">
        <w:rPr>
          <w:rFonts w:ascii="Palatino Linotype" w:eastAsia="Palatino Linotype" w:hAnsi="Palatino Linotype" w:cs="Palatino Linotype"/>
          <w:color w:val="0D0D0D"/>
          <w:sz w:val="24"/>
          <w:szCs w:val="24"/>
        </w:rPr>
        <w:t xml:space="preserve">; ya que se encuentra integrado por etapas procesales, que incluye la notificación a la parte infractora, la posibilidad de ofrecer pruebas y alegatos (garantía de audiencia), además, que es sustanciado ante una autoridad, la cual emite </w:t>
      </w:r>
      <w:r w:rsidRPr="00897F1E">
        <w:rPr>
          <w:rFonts w:ascii="Palatino Linotype" w:eastAsia="Palatino Linotype" w:hAnsi="Palatino Linotype" w:cs="Palatino Linotype"/>
          <w:color w:val="0D0D0D"/>
          <w:sz w:val="24"/>
          <w:szCs w:val="24"/>
        </w:rPr>
        <w:lastRenderedPageBreak/>
        <w:t xml:space="preserve">una resolución al concluir dicho procedimiento estableciendo si existe responsabilidad o no, así como, la posible sanción. </w:t>
      </w:r>
    </w:p>
    <w:p w:rsidR="001A4767" w:rsidRPr="00897F1E" w:rsidRDefault="001A4767">
      <w:pPr>
        <w:spacing w:line="360" w:lineRule="auto"/>
        <w:jc w:val="both"/>
        <w:rPr>
          <w:rFonts w:ascii="Palatino Linotype" w:eastAsia="Palatino Linotype" w:hAnsi="Palatino Linotype" w:cs="Palatino Linotype"/>
          <w:color w:val="0D0D0D"/>
          <w:sz w:val="24"/>
          <w:szCs w:val="24"/>
        </w:rPr>
      </w:pPr>
    </w:p>
    <w:p w:rsidR="001A4767" w:rsidRPr="00897F1E" w:rsidRDefault="00384B6A">
      <w:pPr>
        <w:spacing w:line="360" w:lineRule="auto"/>
        <w:jc w:val="both"/>
        <w:rPr>
          <w:rFonts w:ascii="Palatino Linotype" w:eastAsia="Palatino Linotype" w:hAnsi="Palatino Linotype" w:cs="Palatino Linotype"/>
          <w:b/>
          <w:color w:val="0D0D0D"/>
          <w:sz w:val="24"/>
          <w:szCs w:val="24"/>
        </w:rPr>
      </w:pPr>
      <w:r w:rsidRPr="00897F1E">
        <w:rPr>
          <w:rFonts w:ascii="Palatino Linotype" w:eastAsia="Palatino Linotype" w:hAnsi="Palatino Linotype" w:cs="Palatino Linotype"/>
          <w:color w:val="0D0D0D"/>
          <w:sz w:val="24"/>
          <w:szCs w:val="24"/>
        </w:rPr>
        <w:t xml:space="preserve">Al respecto, conforme a lo señalado por la Subdirección de Atención y Seguimiento de Procedimientos, el procedimiento administrativo se encontraba en vías de cumplimiento, siendo que en el desahogo del requerimiento de información adicional, se precisó que el expediente PROPAEM-2021-07/VM/0466 se encontraba en la </w:t>
      </w:r>
      <w:r w:rsidRPr="00897F1E">
        <w:rPr>
          <w:rFonts w:ascii="Palatino Linotype" w:eastAsia="Palatino Linotype" w:hAnsi="Palatino Linotype" w:cs="Palatino Linotype"/>
          <w:b/>
          <w:color w:val="0D0D0D"/>
          <w:sz w:val="24"/>
          <w:szCs w:val="24"/>
        </w:rPr>
        <w:t xml:space="preserve">etapa de emisión y notificación de la resolución; </w:t>
      </w:r>
      <w:r w:rsidRPr="00897F1E">
        <w:rPr>
          <w:rFonts w:ascii="Palatino Linotype" w:eastAsia="Palatino Linotype" w:hAnsi="Palatino Linotype" w:cs="Palatino Linotype"/>
          <w:color w:val="0D0D0D"/>
          <w:sz w:val="24"/>
          <w:szCs w:val="24"/>
        </w:rPr>
        <w:t>por lo que, es claro que se acredita el primer elemento, pues a la fecha de la solicitud de información, existía un procedimiento administrativo seguido en forma de juicio, en trámite.</w:t>
      </w:r>
    </w:p>
    <w:p w:rsidR="001A4767" w:rsidRPr="00897F1E" w:rsidRDefault="00384B6A">
      <w:pPr>
        <w:numPr>
          <w:ilvl w:val="0"/>
          <w:numId w:val="6"/>
        </w:numPr>
        <w:pBdr>
          <w:top w:val="nil"/>
          <w:left w:val="nil"/>
          <w:bottom w:val="nil"/>
          <w:right w:val="nil"/>
          <w:between w:val="nil"/>
        </w:pBdr>
        <w:spacing w:line="360" w:lineRule="auto"/>
        <w:rPr>
          <w:rFonts w:ascii="Palatino Linotype" w:eastAsia="Palatino Linotype" w:hAnsi="Palatino Linotype" w:cs="Palatino Linotype"/>
          <w:b/>
          <w:color w:val="0D0D0D"/>
          <w:sz w:val="22"/>
          <w:szCs w:val="22"/>
        </w:rPr>
      </w:pPr>
      <w:r w:rsidRPr="00897F1E">
        <w:rPr>
          <w:rFonts w:ascii="Palatino Linotype" w:eastAsia="Palatino Linotype" w:hAnsi="Palatino Linotype" w:cs="Palatino Linotype"/>
          <w:b/>
          <w:color w:val="0D0D0D"/>
          <w:sz w:val="22"/>
          <w:szCs w:val="22"/>
        </w:rPr>
        <w:t>Que la información solicitada se refiera a actuaciones, diligencias o constancias propias del procedimiento.</w:t>
      </w:r>
    </w:p>
    <w:p w:rsidR="001A4767" w:rsidRPr="00897F1E" w:rsidRDefault="00384B6A">
      <w:pPr>
        <w:spacing w:line="360" w:lineRule="auto"/>
        <w:jc w:val="both"/>
        <w:rPr>
          <w:rFonts w:ascii="Palatino Linotype" w:eastAsia="Palatino Linotype" w:hAnsi="Palatino Linotype" w:cs="Palatino Linotype"/>
          <w:color w:val="0D0D0D"/>
          <w:sz w:val="24"/>
          <w:szCs w:val="24"/>
        </w:rPr>
      </w:pPr>
      <w:r w:rsidRPr="00897F1E">
        <w:rPr>
          <w:rFonts w:ascii="Palatino Linotype" w:eastAsia="Palatino Linotype" w:hAnsi="Palatino Linotype" w:cs="Palatino Linotype"/>
          <w:color w:val="0D0D0D"/>
          <w:sz w:val="24"/>
          <w:szCs w:val="24"/>
        </w:rPr>
        <w:t xml:space="preserve"> </w:t>
      </w:r>
    </w:p>
    <w:p w:rsidR="001A4767" w:rsidRPr="00897F1E" w:rsidRDefault="00384B6A">
      <w:pPr>
        <w:spacing w:line="360" w:lineRule="auto"/>
        <w:jc w:val="both"/>
        <w:rPr>
          <w:rFonts w:ascii="Palatino Linotype" w:eastAsia="Palatino Linotype" w:hAnsi="Palatino Linotype" w:cs="Palatino Linotype"/>
          <w:color w:val="0D0D0D"/>
          <w:sz w:val="24"/>
          <w:szCs w:val="24"/>
        </w:rPr>
      </w:pPr>
      <w:r w:rsidRPr="00897F1E">
        <w:rPr>
          <w:rFonts w:ascii="Palatino Linotype" w:eastAsia="Palatino Linotype" w:hAnsi="Palatino Linotype" w:cs="Palatino Linotype"/>
          <w:color w:val="0D0D0D"/>
          <w:sz w:val="24"/>
          <w:szCs w:val="24"/>
        </w:rPr>
        <w:t xml:space="preserve">Ahora bien, por lo que hace a que la información se refiera a actuaciones, diligencias o constancias propias del procedimiento, es de recordar que en el presente caso, la pretensión del ahora Recurrente es obtener el expediente conformado por la emisión de los sellos de clausura </w:t>
      </w:r>
      <w:r w:rsidRPr="00897F1E">
        <w:rPr>
          <w:rFonts w:ascii="Palatino Linotype" w:eastAsia="Palatino Linotype" w:hAnsi="Palatino Linotype" w:cs="Palatino Linotype"/>
          <w:sz w:val="22"/>
          <w:szCs w:val="22"/>
        </w:rPr>
        <w:t>10045/2021 10046/2021, 10047/2021, 10048/2021, 10049/2021 y 10050/2021, identificado con número PROPAEM-021-07/VM/0466</w:t>
      </w:r>
      <w:r w:rsidRPr="00897F1E">
        <w:rPr>
          <w:rFonts w:ascii="Palatino Linotype" w:eastAsia="Palatino Linotype" w:hAnsi="Palatino Linotype" w:cs="Palatino Linotype"/>
          <w:color w:val="0D0D0D"/>
          <w:sz w:val="24"/>
          <w:szCs w:val="24"/>
        </w:rPr>
        <w:t>; por lo que, en primera instancia se podría decir que los legajos solicitados, acreditan el presente requisito, pues corresponden a todos los documentos generados y entregados dentro del procedimiento administrativo en materia ambiental.</w:t>
      </w:r>
    </w:p>
    <w:p w:rsidR="001A4767" w:rsidRPr="00897F1E" w:rsidRDefault="001A4767">
      <w:pPr>
        <w:spacing w:line="360" w:lineRule="auto"/>
        <w:jc w:val="both"/>
        <w:rPr>
          <w:rFonts w:ascii="Palatino Linotype" w:eastAsia="Palatino Linotype" w:hAnsi="Palatino Linotype" w:cs="Palatino Linotype"/>
          <w:color w:val="0D0D0D"/>
          <w:sz w:val="24"/>
          <w:szCs w:val="24"/>
        </w:rPr>
      </w:pPr>
    </w:p>
    <w:p w:rsidR="001A4767" w:rsidRPr="00897F1E" w:rsidRDefault="00384B6A">
      <w:pPr>
        <w:spacing w:line="360" w:lineRule="auto"/>
        <w:jc w:val="both"/>
        <w:rPr>
          <w:rFonts w:ascii="Palatino Linotype" w:eastAsia="Palatino Linotype" w:hAnsi="Palatino Linotype" w:cs="Palatino Linotype"/>
          <w:color w:val="0D0D0D"/>
          <w:sz w:val="24"/>
          <w:szCs w:val="24"/>
        </w:rPr>
      </w:pPr>
      <w:r w:rsidRPr="00897F1E">
        <w:rPr>
          <w:rFonts w:ascii="Palatino Linotype" w:eastAsia="Palatino Linotype" w:hAnsi="Palatino Linotype" w:cs="Palatino Linotype"/>
          <w:color w:val="0D0D0D"/>
          <w:sz w:val="24"/>
          <w:szCs w:val="24"/>
        </w:rPr>
        <w:lastRenderedPageBreak/>
        <w:t xml:space="preserve">Por otro lado, es de recordar que el Sujeto Obligado precisó que el expediente se encontraba en </w:t>
      </w:r>
      <w:r w:rsidRPr="00897F1E">
        <w:rPr>
          <w:rFonts w:ascii="Palatino Linotype" w:eastAsia="Palatino Linotype" w:hAnsi="Palatino Linotype" w:cs="Palatino Linotype"/>
          <w:b/>
          <w:color w:val="0D0D0D"/>
          <w:sz w:val="24"/>
          <w:szCs w:val="24"/>
        </w:rPr>
        <w:t>etapa de emisión y notificación de la resolución</w:t>
      </w:r>
      <w:r w:rsidRPr="00897F1E">
        <w:rPr>
          <w:rFonts w:ascii="Palatino Linotype" w:eastAsia="Palatino Linotype" w:hAnsi="Palatino Linotype" w:cs="Palatino Linotype"/>
          <w:color w:val="0D0D0D"/>
          <w:sz w:val="24"/>
          <w:szCs w:val="24"/>
        </w:rPr>
        <w:t>, sobre ello, es necesario traer a colación los artículos 132 y 136 del Código de Procedimientos Administrativos del Estado de México y el Manual de Procedimientos de la Subdirección de Verificación y Vigilancia, que establecen lo siguiente:</w:t>
      </w:r>
    </w:p>
    <w:p w:rsidR="001A4767" w:rsidRPr="00897F1E" w:rsidRDefault="001A4767">
      <w:pPr>
        <w:spacing w:line="360" w:lineRule="auto"/>
        <w:jc w:val="both"/>
        <w:rPr>
          <w:rFonts w:ascii="Palatino Linotype" w:eastAsia="Palatino Linotype" w:hAnsi="Palatino Linotype" w:cs="Palatino Linotype"/>
          <w:color w:val="0D0D0D"/>
          <w:sz w:val="24"/>
          <w:szCs w:val="24"/>
        </w:rPr>
      </w:pPr>
    </w:p>
    <w:p w:rsidR="001A4767" w:rsidRPr="00897F1E" w:rsidRDefault="00384B6A">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color w:val="0D0D0D"/>
          <w:sz w:val="22"/>
          <w:szCs w:val="22"/>
        </w:rPr>
      </w:pPr>
      <w:r w:rsidRPr="00897F1E">
        <w:rPr>
          <w:rFonts w:ascii="Palatino Linotype" w:eastAsia="Palatino Linotype" w:hAnsi="Palatino Linotype" w:cs="Palatino Linotype"/>
          <w:color w:val="0D0D0D"/>
          <w:sz w:val="22"/>
          <w:szCs w:val="22"/>
        </w:rPr>
        <w:t xml:space="preserve">El procedimiento terminará por: desistimiento, convenio, </w:t>
      </w:r>
      <w:r w:rsidRPr="00897F1E">
        <w:rPr>
          <w:rFonts w:ascii="Palatino Linotype" w:eastAsia="Palatino Linotype" w:hAnsi="Palatino Linotype" w:cs="Palatino Linotype"/>
          <w:b/>
          <w:color w:val="0D0D0D"/>
          <w:sz w:val="22"/>
          <w:szCs w:val="22"/>
        </w:rPr>
        <w:t>resolución expresa del mismo</w:t>
      </w:r>
      <w:r w:rsidRPr="00897F1E">
        <w:rPr>
          <w:rFonts w:ascii="Palatino Linotype" w:eastAsia="Palatino Linotype" w:hAnsi="Palatino Linotype" w:cs="Palatino Linotype"/>
          <w:color w:val="0D0D0D"/>
          <w:sz w:val="22"/>
          <w:szCs w:val="22"/>
        </w:rPr>
        <w:t xml:space="preserve">, resolución afirmativa ficta y resolución negativa ficta. </w:t>
      </w:r>
    </w:p>
    <w:p w:rsidR="001A4767" w:rsidRPr="00897F1E" w:rsidRDefault="00384B6A">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color w:val="0D0D0D"/>
          <w:sz w:val="22"/>
          <w:szCs w:val="22"/>
        </w:rPr>
      </w:pPr>
      <w:r w:rsidRPr="00897F1E">
        <w:rPr>
          <w:rFonts w:ascii="Palatino Linotype" w:eastAsia="Palatino Linotype" w:hAnsi="Palatino Linotype" w:cs="Palatino Linotype"/>
          <w:color w:val="0D0D0D"/>
          <w:sz w:val="22"/>
          <w:szCs w:val="22"/>
        </w:rPr>
        <w:t xml:space="preserve">La resolución expresa que ponga fin al procedimiento indicará: nombre de las personas a las que se dirija, la decisión de todas las cuestiones planteadas, los fundamentos y motivos que la sustenten, los puntos decisorios y propósitos de que se trate y, el nombre, cargo y firma de la autoridad que la emite.  </w:t>
      </w:r>
    </w:p>
    <w:p w:rsidR="00384B6A" w:rsidRPr="00897F1E" w:rsidRDefault="00384B6A" w:rsidP="00384B6A">
      <w:pPr>
        <w:pBdr>
          <w:top w:val="nil"/>
          <w:left w:val="nil"/>
          <w:bottom w:val="nil"/>
          <w:right w:val="nil"/>
          <w:between w:val="nil"/>
        </w:pBdr>
        <w:spacing w:line="360" w:lineRule="auto"/>
        <w:ind w:left="720"/>
        <w:jc w:val="both"/>
        <w:rPr>
          <w:rFonts w:ascii="Palatino Linotype" w:eastAsia="Palatino Linotype" w:hAnsi="Palatino Linotype" w:cs="Palatino Linotype"/>
          <w:color w:val="0D0D0D"/>
          <w:sz w:val="22"/>
          <w:szCs w:val="22"/>
        </w:rPr>
      </w:pPr>
    </w:p>
    <w:p w:rsidR="001A4767" w:rsidRPr="00897F1E" w:rsidRDefault="00384B6A">
      <w:pPr>
        <w:spacing w:line="360" w:lineRule="auto"/>
        <w:jc w:val="both"/>
        <w:rPr>
          <w:rFonts w:ascii="Palatino Linotype" w:eastAsia="Palatino Linotype" w:hAnsi="Palatino Linotype" w:cs="Palatino Linotype"/>
          <w:color w:val="0D0D0D"/>
          <w:sz w:val="24"/>
          <w:szCs w:val="24"/>
        </w:rPr>
      </w:pPr>
      <w:r w:rsidRPr="00897F1E">
        <w:rPr>
          <w:rFonts w:ascii="Palatino Linotype" w:eastAsia="Palatino Linotype" w:hAnsi="Palatino Linotype" w:cs="Palatino Linotype"/>
          <w:color w:val="0D0D0D"/>
          <w:sz w:val="24"/>
          <w:szCs w:val="24"/>
        </w:rPr>
        <w:t xml:space="preserve">Conforme a lo anterior, se colige que la resolución, es el acto de una autoridad administrativa que define o da certeza a una situación legal, es decir, es un acto administrativo que pone fin a un procedimiento y en el que se decide todas y cada una de las cuestiones planteadas por los interesados o previstas por las normas; por lo que, se considera </w:t>
      </w:r>
      <w:proofErr w:type="spellStart"/>
      <w:r w:rsidRPr="00897F1E">
        <w:rPr>
          <w:rFonts w:ascii="Palatino Linotype" w:eastAsia="Palatino Linotype" w:hAnsi="Palatino Linotype" w:cs="Palatino Linotype"/>
          <w:color w:val="0D0D0D"/>
          <w:sz w:val="24"/>
          <w:szCs w:val="24"/>
        </w:rPr>
        <w:t>considera</w:t>
      </w:r>
      <w:proofErr w:type="spellEnd"/>
      <w:r w:rsidRPr="00897F1E">
        <w:rPr>
          <w:rFonts w:ascii="Palatino Linotype" w:eastAsia="Palatino Linotype" w:hAnsi="Palatino Linotype" w:cs="Palatino Linotype"/>
          <w:color w:val="0D0D0D"/>
          <w:sz w:val="24"/>
          <w:szCs w:val="24"/>
        </w:rPr>
        <w:t xml:space="preserve"> que se actualiza el segundo elemento para actualizar la causal de clasificación.</w:t>
      </w:r>
    </w:p>
    <w:p w:rsidR="001A4767" w:rsidRPr="00897F1E" w:rsidRDefault="001A4767">
      <w:pPr>
        <w:spacing w:line="360" w:lineRule="auto"/>
        <w:jc w:val="both"/>
        <w:rPr>
          <w:rFonts w:ascii="Palatino Linotype" w:eastAsia="Palatino Linotype" w:hAnsi="Palatino Linotype" w:cs="Palatino Linotype"/>
          <w:color w:val="0D0D0D"/>
          <w:sz w:val="24"/>
          <w:szCs w:val="24"/>
        </w:rPr>
      </w:pPr>
    </w:p>
    <w:p w:rsidR="001A4767" w:rsidRPr="00897F1E" w:rsidRDefault="00384B6A">
      <w:pPr>
        <w:spacing w:line="360" w:lineRule="auto"/>
        <w:jc w:val="both"/>
        <w:rPr>
          <w:rFonts w:ascii="Palatino Linotype" w:eastAsia="Palatino Linotype" w:hAnsi="Palatino Linotype" w:cs="Palatino Linotype"/>
          <w:b/>
          <w:color w:val="0D0D0D"/>
          <w:sz w:val="24"/>
          <w:szCs w:val="24"/>
          <w:u w:val="single"/>
        </w:rPr>
      </w:pPr>
      <w:r w:rsidRPr="00897F1E">
        <w:rPr>
          <w:rFonts w:ascii="Palatino Linotype" w:eastAsia="Palatino Linotype" w:hAnsi="Palatino Linotype" w:cs="Palatino Linotype"/>
          <w:color w:val="0D0D0D"/>
          <w:sz w:val="24"/>
          <w:szCs w:val="24"/>
        </w:rPr>
        <w:t xml:space="preserve">Por tales circunstancias, se considera que </w:t>
      </w:r>
      <w:r w:rsidRPr="00897F1E">
        <w:rPr>
          <w:rFonts w:ascii="Palatino Linotype" w:eastAsia="Palatino Linotype" w:hAnsi="Palatino Linotype" w:cs="Palatino Linotype"/>
          <w:b/>
          <w:color w:val="0D0D0D"/>
          <w:sz w:val="24"/>
          <w:szCs w:val="24"/>
          <w:u w:val="single"/>
        </w:rPr>
        <w:t xml:space="preserve">el expediente PROPAEM-2021-07/VM/0466, actualiza la causal de reserva establecida en el artículo 140, fracción VIII, Ley de Transparencia y Acceso a la Información Pública del Estado de México y </w:t>
      </w:r>
      <w:r w:rsidRPr="00897F1E">
        <w:rPr>
          <w:rFonts w:ascii="Palatino Linotype" w:eastAsia="Palatino Linotype" w:hAnsi="Palatino Linotype" w:cs="Palatino Linotype"/>
          <w:b/>
          <w:color w:val="0D0D0D"/>
          <w:sz w:val="24"/>
          <w:szCs w:val="24"/>
          <w:u w:val="single"/>
        </w:rPr>
        <w:lastRenderedPageBreak/>
        <w:t>Municipios, pues a la fecha de la solicitud de información y del desahogo del requerimiento de información adicional se encontraban en trámite.</w:t>
      </w:r>
    </w:p>
    <w:p w:rsidR="001A4767" w:rsidRPr="00897F1E" w:rsidRDefault="001A4767">
      <w:pPr>
        <w:spacing w:line="360" w:lineRule="auto"/>
        <w:jc w:val="both"/>
        <w:rPr>
          <w:rFonts w:ascii="Palatino Linotype" w:eastAsia="Palatino Linotype" w:hAnsi="Palatino Linotype" w:cs="Palatino Linotype"/>
          <w:color w:val="0D0D0D"/>
          <w:sz w:val="24"/>
          <w:szCs w:val="24"/>
        </w:rPr>
      </w:pPr>
    </w:p>
    <w:p w:rsidR="001A4767" w:rsidRPr="00897F1E" w:rsidRDefault="00384B6A">
      <w:pPr>
        <w:spacing w:line="360" w:lineRule="auto"/>
        <w:jc w:val="both"/>
        <w:rPr>
          <w:rFonts w:ascii="Palatino Linotype" w:eastAsia="Palatino Linotype" w:hAnsi="Palatino Linotype" w:cs="Palatino Linotype"/>
          <w:b/>
          <w:color w:val="0D0D0D"/>
          <w:sz w:val="24"/>
          <w:szCs w:val="24"/>
        </w:rPr>
      </w:pPr>
      <w:r w:rsidRPr="00897F1E">
        <w:rPr>
          <w:rFonts w:ascii="Palatino Linotype" w:eastAsia="Palatino Linotype" w:hAnsi="Palatino Linotype" w:cs="Palatino Linotype"/>
          <w:color w:val="0D0D0D"/>
          <w:sz w:val="24"/>
          <w:szCs w:val="24"/>
        </w:rPr>
        <w:t xml:space="preserve">Ahora bien, en atención a los agravios manifestados por la parte Recurrente en su medio de impugnación relacionado con </w:t>
      </w:r>
      <w:r w:rsidRPr="00897F1E">
        <w:rPr>
          <w:rFonts w:ascii="Palatino Linotype" w:eastAsia="Palatino Linotype" w:hAnsi="Palatino Linotype" w:cs="Palatino Linotype"/>
          <w:b/>
          <w:color w:val="0D0D0D"/>
          <w:sz w:val="24"/>
          <w:szCs w:val="24"/>
        </w:rPr>
        <w:t>la información reservada se trata de actos de corrupción</w:t>
      </w:r>
      <w:r w:rsidRPr="00897F1E">
        <w:rPr>
          <w:rFonts w:ascii="Palatino Linotype" w:eastAsia="Palatino Linotype" w:hAnsi="Palatino Linotype" w:cs="Palatino Linotype"/>
          <w:color w:val="0D0D0D"/>
          <w:sz w:val="24"/>
          <w:szCs w:val="24"/>
        </w:rPr>
        <w:t xml:space="preserve">, este Organismo Garante a través del requerimiento de información adicional solicitó al Sujeto Obligado informara si </w:t>
      </w:r>
      <w:r w:rsidRPr="00897F1E">
        <w:rPr>
          <w:rFonts w:ascii="Palatino Linotype" w:eastAsia="Palatino Linotype" w:hAnsi="Palatino Linotype" w:cs="Palatino Linotype"/>
          <w:b/>
          <w:color w:val="0D0D0D"/>
          <w:sz w:val="24"/>
          <w:szCs w:val="24"/>
        </w:rPr>
        <w:t xml:space="preserve">el expediente reservado se relaciona con actos de corrupción y/o alguna excepción prevista en el artículo 142 de la Ley de Transparencia y Acceso a la Información Pública del Estado de México y Municipios. </w:t>
      </w:r>
    </w:p>
    <w:p w:rsidR="001A4767" w:rsidRPr="00897F1E" w:rsidRDefault="001A4767">
      <w:pPr>
        <w:spacing w:line="360" w:lineRule="auto"/>
        <w:jc w:val="both"/>
        <w:rPr>
          <w:rFonts w:ascii="Palatino Linotype" w:eastAsia="Palatino Linotype" w:hAnsi="Palatino Linotype" w:cs="Palatino Linotype"/>
          <w:b/>
          <w:color w:val="0D0D0D"/>
          <w:sz w:val="24"/>
          <w:szCs w:val="24"/>
        </w:rPr>
      </w:pPr>
    </w:p>
    <w:p w:rsidR="001A4767" w:rsidRPr="00897F1E" w:rsidRDefault="00384B6A">
      <w:pPr>
        <w:spacing w:line="360" w:lineRule="auto"/>
        <w:jc w:val="both"/>
        <w:rPr>
          <w:rFonts w:ascii="Palatino Linotype" w:eastAsia="Palatino Linotype" w:hAnsi="Palatino Linotype" w:cs="Palatino Linotype"/>
          <w:color w:val="0D0D0D"/>
          <w:sz w:val="24"/>
          <w:szCs w:val="24"/>
        </w:rPr>
      </w:pPr>
      <w:r w:rsidRPr="00897F1E">
        <w:rPr>
          <w:rFonts w:ascii="Palatino Linotype" w:eastAsia="Palatino Linotype" w:hAnsi="Palatino Linotype" w:cs="Palatino Linotype"/>
          <w:color w:val="0D0D0D"/>
          <w:sz w:val="24"/>
          <w:szCs w:val="24"/>
        </w:rPr>
        <w:t xml:space="preserve">Por lo que, en el desahogó del requerimiento de información, el Sujeto Obligado informó lo siguiente: </w:t>
      </w:r>
    </w:p>
    <w:p w:rsidR="001A4767" w:rsidRPr="00897F1E" w:rsidRDefault="001A4767">
      <w:pPr>
        <w:spacing w:line="360" w:lineRule="auto"/>
        <w:jc w:val="both"/>
        <w:rPr>
          <w:rFonts w:ascii="Palatino Linotype" w:eastAsia="Palatino Linotype" w:hAnsi="Palatino Linotype" w:cs="Palatino Linotype"/>
          <w:color w:val="0D0D0D"/>
          <w:sz w:val="24"/>
          <w:szCs w:val="24"/>
        </w:rPr>
      </w:pPr>
    </w:p>
    <w:p w:rsidR="001A4767" w:rsidRPr="00897F1E" w:rsidRDefault="00384B6A">
      <w:pPr>
        <w:spacing w:line="360" w:lineRule="auto"/>
        <w:jc w:val="center"/>
        <w:rPr>
          <w:rFonts w:ascii="Palatino Linotype" w:eastAsia="Palatino Linotype" w:hAnsi="Palatino Linotype" w:cs="Palatino Linotype"/>
          <w:color w:val="0D0D0D"/>
          <w:sz w:val="24"/>
          <w:szCs w:val="24"/>
        </w:rPr>
      </w:pPr>
      <w:r w:rsidRPr="00897F1E">
        <w:rPr>
          <w:rFonts w:ascii="Palatino Linotype" w:eastAsia="Palatino Linotype" w:hAnsi="Palatino Linotype" w:cs="Palatino Linotype"/>
          <w:color w:val="0D0D0D"/>
          <w:sz w:val="24"/>
          <w:szCs w:val="24"/>
        </w:rPr>
        <w:t>…</w:t>
      </w:r>
    </w:p>
    <w:p w:rsidR="001A4767" w:rsidRPr="00897F1E" w:rsidRDefault="00384B6A">
      <w:pPr>
        <w:spacing w:line="360" w:lineRule="auto"/>
        <w:jc w:val="center"/>
        <w:rPr>
          <w:rFonts w:ascii="Palatino Linotype" w:eastAsia="Palatino Linotype" w:hAnsi="Palatino Linotype" w:cs="Palatino Linotype"/>
          <w:color w:val="0D0D0D"/>
          <w:sz w:val="24"/>
          <w:szCs w:val="24"/>
        </w:rPr>
      </w:pPr>
      <w:r w:rsidRPr="00897F1E">
        <w:rPr>
          <w:rFonts w:ascii="Palatino Linotype" w:eastAsia="Palatino Linotype" w:hAnsi="Palatino Linotype" w:cs="Palatino Linotype"/>
          <w:noProof/>
          <w:color w:val="0D0D0D"/>
          <w:sz w:val="24"/>
          <w:szCs w:val="24"/>
          <w:lang w:eastAsia="es-MX"/>
        </w:rPr>
        <w:drawing>
          <wp:inline distT="0" distB="0" distL="0" distR="0">
            <wp:extent cx="5382376" cy="2381582"/>
            <wp:effectExtent l="0" t="0" r="0" b="0"/>
            <wp:docPr id="6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3"/>
                    <a:srcRect/>
                    <a:stretch>
                      <a:fillRect/>
                    </a:stretch>
                  </pic:blipFill>
                  <pic:spPr>
                    <a:xfrm>
                      <a:off x="0" y="0"/>
                      <a:ext cx="5382376" cy="2381582"/>
                    </a:xfrm>
                    <a:prstGeom prst="rect">
                      <a:avLst/>
                    </a:prstGeom>
                    <a:ln/>
                  </pic:spPr>
                </pic:pic>
              </a:graphicData>
            </a:graphic>
          </wp:inline>
        </w:drawing>
      </w:r>
      <w:r w:rsidRPr="00897F1E">
        <w:rPr>
          <w:noProof/>
          <w:lang w:eastAsia="es-MX"/>
        </w:rPr>
        <mc:AlternateContent>
          <mc:Choice Requires="wps">
            <w:drawing>
              <wp:anchor distT="0" distB="0" distL="114300" distR="114300" simplePos="0" relativeHeight="251660288" behindDoc="0" locked="0" layoutInCell="1" hidden="0" allowOverlap="1">
                <wp:simplePos x="0" y="0"/>
                <wp:positionH relativeFrom="column">
                  <wp:posOffset>165100</wp:posOffset>
                </wp:positionH>
                <wp:positionV relativeFrom="paragraph">
                  <wp:posOffset>622300</wp:posOffset>
                </wp:positionV>
                <wp:extent cx="5334000" cy="523875"/>
                <wp:effectExtent l="0" t="0" r="0" b="0"/>
                <wp:wrapNone/>
                <wp:docPr id="52" name="Rectángulo 52"/>
                <wp:cNvGraphicFramePr/>
                <a:graphic xmlns:a="http://schemas.openxmlformats.org/drawingml/2006/main">
                  <a:graphicData uri="http://schemas.microsoft.com/office/word/2010/wordprocessingShape">
                    <wps:wsp>
                      <wps:cNvSpPr/>
                      <wps:spPr>
                        <a:xfrm>
                          <a:off x="2693288" y="3532350"/>
                          <a:ext cx="5305425" cy="495300"/>
                        </a:xfrm>
                        <a:prstGeom prst="rect">
                          <a:avLst/>
                        </a:prstGeom>
                        <a:noFill/>
                        <a:ln w="28575" cap="flat" cmpd="sng">
                          <a:solidFill>
                            <a:schemeClr val="dk1"/>
                          </a:solidFill>
                          <a:prstDash val="solid"/>
                          <a:miter lim="800000"/>
                          <a:headEnd type="none" w="sm" len="sm"/>
                          <a:tailEnd type="none" w="sm" len="sm"/>
                        </a:ln>
                      </wps:spPr>
                      <wps:txbx>
                        <w:txbxContent>
                          <w:p w:rsidR="00E04B43" w:rsidRDefault="00E04B43">
                            <w:pPr>
                              <w:textDirection w:val="btLr"/>
                            </w:pPr>
                          </w:p>
                        </w:txbxContent>
                      </wps:txbx>
                      <wps:bodyPr spcFirstLastPara="1" wrap="square" lIns="91425" tIns="91425" rIns="91425" bIns="91425" anchor="ctr" anchorCtr="0">
                        <a:noAutofit/>
                      </wps:bodyPr>
                    </wps:wsp>
                  </a:graphicData>
                </a:graphic>
              </wp:anchor>
            </w:drawing>
          </mc:Choice>
          <mc:Fallback>
            <w:pict>
              <v:rect id="Rectángulo 52" o:spid="_x0000_s1028" style="position:absolute;left:0;text-align:left;margin-left:13pt;margin-top:49pt;width:420pt;height:41.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" filled="f" strokecolor="black [3200]" strokeweight="2.25pt">
                <v:stroke startarrowwidth="narrow" startarrowlength="short" endarrowwidth="narrow" endarrowlength="short"/>
                <v:textbox inset="2.53958mm,2.53958mm,2.53958mm,2.53958mm">
                  <w:txbxContent>
                    <w:p w:rsidR="00E04B43" w:rsidRDefault="00E04B43">
                      <w:pPr>
                        <w:textDirection w:val="btLr"/>
                      </w:pPr>
                    </w:p>
                  </w:txbxContent>
                </v:textbox>
              </v:rect>
            </w:pict>
          </mc:Fallback>
        </mc:AlternateContent>
      </w:r>
    </w:p>
    <w:p w:rsidR="001A4767" w:rsidRPr="00897F1E" w:rsidRDefault="001A4767">
      <w:pPr>
        <w:spacing w:line="360" w:lineRule="auto"/>
        <w:jc w:val="both"/>
        <w:rPr>
          <w:rFonts w:ascii="Palatino Linotype" w:eastAsia="Palatino Linotype" w:hAnsi="Palatino Linotype" w:cs="Palatino Linotype"/>
          <w:color w:val="0D0D0D"/>
          <w:sz w:val="24"/>
          <w:szCs w:val="24"/>
        </w:rPr>
      </w:pPr>
    </w:p>
    <w:p w:rsidR="001A4767" w:rsidRPr="00897F1E" w:rsidRDefault="00384B6A">
      <w:pPr>
        <w:spacing w:line="360" w:lineRule="auto"/>
        <w:jc w:val="both"/>
        <w:rPr>
          <w:rFonts w:ascii="Palatino Linotype" w:eastAsia="Palatino Linotype" w:hAnsi="Palatino Linotype" w:cs="Palatino Linotype"/>
          <w:b/>
          <w:color w:val="0D0D0D"/>
          <w:sz w:val="24"/>
          <w:szCs w:val="24"/>
          <w:u w:val="single"/>
        </w:rPr>
      </w:pPr>
      <w:r w:rsidRPr="00897F1E">
        <w:rPr>
          <w:rFonts w:ascii="Palatino Linotype" w:eastAsia="Palatino Linotype" w:hAnsi="Palatino Linotype" w:cs="Palatino Linotype"/>
          <w:b/>
          <w:color w:val="0D0D0D"/>
          <w:sz w:val="24"/>
          <w:szCs w:val="24"/>
          <w:u w:val="single"/>
        </w:rPr>
        <w:t xml:space="preserve">De lo anterior, se colige que la información solicitada, no se relaciona con actos de corrupción y/o alguna excepción prevista en el artículo 142 de la Ley de Transparencia y Acceso a la Información Pública del Estado de México y Municipios, situación por la que le reviste el carácter de reservada. </w:t>
      </w:r>
    </w:p>
    <w:p w:rsidR="001A4767" w:rsidRPr="00897F1E" w:rsidRDefault="001A4767">
      <w:pPr>
        <w:spacing w:line="360" w:lineRule="auto"/>
        <w:jc w:val="both"/>
        <w:rPr>
          <w:rFonts w:ascii="Palatino Linotype" w:eastAsia="Palatino Linotype" w:hAnsi="Palatino Linotype" w:cs="Palatino Linotype"/>
          <w:color w:val="0D0D0D"/>
          <w:sz w:val="24"/>
          <w:szCs w:val="24"/>
        </w:rPr>
      </w:pPr>
    </w:p>
    <w:p w:rsidR="001A4767" w:rsidRPr="00897F1E" w:rsidRDefault="00384B6A">
      <w:pPr>
        <w:tabs>
          <w:tab w:val="left" w:pos="4962"/>
        </w:tabs>
        <w:spacing w:line="360" w:lineRule="auto"/>
        <w:jc w:val="both"/>
        <w:rPr>
          <w:rFonts w:ascii="Palatino Linotype" w:eastAsia="Palatino Linotype" w:hAnsi="Palatino Linotype" w:cs="Palatino Linotype"/>
          <w:color w:val="0D0D0D"/>
          <w:sz w:val="24"/>
          <w:szCs w:val="24"/>
        </w:rPr>
      </w:pPr>
      <w:r w:rsidRPr="00897F1E">
        <w:rPr>
          <w:rFonts w:ascii="Palatino Linotype" w:eastAsia="Palatino Linotype" w:hAnsi="Palatino Linotype" w:cs="Palatino Linotype"/>
          <w:color w:val="0D0D0D"/>
          <w:sz w:val="24"/>
          <w:szCs w:val="24"/>
        </w:rPr>
        <w:t>Por otro lado, cabe traer a colación el artículo 141 de la Ley de Transparencia y Acceso a la Información Pública del Estado de México y Municipios, establece que las causales de reserva se deberán fundar y motivar, a través de la aplicación de la prueba de daño establecida en el artículo 129 de dicho ordenamiento, que se debe justificar de la siguiente manera:</w:t>
      </w:r>
    </w:p>
    <w:p w:rsidR="001A4767" w:rsidRPr="00897F1E" w:rsidRDefault="001A4767">
      <w:pPr>
        <w:tabs>
          <w:tab w:val="left" w:pos="4962"/>
        </w:tabs>
        <w:spacing w:line="360" w:lineRule="auto"/>
        <w:jc w:val="both"/>
        <w:rPr>
          <w:rFonts w:ascii="Palatino Linotype" w:eastAsia="Palatino Linotype" w:hAnsi="Palatino Linotype" w:cs="Palatino Linotype"/>
          <w:color w:val="0D0D0D"/>
          <w:sz w:val="22"/>
          <w:szCs w:val="22"/>
        </w:rPr>
      </w:pPr>
    </w:p>
    <w:p w:rsidR="001A4767" w:rsidRPr="00897F1E" w:rsidRDefault="00384B6A">
      <w:pPr>
        <w:numPr>
          <w:ilvl w:val="0"/>
          <w:numId w:val="7"/>
        </w:numPr>
        <w:tabs>
          <w:tab w:val="left" w:pos="4962"/>
        </w:tabs>
        <w:spacing w:line="360" w:lineRule="auto"/>
        <w:ind w:left="851" w:hanging="437"/>
        <w:jc w:val="both"/>
        <w:rPr>
          <w:rFonts w:ascii="Palatino Linotype" w:eastAsia="Palatino Linotype" w:hAnsi="Palatino Linotype" w:cs="Palatino Linotype"/>
          <w:color w:val="0D0D0D"/>
          <w:sz w:val="22"/>
          <w:szCs w:val="22"/>
        </w:rPr>
      </w:pPr>
      <w:r w:rsidRPr="00897F1E">
        <w:rPr>
          <w:rFonts w:ascii="Palatino Linotype" w:eastAsia="Palatino Linotype" w:hAnsi="Palatino Linotype" w:cs="Palatino Linotype"/>
          <w:color w:val="0D0D0D"/>
          <w:sz w:val="22"/>
          <w:szCs w:val="22"/>
        </w:rPr>
        <w:t>La divulgación de la información representa un riesgo real, demostrable e identificable de perjuicio significativo al interés público o a la seguridad nacional.</w:t>
      </w:r>
    </w:p>
    <w:p w:rsidR="001A4767" w:rsidRPr="00897F1E" w:rsidRDefault="00384B6A">
      <w:pPr>
        <w:numPr>
          <w:ilvl w:val="0"/>
          <w:numId w:val="7"/>
        </w:numPr>
        <w:tabs>
          <w:tab w:val="left" w:pos="4962"/>
        </w:tabs>
        <w:spacing w:line="360" w:lineRule="auto"/>
        <w:ind w:left="851" w:hanging="437"/>
        <w:jc w:val="both"/>
        <w:rPr>
          <w:rFonts w:ascii="Palatino Linotype" w:eastAsia="Palatino Linotype" w:hAnsi="Palatino Linotype" w:cs="Palatino Linotype"/>
          <w:color w:val="0D0D0D"/>
          <w:sz w:val="22"/>
          <w:szCs w:val="22"/>
        </w:rPr>
      </w:pPr>
      <w:r w:rsidRPr="00897F1E">
        <w:rPr>
          <w:rFonts w:ascii="Palatino Linotype" w:eastAsia="Palatino Linotype" w:hAnsi="Palatino Linotype" w:cs="Palatino Linotype"/>
          <w:color w:val="0D0D0D"/>
          <w:sz w:val="22"/>
          <w:szCs w:val="22"/>
        </w:rPr>
        <w:t>El riesgo de perjuicio supera el interés público general de que se difunda.</w:t>
      </w:r>
    </w:p>
    <w:p w:rsidR="001A4767" w:rsidRPr="00897F1E" w:rsidRDefault="00384B6A">
      <w:pPr>
        <w:numPr>
          <w:ilvl w:val="0"/>
          <w:numId w:val="7"/>
        </w:numPr>
        <w:tabs>
          <w:tab w:val="left" w:pos="4962"/>
        </w:tabs>
        <w:spacing w:line="360" w:lineRule="auto"/>
        <w:ind w:left="851" w:hanging="437"/>
        <w:jc w:val="both"/>
        <w:rPr>
          <w:rFonts w:ascii="Palatino Linotype" w:eastAsia="Palatino Linotype" w:hAnsi="Palatino Linotype" w:cs="Palatino Linotype"/>
          <w:color w:val="0D0D0D"/>
          <w:sz w:val="22"/>
          <w:szCs w:val="22"/>
        </w:rPr>
      </w:pPr>
      <w:r w:rsidRPr="00897F1E">
        <w:rPr>
          <w:rFonts w:ascii="Palatino Linotype" w:eastAsia="Palatino Linotype" w:hAnsi="Palatino Linotype" w:cs="Palatino Linotype"/>
          <w:color w:val="0D0D0D"/>
          <w:sz w:val="22"/>
          <w:szCs w:val="22"/>
        </w:rPr>
        <w:t>Que la limitación se adecua al principio de proporcionalidad y representa el medio menos restrictivo disponible para evitar el perjuicio.</w:t>
      </w:r>
    </w:p>
    <w:p w:rsidR="001A4767" w:rsidRPr="00897F1E" w:rsidRDefault="001A4767">
      <w:pPr>
        <w:spacing w:line="360" w:lineRule="auto"/>
        <w:jc w:val="both"/>
        <w:rPr>
          <w:rFonts w:ascii="Palatino Linotype" w:eastAsia="Palatino Linotype" w:hAnsi="Palatino Linotype" w:cs="Palatino Linotype"/>
          <w:color w:val="0D0D0D"/>
          <w:sz w:val="24"/>
          <w:szCs w:val="24"/>
        </w:rPr>
      </w:pPr>
    </w:p>
    <w:p w:rsidR="001A4767" w:rsidRPr="00897F1E" w:rsidRDefault="00384B6A">
      <w:pPr>
        <w:spacing w:line="360" w:lineRule="auto"/>
        <w:jc w:val="both"/>
        <w:rPr>
          <w:rFonts w:ascii="Palatino Linotype" w:eastAsia="Palatino Linotype" w:hAnsi="Palatino Linotype" w:cs="Palatino Linotype"/>
          <w:color w:val="0D0D0D"/>
          <w:sz w:val="24"/>
          <w:szCs w:val="24"/>
        </w:rPr>
      </w:pPr>
      <w:r w:rsidRPr="00897F1E">
        <w:rPr>
          <w:rFonts w:ascii="Palatino Linotype" w:eastAsia="Palatino Linotype" w:hAnsi="Palatino Linotype" w:cs="Palatino Linotype"/>
          <w:color w:val="0D0D0D"/>
          <w:sz w:val="24"/>
          <w:szCs w:val="24"/>
        </w:rPr>
        <w:t xml:space="preserve">En ese sentido, es de recordar que el Sujeto Obligado remitió el Acta de la Segunda Sesión Ordinaria 2022 del Comité de Transparencia, por lo que, a fin de establecer si esta cumple con las formalidades exigidas por el artículo 113 de la Ley General de Transparencia y Acceso a la Información Pública, numeral trigésimo fracción I de los Lineamientos Generales en Materia de Clasificación y Desclasificación de la Información, así como para la Elaboración de Versiones Públicas, así como los </w:t>
      </w:r>
      <w:r w:rsidRPr="00897F1E">
        <w:rPr>
          <w:rFonts w:ascii="Palatino Linotype" w:eastAsia="Palatino Linotype" w:hAnsi="Palatino Linotype" w:cs="Palatino Linotype"/>
          <w:color w:val="0D0D0D"/>
          <w:sz w:val="24"/>
          <w:szCs w:val="24"/>
        </w:rPr>
        <w:lastRenderedPageBreak/>
        <w:t xml:space="preserve">artículos 91, 128, 129, 140, fracción I y 141, de la Ley de Transparencia y Acceso a la Información Pública del Estado de México y Municipios, se analizará lo siguiente: </w:t>
      </w:r>
    </w:p>
    <w:p w:rsidR="001A4767" w:rsidRPr="00897F1E" w:rsidRDefault="001A4767">
      <w:pPr>
        <w:spacing w:line="360" w:lineRule="auto"/>
        <w:jc w:val="both"/>
        <w:rPr>
          <w:rFonts w:ascii="Palatino Linotype" w:eastAsia="Palatino Linotype" w:hAnsi="Palatino Linotype" w:cs="Palatino Linotype"/>
          <w:color w:val="0D0D0D"/>
          <w:sz w:val="24"/>
          <w:szCs w:val="24"/>
        </w:rPr>
      </w:pPr>
    </w:p>
    <w:tbl>
      <w:tblPr>
        <w:tblStyle w:val="a"/>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5812"/>
        <w:gridCol w:w="1603"/>
      </w:tblGrid>
      <w:tr w:rsidR="001A4767" w:rsidRPr="00897F1E">
        <w:tc>
          <w:tcPr>
            <w:tcW w:w="1413" w:type="dxa"/>
            <w:tcBorders>
              <w:top w:val="single" w:sz="4" w:space="0" w:color="000000"/>
              <w:left w:val="single" w:sz="4" w:space="0" w:color="000000"/>
              <w:bottom w:val="single" w:sz="4" w:space="0" w:color="000000"/>
              <w:right w:val="single" w:sz="4" w:space="0" w:color="000000"/>
            </w:tcBorders>
            <w:shd w:val="clear" w:color="auto" w:fill="7B7B7B"/>
          </w:tcPr>
          <w:p w:rsidR="001A4767" w:rsidRPr="00897F1E" w:rsidRDefault="00384B6A">
            <w:pPr>
              <w:spacing w:before="100" w:after="200" w:line="276" w:lineRule="auto"/>
              <w:jc w:val="center"/>
              <w:rPr>
                <w:rFonts w:ascii="Palatino Linotype" w:eastAsia="Palatino Linotype" w:hAnsi="Palatino Linotype" w:cs="Palatino Linotype"/>
                <w:b/>
                <w:color w:val="FFFFFF"/>
                <w:sz w:val="22"/>
                <w:szCs w:val="22"/>
              </w:rPr>
            </w:pPr>
            <w:r w:rsidRPr="00897F1E">
              <w:rPr>
                <w:rFonts w:ascii="Palatino Linotype" w:eastAsia="Palatino Linotype" w:hAnsi="Palatino Linotype" w:cs="Palatino Linotype"/>
                <w:b/>
                <w:color w:val="FFFFFF"/>
                <w:sz w:val="18"/>
                <w:szCs w:val="18"/>
              </w:rPr>
              <w:t>Elementos del acuerdo de clasificación</w:t>
            </w:r>
          </w:p>
        </w:tc>
        <w:tc>
          <w:tcPr>
            <w:tcW w:w="5812" w:type="dxa"/>
            <w:tcBorders>
              <w:top w:val="single" w:sz="4" w:space="0" w:color="000000"/>
              <w:left w:val="single" w:sz="4" w:space="0" w:color="000000"/>
              <w:bottom w:val="single" w:sz="4" w:space="0" w:color="000000"/>
              <w:right w:val="single" w:sz="4" w:space="0" w:color="000000"/>
            </w:tcBorders>
            <w:shd w:val="clear" w:color="auto" w:fill="7B7B7B"/>
          </w:tcPr>
          <w:p w:rsidR="001A4767" w:rsidRPr="00897F1E" w:rsidRDefault="00384B6A">
            <w:pPr>
              <w:spacing w:before="100" w:after="200" w:line="276" w:lineRule="auto"/>
              <w:jc w:val="center"/>
              <w:rPr>
                <w:rFonts w:ascii="Palatino Linotype" w:eastAsia="Palatino Linotype" w:hAnsi="Palatino Linotype" w:cs="Palatino Linotype"/>
                <w:b/>
                <w:color w:val="FFFFFF"/>
                <w:sz w:val="22"/>
                <w:szCs w:val="22"/>
              </w:rPr>
            </w:pPr>
            <w:r w:rsidRPr="00897F1E">
              <w:rPr>
                <w:rFonts w:ascii="Palatino Linotype" w:eastAsia="Palatino Linotype" w:hAnsi="Palatino Linotype" w:cs="Palatino Linotype"/>
                <w:b/>
                <w:color w:val="FFFFFF"/>
                <w:sz w:val="22"/>
                <w:szCs w:val="22"/>
              </w:rPr>
              <w:t>Contenido</w:t>
            </w:r>
          </w:p>
        </w:tc>
        <w:tc>
          <w:tcPr>
            <w:tcW w:w="1603" w:type="dxa"/>
            <w:tcBorders>
              <w:top w:val="single" w:sz="4" w:space="0" w:color="000000"/>
              <w:left w:val="single" w:sz="4" w:space="0" w:color="000000"/>
              <w:bottom w:val="single" w:sz="4" w:space="0" w:color="000000"/>
              <w:right w:val="single" w:sz="4" w:space="0" w:color="000000"/>
            </w:tcBorders>
            <w:shd w:val="clear" w:color="auto" w:fill="7B7B7B"/>
          </w:tcPr>
          <w:p w:rsidR="001A4767" w:rsidRPr="00897F1E" w:rsidRDefault="00384B6A">
            <w:pPr>
              <w:spacing w:before="100" w:after="200" w:line="276" w:lineRule="auto"/>
              <w:jc w:val="center"/>
              <w:rPr>
                <w:rFonts w:ascii="Palatino Linotype" w:eastAsia="Palatino Linotype" w:hAnsi="Palatino Linotype" w:cs="Palatino Linotype"/>
                <w:b/>
                <w:color w:val="FFFFFF"/>
                <w:sz w:val="22"/>
                <w:szCs w:val="22"/>
              </w:rPr>
            </w:pPr>
            <w:r w:rsidRPr="00897F1E">
              <w:rPr>
                <w:rFonts w:ascii="Palatino Linotype" w:eastAsia="Palatino Linotype" w:hAnsi="Palatino Linotype" w:cs="Palatino Linotype"/>
                <w:b/>
                <w:color w:val="FFFFFF"/>
                <w:sz w:val="22"/>
                <w:szCs w:val="22"/>
              </w:rPr>
              <w:t>Cumple</w:t>
            </w:r>
          </w:p>
        </w:tc>
      </w:tr>
      <w:tr w:rsidR="001A4767" w:rsidRPr="00897F1E">
        <w:tc>
          <w:tcPr>
            <w:tcW w:w="1413" w:type="dxa"/>
            <w:tcBorders>
              <w:top w:val="single" w:sz="4" w:space="0" w:color="000000"/>
              <w:left w:val="single" w:sz="4" w:space="0" w:color="000000"/>
              <w:bottom w:val="single" w:sz="4" w:space="0" w:color="000000"/>
              <w:right w:val="single" w:sz="4" w:space="0" w:color="000000"/>
            </w:tcBorders>
          </w:tcPr>
          <w:p w:rsidR="001A4767" w:rsidRPr="00897F1E" w:rsidRDefault="00384B6A">
            <w:pPr>
              <w:spacing w:before="100" w:after="200" w:line="276" w:lineRule="auto"/>
              <w:jc w:val="center"/>
              <w:rPr>
                <w:rFonts w:ascii="Palatino Linotype" w:eastAsia="Palatino Linotype" w:hAnsi="Palatino Linotype" w:cs="Palatino Linotype"/>
                <w:sz w:val="18"/>
                <w:szCs w:val="18"/>
              </w:rPr>
            </w:pPr>
            <w:r w:rsidRPr="00897F1E">
              <w:rPr>
                <w:rFonts w:ascii="Palatino Linotype" w:eastAsia="Palatino Linotype" w:hAnsi="Palatino Linotype" w:cs="Palatino Linotype"/>
                <w:b/>
                <w:sz w:val="18"/>
                <w:szCs w:val="18"/>
              </w:rPr>
              <w:t>Número de folio de la solicitud</w:t>
            </w:r>
          </w:p>
        </w:tc>
        <w:tc>
          <w:tcPr>
            <w:tcW w:w="5812" w:type="dxa"/>
            <w:tcBorders>
              <w:top w:val="single" w:sz="4" w:space="0" w:color="000000"/>
              <w:left w:val="single" w:sz="4" w:space="0" w:color="000000"/>
              <w:bottom w:val="single" w:sz="4" w:space="0" w:color="000000"/>
              <w:right w:val="single" w:sz="4" w:space="0" w:color="000000"/>
            </w:tcBorders>
          </w:tcPr>
          <w:p w:rsidR="001A4767" w:rsidRPr="00897F1E" w:rsidRDefault="00384B6A">
            <w:pPr>
              <w:spacing w:before="100" w:after="200" w:line="276" w:lineRule="auto"/>
              <w:rPr>
                <w:rFonts w:ascii="Calibri" w:eastAsia="Calibri" w:hAnsi="Calibri" w:cs="Calibri"/>
              </w:rPr>
            </w:pPr>
            <w:r w:rsidRPr="00897F1E">
              <w:rPr>
                <w:rFonts w:ascii="Calibri" w:eastAsia="Calibri" w:hAnsi="Calibri" w:cs="Calibri"/>
                <w:noProof/>
                <w:lang w:eastAsia="es-MX"/>
              </w:rPr>
              <w:drawing>
                <wp:inline distT="0" distB="0" distL="0" distR="0">
                  <wp:extent cx="3553460" cy="771525"/>
                  <wp:effectExtent l="0" t="0" r="0" b="0"/>
                  <wp:docPr id="6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a:srcRect/>
                          <a:stretch>
                            <a:fillRect/>
                          </a:stretch>
                        </pic:blipFill>
                        <pic:spPr>
                          <a:xfrm>
                            <a:off x="0" y="0"/>
                            <a:ext cx="3553460" cy="771525"/>
                          </a:xfrm>
                          <a:prstGeom prst="rect">
                            <a:avLst/>
                          </a:prstGeom>
                          <a:ln/>
                        </pic:spPr>
                      </pic:pic>
                    </a:graphicData>
                  </a:graphic>
                </wp:inline>
              </w:drawing>
            </w:r>
          </w:p>
        </w:tc>
        <w:tc>
          <w:tcPr>
            <w:tcW w:w="1603" w:type="dxa"/>
            <w:tcBorders>
              <w:top w:val="single" w:sz="4" w:space="0" w:color="000000"/>
              <w:left w:val="single" w:sz="4" w:space="0" w:color="000000"/>
              <w:bottom w:val="single" w:sz="4" w:space="0" w:color="000000"/>
              <w:right w:val="single" w:sz="4" w:space="0" w:color="000000"/>
            </w:tcBorders>
          </w:tcPr>
          <w:p w:rsidR="001A4767" w:rsidRPr="00897F1E" w:rsidRDefault="00384B6A">
            <w:pPr>
              <w:spacing w:before="100" w:after="200" w:line="276" w:lineRule="auto"/>
              <w:jc w:val="center"/>
              <w:rPr>
                <w:rFonts w:ascii="Palatino Linotype" w:eastAsia="Palatino Linotype" w:hAnsi="Palatino Linotype" w:cs="Palatino Linotype"/>
                <w:b/>
              </w:rPr>
            </w:pPr>
            <w:r w:rsidRPr="00897F1E">
              <w:rPr>
                <w:rFonts w:ascii="Palatino Linotype" w:eastAsia="Palatino Linotype" w:hAnsi="Palatino Linotype" w:cs="Palatino Linotype"/>
                <w:b/>
              </w:rPr>
              <w:t>Sí</w:t>
            </w:r>
          </w:p>
        </w:tc>
      </w:tr>
      <w:tr w:rsidR="001A4767" w:rsidRPr="00897F1E">
        <w:tc>
          <w:tcPr>
            <w:tcW w:w="1413" w:type="dxa"/>
            <w:tcBorders>
              <w:top w:val="single" w:sz="4" w:space="0" w:color="000000"/>
              <w:left w:val="single" w:sz="4" w:space="0" w:color="000000"/>
              <w:bottom w:val="single" w:sz="4" w:space="0" w:color="000000"/>
              <w:right w:val="single" w:sz="4" w:space="0" w:color="000000"/>
            </w:tcBorders>
          </w:tcPr>
          <w:p w:rsidR="001A4767" w:rsidRPr="00897F1E" w:rsidRDefault="00384B6A">
            <w:pPr>
              <w:spacing w:before="100" w:after="200" w:line="276" w:lineRule="auto"/>
              <w:jc w:val="center"/>
              <w:rPr>
                <w:rFonts w:ascii="Palatino Linotype" w:eastAsia="Palatino Linotype" w:hAnsi="Palatino Linotype" w:cs="Palatino Linotype"/>
                <w:sz w:val="18"/>
                <w:szCs w:val="18"/>
              </w:rPr>
            </w:pPr>
            <w:r w:rsidRPr="00897F1E">
              <w:rPr>
                <w:rFonts w:ascii="Palatino Linotype" w:eastAsia="Palatino Linotype" w:hAnsi="Palatino Linotype" w:cs="Palatino Linotype"/>
                <w:b/>
                <w:sz w:val="18"/>
                <w:szCs w:val="18"/>
              </w:rPr>
              <w:t>Referencia de la información solicitada</w:t>
            </w:r>
          </w:p>
        </w:tc>
        <w:tc>
          <w:tcPr>
            <w:tcW w:w="5812" w:type="dxa"/>
            <w:tcBorders>
              <w:top w:val="single" w:sz="4" w:space="0" w:color="000000"/>
              <w:left w:val="single" w:sz="4" w:space="0" w:color="000000"/>
              <w:bottom w:val="single" w:sz="4" w:space="0" w:color="000000"/>
              <w:right w:val="single" w:sz="4" w:space="0" w:color="000000"/>
            </w:tcBorders>
          </w:tcPr>
          <w:p w:rsidR="001A4767" w:rsidRPr="00897F1E" w:rsidRDefault="00384B6A">
            <w:pPr>
              <w:spacing w:before="100" w:after="200" w:line="276" w:lineRule="auto"/>
              <w:jc w:val="center"/>
              <w:rPr>
                <w:rFonts w:ascii="Palatino Linotype" w:eastAsia="Palatino Linotype" w:hAnsi="Palatino Linotype" w:cs="Palatino Linotype"/>
              </w:rPr>
            </w:pPr>
            <w:r w:rsidRPr="00897F1E">
              <w:rPr>
                <w:rFonts w:ascii="Palatino Linotype" w:eastAsia="Palatino Linotype" w:hAnsi="Palatino Linotype" w:cs="Palatino Linotype"/>
                <w:noProof/>
                <w:lang w:eastAsia="es-MX"/>
              </w:rPr>
              <w:drawing>
                <wp:inline distT="0" distB="0" distL="0" distR="0">
                  <wp:extent cx="3553460" cy="878840"/>
                  <wp:effectExtent l="0" t="0" r="0" b="0"/>
                  <wp:docPr id="67"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5"/>
                          <a:srcRect/>
                          <a:stretch>
                            <a:fillRect/>
                          </a:stretch>
                        </pic:blipFill>
                        <pic:spPr>
                          <a:xfrm>
                            <a:off x="0" y="0"/>
                            <a:ext cx="3553460" cy="878840"/>
                          </a:xfrm>
                          <a:prstGeom prst="rect">
                            <a:avLst/>
                          </a:prstGeom>
                          <a:ln/>
                        </pic:spPr>
                      </pic:pic>
                    </a:graphicData>
                  </a:graphic>
                </wp:inline>
              </w:drawing>
            </w:r>
          </w:p>
        </w:tc>
        <w:tc>
          <w:tcPr>
            <w:tcW w:w="1603" w:type="dxa"/>
            <w:tcBorders>
              <w:top w:val="single" w:sz="4" w:space="0" w:color="000000"/>
              <w:left w:val="single" w:sz="4" w:space="0" w:color="000000"/>
              <w:bottom w:val="single" w:sz="4" w:space="0" w:color="000000"/>
              <w:right w:val="single" w:sz="4" w:space="0" w:color="000000"/>
            </w:tcBorders>
          </w:tcPr>
          <w:p w:rsidR="001A4767" w:rsidRPr="00897F1E" w:rsidRDefault="00384B6A">
            <w:pPr>
              <w:spacing w:before="100" w:after="200" w:line="276" w:lineRule="auto"/>
              <w:jc w:val="center"/>
              <w:rPr>
                <w:rFonts w:ascii="Palatino Linotype" w:eastAsia="Palatino Linotype" w:hAnsi="Palatino Linotype" w:cs="Palatino Linotype"/>
                <w:sz w:val="18"/>
                <w:szCs w:val="18"/>
              </w:rPr>
            </w:pPr>
            <w:r w:rsidRPr="00897F1E">
              <w:rPr>
                <w:rFonts w:ascii="Palatino Linotype" w:eastAsia="Palatino Linotype" w:hAnsi="Palatino Linotype" w:cs="Palatino Linotype"/>
                <w:b/>
              </w:rPr>
              <w:t>Sí</w:t>
            </w:r>
          </w:p>
        </w:tc>
      </w:tr>
      <w:tr w:rsidR="001A4767" w:rsidRPr="00897F1E">
        <w:tc>
          <w:tcPr>
            <w:tcW w:w="1413" w:type="dxa"/>
            <w:tcBorders>
              <w:top w:val="single" w:sz="4" w:space="0" w:color="000000"/>
              <w:left w:val="single" w:sz="4" w:space="0" w:color="000000"/>
              <w:bottom w:val="single" w:sz="4" w:space="0" w:color="000000"/>
              <w:right w:val="single" w:sz="4" w:space="0" w:color="000000"/>
            </w:tcBorders>
          </w:tcPr>
          <w:p w:rsidR="001A4767" w:rsidRPr="00897F1E" w:rsidRDefault="00384B6A">
            <w:pPr>
              <w:spacing w:before="100" w:after="200" w:line="276" w:lineRule="auto"/>
              <w:jc w:val="center"/>
              <w:rPr>
                <w:rFonts w:ascii="Palatino Linotype" w:eastAsia="Palatino Linotype" w:hAnsi="Palatino Linotype" w:cs="Palatino Linotype"/>
                <w:sz w:val="18"/>
                <w:szCs w:val="18"/>
              </w:rPr>
            </w:pPr>
            <w:r w:rsidRPr="00897F1E">
              <w:rPr>
                <w:rFonts w:ascii="Palatino Linotype" w:eastAsia="Palatino Linotype" w:hAnsi="Palatino Linotype" w:cs="Palatino Linotype"/>
                <w:b/>
                <w:sz w:val="18"/>
                <w:szCs w:val="18"/>
              </w:rPr>
              <w:t xml:space="preserve">Causal aplicable del artículo 113 de la Ley General, vinculándola con el Lineamiento específico del presente ordenamiento y, cuando corresponda, el supuesto normativo que expresamente le otorga el carácter de </w:t>
            </w:r>
            <w:r w:rsidRPr="00897F1E">
              <w:rPr>
                <w:rFonts w:ascii="Palatino Linotype" w:eastAsia="Palatino Linotype" w:hAnsi="Palatino Linotype" w:cs="Palatino Linotype"/>
                <w:b/>
                <w:sz w:val="18"/>
                <w:szCs w:val="18"/>
              </w:rPr>
              <w:lastRenderedPageBreak/>
              <w:t>información reservada</w:t>
            </w:r>
          </w:p>
        </w:tc>
        <w:tc>
          <w:tcPr>
            <w:tcW w:w="5812" w:type="dxa"/>
            <w:tcBorders>
              <w:top w:val="single" w:sz="4" w:space="0" w:color="000000"/>
              <w:left w:val="single" w:sz="4" w:space="0" w:color="000000"/>
              <w:bottom w:val="single" w:sz="4" w:space="0" w:color="000000"/>
              <w:right w:val="single" w:sz="4" w:space="0" w:color="000000"/>
            </w:tcBorders>
          </w:tcPr>
          <w:p w:rsidR="001A4767" w:rsidRPr="00897F1E" w:rsidRDefault="001A4767">
            <w:pPr>
              <w:spacing w:before="100" w:after="200" w:line="276" w:lineRule="auto"/>
              <w:rPr>
                <w:rFonts w:ascii="Calibri" w:eastAsia="Calibri" w:hAnsi="Calibri" w:cs="Calibri"/>
              </w:rPr>
            </w:pPr>
          </w:p>
          <w:p w:rsidR="001A4767" w:rsidRPr="00897F1E" w:rsidRDefault="001A4767">
            <w:pPr>
              <w:spacing w:before="100" w:after="200" w:line="276" w:lineRule="auto"/>
              <w:rPr>
                <w:rFonts w:ascii="Calibri" w:eastAsia="Calibri" w:hAnsi="Calibri" w:cs="Calibri"/>
              </w:rPr>
            </w:pPr>
          </w:p>
          <w:p w:rsidR="001A4767" w:rsidRPr="00897F1E" w:rsidRDefault="001A4767">
            <w:pPr>
              <w:spacing w:before="100" w:after="200" w:line="276" w:lineRule="auto"/>
              <w:rPr>
                <w:rFonts w:ascii="Calibri" w:eastAsia="Calibri" w:hAnsi="Calibri" w:cs="Calibri"/>
              </w:rPr>
            </w:pPr>
          </w:p>
          <w:p w:rsidR="001A4767" w:rsidRPr="00897F1E" w:rsidRDefault="001A4767">
            <w:pPr>
              <w:spacing w:before="100" w:after="200" w:line="276" w:lineRule="auto"/>
              <w:rPr>
                <w:rFonts w:ascii="Calibri" w:eastAsia="Calibri" w:hAnsi="Calibri" w:cs="Calibri"/>
              </w:rPr>
            </w:pPr>
          </w:p>
          <w:p w:rsidR="001A4767" w:rsidRPr="00897F1E" w:rsidRDefault="001A4767">
            <w:pPr>
              <w:spacing w:before="100" w:after="200" w:line="276" w:lineRule="auto"/>
              <w:rPr>
                <w:rFonts w:ascii="Calibri" w:eastAsia="Calibri" w:hAnsi="Calibri" w:cs="Calibri"/>
              </w:rPr>
            </w:pPr>
          </w:p>
          <w:p w:rsidR="001A4767" w:rsidRPr="00897F1E" w:rsidRDefault="00384B6A">
            <w:pPr>
              <w:spacing w:before="100" w:after="200" w:line="276" w:lineRule="auto"/>
              <w:rPr>
                <w:rFonts w:ascii="Calibri" w:eastAsia="Calibri" w:hAnsi="Calibri" w:cs="Calibri"/>
              </w:rPr>
            </w:pPr>
            <w:r w:rsidRPr="00897F1E">
              <w:rPr>
                <w:rFonts w:ascii="Calibri" w:eastAsia="Calibri" w:hAnsi="Calibri" w:cs="Calibri"/>
                <w:noProof/>
                <w:lang w:eastAsia="es-MX"/>
              </w:rPr>
              <w:drawing>
                <wp:inline distT="0" distB="0" distL="0" distR="0">
                  <wp:extent cx="3553460" cy="1104900"/>
                  <wp:effectExtent l="0" t="0" r="0" b="0"/>
                  <wp:docPr id="7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3553460" cy="1104900"/>
                          </a:xfrm>
                          <a:prstGeom prst="rect">
                            <a:avLst/>
                          </a:prstGeom>
                          <a:ln/>
                        </pic:spPr>
                      </pic:pic>
                    </a:graphicData>
                  </a:graphic>
                </wp:inline>
              </w:drawing>
            </w:r>
          </w:p>
        </w:tc>
        <w:tc>
          <w:tcPr>
            <w:tcW w:w="1603" w:type="dxa"/>
            <w:tcBorders>
              <w:top w:val="single" w:sz="4" w:space="0" w:color="000000"/>
              <w:left w:val="single" w:sz="4" w:space="0" w:color="000000"/>
              <w:bottom w:val="single" w:sz="4" w:space="0" w:color="000000"/>
              <w:right w:val="single" w:sz="4" w:space="0" w:color="000000"/>
            </w:tcBorders>
          </w:tcPr>
          <w:p w:rsidR="001A4767" w:rsidRPr="00897F1E" w:rsidRDefault="00384B6A">
            <w:pPr>
              <w:spacing w:before="100" w:after="200" w:line="276" w:lineRule="auto"/>
              <w:jc w:val="center"/>
              <w:rPr>
                <w:rFonts w:ascii="Palatino Linotype" w:eastAsia="Palatino Linotype" w:hAnsi="Palatino Linotype" w:cs="Palatino Linotype"/>
              </w:rPr>
            </w:pPr>
            <w:r w:rsidRPr="00897F1E">
              <w:rPr>
                <w:rFonts w:ascii="Palatino Linotype" w:eastAsia="Palatino Linotype" w:hAnsi="Palatino Linotype" w:cs="Palatino Linotype"/>
                <w:b/>
              </w:rPr>
              <w:t>Si</w:t>
            </w:r>
          </w:p>
        </w:tc>
      </w:tr>
      <w:tr w:rsidR="001A4767" w:rsidRPr="00897F1E">
        <w:tc>
          <w:tcPr>
            <w:tcW w:w="1413" w:type="dxa"/>
            <w:tcBorders>
              <w:top w:val="single" w:sz="4" w:space="0" w:color="000000"/>
              <w:left w:val="single" w:sz="4" w:space="0" w:color="000000"/>
              <w:bottom w:val="single" w:sz="4" w:space="0" w:color="000000"/>
              <w:right w:val="single" w:sz="4" w:space="0" w:color="000000"/>
            </w:tcBorders>
          </w:tcPr>
          <w:p w:rsidR="001A4767" w:rsidRPr="00897F1E" w:rsidRDefault="00384B6A">
            <w:pPr>
              <w:spacing w:before="100" w:after="200" w:line="276" w:lineRule="auto"/>
              <w:jc w:val="center"/>
              <w:rPr>
                <w:rFonts w:ascii="Palatino Linotype" w:eastAsia="Palatino Linotype" w:hAnsi="Palatino Linotype" w:cs="Palatino Linotype"/>
                <w:sz w:val="18"/>
                <w:szCs w:val="18"/>
              </w:rPr>
            </w:pPr>
            <w:r w:rsidRPr="00897F1E">
              <w:rPr>
                <w:rFonts w:ascii="Palatino Linotype" w:eastAsia="Palatino Linotype" w:hAnsi="Palatino Linotype" w:cs="Palatino Linotype"/>
                <w:b/>
                <w:sz w:val="18"/>
                <w:szCs w:val="18"/>
              </w:rPr>
              <w:lastRenderedPageBreak/>
              <w:t>Fundamento y Motivación Legal</w:t>
            </w:r>
          </w:p>
        </w:tc>
        <w:tc>
          <w:tcPr>
            <w:tcW w:w="5812" w:type="dxa"/>
            <w:tcBorders>
              <w:top w:val="single" w:sz="4" w:space="0" w:color="000000"/>
              <w:left w:val="single" w:sz="4" w:space="0" w:color="000000"/>
              <w:bottom w:val="single" w:sz="4" w:space="0" w:color="000000"/>
              <w:right w:val="single" w:sz="4" w:space="0" w:color="000000"/>
            </w:tcBorders>
          </w:tcPr>
          <w:p w:rsidR="001A4767" w:rsidRPr="00897F1E" w:rsidRDefault="00384B6A">
            <w:pPr>
              <w:spacing w:before="100" w:after="200" w:line="276" w:lineRule="auto"/>
              <w:rPr>
                <w:rFonts w:ascii="Calibri" w:eastAsia="Calibri" w:hAnsi="Calibri" w:cs="Calibri"/>
              </w:rPr>
            </w:pPr>
            <w:r w:rsidRPr="00897F1E">
              <w:rPr>
                <w:rFonts w:ascii="Calibri" w:eastAsia="Calibri" w:hAnsi="Calibri" w:cs="Calibri"/>
                <w:noProof/>
                <w:lang w:eastAsia="es-MX"/>
              </w:rPr>
              <w:drawing>
                <wp:inline distT="0" distB="0" distL="0" distR="0">
                  <wp:extent cx="3553460" cy="3166745"/>
                  <wp:effectExtent l="0" t="0" r="0" b="0"/>
                  <wp:docPr id="6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7"/>
                          <a:srcRect/>
                          <a:stretch>
                            <a:fillRect/>
                          </a:stretch>
                        </pic:blipFill>
                        <pic:spPr>
                          <a:xfrm>
                            <a:off x="0" y="0"/>
                            <a:ext cx="3553460" cy="3166745"/>
                          </a:xfrm>
                          <a:prstGeom prst="rect">
                            <a:avLst/>
                          </a:prstGeom>
                          <a:ln/>
                        </pic:spPr>
                      </pic:pic>
                    </a:graphicData>
                  </a:graphic>
                </wp:inline>
              </w:drawing>
            </w:r>
          </w:p>
          <w:p w:rsidR="001A4767" w:rsidRPr="00897F1E" w:rsidRDefault="00384B6A">
            <w:pPr>
              <w:spacing w:before="100" w:after="200" w:line="276" w:lineRule="auto"/>
              <w:rPr>
                <w:rFonts w:ascii="Calibri" w:eastAsia="Calibri" w:hAnsi="Calibri" w:cs="Calibri"/>
              </w:rPr>
            </w:pPr>
            <w:r w:rsidRPr="00897F1E">
              <w:rPr>
                <w:rFonts w:ascii="Calibri" w:eastAsia="Calibri" w:hAnsi="Calibri" w:cs="Calibri"/>
                <w:noProof/>
                <w:lang w:eastAsia="es-MX"/>
              </w:rPr>
              <w:lastRenderedPageBreak/>
              <w:drawing>
                <wp:inline distT="0" distB="0" distL="0" distR="0">
                  <wp:extent cx="3553460" cy="4578350"/>
                  <wp:effectExtent l="0" t="0" r="0" b="0"/>
                  <wp:docPr id="7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8"/>
                          <a:srcRect/>
                          <a:stretch>
                            <a:fillRect/>
                          </a:stretch>
                        </pic:blipFill>
                        <pic:spPr>
                          <a:xfrm>
                            <a:off x="0" y="0"/>
                            <a:ext cx="3553460" cy="4578350"/>
                          </a:xfrm>
                          <a:prstGeom prst="rect">
                            <a:avLst/>
                          </a:prstGeom>
                          <a:ln/>
                        </pic:spPr>
                      </pic:pic>
                    </a:graphicData>
                  </a:graphic>
                </wp:inline>
              </w:drawing>
            </w:r>
          </w:p>
          <w:p w:rsidR="001A4767" w:rsidRPr="00897F1E" w:rsidRDefault="00384B6A">
            <w:pPr>
              <w:spacing w:before="100" w:after="200" w:line="276" w:lineRule="auto"/>
              <w:rPr>
                <w:rFonts w:ascii="Calibri" w:eastAsia="Calibri" w:hAnsi="Calibri" w:cs="Calibri"/>
              </w:rPr>
            </w:pPr>
            <w:r w:rsidRPr="00897F1E">
              <w:rPr>
                <w:rFonts w:ascii="Calibri" w:eastAsia="Calibri" w:hAnsi="Calibri" w:cs="Calibri"/>
                <w:noProof/>
                <w:lang w:eastAsia="es-MX"/>
              </w:rPr>
              <w:drawing>
                <wp:inline distT="0" distB="0" distL="0" distR="0">
                  <wp:extent cx="3553460" cy="2005965"/>
                  <wp:effectExtent l="0" t="0" r="0" b="0"/>
                  <wp:docPr id="7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9"/>
                          <a:srcRect/>
                          <a:stretch>
                            <a:fillRect/>
                          </a:stretch>
                        </pic:blipFill>
                        <pic:spPr>
                          <a:xfrm>
                            <a:off x="0" y="0"/>
                            <a:ext cx="3553460" cy="2005965"/>
                          </a:xfrm>
                          <a:prstGeom prst="rect">
                            <a:avLst/>
                          </a:prstGeom>
                          <a:ln/>
                        </pic:spPr>
                      </pic:pic>
                    </a:graphicData>
                  </a:graphic>
                </wp:inline>
              </w:drawing>
            </w:r>
          </w:p>
          <w:p w:rsidR="001A4767" w:rsidRPr="00897F1E" w:rsidRDefault="00384B6A">
            <w:pPr>
              <w:spacing w:before="100" w:after="200" w:line="276" w:lineRule="auto"/>
              <w:rPr>
                <w:rFonts w:ascii="Calibri" w:eastAsia="Calibri" w:hAnsi="Calibri" w:cs="Calibri"/>
              </w:rPr>
            </w:pPr>
            <w:r w:rsidRPr="00897F1E">
              <w:rPr>
                <w:rFonts w:ascii="Calibri" w:eastAsia="Calibri" w:hAnsi="Calibri" w:cs="Calibri"/>
                <w:noProof/>
                <w:lang w:eastAsia="es-MX"/>
              </w:rPr>
              <w:lastRenderedPageBreak/>
              <w:drawing>
                <wp:inline distT="0" distB="0" distL="0" distR="0">
                  <wp:extent cx="3553460" cy="2245360"/>
                  <wp:effectExtent l="0" t="0" r="0" b="0"/>
                  <wp:docPr id="72"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0"/>
                          <a:srcRect/>
                          <a:stretch>
                            <a:fillRect/>
                          </a:stretch>
                        </pic:blipFill>
                        <pic:spPr>
                          <a:xfrm>
                            <a:off x="0" y="0"/>
                            <a:ext cx="3553460" cy="2245360"/>
                          </a:xfrm>
                          <a:prstGeom prst="rect">
                            <a:avLst/>
                          </a:prstGeom>
                          <a:ln/>
                        </pic:spPr>
                      </pic:pic>
                    </a:graphicData>
                  </a:graphic>
                </wp:inline>
              </w:drawing>
            </w:r>
          </w:p>
        </w:tc>
        <w:tc>
          <w:tcPr>
            <w:tcW w:w="1603" w:type="dxa"/>
            <w:tcBorders>
              <w:top w:val="single" w:sz="4" w:space="0" w:color="000000"/>
              <w:left w:val="single" w:sz="4" w:space="0" w:color="000000"/>
              <w:bottom w:val="single" w:sz="4" w:space="0" w:color="000000"/>
              <w:right w:val="single" w:sz="4" w:space="0" w:color="000000"/>
            </w:tcBorders>
          </w:tcPr>
          <w:p w:rsidR="001A4767" w:rsidRPr="00897F1E" w:rsidRDefault="00384B6A">
            <w:pPr>
              <w:spacing w:before="100" w:after="200"/>
              <w:jc w:val="center"/>
              <w:rPr>
                <w:rFonts w:ascii="Palatino Linotype" w:eastAsia="Palatino Linotype" w:hAnsi="Palatino Linotype" w:cs="Palatino Linotype"/>
                <w:sz w:val="18"/>
                <w:szCs w:val="18"/>
              </w:rPr>
            </w:pPr>
            <w:r w:rsidRPr="00897F1E">
              <w:rPr>
                <w:rFonts w:ascii="Palatino Linotype" w:eastAsia="Palatino Linotype" w:hAnsi="Palatino Linotype" w:cs="Palatino Linotype"/>
                <w:b/>
              </w:rPr>
              <w:lastRenderedPageBreak/>
              <w:t>Si</w:t>
            </w:r>
          </w:p>
        </w:tc>
      </w:tr>
      <w:tr w:rsidR="001A4767" w:rsidRPr="00897F1E">
        <w:tc>
          <w:tcPr>
            <w:tcW w:w="1413" w:type="dxa"/>
            <w:tcBorders>
              <w:top w:val="single" w:sz="4" w:space="0" w:color="000000"/>
              <w:left w:val="single" w:sz="4" w:space="0" w:color="000000"/>
              <w:bottom w:val="single" w:sz="4" w:space="0" w:color="000000"/>
              <w:right w:val="single" w:sz="4" w:space="0" w:color="000000"/>
            </w:tcBorders>
          </w:tcPr>
          <w:p w:rsidR="001A4767" w:rsidRPr="00897F1E" w:rsidRDefault="00384B6A">
            <w:pPr>
              <w:spacing w:before="100" w:after="200" w:line="276" w:lineRule="auto"/>
              <w:rPr>
                <w:rFonts w:ascii="Palatino Linotype" w:eastAsia="Palatino Linotype" w:hAnsi="Palatino Linotype" w:cs="Palatino Linotype"/>
                <w:b/>
                <w:sz w:val="16"/>
                <w:szCs w:val="16"/>
              </w:rPr>
            </w:pPr>
            <w:r w:rsidRPr="00897F1E">
              <w:rPr>
                <w:rFonts w:ascii="Palatino Linotype" w:eastAsia="Palatino Linotype" w:hAnsi="Palatino Linotype" w:cs="Palatino Linotype"/>
                <w:b/>
                <w:sz w:val="16"/>
                <w:szCs w:val="16"/>
              </w:rPr>
              <w:lastRenderedPageBreak/>
              <w:t>Conexión entre los fundamentos y motivos que dieron origen a la Reserva de la información</w:t>
            </w:r>
          </w:p>
        </w:tc>
        <w:tc>
          <w:tcPr>
            <w:tcW w:w="5812" w:type="dxa"/>
            <w:tcBorders>
              <w:top w:val="single" w:sz="4" w:space="0" w:color="000000"/>
              <w:left w:val="single" w:sz="4" w:space="0" w:color="000000"/>
              <w:bottom w:val="single" w:sz="4" w:space="0" w:color="000000"/>
              <w:right w:val="single" w:sz="4" w:space="0" w:color="000000"/>
            </w:tcBorders>
          </w:tcPr>
          <w:p w:rsidR="001A4767" w:rsidRPr="00897F1E" w:rsidRDefault="00384B6A">
            <w:pPr>
              <w:spacing w:before="100" w:after="200" w:line="276" w:lineRule="auto"/>
              <w:rPr>
                <w:rFonts w:ascii="Calibri" w:eastAsia="Calibri" w:hAnsi="Calibri" w:cs="Calibri"/>
              </w:rPr>
            </w:pPr>
            <w:r w:rsidRPr="00897F1E">
              <w:rPr>
                <w:rFonts w:ascii="Calibri" w:eastAsia="Calibri" w:hAnsi="Calibri" w:cs="Calibri"/>
                <w:noProof/>
                <w:lang w:eastAsia="es-MX"/>
              </w:rPr>
              <w:drawing>
                <wp:inline distT="0" distB="0" distL="0" distR="0">
                  <wp:extent cx="3553460" cy="2245360"/>
                  <wp:effectExtent l="0" t="0" r="0" b="0"/>
                  <wp:docPr id="74"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0"/>
                          <a:srcRect/>
                          <a:stretch>
                            <a:fillRect/>
                          </a:stretch>
                        </pic:blipFill>
                        <pic:spPr>
                          <a:xfrm>
                            <a:off x="0" y="0"/>
                            <a:ext cx="3553460" cy="2245360"/>
                          </a:xfrm>
                          <a:prstGeom prst="rect">
                            <a:avLst/>
                          </a:prstGeom>
                          <a:ln/>
                        </pic:spPr>
                      </pic:pic>
                    </a:graphicData>
                  </a:graphic>
                </wp:inline>
              </w:drawing>
            </w:r>
          </w:p>
        </w:tc>
        <w:tc>
          <w:tcPr>
            <w:tcW w:w="1603" w:type="dxa"/>
            <w:tcBorders>
              <w:top w:val="single" w:sz="4" w:space="0" w:color="000000"/>
              <w:left w:val="single" w:sz="4" w:space="0" w:color="000000"/>
              <w:bottom w:val="single" w:sz="4" w:space="0" w:color="000000"/>
              <w:right w:val="single" w:sz="4" w:space="0" w:color="000000"/>
            </w:tcBorders>
          </w:tcPr>
          <w:p w:rsidR="001A4767" w:rsidRPr="00897F1E" w:rsidRDefault="00384B6A">
            <w:pPr>
              <w:spacing w:before="100" w:after="200" w:line="276" w:lineRule="auto"/>
              <w:jc w:val="center"/>
              <w:rPr>
                <w:rFonts w:ascii="Palatino Linotype" w:eastAsia="Palatino Linotype" w:hAnsi="Palatino Linotype" w:cs="Palatino Linotype"/>
                <w:b/>
              </w:rPr>
            </w:pPr>
            <w:r w:rsidRPr="00897F1E">
              <w:rPr>
                <w:rFonts w:ascii="Palatino Linotype" w:eastAsia="Palatino Linotype" w:hAnsi="Palatino Linotype" w:cs="Palatino Linotype"/>
                <w:b/>
              </w:rPr>
              <w:t>Si</w:t>
            </w:r>
          </w:p>
        </w:tc>
      </w:tr>
      <w:tr w:rsidR="001A4767" w:rsidRPr="00897F1E">
        <w:tc>
          <w:tcPr>
            <w:tcW w:w="8828" w:type="dxa"/>
            <w:gridSpan w:val="3"/>
            <w:tcBorders>
              <w:top w:val="single" w:sz="4" w:space="0" w:color="000000"/>
              <w:left w:val="single" w:sz="4" w:space="0" w:color="000000"/>
              <w:bottom w:val="single" w:sz="4" w:space="0" w:color="000000"/>
              <w:right w:val="single" w:sz="4" w:space="0" w:color="000000"/>
            </w:tcBorders>
            <w:shd w:val="clear" w:color="auto" w:fill="7B7B7B"/>
          </w:tcPr>
          <w:p w:rsidR="001A4767" w:rsidRPr="00897F1E" w:rsidRDefault="00384B6A">
            <w:pPr>
              <w:spacing w:before="100" w:after="200" w:line="276" w:lineRule="auto"/>
              <w:jc w:val="center"/>
              <w:rPr>
                <w:rFonts w:ascii="Palatino Linotype" w:eastAsia="Palatino Linotype" w:hAnsi="Palatino Linotype" w:cs="Palatino Linotype"/>
                <w:b/>
              </w:rPr>
            </w:pPr>
            <w:r w:rsidRPr="00897F1E">
              <w:rPr>
                <w:rFonts w:ascii="Palatino Linotype" w:eastAsia="Palatino Linotype" w:hAnsi="Palatino Linotype" w:cs="Palatino Linotype"/>
                <w:b/>
                <w:color w:val="FFFFFF"/>
                <w:sz w:val="22"/>
                <w:szCs w:val="22"/>
              </w:rPr>
              <w:t>Elementos de la prueba de daño</w:t>
            </w:r>
          </w:p>
        </w:tc>
      </w:tr>
      <w:tr w:rsidR="001A4767" w:rsidRPr="00897F1E">
        <w:tc>
          <w:tcPr>
            <w:tcW w:w="1413" w:type="dxa"/>
            <w:tcBorders>
              <w:top w:val="single" w:sz="4" w:space="0" w:color="000000"/>
              <w:left w:val="single" w:sz="4" w:space="0" w:color="000000"/>
              <w:bottom w:val="single" w:sz="4" w:space="0" w:color="000000"/>
              <w:right w:val="single" w:sz="4" w:space="0" w:color="000000"/>
            </w:tcBorders>
          </w:tcPr>
          <w:p w:rsidR="001A4767" w:rsidRPr="00897F1E" w:rsidRDefault="00384B6A">
            <w:pPr>
              <w:spacing w:after="120" w:line="256" w:lineRule="auto"/>
              <w:jc w:val="center"/>
              <w:rPr>
                <w:rFonts w:ascii="Palatino Linotype" w:eastAsia="Palatino Linotype" w:hAnsi="Palatino Linotype" w:cs="Palatino Linotype"/>
                <w:b/>
                <w:sz w:val="16"/>
                <w:szCs w:val="16"/>
              </w:rPr>
            </w:pPr>
            <w:r w:rsidRPr="00897F1E">
              <w:rPr>
                <w:rFonts w:ascii="Palatino Linotype" w:eastAsia="Palatino Linotype" w:hAnsi="Palatino Linotype" w:cs="Palatino Linotype"/>
                <w:b/>
                <w:sz w:val="16"/>
                <w:szCs w:val="16"/>
              </w:rPr>
              <w:t>Riesgo Real, Demostrable e Identificable</w:t>
            </w:r>
          </w:p>
          <w:p w:rsidR="001A4767" w:rsidRPr="00897F1E" w:rsidRDefault="00384B6A">
            <w:pPr>
              <w:spacing w:before="100" w:after="200" w:line="276" w:lineRule="auto"/>
              <w:jc w:val="center"/>
              <w:rPr>
                <w:rFonts w:ascii="Palatino Linotype" w:eastAsia="Palatino Linotype" w:hAnsi="Palatino Linotype" w:cs="Palatino Linotype"/>
                <w:b/>
                <w:color w:val="FFFFFF"/>
                <w:sz w:val="22"/>
                <w:szCs w:val="22"/>
              </w:rPr>
            </w:pPr>
            <w:r w:rsidRPr="00897F1E">
              <w:rPr>
                <w:rFonts w:ascii="Palatino Linotype" w:eastAsia="Palatino Linotype" w:hAnsi="Palatino Linotype" w:cs="Palatino Linotype"/>
                <w:b/>
                <w:sz w:val="16"/>
                <w:szCs w:val="16"/>
              </w:rPr>
              <w:t>(Modo, Tiempo y Lugar)</w:t>
            </w:r>
          </w:p>
        </w:tc>
        <w:tc>
          <w:tcPr>
            <w:tcW w:w="5812" w:type="dxa"/>
            <w:tcBorders>
              <w:top w:val="single" w:sz="4" w:space="0" w:color="000000"/>
              <w:left w:val="single" w:sz="4" w:space="0" w:color="000000"/>
              <w:bottom w:val="single" w:sz="4" w:space="0" w:color="000000"/>
              <w:right w:val="single" w:sz="4" w:space="0" w:color="000000"/>
            </w:tcBorders>
          </w:tcPr>
          <w:p w:rsidR="001A4767" w:rsidRPr="00897F1E" w:rsidRDefault="00384B6A">
            <w:pPr>
              <w:spacing w:before="100" w:after="200" w:line="276" w:lineRule="auto"/>
            </w:pPr>
            <w:r w:rsidRPr="00897F1E">
              <w:rPr>
                <w:noProof/>
                <w:lang w:eastAsia="es-MX"/>
              </w:rPr>
              <w:drawing>
                <wp:inline distT="0" distB="0" distL="0" distR="0">
                  <wp:extent cx="3553460" cy="840740"/>
                  <wp:effectExtent l="0" t="0" r="0" b="0"/>
                  <wp:docPr id="7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1"/>
                          <a:srcRect/>
                          <a:stretch>
                            <a:fillRect/>
                          </a:stretch>
                        </pic:blipFill>
                        <pic:spPr>
                          <a:xfrm>
                            <a:off x="0" y="0"/>
                            <a:ext cx="3553460" cy="840740"/>
                          </a:xfrm>
                          <a:prstGeom prst="rect">
                            <a:avLst/>
                          </a:prstGeom>
                          <a:ln/>
                        </pic:spPr>
                      </pic:pic>
                    </a:graphicData>
                  </a:graphic>
                </wp:inline>
              </w:drawing>
            </w:r>
          </w:p>
          <w:p w:rsidR="001A4767" w:rsidRPr="00897F1E" w:rsidRDefault="00384B6A">
            <w:pPr>
              <w:spacing w:before="100" w:after="200" w:line="276" w:lineRule="auto"/>
            </w:pPr>
            <w:r w:rsidRPr="00897F1E">
              <w:rPr>
                <w:noProof/>
                <w:lang w:eastAsia="es-MX"/>
              </w:rPr>
              <w:lastRenderedPageBreak/>
              <w:drawing>
                <wp:inline distT="0" distB="0" distL="0" distR="0">
                  <wp:extent cx="3553460" cy="4837430"/>
                  <wp:effectExtent l="0" t="0" r="0" b="0"/>
                  <wp:docPr id="7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2"/>
                          <a:srcRect/>
                          <a:stretch>
                            <a:fillRect/>
                          </a:stretch>
                        </pic:blipFill>
                        <pic:spPr>
                          <a:xfrm>
                            <a:off x="0" y="0"/>
                            <a:ext cx="3553460" cy="4837430"/>
                          </a:xfrm>
                          <a:prstGeom prst="rect">
                            <a:avLst/>
                          </a:prstGeom>
                          <a:ln/>
                        </pic:spPr>
                      </pic:pic>
                    </a:graphicData>
                  </a:graphic>
                </wp:inline>
              </w:drawing>
            </w:r>
          </w:p>
          <w:p w:rsidR="001A4767" w:rsidRPr="00897F1E" w:rsidRDefault="00384B6A">
            <w:pPr>
              <w:spacing w:before="100" w:after="200" w:line="276" w:lineRule="auto"/>
            </w:pPr>
            <w:r w:rsidRPr="00897F1E">
              <w:rPr>
                <w:noProof/>
                <w:lang w:eastAsia="es-MX"/>
              </w:rPr>
              <w:lastRenderedPageBreak/>
              <w:drawing>
                <wp:inline distT="0" distB="0" distL="0" distR="0">
                  <wp:extent cx="3553460" cy="4926330"/>
                  <wp:effectExtent l="0" t="0" r="0" b="0"/>
                  <wp:docPr id="77"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3"/>
                          <a:srcRect/>
                          <a:stretch>
                            <a:fillRect/>
                          </a:stretch>
                        </pic:blipFill>
                        <pic:spPr>
                          <a:xfrm>
                            <a:off x="0" y="0"/>
                            <a:ext cx="3553460" cy="4926330"/>
                          </a:xfrm>
                          <a:prstGeom prst="rect">
                            <a:avLst/>
                          </a:prstGeom>
                          <a:ln/>
                        </pic:spPr>
                      </pic:pic>
                    </a:graphicData>
                  </a:graphic>
                </wp:inline>
              </w:drawing>
            </w:r>
          </w:p>
          <w:p w:rsidR="001A4767" w:rsidRPr="00897F1E" w:rsidRDefault="00384B6A">
            <w:pPr>
              <w:spacing w:before="100" w:after="200" w:line="276" w:lineRule="auto"/>
            </w:pPr>
            <w:r w:rsidRPr="00897F1E">
              <w:rPr>
                <w:noProof/>
                <w:lang w:eastAsia="es-MX"/>
              </w:rPr>
              <w:lastRenderedPageBreak/>
              <w:drawing>
                <wp:inline distT="0" distB="0" distL="0" distR="0">
                  <wp:extent cx="3553460" cy="4780280"/>
                  <wp:effectExtent l="0" t="0" r="0" b="0"/>
                  <wp:docPr id="78"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4"/>
                          <a:srcRect/>
                          <a:stretch>
                            <a:fillRect/>
                          </a:stretch>
                        </pic:blipFill>
                        <pic:spPr>
                          <a:xfrm>
                            <a:off x="0" y="0"/>
                            <a:ext cx="3553460" cy="4780280"/>
                          </a:xfrm>
                          <a:prstGeom prst="rect">
                            <a:avLst/>
                          </a:prstGeom>
                          <a:ln/>
                        </pic:spPr>
                      </pic:pic>
                    </a:graphicData>
                  </a:graphic>
                </wp:inline>
              </w:drawing>
            </w:r>
          </w:p>
          <w:p w:rsidR="001A4767" w:rsidRPr="00897F1E" w:rsidRDefault="00384B6A">
            <w:pPr>
              <w:spacing w:before="100" w:after="200" w:line="276" w:lineRule="auto"/>
              <w:jc w:val="center"/>
              <w:rPr>
                <w:rFonts w:ascii="Palatino Linotype" w:eastAsia="Palatino Linotype" w:hAnsi="Palatino Linotype" w:cs="Palatino Linotype"/>
                <w:b/>
                <w:color w:val="FFFFFF"/>
                <w:sz w:val="22"/>
                <w:szCs w:val="22"/>
              </w:rPr>
            </w:pPr>
            <w:r w:rsidRPr="00897F1E">
              <w:rPr>
                <w:rFonts w:ascii="Palatino Linotype" w:eastAsia="Palatino Linotype" w:hAnsi="Palatino Linotype" w:cs="Palatino Linotype"/>
                <w:b/>
                <w:noProof/>
                <w:color w:val="FFFFFF"/>
                <w:sz w:val="22"/>
                <w:szCs w:val="22"/>
                <w:lang w:eastAsia="es-MX"/>
              </w:rPr>
              <w:lastRenderedPageBreak/>
              <w:drawing>
                <wp:inline distT="0" distB="0" distL="0" distR="0">
                  <wp:extent cx="3553460" cy="4633595"/>
                  <wp:effectExtent l="0" t="0" r="0" b="0"/>
                  <wp:docPr id="79"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5"/>
                          <a:srcRect/>
                          <a:stretch>
                            <a:fillRect/>
                          </a:stretch>
                        </pic:blipFill>
                        <pic:spPr>
                          <a:xfrm>
                            <a:off x="0" y="0"/>
                            <a:ext cx="3553460" cy="4633595"/>
                          </a:xfrm>
                          <a:prstGeom prst="rect">
                            <a:avLst/>
                          </a:prstGeom>
                          <a:ln/>
                        </pic:spPr>
                      </pic:pic>
                    </a:graphicData>
                  </a:graphic>
                </wp:inline>
              </w:drawing>
            </w:r>
          </w:p>
          <w:p w:rsidR="001A4767" w:rsidRPr="00897F1E" w:rsidRDefault="00384B6A">
            <w:pPr>
              <w:spacing w:before="100" w:after="200" w:line="276" w:lineRule="auto"/>
              <w:jc w:val="center"/>
              <w:rPr>
                <w:rFonts w:ascii="Palatino Linotype" w:eastAsia="Palatino Linotype" w:hAnsi="Palatino Linotype" w:cs="Palatino Linotype"/>
                <w:b/>
                <w:color w:val="FFFFFF"/>
                <w:sz w:val="22"/>
                <w:szCs w:val="22"/>
              </w:rPr>
            </w:pPr>
            <w:r w:rsidRPr="00897F1E">
              <w:rPr>
                <w:rFonts w:ascii="Palatino Linotype" w:eastAsia="Palatino Linotype" w:hAnsi="Palatino Linotype" w:cs="Palatino Linotype"/>
                <w:b/>
                <w:noProof/>
                <w:color w:val="FFFFFF"/>
                <w:sz w:val="22"/>
                <w:szCs w:val="22"/>
                <w:lang w:eastAsia="es-MX"/>
              </w:rPr>
              <w:lastRenderedPageBreak/>
              <w:drawing>
                <wp:inline distT="0" distB="0" distL="0" distR="0">
                  <wp:extent cx="3553460" cy="4598035"/>
                  <wp:effectExtent l="0" t="0" r="0" b="0"/>
                  <wp:docPr id="80"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6"/>
                          <a:srcRect/>
                          <a:stretch>
                            <a:fillRect/>
                          </a:stretch>
                        </pic:blipFill>
                        <pic:spPr>
                          <a:xfrm>
                            <a:off x="0" y="0"/>
                            <a:ext cx="3553460" cy="4598035"/>
                          </a:xfrm>
                          <a:prstGeom prst="rect">
                            <a:avLst/>
                          </a:prstGeom>
                          <a:ln/>
                        </pic:spPr>
                      </pic:pic>
                    </a:graphicData>
                  </a:graphic>
                </wp:inline>
              </w:drawing>
            </w:r>
          </w:p>
          <w:p w:rsidR="001A4767" w:rsidRPr="00897F1E" w:rsidRDefault="00384B6A">
            <w:pPr>
              <w:spacing w:before="100" w:after="200" w:line="276" w:lineRule="auto"/>
              <w:jc w:val="center"/>
              <w:rPr>
                <w:rFonts w:ascii="Palatino Linotype" w:eastAsia="Palatino Linotype" w:hAnsi="Palatino Linotype" w:cs="Palatino Linotype"/>
                <w:b/>
                <w:color w:val="FFFFFF"/>
                <w:sz w:val="22"/>
                <w:szCs w:val="22"/>
              </w:rPr>
            </w:pPr>
            <w:r w:rsidRPr="00897F1E">
              <w:rPr>
                <w:rFonts w:ascii="Palatino Linotype" w:eastAsia="Palatino Linotype" w:hAnsi="Palatino Linotype" w:cs="Palatino Linotype"/>
                <w:b/>
                <w:noProof/>
                <w:color w:val="FFFFFF"/>
                <w:sz w:val="22"/>
                <w:szCs w:val="22"/>
                <w:lang w:eastAsia="es-MX"/>
              </w:rPr>
              <w:lastRenderedPageBreak/>
              <w:drawing>
                <wp:inline distT="0" distB="0" distL="0" distR="0">
                  <wp:extent cx="3553460" cy="4861560"/>
                  <wp:effectExtent l="0" t="0" r="0" b="0"/>
                  <wp:docPr id="81"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7"/>
                          <a:srcRect/>
                          <a:stretch>
                            <a:fillRect/>
                          </a:stretch>
                        </pic:blipFill>
                        <pic:spPr>
                          <a:xfrm>
                            <a:off x="0" y="0"/>
                            <a:ext cx="3553460" cy="4861560"/>
                          </a:xfrm>
                          <a:prstGeom prst="rect">
                            <a:avLst/>
                          </a:prstGeom>
                          <a:ln/>
                        </pic:spPr>
                      </pic:pic>
                    </a:graphicData>
                  </a:graphic>
                </wp:inline>
              </w:drawing>
            </w:r>
          </w:p>
          <w:p w:rsidR="001A4767" w:rsidRPr="00897F1E" w:rsidRDefault="00384B6A">
            <w:pPr>
              <w:spacing w:before="100" w:after="200" w:line="276" w:lineRule="auto"/>
              <w:jc w:val="center"/>
              <w:rPr>
                <w:rFonts w:ascii="Palatino Linotype" w:eastAsia="Palatino Linotype" w:hAnsi="Palatino Linotype" w:cs="Palatino Linotype"/>
                <w:b/>
                <w:color w:val="FFFFFF"/>
                <w:sz w:val="22"/>
                <w:szCs w:val="22"/>
              </w:rPr>
            </w:pPr>
            <w:r w:rsidRPr="00897F1E">
              <w:rPr>
                <w:rFonts w:ascii="Palatino Linotype" w:eastAsia="Palatino Linotype" w:hAnsi="Palatino Linotype" w:cs="Palatino Linotype"/>
                <w:b/>
                <w:noProof/>
                <w:color w:val="FFFFFF"/>
                <w:sz w:val="22"/>
                <w:szCs w:val="22"/>
                <w:lang w:eastAsia="es-MX"/>
              </w:rPr>
              <w:lastRenderedPageBreak/>
              <w:drawing>
                <wp:inline distT="0" distB="0" distL="0" distR="0">
                  <wp:extent cx="3553460" cy="4806950"/>
                  <wp:effectExtent l="0" t="0" r="0" b="0"/>
                  <wp:docPr id="55"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8"/>
                          <a:srcRect/>
                          <a:stretch>
                            <a:fillRect/>
                          </a:stretch>
                        </pic:blipFill>
                        <pic:spPr>
                          <a:xfrm>
                            <a:off x="0" y="0"/>
                            <a:ext cx="3553460" cy="4806950"/>
                          </a:xfrm>
                          <a:prstGeom prst="rect">
                            <a:avLst/>
                          </a:prstGeom>
                          <a:ln/>
                        </pic:spPr>
                      </pic:pic>
                    </a:graphicData>
                  </a:graphic>
                </wp:inline>
              </w:drawing>
            </w:r>
          </w:p>
          <w:p w:rsidR="001A4767" w:rsidRPr="00897F1E" w:rsidRDefault="00384B6A">
            <w:pPr>
              <w:tabs>
                <w:tab w:val="left" w:pos="2610"/>
                <w:tab w:val="center" w:pos="2798"/>
              </w:tabs>
              <w:spacing w:before="100" w:after="200" w:line="276" w:lineRule="auto"/>
              <w:rPr>
                <w:rFonts w:ascii="Palatino Linotype" w:eastAsia="Palatino Linotype" w:hAnsi="Palatino Linotype" w:cs="Palatino Linotype"/>
                <w:b/>
                <w:color w:val="FFFFFF"/>
                <w:sz w:val="22"/>
                <w:szCs w:val="22"/>
              </w:rPr>
            </w:pPr>
            <w:r w:rsidRPr="00897F1E">
              <w:rPr>
                <w:rFonts w:ascii="Palatino Linotype" w:eastAsia="Palatino Linotype" w:hAnsi="Palatino Linotype" w:cs="Palatino Linotype"/>
                <w:b/>
                <w:color w:val="FFFFFF"/>
                <w:sz w:val="22"/>
                <w:szCs w:val="22"/>
              </w:rPr>
              <w:lastRenderedPageBreak/>
              <w:tab/>
            </w:r>
            <w:r w:rsidRPr="00897F1E">
              <w:rPr>
                <w:rFonts w:ascii="Palatino Linotype" w:eastAsia="Palatino Linotype" w:hAnsi="Palatino Linotype" w:cs="Palatino Linotype"/>
                <w:b/>
                <w:noProof/>
                <w:color w:val="FFFFFF"/>
                <w:sz w:val="22"/>
                <w:szCs w:val="22"/>
                <w:lang w:eastAsia="es-MX"/>
              </w:rPr>
              <w:drawing>
                <wp:inline distT="0" distB="0" distL="0" distR="0">
                  <wp:extent cx="3553460" cy="4886325"/>
                  <wp:effectExtent l="0" t="0" r="0" b="0"/>
                  <wp:docPr id="5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9"/>
                          <a:srcRect/>
                          <a:stretch>
                            <a:fillRect/>
                          </a:stretch>
                        </pic:blipFill>
                        <pic:spPr>
                          <a:xfrm>
                            <a:off x="0" y="0"/>
                            <a:ext cx="3553460" cy="4886325"/>
                          </a:xfrm>
                          <a:prstGeom prst="rect">
                            <a:avLst/>
                          </a:prstGeom>
                          <a:ln/>
                        </pic:spPr>
                      </pic:pic>
                    </a:graphicData>
                  </a:graphic>
                </wp:inline>
              </w:drawing>
            </w:r>
            <w:r w:rsidRPr="00897F1E">
              <w:rPr>
                <w:rFonts w:ascii="Palatino Linotype" w:eastAsia="Palatino Linotype" w:hAnsi="Palatino Linotype" w:cs="Palatino Linotype"/>
                <w:b/>
                <w:noProof/>
                <w:color w:val="FFFFFF"/>
                <w:sz w:val="22"/>
                <w:szCs w:val="22"/>
                <w:lang w:eastAsia="es-MX"/>
              </w:rPr>
              <w:lastRenderedPageBreak/>
              <w:drawing>
                <wp:inline distT="0" distB="0" distL="0" distR="0">
                  <wp:extent cx="3553460" cy="4231640"/>
                  <wp:effectExtent l="0" t="0" r="0" b="0"/>
                  <wp:docPr id="5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0"/>
                          <a:srcRect/>
                          <a:stretch>
                            <a:fillRect/>
                          </a:stretch>
                        </pic:blipFill>
                        <pic:spPr>
                          <a:xfrm>
                            <a:off x="0" y="0"/>
                            <a:ext cx="3553460" cy="4231640"/>
                          </a:xfrm>
                          <a:prstGeom prst="rect">
                            <a:avLst/>
                          </a:prstGeom>
                          <a:ln/>
                        </pic:spPr>
                      </pic:pic>
                    </a:graphicData>
                  </a:graphic>
                </wp:inline>
              </w:drawing>
            </w:r>
          </w:p>
        </w:tc>
        <w:tc>
          <w:tcPr>
            <w:tcW w:w="1603" w:type="dxa"/>
            <w:tcBorders>
              <w:top w:val="single" w:sz="4" w:space="0" w:color="000000"/>
              <w:left w:val="single" w:sz="4" w:space="0" w:color="000000"/>
              <w:bottom w:val="single" w:sz="4" w:space="0" w:color="000000"/>
              <w:right w:val="single" w:sz="4" w:space="0" w:color="000000"/>
            </w:tcBorders>
          </w:tcPr>
          <w:p w:rsidR="001A4767" w:rsidRPr="00897F1E" w:rsidRDefault="00384B6A" w:rsidP="00384B6A">
            <w:pPr>
              <w:spacing w:before="100" w:after="200" w:line="276" w:lineRule="auto"/>
              <w:jc w:val="center"/>
              <w:rPr>
                <w:rFonts w:ascii="Palatino Linotype" w:eastAsia="Palatino Linotype" w:hAnsi="Palatino Linotype" w:cs="Palatino Linotype"/>
                <w:b/>
                <w:color w:val="000000"/>
                <w:sz w:val="16"/>
                <w:szCs w:val="22"/>
              </w:rPr>
            </w:pPr>
            <w:r w:rsidRPr="00897F1E">
              <w:rPr>
                <w:rFonts w:ascii="Palatino Linotype" w:eastAsia="Palatino Linotype" w:hAnsi="Palatino Linotype" w:cs="Palatino Linotype"/>
                <w:b/>
                <w:color w:val="000000"/>
                <w:sz w:val="16"/>
                <w:szCs w:val="22"/>
              </w:rPr>
              <w:lastRenderedPageBreak/>
              <w:t>Parcialmente</w:t>
            </w:r>
          </w:p>
          <w:p w:rsidR="00384B6A" w:rsidRPr="00897F1E" w:rsidRDefault="00384B6A" w:rsidP="00384B6A">
            <w:pPr>
              <w:spacing w:before="100" w:after="200" w:line="276" w:lineRule="auto"/>
              <w:jc w:val="center"/>
              <w:rPr>
                <w:rFonts w:ascii="Palatino Linotype" w:eastAsia="Palatino Linotype" w:hAnsi="Palatino Linotype" w:cs="Palatino Linotype"/>
                <w:color w:val="FFFFFF"/>
                <w:sz w:val="18"/>
                <w:szCs w:val="18"/>
              </w:rPr>
            </w:pPr>
            <w:r w:rsidRPr="00897F1E">
              <w:rPr>
                <w:rFonts w:ascii="Palatino Linotype" w:eastAsia="Palatino Linotype" w:hAnsi="Palatino Linotype" w:cs="Palatino Linotype"/>
                <w:b/>
                <w:color w:val="000000"/>
                <w:sz w:val="16"/>
                <w:szCs w:val="22"/>
              </w:rPr>
              <w:t>Debido a que los argumentos expuestos por el Sujeto Obligado, en parte no se relacionan con la vulneración de los expedientes en trámite</w:t>
            </w:r>
          </w:p>
        </w:tc>
      </w:tr>
      <w:tr w:rsidR="001A4767" w:rsidRPr="00897F1E">
        <w:tc>
          <w:tcPr>
            <w:tcW w:w="1413" w:type="dxa"/>
            <w:tcBorders>
              <w:top w:val="single" w:sz="4" w:space="0" w:color="000000"/>
              <w:left w:val="single" w:sz="4" w:space="0" w:color="000000"/>
              <w:bottom w:val="single" w:sz="4" w:space="0" w:color="000000"/>
              <w:right w:val="single" w:sz="4" w:space="0" w:color="000000"/>
            </w:tcBorders>
          </w:tcPr>
          <w:p w:rsidR="001A4767" w:rsidRPr="00897F1E" w:rsidRDefault="00384B6A">
            <w:pPr>
              <w:spacing w:before="100" w:after="200" w:line="276" w:lineRule="auto"/>
              <w:jc w:val="center"/>
              <w:rPr>
                <w:rFonts w:ascii="Palatino Linotype" w:eastAsia="Palatino Linotype" w:hAnsi="Palatino Linotype" w:cs="Palatino Linotype"/>
                <w:b/>
                <w:color w:val="FFFFFF"/>
                <w:sz w:val="22"/>
                <w:szCs w:val="22"/>
              </w:rPr>
            </w:pPr>
            <w:r w:rsidRPr="00897F1E">
              <w:rPr>
                <w:rFonts w:ascii="Palatino Linotype" w:eastAsia="Palatino Linotype" w:hAnsi="Palatino Linotype" w:cs="Palatino Linotype"/>
                <w:b/>
                <w:sz w:val="16"/>
                <w:szCs w:val="16"/>
              </w:rPr>
              <w:lastRenderedPageBreak/>
              <w:t>Temporalidad de la Reserva de la información</w:t>
            </w:r>
          </w:p>
        </w:tc>
        <w:tc>
          <w:tcPr>
            <w:tcW w:w="5812" w:type="dxa"/>
            <w:tcBorders>
              <w:top w:val="single" w:sz="4" w:space="0" w:color="000000"/>
              <w:left w:val="single" w:sz="4" w:space="0" w:color="000000"/>
              <w:bottom w:val="single" w:sz="4" w:space="0" w:color="000000"/>
              <w:right w:val="single" w:sz="4" w:space="0" w:color="000000"/>
            </w:tcBorders>
          </w:tcPr>
          <w:p w:rsidR="001A4767" w:rsidRPr="00897F1E" w:rsidRDefault="00384B6A">
            <w:pPr>
              <w:spacing w:before="100" w:after="200" w:line="276" w:lineRule="auto"/>
              <w:jc w:val="center"/>
              <w:rPr>
                <w:rFonts w:ascii="Palatino Linotype" w:eastAsia="Palatino Linotype" w:hAnsi="Palatino Linotype" w:cs="Palatino Linotype"/>
                <w:b/>
                <w:color w:val="FFFFFF"/>
                <w:sz w:val="22"/>
                <w:szCs w:val="22"/>
              </w:rPr>
            </w:pPr>
            <w:r w:rsidRPr="00897F1E">
              <w:rPr>
                <w:rFonts w:ascii="Palatino Linotype" w:eastAsia="Palatino Linotype" w:hAnsi="Palatino Linotype" w:cs="Palatino Linotype"/>
                <w:b/>
                <w:noProof/>
                <w:color w:val="FFFFFF"/>
                <w:sz w:val="22"/>
                <w:szCs w:val="22"/>
                <w:lang w:eastAsia="es-MX"/>
              </w:rPr>
              <w:drawing>
                <wp:inline distT="0" distB="0" distL="0" distR="0">
                  <wp:extent cx="3553460" cy="427355"/>
                  <wp:effectExtent l="0" t="0" r="0" b="0"/>
                  <wp:docPr id="5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1"/>
                          <a:srcRect/>
                          <a:stretch>
                            <a:fillRect/>
                          </a:stretch>
                        </pic:blipFill>
                        <pic:spPr>
                          <a:xfrm>
                            <a:off x="0" y="0"/>
                            <a:ext cx="3553460" cy="427355"/>
                          </a:xfrm>
                          <a:prstGeom prst="rect">
                            <a:avLst/>
                          </a:prstGeom>
                          <a:ln/>
                        </pic:spPr>
                      </pic:pic>
                    </a:graphicData>
                  </a:graphic>
                </wp:inline>
              </w:drawing>
            </w:r>
          </w:p>
        </w:tc>
        <w:tc>
          <w:tcPr>
            <w:tcW w:w="1603" w:type="dxa"/>
            <w:tcBorders>
              <w:top w:val="single" w:sz="4" w:space="0" w:color="000000"/>
              <w:left w:val="single" w:sz="4" w:space="0" w:color="000000"/>
              <w:bottom w:val="single" w:sz="4" w:space="0" w:color="000000"/>
              <w:right w:val="single" w:sz="4" w:space="0" w:color="000000"/>
            </w:tcBorders>
          </w:tcPr>
          <w:p w:rsidR="001A4767" w:rsidRPr="00897F1E" w:rsidRDefault="00384B6A">
            <w:pPr>
              <w:spacing w:before="100" w:after="200" w:line="276" w:lineRule="auto"/>
              <w:jc w:val="center"/>
              <w:rPr>
                <w:rFonts w:ascii="Palatino Linotype" w:eastAsia="Palatino Linotype" w:hAnsi="Palatino Linotype" w:cs="Palatino Linotype"/>
                <w:b/>
                <w:color w:val="FFFFFF"/>
                <w:sz w:val="22"/>
                <w:szCs w:val="22"/>
              </w:rPr>
            </w:pPr>
            <w:r w:rsidRPr="00897F1E">
              <w:rPr>
                <w:rFonts w:ascii="Palatino Linotype" w:eastAsia="Palatino Linotype" w:hAnsi="Palatino Linotype" w:cs="Palatino Linotype"/>
                <w:b/>
                <w:color w:val="000000"/>
              </w:rPr>
              <w:t xml:space="preserve">Sí </w:t>
            </w:r>
          </w:p>
        </w:tc>
      </w:tr>
      <w:tr w:rsidR="001A4767" w:rsidRPr="00897F1E">
        <w:tc>
          <w:tcPr>
            <w:tcW w:w="1413" w:type="dxa"/>
            <w:tcBorders>
              <w:top w:val="single" w:sz="4" w:space="0" w:color="000000"/>
              <w:left w:val="single" w:sz="4" w:space="0" w:color="000000"/>
              <w:bottom w:val="single" w:sz="4" w:space="0" w:color="000000"/>
              <w:right w:val="single" w:sz="4" w:space="0" w:color="000000"/>
            </w:tcBorders>
          </w:tcPr>
          <w:p w:rsidR="001A4767" w:rsidRPr="00897F1E" w:rsidRDefault="00384B6A">
            <w:pPr>
              <w:spacing w:before="100" w:after="200" w:line="276" w:lineRule="auto"/>
              <w:jc w:val="center"/>
              <w:rPr>
                <w:rFonts w:ascii="Palatino Linotype" w:eastAsia="Palatino Linotype" w:hAnsi="Palatino Linotype" w:cs="Palatino Linotype"/>
                <w:b/>
                <w:color w:val="FFFFFF"/>
                <w:sz w:val="22"/>
                <w:szCs w:val="22"/>
              </w:rPr>
            </w:pPr>
            <w:r w:rsidRPr="00897F1E">
              <w:rPr>
                <w:rFonts w:ascii="Palatino Linotype" w:eastAsia="Palatino Linotype" w:hAnsi="Palatino Linotype" w:cs="Palatino Linotype"/>
                <w:b/>
                <w:sz w:val="16"/>
                <w:szCs w:val="16"/>
              </w:rPr>
              <w:t>Autoridades competentes.</w:t>
            </w:r>
          </w:p>
        </w:tc>
        <w:tc>
          <w:tcPr>
            <w:tcW w:w="5812" w:type="dxa"/>
            <w:tcBorders>
              <w:top w:val="single" w:sz="4" w:space="0" w:color="000000"/>
              <w:left w:val="single" w:sz="4" w:space="0" w:color="000000"/>
              <w:bottom w:val="single" w:sz="4" w:space="0" w:color="000000"/>
              <w:right w:val="single" w:sz="4" w:space="0" w:color="000000"/>
            </w:tcBorders>
          </w:tcPr>
          <w:p w:rsidR="001A4767" w:rsidRPr="00897F1E" w:rsidRDefault="00384B6A">
            <w:pPr>
              <w:spacing w:before="100" w:after="200" w:line="276" w:lineRule="auto"/>
              <w:jc w:val="center"/>
            </w:pPr>
            <w:r w:rsidRPr="00897F1E">
              <w:rPr>
                <w:noProof/>
                <w:lang w:eastAsia="es-MX"/>
              </w:rPr>
              <w:drawing>
                <wp:inline distT="0" distB="0" distL="0" distR="0">
                  <wp:extent cx="2108006" cy="1482310"/>
                  <wp:effectExtent l="0" t="0" r="0" b="0"/>
                  <wp:docPr id="5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2"/>
                          <a:srcRect/>
                          <a:stretch>
                            <a:fillRect/>
                          </a:stretch>
                        </pic:blipFill>
                        <pic:spPr>
                          <a:xfrm>
                            <a:off x="0" y="0"/>
                            <a:ext cx="2108006" cy="1482310"/>
                          </a:xfrm>
                          <a:prstGeom prst="rect">
                            <a:avLst/>
                          </a:prstGeom>
                          <a:ln/>
                        </pic:spPr>
                      </pic:pic>
                    </a:graphicData>
                  </a:graphic>
                </wp:inline>
              </w:drawing>
            </w:r>
          </w:p>
          <w:p w:rsidR="001A4767" w:rsidRPr="00897F1E" w:rsidRDefault="00384B6A">
            <w:pPr>
              <w:spacing w:before="100" w:after="200" w:line="276" w:lineRule="auto"/>
              <w:jc w:val="center"/>
            </w:pPr>
            <w:r w:rsidRPr="00897F1E">
              <w:rPr>
                <w:noProof/>
                <w:lang w:eastAsia="es-MX"/>
              </w:rPr>
              <w:lastRenderedPageBreak/>
              <w:drawing>
                <wp:inline distT="0" distB="0" distL="0" distR="0">
                  <wp:extent cx="2266921" cy="3109927"/>
                  <wp:effectExtent l="0" t="0" r="0" b="0"/>
                  <wp:docPr id="60"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3"/>
                          <a:srcRect/>
                          <a:stretch>
                            <a:fillRect/>
                          </a:stretch>
                        </pic:blipFill>
                        <pic:spPr>
                          <a:xfrm>
                            <a:off x="0" y="0"/>
                            <a:ext cx="2266921" cy="3109927"/>
                          </a:xfrm>
                          <a:prstGeom prst="rect">
                            <a:avLst/>
                          </a:prstGeom>
                          <a:ln/>
                        </pic:spPr>
                      </pic:pic>
                    </a:graphicData>
                  </a:graphic>
                </wp:inline>
              </w:drawing>
            </w:r>
          </w:p>
          <w:p w:rsidR="001A4767" w:rsidRPr="00897F1E" w:rsidRDefault="00384B6A">
            <w:pPr>
              <w:spacing w:before="100" w:after="200" w:line="276" w:lineRule="auto"/>
              <w:jc w:val="center"/>
            </w:pPr>
            <w:r w:rsidRPr="00897F1E">
              <w:rPr>
                <w:noProof/>
                <w:lang w:eastAsia="es-MX"/>
              </w:rPr>
              <w:drawing>
                <wp:inline distT="0" distB="0" distL="0" distR="0">
                  <wp:extent cx="2112702" cy="1094533"/>
                  <wp:effectExtent l="0" t="0" r="0" b="0"/>
                  <wp:docPr id="6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4"/>
                          <a:srcRect/>
                          <a:stretch>
                            <a:fillRect/>
                          </a:stretch>
                        </pic:blipFill>
                        <pic:spPr>
                          <a:xfrm>
                            <a:off x="0" y="0"/>
                            <a:ext cx="2112702" cy="1094533"/>
                          </a:xfrm>
                          <a:prstGeom prst="rect">
                            <a:avLst/>
                          </a:prstGeom>
                          <a:ln/>
                        </pic:spPr>
                      </pic:pic>
                    </a:graphicData>
                  </a:graphic>
                </wp:inline>
              </w:drawing>
            </w:r>
          </w:p>
        </w:tc>
        <w:tc>
          <w:tcPr>
            <w:tcW w:w="1603" w:type="dxa"/>
            <w:tcBorders>
              <w:top w:val="single" w:sz="4" w:space="0" w:color="000000"/>
              <w:left w:val="single" w:sz="4" w:space="0" w:color="000000"/>
              <w:bottom w:val="single" w:sz="4" w:space="0" w:color="000000"/>
              <w:right w:val="single" w:sz="4" w:space="0" w:color="000000"/>
            </w:tcBorders>
          </w:tcPr>
          <w:p w:rsidR="001A4767" w:rsidRPr="00897F1E" w:rsidRDefault="00384B6A">
            <w:pPr>
              <w:spacing w:before="100" w:after="200" w:line="276" w:lineRule="auto"/>
              <w:jc w:val="center"/>
              <w:rPr>
                <w:rFonts w:ascii="Palatino Linotype" w:eastAsia="Palatino Linotype" w:hAnsi="Palatino Linotype" w:cs="Palatino Linotype"/>
                <w:b/>
                <w:color w:val="FFFFFF"/>
                <w:sz w:val="22"/>
                <w:szCs w:val="22"/>
              </w:rPr>
            </w:pPr>
            <w:r w:rsidRPr="00897F1E">
              <w:rPr>
                <w:rFonts w:ascii="Palatino Linotype" w:eastAsia="Palatino Linotype" w:hAnsi="Palatino Linotype" w:cs="Palatino Linotype"/>
                <w:b/>
                <w:color w:val="000000"/>
                <w:sz w:val="22"/>
                <w:szCs w:val="22"/>
              </w:rPr>
              <w:lastRenderedPageBreak/>
              <w:t>Sí</w:t>
            </w:r>
          </w:p>
        </w:tc>
      </w:tr>
    </w:tbl>
    <w:p w:rsidR="001A4767" w:rsidRPr="00897F1E" w:rsidRDefault="001A4767">
      <w:pPr>
        <w:spacing w:line="360" w:lineRule="auto"/>
        <w:jc w:val="both"/>
        <w:rPr>
          <w:rFonts w:ascii="Palatino Linotype" w:eastAsia="Palatino Linotype" w:hAnsi="Palatino Linotype" w:cs="Palatino Linotype"/>
          <w:color w:val="0D0D0D"/>
          <w:sz w:val="24"/>
          <w:szCs w:val="24"/>
        </w:rPr>
      </w:pPr>
    </w:p>
    <w:p w:rsidR="001A4767" w:rsidRPr="00897F1E" w:rsidRDefault="00384B6A" w:rsidP="00384B6A">
      <w:pPr>
        <w:spacing w:line="360" w:lineRule="auto"/>
        <w:jc w:val="both"/>
        <w:rPr>
          <w:rFonts w:ascii="Palatino Linotype" w:eastAsia="Palatino Linotype" w:hAnsi="Palatino Linotype" w:cs="Palatino Linotype"/>
          <w:sz w:val="24"/>
          <w:szCs w:val="24"/>
        </w:rPr>
      </w:pPr>
      <w:r w:rsidRPr="00897F1E">
        <w:rPr>
          <w:rFonts w:ascii="Palatino Linotype" w:eastAsia="Palatino Linotype" w:hAnsi="Palatino Linotype" w:cs="Palatino Linotype"/>
          <w:sz w:val="24"/>
          <w:szCs w:val="24"/>
        </w:rPr>
        <w:t xml:space="preserve">De lo anterior, el Sujeto Obligado, si bien, a través del acuerdo emitido por su Comité de Transparencia realizó la prueba de daño; </w:t>
      </w:r>
      <w:r w:rsidRPr="00897F1E">
        <w:rPr>
          <w:rFonts w:ascii="Palatino Linotype" w:eastAsia="Palatino Linotype" w:hAnsi="Palatino Linotype" w:cs="Palatino Linotype"/>
          <w:b/>
          <w:sz w:val="24"/>
          <w:szCs w:val="24"/>
          <w:u w:val="single"/>
        </w:rPr>
        <w:t>no acreditó cabalmente las razones por las cuales la apertura de la información generaría una afectación</w:t>
      </w:r>
      <w:r w:rsidR="0043354D" w:rsidRPr="00897F1E">
        <w:rPr>
          <w:rFonts w:ascii="Palatino Linotype" w:eastAsia="Palatino Linotype" w:hAnsi="Palatino Linotype" w:cs="Palatino Linotype"/>
          <w:b/>
          <w:sz w:val="24"/>
          <w:szCs w:val="24"/>
          <w:u w:val="single"/>
        </w:rPr>
        <w:t xml:space="preserve"> al procedimiento en trámite</w:t>
      </w:r>
      <w:r w:rsidRPr="00897F1E">
        <w:rPr>
          <w:rFonts w:ascii="Palatino Linotype" w:eastAsia="Palatino Linotype" w:hAnsi="Palatino Linotype" w:cs="Palatino Linotype"/>
          <w:sz w:val="24"/>
          <w:szCs w:val="24"/>
        </w:rPr>
        <w:t>,</w:t>
      </w:r>
      <w:r w:rsidR="0043354D" w:rsidRPr="00897F1E">
        <w:rPr>
          <w:rFonts w:ascii="Palatino Linotype" w:eastAsia="Palatino Linotype" w:hAnsi="Palatino Linotype" w:cs="Palatino Linotype"/>
          <w:sz w:val="24"/>
          <w:szCs w:val="24"/>
        </w:rPr>
        <w:t xml:space="preserve"> ya que </w:t>
      </w:r>
      <w:r w:rsidR="0043354D" w:rsidRPr="00897F1E">
        <w:rPr>
          <w:rFonts w:ascii="Palatino Linotype" w:eastAsia="Palatino Linotype" w:hAnsi="Palatino Linotype" w:cs="Palatino Linotype"/>
          <w:color w:val="000000"/>
          <w:sz w:val="24"/>
          <w:szCs w:val="24"/>
        </w:rPr>
        <w:t xml:space="preserve">los argumentos expuestos por el Sujeto Obligado, en parte no se relacionan con la vulneración de los expedientes en trámite, sino más bien a la afectación del honor a la persona que está siendo investigada, </w:t>
      </w:r>
      <w:r w:rsidRPr="00897F1E">
        <w:rPr>
          <w:rFonts w:ascii="Palatino Linotype" w:eastAsia="Palatino Linotype" w:hAnsi="Palatino Linotype" w:cs="Palatino Linotype"/>
          <w:sz w:val="24"/>
          <w:szCs w:val="24"/>
        </w:rPr>
        <w:t xml:space="preserve"> por lo que, se colige que, el Acta de la Segunda Sesión Ordinaria 2022 de fecha veintiocho de junio de dos mil veintidós, no se encuentra debidamente motivada. </w:t>
      </w:r>
    </w:p>
    <w:p w:rsidR="00384B6A" w:rsidRPr="00897F1E" w:rsidRDefault="00384B6A">
      <w:pPr>
        <w:tabs>
          <w:tab w:val="left" w:pos="4962"/>
        </w:tabs>
        <w:spacing w:line="360" w:lineRule="auto"/>
        <w:jc w:val="both"/>
        <w:rPr>
          <w:rFonts w:ascii="Palatino Linotype" w:eastAsia="Palatino Linotype" w:hAnsi="Palatino Linotype" w:cs="Palatino Linotype"/>
          <w:sz w:val="24"/>
          <w:szCs w:val="24"/>
        </w:rPr>
      </w:pPr>
    </w:p>
    <w:p w:rsidR="001A4767" w:rsidRPr="00897F1E" w:rsidRDefault="00384B6A">
      <w:pPr>
        <w:tabs>
          <w:tab w:val="left" w:pos="4962"/>
        </w:tabs>
        <w:spacing w:line="360" w:lineRule="auto"/>
        <w:jc w:val="both"/>
        <w:rPr>
          <w:rFonts w:ascii="Palatino Linotype" w:eastAsia="Palatino Linotype" w:hAnsi="Palatino Linotype" w:cs="Palatino Linotype"/>
          <w:color w:val="0D0D0D"/>
          <w:sz w:val="24"/>
          <w:szCs w:val="24"/>
        </w:rPr>
      </w:pPr>
      <w:r w:rsidRPr="00897F1E">
        <w:rPr>
          <w:rFonts w:ascii="Palatino Linotype" w:eastAsia="Palatino Linotype" w:hAnsi="Palatino Linotype" w:cs="Palatino Linotype"/>
          <w:color w:val="0D0D0D"/>
          <w:sz w:val="24"/>
          <w:szCs w:val="24"/>
        </w:rPr>
        <w:t xml:space="preserve">Finalmente, no pasa desapercibido mencionar que, la parte Recurrente citó la Resolución recaída en el expediente RRA 4436/18 emitido por el Instituto Nacional de Transparencia, Acceso a la Información y Protección de Datos Personales, por lo que, es importante contextualizar que en este, se solicitaron el número de expedientes, delitos y las actuaciones de los Ministerios Públicos derivados de la investigación por el caso </w:t>
      </w:r>
      <w:proofErr w:type="spellStart"/>
      <w:r w:rsidRPr="00897F1E">
        <w:rPr>
          <w:rFonts w:ascii="Palatino Linotype" w:eastAsia="Palatino Linotype" w:hAnsi="Palatino Linotype" w:cs="Palatino Linotype"/>
          <w:color w:val="0D0D0D"/>
          <w:sz w:val="24"/>
          <w:szCs w:val="24"/>
        </w:rPr>
        <w:t>Odebrecht</w:t>
      </w:r>
      <w:proofErr w:type="spellEnd"/>
      <w:r w:rsidRPr="00897F1E">
        <w:rPr>
          <w:rFonts w:ascii="Palatino Linotype" w:eastAsia="Palatino Linotype" w:hAnsi="Palatino Linotype" w:cs="Palatino Linotype"/>
          <w:color w:val="0D0D0D"/>
          <w:sz w:val="24"/>
          <w:szCs w:val="24"/>
        </w:rPr>
        <w:t xml:space="preserve">, en ese sentido, si bien es cierto, en esta relación se sostiene que cuando los expedientes se relacionen con actos de corrupción deberán ser de acceso público, también lo es que, en el presente caso, no acontece dicha analogía,  pues como se mencionó, la información que ahora nos ocupa </w:t>
      </w:r>
      <w:r w:rsidRPr="00897F1E">
        <w:rPr>
          <w:rFonts w:ascii="Palatino Linotype" w:eastAsia="Palatino Linotype" w:hAnsi="Palatino Linotype" w:cs="Palatino Linotype"/>
          <w:b/>
          <w:color w:val="0D0D0D"/>
          <w:sz w:val="24"/>
          <w:szCs w:val="24"/>
        </w:rPr>
        <w:t xml:space="preserve">no se relaciona con actos de corrupción. </w:t>
      </w:r>
    </w:p>
    <w:p w:rsidR="001A4767" w:rsidRPr="00897F1E" w:rsidRDefault="001A4767">
      <w:pPr>
        <w:tabs>
          <w:tab w:val="left" w:pos="4962"/>
        </w:tabs>
        <w:spacing w:line="360" w:lineRule="auto"/>
        <w:jc w:val="both"/>
        <w:rPr>
          <w:rFonts w:ascii="Palatino Linotype" w:eastAsia="Palatino Linotype" w:hAnsi="Palatino Linotype" w:cs="Palatino Linotype"/>
          <w:color w:val="0D0D0D"/>
          <w:sz w:val="24"/>
          <w:szCs w:val="24"/>
        </w:rPr>
      </w:pPr>
    </w:p>
    <w:p w:rsidR="001A4767" w:rsidRPr="00897F1E" w:rsidRDefault="00384B6A">
      <w:pPr>
        <w:spacing w:line="360" w:lineRule="auto"/>
        <w:ind w:right="-93"/>
        <w:jc w:val="both"/>
        <w:rPr>
          <w:rFonts w:ascii="Palatino Linotype" w:eastAsia="Palatino Linotype" w:hAnsi="Palatino Linotype" w:cs="Palatino Linotype"/>
          <w:sz w:val="24"/>
          <w:szCs w:val="24"/>
        </w:rPr>
      </w:pPr>
      <w:r w:rsidRPr="00897F1E">
        <w:rPr>
          <w:rFonts w:ascii="Palatino Linotype" w:eastAsia="Palatino Linotype" w:hAnsi="Palatino Linotype" w:cs="Palatino Linotype"/>
          <w:sz w:val="24"/>
          <w:szCs w:val="24"/>
        </w:rPr>
        <w:t xml:space="preserve">Por consiguiente, este Organismo Garante determina que el acuerdo remitido por el Sujeto Obligado, por medio del cual se acordó confirmar la clasificación como reservada solicitada relacionada con el expediente generado por la emisión de los sellos de clausura números 10045/2021 10046/2021, 10047/2021, 10048/2021, 10049/2021 y 10050/2021 contenidos en el expediente PROPAEM-2021-07/VM/0466, no se encuentra debidamente fundado y motivado, </w:t>
      </w:r>
      <w:r w:rsidRPr="00897F1E">
        <w:rPr>
          <w:rFonts w:ascii="Palatino Linotype" w:eastAsia="Palatino Linotype" w:hAnsi="Palatino Linotype" w:cs="Palatino Linotype"/>
          <w:color w:val="000000"/>
          <w:sz w:val="24"/>
          <w:szCs w:val="24"/>
        </w:rPr>
        <w:t xml:space="preserve">en términos de lo dispuesto en </w:t>
      </w:r>
      <w:r w:rsidRPr="00897F1E">
        <w:rPr>
          <w:rFonts w:ascii="Palatino Linotype" w:eastAsia="Palatino Linotype" w:hAnsi="Palatino Linotype" w:cs="Palatino Linotype"/>
          <w:sz w:val="24"/>
          <w:szCs w:val="24"/>
        </w:rPr>
        <w:t>los artículos 128 y 129, de la Ley de Trasparencia y Acceso a la Información Pública del Estado de México y Municipios, razones por las cuales devienen</w:t>
      </w:r>
      <w:r w:rsidRPr="00897F1E">
        <w:rPr>
          <w:rFonts w:ascii="Palatino Linotype" w:eastAsia="Palatino Linotype" w:hAnsi="Palatino Linotype" w:cs="Palatino Linotype"/>
          <w:b/>
          <w:sz w:val="24"/>
          <w:szCs w:val="24"/>
        </w:rPr>
        <w:t xml:space="preserve"> PARCIALMENTE FUNDADOS </w:t>
      </w:r>
      <w:r w:rsidRPr="00897F1E">
        <w:rPr>
          <w:rFonts w:ascii="Palatino Linotype" w:eastAsia="Palatino Linotype" w:hAnsi="Palatino Linotype" w:cs="Palatino Linotype"/>
          <w:sz w:val="24"/>
          <w:szCs w:val="24"/>
        </w:rPr>
        <w:t xml:space="preserve">los motivos de inconformidad hechos valer por la parte Recurrente y, por lo tanto, resulta procedente </w:t>
      </w:r>
      <w:r w:rsidRPr="00897F1E">
        <w:rPr>
          <w:rFonts w:ascii="Palatino Linotype" w:eastAsia="Palatino Linotype" w:hAnsi="Palatino Linotype" w:cs="Palatino Linotype"/>
          <w:b/>
          <w:sz w:val="24"/>
          <w:szCs w:val="24"/>
        </w:rPr>
        <w:t xml:space="preserve">MODIFICAR </w:t>
      </w:r>
      <w:r w:rsidRPr="00897F1E">
        <w:rPr>
          <w:rFonts w:ascii="Palatino Linotype" w:eastAsia="Palatino Linotype" w:hAnsi="Palatino Linotype" w:cs="Palatino Linotype"/>
          <w:sz w:val="24"/>
          <w:szCs w:val="24"/>
        </w:rPr>
        <w:t xml:space="preserve">la respuesta emitida por el Sujeto Obligado, en términos de </w:t>
      </w:r>
      <w:r w:rsidRPr="00897F1E">
        <w:rPr>
          <w:rFonts w:ascii="Palatino Linotype" w:eastAsia="Palatino Linotype" w:hAnsi="Palatino Linotype" w:cs="Palatino Linotype"/>
          <w:sz w:val="24"/>
          <w:szCs w:val="24"/>
        </w:rPr>
        <w:lastRenderedPageBreak/>
        <w:t>la fracción II</w:t>
      </w:r>
      <w:r w:rsidR="00572968" w:rsidRPr="00897F1E">
        <w:rPr>
          <w:rFonts w:ascii="Palatino Linotype" w:eastAsia="Palatino Linotype" w:hAnsi="Palatino Linotype" w:cs="Palatino Linotype"/>
          <w:sz w:val="24"/>
          <w:szCs w:val="24"/>
        </w:rPr>
        <w:t>I</w:t>
      </w:r>
      <w:r w:rsidRPr="00897F1E">
        <w:rPr>
          <w:rFonts w:ascii="Palatino Linotype" w:eastAsia="Palatino Linotype" w:hAnsi="Palatino Linotype" w:cs="Palatino Linotype"/>
          <w:sz w:val="24"/>
          <w:szCs w:val="24"/>
        </w:rPr>
        <w:t xml:space="preserve"> del artículo 186 de la Ley de Transparencia y Acceso a la Información Pública del Estado de México y Municipios.</w:t>
      </w:r>
    </w:p>
    <w:p w:rsidR="00572968" w:rsidRPr="00897F1E" w:rsidRDefault="00572968">
      <w:pPr>
        <w:spacing w:line="360" w:lineRule="auto"/>
        <w:ind w:right="-93"/>
        <w:jc w:val="both"/>
        <w:rPr>
          <w:rFonts w:ascii="Palatino Linotype" w:eastAsia="Palatino Linotype" w:hAnsi="Palatino Linotype" w:cs="Palatino Linotype"/>
          <w:sz w:val="24"/>
          <w:szCs w:val="24"/>
        </w:rPr>
      </w:pPr>
    </w:p>
    <w:p w:rsidR="001A4767" w:rsidRPr="00897F1E" w:rsidRDefault="00384B6A">
      <w:pPr>
        <w:spacing w:line="360" w:lineRule="auto"/>
        <w:ind w:right="49"/>
        <w:jc w:val="both"/>
        <w:rPr>
          <w:rFonts w:ascii="Palatino Linotype" w:eastAsia="Palatino Linotype" w:hAnsi="Palatino Linotype" w:cs="Palatino Linotype"/>
          <w:sz w:val="24"/>
          <w:szCs w:val="24"/>
        </w:rPr>
      </w:pPr>
      <w:r w:rsidRPr="00897F1E">
        <w:rPr>
          <w:rFonts w:ascii="Palatino Linotype" w:eastAsia="Palatino Linotype" w:hAnsi="Palatino Linotype" w:cs="Palatino Linotype"/>
          <w:sz w:val="24"/>
          <w:szCs w:val="24"/>
        </w:rPr>
        <w:t>Así, con fundamento en lo prescrito en los artículos 5 párrafos trigésimo segundo, trigésimo tercero y trigésimo cuarto,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rsidR="001A4767" w:rsidRPr="00897F1E" w:rsidRDefault="001A4767">
      <w:pPr>
        <w:tabs>
          <w:tab w:val="left" w:pos="4962"/>
        </w:tabs>
        <w:spacing w:line="360" w:lineRule="auto"/>
        <w:jc w:val="both"/>
        <w:rPr>
          <w:rFonts w:ascii="Palatino Linotype" w:eastAsia="Palatino Linotype" w:hAnsi="Palatino Linotype" w:cs="Palatino Linotype"/>
          <w:color w:val="0D0D0D"/>
          <w:sz w:val="24"/>
          <w:szCs w:val="24"/>
        </w:rPr>
      </w:pPr>
    </w:p>
    <w:p w:rsidR="001A4767" w:rsidRPr="00897F1E" w:rsidRDefault="00384B6A">
      <w:pPr>
        <w:spacing w:line="360" w:lineRule="auto"/>
        <w:jc w:val="center"/>
        <w:rPr>
          <w:rFonts w:ascii="Palatino Linotype" w:eastAsia="Palatino Linotype" w:hAnsi="Palatino Linotype" w:cs="Palatino Linotype"/>
          <w:b/>
          <w:color w:val="0D0D0D"/>
          <w:sz w:val="24"/>
          <w:szCs w:val="24"/>
        </w:rPr>
      </w:pPr>
      <w:r w:rsidRPr="00897F1E">
        <w:rPr>
          <w:rFonts w:ascii="Palatino Linotype" w:eastAsia="Palatino Linotype" w:hAnsi="Palatino Linotype" w:cs="Palatino Linotype"/>
          <w:b/>
          <w:color w:val="0D0D0D"/>
          <w:sz w:val="24"/>
          <w:szCs w:val="24"/>
        </w:rPr>
        <w:t>RESUELVE:</w:t>
      </w:r>
    </w:p>
    <w:p w:rsidR="001A4767" w:rsidRPr="00897F1E" w:rsidRDefault="001A4767">
      <w:pPr>
        <w:spacing w:line="360" w:lineRule="auto"/>
        <w:rPr>
          <w:rFonts w:ascii="Palatino Linotype" w:eastAsia="Palatino Linotype" w:hAnsi="Palatino Linotype" w:cs="Palatino Linotype"/>
          <w:b/>
          <w:sz w:val="24"/>
          <w:szCs w:val="24"/>
        </w:rPr>
      </w:pPr>
    </w:p>
    <w:p w:rsidR="00384B6A" w:rsidRPr="00897F1E" w:rsidRDefault="00384B6A" w:rsidP="00384B6A">
      <w:pPr>
        <w:spacing w:line="360" w:lineRule="auto"/>
        <w:jc w:val="both"/>
        <w:rPr>
          <w:rFonts w:ascii="Palatino Linotype" w:eastAsia="Palatino Linotype" w:hAnsi="Palatino Linotype" w:cs="Palatino Linotype"/>
          <w:sz w:val="24"/>
          <w:szCs w:val="24"/>
        </w:rPr>
      </w:pPr>
      <w:r w:rsidRPr="00897F1E">
        <w:rPr>
          <w:rFonts w:ascii="Palatino Linotype" w:eastAsia="Palatino Linotype" w:hAnsi="Palatino Linotype" w:cs="Palatino Linotype"/>
          <w:b/>
          <w:sz w:val="24"/>
          <w:szCs w:val="24"/>
        </w:rPr>
        <w:t xml:space="preserve">Primero. </w:t>
      </w:r>
      <w:r w:rsidRPr="00897F1E">
        <w:rPr>
          <w:rFonts w:ascii="Palatino Linotype" w:eastAsia="Palatino Linotype" w:hAnsi="Palatino Linotype" w:cs="Palatino Linotype"/>
          <w:sz w:val="24"/>
          <w:szCs w:val="24"/>
        </w:rPr>
        <w:t xml:space="preserve">Resultan </w:t>
      </w:r>
      <w:r w:rsidRPr="00897F1E">
        <w:rPr>
          <w:rFonts w:ascii="Palatino Linotype" w:eastAsia="Palatino Linotype" w:hAnsi="Palatino Linotype" w:cs="Palatino Linotype"/>
          <w:b/>
          <w:sz w:val="24"/>
          <w:szCs w:val="24"/>
        </w:rPr>
        <w:t>PARCIALMENTE FUNDADOS</w:t>
      </w:r>
      <w:r w:rsidRPr="00897F1E">
        <w:rPr>
          <w:rFonts w:ascii="Palatino Linotype" w:eastAsia="Palatino Linotype" w:hAnsi="Palatino Linotype" w:cs="Palatino Linotype"/>
          <w:sz w:val="24"/>
          <w:szCs w:val="24"/>
        </w:rPr>
        <w:t xml:space="preserve"> los motivos de inconformidad hechos valer por la parte </w:t>
      </w:r>
      <w:r w:rsidRPr="00897F1E">
        <w:rPr>
          <w:rFonts w:ascii="Palatino Linotype" w:eastAsia="Palatino Linotype" w:hAnsi="Palatino Linotype" w:cs="Palatino Linotype"/>
          <w:b/>
          <w:sz w:val="24"/>
          <w:szCs w:val="24"/>
        </w:rPr>
        <w:t>RECURRENTE</w:t>
      </w:r>
      <w:r w:rsidRPr="00897F1E">
        <w:rPr>
          <w:rFonts w:ascii="Palatino Linotype" w:eastAsia="Palatino Linotype" w:hAnsi="Palatino Linotype" w:cs="Palatino Linotype"/>
          <w:sz w:val="24"/>
          <w:szCs w:val="24"/>
        </w:rPr>
        <w:t xml:space="preserve"> en el Recurso de Revisión </w:t>
      </w:r>
      <w:r w:rsidRPr="00897F1E">
        <w:rPr>
          <w:rFonts w:ascii="Palatino Linotype" w:eastAsia="Palatino Linotype" w:hAnsi="Palatino Linotype" w:cs="Palatino Linotype"/>
          <w:b/>
          <w:sz w:val="24"/>
          <w:szCs w:val="24"/>
        </w:rPr>
        <w:t>13389/INFOEM/IP/RR/2022</w:t>
      </w:r>
      <w:r w:rsidR="00572968" w:rsidRPr="00897F1E">
        <w:rPr>
          <w:rFonts w:ascii="Palatino Linotype" w:eastAsia="Palatino Linotype" w:hAnsi="Palatino Linotype" w:cs="Palatino Linotype"/>
          <w:sz w:val="24"/>
          <w:szCs w:val="24"/>
        </w:rPr>
        <w:t>,</w:t>
      </w:r>
      <w:r w:rsidRPr="00897F1E">
        <w:rPr>
          <w:rFonts w:ascii="Palatino Linotype" w:eastAsia="Palatino Linotype" w:hAnsi="Palatino Linotype" w:cs="Palatino Linotype"/>
          <w:sz w:val="24"/>
          <w:szCs w:val="24"/>
        </w:rPr>
        <w:t xml:space="preserve"> por lo que, en términos del</w:t>
      </w:r>
      <w:r w:rsidRPr="00897F1E">
        <w:rPr>
          <w:rFonts w:ascii="Palatino Linotype" w:eastAsia="Palatino Linotype" w:hAnsi="Palatino Linotype" w:cs="Palatino Linotype"/>
          <w:b/>
          <w:sz w:val="24"/>
          <w:szCs w:val="24"/>
        </w:rPr>
        <w:t xml:space="preserve"> Considerando Cuarto </w:t>
      </w:r>
      <w:r w:rsidRPr="00897F1E">
        <w:rPr>
          <w:rFonts w:ascii="Palatino Linotype" w:eastAsia="Palatino Linotype" w:hAnsi="Palatino Linotype" w:cs="Palatino Linotype"/>
          <w:sz w:val="24"/>
          <w:szCs w:val="24"/>
        </w:rPr>
        <w:t xml:space="preserve">de esta resolución, se </w:t>
      </w:r>
      <w:r w:rsidRPr="00897F1E">
        <w:rPr>
          <w:rFonts w:ascii="Palatino Linotype" w:eastAsia="Palatino Linotype" w:hAnsi="Palatino Linotype" w:cs="Palatino Linotype"/>
          <w:b/>
          <w:sz w:val="24"/>
          <w:szCs w:val="24"/>
        </w:rPr>
        <w:t xml:space="preserve">MODIFICA </w:t>
      </w:r>
      <w:r w:rsidRPr="00897F1E">
        <w:rPr>
          <w:rFonts w:ascii="Palatino Linotype" w:eastAsia="Palatino Linotype" w:hAnsi="Palatino Linotype" w:cs="Palatino Linotype"/>
          <w:sz w:val="24"/>
          <w:szCs w:val="24"/>
        </w:rPr>
        <w:t xml:space="preserve">la respuesta emitida por el </w:t>
      </w:r>
      <w:r w:rsidRPr="00897F1E">
        <w:rPr>
          <w:rFonts w:ascii="Palatino Linotype" w:eastAsia="Palatino Linotype" w:hAnsi="Palatino Linotype" w:cs="Palatino Linotype"/>
          <w:b/>
          <w:sz w:val="24"/>
          <w:szCs w:val="24"/>
        </w:rPr>
        <w:t>SUJETO OBLIGADO</w:t>
      </w:r>
      <w:r w:rsidRPr="00897F1E">
        <w:rPr>
          <w:rFonts w:ascii="Palatino Linotype" w:eastAsia="Palatino Linotype" w:hAnsi="Palatino Linotype" w:cs="Palatino Linotype"/>
          <w:sz w:val="24"/>
          <w:szCs w:val="24"/>
        </w:rPr>
        <w:t>.</w:t>
      </w:r>
    </w:p>
    <w:p w:rsidR="00572968" w:rsidRPr="00897F1E" w:rsidRDefault="00572968" w:rsidP="00384B6A">
      <w:pPr>
        <w:spacing w:line="360" w:lineRule="auto"/>
        <w:jc w:val="both"/>
        <w:rPr>
          <w:rFonts w:ascii="Palatino Linotype" w:eastAsia="Palatino Linotype" w:hAnsi="Palatino Linotype" w:cs="Palatino Linotype"/>
          <w:sz w:val="24"/>
          <w:szCs w:val="24"/>
        </w:rPr>
      </w:pPr>
    </w:p>
    <w:p w:rsidR="00384B6A" w:rsidRPr="00897F1E" w:rsidRDefault="00384B6A" w:rsidP="00384B6A">
      <w:pPr>
        <w:spacing w:line="360" w:lineRule="auto"/>
        <w:jc w:val="both"/>
        <w:rPr>
          <w:rFonts w:ascii="Palatino Linotype" w:hAnsi="Palatino Linotype" w:cs="Arial"/>
          <w:sz w:val="24"/>
          <w:szCs w:val="24"/>
        </w:rPr>
      </w:pPr>
      <w:r w:rsidRPr="00897F1E">
        <w:rPr>
          <w:rFonts w:ascii="Palatino Linotype" w:eastAsia="Palatino Linotype" w:hAnsi="Palatino Linotype" w:cs="Palatino Linotype"/>
          <w:b/>
          <w:sz w:val="24"/>
          <w:szCs w:val="24"/>
        </w:rPr>
        <w:t xml:space="preserve">Segundo. </w:t>
      </w:r>
      <w:r w:rsidRPr="00897F1E">
        <w:rPr>
          <w:rFonts w:ascii="Palatino Linotype" w:eastAsia="Palatino Linotype" w:hAnsi="Palatino Linotype" w:cs="Palatino Linotype"/>
          <w:sz w:val="24"/>
          <w:szCs w:val="24"/>
        </w:rPr>
        <w:t>Se</w:t>
      </w:r>
      <w:r w:rsidRPr="00897F1E">
        <w:rPr>
          <w:rFonts w:ascii="Palatino Linotype" w:eastAsia="Palatino Linotype" w:hAnsi="Palatino Linotype" w:cs="Palatino Linotype"/>
          <w:b/>
          <w:sz w:val="24"/>
          <w:szCs w:val="24"/>
        </w:rPr>
        <w:t xml:space="preserve"> ORDENA </w:t>
      </w:r>
      <w:r w:rsidRPr="00897F1E">
        <w:rPr>
          <w:rFonts w:ascii="Palatino Linotype" w:eastAsia="Palatino Linotype" w:hAnsi="Palatino Linotype" w:cs="Palatino Linotype"/>
          <w:sz w:val="24"/>
          <w:szCs w:val="24"/>
        </w:rPr>
        <w:t xml:space="preserve">al </w:t>
      </w:r>
      <w:r w:rsidRPr="00897F1E">
        <w:rPr>
          <w:rFonts w:ascii="Palatino Linotype" w:eastAsia="Palatino Linotype" w:hAnsi="Palatino Linotype" w:cs="Palatino Linotype"/>
          <w:b/>
          <w:sz w:val="24"/>
          <w:szCs w:val="24"/>
        </w:rPr>
        <w:t>SUJETO OBLIGADO</w:t>
      </w:r>
      <w:r w:rsidRPr="00897F1E">
        <w:rPr>
          <w:rFonts w:ascii="Palatino Linotype" w:eastAsia="Palatino Linotype" w:hAnsi="Palatino Linotype" w:cs="Palatino Linotype"/>
          <w:sz w:val="24"/>
          <w:szCs w:val="24"/>
        </w:rPr>
        <w:t xml:space="preserve"> a que,</w:t>
      </w:r>
      <w:r w:rsidRPr="00897F1E">
        <w:rPr>
          <w:rFonts w:ascii="Palatino Linotype" w:eastAsia="Palatino Linotype" w:hAnsi="Palatino Linotype" w:cs="Palatino Linotype"/>
          <w:b/>
          <w:sz w:val="24"/>
          <w:szCs w:val="24"/>
        </w:rPr>
        <w:t xml:space="preserve"> </w:t>
      </w:r>
      <w:r w:rsidRPr="00897F1E">
        <w:rPr>
          <w:rFonts w:ascii="Palatino Linotype" w:eastAsia="Palatino Linotype" w:hAnsi="Palatino Linotype" w:cs="Palatino Linotype"/>
          <w:sz w:val="24"/>
          <w:szCs w:val="24"/>
        </w:rPr>
        <w:t xml:space="preserve">en términos del Considerando Cuarto, haga entrega vía </w:t>
      </w:r>
      <w:r w:rsidR="00572968" w:rsidRPr="00897F1E">
        <w:rPr>
          <w:rFonts w:ascii="Palatino Linotype" w:eastAsia="Palatino Linotype" w:hAnsi="Palatino Linotype" w:cs="Palatino Linotype"/>
          <w:sz w:val="24"/>
          <w:szCs w:val="24"/>
        </w:rPr>
        <w:t>Sistema de Acceso a la Información Mexiquense,</w:t>
      </w:r>
      <w:r w:rsidRPr="00897F1E">
        <w:rPr>
          <w:rFonts w:ascii="Palatino Linotype" w:eastAsia="Palatino Linotype" w:hAnsi="Palatino Linotype" w:cs="Palatino Linotype"/>
          <w:sz w:val="24"/>
          <w:szCs w:val="24"/>
        </w:rPr>
        <w:t xml:space="preserve"> </w:t>
      </w:r>
      <w:r w:rsidR="00572968" w:rsidRPr="00897F1E">
        <w:rPr>
          <w:rFonts w:ascii="Palatino Linotype" w:eastAsia="Palatino Linotype" w:hAnsi="Palatino Linotype" w:cs="Palatino Linotype"/>
          <w:sz w:val="24"/>
          <w:szCs w:val="24"/>
        </w:rPr>
        <w:t xml:space="preserve">de lo siguiente: </w:t>
      </w:r>
    </w:p>
    <w:p w:rsidR="00572968" w:rsidRPr="00897F1E" w:rsidRDefault="00572968" w:rsidP="00384B6A">
      <w:pPr>
        <w:spacing w:line="360" w:lineRule="auto"/>
        <w:jc w:val="both"/>
        <w:rPr>
          <w:rFonts w:ascii="Palatino Linotype" w:hAnsi="Palatino Linotype"/>
          <w:sz w:val="24"/>
          <w:szCs w:val="24"/>
          <w:shd w:val="clear" w:color="auto" w:fill="FFFFFF"/>
        </w:rPr>
      </w:pPr>
    </w:p>
    <w:p w:rsidR="00572968" w:rsidRPr="00897F1E" w:rsidRDefault="00384B6A" w:rsidP="00384B6A">
      <w:pPr>
        <w:pStyle w:val="Prrafodelista"/>
        <w:numPr>
          <w:ilvl w:val="0"/>
          <w:numId w:val="15"/>
        </w:numPr>
        <w:spacing w:line="360" w:lineRule="auto"/>
        <w:ind w:right="49"/>
        <w:contextualSpacing w:val="0"/>
        <w:jc w:val="both"/>
        <w:rPr>
          <w:rFonts w:ascii="Palatino Linotype" w:eastAsia="Palatino Linotype" w:hAnsi="Palatino Linotype" w:cs="Palatino Linotype"/>
          <w:sz w:val="24"/>
        </w:rPr>
      </w:pPr>
      <w:r w:rsidRPr="00897F1E">
        <w:rPr>
          <w:rFonts w:ascii="Palatino Linotype" w:hAnsi="Palatino Linotype" w:cs="Tahoma"/>
        </w:rPr>
        <w:t xml:space="preserve">El acuerdo de clasificación emitido por el Comité de Transparencia, en donde de manera </w:t>
      </w:r>
      <w:r w:rsidR="00572968" w:rsidRPr="00897F1E">
        <w:rPr>
          <w:rFonts w:ascii="Palatino Linotype" w:hAnsi="Palatino Linotype" w:cs="Tahoma"/>
        </w:rPr>
        <w:t xml:space="preserve">debidamente </w:t>
      </w:r>
      <w:r w:rsidRPr="00897F1E">
        <w:rPr>
          <w:rFonts w:ascii="Palatino Linotype" w:hAnsi="Palatino Linotype" w:cs="Tahoma"/>
        </w:rPr>
        <w:t>fundada y motivada, a través de una prueba de daño, confirme la clasificación como reservada, en términos d</w:t>
      </w:r>
      <w:r w:rsidR="00572968" w:rsidRPr="00897F1E">
        <w:rPr>
          <w:rFonts w:ascii="Palatino Linotype" w:hAnsi="Palatino Linotype" w:cs="Tahoma"/>
        </w:rPr>
        <w:t>el artículo 140, fracción VIII</w:t>
      </w:r>
      <w:r w:rsidRPr="00897F1E">
        <w:rPr>
          <w:rFonts w:ascii="Palatino Linotype" w:hAnsi="Palatino Linotype" w:cs="Tahoma"/>
        </w:rPr>
        <w:t xml:space="preserve"> de la Ley </w:t>
      </w:r>
      <w:r w:rsidRPr="00897F1E">
        <w:rPr>
          <w:rFonts w:ascii="Palatino Linotype" w:hAnsi="Palatino Linotype" w:cs="Tahoma"/>
        </w:rPr>
        <w:lastRenderedPageBreak/>
        <w:t>de Transparencia y Acceso a la Información Pública del</w:t>
      </w:r>
      <w:r w:rsidR="00572968" w:rsidRPr="00897F1E">
        <w:rPr>
          <w:rFonts w:ascii="Palatino Linotype" w:hAnsi="Palatino Linotype" w:cs="Tahoma"/>
        </w:rPr>
        <w:t xml:space="preserve"> Estado de México y Municipios, del </w:t>
      </w:r>
      <w:r w:rsidR="00161849" w:rsidRPr="00897F1E">
        <w:rPr>
          <w:rFonts w:ascii="Palatino Linotype" w:eastAsia="Palatino Linotype" w:hAnsi="Palatino Linotype" w:cs="Palatino Linotype"/>
        </w:rPr>
        <w:t xml:space="preserve">expediente </w:t>
      </w:r>
      <w:r w:rsidR="00C84A68" w:rsidRPr="00897F1E">
        <w:rPr>
          <w:rFonts w:ascii="Palatino Linotype" w:eastAsia="Palatino Linotype" w:hAnsi="Palatino Linotype" w:cs="Palatino Linotype"/>
          <w:i/>
          <w:color w:val="0D0D0D"/>
          <w:szCs w:val="22"/>
        </w:rPr>
        <w:t xml:space="preserve">PROPAEM-2021-07/VM/0466. </w:t>
      </w:r>
    </w:p>
    <w:p w:rsidR="00D139C5" w:rsidRPr="00897F1E" w:rsidRDefault="00D139C5" w:rsidP="00D139C5">
      <w:pPr>
        <w:pStyle w:val="Prrafodelista"/>
        <w:spacing w:line="360" w:lineRule="auto"/>
        <w:ind w:right="49"/>
        <w:contextualSpacing w:val="0"/>
        <w:jc w:val="both"/>
        <w:rPr>
          <w:rFonts w:ascii="Palatino Linotype" w:eastAsia="Palatino Linotype" w:hAnsi="Palatino Linotype" w:cs="Palatino Linotype"/>
          <w:sz w:val="24"/>
        </w:rPr>
      </w:pPr>
    </w:p>
    <w:p w:rsidR="00384B6A" w:rsidRPr="00897F1E" w:rsidRDefault="00384B6A" w:rsidP="00572968">
      <w:pPr>
        <w:spacing w:line="360" w:lineRule="auto"/>
        <w:ind w:right="49"/>
        <w:jc w:val="both"/>
        <w:rPr>
          <w:rFonts w:ascii="Palatino Linotype" w:eastAsia="Palatino Linotype" w:hAnsi="Palatino Linotype" w:cs="Palatino Linotype"/>
          <w:sz w:val="24"/>
        </w:rPr>
      </w:pPr>
      <w:r w:rsidRPr="00897F1E">
        <w:rPr>
          <w:rFonts w:ascii="Palatino Linotype" w:eastAsia="Palatino Linotype" w:hAnsi="Palatino Linotype" w:cs="Palatino Linotype"/>
          <w:b/>
          <w:color w:val="000000"/>
          <w:sz w:val="24"/>
        </w:rPr>
        <w:t xml:space="preserve">Tercero. Notifíquese, </w:t>
      </w:r>
      <w:r w:rsidRPr="00897F1E">
        <w:rPr>
          <w:rFonts w:ascii="Palatino Linotype" w:eastAsia="Palatino Linotype" w:hAnsi="Palatino Linotype" w:cs="Palatino Linotype"/>
          <w:color w:val="000000"/>
          <w:sz w:val="24"/>
        </w:rPr>
        <w:t xml:space="preserve">vía </w:t>
      </w:r>
      <w:r w:rsidRPr="00897F1E">
        <w:rPr>
          <w:rFonts w:ascii="Palatino Linotype" w:eastAsia="Palatino Linotype" w:hAnsi="Palatino Linotype" w:cs="Palatino Linotype"/>
          <w:b/>
          <w:color w:val="000000"/>
          <w:sz w:val="24"/>
        </w:rPr>
        <w:t>SAIMEX</w:t>
      </w:r>
      <w:r w:rsidRPr="00897F1E">
        <w:rPr>
          <w:rFonts w:ascii="Palatino Linotype" w:eastAsia="Palatino Linotype" w:hAnsi="Palatino Linotype" w:cs="Palatino Linotype"/>
          <w:color w:val="000000"/>
          <w:sz w:val="24"/>
        </w:rPr>
        <w:t xml:space="preserve">, al Titular de la Unidad de Transparencia del </w:t>
      </w:r>
      <w:r w:rsidRPr="00897F1E">
        <w:rPr>
          <w:rFonts w:ascii="Palatino Linotype" w:eastAsia="Palatino Linotype" w:hAnsi="Palatino Linotype" w:cs="Palatino Linotype"/>
          <w:b/>
          <w:color w:val="000000"/>
          <w:sz w:val="24"/>
        </w:rPr>
        <w:t>Sujeto Obligado,</w:t>
      </w:r>
      <w:r w:rsidRPr="00897F1E">
        <w:rPr>
          <w:rFonts w:ascii="Palatino Linotype" w:eastAsia="Palatino Linotype" w:hAnsi="Palatino Linotype" w:cs="Palatino Linotype"/>
          <w:color w:val="000000"/>
          <w:sz w:val="24"/>
        </w:rPr>
        <w:t xml:space="preserve"> la presente resolución para que conforme a los artículos 186, último párrafo y 189, párrafo segundo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r w:rsidRPr="00897F1E">
        <w:rPr>
          <w:rFonts w:ascii="Palatino Linotype" w:eastAsia="Palatino Linotype" w:hAnsi="Palatino Linotype" w:cs="Palatino Linotype"/>
          <w:sz w:val="24"/>
        </w:rPr>
        <w:t>.</w:t>
      </w:r>
    </w:p>
    <w:p w:rsidR="00384B6A" w:rsidRPr="00897F1E" w:rsidRDefault="00384B6A" w:rsidP="00384B6A">
      <w:pPr>
        <w:spacing w:line="360" w:lineRule="auto"/>
        <w:ind w:right="49"/>
        <w:jc w:val="both"/>
        <w:rPr>
          <w:rFonts w:ascii="Palatino Linotype" w:eastAsia="Palatino Linotype" w:hAnsi="Palatino Linotype" w:cs="Palatino Linotype"/>
          <w:b/>
          <w:sz w:val="24"/>
          <w:szCs w:val="24"/>
        </w:rPr>
      </w:pPr>
    </w:p>
    <w:p w:rsidR="00384B6A" w:rsidRPr="00897F1E" w:rsidRDefault="00384B6A" w:rsidP="00384B6A">
      <w:pPr>
        <w:spacing w:line="360" w:lineRule="auto"/>
        <w:jc w:val="both"/>
        <w:rPr>
          <w:rFonts w:ascii="Palatino Linotype" w:hAnsi="Palatino Linotype" w:cs="Arial"/>
          <w:sz w:val="24"/>
          <w:szCs w:val="24"/>
        </w:rPr>
      </w:pPr>
      <w:r w:rsidRPr="00897F1E">
        <w:rPr>
          <w:rFonts w:ascii="Palatino Linotype" w:hAnsi="Palatino Linotype" w:cs="Arial"/>
          <w:b/>
          <w:sz w:val="24"/>
          <w:szCs w:val="24"/>
        </w:rPr>
        <w:t xml:space="preserve">Cuarto. </w:t>
      </w:r>
      <w:r w:rsidRPr="00897F1E">
        <w:rPr>
          <w:rFonts w:ascii="Palatino Linotype" w:hAnsi="Palatino Linotype" w:cs="Arial"/>
          <w:b/>
          <w:bCs/>
          <w:sz w:val="24"/>
          <w:szCs w:val="24"/>
          <w:shd w:val="clear" w:color="auto" w:fill="FFFFFF"/>
        </w:rPr>
        <w:t>Notifíquese vía SAIMEX</w:t>
      </w:r>
      <w:r w:rsidRPr="00897F1E">
        <w:rPr>
          <w:rFonts w:ascii="Palatino Linotype" w:hAnsi="Palatino Linotype" w:cs="Arial"/>
          <w:sz w:val="24"/>
          <w:szCs w:val="24"/>
        </w:rPr>
        <w:t xml:space="preserve">  a la parte </w:t>
      </w:r>
      <w:r w:rsidRPr="00897F1E">
        <w:rPr>
          <w:rFonts w:ascii="Palatino Linotype" w:hAnsi="Palatino Linotype" w:cs="Arial"/>
          <w:b/>
          <w:sz w:val="24"/>
          <w:szCs w:val="24"/>
        </w:rPr>
        <w:t>RECURRENTE</w:t>
      </w:r>
      <w:r w:rsidRPr="00897F1E">
        <w:rPr>
          <w:rFonts w:ascii="Palatino Linotype" w:hAnsi="Palatino Linotype" w:cs="Arial"/>
          <w:sz w:val="24"/>
          <w:szCs w:val="24"/>
        </w:rPr>
        <w:t>, la presente resolución, así como, que de conformidad con lo establecido en el artículo 196 de la Ley de Transparencia y Acceso a la Información Pública del Estado de México y Municipios, y con lo establecido en los artículos 159 y 160 de la Ley General de Transparencia y Acceso a la Información Pública, podrá impugnarla vía recurso de inconformidad ante el Instituto Nacional de Transparencia, Acceso a la Información y Protección de Datos Personales, o bien, vía Juicio de Amparo en los términos de las leyes aplicables.</w:t>
      </w:r>
    </w:p>
    <w:p w:rsidR="00572968" w:rsidRPr="00897F1E" w:rsidRDefault="00572968" w:rsidP="00384B6A">
      <w:pPr>
        <w:spacing w:line="360" w:lineRule="auto"/>
        <w:jc w:val="both"/>
        <w:rPr>
          <w:rFonts w:ascii="Palatino Linotype" w:hAnsi="Palatino Linotype" w:cs="Arial"/>
          <w:sz w:val="24"/>
          <w:szCs w:val="24"/>
        </w:rPr>
      </w:pPr>
    </w:p>
    <w:p w:rsidR="00384B6A" w:rsidRPr="00897F1E" w:rsidRDefault="00384B6A" w:rsidP="00384B6A">
      <w:pPr>
        <w:spacing w:line="360" w:lineRule="auto"/>
        <w:jc w:val="both"/>
        <w:rPr>
          <w:rFonts w:ascii="Palatino Linotype" w:eastAsia="Palatino Linotype" w:hAnsi="Palatino Linotype" w:cs="Palatino Linotype"/>
          <w:sz w:val="24"/>
          <w:szCs w:val="24"/>
        </w:rPr>
      </w:pPr>
      <w:r w:rsidRPr="00897F1E">
        <w:rPr>
          <w:rFonts w:ascii="Palatino Linotype" w:eastAsia="Palatino Linotype" w:hAnsi="Palatino Linotype" w:cs="Palatino Linotype"/>
          <w:b/>
          <w:sz w:val="24"/>
          <w:szCs w:val="24"/>
        </w:rPr>
        <w:lastRenderedPageBreak/>
        <w:t>Quinto.</w:t>
      </w:r>
      <w:r w:rsidRPr="00897F1E">
        <w:rPr>
          <w:rFonts w:ascii="Palatino Linotype" w:eastAsia="Palatino Linotype" w:hAnsi="Palatino Linotype" w:cs="Palatino Linotype"/>
          <w:sz w:val="24"/>
          <w:szCs w:val="24"/>
        </w:rPr>
        <w:t xml:space="preserve"> De conformidad con el artículo 198 de la Ley de Transparencia y Acceso a la Información Pública del Estado de México y Municipios, de considerarlo procedente, el </w:t>
      </w:r>
      <w:r w:rsidRPr="00897F1E">
        <w:rPr>
          <w:rFonts w:ascii="Palatino Linotype" w:eastAsia="Palatino Linotype" w:hAnsi="Palatino Linotype" w:cs="Palatino Linotype"/>
          <w:b/>
          <w:sz w:val="24"/>
          <w:szCs w:val="24"/>
        </w:rPr>
        <w:t xml:space="preserve">SUJETO OBLIGADO </w:t>
      </w:r>
      <w:r w:rsidRPr="00897F1E">
        <w:rPr>
          <w:rFonts w:ascii="Palatino Linotype" w:eastAsia="Palatino Linotype" w:hAnsi="Palatino Linotype" w:cs="Palatino Linotype"/>
          <w:sz w:val="24"/>
          <w:szCs w:val="24"/>
        </w:rPr>
        <w:t>de manera fundada y motivada, podrá solicitar una ampliación de plazo para el cumplimiento de la presente resolución.</w:t>
      </w:r>
    </w:p>
    <w:p w:rsidR="006025A5" w:rsidRPr="00897F1E" w:rsidRDefault="006025A5" w:rsidP="00384B6A">
      <w:pPr>
        <w:spacing w:line="360" w:lineRule="auto"/>
        <w:jc w:val="both"/>
        <w:rPr>
          <w:rFonts w:ascii="Palatino Linotype" w:eastAsia="Palatino Linotype" w:hAnsi="Palatino Linotype" w:cs="Palatino Linotype"/>
          <w:b/>
          <w:sz w:val="24"/>
          <w:szCs w:val="24"/>
        </w:rPr>
      </w:pPr>
    </w:p>
    <w:p w:rsidR="001A4767" w:rsidRDefault="00384B6A">
      <w:pPr>
        <w:spacing w:line="360" w:lineRule="auto"/>
        <w:jc w:val="both"/>
        <w:rPr>
          <w:rFonts w:ascii="Palatino Linotype" w:eastAsia="Palatino Linotype" w:hAnsi="Palatino Linotype" w:cs="Palatino Linotype"/>
          <w:color w:val="0D0D0D"/>
          <w:sz w:val="24"/>
          <w:szCs w:val="24"/>
        </w:rPr>
      </w:pPr>
      <w:r w:rsidRPr="00897F1E">
        <w:rPr>
          <w:rFonts w:ascii="Palatino Linotype" w:eastAsia="Palatino Linotype" w:hAnsi="Palatino Linotype" w:cs="Palatino Linotype"/>
          <w:color w:val="0D0D0D"/>
          <w:sz w:val="24"/>
          <w:szCs w:val="24"/>
        </w:rPr>
        <w:t xml:space="preserve">ASÍ LO RESUELVE, POR </w:t>
      </w:r>
      <w:r w:rsidR="006025A5" w:rsidRPr="00897F1E">
        <w:rPr>
          <w:rFonts w:ascii="Palatino Linotype" w:eastAsia="Palatino Linotype" w:hAnsi="Palatino Linotype" w:cs="Palatino Linotype"/>
          <w:color w:val="0D0D0D"/>
          <w:sz w:val="24"/>
          <w:szCs w:val="24"/>
        </w:rPr>
        <w:t xml:space="preserve">MAYORÍA </w:t>
      </w:r>
      <w:r w:rsidRPr="00897F1E">
        <w:rPr>
          <w:rFonts w:ascii="Palatino Linotype" w:eastAsia="Palatino Linotype" w:hAnsi="Palatino Linotype" w:cs="Palatino Linotype"/>
          <w:color w:val="0D0D0D"/>
          <w:sz w:val="24"/>
          <w:szCs w:val="24"/>
        </w:rPr>
        <w:t>DE VOTOS, EL PLENO DEL INSTITUTO DE TRANSPARENCIA, ACCESO A LA INFORMACIÓN PÚBLICA Y PROTECCIÓN DE DATOS PERSONALES DEL ESTADO DE MÉXICO Y MUNICIPIOS, CONFORMADO POR LOS COMISIONADOS JOSÉ MARTÍNEZ VILCHIS; MARÍA DEL ROSARIO MEJÍA AYALA</w:t>
      </w:r>
      <w:r w:rsidR="006025A5" w:rsidRPr="00897F1E">
        <w:rPr>
          <w:rFonts w:ascii="Palatino Linotype" w:eastAsia="Palatino Linotype" w:hAnsi="Palatino Linotype" w:cs="Palatino Linotype"/>
          <w:color w:val="0D0D0D"/>
          <w:sz w:val="24"/>
          <w:szCs w:val="24"/>
        </w:rPr>
        <w:t xml:space="preserve"> EMITIENDO VOTO DISIDENTE</w:t>
      </w:r>
      <w:r w:rsidRPr="00897F1E">
        <w:rPr>
          <w:rFonts w:ascii="Palatino Linotype" w:eastAsia="Palatino Linotype" w:hAnsi="Palatino Linotype" w:cs="Palatino Linotype"/>
          <w:color w:val="0D0D0D"/>
          <w:sz w:val="24"/>
          <w:szCs w:val="24"/>
        </w:rPr>
        <w:t>, SHARON CRISTINA MORALES MARTÍNEZ; LUIS GUSTAVO PARRA NORIEGA</w:t>
      </w:r>
      <w:r w:rsidR="006025A5" w:rsidRPr="00897F1E">
        <w:rPr>
          <w:rFonts w:ascii="Palatino Linotype" w:eastAsia="Palatino Linotype" w:hAnsi="Palatino Linotype" w:cs="Palatino Linotype"/>
          <w:color w:val="0D0D0D"/>
          <w:sz w:val="24"/>
          <w:szCs w:val="24"/>
        </w:rPr>
        <w:t xml:space="preserve"> EMITIENDO VOTO PARTICULAR</w:t>
      </w:r>
      <w:r w:rsidRPr="00897F1E">
        <w:rPr>
          <w:rFonts w:ascii="Palatino Linotype" w:eastAsia="Palatino Linotype" w:hAnsi="Palatino Linotype" w:cs="Palatino Linotype"/>
          <w:color w:val="0D0D0D"/>
          <w:sz w:val="24"/>
          <w:szCs w:val="24"/>
        </w:rPr>
        <w:t xml:space="preserve"> Y GUADALUPE RAMÍREZ PEÑA; EN LA TRIGÉSIMA SEXTA SESIÓN ORDINARIA CELEBRADA EL TRES DE OCTUBRE DE DOS MIL VEINTITRÉS, ANTE EL SECRETARIO TÉCNICO DEL PLENO, ALEXIS TAPIA RAMÍREZ.</w:t>
      </w:r>
      <w:r>
        <w:rPr>
          <w:rFonts w:ascii="Palatino Linotype" w:eastAsia="Palatino Linotype" w:hAnsi="Palatino Linotype" w:cs="Palatino Linotype"/>
          <w:color w:val="0D0D0D"/>
          <w:sz w:val="24"/>
          <w:szCs w:val="24"/>
        </w:rPr>
        <w:t xml:space="preserve"> </w:t>
      </w:r>
    </w:p>
    <w:p w:rsidR="00897F1E" w:rsidRDefault="00897F1E">
      <w:pPr>
        <w:spacing w:line="360" w:lineRule="auto"/>
        <w:jc w:val="both"/>
        <w:rPr>
          <w:rFonts w:ascii="Palatino Linotype" w:eastAsia="Palatino Linotype" w:hAnsi="Palatino Linotype" w:cs="Palatino Linotype"/>
          <w:color w:val="0D0D0D"/>
          <w:sz w:val="24"/>
          <w:szCs w:val="24"/>
        </w:rPr>
      </w:pPr>
    </w:p>
    <w:p w:rsidR="00897F1E" w:rsidRDefault="00897F1E">
      <w:pPr>
        <w:spacing w:line="360" w:lineRule="auto"/>
        <w:jc w:val="both"/>
        <w:rPr>
          <w:rFonts w:ascii="Palatino Linotype" w:eastAsia="Palatino Linotype" w:hAnsi="Palatino Linotype" w:cs="Palatino Linotype"/>
          <w:color w:val="0D0D0D"/>
          <w:sz w:val="24"/>
          <w:szCs w:val="24"/>
        </w:rPr>
      </w:pPr>
    </w:p>
    <w:p w:rsidR="00897F1E" w:rsidRDefault="00897F1E">
      <w:pPr>
        <w:spacing w:line="360" w:lineRule="auto"/>
        <w:jc w:val="both"/>
        <w:rPr>
          <w:rFonts w:ascii="Palatino Linotype" w:eastAsia="Palatino Linotype" w:hAnsi="Palatino Linotype" w:cs="Palatino Linotype"/>
          <w:color w:val="0D0D0D"/>
          <w:sz w:val="24"/>
          <w:szCs w:val="24"/>
        </w:rPr>
      </w:pPr>
    </w:p>
    <w:p w:rsidR="00897F1E" w:rsidRDefault="00897F1E">
      <w:pPr>
        <w:spacing w:line="360" w:lineRule="auto"/>
        <w:jc w:val="both"/>
        <w:rPr>
          <w:rFonts w:ascii="Palatino Linotype" w:eastAsia="Palatino Linotype" w:hAnsi="Palatino Linotype" w:cs="Palatino Linotype"/>
          <w:color w:val="0D0D0D"/>
          <w:sz w:val="24"/>
          <w:szCs w:val="24"/>
        </w:rPr>
      </w:pPr>
    </w:p>
    <w:p w:rsidR="00897F1E" w:rsidRDefault="00897F1E">
      <w:pPr>
        <w:spacing w:line="360" w:lineRule="auto"/>
        <w:jc w:val="both"/>
        <w:rPr>
          <w:rFonts w:ascii="Palatino Linotype" w:eastAsia="Palatino Linotype" w:hAnsi="Palatino Linotype" w:cs="Palatino Linotype"/>
          <w:color w:val="0D0D0D"/>
          <w:sz w:val="24"/>
          <w:szCs w:val="24"/>
        </w:rPr>
      </w:pPr>
    </w:p>
    <w:p w:rsidR="00897F1E" w:rsidRDefault="00897F1E">
      <w:pPr>
        <w:spacing w:line="360" w:lineRule="auto"/>
        <w:jc w:val="both"/>
        <w:rPr>
          <w:rFonts w:ascii="Palatino Linotype" w:eastAsia="Palatino Linotype" w:hAnsi="Palatino Linotype" w:cs="Palatino Linotype"/>
          <w:color w:val="0D0D0D"/>
          <w:sz w:val="24"/>
          <w:szCs w:val="24"/>
        </w:rPr>
      </w:pPr>
    </w:p>
    <w:p w:rsidR="00897F1E" w:rsidRDefault="00897F1E">
      <w:pPr>
        <w:spacing w:line="360" w:lineRule="auto"/>
        <w:jc w:val="both"/>
        <w:rPr>
          <w:rFonts w:ascii="Palatino Linotype" w:eastAsia="Palatino Linotype" w:hAnsi="Palatino Linotype" w:cs="Palatino Linotype"/>
          <w:color w:val="0D0D0D"/>
          <w:sz w:val="24"/>
          <w:szCs w:val="24"/>
        </w:rPr>
      </w:pPr>
    </w:p>
    <w:p w:rsidR="00897F1E" w:rsidRDefault="00897F1E">
      <w:pPr>
        <w:spacing w:line="360" w:lineRule="auto"/>
        <w:jc w:val="both"/>
        <w:rPr>
          <w:rFonts w:ascii="Palatino Linotype" w:eastAsia="Palatino Linotype" w:hAnsi="Palatino Linotype" w:cs="Palatino Linotype"/>
          <w:color w:val="0D0D0D"/>
          <w:sz w:val="24"/>
          <w:szCs w:val="24"/>
        </w:rPr>
      </w:pPr>
    </w:p>
    <w:p w:rsidR="00897F1E" w:rsidRDefault="00897F1E">
      <w:pPr>
        <w:spacing w:line="360" w:lineRule="auto"/>
        <w:jc w:val="both"/>
        <w:rPr>
          <w:rFonts w:ascii="Palatino Linotype" w:eastAsia="Palatino Linotype" w:hAnsi="Palatino Linotype" w:cs="Palatino Linotype"/>
          <w:color w:val="0D0D0D"/>
          <w:sz w:val="24"/>
          <w:szCs w:val="24"/>
        </w:rPr>
      </w:pPr>
    </w:p>
    <w:p w:rsidR="00897F1E" w:rsidRDefault="00897F1E">
      <w:pPr>
        <w:spacing w:line="360" w:lineRule="auto"/>
        <w:jc w:val="both"/>
        <w:rPr>
          <w:rFonts w:ascii="Palatino Linotype" w:eastAsia="Palatino Linotype" w:hAnsi="Palatino Linotype" w:cs="Palatino Linotype"/>
          <w:color w:val="0D0D0D"/>
          <w:sz w:val="24"/>
          <w:szCs w:val="24"/>
        </w:rPr>
      </w:pPr>
    </w:p>
    <w:p w:rsidR="00897F1E" w:rsidRDefault="00897F1E">
      <w:pPr>
        <w:spacing w:line="360" w:lineRule="auto"/>
        <w:jc w:val="both"/>
        <w:rPr>
          <w:rFonts w:ascii="Palatino Linotype" w:eastAsia="Palatino Linotype" w:hAnsi="Palatino Linotype" w:cs="Palatino Linotype"/>
          <w:color w:val="0D0D0D"/>
          <w:sz w:val="24"/>
          <w:szCs w:val="24"/>
        </w:rPr>
      </w:pPr>
    </w:p>
    <w:p w:rsidR="00897F1E" w:rsidRDefault="00897F1E">
      <w:pPr>
        <w:spacing w:line="360" w:lineRule="auto"/>
        <w:jc w:val="both"/>
        <w:rPr>
          <w:rFonts w:ascii="Palatino Linotype" w:eastAsia="Palatino Linotype" w:hAnsi="Palatino Linotype" w:cs="Palatino Linotype"/>
          <w:color w:val="0D0D0D"/>
          <w:sz w:val="24"/>
          <w:szCs w:val="24"/>
        </w:rPr>
      </w:pPr>
    </w:p>
    <w:p w:rsidR="00897F1E" w:rsidRDefault="00897F1E">
      <w:pPr>
        <w:spacing w:line="360" w:lineRule="auto"/>
        <w:jc w:val="both"/>
        <w:rPr>
          <w:rFonts w:ascii="Palatino Linotype" w:eastAsia="Palatino Linotype" w:hAnsi="Palatino Linotype" w:cs="Palatino Linotype"/>
          <w:color w:val="0D0D0D"/>
          <w:sz w:val="24"/>
          <w:szCs w:val="24"/>
        </w:rPr>
      </w:pPr>
    </w:p>
    <w:p w:rsidR="00897F1E" w:rsidRDefault="00897F1E">
      <w:pPr>
        <w:spacing w:line="360" w:lineRule="auto"/>
        <w:jc w:val="both"/>
        <w:rPr>
          <w:rFonts w:ascii="Palatino Linotype" w:eastAsia="Palatino Linotype" w:hAnsi="Palatino Linotype" w:cs="Palatino Linotype"/>
          <w:color w:val="0D0D0D"/>
          <w:sz w:val="24"/>
          <w:szCs w:val="24"/>
        </w:rPr>
      </w:pPr>
    </w:p>
    <w:p w:rsidR="00897F1E" w:rsidRDefault="00897F1E">
      <w:pPr>
        <w:spacing w:line="360" w:lineRule="auto"/>
        <w:jc w:val="both"/>
        <w:rPr>
          <w:rFonts w:ascii="Palatino Linotype" w:eastAsia="Palatino Linotype" w:hAnsi="Palatino Linotype" w:cs="Palatino Linotype"/>
          <w:color w:val="0D0D0D"/>
          <w:sz w:val="24"/>
          <w:szCs w:val="24"/>
        </w:rPr>
      </w:pPr>
    </w:p>
    <w:p w:rsidR="00897F1E" w:rsidRDefault="00897F1E">
      <w:pPr>
        <w:spacing w:line="360" w:lineRule="auto"/>
        <w:jc w:val="both"/>
        <w:rPr>
          <w:rFonts w:ascii="Palatino Linotype" w:eastAsia="Palatino Linotype" w:hAnsi="Palatino Linotype" w:cs="Palatino Linotype"/>
          <w:color w:val="0D0D0D"/>
          <w:sz w:val="24"/>
          <w:szCs w:val="24"/>
        </w:rPr>
      </w:pPr>
    </w:p>
    <w:p w:rsidR="00897F1E" w:rsidRDefault="00897F1E">
      <w:pPr>
        <w:spacing w:line="360" w:lineRule="auto"/>
        <w:jc w:val="both"/>
        <w:rPr>
          <w:rFonts w:ascii="Palatino Linotype" w:eastAsia="Palatino Linotype" w:hAnsi="Palatino Linotype" w:cs="Palatino Linotype"/>
          <w:color w:val="0D0D0D"/>
          <w:sz w:val="24"/>
          <w:szCs w:val="24"/>
        </w:rPr>
      </w:pPr>
    </w:p>
    <w:p w:rsidR="00897F1E" w:rsidRDefault="00897F1E">
      <w:pPr>
        <w:spacing w:line="360" w:lineRule="auto"/>
        <w:jc w:val="both"/>
        <w:rPr>
          <w:rFonts w:ascii="Palatino Linotype" w:eastAsia="Palatino Linotype" w:hAnsi="Palatino Linotype" w:cs="Palatino Linotype"/>
          <w:color w:val="0D0D0D"/>
          <w:sz w:val="24"/>
          <w:szCs w:val="24"/>
        </w:rPr>
      </w:pPr>
    </w:p>
    <w:p w:rsidR="00897F1E" w:rsidRDefault="00897F1E">
      <w:pPr>
        <w:spacing w:line="360" w:lineRule="auto"/>
        <w:jc w:val="both"/>
        <w:rPr>
          <w:rFonts w:ascii="Palatino Linotype" w:eastAsia="Palatino Linotype" w:hAnsi="Palatino Linotype" w:cs="Palatino Linotype"/>
          <w:color w:val="0D0D0D"/>
          <w:sz w:val="24"/>
          <w:szCs w:val="24"/>
        </w:rPr>
      </w:pPr>
    </w:p>
    <w:p w:rsidR="001A4767" w:rsidRDefault="001A4767">
      <w:pPr>
        <w:spacing w:line="360" w:lineRule="auto"/>
        <w:ind w:right="-93"/>
        <w:jc w:val="both"/>
        <w:rPr>
          <w:rFonts w:ascii="Palatino Linotype" w:eastAsia="Palatino Linotype" w:hAnsi="Palatino Linotype" w:cs="Palatino Linotype"/>
          <w:b/>
          <w:color w:val="0D0D0D"/>
          <w:sz w:val="24"/>
          <w:szCs w:val="24"/>
        </w:rPr>
      </w:pPr>
    </w:p>
    <w:p w:rsidR="001A4767" w:rsidRDefault="001A4767">
      <w:pPr>
        <w:spacing w:line="360" w:lineRule="auto"/>
        <w:ind w:right="-93"/>
        <w:jc w:val="both"/>
        <w:rPr>
          <w:rFonts w:ascii="Palatino Linotype" w:eastAsia="Palatino Linotype" w:hAnsi="Palatino Linotype" w:cs="Palatino Linotype"/>
          <w:b/>
          <w:color w:val="0D0D0D"/>
          <w:sz w:val="24"/>
          <w:szCs w:val="24"/>
        </w:rPr>
      </w:pPr>
    </w:p>
    <w:p w:rsidR="001A4767" w:rsidRDefault="001A4767">
      <w:pPr>
        <w:spacing w:line="360" w:lineRule="auto"/>
        <w:ind w:right="-93"/>
        <w:jc w:val="both"/>
        <w:rPr>
          <w:rFonts w:ascii="Palatino Linotype" w:eastAsia="Palatino Linotype" w:hAnsi="Palatino Linotype" w:cs="Palatino Linotype"/>
          <w:b/>
          <w:color w:val="0D0D0D"/>
          <w:sz w:val="24"/>
          <w:szCs w:val="24"/>
        </w:rPr>
      </w:pPr>
    </w:p>
    <w:p w:rsidR="001A4767" w:rsidRDefault="001A4767">
      <w:pPr>
        <w:spacing w:line="360" w:lineRule="auto"/>
        <w:ind w:right="-93"/>
        <w:jc w:val="both"/>
        <w:rPr>
          <w:rFonts w:ascii="Palatino Linotype" w:eastAsia="Palatino Linotype" w:hAnsi="Palatino Linotype" w:cs="Palatino Linotype"/>
          <w:b/>
          <w:color w:val="0D0D0D"/>
          <w:sz w:val="24"/>
          <w:szCs w:val="24"/>
        </w:rPr>
      </w:pPr>
    </w:p>
    <w:p w:rsidR="001A4767" w:rsidRDefault="00384B6A">
      <w:pPr>
        <w:tabs>
          <w:tab w:val="left" w:pos="7230"/>
        </w:tabs>
        <w:rPr>
          <w:rFonts w:ascii="Palatino Linotype" w:eastAsia="Palatino Linotype" w:hAnsi="Palatino Linotype" w:cs="Palatino Linotype"/>
          <w:color w:val="0D0D0D"/>
          <w:sz w:val="24"/>
          <w:szCs w:val="24"/>
        </w:rPr>
      </w:pPr>
      <w:r>
        <w:rPr>
          <w:rFonts w:ascii="Palatino Linotype" w:eastAsia="Palatino Linotype" w:hAnsi="Palatino Linotype" w:cs="Palatino Linotype"/>
          <w:color w:val="0D0D0D"/>
          <w:sz w:val="24"/>
          <w:szCs w:val="24"/>
        </w:rPr>
        <w:tab/>
      </w:r>
    </w:p>
    <w:sectPr w:rsidR="001A4767">
      <w:headerReference w:type="even" r:id="rId35"/>
      <w:headerReference w:type="default" r:id="rId36"/>
      <w:footerReference w:type="default" r:id="rId37"/>
      <w:headerReference w:type="first" r:id="rId38"/>
      <w:footerReference w:type="first" r:id="rId39"/>
      <w:pgSz w:w="12240" w:h="15840"/>
      <w:pgMar w:top="80" w:right="1608" w:bottom="1418" w:left="1588" w:header="709" w:footer="91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0E5E" w:rsidRDefault="000C0E5E">
      <w:r>
        <w:separator/>
      </w:r>
    </w:p>
  </w:endnote>
  <w:endnote w:type="continuationSeparator" w:id="0">
    <w:p w:rsidR="000C0E5E" w:rsidRDefault="000C0E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4B43" w:rsidRDefault="00E04B43">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FE31C0">
      <w:rPr>
        <w:b/>
        <w:noProof/>
        <w:color w:val="000000"/>
        <w:sz w:val="24"/>
        <w:szCs w:val="24"/>
      </w:rPr>
      <w:t>21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FE31C0">
      <w:rPr>
        <w:b/>
        <w:noProof/>
        <w:color w:val="000000"/>
        <w:sz w:val="24"/>
        <w:szCs w:val="24"/>
      </w:rPr>
      <w:t>76</w:t>
    </w:r>
    <w:r>
      <w:rPr>
        <w:b/>
        <w:color w:val="000000"/>
        <w:sz w:val="24"/>
        <w:szCs w:val="24"/>
      </w:rPr>
      <w:fldChar w:fldCharType="end"/>
    </w:r>
  </w:p>
  <w:p w:rsidR="00E04B43" w:rsidRDefault="00E04B43">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4B43" w:rsidRDefault="00E04B43">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FE31C0">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FE31C0">
      <w:rPr>
        <w:b/>
        <w:noProof/>
        <w:color w:val="000000"/>
        <w:sz w:val="24"/>
        <w:szCs w:val="24"/>
      </w:rPr>
      <w:t>76</w:t>
    </w:r>
    <w:r>
      <w:rPr>
        <w:b/>
        <w:color w:val="000000"/>
        <w:sz w:val="24"/>
        <w:szCs w:val="24"/>
      </w:rPr>
      <w:fldChar w:fldCharType="end"/>
    </w:r>
  </w:p>
  <w:p w:rsidR="00E04B43" w:rsidRDefault="00E04B43">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0E5E" w:rsidRDefault="000C0E5E">
      <w:r>
        <w:separator/>
      </w:r>
    </w:p>
  </w:footnote>
  <w:footnote w:type="continuationSeparator" w:id="0">
    <w:p w:rsidR="000C0E5E" w:rsidRDefault="000C0E5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4B43" w:rsidRDefault="00E04B43">
    <w:pPr>
      <w:pBdr>
        <w:top w:val="nil"/>
        <w:left w:val="nil"/>
        <w:bottom w:val="nil"/>
        <w:right w:val="nil"/>
        <w:between w:val="nil"/>
      </w:pBdr>
      <w:tabs>
        <w:tab w:val="center" w:pos="4419"/>
        <w:tab w:val="right" w:pos="8838"/>
      </w:tabs>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 style="position:absolute;margin-left:0;margin-top:0;width:663.5pt;height:12in;z-index:-251657728;mso-position-horizontal:center;mso-position-horizontal-relative:margin;mso-position-vertical:center;mso-position-vertical-relative:margin">
          <v:imagedata r:id="rId1" o:title="image19"/>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4B43" w:rsidRDefault="00E04B43">
    <w:pPr>
      <w:widowControl w:val="0"/>
      <w:pBdr>
        <w:top w:val="nil"/>
        <w:left w:val="nil"/>
        <w:bottom w:val="nil"/>
        <w:right w:val="nil"/>
        <w:between w:val="nil"/>
      </w:pBdr>
      <w:spacing w:line="276" w:lineRule="auto"/>
      <w:rPr>
        <w:rFonts w:ascii="Palatino Linotype" w:eastAsia="Palatino Linotype" w:hAnsi="Palatino Linotype" w:cs="Palatino Linotype"/>
        <w:color w:val="0D0D0D"/>
        <w:sz w:val="24"/>
        <w:szCs w:val="24"/>
      </w:rPr>
    </w:pPr>
  </w:p>
  <w:tbl>
    <w:tblPr>
      <w:tblStyle w:val="a0"/>
      <w:tblW w:w="9072" w:type="dxa"/>
      <w:tblInd w:w="0" w:type="dxa"/>
      <w:tblLayout w:type="fixed"/>
      <w:tblLook w:val="0400" w:firstRow="0" w:lastRow="0" w:firstColumn="0" w:lastColumn="0" w:noHBand="0" w:noVBand="1"/>
    </w:tblPr>
    <w:tblGrid>
      <w:gridCol w:w="1985"/>
      <w:gridCol w:w="7087"/>
    </w:tblGrid>
    <w:tr w:rsidR="00E04B43">
      <w:trPr>
        <w:trHeight w:val="1435"/>
      </w:trPr>
      <w:tc>
        <w:tcPr>
          <w:tcW w:w="1985" w:type="dxa"/>
          <w:shd w:val="clear" w:color="auto" w:fill="auto"/>
        </w:tcPr>
        <w:p w:rsidR="00E04B43" w:rsidRDefault="00E04B43">
          <w:pPr>
            <w:tabs>
              <w:tab w:val="right" w:pos="4273"/>
            </w:tabs>
            <w:rPr>
              <w:rFonts w:ascii="Garamond" w:eastAsia="Garamond" w:hAnsi="Garamond" w:cs="Garamond"/>
              <w:sz w:val="16"/>
              <w:szCs w:val="16"/>
            </w:rPr>
          </w:pPr>
        </w:p>
      </w:tc>
      <w:tc>
        <w:tcPr>
          <w:tcW w:w="7087" w:type="dxa"/>
          <w:shd w:val="clear" w:color="auto" w:fill="auto"/>
        </w:tcPr>
        <w:p w:rsidR="00E04B43" w:rsidRDefault="00E04B43"/>
        <w:tbl>
          <w:tblPr>
            <w:tblStyle w:val="a1"/>
            <w:tblW w:w="6520" w:type="dxa"/>
            <w:tblInd w:w="877" w:type="dxa"/>
            <w:tblBorders>
              <w:top w:val="nil"/>
              <w:left w:val="nil"/>
              <w:bottom w:val="nil"/>
              <w:right w:val="nil"/>
              <w:insideH w:val="nil"/>
              <w:insideV w:val="nil"/>
            </w:tblBorders>
            <w:tblLayout w:type="fixed"/>
            <w:tblLook w:val="0400" w:firstRow="0" w:lastRow="0" w:firstColumn="0" w:lastColumn="0" w:noHBand="0" w:noVBand="1"/>
          </w:tblPr>
          <w:tblGrid>
            <w:gridCol w:w="2727"/>
            <w:gridCol w:w="3793"/>
          </w:tblGrid>
          <w:tr w:rsidR="00E04B43">
            <w:trPr>
              <w:trHeight w:val="144"/>
            </w:trPr>
            <w:tc>
              <w:tcPr>
                <w:tcW w:w="2727" w:type="dxa"/>
              </w:tcPr>
              <w:p w:rsidR="00E04B43" w:rsidRDefault="00E04B43">
                <w:pPr>
                  <w:tabs>
                    <w:tab w:val="right" w:pos="8838"/>
                  </w:tabs>
                  <w:spacing w:line="276" w:lineRule="auto"/>
                  <w:ind w:right="-10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794" w:type="dxa"/>
              </w:tcPr>
              <w:p w:rsidR="00E04B43" w:rsidRDefault="00E04B43">
                <w:pPr>
                  <w:tabs>
                    <w:tab w:val="right" w:pos="8838"/>
                  </w:tabs>
                  <w:spacing w:line="276" w:lineRule="auto"/>
                  <w:ind w:left="-28" w:right="171"/>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13389/INFOEM/IP/RR/2022</w:t>
                </w:r>
              </w:p>
            </w:tc>
          </w:tr>
          <w:tr w:rsidR="00E04B43">
            <w:trPr>
              <w:trHeight w:val="283"/>
            </w:trPr>
            <w:tc>
              <w:tcPr>
                <w:tcW w:w="2727" w:type="dxa"/>
              </w:tcPr>
              <w:p w:rsidR="00E04B43" w:rsidRDefault="00E04B43">
                <w:pPr>
                  <w:tabs>
                    <w:tab w:val="right" w:pos="8838"/>
                  </w:tabs>
                  <w:spacing w:line="276" w:lineRule="auto"/>
                  <w:ind w:right="-10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794" w:type="dxa"/>
              </w:tcPr>
              <w:p w:rsidR="00E04B43" w:rsidRDefault="00E04B43">
                <w:pPr>
                  <w:tabs>
                    <w:tab w:val="left" w:pos="2834"/>
                    <w:tab w:val="right" w:pos="8838"/>
                  </w:tabs>
                  <w:spacing w:line="276" w:lineRule="auto"/>
                  <w:ind w:right="319"/>
                  <w:jc w:val="both"/>
                  <w:rPr>
                    <w:rFonts w:ascii="Palatino Linotype" w:eastAsia="Palatino Linotype" w:hAnsi="Palatino Linotype" w:cs="Palatino Linotype"/>
                    <w:b/>
                    <w:sz w:val="22"/>
                    <w:szCs w:val="22"/>
                  </w:rPr>
                </w:pPr>
                <w:r>
                  <w:rPr>
                    <w:rFonts w:ascii="Palatino Linotype" w:eastAsia="Palatino Linotype" w:hAnsi="Palatino Linotype" w:cs="Palatino Linotype"/>
                    <w:sz w:val="22"/>
                    <w:szCs w:val="22"/>
                  </w:rPr>
                  <w:t>Procuraduría de Protección al Ambiente del Estado de México</w:t>
                </w:r>
              </w:p>
            </w:tc>
          </w:tr>
          <w:tr w:rsidR="00E04B43">
            <w:trPr>
              <w:trHeight w:val="283"/>
            </w:trPr>
            <w:tc>
              <w:tcPr>
                <w:tcW w:w="2727" w:type="dxa"/>
              </w:tcPr>
              <w:p w:rsidR="00E04B43" w:rsidRDefault="00E04B43">
                <w:pPr>
                  <w:tabs>
                    <w:tab w:val="right" w:pos="8838"/>
                  </w:tabs>
                  <w:spacing w:line="276" w:lineRule="auto"/>
                  <w:ind w:right="-10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Comisionado Ponente:</w:t>
                </w:r>
              </w:p>
            </w:tc>
            <w:tc>
              <w:tcPr>
                <w:tcW w:w="3794" w:type="dxa"/>
              </w:tcPr>
              <w:p w:rsidR="00E04B43" w:rsidRDefault="00E04B43">
                <w:pPr>
                  <w:tabs>
                    <w:tab w:val="right" w:pos="8838"/>
                  </w:tabs>
                  <w:spacing w:line="276" w:lineRule="auto"/>
                  <w:ind w:right="171"/>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Guadalupe Ramírez Peña</w:t>
                </w:r>
              </w:p>
              <w:p w:rsidR="00E04B43" w:rsidRDefault="00E04B43">
                <w:pPr>
                  <w:tabs>
                    <w:tab w:val="right" w:pos="8838"/>
                  </w:tabs>
                  <w:spacing w:line="276" w:lineRule="auto"/>
                  <w:ind w:right="171"/>
                  <w:jc w:val="both"/>
                  <w:rPr>
                    <w:rFonts w:ascii="Palatino Linotype" w:eastAsia="Palatino Linotype" w:hAnsi="Palatino Linotype" w:cs="Palatino Linotype"/>
                    <w:sz w:val="22"/>
                    <w:szCs w:val="22"/>
                  </w:rPr>
                </w:pPr>
              </w:p>
            </w:tc>
          </w:tr>
        </w:tbl>
        <w:p w:rsidR="00E04B43" w:rsidRDefault="00E04B43">
          <w:pPr>
            <w:tabs>
              <w:tab w:val="right" w:pos="8838"/>
            </w:tabs>
            <w:ind w:left="-28"/>
            <w:jc w:val="both"/>
            <w:rPr>
              <w:rFonts w:ascii="Arial" w:eastAsia="Arial" w:hAnsi="Arial" w:cs="Arial"/>
              <w:b/>
              <w:sz w:val="22"/>
              <w:szCs w:val="22"/>
            </w:rPr>
          </w:pPr>
        </w:p>
      </w:tc>
    </w:tr>
  </w:tbl>
  <w:p w:rsidR="00E04B43" w:rsidRDefault="00E04B43">
    <w:pPr>
      <w:pBdr>
        <w:top w:val="nil"/>
        <w:left w:val="nil"/>
        <w:bottom w:val="nil"/>
        <w:right w:val="nil"/>
        <w:between w:val="nil"/>
      </w:pBdr>
      <w:tabs>
        <w:tab w:val="center" w:pos="4419"/>
        <w:tab w:val="right" w:pos="8838"/>
      </w:tabs>
      <w:rPr>
        <w:color w:val="000000"/>
        <w:sz w:val="14"/>
        <w:szCs w:val="14"/>
      </w:rPr>
    </w:pPr>
    <w:r>
      <w:rPr>
        <w:color w:val="000000"/>
        <w:sz w:val="14"/>
        <w:szCs w:val="1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1" type="#_x0000_t75" alt="" style="position:absolute;margin-left:-72.65pt;margin-top:-136.4pt;width:663.5pt;height:12in;z-index:-251659776;mso-position-horizontal:absolute;mso-position-horizontal-relative:margin;mso-position-vertical:absolute;mso-position-vertical-relative:margin">
          <v:imagedata r:id="rId1" o:title="image19"/>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4B43" w:rsidRDefault="00E04B43">
    <w:pPr>
      <w:widowControl w:val="0"/>
      <w:pBdr>
        <w:top w:val="nil"/>
        <w:left w:val="nil"/>
        <w:bottom w:val="nil"/>
        <w:right w:val="nil"/>
        <w:between w:val="nil"/>
      </w:pBdr>
      <w:spacing w:line="276" w:lineRule="auto"/>
      <w:rPr>
        <w:color w:val="000000"/>
      </w:rPr>
    </w:pPr>
  </w:p>
  <w:tbl>
    <w:tblPr>
      <w:tblStyle w:val="a2"/>
      <w:tblW w:w="9356" w:type="dxa"/>
      <w:tblInd w:w="0" w:type="dxa"/>
      <w:tblLayout w:type="fixed"/>
      <w:tblLook w:val="0400" w:firstRow="0" w:lastRow="0" w:firstColumn="0" w:lastColumn="0" w:noHBand="0" w:noVBand="1"/>
    </w:tblPr>
    <w:tblGrid>
      <w:gridCol w:w="2127"/>
      <w:gridCol w:w="7229"/>
    </w:tblGrid>
    <w:tr w:rsidR="00E04B43">
      <w:trPr>
        <w:trHeight w:val="1435"/>
      </w:trPr>
      <w:tc>
        <w:tcPr>
          <w:tcW w:w="2127" w:type="dxa"/>
          <w:shd w:val="clear" w:color="auto" w:fill="auto"/>
        </w:tcPr>
        <w:p w:rsidR="00E04B43" w:rsidRDefault="00E04B43">
          <w:pPr>
            <w:tabs>
              <w:tab w:val="right" w:pos="4273"/>
            </w:tabs>
            <w:rPr>
              <w:rFonts w:ascii="Garamond" w:eastAsia="Garamond" w:hAnsi="Garamond" w:cs="Garamond"/>
              <w:sz w:val="22"/>
              <w:szCs w:val="22"/>
            </w:rPr>
          </w:pPr>
        </w:p>
      </w:tc>
      <w:tc>
        <w:tcPr>
          <w:tcW w:w="7229" w:type="dxa"/>
          <w:shd w:val="clear" w:color="auto" w:fill="auto"/>
        </w:tcPr>
        <w:p w:rsidR="00E04B43" w:rsidRDefault="00E04B43"/>
        <w:tbl>
          <w:tblPr>
            <w:tblStyle w:val="a3"/>
            <w:tblW w:w="5528" w:type="dxa"/>
            <w:tblInd w:w="1167" w:type="dxa"/>
            <w:tblBorders>
              <w:top w:val="nil"/>
              <w:left w:val="nil"/>
              <w:bottom w:val="nil"/>
              <w:right w:val="nil"/>
              <w:insideH w:val="nil"/>
              <w:insideV w:val="nil"/>
            </w:tblBorders>
            <w:tblLayout w:type="fixed"/>
            <w:tblLook w:val="0400" w:firstRow="0" w:lastRow="0" w:firstColumn="0" w:lastColumn="0" w:noHBand="0" w:noVBand="1"/>
          </w:tblPr>
          <w:tblGrid>
            <w:gridCol w:w="2444"/>
            <w:gridCol w:w="3084"/>
          </w:tblGrid>
          <w:tr w:rsidR="00E04B43">
            <w:trPr>
              <w:trHeight w:val="144"/>
            </w:trPr>
            <w:tc>
              <w:tcPr>
                <w:tcW w:w="2444" w:type="dxa"/>
              </w:tcPr>
              <w:p w:rsidR="00E04B43" w:rsidRDefault="00E04B43">
                <w:pPr>
                  <w:tabs>
                    <w:tab w:val="right" w:pos="8838"/>
                  </w:tabs>
                  <w:ind w:left="-74" w:right="-10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084" w:type="dxa"/>
              </w:tcPr>
              <w:p w:rsidR="00E04B43" w:rsidRDefault="00E04B43">
                <w:pPr>
                  <w:tabs>
                    <w:tab w:val="right" w:pos="8838"/>
                  </w:tabs>
                  <w:ind w:left="-74" w:right="-105"/>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13389/INFOEM/IP/RR/2022</w:t>
                </w:r>
              </w:p>
            </w:tc>
          </w:tr>
          <w:tr w:rsidR="00E04B43">
            <w:trPr>
              <w:trHeight w:val="144"/>
            </w:trPr>
            <w:tc>
              <w:tcPr>
                <w:tcW w:w="2444" w:type="dxa"/>
              </w:tcPr>
              <w:p w:rsidR="00E04B43" w:rsidRDefault="00E04B43">
                <w:pPr>
                  <w:tabs>
                    <w:tab w:val="right" w:pos="8838"/>
                  </w:tabs>
                  <w:ind w:left="-74" w:right="-10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084" w:type="dxa"/>
              </w:tcPr>
              <w:p w:rsidR="00E04B43" w:rsidRDefault="00E04B43" w:rsidP="00E04B43">
                <w:pPr>
                  <w:tabs>
                    <w:tab w:val="left" w:pos="3122"/>
                    <w:tab w:val="right" w:pos="8838"/>
                  </w:tabs>
                  <w:ind w:left="-74" w:right="-105"/>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XXXX XXXX XXXXXX XXXXX</w:t>
                </w:r>
              </w:p>
            </w:tc>
          </w:tr>
          <w:tr w:rsidR="00E04B43">
            <w:trPr>
              <w:trHeight w:val="283"/>
            </w:trPr>
            <w:tc>
              <w:tcPr>
                <w:tcW w:w="2444" w:type="dxa"/>
              </w:tcPr>
              <w:p w:rsidR="00E04B43" w:rsidRDefault="00E04B43">
                <w:pPr>
                  <w:tabs>
                    <w:tab w:val="right" w:pos="8838"/>
                  </w:tabs>
                  <w:ind w:left="-74" w:right="-10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084" w:type="dxa"/>
              </w:tcPr>
              <w:p w:rsidR="00E04B43" w:rsidRDefault="00E04B43">
                <w:pPr>
                  <w:tabs>
                    <w:tab w:val="left" w:pos="2834"/>
                    <w:tab w:val="right" w:pos="8838"/>
                  </w:tabs>
                  <w:ind w:left="-74" w:right="-105"/>
                  <w:jc w:val="both"/>
                  <w:rPr>
                    <w:rFonts w:ascii="Palatino Linotype" w:eastAsia="Palatino Linotype" w:hAnsi="Palatino Linotype" w:cs="Palatino Linotype"/>
                    <w:b/>
                    <w:sz w:val="22"/>
                    <w:szCs w:val="22"/>
                  </w:rPr>
                </w:pPr>
                <w:r>
                  <w:rPr>
                    <w:rFonts w:ascii="Palatino Linotype" w:eastAsia="Palatino Linotype" w:hAnsi="Palatino Linotype" w:cs="Palatino Linotype"/>
                    <w:sz w:val="22"/>
                    <w:szCs w:val="22"/>
                  </w:rPr>
                  <w:t>Procuraduría de Protección al Ambiente del Estado de México</w:t>
                </w:r>
              </w:p>
            </w:tc>
          </w:tr>
          <w:tr w:rsidR="00E04B43">
            <w:trPr>
              <w:trHeight w:val="283"/>
            </w:trPr>
            <w:tc>
              <w:tcPr>
                <w:tcW w:w="2444" w:type="dxa"/>
              </w:tcPr>
              <w:p w:rsidR="00E04B43" w:rsidRDefault="00E04B43">
                <w:pPr>
                  <w:tabs>
                    <w:tab w:val="right" w:pos="8838"/>
                  </w:tabs>
                  <w:ind w:left="-74" w:right="-10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Comisionado Ponente:</w:t>
                </w:r>
              </w:p>
            </w:tc>
            <w:tc>
              <w:tcPr>
                <w:tcW w:w="3084" w:type="dxa"/>
              </w:tcPr>
              <w:p w:rsidR="00E04B43" w:rsidRDefault="00E04B43">
                <w:pPr>
                  <w:tabs>
                    <w:tab w:val="right" w:pos="8838"/>
                  </w:tabs>
                  <w:ind w:left="-74" w:right="-105"/>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Guadalupe Ramírez Peña</w:t>
                </w:r>
              </w:p>
            </w:tc>
          </w:tr>
        </w:tbl>
        <w:p w:rsidR="00E04B43" w:rsidRDefault="00E04B43">
          <w:pPr>
            <w:tabs>
              <w:tab w:val="right" w:pos="8838"/>
            </w:tabs>
            <w:ind w:left="-28"/>
            <w:jc w:val="both"/>
            <w:rPr>
              <w:rFonts w:ascii="Arial" w:eastAsia="Arial" w:hAnsi="Arial" w:cs="Arial"/>
              <w:b/>
              <w:sz w:val="22"/>
              <w:szCs w:val="22"/>
            </w:rPr>
          </w:pPr>
        </w:p>
      </w:tc>
    </w:tr>
  </w:tbl>
  <w:p w:rsidR="00E04B43" w:rsidRDefault="00E04B43">
    <w:pPr>
      <w:pBdr>
        <w:top w:val="nil"/>
        <w:left w:val="nil"/>
        <w:bottom w:val="nil"/>
        <w:right w:val="nil"/>
        <w:between w:val="nil"/>
      </w:pBdr>
      <w:tabs>
        <w:tab w:val="center" w:pos="4419"/>
        <w:tab w:val="right" w:pos="8838"/>
      </w:tabs>
      <w:rPr>
        <w:color w:val="000000"/>
        <w:sz w:val="22"/>
        <w:szCs w:val="22"/>
      </w:rPr>
    </w:pPr>
    <w:r>
      <w:rPr>
        <w:color w:val="000000"/>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 style="position:absolute;margin-left:-37.55pt;margin-top:-133.85pt;width:663.5pt;height:12in;z-index:-251658752;mso-position-horizontal:absolute;mso-position-horizontal-relative:margin;mso-position-vertical:absolute;mso-position-vertical-relative:margin">
          <v:imagedata r:id="rId1" o:title="image19"/>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0B07D3"/>
    <w:multiLevelType w:val="multilevel"/>
    <w:tmpl w:val="98045860"/>
    <w:lvl w:ilvl="0">
      <w:start w:val="1"/>
      <w:numFmt w:val="lowerRoman"/>
      <w:lvlText w:val="%1)"/>
      <w:lvlJc w:val="left"/>
      <w:pPr>
        <w:ind w:left="144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127B263B"/>
    <w:multiLevelType w:val="multilevel"/>
    <w:tmpl w:val="A192D0DC"/>
    <w:lvl w:ilvl="0">
      <w:start w:val="1"/>
      <w:numFmt w:val="decimal"/>
      <w:lvlText w:val="%1)"/>
      <w:lvlJc w:val="left"/>
      <w:pPr>
        <w:ind w:left="720" w:hanging="360"/>
      </w:pPr>
      <w:rPr>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14203EA5"/>
    <w:multiLevelType w:val="multilevel"/>
    <w:tmpl w:val="0F44DE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18C73B4B"/>
    <w:multiLevelType w:val="multilevel"/>
    <w:tmpl w:val="F086F114"/>
    <w:lvl w:ilvl="0">
      <w:start w:val="1"/>
      <w:numFmt w:val="bullet"/>
      <w:pStyle w:val="Listaconvietas2"/>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20A17743"/>
    <w:multiLevelType w:val="multilevel"/>
    <w:tmpl w:val="50A2D8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235D62FF"/>
    <w:multiLevelType w:val="multilevel"/>
    <w:tmpl w:val="28943D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23CE3DA0"/>
    <w:multiLevelType w:val="multilevel"/>
    <w:tmpl w:val="E89A14FE"/>
    <w:lvl w:ilvl="0">
      <w:start w:val="1"/>
      <w:numFmt w:val="decimal"/>
      <w:lvlText w:val="%1)"/>
      <w:lvlJc w:val="left"/>
      <w:pPr>
        <w:ind w:left="720" w:hanging="360"/>
      </w:pPr>
      <w:rPr>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2E8017AD"/>
    <w:multiLevelType w:val="multilevel"/>
    <w:tmpl w:val="1AA8F8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31745A55"/>
    <w:multiLevelType w:val="multilevel"/>
    <w:tmpl w:val="568CD2B0"/>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9">
    <w:nsid w:val="438B5FAD"/>
    <w:multiLevelType w:val="multilevel"/>
    <w:tmpl w:val="64B281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nsid w:val="57C43C5B"/>
    <w:multiLevelType w:val="multilevel"/>
    <w:tmpl w:val="5FDAA37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57E7005F"/>
    <w:multiLevelType w:val="multilevel"/>
    <w:tmpl w:val="D1D8F044"/>
    <w:lvl w:ilvl="0">
      <w:start w:val="1"/>
      <w:numFmt w:val="decimal"/>
      <w:lvlText w:val="%1."/>
      <w:lvlJc w:val="left"/>
      <w:pPr>
        <w:ind w:left="780" w:hanging="360"/>
      </w:p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12">
    <w:nsid w:val="5C794748"/>
    <w:multiLevelType w:val="multilevel"/>
    <w:tmpl w:val="AC8881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nsid w:val="626D3CD1"/>
    <w:multiLevelType w:val="hybridMultilevel"/>
    <w:tmpl w:val="9BCA31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67BF5B2A"/>
    <w:multiLevelType w:val="multilevel"/>
    <w:tmpl w:val="62AE05A2"/>
    <w:lvl w:ilvl="0">
      <w:start w:val="1"/>
      <w:numFmt w:val="upperRoman"/>
      <w:lvlText w:val="%1."/>
      <w:lvlJc w:val="lef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
  </w:num>
  <w:num w:numId="2">
    <w:abstractNumId w:val="5"/>
  </w:num>
  <w:num w:numId="3">
    <w:abstractNumId w:val="2"/>
  </w:num>
  <w:num w:numId="4">
    <w:abstractNumId w:val="8"/>
  </w:num>
  <w:num w:numId="5">
    <w:abstractNumId w:val="1"/>
  </w:num>
  <w:num w:numId="6">
    <w:abstractNumId w:val="6"/>
  </w:num>
  <w:num w:numId="7">
    <w:abstractNumId w:val="14"/>
  </w:num>
  <w:num w:numId="8">
    <w:abstractNumId w:val="9"/>
  </w:num>
  <w:num w:numId="9">
    <w:abstractNumId w:val="12"/>
  </w:num>
  <w:num w:numId="10">
    <w:abstractNumId w:val="7"/>
  </w:num>
  <w:num w:numId="11">
    <w:abstractNumId w:val="4"/>
  </w:num>
  <w:num w:numId="12">
    <w:abstractNumId w:val="11"/>
  </w:num>
  <w:num w:numId="13">
    <w:abstractNumId w:val="0"/>
  </w:num>
  <w:num w:numId="14">
    <w:abstractNumId w:val="10"/>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4767"/>
    <w:rsid w:val="000C0E5E"/>
    <w:rsid w:val="00161849"/>
    <w:rsid w:val="001A4767"/>
    <w:rsid w:val="00384B6A"/>
    <w:rsid w:val="0043354D"/>
    <w:rsid w:val="00572968"/>
    <w:rsid w:val="00582C1F"/>
    <w:rsid w:val="006025A5"/>
    <w:rsid w:val="00897F1E"/>
    <w:rsid w:val="00C84A68"/>
    <w:rsid w:val="00CA3533"/>
    <w:rsid w:val="00D139C5"/>
    <w:rsid w:val="00E04B43"/>
    <w:rsid w:val="00EF1D49"/>
    <w:rsid w:val="00FE31C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C141CFB5-218D-4895-9365-C6132E5DAA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0C81"/>
    <w:rPr>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link w:val="Puest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
    <w:link w:val="SinespaciadoCar"/>
    <w:uiPriority w:val="1"/>
    <w:qFormat/>
    <w:rsid w:val="00B31222"/>
    <w:pPr>
      <w:ind w:left="567" w:right="567"/>
      <w:jc w:val="both"/>
    </w:pPr>
    <w:rPr>
      <w:rFonts w:ascii="Arial" w:eastAsia="Batang" w:hAnsi="Arial"/>
      <w:szCs w:val="24"/>
      <w:lang w:eastAsia="es-ES"/>
    </w:rPr>
  </w:style>
  <w:style w:type="character" w:customStyle="1" w:styleId="SinespaciadoCar">
    <w:name w:val="Sin espaciado Car"/>
    <w:aliases w:val="INAI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character" w:customStyle="1" w:styleId="PuestoCar">
    <w:name w:val="Puesto Car"/>
    <w:basedOn w:val="Fuentedeprrafopredeter"/>
    <w:link w:val="Puest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 w:type="character" w:customStyle="1" w:styleId="Mencinsinresolver1">
    <w:name w:val="Mención sin resolver1"/>
    <w:basedOn w:val="Fuentedeprrafopredeter"/>
    <w:uiPriority w:val="99"/>
    <w:semiHidden/>
    <w:unhideWhenUsed/>
    <w:rsid w:val="00B3138F"/>
    <w:rPr>
      <w:color w:val="605E5C"/>
      <w:shd w:val="clear" w:color="auto" w:fill="E1DFDD"/>
    </w:rPr>
  </w:style>
  <w:style w:type="character" w:customStyle="1" w:styleId="UnresolvedMention">
    <w:name w:val="Unresolved Mention"/>
    <w:basedOn w:val="Fuentedeprrafopredeter"/>
    <w:uiPriority w:val="99"/>
    <w:semiHidden/>
    <w:unhideWhenUsed/>
    <w:rsid w:val="00AB498D"/>
    <w:rPr>
      <w:color w:val="605E5C"/>
      <w:shd w:val="clear" w:color="auto" w:fill="E1DFDD"/>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08" w:type="dxa"/>
        <w:bottom w:w="0" w:type="dxa"/>
        <w:right w:w="108" w:type="dxa"/>
      </w:tblCellMar>
    </w:tblPr>
  </w:style>
  <w:style w:type="table" w:customStyle="1" w:styleId="a2">
    <w:basedOn w:val="TableNormal"/>
    <w:tblPr>
      <w:tblStyleRowBandSize w:val="1"/>
      <w:tblStyleColBandSize w:val="1"/>
      <w:tblCellMar>
        <w:top w:w="0" w:type="dxa"/>
        <w:left w:w="115" w:type="dxa"/>
        <w:bottom w:w="0" w:type="dxa"/>
        <w:right w:w="115" w:type="dxa"/>
      </w:tblCellMar>
    </w:tblPr>
  </w:style>
  <w:style w:type="table" w:customStyle="1" w:styleId="a3">
    <w:basedOn w:val="TableNormal"/>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footer" Target="footer2.xml"/><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about:blank" TargetMode="Externa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about:blank" TargetMode="Externa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26.jpeg"/></Relationships>
</file>

<file path=word/_rels/header2.xml.rels><?xml version="1.0" encoding="UTF-8" standalone="yes"?>
<Relationships xmlns="http://schemas.openxmlformats.org/package/2006/relationships"><Relationship Id="rId1" Type="http://schemas.openxmlformats.org/officeDocument/2006/relationships/image" Target="media/image26.jpeg"/></Relationships>
</file>

<file path=word/_rels/header3.xml.rels><?xml version="1.0" encoding="UTF-8" standalone="yes"?>
<Relationships xmlns="http://schemas.openxmlformats.org/package/2006/relationships"><Relationship Id="rId1" Type="http://schemas.openxmlformats.org/officeDocument/2006/relationships/image" Target="media/image2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xNUKz1DZfobNpuLFNrEx5k/pkTg==">CgMxLjAyCGguZ2pkZ3hzOAByITFkbV9tMGM5aUFBNGtldDZfbTFGZlB0TlZyQVJIQkdINg==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76</Pages>
  <Words>16420</Words>
  <Characters>90312</Characters>
  <Application>Microsoft Office Word</Application>
  <DocSecurity>0</DocSecurity>
  <Lines>752</Lines>
  <Paragraphs>213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106519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José Fernado Lobato Rodríguez</dc:creator>
  <cp:lastModifiedBy>USUARIO</cp:lastModifiedBy>
  <cp:revision>2</cp:revision>
  <cp:lastPrinted>2023-10-04T19:07:00Z</cp:lastPrinted>
  <dcterms:created xsi:type="dcterms:W3CDTF">2023-10-24T19:11:00Z</dcterms:created>
  <dcterms:modified xsi:type="dcterms:W3CDTF">2023-10-24T19:11:00Z</dcterms:modified>
</cp:coreProperties>
</file>