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947" w:rsidRDefault="00164947">
      <w:pPr>
        <w:tabs>
          <w:tab w:val="left" w:pos="3686"/>
        </w:tabs>
        <w:spacing w:line="360" w:lineRule="auto"/>
        <w:jc w:val="both"/>
        <w:rPr>
          <w:rFonts w:ascii="Palatino Linotype" w:eastAsia="Palatino Linotype" w:hAnsi="Palatino Linotype" w:cs="Palatino Linotype"/>
        </w:rPr>
      </w:pPr>
      <w:bookmarkStart w:id="0" w:name="_heading=h.4xe9tamzps9g" w:colFirst="0" w:colLast="0"/>
      <w:bookmarkStart w:id="1" w:name="_GoBack"/>
      <w:bookmarkEnd w:id="0"/>
      <w:bookmarkEnd w:id="1"/>
    </w:p>
    <w:p w:rsidR="00164947" w:rsidRDefault="00276DAD">
      <w:pPr>
        <w:tabs>
          <w:tab w:val="left" w:pos="3686"/>
        </w:tabs>
        <w:spacing w:line="360" w:lineRule="auto"/>
        <w:jc w:val="both"/>
        <w:rPr>
          <w:rFonts w:ascii="Palatino Linotype" w:eastAsia="Palatino Linotype" w:hAnsi="Palatino Linotype" w:cs="Palatino Linotype"/>
          <w:color w:val="000000"/>
        </w:rPr>
      </w:pPr>
      <w:bookmarkStart w:id="2" w:name="_heading=h.tyjcwt" w:colFirst="0" w:colLast="0"/>
      <w:bookmarkEnd w:id="2"/>
      <w:r>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rPr>
        <w:t>tres</w:t>
      </w:r>
      <w:r>
        <w:rPr>
          <w:rFonts w:ascii="Palatino Linotype" w:eastAsia="Palatino Linotype" w:hAnsi="Palatino Linotype" w:cs="Palatino Linotype"/>
          <w:color w:val="000000"/>
        </w:rPr>
        <w:t xml:space="preserve"> de octubre de dos mil veintitrés. </w:t>
      </w:r>
    </w:p>
    <w:p w:rsidR="00164947" w:rsidRDefault="00164947">
      <w:pPr>
        <w:spacing w:line="360" w:lineRule="auto"/>
        <w:jc w:val="both"/>
        <w:rPr>
          <w:rFonts w:ascii="Palatino Linotype" w:eastAsia="Palatino Linotype" w:hAnsi="Palatino Linotype" w:cs="Palatino Linotype"/>
          <w:color w:val="000000"/>
        </w:rPr>
      </w:pPr>
    </w:p>
    <w:p w:rsidR="00164947" w:rsidRDefault="00276DAD">
      <w:pPr>
        <w:spacing w:line="360" w:lineRule="auto"/>
        <w:jc w:val="both"/>
        <w:rPr>
          <w:rFonts w:ascii="Palatino Linotype" w:eastAsia="Palatino Linotype" w:hAnsi="Palatino Linotype" w:cs="Palatino Linotype"/>
          <w:color w:val="000000"/>
        </w:rPr>
      </w:pPr>
      <w:bookmarkStart w:id="3" w:name="_heading=h.1fob9te" w:colFirst="0" w:colLast="0"/>
      <w:bookmarkEnd w:id="3"/>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formado con motivo del recurso de revisión </w:t>
      </w:r>
      <w:r>
        <w:rPr>
          <w:rFonts w:ascii="Palatino Linotype" w:eastAsia="Palatino Linotype" w:hAnsi="Palatino Linotype" w:cs="Palatino Linotype"/>
          <w:b/>
          <w:color w:val="000000"/>
        </w:rPr>
        <w:t>02574/INFOEM/IP/RR/2023</w:t>
      </w:r>
      <w:r>
        <w:rPr>
          <w:rFonts w:ascii="Palatino Linotype" w:eastAsia="Palatino Linotype" w:hAnsi="Palatino Linotype" w:cs="Palatino Linotype"/>
          <w:color w:val="000000"/>
        </w:rPr>
        <w:t xml:space="preserve">, interpuesto por </w:t>
      </w:r>
      <w:r>
        <w:rPr>
          <w:rFonts w:ascii="Palatino Linotype" w:eastAsia="Palatino Linotype" w:hAnsi="Palatino Linotype" w:cs="Palatino Linotype"/>
          <w:b/>
          <w:color w:val="000000"/>
        </w:rPr>
        <w:t xml:space="preserve">una persona que no señaló nombre o seudónimo, </w:t>
      </w:r>
      <w:r>
        <w:rPr>
          <w:rFonts w:ascii="Palatino Linotype" w:eastAsia="Palatino Linotype" w:hAnsi="Palatino Linotype" w:cs="Palatino Linotype"/>
          <w:color w:val="000000"/>
        </w:rPr>
        <w:t>a quien en lo subsecuente se le denominará como</w:t>
      </w:r>
      <w:r>
        <w:rPr>
          <w:rFonts w:ascii="Palatino Linotype" w:eastAsia="Palatino Linotype" w:hAnsi="Palatino Linotype" w:cs="Palatino Linotype"/>
          <w:b/>
          <w:color w:val="000000"/>
        </w:rPr>
        <w:t xml:space="preserve"> LA PARTE RECURRENTE,</w:t>
      </w:r>
      <w:r>
        <w:rPr>
          <w:rFonts w:ascii="Palatino Linotype" w:eastAsia="Palatino Linotype" w:hAnsi="Palatino Linotype" w:cs="Palatino Linotype"/>
          <w:color w:val="000000"/>
        </w:rPr>
        <w:t xml:space="preserve"> en contra de la respuesta a la solicitud </w:t>
      </w:r>
      <w:r>
        <w:rPr>
          <w:rFonts w:ascii="Palatino Linotype" w:eastAsia="Palatino Linotype" w:hAnsi="Palatino Linotype" w:cs="Palatino Linotype"/>
          <w:b/>
        </w:rPr>
        <w:t>00102/ATLACOM/IP/2023</w:t>
      </w:r>
      <w:r>
        <w:rPr>
          <w:rFonts w:ascii="Palatino Linotype" w:eastAsia="Palatino Linotype" w:hAnsi="Palatino Linotype" w:cs="Palatino Linotype"/>
          <w:color w:val="000000"/>
        </w:rPr>
        <w:t xml:space="preserve"> por parte del</w:t>
      </w:r>
      <w:r>
        <w:rPr>
          <w:rFonts w:ascii="Palatino Linotype" w:eastAsia="Palatino Linotype" w:hAnsi="Palatino Linotype" w:cs="Palatino Linotype"/>
          <w:b/>
          <w:color w:val="000000"/>
        </w:rPr>
        <w:t xml:space="preserve"> Ayuntamiento de Atlacomulco, </w:t>
      </w:r>
      <w:r>
        <w:rPr>
          <w:rFonts w:ascii="Palatino Linotype" w:eastAsia="Palatino Linotype" w:hAnsi="Palatino Linotype" w:cs="Palatino Linotype"/>
          <w:color w:val="000000"/>
        </w:rPr>
        <w:t xml:space="preserve">a quien en lo sucesivo se le denominará como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se procede a dictar la presente resolución con base en los siguientes</w:t>
      </w:r>
    </w:p>
    <w:p w:rsidR="00164947" w:rsidRDefault="00164947">
      <w:pPr>
        <w:spacing w:line="360" w:lineRule="auto"/>
        <w:jc w:val="both"/>
        <w:rPr>
          <w:rFonts w:ascii="Palatino Linotype" w:eastAsia="Palatino Linotype" w:hAnsi="Palatino Linotype" w:cs="Palatino Linotype"/>
          <w:color w:val="000000"/>
        </w:rPr>
      </w:pPr>
    </w:p>
    <w:p w:rsidR="00164947" w:rsidRDefault="00276DAD">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164947" w:rsidRDefault="00164947">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164947" w:rsidRDefault="00276DAD">
      <w:pPr>
        <w:spacing w:line="360" w:lineRule="auto"/>
        <w:jc w:val="both"/>
        <w:rPr>
          <w:rFonts w:ascii="Palatino Linotype" w:eastAsia="Palatino Linotype" w:hAnsi="Palatino Linotype" w:cs="Palatino Linotype"/>
        </w:rPr>
      </w:pPr>
      <w:bookmarkStart w:id="4" w:name="_heading=h.gjdgxs" w:colFirst="0" w:colLast="0"/>
      <w:bookmarkEnd w:id="4"/>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once de abril de dos mil veintitrés,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a través del Sistema de Acceso a la Información Mexiquense o SAIMEX</w:t>
      </w:r>
      <w:r>
        <w:rPr>
          <w:rFonts w:ascii="Palatino Linotype" w:eastAsia="Palatino Linotype" w:hAnsi="Palatino Linotype" w:cs="Palatino Linotype"/>
          <w:b/>
        </w:rPr>
        <w:t>,</w:t>
      </w:r>
      <w:r>
        <w:rPr>
          <w:rFonts w:ascii="Palatino Linotype" w:eastAsia="Palatino Linotype" w:hAnsi="Palatino Linotype" w:cs="Palatino Linotype"/>
        </w:rPr>
        <w:t xml:space="preserve"> realizó la solicitud de acceso a la información pública</w:t>
      </w:r>
      <w:r>
        <w:rPr>
          <w:rFonts w:ascii="Palatino Linotype" w:eastAsia="Palatino Linotype" w:hAnsi="Palatino Linotype" w:cs="Palatino Linotype"/>
          <w:b/>
        </w:rPr>
        <w:t xml:space="preserve"> 00102/ATLACOM/IP/2022</w:t>
      </w:r>
      <w:r>
        <w:rPr>
          <w:rFonts w:ascii="Palatino Linotype" w:eastAsia="Palatino Linotype" w:hAnsi="Palatino Linotype" w:cs="Palatino Linotype"/>
        </w:rPr>
        <w:t>, en la cual requirió:</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“Requiero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de la nueva Tesorera del Municipio de Atlacomulco, </w:t>
      </w:r>
      <w:r>
        <w:rPr>
          <w:rFonts w:ascii="Palatino Linotype" w:eastAsia="Palatino Linotype" w:hAnsi="Palatino Linotype" w:cs="Palatino Linotype"/>
          <w:i/>
          <w:color w:val="000000"/>
          <w:sz w:val="22"/>
          <w:szCs w:val="22"/>
          <w:u w:val="single"/>
        </w:rPr>
        <w:t>así como los motivos del cambio del mismo puesto con el anterior Tesorero y la nueva tesorera.</w:t>
      </w:r>
      <w:r>
        <w:rPr>
          <w:rFonts w:ascii="Palatino Linotype" w:eastAsia="Palatino Linotype" w:hAnsi="Palatino Linotype" w:cs="Palatino Linotype"/>
          <w:i/>
          <w:color w:val="000000"/>
          <w:sz w:val="22"/>
          <w:szCs w:val="22"/>
        </w:rPr>
        <w:t xml:space="preserve"> Dicha respuesta se solicita con el </w:t>
      </w:r>
      <w:proofErr w:type="spellStart"/>
      <w:r>
        <w:rPr>
          <w:rFonts w:ascii="Palatino Linotype" w:eastAsia="Palatino Linotype" w:hAnsi="Palatino Linotype" w:cs="Palatino Linotype"/>
          <w:i/>
          <w:color w:val="000000"/>
          <w:sz w:val="22"/>
          <w:szCs w:val="22"/>
        </w:rPr>
        <w:t>vobo</w:t>
      </w:r>
      <w:proofErr w:type="spellEnd"/>
      <w:r>
        <w:rPr>
          <w:rFonts w:ascii="Palatino Linotype" w:eastAsia="Palatino Linotype" w:hAnsi="Palatino Linotype" w:cs="Palatino Linotype"/>
          <w:i/>
          <w:color w:val="000000"/>
          <w:sz w:val="22"/>
          <w:szCs w:val="22"/>
        </w:rPr>
        <w:t xml:space="preserve"> por los integrantes de cabildo” (Sic)</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Modalidad de Entrega:</w:t>
      </w:r>
      <w:r>
        <w:rPr>
          <w:rFonts w:ascii="Palatino Linotype" w:eastAsia="Palatino Linotype" w:hAnsi="Palatino Linotype" w:cs="Palatino Linotype"/>
          <w:color w:val="000000"/>
        </w:rPr>
        <w:t xml:space="preserve"> A través del SAIMEX.</w:t>
      </w:r>
    </w:p>
    <w:p w:rsidR="00164947" w:rsidRDefault="00164947">
      <w:pPr>
        <w:spacing w:line="360" w:lineRule="auto"/>
        <w:jc w:val="both"/>
        <w:rPr>
          <w:rFonts w:ascii="Palatino Linotype" w:eastAsia="Palatino Linotype" w:hAnsi="Palatino Linotype" w:cs="Palatino Linotype"/>
          <w:color w:val="000000"/>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2. Respuesta. </w:t>
      </w: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tres de mayo de dos mil veintitrés, EL SUJETO OBLIGADO </w:t>
      </w:r>
      <w:r>
        <w:rPr>
          <w:rFonts w:ascii="Palatino Linotype" w:eastAsia="Palatino Linotype" w:hAnsi="Palatino Linotype" w:cs="Palatino Linotype"/>
          <w:color w:val="000000"/>
        </w:rPr>
        <w:t>respondió a la solicitud de información con los siguientes archivos:</w:t>
      </w:r>
    </w:p>
    <w:p w:rsidR="00164947" w:rsidRDefault="00164947">
      <w:pPr>
        <w:spacing w:line="360" w:lineRule="auto"/>
        <w:jc w:val="both"/>
        <w:rPr>
          <w:rFonts w:ascii="Palatino Linotype" w:eastAsia="Palatino Linotype" w:hAnsi="Palatino Linotype" w:cs="Palatino Linotype"/>
          <w:i/>
        </w:rPr>
      </w:pPr>
    </w:p>
    <w:p w:rsidR="00164947" w:rsidRDefault="004963D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hyperlink r:id="rId8">
        <w:r w:rsidR="00276DAD">
          <w:rPr>
            <w:rFonts w:ascii="Palatino Linotype" w:eastAsia="Palatino Linotype" w:hAnsi="Palatino Linotype" w:cs="Palatino Linotype"/>
            <w:b/>
            <w:i/>
            <w:color w:val="000000"/>
          </w:rPr>
          <w:t>102_SOL_RESP_ADMON_2023.pdf</w:t>
        </w:r>
      </w:hyperlink>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Que contiene el oficio </w:t>
      </w:r>
      <w:r>
        <w:rPr>
          <w:rFonts w:ascii="Palatino Linotype" w:eastAsia="Palatino Linotype" w:hAnsi="Palatino Linotype" w:cs="Palatino Linotype"/>
          <w:i/>
        </w:rPr>
        <w:t>ADMON/RH/0544/05/23</w:t>
      </w:r>
      <w:r>
        <w:rPr>
          <w:rFonts w:ascii="Palatino Linotype" w:eastAsia="Palatino Linotype" w:hAnsi="Palatino Linotype" w:cs="Palatino Linotype"/>
        </w:rPr>
        <w:t xml:space="preserve"> de la Dirección de Administración de Atlacomulco, por medio del cual se remitió a la parte solicitante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 la Persona Titular de la Tesorería Municipal que obra en sus archivos. </w:t>
      </w:r>
    </w:p>
    <w:p w:rsidR="00164947" w:rsidRDefault="00164947">
      <w:pPr>
        <w:spacing w:line="360" w:lineRule="auto"/>
        <w:jc w:val="both"/>
        <w:rPr>
          <w:rFonts w:ascii="Palatino Linotype" w:eastAsia="Palatino Linotype" w:hAnsi="Palatino Linotype" w:cs="Palatino Linotype"/>
        </w:rPr>
      </w:pPr>
    </w:p>
    <w:p w:rsidR="00164947" w:rsidRDefault="004963D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hyperlink r:id="rId9">
        <w:r w:rsidR="00276DAD">
          <w:rPr>
            <w:rFonts w:ascii="Palatino Linotype" w:eastAsia="Palatino Linotype" w:hAnsi="Palatino Linotype" w:cs="Palatino Linotype"/>
            <w:b/>
            <w:i/>
            <w:color w:val="000000"/>
          </w:rPr>
          <w:t>102_SOL_ANEXO_ADMON_2023.pdf</w:t>
        </w:r>
      </w:hyperlink>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anexo referido en el punto anterior donde consta el Currículum Vitae enunciado. </w:t>
      </w:r>
    </w:p>
    <w:p w:rsidR="00164947" w:rsidRDefault="00164947">
      <w:pPr>
        <w:spacing w:line="360" w:lineRule="auto"/>
        <w:jc w:val="both"/>
        <w:rPr>
          <w:rFonts w:ascii="Palatino Linotype" w:eastAsia="Palatino Linotype" w:hAnsi="Palatino Linotype" w:cs="Palatino Linotype"/>
        </w:rPr>
      </w:pPr>
    </w:p>
    <w:p w:rsidR="00164947" w:rsidRDefault="004963D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hyperlink r:id="rId10">
        <w:r w:rsidR="00276DAD">
          <w:rPr>
            <w:rFonts w:ascii="Palatino Linotype" w:eastAsia="Palatino Linotype" w:hAnsi="Palatino Linotype" w:cs="Palatino Linotype"/>
            <w:b/>
            <w:i/>
            <w:color w:val="000000"/>
          </w:rPr>
          <w:t>0102_RES_UT_2023.pdf</w:t>
        </w:r>
      </w:hyperlink>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Respuesta signada por la Unidad de Transparencia del Ayuntamiento de Atlacomulco en el oficio </w:t>
      </w:r>
      <w:r>
        <w:rPr>
          <w:rFonts w:ascii="Palatino Linotype" w:eastAsia="Palatino Linotype" w:hAnsi="Palatino Linotype" w:cs="Palatino Linotype"/>
          <w:i/>
        </w:rPr>
        <w:t>PM/UT/0208/2023</w:t>
      </w:r>
      <w:r>
        <w:rPr>
          <w:rFonts w:ascii="Palatino Linotype" w:eastAsia="Palatino Linotype" w:hAnsi="Palatino Linotype" w:cs="Palatino Linotype"/>
        </w:rPr>
        <w:t xml:space="preserve"> y mediante el cual se hace referencia a las respuestas antes descritas y a que en relación a los demás puntos de la solicitud, estos serían inatendibles en razón de constituirse como un Derecho de Petición y no como el Derecho de Acceso a la Información. </w:t>
      </w:r>
    </w:p>
    <w:p w:rsidR="00164947" w:rsidRDefault="00164947">
      <w:pPr>
        <w:spacing w:line="360" w:lineRule="auto"/>
        <w:jc w:val="both"/>
        <w:rPr>
          <w:rFonts w:ascii="Palatino Linotype" w:eastAsia="Palatino Linotype" w:hAnsi="Palatino Linotype" w:cs="Palatino Linotype"/>
          <w:i/>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2"/>
          <w:szCs w:val="22"/>
        </w:rPr>
        <w:t>3.</w:t>
      </w:r>
      <w:r>
        <w:rPr>
          <w:rFonts w:ascii="Palatino Linotype" w:eastAsia="Palatino Linotype" w:hAnsi="Palatino Linotype" w:cs="Palatino Linotype"/>
          <w:b/>
          <w:color w:val="000000"/>
        </w:rPr>
        <w:t xml:space="preserve"> Interposición del recurso de revisión. </w:t>
      </w:r>
      <w:r>
        <w:rPr>
          <w:rFonts w:ascii="Palatino Linotype" w:eastAsia="Palatino Linotype" w:hAnsi="Palatino Linotype" w:cs="Palatino Linotype"/>
          <w:color w:val="000000"/>
        </w:rPr>
        <w:t xml:space="preserve">Inconforme la entonces persona solicitante con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el día</w:t>
      </w:r>
      <w:r>
        <w:rPr>
          <w:rFonts w:ascii="Palatino Linotype" w:eastAsia="Palatino Linotype" w:hAnsi="Palatino Linotype" w:cs="Palatino Linotype"/>
          <w:b/>
          <w:color w:val="000000"/>
        </w:rPr>
        <w:t xml:space="preserve"> once de mayo de dos mil veintitrés, </w:t>
      </w:r>
      <w:r>
        <w:rPr>
          <w:rFonts w:ascii="Palatino Linotype" w:eastAsia="Palatino Linotype" w:hAnsi="Palatino Linotype" w:cs="Palatino Linotype"/>
          <w:color w:val="000000"/>
        </w:rPr>
        <w:t xml:space="preserve">accionó este medio de defensa, mediante el cual </w:t>
      </w:r>
      <w:r>
        <w:rPr>
          <w:rFonts w:ascii="Palatino Linotype" w:eastAsia="Palatino Linotype" w:hAnsi="Palatino Linotype" w:cs="Palatino Linotype"/>
        </w:rPr>
        <w:t>manifestó lo siguiente</w:t>
      </w:r>
      <w:r>
        <w:rPr>
          <w:rFonts w:ascii="Palatino Linotype" w:eastAsia="Palatino Linotype" w:hAnsi="Palatino Linotype" w:cs="Palatino Linotype"/>
          <w:color w:val="000000"/>
        </w:rPr>
        <w:t xml:space="preserve">: </w:t>
      </w:r>
    </w:p>
    <w:p w:rsidR="00164947" w:rsidRDefault="00164947">
      <w:pPr>
        <w:tabs>
          <w:tab w:val="left" w:pos="2745"/>
        </w:tabs>
        <w:spacing w:line="360" w:lineRule="auto"/>
        <w:jc w:val="both"/>
        <w:rPr>
          <w:rFonts w:ascii="Palatino Linotype" w:eastAsia="Palatino Linotype" w:hAnsi="Palatino Linotype" w:cs="Palatino Linotype"/>
          <w:color w:val="000000"/>
        </w:rPr>
      </w:pPr>
    </w:p>
    <w:p w:rsidR="00164947" w:rsidRDefault="00276DAD">
      <w:pPr>
        <w:tabs>
          <w:tab w:val="left" w:pos="2745"/>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Acto impugnado: </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 solicita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de la persona ya referida (documento en el cual se menciona la trayectoria profesional y laboral de un ciudadano)” (Sic) </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bookmarkStart w:id="5" w:name="_heading=h.30j0zll" w:colFirst="0" w:colLast="0"/>
      <w:bookmarkEnd w:id="5"/>
      <w:r>
        <w:rPr>
          <w:rFonts w:ascii="Palatino Linotype" w:eastAsia="Palatino Linotype" w:hAnsi="Palatino Linotype" w:cs="Palatino Linotype"/>
          <w:i/>
          <w:color w:val="000000"/>
          <w:sz w:val="22"/>
          <w:szCs w:val="22"/>
        </w:rPr>
        <w:t xml:space="preserve">“Requiero saber la trayectoria profesional y laboral de la persona ya mencionada, ya que la </w:t>
      </w:r>
      <w:r>
        <w:rPr>
          <w:rFonts w:ascii="Palatino Linotype" w:eastAsia="Palatino Linotype" w:hAnsi="Palatino Linotype" w:cs="Palatino Linotype"/>
          <w:b/>
          <w:i/>
          <w:color w:val="000000"/>
          <w:sz w:val="22"/>
          <w:szCs w:val="22"/>
          <w:u w:val="single"/>
        </w:rPr>
        <w:t>información es carente de datos</w:t>
      </w:r>
      <w:r>
        <w:rPr>
          <w:rFonts w:ascii="Palatino Linotype" w:eastAsia="Palatino Linotype" w:hAnsi="Palatino Linotype" w:cs="Palatino Linotype"/>
          <w:i/>
          <w:color w:val="000000"/>
          <w:sz w:val="22"/>
          <w:szCs w:val="22"/>
        </w:rPr>
        <w:t xml:space="preserve">, los cuales son necesarios para saber si cuenta con la capacidad para que </w:t>
      </w:r>
      <w:proofErr w:type="spellStart"/>
      <w:r>
        <w:rPr>
          <w:rFonts w:ascii="Palatino Linotype" w:eastAsia="Palatino Linotype" w:hAnsi="Palatino Linotype" w:cs="Palatino Linotype"/>
          <w:i/>
          <w:color w:val="000000"/>
          <w:sz w:val="22"/>
          <w:szCs w:val="22"/>
        </w:rPr>
        <w:t>este</w:t>
      </w:r>
      <w:proofErr w:type="spellEnd"/>
      <w:r>
        <w:rPr>
          <w:rFonts w:ascii="Palatino Linotype" w:eastAsia="Palatino Linotype" w:hAnsi="Palatino Linotype" w:cs="Palatino Linotype"/>
          <w:i/>
          <w:color w:val="000000"/>
          <w:sz w:val="22"/>
          <w:szCs w:val="22"/>
        </w:rPr>
        <w:t xml:space="preserve"> al frente de Tesorería, al ser Lic. </w:t>
      </w:r>
      <w:proofErr w:type="spellStart"/>
      <w:proofErr w:type="gramStart"/>
      <w:r>
        <w:rPr>
          <w:rFonts w:ascii="Palatino Linotype" w:eastAsia="Palatino Linotype" w:hAnsi="Palatino Linotype" w:cs="Palatino Linotype"/>
          <w:i/>
          <w:color w:val="000000"/>
          <w:sz w:val="22"/>
          <w:szCs w:val="22"/>
        </w:rPr>
        <w:t>enn</w:t>
      </w:r>
      <w:proofErr w:type="spellEnd"/>
      <w:proofErr w:type="gramEnd"/>
      <w:r>
        <w:rPr>
          <w:rFonts w:ascii="Palatino Linotype" w:eastAsia="Palatino Linotype" w:hAnsi="Palatino Linotype" w:cs="Palatino Linotype"/>
          <w:i/>
          <w:color w:val="000000"/>
          <w:sz w:val="22"/>
          <w:szCs w:val="22"/>
        </w:rPr>
        <w:t xml:space="preserve"> Derecho, deja mucho que desear para poder operar bien ese departamento, que es tan importante en un Organismo. Aunado a los malos comentarios de la poca capacidad que tiene esta persona a operar </w:t>
      </w:r>
      <w:proofErr w:type="spellStart"/>
      <w:r>
        <w:rPr>
          <w:rFonts w:ascii="Palatino Linotype" w:eastAsia="Palatino Linotype" w:hAnsi="Palatino Linotype" w:cs="Palatino Linotype"/>
          <w:i/>
          <w:color w:val="000000"/>
          <w:sz w:val="22"/>
          <w:szCs w:val="22"/>
        </w:rPr>
        <w:t>Tesoreria</w:t>
      </w:r>
      <w:proofErr w:type="spellEnd"/>
      <w:r>
        <w:rPr>
          <w:rFonts w:ascii="Palatino Linotype" w:eastAsia="Palatino Linotype" w:hAnsi="Palatino Linotype" w:cs="Palatino Linotype"/>
          <w:i/>
          <w:color w:val="000000"/>
          <w:sz w:val="22"/>
          <w:szCs w:val="22"/>
        </w:rPr>
        <w:t xml:space="preserve">. Por lo anterior solicito sea </w:t>
      </w:r>
      <w:proofErr w:type="spellStart"/>
      <w:r>
        <w:rPr>
          <w:rFonts w:ascii="Palatino Linotype" w:eastAsia="Palatino Linotype" w:hAnsi="Palatino Linotype" w:cs="Palatino Linotype"/>
          <w:i/>
          <w:color w:val="000000"/>
          <w:sz w:val="22"/>
          <w:szCs w:val="22"/>
        </w:rPr>
        <w:t>mas</w:t>
      </w:r>
      <w:proofErr w:type="spellEnd"/>
      <w:r>
        <w:rPr>
          <w:rFonts w:ascii="Palatino Linotype" w:eastAsia="Palatino Linotype" w:hAnsi="Palatino Linotype" w:cs="Palatino Linotype"/>
          <w:i/>
          <w:color w:val="000000"/>
          <w:sz w:val="22"/>
          <w:szCs w:val="22"/>
        </w:rPr>
        <w:t xml:space="preserve"> abundante la información laboral de la ya referida.” (Sic) </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4. Turno. </w:t>
      </w:r>
      <w:r>
        <w:rPr>
          <w:rFonts w:ascii="Palatino Linotype" w:eastAsia="Palatino Linotype" w:hAnsi="Palatino Linotype" w:cs="Palatino Linotype"/>
          <w:color w:val="000000"/>
        </w:rPr>
        <w:t xml:space="preserve">De conformidad con el artículo 185 fracción I de la Ley de Transparencia, el presente recurso de revisión se turnó por el sistema electrónico de este Instituto, a la </w:t>
      </w:r>
      <w:r>
        <w:rPr>
          <w:rFonts w:ascii="Palatino Linotype" w:eastAsia="Palatino Linotype" w:hAnsi="Palatino Linotype" w:cs="Palatino Linotype"/>
          <w:b/>
          <w:color w:val="000000"/>
        </w:rPr>
        <w:t xml:space="preserve">Comisionada Guadalupe Ramírez Peña, </w:t>
      </w:r>
      <w:r>
        <w:rPr>
          <w:rFonts w:ascii="Palatino Linotype" w:eastAsia="Palatino Linotype" w:hAnsi="Palatino Linotype" w:cs="Palatino Linotype"/>
          <w:color w:val="000000"/>
        </w:rPr>
        <w:t xml:space="preserve">a efecto de que analizara sobre su admisión o su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w:t>
      </w:r>
    </w:p>
    <w:p w:rsidR="00164947" w:rsidRDefault="00164947">
      <w:pPr>
        <w:spacing w:line="360" w:lineRule="auto"/>
        <w:ind w:right="51"/>
        <w:jc w:val="both"/>
        <w:rPr>
          <w:rFonts w:ascii="Palatino Linotype" w:eastAsia="Palatino Linotype" w:hAnsi="Palatino Linotype" w:cs="Palatino Linotype"/>
          <w:color w:val="000000"/>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5. Admisión del Recurso de revisión.</w:t>
      </w:r>
      <w:r>
        <w:rPr>
          <w:rFonts w:ascii="Palatino Linotype" w:eastAsia="Palatino Linotype" w:hAnsi="Palatino Linotype" w:cs="Palatino Linotype"/>
          <w:color w:val="000000"/>
        </w:rPr>
        <w:t xml:space="preserve"> El</w:t>
      </w:r>
      <w:r>
        <w:rPr>
          <w:rFonts w:ascii="Palatino Linotype" w:eastAsia="Palatino Linotype" w:hAnsi="Palatino Linotype" w:cs="Palatino Linotype"/>
          <w:b/>
          <w:color w:val="000000"/>
        </w:rPr>
        <w:t xml:space="preserve"> dieciséis de mayo de dos mil veintitrés, </w:t>
      </w:r>
      <w:r>
        <w:rPr>
          <w:rFonts w:ascii="Palatino Linotype" w:eastAsia="Palatino Linotype" w:hAnsi="Palatino Linotype" w:cs="Palatino Linotype"/>
          <w:color w:val="000000"/>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presentara su Informe Justificado.</w:t>
      </w:r>
    </w:p>
    <w:p w:rsidR="00164947" w:rsidRDefault="00164947">
      <w:pPr>
        <w:spacing w:line="360" w:lineRule="auto"/>
        <w:jc w:val="both"/>
        <w:rPr>
          <w:rFonts w:ascii="Palatino Linotype" w:eastAsia="Palatino Linotype" w:hAnsi="Palatino Linotype" w:cs="Palatino Linotype"/>
          <w:b/>
          <w:color w:val="000000"/>
        </w:rPr>
      </w:pPr>
    </w:p>
    <w:p w:rsidR="00164947" w:rsidRDefault="00276DAD">
      <w:pPr>
        <w:spacing w:line="360" w:lineRule="auto"/>
        <w:ind w:right="49"/>
        <w:jc w:val="both"/>
        <w:rPr>
          <w:rFonts w:ascii="Palatino Linotype" w:eastAsia="Palatino Linotype" w:hAnsi="Palatino Linotype" w:cs="Palatino Linotype"/>
          <w:color w:val="000000"/>
        </w:rPr>
      </w:pPr>
      <w:bookmarkStart w:id="6" w:name="_heading=h.2s8eyo1" w:colFirst="0" w:colLast="0"/>
      <w:bookmarkEnd w:id="6"/>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De las constancias que integran el expediente electrónico en que se actúa se advierte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 xml:space="preserve">remitió su Informe Justificado el pasado veintidós de mayo de dos mil veintitrés, mismo que se notificó a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color w:val="000000"/>
        </w:rPr>
        <w:lastRenderedPageBreak/>
        <w:t>RECURRENTE</w:t>
      </w:r>
      <w:r>
        <w:rPr>
          <w:rFonts w:ascii="Palatino Linotype" w:eastAsia="Palatino Linotype" w:hAnsi="Palatino Linotype" w:cs="Palatino Linotype"/>
          <w:color w:val="000000"/>
        </w:rPr>
        <w:t xml:space="preserve"> el pasado </w:t>
      </w:r>
      <w:r>
        <w:rPr>
          <w:rFonts w:ascii="Palatino Linotype" w:eastAsia="Palatino Linotype" w:hAnsi="Palatino Linotype" w:cs="Palatino Linotype"/>
          <w:b/>
          <w:color w:val="000000"/>
        </w:rPr>
        <w:t>veintiuno de septiembre de dos mil veintitrés,</w:t>
      </w:r>
      <w:r>
        <w:rPr>
          <w:rFonts w:ascii="Palatino Linotype" w:eastAsia="Palatino Linotype" w:hAnsi="Palatino Linotype" w:cs="Palatino Linotype"/>
          <w:color w:val="000000"/>
        </w:rPr>
        <w:t xml:space="preserve"> en el que consta la siguiente información: </w:t>
      </w:r>
    </w:p>
    <w:p w:rsidR="00164947" w:rsidRDefault="00164947">
      <w:pPr>
        <w:spacing w:line="360" w:lineRule="auto"/>
        <w:ind w:right="49"/>
        <w:jc w:val="both"/>
        <w:rPr>
          <w:rFonts w:ascii="Palatino Linotype" w:eastAsia="Palatino Linotype" w:hAnsi="Palatino Linotype" w:cs="Palatino Linotype"/>
          <w:b/>
          <w:i/>
          <w:color w:val="000000"/>
        </w:rPr>
      </w:pPr>
    </w:p>
    <w:p w:rsidR="00164947" w:rsidRDefault="00276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025_ACTEXT_UT_1605_2023.pdf</w:t>
      </w:r>
      <w:r>
        <w:rPr>
          <w:rFonts w:ascii="Palatino Linotype" w:eastAsia="Palatino Linotype" w:hAnsi="Palatino Linotype" w:cs="Palatino Linotype"/>
          <w:b/>
          <w:i/>
          <w:color w:val="000000"/>
        </w:rPr>
        <w:tab/>
      </w:r>
    </w:p>
    <w:p w:rsidR="00164947" w:rsidRDefault="00276DAD">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Contiene el Acta de número </w:t>
      </w:r>
      <w:r>
        <w:rPr>
          <w:rFonts w:ascii="Palatino Linotype" w:eastAsia="Palatino Linotype" w:hAnsi="Palatino Linotype" w:cs="Palatino Linotype"/>
          <w:i/>
          <w:color w:val="000000"/>
        </w:rPr>
        <w:t>ACT/ATLACOMULCO/EXT/COMT/25ª/2023</w:t>
      </w:r>
      <w:r>
        <w:rPr>
          <w:rFonts w:ascii="Palatino Linotype" w:eastAsia="Palatino Linotype" w:hAnsi="Palatino Linotype" w:cs="Palatino Linotype"/>
          <w:color w:val="000000"/>
        </w:rPr>
        <w:t xml:space="preserve"> de la Vigésima Quinta Sesión Extraordinaria de fecha dieciséis de mayo de dos mil veintitrés y mediante la cual el Comité de Transparencia del Ayuntamiento de Atlacomulco aprobó en el punto número cuatro por unanimidad de votos, la clasificación de la información en la modalidad de confidencial de la Clave Única de Registro de Población (CURP) y la elaboración de versiones públicas de los Certificados de Competencia Laboral para dar respuesta al recurso de revisión </w:t>
      </w:r>
      <w:r>
        <w:rPr>
          <w:rFonts w:ascii="Palatino Linotype" w:eastAsia="Palatino Linotype" w:hAnsi="Palatino Linotype" w:cs="Palatino Linotype"/>
          <w:b/>
          <w:color w:val="000000"/>
        </w:rPr>
        <w:t>02574/INFOEM/IP/RR/2023.</w:t>
      </w:r>
      <w:r>
        <w:rPr>
          <w:rFonts w:ascii="Palatino Linotype" w:eastAsia="Palatino Linotype" w:hAnsi="Palatino Linotype" w:cs="Palatino Linotype"/>
          <w:color w:val="000000"/>
        </w:rPr>
        <w:t xml:space="preserve"> </w:t>
      </w:r>
    </w:p>
    <w:p w:rsidR="00164947" w:rsidRDefault="00164947">
      <w:pPr>
        <w:spacing w:line="360" w:lineRule="auto"/>
        <w:ind w:right="49"/>
        <w:jc w:val="both"/>
        <w:rPr>
          <w:rFonts w:ascii="Palatino Linotype" w:eastAsia="Palatino Linotype" w:hAnsi="Palatino Linotype" w:cs="Palatino Linotype"/>
          <w:color w:val="000000"/>
        </w:rPr>
      </w:pPr>
    </w:p>
    <w:p w:rsidR="00164947" w:rsidRDefault="00276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informe justificado SOL_0102_RR_025764_2023 (1).pdf</w:t>
      </w:r>
    </w:p>
    <w:p w:rsidR="00164947" w:rsidRDefault="00276DAD">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Contiene el oficio </w:t>
      </w:r>
      <w:r>
        <w:rPr>
          <w:rFonts w:ascii="Palatino Linotype" w:eastAsia="Palatino Linotype" w:hAnsi="Palatino Linotype" w:cs="Palatino Linotype"/>
          <w:i/>
          <w:color w:val="000000"/>
        </w:rPr>
        <w:t>PM/UT/INJ/013/2023</w:t>
      </w:r>
      <w:r>
        <w:rPr>
          <w:rFonts w:ascii="Palatino Linotype" w:eastAsia="Palatino Linotype" w:hAnsi="Palatino Linotype" w:cs="Palatino Linotype"/>
          <w:color w:val="000000"/>
        </w:rPr>
        <w:t xml:space="preserve"> signado por la Unidad de Transparencia del Ayuntamiento de Atlacomulco y dirigido a la </w:t>
      </w:r>
      <w:r>
        <w:rPr>
          <w:rFonts w:ascii="Palatino Linotype" w:eastAsia="Palatino Linotype" w:hAnsi="Palatino Linotype" w:cs="Palatino Linotype"/>
          <w:b/>
          <w:color w:val="000000"/>
        </w:rPr>
        <w:t>Comisionada Guadalupe Ramírez Peña</w:t>
      </w:r>
      <w:r>
        <w:rPr>
          <w:rFonts w:ascii="Palatino Linotype" w:eastAsia="Palatino Linotype" w:hAnsi="Palatino Linotype" w:cs="Palatino Linotype"/>
          <w:color w:val="000000"/>
        </w:rPr>
        <w:t xml:space="preserve"> en el cual hace de su conocimiento la modificación de su respuesta remitiendo los oficios que aquí se describen. </w:t>
      </w:r>
    </w:p>
    <w:p w:rsidR="00164947" w:rsidRDefault="00164947">
      <w:pPr>
        <w:spacing w:line="360" w:lineRule="auto"/>
        <w:ind w:right="49"/>
        <w:jc w:val="both"/>
        <w:rPr>
          <w:rFonts w:ascii="Palatino Linotype" w:eastAsia="Palatino Linotype" w:hAnsi="Palatino Linotype" w:cs="Palatino Linotype"/>
          <w:b/>
          <w:color w:val="000000"/>
        </w:rPr>
      </w:pPr>
    </w:p>
    <w:p w:rsidR="00164947" w:rsidRDefault="00276DAD">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02574_ANEXO_INFJUSTIFICADO.pdf</w:t>
      </w:r>
    </w:p>
    <w:p w:rsidR="00164947" w:rsidRDefault="00276DAD">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Oficio ADMON/RH/0697/05/23 suscrito por el Departamento de Recursos Humanos donde se hace entrega de los Certificados de Competencia Laboral en versión pública de la Persona Titular de la Tesorería Municipal.</w:t>
      </w:r>
    </w:p>
    <w:p w:rsidR="00164947" w:rsidRDefault="00164947">
      <w:pPr>
        <w:spacing w:line="360" w:lineRule="auto"/>
        <w:ind w:right="49"/>
        <w:jc w:val="both"/>
        <w:rPr>
          <w:rFonts w:ascii="Palatino Linotype" w:eastAsia="Palatino Linotype" w:hAnsi="Palatino Linotype" w:cs="Palatino Linotype"/>
          <w:color w:val="000000"/>
        </w:rPr>
      </w:pPr>
    </w:p>
    <w:p w:rsidR="00164947" w:rsidRDefault="00276DA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Conocido el Informe Justificado, es de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realizó manifestación alguna.</w:t>
      </w:r>
    </w:p>
    <w:p w:rsidR="00164947" w:rsidRDefault="00164947">
      <w:pPr>
        <w:spacing w:line="360" w:lineRule="auto"/>
        <w:ind w:right="49"/>
        <w:jc w:val="both"/>
      </w:pPr>
    </w:p>
    <w:p w:rsidR="00164947" w:rsidRDefault="00276DAD">
      <w:pPr>
        <w:spacing w:line="360" w:lineRule="auto"/>
        <w:ind w:right="49"/>
        <w:jc w:val="center"/>
        <w:rPr>
          <w:rFonts w:ascii="Palatino Linotype" w:eastAsia="Palatino Linotype" w:hAnsi="Palatino Linotype" w:cs="Palatino Linotype"/>
        </w:rPr>
      </w:pPr>
      <w:r>
        <w:rPr>
          <w:noProof/>
        </w:rPr>
        <w:drawing>
          <wp:inline distT="0" distB="0" distL="0" distR="0">
            <wp:extent cx="3914775" cy="1581150"/>
            <wp:effectExtent l="0" t="0" r="0" b="0"/>
            <wp:docPr id="2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4425" t="35607" r="15817" b="14300"/>
                    <a:stretch>
                      <a:fillRect/>
                    </a:stretch>
                  </pic:blipFill>
                  <pic:spPr>
                    <a:xfrm>
                      <a:off x="0" y="0"/>
                      <a:ext cx="3914775" cy="1581150"/>
                    </a:xfrm>
                    <a:prstGeom prst="rect">
                      <a:avLst/>
                    </a:prstGeom>
                    <a:ln/>
                  </pic:spPr>
                </pic:pic>
              </a:graphicData>
            </a:graphic>
          </wp:inline>
        </w:drawing>
      </w:r>
    </w:p>
    <w:p w:rsidR="00164947" w:rsidRDefault="00164947">
      <w:pPr>
        <w:spacing w:line="360" w:lineRule="auto"/>
        <w:ind w:right="49"/>
        <w:jc w:val="center"/>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Ampliación del plazo para emitir resolución.</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veintiuno de septiembre de dos mil veintitrés,</w:t>
      </w:r>
      <w:r>
        <w:rPr>
          <w:rFonts w:ascii="Palatino Linotype" w:eastAsia="Palatino Linotype" w:hAnsi="Palatino Linotype" w:cs="Palatino Linotype"/>
          <w:color w:val="000000"/>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numPr>
          <w:ilvl w:val="0"/>
          <w:numId w:val="1"/>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Complejidad del Asunto: </w:t>
      </w:r>
      <w:r>
        <w:rPr>
          <w:rFonts w:ascii="Palatino Linotype" w:eastAsia="Palatino Linotype" w:hAnsi="Palatino Linotype" w:cs="Palatino Linotype"/>
          <w:color w:val="000000"/>
        </w:rPr>
        <w:t xml:space="preserve">La complejidad de la prueba, la pluralidad de sujetos procesales, el tiempo transcurrido, las características y contexto del recurso. </w:t>
      </w:r>
    </w:p>
    <w:p w:rsidR="00164947" w:rsidRDefault="00276DAD">
      <w:pPr>
        <w:widowControl w:val="0"/>
        <w:numPr>
          <w:ilvl w:val="0"/>
          <w:numId w:val="1"/>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Actividad Procesal del interesado:</w:t>
      </w:r>
      <w:r>
        <w:rPr>
          <w:rFonts w:ascii="Palatino Linotype" w:eastAsia="Palatino Linotype" w:hAnsi="Palatino Linotype" w:cs="Palatino Linotype"/>
          <w:color w:val="000000"/>
        </w:rPr>
        <w:t xml:space="preserve"> Acciones u omisiones del interesado.</w:t>
      </w:r>
    </w:p>
    <w:p w:rsidR="00164947" w:rsidRDefault="00276DAD">
      <w:pPr>
        <w:widowControl w:val="0"/>
        <w:numPr>
          <w:ilvl w:val="0"/>
          <w:numId w:val="1"/>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Conducta de la Autoridad:</w:t>
      </w:r>
      <w:r>
        <w:rPr>
          <w:rFonts w:ascii="Palatino Linotype" w:eastAsia="Palatino Linotype" w:hAnsi="Palatino Linotype" w:cs="Palatino Linotype"/>
          <w:color w:val="000000"/>
        </w:rPr>
        <w:t xml:space="preserve"> Las Acciones u omisiones realizadas en el procedimiento. Así como si la autoridad actuó con la debida diligencia.</w:t>
      </w:r>
    </w:p>
    <w:p w:rsidR="00164947" w:rsidRDefault="00276DAD">
      <w:pPr>
        <w:widowControl w:val="0"/>
        <w:numPr>
          <w:ilvl w:val="0"/>
          <w:numId w:val="1"/>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La afectación generada en la situación jurídica de la persona involucrada en el proceso:</w:t>
      </w:r>
      <w:r>
        <w:rPr>
          <w:rFonts w:ascii="Palatino Linotype" w:eastAsia="Palatino Linotype" w:hAnsi="Palatino Linotype" w:cs="Palatino Linotype"/>
          <w:color w:val="000000"/>
        </w:rPr>
        <w:t xml:space="preserve"> Violación a sus derechos humanos.</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Argumento que encuentra sustento en la jurisprudencia P</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J. 32/92 emitida por el Pleno de la Suprema Corte de Justicia de la Nación de rubro </w:t>
      </w:r>
      <w:r>
        <w:rPr>
          <w:rFonts w:ascii="Palatino Linotype" w:eastAsia="Palatino Linotype" w:hAnsi="Palatino Linotype" w:cs="Palatino Linotype"/>
          <w:b/>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visible en la Gaceta del Seminario Judicial de la Federación con el registro digital 205635.</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color w:val="000000"/>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“PLAZO RAZONABLE PARA RESOLVER. CONCEPTO Y ELEMENTOS QUE LO INTEGRAN A LA LUZ DEL DERECHO INTERNACIONAL DE LOS DERECHOS HUMANOS.”</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visible en el Seminario Judicial de la Federación y su gaceta, con el registro digital 2002350.</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este Organismo Garante comprometido con la tutela de los derechos humanos confiados, señala que este exceso del plazo legal para resolver el presente </w:t>
      </w:r>
      <w:r>
        <w:rPr>
          <w:rFonts w:ascii="Palatino Linotype" w:eastAsia="Palatino Linotype" w:hAnsi="Palatino Linotype" w:cs="Palatino Linotype"/>
          <w:color w:val="000000"/>
        </w:rPr>
        <w:lastRenderedPageBreak/>
        <w:t>asunto, resulta de carácter excepcional.</w:t>
      </w:r>
    </w:p>
    <w:p w:rsidR="00164947" w:rsidRDefault="00164947">
      <w:pPr>
        <w:widowControl w:val="0"/>
        <w:spacing w:line="360" w:lineRule="auto"/>
        <w:jc w:val="both"/>
        <w:rPr>
          <w:rFonts w:ascii="Palatino Linotype" w:eastAsia="Palatino Linotype" w:hAnsi="Palatino Linotype" w:cs="Palatino Linotype"/>
          <w:color w:val="000000"/>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8. Cierre de instrucción. </w:t>
      </w:r>
      <w:r>
        <w:rPr>
          <w:rFonts w:ascii="Palatino Linotype" w:eastAsia="Palatino Linotype" w:hAnsi="Palatino Linotype" w:cs="Palatino Linotype"/>
          <w:color w:val="000000"/>
        </w:rPr>
        <w:t>Una vez transcurrido el periodo otorgado a las partes para realizar sus manifestaciones y no habiendo documentos que integrar al expediente, con fecha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veintisiete de septiembre de dos mil veintitrés</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b/>
          <w:color w:val="000000"/>
        </w:rPr>
        <w:t>Comisionada Ponente</w:t>
      </w:r>
      <w:r>
        <w:rPr>
          <w:rFonts w:ascii="Palatino Linotype" w:eastAsia="Palatino Linotype" w:hAnsi="Palatino Linotype" w:cs="Palatino Linotype"/>
          <w:color w:val="000000"/>
        </w:rPr>
        <w:t xml:space="preserve"> determinó el cierre de instrucción en términos de la fracción VI del artículo 185 de la Ley de Transparencia y Acceso a la Información Pública del Estado de México y Municipios.</w:t>
      </w:r>
    </w:p>
    <w:p w:rsidR="00164947" w:rsidRDefault="00164947">
      <w:pPr>
        <w:spacing w:line="360" w:lineRule="auto"/>
        <w:jc w:val="both"/>
        <w:rPr>
          <w:rFonts w:ascii="Palatino Linotype" w:eastAsia="Palatino Linotype" w:hAnsi="Palatino Linotype" w:cs="Palatino Linotype"/>
          <w:b/>
          <w:color w:val="000000"/>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y</w:t>
      </w:r>
    </w:p>
    <w:p w:rsidR="00164947" w:rsidRDefault="00164947">
      <w:pPr>
        <w:spacing w:line="360" w:lineRule="auto"/>
        <w:jc w:val="both"/>
        <w:rPr>
          <w:rFonts w:ascii="Palatino Linotype" w:eastAsia="Palatino Linotype" w:hAnsi="Palatino Linotype" w:cs="Palatino Linotype"/>
          <w:color w:val="000000"/>
          <w:sz w:val="22"/>
          <w:szCs w:val="22"/>
        </w:rPr>
      </w:pPr>
    </w:p>
    <w:p w:rsidR="00164947" w:rsidRDefault="00276DAD">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164947" w:rsidRDefault="00164947">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PRIMERO. COMPETENCIA.</w:t>
      </w:r>
      <w:r>
        <w:rPr>
          <w:rFonts w:ascii="Palatino Linotype" w:eastAsia="Palatino Linotype" w:hAnsi="Palatino Linotype" w:cs="Palatino Linotype"/>
          <w:color w:val="000000"/>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w:t>
      </w:r>
      <w:r>
        <w:rPr>
          <w:rFonts w:ascii="Palatino Linotype" w:eastAsia="Palatino Linotype" w:hAnsi="Palatino Linotype" w:cs="Palatino Linotype"/>
          <w:color w:val="000000"/>
        </w:rPr>
        <w:lastRenderedPageBreak/>
        <w:t>y XXIII, y 11 del Reglamento Interior del Instituto de Transparencia, Acceso a la Información Pública y Protección de Datos Personales del Estado de México y Municipios.</w:t>
      </w:r>
    </w:p>
    <w:p w:rsidR="00164947" w:rsidRDefault="00164947">
      <w:pPr>
        <w:spacing w:line="360" w:lineRule="auto"/>
        <w:jc w:val="both"/>
        <w:rPr>
          <w:rFonts w:ascii="Palatino Linotype" w:eastAsia="Palatino Linotype" w:hAnsi="Palatino Linotype" w:cs="Palatino Linotype"/>
          <w:color w:val="000000"/>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SEGUNDO. OPORTUNIDAD Y PROCEDIBILIDAD DEL RECURSO DE REVISIÓN</w:t>
      </w:r>
      <w:r>
        <w:rPr>
          <w:rFonts w:ascii="Palatino Linotype" w:eastAsia="Palatino Linotype" w:hAnsi="Palatino Linotype" w:cs="Palatino Linotype"/>
          <w:color w:val="000000"/>
        </w:rPr>
        <w:t xml:space="preserve">. Previo al estudio del fondo del asunto, se procede a analizar los requisitos de oportunidad y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que debe reunir el recurso de revisión interpuesto, previstos en los artículos 178 y 180 de la Ley de Transparencia y Acceso a la Información Pública del Estado de México y Municipios.</w:t>
      </w:r>
    </w:p>
    <w:p w:rsidR="00164947" w:rsidRDefault="00164947">
      <w:pPr>
        <w:spacing w:line="360" w:lineRule="auto"/>
        <w:jc w:val="both"/>
        <w:rPr>
          <w:rFonts w:ascii="Palatino Linotype" w:eastAsia="Palatino Linotype" w:hAnsi="Palatino Linotype" w:cs="Palatino Linotype"/>
          <w:color w:val="000000"/>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toda vez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respondió a la solicitud de información el </w:t>
      </w:r>
      <w:r>
        <w:rPr>
          <w:rFonts w:ascii="Palatino Linotype" w:eastAsia="Palatino Linotype" w:hAnsi="Palatino Linotype" w:cs="Palatino Linotype"/>
          <w:b/>
          <w:color w:val="000000"/>
        </w:rPr>
        <w:t xml:space="preserve">tres de mayo de dos mil veintitrés, </w:t>
      </w:r>
      <w:r>
        <w:rPr>
          <w:rFonts w:ascii="Palatino Linotype" w:eastAsia="Palatino Linotype" w:hAnsi="Palatino Linotype" w:cs="Palatino Linotype"/>
          <w:color w:val="000000"/>
        </w:rPr>
        <w:t xml:space="preserve">mientras que el recurso de revisión se interpuso </w:t>
      </w:r>
      <w:r>
        <w:rPr>
          <w:rFonts w:ascii="Palatino Linotype" w:eastAsia="Palatino Linotype" w:hAnsi="Palatino Linotype" w:cs="Palatino Linotype"/>
          <w:b/>
          <w:color w:val="000000"/>
        </w:rPr>
        <w:t>once de mayo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 dos mil veintitrés</w:t>
      </w:r>
      <w:r>
        <w:rPr>
          <w:rFonts w:ascii="Palatino Linotype" w:eastAsia="Palatino Linotype" w:hAnsi="Palatino Linotype" w:cs="Palatino Linotype"/>
          <w:color w:val="000000"/>
        </w:rPr>
        <w:t xml:space="preserve">, esto es, al </w:t>
      </w:r>
      <w:r>
        <w:rPr>
          <w:rFonts w:ascii="Palatino Linotype" w:eastAsia="Palatino Linotype" w:hAnsi="Palatino Linotype" w:cs="Palatino Linotype"/>
          <w:b/>
          <w:color w:val="000000"/>
        </w:rPr>
        <w:t xml:space="preserve">quinto día hábil </w:t>
      </w:r>
      <w:r>
        <w:rPr>
          <w:rFonts w:ascii="Palatino Linotype" w:eastAsia="Palatino Linotype" w:hAnsi="Palatino Linotype" w:cs="Palatino Linotype"/>
          <w:color w:val="000000"/>
        </w:rPr>
        <w:t>posterior en que tuvo conocimiento de la respuesta impugnada.</w:t>
      </w:r>
    </w:p>
    <w:p w:rsidR="00164947" w:rsidRDefault="00164947">
      <w:pPr>
        <w:spacing w:line="360" w:lineRule="auto"/>
        <w:jc w:val="both"/>
        <w:rPr>
          <w:rFonts w:ascii="Palatino Linotype" w:eastAsia="Palatino Linotype" w:hAnsi="Palatino Linotype" w:cs="Palatino Linotype"/>
          <w:color w:val="000000"/>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mismo tiempo,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64947" w:rsidRDefault="00164947">
      <w:pPr>
        <w:spacing w:line="360" w:lineRule="auto"/>
        <w:jc w:val="both"/>
        <w:rPr>
          <w:rFonts w:ascii="Palatino Linotype" w:eastAsia="Palatino Linotype" w:hAnsi="Palatino Linotype" w:cs="Palatino Linotype"/>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 efecto de sustentar lo anterior, es de suma importancia mencionar que si bien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proporcionó nombre o seudónimo para ser identificada</w:t>
      </w:r>
      <w:r>
        <w:rPr>
          <w:rFonts w:ascii="Palatino Linotype" w:eastAsia="Palatino Linotype" w:hAnsi="Palatino Linotype" w:cs="Palatino Linotype"/>
          <w:b/>
        </w:rPr>
        <w:t xml:space="preserve"> </w:t>
      </w:r>
      <w:r>
        <w:rPr>
          <w:rFonts w:ascii="Palatino Linotype" w:eastAsia="Palatino Linotype" w:hAnsi="Palatino Linotype" w:cs="Palatino Linotype"/>
        </w:rPr>
        <w:t>como se advierte en el detalle de seguimiento del SAIMEX, sin embargo, el no proporcionarlo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64947" w:rsidRDefault="00164947">
      <w:pPr>
        <w:pBdr>
          <w:top w:val="nil"/>
          <w:left w:val="nil"/>
          <w:bottom w:val="nil"/>
          <w:right w:val="nil"/>
          <w:between w:val="nil"/>
        </w:pBdr>
        <w:ind w:left="864" w:right="864"/>
        <w:jc w:val="both"/>
        <w:rPr>
          <w:rFonts w:ascii="Palatino Linotype" w:eastAsia="Palatino Linotype" w:hAnsi="Palatino Linotype" w:cs="Palatino Linotype"/>
          <w:i/>
          <w:color w:val="404040"/>
        </w:rPr>
      </w:pP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Las solicitudes anónimas</w:t>
      </w:r>
      <w:r>
        <w:rPr>
          <w:rFonts w:ascii="Palatino Linotype" w:eastAsia="Palatino Linotype" w:hAnsi="Palatino Linotype" w:cs="Palatino Linotype"/>
          <w:i/>
          <w:color w:val="404040"/>
          <w:sz w:val="22"/>
          <w:szCs w:val="22"/>
        </w:rPr>
        <w:t xml:space="preserve">, con nombre incompleto o seudónimo </w:t>
      </w:r>
      <w:r>
        <w:rPr>
          <w:rFonts w:ascii="Palatino Linotype" w:eastAsia="Palatino Linotype" w:hAnsi="Palatino Linotype" w:cs="Palatino Linotype"/>
          <w:b/>
          <w:i/>
          <w:color w:val="404040"/>
          <w:sz w:val="22"/>
          <w:szCs w:val="22"/>
        </w:rPr>
        <w:t>serán procedentes para su trámite por parte del sujeto obligado ante quien se presente</w:t>
      </w:r>
      <w:r>
        <w:rPr>
          <w:rFonts w:ascii="Palatino Linotype" w:eastAsia="Palatino Linotype" w:hAnsi="Palatino Linotype" w:cs="Palatino Linotype"/>
          <w:i/>
          <w:color w:val="404040"/>
          <w:sz w:val="22"/>
          <w:szCs w:val="22"/>
        </w:rPr>
        <w:t>. No podrá requerirse información adicional con motivo del nombre proporcionado por el solicitante.</w:t>
      </w:r>
    </w:p>
    <w:p w:rsidR="00164947" w:rsidRDefault="00164947">
      <w:pPr>
        <w:pBdr>
          <w:top w:val="nil"/>
          <w:left w:val="nil"/>
          <w:bottom w:val="nil"/>
          <w:right w:val="nil"/>
          <w:between w:val="nil"/>
        </w:pBdr>
        <w:ind w:left="864" w:right="864"/>
        <w:jc w:val="both"/>
        <w:rPr>
          <w:rFonts w:ascii="Palatino Linotype" w:eastAsia="Palatino Linotype" w:hAnsi="Palatino Linotype" w:cs="Palatino Linotype"/>
          <w:i/>
          <w:color w:val="404040"/>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o seudónimo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por lo que, en el presente caso, al haber sido presentado el recurso de revisión vía SAIMEX, dicho requisito resulta innecesario.</w:t>
      </w:r>
    </w:p>
    <w:p w:rsidR="00164947" w:rsidRDefault="00164947">
      <w:pPr>
        <w:spacing w:line="360" w:lineRule="auto"/>
        <w:jc w:val="both"/>
        <w:rPr>
          <w:rFonts w:ascii="Palatino Linotype" w:eastAsia="Palatino Linotype" w:hAnsi="Palatino Linotype" w:cs="Palatino Linotype"/>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Artículo 179. </w:t>
      </w:r>
      <w:r>
        <w:rPr>
          <w:rFonts w:ascii="Palatino Linotype" w:eastAsia="Palatino Linotype" w:hAnsi="Palatino Linotype" w:cs="Palatino Linotype"/>
          <w:i/>
          <w:color w:val="000000"/>
          <w:sz w:val="22"/>
          <w:szCs w:val="22"/>
        </w:rPr>
        <w:t>El recurso de revisión es un medio de protección que la Ley otorga a los particulares, para hacer valer su derecho de acceso a la información pública, y procederá en contra de las siguientes causas:</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 entrega de información incompleta; </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w:t>
      </w:r>
    </w:p>
    <w:p w:rsidR="00164947" w:rsidRDefault="00164947">
      <w:pPr>
        <w:spacing w:line="360" w:lineRule="auto"/>
        <w:rPr>
          <w:rFonts w:ascii="Palatino Linotype" w:eastAsia="Palatino Linotype" w:hAnsi="Palatino Linotype" w:cs="Palatino Linotype"/>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 en su defecto, en caso de ser procedente, ordenar la entrega de información.</w:t>
      </w:r>
    </w:p>
    <w:p w:rsidR="00164947" w:rsidRDefault="00164947">
      <w:pPr>
        <w:spacing w:line="360" w:lineRule="auto"/>
        <w:jc w:val="both"/>
        <w:rPr>
          <w:rFonts w:ascii="Palatino Linotype" w:eastAsia="Palatino Linotype" w:hAnsi="Palatino Linotype" w:cs="Palatino Linotype"/>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164947" w:rsidRDefault="00164947">
      <w:pPr>
        <w:pBdr>
          <w:top w:val="nil"/>
          <w:left w:val="nil"/>
          <w:bottom w:val="nil"/>
          <w:right w:val="nil"/>
          <w:between w:val="nil"/>
        </w:pBdr>
        <w:ind w:left="864" w:right="864"/>
        <w:jc w:val="both"/>
        <w:rPr>
          <w:rFonts w:ascii="Palatino Linotype" w:eastAsia="Palatino Linotype" w:hAnsi="Palatino Linotype" w:cs="Palatino Linotype"/>
          <w:i/>
          <w:color w:val="404040"/>
        </w:rPr>
      </w:pP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404040"/>
          <w:sz w:val="22"/>
          <w:szCs w:val="22"/>
        </w:rPr>
        <w:t>, así como de las garantías para su protección, cuyo ejercicio no podrá restringirse ni suspenderse, salvo en los casos y bajo las condiciones que esta Constitución establece.</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b/>
          <w:i/>
          <w:color w:val="404040"/>
          <w:sz w:val="22"/>
          <w:szCs w:val="22"/>
        </w:rPr>
        <w:t>Las normas relativas a los derechos humanos se interpretarán de conformidad con esta Constitución y con los tratados internacionales de la materia favoreciendo en todo tiempo a las personas la protección más amplia.</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rPr>
      </w:pPr>
      <w:r>
        <w:rPr>
          <w:rFonts w:ascii="Palatino Linotype" w:eastAsia="Palatino Linotype" w:hAnsi="Palatino Linotype" w:cs="Palatino Linotype"/>
          <w:b/>
          <w:i/>
          <w:color w:val="40404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404040"/>
          <w:sz w:val="22"/>
          <w:szCs w:val="22"/>
        </w:rPr>
        <w:t xml:space="preserve"> En consecuencia, el Estado deberá prevenir, investigar, sancionar y reparar las violaciones a los derechos humanos, en los términos que establezca la ley.</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rPr>
      </w:pPr>
      <w:r>
        <w:rPr>
          <w:rFonts w:ascii="Palatino Linotype" w:eastAsia="Palatino Linotype" w:hAnsi="Palatino Linotype" w:cs="Palatino Linotype"/>
          <w:b/>
          <w:i/>
          <w:color w:val="404040"/>
          <w:sz w:val="22"/>
          <w:szCs w:val="22"/>
        </w:rPr>
        <w:t>Artículo 6o.</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rPr>
      </w:pPr>
      <w:r>
        <w:rPr>
          <w:rFonts w:ascii="Palatino Linotype" w:eastAsia="Palatino Linotype" w:hAnsi="Palatino Linotype" w:cs="Palatino Linotype"/>
          <w:i/>
          <w:color w:val="404040"/>
          <w:sz w:val="22"/>
          <w:szCs w:val="22"/>
        </w:rPr>
        <w:t>[...]</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A. Para el ejercicio del derecho de acceso a la información, la Federación y </w:t>
      </w:r>
      <w:r>
        <w:rPr>
          <w:rFonts w:ascii="Palatino Linotype" w:eastAsia="Palatino Linotype" w:hAnsi="Palatino Linotype" w:cs="Palatino Linotype"/>
          <w:b/>
          <w:i/>
          <w:color w:val="404040"/>
          <w:sz w:val="22"/>
          <w:szCs w:val="22"/>
          <w:u w:val="single"/>
        </w:rPr>
        <w:t>las entidades federativas</w:t>
      </w:r>
      <w:r>
        <w:rPr>
          <w:rFonts w:ascii="Palatino Linotype" w:eastAsia="Palatino Linotype" w:hAnsi="Palatino Linotype" w:cs="Palatino Linotype"/>
          <w:b/>
          <w:i/>
          <w:color w:val="404040"/>
          <w:sz w:val="22"/>
          <w:szCs w:val="22"/>
        </w:rPr>
        <w:t>,</w:t>
      </w:r>
      <w:r>
        <w:rPr>
          <w:rFonts w:ascii="Palatino Linotype" w:eastAsia="Palatino Linotype" w:hAnsi="Palatino Linotype" w:cs="Palatino Linotype"/>
          <w:i/>
          <w:color w:val="404040"/>
          <w:sz w:val="22"/>
          <w:szCs w:val="22"/>
        </w:rPr>
        <w:t xml:space="preserve"> en el ámbito de sus respectivas competencias, se regirán por los siguientes principios y bases:</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I. </w:t>
      </w:r>
      <w:r>
        <w:rPr>
          <w:rFonts w:ascii="Palatino Linotype" w:eastAsia="Palatino Linotype" w:hAnsi="Palatino Linotype" w:cs="Palatino Linotype"/>
          <w:b/>
          <w:i/>
          <w:color w:val="404040"/>
          <w:sz w:val="22"/>
          <w:szCs w:val="22"/>
          <w:u w:val="single"/>
        </w:rPr>
        <w:t>Toda la información en posesión de cualquier autoridad, entidad, órgano y organismo de los Poderes</w:t>
      </w:r>
      <w:r>
        <w:rPr>
          <w:rFonts w:ascii="Palatino Linotype" w:eastAsia="Palatino Linotype" w:hAnsi="Palatino Linotype" w:cs="Palatino Linotype"/>
          <w:i/>
          <w:color w:val="404040"/>
          <w:sz w:val="22"/>
          <w:szCs w:val="22"/>
        </w:rPr>
        <w:t xml:space="preserve"> Ejecutivo, Legislativo </w:t>
      </w:r>
      <w:r>
        <w:rPr>
          <w:rFonts w:ascii="Palatino Linotype" w:eastAsia="Palatino Linotype" w:hAnsi="Palatino Linotype" w:cs="Palatino Linotype"/>
          <w:b/>
          <w:i/>
          <w:color w:val="404040"/>
          <w:sz w:val="22"/>
          <w:szCs w:val="22"/>
          <w:u w:val="single"/>
        </w:rPr>
        <w:t>y Judicial</w:t>
      </w:r>
      <w:r>
        <w:rPr>
          <w:rFonts w:ascii="Palatino Linotype" w:eastAsia="Palatino Linotype" w:hAnsi="Palatino Linotype" w:cs="Palatino Linotype"/>
          <w:i/>
          <w:color w:val="40404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404040"/>
          <w:sz w:val="22"/>
          <w:szCs w:val="22"/>
        </w:rPr>
        <w:t>es pública y sólo podrá ser reservada temporalmente por razones de interés público y seguridad nacional,</w:t>
      </w:r>
      <w:r>
        <w:rPr>
          <w:rFonts w:ascii="Palatino Linotype" w:eastAsia="Palatino Linotype" w:hAnsi="Palatino Linotype" w:cs="Palatino Linotype"/>
          <w:i/>
          <w:color w:val="40404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II. La información que se refiere a la vida privada y los datos personales será protegida en los términos y con las excepciones que fijen las leyes.</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III. </w:t>
      </w:r>
      <w:r>
        <w:rPr>
          <w:rFonts w:ascii="Palatino Linotype" w:eastAsia="Palatino Linotype" w:hAnsi="Palatino Linotype" w:cs="Palatino Linotype"/>
          <w:b/>
          <w:i/>
          <w:color w:val="40404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404040"/>
          <w:sz w:val="22"/>
          <w:szCs w:val="22"/>
        </w:rPr>
        <w:t xml:space="preserve"> a sus datos personales o a la rectificación de éstos.</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IV. </w:t>
      </w:r>
      <w:r>
        <w:rPr>
          <w:rFonts w:ascii="Palatino Linotype" w:eastAsia="Palatino Linotype" w:hAnsi="Palatino Linotype" w:cs="Palatino Linotype"/>
          <w:i/>
          <w:color w:val="404040"/>
          <w:sz w:val="22"/>
          <w:szCs w:val="22"/>
        </w:rPr>
        <w:t>Se establecerán mecanismos de acceso a la información y procedimientos de revisión expeditos que se sustanciarán ante los organismos autónomos especializados e imparciales que establece esta Constitución.</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V. </w:t>
      </w:r>
      <w:r>
        <w:rPr>
          <w:rFonts w:ascii="Palatino Linotype" w:eastAsia="Palatino Linotype" w:hAnsi="Palatino Linotype" w:cs="Palatino Linotype"/>
          <w:i/>
          <w:color w:val="404040"/>
          <w:sz w:val="22"/>
          <w:szCs w:val="22"/>
        </w:rPr>
        <w:t xml:space="preserve">Los sujetos obligados deberán preservar sus documentos en archivos administrativos actualizados y publicarán, a través de los medios electrónicos disponibles, la información completa y actualizada sobre el ejercicio de los </w:t>
      </w:r>
      <w:r>
        <w:rPr>
          <w:rFonts w:ascii="Palatino Linotype" w:eastAsia="Palatino Linotype" w:hAnsi="Palatino Linotype" w:cs="Palatino Linotype"/>
          <w:i/>
          <w:color w:val="404040"/>
          <w:sz w:val="22"/>
          <w:szCs w:val="22"/>
        </w:rPr>
        <w:lastRenderedPageBreak/>
        <w:t>recursos públicos y los indicadores que permitan rendir cuenta del cumplimiento de sus objetivos y de los resultados obtenidos.</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VI. </w:t>
      </w:r>
      <w:r>
        <w:rPr>
          <w:rFonts w:ascii="Palatino Linotype" w:eastAsia="Palatino Linotype" w:hAnsi="Palatino Linotype" w:cs="Palatino Linotype"/>
          <w:i/>
          <w:color w:val="404040"/>
          <w:sz w:val="22"/>
          <w:szCs w:val="22"/>
        </w:rPr>
        <w:t>Las leyes determinarán la manera en que los sujetos obligados deberán hacer pública la información relativa a los recursos públicos que entreguen a personas físicas o morales.</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VII. </w:t>
      </w:r>
      <w:r>
        <w:rPr>
          <w:rFonts w:ascii="Palatino Linotype" w:eastAsia="Palatino Linotype" w:hAnsi="Palatino Linotype" w:cs="Palatino Linotype"/>
          <w:i/>
          <w:color w:val="404040"/>
          <w:sz w:val="22"/>
          <w:szCs w:val="22"/>
        </w:rPr>
        <w:t xml:space="preserve">La inobservancia a las disposiciones en materia de acceso a la información pública será sancionada en los términos que dispongan las leyes. </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rsidR="00164947" w:rsidRDefault="00164947"/>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64947" w:rsidRDefault="00164947">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Artículo 4</w:t>
      </w:r>
      <w:r>
        <w:rPr>
          <w:rFonts w:ascii="Palatino Linotype" w:eastAsia="Palatino Linotype" w:hAnsi="Palatino Linotype" w:cs="Palatino Linotype"/>
          <w:i/>
          <w:color w:val="40404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b/>
          <w:i/>
          <w:color w:val="40404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w:t>
      </w:r>
      <w:r>
        <w:rPr>
          <w:rFonts w:ascii="Palatino Linotype" w:eastAsia="Palatino Linotype" w:hAnsi="Palatino Linotype" w:cs="Palatino Linotype"/>
          <w:b/>
          <w:i/>
          <w:color w:val="404040"/>
          <w:sz w:val="22"/>
          <w:szCs w:val="22"/>
        </w:rPr>
        <w:lastRenderedPageBreak/>
        <w:t>Pública del Estado de México y Municipios 29 como reservada temporalmente por razones de interés público, en los términos de las causas legítimas y estrictamente necesarias previstas por esta Ley.</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rsidR="00164947" w:rsidRDefault="001649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164947" w:rsidRDefault="00164947">
      <w:pPr>
        <w:pBdr>
          <w:top w:val="nil"/>
          <w:left w:val="nil"/>
          <w:bottom w:val="nil"/>
          <w:right w:val="nil"/>
          <w:between w:val="nil"/>
        </w:pBdr>
        <w:ind w:left="864" w:right="864"/>
        <w:jc w:val="both"/>
        <w:rPr>
          <w:i/>
          <w:color w:val="404040"/>
        </w:rPr>
      </w:pP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Artículo 12</w:t>
      </w:r>
      <w:r>
        <w:rPr>
          <w:rFonts w:ascii="Palatino Linotype" w:eastAsia="Palatino Linotype" w:hAnsi="Palatino Linotype" w:cs="Palatino Linotype"/>
          <w:i/>
          <w:color w:val="404040"/>
          <w:sz w:val="22"/>
          <w:szCs w:val="22"/>
        </w:rPr>
        <w:t>. Quienes generen, recopilen, administren, manejen, procesen, archiven o conserven información pública serán responsables de la misma en los términos de las disposiciones jurídicas aplicables. </w:t>
      </w:r>
    </w:p>
    <w:p w:rsidR="00164947" w:rsidRDefault="00164947"/>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64947" w:rsidRDefault="00164947">
      <w:pPr>
        <w:pBdr>
          <w:top w:val="nil"/>
          <w:left w:val="nil"/>
          <w:bottom w:val="nil"/>
          <w:right w:val="nil"/>
          <w:between w:val="nil"/>
        </w:pBdr>
        <w:ind w:left="864" w:right="864"/>
        <w:jc w:val="both"/>
        <w:rPr>
          <w:i/>
          <w:color w:val="404040"/>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como así lo establece el criterio 03/17 emitido por el Instituto </w:t>
      </w:r>
      <w:r>
        <w:rPr>
          <w:rFonts w:ascii="Palatino Linotype" w:eastAsia="Palatino Linotype" w:hAnsi="Palatino Linotype" w:cs="Palatino Linotype"/>
          <w:color w:val="000000"/>
        </w:rPr>
        <w:lastRenderedPageBreak/>
        <w:t>Nacional de Transparencia, Acceso a la Información Pública y Protección de Datos Personales, el cual señala lo siguiente:</w:t>
      </w:r>
    </w:p>
    <w:p w:rsidR="00164947" w:rsidRDefault="0016494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03/17</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NO EXISTE OBLIGACIÓN DE ELABORAR DOCUMENTOS AD HOC PARA ATENDER LAS SOLICITUDES DE ACCESO A LA INFORMACIÓN.</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64947" w:rsidRDefault="0016494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64947" w:rsidRDefault="00164947">
      <w:pPr>
        <w:pBdr>
          <w:top w:val="nil"/>
          <w:left w:val="nil"/>
          <w:bottom w:val="nil"/>
          <w:right w:val="nil"/>
          <w:between w:val="nil"/>
        </w:pBdr>
        <w:spacing w:line="360" w:lineRule="auto"/>
        <w:jc w:val="both"/>
        <w:rPr>
          <w:color w:val="000000"/>
        </w:rPr>
      </w:pPr>
    </w:p>
    <w:p w:rsidR="00164947" w:rsidRDefault="00276DAD">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color w:val="000000"/>
        </w:rPr>
        <w:lastRenderedPageBreak/>
        <w:t>Ley de Transparencia y Acceso a la Información Pública del Estado de México y Municipios.</w:t>
      </w:r>
    </w:p>
    <w:p w:rsidR="00164947" w:rsidRDefault="0016494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64947" w:rsidRDefault="0016494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Artículo 3. </w:t>
      </w:r>
      <w:r>
        <w:rPr>
          <w:rFonts w:ascii="Palatino Linotype" w:eastAsia="Palatino Linotype" w:hAnsi="Palatino Linotype" w:cs="Palatino Linotype"/>
          <w:i/>
          <w:color w:val="404040"/>
          <w:sz w:val="22"/>
          <w:szCs w:val="22"/>
        </w:rPr>
        <w:t>Para los efectos de la presente Ley se entenderá por:</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XI. Documento:</w:t>
      </w:r>
      <w:r>
        <w:rPr>
          <w:rFonts w:ascii="Palatino Linotype" w:eastAsia="Palatino Linotype" w:hAnsi="Palatino Linotype" w:cs="Palatino Linotype"/>
          <w:i/>
          <w:color w:val="40404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w:t>
      </w:r>
      <w:r>
        <w:rPr>
          <w:rFonts w:ascii="Palatino Linotype" w:eastAsia="Palatino Linotype" w:hAnsi="Palatino Linotype" w:cs="Palatino Linotype"/>
          <w:i/>
          <w:color w:val="404040"/>
          <w:sz w:val="22"/>
          <w:szCs w:val="22"/>
        </w:rPr>
        <w:t>)</w:t>
      </w:r>
    </w:p>
    <w:p w:rsidR="00164947" w:rsidRDefault="00276DAD">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64947" w:rsidRDefault="00164947">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lastRenderedPageBreak/>
        <w:t>CRITERIO 0002-11</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En consecuencia el acceso a la información se refiere a que se cumplan cualquiera de los siguientes tres supuestos:</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1. Que se trate de información registrada en cualquier soporte documental, que en ejercicio de las atribuciones conferidas, sea generada por los Sujetos Obligados;</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2. Que se trate de información registrada en cualquier soporte documental, que en ejercicio de las atribuciones conferidas, sea administrada por los Sujetos Obligados, y</w:t>
      </w:r>
    </w:p>
    <w:p w:rsidR="00164947" w:rsidRDefault="00276DAD">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3. Que se trate de información registrada en cualquier soporte documental, que en ejercicio de las atribuciones conferidas, se encuentre en posesión de los Sujetos Obligados.</w:t>
      </w:r>
    </w:p>
    <w:p w:rsidR="00164947" w:rsidRDefault="00164947">
      <w:pPr>
        <w:pBdr>
          <w:top w:val="nil"/>
          <w:left w:val="nil"/>
          <w:bottom w:val="nil"/>
          <w:right w:val="nil"/>
          <w:between w:val="nil"/>
        </w:pBdr>
        <w:spacing w:line="360" w:lineRule="auto"/>
        <w:ind w:left="567" w:right="567" w:hanging="284"/>
        <w:jc w:val="both"/>
        <w:rPr>
          <w:color w:val="000000"/>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164947" w:rsidRDefault="001649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Apuntado lo anterior, este Organismo Garante centrará su atención en el estudio de fondo del agravio hecho valer por </w:t>
      </w:r>
      <w:r>
        <w:rPr>
          <w:rFonts w:ascii="Palatino Linotype" w:eastAsia="Palatino Linotype" w:hAnsi="Palatino Linotype" w:cs="Palatino Linotype"/>
          <w:b/>
          <w:color w:val="000000"/>
        </w:rPr>
        <w:t xml:space="preserve">LA PARTE RECURRENTE, </w:t>
      </w:r>
      <w:r>
        <w:rPr>
          <w:rFonts w:ascii="Palatino Linotype" w:eastAsia="Palatino Linotype" w:hAnsi="Palatino Linotype" w:cs="Palatino Linotype"/>
          <w:color w:val="000000"/>
        </w:rPr>
        <w:t>pues en la solicitud</w:t>
      </w:r>
      <w:r>
        <w:rPr>
          <w:rFonts w:ascii="Verdana" w:eastAsia="Verdana" w:hAnsi="Verdana" w:cs="Verdana"/>
          <w:b/>
          <w:color w:val="FF0000"/>
        </w:rPr>
        <w:t xml:space="preserve"> </w:t>
      </w:r>
      <w:r>
        <w:rPr>
          <w:rFonts w:ascii="Palatino Linotype" w:eastAsia="Palatino Linotype" w:hAnsi="Palatino Linotype" w:cs="Palatino Linotype"/>
          <w:b/>
        </w:rPr>
        <w:t xml:space="preserve">00102/ATLACOM/IP/2023 </w:t>
      </w:r>
      <w:r>
        <w:rPr>
          <w:rFonts w:ascii="Palatino Linotype" w:eastAsia="Palatino Linotype" w:hAnsi="Palatino Linotype" w:cs="Palatino Linotype"/>
          <w:color w:val="000000"/>
        </w:rPr>
        <w:t xml:space="preserve">requirió información relativa a: </w:t>
      </w:r>
    </w:p>
    <w:p w:rsidR="00164947" w:rsidRDefault="001649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64947" w:rsidRDefault="00276DA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Curriculum</w:t>
      </w:r>
      <w:proofErr w:type="spellEnd"/>
      <w:r>
        <w:rPr>
          <w:rFonts w:ascii="Palatino Linotype" w:eastAsia="Palatino Linotype" w:hAnsi="Palatino Linotype" w:cs="Palatino Linotype"/>
          <w:color w:val="000000"/>
        </w:rPr>
        <w:t xml:space="preserve"> vitae de la nueva Persona Titular de la Tesorería Municipal, y</w:t>
      </w:r>
    </w:p>
    <w:p w:rsidR="00164947" w:rsidRDefault="00276DAD">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Motivos del cambio del puesto con la Persona Titular anterior.</w:t>
      </w:r>
    </w:p>
    <w:p w:rsidR="00164947" w:rsidRDefault="00164947">
      <w:pPr>
        <w:spacing w:line="360" w:lineRule="auto"/>
        <w:jc w:val="both"/>
        <w:rPr>
          <w:rFonts w:ascii="Palatino Linotype" w:eastAsia="Palatino Linotype" w:hAnsi="Palatino Linotype" w:cs="Palatino Linotype"/>
          <w:b/>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la Dirección de Administración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 la Persona Titular de la Tesorería Municipal que obra en sus archivos; y la Unidad de Transparencia en relación a los demás puntos de la solicitud, señaló que estos serían inatendibles en razón de constituirse como un Derecho de Petición y no como el Derecho de Acceso a la Información, la ficha curricular de la Persona Titular de la Tesorería Municipal en funciones al momento de responder la solicitud es la que sigue: </w:t>
      </w:r>
    </w:p>
    <w:p w:rsidR="00164947" w:rsidRDefault="00164947">
      <w:pPr>
        <w:spacing w:line="360" w:lineRule="auto"/>
        <w:jc w:val="both"/>
      </w:pPr>
    </w:p>
    <w:p w:rsidR="00164947" w:rsidRDefault="00276DAD">
      <w:pPr>
        <w:spacing w:line="360" w:lineRule="auto"/>
        <w:jc w:val="center"/>
        <w:rPr>
          <w:rFonts w:ascii="Palatino Linotype" w:eastAsia="Palatino Linotype" w:hAnsi="Palatino Linotype" w:cs="Palatino Linotype"/>
        </w:rPr>
      </w:pPr>
      <w:r>
        <w:rPr>
          <w:noProof/>
        </w:rPr>
        <w:drawing>
          <wp:inline distT="0" distB="0" distL="0" distR="0">
            <wp:extent cx="3556421" cy="2819640"/>
            <wp:effectExtent l="0" t="0" r="0" b="0"/>
            <wp:docPr id="2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1421" t="17635" r="26579" b="9067"/>
                    <a:stretch>
                      <a:fillRect/>
                    </a:stretch>
                  </pic:blipFill>
                  <pic:spPr>
                    <a:xfrm rot="5400000">
                      <a:off x="0" y="0"/>
                      <a:ext cx="3556421" cy="2819640"/>
                    </a:xfrm>
                    <a:prstGeom prst="rect">
                      <a:avLst/>
                    </a:prstGeom>
                    <a:ln/>
                  </pic:spPr>
                </pic:pic>
              </a:graphicData>
            </a:graphic>
          </wp:inline>
        </w:drawing>
      </w:r>
    </w:p>
    <w:p w:rsidR="00164947" w:rsidRDefault="00164947">
      <w:pPr>
        <w:spacing w:line="360" w:lineRule="auto"/>
        <w:ind w:right="49"/>
        <w:jc w:val="both"/>
        <w:rPr>
          <w:rFonts w:ascii="Palatino Linotype" w:eastAsia="Palatino Linotype" w:hAnsi="Palatino Linotype" w:cs="Palatino Linotype"/>
          <w:b/>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que se analiza en el presente asunto, por medio del cual se inconformó en lo medular </w:t>
      </w:r>
      <w:r>
        <w:rPr>
          <w:rFonts w:ascii="Palatino Linotype" w:eastAsia="Palatino Linotype" w:hAnsi="Palatino Linotype" w:cs="Palatino Linotype"/>
          <w:b/>
          <w:u w:val="single"/>
        </w:rPr>
        <w:t xml:space="preserve">porque a su dicho requiere conocer la trayectoria laboral y profesional de la persona mencionada y que la respuesta proporcionada carece de datos necesarios para saber si cuenta con la capacidad para estar al frente de la Tesorería, por lo que solicita sea más abundante la información laboral. </w:t>
      </w:r>
    </w:p>
    <w:p w:rsidR="00164947" w:rsidRDefault="00164947">
      <w:pPr>
        <w:spacing w:line="360" w:lineRule="auto"/>
        <w:jc w:val="both"/>
        <w:rPr>
          <w:rFonts w:ascii="Palatino Linotype" w:eastAsia="Palatino Linotype" w:hAnsi="Palatino Linotype" w:cs="Palatino Linotype"/>
        </w:rPr>
      </w:pPr>
    </w:p>
    <w:p w:rsidR="00164947" w:rsidRDefault="00276DAD">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rindió su Informe Justificado mediante el cual en lo medular ratificó su respuesta inicial, sin embargo, abundó en la información pues mediante el </w:t>
      </w:r>
      <w:r>
        <w:rPr>
          <w:rFonts w:ascii="Palatino Linotype" w:eastAsia="Palatino Linotype" w:hAnsi="Palatino Linotype" w:cs="Palatino Linotype"/>
          <w:color w:val="000000"/>
        </w:rPr>
        <w:t>Departamento de Recursos Humanos hizo entrega de los Certificados de Competencia Laboral en versión pública de la Persona Titular de la Tesorería Municipal.</w:t>
      </w:r>
      <w:r>
        <w:rPr>
          <w:rFonts w:ascii="Palatino Linotype" w:eastAsia="Palatino Linotype" w:hAnsi="Palatino Linotype" w:cs="Palatino Linotype"/>
        </w:rPr>
        <w:t xml:space="preserve"> </w:t>
      </w:r>
    </w:p>
    <w:p w:rsidR="00164947" w:rsidRDefault="00164947">
      <w:pPr>
        <w:spacing w:line="360" w:lineRule="auto"/>
        <w:ind w:right="49"/>
        <w:jc w:val="both"/>
        <w:rPr>
          <w:rFonts w:ascii="Palatino Linotype" w:eastAsia="Palatino Linotype" w:hAnsi="Palatino Linotype" w:cs="Palatino Linotype"/>
        </w:rPr>
      </w:pPr>
    </w:p>
    <w:p w:rsidR="00164947" w:rsidRDefault="00276DAD">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Además, realizó la entrega del </w:t>
      </w:r>
      <w:r>
        <w:rPr>
          <w:rFonts w:ascii="Palatino Linotype" w:eastAsia="Palatino Linotype" w:hAnsi="Palatino Linotype" w:cs="Palatino Linotype"/>
          <w:color w:val="000000"/>
        </w:rPr>
        <w:t xml:space="preserve">Acta de la Vigésima Quinta Sesión Extraordinaria de fecha dieciséis de mayo de dos mil veintitrés y mediante la cual el Comité de Transparencia del Ayuntamiento de Atlacomulco aprobó en el punto número cuatro por unanimidad de votos, la clasificación de la información en la modalidad de confidencial de la Clave Única de Registro de Población (CURP) y la elaboración de versiones públicas de los Certificados de Competencia Laboral para dar respuesta al recurso de revisión </w:t>
      </w:r>
      <w:r>
        <w:rPr>
          <w:rFonts w:ascii="Palatino Linotype" w:eastAsia="Palatino Linotype" w:hAnsi="Palatino Linotype" w:cs="Palatino Linotype"/>
          <w:b/>
          <w:color w:val="000000"/>
        </w:rPr>
        <w:t>02574/INFOEM/IP/RR/2023.</w:t>
      </w:r>
      <w:r>
        <w:rPr>
          <w:rFonts w:ascii="Palatino Linotype" w:eastAsia="Palatino Linotype" w:hAnsi="Palatino Linotype" w:cs="Palatino Linotype"/>
          <w:color w:val="000000"/>
        </w:rPr>
        <w:t xml:space="preserve"> </w:t>
      </w:r>
    </w:p>
    <w:p w:rsidR="00164947" w:rsidRDefault="00164947">
      <w:pPr>
        <w:spacing w:line="360" w:lineRule="auto"/>
        <w:ind w:right="49"/>
        <w:jc w:val="both"/>
        <w:rPr>
          <w:rFonts w:ascii="Palatino Linotype" w:eastAsia="Palatino Linotype" w:hAnsi="Palatino Linotype" w:cs="Palatino Linotype"/>
          <w:color w:val="000000"/>
        </w:rPr>
      </w:pPr>
    </w:p>
    <w:p w:rsidR="00164947" w:rsidRDefault="00276DAD">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rPr>
        <w:t xml:space="preserve">Ahora bien, antes de entrar al estudio de fondo de la respuesta emitida, queda de manifiesto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inconformó porque a su consideración la información entregada es carente de datos; sin embargo, se denota que no hubo </w:t>
      </w:r>
      <w:r>
        <w:rPr>
          <w:rFonts w:ascii="Palatino Linotype" w:eastAsia="Palatino Linotype" w:hAnsi="Palatino Linotype" w:cs="Palatino Linotype"/>
        </w:rPr>
        <w:lastRenderedPageBreak/>
        <w:t xml:space="preserve">ninguna manifestación expresa en torno al motivo del cambio de personas Titulares de la Tesorería Municipal y el visto bueno del Cabildo, del cual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refirió mediante la Unidad de Transparencia que se constituye como un Derecho de Petición y no como un Derecho de Acceso a la Información, por lo cual, se entiende que esa parte de la respuesta es suficiente para colmar el Derecho de Acceso a la Información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dicho que se apoya con lo plasmado en el criterio 01/20 emitido por</w:t>
      </w:r>
      <w:r>
        <w:rPr>
          <w:rFonts w:ascii="Palatino Linotype" w:eastAsia="Palatino Linotype" w:hAnsi="Palatino Linotype" w:cs="Palatino Linotype"/>
          <w:color w:val="000000"/>
        </w:rPr>
        <w:t xml:space="preserve"> el Instituto Nacional de Transparencia, Acceso a la Información, y Protección de Datos Personales, INAI, que lleva por rubro y texto los siguientes: </w:t>
      </w:r>
    </w:p>
    <w:p w:rsidR="00164947" w:rsidRDefault="00164947">
      <w:pPr>
        <w:pBdr>
          <w:top w:val="nil"/>
          <w:left w:val="nil"/>
          <w:bottom w:val="nil"/>
          <w:right w:val="nil"/>
          <w:between w:val="nil"/>
        </w:pBdr>
        <w:ind w:left="851" w:right="902"/>
        <w:jc w:val="both"/>
        <w:rPr>
          <w:rFonts w:ascii="Palatino Linotype" w:eastAsia="Palatino Linotype" w:hAnsi="Palatino Linotype" w:cs="Palatino Linotype"/>
          <w:b/>
          <w:i/>
          <w:color w:val="000000"/>
        </w:rPr>
      </w:pPr>
    </w:p>
    <w:p w:rsidR="00164947" w:rsidRDefault="00276DAD">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 xml:space="preserve">Actos consentidos tácitamente. Improcedencia de su análisis. </w:t>
      </w:r>
      <w:r>
        <w:rPr>
          <w:rFonts w:ascii="Palatino Linotype" w:eastAsia="Palatino Linotype" w:hAnsi="Palatino Linotype" w:cs="Palatino Linotype"/>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164947" w:rsidRDefault="00164947"/>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resulta aplicable por analogía la tesis jurisprudencial número VI.3o.C. J/60, publicada en el Semanario Judicial de la Federación y su Gaceta bajo el número de registro 176,608 que a la letra dice:</w:t>
      </w:r>
    </w:p>
    <w:p w:rsidR="00164947" w:rsidRDefault="00164947">
      <w:pPr>
        <w:pBdr>
          <w:top w:val="nil"/>
          <w:left w:val="nil"/>
          <w:bottom w:val="nil"/>
          <w:right w:val="nil"/>
          <w:between w:val="nil"/>
        </w:pBdr>
        <w:ind w:left="851" w:right="900"/>
        <w:jc w:val="both"/>
        <w:rPr>
          <w:rFonts w:ascii="Palatino Linotype" w:eastAsia="Palatino Linotype" w:hAnsi="Palatino Linotype" w:cs="Palatino Linotype"/>
          <w:b/>
          <w:i/>
          <w:smallCaps/>
          <w:color w:val="000000"/>
        </w:rPr>
      </w:pPr>
    </w:p>
    <w:p w:rsidR="00164947" w:rsidRDefault="00276DAD">
      <w:pPr>
        <w:pBdr>
          <w:top w:val="nil"/>
          <w:left w:val="nil"/>
          <w:bottom w:val="nil"/>
          <w:right w:val="nil"/>
          <w:between w:val="nil"/>
        </w:pBdr>
        <w:ind w:left="851" w:right="900"/>
        <w:jc w:val="both"/>
        <w:rPr>
          <w:color w:val="000000"/>
        </w:rPr>
      </w:pPr>
      <w:r>
        <w:rPr>
          <w:rFonts w:ascii="Palatino Linotype" w:eastAsia="Palatino Linotype" w:hAnsi="Palatino Linotype" w:cs="Palatino Linotype"/>
          <w:b/>
          <w:i/>
          <w:smallCaps/>
          <w:color w:val="000000"/>
        </w:rPr>
        <w:t xml:space="preserve">ACTOS CONSENTIDOS. SON LOS QUE NO SE IMPUGNAN MEDIANTE EL RECURSO IDÓNEO. </w:t>
      </w:r>
      <w:r>
        <w:rPr>
          <w:rFonts w:ascii="Palatino Linotype" w:eastAsia="Palatino Linotype" w:hAnsi="Palatino Linotype" w:cs="Palatino Linotype"/>
          <w:i/>
          <w:color w:val="000000"/>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164947" w:rsidRDefault="00276DAD">
      <w:pPr>
        <w:pBdr>
          <w:top w:val="nil"/>
          <w:left w:val="nil"/>
          <w:bottom w:val="nil"/>
          <w:right w:val="nil"/>
          <w:between w:val="nil"/>
        </w:pBdr>
        <w:shd w:val="clear" w:color="auto" w:fill="FFFFFF"/>
        <w:spacing w:line="360" w:lineRule="auto"/>
        <w:ind w:right="49"/>
        <w:jc w:val="both"/>
        <w:rPr>
          <w:color w:val="000000"/>
        </w:rPr>
      </w:pPr>
      <w:r>
        <w:rPr>
          <w:color w:val="000000"/>
        </w:rPr>
        <w:br/>
      </w:r>
      <w:r>
        <w:rPr>
          <w:rFonts w:ascii="Palatino Linotype" w:eastAsia="Palatino Linotype" w:hAnsi="Palatino Linotype" w:cs="Palatino Linotype"/>
          <w:color w:val="000000"/>
        </w:rPr>
        <w:t xml:space="preserve">Consecuentemente, la parte de la respuesta relativa al motivo del cambio de personas Titulares de la Tesorería Municipal y el visto bueno del Cabildo que no </w:t>
      </w:r>
      <w:r>
        <w:rPr>
          <w:rFonts w:ascii="Palatino Linotype" w:eastAsia="Palatino Linotype" w:hAnsi="Palatino Linotype" w:cs="Palatino Linotype"/>
          <w:color w:val="000000"/>
        </w:rPr>
        <w:lastRenderedPageBreak/>
        <w:t xml:space="preserve">fue impugnada debe declararse consentida, toda vez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no realizó manifestaciones de inconformidad; por lo que, no pueden producirse efectos jurídicos tendentes a revocar, confirmar o modificar el acto reclamado, ya que se infiere su consentimiento ante la falta de impugnación eficaz.</w:t>
      </w:r>
    </w:p>
    <w:p w:rsidR="00164947" w:rsidRDefault="00164947">
      <w:pPr>
        <w:pBdr>
          <w:top w:val="nil"/>
          <w:left w:val="nil"/>
          <w:bottom w:val="nil"/>
          <w:right w:val="nil"/>
          <w:between w:val="nil"/>
        </w:pBdr>
        <w:shd w:val="clear" w:color="auto" w:fill="FFFFFF"/>
        <w:spacing w:line="360" w:lineRule="auto"/>
        <w:ind w:right="49"/>
        <w:jc w:val="both"/>
        <w:rPr>
          <w:color w:val="000000"/>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no pasa desapercibido que la persona solicitante realizó diversos planteamientos subjetivos como parte de su solicitud de información y en el recurso de revisión, tales como “</w:t>
      </w:r>
      <w:r>
        <w:rPr>
          <w:rFonts w:ascii="Palatino Linotype" w:eastAsia="Palatino Linotype" w:hAnsi="Palatino Linotype" w:cs="Palatino Linotype"/>
          <w:i/>
          <w:color w:val="000000"/>
        </w:rPr>
        <w:t xml:space="preserve">así como los motivos del cambio del mismo puesto con el anterior Tesorero y la nueva tesorera.” (Sic) </w:t>
      </w:r>
      <w:r>
        <w:rPr>
          <w:rFonts w:ascii="Palatino Linotype" w:eastAsia="Palatino Linotype" w:hAnsi="Palatino Linotype" w:cs="Palatino Linotype"/>
          <w:color w:val="000000"/>
        </w:rPr>
        <w:t xml:space="preserve">y </w:t>
      </w:r>
      <w:r>
        <w:rPr>
          <w:rFonts w:ascii="Palatino Linotype" w:eastAsia="Palatino Linotype" w:hAnsi="Palatino Linotype" w:cs="Palatino Linotype"/>
          <w:i/>
          <w:color w:val="000000"/>
        </w:rPr>
        <w:t xml:space="preserve">“deja mucho que desear para poder operar bien ese departamento, que es tan importante en un Organismo. Aunado a los malos comentarios de la poca capacidad que tiene esta persona a operar </w:t>
      </w:r>
      <w:proofErr w:type="spellStart"/>
      <w:r>
        <w:rPr>
          <w:rFonts w:ascii="Palatino Linotype" w:eastAsia="Palatino Linotype" w:hAnsi="Palatino Linotype" w:cs="Palatino Linotype"/>
          <w:i/>
          <w:color w:val="000000"/>
        </w:rPr>
        <w:t>Tesoreria</w:t>
      </w:r>
      <w:proofErr w:type="spellEnd"/>
      <w:r>
        <w:rPr>
          <w:rFonts w:ascii="Palatino Linotype" w:eastAsia="Palatino Linotype" w:hAnsi="Palatino Linotype" w:cs="Palatino Linotype"/>
          <w:i/>
          <w:color w:val="000000"/>
        </w:rPr>
        <w:t xml:space="preserve">…” (Sic) </w:t>
      </w:r>
      <w:r>
        <w:rPr>
          <w:rFonts w:ascii="Palatino Linotype" w:eastAsia="Palatino Linotype" w:hAnsi="Palatino Linotype" w:cs="Palatino Linotype"/>
          <w:color w:val="000000"/>
        </w:rPr>
        <w:t>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y/o motivos de inconformidad. En este sentido, se trata de manifestaciones sobre las cuales este Instituto no está facultado para pronunciarse.</w:t>
      </w:r>
    </w:p>
    <w:p w:rsidR="00164947" w:rsidRDefault="00164947">
      <w:pPr>
        <w:pBdr>
          <w:top w:val="nil"/>
          <w:left w:val="nil"/>
          <w:bottom w:val="nil"/>
          <w:right w:val="nil"/>
          <w:between w:val="nil"/>
        </w:pBdr>
        <w:spacing w:after="160" w:line="360" w:lineRule="auto"/>
        <w:jc w:val="both"/>
        <w:rPr>
          <w:color w:val="000000"/>
        </w:rPr>
      </w:pPr>
    </w:p>
    <w:p w:rsidR="00164947" w:rsidRDefault="00276DA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Señalado lo anterior, sobre la naturaleza de la información solicitada, es decir sobre el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debe precisarse en primer lugar, que el concepto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corresponde a una locución latina cuyo significado es “carrera de vida”, por su lado, la Real Academia Española, lo define como a continuación se cita: </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“Relación de los títulos, honores, cargos, trabajos realizados, datos biográficos, </w:t>
      </w:r>
      <w:proofErr w:type="spellStart"/>
      <w:r>
        <w:rPr>
          <w:rFonts w:ascii="Palatino Linotype" w:eastAsia="Palatino Linotype" w:hAnsi="Palatino Linotype" w:cs="Palatino Linotype"/>
          <w:i/>
          <w:color w:val="000000"/>
          <w:sz w:val="22"/>
          <w:szCs w:val="22"/>
        </w:rPr>
        <w:t>etc</w:t>
      </w:r>
      <w:proofErr w:type="spellEnd"/>
      <w:r>
        <w:rPr>
          <w:rFonts w:ascii="Palatino Linotype" w:eastAsia="Palatino Linotype" w:hAnsi="Palatino Linotype" w:cs="Palatino Linotype"/>
          <w:i/>
          <w:color w:val="000000"/>
          <w:sz w:val="22"/>
          <w:szCs w:val="22"/>
        </w:rPr>
        <w:t xml:space="preserve">, que califican a una persona” (Sic) </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Desde esta perspectiva, a través del currículum vite la particular puede advertir los estudios realizados o bien el nivel académico, así como la experiencia laboral de las personas servidoras públicas que se encuentran adscritas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las personas servidoras públicas para desempeñar el cargo público que les ha sido encomendado, es mediante la publicidad de ciertos datos contenidos en los currículos, o bien en las solicitudes de empleo, el cual, para mayor ilustración se transcribe a continuación:</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roofErr w:type="spellStart"/>
      <w:r>
        <w:rPr>
          <w:rFonts w:ascii="Palatino Linotype" w:eastAsia="Palatino Linotype" w:hAnsi="Palatino Linotype" w:cs="Palatino Linotype"/>
          <w:b/>
          <w:i/>
          <w:color w:val="000000"/>
          <w:sz w:val="22"/>
          <w:szCs w:val="22"/>
        </w:rPr>
        <w:t>Curriculum</w:t>
      </w:r>
      <w:proofErr w:type="spellEnd"/>
      <w:r>
        <w:rPr>
          <w:rFonts w:ascii="Palatino Linotype" w:eastAsia="Palatino Linotype" w:hAnsi="Palatino Linotype" w:cs="Palatino Linotype"/>
          <w:b/>
          <w:i/>
          <w:color w:val="000000"/>
          <w:sz w:val="22"/>
          <w:szCs w:val="22"/>
        </w:rPr>
        <w:t xml:space="preserve"> Vitae de servidores públicos. Es obligación de los sujetos obligados otorgar acceso a versiones públicas de los mismos ante una solicitud de acceso</w:t>
      </w:r>
      <w:r>
        <w:rPr>
          <w:rFonts w:ascii="Palatino Linotype" w:eastAsia="Palatino Linotype" w:hAnsi="Palatino Linotype" w:cs="Palatino Linotype"/>
          <w:i/>
          <w:color w:val="000000"/>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w:t>
      </w:r>
      <w:r>
        <w:rPr>
          <w:rFonts w:ascii="Palatino Linotype" w:eastAsia="Palatino Linotype" w:hAnsi="Palatino Linotype" w:cs="Palatino Linotype"/>
          <w:i/>
          <w:color w:val="000000"/>
          <w:sz w:val="22"/>
          <w:szCs w:val="22"/>
        </w:rPr>
        <w:lastRenderedPageBreak/>
        <w:t xml:space="preserve">Federal de Transparencia y Acceso a la Información Pública Gubernamental, tratándose del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Pr>
          <w:rFonts w:ascii="Palatino Linotype" w:eastAsia="Palatino Linotype" w:hAnsi="Palatino Linotype" w:cs="Palatino Linotype"/>
          <w:i/>
          <w:color w:val="000000"/>
          <w:sz w:val="22"/>
          <w:szCs w:val="22"/>
        </w:rPr>
        <w:t>curriculum</w:t>
      </w:r>
      <w:proofErr w:type="spellEnd"/>
      <w:r>
        <w:rPr>
          <w:rFonts w:ascii="Palatino Linotype" w:eastAsia="Palatino Linotype" w:hAnsi="Palatino Linotype" w:cs="Palatino Linotype"/>
          <w:i/>
          <w:color w:val="000000"/>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Del cual se advierte que si bien en el currículum vitae se describe información de una persona relacionada con su formación académica, trayectoria profesional y datos de contacto entre otros que pudieran constituir datos personales; tratándose de personas servidoras públicas, el conocimiento de los mismos por la ciudadanía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 personal,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rsidR="00164947" w:rsidRDefault="00164947">
      <w:pPr>
        <w:spacing w:line="360" w:lineRule="auto"/>
        <w:jc w:val="both"/>
        <w:rPr>
          <w:rFonts w:ascii="Palatino Linotype" w:eastAsia="Palatino Linotype" w:hAnsi="Palatino Linotype" w:cs="Palatino Linotype"/>
        </w:rPr>
      </w:pPr>
    </w:p>
    <w:p w:rsidR="00164947" w:rsidRDefault="00276DAD">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w:t>
      </w:r>
      <w:r>
        <w:rPr>
          <w:rFonts w:ascii="Palatino Linotype" w:eastAsia="Palatino Linotype" w:hAnsi="Palatino Linotype" w:cs="Palatino Linotype"/>
        </w:rPr>
        <w:lastRenderedPageBreak/>
        <w:t>actividades que ha realizado con las que habrá de desarrollar, y determinar si cumple con el perfil del cargo a ocupar.</w:t>
      </w:r>
    </w:p>
    <w:p w:rsidR="00164947" w:rsidRDefault="00164947">
      <w:pPr>
        <w:spacing w:line="360" w:lineRule="auto"/>
        <w:ind w:right="51"/>
        <w:jc w:val="both"/>
        <w:rPr>
          <w:rFonts w:ascii="Palatino Linotype" w:eastAsia="Palatino Linotype" w:hAnsi="Palatino Linotype" w:cs="Palatino Linotype"/>
        </w:rPr>
      </w:pPr>
    </w:p>
    <w:p w:rsidR="00164947" w:rsidRDefault="00276DAD">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esta información constituye una obligación de transparencia, pues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r>
        <w:rPr>
          <w:rFonts w:ascii="Palatino Linotype" w:eastAsia="Palatino Linotype" w:hAnsi="Palatino Linotype" w:cs="Palatino Linotype"/>
          <w:i/>
          <w:color w:val="000000"/>
          <w:sz w:val="22"/>
          <w:szCs w:val="22"/>
        </w:rPr>
        <w:t xml:space="preserve">. </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spacing w:line="360" w:lineRule="auto"/>
        <w:ind w:right="51"/>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extent cx="4429417" cy="2857688"/>
            <wp:effectExtent l="0" t="0" r="0" b="0"/>
            <wp:docPr id="2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429417" cy="2857688"/>
                    </a:xfrm>
                    <a:prstGeom prst="rect">
                      <a:avLst/>
                    </a:prstGeom>
                    <a:ln/>
                  </pic:spPr>
                </pic:pic>
              </a:graphicData>
            </a:graphic>
          </wp:inline>
        </w:drawing>
      </w:r>
    </w:p>
    <w:p w:rsidR="00164947" w:rsidRDefault="00276DAD">
      <w:pPr>
        <w:spacing w:line="360" w:lineRule="auto"/>
        <w:ind w:right="51"/>
        <w:jc w:val="center"/>
        <w:rPr>
          <w:rFonts w:ascii="Palatino Linotype" w:eastAsia="Palatino Linotype" w:hAnsi="Palatino Linotype" w:cs="Palatino Linotype"/>
          <w:color w:val="FF0000"/>
        </w:rPr>
      </w:pPr>
      <w:r>
        <w:rPr>
          <w:rFonts w:ascii="Palatino Linotype" w:eastAsia="Palatino Linotype" w:hAnsi="Palatino Linotype" w:cs="Palatino Linotype"/>
          <w:noProof/>
          <w:color w:val="FF0000"/>
        </w:rPr>
        <w:lastRenderedPageBreak/>
        <w:drawing>
          <wp:inline distT="0" distB="0" distL="0" distR="0">
            <wp:extent cx="4428000" cy="2858400"/>
            <wp:effectExtent l="0" t="0" r="0" b="0"/>
            <wp:docPr id="2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428000" cy="2858400"/>
                    </a:xfrm>
                    <a:prstGeom prst="rect">
                      <a:avLst/>
                    </a:prstGeom>
                    <a:ln/>
                  </pic:spPr>
                </pic:pic>
              </a:graphicData>
            </a:graphic>
          </wp:inline>
        </w:drawing>
      </w:r>
    </w:p>
    <w:p w:rsidR="00164947" w:rsidRDefault="00164947">
      <w:pPr>
        <w:spacing w:line="360" w:lineRule="auto"/>
        <w:ind w:right="51"/>
        <w:jc w:val="center"/>
        <w:rPr>
          <w:rFonts w:ascii="Palatino Linotype" w:eastAsia="Palatino Linotype" w:hAnsi="Palatino Linotype" w:cs="Palatino Linotype"/>
          <w:color w:val="FF0000"/>
        </w:rPr>
      </w:pPr>
    </w:p>
    <w:p w:rsidR="00164947" w:rsidRDefault="00276DAD">
      <w:pPr>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aprecia en el dispositivo legal citado, lo Sujetos Obligados deben publicar la información curricular desde el nivel del jefe de departamento o equivalente, hasta la persona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capacidades o pericia para desempeñar el cargo público.</w:t>
      </w:r>
    </w:p>
    <w:p w:rsidR="00164947" w:rsidRDefault="00164947">
      <w:pPr>
        <w:spacing w:line="360" w:lineRule="auto"/>
        <w:ind w:right="51"/>
        <w:jc w:val="both"/>
        <w:rPr>
          <w:rFonts w:ascii="Palatino Linotype" w:eastAsia="Palatino Linotype" w:hAnsi="Palatino Linotype" w:cs="Palatino Linotype"/>
          <w:color w:val="000000"/>
        </w:rPr>
      </w:pPr>
    </w:p>
    <w:p w:rsidR="00164947" w:rsidRDefault="00276DAD">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al </w:t>
      </w:r>
      <w:proofErr w:type="spellStart"/>
      <w:r>
        <w:rPr>
          <w:rFonts w:ascii="Palatino Linotype" w:eastAsia="Palatino Linotype" w:hAnsi="Palatino Linotype" w:cs="Palatino Linotype"/>
        </w:rPr>
        <w:t>curriculum</w:t>
      </w:r>
      <w:proofErr w:type="spellEnd"/>
      <w:r>
        <w:rPr>
          <w:rFonts w:ascii="Palatino Linotype" w:eastAsia="Palatino Linotype" w:hAnsi="Palatino Linotype" w:cs="Palatino Linotype"/>
        </w:rPr>
        <w:t xml:space="preserve"> vitae remitido como respuesta primigenia a la solicitud </w:t>
      </w:r>
      <w:r>
        <w:rPr>
          <w:rFonts w:ascii="Palatino Linotype" w:eastAsia="Palatino Linotype" w:hAnsi="Palatino Linotype" w:cs="Palatino Linotype"/>
          <w:b/>
        </w:rPr>
        <w:t>00102/ATLACOM/IP/2023</w:t>
      </w:r>
      <w:r>
        <w:rPr>
          <w:rFonts w:ascii="Palatino Linotype" w:eastAsia="Palatino Linotype" w:hAnsi="Palatino Linotype" w:cs="Palatino Linotype"/>
        </w:rPr>
        <w:t xml:space="preserve">, se puede determinar que este sí </w:t>
      </w:r>
      <w:r>
        <w:rPr>
          <w:rFonts w:ascii="Palatino Linotype" w:eastAsia="Palatino Linotype" w:hAnsi="Palatino Linotype" w:cs="Palatino Linotype"/>
          <w:color w:val="000000"/>
        </w:rPr>
        <w:t>cumple con lo señalado por el artículo 92, fracción XXI de la Ley de Transparencia y Acceso a la Información Pública del Estado de México y Municipios y en los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Lineamientos Técnicos Generales para la publicación, homologación y estandarización de la </w:t>
      </w:r>
      <w:r>
        <w:rPr>
          <w:rFonts w:ascii="Palatino Linotype" w:eastAsia="Palatino Linotype" w:hAnsi="Palatino Linotype" w:cs="Palatino Linotype"/>
          <w:color w:val="000000"/>
        </w:rPr>
        <w:lastRenderedPageBreak/>
        <w:t xml:space="preserve">información de las obligaciones establecidas en el Título Quinto y en la fracción IV del artículo 31 de la Ley General de Transparencia y Acceso a la Información Pública, toda vez que </w:t>
      </w:r>
      <w:r>
        <w:rPr>
          <w:rFonts w:ascii="Palatino Linotype" w:eastAsia="Palatino Linotype" w:hAnsi="Palatino Linotype" w:cs="Palatino Linotype"/>
        </w:rPr>
        <w:t>cuenta con el nombre completo, escolaridad y su experiencia laboral de la misma, como se advierte a continuación en la siguiente imagen:</w:t>
      </w:r>
    </w:p>
    <w:p w:rsidR="00164947" w:rsidRDefault="00164947">
      <w:pPr>
        <w:spacing w:line="360" w:lineRule="auto"/>
        <w:ind w:right="-93"/>
        <w:jc w:val="both"/>
        <w:rPr>
          <w:rFonts w:ascii="Palatino Linotype" w:eastAsia="Palatino Linotype" w:hAnsi="Palatino Linotype" w:cs="Palatino Linotype"/>
        </w:rPr>
      </w:pPr>
    </w:p>
    <w:p w:rsidR="00164947" w:rsidRDefault="00276DAD">
      <w:pPr>
        <w:spacing w:line="360" w:lineRule="auto"/>
        <w:ind w:right="-93"/>
        <w:jc w:val="center"/>
        <w:rPr>
          <w:rFonts w:ascii="Palatino Linotype" w:eastAsia="Palatino Linotype" w:hAnsi="Palatino Linotype" w:cs="Palatino Linotype"/>
        </w:rPr>
      </w:pPr>
      <w:r>
        <w:rPr>
          <w:noProof/>
        </w:rPr>
        <w:drawing>
          <wp:inline distT="0" distB="0" distL="0" distR="0">
            <wp:extent cx="5665252" cy="5362732"/>
            <wp:effectExtent l="0" t="0" r="0" b="0"/>
            <wp:docPr id="2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1421" t="17635" r="26579" b="9067"/>
                    <a:stretch>
                      <a:fillRect/>
                    </a:stretch>
                  </pic:blipFill>
                  <pic:spPr>
                    <a:xfrm rot="5400000">
                      <a:off x="0" y="0"/>
                      <a:ext cx="5665252" cy="5362732"/>
                    </a:xfrm>
                    <a:prstGeom prst="rect">
                      <a:avLst/>
                    </a:prstGeom>
                    <a:ln/>
                  </pic:spPr>
                </pic:pic>
              </a:graphicData>
            </a:graphic>
          </wp:inline>
        </w:drawing>
      </w:r>
    </w:p>
    <w:p w:rsidR="00164947" w:rsidRDefault="00164947">
      <w:pPr>
        <w:spacing w:line="360" w:lineRule="auto"/>
        <w:ind w:right="-93"/>
        <w:jc w:val="both"/>
        <w:rPr>
          <w:rFonts w:ascii="Palatino Linotype" w:eastAsia="Palatino Linotype" w:hAnsi="Palatino Linotype" w:cs="Palatino Linotype"/>
        </w:rPr>
      </w:pPr>
    </w:p>
    <w:p w:rsidR="00164947" w:rsidRDefault="00276DAD">
      <w:pPr>
        <w:spacing w:line="360" w:lineRule="auto"/>
        <w:ind w:right="51"/>
        <w:jc w:val="both"/>
        <w:rPr>
          <w:rFonts w:ascii="Palatino Linotype" w:eastAsia="Palatino Linotype" w:hAnsi="Palatino Linotype" w:cs="Palatino Linotype"/>
        </w:rPr>
      </w:pPr>
      <w:bookmarkStart w:id="7" w:name="_heading=h.3znysh7" w:colFirst="0" w:colLast="0"/>
      <w:bookmarkEnd w:id="7"/>
      <w:r>
        <w:rPr>
          <w:rFonts w:ascii="Palatino Linotype" w:eastAsia="Palatino Linotype" w:hAnsi="Palatino Linotype" w:cs="Palatino Linotype"/>
        </w:rPr>
        <w:lastRenderedPageBreak/>
        <w:t>En razón de que la ley de la materia y Lineamientos, referidos, no establecen que las fichas curriculares deban contener más datos de los señalados (nombre completo, escolaridad y su experiencia laboral de la misma).</w:t>
      </w:r>
    </w:p>
    <w:p w:rsidR="00164947" w:rsidRDefault="00164947">
      <w:pPr>
        <w:spacing w:line="360" w:lineRule="auto"/>
        <w:ind w:right="51"/>
        <w:jc w:val="both"/>
        <w:rPr>
          <w:rFonts w:ascii="Palatino Linotype" w:eastAsia="Palatino Linotype" w:hAnsi="Palatino Linotype" w:cs="Palatino Linotype"/>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Colmando con ello el Derecho de Acceso a la Información Pública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razón de que el área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proporcionó la información, fue la Dirección de Administración, área poseedora de la información solicitada. </w:t>
      </w:r>
    </w:p>
    <w:p w:rsidR="00164947" w:rsidRDefault="00164947">
      <w:pPr>
        <w:spacing w:line="360" w:lineRule="auto"/>
        <w:jc w:val="both"/>
        <w:rPr>
          <w:rFonts w:ascii="Palatino Linotype" w:eastAsia="Palatino Linotype" w:hAnsi="Palatino Linotype" w:cs="Palatino Linotype"/>
          <w:i/>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este Organismo Garante estima conveniente señalar que no está facultado para manifestarse sobre la veracidad de la información proporcionada en respuesta como en alcance al informe justificado,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Pr>
          <w:rFonts w:ascii="Palatino Linotype" w:eastAsia="Palatino Linotype" w:hAnsi="Palatino Linotype" w:cs="Palatino Linotype"/>
          <w:i/>
          <w:color w:val="000000"/>
          <w:sz w:val="22"/>
          <w:szCs w:val="22"/>
        </w:rPr>
        <w:lastRenderedPageBreak/>
        <w:t>Gubernamental no se prevé una causal que permita al Instituto Federal de Acceso a la Información y Protección de Datos conocer, vía recurso revisión, al respecto.</w:t>
      </w:r>
    </w:p>
    <w:p w:rsidR="00164947" w:rsidRDefault="00164947">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w:t>
      </w:r>
      <w:r>
        <w:rPr>
          <w:rFonts w:ascii="Palatino Linotype" w:eastAsia="Palatino Linotype" w:hAnsi="Palatino Linotype" w:cs="Palatino Linotype"/>
        </w:rPr>
        <w:t xml:space="preserve"> Organismo</w:t>
      </w:r>
      <w:r>
        <w:rPr>
          <w:rFonts w:ascii="Palatino Linotype" w:eastAsia="Palatino Linotype" w:hAnsi="Palatino Linotype" w:cs="Palatino Linotype"/>
          <w:color w:val="000000"/>
        </w:rPr>
        <w:t xml:space="preserve"> Garante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164947" w:rsidRDefault="001649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Con base en lo precedente</w:t>
      </w:r>
      <w:r>
        <w:rPr>
          <w:rFonts w:ascii="Palatino Linotype" w:eastAsia="Palatino Linotype" w:hAnsi="Palatino Linotype" w:cs="Palatino Linotype"/>
        </w:rPr>
        <w:t xml:space="preserve">, se determina que la información proporcionada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en su respuesta, cumple con lo establecido por los artículos 4, 12 y 24 último párrafo de la Ley de Transparencia y Acceso a la Información Pública del Estado de México y Municipios; por ello, los motivos de inconformidad acontecen </w:t>
      </w:r>
      <w:r>
        <w:rPr>
          <w:rFonts w:ascii="Palatino Linotype" w:eastAsia="Palatino Linotype" w:hAnsi="Palatino Linotype" w:cs="Palatino Linotype"/>
          <w:b/>
        </w:rPr>
        <w:t xml:space="preserve">INFUNDADOS </w:t>
      </w:r>
      <w:r>
        <w:rPr>
          <w:rFonts w:ascii="Palatino Linotype" w:eastAsia="Palatino Linotype" w:hAnsi="Palatino Linotype" w:cs="Palatino Linotype"/>
        </w:rPr>
        <w:t xml:space="preserve">para modificar o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rsidR="00164947" w:rsidRDefault="00164947">
      <w:pPr>
        <w:spacing w:line="360" w:lineRule="auto"/>
        <w:jc w:val="both"/>
        <w:rPr>
          <w:rFonts w:ascii="Palatino Linotype" w:eastAsia="Palatino Linotype" w:hAnsi="Palatino Linotype" w:cs="Palatino Linotype"/>
          <w:i/>
        </w:rPr>
      </w:pPr>
    </w:p>
    <w:p w:rsidR="00164947" w:rsidRDefault="00276DAD">
      <w:pPr>
        <w:spacing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rPr>
        <w:t xml:space="preserve">En consecuencia de todo lo anterior, y una vez analizada las constancias que integran el expediente en que se actúa, lo </w:t>
      </w:r>
      <w:r>
        <w:rPr>
          <w:rFonts w:ascii="Palatino Linotype" w:eastAsia="Palatino Linotype" w:hAnsi="Palatino Linotype" w:cs="Palatino Linotype"/>
          <w:b/>
        </w:rPr>
        <w:t>PROCEDENTE</w:t>
      </w:r>
      <w:r>
        <w:rPr>
          <w:rFonts w:ascii="Palatino Linotype" w:eastAsia="Palatino Linotype" w:hAnsi="Palatino Linotype" w:cs="Palatino Linotype"/>
        </w:rPr>
        <w:t xml:space="preserv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p>
    <w:p w:rsidR="00164947" w:rsidRDefault="00164947">
      <w:pPr>
        <w:spacing w:line="360" w:lineRule="auto"/>
        <w:ind w:right="51"/>
        <w:jc w:val="both"/>
        <w:rPr>
          <w:rFonts w:ascii="Palatino Linotype" w:eastAsia="Palatino Linotype" w:hAnsi="Palatino Linotype" w:cs="Palatino Linotype"/>
          <w:b/>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164947" w:rsidRDefault="001649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64947" w:rsidRDefault="00276DAD">
      <w:pPr>
        <w:pBdr>
          <w:top w:val="nil"/>
          <w:left w:val="nil"/>
          <w:bottom w:val="nil"/>
          <w:right w:val="nil"/>
          <w:between w:val="nil"/>
        </w:pBd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164947" w:rsidRDefault="00164947">
      <w:pPr>
        <w:pBdr>
          <w:top w:val="nil"/>
          <w:left w:val="nil"/>
          <w:bottom w:val="nil"/>
          <w:right w:val="nil"/>
          <w:between w:val="nil"/>
        </w:pBdr>
        <w:spacing w:line="360" w:lineRule="auto"/>
        <w:jc w:val="center"/>
        <w:rPr>
          <w:rFonts w:ascii="Palatino Linotype" w:eastAsia="Palatino Linotype" w:hAnsi="Palatino Linotype" w:cs="Palatino Linotype"/>
          <w:b/>
        </w:rPr>
      </w:pPr>
    </w:p>
    <w:p w:rsidR="00164947" w:rsidRDefault="00276DA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bookmarkStart w:id="8" w:name="_heading=h.3dy6vkm" w:colFirst="0" w:colLast="0"/>
      <w:bookmarkEnd w:id="8"/>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Resultan </w:t>
      </w:r>
      <w:r>
        <w:rPr>
          <w:rFonts w:ascii="Palatino Linotype" w:eastAsia="Palatino Linotype" w:hAnsi="Palatino Linotype" w:cs="Palatino Linotype"/>
          <w:b/>
          <w:color w:val="000000"/>
        </w:rPr>
        <w:t>INFUNDADOS</w:t>
      </w:r>
      <w:r>
        <w:rPr>
          <w:rFonts w:ascii="Palatino Linotype" w:eastAsia="Palatino Linotype" w:hAnsi="Palatino Linotype" w:cs="Palatino Linotype"/>
          <w:color w:val="000000"/>
        </w:rPr>
        <w:t xml:space="preserve"> los motivos de inconformidad aducidos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en el recurso de revisión </w:t>
      </w:r>
      <w:r>
        <w:rPr>
          <w:rFonts w:ascii="Palatino Linotype" w:eastAsia="Palatino Linotype" w:hAnsi="Palatino Linotype" w:cs="Palatino Linotype"/>
          <w:b/>
        </w:rPr>
        <w:t>02574/INFOEM/IP/RR/2023</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por lo que, en términos de los argumentos señalados en el </w:t>
      </w:r>
      <w:r>
        <w:rPr>
          <w:rFonts w:ascii="Palatino Linotype" w:eastAsia="Palatino Linotype" w:hAnsi="Palatino Linotype" w:cs="Palatino Linotype"/>
          <w:b/>
          <w:color w:val="000000"/>
        </w:rPr>
        <w:t>CONSIDERANDO CUARTO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emitida por </w:t>
      </w:r>
      <w:r>
        <w:rPr>
          <w:rFonts w:ascii="Palatino Linotype" w:eastAsia="Palatino Linotype" w:hAnsi="Palatino Linotype" w:cs="Palatino Linotype"/>
          <w:b/>
          <w:color w:val="000000"/>
        </w:rPr>
        <w:t>EL SUJETO OBLIGADO.</w:t>
      </w:r>
    </w:p>
    <w:p w:rsidR="00164947" w:rsidRDefault="0016494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Persona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rsidR="00164947" w:rsidRDefault="00164947">
      <w:pPr>
        <w:spacing w:line="360" w:lineRule="auto"/>
        <w:jc w:val="both"/>
        <w:rPr>
          <w:rFonts w:ascii="Palatino Linotype" w:eastAsia="Palatino Linotype" w:hAnsi="Palatino Linotype" w:cs="Palatino Linotype"/>
        </w:rPr>
      </w:pPr>
    </w:p>
    <w:p w:rsidR="00164947" w:rsidRDefault="00276DAD">
      <w:pPr>
        <w:tabs>
          <w:tab w:val="left" w:pos="8647"/>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a</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164947" w:rsidRDefault="00164947">
      <w:pPr>
        <w:tabs>
          <w:tab w:val="left" w:pos="8647"/>
        </w:tabs>
        <w:spacing w:line="360" w:lineRule="auto"/>
        <w:ind w:right="51"/>
        <w:jc w:val="both"/>
        <w:rPr>
          <w:rFonts w:ascii="Palatino Linotype" w:eastAsia="Palatino Linotype" w:hAnsi="Palatino Linotype" w:cs="Palatino Linotype"/>
        </w:rPr>
      </w:pPr>
    </w:p>
    <w:p w:rsidR="00164947" w:rsidRDefault="00276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Pr>
          <w:rFonts w:ascii="Palatino Linotype" w:eastAsia="Palatino Linotype" w:hAnsi="Palatino Linotype" w:cs="Palatino Linotype"/>
        </w:rPr>
        <w:lastRenderedPageBreak/>
        <w:t>VILCHIS, MARÍA DEL ROSARIO MEJÍA AYALA, SHARON CRISTINA MORALES MARTÍNEZ, LUIS GUSTAVO PARRA NORIEGA Y GUADALUPE RAMÍREZ PEÑA; EN LA TRIGÉSIMA SEXTA SESIÓN ORDINARIA CELEBRADA EL TRES DE OCTUBRE DE DOS MIL VEINTIDÓS, ANTE EL SECRETARIO TÉCNICO DEL PLENO ALEXIS TAPIA RAMÍREZ.</w:t>
      </w:r>
    </w:p>
    <w:p w:rsidR="00164947" w:rsidRDefault="00164947">
      <w:pPr>
        <w:spacing w:line="360" w:lineRule="auto"/>
        <w:rPr>
          <w:rFonts w:ascii="Palatino Linotype" w:eastAsia="Palatino Linotype" w:hAnsi="Palatino Linotype" w:cs="Palatino Linotype"/>
        </w:rPr>
      </w:pPr>
    </w:p>
    <w:p w:rsidR="00164947" w:rsidRDefault="008B1AD5">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rPr>
        <mc:AlternateContent>
          <mc:Choice Requires="wps">
            <w:drawing>
              <wp:anchor distT="0" distB="0" distL="114300" distR="114300" simplePos="0" relativeHeight="251659264" behindDoc="0" locked="0" layoutInCell="1" allowOverlap="1">
                <wp:simplePos x="0" y="0"/>
                <wp:positionH relativeFrom="column">
                  <wp:posOffset>339090</wp:posOffset>
                </wp:positionH>
                <wp:positionV relativeFrom="paragraph">
                  <wp:posOffset>91439</wp:posOffset>
                </wp:positionV>
                <wp:extent cx="5200650" cy="51339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200650" cy="51339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F94A50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7pt,7.2pt" to="436.2pt,4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" strokecolor="#f68c36 [3049]"/>
            </w:pict>
          </mc:Fallback>
        </mc:AlternateContent>
      </w: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b/>
          <w:color w:val="000000"/>
        </w:rPr>
      </w:pPr>
    </w:p>
    <w:p w:rsidR="00164947" w:rsidRDefault="00164947">
      <w:pPr>
        <w:spacing w:line="360" w:lineRule="auto"/>
        <w:jc w:val="both"/>
        <w:rPr>
          <w:rFonts w:ascii="Palatino Linotype" w:eastAsia="Palatino Linotype" w:hAnsi="Palatino Linotype" w:cs="Palatino Linotype"/>
        </w:rPr>
      </w:pPr>
      <w:bookmarkStart w:id="9" w:name="_heading=h.6hnbrse76z60" w:colFirst="0" w:colLast="0"/>
      <w:bookmarkEnd w:id="9"/>
    </w:p>
    <w:p w:rsidR="00164947" w:rsidRDefault="00164947">
      <w:pPr>
        <w:spacing w:line="360" w:lineRule="auto"/>
        <w:jc w:val="both"/>
        <w:rPr>
          <w:rFonts w:ascii="Palatino Linotype" w:eastAsia="Palatino Linotype" w:hAnsi="Palatino Linotype" w:cs="Palatino Linotype"/>
        </w:rPr>
      </w:pPr>
      <w:bookmarkStart w:id="10" w:name="_heading=h.p9z1cqguwrot" w:colFirst="0" w:colLast="0"/>
      <w:bookmarkEnd w:id="10"/>
    </w:p>
    <w:p w:rsidR="00164947" w:rsidRDefault="00164947">
      <w:pPr>
        <w:spacing w:line="360" w:lineRule="auto"/>
        <w:jc w:val="both"/>
        <w:rPr>
          <w:rFonts w:ascii="Palatino Linotype" w:eastAsia="Palatino Linotype" w:hAnsi="Palatino Linotype" w:cs="Palatino Linotype"/>
        </w:rPr>
      </w:pPr>
      <w:bookmarkStart w:id="11" w:name="_heading=h.robnn0r9fhli" w:colFirst="0" w:colLast="0"/>
      <w:bookmarkEnd w:id="11"/>
    </w:p>
    <w:p w:rsidR="00164947" w:rsidRDefault="00164947">
      <w:pPr>
        <w:spacing w:line="360" w:lineRule="auto"/>
        <w:jc w:val="both"/>
        <w:rPr>
          <w:rFonts w:ascii="Palatino Linotype" w:eastAsia="Palatino Linotype" w:hAnsi="Palatino Linotype" w:cs="Palatino Linotype"/>
        </w:rPr>
      </w:pPr>
      <w:bookmarkStart w:id="12" w:name="_heading=h.mtbxz7f8zdt8" w:colFirst="0" w:colLast="0"/>
      <w:bookmarkEnd w:id="12"/>
    </w:p>
    <w:p w:rsidR="00164947" w:rsidRDefault="00164947">
      <w:pPr>
        <w:spacing w:line="360" w:lineRule="auto"/>
        <w:jc w:val="both"/>
        <w:rPr>
          <w:rFonts w:ascii="Palatino Linotype" w:eastAsia="Palatino Linotype" w:hAnsi="Palatino Linotype" w:cs="Palatino Linotype"/>
        </w:rPr>
      </w:pPr>
      <w:bookmarkStart w:id="13" w:name="_heading=h.2et92p0" w:colFirst="0" w:colLast="0"/>
      <w:bookmarkEnd w:id="13"/>
    </w:p>
    <w:sectPr w:rsidR="00164947">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DAD" w:rsidRDefault="00276DAD">
      <w:r>
        <w:separator/>
      </w:r>
    </w:p>
  </w:endnote>
  <w:endnote w:type="continuationSeparator" w:id="0">
    <w:p w:rsidR="00276DAD" w:rsidRDefault="0027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47" w:rsidRDefault="00276D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963DF">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963DF">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rsidR="00164947" w:rsidRDefault="0016494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47" w:rsidRDefault="00276DA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963D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963DF">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DAD" w:rsidRDefault="00276DAD">
      <w:r>
        <w:separator/>
      </w:r>
    </w:p>
  </w:footnote>
  <w:footnote w:type="continuationSeparator" w:id="0">
    <w:p w:rsidR="00276DAD" w:rsidRDefault="00276D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47" w:rsidRDefault="00276DAD">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-1079494</wp:posOffset>
          </wp:positionH>
          <wp:positionV relativeFrom="paragraph">
            <wp:posOffset>-430523</wp:posOffset>
          </wp:positionV>
          <wp:extent cx="7809865" cy="10165715"/>
          <wp:effectExtent l="0" t="0" r="0" b="0"/>
          <wp:wrapNone/>
          <wp:docPr id="2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953" w:type="dxa"/>
      <w:tblInd w:w="3261" w:type="dxa"/>
      <w:tblLayout w:type="fixed"/>
      <w:tblLook w:val="0400" w:firstRow="0" w:lastRow="0" w:firstColumn="0" w:lastColumn="0" w:noHBand="0" w:noVBand="1"/>
    </w:tblPr>
    <w:tblGrid>
      <w:gridCol w:w="2489"/>
      <w:gridCol w:w="3464"/>
    </w:tblGrid>
    <w:tr w:rsidR="00164947">
      <w:tc>
        <w:tcPr>
          <w:tcW w:w="2489" w:type="dxa"/>
          <w:shd w:val="clear" w:color="auto" w:fill="auto"/>
        </w:tcPr>
        <w:p w:rsidR="00164947" w:rsidRDefault="00276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164947" w:rsidRDefault="00276DA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02574/INFOEM/IP/RR/2023</w:t>
          </w:r>
        </w:p>
      </w:tc>
    </w:tr>
    <w:tr w:rsidR="00164947">
      <w:trPr>
        <w:trHeight w:val="228"/>
      </w:trPr>
      <w:tc>
        <w:tcPr>
          <w:tcW w:w="2489" w:type="dxa"/>
          <w:shd w:val="clear" w:color="auto" w:fill="auto"/>
          <w:vAlign w:val="center"/>
        </w:tcPr>
        <w:p w:rsidR="00164947" w:rsidRDefault="00276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164947" w:rsidRDefault="00276DAD">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164947">
      <w:tc>
        <w:tcPr>
          <w:tcW w:w="2489" w:type="dxa"/>
          <w:shd w:val="clear" w:color="auto" w:fill="auto"/>
          <w:vAlign w:val="center"/>
        </w:tcPr>
        <w:p w:rsidR="00164947" w:rsidRDefault="00276DA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164947" w:rsidRDefault="00276DA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64947" w:rsidRDefault="00276DAD">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947" w:rsidRDefault="00276DA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-1089019</wp:posOffset>
          </wp:positionH>
          <wp:positionV relativeFrom="paragraph">
            <wp:posOffset>-459734</wp:posOffset>
          </wp:positionV>
          <wp:extent cx="7809865" cy="10165715"/>
          <wp:effectExtent l="0" t="0" r="0" b="0"/>
          <wp:wrapNone/>
          <wp:docPr id="2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6483" w:type="dxa"/>
      <w:tblInd w:w="3174" w:type="dxa"/>
      <w:tblLayout w:type="fixed"/>
      <w:tblLook w:val="0400" w:firstRow="0" w:lastRow="0" w:firstColumn="0" w:lastColumn="0" w:noHBand="0" w:noVBand="1"/>
    </w:tblPr>
    <w:tblGrid>
      <w:gridCol w:w="2917"/>
      <w:gridCol w:w="3566"/>
    </w:tblGrid>
    <w:tr w:rsidR="00164947">
      <w:trPr>
        <w:trHeight w:val="213"/>
      </w:trPr>
      <w:tc>
        <w:tcPr>
          <w:tcW w:w="2917" w:type="dxa"/>
          <w:shd w:val="clear" w:color="auto" w:fill="auto"/>
          <w:vAlign w:val="center"/>
        </w:tcPr>
        <w:p w:rsidR="00164947" w:rsidRDefault="00276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66" w:type="dxa"/>
          <w:tcBorders>
            <w:left w:val="nil"/>
          </w:tcBorders>
          <w:shd w:val="clear" w:color="auto" w:fill="auto"/>
          <w:vAlign w:val="center"/>
        </w:tcPr>
        <w:p w:rsidR="00164947" w:rsidRDefault="00276DAD">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02574/INFOEM/IP/RR/2023</w:t>
          </w:r>
        </w:p>
      </w:tc>
    </w:tr>
    <w:tr w:rsidR="00164947">
      <w:trPr>
        <w:trHeight w:val="91"/>
      </w:trPr>
      <w:tc>
        <w:tcPr>
          <w:tcW w:w="2917" w:type="dxa"/>
          <w:tcBorders>
            <w:right w:val="single" w:sz="4" w:space="0" w:color="FFFFFF"/>
          </w:tcBorders>
          <w:shd w:val="clear" w:color="auto" w:fill="auto"/>
          <w:vAlign w:val="center"/>
        </w:tcPr>
        <w:p w:rsidR="00164947" w:rsidRDefault="00276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66" w:type="dxa"/>
          <w:tcBorders>
            <w:left w:val="single" w:sz="4" w:space="0" w:color="FFFFFF"/>
            <w:right w:val="single" w:sz="4" w:space="0" w:color="FFFFFF"/>
          </w:tcBorders>
          <w:shd w:val="clear" w:color="auto" w:fill="FFFFFF"/>
          <w:vAlign w:val="center"/>
        </w:tcPr>
        <w:p w:rsidR="00164947" w:rsidRDefault="00164947">
          <w:pPr>
            <w:jc w:val="both"/>
            <w:rPr>
              <w:rFonts w:ascii="Palatino Linotype" w:eastAsia="Palatino Linotype" w:hAnsi="Palatino Linotype" w:cs="Palatino Linotype"/>
              <w:b/>
              <w:sz w:val="22"/>
              <w:szCs w:val="22"/>
            </w:rPr>
          </w:pPr>
        </w:p>
      </w:tc>
    </w:tr>
    <w:tr w:rsidR="00164947">
      <w:trPr>
        <w:trHeight w:val="161"/>
      </w:trPr>
      <w:tc>
        <w:tcPr>
          <w:tcW w:w="2917" w:type="dxa"/>
          <w:tcBorders>
            <w:bottom w:val="single" w:sz="4" w:space="0" w:color="FFFFFF"/>
            <w:right w:val="single" w:sz="4" w:space="0" w:color="FFFFFF"/>
          </w:tcBorders>
          <w:shd w:val="clear" w:color="auto" w:fill="auto"/>
          <w:vAlign w:val="center"/>
        </w:tcPr>
        <w:p w:rsidR="00164947" w:rsidRDefault="00276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66" w:type="dxa"/>
          <w:tcBorders>
            <w:left w:val="single" w:sz="4" w:space="0" w:color="FFFFFF"/>
            <w:bottom w:val="single" w:sz="4" w:space="0" w:color="FFFFFF"/>
            <w:right w:val="single" w:sz="4" w:space="0" w:color="FFFFFF"/>
          </w:tcBorders>
          <w:shd w:val="clear" w:color="auto" w:fill="auto"/>
          <w:vAlign w:val="center"/>
        </w:tcPr>
        <w:p w:rsidR="00164947" w:rsidRDefault="00276DA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Atlacomulco</w:t>
          </w:r>
        </w:p>
      </w:tc>
    </w:tr>
    <w:tr w:rsidR="00164947">
      <w:trPr>
        <w:trHeight w:val="102"/>
      </w:trPr>
      <w:tc>
        <w:tcPr>
          <w:tcW w:w="2917" w:type="dxa"/>
          <w:tcBorders>
            <w:top w:val="single" w:sz="4" w:space="0" w:color="FFFFFF"/>
            <w:right w:val="single" w:sz="4" w:space="0" w:color="FFFFFF"/>
          </w:tcBorders>
          <w:shd w:val="clear" w:color="auto" w:fill="auto"/>
          <w:vAlign w:val="center"/>
        </w:tcPr>
        <w:p w:rsidR="00164947" w:rsidRDefault="00276D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66" w:type="dxa"/>
          <w:tcBorders>
            <w:top w:val="single" w:sz="4" w:space="0" w:color="FFFFFF"/>
            <w:left w:val="single" w:sz="4" w:space="0" w:color="FFFFFF"/>
            <w:right w:val="single" w:sz="4" w:space="0" w:color="FFFFFF"/>
          </w:tcBorders>
          <w:shd w:val="clear" w:color="auto" w:fill="auto"/>
          <w:vAlign w:val="center"/>
        </w:tcPr>
        <w:p w:rsidR="00164947" w:rsidRDefault="00276DA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64947" w:rsidRDefault="001649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22E5"/>
    <w:multiLevelType w:val="multilevel"/>
    <w:tmpl w:val="AC48E72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7571A8D"/>
    <w:multiLevelType w:val="multilevel"/>
    <w:tmpl w:val="9D8EEFD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72976934"/>
    <w:multiLevelType w:val="multilevel"/>
    <w:tmpl w:val="9A1466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68820F4"/>
    <w:multiLevelType w:val="multilevel"/>
    <w:tmpl w:val="C6229E2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947"/>
    <w:rsid w:val="00164947"/>
    <w:rsid w:val="00276DAD"/>
    <w:rsid w:val="004963DF"/>
    <w:rsid w:val="008B1AD5"/>
    <w:rsid w:val="00A765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C522F-5FA2-4016-834F-D82100D3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top w:w="0" w:type="dxa"/>
        <w:left w:w="115" w:type="dxa"/>
        <w:bottom w:w="0" w:type="dxa"/>
        <w:right w:w="115" w:type="dxa"/>
      </w:tblCellMar>
    </w:tblPr>
  </w:style>
  <w:style w:type="table" w:customStyle="1" w:styleId="9">
    <w:name w:val="9"/>
    <w:basedOn w:val="TableNormal1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top w:w="0" w:type="dxa"/>
        <w:left w:w="115" w:type="dxa"/>
        <w:bottom w:w="0" w:type="dxa"/>
        <w:right w:w="115" w:type="dxa"/>
      </w:tblCellMar>
    </w:tblPr>
  </w:style>
  <w:style w:type="table" w:customStyle="1" w:styleId="7">
    <w:name w:val="7"/>
    <w:basedOn w:val="TableNormal11"/>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top w:w="0" w:type="dxa"/>
        <w:left w:w="115" w:type="dxa"/>
        <w:bottom w:w="0" w:type="dxa"/>
        <w:right w:w="115" w:type="dxa"/>
      </w:tblCellMar>
    </w:tblPr>
  </w:style>
  <w:style w:type="table" w:customStyle="1" w:styleId="1">
    <w:name w:val="1"/>
    <w:basedOn w:val="TableNormal40"/>
    <w:tblPr>
      <w:tblStyleRowBandSize w:val="1"/>
      <w:tblStyleColBandSize w:val="1"/>
      <w:tblCellMar>
        <w:top w:w="0" w:type="dxa"/>
        <w:left w:w="115" w:type="dxa"/>
        <w:bottom w:w="0" w:type="dxa"/>
        <w:right w:w="115" w:type="dxa"/>
      </w:tblCellMar>
    </w:tblPr>
  </w:style>
  <w:style w:type="table" w:customStyle="1" w:styleId="23">
    <w:name w:val="23"/>
    <w:basedOn w:val="TableNormal50"/>
    <w:tblPr>
      <w:tblStyleRowBandSize w:val="1"/>
      <w:tblStyleColBandSize w:val="1"/>
      <w:tblCellMar>
        <w:top w:w="0" w:type="dxa"/>
        <w:left w:w="115" w:type="dxa"/>
        <w:bottom w:w="0" w:type="dxa"/>
        <w:right w:w="115" w:type="dxa"/>
      </w:tblCellMar>
    </w:tblPr>
  </w:style>
  <w:style w:type="table" w:customStyle="1" w:styleId="22">
    <w:name w:val="22"/>
    <w:basedOn w:val="TableNormal50"/>
    <w:tblPr>
      <w:tblStyleRowBandSize w:val="1"/>
      <w:tblStyleColBandSize w:val="1"/>
      <w:tblCellMar>
        <w:top w:w="0" w:type="dxa"/>
        <w:left w:w="115" w:type="dxa"/>
        <w:bottom w:w="0" w:type="dxa"/>
        <w:right w:w="115" w:type="dxa"/>
      </w:tblCellMar>
    </w:tblPr>
  </w:style>
  <w:style w:type="table" w:customStyle="1" w:styleId="21">
    <w:name w:val="21"/>
    <w:basedOn w:val="TableNormal60"/>
    <w:tblPr>
      <w:tblStyleRowBandSize w:val="1"/>
      <w:tblStyleColBandSize w:val="1"/>
      <w:tblCellMar>
        <w:top w:w="0" w:type="dxa"/>
        <w:left w:w="115" w:type="dxa"/>
        <w:bottom w:w="0" w:type="dxa"/>
        <w:right w:w="115" w:type="dxa"/>
      </w:tblCellMar>
    </w:tblPr>
  </w:style>
  <w:style w:type="table" w:customStyle="1" w:styleId="20">
    <w:name w:val="20"/>
    <w:basedOn w:val="TableNormal60"/>
    <w:tblPr>
      <w:tblStyleRowBandSize w:val="1"/>
      <w:tblStyleColBandSize w:val="1"/>
      <w:tblCellMar>
        <w:top w:w="0" w:type="dxa"/>
        <w:left w:w="115" w:type="dxa"/>
        <w:bottom w:w="0" w:type="dxa"/>
        <w:right w:w="115" w:type="dxa"/>
      </w:tblCellMar>
    </w:tblPr>
  </w:style>
  <w:style w:type="table" w:customStyle="1" w:styleId="19">
    <w:name w:val="19"/>
    <w:basedOn w:val="TableNormal7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0"/>
    <w:tblPr>
      <w:tblStyleRowBandSize w:val="1"/>
      <w:tblStyleColBandSize w:val="1"/>
      <w:tblCellMar>
        <w:top w:w="0" w:type="dxa"/>
        <w:left w:w="115" w:type="dxa"/>
        <w:bottom w:w="0" w:type="dxa"/>
        <w:right w:w="115" w:type="dxa"/>
      </w:tblCellMar>
    </w:tblPr>
  </w:style>
  <w:style w:type="table" w:customStyle="1" w:styleId="17">
    <w:name w:val="17"/>
    <w:basedOn w:val="TableNormal70"/>
    <w:tblPr>
      <w:tblStyleRowBandSize w:val="1"/>
      <w:tblStyleColBandSize w:val="1"/>
      <w:tblCellMar>
        <w:top w:w="0" w:type="dxa"/>
        <w:left w:w="115" w:type="dxa"/>
        <w:bottom w:w="0" w:type="dxa"/>
        <w:right w:w="115" w:type="dxa"/>
      </w:tblCellMar>
    </w:tblPr>
  </w:style>
  <w:style w:type="table" w:customStyle="1" w:styleId="16">
    <w:name w:val="16"/>
    <w:basedOn w:val="TableNormal80"/>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0"/>
    <w:tblPr>
      <w:tblStyleRowBandSize w:val="1"/>
      <w:tblStyleColBandSize w:val="1"/>
      <w:tblCellMar>
        <w:top w:w="0" w:type="dxa"/>
        <w:left w:w="115" w:type="dxa"/>
        <w:bottom w:w="0" w:type="dxa"/>
        <w:right w:w="115" w:type="dxa"/>
      </w:tblCellMar>
    </w:tblPr>
  </w:style>
  <w:style w:type="table" w:customStyle="1" w:styleId="14">
    <w:name w:val="14"/>
    <w:basedOn w:val="TableNormal80"/>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8"/>
    <w:tblPr>
      <w:tblStyleRowBandSize w:val="1"/>
      <w:tblStyleColBandSize w:val="1"/>
      <w:tblCellMar>
        <w:top w:w="0" w:type="dxa"/>
        <w:left w:w="108" w:type="dxa"/>
        <w:bottom w:w="0" w:type="dxa"/>
        <w:right w:w="108" w:type="dxa"/>
      </w:tblCellMar>
    </w:tblPr>
  </w:style>
  <w:style w:type="table" w:customStyle="1" w:styleId="a0">
    <w:basedOn w:val="TableNormal8"/>
    <w:tblPr>
      <w:tblStyleRowBandSize w:val="1"/>
      <w:tblStyleColBandSize w:val="1"/>
      <w:tblCellMar>
        <w:top w:w="0" w:type="dxa"/>
        <w:left w:w="108" w:type="dxa"/>
        <w:bottom w:w="0" w:type="dxa"/>
        <w:right w:w="108" w:type="dxa"/>
      </w:tblCellMar>
    </w:tblPr>
  </w:style>
  <w:style w:type="table" w:customStyle="1" w:styleId="a2">
    <w:basedOn w:val="TableNormal8"/>
    <w:tblPr>
      <w:tblStyleRowBandSize w:val="1"/>
      <w:tblStyleColBandSize w:val="1"/>
      <w:tblCellMar>
        <w:top w:w="0" w:type="dxa"/>
        <w:left w:w="108" w:type="dxa"/>
        <w:bottom w:w="0" w:type="dxa"/>
        <w:right w:w="108" w:type="dxa"/>
      </w:tblCellMar>
    </w:tblPr>
  </w:style>
  <w:style w:type="table" w:customStyle="1" w:styleId="a3">
    <w:basedOn w:val="TableNormal8"/>
    <w:tblPr>
      <w:tblStyleRowBandSize w:val="1"/>
      <w:tblStyleColBandSize w:val="1"/>
      <w:tblCellMar>
        <w:top w:w="0" w:type="dxa"/>
        <w:left w:w="108" w:type="dxa"/>
        <w:bottom w:w="0" w:type="dxa"/>
        <w:right w:w="108" w:type="dxa"/>
      </w:tblCellMar>
    </w:tblPr>
  </w:style>
  <w:style w:type="table" w:customStyle="1" w:styleId="a4">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8"/>
    <w:tblPr>
      <w:tblStyleRowBandSize w:val="1"/>
      <w:tblStyleColBandSize w:val="1"/>
      <w:tblCellMar>
        <w:top w:w="0" w:type="dxa"/>
        <w:left w:w="115" w:type="dxa"/>
        <w:bottom w:w="0" w:type="dxa"/>
        <w:right w:w="115" w:type="dxa"/>
      </w:tblCellMar>
    </w:tblPr>
  </w:style>
  <w:style w:type="table" w:customStyle="1" w:styleId="a6">
    <w:basedOn w:val="TableNormal8"/>
    <w:tblPr>
      <w:tblStyleRowBandSize w:val="1"/>
      <w:tblStyleColBandSize w:val="1"/>
      <w:tblCellMar>
        <w:top w:w="0" w:type="dxa"/>
        <w:left w:w="115" w:type="dxa"/>
        <w:bottom w:w="0" w:type="dxa"/>
        <w:right w:w="115" w:type="dxa"/>
      </w:tblCellMar>
    </w:tblPr>
  </w:style>
  <w:style w:type="table" w:customStyle="1" w:styleId="a7">
    <w:basedOn w:val="TableNormal7"/>
    <w:tblPr>
      <w:tblStyleRowBandSize w:val="1"/>
      <w:tblStyleColBandSize w:val="1"/>
      <w:tblCellMar>
        <w:top w:w="0" w:type="dxa"/>
        <w:left w:w="115" w:type="dxa"/>
        <w:bottom w:w="0" w:type="dxa"/>
        <w:right w:w="115" w:type="dxa"/>
      </w:tblCellMar>
    </w:tblPr>
  </w:style>
  <w:style w:type="table" w:customStyle="1" w:styleId="a8">
    <w:basedOn w:val="TableNormal7"/>
    <w:tblPr>
      <w:tblStyleRowBandSize w:val="1"/>
      <w:tblStyleColBandSize w:val="1"/>
      <w:tblCellMar>
        <w:top w:w="0" w:type="dxa"/>
        <w:left w:w="115" w:type="dxa"/>
        <w:bottom w:w="0" w:type="dxa"/>
        <w:right w:w="115" w:type="dxa"/>
      </w:tblCellMar>
    </w:tblPr>
  </w:style>
  <w:style w:type="table" w:customStyle="1" w:styleId="a9">
    <w:basedOn w:val="TableNormal6"/>
    <w:tblPr>
      <w:tblStyleRowBandSize w:val="1"/>
      <w:tblStyleColBandSize w:val="1"/>
      <w:tblCellMar>
        <w:top w:w="0" w:type="dxa"/>
        <w:left w:w="115" w:type="dxa"/>
        <w:bottom w:w="0" w:type="dxa"/>
        <w:right w:w="115" w:type="dxa"/>
      </w:tblCellMar>
    </w:tblPr>
  </w:style>
  <w:style w:type="table" w:customStyle="1" w:styleId="aa">
    <w:basedOn w:val="TableNormal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5"/>
    <w:tblPr>
      <w:tblStyleRowBandSize w:val="1"/>
      <w:tblStyleColBandSize w:val="1"/>
      <w:tblCellMar>
        <w:top w:w="0" w:type="dxa"/>
        <w:left w:w="108" w:type="dxa"/>
        <w:bottom w:w="0" w:type="dxa"/>
        <w:right w:w="108" w:type="dxa"/>
      </w:tblCellMar>
    </w:tblPr>
  </w:style>
  <w:style w:type="table" w:customStyle="1" w:styleId="ac">
    <w:basedOn w:val="TableNormal5"/>
    <w:tblPr>
      <w:tblStyleRowBandSize w:val="1"/>
      <w:tblStyleColBandSize w:val="1"/>
      <w:tblCellMar>
        <w:top w:w="0" w:type="dxa"/>
        <w:left w:w="108" w:type="dxa"/>
        <w:bottom w:w="0" w:type="dxa"/>
        <w:right w:w="108" w:type="dxa"/>
      </w:tblCellMar>
    </w:tblPr>
  </w:style>
  <w:style w:type="table" w:customStyle="1" w:styleId="ad">
    <w:basedOn w:val="TableNormal5"/>
    <w:tblPr>
      <w:tblStyleRowBandSize w:val="1"/>
      <w:tblStyleColBandSize w:val="1"/>
      <w:tblCellMar>
        <w:top w:w="15" w:type="dxa"/>
        <w:left w:w="15" w:type="dxa"/>
        <w:bottom w:w="15" w:type="dxa"/>
        <w:right w:w="15" w:type="dxa"/>
      </w:tblCellMar>
    </w:tblPr>
  </w:style>
  <w:style w:type="table" w:customStyle="1" w:styleId="ae">
    <w:basedOn w:val="TableNormal5"/>
    <w:tblPr>
      <w:tblStyleRowBandSize w:val="1"/>
      <w:tblStyleColBandSize w:val="1"/>
      <w:tblCellMar>
        <w:top w:w="0" w:type="dxa"/>
        <w:left w:w="115" w:type="dxa"/>
        <w:bottom w:w="0" w:type="dxa"/>
        <w:right w:w="115" w:type="dxa"/>
      </w:tblCellMar>
    </w:tblPr>
  </w:style>
  <w:style w:type="table" w:customStyle="1" w:styleId="af">
    <w:basedOn w:val="TableNormal5"/>
    <w:tblPr>
      <w:tblStyleRowBandSize w:val="1"/>
      <w:tblStyleColBandSize w:val="1"/>
      <w:tblCellMar>
        <w:top w:w="0" w:type="dxa"/>
        <w:left w:w="115" w:type="dxa"/>
        <w:bottom w:w="0" w:type="dxa"/>
        <w:right w:w="115" w:type="dxa"/>
      </w:tblCellMar>
    </w:tbl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15" w:type="dxa"/>
        <w:left w:w="115" w:type="dxa"/>
        <w:bottom w:w="15" w:type="dxa"/>
        <w:right w:w="115" w:type="dxa"/>
      </w:tblCellMar>
    </w:tblPr>
  </w:style>
  <w:style w:type="table" w:customStyle="1" w:styleId="af2">
    <w:basedOn w:val="TableNormal4"/>
    <w:tblPr>
      <w:tblStyleRowBandSize w:val="1"/>
      <w:tblStyleColBandSize w:val="1"/>
      <w:tblCellMar>
        <w:top w:w="15" w:type="dxa"/>
        <w:left w:w="115" w:type="dxa"/>
        <w:bottom w:w="15" w:type="dxa"/>
        <w:right w:w="115" w:type="dxa"/>
      </w:tblCellMar>
    </w:tblPr>
  </w:style>
  <w:style w:type="table" w:customStyle="1" w:styleId="af3">
    <w:basedOn w:val="TableNormal3"/>
    <w:tblPr>
      <w:tblStyleRowBandSize w:val="1"/>
      <w:tblStyleColBandSize w:val="1"/>
      <w:tblCellMar>
        <w:top w:w="15" w:type="dxa"/>
        <w:left w:w="115" w:type="dxa"/>
        <w:bottom w:w="15" w:type="dxa"/>
        <w:right w:w="115" w:type="dxa"/>
      </w:tblCellMar>
    </w:tblPr>
  </w:style>
  <w:style w:type="table" w:customStyle="1" w:styleId="af4">
    <w:basedOn w:val="TableNormal3"/>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table" w:customStyle="1" w:styleId="af6">
    <w:basedOn w:val="TableNormal2"/>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table" w:customStyle="1" w:styleId="af8">
    <w:basedOn w:val="TableNormal1"/>
    <w:tblPr>
      <w:tblStyleRowBandSize w:val="1"/>
      <w:tblStyleColBandSize w:val="1"/>
      <w:tblCellMar>
        <w:top w:w="15" w:type="dxa"/>
        <w:left w:w="115" w:type="dxa"/>
        <w:bottom w:w="15" w:type="dxa"/>
        <w:right w:w="115" w:type="dxa"/>
      </w:tblCellMar>
    </w:tblPr>
  </w:style>
  <w:style w:type="table" w:customStyle="1" w:styleId="af9">
    <w:basedOn w:val="TableNormal1"/>
    <w:tblPr>
      <w:tblStyleRowBandSize w:val="1"/>
      <w:tblStyleColBandSize w:val="1"/>
      <w:tblCellMar>
        <w:top w:w="15" w:type="dxa"/>
        <w:left w:w="115" w:type="dxa"/>
        <w:bottom w:w="15" w:type="dxa"/>
        <w:right w:w="115" w:type="dxa"/>
      </w:tblCellMar>
    </w:tblPr>
  </w:style>
  <w:style w:type="table" w:customStyle="1" w:styleId="afa">
    <w:basedOn w:val="TableNormal1"/>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74133.page"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775262.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774134.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dBQE+Azz2kgiIxJn2G/8i+TKg==">CgMxLjAyDmguNHhlOXRhbXpwczlnMghoLnR5amN3dDIJaC4xZm9iOXRlMghoLmdqZGd4czIJaC4zMGowemxsMgloLjJzOGV5bzEyCWguM3pueXNoNzIJaC4zZHk2dmttMg5oLjZobmJyc2U3Nno2MDIOaC5wOXoxY3FndXdyb3QyDmgucm9ibm4wcjlmaGxpMg5oLm10Ynh6N2Y4emR0ODIJaC4yZXQ5MnAwOAByITFEdVJfRUpNT1hTaGhIMXlaQmNPRFJlMDl0dHlyc3B2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7361</Words>
  <Characters>40490</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2023-10-04T17:26:00Z</cp:lastPrinted>
  <dcterms:created xsi:type="dcterms:W3CDTF">2023-10-17T20:28:00Z</dcterms:created>
  <dcterms:modified xsi:type="dcterms:W3CDTF">2023-10-17T20:28:00Z</dcterms:modified>
</cp:coreProperties>
</file>