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A33" w:rsidRPr="00C3489C" w:rsidRDefault="00F73A33" w:rsidP="00F73A33">
      <w:pPr>
        <w:spacing w:before="240" w:line="360" w:lineRule="auto"/>
        <w:jc w:val="both"/>
        <w:rPr>
          <w:rFonts w:ascii="Palatino Linotype" w:eastAsia="Times New Roman" w:hAnsi="Palatino Linotype" w:cs="Arial"/>
          <w:color w:val="000000"/>
          <w:sz w:val="24"/>
          <w:szCs w:val="24"/>
          <w:lang w:eastAsia="es-MX"/>
        </w:rPr>
      </w:pPr>
      <w:r w:rsidRPr="00C3489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15395" w:rsidRPr="00C3489C">
        <w:rPr>
          <w:rFonts w:ascii="Palatino Linotype" w:eastAsia="Times New Roman" w:hAnsi="Palatino Linotype" w:cs="Arial"/>
          <w:color w:val="000000"/>
          <w:sz w:val="24"/>
          <w:szCs w:val="24"/>
          <w:lang w:eastAsia="es-MX"/>
        </w:rPr>
        <w:t xml:space="preserve">veintisiete </w:t>
      </w:r>
      <w:r w:rsidRPr="00C3489C">
        <w:rPr>
          <w:rFonts w:ascii="Palatino Linotype" w:eastAsia="Times New Roman" w:hAnsi="Palatino Linotype" w:cs="Arial"/>
          <w:color w:val="000000"/>
          <w:sz w:val="24"/>
          <w:szCs w:val="24"/>
          <w:lang w:eastAsia="es-MX"/>
        </w:rPr>
        <w:t>de septiembre de dos mil veintitrés.</w:t>
      </w:r>
    </w:p>
    <w:p w:rsidR="00F73A33" w:rsidRPr="00C3489C" w:rsidRDefault="00F73A33" w:rsidP="00F73A33">
      <w:pPr>
        <w:tabs>
          <w:tab w:val="left" w:pos="1701"/>
        </w:tabs>
        <w:spacing w:before="240" w:line="360" w:lineRule="auto"/>
        <w:jc w:val="both"/>
        <w:rPr>
          <w:rFonts w:ascii="Palatino Linotype" w:hAnsi="Palatino Linotype" w:cs="Arial"/>
          <w:sz w:val="28"/>
        </w:rPr>
      </w:pPr>
      <w:r w:rsidRPr="00C3489C">
        <w:rPr>
          <w:rFonts w:ascii="Palatino Linotype" w:hAnsi="Palatino Linotype" w:cs="Arial"/>
          <w:b/>
          <w:sz w:val="24"/>
        </w:rPr>
        <w:t>VISTO</w:t>
      </w:r>
      <w:r w:rsidRPr="00C3489C">
        <w:rPr>
          <w:rFonts w:ascii="Palatino Linotype" w:hAnsi="Palatino Linotype" w:cs="Arial"/>
          <w:sz w:val="24"/>
        </w:rPr>
        <w:t xml:space="preserve"> el expediente electrónico formado con motivo del recurso de revisión número</w:t>
      </w:r>
      <w:r w:rsidRPr="00C3489C">
        <w:rPr>
          <w:rFonts w:ascii="Palatino Linotype" w:hAnsi="Palatino Linotype" w:cs="Arial"/>
          <w:b/>
          <w:sz w:val="24"/>
        </w:rPr>
        <w:t xml:space="preserve"> </w:t>
      </w:r>
      <w:r w:rsidRPr="00C3489C">
        <w:rPr>
          <w:rFonts w:ascii="Palatino Linotype" w:hAnsi="Palatino Linotype" w:cs="Arial"/>
          <w:b/>
          <w:bCs/>
          <w:sz w:val="24"/>
          <w:lang w:eastAsia="es-MX"/>
        </w:rPr>
        <w:t xml:space="preserve">02475/INFOEM/IP/RR/2023, </w:t>
      </w:r>
      <w:r w:rsidRPr="00C3489C">
        <w:rPr>
          <w:rFonts w:ascii="Palatino Linotype" w:hAnsi="Palatino Linotype"/>
          <w:sz w:val="24"/>
        </w:rPr>
        <w:t xml:space="preserve">interpuesto por </w:t>
      </w:r>
      <w:r w:rsidR="0098644E" w:rsidRPr="00C3489C">
        <w:rPr>
          <w:rFonts w:ascii="Palatino Linotype" w:hAnsi="Palatino Linotype"/>
          <w:b/>
          <w:sz w:val="24"/>
        </w:rPr>
        <w:t>XXXXXXXXXXXXXXXXXXXXX</w:t>
      </w:r>
      <w:r w:rsidRPr="00C3489C">
        <w:rPr>
          <w:rFonts w:ascii="Palatino Linotype" w:hAnsi="Palatino Linotype"/>
          <w:sz w:val="24"/>
        </w:rPr>
        <w:t xml:space="preserve">, en lo sucesivo el </w:t>
      </w:r>
      <w:r w:rsidRPr="00C3489C">
        <w:rPr>
          <w:rFonts w:ascii="Palatino Linotype" w:hAnsi="Palatino Linotype"/>
          <w:b/>
          <w:sz w:val="24"/>
        </w:rPr>
        <w:t>Recurrente</w:t>
      </w:r>
      <w:r w:rsidRPr="00C3489C">
        <w:rPr>
          <w:rFonts w:ascii="Palatino Linotype" w:hAnsi="Palatino Linotype"/>
          <w:sz w:val="24"/>
        </w:rPr>
        <w:t xml:space="preserve">, en contra de la respuesta del </w:t>
      </w:r>
      <w:r w:rsidRPr="00C3489C">
        <w:rPr>
          <w:rFonts w:ascii="Palatino Linotype" w:hAnsi="Palatino Linotype"/>
          <w:b/>
          <w:sz w:val="24"/>
        </w:rPr>
        <w:t>Ayuntamiento de Naucalpan de Juárez</w:t>
      </w:r>
      <w:r w:rsidRPr="00C3489C">
        <w:rPr>
          <w:rFonts w:ascii="Palatino Linotype" w:hAnsi="Palatino Linotype"/>
          <w:sz w:val="24"/>
        </w:rPr>
        <w:t xml:space="preserve">, en lo subsecuente el </w:t>
      </w:r>
      <w:r w:rsidRPr="00C3489C">
        <w:rPr>
          <w:rFonts w:ascii="Palatino Linotype" w:hAnsi="Palatino Linotype"/>
          <w:b/>
          <w:sz w:val="24"/>
        </w:rPr>
        <w:t>Sujeto Obligado</w:t>
      </w:r>
      <w:r w:rsidRPr="00C3489C">
        <w:rPr>
          <w:rFonts w:ascii="Palatino Linotype" w:hAnsi="Palatino Linotype"/>
          <w:sz w:val="24"/>
        </w:rPr>
        <w:t>, se procede a dictar la presente resolución.</w:t>
      </w:r>
    </w:p>
    <w:p w:rsidR="00F73A33" w:rsidRPr="00C3489C" w:rsidRDefault="00F73A33" w:rsidP="00F73A33">
      <w:pPr>
        <w:tabs>
          <w:tab w:val="left" w:pos="1701"/>
        </w:tabs>
        <w:spacing w:before="240" w:line="360" w:lineRule="auto"/>
        <w:jc w:val="both"/>
        <w:rPr>
          <w:rFonts w:ascii="Palatino Linotype" w:hAnsi="Palatino Linotype" w:cs="Arial"/>
          <w:b/>
          <w:sz w:val="24"/>
        </w:rPr>
      </w:pPr>
    </w:p>
    <w:p w:rsidR="00F73A33" w:rsidRPr="00C3489C" w:rsidRDefault="00F73A33" w:rsidP="00F73A33">
      <w:pPr>
        <w:pStyle w:val="infoemcitas"/>
        <w:jc w:val="center"/>
        <w:rPr>
          <w:b/>
          <w:bCs/>
          <w:i w:val="0"/>
          <w:iCs/>
          <w:sz w:val="28"/>
          <w:szCs w:val="28"/>
        </w:rPr>
      </w:pPr>
      <w:r w:rsidRPr="00C3489C">
        <w:rPr>
          <w:b/>
          <w:bCs/>
          <w:i w:val="0"/>
          <w:iCs/>
          <w:sz w:val="28"/>
          <w:szCs w:val="28"/>
        </w:rPr>
        <w:t>A N T E C E D E N T E S   D E L   A S U N T O</w:t>
      </w:r>
    </w:p>
    <w:p w:rsidR="00F73A33" w:rsidRPr="00C3489C" w:rsidRDefault="00F73A33" w:rsidP="00F73A33">
      <w:pPr>
        <w:spacing w:before="240" w:after="240" w:line="360" w:lineRule="auto"/>
        <w:jc w:val="both"/>
        <w:rPr>
          <w:rFonts w:ascii="Palatino Linotype" w:hAnsi="Palatino Linotype"/>
        </w:rPr>
      </w:pPr>
      <w:r w:rsidRPr="00C3489C">
        <w:rPr>
          <w:rFonts w:ascii="Palatino Linotype" w:hAnsi="Palatino Linotype" w:cs="Arial"/>
          <w:b/>
          <w:sz w:val="28"/>
        </w:rPr>
        <w:t>PRIMERO.</w:t>
      </w:r>
      <w:r w:rsidRPr="00C3489C">
        <w:rPr>
          <w:rFonts w:ascii="Palatino Linotype" w:hAnsi="Palatino Linotype" w:cs="Arial"/>
        </w:rPr>
        <w:t xml:space="preserve"> </w:t>
      </w:r>
      <w:r w:rsidRPr="00C3489C">
        <w:rPr>
          <w:rFonts w:ascii="Palatino Linotype" w:hAnsi="Palatino Linotype"/>
          <w:b/>
          <w:sz w:val="28"/>
          <w:szCs w:val="28"/>
        </w:rPr>
        <w:t>De la Solicitud de Información.</w:t>
      </w:r>
    </w:p>
    <w:p w:rsidR="00F73A33" w:rsidRPr="00C3489C" w:rsidRDefault="00F73A33" w:rsidP="00F73A33">
      <w:pPr>
        <w:spacing w:before="240" w:line="360" w:lineRule="auto"/>
        <w:jc w:val="both"/>
        <w:rPr>
          <w:rFonts w:ascii="Palatino Linotype" w:hAnsi="Palatino Linotype" w:cs="Arial"/>
          <w:sz w:val="24"/>
        </w:rPr>
      </w:pPr>
      <w:r w:rsidRPr="00C3489C">
        <w:rPr>
          <w:rFonts w:ascii="Palatino Linotype" w:hAnsi="Palatino Linotype" w:cs="Arial"/>
          <w:sz w:val="24"/>
        </w:rPr>
        <w:t>Con fecha veinticinco de marzo de dos mil veintitrés, el</w:t>
      </w:r>
      <w:r w:rsidRPr="00C3489C">
        <w:rPr>
          <w:rFonts w:ascii="Palatino Linotype" w:hAnsi="Palatino Linotype" w:cs="Arial"/>
          <w:b/>
          <w:sz w:val="24"/>
        </w:rPr>
        <w:t xml:space="preserve"> Recurrente </w:t>
      </w:r>
      <w:r w:rsidRPr="00C3489C">
        <w:rPr>
          <w:rFonts w:ascii="Palatino Linotype" w:hAnsi="Palatino Linotype" w:cs="Arial"/>
          <w:sz w:val="24"/>
        </w:rPr>
        <w:t>presentó a través del Sistema de Acceso a la Información Mexiquense (</w:t>
      </w:r>
      <w:r w:rsidRPr="00C3489C">
        <w:rPr>
          <w:rFonts w:ascii="Palatino Linotype" w:hAnsi="Palatino Linotype" w:cs="Arial"/>
          <w:b/>
          <w:sz w:val="24"/>
        </w:rPr>
        <w:t>SAIMEX)</w:t>
      </w:r>
      <w:r w:rsidRPr="00C3489C">
        <w:rPr>
          <w:rFonts w:ascii="Palatino Linotype" w:hAnsi="Palatino Linotype" w:cs="Arial"/>
          <w:sz w:val="24"/>
        </w:rPr>
        <w:t xml:space="preserve"> ante </w:t>
      </w:r>
      <w:r w:rsidRPr="00C3489C">
        <w:rPr>
          <w:rFonts w:ascii="Palatino Linotype" w:hAnsi="Palatino Linotype" w:cs="Arial"/>
          <w:b/>
          <w:sz w:val="24"/>
        </w:rPr>
        <w:t>El Sujeto Obligado</w:t>
      </w:r>
      <w:r w:rsidRPr="00C3489C">
        <w:rPr>
          <w:rFonts w:ascii="Palatino Linotype" w:hAnsi="Palatino Linotype" w:cs="Arial"/>
          <w:sz w:val="24"/>
        </w:rPr>
        <w:t xml:space="preserve">, solicitud de acceso a la información pública, registrada bajo el número de expediente </w:t>
      </w:r>
      <w:r w:rsidRPr="00C3489C">
        <w:rPr>
          <w:rFonts w:ascii="Palatino Linotype" w:hAnsi="Palatino Linotype" w:cs="Arial"/>
          <w:b/>
          <w:sz w:val="24"/>
        </w:rPr>
        <w:t xml:space="preserve">00182/NAUCALPA/IP/2023, </w:t>
      </w:r>
      <w:r w:rsidRPr="00C3489C">
        <w:rPr>
          <w:rFonts w:ascii="Palatino Linotype" w:hAnsi="Palatino Linotype" w:cs="Arial"/>
          <w:sz w:val="24"/>
        </w:rPr>
        <w:t>mediante la cual solicitó información en el tenor siguiente:</w:t>
      </w:r>
    </w:p>
    <w:p w:rsidR="00F73A33" w:rsidRPr="00C3489C" w:rsidRDefault="00F73A33" w:rsidP="00F73A33">
      <w:pPr>
        <w:pStyle w:val="INFOEM"/>
        <w:rPr>
          <w:lang w:val="es-ES_tradnl" w:eastAsia="es-ES"/>
        </w:rPr>
      </w:pPr>
      <w:r w:rsidRPr="00C3489C">
        <w:rPr>
          <w:lang w:val="es-ES_tradnl" w:eastAsia="es-ES"/>
        </w:rPr>
        <w:t xml:space="preserve">“Buenas Tardes, solicito en versión divulgación conforme a la Ley de Protección de Datos Personales del Dictamen Siguiente: - DIRECCIÓN GENERAL DE DESARROLLO URBANO: a) Licencia de Uso del Suelo N° DUS-LUS/0308/2015 de fecha 25 de Marzo de 2015 b) Oficio N° DGDU/318/2014 de fecha 17 de Enero </w:t>
      </w:r>
      <w:r w:rsidRPr="00C3489C">
        <w:rPr>
          <w:lang w:val="es-ES_tradnl" w:eastAsia="es-ES"/>
        </w:rPr>
        <w:lastRenderedPageBreak/>
        <w:t>de 2014 c) Oficio N° DGDU/8139/2014 de fecha 04 de Diciembre de 2014 d) Oficio N° DGDU/1868/2016 de fecha 02 de Mayo de 2016 e) Autorización de Cambio de Uso del Suelo N° CUS/015/2015 -SECRETARÍA DEL AYUNTAMIENTO a) Acta de la LIII Sesión de Cabildo de fecha 10 de Febrero de 1977, relativa a la Súper Avenida Lomas Verdes b) Acta de la LXIV Sesión de Cabildo de fecha 19 de Mayo de 1977, relativa a la Súper Avenida Lomas Verdes -SECRETARÍA DEL AYUNTAMIENTO (SUBDIRECCIÓN DE PATRIMONIO MUNICIPAL) a) Oficio N° SHA/SPM/077/2014 de fecha 14 de Enero de 2014 NOTA IMPORTANTE: - Si bien es cierto, de acuerdo con la Ley General de Archivos del Estado de México y Municipios publicada en el periódico oficial Gaceta del Gobierno N° 104, Tomo CCX, Sección Primera de fecha 26 de Noviembre de 2020, los Ayuntamientos están obligados a resguardar hasta por 5 años los documentos que generen, también lo es que existe la Transferencia Primaria, que es el proceso mediante el cual las dependencias Municipales turnan para su resguardo los Archivos Generados, una vez cumplido un año a su resguardo, para ser turnados al Archivo Municipal de Concentración en resguardo del Secretario del Ayuntamiento, Lo que rectifica el Reglamento de Archivo y Crónica Municipal de Naucalpan de Juárez, México, publicado en Gaceta Municipal Año 3, N° 31, de fecha 24 de Febrero de 2006. Por lo antes expuesto NO APLICA EL ART. 12 DE LA LEY DE TRANSPARENCIA Y ACCESO A LA INFORMACIÓN PÚBLICA DEL ESTADO DE MÉXICO Y MUNICIPIOS..” (sic)</w:t>
      </w:r>
    </w:p>
    <w:p w:rsidR="00F73A33" w:rsidRPr="00C3489C" w:rsidRDefault="00F73A33" w:rsidP="00F73A33">
      <w:pPr>
        <w:spacing w:before="240" w:line="360" w:lineRule="auto"/>
        <w:jc w:val="both"/>
        <w:rPr>
          <w:rFonts w:ascii="Palatino Linotype" w:eastAsia="Times New Roman" w:hAnsi="Palatino Linotype" w:cs="Times New Roman"/>
          <w:sz w:val="24"/>
          <w:szCs w:val="24"/>
          <w:lang w:val="es-ES_tradnl" w:eastAsia="es-ES"/>
        </w:rPr>
      </w:pPr>
      <w:r w:rsidRPr="00C3489C">
        <w:rPr>
          <w:rFonts w:ascii="Palatino Linotype" w:eastAsia="Times New Roman" w:hAnsi="Palatino Linotype" w:cs="Times New Roman"/>
          <w:b/>
          <w:sz w:val="24"/>
          <w:szCs w:val="24"/>
          <w:lang w:val="es-ES_tradnl" w:eastAsia="es-ES"/>
        </w:rPr>
        <w:t>Modalidad de entrega:</w:t>
      </w:r>
      <w:r w:rsidRPr="00C3489C">
        <w:rPr>
          <w:rFonts w:ascii="Palatino Linotype" w:eastAsia="Times New Roman" w:hAnsi="Palatino Linotype" w:cs="Times New Roman"/>
          <w:sz w:val="24"/>
          <w:szCs w:val="24"/>
          <w:lang w:val="es-ES_tradnl" w:eastAsia="es-ES"/>
        </w:rPr>
        <w:t xml:space="preserve"> A través del SAIMEX.</w:t>
      </w:r>
    </w:p>
    <w:p w:rsidR="00F73A33" w:rsidRPr="00C3489C" w:rsidRDefault="00F73A33" w:rsidP="00F73A33">
      <w:pPr>
        <w:spacing w:before="240" w:line="360" w:lineRule="auto"/>
        <w:jc w:val="both"/>
        <w:rPr>
          <w:rFonts w:ascii="Palatino Linotype" w:hAnsi="Palatino Linotype" w:cs="Arial"/>
          <w:b/>
          <w:sz w:val="28"/>
          <w:szCs w:val="20"/>
        </w:rPr>
      </w:pPr>
      <w:r w:rsidRPr="00C3489C">
        <w:rPr>
          <w:rFonts w:ascii="Palatino Linotype" w:hAnsi="Palatino Linotype" w:cs="Arial"/>
          <w:b/>
          <w:sz w:val="28"/>
        </w:rPr>
        <w:t xml:space="preserve">SEGUNDO. </w:t>
      </w:r>
      <w:r w:rsidRPr="00C3489C">
        <w:rPr>
          <w:rFonts w:ascii="Palatino Linotype" w:hAnsi="Palatino Linotype" w:cs="Arial"/>
          <w:b/>
          <w:sz w:val="28"/>
          <w:szCs w:val="20"/>
        </w:rPr>
        <w:t xml:space="preserve">De la prórroga </w:t>
      </w:r>
    </w:p>
    <w:p w:rsidR="00F73A33" w:rsidRPr="00C3489C" w:rsidRDefault="00F73A33" w:rsidP="00F73A33">
      <w:pPr>
        <w:spacing w:before="240" w:line="360" w:lineRule="auto"/>
        <w:jc w:val="both"/>
        <w:rPr>
          <w:rFonts w:ascii="Palatino Linotype" w:hAnsi="Palatino Linotype" w:cs="Arial"/>
          <w:sz w:val="24"/>
          <w:szCs w:val="20"/>
        </w:rPr>
      </w:pPr>
      <w:r w:rsidRPr="00C3489C">
        <w:rPr>
          <w:rFonts w:ascii="Palatino Linotype" w:hAnsi="Palatino Linotype" w:cs="Arial"/>
          <w:sz w:val="24"/>
          <w:szCs w:val="20"/>
        </w:rPr>
        <w:lastRenderedPageBreak/>
        <w:t>En fecha veinticuatro de abril de dos mil veintitrés, el Sujeto Obligado notifico una prórroga por siete días más, manifestando lo siguiente;</w:t>
      </w:r>
    </w:p>
    <w:p w:rsidR="00F73A33" w:rsidRPr="00C3489C" w:rsidRDefault="00F73A33" w:rsidP="00F73A33">
      <w:pPr>
        <w:pStyle w:val="infoemcitas"/>
      </w:pPr>
      <w:r w:rsidRPr="00C3489C">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73A33" w:rsidRPr="00C3489C" w:rsidRDefault="00F73A33" w:rsidP="00F73A33">
      <w:pPr>
        <w:pStyle w:val="infoemcitas"/>
        <w:rPr>
          <w:b/>
        </w:rPr>
      </w:pPr>
      <w:r w:rsidRPr="00C3489C">
        <w:rPr>
          <w:b/>
        </w:rPr>
        <w:t>Se aprueba ampliación de plazo de 07 días hábiles.</w:t>
      </w:r>
    </w:p>
    <w:p w:rsidR="00F73A33" w:rsidRPr="00C3489C" w:rsidRDefault="00F73A33" w:rsidP="00F73A33">
      <w:pPr>
        <w:pStyle w:val="infoemcitas"/>
      </w:pPr>
      <w:r w:rsidRPr="00C3489C">
        <w:t>MTRO. CARLOS MICHEL MOLINA HERRERA</w:t>
      </w:r>
    </w:p>
    <w:p w:rsidR="00F73A33" w:rsidRPr="00C3489C" w:rsidRDefault="00F73A33" w:rsidP="00F73A33">
      <w:pPr>
        <w:pStyle w:val="infoemcitas"/>
      </w:pPr>
      <w:r w:rsidRPr="00C3489C">
        <w:t>Responsable de la Unidad de Transparencia” (Sic)</w:t>
      </w:r>
    </w:p>
    <w:p w:rsidR="00F73A33" w:rsidRPr="00C3489C" w:rsidRDefault="00F73A33" w:rsidP="00F73A33">
      <w:pPr>
        <w:spacing w:before="240" w:line="360" w:lineRule="auto"/>
        <w:jc w:val="both"/>
        <w:rPr>
          <w:rFonts w:ascii="Palatino Linotype" w:hAnsi="Palatino Linotype" w:cs="Arial"/>
          <w:b/>
          <w:sz w:val="28"/>
        </w:rPr>
      </w:pPr>
      <w:r w:rsidRPr="00C3489C">
        <w:rPr>
          <w:rFonts w:ascii="Palatino Linotype" w:hAnsi="Palatino Linotype" w:cs="Arial"/>
          <w:b/>
          <w:sz w:val="28"/>
          <w:szCs w:val="20"/>
        </w:rPr>
        <w:t>TERCERO. De la respuesta a la solicitud o entrega de información.</w:t>
      </w:r>
    </w:p>
    <w:p w:rsidR="00F73A33" w:rsidRPr="00C3489C" w:rsidRDefault="00F73A33" w:rsidP="00F73A33">
      <w:pPr>
        <w:pStyle w:val="Sinespaciado"/>
        <w:spacing w:line="360" w:lineRule="auto"/>
        <w:jc w:val="both"/>
        <w:rPr>
          <w:rFonts w:ascii="Palatino Linotype" w:hAnsi="Palatino Linotype" w:cs="Arial"/>
        </w:rPr>
      </w:pPr>
      <w:r w:rsidRPr="00C3489C">
        <w:rPr>
          <w:rFonts w:ascii="Palatino Linotype" w:hAnsi="Palatino Linotype"/>
        </w:rPr>
        <w:t xml:space="preserve">De las constancias que obran en el expediente electrónico, se advierte que el </w:t>
      </w:r>
      <w:r w:rsidRPr="00C3489C">
        <w:rPr>
          <w:rFonts w:ascii="Palatino Linotype" w:hAnsi="Palatino Linotype" w:cs="Arial"/>
        </w:rPr>
        <w:t xml:space="preserve">día </w:t>
      </w:r>
      <w:r w:rsidRPr="00C3489C">
        <w:rPr>
          <w:rFonts w:ascii="Palatino Linotype" w:hAnsi="Palatino Linotype" w:cs="Arial"/>
          <w:b/>
        </w:rPr>
        <w:t>catorce de agosto de dos mil veintitrés</w:t>
      </w:r>
      <w:r w:rsidRPr="00C3489C">
        <w:rPr>
          <w:rFonts w:ascii="Palatino Linotype" w:hAnsi="Palatino Linotype" w:cs="Arial"/>
        </w:rPr>
        <w:t xml:space="preserve">, el </w:t>
      </w:r>
      <w:r w:rsidRPr="00C3489C">
        <w:rPr>
          <w:rFonts w:ascii="Palatino Linotype" w:hAnsi="Palatino Linotype" w:cs="Arial"/>
          <w:b/>
        </w:rPr>
        <w:t>Sujeto Obligado</w:t>
      </w:r>
      <w:r w:rsidRPr="00C3489C">
        <w:rPr>
          <w:rFonts w:ascii="Palatino Linotype" w:hAnsi="Palatino Linotype" w:cs="Arial"/>
        </w:rPr>
        <w:t xml:space="preserve"> dio respuesta a la solicitud de información en los siguientes términos: </w:t>
      </w:r>
    </w:p>
    <w:p w:rsidR="00F73A33" w:rsidRPr="00C3489C" w:rsidRDefault="00F73A33" w:rsidP="00F73A33">
      <w:pPr>
        <w:spacing w:after="0" w:line="360" w:lineRule="auto"/>
        <w:jc w:val="both"/>
        <w:rPr>
          <w:rFonts w:ascii="Palatino Linotype" w:hAnsi="Palatino Linotype" w:cs="Arial"/>
          <w:sz w:val="24"/>
        </w:rPr>
      </w:pPr>
    </w:p>
    <w:p w:rsidR="00F73A33" w:rsidRPr="00C3489C" w:rsidRDefault="00F73A33" w:rsidP="00BA222E">
      <w:pPr>
        <w:spacing w:after="0" w:line="240" w:lineRule="auto"/>
        <w:ind w:left="567" w:right="567"/>
        <w:jc w:val="both"/>
        <w:rPr>
          <w:rFonts w:ascii="Palatino Linotype" w:hAnsi="Palatino Linotype" w:cs="Arial"/>
          <w:i/>
        </w:rPr>
      </w:pPr>
      <w:r w:rsidRPr="00C3489C">
        <w:rPr>
          <w:rFonts w:ascii="Palatino Linotype" w:hAnsi="Palatino Linotype" w:cs="Arial"/>
          <w:i/>
        </w:rPr>
        <w:t>“</w:t>
      </w:r>
      <w:r w:rsidR="00BA222E" w:rsidRPr="00C3489C">
        <w:rPr>
          <w:rFonts w:ascii="Palatino Linotype" w:hAnsi="Palatino Linotype" w:cs="Arial"/>
          <w:i/>
        </w:rPr>
        <w:t xml:space="preserve">Al respecto me perimo informarle que, esta Secretaría del Ayuntamiento, tal y como lo establece su solicitud, es competente para atender lo solicitado en: “SECRETARÍA DEL AYUNTAMIENTO a) Acta de la LIII Sesión de Cabildo de fecha 10 de Febrero de 1977, relativa a la Súper Avenida Lomas Verdes b) Acta de la LXIV Sesión de Cabildo de fecha 19 de Mayo de 1977, relativa a la Súper Avenida Lomas Verdes -SECRETARÍA DEL AYUNTAMIENTO (SUBDIRECCIÓN DE PATRIMONIO MUNICIPAL) a) Oficio N° SHA/SPM/077/2014 de fecha 14 de Enero de 2014” Razón a lo anterior, y después de haber realizado una búsqueda exhaustiva y minuciosa dentro de los archivos de esta Secretaría del Ayuntamiento, se remite anexo el presente: • Acta de la Quincuagésima Segunda Sesión Ordinaria de Cabildo, de fecha 10 de febrero de 1977; • Acta de la Sexagésima Cuarta </w:t>
      </w:r>
      <w:r w:rsidR="00BA222E" w:rsidRPr="00C3489C">
        <w:rPr>
          <w:rFonts w:ascii="Palatino Linotype" w:hAnsi="Palatino Linotype" w:cs="Arial"/>
          <w:i/>
        </w:rPr>
        <w:lastRenderedPageBreak/>
        <w:t xml:space="preserve">Sesión Ordinaria de Cabildo, de fecha 19 de mayo de 1977; y • Oficio SHA/SPM/077/2014 </w:t>
      </w:r>
      <w:r w:rsidRPr="00C3489C">
        <w:rPr>
          <w:rFonts w:ascii="Palatino Linotype" w:hAnsi="Palatino Linotype" w:cs="Arial"/>
          <w:i/>
        </w:rPr>
        <w:t>“(Sic).</w:t>
      </w:r>
    </w:p>
    <w:p w:rsidR="00F73A33" w:rsidRPr="00C3489C" w:rsidRDefault="00F73A33" w:rsidP="00F73A33">
      <w:pPr>
        <w:spacing w:after="0" w:line="360" w:lineRule="auto"/>
        <w:ind w:right="567"/>
        <w:jc w:val="both"/>
        <w:rPr>
          <w:rFonts w:ascii="Palatino Linotype" w:hAnsi="Palatino Linotype" w:cs="Arial"/>
          <w:sz w:val="24"/>
        </w:rPr>
      </w:pPr>
    </w:p>
    <w:p w:rsidR="00F73A33" w:rsidRPr="00C3489C" w:rsidRDefault="00F73A33" w:rsidP="00BA222E">
      <w:pPr>
        <w:spacing w:after="0" w:line="360" w:lineRule="auto"/>
        <w:jc w:val="both"/>
        <w:rPr>
          <w:rFonts w:ascii="Palatino Linotype" w:hAnsi="Palatino Linotype" w:cs="Arial"/>
          <w:sz w:val="24"/>
        </w:rPr>
      </w:pPr>
      <w:r w:rsidRPr="00C3489C">
        <w:rPr>
          <w:rFonts w:ascii="Palatino Linotype" w:hAnsi="Palatino Linotype" w:cs="Arial"/>
          <w:sz w:val="24"/>
        </w:rPr>
        <w:t>Adicionalmente el Sujeto Obligado adjunto los archivos electrónicos denominados “</w:t>
      </w:r>
      <w:r w:rsidR="00BA222E" w:rsidRPr="00C3489C">
        <w:rPr>
          <w:rFonts w:ascii="Palatino Linotype" w:hAnsi="Palatino Linotype" w:cs="Arial"/>
          <w:b/>
          <w:i/>
          <w:sz w:val="24"/>
        </w:rPr>
        <w:t>00182 Naucalpa Ip 2023 (1).pdf”, “10-02-1977 Sùper Avenida Lomas Verdes (1).pdf” y “19-05-1977 Sùper Avenida Lomas Verdes.pdf</w:t>
      </w:r>
      <w:r w:rsidRPr="00C3489C">
        <w:rPr>
          <w:rFonts w:ascii="Palatino Linotype" w:hAnsi="Palatino Linotype" w:cs="Arial"/>
          <w:b/>
          <w:i/>
          <w:sz w:val="24"/>
        </w:rPr>
        <w:t xml:space="preserve">”, </w:t>
      </w:r>
      <w:r w:rsidRPr="00C3489C">
        <w:rPr>
          <w:rFonts w:ascii="Palatino Linotype" w:hAnsi="Palatino Linotype" w:cs="Arial"/>
          <w:sz w:val="24"/>
        </w:rPr>
        <w:t xml:space="preserve">mismos que no se reproducen por ser del conocimiento de las partes, sin embargo, serán materia de estudio en el considerando respectivo. </w:t>
      </w:r>
    </w:p>
    <w:p w:rsidR="00F73A33" w:rsidRPr="00C3489C" w:rsidRDefault="00BA222E" w:rsidP="00F73A33">
      <w:pPr>
        <w:spacing w:before="240" w:line="360" w:lineRule="auto"/>
        <w:jc w:val="both"/>
        <w:rPr>
          <w:rFonts w:ascii="Palatino Linotype" w:hAnsi="Palatino Linotype" w:cs="Arial"/>
          <w:b/>
          <w:sz w:val="28"/>
        </w:rPr>
      </w:pPr>
      <w:r w:rsidRPr="00C3489C">
        <w:rPr>
          <w:rFonts w:ascii="Palatino Linotype" w:hAnsi="Palatino Linotype" w:cs="Arial"/>
          <w:b/>
          <w:sz w:val="28"/>
        </w:rPr>
        <w:t xml:space="preserve">CUARTO. </w:t>
      </w:r>
      <w:r w:rsidR="00F73A33" w:rsidRPr="00C3489C">
        <w:rPr>
          <w:rFonts w:ascii="Palatino Linotype" w:hAnsi="Palatino Linotype"/>
          <w:b/>
          <w:sz w:val="28"/>
        </w:rPr>
        <w:t>Del recurso de revisión.</w:t>
      </w:r>
    </w:p>
    <w:p w:rsidR="00F73A33" w:rsidRPr="00C3489C" w:rsidRDefault="00F73A33" w:rsidP="00F73A33">
      <w:pPr>
        <w:spacing w:before="240" w:line="360" w:lineRule="auto"/>
        <w:jc w:val="both"/>
        <w:rPr>
          <w:rFonts w:ascii="Palatino Linotype" w:hAnsi="Palatino Linotype" w:cs="Arial"/>
          <w:sz w:val="24"/>
          <w:szCs w:val="24"/>
        </w:rPr>
      </w:pPr>
      <w:r w:rsidRPr="00C3489C">
        <w:rPr>
          <w:rFonts w:ascii="Palatino Linotype" w:hAnsi="Palatino Linotype" w:cs="Arial"/>
          <w:sz w:val="24"/>
          <w:szCs w:val="24"/>
        </w:rPr>
        <w:t xml:space="preserve">Inconforme con la respuesta notificada por </w:t>
      </w:r>
      <w:r w:rsidRPr="00C3489C">
        <w:rPr>
          <w:rFonts w:ascii="Palatino Linotype" w:hAnsi="Palatino Linotype" w:cs="Arial"/>
          <w:b/>
          <w:sz w:val="24"/>
          <w:szCs w:val="24"/>
        </w:rPr>
        <w:t xml:space="preserve">El Sujeto Obligado, </w:t>
      </w:r>
      <w:r w:rsidRPr="00C3489C">
        <w:rPr>
          <w:rFonts w:ascii="Palatino Linotype" w:hAnsi="Palatino Linotype" w:cs="Arial"/>
          <w:sz w:val="24"/>
          <w:szCs w:val="24"/>
        </w:rPr>
        <w:t>el</w:t>
      </w:r>
      <w:r w:rsidRPr="00C3489C">
        <w:rPr>
          <w:rFonts w:ascii="Palatino Linotype" w:hAnsi="Palatino Linotype" w:cs="Arial"/>
          <w:b/>
          <w:sz w:val="24"/>
          <w:szCs w:val="24"/>
        </w:rPr>
        <w:t xml:space="preserve"> Recurrente </w:t>
      </w:r>
      <w:r w:rsidRPr="00C3489C">
        <w:rPr>
          <w:rFonts w:ascii="Palatino Linotype" w:hAnsi="Palatino Linotype" w:cs="Arial"/>
          <w:sz w:val="24"/>
          <w:szCs w:val="24"/>
        </w:rPr>
        <w:t xml:space="preserve">interpuso recurso de revisión, en fecha </w:t>
      </w:r>
      <w:r w:rsidR="00BA222E" w:rsidRPr="00C3489C">
        <w:rPr>
          <w:rFonts w:ascii="Palatino Linotype" w:hAnsi="Palatino Linotype" w:cs="Arial"/>
          <w:b/>
          <w:sz w:val="24"/>
          <w:szCs w:val="24"/>
        </w:rPr>
        <w:t>siete de mayo</w:t>
      </w:r>
      <w:r w:rsidRPr="00C3489C">
        <w:rPr>
          <w:rFonts w:ascii="Palatino Linotype" w:hAnsi="Palatino Linotype" w:cs="Arial"/>
          <w:b/>
          <w:sz w:val="24"/>
          <w:szCs w:val="24"/>
        </w:rPr>
        <w:t xml:space="preserve"> de dos mil veintitrés</w:t>
      </w:r>
      <w:r w:rsidRPr="00C3489C">
        <w:rPr>
          <w:rFonts w:ascii="Palatino Linotype" w:hAnsi="Palatino Linotype" w:cs="Arial"/>
          <w:sz w:val="24"/>
          <w:szCs w:val="24"/>
        </w:rPr>
        <w:t xml:space="preserve">, el cual fue registrado en el sistema electrónico con el expediente número </w:t>
      </w:r>
      <w:r w:rsidRPr="00C3489C">
        <w:rPr>
          <w:rFonts w:ascii="Palatino Linotype" w:hAnsi="Palatino Linotype" w:cs="Arial"/>
          <w:b/>
          <w:sz w:val="24"/>
          <w:szCs w:val="24"/>
        </w:rPr>
        <w:t xml:space="preserve">02475/INFOEM/IP/RR/2023; </w:t>
      </w:r>
      <w:r w:rsidRPr="00C3489C">
        <w:rPr>
          <w:rFonts w:ascii="Palatino Linotype" w:hAnsi="Palatino Linotype" w:cs="Arial"/>
          <w:sz w:val="24"/>
          <w:szCs w:val="24"/>
        </w:rPr>
        <w:t>en los cuales arguye las siguientes manifestaciones:</w:t>
      </w:r>
    </w:p>
    <w:p w:rsidR="00F73A33" w:rsidRPr="00C3489C" w:rsidRDefault="00F73A33" w:rsidP="00F73A33">
      <w:pPr>
        <w:pStyle w:val="Prrafodelista"/>
        <w:numPr>
          <w:ilvl w:val="0"/>
          <w:numId w:val="1"/>
        </w:numPr>
        <w:spacing w:before="240" w:line="360" w:lineRule="auto"/>
        <w:ind w:left="142" w:hanging="11"/>
        <w:jc w:val="both"/>
        <w:rPr>
          <w:rFonts w:ascii="Palatino Linotype" w:hAnsi="Palatino Linotype" w:cs="Arial"/>
          <w:b/>
          <w:i/>
        </w:rPr>
      </w:pPr>
      <w:r w:rsidRPr="00C3489C">
        <w:rPr>
          <w:rFonts w:ascii="Palatino Linotype" w:hAnsi="Palatino Linotype" w:cs="Arial"/>
          <w:b/>
          <w:i/>
        </w:rPr>
        <w:t>Acto impugnado:</w:t>
      </w:r>
    </w:p>
    <w:p w:rsidR="00F73A33" w:rsidRPr="00C3489C" w:rsidRDefault="00F73A33" w:rsidP="00F73A33">
      <w:pPr>
        <w:spacing w:before="240" w:line="360" w:lineRule="auto"/>
        <w:ind w:left="284"/>
        <w:jc w:val="both"/>
        <w:rPr>
          <w:rFonts w:ascii="Palatino Linotype" w:hAnsi="Palatino Linotype" w:cs="Arial"/>
          <w:i/>
          <w:sz w:val="24"/>
          <w:szCs w:val="24"/>
        </w:rPr>
      </w:pPr>
      <w:r w:rsidRPr="00C3489C">
        <w:rPr>
          <w:rFonts w:ascii="Palatino Linotype" w:hAnsi="Palatino Linotype" w:cs="Arial"/>
          <w:i/>
          <w:sz w:val="24"/>
          <w:szCs w:val="24"/>
        </w:rPr>
        <w:t>“</w:t>
      </w:r>
      <w:r w:rsidR="00BA222E" w:rsidRPr="00C3489C">
        <w:rPr>
          <w:rFonts w:ascii="Palatino Linotype" w:hAnsi="Palatino Linotype" w:cs="Arial"/>
          <w:i/>
          <w:sz w:val="24"/>
          <w:szCs w:val="24"/>
        </w:rPr>
        <w:t>RESPUESTA A MI SOLICITUD 0182/NAUCAL/IP/2023</w:t>
      </w:r>
      <w:r w:rsidRPr="00C3489C">
        <w:rPr>
          <w:rFonts w:ascii="Palatino Linotype" w:hAnsi="Palatino Linotype" w:cs="Arial"/>
          <w:i/>
          <w:sz w:val="24"/>
          <w:szCs w:val="24"/>
        </w:rPr>
        <w:t>” (sic)</w:t>
      </w:r>
    </w:p>
    <w:p w:rsidR="00F73A33" w:rsidRPr="00C3489C" w:rsidRDefault="00F73A33" w:rsidP="00F73A33">
      <w:pPr>
        <w:pStyle w:val="Prrafodelista"/>
        <w:numPr>
          <w:ilvl w:val="0"/>
          <w:numId w:val="1"/>
        </w:numPr>
        <w:spacing w:before="240" w:line="360" w:lineRule="auto"/>
        <w:ind w:left="142" w:firstLine="0"/>
        <w:jc w:val="both"/>
        <w:rPr>
          <w:rFonts w:ascii="Palatino Linotype" w:hAnsi="Palatino Linotype" w:cs="Arial"/>
          <w:b/>
          <w:i/>
        </w:rPr>
      </w:pPr>
      <w:r w:rsidRPr="00C3489C">
        <w:rPr>
          <w:rFonts w:ascii="Palatino Linotype" w:hAnsi="Palatino Linotype" w:cs="Arial"/>
          <w:b/>
          <w:i/>
        </w:rPr>
        <w:t>Razones o motivos de inconformidad</w:t>
      </w:r>
    </w:p>
    <w:p w:rsidR="00F73A33" w:rsidRPr="00C3489C" w:rsidRDefault="00F73A33" w:rsidP="00F73A33">
      <w:pPr>
        <w:spacing w:before="240" w:line="360" w:lineRule="auto"/>
        <w:ind w:left="284"/>
        <w:jc w:val="both"/>
        <w:rPr>
          <w:rFonts w:ascii="Palatino Linotype" w:hAnsi="Palatino Linotype" w:cs="Arial"/>
          <w:i/>
          <w:sz w:val="24"/>
          <w:szCs w:val="24"/>
        </w:rPr>
      </w:pPr>
      <w:r w:rsidRPr="00C3489C">
        <w:rPr>
          <w:rFonts w:ascii="Palatino Linotype" w:hAnsi="Palatino Linotype" w:cs="Arial"/>
          <w:i/>
          <w:sz w:val="24"/>
          <w:szCs w:val="24"/>
        </w:rPr>
        <w:t>“</w:t>
      </w:r>
      <w:r w:rsidR="00BA222E" w:rsidRPr="00C3489C">
        <w:rPr>
          <w:rFonts w:ascii="Palatino Linotype" w:hAnsi="Palatino Linotype" w:cs="Arial"/>
          <w:i/>
          <w:sz w:val="24"/>
          <w:szCs w:val="24"/>
        </w:rPr>
        <w:t xml:space="preserve">ÚNICAMENTE RESPONDIERON PARCIALMENTE LA SECRETARÍA DEL AYUNTAMIENTO Y LA SUBDIRECCIÓN DE PATRIMONIO MUNICIPAL NO ME RESPONDIERON RESPECTO A LA INFORMACIÓN SIGUIENTE: DIRECCIÓN GENERAL DE DESARROLLO URBANO: a) Licencia de Uso del Suelo N° DUS-LUS/0308/2015 de fecha 25 de Marzo de 2015 b) Oficio N° DGDU/318/2014 de fecha 17 de </w:t>
      </w:r>
      <w:r w:rsidR="00BA222E" w:rsidRPr="00C3489C">
        <w:rPr>
          <w:rFonts w:ascii="Palatino Linotype" w:hAnsi="Palatino Linotype" w:cs="Arial"/>
          <w:i/>
          <w:sz w:val="24"/>
          <w:szCs w:val="24"/>
        </w:rPr>
        <w:lastRenderedPageBreak/>
        <w:t>Enero de 2014 c) Oficio N° DGDU/8139/2014 de fecha 04 de Diciembre de 2014 d) Oficio N° DGDU/1868/2016 de fecha 02 de Mayo de 2016 e) Autorización de Cambio de Uso del Suelo N° CUS/015/2015 -SECRETARÍA DEL AYUNTAMIENTO</w:t>
      </w:r>
      <w:r w:rsidR="006C6256" w:rsidRPr="00C3489C">
        <w:rPr>
          <w:rFonts w:ascii="Palatino Linotype" w:hAnsi="Palatino Linotype" w:cs="Arial"/>
          <w:i/>
          <w:sz w:val="24"/>
          <w:szCs w:val="24"/>
        </w:rPr>
        <w:t>.</w:t>
      </w:r>
      <w:r w:rsidRPr="00C3489C">
        <w:rPr>
          <w:rFonts w:ascii="Palatino Linotype" w:hAnsi="Palatino Linotype" w:cs="Arial"/>
          <w:i/>
          <w:sz w:val="24"/>
          <w:szCs w:val="24"/>
        </w:rPr>
        <w:t>” (Sic)</w:t>
      </w:r>
    </w:p>
    <w:p w:rsidR="00F73A33" w:rsidRPr="00C3489C" w:rsidRDefault="00F73A33" w:rsidP="00615395">
      <w:pPr>
        <w:spacing w:after="0" w:line="360" w:lineRule="auto"/>
        <w:jc w:val="right"/>
        <w:rPr>
          <w:rFonts w:ascii="Palatino Linotype" w:hAnsi="Palatino Linotype" w:cs="Arial"/>
          <w:sz w:val="24"/>
          <w:szCs w:val="24"/>
        </w:rPr>
      </w:pPr>
    </w:p>
    <w:p w:rsidR="00F73A33" w:rsidRPr="00C3489C" w:rsidRDefault="00BA222E" w:rsidP="00F73A33">
      <w:pPr>
        <w:spacing w:before="240" w:line="360" w:lineRule="auto"/>
        <w:jc w:val="both"/>
        <w:rPr>
          <w:rFonts w:ascii="Palatino Linotype" w:hAnsi="Palatino Linotype" w:cs="Arial"/>
          <w:b/>
          <w:sz w:val="24"/>
          <w:szCs w:val="24"/>
        </w:rPr>
      </w:pPr>
      <w:r w:rsidRPr="00C3489C">
        <w:rPr>
          <w:rFonts w:ascii="Palatino Linotype" w:hAnsi="Palatino Linotype" w:cs="Arial"/>
          <w:b/>
          <w:sz w:val="28"/>
        </w:rPr>
        <w:t>QUINTO</w:t>
      </w:r>
      <w:r w:rsidR="00F73A33" w:rsidRPr="00C3489C">
        <w:rPr>
          <w:rFonts w:ascii="Palatino Linotype" w:hAnsi="Palatino Linotype" w:cs="Arial"/>
          <w:b/>
          <w:sz w:val="24"/>
          <w:szCs w:val="24"/>
        </w:rPr>
        <w:t xml:space="preserve">. </w:t>
      </w:r>
      <w:r w:rsidR="00F73A33" w:rsidRPr="00C3489C">
        <w:rPr>
          <w:rFonts w:ascii="Palatino Linotype" w:hAnsi="Palatino Linotype" w:cs="Arial"/>
          <w:b/>
          <w:sz w:val="28"/>
          <w:szCs w:val="28"/>
        </w:rPr>
        <w:t>Del turno y admisión del recurso de revisión.</w:t>
      </w:r>
    </w:p>
    <w:p w:rsidR="00F73A33" w:rsidRPr="00C3489C" w:rsidRDefault="00F73A33" w:rsidP="00F73A33">
      <w:pPr>
        <w:spacing w:before="240" w:line="360" w:lineRule="auto"/>
        <w:jc w:val="both"/>
        <w:rPr>
          <w:rFonts w:ascii="Palatino Linotype" w:hAnsi="Palatino Linotype" w:cs="Arial"/>
          <w:sz w:val="28"/>
          <w:szCs w:val="24"/>
        </w:rPr>
      </w:pPr>
      <w:r w:rsidRPr="00C3489C">
        <w:rPr>
          <w:rFonts w:ascii="Palatino Linotype" w:hAnsi="Palatino Linotype"/>
          <w:sz w:val="24"/>
        </w:rPr>
        <w:t xml:space="preserve">El medio de impugnación fue turnado al Comisionado Presidente </w:t>
      </w:r>
      <w:r w:rsidRPr="00C3489C">
        <w:rPr>
          <w:rFonts w:ascii="Palatino Linotype" w:hAnsi="Palatino Linotype"/>
          <w:b/>
          <w:sz w:val="24"/>
        </w:rPr>
        <w:t>José Martínez Vilchis,</w:t>
      </w:r>
      <w:r w:rsidRPr="00C3489C">
        <w:rPr>
          <w:rFonts w:ascii="Palatino Linotype" w:hAnsi="Palatino Linotype"/>
          <w:sz w:val="24"/>
        </w:rPr>
        <w:t xml:space="preserve"> por medio del sistema electrónico SAIMEX, en términos del artículo 185, fracción I, de la Ley de Transparencia y Acceso a la información Pública del Estado de México y Municipios, del cual recayó acuerdo de </w:t>
      </w:r>
      <w:r w:rsidRPr="00C3489C">
        <w:rPr>
          <w:rFonts w:ascii="Palatino Linotype" w:hAnsi="Palatino Linotype"/>
          <w:b/>
          <w:sz w:val="24"/>
        </w:rPr>
        <w:t>admisión</w:t>
      </w:r>
      <w:r w:rsidRPr="00C3489C">
        <w:rPr>
          <w:rFonts w:ascii="Palatino Linotype" w:hAnsi="Palatino Linotype"/>
          <w:sz w:val="24"/>
        </w:rPr>
        <w:t xml:space="preserve"> en fecha </w:t>
      </w:r>
      <w:r w:rsidR="00387288" w:rsidRPr="00C3489C">
        <w:rPr>
          <w:rFonts w:ascii="Palatino Linotype" w:hAnsi="Palatino Linotype"/>
          <w:b/>
          <w:sz w:val="24"/>
        </w:rPr>
        <w:t>diez de mayo</w:t>
      </w:r>
      <w:r w:rsidRPr="00C3489C">
        <w:rPr>
          <w:rFonts w:ascii="Palatino Linotype" w:hAnsi="Palatino Linotype"/>
          <w:b/>
          <w:sz w:val="24"/>
        </w:rPr>
        <w:t xml:space="preserve"> de dos mil veintitrés</w:t>
      </w:r>
      <w:r w:rsidRPr="00C3489C">
        <w:rPr>
          <w:rFonts w:ascii="Palatino Linotype" w:hAnsi="Palatino Linotype"/>
          <w:sz w:val="24"/>
        </w:rPr>
        <w:t>, determinándose en ellos, un plazo de siete días para que las partes manifestaran lo que a su derecho corresponda en términos del numeral ya citado.</w:t>
      </w:r>
    </w:p>
    <w:p w:rsidR="00F73A33" w:rsidRPr="00C3489C" w:rsidRDefault="00F73A33" w:rsidP="00F73A33">
      <w:pPr>
        <w:spacing w:before="240" w:line="360" w:lineRule="auto"/>
        <w:jc w:val="both"/>
        <w:rPr>
          <w:rFonts w:ascii="Palatino Linotype" w:hAnsi="Palatino Linotype" w:cs="Arial"/>
          <w:sz w:val="24"/>
          <w:szCs w:val="24"/>
        </w:rPr>
      </w:pPr>
    </w:p>
    <w:p w:rsidR="00F73A33" w:rsidRPr="00C3489C" w:rsidRDefault="00BA222E" w:rsidP="00F73A33">
      <w:pPr>
        <w:pStyle w:val="Prrafodelista"/>
        <w:spacing w:line="360" w:lineRule="auto"/>
        <w:ind w:left="0"/>
        <w:jc w:val="both"/>
        <w:rPr>
          <w:rFonts w:ascii="Palatino Linotype" w:hAnsi="Palatino Linotype" w:cs="Arial"/>
          <w:b/>
          <w:sz w:val="28"/>
          <w:szCs w:val="28"/>
        </w:rPr>
      </w:pPr>
      <w:r w:rsidRPr="00C3489C">
        <w:rPr>
          <w:rFonts w:ascii="Palatino Linotype" w:hAnsi="Palatino Linotype" w:cs="Arial"/>
          <w:b/>
          <w:sz w:val="28"/>
        </w:rPr>
        <w:t>SEXTO</w:t>
      </w:r>
      <w:r w:rsidR="00F73A33" w:rsidRPr="00C3489C">
        <w:rPr>
          <w:rFonts w:ascii="Palatino Linotype" w:hAnsi="Palatino Linotype" w:cs="Arial"/>
          <w:b/>
          <w:sz w:val="28"/>
          <w:szCs w:val="28"/>
        </w:rPr>
        <w:t>. De la etapa de instrucción.</w:t>
      </w:r>
    </w:p>
    <w:p w:rsidR="00F73A33" w:rsidRPr="00C3489C" w:rsidRDefault="00F73A33" w:rsidP="00F73A33">
      <w:pPr>
        <w:spacing w:after="0" w:line="360" w:lineRule="auto"/>
        <w:jc w:val="both"/>
        <w:rPr>
          <w:rFonts w:ascii="Palatino Linotype" w:hAnsi="Palatino Linotype"/>
          <w:sz w:val="24"/>
          <w:szCs w:val="24"/>
        </w:rPr>
      </w:pPr>
      <w:r w:rsidRPr="00C3489C">
        <w:rPr>
          <w:rFonts w:ascii="Palatino Linotype" w:hAnsi="Palatino Linotype" w:cs="Arial"/>
          <w:sz w:val="24"/>
          <w:szCs w:val="24"/>
        </w:rPr>
        <w:t>De las constancias que obran en el expediente electrónico del SAIMEX, se advierte que el Sujeto Obligado fue omiso al rendir su informe justificado. De igual manera, se advierte que el Recurrente</w:t>
      </w:r>
      <w:r w:rsidRPr="00C3489C">
        <w:rPr>
          <w:rFonts w:ascii="Palatino Linotype" w:hAnsi="Palatino Linotype" w:cs="Arial"/>
          <w:b/>
          <w:sz w:val="24"/>
          <w:szCs w:val="24"/>
        </w:rPr>
        <w:t>,</w:t>
      </w:r>
      <w:r w:rsidRPr="00C3489C">
        <w:rPr>
          <w:rFonts w:ascii="Palatino Linotype" w:hAnsi="Palatino Linotype" w:cs="Arial"/>
          <w:sz w:val="24"/>
          <w:szCs w:val="24"/>
        </w:rPr>
        <w:t xml:space="preserve"> omitió rendir dentro del término de Ley, las manifestaciones que a sus intereses conviniera.</w:t>
      </w:r>
    </w:p>
    <w:p w:rsidR="00F73A33" w:rsidRPr="00C3489C" w:rsidRDefault="00F73A33" w:rsidP="00F73A33">
      <w:pPr>
        <w:spacing w:after="0" w:line="360" w:lineRule="auto"/>
        <w:jc w:val="both"/>
        <w:rPr>
          <w:rFonts w:ascii="Palatino Linotype" w:hAnsi="Palatino Linotype" w:cs="Arial"/>
          <w:sz w:val="24"/>
          <w:szCs w:val="24"/>
        </w:rPr>
      </w:pPr>
    </w:p>
    <w:p w:rsidR="00F73A33" w:rsidRPr="00C3489C" w:rsidRDefault="00F73A33" w:rsidP="00F73A33">
      <w:pPr>
        <w:spacing w:after="0" w:line="360" w:lineRule="auto"/>
        <w:jc w:val="both"/>
        <w:rPr>
          <w:rFonts w:ascii="Palatino Linotype" w:hAnsi="Palatino Linotype" w:cs="Arial"/>
          <w:sz w:val="24"/>
          <w:szCs w:val="24"/>
        </w:rPr>
      </w:pPr>
      <w:r w:rsidRPr="00C3489C">
        <w:rPr>
          <w:rFonts w:ascii="Palatino Linotype" w:hAnsi="Palatino Linotype" w:cs="Arial"/>
          <w:sz w:val="24"/>
          <w:szCs w:val="24"/>
        </w:rPr>
        <w:t xml:space="preserve">Por lo que al no existir prueba alguna o diligencia que desahogar en el expediente citado al rubro, el Comisionado Ponente acordó el cierre de instrucción, así como la remisión del mismo a efecto de ser resuelto, de conformidad con lo establecido en el </w:t>
      </w:r>
      <w:r w:rsidRPr="00C3489C">
        <w:rPr>
          <w:rFonts w:ascii="Palatino Linotype" w:hAnsi="Palatino Linotype" w:cs="Arial"/>
          <w:sz w:val="24"/>
          <w:szCs w:val="24"/>
        </w:rPr>
        <w:lastRenderedPageBreak/>
        <w:t>artículo 185 fracciones VI y VIII de la Ley de Transparencia y Acceso a la Información Pública del Estado de México y Municipios.</w:t>
      </w:r>
    </w:p>
    <w:p w:rsidR="00F73A33" w:rsidRPr="00C3489C" w:rsidRDefault="00F73A33" w:rsidP="00F73A33">
      <w:pPr>
        <w:spacing w:after="0" w:line="360" w:lineRule="auto"/>
        <w:jc w:val="both"/>
        <w:rPr>
          <w:rFonts w:ascii="Palatino Linotype" w:hAnsi="Palatino Linotype" w:cs="Arial"/>
          <w:b/>
          <w:sz w:val="28"/>
          <w:szCs w:val="28"/>
        </w:rPr>
      </w:pPr>
    </w:p>
    <w:p w:rsidR="00F73A33" w:rsidRPr="00C3489C" w:rsidRDefault="00BA222E" w:rsidP="00F73A33">
      <w:pPr>
        <w:spacing w:after="0" w:line="360" w:lineRule="auto"/>
        <w:jc w:val="both"/>
        <w:rPr>
          <w:rFonts w:ascii="Palatino Linotype" w:hAnsi="Palatino Linotype" w:cs="Arial"/>
          <w:b/>
          <w:sz w:val="28"/>
          <w:szCs w:val="28"/>
        </w:rPr>
      </w:pPr>
      <w:r w:rsidRPr="00C3489C">
        <w:rPr>
          <w:rFonts w:ascii="Palatino Linotype" w:hAnsi="Palatino Linotype" w:cs="Arial"/>
          <w:b/>
          <w:sz w:val="28"/>
          <w:szCs w:val="28"/>
        </w:rPr>
        <w:t>SÉPTIMO</w:t>
      </w:r>
      <w:r w:rsidR="00F73A33" w:rsidRPr="00C3489C">
        <w:rPr>
          <w:rFonts w:ascii="Palatino Linotype" w:hAnsi="Palatino Linotype" w:cs="Arial"/>
          <w:b/>
          <w:sz w:val="28"/>
          <w:szCs w:val="28"/>
        </w:rPr>
        <w:t>. Del Cierre de Instrucción.</w:t>
      </w:r>
    </w:p>
    <w:p w:rsidR="00F73A33" w:rsidRPr="00C3489C" w:rsidRDefault="00F73A33" w:rsidP="00F73A33">
      <w:pPr>
        <w:spacing w:after="0" w:line="360" w:lineRule="auto"/>
        <w:jc w:val="both"/>
        <w:rPr>
          <w:rFonts w:ascii="Palatino Linotype" w:hAnsi="Palatino Linotype" w:cs="Arial"/>
          <w:sz w:val="24"/>
          <w:szCs w:val="24"/>
        </w:rPr>
      </w:pPr>
      <w:r w:rsidRPr="00C3489C">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387288" w:rsidRPr="00C3489C">
        <w:rPr>
          <w:rFonts w:ascii="Palatino Linotype" w:hAnsi="Palatino Linotype" w:cs="Arial"/>
          <w:b/>
          <w:sz w:val="24"/>
          <w:szCs w:val="24"/>
        </w:rPr>
        <w:t>veintiséis de mayo</w:t>
      </w:r>
      <w:r w:rsidRPr="00C3489C">
        <w:rPr>
          <w:rFonts w:ascii="Palatino Linotype" w:hAnsi="Palatino Linotype" w:cs="Arial"/>
          <w:b/>
          <w:sz w:val="24"/>
          <w:szCs w:val="24"/>
        </w:rPr>
        <w:t xml:space="preserve"> de dos mil veintitrés</w:t>
      </w:r>
      <w:r w:rsidRPr="00C3489C">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rsidR="00387288" w:rsidRPr="00C3489C" w:rsidRDefault="00387288" w:rsidP="00F73A33">
      <w:pPr>
        <w:spacing w:after="0" w:line="360" w:lineRule="auto"/>
        <w:jc w:val="both"/>
        <w:rPr>
          <w:rFonts w:ascii="Palatino Linotype" w:hAnsi="Palatino Linotype" w:cs="Arial"/>
          <w:sz w:val="24"/>
          <w:szCs w:val="24"/>
        </w:rPr>
      </w:pPr>
    </w:p>
    <w:p w:rsidR="00387288" w:rsidRPr="00C3489C" w:rsidRDefault="00387288" w:rsidP="00387288">
      <w:pPr>
        <w:spacing w:line="360" w:lineRule="auto"/>
        <w:jc w:val="both"/>
        <w:rPr>
          <w:rFonts w:ascii="Palatino Linotype" w:eastAsia="Calibri" w:hAnsi="Palatino Linotype" w:cs="Arial"/>
          <w:b/>
          <w:sz w:val="28"/>
          <w:lang w:val="es-ES_tradnl"/>
        </w:rPr>
      </w:pPr>
      <w:r w:rsidRPr="00C3489C">
        <w:rPr>
          <w:rFonts w:ascii="Palatino Linotype" w:hAnsi="Palatino Linotype" w:cs="Arial"/>
          <w:b/>
          <w:sz w:val="28"/>
          <w:szCs w:val="28"/>
        </w:rPr>
        <w:t xml:space="preserve">OCTAVO. </w:t>
      </w:r>
      <w:r w:rsidRPr="00C3489C">
        <w:rPr>
          <w:rFonts w:ascii="Palatino Linotype" w:eastAsia="Calibri" w:hAnsi="Palatino Linotype" w:cs="Arial"/>
          <w:b/>
          <w:sz w:val="28"/>
          <w:lang w:val="es-ES_tradnl"/>
        </w:rPr>
        <w:t>De la ampliación del término para resolver.</w:t>
      </w:r>
    </w:p>
    <w:p w:rsidR="00387288" w:rsidRPr="00C3489C" w:rsidRDefault="00387288" w:rsidP="00387288">
      <w:pPr>
        <w:spacing w:line="360" w:lineRule="auto"/>
        <w:jc w:val="both"/>
        <w:rPr>
          <w:rFonts w:ascii="Palatino Linotype" w:eastAsia="Calibri" w:hAnsi="Palatino Linotype" w:cs="Arial"/>
          <w:sz w:val="24"/>
          <w:lang w:val="es-ES_tradnl"/>
        </w:rPr>
      </w:pPr>
      <w:r w:rsidRPr="00C3489C">
        <w:rPr>
          <w:rFonts w:ascii="Palatino Linotype" w:eastAsia="Calibri" w:hAnsi="Palatino Linotype" w:cs="Arial"/>
          <w:sz w:val="24"/>
          <w:lang w:val="es-ES_tradnl"/>
        </w:rPr>
        <w:t xml:space="preserve">En fecha </w:t>
      </w:r>
      <w:r w:rsidR="00B81E32" w:rsidRPr="00C3489C">
        <w:rPr>
          <w:rFonts w:ascii="Palatino Linotype" w:eastAsia="Calibri" w:hAnsi="Palatino Linotype" w:cs="Arial"/>
          <w:b/>
          <w:sz w:val="24"/>
          <w:lang w:val="es-ES_tradnl"/>
        </w:rPr>
        <w:t>veintiuno</w:t>
      </w:r>
      <w:r w:rsidRPr="00C3489C">
        <w:rPr>
          <w:rFonts w:ascii="Palatino Linotype" w:eastAsia="Calibri" w:hAnsi="Palatino Linotype" w:cs="Arial"/>
          <w:b/>
          <w:sz w:val="24"/>
          <w:lang w:val="es-ES_tradnl"/>
        </w:rPr>
        <w:t xml:space="preserve"> de</w:t>
      </w:r>
      <w:r w:rsidRPr="00C3489C">
        <w:rPr>
          <w:rFonts w:ascii="Palatino Linotype" w:eastAsia="Calibri" w:hAnsi="Palatino Linotype" w:cs="Arial"/>
          <w:sz w:val="24"/>
          <w:lang w:val="es-ES_tradnl"/>
        </w:rPr>
        <w:t xml:space="preserve"> </w:t>
      </w:r>
      <w:r w:rsidRPr="00C3489C">
        <w:rPr>
          <w:rFonts w:ascii="Palatino Linotype" w:eastAsia="Calibri" w:hAnsi="Palatino Linotype" w:cs="Arial"/>
          <w:b/>
          <w:sz w:val="24"/>
          <w:lang w:val="es-ES_tradnl"/>
        </w:rPr>
        <w:t>junio</w:t>
      </w:r>
      <w:r w:rsidRPr="00C3489C">
        <w:rPr>
          <w:rFonts w:ascii="Palatino Linotype" w:eastAsia="Calibri" w:hAnsi="Palatino Linotype" w:cs="Arial"/>
          <w:sz w:val="24"/>
          <w:lang w:val="es-ES_tradnl"/>
        </w:rPr>
        <w:t xml:space="preserve"> </w:t>
      </w:r>
      <w:r w:rsidRPr="00C3489C">
        <w:rPr>
          <w:rFonts w:ascii="Palatino Linotype" w:eastAsia="Calibri" w:hAnsi="Palatino Linotype" w:cs="Arial"/>
          <w:b/>
          <w:sz w:val="24"/>
          <w:lang w:val="es-ES_tradnl"/>
        </w:rPr>
        <w:t>de dos mil veintitrés</w:t>
      </w:r>
      <w:r w:rsidRPr="00C3489C">
        <w:rPr>
          <w:rFonts w:ascii="Palatino Linotype" w:eastAsia="Calibri" w:hAnsi="Palatino Linotype" w:cs="Arial"/>
          <w:sz w:val="24"/>
          <w:lang w:val="es-ES_tradnl"/>
        </w:rPr>
        <w:t>, se amplió el término para resolver el recurso de revisión en términos del artículo 181 párrafo tercero de la Ley de Transparencia y Acceso a la Información Pública del Estado de México y Municipios por un plazo de quince días hábiles.</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Este organismo garante no pasa por alto justificar, </w:t>
      </w:r>
      <w:r w:rsidRPr="00C3489C">
        <w:rPr>
          <w:rFonts w:ascii="Palatino Linotype" w:hAnsi="Palatino Linotype"/>
          <w:bCs/>
          <w:sz w:val="24"/>
          <w:szCs w:val="24"/>
          <w:lang w:val="es-ES_tradnl"/>
        </w:rPr>
        <w:t xml:space="preserve">que el plazo para emitir resolución en el presente asunto </w:t>
      </w:r>
      <w:r w:rsidRPr="00C3489C">
        <w:rPr>
          <w:rFonts w:ascii="Palatino Linotype" w:hAnsi="Palatino Linotype"/>
          <w:sz w:val="24"/>
          <w:szCs w:val="24"/>
          <w:lang w:val="es-ES_tradnl"/>
        </w:rPr>
        <w:t xml:space="preserve">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C3489C">
        <w:rPr>
          <w:rFonts w:ascii="Palatino Linotype" w:hAnsi="Palatino Linotype"/>
          <w:sz w:val="24"/>
          <w:szCs w:val="24"/>
          <w:lang w:val="es-ES_tradnl"/>
        </w:rPr>
        <w:lastRenderedPageBreak/>
        <w:t>técnicas y humanas del personal encargado de la proyección de las resoluciones a dichos medios de impugnación.</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 </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Por ello, es menester precisar que, si bien se ha excedido el plazo para resolver el presente medio de impugnación, de conformidad con la ley de la materia, </w:t>
      </w:r>
      <w:r w:rsidRPr="00C3489C">
        <w:rPr>
          <w:rFonts w:ascii="Palatino Linotype" w:hAnsi="Palatino Linotype"/>
          <w:bCs/>
          <w:sz w:val="24"/>
          <w:szCs w:val="24"/>
          <w:lang w:val="es-ES_tradnl"/>
        </w:rPr>
        <w:t>el plazo para emitir resolución</w:t>
      </w:r>
      <w:r w:rsidRPr="00C3489C">
        <w:rPr>
          <w:rFonts w:ascii="Palatino Linotype" w:hAnsi="Palatino Linotype"/>
          <w:sz w:val="24"/>
          <w:szCs w:val="24"/>
          <w:lang w:val="es-ES_tradnl"/>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 </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 </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 </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b/>
          <w:sz w:val="24"/>
          <w:szCs w:val="24"/>
          <w:lang w:val="es-ES_tradnl"/>
        </w:rPr>
        <w:t>Complejidad del asunto:</w:t>
      </w:r>
      <w:r w:rsidRPr="00C3489C">
        <w:rPr>
          <w:rFonts w:ascii="Palatino Linotype" w:hAnsi="Palatino Linotype"/>
          <w:sz w:val="24"/>
          <w:szCs w:val="24"/>
          <w:lang w:val="es-ES_tradnl"/>
        </w:rPr>
        <w:t xml:space="preserve"> La complejidad de la prueba, la pluralidad de sujetos procesales, el tiempo transcurrido, las características y contexto del recurso.</w:t>
      </w:r>
    </w:p>
    <w:p w:rsidR="00387288" w:rsidRPr="00C3489C" w:rsidRDefault="00387288" w:rsidP="00387288">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b/>
          <w:sz w:val="24"/>
          <w:szCs w:val="24"/>
          <w:lang w:val="es-ES_tradnl"/>
        </w:rPr>
        <w:t>Actividad Procesal del interesado:</w:t>
      </w:r>
      <w:r w:rsidRPr="00C3489C">
        <w:rPr>
          <w:rFonts w:ascii="Palatino Linotype" w:hAnsi="Palatino Linotype"/>
          <w:sz w:val="24"/>
          <w:szCs w:val="24"/>
          <w:lang w:val="es-ES_tradnl"/>
        </w:rPr>
        <w:t xml:space="preserve"> Acciones u omisiones del interesado.</w:t>
      </w:r>
    </w:p>
    <w:p w:rsidR="00387288" w:rsidRPr="00C3489C" w:rsidRDefault="00387288" w:rsidP="00387288">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b/>
          <w:sz w:val="24"/>
          <w:szCs w:val="24"/>
          <w:lang w:val="es-ES_tradnl"/>
        </w:rPr>
        <w:t>Conducta de la Autoridad:</w:t>
      </w:r>
      <w:r w:rsidRPr="00C3489C">
        <w:rPr>
          <w:rFonts w:ascii="Palatino Linotype" w:hAnsi="Palatino Linotype"/>
          <w:sz w:val="24"/>
          <w:szCs w:val="24"/>
          <w:lang w:val="es-ES_tradnl"/>
        </w:rPr>
        <w:t xml:space="preserve"> Las Acciones u omisiones realizadas en el procedimiento. Así como si la autoridad actuó con la debida diligencia.</w:t>
      </w:r>
    </w:p>
    <w:p w:rsidR="00387288" w:rsidRPr="00C3489C" w:rsidRDefault="00387288" w:rsidP="00387288">
      <w:pPr>
        <w:numPr>
          <w:ilvl w:val="0"/>
          <w:numId w:val="6"/>
        </w:num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b/>
          <w:sz w:val="24"/>
          <w:szCs w:val="24"/>
          <w:lang w:val="es-ES_tradnl"/>
        </w:rPr>
        <w:t>La afectación generada en la situación jurídica de la persona involucrada en el proceso:</w:t>
      </w:r>
      <w:r w:rsidRPr="00C3489C">
        <w:rPr>
          <w:rFonts w:ascii="Palatino Linotype" w:hAnsi="Palatino Linotype"/>
          <w:sz w:val="24"/>
          <w:szCs w:val="24"/>
          <w:lang w:val="es-ES_tradnl"/>
        </w:rPr>
        <w:t xml:space="preserve"> Violación a sus derechos humanos.</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Al respecto, también son de considerar los criterios sostenidos por el Cuarto Tribunal Colegiado en Materia Administrativa del Primer Circuito, cuyos rubros y datos de identificación son los siguientes:</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w:t>
      </w:r>
      <w:r w:rsidRPr="00C3489C">
        <w:rPr>
          <w:rFonts w:ascii="Palatino Linotype" w:hAnsi="Palatino Linotype"/>
          <w:b/>
          <w:sz w:val="24"/>
          <w:szCs w:val="24"/>
          <w:lang w:val="es-ES_tradnl"/>
        </w:rPr>
        <w:t>PLAZO RAZONABLE PARA RESOLVER. DIMENSIÓN Y EFECTOS DE ESTE CONCEPTO CUANDO SE ADUCE EXCESIVA CARGA DE TRABAJO.”</w:t>
      </w:r>
      <w:r w:rsidRPr="00C3489C">
        <w:rPr>
          <w:rFonts w:ascii="Palatino Linotype" w:hAnsi="Palatino Linotype"/>
          <w:sz w:val="24"/>
          <w:szCs w:val="24"/>
          <w:lang w:val="es-ES_tradnl"/>
        </w:rPr>
        <w:t xml:space="preserve"> consultable en el Seminario Judicial de la Federación y su gaceta, con el registro digital 2002351.</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sz w:val="24"/>
          <w:szCs w:val="24"/>
          <w:lang w:val="es-ES_tradnl"/>
        </w:rPr>
        <w:t>“</w:t>
      </w:r>
      <w:r w:rsidRPr="00C3489C">
        <w:rPr>
          <w:rFonts w:ascii="Palatino Linotype" w:hAnsi="Palatino Linotype"/>
          <w:b/>
          <w:sz w:val="24"/>
          <w:szCs w:val="24"/>
          <w:lang w:val="es-ES_tradnl"/>
        </w:rPr>
        <w:t xml:space="preserve">PLAZO RAZONABLE PARA RESOLVER. CONCEPTO Y ELEMENTOS QUE LO INTEGRAN A LA LUZ DEL DERECHO INTERNACIONAL DE LOS DERECHOS </w:t>
      </w:r>
      <w:r w:rsidRPr="00C3489C">
        <w:rPr>
          <w:rFonts w:ascii="Palatino Linotype" w:hAnsi="Palatino Linotype"/>
          <w:b/>
          <w:sz w:val="24"/>
          <w:szCs w:val="24"/>
          <w:lang w:val="es-ES_tradnl"/>
        </w:rPr>
        <w:lastRenderedPageBreak/>
        <w:t>HUMANOS.”,</w:t>
      </w:r>
      <w:r w:rsidRPr="00C3489C">
        <w:rPr>
          <w:rFonts w:ascii="Palatino Linotype" w:hAnsi="Palatino Linotype"/>
          <w:sz w:val="24"/>
          <w:szCs w:val="24"/>
          <w:lang w:val="es-ES_tradnl"/>
        </w:rPr>
        <w:t xml:space="preserve"> visible en el Seminario Judicial de la Federación y su gaceta, con el registro digital 2002350.</w:t>
      </w: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p>
    <w:p w:rsidR="00387288" w:rsidRPr="00C3489C" w:rsidRDefault="00387288" w:rsidP="00387288">
      <w:pPr>
        <w:pBdr>
          <w:top w:val="nil"/>
          <w:left w:val="nil"/>
          <w:bottom w:val="nil"/>
          <w:right w:val="nil"/>
          <w:between w:val="nil"/>
        </w:pBdr>
        <w:spacing w:after="0" w:line="360" w:lineRule="auto"/>
        <w:contextualSpacing/>
        <w:jc w:val="both"/>
        <w:rPr>
          <w:rFonts w:ascii="Palatino Linotype" w:hAnsi="Palatino Linotype"/>
          <w:sz w:val="24"/>
          <w:szCs w:val="24"/>
          <w:lang w:val="es-ES_tradnl"/>
        </w:rPr>
      </w:pPr>
      <w:r w:rsidRPr="00C3489C">
        <w:rPr>
          <w:rFonts w:ascii="Palatino Linotype" w:hAnsi="Palatino Linotype"/>
          <w:bCs/>
          <w:sz w:val="24"/>
          <w:szCs w:val="24"/>
          <w:lang w:val="es-ES_tradnl"/>
        </w:rPr>
        <w:t>Por ello, este organismo garante comprometido con la tutela de los derechos humanos confiados señala que este exceso del plazo legal para resolver el presente asunto resulta de carácter excepcional.</w:t>
      </w:r>
    </w:p>
    <w:p w:rsidR="00387288" w:rsidRPr="00C3489C" w:rsidRDefault="00387288" w:rsidP="00F73A33">
      <w:pPr>
        <w:spacing w:after="0" w:line="360" w:lineRule="auto"/>
        <w:jc w:val="both"/>
        <w:rPr>
          <w:rFonts w:ascii="Palatino Linotype" w:hAnsi="Palatino Linotype" w:cs="Arial"/>
          <w:sz w:val="24"/>
          <w:szCs w:val="24"/>
        </w:rPr>
      </w:pPr>
    </w:p>
    <w:p w:rsidR="00F73A33" w:rsidRPr="00C3489C" w:rsidRDefault="00F73A33" w:rsidP="00F73A33">
      <w:pPr>
        <w:spacing w:before="240" w:line="360" w:lineRule="auto"/>
        <w:rPr>
          <w:rFonts w:ascii="Palatino Linotype" w:hAnsi="Palatino Linotype" w:cs="Arial"/>
          <w:b/>
          <w:sz w:val="28"/>
          <w:szCs w:val="28"/>
        </w:rPr>
      </w:pPr>
    </w:p>
    <w:p w:rsidR="00F73A33" w:rsidRPr="00C3489C" w:rsidRDefault="00F73A33" w:rsidP="00F73A33">
      <w:pPr>
        <w:spacing w:before="240" w:line="360" w:lineRule="auto"/>
        <w:jc w:val="center"/>
        <w:rPr>
          <w:rFonts w:ascii="Palatino Linotype" w:hAnsi="Palatino Linotype" w:cs="Arial"/>
          <w:b/>
          <w:sz w:val="28"/>
        </w:rPr>
      </w:pPr>
      <w:r w:rsidRPr="00C3489C">
        <w:rPr>
          <w:rFonts w:ascii="Palatino Linotype" w:hAnsi="Palatino Linotype" w:cs="Arial"/>
          <w:b/>
          <w:sz w:val="28"/>
        </w:rPr>
        <w:t xml:space="preserve">C O N S I D E R A N D O </w:t>
      </w:r>
    </w:p>
    <w:p w:rsidR="00F73A33" w:rsidRPr="00C3489C" w:rsidRDefault="00F73A33" w:rsidP="00F73A33">
      <w:pPr>
        <w:spacing w:before="240" w:line="360" w:lineRule="auto"/>
        <w:jc w:val="both"/>
        <w:rPr>
          <w:rFonts w:ascii="Palatino Linotype" w:hAnsi="Palatino Linotype" w:cs="Arial"/>
          <w:sz w:val="28"/>
          <w:szCs w:val="28"/>
        </w:rPr>
      </w:pPr>
      <w:r w:rsidRPr="00C3489C">
        <w:rPr>
          <w:rFonts w:ascii="Palatino Linotype" w:hAnsi="Palatino Linotype" w:cs="Arial"/>
          <w:b/>
          <w:sz w:val="28"/>
        </w:rPr>
        <w:t>PRIMERO.</w:t>
      </w:r>
      <w:r w:rsidRPr="00C3489C">
        <w:rPr>
          <w:rFonts w:ascii="Palatino Linotype" w:hAnsi="Palatino Linotype" w:cs="Arial"/>
          <w:b/>
        </w:rPr>
        <w:t xml:space="preserve"> </w:t>
      </w:r>
      <w:r w:rsidRPr="00C3489C">
        <w:rPr>
          <w:rFonts w:ascii="Palatino Linotype" w:hAnsi="Palatino Linotype" w:cs="Arial"/>
          <w:b/>
          <w:sz w:val="28"/>
          <w:szCs w:val="28"/>
        </w:rPr>
        <w:t>De la competencia</w:t>
      </w:r>
      <w:r w:rsidRPr="00C3489C">
        <w:rPr>
          <w:rFonts w:ascii="Palatino Linotype" w:hAnsi="Palatino Linotype" w:cs="Arial"/>
          <w:sz w:val="28"/>
          <w:szCs w:val="28"/>
        </w:rPr>
        <w:t>.</w:t>
      </w:r>
    </w:p>
    <w:p w:rsidR="00F73A33" w:rsidRPr="00C3489C" w:rsidRDefault="00F73A33" w:rsidP="00F73A33">
      <w:pPr>
        <w:spacing w:before="240" w:line="360" w:lineRule="auto"/>
        <w:jc w:val="both"/>
        <w:rPr>
          <w:rFonts w:ascii="Palatino Linotype" w:eastAsia="Calibri" w:hAnsi="Palatino Linotype" w:cs="Arial"/>
          <w:color w:val="000000" w:themeColor="text1"/>
          <w:sz w:val="24"/>
          <w:szCs w:val="24"/>
        </w:rPr>
      </w:pPr>
      <w:r w:rsidRPr="00C3489C">
        <w:rPr>
          <w:rFonts w:ascii="Palatino Linotype" w:hAnsi="Palatino Linotype" w:cs="Arial"/>
          <w:sz w:val="24"/>
          <w:szCs w:val="24"/>
          <w:lang w:val="es-ES"/>
        </w:rPr>
        <w:t>Este Instituto de Transparencia, Acceso a la Información Pública y Protección de Datos Personales del Estado de México, es competente para conocer y resolver el presente recurso de revisión interpuesto por la parte recurrente</w:t>
      </w:r>
      <w:r w:rsidRPr="00C3489C">
        <w:rPr>
          <w:rFonts w:ascii="Palatino Linotype" w:hAnsi="Palatino Linotype" w:cs="Arial"/>
          <w:b/>
          <w:sz w:val="24"/>
          <w:szCs w:val="24"/>
          <w:lang w:val="es-ES"/>
        </w:rPr>
        <w:t xml:space="preserve"> </w:t>
      </w:r>
      <w:r w:rsidRPr="00C3489C">
        <w:rPr>
          <w:rFonts w:ascii="Palatino Linotype" w:hAnsi="Palatino Linotype" w:cs="Arial"/>
          <w:sz w:val="24"/>
          <w:szCs w:val="24"/>
          <w:lang w:val="es-ES"/>
        </w:rPr>
        <w:t xml:space="preserve">conforme a lo dispuesto en los artículos 1, párrafos segundo y tercero, </w:t>
      </w:r>
      <w:r w:rsidRPr="00C3489C">
        <w:rPr>
          <w:rFonts w:ascii="Palatino Linotype" w:eastAsia="Calibri" w:hAnsi="Palatino Linotype"/>
          <w:color w:val="000000" w:themeColor="text1"/>
          <w:sz w:val="24"/>
          <w:szCs w:val="24"/>
        </w:rPr>
        <w:t xml:space="preserve">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w:t>
      </w:r>
      <w:r w:rsidRPr="00C3489C">
        <w:rPr>
          <w:rFonts w:ascii="Palatino Linotype" w:eastAsia="Calibri" w:hAnsi="Palatino Linotype" w:cs="Arial"/>
          <w:color w:val="000000" w:themeColor="text1"/>
          <w:sz w:val="24"/>
          <w:szCs w:val="24"/>
        </w:rPr>
        <w:t xml:space="preserve">de la Ley de Transparencia y Acceso a la Información Pública del Estado de México y Municipios; y </w:t>
      </w:r>
      <w:r w:rsidRPr="00C3489C">
        <w:rPr>
          <w:rFonts w:ascii="Palatino Linotype" w:hAnsi="Palatino Linotype"/>
          <w:sz w:val="24"/>
        </w:rPr>
        <w:t>6, 9 fracciones I y XXIII</w:t>
      </w:r>
      <w:r w:rsidRPr="00C3489C">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rsidR="00F73A33" w:rsidRPr="00C3489C" w:rsidRDefault="00F73A33" w:rsidP="00F73A33">
      <w:pPr>
        <w:spacing w:before="240" w:line="360" w:lineRule="auto"/>
        <w:jc w:val="both"/>
        <w:rPr>
          <w:rFonts w:ascii="Palatino Linotype" w:eastAsia="Calibri" w:hAnsi="Palatino Linotype"/>
          <w:b/>
          <w:color w:val="000000" w:themeColor="text1"/>
          <w:sz w:val="24"/>
          <w:szCs w:val="24"/>
        </w:rPr>
      </w:pPr>
    </w:p>
    <w:p w:rsidR="00F73A33" w:rsidRPr="00C3489C" w:rsidRDefault="00F73A33" w:rsidP="00F73A33">
      <w:pPr>
        <w:pStyle w:val="Prrafodelista"/>
        <w:autoSpaceDE w:val="0"/>
        <w:autoSpaceDN w:val="0"/>
        <w:adjustRightInd w:val="0"/>
        <w:spacing w:before="240" w:after="160" w:line="360" w:lineRule="auto"/>
        <w:ind w:left="0"/>
        <w:jc w:val="both"/>
        <w:rPr>
          <w:rFonts w:ascii="Palatino Linotype" w:hAnsi="Palatino Linotype" w:cs="Arial"/>
          <w:b/>
        </w:rPr>
      </w:pPr>
      <w:r w:rsidRPr="00C3489C">
        <w:rPr>
          <w:rFonts w:ascii="Palatino Linotype" w:hAnsi="Palatino Linotype" w:cs="Arial"/>
          <w:b/>
          <w:sz w:val="28"/>
        </w:rPr>
        <w:t>SEGUNDO</w:t>
      </w:r>
      <w:r w:rsidRPr="00C3489C">
        <w:rPr>
          <w:rFonts w:ascii="Palatino Linotype" w:hAnsi="Palatino Linotype" w:cs="Arial"/>
          <w:b/>
        </w:rPr>
        <w:t xml:space="preserve">. </w:t>
      </w:r>
      <w:r w:rsidRPr="00C3489C">
        <w:rPr>
          <w:rFonts w:ascii="Palatino Linotype" w:hAnsi="Palatino Linotype" w:cs="Arial"/>
          <w:b/>
          <w:sz w:val="28"/>
          <w:szCs w:val="28"/>
        </w:rPr>
        <w:t>Sobre los alcances del recurso de revisión.</w:t>
      </w:r>
      <w:r w:rsidRPr="00C3489C">
        <w:rPr>
          <w:rFonts w:ascii="Palatino Linotype" w:hAnsi="Palatino Linotype" w:cs="Arial"/>
          <w:b/>
        </w:rPr>
        <w:t xml:space="preserve"> </w:t>
      </w:r>
    </w:p>
    <w:p w:rsidR="00F73A33" w:rsidRPr="00C3489C" w:rsidRDefault="00F73A33" w:rsidP="00F73A33">
      <w:pPr>
        <w:pStyle w:val="Prrafodelista"/>
        <w:autoSpaceDE w:val="0"/>
        <w:autoSpaceDN w:val="0"/>
        <w:adjustRightInd w:val="0"/>
        <w:spacing w:before="240" w:after="160" w:line="360" w:lineRule="auto"/>
        <w:ind w:left="0"/>
        <w:jc w:val="both"/>
        <w:rPr>
          <w:rFonts w:ascii="Palatino Linotype" w:hAnsi="Palatino Linotype" w:cs="Arial"/>
        </w:rPr>
      </w:pPr>
      <w:r w:rsidRPr="00C3489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81E32" w:rsidRPr="00C3489C" w:rsidRDefault="00B81E32" w:rsidP="00F73A33">
      <w:pPr>
        <w:pStyle w:val="Prrafodelista"/>
        <w:autoSpaceDE w:val="0"/>
        <w:autoSpaceDN w:val="0"/>
        <w:adjustRightInd w:val="0"/>
        <w:spacing w:before="240" w:after="160" w:line="360" w:lineRule="auto"/>
        <w:ind w:left="0"/>
        <w:jc w:val="both"/>
        <w:rPr>
          <w:rFonts w:ascii="Palatino Linotype" w:hAnsi="Palatino Linotype" w:cs="Arial"/>
          <w:b/>
          <w:sz w:val="28"/>
        </w:rPr>
      </w:pPr>
    </w:p>
    <w:p w:rsidR="00F73A33" w:rsidRPr="00C3489C" w:rsidRDefault="00F73A33" w:rsidP="00F73A33">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C3489C">
        <w:rPr>
          <w:rFonts w:ascii="Palatino Linotype" w:hAnsi="Palatino Linotype" w:cs="Arial"/>
          <w:b/>
          <w:sz w:val="28"/>
        </w:rPr>
        <w:t>TERCERO</w:t>
      </w:r>
      <w:r w:rsidRPr="00C3489C">
        <w:rPr>
          <w:rFonts w:ascii="Palatino Linotype" w:hAnsi="Palatino Linotype" w:cs="Arial"/>
          <w:b/>
        </w:rPr>
        <w:t xml:space="preserve">. </w:t>
      </w:r>
      <w:r w:rsidRPr="00C3489C">
        <w:rPr>
          <w:rFonts w:ascii="Palatino Linotype" w:hAnsi="Palatino Linotype" w:cs="Arial"/>
          <w:b/>
          <w:sz w:val="28"/>
          <w:szCs w:val="28"/>
        </w:rPr>
        <w:t>De las causas de improcedencia.</w:t>
      </w:r>
    </w:p>
    <w:p w:rsidR="00F73A33" w:rsidRPr="00C3489C" w:rsidRDefault="00F73A33" w:rsidP="00F73A33">
      <w:pPr>
        <w:pStyle w:val="Prrafodelista"/>
        <w:autoSpaceDE w:val="0"/>
        <w:autoSpaceDN w:val="0"/>
        <w:adjustRightInd w:val="0"/>
        <w:spacing w:before="240" w:after="160" w:line="360" w:lineRule="auto"/>
        <w:ind w:left="0"/>
        <w:jc w:val="both"/>
        <w:rPr>
          <w:rFonts w:ascii="Palatino Linotype" w:hAnsi="Palatino Linotype" w:cs="Arial"/>
        </w:rPr>
      </w:pPr>
      <w:r w:rsidRPr="00C3489C">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73A33" w:rsidRPr="00C3489C" w:rsidRDefault="00F73A33" w:rsidP="00F73A33">
      <w:pPr>
        <w:pStyle w:val="Prrafodelista"/>
        <w:autoSpaceDE w:val="0"/>
        <w:autoSpaceDN w:val="0"/>
        <w:adjustRightInd w:val="0"/>
        <w:spacing w:line="360" w:lineRule="auto"/>
        <w:ind w:left="0"/>
        <w:jc w:val="both"/>
        <w:rPr>
          <w:rFonts w:ascii="Palatino Linotype" w:hAnsi="Palatino Linotype" w:cs="Arial"/>
        </w:rPr>
      </w:pPr>
      <w:r w:rsidRPr="00C3489C">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C3489C">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3489C">
        <w:rPr>
          <w:rStyle w:val="Refdenotaalpie"/>
          <w:rFonts w:ascii="Palatino Linotype" w:hAnsi="Palatino Linotype" w:cs="Arial"/>
        </w:rPr>
        <w:footnoteReference w:id="1"/>
      </w:r>
      <w:r w:rsidRPr="00C3489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F73A33" w:rsidRPr="00C3489C" w:rsidRDefault="00F73A33" w:rsidP="00F73A33">
      <w:pPr>
        <w:tabs>
          <w:tab w:val="left" w:pos="709"/>
        </w:tabs>
        <w:spacing w:before="240" w:line="360" w:lineRule="auto"/>
        <w:ind w:right="51"/>
        <w:jc w:val="both"/>
        <w:rPr>
          <w:rFonts w:ascii="Palatino Linotype" w:hAnsi="Palatino Linotype"/>
          <w:b/>
          <w:sz w:val="28"/>
          <w:szCs w:val="28"/>
        </w:rPr>
      </w:pPr>
    </w:p>
    <w:p w:rsidR="00F73A33" w:rsidRPr="00C3489C" w:rsidRDefault="00F73A33" w:rsidP="00F73A33">
      <w:pPr>
        <w:tabs>
          <w:tab w:val="left" w:pos="709"/>
        </w:tabs>
        <w:spacing w:before="240" w:line="360" w:lineRule="auto"/>
        <w:ind w:right="51"/>
        <w:jc w:val="both"/>
        <w:rPr>
          <w:rFonts w:ascii="Palatino Linotype" w:hAnsi="Palatino Linotype"/>
          <w:b/>
          <w:sz w:val="28"/>
          <w:szCs w:val="28"/>
        </w:rPr>
      </w:pPr>
      <w:r w:rsidRPr="00C3489C">
        <w:rPr>
          <w:rFonts w:ascii="Palatino Linotype" w:hAnsi="Palatino Linotype"/>
          <w:b/>
          <w:sz w:val="28"/>
          <w:szCs w:val="28"/>
        </w:rPr>
        <w:t xml:space="preserve">CUARTO. Estudio y resolución del asunto </w:t>
      </w:r>
      <w:r w:rsidRPr="00C3489C">
        <w:rPr>
          <w:rFonts w:ascii="Palatino Linotype" w:hAnsi="Palatino Linotype"/>
          <w:b/>
          <w:sz w:val="28"/>
          <w:szCs w:val="28"/>
        </w:rPr>
        <w:tab/>
      </w:r>
    </w:p>
    <w:p w:rsidR="00F73A33" w:rsidRPr="00C3489C" w:rsidRDefault="00F73A33" w:rsidP="00F73A3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C3489C">
        <w:rPr>
          <w:rFonts w:ascii="Palatino Linotype" w:eastAsia="Palatino Linotype" w:hAnsi="Palatino Linotype" w:cs="Palatino Linotype"/>
          <w:color w:val="000000"/>
          <w:sz w:val="24"/>
          <w:szCs w:val="24"/>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73A33" w:rsidRPr="00C3489C" w:rsidRDefault="00F73A33" w:rsidP="00F73A33">
      <w:pPr>
        <w:autoSpaceDE w:val="0"/>
        <w:autoSpaceDN w:val="0"/>
        <w:adjustRightInd w:val="0"/>
        <w:ind w:right="567"/>
        <w:rPr>
          <w:rFonts w:ascii="Palatino Linotype" w:eastAsia="Calibri" w:hAnsi="Palatino Linotype" w:cs="Arial"/>
        </w:rPr>
      </w:pPr>
    </w:p>
    <w:p w:rsidR="00F73A33" w:rsidRPr="00C3489C" w:rsidRDefault="00F73A33" w:rsidP="00F73A33">
      <w:pPr>
        <w:spacing w:line="360" w:lineRule="auto"/>
        <w:jc w:val="both"/>
        <w:rPr>
          <w:rFonts w:ascii="Palatino Linotype" w:hAnsi="Palatino Linotype" w:cs="Arial"/>
          <w:sz w:val="24"/>
        </w:rPr>
      </w:pPr>
      <w:r w:rsidRPr="00C3489C">
        <w:rPr>
          <w:rFonts w:ascii="Palatino Linotype" w:hAnsi="Palatino Linotype" w:cs="Tahoma"/>
          <w:bCs/>
          <w:sz w:val="24"/>
        </w:rPr>
        <w:t xml:space="preserve">Bajo estas líneas argumentativas, al retomar y delimitar los requerimientos del ahora </w:t>
      </w:r>
      <w:r w:rsidRPr="00C3489C">
        <w:rPr>
          <w:rFonts w:ascii="Palatino Linotype" w:hAnsi="Palatino Linotype" w:cs="Tahoma"/>
          <w:b/>
          <w:bCs/>
          <w:sz w:val="24"/>
        </w:rPr>
        <w:t>Recurrente</w:t>
      </w:r>
      <w:r w:rsidRPr="00C3489C">
        <w:rPr>
          <w:rFonts w:ascii="Palatino Linotype" w:hAnsi="Palatino Linotype" w:cs="Tahoma"/>
          <w:bCs/>
          <w:sz w:val="24"/>
        </w:rPr>
        <w:t>, de manera objetiva se precisa que requiere la siguiente información:</w:t>
      </w:r>
    </w:p>
    <w:p w:rsidR="00C6020F" w:rsidRPr="00C3489C" w:rsidRDefault="00C6020F" w:rsidP="00C6020F">
      <w:pPr>
        <w:pStyle w:val="Prrafodelista"/>
        <w:numPr>
          <w:ilvl w:val="0"/>
          <w:numId w:val="8"/>
        </w:numPr>
        <w:tabs>
          <w:tab w:val="left" w:pos="1828"/>
        </w:tabs>
        <w:spacing w:before="240" w:line="360" w:lineRule="auto"/>
        <w:jc w:val="both"/>
        <w:rPr>
          <w:rFonts w:ascii="Palatino Linotype" w:hAnsi="Palatino Linotype" w:cs="Arial"/>
          <w:b/>
        </w:rPr>
      </w:pPr>
      <w:r w:rsidRPr="00C3489C">
        <w:rPr>
          <w:rFonts w:ascii="Palatino Linotype" w:hAnsi="Palatino Linotype" w:cs="Tahoma"/>
          <w:b/>
          <w:bCs/>
        </w:rPr>
        <w:t>Dirección General de Desarrollo Urbano</w:t>
      </w:r>
      <w:r w:rsidR="00B81E32" w:rsidRPr="00C3489C">
        <w:rPr>
          <w:rFonts w:ascii="Palatino Linotype" w:hAnsi="Palatino Linotype" w:cs="Tahoma"/>
          <w:b/>
          <w:bCs/>
        </w:rPr>
        <w:t xml:space="preserve">: </w:t>
      </w:r>
    </w:p>
    <w:p w:rsidR="00C6020F" w:rsidRPr="00C3489C" w:rsidRDefault="00B81E32" w:rsidP="00C6020F">
      <w:pPr>
        <w:pStyle w:val="Prrafodelista"/>
        <w:numPr>
          <w:ilvl w:val="0"/>
          <w:numId w:val="10"/>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Licencia de Uso del Suelo N° DUS-LUS/0308/2015 de fecha 25 de Marzo de 2015 </w:t>
      </w:r>
    </w:p>
    <w:p w:rsidR="00C6020F" w:rsidRPr="00C3489C" w:rsidRDefault="00B81E32" w:rsidP="00C6020F">
      <w:pPr>
        <w:pStyle w:val="Prrafodelista"/>
        <w:numPr>
          <w:ilvl w:val="0"/>
          <w:numId w:val="10"/>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DGDU/318/2014 de fecha 17 de Enero de 2014 </w:t>
      </w:r>
    </w:p>
    <w:p w:rsidR="00C6020F" w:rsidRPr="00C3489C" w:rsidRDefault="00B81E32" w:rsidP="00C6020F">
      <w:pPr>
        <w:pStyle w:val="Prrafodelista"/>
        <w:numPr>
          <w:ilvl w:val="0"/>
          <w:numId w:val="10"/>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Oficio N° DGDU/8139/2014 de f</w:t>
      </w:r>
      <w:r w:rsidR="00C6020F" w:rsidRPr="00C3489C">
        <w:rPr>
          <w:rFonts w:ascii="Palatino Linotype" w:hAnsi="Palatino Linotype" w:cs="Tahoma"/>
          <w:bCs/>
        </w:rPr>
        <w:t xml:space="preserve">echa 04 de Diciembre de 2014 </w:t>
      </w:r>
    </w:p>
    <w:p w:rsidR="00C6020F" w:rsidRPr="00C3489C" w:rsidRDefault="00B81E32" w:rsidP="00C6020F">
      <w:pPr>
        <w:pStyle w:val="Prrafodelista"/>
        <w:numPr>
          <w:ilvl w:val="0"/>
          <w:numId w:val="10"/>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DGDU/1868/2016 de fecha 02 de Mayo de 2016 </w:t>
      </w:r>
    </w:p>
    <w:p w:rsidR="00C6020F" w:rsidRPr="00C3489C" w:rsidRDefault="00B81E32" w:rsidP="00C6020F">
      <w:pPr>
        <w:pStyle w:val="Prrafodelista"/>
        <w:numPr>
          <w:ilvl w:val="0"/>
          <w:numId w:val="10"/>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Autorización de Cambio de</w:t>
      </w:r>
      <w:r w:rsidR="00C6020F" w:rsidRPr="00C3489C">
        <w:rPr>
          <w:rFonts w:ascii="Palatino Linotype" w:hAnsi="Palatino Linotype" w:cs="Tahoma"/>
          <w:bCs/>
        </w:rPr>
        <w:t xml:space="preserve"> Uso del Suelo N° CUS/015/2015 </w:t>
      </w:r>
    </w:p>
    <w:p w:rsidR="00C6020F" w:rsidRPr="00C3489C" w:rsidRDefault="00C6020F" w:rsidP="00C6020F">
      <w:pPr>
        <w:pStyle w:val="Prrafodelista"/>
        <w:numPr>
          <w:ilvl w:val="0"/>
          <w:numId w:val="8"/>
        </w:numPr>
        <w:tabs>
          <w:tab w:val="left" w:pos="1828"/>
        </w:tabs>
        <w:spacing w:before="240" w:line="360" w:lineRule="auto"/>
        <w:jc w:val="both"/>
        <w:rPr>
          <w:rFonts w:ascii="Palatino Linotype" w:hAnsi="Palatino Linotype" w:cs="Arial"/>
          <w:b/>
        </w:rPr>
      </w:pPr>
      <w:r w:rsidRPr="00C3489C">
        <w:rPr>
          <w:rFonts w:ascii="Palatino Linotype" w:hAnsi="Palatino Linotype" w:cs="Tahoma"/>
          <w:b/>
          <w:bCs/>
        </w:rPr>
        <w:t xml:space="preserve">Secretaría del Ayuntamiento </w:t>
      </w:r>
    </w:p>
    <w:p w:rsidR="00C6020F" w:rsidRPr="00C3489C" w:rsidRDefault="00B81E32" w:rsidP="00C62E26">
      <w:pPr>
        <w:pStyle w:val="Prrafodelista"/>
        <w:numPr>
          <w:ilvl w:val="0"/>
          <w:numId w:val="11"/>
        </w:numPr>
        <w:tabs>
          <w:tab w:val="left" w:pos="1828"/>
        </w:tabs>
        <w:spacing w:before="240" w:line="360" w:lineRule="auto"/>
        <w:ind w:left="709"/>
        <w:jc w:val="both"/>
        <w:rPr>
          <w:rFonts w:ascii="Palatino Linotype" w:hAnsi="Palatino Linotype" w:cs="Arial"/>
          <w:b/>
        </w:rPr>
      </w:pPr>
      <w:r w:rsidRPr="00C3489C">
        <w:rPr>
          <w:rFonts w:ascii="Palatino Linotype" w:hAnsi="Palatino Linotype" w:cs="Tahoma"/>
          <w:bCs/>
        </w:rPr>
        <w:t xml:space="preserve">Acta de la LIII Sesión de Cabildo de fecha 10 de Febrero de 1977, relativa </w:t>
      </w:r>
      <w:r w:rsidR="00C2754C" w:rsidRPr="00C3489C">
        <w:rPr>
          <w:rFonts w:ascii="Palatino Linotype" w:hAnsi="Palatino Linotype" w:cs="Tahoma"/>
          <w:bCs/>
        </w:rPr>
        <w:t>a la Súper Avenida Lomas Verdes.</w:t>
      </w:r>
    </w:p>
    <w:p w:rsidR="00C6020F" w:rsidRPr="00C3489C" w:rsidRDefault="00B81E32" w:rsidP="00C62E26">
      <w:pPr>
        <w:pStyle w:val="Prrafodelista"/>
        <w:numPr>
          <w:ilvl w:val="0"/>
          <w:numId w:val="11"/>
        </w:numPr>
        <w:tabs>
          <w:tab w:val="left" w:pos="1828"/>
        </w:tabs>
        <w:spacing w:before="240" w:line="360" w:lineRule="auto"/>
        <w:ind w:left="709"/>
        <w:jc w:val="both"/>
        <w:rPr>
          <w:rFonts w:ascii="Palatino Linotype" w:hAnsi="Palatino Linotype" w:cs="Arial"/>
          <w:b/>
        </w:rPr>
      </w:pPr>
      <w:r w:rsidRPr="00C3489C">
        <w:rPr>
          <w:rFonts w:ascii="Palatino Linotype" w:hAnsi="Palatino Linotype" w:cs="Tahoma"/>
          <w:bCs/>
        </w:rPr>
        <w:lastRenderedPageBreak/>
        <w:t>Acta de la LXIV Sesión de Cabildo de fecha 19 de Mayo de 1977, relativa a la Súper Avenida Lomas Verdes</w:t>
      </w:r>
      <w:r w:rsidR="00C2754C" w:rsidRPr="00C3489C">
        <w:rPr>
          <w:rFonts w:ascii="Palatino Linotype" w:hAnsi="Palatino Linotype" w:cs="Tahoma"/>
          <w:bCs/>
        </w:rPr>
        <w:t>.</w:t>
      </w:r>
    </w:p>
    <w:p w:rsidR="00C6020F" w:rsidRPr="00C3489C" w:rsidRDefault="00C6020F" w:rsidP="00C6020F">
      <w:pPr>
        <w:pStyle w:val="Prrafodelista"/>
        <w:numPr>
          <w:ilvl w:val="0"/>
          <w:numId w:val="8"/>
        </w:numPr>
        <w:tabs>
          <w:tab w:val="left" w:pos="1828"/>
        </w:tabs>
        <w:spacing w:before="240" w:line="360" w:lineRule="auto"/>
        <w:jc w:val="both"/>
        <w:rPr>
          <w:rFonts w:ascii="Palatino Linotype" w:hAnsi="Palatino Linotype" w:cs="Arial"/>
          <w:b/>
        </w:rPr>
      </w:pPr>
      <w:r w:rsidRPr="00C3489C">
        <w:rPr>
          <w:rFonts w:ascii="Palatino Linotype" w:hAnsi="Palatino Linotype" w:cs="Tahoma"/>
          <w:b/>
          <w:bCs/>
        </w:rPr>
        <w:t>Secretaría del Ayuntamiento (Subdirección de Patrimonio Municipal</w:t>
      </w:r>
      <w:r w:rsidR="00B81E32" w:rsidRPr="00C3489C">
        <w:rPr>
          <w:rFonts w:ascii="Palatino Linotype" w:hAnsi="Palatino Linotype" w:cs="Tahoma"/>
          <w:b/>
          <w:bCs/>
        </w:rPr>
        <w:t xml:space="preserve">) </w:t>
      </w:r>
    </w:p>
    <w:p w:rsidR="00C6020F" w:rsidRPr="00C3489C" w:rsidRDefault="00B81E32" w:rsidP="00C6020F">
      <w:pPr>
        <w:pStyle w:val="Prrafodelista"/>
        <w:numPr>
          <w:ilvl w:val="0"/>
          <w:numId w:val="13"/>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SHA/SPM/077/2014 de fecha 14 de Enero de 2014 </w:t>
      </w:r>
    </w:p>
    <w:p w:rsidR="00C6020F" w:rsidRPr="00C3489C" w:rsidRDefault="00C6020F" w:rsidP="00C6020F">
      <w:pPr>
        <w:tabs>
          <w:tab w:val="left" w:pos="1828"/>
        </w:tabs>
        <w:spacing w:before="240" w:line="360" w:lineRule="auto"/>
        <w:jc w:val="both"/>
        <w:rPr>
          <w:rFonts w:ascii="Palatino Linotype" w:hAnsi="Palatino Linotype" w:cs="Tahoma"/>
          <w:bCs/>
        </w:rPr>
      </w:pPr>
    </w:p>
    <w:p w:rsidR="00C6020F" w:rsidRPr="00C3489C" w:rsidRDefault="00B81E32" w:rsidP="00C6020F">
      <w:pPr>
        <w:pStyle w:val="Prrafodelista"/>
        <w:numPr>
          <w:ilvl w:val="0"/>
          <w:numId w:val="1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NOTA IMPORTANTE: - Si bien es cierto, de acuerdo con la Ley General de Archivos del Estado de México y Municipios publicada en el periódico oficial Gaceta del Gobierno N° 104, Tomo CCX, Sección Primera de fecha 26 de Noviembre de 2020, los Ayuntamientos están obligados a resguardar hasta por 5 años los documentos que generen, también lo es que existe la Transferencia Primaria, que es el proceso mediante el cual las dependencias Municipales turnan para su resguardo los Archivos Generados, una vez cumplido un año a su resguardo, para ser turnados al Archivo Municipal de Concentración en resguardo del Secretario del Ayuntamiento, Lo que rectifica el Reglamento de Archivo y Crónica Municipal de Naucalpan de Juárez, México, publicado en Gaceta Municipal Año 3, N° 31, de fecha 24 de Febrero de 2006. Por lo antes expuesto NO APLICA EL ART. 12 DE LA LEY DE TRANSPARENCIA Y ACCESO A LA INFORMACIÓN PÚBLICA DEL ESTADO DE MÉXICO Y MUNICIPIOS.</w:t>
      </w:r>
    </w:p>
    <w:p w:rsidR="00F73A33" w:rsidRPr="00C3489C" w:rsidRDefault="00F73A33" w:rsidP="00C6020F">
      <w:pPr>
        <w:tabs>
          <w:tab w:val="left" w:pos="1828"/>
        </w:tabs>
        <w:spacing w:before="240" w:line="360" w:lineRule="auto"/>
        <w:jc w:val="both"/>
        <w:rPr>
          <w:rFonts w:ascii="Palatino Linotype" w:hAnsi="Palatino Linotype" w:cs="Arial"/>
          <w:b/>
          <w:sz w:val="24"/>
        </w:rPr>
      </w:pPr>
      <w:r w:rsidRPr="00C3489C">
        <w:rPr>
          <w:rFonts w:ascii="Palatino Linotype" w:hAnsi="Palatino Linotype" w:cs="Arial"/>
          <w:sz w:val="24"/>
        </w:rPr>
        <w:lastRenderedPageBreak/>
        <w:t xml:space="preserve">De conformidad con las constancias que obran en el expediente electrónico, se observa que el </w:t>
      </w:r>
      <w:r w:rsidRPr="00C3489C">
        <w:rPr>
          <w:rFonts w:ascii="Palatino Linotype" w:hAnsi="Palatino Linotype" w:cs="Arial"/>
          <w:b/>
          <w:sz w:val="24"/>
        </w:rPr>
        <w:t>Sujeto Obligado</w:t>
      </w:r>
      <w:r w:rsidRPr="00C3489C">
        <w:rPr>
          <w:rFonts w:ascii="Palatino Linotype" w:hAnsi="Palatino Linotype" w:cs="Arial"/>
          <w:sz w:val="24"/>
        </w:rPr>
        <w:t xml:space="preserve"> dio respuesta por medio del sistema SAIMEX, a la solicitud de información</w:t>
      </w:r>
      <w:r w:rsidRPr="00C3489C">
        <w:rPr>
          <w:rFonts w:ascii="Palatino Linotype" w:eastAsia="Palatino Linotype" w:hAnsi="Palatino Linotype" w:cs="Palatino Linotype"/>
          <w:b/>
          <w:color w:val="000000"/>
          <w:sz w:val="24"/>
        </w:rPr>
        <w:t xml:space="preserve"> </w:t>
      </w:r>
      <w:r w:rsidRPr="00C3489C">
        <w:rPr>
          <w:rFonts w:ascii="Palatino Linotype" w:hAnsi="Palatino Linotype" w:cs="Arial"/>
          <w:b/>
          <w:sz w:val="24"/>
        </w:rPr>
        <w:t xml:space="preserve">00182/NAUCALPA/IP/2023; </w:t>
      </w:r>
      <w:r w:rsidRPr="00C3489C">
        <w:rPr>
          <w:rFonts w:ascii="Palatino Linotype" w:hAnsi="Palatino Linotype" w:cs="Arial"/>
          <w:sz w:val="24"/>
        </w:rPr>
        <w:t>manifestando lo siguiente</w:t>
      </w:r>
      <w:r w:rsidRPr="00C3489C">
        <w:rPr>
          <w:rFonts w:ascii="Palatino Linotype" w:hAnsi="Palatino Linotype" w:cs="Arial"/>
          <w:b/>
          <w:sz w:val="24"/>
        </w:rPr>
        <w:t>:</w:t>
      </w: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F73A33" w:rsidRPr="00C3489C" w:rsidRDefault="00F73A33" w:rsidP="00C6020F">
      <w:pPr>
        <w:spacing w:after="0" w:line="240" w:lineRule="auto"/>
        <w:ind w:left="567" w:right="567"/>
        <w:jc w:val="both"/>
        <w:rPr>
          <w:rFonts w:ascii="Palatino Linotype" w:hAnsi="Palatino Linotype" w:cs="Arial"/>
          <w:i/>
        </w:rPr>
      </w:pPr>
      <w:r w:rsidRPr="00C3489C">
        <w:rPr>
          <w:rFonts w:ascii="Palatino Linotype" w:hAnsi="Palatino Linotype" w:cs="Arial"/>
          <w:i/>
        </w:rPr>
        <w:t>“</w:t>
      </w:r>
      <w:r w:rsidR="00C6020F" w:rsidRPr="00C3489C">
        <w:rPr>
          <w:rFonts w:ascii="Palatino Linotype" w:hAnsi="Palatino Linotype" w:cs="Arial"/>
          <w:i/>
        </w:rPr>
        <w:t xml:space="preserve">Razón a lo anterior, y después de haber realizado una búsqueda exhaustiva y minuciosa dentro de los archivos de esta Secretaría del Ayuntamiento, se remite anexo el presente: • Acta de la Quincuagésima Segunda Sesión Ordinaria de Cabildo, de fecha 10 de febrero de 1977; • Acta de la Sexagésima Cuarta Sesión Ordinaria de Cabildo, de fecha 19 de mayo de 1977; y • Oficio SHA/SPM/077/2014 </w:t>
      </w:r>
      <w:r w:rsidRPr="00C3489C">
        <w:rPr>
          <w:rFonts w:ascii="Palatino Linotype" w:hAnsi="Palatino Linotype" w:cs="Arial"/>
          <w:i/>
        </w:rPr>
        <w:t>“(Sic).</w:t>
      </w: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C3489C">
        <w:rPr>
          <w:rFonts w:ascii="Palatino Linotype" w:eastAsia="Palatino Linotype" w:hAnsi="Palatino Linotype" w:cs="Palatino Linotype"/>
          <w:color w:val="000000"/>
          <w:sz w:val="24"/>
        </w:rPr>
        <w:t>Adicionalmente adjunto los archivos electrónicos denominados:</w:t>
      </w:r>
    </w:p>
    <w:p w:rsidR="00F73A33" w:rsidRPr="00C3489C" w:rsidRDefault="00C6020F" w:rsidP="00C6020F">
      <w:pPr>
        <w:pStyle w:val="Prrafodelista"/>
        <w:numPr>
          <w:ilvl w:val="0"/>
          <w:numId w:val="5"/>
        </w:numPr>
        <w:pBdr>
          <w:top w:val="nil"/>
          <w:left w:val="nil"/>
          <w:bottom w:val="nil"/>
          <w:right w:val="nil"/>
          <w:between w:val="nil"/>
        </w:pBdr>
        <w:spacing w:line="360" w:lineRule="auto"/>
        <w:contextualSpacing/>
        <w:jc w:val="both"/>
        <w:rPr>
          <w:rFonts w:eastAsia="Palatino Linotype"/>
        </w:rPr>
      </w:pPr>
      <w:r w:rsidRPr="00C3489C">
        <w:rPr>
          <w:rFonts w:ascii="Palatino Linotype" w:eastAsia="Palatino Linotype" w:hAnsi="Palatino Linotype" w:cs="Palatino Linotype"/>
          <w:b/>
          <w:color w:val="000000"/>
        </w:rPr>
        <w:t>00182 Naucalpa Ip 2023 (1).pdf</w:t>
      </w:r>
      <w:r w:rsidR="00F73A33" w:rsidRPr="00C3489C">
        <w:rPr>
          <w:rFonts w:ascii="Palatino Linotype" w:eastAsia="Palatino Linotype" w:hAnsi="Palatino Linotype" w:cs="Palatino Linotype"/>
          <w:b/>
          <w:color w:val="000000"/>
        </w:rPr>
        <w:t xml:space="preserve">: </w:t>
      </w:r>
      <w:r w:rsidR="00F73A33" w:rsidRPr="00C3489C">
        <w:rPr>
          <w:rFonts w:ascii="Palatino Linotype" w:eastAsia="Palatino Linotype" w:hAnsi="Palatino Linotype" w:cs="Palatino Linotype"/>
          <w:color w:val="000000"/>
        </w:rPr>
        <w:t xml:space="preserve">constante de una foja, en formato PDF, contiene el oficio número </w:t>
      </w:r>
      <w:r w:rsidRPr="00C3489C">
        <w:rPr>
          <w:rFonts w:ascii="Palatino Linotype" w:eastAsia="Palatino Linotype" w:hAnsi="Palatino Linotype" w:cs="Palatino Linotype"/>
          <w:color w:val="000000"/>
        </w:rPr>
        <w:t>SHA</w:t>
      </w:r>
      <w:r w:rsidR="00F73A33" w:rsidRPr="00C3489C">
        <w:rPr>
          <w:rFonts w:ascii="Palatino Linotype" w:eastAsia="Palatino Linotype" w:hAnsi="Palatino Linotype" w:cs="Palatino Linotype"/>
          <w:color w:val="000000"/>
        </w:rPr>
        <w:t>/SP</w:t>
      </w:r>
      <w:r w:rsidRPr="00C3489C">
        <w:rPr>
          <w:rFonts w:ascii="Palatino Linotype" w:eastAsia="Palatino Linotype" w:hAnsi="Palatino Linotype" w:cs="Palatino Linotype"/>
          <w:color w:val="000000"/>
        </w:rPr>
        <w:t>M/077/2014</w:t>
      </w:r>
      <w:r w:rsidR="00F73A33" w:rsidRPr="00C3489C">
        <w:rPr>
          <w:rFonts w:ascii="Palatino Linotype" w:eastAsia="Palatino Linotype" w:hAnsi="Palatino Linotype" w:cs="Palatino Linotype"/>
          <w:color w:val="000000"/>
        </w:rPr>
        <w:t xml:space="preserve">, de fecha </w:t>
      </w:r>
      <w:r w:rsidRPr="00C3489C">
        <w:rPr>
          <w:rFonts w:ascii="Palatino Linotype" w:eastAsia="Palatino Linotype" w:hAnsi="Palatino Linotype" w:cs="Palatino Linotype"/>
          <w:color w:val="000000"/>
        </w:rPr>
        <w:t>catorce de enero de dos mil catorce</w:t>
      </w:r>
      <w:r w:rsidR="00F73A33" w:rsidRPr="00C3489C">
        <w:rPr>
          <w:rFonts w:ascii="Palatino Linotype" w:eastAsia="Palatino Linotype" w:hAnsi="Palatino Linotype" w:cs="Palatino Linotype"/>
          <w:color w:val="000000"/>
        </w:rPr>
        <w:t xml:space="preserve">, suscrito por </w:t>
      </w:r>
      <w:r w:rsidRPr="00C3489C">
        <w:rPr>
          <w:rFonts w:ascii="Palatino Linotype" w:eastAsia="Palatino Linotype" w:hAnsi="Palatino Linotype" w:cs="Palatino Linotype"/>
          <w:color w:val="000000"/>
        </w:rPr>
        <w:t>el Director de Patrimonio Cultural, dirigido al Director General de Desarrollo Urbano, en el que informa la situación legal</w:t>
      </w:r>
      <w:r w:rsidR="00C62E26" w:rsidRPr="00C3489C">
        <w:rPr>
          <w:rFonts w:ascii="Palatino Linotype" w:eastAsia="Palatino Linotype" w:hAnsi="Palatino Linotype" w:cs="Palatino Linotype"/>
          <w:color w:val="000000"/>
        </w:rPr>
        <w:t xml:space="preserve"> de un predio ubicado en Calle Paseo de Lomas V</w:t>
      </w:r>
      <w:r w:rsidR="009E5497" w:rsidRPr="00C3489C">
        <w:rPr>
          <w:rFonts w:ascii="Palatino Linotype" w:eastAsia="Palatino Linotype" w:hAnsi="Palatino Linotype" w:cs="Palatino Linotype"/>
          <w:color w:val="000000"/>
        </w:rPr>
        <w:t>erdes, tal como se ilustra:</w:t>
      </w:r>
    </w:p>
    <w:p w:rsidR="009E5497" w:rsidRPr="00C3489C" w:rsidRDefault="009E5497" w:rsidP="009E5497">
      <w:pPr>
        <w:pStyle w:val="Prrafodelista"/>
        <w:pBdr>
          <w:top w:val="nil"/>
          <w:left w:val="nil"/>
          <w:bottom w:val="nil"/>
          <w:right w:val="nil"/>
          <w:between w:val="nil"/>
        </w:pBdr>
        <w:spacing w:line="360" w:lineRule="auto"/>
        <w:ind w:left="720"/>
        <w:contextualSpacing/>
        <w:jc w:val="center"/>
        <w:rPr>
          <w:rFonts w:eastAsia="Palatino Linotype"/>
        </w:rPr>
      </w:pPr>
      <w:r w:rsidRPr="00C3489C">
        <w:rPr>
          <w:rFonts w:eastAsia="Palatino Linotype"/>
          <w:noProof/>
          <w:lang w:val="es-MX" w:eastAsia="es-MX"/>
        </w:rPr>
        <w:lastRenderedPageBreak/>
        <w:drawing>
          <wp:inline distT="0" distB="0" distL="0" distR="0" wp14:anchorId="0B3303BE" wp14:editId="45C207B1">
            <wp:extent cx="4638675" cy="514270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1030" cy="5145318"/>
                    </a:xfrm>
                    <a:prstGeom prst="rect">
                      <a:avLst/>
                    </a:prstGeom>
                  </pic:spPr>
                </pic:pic>
              </a:graphicData>
            </a:graphic>
          </wp:inline>
        </w:drawing>
      </w:r>
    </w:p>
    <w:p w:rsidR="00F73A33" w:rsidRPr="00C3489C" w:rsidRDefault="00C6020F" w:rsidP="00C6020F">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C3489C">
        <w:rPr>
          <w:rFonts w:ascii="Palatino Linotype" w:eastAsia="Palatino Linotype" w:hAnsi="Palatino Linotype" w:cs="Palatino Linotype"/>
          <w:b/>
          <w:color w:val="000000"/>
        </w:rPr>
        <w:t>10-02-1977 Sùper Avenida Lomas Verdes (1).pdf</w:t>
      </w:r>
      <w:r w:rsidR="00F73A33" w:rsidRPr="00C3489C">
        <w:rPr>
          <w:rFonts w:ascii="Palatino Linotype" w:eastAsia="Palatino Linotype" w:hAnsi="Palatino Linotype" w:cs="Palatino Linotype"/>
          <w:b/>
          <w:color w:val="000000"/>
        </w:rPr>
        <w:t xml:space="preserve">: </w:t>
      </w:r>
      <w:r w:rsidR="00F73A33" w:rsidRPr="00C3489C">
        <w:rPr>
          <w:rFonts w:ascii="Palatino Linotype" w:eastAsia="Palatino Linotype" w:hAnsi="Palatino Linotype" w:cs="Palatino Linotype"/>
          <w:color w:val="000000"/>
        </w:rPr>
        <w:t xml:space="preserve">constante de </w:t>
      </w:r>
      <w:r w:rsidR="009E5497" w:rsidRPr="00C3489C">
        <w:rPr>
          <w:rFonts w:ascii="Palatino Linotype" w:eastAsia="Palatino Linotype" w:hAnsi="Palatino Linotype" w:cs="Palatino Linotype"/>
          <w:color w:val="000000"/>
        </w:rPr>
        <w:t>dos</w:t>
      </w:r>
      <w:r w:rsidR="00F73A33" w:rsidRPr="00C3489C">
        <w:rPr>
          <w:rFonts w:ascii="Palatino Linotype" w:eastAsia="Palatino Linotype" w:hAnsi="Palatino Linotype" w:cs="Palatino Linotype"/>
          <w:color w:val="000000"/>
        </w:rPr>
        <w:t xml:space="preserve"> foja</w:t>
      </w:r>
      <w:r w:rsidR="009E5497" w:rsidRPr="00C3489C">
        <w:rPr>
          <w:rFonts w:ascii="Palatino Linotype" w:eastAsia="Palatino Linotype" w:hAnsi="Palatino Linotype" w:cs="Palatino Linotype"/>
          <w:color w:val="000000"/>
        </w:rPr>
        <w:t>s</w:t>
      </w:r>
      <w:r w:rsidR="00F73A33" w:rsidRPr="00C3489C">
        <w:rPr>
          <w:rFonts w:ascii="Palatino Linotype" w:eastAsia="Palatino Linotype" w:hAnsi="Palatino Linotype" w:cs="Palatino Linotype"/>
          <w:color w:val="000000"/>
        </w:rPr>
        <w:t xml:space="preserve">, en formato PDF, contiene </w:t>
      </w:r>
      <w:r w:rsidR="00E85403" w:rsidRPr="00C3489C">
        <w:rPr>
          <w:rFonts w:ascii="Palatino Linotype" w:eastAsia="Palatino Linotype" w:hAnsi="Palatino Linotype" w:cs="Palatino Linotype"/>
          <w:color w:val="000000"/>
        </w:rPr>
        <w:t>el Acta de Cabildo, de fecha diez de febrero de mil novecientos setenta y siete, en la que entre otros puntos se trató la prolongación  o ampliación de la Avenida Lomas Verdes</w:t>
      </w:r>
      <w:r w:rsidR="000C2641" w:rsidRPr="00C3489C">
        <w:rPr>
          <w:rFonts w:ascii="Palatino Linotype" w:eastAsia="Palatino Linotype" w:hAnsi="Palatino Linotype" w:cs="Palatino Linotype"/>
          <w:color w:val="000000"/>
        </w:rPr>
        <w:t>, tal como se ilustra:</w:t>
      </w:r>
    </w:p>
    <w:p w:rsidR="000C2641" w:rsidRPr="00C3489C" w:rsidRDefault="000C2641" w:rsidP="000C2641">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p>
    <w:p w:rsidR="00E85403" w:rsidRPr="00C3489C" w:rsidRDefault="00E85403" w:rsidP="00E85403">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sidRPr="00C3489C">
        <w:rPr>
          <w:rFonts w:ascii="Palatino Linotype" w:eastAsia="Palatino Linotype" w:hAnsi="Palatino Linotype" w:cs="Palatino Linotype"/>
          <w:b/>
          <w:noProof/>
          <w:color w:val="000000"/>
          <w:lang w:val="es-MX" w:eastAsia="es-MX"/>
        </w:rPr>
        <w:lastRenderedPageBreak/>
        <w:drawing>
          <wp:inline distT="0" distB="0" distL="0" distR="0" wp14:anchorId="1270CF0D" wp14:editId="051AD8F5">
            <wp:extent cx="4994717" cy="4343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7150" cy="4345516"/>
                    </a:xfrm>
                    <a:prstGeom prst="rect">
                      <a:avLst/>
                    </a:prstGeom>
                  </pic:spPr>
                </pic:pic>
              </a:graphicData>
            </a:graphic>
          </wp:inline>
        </w:drawing>
      </w:r>
    </w:p>
    <w:p w:rsidR="00F73A33" w:rsidRPr="00C3489C" w:rsidRDefault="00C6020F" w:rsidP="00C6020F">
      <w:pPr>
        <w:pStyle w:val="Prrafodelista"/>
        <w:numPr>
          <w:ilvl w:val="0"/>
          <w:numId w:val="5"/>
        </w:num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r w:rsidRPr="00C3489C">
        <w:rPr>
          <w:rFonts w:ascii="Palatino Linotype" w:eastAsia="Palatino Linotype" w:hAnsi="Palatino Linotype" w:cs="Palatino Linotype"/>
          <w:b/>
          <w:color w:val="000000"/>
        </w:rPr>
        <w:t>19-05-1977 Sùper Avenida Lomas Verdes.pdf</w:t>
      </w:r>
      <w:r w:rsidR="00F73A33" w:rsidRPr="00C3489C">
        <w:rPr>
          <w:rFonts w:ascii="Palatino Linotype" w:eastAsia="Palatino Linotype" w:hAnsi="Palatino Linotype" w:cs="Palatino Linotype"/>
          <w:b/>
          <w:color w:val="000000"/>
        </w:rPr>
        <w:t xml:space="preserve">: </w:t>
      </w:r>
      <w:r w:rsidR="000C2641" w:rsidRPr="00C3489C">
        <w:rPr>
          <w:rFonts w:ascii="Palatino Linotype" w:eastAsia="Palatino Linotype" w:hAnsi="Palatino Linotype" w:cs="Palatino Linotype"/>
          <w:color w:val="000000"/>
        </w:rPr>
        <w:t xml:space="preserve">constante de </w:t>
      </w:r>
      <w:r w:rsidR="00B51F40" w:rsidRPr="00C3489C">
        <w:rPr>
          <w:rFonts w:ascii="Palatino Linotype" w:eastAsia="Palatino Linotype" w:hAnsi="Palatino Linotype" w:cs="Palatino Linotype"/>
          <w:color w:val="000000"/>
        </w:rPr>
        <w:t>cuatro</w:t>
      </w:r>
      <w:r w:rsidR="000C2641" w:rsidRPr="00C3489C">
        <w:rPr>
          <w:rFonts w:ascii="Palatino Linotype" w:eastAsia="Palatino Linotype" w:hAnsi="Palatino Linotype" w:cs="Palatino Linotype"/>
          <w:color w:val="000000"/>
        </w:rPr>
        <w:t xml:space="preserve"> fojas, en formato PDF, contiene el Acta de Cabildo, de fecha </w:t>
      </w:r>
      <w:r w:rsidR="00B51F40" w:rsidRPr="00C3489C">
        <w:rPr>
          <w:rFonts w:ascii="Palatino Linotype" w:eastAsia="Palatino Linotype" w:hAnsi="Palatino Linotype" w:cs="Palatino Linotype"/>
          <w:color w:val="000000"/>
        </w:rPr>
        <w:t>diecinueve de mayo</w:t>
      </w:r>
      <w:r w:rsidR="000C2641" w:rsidRPr="00C3489C">
        <w:rPr>
          <w:rFonts w:ascii="Palatino Linotype" w:eastAsia="Palatino Linotype" w:hAnsi="Palatino Linotype" w:cs="Palatino Linotype"/>
          <w:color w:val="000000"/>
        </w:rPr>
        <w:t xml:space="preserve"> de mil novecientos setenta y siete, en la que entre otros puntos se trató la </w:t>
      </w:r>
      <w:r w:rsidR="00B51F40" w:rsidRPr="00C3489C">
        <w:rPr>
          <w:rFonts w:ascii="Palatino Linotype" w:eastAsia="Palatino Linotype" w:hAnsi="Palatino Linotype" w:cs="Palatino Linotype"/>
          <w:color w:val="000000"/>
        </w:rPr>
        <w:t xml:space="preserve">autorización del proyecto para la </w:t>
      </w:r>
      <w:r w:rsidR="000C2641" w:rsidRPr="00C3489C">
        <w:rPr>
          <w:rFonts w:ascii="Palatino Linotype" w:eastAsia="Palatino Linotype" w:hAnsi="Palatino Linotype" w:cs="Palatino Linotype"/>
          <w:color w:val="000000"/>
        </w:rPr>
        <w:t>prolongación  de la</w:t>
      </w:r>
      <w:r w:rsidR="00B51F40" w:rsidRPr="00C3489C">
        <w:rPr>
          <w:rFonts w:ascii="Palatino Linotype" w:eastAsia="Palatino Linotype" w:hAnsi="Palatino Linotype" w:cs="Palatino Linotype"/>
          <w:color w:val="000000"/>
        </w:rPr>
        <w:t xml:space="preserve"> Súper</w:t>
      </w:r>
      <w:r w:rsidR="000C2641" w:rsidRPr="00C3489C">
        <w:rPr>
          <w:rFonts w:ascii="Palatino Linotype" w:eastAsia="Palatino Linotype" w:hAnsi="Palatino Linotype" w:cs="Palatino Linotype"/>
          <w:color w:val="000000"/>
        </w:rPr>
        <w:t xml:space="preserve"> Avenida Lomas Verdes, tal como se ilustra:</w:t>
      </w:r>
    </w:p>
    <w:p w:rsidR="00F73A33" w:rsidRPr="00C3489C" w:rsidRDefault="00B51F40" w:rsidP="00B51F40">
      <w:pPr>
        <w:pStyle w:val="Prrafodelista"/>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sidRPr="00C3489C">
        <w:rPr>
          <w:rFonts w:ascii="Palatino Linotype" w:eastAsia="Palatino Linotype" w:hAnsi="Palatino Linotype" w:cs="Palatino Linotype"/>
          <w:noProof/>
          <w:color w:val="000000"/>
          <w:lang w:val="es-MX" w:eastAsia="es-MX"/>
        </w:rPr>
        <w:lastRenderedPageBreak/>
        <w:drawing>
          <wp:inline distT="0" distB="0" distL="0" distR="0" wp14:anchorId="5AB34937" wp14:editId="389CCB8D">
            <wp:extent cx="4434096" cy="39052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8738" cy="3909338"/>
                    </a:xfrm>
                    <a:prstGeom prst="rect">
                      <a:avLst/>
                    </a:prstGeom>
                  </pic:spPr>
                </pic:pic>
              </a:graphicData>
            </a:graphic>
          </wp:inline>
        </w:drawing>
      </w: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C3489C">
        <w:rPr>
          <w:rFonts w:ascii="Palatino Linotype" w:eastAsia="Palatino Linotype" w:hAnsi="Palatino Linotype" w:cs="Palatino Linotype"/>
          <w:color w:val="000000"/>
          <w:sz w:val="24"/>
        </w:rPr>
        <w:t xml:space="preserve">Ante la respuesta emitida por el </w:t>
      </w:r>
      <w:r w:rsidRPr="00C3489C">
        <w:rPr>
          <w:rFonts w:ascii="Palatino Linotype" w:eastAsia="Palatino Linotype" w:hAnsi="Palatino Linotype" w:cs="Palatino Linotype"/>
          <w:b/>
          <w:color w:val="000000"/>
          <w:sz w:val="24"/>
        </w:rPr>
        <w:t>Sujeto Obligado</w:t>
      </w:r>
      <w:r w:rsidRPr="00C3489C">
        <w:rPr>
          <w:rFonts w:ascii="Palatino Linotype" w:eastAsia="Palatino Linotype" w:hAnsi="Palatino Linotype" w:cs="Palatino Linotype"/>
          <w:color w:val="000000"/>
          <w:sz w:val="24"/>
        </w:rPr>
        <w:t xml:space="preserve">, el </w:t>
      </w:r>
      <w:r w:rsidRPr="00C3489C">
        <w:rPr>
          <w:rFonts w:ascii="Palatino Linotype" w:eastAsia="Palatino Linotype" w:hAnsi="Palatino Linotype" w:cs="Palatino Linotype"/>
          <w:b/>
          <w:color w:val="000000"/>
          <w:sz w:val="24"/>
        </w:rPr>
        <w:t>Recurrente</w:t>
      </w:r>
      <w:r w:rsidRPr="00C3489C">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C3489C">
        <w:rPr>
          <w:rFonts w:ascii="Palatino Linotype" w:hAnsi="Palatino Linotype"/>
          <w:i/>
          <w:sz w:val="24"/>
        </w:rPr>
        <w:t>“</w:t>
      </w:r>
      <w:r w:rsidR="00C6020F" w:rsidRPr="00C3489C">
        <w:rPr>
          <w:rFonts w:ascii="Palatino Linotype" w:hAnsi="Palatino Linotype"/>
          <w:i/>
          <w:sz w:val="24"/>
        </w:rPr>
        <w:t xml:space="preserve">ÚNICAMENTE RESPONDIERON PARCIALMENTE LA SECRETARÍA DEL AYUNTAMIENTO Y LA SUBDIRECCIÓN DE PATRIMONIO MUNICIPAL NO ME RESPONDIERON RESPECTO A LA INFORMACIÓN SIGUIENTE: DIRECCIÓN GENERAL DE DESARROLLO URBANO: a) Licencia de Uso del Suelo N° DUS-LUS/0308/2015 de fecha 25 de Marzo de 2015 b) Oficio N° DGDU/318/2014 de fecha 17 de Enero de 2014 c) Oficio N° DGDU/8139/2014 de fecha 04 de Diciembre de 2014 d) Oficio N° </w:t>
      </w:r>
      <w:r w:rsidR="00C6020F" w:rsidRPr="00C3489C">
        <w:rPr>
          <w:rFonts w:ascii="Palatino Linotype" w:hAnsi="Palatino Linotype"/>
          <w:i/>
          <w:sz w:val="24"/>
        </w:rPr>
        <w:lastRenderedPageBreak/>
        <w:t>DGDU/1868/2016 de fecha 02 de Mayo de 2016 e) Autorización de Cambio de Uso del Suelo N° CUS/015/2015 -SECRETARÍA DEL AYUNTAMIENTO</w:t>
      </w:r>
      <w:r w:rsidRPr="00C3489C">
        <w:rPr>
          <w:rFonts w:ascii="Palatino Linotype" w:hAnsi="Palatino Linotype"/>
          <w:i/>
          <w:sz w:val="24"/>
        </w:rPr>
        <w:t>” (Sic)</w:t>
      </w:r>
      <w:r w:rsidRPr="00C3489C">
        <w:rPr>
          <w:rFonts w:ascii="Palatino Linotype" w:hAnsi="Palatino Linotype" w:cs="Arial"/>
          <w:bCs/>
          <w:sz w:val="24"/>
        </w:rPr>
        <w:t xml:space="preserve">. </w:t>
      </w:r>
    </w:p>
    <w:p w:rsidR="00F73A33" w:rsidRPr="00C3489C" w:rsidRDefault="00F73A33"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C2754C" w:rsidRPr="00C3489C" w:rsidRDefault="00C6020F" w:rsidP="00C6020F">
      <w:pPr>
        <w:tabs>
          <w:tab w:val="left" w:pos="8789"/>
        </w:tabs>
        <w:spacing w:line="360" w:lineRule="auto"/>
        <w:ind w:right="49"/>
        <w:jc w:val="both"/>
        <w:rPr>
          <w:rFonts w:ascii="Palatino Linotype" w:eastAsia="Palatino Linotype" w:hAnsi="Palatino Linotype" w:cs="Palatino Linotype"/>
          <w:sz w:val="24"/>
        </w:rPr>
      </w:pPr>
      <w:r w:rsidRPr="00C3489C">
        <w:rPr>
          <w:rFonts w:ascii="Palatino Linotype" w:eastAsia="Palatino Linotype" w:hAnsi="Palatino Linotype" w:cs="Palatino Linotype"/>
          <w:sz w:val="24"/>
        </w:rPr>
        <w:t xml:space="preserve">En primer lugar, es de señalar que de los motivos de inconformidad en cita se aprecia que el particular únicamente se inconforma sobre </w:t>
      </w:r>
      <w:r w:rsidR="00C2754C" w:rsidRPr="00C3489C">
        <w:rPr>
          <w:rFonts w:ascii="Palatino Linotype" w:eastAsia="Palatino Linotype" w:hAnsi="Palatino Linotype" w:cs="Palatino Linotype"/>
          <w:sz w:val="24"/>
        </w:rPr>
        <w:t>el punto 1</w:t>
      </w:r>
      <w:r w:rsidRPr="00C3489C">
        <w:rPr>
          <w:rFonts w:ascii="Palatino Linotype" w:eastAsia="Palatino Linotype" w:hAnsi="Palatino Linotype" w:cs="Palatino Linotype"/>
          <w:sz w:val="24"/>
        </w:rPr>
        <w:t>, sin que se aprecie i</w:t>
      </w:r>
      <w:r w:rsidR="00C2754C" w:rsidRPr="00C3489C">
        <w:rPr>
          <w:rFonts w:ascii="Palatino Linotype" w:eastAsia="Palatino Linotype" w:hAnsi="Palatino Linotype" w:cs="Palatino Linotype"/>
          <w:sz w:val="24"/>
        </w:rPr>
        <w:t>nconformidad alguna respecto de los puntos 2 y 3.</w:t>
      </w:r>
    </w:p>
    <w:p w:rsidR="00C6020F" w:rsidRPr="00C3489C" w:rsidRDefault="00C6020F" w:rsidP="00C6020F">
      <w:pPr>
        <w:tabs>
          <w:tab w:val="left" w:pos="8789"/>
        </w:tabs>
        <w:spacing w:line="360" w:lineRule="auto"/>
        <w:ind w:right="49"/>
        <w:jc w:val="both"/>
        <w:rPr>
          <w:rFonts w:ascii="Palatino Linotype" w:hAnsi="Palatino Linotype"/>
          <w:i/>
        </w:rPr>
      </w:pPr>
      <w:r w:rsidRPr="00C3489C">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p>
    <w:p w:rsidR="00C6020F" w:rsidRPr="00C3489C" w:rsidRDefault="00C6020F" w:rsidP="00C6020F">
      <w:pPr>
        <w:tabs>
          <w:tab w:val="left" w:pos="851"/>
        </w:tabs>
        <w:ind w:left="851" w:right="616"/>
        <w:jc w:val="both"/>
        <w:rPr>
          <w:rFonts w:ascii="Palatino Linotype" w:eastAsia="Palatino Linotype" w:hAnsi="Palatino Linotype" w:cs="Palatino Linotype"/>
          <w:i/>
        </w:rPr>
      </w:pPr>
      <w:r w:rsidRPr="00C3489C">
        <w:rPr>
          <w:rFonts w:ascii="Palatino Linotype" w:eastAsia="Palatino Linotype" w:hAnsi="Palatino Linotype" w:cs="Palatino Linotype"/>
          <w:b/>
          <w:i/>
        </w:rPr>
        <w:t xml:space="preserve">“ACTOS CONSENTIDOS. SON LOS QUE NO SE IMPUGNAN MEDIANTE EL RECURSO IDÓNEO. </w:t>
      </w:r>
      <w:r w:rsidRPr="00C3489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6020F" w:rsidRPr="00C3489C" w:rsidRDefault="00C6020F" w:rsidP="00C6020F">
      <w:pPr>
        <w:spacing w:before="280" w:after="280" w:line="360" w:lineRule="auto"/>
        <w:jc w:val="both"/>
        <w:rPr>
          <w:rFonts w:ascii="Palatino Linotype" w:eastAsia="Palatino Linotype" w:hAnsi="Palatino Linotype" w:cs="Palatino Linotype"/>
          <w:sz w:val="24"/>
        </w:rPr>
      </w:pPr>
      <w:r w:rsidRPr="00C3489C">
        <w:rPr>
          <w:rFonts w:ascii="Palatino Linotype" w:eastAsia="Palatino Linotype" w:hAnsi="Palatino Linotype" w:cs="Palatino Linotype"/>
          <w:sz w:val="24"/>
        </w:rPr>
        <w:t xml:space="preserve">De la interpretación del criterio antes citado, se advierte que cuando el particular impugnó la respuesta del </w:t>
      </w:r>
      <w:r w:rsidRPr="00C3489C">
        <w:rPr>
          <w:rFonts w:ascii="Palatino Linotype" w:eastAsia="Palatino Linotype" w:hAnsi="Palatino Linotype" w:cs="Palatino Linotype"/>
          <w:b/>
          <w:sz w:val="24"/>
        </w:rPr>
        <w:t>SUJETO OBLIGADO</w:t>
      </w:r>
      <w:r w:rsidRPr="00C3489C">
        <w:rPr>
          <w:rFonts w:ascii="Palatino Linotype" w:eastAsia="Palatino Linotype" w:hAnsi="Palatino Linotype" w:cs="Palatino Linotype"/>
          <w:sz w:val="24"/>
        </w:rPr>
        <w:t>, no expresó razón o motivo de inconformidad en contra de todos los rubros solicitados, por tanto, estos deben declararse atendidos.</w:t>
      </w:r>
    </w:p>
    <w:p w:rsidR="00C6020F" w:rsidRPr="00C3489C" w:rsidRDefault="00C6020F" w:rsidP="00C6020F">
      <w:pPr>
        <w:spacing w:before="280" w:after="280" w:line="360" w:lineRule="auto"/>
        <w:jc w:val="both"/>
        <w:rPr>
          <w:rFonts w:ascii="Palatino Linotype" w:eastAsia="Palatino Linotype" w:hAnsi="Palatino Linotype" w:cs="Palatino Linotype"/>
          <w:sz w:val="24"/>
        </w:rPr>
      </w:pPr>
      <w:r w:rsidRPr="00C3489C">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rsidR="00C6020F" w:rsidRPr="00C3489C" w:rsidRDefault="00C6020F" w:rsidP="00C6020F">
      <w:pPr>
        <w:tabs>
          <w:tab w:val="left" w:pos="7937"/>
          <w:tab w:val="left" w:pos="8222"/>
        </w:tabs>
        <w:ind w:left="851" w:right="901"/>
        <w:jc w:val="both"/>
        <w:rPr>
          <w:rFonts w:ascii="Palatino Linotype" w:eastAsia="Palatino Linotype" w:hAnsi="Palatino Linotype" w:cs="Palatino Linotype"/>
          <w:i/>
        </w:rPr>
      </w:pPr>
      <w:r w:rsidRPr="00C3489C">
        <w:rPr>
          <w:rFonts w:ascii="Palatino Linotype" w:eastAsia="Palatino Linotype" w:hAnsi="Palatino Linotype" w:cs="Palatino Linotype"/>
          <w:b/>
          <w:i/>
        </w:rPr>
        <w:t xml:space="preserve">“REVISIÓN EN AMPARO. LOS RESOLUTIVOS NO COMBATIDOS DEBEN DECLARARSE FIRMES. </w:t>
      </w:r>
      <w:r w:rsidRPr="00C3489C">
        <w:rPr>
          <w:rFonts w:ascii="Palatino Linotype" w:eastAsia="Palatino Linotype" w:hAnsi="Palatino Linotype" w:cs="Palatino Linotype"/>
          <w:i/>
        </w:rPr>
        <w:t xml:space="preserve">Cuando algún resolutivo de la sentencia </w:t>
      </w:r>
      <w:r w:rsidRPr="00C3489C">
        <w:rPr>
          <w:rFonts w:ascii="Palatino Linotype" w:eastAsia="Palatino Linotype" w:hAnsi="Palatino Linotype" w:cs="Palatino Linotype"/>
          <w:i/>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6020F" w:rsidRPr="00C3489C" w:rsidRDefault="00C6020F" w:rsidP="00C6020F">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C3489C">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rsidR="00C6020F" w:rsidRPr="00C3489C" w:rsidRDefault="00C6020F" w:rsidP="00C6020F">
      <w:pPr>
        <w:pStyle w:val="INFOEM"/>
        <w:spacing w:line="240" w:lineRule="auto"/>
      </w:pPr>
      <w:r w:rsidRPr="00C3489C">
        <w:rPr>
          <w:b/>
        </w:rPr>
        <w:t>Actos consentidos tácitamente. Improcedencia de su análisis</w:t>
      </w:r>
      <w:r w:rsidRPr="00C3489C">
        <w:t>.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C2754C" w:rsidRPr="00C3489C" w:rsidRDefault="00C2754C" w:rsidP="00C6020F">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p>
    <w:p w:rsidR="00C6020F" w:rsidRPr="00C3489C" w:rsidRDefault="00C6020F" w:rsidP="00C6020F">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C3489C">
        <w:rPr>
          <w:rFonts w:ascii="Palatino Linotype" w:eastAsia="Palatino Linotype" w:hAnsi="Palatino Linotype" w:cs="Palatino Linotype"/>
          <w:sz w:val="24"/>
        </w:rPr>
        <w:t xml:space="preserve">Por lo que, al no haberse inconformado sobre todos los rubros solicitados, se consideran actos consentidos y, por tanto, se tienen por colmados dichos rubros de la solicitud. </w:t>
      </w:r>
    </w:p>
    <w:p w:rsidR="00C6020F" w:rsidRPr="00C3489C" w:rsidRDefault="00C6020F" w:rsidP="00F73A33">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rsidR="00F73A33" w:rsidRPr="00C3489C" w:rsidRDefault="00F73A33" w:rsidP="00F73A33">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r w:rsidRPr="00C3489C">
        <w:rPr>
          <w:rFonts w:ascii="Palatino Linotype" w:eastAsia="Calibri" w:hAnsi="Palatino Linotype" w:cs="Calibri"/>
          <w:sz w:val="24"/>
          <w:lang w:val="es-ES_tradnl" w:eastAsia="es-MX"/>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w:t>
      </w:r>
      <w:r w:rsidRPr="00C3489C">
        <w:rPr>
          <w:rFonts w:ascii="Palatino Linotype" w:eastAsia="Calibri" w:hAnsi="Palatino Linotype" w:cs="Calibri"/>
          <w:sz w:val="24"/>
          <w:lang w:val="es-ES_tradnl" w:eastAsia="es-MX"/>
        </w:rPr>
        <w:lastRenderedPageBreak/>
        <w:t>llevaron a emitir la respuesta que ahora se impugna; no obstante, la falta de informe justificado no es óbice para que este Órgano Garante conozca y resuelva el recurso de revisión.</w:t>
      </w:r>
    </w:p>
    <w:p w:rsidR="00F73A33" w:rsidRPr="00C3489C" w:rsidRDefault="00F73A33" w:rsidP="00F73A33">
      <w:pPr>
        <w:pBdr>
          <w:top w:val="nil"/>
          <w:left w:val="nil"/>
          <w:bottom w:val="nil"/>
          <w:right w:val="nil"/>
          <w:between w:val="nil"/>
        </w:pBdr>
        <w:spacing w:after="0" w:line="360" w:lineRule="auto"/>
        <w:contextualSpacing/>
        <w:jc w:val="both"/>
        <w:rPr>
          <w:rFonts w:ascii="Palatino Linotype" w:eastAsia="Calibri" w:hAnsi="Palatino Linotype" w:cs="Calibri"/>
          <w:sz w:val="24"/>
          <w:lang w:val="es-ES_tradnl" w:eastAsia="es-MX"/>
        </w:rPr>
      </w:pPr>
    </w:p>
    <w:p w:rsidR="00F73A33" w:rsidRPr="00C3489C" w:rsidRDefault="00F73A33" w:rsidP="00F73A33">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s-ES_tradnl" w:eastAsia="es-MX"/>
        </w:rPr>
      </w:pPr>
      <w:r w:rsidRPr="00C3489C">
        <w:rPr>
          <w:rFonts w:ascii="Palatino Linotype" w:eastAsia="Palatino Linotype" w:hAnsi="Palatino Linotype" w:cs="Palatino Linotype"/>
          <w:color w:val="000000"/>
          <w:sz w:val="24"/>
          <w:szCs w:val="24"/>
          <w:lang w:val="es-ES_tradnl" w:eastAsia="es-MX"/>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F73A33" w:rsidRPr="00C3489C" w:rsidRDefault="00F73A33" w:rsidP="00F73A33">
      <w:pPr>
        <w:spacing w:after="0" w:line="360" w:lineRule="auto"/>
        <w:jc w:val="both"/>
        <w:rPr>
          <w:rFonts w:ascii="Palatino Linotype" w:hAnsi="Palatino Linotype"/>
          <w:color w:val="000000"/>
          <w:sz w:val="24"/>
          <w:szCs w:val="24"/>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14"/>
        <w:gridCol w:w="3013"/>
        <w:gridCol w:w="3015"/>
      </w:tblGrid>
      <w:tr w:rsidR="00F73A33" w:rsidRPr="00C3489C" w:rsidTr="007D38A3">
        <w:trPr>
          <w:trHeight w:val="828"/>
        </w:trPr>
        <w:tc>
          <w:tcPr>
            <w:tcW w:w="3014" w:type="dxa"/>
            <w:shd w:val="clear" w:color="auto" w:fill="E7E6E6" w:themeFill="background2"/>
          </w:tcPr>
          <w:p w:rsidR="00F73A33" w:rsidRPr="00C3489C" w:rsidRDefault="00F73A3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Requerimientos</w:t>
            </w:r>
          </w:p>
        </w:tc>
        <w:tc>
          <w:tcPr>
            <w:tcW w:w="3013" w:type="dxa"/>
            <w:shd w:val="clear" w:color="auto" w:fill="E7E6E6" w:themeFill="background2"/>
          </w:tcPr>
          <w:p w:rsidR="00F73A33" w:rsidRPr="00C3489C" w:rsidRDefault="00F73A3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Respuesta</w:t>
            </w:r>
          </w:p>
        </w:tc>
        <w:tc>
          <w:tcPr>
            <w:tcW w:w="3015" w:type="dxa"/>
            <w:shd w:val="clear" w:color="auto" w:fill="E7E6E6" w:themeFill="background2"/>
          </w:tcPr>
          <w:p w:rsidR="00F73A33" w:rsidRPr="00C3489C" w:rsidRDefault="00F73A3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Colma</w:t>
            </w:r>
          </w:p>
        </w:tc>
      </w:tr>
      <w:tr w:rsidR="00F73A33" w:rsidRPr="00C3489C" w:rsidTr="007D38A3">
        <w:trPr>
          <w:trHeight w:val="828"/>
        </w:trPr>
        <w:tc>
          <w:tcPr>
            <w:tcW w:w="3014" w:type="dxa"/>
          </w:tcPr>
          <w:p w:rsidR="00C2754C" w:rsidRPr="00C3489C" w:rsidRDefault="00C2754C" w:rsidP="007D38A3">
            <w:pPr>
              <w:pStyle w:val="Prrafodelista"/>
              <w:numPr>
                <w:ilvl w:val="0"/>
                <w:numId w:val="16"/>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
                <w:bCs/>
              </w:rPr>
              <w:t xml:space="preserve">Dirección General de Desarrollo Urbano: </w:t>
            </w:r>
          </w:p>
          <w:p w:rsidR="00C2754C" w:rsidRPr="00C3489C" w:rsidRDefault="00C2754C" w:rsidP="007D38A3">
            <w:pPr>
              <w:pStyle w:val="Prrafodelista"/>
              <w:numPr>
                <w:ilvl w:val="0"/>
                <w:numId w:val="17"/>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 xml:space="preserve">Licencia de Uso del Suelo N° DUS-LUS/0308/2015 de fecha 25 de Marzo de 2015 </w:t>
            </w:r>
          </w:p>
          <w:p w:rsidR="00C2754C" w:rsidRPr="00C3489C" w:rsidRDefault="00C2754C" w:rsidP="007D38A3">
            <w:pPr>
              <w:pStyle w:val="Prrafodelista"/>
              <w:numPr>
                <w:ilvl w:val="0"/>
                <w:numId w:val="17"/>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 xml:space="preserve">Oficio N° DGDU/318/2014 de fecha 17 de Enero de 2014 </w:t>
            </w:r>
          </w:p>
          <w:p w:rsidR="00C2754C" w:rsidRPr="00C3489C" w:rsidRDefault="00C2754C" w:rsidP="007D38A3">
            <w:pPr>
              <w:pStyle w:val="Prrafodelista"/>
              <w:numPr>
                <w:ilvl w:val="0"/>
                <w:numId w:val="17"/>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 xml:space="preserve">Oficio N° DGDU/8139/2014 de fecha 04 de Diciembre de 2014 </w:t>
            </w:r>
          </w:p>
          <w:p w:rsidR="00C2754C" w:rsidRPr="00C3489C" w:rsidRDefault="00C2754C" w:rsidP="007D38A3">
            <w:pPr>
              <w:pStyle w:val="Prrafodelista"/>
              <w:numPr>
                <w:ilvl w:val="0"/>
                <w:numId w:val="17"/>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lastRenderedPageBreak/>
              <w:t xml:space="preserve">Oficio N° DGDU/1868/2016 de fecha 02 de Mayo de 2016 </w:t>
            </w:r>
          </w:p>
          <w:p w:rsidR="00C2754C" w:rsidRPr="00C3489C" w:rsidRDefault="00C2754C" w:rsidP="007D38A3">
            <w:pPr>
              <w:pStyle w:val="Prrafodelista"/>
              <w:numPr>
                <w:ilvl w:val="0"/>
                <w:numId w:val="17"/>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 xml:space="preserve">Autorización de Cambio de Uso del Suelo N° CUS/015/2015 </w:t>
            </w:r>
          </w:p>
          <w:p w:rsidR="00F73A33" w:rsidRPr="00C3489C" w:rsidRDefault="00F73A33" w:rsidP="007D38A3">
            <w:pPr>
              <w:spacing w:line="276" w:lineRule="auto"/>
              <w:jc w:val="both"/>
              <w:rPr>
                <w:rFonts w:ascii="Palatino Linotype" w:hAnsi="Palatino Linotype"/>
                <w:color w:val="000000"/>
                <w:sz w:val="24"/>
                <w:szCs w:val="24"/>
              </w:rPr>
            </w:pPr>
          </w:p>
        </w:tc>
        <w:tc>
          <w:tcPr>
            <w:tcW w:w="3013" w:type="dxa"/>
          </w:tcPr>
          <w:p w:rsidR="00F73A33" w:rsidRPr="00C3489C" w:rsidRDefault="007D38A3" w:rsidP="007D38A3">
            <w:pPr>
              <w:spacing w:line="360" w:lineRule="auto"/>
              <w:jc w:val="center"/>
              <w:rPr>
                <w:rFonts w:ascii="Palatino Linotype" w:hAnsi="Palatino Linotype"/>
                <w:color w:val="000000"/>
                <w:sz w:val="24"/>
                <w:szCs w:val="24"/>
              </w:rPr>
            </w:pPr>
            <w:r w:rsidRPr="00C3489C">
              <w:rPr>
                <w:rFonts w:ascii="Palatino Linotype" w:hAnsi="Palatino Linotype"/>
                <w:color w:val="000000"/>
                <w:sz w:val="24"/>
                <w:szCs w:val="24"/>
              </w:rPr>
              <w:lastRenderedPageBreak/>
              <w:t>No se pronunció</w:t>
            </w:r>
          </w:p>
        </w:tc>
        <w:tc>
          <w:tcPr>
            <w:tcW w:w="3015" w:type="dxa"/>
          </w:tcPr>
          <w:p w:rsidR="00F73A33" w:rsidRPr="00C3489C" w:rsidRDefault="007D38A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 xml:space="preserve">No colma </w:t>
            </w:r>
          </w:p>
        </w:tc>
      </w:tr>
      <w:tr w:rsidR="00C2754C" w:rsidRPr="00C3489C" w:rsidTr="007D38A3">
        <w:trPr>
          <w:trHeight w:val="828"/>
        </w:trPr>
        <w:tc>
          <w:tcPr>
            <w:tcW w:w="3014" w:type="dxa"/>
          </w:tcPr>
          <w:p w:rsidR="00C2754C" w:rsidRPr="00C3489C" w:rsidRDefault="00C2754C" w:rsidP="007D38A3">
            <w:pPr>
              <w:pStyle w:val="Prrafodelista"/>
              <w:numPr>
                <w:ilvl w:val="0"/>
                <w:numId w:val="16"/>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
                <w:bCs/>
              </w:rPr>
              <w:t xml:space="preserve">Secretaría del Ayuntamiento </w:t>
            </w:r>
          </w:p>
          <w:p w:rsidR="00C2754C" w:rsidRPr="00C3489C" w:rsidRDefault="00C2754C" w:rsidP="007D38A3">
            <w:pPr>
              <w:pStyle w:val="Prrafodelista"/>
              <w:numPr>
                <w:ilvl w:val="0"/>
                <w:numId w:val="18"/>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Acta de la LIII Sesión de Cabildo de fecha 10 de Febrero de 1977, relativa a la Súper Avenida Lomas Verdes.</w:t>
            </w:r>
          </w:p>
          <w:p w:rsidR="00C2754C" w:rsidRPr="00C3489C" w:rsidRDefault="00C2754C" w:rsidP="007D38A3">
            <w:pPr>
              <w:pStyle w:val="Prrafodelista"/>
              <w:numPr>
                <w:ilvl w:val="0"/>
                <w:numId w:val="18"/>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Acta de la LXIV Sesión de Cabildo de fecha 19 de Mayo de 1977, relativa a la Súper Avenida Lomas Verdes.</w:t>
            </w:r>
          </w:p>
          <w:p w:rsidR="00C2754C" w:rsidRPr="00C3489C" w:rsidRDefault="00C2754C" w:rsidP="007D38A3">
            <w:pPr>
              <w:spacing w:line="276" w:lineRule="auto"/>
              <w:jc w:val="both"/>
              <w:rPr>
                <w:rFonts w:ascii="Palatino Linotype" w:hAnsi="Palatino Linotype"/>
                <w:color w:val="000000"/>
                <w:sz w:val="24"/>
                <w:szCs w:val="24"/>
              </w:rPr>
            </w:pPr>
          </w:p>
        </w:tc>
        <w:tc>
          <w:tcPr>
            <w:tcW w:w="3013" w:type="dxa"/>
          </w:tcPr>
          <w:p w:rsidR="00C2754C" w:rsidRPr="00C3489C" w:rsidRDefault="007D38A3" w:rsidP="00550B2E">
            <w:pPr>
              <w:spacing w:line="360" w:lineRule="auto"/>
              <w:jc w:val="both"/>
              <w:rPr>
                <w:rFonts w:ascii="Palatino Linotype" w:eastAsia="Palatino Linotype" w:hAnsi="Palatino Linotype" w:cs="Palatino Linotype"/>
                <w:color w:val="000000"/>
              </w:rPr>
            </w:pPr>
            <w:r w:rsidRPr="00C3489C">
              <w:rPr>
                <w:rFonts w:ascii="Palatino Linotype" w:eastAsia="Palatino Linotype" w:hAnsi="Palatino Linotype" w:cs="Palatino Linotype"/>
                <w:color w:val="000000"/>
              </w:rPr>
              <w:t xml:space="preserve">Acta de Cabildo, de fecha </w:t>
            </w:r>
            <w:r w:rsidRPr="00C3489C">
              <w:rPr>
                <w:rFonts w:ascii="Palatino Linotype" w:eastAsia="Palatino Linotype" w:hAnsi="Palatino Linotype" w:cs="Palatino Linotype"/>
                <w:b/>
                <w:color w:val="000000"/>
              </w:rPr>
              <w:t>diez de febrero de mil novecientos setenta y siete</w:t>
            </w:r>
            <w:r w:rsidRPr="00C3489C">
              <w:rPr>
                <w:rFonts w:ascii="Palatino Linotype" w:eastAsia="Palatino Linotype" w:hAnsi="Palatino Linotype" w:cs="Palatino Linotype"/>
                <w:color w:val="000000"/>
              </w:rPr>
              <w:t>, en la que entre otros puntos se trató la prolongación  o ampliación de la Avenida Lomas Verdes.</w:t>
            </w:r>
          </w:p>
          <w:p w:rsidR="007D38A3" w:rsidRPr="00C3489C" w:rsidRDefault="007D38A3" w:rsidP="00550B2E">
            <w:pPr>
              <w:spacing w:line="360" w:lineRule="auto"/>
              <w:jc w:val="both"/>
              <w:rPr>
                <w:rFonts w:ascii="Palatino Linotype" w:eastAsia="Palatino Linotype" w:hAnsi="Palatino Linotype" w:cs="Palatino Linotype"/>
                <w:color w:val="000000"/>
              </w:rPr>
            </w:pPr>
          </w:p>
          <w:p w:rsidR="007D38A3" w:rsidRPr="00C3489C" w:rsidRDefault="007D38A3" w:rsidP="00550B2E">
            <w:pPr>
              <w:spacing w:line="360" w:lineRule="auto"/>
              <w:jc w:val="both"/>
              <w:rPr>
                <w:rFonts w:ascii="Palatino Linotype" w:hAnsi="Palatino Linotype"/>
                <w:color w:val="000000"/>
                <w:sz w:val="24"/>
                <w:szCs w:val="24"/>
              </w:rPr>
            </w:pPr>
            <w:r w:rsidRPr="00C3489C">
              <w:rPr>
                <w:rFonts w:ascii="Palatino Linotype" w:eastAsia="Palatino Linotype" w:hAnsi="Palatino Linotype" w:cs="Palatino Linotype"/>
                <w:color w:val="000000"/>
              </w:rPr>
              <w:t xml:space="preserve">Acta de Cabildo, de fecha </w:t>
            </w:r>
            <w:r w:rsidRPr="00C3489C">
              <w:rPr>
                <w:rFonts w:ascii="Palatino Linotype" w:eastAsia="Palatino Linotype" w:hAnsi="Palatino Linotype" w:cs="Palatino Linotype"/>
                <w:b/>
                <w:color w:val="000000"/>
              </w:rPr>
              <w:t>diecinueve de mayo de mil novecientos setenta y siete,</w:t>
            </w:r>
            <w:r w:rsidRPr="00C3489C">
              <w:rPr>
                <w:rFonts w:ascii="Palatino Linotype" w:eastAsia="Palatino Linotype" w:hAnsi="Palatino Linotype" w:cs="Palatino Linotype"/>
                <w:color w:val="000000"/>
              </w:rPr>
              <w:t xml:space="preserve"> en la que entre otros puntos se trató la autorización del proyecto para la prolongación  de la Súper Avenida Lomas Verdes</w:t>
            </w:r>
          </w:p>
        </w:tc>
        <w:tc>
          <w:tcPr>
            <w:tcW w:w="3015" w:type="dxa"/>
          </w:tcPr>
          <w:p w:rsidR="00C2754C" w:rsidRPr="00C3489C" w:rsidRDefault="007D38A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Colma</w:t>
            </w:r>
          </w:p>
          <w:p w:rsidR="007D38A3" w:rsidRPr="00C3489C" w:rsidRDefault="007D38A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Actos consentidos</w:t>
            </w:r>
          </w:p>
        </w:tc>
      </w:tr>
      <w:tr w:rsidR="00C2754C" w:rsidRPr="00C3489C" w:rsidTr="007D38A3">
        <w:trPr>
          <w:trHeight w:val="828"/>
        </w:trPr>
        <w:tc>
          <w:tcPr>
            <w:tcW w:w="3014" w:type="dxa"/>
          </w:tcPr>
          <w:p w:rsidR="007D38A3" w:rsidRPr="00C3489C" w:rsidRDefault="007D38A3" w:rsidP="007D38A3">
            <w:pPr>
              <w:pStyle w:val="Prrafodelista"/>
              <w:numPr>
                <w:ilvl w:val="0"/>
                <w:numId w:val="16"/>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
                <w:bCs/>
              </w:rPr>
              <w:lastRenderedPageBreak/>
              <w:t xml:space="preserve">Secretaría del Ayuntamiento (Subdirección de Patrimonio Municipal) </w:t>
            </w:r>
          </w:p>
          <w:p w:rsidR="007D38A3" w:rsidRPr="00C3489C" w:rsidRDefault="007D38A3" w:rsidP="007D38A3">
            <w:pPr>
              <w:pStyle w:val="Prrafodelista"/>
              <w:numPr>
                <w:ilvl w:val="0"/>
                <w:numId w:val="20"/>
              </w:numPr>
              <w:tabs>
                <w:tab w:val="left" w:pos="1828"/>
              </w:tabs>
              <w:spacing w:before="240" w:line="276" w:lineRule="auto"/>
              <w:ind w:left="303"/>
              <w:jc w:val="both"/>
              <w:rPr>
                <w:rFonts w:ascii="Palatino Linotype" w:hAnsi="Palatino Linotype" w:cs="Arial"/>
                <w:b/>
              </w:rPr>
            </w:pPr>
            <w:r w:rsidRPr="00C3489C">
              <w:rPr>
                <w:rFonts w:ascii="Palatino Linotype" w:hAnsi="Palatino Linotype" w:cs="Tahoma"/>
                <w:bCs/>
              </w:rPr>
              <w:t xml:space="preserve">Oficio N° SHA/SPM/077/2014 de fecha 14 de Enero de 2014 </w:t>
            </w:r>
          </w:p>
          <w:p w:rsidR="00C2754C" w:rsidRPr="00C3489C" w:rsidRDefault="00C2754C" w:rsidP="007D38A3">
            <w:pPr>
              <w:spacing w:line="276" w:lineRule="auto"/>
              <w:jc w:val="both"/>
              <w:rPr>
                <w:rFonts w:ascii="Palatino Linotype" w:hAnsi="Palatino Linotype"/>
                <w:color w:val="000000"/>
                <w:sz w:val="24"/>
                <w:szCs w:val="24"/>
              </w:rPr>
            </w:pPr>
          </w:p>
        </w:tc>
        <w:tc>
          <w:tcPr>
            <w:tcW w:w="3013" w:type="dxa"/>
          </w:tcPr>
          <w:p w:rsidR="00C2754C" w:rsidRPr="00C3489C" w:rsidRDefault="007D38A3" w:rsidP="007D38A3">
            <w:pPr>
              <w:spacing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 xml:space="preserve">Oficio </w:t>
            </w:r>
            <w:r w:rsidRPr="00C3489C">
              <w:rPr>
                <w:rFonts w:ascii="Palatino Linotype" w:eastAsia="Palatino Linotype" w:hAnsi="Palatino Linotype" w:cs="Palatino Linotype"/>
                <w:color w:val="000000"/>
              </w:rPr>
              <w:t>número SHA/SPM/077/2014, de fecha catorce de enero de dos mil catorce, suscrito por el Director de Patrimonio Cultural, dirigido al Director General de Desarrollo Urbano, en el que informa la situación legal de un predio ubicado en Calle Paseo de Lomas Verdes.</w:t>
            </w:r>
          </w:p>
        </w:tc>
        <w:tc>
          <w:tcPr>
            <w:tcW w:w="3015" w:type="dxa"/>
          </w:tcPr>
          <w:p w:rsidR="00C2754C" w:rsidRPr="00C3489C" w:rsidRDefault="007D38A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Colma</w:t>
            </w:r>
          </w:p>
          <w:p w:rsidR="007D38A3" w:rsidRPr="00C3489C" w:rsidRDefault="007D38A3" w:rsidP="00550B2E">
            <w:pPr>
              <w:spacing w:line="360" w:lineRule="auto"/>
              <w:jc w:val="center"/>
              <w:rPr>
                <w:rFonts w:ascii="Palatino Linotype" w:hAnsi="Palatino Linotype"/>
                <w:b/>
                <w:i/>
                <w:color w:val="000000"/>
                <w:sz w:val="24"/>
                <w:szCs w:val="24"/>
              </w:rPr>
            </w:pPr>
            <w:r w:rsidRPr="00C3489C">
              <w:rPr>
                <w:rFonts w:ascii="Palatino Linotype" w:hAnsi="Palatino Linotype"/>
                <w:b/>
                <w:i/>
                <w:color w:val="000000"/>
                <w:sz w:val="24"/>
                <w:szCs w:val="24"/>
              </w:rPr>
              <w:t xml:space="preserve">Actos consentidos </w:t>
            </w:r>
          </w:p>
          <w:p w:rsidR="007D38A3" w:rsidRPr="00C3489C" w:rsidRDefault="007D38A3" w:rsidP="007D38A3">
            <w:pPr>
              <w:spacing w:line="360" w:lineRule="auto"/>
              <w:rPr>
                <w:rFonts w:ascii="Palatino Linotype" w:hAnsi="Palatino Linotype"/>
                <w:b/>
                <w:i/>
                <w:color w:val="000000"/>
                <w:sz w:val="24"/>
                <w:szCs w:val="24"/>
              </w:rPr>
            </w:pPr>
          </w:p>
        </w:tc>
      </w:tr>
    </w:tbl>
    <w:p w:rsidR="00F73A33" w:rsidRPr="00C3489C" w:rsidRDefault="00F73A33" w:rsidP="00F73A33">
      <w:pPr>
        <w:spacing w:after="0" w:line="360" w:lineRule="auto"/>
        <w:jc w:val="both"/>
        <w:rPr>
          <w:rFonts w:ascii="Palatino Linotype" w:hAnsi="Palatino Linotype"/>
          <w:color w:val="000000"/>
          <w:sz w:val="24"/>
          <w:szCs w:val="24"/>
        </w:rPr>
      </w:pPr>
    </w:p>
    <w:p w:rsidR="00F73A33" w:rsidRPr="00C3489C" w:rsidRDefault="00A00F07"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De lo anterior, se puede apreciar que los puntos 2 y 3 fueron colmados por el Sujeto Obligado, al entregar los oficios y actas requeridos por el hoy Recurrente.</w:t>
      </w:r>
    </w:p>
    <w:p w:rsidR="00A00F07" w:rsidRPr="00C3489C" w:rsidRDefault="00A00F07" w:rsidP="00F73A33">
      <w:pPr>
        <w:spacing w:after="0" w:line="360" w:lineRule="auto"/>
        <w:jc w:val="both"/>
        <w:rPr>
          <w:rFonts w:ascii="Palatino Linotype" w:hAnsi="Palatino Linotype"/>
          <w:color w:val="000000"/>
          <w:sz w:val="24"/>
          <w:szCs w:val="24"/>
        </w:rPr>
      </w:pPr>
    </w:p>
    <w:p w:rsidR="00A00F07" w:rsidRPr="00C3489C" w:rsidRDefault="00A00F07"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Por lo que hace al punto 1, el Sujeto Obligado no emitió pronunciamiento alguno, máxime que a la Dirección de Desarrollo Urbano le corresponde emitir las licencias de Uso de Suelo</w:t>
      </w:r>
      <w:r w:rsidR="00D81697" w:rsidRPr="00C3489C">
        <w:rPr>
          <w:rFonts w:ascii="Palatino Linotype" w:hAnsi="Palatino Linotype"/>
          <w:color w:val="000000"/>
          <w:sz w:val="24"/>
          <w:szCs w:val="24"/>
        </w:rPr>
        <w:t xml:space="preserve"> y Construcción</w:t>
      </w:r>
      <w:r w:rsidRPr="00C3489C">
        <w:rPr>
          <w:rFonts w:ascii="Palatino Linotype" w:hAnsi="Palatino Linotype"/>
          <w:color w:val="000000"/>
          <w:sz w:val="24"/>
          <w:szCs w:val="24"/>
        </w:rPr>
        <w:t>, de acuerdo con el Reglamento Orgánico de la Administración Pública Municipal de Naucalpan de Juárez, precepto normativo que establece lo siguiente:</w:t>
      </w:r>
    </w:p>
    <w:p w:rsidR="00D81697" w:rsidRPr="00C3489C" w:rsidRDefault="00D81697" w:rsidP="00D81697">
      <w:pPr>
        <w:pStyle w:val="INFOEM"/>
        <w:rPr>
          <w:b/>
        </w:rPr>
      </w:pPr>
      <w:r w:rsidRPr="00C3489C">
        <w:rPr>
          <w:b/>
        </w:rPr>
        <w:t xml:space="preserve">Artículo 52.- La Dirección General de Desarrollo Urbano, estará a cargo de un titular, que se denominará Directora o Director General de Desarrollo Urbano y tendrá las siguientes atribuciones: </w:t>
      </w:r>
    </w:p>
    <w:p w:rsidR="00D81697" w:rsidRPr="00C3489C" w:rsidRDefault="00D81697" w:rsidP="00D81697">
      <w:pPr>
        <w:pStyle w:val="INFOEM"/>
      </w:pPr>
      <w:r w:rsidRPr="00C3489C">
        <w:t xml:space="preserve">(…) </w:t>
      </w:r>
    </w:p>
    <w:p w:rsidR="00D81697" w:rsidRPr="00C3489C" w:rsidRDefault="00D81697" w:rsidP="00D81697">
      <w:pPr>
        <w:pStyle w:val="INFOEM"/>
      </w:pPr>
      <w:r w:rsidRPr="00C3489C">
        <w:lastRenderedPageBreak/>
        <w:t>I. Vigilar que la ocupación, la utilización y aprovechamiento del suelo en el Municipio sea congruente con el Plan de Desarrollo Urbano Municipal vigente;</w:t>
      </w:r>
      <w:r w:rsidRPr="00C3489C">
        <w:cr/>
      </w:r>
      <w:r w:rsidRPr="00C3489C">
        <w:rPr>
          <w:b/>
        </w:rPr>
        <w:t xml:space="preserve"> </w:t>
      </w:r>
      <w:r w:rsidRPr="00C3489C">
        <w:t>(…)</w:t>
      </w:r>
    </w:p>
    <w:p w:rsidR="00D81697" w:rsidRPr="00C3489C" w:rsidRDefault="00D81697" w:rsidP="00D81697">
      <w:pPr>
        <w:pStyle w:val="INFOEM"/>
      </w:pPr>
      <w:r w:rsidRPr="00C3489C">
        <w:t xml:space="preserve">XIV. </w:t>
      </w:r>
      <w:r w:rsidRPr="00C3489C">
        <w:rPr>
          <w:b/>
        </w:rPr>
        <w:t>Expedir la autorización de Cambio de Uso de Suelo, de Densidad e Intensidad y Altura de edificaciones, la Licencia de Uso de Suelo que requiera de Evaluación de Impacto Estatal, previamente expedido por la Secretaría de Desarrollo Urbano, la Licencia de Construcción, Constancias de Suspensión Voluntaria y de terminación de Obra parcial o total, que tenga sustento en la Licencia de Uso de Suelo;</w:t>
      </w:r>
    </w:p>
    <w:p w:rsidR="00D81697" w:rsidRPr="00C3489C" w:rsidRDefault="00D81697" w:rsidP="00D81697">
      <w:pPr>
        <w:pStyle w:val="INFOEM"/>
      </w:pPr>
      <w:r w:rsidRPr="00C3489C">
        <w:t>XXI. Difundir entre la población los Planes de Desarrollo Urbano, así como informarle sobre los trámites para obtener las licencias, autorizaciones, permisos, constancias, cédulas, avisos y factibilidades de su competencia;”</w:t>
      </w:r>
      <w:r w:rsidRPr="00C3489C">
        <w:cr/>
      </w:r>
    </w:p>
    <w:p w:rsidR="00A00F07" w:rsidRPr="00C3489C" w:rsidRDefault="00D81697" w:rsidP="00D81697">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Por su parte el Reglamento del Ordenamiento Territorial de los Asentamientos Humanos y Desarrollo Urbano del Municipio de Naucalpan de Juárez, México, establece para el caso que nos ocupa lo siguiente:</w:t>
      </w:r>
    </w:p>
    <w:p w:rsidR="004068AD" w:rsidRPr="00C3489C" w:rsidRDefault="00D81697" w:rsidP="004068AD">
      <w:pPr>
        <w:pStyle w:val="INFOEM"/>
      </w:pPr>
      <w:r w:rsidRPr="00C3489C">
        <w:t>“</w:t>
      </w:r>
      <w:r w:rsidRPr="00C3489C">
        <w:rPr>
          <w:b/>
        </w:rPr>
        <w:t>Artículo 2.-</w:t>
      </w:r>
      <w:r w:rsidRPr="00C3489C">
        <w:t xml:space="preserve"> Para efectos de este Reglamento se entiende por: </w:t>
      </w:r>
    </w:p>
    <w:p w:rsidR="004068AD" w:rsidRPr="00C3489C" w:rsidRDefault="00D81697" w:rsidP="004068AD">
      <w:pPr>
        <w:pStyle w:val="INFOEM"/>
      </w:pPr>
      <w:r w:rsidRPr="00C3489C">
        <w:t xml:space="preserve">… </w:t>
      </w:r>
    </w:p>
    <w:p w:rsidR="004068AD" w:rsidRPr="00C3489C" w:rsidRDefault="00D81697" w:rsidP="004068AD">
      <w:pPr>
        <w:pStyle w:val="INFOEM"/>
      </w:pPr>
      <w:r w:rsidRPr="00C3489C">
        <w:rPr>
          <w:b/>
        </w:rPr>
        <w:t>XXIV. Destino del Suelo</w:t>
      </w:r>
      <w:r w:rsidRPr="00C3489C">
        <w:t xml:space="preserve">.- Es el fin público a que se prevé dedicar determinada área o predio; </w:t>
      </w:r>
    </w:p>
    <w:p w:rsidR="004068AD" w:rsidRPr="00C3489C" w:rsidRDefault="00D81697" w:rsidP="004068AD">
      <w:pPr>
        <w:pStyle w:val="INFOEM"/>
      </w:pPr>
      <w:r w:rsidRPr="00C3489C">
        <w:t xml:space="preserve">… </w:t>
      </w:r>
    </w:p>
    <w:p w:rsidR="004068AD" w:rsidRPr="00C3489C" w:rsidRDefault="00D81697" w:rsidP="004068AD">
      <w:pPr>
        <w:pStyle w:val="INFOEM"/>
      </w:pPr>
      <w:r w:rsidRPr="00C3489C">
        <w:lastRenderedPageBreak/>
        <w:t xml:space="preserve">LXVI. </w:t>
      </w:r>
      <w:r w:rsidRPr="00C3489C">
        <w:rPr>
          <w:b/>
        </w:rPr>
        <w:t>Uso del Suelo.-</w:t>
      </w:r>
      <w:r w:rsidRPr="00C3489C">
        <w:t xml:space="preserve"> Es el fin particular a que podrá dedicarse determinada área o predio, de conformidad con lo establecido por los Planes de Desarrollo Urbano respectivos;</w:t>
      </w:r>
    </w:p>
    <w:p w:rsidR="004068AD" w:rsidRPr="00C3489C" w:rsidRDefault="00D81697" w:rsidP="004068AD">
      <w:pPr>
        <w:pStyle w:val="INFOEM"/>
      </w:pPr>
      <w:r w:rsidRPr="00C3489C">
        <w:t xml:space="preserve">… </w:t>
      </w:r>
    </w:p>
    <w:p w:rsidR="004068AD" w:rsidRPr="00C3489C" w:rsidRDefault="00D81697" w:rsidP="004068AD">
      <w:pPr>
        <w:pStyle w:val="INFOEM"/>
      </w:pPr>
      <w:r w:rsidRPr="00C3489C">
        <w:rPr>
          <w:b/>
        </w:rPr>
        <w:t xml:space="preserve">Artículo 5.- </w:t>
      </w:r>
      <w:r w:rsidRPr="00C3489C">
        <w:t xml:space="preserve">Corresponde a la Dirección el ejercicio de las siguientes atribuciones: </w:t>
      </w:r>
    </w:p>
    <w:p w:rsidR="004068AD" w:rsidRPr="00C3489C" w:rsidRDefault="00D81697" w:rsidP="004068AD">
      <w:pPr>
        <w:pStyle w:val="INFOEM"/>
      </w:pPr>
      <w:r w:rsidRPr="00C3489C">
        <w:t>…</w:t>
      </w:r>
    </w:p>
    <w:p w:rsidR="004068AD" w:rsidRPr="00C3489C" w:rsidRDefault="00D81697" w:rsidP="004068AD">
      <w:pPr>
        <w:pStyle w:val="INFOEM"/>
        <w:rPr>
          <w:b/>
        </w:rPr>
      </w:pPr>
      <w:r w:rsidRPr="00C3489C">
        <w:rPr>
          <w:b/>
        </w:rPr>
        <w:t xml:space="preserve"> V. Autorizar, controlar y vigilar la utilización del suelo, salvo lo referente a la Licencia de Funcionamiento; </w:t>
      </w:r>
    </w:p>
    <w:p w:rsidR="004068AD" w:rsidRPr="00C3489C" w:rsidRDefault="00D81697" w:rsidP="004068AD">
      <w:pPr>
        <w:pStyle w:val="INFOEM"/>
      </w:pPr>
      <w:r w:rsidRPr="00C3489C">
        <w:t xml:space="preserve">… </w:t>
      </w:r>
    </w:p>
    <w:p w:rsidR="004068AD" w:rsidRPr="00C3489C" w:rsidRDefault="00D81697" w:rsidP="004068AD">
      <w:pPr>
        <w:pStyle w:val="INFOEM"/>
      </w:pPr>
      <w:r w:rsidRPr="00C3489C">
        <w:rPr>
          <w:b/>
        </w:rPr>
        <w:t>Artículo 17.-</w:t>
      </w:r>
      <w:r w:rsidRPr="00C3489C">
        <w:t xml:space="preserve"> Para los efectos de ordenar y regular los Asentamientos Humanos en el territorio municipal, el Plan Municipal de Desarrollo Urbano y los Planes que deriven de éste, clasificarán el territorio en: </w:t>
      </w:r>
    </w:p>
    <w:p w:rsidR="004068AD" w:rsidRPr="00C3489C" w:rsidRDefault="00D81697" w:rsidP="004068AD">
      <w:pPr>
        <w:pStyle w:val="INFOEM"/>
        <w:numPr>
          <w:ilvl w:val="0"/>
          <w:numId w:val="21"/>
        </w:numPr>
      </w:pPr>
      <w:r w:rsidRPr="00C3489C">
        <w:rPr>
          <w:b/>
        </w:rPr>
        <w:t>Áreas Urbanas.-</w:t>
      </w:r>
      <w:r w:rsidRPr="00C3489C">
        <w:t xml:space="preserve"> Son las áreas que así definidas en el respectivo Plan de Desarrollo Urbano, se encuentran constituidas por zonas edificadas total o parcialmente en donde existen al menos servicios de agua potable, drenaje, alcantarillado y energía eléctrica, sin perjuicio de que coexistan con predios o carentes de los mismos; </w:t>
      </w:r>
    </w:p>
    <w:p w:rsidR="004068AD" w:rsidRPr="00C3489C" w:rsidRDefault="00D81697" w:rsidP="004068AD">
      <w:pPr>
        <w:pStyle w:val="INFOEM"/>
        <w:numPr>
          <w:ilvl w:val="0"/>
          <w:numId w:val="21"/>
        </w:numPr>
      </w:pPr>
      <w:r w:rsidRPr="00C3489C">
        <w:rPr>
          <w:b/>
        </w:rPr>
        <w:t xml:space="preserve">Áreas Urbanizables.- </w:t>
      </w:r>
      <w:r w:rsidRPr="00C3489C">
        <w:t xml:space="preserve">Son las áreas que así definidas en el respectivo Plan de Desarrollo Urbano, están previstas para el crecimiento de los Centros de Población, por reunir las condiciones para ser dotadas de infraestructura urbana, equipamiento urbano y servicios públicos. Pudiendo ser: </w:t>
      </w:r>
    </w:p>
    <w:p w:rsidR="004068AD" w:rsidRPr="00C3489C" w:rsidRDefault="004068AD" w:rsidP="004068AD">
      <w:pPr>
        <w:pStyle w:val="INFOEM"/>
        <w:ind w:left="1571"/>
      </w:pPr>
      <w:r w:rsidRPr="00C3489C">
        <w:lastRenderedPageBreak/>
        <w:t xml:space="preserve">a) Áreas Urbanizables Programadas; y </w:t>
      </w:r>
    </w:p>
    <w:p w:rsidR="004068AD" w:rsidRPr="00C3489C" w:rsidRDefault="004068AD" w:rsidP="004068AD">
      <w:pPr>
        <w:pStyle w:val="INFOEM"/>
        <w:ind w:left="1571"/>
      </w:pPr>
      <w:r w:rsidRPr="00C3489C">
        <w:t xml:space="preserve">b) Áreas Urbanizables No Programadas. </w:t>
      </w:r>
    </w:p>
    <w:p w:rsidR="00A00F07" w:rsidRPr="00C3489C" w:rsidRDefault="00D81697" w:rsidP="004068AD">
      <w:pPr>
        <w:pStyle w:val="INFOEM"/>
        <w:numPr>
          <w:ilvl w:val="0"/>
          <w:numId w:val="21"/>
        </w:numPr>
      </w:pPr>
      <w:r w:rsidRPr="00C3489C">
        <w:rPr>
          <w:b/>
        </w:rPr>
        <w:t>Áreas No Urbanizables</w:t>
      </w:r>
      <w:r w:rsidRPr="00C3489C">
        <w:t>.- Son las áreas que así definidas en el respectivo Plan de Desarrollo Urbano, quedan excluidas del Desarrollo Urbano, así como todos aquellos</w:t>
      </w:r>
      <w:r w:rsidR="004068AD" w:rsidRPr="00C3489C">
        <w:t xml:space="preserve"> predios ubicados por encima de la cota de dos mil ochocientos sobre el nivel del mar y las demás áreas que con este carácter se encuentren definidas en los ordenamientos jurídicos aplicables de la materia.</w:t>
      </w:r>
    </w:p>
    <w:p w:rsidR="00A448A8" w:rsidRPr="00C3489C" w:rsidRDefault="00A448A8"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Robustece lo anterior, el Código Administrativo del Estado de México el cual establece lo siguiente:</w:t>
      </w:r>
    </w:p>
    <w:p w:rsidR="006B70EC" w:rsidRPr="00C3489C" w:rsidRDefault="00A448A8" w:rsidP="00A448A8">
      <w:pPr>
        <w:pStyle w:val="INFOEM"/>
      </w:pPr>
      <w:r w:rsidRPr="00C3489C">
        <w:rPr>
          <w:b/>
        </w:rPr>
        <w:t>Artículo 18.20.-</w:t>
      </w:r>
      <w:r w:rsidRPr="00C3489C">
        <w:t xml:space="preserve"> </w:t>
      </w:r>
      <w:r w:rsidRPr="00C3489C">
        <w:rPr>
          <w:b/>
        </w:rPr>
        <w:t>La licencia de construcción</w:t>
      </w:r>
      <w:r w:rsidRPr="00C3489C">
        <w:t xml:space="preserve"> tiene por objeto autorizar: </w:t>
      </w:r>
    </w:p>
    <w:p w:rsidR="006B70EC" w:rsidRPr="00C3489C" w:rsidRDefault="00A448A8" w:rsidP="006B70EC">
      <w:pPr>
        <w:pStyle w:val="INFOEM"/>
        <w:numPr>
          <w:ilvl w:val="0"/>
          <w:numId w:val="25"/>
        </w:numPr>
        <w:spacing w:line="240" w:lineRule="auto"/>
      </w:pPr>
      <w:r w:rsidRPr="00C3489C">
        <w:t xml:space="preserve">Obra nueva; </w:t>
      </w:r>
    </w:p>
    <w:p w:rsidR="006B70EC" w:rsidRPr="00C3489C" w:rsidRDefault="00A448A8" w:rsidP="006B70EC">
      <w:pPr>
        <w:pStyle w:val="INFOEM"/>
        <w:numPr>
          <w:ilvl w:val="0"/>
          <w:numId w:val="25"/>
        </w:numPr>
        <w:spacing w:line="240" w:lineRule="auto"/>
      </w:pPr>
      <w:r w:rsidRPr="00C3489C">
        <w:t>Ampliación, modificación o reparación que afecte elementos estructurales de</w:t>
      </w:r>
      <w:r w:rsidR="006B70EC" w:rsidRPr="00C3489C">
        <w:t xml:space="preserve"> la obra existente; </w:t>
      </w:r>
    </w:p>
    <w:p w:rsidR="006B70EC" w:rsidRPr="00C3489C" w:rsidRDefault="006B70EC" w:rsidP="006B70EC">
      <w:pPr>
        <w:pStyle w:val="INFOEM"/>
        <w:numPr>
          <w:ilvl w:val="0"/>
          <w:numId w:val="25"/>
        </w:numPr>
        <w:spacing w:line="240" w:lineRule="auto"/>
      </w:pPr>
      <w:r w:rsidRPr="00C3489C">
        <w:t>Demolición parcial o total;</w:t>
      </w:r>
      <w:r w:rsidR="00A448A8" w:rsidRPr="00C3489C">
        <w:t xml:space="preserve"> </w:t>
      </w:r>
    </w:p>
    <w:p w:rsidR="006B70EC" w:rsidRPr="00C3489C" w:rsidRDefault="00A448A8" w:rsidP="006B70EC">
      <w:pPr>
        <w:pStyle w:val="INFOEM"/>
        <w:numPr>
          <w:ilvl w:val="0"/>
          <w:numId w:val="25"/>
        </w:numPr>
        <w:spacing w:line="240" w:lineRule="auto"/>
      </w:pPr>
      <w:r w:rsidRPr="00C3489C">
        <w:t xml:space="preserve">Excavación o relleno; </w:t>
      </w:r>
    </w:p>
    <w:p w:rsidR="006B70EC" w:rsidRPr="00C3489C" w:rsidRDefault="00A448A8" w:rsidP="006B70EC">
      <w:pPr>
        <w:pStyle w:val="INFOEM"/>
        <w:numPr>
          <w:ilvl w:val="0"/>
          <w:numId w:val="25"/>
        </w:numPr>
        <w:spacing w:line="240" w:lineRule="auto"/>
      </w:pPr>
      <w:r w:rsidRPr="00C3489C">
        <w:t xml:space="preserve">Construcción de bardas; </w:t>
      </w:r>
    </w:p>
    <w:p w:rsidR="00A448A8" w:rsidRPr="00C3489C" w:rsidRDefault="00A448A8" w:rsidP="006B70EC">
      <w:pPr>
        <w:pStyle w:val="INFOEM"/>
        <w:numPr>
          <w:ilvl w:val="0"/>
          <w:numId w:val="25"/>
        </w:numPr>
        <w:spacing w:line="240" w:lineRule="auto"/>
      </w:pPr>
      <w:r w:rsidRPr="00C3489C">
        <w:t>Obras de conexión a las redes de agua potable y drenaje;</w:t>
      </w:r>
    </w:p>
    <w:p w:rsidR="006B70EC" w:rsidRPr="00C3489C" w:rsidRDefault="006B70EC" w:rsidP="006B70EC">
      <w:pPr>
        <w:pStyle w:val="INFOEM"/>
        <w:numPr>
          <w:ilvl w:val="0"/>
          <w:numId w:val="25"/>
        </w:numPr>
        <w:spacing w:line="240" w:lineRule="auto"/>
      </w:pPr>
      <w:r w:rsidRPr="00C3489C">
        <w:t xml:space="preserve">Modificación del proyecto de una obra autorizada; </w:t>
      </w:r>
    </w:p>
    <w:p w:rsidR="006B70EC" w:rsidRPr="00C3489C" w:rsidRDefault="006B70EC" w:rsidP="006B70EC">
      <w:pPr>
        <w:pStyle w:val="INFOEM"/>
        <w:numPr>
          <w:ilvl w:val="0"/>
          <w:numId w:val="25"/>
        </w:numPr>
        <w:spacing w:line="240" w:lineRule="auto"/>
      </w:pPr>
      <w:r w:rsidRPr="00C3489C">
        <w:t xml:space="preserve">Construcción e instalación de estaciones repetidoras y antenas para radiotelecomunicaciones; </w:t>
      </w:r>
    </w:p>
    <w:p w:rsidR="006B70EC" w:rsidRPr="00C3489C" w:rsidRDefault="006B70EC" w:rsidP="006B70EC">
      <w:pPr>
        <w:pStyle w:val="INFOEM"/>
        <w:numPr>
          <w:ilvl w:val="0"/>
          <w:numId w:val="25"/>
        </w:numPr>
        <w:spacing w:line="240" w:lineRule="auto"/>
      </w:pPr>
      <w:r w:rsidRPr="00C3489C">
        <w:t xml:space="preserve">Anuncios publicitarios que requieran de elementos estructurales; y </w:t>
      </w:r>
    </w:p>
    <w:p w:rsidR="006B70EC" w:rsidRPr="00C3489C" w:rsidRDefault="006B70EC" w:rsidP="006B70EC">
      <w:pPr>
        <w:pStyle w:val="INFOEM"/>
        <w:numPr>
          <w:ilvl w:val="0"/>
          <w:numId w:val="25"/>
        </w:numPr>
        <w:spacing w:line="240" w:lineRule="auto"/>
      </w:pPr>
      <w:r w:rsidRPr="00C3489C">
        <w:lastRenderedPageBreak/>
        <w:t xml:space="preserve">Instalaciones o modificaciones de ascensores para personas, montacargas, escaleras mecánicas o cualquier otro mecanismo de transporte electromecánico. </w:t>
      </w:r>
    </w:p>
    <w:p w:rsidR="006B70EC" w:rsidRPr="00C3489C" w:rsidRDefault="006B70EC" w:rsidP="006B70EC">
      <w:pPr>
        <w:pStyle w:val="INFOEM"/>
        <w:spacing w:line="240" w:lineRule="auto"/>
        <w:ind w:left="1571"/>
        <w:rPr>
          <w:b/>
        </w:rPr>
      </w:pPr>
      <w:r w:rsidRPr="00C3489C">
        <w:rPr>
          <w:b/>
        </w:rPr>
        <w:t xml:space="preserve">La licencia de construcción tendrá vigencia de un año y podrá autorizar, además del uso de la vía pública, uno o más de los rubros señalados, conforme a la solicitud que se presente. </w:t>
      </w:r>
    </w:p>
    <w:p w:rsidR="006B70EC" w:rsidRPr="00C3489C" w:rsidRDefault="006B70EC" w:rsidP="006B70EC">
      <w:pPr>
        <w:pStyle w:val="INFOEM"/>
        <w:spacing w:line="240" w:lineRule="auto"/>
        <w:ind w:left="1571"/>
      </w:pPr>
      <w:r w:rsidRPr="00C3489C">
        <w:t>La autoridad municipal que emita la licencia de construcción deberá revisar que en el proyecto que autoriza se observen las disposiciones de este Libro, las Normas Técnicas y demás disposiciones jurídicas aplicables y deberá otorgar o negar la misma dando respuesta en un plazo no mayor de tres días hábiles posteriores a la fecha de presentación o recepción de la solicitud que reúna todos los requisitos establecidos en la Ley</w:t>
      </w:r>
    </w:p>
    <w:p w:rsidR="006B70EC" w:rsidRPr="00C3489C" w:rsidRDefault="006B70EC" w:rsidP="006B70EC">
      <w:pPr>
        <w:pStyle w:val="INFOEM"/>
        <w:spacing w:line="240" w:lineRule="auto"/>
        <w:ind w:left="1571"/>
      </w:pPr>
      <w:r w:rsidRPr="00C3489C">
        <w:t>(. …)</w:t>
      </w:r>
    </w:p>
    <w:p w:rsidR="00A448A8" w:rsidRPr="00C3489C" w:rsidRDefault="00A00F07"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 xml:space="preserve"> </w:t>
      </w:r>
    </w:p>
    <w:p w:rsidR="00A448A8" w:rsidRPr="00C3489C" w:rsidRDefault="006B70EC"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Con la normatividad transcrita, se concluye que el Sujeto Obligado tiene la facultad para emitir licencias de construcción, mismas que es interés del Particular, por lo que debe tener en sus archivos las licencias de construcción.</w:t>
      </w:r>
    </w:p>
    <w:p w:rsidR="006B70EC" w:rsidRPr="00C3489C" w:rsidRDefault="006B70EC" w:rsidP="00F73A33">
      <w:pPr>
        <w:spacing w:after="0" w:line="360" w:lineRule="auto"/>
        <w:jc w:val="both"/>
        <w:rPr>
          <w:rFonts w:ascii="Palatino Linotype" w:hAnsi="Palatino Linotype"/>
          <w:color w:val="000000"/>
          <w:sz w:val="24"/>
          <w:szCs w:val="24"/>
        </w:rPr>
      </w:pPr>
    </w:p>
    <w:p w:rsidR="006B70EC" w:rsidRPr="00C3489C" w:rsidRDefault="006B70EC"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 xml:space="preserve">Por su parte el Reglamento del Libro Quinto del Código Administrativo del Estado de México, sobre las licencias de uso de suelo señala lo siguiente: </w:t>
      </w:r>
    </w:p>
    <w:p w:rsidR="006B70EC" w:rsidRPr="00C3489C" w:rsidRDefault="006B70EC" w:rsidP="006B70EC">
      <w:pPr>
        <w:pStyle w:val="INFOEM"/>
        <w:rPr>
          <w:b/>
        </w:rPr>
      </w:pPr>
      <w:r w:rsidRPr="00C3489C">
        <w:rPr>
          <w:b/>
        </w:rPr>
        <w:t xml:space="preserve">DEL OBJETO DE LA LICENCIA DE USO DEL SUELO </w:t>
      </w:r>
    </w:p>
    <w:p w:rsidR="006B70EC" w:rsidRPr="00C3489C" w:rsidRDefault="006B70EC" w:rsidP="006B70EC">
      <w:pPr>
        <w:pStyle w:val="INFOEM"/>
      </w:pPr>
      <w:r w:rsidRPr="00C3489C">
        <w:rPr>
          <w:b/>
        </w:rPr>
        <w:t xml:space="preserve">Artículo 135. </w:t>
      </w:r>
      <w:r w:rsidRPr="00C3489C">
        <w:t xml:space="preserve">La licencia de uso del suelo tendrá por objeto autorizar las normas para el uso y aprovechamiento de un determinado predio tales como: el coeficiente de ocupación del suelo, el coeficiente de utilización del suelo, la altura máxima de edificación, el número de cajones de estacionamiento, y en su caso el alineamiento y número oficial, además de señalar las restricciones correspondientes del Plan </w:t>
      </w:r>
      <w:r w:rsidRPr="00C3489C">
        <w:lastRenderedPageBreak/>
        <w:t xml:space="preserve">Municipal de Desarrollo Urbano correspondiente. A solicitud del interesado la licencia de uso del suelo podrá contener también el alineamiento y número oficial. </w:t>
      </w:r>
    </w:p>
    <w:p w:rsidR="006B70EC" w:rsidRPr="00C3489C" w:rsidRDefault="006B70EC" w:rsidP="006B70EC">
      <w:pPr>
        <w:pStyle w:val="INFOEM"/>
        <w:rPr>
          <w:b/>
        </w:rPr>
      </w:pPr>
      <w:r w:rsidRPr="00C3489C">
        <w:rPr>
          <w:b/>
        </w:rPr>
        <w:t>DEL CONTENIDO DE LA LICENCIA DE USO DEL SUELO</w:t>
      </w:r>
    </w:p>
    <w:p w:rsidR="006B70EC" w:rsidRPr="00C3489C" w:rsidRDefault="006B70EC" w:rsidP="006B70EC">
      <w:pPr>
        <w:pStyle w:val="INFOEM"/>
        <w:rPr>
          <w:b/>
        </w:rPr>
      </w:pPr>
      <w:r w:rsidRPr="00C3489C">
        <w:rPr>
          <w:b/>
        </w:rPr>
        <w:t xml:space="preserve">Artículo 137. La licencia de uso del suelo deberá contener, cuando menos, lo siguiente: </w:t>
      </w:r>
    </w:p>
    <w:p w:rsidR="006B70EC" w:rsidRPr="00C3489C" w:rsidRDefault="006B70EC" w:rsidP="006B70EC">
      <w:pPr>
        <w:pStyle w:val="INFOEM"/>
        <w:numPr>
          <w:ilvl w:val="0"/>
          <w:numId w:val="26"/>
        </w:numPr>
      </w:pPr>
      <w:r w:rsidRPr="00C3489C">
        <w:t xml:space="preserve">Número de la licencia; </w:t>
      </w:r>
    </w:p>
    <w:p w:rsidR="006B70EC" w:rsidRPr="00C3489C" w:rsidRDefault="006B70EC" w:rsidP="006B70EC">
      <w:pPr>
        <w:pStyle w:val="INFOEM"/>
        <w:numPr>
          <w:ilvl w:val="0"/>
          <w:numId w:val="26"/>
        </w:numPr>
      </w:pPr>
      <w:r w:rsidRPr="00C3489C">
        <w:t xml:space="preserve">Ubicación del predio o inmueble y en su caso, </w:t>
      </w:r>
      <w:r w:rsidRPr="00C3489C">
        <w:rPr>
          <w:b/>
        </w:rPr>
        <w:t>clave catastral;</w:t>
      </w:r>
      <w:r w:rsidRPr="00C3489C">
        <w:t xml:space="preserve"> </w:t>
      </w:r>
    </w:p>
    <w:p w:rsidR="006B70EC" w:rsidRPr="00C3489C" w:rsidRDefault="006B70EC" w:rsidP="006B70EC">
      <w:pPr>
        <w:pStyle w:val="INFOEM"/>
        <w:numPr>
          <w:ilvl w:val="0"/>
          <w:numId w:val="26"/>
        </w:numPr>
      </w:pPr>
      <w:r w:rsidRPr="00C3489C">
        <w:t xml:space="preserve">Nombre y domicilio del solicitante; </w:t>
      </w:r>
    </w:p>
    <w:p w:rsidR="006B70EC" w:rsidRPr="00C3489C" w:rsidRDefault="006B70EC" w:rsidP="006B70EC">
      <w:pPr>
        <w:pStyle w:val="INFOEM"/>
        <w:numPr>
          <w:ilvl w:val="0"/>
          <w:numId w:val="26"/>
        </w:numPr>
      </w:pPr>
      <w:r w:rsidRPr="00C3489C">
        <w:t xml:space="preserve">Uso o usos del suelo que se autorizan; </w:t>
      </w:r>
    </w:p>
    <w:p w:rsidR="006B70EC" w:rsidRPr="00C3489C" w:rsidRDefault="006B70EC" w:rsidP="006B70EC">
      <w:pPr>
        <w:pStyle w:val="INFOEM"/>
        <w:numPr>
          <w:ilvl w:val="0"/>
          <w:numId w:val="26"/>
        </w:numPr>
      </w:pPr>
      <w:r w:rsidRPr="00C3489C">
        <w:t xml:space="preserve">Densidad de vivienda, en su caso; </w:t>
      </w:r>
    </w:p>
    <w:p w:rsidR="006B70EC" w:rsidRPr="00C3489C" w:rsidRDefault="006B70EC" w:rsidP="006B70EC">
      <w:pPr>
        <w:pStyle w:val="INFOEM"/>
        <w:numPr>
          <w:ilvl w:val="0"/>
          <w:numId w:val="26"/>
        </w:numPr>
      </w:pPr>
      <w:r w:rsidRPr="00C3489C">
        <w:t xml:space="preserve">Coeficiente de ocupación del suelo y coeficiente de utilización del suelo; </w:t>
      </w:r>
    </w:p>
    <w:p w:rsidR="006B70EC" w:rsidRPr="00C3489C" w:rsidRDefault="006B70EC" w:rsidP="006B70EC">
      <w:pPr>
        <w:pStyle w:val="INFOEM"/>
        <w:numPr>
          <w:ilvl w:val="0"/>
          <w:numId w:val="26"/>
        </w:numPr>
      </w:pPr>
      <w:r w:rsidRPr="00C3489C">
        <w:t xml:space="preserve">Altura máxima de edificación; </w:t>
      </w:r>
    </w:p>
    <w:p w:rsidR="006B70EC" w:rsidRPr="00C3489C" w:rsidRDefault="006B70EC" w:rsidP="006B70EC">
      <w:pPr>
        <w:pStyle w:val="INFOEM"/>
        <w:numPr>
          <w:ilvl w:val="0"/>
          <w:numId w:val="26"/>
        </w:numPr>
      </w:pPr>
      <w:r w:rsidRPr="00C3489C">
        <w:t xml:space="preserve">Número obligatorio de cajones de estacionamiento; </w:t>
      </w:r>
    </w:p>
    <w:p w:rsidR="006B70EC" w:rsidRPr="00C3489C" w:rsidRDefault="006B70EC" w:rsidP="006B70EC">
      <w:pPr>
        <w:pStyle w:val="INFOEM"/>
        <w:numPr>
          <w:ilvl w:val="0"/>
          <w:numId w:val="26"/>
        </w:numPr>
      </w:pPr>
      <w:r w:rsidRPr="00C3489C">
        <w:t xml:space="preserve">Alineamiento y número oficial; </w:t>
      </w:r>
    </w:p>
    <w:p w:rsidR="006B70EC" w:rsidRPr="00C3489C" w:rsidRDefault="006B70EC" w:rsidP="006B70EC">
      <w:pPr>
        <w:pStyle w:val="INFOEM"/>
        <w:numPr>
          <w:ilvl w:val="0"/>
          <w:numId w:val="26"/>
        </w:numPr>
      </w:pPr>
      <w:r w:rsidRPr="00C3489C">
        <w:t xml:space="preserve">La normatividad, y obligaciones que deriven del Dictamen Único y las Evaluaciones Técnicas de Factibilidad, en su caso; </w:t>
      </w:r>
    </w:p>
    <w:p w:rsidR="006B70EC" w:rsidRPr="00C3489C" w:rsidRDefault="006B70EC" w:rsidP="006B70EC">
      <w:pPr>
        <w:pStyle w:val="INFOEM"/>
        <w:numPr>
          <w:ilvl w:val="0"/>
          <w:numId w:val="26"/>
        </w:numPr>
      </w:pPr>
      <w:r w:rsidRPr="00C3489C">
        <w:t xml:space="preserve">Restricciones federales, estatales y municipales; </w:t>
      </w:r>
    </w:p>
    <w:p w:rsidR="006B70EC" w:rsidRPr="00C3489C" w:rsidRDefault="006B70EC" w:rsidP="006B70EC">
      <w:pPr>
        <w:pStyle w:val="INFOEM"/>
        <w:numPr>
          <w:ilvl w:val="0"/>
          <w:numId w:val="26"/>
        </w:numPr>
      </w:pPr>
      <w:r w:rsidRPr="00C3489C">
        <w:lastRenderedPageBreak/>
        <w:t>La normatividad y obligaciones que deriven de los dictámenes en materia de conservación del patrimonio histórico, artístico y cultural, en su caso;</w:t>
      </w:r>
    </w:p>
    <w:p w:rsidR="006B70EC" w:rsidRPr="00C3489C" w:rsidRDefault="006B70EC" w:rsidP="006B70EC">
      <w:pPr>
        <w:pStyle w:val="INFOEM"/>
        <w:numPr>
          <w:ilvl w:val="0"/>
          <w:numId w:val="26"/>
        </w:numPr>
      </w:pPr>
      <w:r w:rsidRPr="00C3489C">
        <w:t xml:space="preserve">Vigencia de la licencia; </w:t>
      </w:r>
    </w:p>
    <w:p w:rsidR="006B70EC" w:rsidRPr="00C3489C" w:rsidRDefault="006B70EC" w:rsidP="006B70EC">
      <w:pPr>
        <w:pStyle w:val="INFOEM"/>
        <w:numPr>
          <w:ilvl w:val="0"/>
          <w:numId w:val="26"/>
        </w:numPr>
      </w:pPr>
      <w:r w:rsidRPr="00C3489C">
        <w:t>Lugar y fecha en que se expide, y</w:t>
      </w:r>
    </w:p>
    <w:p w:rsidR="006B70EC" w:rsidRPr="00C3489C" w:rsidRDefault="006B70EC" w:rsidP="006B70EC">
      <w:pPr>
        <w:pStyle w:val="INFOEM"/>
        <w:numPr>
          <w:ilvl w:val="0"/>
          <w:numId w:val="26"/>
        </w:numPr>
      </w:pPr>
      <w:r w:rsidRPr="00C3489C">
        <w:t xml:space="preserve">Nombre, cargo y firma de quien la autoriza. </w:t>
      </w:r>
    </w:p>
    <w:p w:rsidR="006B70EC" w:rsidRPr="00C3489C" w:rsidRDefault="006B70EC" w:rsidP="006B70EC">
      <w:pPr>
        <w:pStyle w:val="INFOEM"/>
        <w:ind w:left="1571"/>
      </w:pPr>
      <w:r w:rsidRPr="00C3489C">
        <w:t>Cuando el interesado únicamente solicite alineamiento y número oficial, la licencia de uso de suelo solo contendrá los datos a que refieren las fracciones I, II, III y XI de este artículo.</w:t>
      </w:r>
    </w:p>
    <w:p w:rsidR="006B70EC" w:rsidRPr="00C3489C" w:rsidRDefault="006B70EC" w:rsidP="00F73A33">
      <w:pPr>
        <w:spacing w:after="0" w:line="360" w:lineRule="auto"/>
        <w:jc w:val="both"/>
        <w:rPr>
          <w:rFonts w:ascii="Palatino Linotype" w:hAnsi="Palatino Linotype"/>
          <w:sz w:val="24"/>
          <w:szCs w:val="14"/>
        </w:rPr>
      </w:pPr>
      <w:r w:rsidRPr="00C3489C">
        <w:rPr>
          <w:rFonts w:ascii="Palatino Linotype" w:hAnsi="Palatino Linotype"/>
          <w:sz w:val="24"/>
          <w:szCs w:val="14"/>
        </w:rPr>
        <w:t xml:space="preserve">De la normatividad anteriormente mencionada se advierte que el Sujeto Obligado cuenta con atribuciones para emitir los documentos solicitados por el Particular, además de que la información requerida no solo es información pública, sino que también una obligación de transparencia como se muestra a continuación: </w:t>
      </w:r>
    </w:p>
    <w:p w:rsidR="00CB5676" w:rsidRPr="00C3489C" w:rsidRDefault="006B70EC" w:rsidP="006B70EC">
      <w:pPr>
        <w:pStyle w:val="INFOEM"/>
      </w:pPr>
      <w:r w:rsidRPr="00C3489C">
        <w:rPr>
          <w:b/>
        </w:rPr>
        <w:t>Artículo 94.</w:t>
      </w:r>
      <w:r w:rsidRPr="00C3489C">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CB5676" w:rsidRPr="00C3489C" w:rsidRDefault="006B70EC" w:rsidP="006B70EC">
      <w:pPr>
        <w:pStyle w:val="INFOEM"/>
      </w:pPr>
      <w:r w:rsidRPr="00C3489C">
        <w:t xml:space="preserve">I. En el caso del Poder Ejecutivo y los Municipios, en el ámbito de su competencia: a) a e) … </w:t>
      </w:r>
    </w:p>
    <w:p w:rsidR="00CB5676" w:rsidRPr="00C3489C" w:rsidRDefault="006B70EC" w:rsidP="006B70EC">
      <w:pPr>
        <w:pStyle w:val="INFOEM"/>
      </w:pPr>
      <w:r w:rsidRPr="00C3489C">
        <w:t xml:space="preserve">f) La información detallada que contengan los planes de desarrollo urbano, ordenamiento territorial y ecológico, los tipos y usos de suelo, </w:t>
      </w:r>
      <w:r w:rsidRPr="00C3489C">
        <w:rPr>
          <w:b/>
        </w:rPr>
        <w:t xml:space="preserve">licencias de uso y construcción </w:t>
      </w:r>
      <w:r w:rsidRPr="00C3489C">
        <w:t xml:space="preserve">otorgadas por los gobiernos municipales; </w:t>
      </w:r>
    </w:p>
    <w:p w:rsidR="00CB5676" w:rsidRPr="00C3489C" w:rsidRDefault="006B70EC" w:rsidP="006B70EC">
      <w:pPr>
        <w:pStyle w:val="INFOEM"/>
      </w:pPr>
      <w:r w:rsidRPr="00C3489C">
        <w:lastRenderedPageBreak/>
        <w:t xml:space="preserve">g) a k) … </w:t>
      </w:r>
    </w:p>
    <w:p w:rsidR="006B70EC" w:rsidRPr="00C3489C" w:rsidRDefault="006B70EC" w:rsidP="006B70EC">
      <w:pPr>
        <w:pStyle w:val="INFOEM"/>
      </w:pPr>
      <w:r w:rsidRPr="00C3489C">
        <w:t>II…</w:t>
      </w:r>
    </w:p>
    <w:p w:rsidR="0048557D" w:rsidRPr="00C3489C" w:rsidRDefault="004068AD"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Como podemos apreciar de acuerdo con las atribuciones y responsabilidades establecidas en los artículos mencionados, la Dirección de Desarrollo Urbano tiene la tarea de autorizar, controlar y vigilar la utilización del suelo en el municipio, así como expedir licencias, autorizaciones y permisos relacionados con el cambio de uso de suelo, densidad e intensidad de edificaciones, entre otros.</w:t>
      </w:r>
    </w:p>
    <w:p w:rsidR="0048557D" w:rsidRPr="00C3489C" w:rsidRDefault="0048557D" w:rsidP="00F73A33">
      <w:pPr>
        <w:spacing w:after="0" w:line="360" w:lineRule="auto"/>
        <w:jc w:val="both"/>
        <w:rPr>
          <w:rFonts w:ascii="Palatino Linotype" w:hAnsi="Palatino Linotype"/>
          <w:color w:val="000000"/>
          <w:sz w:val="24"/>
          <w:szCs w:val="24"/>
        </w:rPr>
      </w:pPr>
    </w:p>
    <w:p w:rsidR="00A00F07" w:rsidRPr="00C3489C" w:rsidRDefault="004068AD"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Por lo que se considera que dentro de las funciones y competencias de la Dirección de Desarrollo Urbano se incluya la documentación del uso de suelo por colonia, para evaluar y controlar el cumplimiento de los planes de desarrollo urbano y la congruencia de la ocupación y utilización del suelo con dichos planes.</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360" w:lineRule="auto"/>
        <w:jc w:val="both"/>
        <w:rPr>
          <w:rFonts w:ascii="Palatino Linotype" w:hAnsi="Palatino Linotype" w:cs="Arial"/>
          <w:color w:val="000000" w:themeColor="text1"/>
          <w:sz w:val="24"/>
        </w:rPr>
      </w:pPr>
      <w:r w:rsidRPr="00C3489C">
        <w:rPr>
          <w:rFonts w:ascii="Palatino Linotype" w:hAnsi="Palatino Linotype" w:cs="Arial"/>
          <w:color w:val="000000" w:themeColor="text1"/>
          <w:sz w:val="24"/>
        </w:rPr>
        <w:t xml:space="preserve">Finalmente, cabe recordar que el </w:t>
      </w:r>
      <w:r w:rsidRPr="00C3489C">
        <w:rPr>
          <w:rFonts w:ascii="Palatino Linotype" w:hAnsi="Palatino Linotype" w:cs="Arial"/>
          <w:b/>
          <w:color w:val="000000" w:themeColor="text1"/>
          <w:sz w:val="24"/>
        </w:rPr>
        <w:t>Recurrente</w:t>
      </w:r>
      <w:r w:rsidRPr="00C3489C">
        <w:rPr>
          <w:rFonts w:ascii="Palatino Linotype" w:hAnsi="Palatino Linotype" w:cs="Arial"/>
          <w:color w:val="000000" w:themeColor="text1"/>
          <w:sz w:val="24"/>
        </w:rPr>
        <w:t xml:space="preserve"> peticiona la entrega de la información de 2014 y 2015. En este tenor,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240" w:lineRule="auto"/>
        <w:ind w:left="567" w:right="616"/>
        <w:jc w:val="both"/>
        <w:rPr>
          <w:rFonts w:ascii="Palatino Linotype" w:hAnsi="Palatino Linotype" w:cs="Arial"/>
          <w:b/>
          <w:i/>
          <w:color w:val="000000" w:themeColor="text1"/>
        </w:rPr>
      </w:pPr>
      <w:r w:rsidRPr="00C3489C">
        <w:rPr>
          <w:rFonts w:ascii="Palatino Linotype" w:hAnsi="Palatino Linotype" w:cs="Arial"/>
          <w:b/>
          <w:i/>
          <w:color w:val="000000" w:themeColor="text1"/>
        </w:rPr>
        <w:lastRenderedPageBreak/>
        <w:t>“Cuarto.</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II. Archivo:</w:t>
      </w:r>
      <w:r w:rsidRPr="00C3489C">
        <w:rPr>
          <w:rFonts w:ascii="Palatino Linotype" w:hAnsi="Palatino Linotype" w:cs="Arial"/>
          <w:i/>
          <w:color w:val="000000" w:themeColor="text1"/>
        </w:rPr>
        <w:t xml:space="preserve"> El conjunto orgánico de documentos en cualquier soporte, que son producidos o recibidos por los sujetos obligados o los particulares en el ejercicio de sus atribuciones o en el desarrollo de sus actividades;</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III. Archivo de concentración:</w:t>
      </w:r>
      <w:r w:rsidRPr="00C3489C">
        <w:rPr>
          <w:rFonts w:ascii="Palatino Linotype" w:hAnsi="Palatino Linotype" w:cs="Arial"/>
          <w:i/>
          <w:color w:val="000000" w:themeColor="text1"/>
        </w:rPr>
        <w:t xml:space="preserve"> La unidad de la administración de documentos cuya consulta es esporádica y que permanecen en ella hasta su transferencia secundaria o baja documental;</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IV. Archivo histórico.</w:t>
      </w:r>
      <w:r w:rsidRPr="00C3489C">
        <w:rPr>
          <w:rFonts w:ascii="Palatino Linotype" w:hAnsi="Palatino Linotype" w:cs="Arial"/>
          <w:i/>
          <w:color w:val="000000" w:themeColor="text1"/>
        </w:rPr>
        <w:t xml:space="preserve"> La unidad responsable de la administración de los documentos de conservación permanente y que son fuente de acceso público;</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V. Archivo de trámite:</w:t>
      </w:r>
      <w:r w:rsidRPr="00C3489C">
        <w:rPr>
          <w:rFonts w:ascii="Palatino Linotype" w:hAnsi="Palatino Linotype" w:cs="Arial"/>
          <w:i/>
          <w:color w:val="000000" w:themeColor="text1"/>
        </w:rPr>
        <w:t xml:space="preserve"> La unidad responsable de la administración de documentos de uso cotidiano y necesario para el ejercicio de las atribuciones de una unidad administrativa, los cuales permanecen en ella hasta su transferencia primaria;</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VIII. Baja documental.</w:t>
      </w:r>
      <w:r w:rsidRPr="00C3489C">
        <w:rPr>
          <w:rFonts w:ascii="Palatino Linotype" w:hAnsi="Palatino Linotype" w:cs="Arial"/>
          <w:i/>
          <w:color w:val="000000" w:themeColor="text1"/>
        </w:rPr>
        <w:t xml:space="preserve"> La eliminación de aquella documentación que haya prescrito en sus valores administrativos, legales, fiscales, contables, y que no contenga valores históricos;</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X. Ciclo vital del documento:</w:t>
      </w:r>
      <w:r w:rsidRPr="00C3489C">
        <w:rPr>
          <w:rFonts w:ascii="Palatino Linotype" w:hAnsi="Palatino Linotype" w:cs="Arial"/>
          <w:i/>
          <w:color w:val="000000" w:themeColor="text1"/>
        </w:rPr>
        <w:t xml:space="preserve"> La etapas de los documentos desde su producción o recepción hasta su baja o transferencia a un archivo histórico;</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XLVIII. Transferencia documental:</w:t>
      </w:r>
      <w:r w:rsidRPr="00C3489C">
        <w:rPr>
          <w:rFonts w:ascii="Palatino Linotype" w:hAnsi="Palatino Linotype" w:cs="Arial"/>
          <w:i/>
          <w:color w:val="000000" w:themeColor="text1"/>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360" w:lineRule="auto"/>
        <w:jc w:val="both"/>
        <w:rPr>
          <w:rFonts w:ascii="Palatino Linotype" w:hAnsi="Palatino Linotype" w:cs="Arial"/>
          <w:color w:val="000000" w:themeColor="text1"/>
          <w:sz w:val="24"/>
        </w:rPr>
      </w:pPr>
      <w:r w:rsidRPr="00C3489C">
        <w:rPr>
          <w:rFonts w:ascii="Palatino Linotype" w:hAnsi="Palatino Linotype" w:cs="Arial"/>
          <w:color w:val="000000" w:themeColor="text1"/>
          <w:sz w:val="24"/>
        </w:rPr>
        <w:t xml:space="preserve">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w:t>
      </w:r>
      <w:r w:rsidRPr="00C3489C">
        <w:rPr>
          <w:rFonts w:ascii="Palatino Linotype" w:hAnsi="Palatino Linotype" w:cs="Arial"/>
          <w:color w:val="000000" w:themeColor="text1"/>
          <w:sz w:val="24"/>
        </w:rPr>
        <w:lastRenderedPageBreak/>
        <w:t>etapa se mantienen los archivos de consulta esporádica y permanecen allí hasta sus transferencia secundaria al Archivo Histórico o su baja documental.</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360" w:lineRule="auto"/>
        <w:jc w:val="both"/>
        <w:rPr>
          <w:rFonts w:ascii="Palatino Linotype" w:hAnsi="Palatino Linotype" w:cs="Arial"/>
          <w:color w:val="000000" w:themeColor="text1"/>
          <w:sz w:val="24"/>
        </w:rPr>
      </w:pPr>
      <w:r w:rsidRPr="00C3489C">
        <w:rPr>
          <w:rFonts w:ascii="Palatino Linotype" w:hAnsi="Palatino Linotype" w:cs="Arial"/>
          <w:color w:val="000000" w:themeColor="text1"/>
          <w:sz w:val="24"/>
        </w:rPr>
        <w:t>Lineamientos para la Valoración, Selección y Baja de los Documentos, Expedientes y Series de Trámite Concluido en los Archivos del Estado de México, que establece lo siguiente:</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r w:rsidRPr="00C3489C">
        <w:rPr>
          <w:rFonts w:ascii="Palatino Linotype" w:hAnsi="Palatino Linotype" w:cs="Arial"/>
          <w:b/>
          <w:i/>
          <w:color w:val="000000" w:themeColor="text1"/>
        </w:rPr>
        <w:t>Artículo 20.</w:t>
      </w:r>
      <w:r w:rsidRPr="00C3489C">
        <w:rPr>
          <w:rFonts w:ascii="Palatino Linotype" w:hAnsi="Palatino Linotype" w:cs="Arial"/>
          <w:i/>
          <w:color w:val="000000" w:themeColor="text1"/>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El periodo señalado se computará a partir del día siguiente a la fecha del documento con el cual se dé por concluido el asunto pro el que los expedientes fueron creados.</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b/>
          <w:i/>
          <w:color w:val="000000" w:themeColor="text1"/>
        </w:rPr>
        <w:t>Artículo 27.-</w:t>
      </w:r>
      <w:r w:rsidRPr="00C3489C">
        <w:rPr>
          <w:rFonts w:ascii="Palatino Linotype" w:hAnsi="Palatino Linotype" w:cs="Arial"/>
          <w:i/>
          <w:color w:val="000000" w:themeColor="text1"/>
        </w:rPr>
        <w:t xml:space="preserve">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3A2A22" w:rsidRPr="00C3489C" w:rsidRDefault="003A2A22" w:rsidP="003A2A22">
      <w:pPr>
        <w:pStyle w:val="Prrafodelista"/>
        <w:numPr>
          <w:ilvl w:val="0"/>
          <w:numId w:val="27"/>
        </w:numPr>
        <w:ind w:right="616"/>
        <w:jc w:val="both"/>
        <w:rPr>
          <w:rFonts w:ascii="Palatino Linotype" w:hAnsi="Palatino Linotype" w:cs="Arial"/>
          <w:i/>
          <w:color w:val="000000" w:themeColor="text1"/>
        </w:rPr>
      </w:pPr>
      <w:r w:rsidRPr="00C3489C">
        <w:rPr>
          <w:rFonts w:ascii="Palatino Linotype" w:hAnsi="Palatino Linotype" w:cs="Arial"/>
          <w:i/>
          <w:color w:val="000000" w:themeColor="text1"/>
        </w:rPr>
        <w:t>6 años para expedientes con información administrativa;</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II.</w:t>
      </w:r>
      <w:r w:rsidRPr="00C3489C">
        <w:rPr>
          <w:rFonts w:ascii="Palatino Linotype" w:hAnsi="Palatino Linotype" w:cs="Arial"/>
          <w:i/>
          <w:color w:val="000000" w:themeColor="text1"/>
        </w:rPr>
        <w:tab/>
        <w:t>6 años como mínimo para expedientes con información fiscal y presupuestal contable;</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III.</w:t>
      </w:r>
      <w:r w:rsidRPr="00C3489C">
        <w:rPr>
          <w:rFonts w:ascii="Palatino Linotype" w:hAnsi="Palatino Linotype" w:cs="Arial"/>
          <w:i/>
          <w:color w:val="000000" w:themeColor="text1"/>
        </w:rPr>
        <w:tab/>
        <w:t>12 años como mínimo para expedientes con información jurídico-legal, obra pública y activo fijo; y</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IV.</w:t>
      </w:r>
      <w:r w:rsidRPr="00C3489C">
        <w:rPr>
          <w:rFonts w:ascii="Palatino Linotype" w:hAnsi="Palatino Linotype" w:cs="Arial"/>
          <w:i/>
          <w:color w:val="000000" w:themeColor="text1"/>
        </w:rPr>
        <w:tab/>
        <w:t>Cuando en la legislación se establezcan períodos de conservación mayores a los señalados en las fracciones I, II y III, se considerarán los estipulados en dicha legislación para efectos de realización del proceso de selección final.</w:t>
      </w:r>
    </w:p>
    <w:p w:rsidR="003A2A22" w:rsidRPr="00C3489C" w:rsidRDefault="003A2A22" w:rsidP="003A2A22">
      <w:pPr>
        <w:spacing w:after="0" w:line="240" w:lineRule="auto"/>
        <w:ind w:left="567" w:right="616"/>
        <w:jc w:val="both"/>
        <w:rPr>
          <w:rFonts w:ascii="Palatino Linotype" w:hAnsi="Palatino Linotype" w:cs="Arial"/>
          <w:i/>
          <w:color w:val="000000" w:themeColor="text1"/>
        </w:rPr>
      </w:pPr>
      <w:r w:rsidRPr="00C3489C">
        <w:rPr>
          <w:rFonts w:ascii="Palatino Linotype" w:hAnsi="Palatino Linotype" w:cs="Arial"/>
          <w:i/>
          <w:color w:val="000000" w:themeColor="text1"/>
        </w:rPr>
        <w:t>V.</w:t>
      </w:r>
      <w:r w:rsidRPr="00C3489C">
        <w:rPr>
          <w:rFonts w:ascii="Palatino Linotype" w:hAnsi="Palatino Linotype" w:cs="Arial"/>
          <w:i/>
          <w:color w:val="000000" w:themeColor="text1"/>
        </w:rPr>
        <w:tab/>
        <w:t>Cuando las Unidades Administrativas no indique el plazo de conservación precaucional de sus expedientes en el Inventario correspondiente, los Archivos de Concentración podrán rechazar la transferencia de los expedientes.”</w:t>
      </w:r>
    </w:p>
    <w:p w:rsidR="003A2A22" w:rsidRPr="00C3489C" w:rsidRDefault="003A2A22" w:rsidP="003A2A22">
      <w:pPr>
        <w:spacing w:after="0" w:line="360" w:lineRule="auto"/>
        <w:jc w:val="both"/>
        <w:rPr>
          <w:rFonts w:ascii="Palatino Linotype" w:hAnsi="Palatino Linotype" w:cs="Arial"/>
          <w:color w:val="000000" w:themeColor="text1"/>
          <w:sz w:val="24"/>
        </w:rPr>
      </w:pPr>
    </w:p>
    <w:p w:rsidR="003A2A22" w:rsidRPr="00C3489C" w:rsidRDefault="003A2A22" w:rsidP="003A2A22">
      <w:pPr>
        <w:spacing w:after="0" w:line="360" w:lineRule="auto"/>
        <w:jc w:val="both"/>
        <w:rPr>
          <w:rFonts w:ascii="Palatino Linotype" w:hAnsi="Palatino Linotype" w:cs="Arial"/>
          <w:color w:val="000000" w:themeColor="text1"/>
          <w:sz w:val="24"/>
        </w:rPr>
      </w:pPr>
      <w:r w:rsidRPr="00C3489C">
        <w:rPr>
          <w:rFonts w:ascii="Palatino Linotype" w:hAnsi="Palatino Linotype" w:cs="Arial"/>
          <w:color w:val="000000" w:themeColor="text1"/>
          <w:sz w:val="24"/>
        </w:rPr>
        <w:lastRenderedPageBreak/>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4068AD" w:rsidRPr="00C3489C" w:rsidRDefault="004068AD" w:rsidP="00F73A33">
      <w:pPr>
        <w:spacing w:after="0" w:line="360" w:lineRule="auto"/>
        <w:jc w:val="both"/>
        <w:rPr>
          <w:rFonts w:ascii="Palatino Linotype" w:hAnsi="Palatino Linotype"/>
          <w:color w:val="000000"/>
          <w:sz w:val="24"/>
          <w:szCs w:val="24"/>
        </w:rPr>
      </w:pPr>
    </w:p>
    <w:p w:rsidR="004068AD" w:rsidRPr="00C3489C" w:rsidRDefault="009614FF" w:rsidP="00F73A33">
      <w:pPr>
        <w:spacing w:after="0" w:line="360" w:lineRule="auto"/>
        <w:jc w:val="both"/>
        <w:rPr>
          <w:rFonts w:ascii="Palatino Linotype" w:hAnsi="Palatino Linotype"/>
          <w:color w:val="000000"/>
          <w:sz w:val="24"/>
          <w:szCs w:val="24"/>
        </w:rPr>
      </w:pPr>
      <w:r w:rsidRPr="00C3489C">
        <w:rPr>
          <w:rFonts w:ascii="Palatino Linotype" w:hAnsi="Palatino Linotype"/>
          <w:color w:val="000000"/>
          <w:sz w:val="24"/>
          <w:szCs w:val="24"/>
        </w:rPr>
        <w:t>En tal sentido el sujeto obligado deberá entregar al recurrente en versión pública, de ser procedente de lo siguiente:</w:t>
      </w:r>
    </w:p>
    <w:p w:rsidR="009614FF" w:rsidRPr="00C3489C" w:rsidRDefault="009614FF" w:rsidP="009614FF">
      <w:pPr>
        <w:pStyle w:val="Prrafodelista"/>
        <w:numPr>
          <w:ilvl w:val="0"/>
          <w:numId w:val="22"/>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Licencia de Uso del Suelo</w:t>
      </w:r>
      <w:r w:rsidR="001166FA" w:rsidRPr="00C3489C">
        <w:rPr>
          <w:rFonts w:ascii="Palatino Linotype" w:hAnsi="Palatino Linotype" w:cs="Tahoma"/>
          <w:bCs/>
        </w:rPr>
        <w:t xml:space="preserve"> y Construcción</w:t>
      </w:r>
      <w:r w:rsidRPr="00C3489C">
        <w:rPr>
          <w:rFonts w:ascii="Palatino Linotype" w:hAnsi="Palatino Linotype" w:cs="Tahoma"/>
          <w:bCs/>
        </w:rPr>
        <w:t xml:space="preserve"> N° DUS-LUS/0308/2015</w:t>
      </w:r>
      <w:r w:rsidR="001166FA" w:rsidRPr="00C3489C">
        <w:rPr>
          <w:rFonts w:ascii="Palatino Linotype" w:hAnsi="Palatino Linotype" w:cs="Tahoma"/>
          <w:bCs/>
        </w:rPr>
        <w:t>,</w:t>
      </w:r>
      <w:r w:rsidRPr="00C3489C">
        <w:rPr>
          <w:rFonts w:ascii="Palatino Linotype" w:hAnsi="Palatino Linotype" w:cs="Tahoma"/>
          <w:bCs/>
        </w:rPr>
        <w:t xml:space="preserve"> de fecha 25 de Marzo de 2015 </w:t>
      </w:r>
    </w:p>
    <w:p w:rsidR="009614FF" w:rsidRPr="00C3489C" w:rsidRDefault="009614FF" w:rsidP="009614FF">
      <w:pPr>
        <w:pStyle w:val="Prrafodelista"/>
        <w:numPr>
          <w:ilvl w:val="0"/>
          <w:numId w:val="22"/>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Oficio N° DGDU/318/2014</w:t>
      </w:r>
      <w:r w:rsidR="001166FA" w:rsidRPr="00C3489C">
        <w:rPr>
          <w:rFonts w:ascii="Palatino Linotype" w:hAnsi="Palatino Linotype" w:cs="Tahoma"/>
          <w:bCs/>
        </w:rPr>
        <w:t xml:space="preserve">, </w:t>
      </w:r>
      <w:r w:rsidRPr="00C3489C">
        <w:rPr>
          <w:rFonts w:ascii="Palatino Linotype" w:hAnsi="Palatino Linotype" w:cs="Tahoma"/>
          <w:bCs/>
        </w:rPr>
        <w:t xml:space="preserve">de fecha 17 de Enero de 2014 </w:t>
      </w:r>
    </w:p>
    <w:p w:rsidR="009614FF" w:rsidRPr="00C3489C" w:rsidRDefault="009614FF" w:rsidP="009614FF">
      <w:pPr>
        <w:pStyle w:val="Prrafodelista"/>
        <w:numPr>
          <w:ilvl w:val="0"/>
          <w:numId w:val="22"/>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Oficio N° DGDU/8139/2014</w:t>
      </w:r>
      <w:r w:rsidR="001166FA" w:rsidRPr="00C3489C">
        <w:rPr>
          <w:rFonts w:ascii="Palatino Linotype" w:hAnsi="Palatino Linotype" w:cs="Tahoma"/>
          <w:bCs/>
        </w:rPr>
        <w:t>,</w:t>
      </w:r>
      <w:r w:rsidRPr="00C3489C">
        <w:rPr>
          <w:rFonts w:ascii="Palatino Linotype" w:hAnsi="Palatino Linotype" w:cs="Tahoma"/>
          <w:bCs/>
        </w:rPr>
        <w:t xml:space="preserve"> de fecha 04 de Diciembre de 2014 </w:t>
      </w:r>
    </w:p>
    <w:p w:rsidR="009614FF" w:rsidRPr="00C3489C" w:rsidRDefault="009614FF" w:rsidP="009614FF">
      <w:pPr>
        <w:pStyle w:val="Prrafodelista"/>
        <w:numPr>
          <w:ilvl w:val="0"/>
          <w:numId w:val="22"/>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Oficio N° DGDU/1868/2016</w:t>
      </w:r>
      <w:r w:rsidR="001166FA" w:rsidRPr="00C3489C">
        <w:rPr>
          <w:rFonts w:ascii="Palatino Linotype" w:hAnsi="Palatino Linotype" w:cs="Tahoma"/>
          <w:bCs/>
        </w:rPr>
        <w:t>,</w:t>
      </w:r>
      <w:r w:rsidRPr="00C3489C">
        <w:rPr>
          <w:rFonts w:ascii="Palatino Linotype" w:hAnsi="Palatino Linotype" w:cs="Tahoma"/>
          <w:bCs/>
        </w:rPr>
        <w:t xml:space="preserve"> de fecha 02 de Mayo de 2016 </w:t>
      </w:r>
    </w:p>
    <w:p w:rsidR="009614FF" w:rsidRPr="00C3489C" w:rsidRDefault="009614FF" w:rsidP="009614FF">
      <w:pPr>
        <w:pStyle w:val="Prrafodelista"/>
        <w:numPr>
          <w:ilvl w:val="0"/>
          <w:numId w:val="22"/>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Autorización de Cambio de Uso del Suelo N° CUS/015/2015 </w:t>
      </w:r>
    </w:p>
    <w:p w:rsidR="009614FF" w:rsidRPr="00C3489C" w:rsidRDefault="009614FF" w:rsidP="00F73A33">
      <w:pPr>
        <w:spacing w:after="0" w:line="360" w:lineRule="auto"/>
        <w:jc w:val="both"/>
        <w:rPr>
          <w:rFonts w:ascii="Palatino Linotype" w:hAnsi="Palatino Linotype"/>
          <w:color w:val="000000"/>
          <w:sz w:val="24"/>
          <w:szCs w:val="24"/>
        </w:rPr>
      </w:pPr>
    </w:p>
    <w:p w:rsidR="004068AD" w:rsidRPr="00C3489C" w:rsidRDefault="004068AD" w:rsidP="00F73A33">
      <w:pPr>
        <w:spacing w:after="0" w:line="360" w:lineRule="auto"/>
        <w:jc w:val="both"/>
        <w:rPr>
          <w:rFonts w:ascii="Palatino Linotype" w:hAnsi="Palatino Linotype"/>
          <w:color w:val="000000"/>
          <w:sz w:val="24"/>
          <w:szCs w:val="24"/>
        </w:rPr>
      </w:pPr>
    </w:p>
    <w:p w:rsidR="00A00F07" w:rsidRPr="00C3489C" w:rsidRDefault="00A00F07" w:rsidP="00F73A33">
      <w:pPr>
        <w:spacing w:after="0" w:line="360" w:lineRule="auto"/>
        <w:jc w:val="both"/>
        <w:rPr>
          <w:rFonts w:ascii="Palatino Linotype" w:eastAsia="Times New Roman" w:hAnsi="Palatino Linotype" w:cs="Times New Roman"/>
          <w:sz w:val="24"/>
          <w:szCs w:val="24"/>
          <w:lang w:val="es-ES" w:eastAsia="es-ES"/>
        </w:rPr>
      </w:pPr>
    </w:p>
    <w:p w:rsidR="001166FA" w:rsidRPr="00C3489C" w:rsidRDefault="001166FA" w:rsidP="001166FA">
      <w:pPr>
        <w:shd w:val="clear" w:color="auto" w:fill="FFFFFF"/>
        <w:spacing w:after="0" w:line="360" w:lineRule="auto"/>
        <w:jc w:val="both"/>
        <w:rPr>
          <w:rFonts w:ascii="Palatino Linotype" w:hAnsi="Palatino Linotype"/>
          <w:color w:val="222222"/>
          <w:sz w:val="28"/>
          <w:szCs w:val="24"/>
          <w:lang w:eastAsia="es-MX"/>
        </w:rPr>
      </w:pPr>
      <w:r w:rsidRPr="00C3489C">
        <w:rPr>
          <w:rFonts w:ascii="Palatino Linotype" w:hAnsi="Palatino Linotype"/>
          <w:b/>
          <w:bCs/>
          <w:i/>
          <w:iCs/>
          <w:color w:val="222222"/>
          <w:sz w:val="28"/>
          <w:szCs w:val="24"/>
          <w:lang w:eastAsia="es-MX"/>
        </w:rPr>
        <w:t>De la versión pública.</w:t>
      </w:r>
    </w:p>
    <w:p w:rsidR="001166FA" w:rsidRPr="00C3489C" w:rsidRDefault="001166FA" w:rsidP="001166FA">
      <w:pPr>
        <w:tabs>
          <w:tab w:val="left" w:pos="7938"/>
        </w:tabs>
        <w:spacing w:after="0" w:line="360" w:lineRule="auto"/>
        <w:jc w:val="both"/>
        <w:rPr>
          <w:rFonts w:ascii="Palatino Linotype" w:hAnsi="Palatino Linotype"/>
          <w:color w:val="222222"/>
          <w:sz w:val="24"/>
          <w:szCs w:val="24"/>
          <w:lang w:eastAsia="es-MX"/>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1166FA" w:rsidP="001166FA">
      <w:pPr>
        <w:pStyle w:val="Fundamentos"/>
        <w:spacing w:line="360" w:lineRule="auto"/>
        <w:rPr>
          <w:sz w:val="24"/>
        </w:rPr>
      </w:pPr>
      <w:r w:rsidRPr="00C3489C">
        <w:rPr>
          <w:b/>
          <w:sz w:val="24"/>
        </w:rPr>
        <w:t>Artículo 3.</w:t>
      </w:r>
      <w:r w:rsidRPr="00C3489C">
        <w:rPr>
          <w:sz w:val="24"/>
        </w:rPr>
        <w:t xml:space="preserve"> Para los efectos de la presente Ley se entenderá por:</w:t>
      </w:r>
    </w:p>
    <w:p w:rsidR="001166FA" w:rsidRPr="00C3489C" w:rsidRDefault="001166FA" w:rsidP="001166FA">
      <w:pPr>
        <w:pStyle w:val="Fundamentos"/>
        <w:spacing w:line="360" w:lineRule="auto"/>
        <w:rPr>
          <w:sz w:val="24"/>
        </w:rPr>
      </w:pPr>
      <w:r w:rsidRPr="00C3489C">
        <w:rPr>
          <w:sz w:val="24"/>
        </w:rPr>
        <w:t>(…)</w:t>
      </w:r>
    </w:p>
    <w:p w:rsidR="001166FA" w:rsidRPr="00C3489C" w:rsidRDefault="001166FA" w:rsidP="001166FA">
      <w:pPr>
        <w:pStyle w:val="Fundamentos"/>
        <w:spacing w:line="360" w:lineRule="auto"/>
        <w:rPr>
          <w:sz w:val="24"/>
        </w:rPr>
      </w:pPr>
      <w:r w:rsidRPr="00C3489C">
        <w:rPr>
          <w:b/>
          <w:sz w:val="24"/>
        </w:rPr>
        <w:t>IX. Datos personales:</w:t>
      </w:r>
      <w:r w:rsidRPr="00C3489C">
        <w:rPr>
          <w:sz w:val="24"/>
        </w:rPr>
        <w:t xml:space="preserve"> La información concerniente a una persona, identificada o identificable según lo dispuesto por la Ley de Protección de Datos Personales del Estado de México; </w:t>
      </w:r>
    </w:p>
    <w:p w:rsidR="001166FA" w:rsidRPr="00C3489C" w:rsidRDefault="001166FA" w:rsidP="001166FA">
      <w:pPr>
        <w:pStyle w:val="Fundamentos"/>
        <w:spacing w:line="360" w:lineRule="auto"/>
        <w:rPr>
          <w:sz w:val="24"/>
        </w:rPr>
      </w:pPr>
      <w:r w:rsidRPr="00C3489C">
        <w:rPr>
          <w:b/>
          <w:sz w:val="24"/>
        </w:rPr>
        <w:t>XX.</w:t>
      </w:r>
      <w:r w:rsidRPr="00C3489C">
        <w:rPr>
          <w:sz w:val="24"/>
        </w:rPr>
        <w:t xml:space="preserve"> </w:t>
      </w:r>
      <w:r w:rsidRPr="00C3489C">
        <w:rPr>
          <w:b/>
          <w:sz w:val="24"/>
        </w:rPr>
        <w:t>Información clasificada:</w:t>
      </w:r>
      <w:r w:rsidRPr="00C3489C">
        <w:rPr>
          <w:sz w:val="24"/>
        </w:rPr>
        <w:t xml:space="preserve"> Aquella considerada por la presente Ley como reservada o confidencial;</w:t>
      </w:r>
    </w:p>
    <w:p w:rsidR="001166FA" w:rsidRPr="00C3489C" w:rsidRDefault="001166FA" w:rsidP="001166FA">
      <w:pPr>
        <w:pStyle w:val="Fundamentos"/>
        <w:spacing w:line="360" w:lineRule="auto"/>
        <w:rPr>
          <w:sz w:val="24"/>
        </w:rPr>
      </w:pPr>
      <w:r w:rsidRPr="00C3489C">
        <w:rPr>
          <w:b/>
          <w:sz w:val="24"/>
        </w:rPr>
        <w:t>XXI.</w:t>
      </w:r>
      <w:r w:rsidRPr="00C3489C">
        <w:rPr>
          <w:sz w:val="24"/>
        </w:rPr>
        <w:t xml:space="preserve"> </w:t>
      </w:r>
      <w:r w:rsidRPr="00C3489C">
        <w:rPr>
          <w:b/>
          <w:sz w:val="24"/>
        </w:rPr>
        <w:t>Información confidencial:</w:t>
      </w:r>
      <w:r w:rsidRPr="00C3489C">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166FA" w:rsidRPr="00C3489C" w:rsidRDefault="001166FA" w:rsidP="001166FA">
      <w:pPr>
        <w:pStyle w:val="Fundamentos"/>
        <w:spacing w:line="360" w:lineRule="auto"/>
        <w:rPr>
          <w:sz w:val="24"/>
        </w:rPr>
      </w:pPr>
      <w:r w:rsidRPr="00C3489C">
        <w:rPr>
          <w:b/>
          <w:sz w:val="24"/>
        </w:rPr>
        <w:t>…</w:t>
      </w:r>
    </w:p>
    <w:p w:rsidR="001166FA" w:rsidRPr="00C3489C" w:rsidRDefault="001166FA" w:rsidP="001166FA">
      <w:pPr>
        <w:pStyle w:val="Fundamentos"/>
        <w:spacing w:line="360" w:lineRule="auto"/>
        <w:rPr>
          <w:sz w:val="24"/>
        </w:rPr>
      </w:pPr>
      <w:r w:rsidRPr="00C3489C">
        <w:rPr>
          <w:b/>
          <w:sz w:val="24"/>
        </w:rPr>
        <w:t>XLV.</w:t>
      </w:r>
      <w:r w:rsidRPr="00C3489C">
        <w:rPr>
          <w:sz w:val="24"/>
        </w:rPr>
        <w:t xml:space="preserve"> </w:t>
      </w:r>
      <w:r w:rsidRPr="00C3489C">
        <w:rPr>
          <w:b/>
          <w:sz w:val="24"/>
        </w:rPr>
        <w:t>Versión pública:</w:t>
      </w:r>
      <w:r w:rsidRPr="00C3489C">
        <w:rPr>
          <w:sz w:val="24"/>
        </w:rPr>
        <w:t xml:space="preserve"> Documento en el que se elimine, suprime o borra la información clasificada como reservada o confidencial para permitir su acceso.</w:t>
      </w:r>
    </w:p>
    <w:p w:rsidR="001166FA" w:rsidRPr="00C3489C" w:rsidRDefault="001166FA" w:rsidP="001166FA">
      <w:pPr>
        <w:pStyle w:val="Fundamentos"/>
        <w:spacing w:line="360" w:lineRule="auto"/>
        <w:rPr>
          <w:sz w:val="24"/>
        </w:rPr>
      </w:pPr>
      <w:r w:rsidRPr="00C3489C">
        <w:rPr>
          <w:sz w:val="24"/>
        </w:rPr>
        <w:t>(…)</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b/>
          <w:sz w:val="24"/>
        </w:rPr>
        <w:t xml:space="preserve">Artículo 91. </w:t>
      </w:r>
      <w:r w:rsidRPr="00C3489C">
        <w:rPr>
          <w:sz w:val="24"/>
        </w:rPr>
        <w:t>El acceso a la información pública será restringido excepcionalmente, cuando ésta sea clasificada como reservada o confidencial.</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b/>
          <w:sz w:val="24"/>
        </w:rPr>
        <w:t>Artículo 132.</w:t>
      </w:r>
      <w:r w:rsidRPr="00C3489C">
        <w:rPr>
          <w:sz w:val="24"/>
        </w:rPr>
        <w:t xml:space="preserve"> </w:t>
      </w:r>
      <w:r w:rsidRPr="00C3489C">
        <w:rPr>
          <w:sz w:val="24"/>
          <w:u w:val="single"/>
        </w:rPr>
        <w:t>La clasificación de la información se llevará a cabo en el momento en que</w:t>
      </w:r>
      <w:r w:rsidRPr="00C3489C">
        <w:rPr>
          <w:sz w:val="24"/>
        </w:rPr>
        <w:t>:</w:t>
      </w:r>
    </w:p>
    <w:p w:rsidR="001166FA" w:rsidRPr="00C3489C" w:rsidRDefault="001166FA" w:rsidP="001166FA">
      <w:pPr>
        <w:pStyle w:val="Fundamentos"/>
        <w:spacing w:line="360" w:lineRule="auto"/>
        <w:rPr>
          <w:sz w:val="24"/>
        </w:rPr>
      </w:pPr>
      <w:r w:rsidRPr="00C3489C">
        <w:rPr>
          <w:b/>
          <w:sz w:val="24"/>
        </w:rPr>
        <w:t>I.</w:t>
      </w:r>
      <w:r w:rsidRPr="00C3489C">
        <w:rPr>
          <w:sz w:val="24"/>
        </w:rPr>
        <w:t xml:space="preserve"> Se reciba una solicitud de acceso a la información;</w:t>
      </w:r>
    </w:p>
    <w:p w:rsidR="001166FA" w:rsidRPr="00C3489C" w:rsidRDefault="001166FA" w:rsidP="001166FA">
      <w:pPr>
        <w:pStyle w:val="Fundamentos"/>
        <w:spacing w:line="360" w:lineRule="auto"/>
        <w:rPr>
          <w:sz w:val="24"/>
        </w:rPr>
      </w:pPr>
      <w:r w:rsidRPr="00C3489C">
        <w:rPr>
          <w:b/>
          <w:sz w:val="24"/>
        </w:rPr>
        <w:t>II.</w:t>
      </w:r>
      <w:r w:rsidRPr="00C3489C">
        <w:rPr>
          <w:sz w:val="24"/>
        </w:rPr>
        <w:t xml:space="preserve"> </w:t>
      </w:r>
      <w:r w:rsidRPr="00C3489C">
        <w:rPr>
          <w:sz w:val="24"/>
          <w:u w:val="single"/>
        </w:rPr>
        <w:t>Se determine mediante resolución de autoridad competente; o</w:t>
      </w:r>
    </w:p>
    <w:p w:rsidR="001166FA" w:rsidRPr="00C3489C" w:rsidRDefault="001166FA" w:rsidP="001166FA">
      <w:pPr>
        <w:pStyle w:val="Fundamentos"/>
        <w:spacing w:line="360" w:lineRule="auto"/>
        <w:rPr>
          <w:sz w:val="24"/>
          <w:u w:val="single"/>
        </w:rPr>
      </w:pPr>
      <w:r w:rsidRPr="00C3489C">
        <w:rPr>
          <w:b/>
          <w:sz w:val="24"/>
        </w:rPr>
        <w:t>III.</w:t>
      </w:r>
      <w:r w:rsidRPr="00C3489C">
        <w:rPr>
          <w:sz w:val="24"/>
        </w:rPr>
        <w:t xml:space="preserve"> </w:t>
      </w:r>
      <w:r w:rsidRPr="00C3489C">
        <w:rPr>
          <w:sz w:val="24"/>
          <w:u w:val="single"/>
        </w:rPr>
        <w:t>Se generen versiones públicas para dar cumplimiento a las obligaciones de transparencia previstas en esta Ley.</w:t>
      </w:r>
    </w:p>
    <w:p w:rsidR="001166FA" w:rsidRPr="00C3489C" w:rsidRDefault="001166FA" w:rsidP="001166FA">
      <w:pPr>
        <w:pStyle w:val="Fundamentos"/>
        <w:spacing w:line="360" w:lineRule="auto"/>
        <w:rPr>
          <w:sz w:val="24"/>
        </w:rPr>
      </w:pPr>
      <w:r w:rsidRPr="00C3489C">
        <w:rPr>
          <w:sz w:val="24"/>
        </w:rPr>
        <w:t>(…)</w:t>
      </w:r>
    </w:p>
    <w:p w:rsidR="001166FA" w:rsidRPr="00C3489C" w:rsidRDefault="001166FA" w:rsidP="001166FA">
      <w:pPr>
        <w:spacing w:after="0" w:line="360" w:lineRule="auto"/>
        <w:jc w:val="both"/>
        <w:rPr>
          <w:rFonts w:ascii="Palatino Linotype" w:eastAsia="Palatino Linotype" w:hAnsi="Palatino Linotype" w:cs="Palatino Linotype"/>
          <w:i/>
          <w:sz w:val="24"/>
          <w:szCs w:val="24"/>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 xml:space="preserve">Por otro lado, los </w:t>
      </w:r>
      <w:r w:rsidRPr="00C3489C">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C3489C">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lastRenderedPageBreak/>
        <w:t>Entorno a lo que aquí nos interesa, los Lineamientos Quincuagésimo sexto, Quincuagésimo séptimo y Quincuagésimo octavo, establecen lo siguiente:</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1166FA" w:rsidP="001166FA">
      <w:pPr>
        <w:pStyle w:val="Fundamentos"/>
        <w:spacing w:line="360" w:lineRule="auto"/>
        <w:rPr>
          <w:sz w:val="24"/>
        </w:rPr>
      </w:pPr>
      <w:r w:rsidRPr="00C3489C">
        <w:rPr>
          <w:b/>
          <w:sz w:val="24"/>
        </w:rPr>
        <w:t>Quincuagésimo sexto.</w:t>
      </w:r>
      <w:r w:rsidRPr="00C3489C">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b/>
          <w:sz w:val="24"/>
        </w:rPr>
        <w:t>Quincuagésimo séptimo.</w:t>
      </w:r>
      <w:r w:rsidRPr="00C3489C">
        <w:rPr>
          <w:sz w:val="24"/>
        </w:rPr>
        <w:t xml:space="preserve"> Se considera, en principio, como información pública y no podrá omitirse de las versiones públicas la siguiente:</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sz w:val="24"/>
        </w:rPr>
        <w:t xml:space="preserve">I. La relativa a las Obligaciones de Transparencia que contempla el Título V de la Ley General y las demás disposiciones legales aplicables; </w:t>
      </w:r>
    </w:p>
    <w:p w:rsidR="001166FA" w:rsidRPr="00C3489C" w:rsidRDefault="001166FA" w:rsidP="001166FA">
      <w:pPr>
        <w:pStyle w:val="Fundamentos"/>
        <w:spacing w:line="360" w:lineRule="auto"/>
        <w:rPr>
          <w:sz w:val="24"/>
        </w:rPr>
      </w:pPr>
      <w:r w:rsidRPr="00C3489C">
        <w:rPr>
          <w:sz w:val="24"/>
        </w:rPr>
        <w:t xml:space="preserve">II. El nombre de los integrantes de los sujetos obligados en los documentos, y sus firmas autógrafas o digitales, cuando sean utilizados en el ejercicio de las facultades conferidas para el desempeño del servicio público, y </w:t>
      </w:r>
    </w:p>
    <w:p w:rsidR="001166FA" w:rsidRPr="00C3489C" w:rsidRDefault="001166FA" w:rsidP="001166FA">
      <w:pPr>
        <w:pStyle w:val="Fundamentos"/>
        <w:spacing w:line="360" w:lineRule="auto"/>
        <w:rPr>
          <w:sz w:val="24"/>
        </w:rPr>
      </w:pPr>
      <w:r w:rsidRPr="00C3489C">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sz w:val="24"/>
        </w:rPr>
        <w:t xml:space="preserve">Lo anterior, siempre y cuando no se acredite alguna causal de clasificación, prevista en las leyes o en los tratados internacionales suscritos por el Estado mexicano. </w:t>
      </w:r>
    </w:p>
    <w:p w:rsidR="001166FA" w:rsidRPr="00C3489C" w:rsidRDefault="001166FA" w:rsidP="001166FA">
      <w:pPr>
        <w:pStyle w:val="Fundamentos"/>
        <w:spacing w:line="360" w:lineRule="auto"/>
        <w:rPr>
          <w:sz w:val="24"/>
        </w:rPr>
      </w:pPr>
    </w:p>
    <w:p w:rsidR="001166FA" w:rsidRPr="00C3489C" w:rsidRDefault="001166FA" w:rsidP="001166FA">
      <w:pPr>
        <w:pStyle w:val="Fundamentos"/>
        <w:spacing w:line="360" w:lineRule="auto"/>
        <w:rPr>
          <w:sz w:val="24"/>
        </w:rPr>
      </w:pPr>
      <w:r w:rsidRPr="00C3489C">
        <w:rPr>
          <w:b/>
          <w:sz w:val="24"/>
        </w:rPr>
        <w:t>Quincuagésimo octavo.</w:t>
      </w:r>
      <w:r w:rsidRPr="00C3489C">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rsidR="001166FA" w:rsidRPr="00C3489C" w:rsidRDefault="001166FA" w:rsidP="001166FA">
      <w:pPr>
        <w:spacing w:after="0" w:line="360" w:lineRule="auto"/>
        <w:jc w:val="both"/>
        <w:rPr>
          <w:rFonts w:ascii="Palatino Linotype" w:eastAsia="Palatino Linotype" w:hAnsi="Palatino Linotype" w:cs="Palatino Linotype"/>
          <w:i/>
          <w:sz w:val="24"/>
          <w:szCs w:val="24"/>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1166FA"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SAIMEX. </w:t>
      </w:r>
    </w:p>
    <w:p w:rsidR="001166FA" w:rsidRPr="00C3489C" w:rsidRDefault="001166FA" w:rsidP="001166FA">
      <w:pPr>
        <w:spacing w:after="0" w:line="360" w:lineRule="auto"/>
        <w:jc w:val="both"/>
        <w:rPr>
          <w:rFonts w:ascii="Palatino Linotype" w:eastAsia="Palatino Linotype" w:hAnsi="Palatino Linotype" w:cs="Palatino Linotype"/>
          <w:sz w:val="24"/>
          <w:szCs w:val="24"/>
        </w:rPr>
      </w:pPr>
    </w:p>
    <w:p w:rsidR="001166FA" w:rsidRPr="00C3489C" w:rsidRDefault="00A448A8"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 xml:space="preserve"> Así pues, en atención a las documentales que se determinan ordenar, existe la posibilidad de que en estos obre información que puede ser considerada confidencial, </w:t>
      </w:r>
      <w:r w:rsidRPr="00C3489C">
        <w:rPr>
          <w:rFonts w:ascii="Palatino Linotype" w:eastAsia="Palatino Linotype" w:hAnsi="Palatino Linotype" w:cs="Palatino Linotype"/>
          <w:sz w:val="24"/>
          <w:szCs w:val="24"/>
        </w:rPr>
        <w:lastRenderedPageBreak/>
        <w:t>cuyo acceso debe ser restringido al momento de elaborar la versión pública correspondiente, tales como clave catastral, como se advierte a continuación:</w:t>
      </w:r>
    </w:p>
    <w:p w:rsidR="00A448A8" w:rsidRPr="00C3489C" w:rsidRDefault="00A448A8" w:rsidP="00A448A8">
      <w:pPr>
        <w:pStyle w:val="infoemcitas"/>
        <w:numPr>
          <w:ilvl w:val="0"/>
          <w:numId w:val="5"/>
        </w:numPr>
        <w:ind w:right="0"/>
        <w:rPr>
          <w:i w:val="0"/>
          <w:sz w:val="24"/>
        </w:rPr>
      </w:pPr>
      <w:r w:rsidRPr="00C3489C">
        <w:rPr>
          <w:b/>
          <w:i w:val="0"/>
          <w:sz w:val="24"/>
        </w:rPr>
        <w:t>Clave catastral.</w:t>
      </w:r>
      <w:r w:rsidRPr="00C3489C">
        <w:rPr>
          <w:i w:val="0"/>
          <w:sz w:val="24"/>
        </w:rPr>
        <w:t xml:space="preserve"> De conformidad con el artículo 179, fracción I, del Código Financiero del Estado de México y Municipios,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posiciones identifican el número de lote o predio, por lo que, se colige que hace identificable al titular del inmueble y, por ende, </w:t>
      </w:r>
      <w:r w:rsidRPr="00C3489C">
        <w:rPr>
          <w:b/>
          <w:i w:val="0"/>
          <w:sz w:val="24"/>
        </w:rPr>
        <w:t>esta debe ser clasificada en términos de la fracción I del artículo 143 de la Ley de Transparencia y Acceso a la Información Pública del Estado de México.</w:t>
      </w:r>
    </w:p>
    <w:p w:rsidR="001166FA" w:rsidRPr="00C3489C" w:rsidRDefault="00CB5676" w:rsidP="001166FA">
      <w:pPr>
        <w:spacing w:after="0" w:line="360" w:lineRule="auto"/>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El diccionario de Datos catastrales Escala 1:1000 del Instituto Nacional de Estadística y Geografía (INEGI), contempla en su glosario la definición de clave catastral, la cual, es la siguiente:</w:t>
      </w:r>
    </w:p>
    <w:p w:rsidR="00CB5676" w:rsidRPr="00C3489C" w:rsidRDefault="00CB5676" w:rsidP="00CB5676">
      <w:pPr>
        <w:pStyle w:val="INFOEM"/>
      </w:pPr>
      <w:r w:rsidRPr="00C3489C">
        <w:t>“Clave catastral: El código que identifica al predio de forma única para su localización geográfica, mismo que es asignado a cada uno de ellos en el momento de su inscripción en el padrón catastral por las Unidades del estado con atribuciones catastrales”</w:t>
      </w:r>
    </w:p>
    <w:p w:rsidR="00CB5676" w:rsidRPr="00C3489C" w:rsidRDefault="00CB5676" w:rsidP="001166FA">
      <w:pPr>
        <w:spacing w:after="0" w:line="360" w:lineRule="auto"/>
        <w:contextualSpacing/>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Así mismo, dicho diccionario estipula dos tipos de Claves catastrales, siendo estas la Estándar y la Original, cuyo diccionario de datos catastrales Escala 1:1000 del INEGI, las define como:</w:t>
      </w:r>
    </w:p>
    <w:p w:rsidR="00CB5676" w:rsidRPr="00C3489C" w:rsidRDefault="00CB5676" w:rsidP="00CB5676">
      <w:pPr>
        <w:pStyle w:val="INFOEM"/>
      </w:pPr>
      <w:r w:rsidRPr="00C3489C">
        <w:lastRenderedPageBreak/>
        <w:t>“</w:t>
      </w:r>
      <w:r w:rsidRPr="00C3489C">
        <w:rPr>
          <w:b/>
        </w:rPr>
        <w:t>CLAVE CATASTRAL ESTÁNDAR</w:t>
      </w:r>
      <w:r w:rsidRPr="00C3489C">
        <w:t xml:space="preserve">: Código de 31 caracteres conformado por elementos administrativos y que identifica al objeto espacial en forma única para su localización, compuesto por: Estado (2) + Región Catastral (3) + Municipio (3) + Zona Catastral (2) + Localidad (4) + Sector Catastral (3) + Manzana(3) + Predio (5) + Condominio: edificio (2) y unidad (4). </w:t>
      </w:r>
    </w:p>
    <w:p w:rsidR="00CB5676" w:rsidRPr="00C3489C" w:rsidRDefault="00CB5676" w:rsidP="00CB5676">
      <w:pPr>
        <w:pStyle w:val="INFOEM"/>
      </w:pPr>
      <w:r w:rsidRPr="00C3489C">
        <w:rPr>
          <w:b/>
        </w:rPr>
        <w:t>CLAVE CATASTRAL ORIGINAL:</w:t>
      </w:r>
      <w:r w:rsidRPr="00C3489C">
        <w:t xml:space="preserve"> Código que identifica al objeto espacial el cual es asignado, por el Catastro Estatal, Municipal o por el registro Agrario Nacional”</w:t>
      </w:r>
    </w:p>
    <w:p w:rsidR="00CB5676" w:rsidRPr="00C3489C" w:rsidRDefault="00CB5676" w:rsidP="00CB5676">
      <w:pPr>
        <w:pStyle w:val="INFOEM"/>
      </w:pPr>
    </w:p>
    <w:p w:rsidR="00CB5676" w:rsidRPr="00C3489C" w:rsidRDefault="00CB5676" w:rsidP="001166FA">
      <w:pPr>
        <w:spacing w:after="0" w:line="360" w:lineRule="auto"/>
        <w:contextualSpacing/>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 xml:space="preserve">Conforme a lo anterior, se advierte que el dato en comento, hace referencia a un predio determinado, que lo hace identificable mediante su localización geográfica e inscripción al padrón catastral de cada entidad federativa, por lo que pudiera revelar información inherente al patrimonio del propietario de dicho predio o inmueble, por lo que de igual manera </w:t>
      </w:r>
      <w:r w:rsidRPr="00C3489C">
        <w:rPr>
          <w:rFonts w:ascii="Palatino Linotype" w:eastAsia="Palatino Linotype" w:hAnsi="Palatino Linotype" w:cs="Palatino Linotype"/>
          <w:b/>
          <w:sz w:val="24"/>
          <w:szCs w:val="24"/>
        </w:rPr>
        <w:t>procede a clasificar dicho dato como confidencial, en términos del artículo 143, fracción I de la Ley de Transparencia y Acceso a la Información Pública del Estado de México y Municipios</w:t>
      </w:r>
      <w:r w:rsidRPr="00C3489C">
        <w:rPr>
          <w:rFonts w:ascii="Palatino Linotype" w:eastAsia="Palatino Linotype" w:hAnsi="Palatino Linotype" w:cs="Palatino Linotype"/>
          <w:sz w:val="24"/>
          <w:szCs w:val="24"/>
        </w:rPr>
        <w:t>.</w:t>
      </w:r>
    </w:p>
    <w:p w:rsidR="00CB5676" w:rsidRPr="00C3489C" w:rsidRDefault="00CB5676" w:rsidP="001166FA">
      <w:pPr>
        <w:spacing w:after="0" w:line="360" w:lineRule="auto"/>
        <w:contextualSpacing/>
        <w:jc w:val="both"/>
        <w:rPr>
          <w:rFonts w:ascii="Palatino Linotype" w:eastAsia="Palatino Linotype" w:hAnsi="Palatino Linotype" w:cs="Palatino Linotype"/>
          <w:sz w:val="24"/>
          <w:szCs w:val="24"/>
        </w:rPr>
      </w:pPr>
    </w:p>
    <w:p w:rsidR="001166FA" w:rsidRPr="00C3489C" w:rsidRDefault="001166FA" w:rsidP="001166FA">
      <w:pPr>
        <w:spacing w:after="0" w:line="360" w:lineRule="auto"/>
        <w:contextualSpacing/>
        <w:jc w:val="both"/>
        <w:rPr>
          <w:rFonts w:ascii="Palatino Linotype" w:eastAsia="Palatino Linotype" w:hAnsi="Palatino Linotype" w:cs="Palatino Linotype"/>
          <w:sz w:val="24"/>
          <w:szCs w:val="24"/>
        </w:rPr>
      </w:pPr>
      <w:r w:rsidRPr="00C3489C">
        <w:rPr>
          <w:rFonts w:ascii="Palatino Linotype" w:eastAsia="Palatino Linotype" w:hAnsi="Palatino Linotype" w:cs="Palatino Linotype"/>
          <w:sz w:val="24"/>
          <w:szCs w:val="24"/>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rsidR="001166FA" w:rsidRPr="00C3489C" w:rsidRDefault="001166FA" w:rsidP="001166FA">
      <w:pPr>
        <w:spacing w:after="0" w:line="360" w:lineRule="auto"/>
        <w:contextualSpacing/>
        <w:jc w:val="both"/>
        <w:rPr>
          <w:rFonts w:ascii="Palatino Linotype" w:eastAsia="Palatino Linotype" w:hAnsi="Palatino Linotype" w:cs="Palatino Linotype"/>
          <w:sz w:val="24"/>
          <w:szCs w:val="24"/>
        </w:rPr>
      </w:pPr>
    </w:p>
    <w:p w:rsidR="001166FA" w:rsidRPr="00C3489C" w:rsidRDefault="001166FA" w:rsidP="001166FA">
      <w:pPr>
        <w:spacing w:after="0" w:line="360" w:lineRule="auto"/>
        <w:ind w:left="567" w:right="616"/>
        <w:contextualSpacing/>
        <w:jc w:val="both"/>
        <w:rPr>
          <w:rFonts w:ascii="Palatino Linotype" w:eastAsia="Palatino Linotype" w:hAnsi="Palatino Linotype" w:cs="Palatino Linotype"/>
          <w:b/>
          <w:bCs/>
          <w:i/>
          <w:iCs/>
          <w:sz w:val="24"/>
          <w:szCs w:val="24"/>
        </w:rPr>
      </w:pPr>
      <w:r w:rsidRPr="00C3489C">
        <w:rPr>
          <w:rFonts w:ascii="Palatino Linotype" w:eastAsia="Palatino Linotype" w:hAnsi="Palatino Linotype" w:cs="Palatino Linotype"/>
          <w:b/>
          <w:bCs/>
          <w:i/>
          <w:iCs/>
          <w:sz w:val="24"/>
          <w:szCs w:val="24"/>
        </w:rPr>
        <w:lastRenderedPageBreak/>
        <w:t>Criterio 08/19</w:t>
      </w:r>
    </w:p>
    <w:p w:rsidR="001166FA" w:rsidRPr="00C3489C" w:rsidRDefault="001166FA" w:rsidP="001166FA">
      <w:pPr>
        <w:spacing w:after="0" w:line="360" w:lineRule="auto"/>
        <w:ind w:left="567" w:right="616"/>
        <w:contextualSpacing/>
        <w:jc w:val="both"/>
        <w:rPr>
          <w:rFonts w:ascii="Palatino Linotype" w:eastAsia="Palatino Linotype" w:hAnsi="Palatino Linotype" w:cs="Palatino Linotype"/>
          <w:i/>
          <w:iCs/>
          <w:sz w:val="24"/>
          <w:szCs w:val="24"/>
        </w:rPr>
      </w:pPr>
      <w:r w:rsidRPr="00C3489C">
        <w:rPr>
          <w:rFonts w:ascii="Palatino Linotype" w:eastAsia="Palatino Linotype" w:hAnsi="Palatino Linotype" w:cs="Palatino Linotype"/>
          <w:b/>
          <w:bCs/>
          <w:i/>
          <w:iCs/>
          <w:sz w:val="24"/>
          <w:szCs w:val="24"/>
        </w:rPr>
        <w:t xml:space="preserve">Razón social y RFC de personas morales. </w:t>
      </w:r>
      <w:r w:rsidRPr="00C3489C">
        <w:rPr>
          <w:rFonts w:ascii="Palatino Linotype" w:eastAsia="Palatino Linotype" w:hAnsi="Palatino Linotype" w:cs="Palatino Linotype"/>
          <w:i/>
          <w:iCs/>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1166FA" w:rsidRPr="00C3489C" w:rsidRDefault="001166FA" w:rsidP="001166FA">
      <w:pPr>
        <w:spacing w:after="0" w:line="360" w:lineRule="auto"/>
        <w:ind w:right="616"/>
        <w:contextualSpacing/>
        <w:jc w:val="both"/>
        <w:rPr>
          <w:rFonts w:ascii="Palatino Linotype" w:eastAsia="Palatino Linotype" w:hAnsi="Palatino Linotype" w:cs="Palatino Linotype"/>
          <w:b/>
          <w:bCs/>
          <w:i/>
          <w:iCs/>
          <w:sz w:val="24"/>
          <w:szCs w:val="24"/>
        </w:rPr>
      </w:pPr>
    </w:p>
    <w:p w:rsidR="001166FA" w:rsidRPr="00C3489C" w:rsidRDefault="001166FA" w:rsidP="001166FA">
      <w:pPr>
        <w:spacing w:after="0" w:line="360" w:lineRule="auto"/>
        <w:ind w:left="567" w:right="616"/>
        <w:contextualSpacing/>
        <w:jc w:val="both"/>
        <w:rPr>
          <w:rFonts w:ascii="Palatino Linotype" w:eastAsia="Palatino Linotype" w:hAnsi="Palatino Linotype" w:cs="Palatino Linotype"/>
          <w:b/>
          <w:bCs/>
          <w:i/>
          <w:iCs/>
          <w:sz w:val="24"/>
          <w:szCs w:val="24"/>
        </w:rPr>
      </w:pPr>
      <w:r w:rsidRPr="00C3489C">
        <w:rPr>
          <w:rFonts w:ascii="Palatino Linotype" w:eastAsia="Palatino Linotype" w:hAnsi="Palatino Linotype" w:cs="Palatino Linotype"/>
          <w:b/>
          <w:bCs/>
          <w:i/>
          <w:iCs/>
          <w:sz w:val="24"/>
          <w:szCs w:val="24"/>
        </w:rPr>
        <w:t>Criterio 04/21</w:t>
      </w:r>
    </w:p>
    <w:p w:rsidR="001166FA" w:rsidRPr="00C3489C" w:rsidRDefault="001166FA" w:rsidP="001166FA">
      <w:pPr>
        <w:spacing w:after="0" w:line="360" w:lineRule="auto"/>
        <w:ind w:left="567" w:right="616"/>
        <w:contextualSpacing/>
        <w:jc w:val="both"/>
        <w:rPr>
          <w:rFonts w:ascii="Palatino Linotype" w:eastAsia="Palatino Linotype" w:hAnsi="Palatino Linotype" w:cs="Palatino Linotype"/>
          <w:i/>
          <w:iCs/>
          <w:sz w:val="24"/>
          <w:szCs w:val="24"/>
        </w:rPr>
      </w:pPr>
      <w:r w:rsidRPr="00C3489C">
        <w:rPr>
          <w:rFonts w:ascii="Palatino Linotype" w:eastAsia="Palatino Linotype" w:hAnsi="Palatino Linotype" w:cs="Palatino Linotype"/>
          <w:b/>
          <w:bCs/>
          <w:i/>
          <w:iCs/>
          <w:sz w:val="24"/>
          <w:szCs w:val="24"/>
        </w:rPr>
        <w:t>Registro Federal de Contribuyentes (RFC) de personas físicas proveedores o contratistas.</w:t>
      </w:r>
      <w:r w:rsidRPr="00C3489C">
        <w:rPr>
          <w:rFonts w:ascii="Palatino Linotype" w:eastAsia="Palatino Linotype" w:hAnsi="Palatino Linotype" w:cs="Palatino Linotype"/>
          <w:i/>
          <w:iCs/>
          <w:sz w:val="24"/>
          <w:szCs w:val="24"/>
        </w:rPr>
        <w:t xml:space="preserve"> El RFC de contratistas o proveedores de los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p>
    <w:p w:rsidR="001166FA" w:rsidRPr="00C3489C" w:rsidRDefault="001166FA" w:rsidP="001166FA">
      <w:pPr>
        <w:tabs>
          <w:tab w:val="left" w:pos="7938"/>
        </w:tabs>
        <w:spacing w:after="0" w:line="360" w:lineRule="auto"/>
        <w:jc w:val="both"/>
        <w:rPr>
          <w:rFonts w:ascii="Palatino Linotype" w:hAnsi="Palatino Linotype"/>
          <w:color w:val="222222"/>
          <w:sz w:val="24"/>
          <w:szCs w:val="24"/>
          <w:lang w:eastAsia="es-MX"/>
        </w:rPr>
      </w:pP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 </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b/>
          <w:bCs/>
          <w:i/>
          <w:iCs/>
          <w:color w:val="000000"/>
          <w:lang w:val="es-ES_tradnl" w:eastAsia="es-MX"/>
        </w:rPr>
        <w:t>“FUNDAMENTACIÓN Y MOTIVACIÓN.</w:t>
      </w:r>
      <w:r w:rsidRPr="00C3489C">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w:t>
      </w:r>
      <w:r w:rsidRPr="00C3489C">
        <w:rPr>
          <w:rFonts w:ascii="Palatino Linotype" w:hAnsi="Palatino Linotype" w:cs="Arial"/>
          <w:i/>
          <w:iCs/>
          <w:color w:val="000000"/>
          <w:lang w:val="es-ES_tradnl" w:eastAsia="es-MX"/>
        </w:rPr>
        <w:lastRenderedPageBreak/>
        <w:t>segundo, las razones, motivos o circunstancias especiales que llevaron a la autoridad a concluir que el caso particular encuadra en el supuesto previsto por la norma legal invocada como fundamento.</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 SEGUNDO TRIBUNAL COLEGIADO DEL SEXTO CIRCUITO.</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1166FA" w:rsidRPr="00C3489C" w:rsidRDefault="001166FA" w:rsidP="001166FA">
      <w:pPr>
        <w:shd w:val="clear" w:color="auto" w:fill="FFFFFF"/>
        <w:spacing w:line="360" w:lineRule="auto"/>
        <w:ind w:left="567" w:right="567"/>
        <w:jc w:val="both"/>
        <w:rPr>
          <w:rFonts w:ascii="Palatino Linotype" w:hAnsi="Palatino Linotype" w:cs="Arial"/>
          <w:color w:val="222222"/>
          <w:lang w:eastAsia="es-MX"/>
        </w:rPr>
      </w:pPr>
      <w:r w:rsidRPr="00C3489C">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En este sentido, el numeral trigésimo tercero fracción II de los Lineamientos Generales, precisa que para motivar la clasificación se deben acreditar las circunstancias de tiempo, modo y lugar.</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r w:rsidRPr="00C3489C">
        <w:rPr>
          <w:rFonts w:ascii="Palatino Linotype" w:eastAsia="Arial Unicode MS" w:hAnsi="Palatino Linotype" w:cs="Arial"/>
          <w:sz w:val="24"/>
        </w:rPr>
        <w:t>En ese mismo orden de ideas en el supuesto de que la licencia emitida actualice lo dispuesto en el Criterio 01/18 del INFOEM, se deberá proteger el nombre del titular de la licencia, ya que establece:</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autoSpaceDE w:val="0"/>
        <w:autoSpaceDN w:val="0"/>
        <w:adjustRightInd w:val="0"/>
        <w:spacing w:after="0" w:line="240" w:lineRule="auto"/>
        <w:ind w:left="567" w:right="425"/>
        <w:jc w:val="both"/>
        <w:rPr>
          <w:rFonts w:ascii="Palatino Linotype" w:hAnsi="Palatino Linotype" w:cs="Arial,Bold"/>
          <w:b/>
          <w:bCs/>
          <w:i/>
          <w:sz w:val="23"/>
          <w:szCs w:val="23"/>
        </w:rPr>
      </w:pPr>
      <w:r w:rsidRPr="00C3489C">
        <w:rPr>
          <w:rFonts w:ascii="Palatino Linotype" w:hAnsi="Palatino Linotype" w:cs="Arial,Bold"/>
          <w:b/>
          <w:bCs/>
          <w:i/>
          <w:sz w:val="23"/>
          <w:szCs w:val="23"/>
        </w:rPr>
        <w:t xml:space="preserve">“Nombre del titular de una licencia que no involucre el aprovechamiento de bienes, servicios y/o recursos públicos, constituye un dato personal susceptible de clasificar como confidencial. </w:t>
      </w:r>
      <w:r w:rsidRPr="00C3489C">
        <w:rPr>
          <w:rFonts w:ascii="Palatino Linotype" w:hAnsi="Palatino Linotype" w:cs="Arial"/>
          <w:i/>
          <w:sz w:val="23"/>
          <w:szCs w:val="23"/>
        </w:rPr>
        <w:t>El artículo 1, párrafo segundo de la Constitución Política de los Estados</w:t>
      </w:r>
      <w:r w:rsidRPr="00C3489C">
        <w:rPr>
          <w:rFonts w:ascii="Palatino Linotype" w:hAnsi="Palatino Linotype" w:cs="Arial,Bold"/>
          <w:b/>
          <w:bCs/>
          <w:i/>
          <w:sz w:val="23"/>
          <w:szCs w:val="23"/>
        </w:rPr>
        <w:t xml:space="preserve"> </w:t>
      </w:r>
      <w:r w:rsidRPr="00C3489C">
        <w:rPr>
          <w:rFonts w:ascii="Palatino Linotype" w:hAnsi="Palatino Linotype" w:cs="Arial"/>
          <w:i/>
          <w:sz w:val="23"/>
          <w:szCs w:val="23"/>
        </w:rPr>
        <w:t xml:space="preserve">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w:t>
      </w:r>
      <w:r w:rsidRPr="00C3489C">
        <w:rPr>
          <w:rFonts w:ascii="Palatino Linotype" w:hAnsi="Palatino Linotype" w:cs="Arial"/>
          <w:i/>
          <w:sz w:val="23"/>
          <w:szCs w:val="23"/>
        </w:rPr>
        <w:lastRenderedPageBreak/>
        <w:t>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w:t>
      </w:r>
      <w:r w:rsidRPr="00C3489C">
        <w:rPr>
          <w:rFonts w:ascii="Palatino Linotype" w:hAnsi="Palatino Linotype" w:cs="Arial,Bold"/>
          <w:b/>
          <w:bCs/>
          <w:i/>
          <w:sz w:val="23"/>
          <w:szCs w:val="23"/>
        </w:rPr>
        <w:t xml:space="preserve"> </w:t>
      </w:r>
      <w:r w:rsidRPr="00C3489C">
        <w:rPr>
          <w:rFonts w:ascii="Palatino Linotype" w:hAnsi="Palatino Linotype" w:cs="Arial"/>
          <w:i/>
          <w:sz w:val="23"/>
          <w:szCs w:val="23"/>
        </w:rPr>
        <w:t>y/o recursos públicos, caso contrario se deberá clasificar como confidencial.”</w:t>
      </w:r>
    </w:p>
    <w:p w:rsidR="001166FA" w:rsidRPr="00C3489C" w:rsidRDefault="001166FA" w:rsidP="001166FA">
      <w:pPr>
        <w:tabs>
          <w:tab w:val="left" w:pos="7938"/>
        </w:tabs>
        <w:spacing w:after="0" w:line="360" w:lineRule="auto"/>
        <w:jc w:val="both"/>
        <w:rPr>
          <w:rFonts w:ascii="Palatino Linotype" w:eastAsia="Arial Unicode MS" w:hAnsi="Palatino Linotype" w:cs="Arial"/>
          <w:sz w:val="24"/>
        </w:rPr>
      </w:pPr>
    </w:p>
    <w:p w:rsidR="001166FA" w:rsidRPr="00C3489C" w:rsidRDefault="001166FA" w:rsidP="001166FA">
      <w:pPr>
        <w:spacing w:after="0" w:line="360" w:lineRule="auto"/>
        <w:ind w:right="51"/>
        <w:jc w:val="both"/>
        <w:rPr>
          <w:rFonts w:ascii="Palatino Linotype" w:hAnsi="Palatino Linotype" w:cs="Arial"/>
          <w:sz w:val="24"/>
          <w:szCs w:val="24"/>
        </w:rPr>
      </w:pPr>
      <w:r w:rsidRPr="00C3489C">
        <w:rPr>
          <w:rFonts w:ascii="Palatino Linotype" w:eastAsia="Arial Unicode MS" w:hAnsi="Palatino Linotype" w:cs="Arial"/>
          <w:sz w:val="24"/>
          <w:szCs w:val="24"/>
        </w:rPr>
        <w:t>En mérito de lo ex</w:t>
      </w:r>
      <w:r w:rsidRPr="00C3489C">
        <w:rPr>
          <w:rFonts w:ascii="Palatino Linotype" w:hAnsi="Palatino Linotype" w:cs="Arial"/>
          <w:sz w:val="24"/>
          <w:szCs w:val="24"/>
        </w:rPr>
        <w:t xml:space="preserve">puesto en líneas anteriores con fundamento en la fracción III del artículo 186, de la Ley de Transparencia y Acceso a la Información Pública del Estado de México y Municipios, se </w:t>
      </w:r>
      <w:r w:rsidRPr="00C3489C">
        <w:rPr>
          <w:rFonts w:ascii="Palatino Linotype" w:hAnsi="Palatino Linotype" w:cs="Arial"/>
          <w:b/>
          <w:sz w:val="24"/>
          <w:szCs w:val="24"/>
          <w:lang w:val="es-419"/>
        </w:rPr>
        <w:t>MODIFICA</w:t>
      </w:r>
      <w:r w:rsidRPr="00C3489C">
        <w:rPr>
          <w:rFonts w:ascii="Palatino Linotype" w:hAnsi="Palatino Linotype" w:cs="Arial"/>
          <w:sz w:val="24"/>
          <w:szCs w:val="24"/>
        </w:rPr>
        <w:t xml:space="preserve"> la respuesta del sujeto obligado a la solicitud de información número </w:t>
      </w:r>
      <w:r w:rsidRPr="00C3489C">
        <w:rPr>
          <w:rFonts w:ascii="Palatino Linotype" w:hAnsi="Palatino Linotype" w:cs="Arial"/>
          <w:b/>
          <w:sz w:val="24"/>
          <w:szCs w:val="24"/>
        </w:rPr>
        <w:t>00182/NAUCALPA/IP/2023</w:t>
      </w:r>
      <w:r w:rsidRPr="00C3489C">
        <w:rPr>
          <w:rFonts w:ascii="Palatino Linotype" w:hAnsi="Palatino Linotype" w:cs="Arial"/>
          <w:sz w:val="24"/>
          <w:szCs w:val="24"/>
        </w:rPr>
        <w:t>que ha sido materia del presente fallo.</w:t>
      </w:r>
    </w:p>
    <w:p w:rsidR="001166FA" w:rsidRPr="00C3489C" w:rsidRDefault="001166FA" w:rsidP="001166FA">
      <w:pPr>
        <w:spacing w:after="0" w:line="360" w:lineRule="auto"/>
        <w:ind w:right="51"/>
        <w:jc w:val="both"/>
        <w:rPr>
          <w:rFonts w:ascii="Palatino Linotype" w:hAnsi="Palatino Linotype" w:cs="Arial"/>
          <w:sz w:val="24"/>
          <w:szCs w:val="24"/>
        </w:rPr>
      </w:pPr>
    </w:p>
    <w:p w:rsidR="001166FA" w:rsidRPr="00C3489C" w:rsidRDefault="001166FA" w:rsidP="001166FA">
      <w:pPr>
        <w:spacing w:after="0" w:line="360" w:lineRule="auto"/>
        <w:ind w:right="51"/>
        <w:jc w:val="both"/>
        <w:rPr>
          <w:rFonts w:ascii="Palatino Linotype" w:hAnsi="Palatino Linotype" w:cs="Arial"/>
          <w:sz w:val="24"/>
          <w:szCs w:val="24"/>
        </w:rPr>
      </w:pPr>
      <w:r w:rsidRPr="00C3489C">
        <w:rPr>
          <w:rFonts w:ascii="Palatino Linotype" w:hAnsi="Palatino Linotype" w:cs="Arial"/>
          <w:sz w:val="24"/>
          <w:szCs w:val="24"/>
        </w:rPr>
        <w:t>Por lo antes expuesto y fundado es de resolverse y;</w:t>
      </w:r>
    </w:p>
    <w:p w:rsidR="001166FA" w:rsidRPr="00C3489C" w:rsidRDefault="001166FA" w:rsidP="001166FA">
      <w:pPr>
        <w:tabs>
          <w:tab w:val="left" w:pos="7938"/>
        </w:tabs>
        <w:spacing w:after="0" w:line="360" w:lineRule="auto"/>
        <w:jc w:val="both"/>
        <w:rPr>
          <w:rFonts w:ascii="Palatino Linotype" w:hAnsi="Palatino Linotype" w:cs="Arial"/>
          <w:sz w:val="24"/>
          <w:szCs w:val="24"/>
        </w:rPr>
      </w:pPr>
    </w:p>
    <w:p w:rsidR="001166FA" w:rsidRPr="00C3489C" w:rsidRDefault="001166FA" w:rsidP="001166FA">
      <w:pPr>
        <w:spacing w:after="0" w:line="360" w:lineRule="auto"/>
        <w:jc w:val="center"/>
        <w:rPr>
          <w:rFonts w:ascii="Palatino Linotype" w:hAnsi="Palatino Linotype"/>
          <w:b/>
          <w:bCs/>
          <w:spacing w:val="60"/>
          <w:sz w:val="24"/>
          <w:szCs w:val="24"/>
          <w:lang w:val="es-ES_tradnl"/>
        </w:rPr>
      </w:pPr>
      <w:r w:rsidRPr="00C3489C">
        <w:rPr>
          <w:rFonts w:ascii="Palatino Linotype" w:hAnsi="Palatino Linotype"/>
          <w:b/>
          <w:bCs/>
          <w:spacing w:val="60"/>
          <w:sz w:val="24"/>
          <w:szCs w:val="24"/>
          <w:lang w:val="es-ES_tradnl"/>
        </w:rPr>
        <w:t>SE    RESUELVE</w:t>
      </w:r>
    </w:p>
    <w:p w:rsidR="001166FA" w:rsidRPr="00C3489C" w:rsidRDefault="001166FA" w:rsidP="001166FA">
      <w:pPr>
        <w:spacing w:after="0" w:line="360" w:lineRule="auto"/>
        <w:jc w:val="both"/>
        <w:rPr>
          <w:rFonts w:ascii="Palatino Linotype" w:hAnsi="Palatino Linotype" w:cs="Arial"/>
          <w:sz w:val="24"/>
          <w:szCs w:val="24"/>
        </w:rPr>
      </w:pPr>
    </w:p>
    <w:p w:rsidR="001166FA" w:rsidRPr="00C3489C" w:rsidRDefault="001166FA" w:rsidP="001166FA">
      <w:pPr>
        <w:spacing w:after="0" w:line="360" w:lineRule="auto"/>
        <w:jc w:val="both"/>
        <w:rPr>
          <w:rFonts w:ascii="Palatino Linotype" w:hAnsi="Palatino Linotype" w:cs="Arial"/>
          <w:b/>
          <w:sz w:val="24"/>
          <w:szCs w:val="24"/>
        </w:rPr>
      </w:pPr>
      <w:r w:rsidRPr="00C3489C">
        <w:rPr>
          <w:rFonts w:ascii="Palatino Linotype" w:hAnsi="Palatino Linotype" w:cs="Arial"/>
          <w:b/>
          <w:sz w:val="24"/>
          <w:szCs w:val="24"/>
          <w:lang w:val="es-ES_tradnl"/>
        </w:rPr>
        <w:t>PRIMERO.</w:t>
      </w:r>
      <w:r w:rsidRPr="00C3489C">
        <w:rPr>
          <w:rFonts w:ascii="Palatino Linotype" w:hAnsi="Palatino Linotype" w:cs="Arial"/>
          <w:sz w:val="24"/>
          <w:szCs w:val="24"/>
          <w:lang w:val="es-ES_tradnl"/>
        </w:rPr>
        <w:t xml:space="preserve"> </w:t>
      </w:r>
      <w:r w:rsidRPr="00C3489C">
        <w:rPr>
          <w:rFonts w:ascii="Palatino Linotype" w:eastAsia="Arial Unicode MS" w:hAnsi="Palatino Linotype" w:cs="Arial"/>
          <w:sz w:val="24"/>
          <w:szCs w:val="24"/>
        </w:rPr>
        <w:t>Se</w:t>
      </w:r>
      <w:r w:rsidRPr="00C3489C">
        <w:rPr>
          <w:rFonts w:ascii="Palatino Linotype" w:hAnsi="Palatino Linotype" w:cs="Arial"/>
          <w:sz w:val="24"/>
          <w:szCs w:val="24"/>
          <w:lang w:val="es-ES_tradnl"/>
        </w:rPr>
        <w:t xml:space="preserve"> </w:t>
      </w:r>
      <w:r w:rsidRPr="00C3489C">
        <w:rPr>
          <w:rFonts w:ascii="Palatino Linotype" w:hAnsi="Palatino Linotype" w:cs="Arial"/>
          <w:b/>
          <w:sz w:val="24"/>
          <w:szCs w:val="24"/>
          <w:lang w:val="es-419"/>
        </w:rPr>
        <w:t>MODIFICA</w:t>
      </w:r>
      <w:r w:rsidRPr="00C3489C">
        <w:rPr>
          <w:rFonts w:ascii="Palatino Linotype" w:hAnsi="Palatino Linotype" w:cs="Arial"/>
          <w:sz w:val="24"/>
          <w:szCs w:val="24"/>
          <w:lang w:val="es-ES_tradnl"/>
        </w:rPr>
        <w:t xml:space="preserve"> </w:t>
      </w:r>
      <w:r w:rsidRPr="00C3489C">
        <w:rPr>
          <w:rFonts w:ascii="Palatino Linotype" w:eastAsia="Arial Unicode MS" w:hAnsi="Palatino Linotype" w:cs="Arial"/>
          <w:sz w:val="24"/>
          <w:szCs w:val="24"/>
        </w:rPr>
        <w:t xml:space="preserve">la respuesta entregada por </w:t>
      </w:r>
      <w:r w:rsidRPr="00C3489C">
        <w:rPr>
          <w:rFonts w:ascii="Palatino Linotype" w:eastAsia="Arial Unicode MS" w:hAnsi="Palatino Linotype" w:cs="Arial"/>
          <w:b/>
          <w:sz w:val="24"/>
          <w:szCs w:val="24"/>
        </w:rPr>
        <w:t xml:space="preserve">el Sujeto Obligado </w:t>
      </w:r>
      <w:r w:rsidRPr="00C3489C">
        <w:rPr>
          <w:rFonts w:ascii="Palatino Linotype" w:eastAsia="Arial Unicode MS" w:hAnsi="Palatino Linotype" w:cs="Arial"/>
          <w:sz w:val="24"/>
          <w:szCs w:val="24"/>
        </w:rPr>
        <w:t xml:space="preserve">a la solicitud de información número </w:t>
      </w:r>
      <w:r w:rsidRPr="00C3489C">
        <w:rPr>
          <w:rFonts w:ascii="Palatino Linotype" w:hAnsi="Palatino Linotype" w:cs="Arial"/>
          <w:b/>
          <w:sz w:val="24"/>
          <w:szCs w:val="24"/>
        </w:rPr>
        <w:t>00182/NAUCALPA/IP/2023</w:t>
      </w:r>
      <w:r w:rsidRPr="00C3489C">
        <w:rPr>
          <w:rFonts w:ascii="Palatino Linotype" w:hAnsi="Palatino Linotype" w:cs="Arial"/>
          <w:sz w:val="24"/>
          <w:szCs w:val="24"/>
        </w:rPr>
        <w:t xml:space="preserve">, al resultar fundadas las razones o motivos de inconformidad que manifestó la recurrente, </w:t>
      </w:r>
      <w:r w:rsidRPr="00C3489C">
        <w:rPr>
          <w:rFonts w:ascii="Palatino Linotype" w:eastAsia="Arial Unicode MS" w:hAnsi="Palatino Linotype" w:cs="Arial"/>
          <w:sz w:val="24"/>
          <w:szCs w:val="24"/>
        </w:rPr>
        <w:t xml:space="preserve">en términos del </w:t>
      </w:r>
      <w:r w:rsidRPr="00C3489C">
        <w:rPr>
          <w:rFonts w:ascii="Palatino Linotype" w:hAnsi="Palatino Linotype" w:cs="Arial"/>
          <w:sz w:val="24"/>
          <w:szCs w:val="24"/>
        </w:rPr>
        <w:t xml:space="preserve">Considerando </w:t>
      </w:r>
      <w:r w:rsidRPr="00C3489C">
        <w:rPr>
          <w:rFonts w:ascii="Palatino Linotype" w:hAnsi="Palatino Linotype" w:cs="Arial"/>
          <w:b/>
          <w:sz w:val="24"/>
          <w:szCs w:val="24"/>
          <w:lang w:val="es-419"/>
        </w:rPr>
        <w:t>CUARTO</w:t>
      </w:r>
      <w:r w:rsidRPr="00C3489C">
        <w:rPr>
          <w:rFonts w:ascii="Palatino Linotype" w:hAnsi="Palatino Linotype" w:cs="Arial"/>
          <w:sz w:val="24"/>
          <w:szCs w:val="24"/>
        </w:rPr>
        <w:t xml:space="preserve"> de la presente resolución.</w:t>
      </w:r>
    </w:p>
    <w:p w:rsidR="001166FA" w:rsidRPr="00C3489C" w:rsidRDefault="001166FA" w:rsidP="001166FA">
      <w:pPr>
        <w:spacing w:after="0" w:line="360" w:lineRule="auto"/>
        <w:jc w:val="both"/>
        <w:rPr>
          <w:rFonts w:ascii="Palatino Linotype" w:hAnsi="Palatino Linotype" w:cs="Arial"/>
          <w:sz w:val="24"/>
          <w:szCs w:val="24"/>
        </w:rPr>
      </w:pPr>
    </w:p>
    <w:p w:rsidR="001166FA" w:rsidRPr="00C3489C" w:rsidRDefault="001166FA" w:rsidP="001166FA">
      <w:pPr>
        <w:tabs>
          <w:tab w:val="left" w:pos="8647"/>
        </w:tabs>
        <w:spacing w:after="0" w:line="360" w:lineRule="auto"/>
        <w:ind w:right="51"/>
        <w:jc w:val="both"/>
        <w:rPr>
          <w:rFonts w:ascii="Palatino Linotype" w:hAnsi="Palatino Linotype" w:cs="Arial"/>
          <w:sz w:val="24"/>
          <w:szCs w:val="24"/>
        </w:rPr>
      </w:pPr>
      <w:r w:rsidRPr="00C3489C">
        <w:rPr>
          <w:rFonts w:ascii="Palatino Linotype" w:hAnsi="Palatino Linotype"/>
          <w:b/>
          <w:sz w:val="24"/>
          <w:szCs w:val="24"/>
        </w:rPr>
        <w:lastRenderedPageBreak/>
        <w:t>SEGUNDO.</w:t>
      </w:r>
      <w:r w:rsidRPr="00C3489C">
        <w:rPr>
          <w:rFonts w:ascii="Palatino Linotype" w:hAnsi="Palatino Linotype" w:cs="Arial"/>
          <w:sz w:val="24"/>
          <w:szCs w:val="24"/>
        </w:rPr>
        <w:t xml:space="preserve"> Se </w:t>
      </w:r>
      <w:r w:rsidRPr="00C3489C">
        <w:rPr>
          <w:rFonts w:ascii="Palatino Linotype" w:hAnsi="Palatino Linotype" w:cs="Arial"/>
          <w:b/>
          <w:sz w:val="24"/>
          <w:szCs w:val="24"/>
        </w:rPr>
        <w:t>ORDENA</w:t>
      </w:r>
      <w:r w:rsidRPr="00C3489C">
        <w:rPr>
          <w:rFonts w:ascii="Palatino Linotype" w:hAnsi="Palatino Linotype" w:cs="Arial"/>
          <w:sz w:val="24"/>
          <w:szCs w:val="24"/>
        </w:rPr>
        <w:t xml:space="preserve"> al Sujeto Obligado, haga entrega a la recurrente en términos del Considerando </w:t>
      </w:r>
      <w:r w:rsidRPr="00C3489C">
        <w:rPr>
          <w:rFonts w:ascii="Palatino Linotype" w:hAnsi="Palatino Linotype" w:cs="Arial"/>
          <w:b/>
          <w:sz w:val="24"/>
          <w:szCs w:val="24"/>
          <w:lang w:val="es-419"/>
        </w:rPr>
        <w:t>CUARTO</w:t>
      </w:r>
      <w:r w:rsidRPr="00C3489C">
        <w:rPr>
          <w:rFonts w:ascii="Palatino Linotype" w:hAnsi="Palatino Linotype" w:cs="Arial"/>
          <w:sz w:val="24"/>
          <w:szCs w:val="24"/>
        </w:rPr>
        <w:t xml:space="preserve"> de la presente resolución, a través del Sistema de Acceso a la Información Mexiquense </w:t>
      </w:r>
      <w:r w:rsidRPr="00C3489C">
        <w:rPr>
          <w:rFonts w:ascii="Palatino Linotype" w:hAnsi="Palatino Linotype" w:cs="Arial"/>
          <w:b/>
          <w:sz w:val="24"/>
          <w:szCs w:val="24"/>
        </w:rPr>
        <w:t>(SAIMEX)</w:t>
      </w:r>
      <w:r w:rsidRPr="00C3489C">
        <w:rPr>
          <w:rFonts w:ascii="Palatino Linotype" w:hAnsi="Palatino Linotype" w:cs="Arial"/>
          <w:sz w:val="24"/>
          <w:szCs w:val="24"/>
        </w:rPr>
        <w:t xml:space="preserve">, </w:t>
      </w:r>
      <w:r w:rsidRPr="00C3489C">
        <w:rPr>
          <w:rFonts w:ascii="Palatino Linotype" w:hAnsi="Palatino Linotype" w:cs="Arial"/>
          <w:sz w:val="24"/>
          <w:szCs w:val="24"/>
          <w:lang w:val="es-419"/>
        </w:rPr>
        <w:t xml:space="preserve">en su caso en versión pública, de ser procedente, </w:t>
      </w:r>
      <w:r w:rsidRPr="00C3489C">
        <w:rPr>
          <w:rFonts w:ascii="Palatino Linotype" w:hAnsi="Palatino Linotype" w:cs="Arial"/>
          <w:sz w:val="24"/>
          <w:szCs w:val="24"/>
        </w:rPr>
        <w:t>de lo siguiente:</w:t>
      </w:r>
    </w:p>
    <w:p w:rsidR="001166FA" w:rsidRPr="00C3489C" w:rsidRDefault="001166FA" w:rsidP="001166FA">
      <w:pPr>
        <w:tabs>
          <w:tab w:val="left" w:pos="8647"/>
        </w:tabs>
        <w:spacing w:after="0" w:line="360" w:lineRule="auto"/>
        <w:ind w:right="51"/>
        <w:jc w:val="both"/>
        <w:rPr>
          <w:rFonts w:ascii="Palatino Linotype" w:hAnsi="Palatino Linotype" w:cs="Arial"/>
          <w:sz w:val="24"/>
          <w:szCs w:val="24"/>
        </w:rPr>
      </w:pPr>
    </w:p>
    <w:p w:rsidR="001166FA" w:rsidRPr="00C3489C" w:rsidRDefault="001166FA" w:rsidP="001166FA">
      <w:pPr>
        <w:pStyle w:val="Prrafodelista"/>
        <w:numPr>
          <w:ilvl w:val="0"/>
          <w:numId w:val="2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Licencia de Uso del Suelo y Construcción N° DUS-LUS/0308/2015, de fecha 25 de Marzo de 2015 </w:t>
      </w:r>
    </w:p>
    <w:p w:rsidR="001166FA" w:rsidRPr="00C3489C" w:rsidRDefault="001166FA" w:rsidP="001166FA">
      <w:pPr>
        <w:pStyle w:val="Prrafodelista"/>
        <w:numPr>
          <w:ilvl w:val="0"/>
          <w:numId w:val="2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DGDU/318/2014, de fecha 17 de Enero de 2014 </w:t>
      </w:r>
    </w:p>
    <w:p w:rsidR="001166FA" w:rsidRPr="00C3489C" w:rsidRDefault="001166FA" w:rsidP="001166FA">
      <w:pPr>
        <w:pStyle w:val="Prrafodelista"/>
        <w:numPr>
          <w:ilvl w:val="0"/>
          <w:numId w:val="2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DGDU/8139/2014, de fecha 04 de Diciembre de 2014 </w:t>
      </w:r>
    </w:p>
    <w:p w:rsidR="001166FA" w:rsidRPr="00C3489C" w:rsidRDefault="001166FA" w:rsidP="001166FA">
      <w:pPr>
        <w:pStyle w:val="Prrafodelista"/>
        <w:numPr>
          <w:ilvl w:val="0"/>
          <w:numId w:val="2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Oficio N° DGDU/1868/2016, de fecha 02 de Mayo de 2016 </w:t>
      </w:r>
    </w:p>
    <w:p w:rsidR="001166FA" w:rsidRPr="00C3489C" w:rsidRDefault="001166FA" w:rsidP="001166FA">
      <w:pPr>
        <w:pStyle w:val="Prrafodelista"/>
        <w:numPr>
          <w:ilvl w:val="0"/>
          <w:numId w:val="24"/>
        </w:numPr>
        <w:tabs>
          <w:tab w:val="left" w:pos="1828"/>
        </w:tabs>
        <w:spacing w:before="240" w:line="360" w:lineRule="auto"/>
        <w:jc w:val="both"/>
        <w:rPr>
          <w:rFonts w:ascii="Palatino Linotype" w:hAnsi="Palatino Linotype" w:cs="Arial"/>
          <w:b/>
        </w:rPr>
      </w:pPr>
      <w:r w:rsidRPr="00C3489C">
        <w:rPr>
          <w:rFonts w:ascii="Palatino Linotype" w:hAnsi="Palatino Linotype" w:cs="Tahoma"/>
          <w:bCs/>
        </w:rPr>
        <w:t xml:space="preserve">Autorización de Cambio de Uso del Suelo N° CUS/015/2015 </w:t>
      </w:r>
    </w:p>
    <w:p w:rsidR="001166FA" w:rsidRPr="00C3489C" w:rsidRDefault="001166FA" w:rsidP="001166FA">
      <w:pPr>
        <w:spacing w:after="0" w:line="360" w:lineRule="auto"/>
        <w:ind w:right="51"/>
        <w:jc w:val="both"/>
        <w:rPr>
          <w:rFonts w:ascii="Palatino Linotype" w:eastAsia="Arial Unicode MS" w:hAnsi="Palatino Linotype" w:cs="Arial"/>
          <w:sz w:val="24"/>
          <w:szCs w:val="24"/>
          <w:lang w:val="es-419"/>
        </w:rPr>
      </w:pPr>
    </w:p>
    <w:p w:rsidR="001166FA" w:rsidRPr="00C3489C" w:rsidRDefault="001166FA" w:rsidP="001166FA">
      <w:pPr>
        <w:pStyle w:val="Prrafodelista"/>
        <w:spacing w:line="360" w:lineRule="auto"/>
        <w:ind w:left="709"/>
        <w:jc w:val="both"/>
        <w:rPr>
          <w:rFonts w:ascii="Palatino Linotype" w:hAnsi="Palatino Linotype"/>
          <w:i/>
          <w:lang w:val="es-ES_tradnl"/>
        </w:rPr>
      </w:pPr>
      <w:r w:rsidRPr="00C3489C">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rsidR="001166FA" w:rsidRPr="00C3489C" w:rsidRDefault="001166FA" w:rsidP="001166FA">
      <w:pPr>
        <w:tabs>
          <w:tab w:val="left" w:pos="8647"/>
        </w:tabs>
        <w:spacing w:after="0" w:line="360" w:lineRule="auto"/>
        <w:ind w:right="51"/>
        <w:jc w:val="both"/>
        <w:rPr>
          <w:rFonts w:ascii="Palatino Linotype" w:hAnsi="Palatino Linotype" w:cs="Arial"/>
          <w:b/>
          <w:sz w:val="28"/>
          <w:szCs w:val="24"/>
        </w:rPr>
      </w:pPr>
    </w:p>
    <w:p w:rsidR="001166FA" w:rsidRPr="00C3489C" w:rsidRDefault="001166FA" w:rsidP="001166FA">
      <w:pPr>
        <w:tabs>
          <w:tab w:val="left" w:pos="8647"/>
        </w:tabs>
        <w:spacing w:after="0" w:line="360" w:lineRule="auto"/>
        <w:ind w:right="51"/>
        <w:jc w:val="both"/>
        <w:rPr>
          <w:rFonts w:ascii="Palatino Linotype" w:eastAsia="Times New Roman" w:hAnsi="Palatino Linotype" w:cs="Arial"/>
          <w:sz w:val="24"/>
          <w:szCs w:val="24"/>
          <w:lang w:val="es-ES" w:eastAsia="es-ES"/>
        </w:rPr>
      </w:pPr>
      <w:r w:rsidRPr="00C3489C">
        <w:rPr>
          <w:rFonts w:ascii="Palatino Linotype" w:hAnsi="Palatino Linotype" w:cs="Arial"/>
          <w:b/>
          <w:sz w:val="28"/>
          <w:szCs w:val="24"/>
        </w:rPr>
        <w:t>TERCERO</w:t>
      </w:r>
      <w:r w:rsidRPr="00C3489C">
        <w:rPr>
          <w:rFonts w:ascii="Palatino Linotype" w:hAnsi="Palatino Linotype" w:cs="Arial"/>
          <w:b/>
          <w:sz w:val="24"/>
          <w:szCs w:val="24"/>
        </w:rPr>
        <w:t>.</w:t>
      </w:r>
      <w:r w:rsidRPr="00C3489C">
        <w:rPr>
          <w:rFonts w:ascii="Palatino Linotype" w:hAnsi="Palatino Linotype" w:cs="Arial"/>
          <w:sz w:val="24"/>
          <w:szCs w:val="24"/>
        </w:rPr>
        <w:t xml:space="preserve"> </w:t>
      </w:r>
      <w:r w:rsidRPr="00C3489C">
        <w:rPr>
          <w:rFonts w:ascii="Palatino Linotype" w:eastAsia="Times New Roman" w:hAnsi="Palatino Linotype" w:cs="Arial"/>
          <w:b/>
          <w:sz w:val="24"/>
          <w:szCs w:val="24"/>
          <w:lang w:val="es-ES" w:eastAsia="es-ES"/>
        </w:rPr>
        <w:t>Notifíquese</w:t>
      </w:r>
      <w:r w:rsidRPr="00C3489C">
        <w:rPr>
          <w:rFonts w:ascii="Palatino Linotype" w:eastAsia="Times New Roman" w:hAnsi="Palatino Linotype" w:cs="Arial"/>
          <w:sz w:val="24"/>
          <w:szCs w:val="24"/>
          <w:lang w:val="es-ES" w:eastAsia="es-ES"/>
        </w:rPr>
        <w:t xml:space="preserve"> la presente resolución al Titular de la Unidad de Transparencia del Sujeto Obligado, para que conforme al artículo 186 último párrafo, </w:t>
      </w:r>
      <w:r w:rsidRPr="00C3489C">
        <w:rPr>
          <w:rFonts w:ascii="Palatino Linotype" w:eastAsia="Times New Roman" w:hAnsi="Palatino Linotype" w:cs="Arial"/>
          <w:sz w:val="24"/>
          <w:szCs w:val="24"/>
          <w:lang w:val="es-ES" w:eastAsia="es-ES"/>
        </w:rPr>
        <w:lastRenderedPageBreak/>
        <w:t>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166FA" w:rsidRPr="00C3489C" w:rsidRDefault="001166FA" w:rsidP="001166FA">
      <w:pPr>
        <w:tabs>
          <w:tab w:val="left" w:pos="8647"/>
        </w:tabs>
        <w:spacing w:after="0" w:line="360" w:lineRule="auto"/>
        <w:ind w:right="51"/>
        <w:jc w:val="both"/>
        <w:rPr>
          <w:rFonts w:ascii="Palatino Linotype" w:eastAsia="Times New Roman" w:hAnsi="Palatino Linotype" w:cs="Arial"/>
          <w:sz w:val="24"/>
          <w:szCs w:val="24"/>
          <w:lang w:val="es-ES" w:eastAsia="es-ES"/>
        </w:rPr>
      </w:pPr>
    </w:p>
    <w:p w:rsidR="001166FA" w:rsidRPr="00C3489C" w:rsidRDefault="001166FA" w:rsidP="001166FA">
      <w:pPr>
        <w:spacing w:after="0" w:line="360" w:lineRule="auto"/>
        <w:jc w:val="both"/>
        <w:rPr>
          <w:rFonts w:ascii="Palatino Linotype" w:eastAsia="Calibri" w:hAnsi="Palatino Linotype" w:cs="Times New Roman"/>
          <w:sz w:val="24"/>
          <w:szCs w:val="24"/>
          <w:lang w:eastAsia="es-ES_tradnl"/>
        </w:rPr>
      </w:pPr>
      <w:r w:rsidRPr="00C3489C">
        <w:rPr>
          <w:rFonts w:ascii="Palatino Linotype" w:eastAsia="Times New Roman" w:hAnsi="Palatino Linotype" w:cs="Arial"/>
          <w:b/>
          <w:sz w:val="28"/>
          <w:szCs w:val="24"/>
          <w:lang w:val="es-ES" w:eastAsia="es-ES"/>
        </w:rPr>
        <w:t>CUARTO</w:t>
      </w:r>
      <w:r w:rsidRPr="00C3489C">
        <w:rPr>
          <w:rFonts w:ascii="Palatino Linotype" w:eastAsia="Times New Roman" w:hAnsi="Palatino Linotype" w:cs="Arial"/>
          <w:b/>
          <w:sz w:val="24"/>
          <w:szCs w:val="24"/>
          <w:lang w:val="es-ES" w:eastAsia="es-ES"/>
        </w:rPr>
        <w:t xml:space="preserve">. </w:t>
      </w:r>
      <w:r w:rsidRPr="00C3489C">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C3489C">
        <w:rPr>
          <w:rFonts w:ascii="Palatino Linotype" w:eastAsia="Calibri" w:hAnsi="Palatino Linotype" w:cs="Times New Roman"/>
          <w:sz w:val="24"/>
          <w:szCs w:val="24"/>
          <w:lang w:eastAsia="es-ES_tradnl"/>
        </w:rPr>
        <w:t>.</w:t>
      </w:r>
    </w:p>
    <w:p w:rsidR="001166FA" w:rsidRPr="00C3489C" w:rsidRDefault="001166FA" w:rsidP="001166FA">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1166FA" w:rsidRPr="00C3489C" w:rsidRDefault="001166FA" w:rsidP="001166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3489C">
        <w:rPr>
          <w:rFonts w:ascii="Palatino Linotype" w:hAnsi="Palatino Linotype"/>
          <w:b/>
          <w:sz w:val="28"/>
          <w:szCs w:val="28"/>
        </w:rPr>
        <w:t>QUINTO</w:t>
      </w:r>
      <w:r w:rsidRPr="00C3489C">
        <w:rPr>
          <w:rFonts w:ascii="Palatino Linotype" w:hAnsi="Palatino Linotype"/>
          <w:b/>
          <w:sz w:val="24"/>
          <w:szCs w:val="24"/>
        </w:rPr>
        <w:t xml:space="preserve">. </w:t>
      </w:r>
      <w:r w:rsidRPr="00C3489C">
        <w:rPr>
          <w:rFonts w:ascii="Palatino Linotype" w:eastAsia="Times New Roman" w:hAnsi="Palatino Linotype" w:cs="Arial"/>
          <w:b/>
          <w:sz w:val="24"/>
          <w:szCs w:val="24"/>
          <w:lang w:val="es-ES" w:eastAsia="es-ES"/>
        </w:rPr>
        <w:t>Notifíquese</w:t>
      </w:r>
      <w:r w:rsidRPr="00C3489C">
        <w:rPr>
          <w:rFonts w:ascii="Palatino Linotype" w:eastAsia="Times New Roman" w:hAnsi="Palatino Linotype" w:cs="Arial"/>
          <w:sz w:val="24"/>
          <w:szCs w:val="24"/>
          <w:lang w:val="es-ES" w:eastAsia="es-ES"/>
        </w:rPr>
        <w:t xml:space="preserve"> </w:t>
      </w:r>
      <w:r w:rsidRPr="00C3489C">
        <w:rPr>
          <w:rFonts w:ascii="Palatino Linotype" w:eastAsia="Times New Roman" w:hAnsi="Palatino Linotype" w:cs="Arial"/>
          <w:b/>
          <w:sz w:val="24"/>
          <w:szCs w:val="24"/>
          <w:lang w:val="es-ES" w:eastAsia="es-ES"/>
        </w:rPr>
        <w:t>a la Recurrente</w:t>
      </w:r>
      <w:r w:rsidRPr="00C3489C">
        <w:rPr>
          <w:rFonts w:ascii="Palatino Linotype" w:eastAsia="Times New Roman" w:hAnsi="Palatino Linotype" w:cs="Arial"/>
          <w:sz w:val="24"/>
          <w:szCs w:val="24"/>
          <w:lang w:val="es-ES" w:eastAsia="es-ES"/>
        </w:rPr>
        <w:t xml:space="preserve"> la presente resolución a través del </w:t>
      </w:r>
      <w:r w:rsidRPr="00C3489C">
        <w:rPr>
          <w:rFonts w:ascii="Palatino Linotype" w:hAnsi="Palatino Linotype" w:cs="Arial"/>
          <w:sz w:val="24"/>
          <w:szCs w:val="24"/>
        </w:rPr>
        <w:t xml:space="preserve">Sistema de Acceso a la Información Mexiquense </w:t>
      </w:r>
      <w:r w:rsidRPr="00C3489C">
        <w:rPr>
          <w:rFonts w:ascii="Palatino Linotype" w:hAnsi="Palatino Linotype" w:cs="Arial"/>
          <w:b/>
          <w:sz w:val="24"/>
          <w:szCs w:val="24"/>
        </w:rPr>
        <w:t>(SAIMEX)</w:t>
      </w:r>
      <w:r w:rsidRPr="00C3489C">
        <w:rPr>
          <w:rFonts w:ascii="Palatino Linotype" w:eastAsia="Times New Roman" w:hAnsi="Palatino Linotype" w:cs="Arial"/>
          <w:sz w:val="24"/>
          <w:szCs w:val="24"/>
          <w:lang w:val="es-ES"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rsidR="001166FA" w:rsidRPr="00C3489C" w:rsidRDefault="001166FA" w:rsidP="001166FA">
      <w:pPr>
        <w:spacing w:after="0" w:line="360" w:lineRule="auto"/>
        <w:jc w:val="both"/>
        <w:rPr>
          <w:rFonts w:ascii="Palatino Linotype" w:hAnsi="Palatino Linotype"/>
          <w:sz w:val="24"/>
          <w:szCs w:val="24"/>
          <w:lang w:eastAsia="es-ES_tradnl"/>
        </w:rPr>
      </w:pPr>
    </w:p>
    <w:p w:rsidR="00F73A33" w:rsidRPr="00C3489C" w:rsidRDefault="00F73A33" w:rsidP="00F73A33">
      <w:pPr>
        <w:autoSpaceDE w:val="0"/>
        <w:autoSpaceDN w:val="0"/>
        <w:adjustRightInd w:val="0"/>
        <w:spacing w:before="240" w:after="0" w:line="360" w:lineRule="auto"/>
        <w:jc w:val="both"/>
        <w:rPr>
          <w:rFonts w:ascii="Palatino Linotype" w:eastAsia="Times New Roman" w:hAnsi="Palatino Linotype" w:cs="Arial"/>
          <w:sz w:val="24"/>
          <w:szCs w:val="24"/>
          <w:lang w:val="es-ES" w:eastAsia="es-ES"/>
        </w:rPr>
      </w:pPr>
    </w:p>
    <w:p w:rsidR="00F73A33" w:rsidRPr="00B15119" w:rsidRDefault="00F73A33" w:rsidP="00B15119">
      <w:pPr>
        <w:autoSpaceDE w:val="0"/>
        <w:autoSpaceDN w:val="0"/>
        <w:adjustRightInd w:val="0"/>
        <w:spacing w:line="360" w:lineRule="auto"/>
        <w:jc w:val="both"/>
        <w:rPr>
          <w:rFonts w:ascii="Palatino Linotype" w:hAnsi="Palatino Linotype" w:cs="Arial"/>
        </w:rPr>
      </w:pPr>
      <w:r w:rsidRPr="00C3489C">
        <w:rPr>
          <w:rFonts w:ascii="Palatino Linotype" w:hAnsi="Palatino Linotype" w:cs="Arial"/>
          <w:sz w:val="24"/>
        </w:rPr>
        <w:lastRenderedPageBreak/>
        <w:t>ASÍ LO ACORDÓ, POR UNANIMIDAD DE VOTOS, EL PLENO DEL</w:t>
      </w:r>
      <w:r w:rsidRPr="00C3489C">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C3489C">
        <w:rPr>
          <w:rFonts w:ascii="Palatino Linotype" w:hAnsi="Palatino Linotype" w:cs="Arial"/>
          <w:sz w:val="24"/>
        </w:rPr>
        <w:t xml:space="preserve">, CONFORMADO POR LOS COMISIONADOS JOSÉ MARTÍNEZ VILCHIS, MARÍA DEL ROSARIO MEJÍA AYALA, SHARON CRISTINA MORALES MARTÍNEZ, LUIS GUSTAVO PARRA NORIEGA </w:t>
      </w:r>
      <w:r w:rsidR="00CD3C4D" w:rsidRPr="00C3489C">
        <w:rPr>
          <w:rFonts w:ascii="Palatino Linotype" w:hAnsi="Palatino Linotype" w:cs="Arial"/>
          <w:sz w:val="24"/>
        </w:rPr>
        <w:t>(</w:t>
      </w:r>
      <w:r w:rsidR="00B15119" w:rsidRPr="00C3489C">
        <w:rPr>
          <w:rFonts w:ascii="Palatino Linotype" w:hAnsi="Palatino Linotype" w:cs="Arial"/>
          <w:sz w:val="24"/>
        </w:rPr>
        <w:t>EMITIENDO</w:t>
      </w:r>
      <w:r w:rsidR="00CD3C4D" w:rsidRPr="00C3489C">
        <w:rPr>
          <w:rFonts w:ascii="Palatino Linotype" w:hAnsi="Palatino Linotype" w:cs="Arial"/>
          <w:sz w:val="24"/>
        </w:rPr>
        <w:t xml:space="preserve"> VOTO PARTICULAR) </w:t>
      </w:r>
      <w:r w:rsidRPr="00C3489C">
        <w:rPr>
          <w:rFonts w:ascii="Palatino Linotype" w:hAnsi="Palatino Linotype" w:cs="Arial"/>
          <w:sz w:val="24"/>
        </w:rPr>
        <w:t>Y GUADALUPE RAMÍREZ PEÑA</w:t>
      </w:r>
      <w:r w:rsidR="00225670" w:rsidRPr="00C3489C">
        <w:rPr>
          <w:rFonts w:ascii="Palatino Linotype" w:hAnsi="Palatino Linotype" w:cs="Arial"/>
          <w:sz w:val="24"/>
        </w:rPr>
        <w:t xml:space="preserve"> </w:t>
      </w:r>
      <w:r w:rsidR="00B15119" w:rsidRPr="00C3489C">
        <w:rPr>
          <w:rFonts w:ascii="Palatino Linotype" w:hAnsi="Palatino Linotype" w:cs="Arial"/>
          <w:sz w:val="24"/>
          <w:szCs w:val="24"/>
        </w:rPr>
        <w:t>(</w:t>
      </w:r>
      <w:r w:rsidR="00225670" w:rsidRPr="00C3489C">
        <w:rPr>
          <w:rFonts w:ascii="Palatino Linotype" w:hAnsi="Palatino Linotype" w:cs="Arial"/>
          <w:sz w:val="24"/>
          <w:szCs w:val="24"/>
        </w:rPr>
        <w:t>AUSENCIA JUSTIFICADA)</w:t>
      </w:r>
      <w:r w:rsidRPr="00C3489C">
        <w:rPr>
          <w:rFonts w:ascii="Palatino Linotype" w:hAnsi="Palatino Linotype" w:cs="Arial"/>
          <w:sz w:val="24"/>
        </w:rPr>
        <w:t xml:space="preserve">; EN LA TRIGÉSIMA </w:t>
      </w:r>
      <w:r w:rsidR="00615395" w:rsidRPr="00C3489C">
        <w:rPr>
          <w:rFonts w:ascii="Palatino Linotype" w:hAnsi="Palatino Linotype" w:cs="Arial"/>
          <w:sz w:val="24"/>
        </w:rPr>
        <w:t>QUINTA</w:t>
      </w:r>
      <w:r w:rsidRPr="00C3489C">
        <w:rPr>
          <w:rFonts w:ascii="Palatino Linotype" w:hAnsi="Palatino Linotype" w:cs="Arial"/>
          <w:sz w:val="24"/>
        </w:rPr>
        <w:t xml:space="preserve"> SESIÓN ORDINARIA CELEBRADA EL </w:t>
      </w:r>
      <w:r w:rsidR="00615395" w:rsidRPr="00C3489C">
        <w:rPr>
          <w:rFonts w:ascii="Palatino Linotype" w:hAnsi="Palatino Linotype" w:cs="Arial"/>
          <w:sz w:val="24"/>
        </w:rPr>
        <w:t>VEINTISIETE</w:t>
      </w:r>
      <w:r w:rsidRPr="00C3489C">
        <w:rPr>
          <w:rFonts w:ascii="Palatino Linotype" w:hAnsi="Palatino Linotype" w:cs="Arial"/>
          <w:sz w:val="24"/>
        </w:rPr>
        <w:t xml:space="preserve"> DE SEPTIEMBRE DE DOS MIL VEINTITRÉS, ANTE EL SECRETARIO TÉCNICO DEL PLENO, ALEXIS TAPIA RAMÍREZ. ------------------------</w:t>
      </w:r>
      <w:r w:rsidRPr="00C3489C">
        <w:rPr>
          <w:rFonts w:ascii="Palatino Linotype" w:hAnsi="Palatino Linotype" w:cs="Arial"/>
        </w:rPr>
        <w:t>------------------------------------------------</w:t>
      </w:r>
      <w:r w:rsidR="00B15119" w:rsidRPr="00C3489C">
        <w:rPr>
          <w:rFonts w:ascii="Palatino Linotype" w:hAnsi="Palatino Linotype" w:cs="Arial"/>
        </w:rPr>
        <w:t xml:space="preserve">-------------------------------------------------------------------------------------------------------------------------------------------------------------------------------------------------------------------------------------------------------------------------------------------------------------------------------------------------------------------------------------------------------------------------------------------------------------------------------------------------------------------------------------------------------------------------------------------------------------------------------------------------------------------------------------------------------------------------------------------------------------------------------------------------------------------------------------------------------------------------------------------------------------------------------------------------------------------------------------------------------------------------------------------------------------------------------------------------------------------------------------------------------------------------------------------------------------------------------------------------------------------------------------------------------------------------------------------------------------------------------------------------------------------------------------------------------------------------------------------------------------------------------------------------------------------------------------------------------------------------------------------------------------------------------------------------------------------------------------------------------------------------------------------------------------------------- </w:t>
      </w:r>
      <w:r w:rsidRPr="00C3489C">
        <w:rPr>
          <w:rFonts w:ascii="Palatino Linotype" w:hAnsi="Palatino Linotype"/>
          <w:bCs/>
          <w:sz w:val="16"/>
          <w:szCs w:val="18"/>
        </w:rPr>
        <w:t>CCR/LMST</w:t>
      </w:r>
      <w:bookmarkStart w:id="0" w:name="_GoBack"/>
      <w:bookmarkEnd w:id="0"/>
    </w:p>
    <w:p w:rsidR="00F73A33" w:rsidRDefault="00F73A33" w:rsidP="00F73A33"/>
    <w:p w:rsidR="00F73A33" w:rsidRDefault="00F73A33" w:rsidP="00F73A33"/>
    <w:p w:rsidR="00F73A33" w:rsidRDefault="00F73A33" w:rsidP="00F73A33"/>
    <w:p w:rsidR="00F73A33" w:rsidRDefault="00F73A33" w:rsidP="00F73A33"/>
    <w:p w:rsidR="00F73A33" w:rsidRDefault="00F73A33" w:rsidP="00F73A33"/>
    <w:p w:rsidR="00F73A33" w:rsidRDefault="00F73A33" w:rsidP="00F73A33"/>
    <w:p w:rsidR="00F73A33" w:rsidRDefault="00F73A33" w:rsidP="00F73A33"/>
    <w:p w:rsidR="0033182C" w:rsidRDefault="00C3489C"/>
    <w:sectPr w:rsidR="0033182C" w:rsidSect="00BE4167">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A33" w:rsidRDefault="00F73A33" w:rsidP="00F73A33">
      <w:pPr>
        <w:spacing w:after="0" w:line="240" w:lineRule="auto"/>
      </w:pPr>
      <w:r>
        <w:separator/>
      </w:r>
    </w:p>
  </w:endnote>
  <w:endnote w:type="continuationSeparator" w:id="0">
    <w:p w:rsidR="00F73A33" w:rsidRDefault="00F73A33" w:rsidP="00F7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167" w:rsidRPr="000B69FA" w:rsidRDefault="006C6256"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489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489C">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167" w:rsidRPr="000B69FA" w:rsidRDefault="006C6256" w:rsidP="00BE41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3489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3489C">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A33" w:rsidRDefault="00F73A33" w:rsidP="00F73A33">
      <w:pPr>
        <w:spacing w:after="0" w:line="240" w:lineRule="auto"/>
      </w:pPr>
      <w:r>
        <w:separator/>
      </w:r>
    </w:p>
  </w:footnote>
  <w:footnote w:type="continuationSeparator" w:id="0">
    <w:p w:rsidR="00F73A33" w:rsidRDefault="00F73A33" w:rsidP="00F73A33">
      <w:pPr>
        <w:spacing w:after="0" w:line="240" w:lineRule="auto"/>
      </w:pPr>
      <w:r>
        <w:continuationSeparator/>
      </w:r>
    </w:p>
  </w:footnote>
  <w:footnote w:id="1">
    <w:p w:rsidR="00F73A33" w:rsidRPr="005552A8" w:rsidRDefault="00F73A33" w:rsidP="00F73A3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F73A33" w:rsidRPr="005552A8" w:rsidRDefault="00F73A33" w:rsidP="00F73A3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167" w:rsidRDefault="006C6256">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4B494099" wp14:editId="54401DF9">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E4167" w:rsidTr="00BE4167">
      <w:trPr>
        <w:trHeight w:val="227"/>
      </w:trPr>
      <w:tc>
        <w:tcPr>
          <w:tcW w:w="5529" w:type="dxa"/>
          <w:hideMark/>
        </w:tcPr>
        <w:p w:rsidR="00BE4167" w:rsidRDefault="006C6256"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E4167" w:rsidRPr="00B4142F" w:rsidRDefault="006C6256" w:rsidP="00F73A33">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73A33">
            <w:rPr>
              <w:rFonts w:ascii="Palatino Linotype" w:hAnsi="Palatino Linotype" w:cs="Arial"/>
              <w:bCs/>
              <w:sz w:val="24"/>
              <w:lang w:eastAsia="es-MX"/>
            </w:rPr>
            <w:t>2475</w:t>
          </w:r>
          <w:r>
            <w:rPr>
              <w:rFonts w:ascii="Palatino Linotype" w:hAnsi="Palatino Linotype" w:cs="Arial"/>
              <w:bCs/>
              <w:sz w:val="24"/>
              <w:lang w:eastAsia="es-MX"/>
            </w:rPr>
            <w:t>/INFOEM/IP/RR/2023</w:t>
          </w:r>
        </w:p>
      </w:tc>
    </w:tr>
    <w:tr w:rsidR="00BE4167" w:rsidTr="00BE4167">
      <w:trPr>
        <w:trHeight w:val="242"/>
      </w:trPr>
      <w:tc>
        <w:tcPr>
          <w:tcW w:w="5529" w:type="dxa"/>
          <w:hideMark/>
        </w:tcPr>
        <w:p w:rsidR="00BE4167" w:rsidRDefault="006C6256"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E4167" w:rsidRPr="00F06FED" w:rsidRDefault="006C6256" w:rsidP="001973E8">
          <w:pPr>
            <w:spacing w:after="120" w:line="256" w:lineRule="auto"/>
            <w:ind w:left="639" w:right="214"/>
            <w:jc w:val="both"/>
            <w:rPr>
              <w:rFonts w:ascii="Palatino Linotype" w:hAnsi="Palatino Linotype" w:cs="Arial"/>
            </w:rPr>
          </w:pPr>
          <w:r>
            <w:rPr>
              <w:rFonts w:ascii="Palatino Linotype" w:hAnsi="Palatino Linotype" w:cs="Arial"/>
              <w:szCs w:val="20"/>
            </w:rPr>
            <w:t>Ayuntamiento</w:t>
          </w:r>
          <w:r w:rsidRPr="00961A43">
            <w:rPr>
              <w:rFonts w:ascii="Palatino Linotype" w:hAnsi="Palatino Linotype" w:cs="Arial"/>
              <w:szCs w:val="20"/>
            </w:rPr>
            <w:t xml:space="preserve"> de </w:t>
          </w:r>
          <w:r w:rsidR="00F73A33" w:rsidRPr="00F73A33">
            <w:rPr>
              <w:rFonts w:ascii="Palatino Linotype" w:hAnsi="Palatino Linotype" w:cs="Arial"/>
              <w:szCs w:val="20"/>
            </w:rPr>
            <w:t>Naucalpan de Juárez</w:t>
          </w:r>
        </w:p>
      </w:tc>
    </w:tr>
    <w:tr w:rsidR="00BE4167" w:rsidTr="00BE4167">
      <w:trPr>
        <w:trHeight w:val="342"/>
      </w:trPr>
      <w:tc>
        <w:tcPr>
          <w:tcW w:w="5529" w:type="dxa"/>
          <w:hideMark/>
        </w:tcPr>
        <w:p w:rsidR="00BE4167" w:rsidRDefault="006C6256"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BE4167" w:rsidRDefault="006C6256" w:rsidP="00BE4167">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rsidR="00BE4167" w:rsidRDefault="00C348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E4167" w:rsidTr="00BE4167">
      <w:trPr>
        <w:trHeight w:val="227"/>
      </w:trPr>
      <w:tc>
        <w:tcPr>
          <w:tcW w:w="5529" w:type="dxa"/>
          <w:hideMark/>
        </w:tcPr>
        <w:p w:rsidR="00BE4167" w:rsidRDefault="006C6256"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BE4167" w:rsidRPr="00B4142F" w:rsidRDefault="006C6256" w:rsidP="00F73A33">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73A33">
            <w:rPr>
              <w:rFonts w:ascii="Palatino Linotype" w:hAnsi="Palatino Linotype" w:cs="Arial"/>
              <w:bCs/>
              <w:sz w:val="24"/>
              <w:lang w:eastAsia="es-MX"/>
            </w:rPr>
            <w:t>2475</w:t>
          </w:r>
          <w:r>
            <w:rPr>
              <w:rFonts w:ascii="Palatino Linotype" w:hAnsi="Palatino Linotype" w:cs="Arial"/>
              <w:bCs/>
              <w:sz w:val="24"/>
              <w:lang w:eastAsia="es-MX"/>
            </w:rPr>
            <w:t>/INFOEM/IP/RR/2023</w:t>
          </w:r>
        </w:p>
      </w:tc>
    </w:tr>
    <w:tr w:rsidR="00BE4167" w:rsidTr="00BE4167">
      <w:trPr>
        <w:trHeight w:val="196"/>
      </w:trPr>
      <w:tc>
        <w:tcPr>
          <w:tcW w:w="5529" w:type="dxa"/>
          <w:hideMark/>
        </w:tcPr>
        <w:p w:rsidR="00BE4167" w:rsidRDefault="006C6256"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BE4167" w:rsidRPr="00F06FED" w:rsidRDefault="0098644E" w:rsidP="00BE4167">
          <w:pPr>
            <w:spacing w:after="120" w:line="256" w:lineRule="auto"/>
            <w:ind w:left="639" w:right="214"/>
            <w:jc w:val="both"/>
            <w:rPr>
              <w:rFonts w:ascii="Palatino Linotype" w:hAnsi="Palatino Linotype" w:cs="Arial"/>
            </w:rPr>
          </w:pPr>
          <w:r>
            <w:rPr>
              <w:rFonts w:ascii="Palatino Linotype" w:hAnsi="Palatino Linotype" w:cs="Arial"/>
            </w:rPr>
            <w:t>XXXXXXXXXXXXXXXXXXX</w:t>
          </w:r>
        </w:p>
      </w:tc>
    </w:tr>
    <w:tr w:rsidR="00BE4167" w:rsidTr="00BE4167">
      <w:trPr>
        <w:trHeight w:val="242"/>
      </w:trPr>
      <w:tc>
        <w:tcPr>
          <w:tcW w:w="5529" w:type="dxa"/>
          <w:hideMark/>
        </w:tcPr>
        <w:p w:rsidR="00BE4167" w:rsidRDefault="006C6256" w:rsidP="00BE41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E4167" w:rsidRDefault="006C6256" w:rsidP="00F73A33">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w:t>
          </w:r>
          <w:r w:rsidRPr="00961A43">
            <w:rPr>
              <w:rFonts w:ascii="Palatino Linotype" w:hAnsi="Palatino Linotype" w:cs="Arial"/>
              <w:szCs w:val="20"/>
            </w:rPr>
            <w:t xml:space="preserve"> de </w:t>
          </w:r>
          <w:r w:rsidR="00F73A33">
            <w:rPr>
              <w:rFonts w:ascii="Palatino Linotype" w:hAnsi="Palatino Linotype" w:cs="Arial"/>
              <w:szCs w:val="20"/>
            </w:rPr>
            <w:t xml:space="preserve">Naucalpan de Juárez </w:t>
          </w:r>
        </w:p>
      </w:tc>
    </w:tr>
    <w:tr w:rsidR="00BE4167" w:rsidTr="00BE4167">
      <w:trPr>
        <w:trHeight w:val="342"/>
      </w:trPr>
      <w:tc>
        <w:tcPr>
          <w:tcW w:w="5529" w:type="dxa"/>
          <w:hideMark/>
        </w:tcPr>
        <w:p w:rsidR="00BE4167" w:rsidRDefault="006C6256" w:rsidP="00BE41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BE4167" w:rsidRDefault="006C6256" w:rsidP="00BE4167">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rsidR="00BE4167" w:rsidRDefault="006C625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ACAC4FB" wp14:editId="0FF39DC3">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A3910"/>
    <w:multiLevelType w:val="hybridMultilevel"/>
    <w:tmpl w:val="0714D37A"/>
    <w:lvl w:ilvl="0" w:tplc="A26A4098">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9F49BE"/>
    <w:multiLevelType w:val="hybridMultilevel"/>
    <w:tmpl w:val="57142CFA"/>
    <w:lvl w:ilvl="0" w:tplc="D2361344">
      <w:start w:val="1"/>
      <w:numFmt w:val="decimal"/>
      <w:lvlText w:val="%1."/>
      <w:lvlJc w:val="left"/>
      <w:pPr>
        <w:ind w:left="720" w:hanging="360"/>
      </w:pPr>
      <w:rPr>
        <w:rFonts w:cs="Tahom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A1608"/>
    <w:multiLevelType w:val="hybridMultilevel"/>
    <w:tmpl w:val="C47667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B60517"/>
    <w:multiLevelType w:val="hybridMultilevel"/>
    <w:tmpl w:val="6C50BB12"/>
    <w:lvl w:ilvl="0" w:tplc="9A80B2E4">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AA7F20"/>
    <w:multiLevelType w:val="hybridMultilevel"/>
    <w:tmpl w:val="B13CF8AE"/>
    <w:lvl w:ilvl="0" w:tplc="A7DAF392">
      <w:start w:val="1"/>
      <w:numFmt w:val="decimal"/>
      <w:lvlText w:val="%1."/>
      <w:lvlJc w:val="left"/>
      <w:pPr>
        <w:ind w:left="720" w:hanging="360"/>
      </w:pPr>
      <w:rPr>
        <w:rFonts w:eastAsia="Times New Roman"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54B02"/>
    <w:multiLevelType w:val="hybridMultilevel"/>
    <w:tmpl w:val="E55EFD36"/>
    <w:lvl w:ilvl="0" w:tplc="7F66EA24">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E4212A"/>
    <w:multiLevelType w:val="hybridMultilevel"/>
    <w:tmpl w:val="C2663F74"/>
    <w:lvl w:ilvl="0" w:tplc="255A72A0">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AA0EA7"/>
    <w:multiLevelType w:val="hybridMultilevel"/>
    <w:tmpl w:val="0304EA46"/>
    <w:lvl w:ilvl="0" w:tplc="FBE642C6">
      <w:start w:val="1"/>
      <w:numFmt w:val="lowerLetter"/>
      <w:lvlText w:val="%1)"/>
      <w:lvlJc w:val="left"/>
      <w:pPr>
        <w:ind w:left="709" w:hanging="42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84BBB"/>
    <w:multiLevelType w:val="multilevel"/>
    <w:tmpl w:val="86FA8CBA"/>
    <w:lvl w:ilvl="0">
      <w:start w:val="1"/>
      <w:numFmt w:val="decimal"/>
      <w:lvlText w:val="%1."/>
      <w:lvlJc w:val="left"/>
      <w:pPr>
        <w:ind w:left="927" w:hanging="360"/>
      </w:pPr>
      <w:rPr>
        <w:rFonts w:eastAsiaTheme="minorHAnsi" w:cs="Arial" w:hint="default"/>
      </w:rPr>
    </w:lvl>
    <w:lvl w:ilvl="1">
      <w:start w:val="1"/>
      <w:numFmt w:val="decimal"/>
      <w:isLgl/>
      <w:lvlText w:val="%1.%2."/>
      <w:lvlJc w:val="left"/>
      <w:pPr>
        <w:ind w:left="1287" w:hanging="36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367" w:hanging="72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447" w:hanging="1080"/>
      </w:pPr>
      <w:rPr>
        <w:rFonts w:cs="Times New Roman" w:hint="default"/>
      </w:rPr>
    </w:lvl>
    <w:lvl w:ilvl="6">
      <w:start w:val="1"/>
      <w:numFmt w:val="decimal"/>
      <w:isLgl/>
      <w:lvlText w:val="%1.%2.%3.%4.%5.%6.%7."/>
      <w:lvlJc w:val="left"/>
      <w:pPr>
        <w:ind w:left="4167" w:hanging="1440"/>
      </w:pPr>
      <w:rPr>
        <w:rFonts w:cs="Times New Roman" w:hint="default"/>
      </w:rPr>
    </w:lvl>
    <w:lvl w:ilvl="7">
      <w:start w:val="1"/>
      <w:numFmt w:val="decimal"/>
      <w:isLgl/>
      <w:lvlText w:val="%1.%2.%3.%4.%5.%6.%7.%8."/>
      <w:lvlJc w:val="left"/>
      <w:pPr>
        <w:ind w:left="4527" w:hanging="1440"/>
      </w:pPr>
      <w:rPr>
        <w:rFonts w:cs="Times New Roman" w:hint="default"/>
      </w:rPr>
    </w:lvl>
    <w:lvl w:ilvl="8">
      <w:start w:val="1"/>
      <w:numFmt w:val="decimal"/>
      <w:isLgl/>
      <w:lvlText w:val="%1.%2.%3.%4.%5.%6.%7.%8.%9."/>
      <w:lvlJc w:val="left"/>
      <w:pPr>
        <w:ind w:left="5247" w:hanging="1800"/>
      </w:pPr>
      <w:rPr>
        <w:rFonts w:cs="Times New Roman" w:hint="default"/>
      </w:rPr>
    </w:lvl>
  </w:abstractNum>
  <w:abstractNum w:abstractNumId="9" w15:restartNumberingAfterBreak="0">
    <w:nsid w:val="303B0E2A"/>
    <w:multiLevelType w:val="hybridMultilevel"/>
    <w:tmpl w:val="8D82566E"/>
    <w:lvl w:ilvl="0" w:tplc="AB4C1582">
      <w:start w:val="1"/>
      <w:numFmt w:val="bullet"/>
      <w:lvlText w:val="-"/>
      <w:lvlJc w:val="left"/>
      <w:pPr>
        <w:ind w:left="720" w:hanging="360"/>
      </w:pPr>
      <w:rPr>
        <w:rFonts w:ascii="Palatino Linotype" w:eastAsiaTheme="minorHAnsi" w:hAnsi="Palatino Linotype" w:cs="Tahoma"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2372B4"/>
    <w:multiLevelType w:val="hybridMultilevel"/>
    <w:tmpl w:val="3622FF7E"/>
    <w:lvl w:ilvl="0" w:tplc="45CAAA78">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2030D0"/>
    <w:multiLevelType w:val="hybridMultilevel"/>
    <w:tmpl w:val="0590A606"/>
    <w:lvl w:ilvl="0" w:tplc="1B5ACF22">
      <w:numFmt w:val="bullet"/>
      <w:lvlText w:val="-"/>
      <w:lvlJc w:val="left"/>
      <w:pPr>
        <w:ind w:left="720" w:hanging="360"/>
      </w:pPr>
      <w:rPr>
        <w:rFonts w:ascii="Palatino Linotype" w:eastAsia="Times New Roman" w:hAnsi="Palatino Linotype" w:cs="Tahoma"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7553E1"/>
    <w:multiLevelType w:val="hybridMultilevel"/>
    <w:tmpl w:val="3622FF7E"/>
    <w:lvl w:ilvl="0" w:tplc="45CAAA78">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4C028E"/>
    <w:multiLevelType w:val="hybridMultilevel"/>
    <w:tmpl w:val="84B6C08E"/>
    <w:lvl w:ilvl="0" w:tplc="33BAD75C">
      <w:start w:val="1"/>
      <w:numFmt w:val="lowerLetter"/>
      <w:lvlText w:val="%1."/>
      <w:lvlJc w:val="left"/>
      <w:pPr>
        <w:ind w:left="1080" w:hanging="360"/>
      </w:pPr>
      <w:rPr>
        <w:rFonts w:cs="Tahoma"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6CF3FFF"/>
    <w:multiLevelType w:val="hybridMultilevel"/>
    <w:tmpl w:val="57142CFA"/>
    <w:lvl w:ilvl="0" w:tplc="D2361344">
      <w:start w:val="1"/>
      <w:numFmt w:val="decimal"/>
      <w:lvlText w:val="%1."/>
      <w:lvlJc w:val="left"/>
      <w:pPr>
        <w:ind w:left="720" w:hanging="360"/>
      </w:pPr>
      <w:rPr>
        <w:rFonts w:cs="Tahom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D70E11"/>
    <w:multiLevelType w:val="hybridMultilevel"/>
    <w:tmpl w:val="D3DE6382"/>
    <w:lvl w:ilvl="0" w:tplc="D48CA18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636739AC"/>
    <w:multiLevelType w:val="hybridMultilevel"/>
    <w:tmpl w:val="1E32E214"/>
    <w:lvl w:ilvl="0" w:tplc="695ED62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68764CE5"/>
    <w:multiLevelType w:val="hybridMultilevel"/>
    <w:tmpl w:val="510A70AE"/>
    <w:lvl w:ilvl="0" w:tplc="796A4CF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6AAD43BC"/>
    <w:multiLevelType w:val="hybridMultilevel"/>
    <w:tmpl w:val="212AADA6"/>
    <w:lvl w:ilvl="0" w:tplc="D67AA0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BD80DA2"/>
    <w:multiLevelType w:val="hybridMultilevel"/>
    <w:tmpl w:val="E01AE3FE"/>
    <w:lvl w:ilvl="0" w:tplc="A058E3C6">
      <w:start w:val="19"/>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791C61"/>
    <w:multiLevelType w:val="hybridMultilevel"/>
    <w:tmpl w:val="3622FF7E"/>
    <w:lvl w:ilvl="0" w:tplc="45CAAA78">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0978C2"/>
    <w:multiLevelType w:val="hybridMultilevel"/>
    <w:tmpl w:val="5B146A02"/>
    <w:lvl w:ilvl="0" w:tplc="391E968E">
      <w:start w:val="1"/>
      <w:numFmt w:val="lowerLetter"/>
      <w:lvlText w:val="%1."/>
      <w:lvlJc w:val="left"/>
      <w:pPr>
        <w:ind w:left="720" w:hanging="360"/>
      </w:pPr>
      <w:rPr>
        <w:rFonts w:cs="Tahoma"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75AB7E25"/>
    <w:multiLevelType w:val="hybridMultilevel"/>
    <w:tmpl w:val="DF0ED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8786EC1"/>
    <w:multiLevelType w:val="hybridMultilevel"/>
    <w:tmpl w:val="FE046708"/>
    <w:lvl w:ilvl="0" w:tplc="22744566">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10"/>
  </w:num>
  <w:num w:numId="4">
    <w:abstractNumId w:val="4"/>
  </w:num>
  <w:num w:numId="5">
    <w:abstractNumId w:val="25"/>
  </w:num>
  <w:num w:numId="6">
    <w:abstractNumId w:val="7"/>
  </w:num>
  <w:num w:numId="7">
    <w:abstractNumId w:val="12"/>
  </w:num>
  <w:num w:numId="8">
    <w:abstractNumId w:val="15"/>
  </w:num>
  <w:num w:numId="9">
    <w:abstractNumId w:val="5"/>
  </w:num>
  <w:num w:numId="10">
    <w:abstractNumId w:val="22"/>
  </w:num>
  <w:num w:numId="11">
    <w:abstractNumId w:val="14"/>
  </w:num>
  <w:num w:numId="12">
    <w:abstractNumId w:val="21"/>
  </w:num>
  <w:num w:numId="13">
    <w:abstractNumId w:val="6"/>
  </w:num>
  <w:num w:numId="14">
    <w:abstractNumId w:val="9"/>
  </w:num>
  <w:num w:numId="15">
    <w:abstractNumId w:val="3"/>
  </w:num>
  <w:num w:numId="16">
    <w:abstractNumId w:val="26"/>
  </w:num>
  <w:num w:numId="17">
    <w:abstractNumId w:val="0"/>
  </w:num>
  <w:num w:numId="18">
    <w:abstractNumId w:val="16"/>
  </w:num>
  <w:num w:numId="19">
    <w:abstractNumId w:val="1"/>
  </w:num>
  <w:num w:numId="20">
    <w:abstractNumId w:val="23"/>
  </w:num>
  <w:num w:numId="21">
    <w:abstractNumId w:val="19"/>
  </w:num>
  <w:num w:numId="22">
    <w:abstractNumId w:val="11"/>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8"/>
  </w:num>
  <w:num w:numId="26">
    <w:abstractNumId w:val="2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33"/>
    <w:rsid w:val="000C0951"/>
    <w:rsid w:val="000C2641"/>
    <w:rsid w:val="001166FA"/>
    <w:rsid w:val="00225670"/>
    <w:rsid w:val="00387288"/>
    <w:rsid w:val="003A2A22"/>
    <w:rsid w:val="004068AD"/>
    <w:rsid w:val="0048557D"/>
    <w:rsid w:val="004F1EA4"/>
    <w:rsid w:val="006076CB"/>
    <w:rsid w:val="00615395"/>
    <w:rsid w:val="006B70EC"/>
    <w:rsid w:val="006C6256"/>
    <w:rsid w:val="007D38A3"/>
    <w:rsid w:val="009614FF"/>
    <w:rsid w:val="0098644E"/>
    <w:rsid w:val="009E5497"/>
    <w:rsid w:val="00A00F07"/>
    <w:rsid w:val="00A448A8"/>
    <w:rsid w:val="00B15119"/>
    <w:rsid w:val="00B51F40"/>
    <w:rsid w:val="00B81E32"/>
    <w:rsid w:val="00BA222E"/>
    <w:rsid w:val="00C2754C"/>
    <w:rsid w:val="00C3489C"/>
    <w:rsid w:val="00C6020F"/>
    <w:rsid w:val="00C62E26"/>
    <w:rsid w:val="00CB5676"/>
    <w:rsid w:val="00CD3C4D"/>
    <w:rsid w:val="00D81697"/>
    <w:rsid w:val="00E85403"/>
    <w:rsid w:val="00F73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D60902-8213-45BB-9BAC-02C5951A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A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3A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73A3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73A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73A3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3A3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3A3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73A3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73A3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73A33"/>
    <w:rPr>
      <w:color w:val="0563C1" w:themeColor="hyperlink"/>
      <w:u w:val="single"/>
    </w:rPr>
  </w:style>
  <w:style w:type="paragraph" w:styleId="Sinespaciado">
    <w:name w:val="No Spacing"/>
    <w:aliases w:val="Francesa,INAI"/>
    <w:link w:val="SinespaciadoCar"/>
    <w:uiPriority w:val="1"/>
    <w:qFormat/>
    <w:rsid w:val="00F73A3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73A33"/>
    <w:rPr>
      <w:rFonts w:ascii="Times New Roman" w:eastAsia="Times New Roman" w:hAnsi="Times New Roman" w:cs="Times New Roman"/>
      <w:sz w:val="24"/>
      <w:szCs w:val="24"/>
      <w:lang w:eastAsia="es-ES"/>
    </w:rPr>
  </w:style>
  <w:style w:type="paragraph" w:customStyle="1" w:styleId="infoemcitas">
    <w:name w:val="infoem citas"/>
    <w:basedOn w:val="Normal"/>
    <w:qFormat/>
    <w:rsid w:val="00F73A33"/>
    <w:pPr>
      <w:spacing w:before="240" w:line="360" w:lineRule="auto"/>
      <w:ind w:left="851" w:right="851"/>
      <w:jc w:val="both"/>
    </w:pPr>
    <w:rPr>
      <w:rFonts w:ascii="Palatino Linotype" w:hAnsi="Palatino Linotype"/>
      <w:i/>
    </w:rPr>
  </w:style>
  <w:style w:type="paragraph" w:customStyle="1" w:styleId="INFOEM">
    <w:name w:val="INFOEM"/>
    <w:basedOn w:val="Normal"/>
    <w:qFormat/>
    <w:rsid w:val="00F73A33"/>
    <w:pPr>
      <w:spacing w:before="240" w:line="360" w:lineRule="auto"/>
      <w:ind w:left="851" w:right="851"/>
      <w:jc w:val="both"/>
    </w:pPr>
    <w:rPr>
      <w:rFonts w:ascii="Palatino Linotype" w:hAnsi="Palatino Linotype"/>
      <w:i/>
      <w:szCs w:val="14"/>
    </w:rPr>
  </w:style>
  <w:style w:type="table" w:customStyle="1" w:styleId="Tablaconcuadrcula1">
    <w:name w:val="Tabla con cuadrícula1"/>
    <w:basedOn w:val="Tablanormal"/>
    <w:next w:val="Tablaconcuadrcula"/>
    <w:uiPriority w:val="39"/>
    <w:rsid w:val="00F73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73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1166FA"/>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47</Pages>
  <Words>9258</Words>
  <Characters>50923</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dcterms:created xsi:type="dcterms:W3CDTF">2023-09-01T20:19:00Z</dcterms:created>
  <dcterms:modified xsi:type="dcterms:W3CDTF">2023-10-10T20:58:00Z</dcterms:modified>
</cp:coreProperties>
</file>