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C24" w:rsidRPr="00BB1559" w:rsidRDefault="00AB0C24" w:rsidP="00AB0C2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BB1559">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A26CE0">
        <w:rPr>
          <w:rFonts w:ascii="Palatino Linotype" w:eastAsia="Palatino Linotype" w:hAnsi="Palatino Linotype" w:cs="Palatino Linotype"/>
          <w:color w:val="000000"/>
          <w:sz w:val="24"/>
          <w:szCs w:val="24"/>
        </w:rPr>
        <w:t xml:space="preserve">veintinueve </w:t>
      </w:r>
      <w:r>
        <w:rPr>
          <w:rFonts w:ascii="Palatino Linotype" w:eastAsia="Palatino Linotype" w:hAnsi="Palatino Linotype" w:cs="Palatino Linotype"/>
          <w:color w:val="000000"/>
          <w:sz w:val="24"/>
          <w:szCs w:val="24"/>
        </w:rPr>
        <w:t xml:space="preserve">de marzo </w:t>
      </w:r>
      <w:r w:rsidRPr="00BB1559">
        <w:rPr>
          <w:rFonts w:ascii="Palatino Linotype" w:eastAsia="Palatino Linotype" w:hAnsi="Palatino Linotype" w:cs="Palatino Linotype"/>
          <w:color w:val="000000"/>
          <w:sz w:val="24"/>
          <w:szCs w:val="24"/>
        </w:rPr>
        <w:t xml:space="preserve">de dos mil </w:t>
      </w:r>
      <w:r>
        <w:rPr>
          <w:rFonts w:ascii="Palatino Linotype" w:eastAsia="Palatino Linotype" w:hAnsi="Palatino Linotype" w:cs="Palatino Linotype"/>
          <w:color w:val="000000"/>
          <w:sz w:val="24"/>
          <w:szCs w:val="24"/>
        </w:rPr>
        <w:t>veintitrés</w:t>
      </w:r>
      <w:r w:rsidRPr="00BB1559">
        <w:rPr>
          <w:rFonts w:ascii="Palatino Linotype" w:eastAsia="Palatino Linotype" w:hAnsi="Palatino Linotype" w:cs="Palatino Linotype"/>
          <w:color w:val="000000"/>
          <w:sz w:val="24"/>
          <w:szCs w:val="24"/>
        </w:rPr>
        <w:t>.</w:t>
      </w:r>
    </w:p>
    <w:p w:rsidR="00AB0C24" w:rsidRPr="00BB1559" w:rsidRDefault="00AB0C24" w:rsidP="00AB0C2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AB0C24" w:rsidRPr="00BB1559" w:rsidRDefault="00AB0C24" w:rsidP="00AB0C2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BB1559">
        <w:rPr>
          <w:rFonts w:ascii="Palatino Linotype" w:eastAsia="Palatino Linotype" w:hAnsi="Palatino Linotype" w:cs="Palatino Linotype"/>
          <w:b/>
          <w:color w:val="000000"/>
          <w:sz w:val="24"/>
          <w:szCs w:val="24"/>
        </w:rPr>
        <w:t>VISTO</w:t>
      </w:r>
      <w:r w:rsidRPr="00BB1559">
        <w:rPr>
          <w:rFonts w:ascii="Palatino Linotype" w:eastAsia="Palatino Linotype" w:hAnsi="Palatino Linotype" w:cs="Palatino Linotype"/>
          <w:color w:val="000000"/>
          <w:sz w:val="24"/>
          <w:szCs w:val="24"/>
        </w:rPr>
        <w:t xml:space="preserve"> el expediente electrónico formado con motivo del recurso de revisión número </w:t>
      </w:r>
      <w:r w:rsidRPr="00BB1559">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17445</w:t>
      </w:r>
      <w:r w:rsidRPr="00BB1559">
        <w:rPr>
          <w:rFonts w:ascii="Palatino Linotype" w:eastAsia="Palatino Linotype" w:hAnsi="Palatino Linotype" w:cs="Palatino Linotype"/>
          <w:b/>
          <w:color w:val="000000"/>
          <w:sz w:val="24"/>
          <w:szCs w:val="24"/>
        </w:rPr>
        <w:t>/INFOEM/IP/RR/2022</w:t>
      </w:r>
      <w:r w:rsidRPr="00BB1559">
        <w:rPr>
          <w:rFonts w:ascii="Palatino Linotype" w:eastAsia="Palatino Linotype" w:hAnsi="Palatino Linotype" w:cs="Palatino Linotype"/>
          <w:color w:val="000000"/>
          <w:sz w:val="24"/>
          <w:szCs w:val="24"/>
        </w:rPr>
        <w:t xml:space="preserve">, interpuesto por </w:t>
      </w:r>
      <w:r w:rsidR="004C0DCD">
        <w:rPr>
          <w:rFonts w:ascii="Palatino Linotype" w:eastAsia="Palatino Linotype" w:hAnsi="Palatino Linotype" w:cs="Palatino Linotype"/>
          <w:b/>
          <w:color w:val="000000"/>
          <w:sz w:val="24"/>
          <w:szCs w:val="24"/>
        </w:rPr>
        <w:t>XXXXXXXXXXXXXX</w:t>
      </w:r>
      <w:bookmarkStart w:id="0" w:name="_GoBack"/>
      <w:bookmarkEnd w:id="0"/>
      <w:r w:rsidRPr="00BB1559">
        <w:rPr>
          <w:rFonts w:ascii="Palatino Linotype" w:eastAsia="Palatino Linotype" w:hAnsi="Palatino Linotype" w:cs="Palatino Linotype"/>
          <w:color w:val="000000"/>
          <w:sz w:val="24"/>
          <w:szCs w:val="24"/>
        </w:rPr>
        <w:t xml:space="preserve">, en lo sucesivo el </w:t>
      </w:r>
      <w:r w:rsidRPr="00BB1559">
        <w:rPr>
          <w:rFonts w:ascii="Palatino Linotype" w:eastAsia="Palatino Linotype" w:hAnsi="Palatino Linotype" w:cs="Palatino Linotype"/>
          <w:b/>
          <w:color w:val="000000"/>
          <w:sz w:val="24"/>
          <w:szCs w:val="24"/>
        </w:rPr>
        <w:t>Recurrente</w:t>
      </w:r>
      <w:r w:rsidRPr="00BB1559">
        <w:rPr>
          <w:rFonts w:ascii="Palatino Linotype" w:eastAsia="Palatino Linotype" w:hAnsi="Palatino Linotype" w:cs="Palatino Linotype"/>
          <w:color w:val="000000"/>
          <w:sz w:val="24"/>
          <w:szCs w:val="24"/>
        </w:rPr>
        <w:t xml:space="preserve">, en contra de la respuesta del </w:t>
      </w:r>
      <w:r w:rsidRPr="00AB0C24">
        <w:rPr>
          <w:rFonts w:ascii="Palatino Linotype" w:hAnsi="Palatino Linotype" w:cs="Arial"/>
          <w:b/>
          <w:sz w:val="24"/>
          <w:szCs w:val="24"/>
        </w:rPr>
        <w:t>Ayuntamiento de Toluca</w:t>
      </w:r>
      <w:r w:rsidRPr="00BB1559">
        <w:rPr>
          <w:rFonts w:ascii="Palatino Linotype" w:eastAsia="Palatino Linotype" w:hAnsi="Palatino Linotype" w:cs="Palatino Linotype"/>
          <w:color w:val="000000"/>
          <w:sz w:val="24"/>
          <w:szCs w:val="24"/>
        </w:rPr>
        <w:t>, en lo subsecuente</w:t>
      </w:r>
      <w:r w:rsidRPr="00BB1559">
        <w:rPr>
          <w:rFonts w:ascii="Palatino Linotype" w:eastAsia="Palatino Linotype" w:hAnsi="Palatino Linotype" w:cs="Palatino Linotype"/>
          <w:b/>
          <w:color w:val="000000"/>
          <w:sz w:val="24"/>
          <w:szCs w:val="24"/>
        </w:rPr>
        <w:t xml:space="preserve"> </w:t>
      </w:r>
      <w:r w:rsidRPr="00BB1559">
        <w:rPr>
          <w:rFonts w:ascii="Palatino Linotype" w:eastAsia="Palatino Linotype" w:hAnsi="Palatino Linotype" w:cs="Palatino Linotype"/>
          <w:color w:val="000000"/>
          <w:sz w:val="24"/>
          <w:szCs w:val="24"/>
        </w:rPr>
        <w:t>el</w:t>
      </w:r>
      <w:r w:rsidRPr="00BB1559">
        <w:rPr>
          <w:rFonts w:ascii="Palatino Linotype" w:eastAsia="Palatino Linotype" w:hAnsi="Palatino Linotype" w:cs="Palatino Linotype"/>
          <w:b/>
          <w:color w:val="000000"/>
          <w:sz w:val="24"/>
          <w:szCs w:val="24"/>
        </w:rPr>
        <w:t xml:space="preserve"> Sujeto Obligado, </w:t>
      </w:r>
      <w:r w:rsidRPr="00BB1559">
        <w:rPr>
          <w:rFonts w:ascii="Palatino Linotype" w:eastAsia="Palatino Linotype" w:hAnsi="Palatino Linotype" w:cs="Palatino Linotype"/>
          <w:color w:val="000000"/>
          <w:sz w:val="24"/>
          <w:szCs w:val="24"/>
        </w:rPr>
        <w:t>se procede a dictar la presente resolución.</w:t>
      </w:r>
    </w:p>
    <w:p w:rsidR="00AB0C24" w:rsidRPr="00BB1559" w:rsidRDefault="00AB0C24" w:rsidP="00AB0C2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AB0C24" w:rsidRPr="00BB1559" w:rsidRDefault="00AB0C24" w:rsidP="00AB0C24">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BB1559">
        <w:rPr>
          <w:rFonts w:ascii="Palatino Linotype" w:eastAsia="Palatino Linotype" w:hAnsi="Palatino Linotype" w:cs="Palatino Linotype"/>
          <w:b/>
          <w:color w:val="000000"/>
          <w:sz w:val="28"/>
          <w:szCs w:val="28"/>
        </w:rPr>
        <w:t>A N T E C E D E N T E S</w:t>
      </w:r>
    </w:p>
    <w:p w:rsidR="00AB0C24" w:rsidRPr="00BB1559" w:rsidRDefault="00AB0C24" w:rsidP="00AB0C2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AB0C24" w:rsidRPr="00BB1559" w:rsidRDefault="00AB0C24" w:rsidP="00AB0C2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sidRPr="000424E1">
        <w:rPr>
          <w:rFonts w:ascii="Palatino Linotype" w:eastAsia="Palatino Linotype" w:hAnsi="Palatino Linotype" w:cs="Palatino Linotype"/>
          <w:b/>
          <w:color w:val="000000"/>
          <w:sz w:val="28"/>
          <w:szCs w:val="26"/>
        </w:rPr>
        <w:t>PRIMERO</w:t>
      </w:r>
      <w:r w:rsidRPr="00BB1559">
        <w:rPr>
          <w:rFonts w:ascii="Palatino Linotype" w:eastAsia="Palatino Linotype" w:hAnsi="Palatino Linotype" w:cs="Palatino Linotype"/>
          <w:b/>
          <w:color w:val="000000"/>
          <w:sz w:val="26"/>
          <w:szCs w:val="26"/>
        </w:rPr>
        <w:t>.</w:t>
      </w:r>
      <w:r w:rsidRPr="00BB1559">
        <w:rPr>
          <w:rFonts w:ascii="Palatino Linotype" w:eastAsia="Palatino Linotype" w:hAnsi="Palatino Linotype" w:cs="Palatino Linotype"/>
          <w:color w:val="000000"/>
          <w:sz w:val="26"/>
          <w:szCs w:val="26"/>
        </w:rPr>
        <w:t xml:space="preserve"> </w:t>
      </w:r>
      <w:r w:rsidRPr="00BB1559">
        <w:rPr>
          <w:rFonts w:ascii="Palatino Linotype" w:eastAsia="Palatino Linotype" w:hAnsi="Palatino Linotype" w:cs="Palatino Linotype"/>
          <w:b/>
          <w:color w:val="000000"/>
          <w:sz w:val="26"/>
          <w:szCs w:val="26"/>
        </w:rPr>
        <w:t>De la Solicitud de Información.</w:t>
      </w:r>
    </w:p>
    <w:p w:rsidR="00AB0C24" w:rsidRPr="00BB1559" w:rsidRDefault="00AB0C24" w:rsidP="00AB0C2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BB1559">
        <w:rPr>
          <w:rFonts w:ascii="Palatino Linotype" w:eastAsia="Palatino Linotype" w:hAnsi="Palatino Linotype" w:cs="Palatino Linotype"/>
          <w:color w:val="000000"/>
          <w:sz w:val="24"/>
          <w:szCs w:val="24"/>
        </w:rPr>
        <w:t xml:space="preserve">Con fecha </w:t>
      </w:r>
      <w:r>
        <w:rPr>
          <w:rFonts w:ascii="Palatino Linotype" w:eastAsia="Palatino Linotype" w:hAnsi="Palatino Linotype" w:cs="Palatino Linotype"/>
          <w:color w:val="000000"/>
          <w:sz w:val="24"/>
          <w:szCs w:val="24"/>
        </w:rPr>
        <w:t>ocho de noviembre</w:t>
      </w:r>
      <w:r w:rsidRPr="00BB1559">
        <w:rPr>
          <w:rFonts w:ascii="Palatino Linotype" w:eastAsia="Palatino Linotype" w:hAnsi="Palatino Linotype" w:cs="Palatino Linotype"/>
          <w:color w:val="000000"/>
          <w:sz w:val="24"/>
          <w:szCs w:val="24"/>
        </w:rPr>
        <w:t xml:space="preserve"> de dos mil veintidós, el </w:t>
      </w:r>
      <w:r w:rsidRPr="00DE385B">
        <w:rPr>
          <w:rFonts w:ascii="Palatino Linotype" w:eastAsia="Palatino Linotype" w:hAnsi="Palatino Linotype" w:cs="Palatino Linotype"/>
          <w:b/>
          <w:color w:val="000000"/>
          <w:sz w:val="24"/>
          <w:szCs w:val="24"/>
        </w:rPr>
        <w:t>Recurrente</w:t>
      </w:r>
      <w:r w:rsidRPr="00BB1559">
        <w:rPr>
          <w:rFonts w:ascii="Palatino Linotype" w:eastAsia="Palatino Linotype" w:hAnsi="Palatino Linotype" w:cs="Palatino Linotype"/>
          <w:color w:val="000000"/>
          <w:sz w:val="24"/>
          <w:szCs w:val="24"/>
        </w:rPr>
        <w:t xml:space="preserve"> presentó mediante el Sistema de Acceso a la Información Mexiquense (SAIMEX), solicitud de información registrada con el número de expediente</w:t>
      </w:r>
      <w:r w:rsidRPr="00DE385B">
        <w:rPr>
          <w:rFonts w:ascii="Palatino Linotype" w:eastAsia="Palatino Linotype" w:hAnsi="Palatino Linotype" w:cs="Palatino Linotype"/>
          <w:color w:val="000000"/>
          <w:sz w:val="24"/>
          <w:szCs w:val="24"/>
        </w:rPr>
        <w:t xml:space="preserve"> </w:t>
      </w:r>
      <w:r w:rsidRPr="00AB0C24">
        <w:rPr>
          <w:rFonts w:ascii="Palatino Linotype" w:eastAsia="Palatino Linotype" w:hAnsi="Palatino Linotype" w:cs="Palatino Linotype"/>
          <w:b/>
          <w:bCs/>
          <w:color w:val="000000"/>
          <w:sz w:val="24"/>
          <w:szCs w:val="24"/>
        </w:rPr>
        <w:t>02387/TOLUCA/IP/2022</w:t>
      </w:r>
      <w:r w:rsidRPr="00BB1559">
        <w:rPr>
          <w:rFonts w:ascii="Palatino Linotype" w:eastAsia="Palatino Linotype" w:hAnsi="Palatino Linotype" w:cs="Palatino Linotype"/>
          <w:color w:val="000000"/>
          <w:sz w:val="24"/>
          <w:szCs w:val="24"/>
        </w:rPr>
        <w:t>,</w:t>
      </w:r>
      <w:r w:rsidRPr="00BB1559">
        <w:rPr>
          <w:rFonts w:ascii="Palatino Linotype" w:eastAsia="Palatino Linotype" w:hAnsi="Palatino Linotype" w:cs="Palatino Linotype"/>
          <w:b/>
          <w:color w:val="000000"/>
          <w:sz w:val="24"/>
          <w:szCs w:val="24"/>
        </w:rPr>
        <w:t xml:space="preserve"> </w:t>
      </w:r>
      <w:r w:rsidRPr="00BB1559">
        <w:rPr>
          <w:rFonts w:ascii="Palatino Linotype" w:eastAsia="Palatino Linotype" w:hAnsi="Palatino Linotype" w:cs="Palatino Linotype"/>
          <w:color w:val="000000"/>
          <w:sz w:val="24"/>
          <w:szCs w:val="24"/>
        </w:rPr>
        <w:t>mediante la cual solicitó información en el tenor siguiente:</w:t>
      </w:r>
    </w:p>
    <w:p w:rsidR="00AB0C24" w:rsidRPr="00BB1559" w:rsidRDefault="00AB0C24" w:rsidP="00AB0C2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AB0C24" w:rsidRPr="00BB1559" w:rsidRDefault="00AB0C24" w:rsidP="00AB0C2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BB1559">
        <w:rPr>
          <w:rFonts w:ascii="Palatino Linotype" w:eastAsia="Palatino Linotype" w:hAnsi="Palatino Linotype" w:cs="Palatino Linotype"/>
          <w:i/>
          <w:color w:val="000000"/>
        </w:rPr>
        <w:t>“</w:t>
      </w:r>
      <w:r w:rsidRPr="00AB0C24">
        <w:rPr>
          <w:rFonts w:ascii="Palatino Linotype" w:eastAsia="Palatino Linotype" w:hAnsi="Palatino Linotype" w:cs="Palatino Linotype"/>
          <w:i/>
          <w:color w:val="000000"/>
        </w:rPr>
        <w:t>Solicito por este medio la Información y soporte documental de los acuerdos, contratos, convenios, estudios técnicos y dictámenes de factibilidad de las obras correspondientes a las ciclovías programadas Información y soporte documental del estado actual que guardan las obras correspondientes a las ciclovías Información debidamente fundada y motivada que explique las razones por los que estas obras han sido suspendidas, en las que se incluya el porcentaje de la población a favor y en contra de la ciclovías y específicamente en la Avenida Isidro Fabela en el municipio de Toluca, así como el número de beneficiarios proyectados con estas obras.</w:t>
      </w:r>
      <w:r w:rsidRPr="00BB1559">
        <w:rPr>
          <w:rFonts w:ascii="Palatino Linotype" w:eastAsia="Palatino Linotype" w:hAnsi="Palatino Linotype" w:cs="Palatino Linotype"/>
          <w:i/>
          <w:color w:val="000000"/>
        </w:rPr>
        <w:t>” (Sic)</w:t>
      </w:r>
    </w:p>
    <w:p w:rsidR="00AB0C24" w:rsidRDefault="00AB0C24" w:rsidP="00AB0C2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AB0C24" w:rsidRPr="00BB1559" w:rsidRDefault="00AB0C24" w:rsidP="00AB0C24">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sidRPr="00BB1559">
        <w:rPr>
          <w:rFonts w:ascii="Palatino Linotype" w:eastAsia="Palatino Linotype" w:hAnsi="Palatino Linotype" w:cs="Palatino Linotype"/>
          <w:color w:val="000000"/>
          <w:sz w:val="24"/>
          <w:szCs w:val="24"/>
        </w:rPr>
        <w:lastRenderedPageBreak/>
        <w:t xml:space="preserve">Modalidad de entrega: </w:t>
      </w:r>
      <w:r w:rsidRPr="00BB1559">
        <w:rPr>
          <w:rFonts w:ascii="Palatino Linotype" w:eastAsia="Palatino Linotype" w:hAnsi="Palatino Linotype" w:cs="Palatino Linotype"/>
          <w:b/>
          <w:color w:val="000000"/>
          <w:sz w:val="24"/>
          <w:szCs w:val="24"/>
        </w:rPr>
        <w:t>A través del SAIMEX</w:t>
      </w:r>
      <w:r w:rsidRPr="00BB1559">
        <w:rPr>
          <w:rFonts w:ascii="Palatino Linotype" w:eastAsia="Palatino Linotype" w:hAnsi="Palatino Linotype" w:cs="Palatino Linotype"/>
          <w:color w:val="000000"/>
          <w:sz w:val="24"/>
          <w:szCs w:val="24"/>
        </w:rPr>
        <w:t>.</w:t>
      </w:r>
    </w:p>
    <w:p w:rsidR="00AB0C24" w:rsidRPr="00BB1559" w:rsidRDefault="00AB0C24" w:rsidP="00AB0C2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AB0C24" w:rsidRDefault="00AB0C24" w:rsidP="00AB0C2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AB0C24" w:rsidRPr="000424E1" w:rsidRDefault="00AB0C24" w:rsidP="00AB0C24">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8"/>
          <w:szCs w:val="24"/>
        </w:rPr>
        <w:t>SEGUNDO</w:t>
      </w:r>
      <w:r>
        <w:rPr>
          <w:rFonts w:ascii="Palatino Linotype" w:eastAsia="Palatino Linotype" w:hAnsi="Palatino Linotype" w:cs="Palatino Linotype"/>
          <w:b/>
          <w:color w:val="000000"/>
          <w:sz w:val="24"/>
          <w:szCs w:val="24"/>
        </w:rPr>
        <w:t xml:space="preserve">. </w:t>
      </w:r>
      <w:r w:rsidRPr="000424E1">
        <w:rPr>
          <w:rFonts w:ascii="Palatino Linotype" w:eastAsia="Palatino Linotype" w:hAnsi="Palatino Linotype" w:cs="Palatino Linotype"/>
          <w:b/>
          <w:color w:val="000000"/>
          <w:sz w:val="26"/>
          <w:szCs w:val="26"/>
        </w:rPr>
        <w:t xml:space="preserve">De la </w:t>
      </w:r>
      <w:r>
        <w:rPr>
          <w:rFonts w:ascii="Palatino Linotype" w:eastAsia="Palatino Linotype" w:hAnsi="Palatino Linotype" w:cs="Palatino Linotype"/>
          <w:b/>
          <w:color w:val="000000"/>
          <w:sz w:val="26"/>
          <w:szCs w:val="26"/>
        </w:rPr>
        <w:t xml:space="preserve">prórroga para otorgar </w:t>
      </w:r>
      <w:r w:rsidRPr="000424E1">
        <w:rPr>
          <w:rFonts w:ascii="Palatino Linotype" w:eastAsia="Palatino Linotype" w:hAnsi="Palatino Linotype" w:cs="Palatino Linotype"/>
          <w:b/>
          <w:color w:val="000000"/>
          <w:sz w:val="26"/>
          <w:szCs w:val="26"/>
        </w:rPr>
        <w:t>respuesta a la solicitud de información.</w:t>
      </w:r>
    </w:p>
    <w:p w:rsidR="00AB0C24" w:rsidRDefault="00AB0C24" w:rsidP="00AB0C2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conformidad con</w:t>
      </w:r>
      <w:r w:rsidRPr="00BB1559">
        <w:rPr>
          <w:rFonts w:ascii="Palatino Linotype" w:eastAsia="Palatino Linotype" w:hAnsi="Palatino Linotype" w:cs="Palatino Linotype"/>
          <w:color w:val="000000"/>
          <w:sz w:val="24"/>
          <w:szCs w:val="24"/>
        </w:rPr>
        <w:t xml:space="preserve"> las constancias que obran en el expediente electrónico, se observa que el día </w:t>
      </w:r>
      <w:r>
        <w:rPr>
          <w:rFonts w:ascii="Palatino Linotype" w:eastAsia="Palatino Linotype" w:hAnsi="Palatino Linotype" w:cs="Palatino Linotype"/>
          <w:color w:val="000000"/>
          <w:sz w:val="24"/>
          <w:szCs w:val="24"/>
        </w:rPr>
        <w:t xml:space="preserve">treinta de noviembre </w:t>
      </w:r>
      <w:r w:rsidRPr="00BB1559">
        <w:rPr>
          <w:rFonts w:ascii="Palatino Linotype" w:eastAsia="Palatino Linotype" w:hAnsi="Palatino Linotype" w:cs="Palatino Linotype"/>
          <w:color w:val="000000"/>
          <w:sz w:val="24"/>
          <w:szCs w:val="24"/>
        </w:rPr>
        <w:t xml:space="preserve">de dos mil veintidós, el </w:t>
      </w:r>
      <w:r w:rsidRPr="00BB1559">
        <w:rPr>
          <w:rFonts w:ascii="Palatino Linotype" w:eastAsia="Palatino Linotype" w:hAnsi="Palatino Linotype" w:cs="Palatino Linotype"/>
          <w:b/>
          <w:color w:val="000000"/>
          <w:sz w:val="24"/>
          <w:szCs w:val="24"/>
        </w:rPr>
        <w:t>Sujeto Obligado</w:t>
      </w:r>
      <w:r w:rsidRPr="00BB1559">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notificó a la entonces Solicitante, el documento electrónico “</w:t>
      </w:r>
      <w:r w:rsidRPr="00AB0C24">
        <w:rPr>
          <w:rFonts w:ascii="Palatino Linotype" w:eastAsia="Palatino Linotype" w:hAnsi="Palatino Linotype" w:cs="Palatino Linotype"/>
          <w:color w:val="000000"/>
          <w:sz w:val="24"/>
          <w:szCs w:val="24"/>
        </w:rPr>
        <w:t>729 Sesión Extraordinaria 22.pdf</w:t>
      </w:r>
      <w:r>
        <w:rPr>
          <w:rFonts w:ascii="Palatino Linotype" w:eastAsia="Palatino Linotype" w:hAnsi="Palatino Linotype" w:cs="Palatino Linotype"/>
          <w:color w:val="000000"/>
          <w:sz w:val="24"/>
          <w:szCs w:val="24"/>
        </w:rPr>
        <w:t xml:space="preserve">”. Documento consistente en el Acta de la Septingentésima Vigésima Novena Sesión Extraordinaria de 2022, mediante la cual se aprobó la prórroga por el término de siete días hábiles, para dar respuesta a distintas solicitudes de información entre las que se encuentra la número </w:t>
      </w:r>
      <w:r w:rsidRPr="00AB0C24">
        <w:rPr>
          <w:rFonts w:ascii="Palatino Linotype" w:eastAsia="Palatino Linotype" w:hAnsi="Palatino Linotype" w:cs="Palatino Linotype"/>
          <w:b/>
          <w:color w:val="000000"/>
          <w:sz w:val="24"/>
          <w:szCs w:val="24"/>
        </w:rPr>
        <w:t>02387/TOLUCA/IP/2022</w:t>
      </w:r>
      <w:r>
        <w:rPr>
          <w:rFonts w:ascii="Palatino Linotype" w:eastAsia="Palatino Linotype" w:hAnsi="Palatino Linotype" w:cs="Palatino Linotype"/>
          <w:color w:val="000000"/>
          <w:sz w:val="24"/>
          <w:szCs w:val="24"/>
        </w:rPr>
        <w:t>.</w:t>
      </w:r>
    </w:p>
    <w:p w:rsidR="00AB0C24" w:rsidRDefault="00AB0C24" w:rsidP="00AB0C2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AB0C24" w:rsidRPr="00AB0C24" w:rsidRDefault="00AB0C24" w:rsidP="00AB0C24">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sidRPr="00AB0C24">
        <w:rPr>
          <w:rFonts w:ascii="Palatino Linotype" w:eastAsia="Palatino Linotype" w:hAnsi="Palatino Linotype" w:cs="Palatino Linotype"/>
          <w:b/>
          <w:color w:val="000000"/>
          <w:sz w:val="28"/>
          <w:szCs w:val="24"/>
        </w:rPr>
        <w:t>TERCERO</w:t>
      </w:r>
      <w:r>
        <w:rPr>
          <w:rFonts w:ascii="Palatino Linotype" w:eastAsia="Palatino Linotype" w:hAnsi="Palatino Linotype" w:cs="Palatino Linotype"/>
          <w:b/>
          <w:color w:val="000000"/>
          <w:sz w:val="24"/>
          <w:szCs w:val="24"/>
        </w:rPr>
        <w:t xml:space="preserve">. </w:t>
      </w:r>
      <w:r w:rsidRPr="00AB0C24">
        <w:rPr>
          <w:rFonts w:ascii="Palatino Linotype" w:eastAsia="Palatino Linotype" w:hAnsi="Palatino Linotype" w:cs="Palatino Linotype"/>
          <w:b/>
          <w:color w:val="000000"/>
          <w:sz w:val="24"/>
          <w:szCs w:val="24"/>
        </w:rPr>
        <w:t>De la respuesta a la solicitud de información.</w:t>
      </w:r>
    </w:p>
    <w:p w:rsidR="00AB0C24" w:rsidRPr="00BB1559" w:rsidRDefault="002A1FA5" w:rsidP="00AB0C2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Una vez transcurrido tanto el término ordinario como extraordinario, para atender la solicitud de información, en fecha nueve de diciembre de dos mil veintidós, el Sujeto Obligado emitió respuesta en los términos siguientes:</w:t>
      </w:r>
    </w:p>
    <w:p w:rsidR="00AB0C24" w:rsidRPr="00BB1559" w:rsidRDefault="00AB0C24" w:rsidP="00AB0C2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2A1FA5" w:rsidRDefault="00AB0C24" w:rsidP="002A1FA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BB1559">
        <w:rPr>
          <w:rFonts w:ascii="Palatino Linotype" w:eastAsia="Palatino Linotype" w:hAnsi="Palatino Linotype" w:cs="Palatino Linotype"/>
          <w:i/>
          <w:color w:val="000000"/>
        </w:rPr>
        <w:t>“</w:t>
      </w:r>
      <w:r w:rsidR="002A1FA5" w:rsidRPr="002A1FA5">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A1FA5" w:rsidRPr="002A1FA5" w:rsidRDefault="002A1FA5" w:rsidP="002A1FA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rsidR="00AB0C24" w:rsidRPr="00BB1559" w:rsidRDefault="002A1FA5" w:rsidP="002A1FA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2A1FA5">
        <w:rPr>
          <w:rFonts w:ascii="Palatino Linotype" w:eastAsia="Palatino Linotype" w:hAnsi="Palatino Linotype" w:cs="Palatino Linotype"/>
          <w:i/>
          <w:color w:val="000000"/>
        </w:rPr>
        <w:t>En atención a la solicitud con folio 02387/TOLUCA/IP/2022, me permito adjuntar al presente la respuesta correspondiente. Sin más por el momento, reciba un saludo.</w:t>
      </w:r>
      <w:r w:rsidR="00AB0C24" w:rsidRPr="00BB1559">
        <w:rPr>
          <w:rFonts w:ascii="Palatino Linotype" w:eastAsia="Palatino Linotype" w:hAnsi="Palatino Linotype" w:cs="Palatino Linotype"/>
          <w:i/>
          <w:color w:val="000000"/>
        </w:rPr>
        <w:t>” (Sic)</w:t>
      </w:r>
    </w:p>
    <w:p w:rsidR="00AB0C24" w:rsidRPr="00BB1559" w:rsidRDefault="00AB0C24" w:rsidP="00AB0C2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AB0C24" w:rsidRPr="00BB1559" w:rsidRDefault="00AB0C24" w:rsidP="00AB0C2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BB1559">
        <w:rPr>
          <w:rFonts w:ascii="Palatino Linotype" w:eastAsia="Palatino Linotype" w:hAnsi="Palatino Linotype" w:cs="Palatino Linotype"/>
          <w:color w:val="000000"/>
          <w:sz w:val="24"/>
          <w:szCs w:val="24"/>
        </w:rPr>
        <w:lastRenderedPageBreak/>
        <w:t xml:space="preserve">A su respuesta se anexó el documento denominado </w:t>
      </w:r>
      <w:r w:rsidRPr="00BB1559">
        <w:rPr>
          <w:rFonts w:ascii="Palatino Linotype" w:eastAsia="Palatino Linotype" w:hAnsi="Palatino Linotype" w:cs="Palatino Linotype"/>
          <w:b/>
          <w:color w:val="000000"/>
          <w:sz w:val="24"/>
          <w:szCs w:val="24"/>
        </w:rPr>
        <w:t>“</w:t>
      </w:r>
      <w:r w:rsidR="002A1FA5" w:rsidRPr="002A1FA5">
        <w:rPr>
          <w:rFonts w:ascii="Palatino Linotype" w:eastAsia="Palatino Linotype" w:hAnsi="Palatino Linotype" w:cs="Palatino Linotype"/>
          <w:b/>
          <w:i/>
          <w:color w:val="000000"/>
          <w:sz w:val="24"/>
          <w:szCs w:val="24"/>
        </w:rPr>
        <w:t>Respuesta 2387.pdf</w:t>
      </w:r>
      <w:r w:rsidRPr="00BB1559">
        <w:rPr>
          <w:rFonts w:ascii="Palatino Linotype" w:eastAsia="Palatino Linotype" w:hAnsi="Palatino Linotype" w:cs="Palatino Linotype"/>
          <w:b/>
          <w:color w:val="000000"/>
          <w:sz w:val="24"/>
          <w:szCs w:val="24"/>
        </w:rPr>
        <w:t>”</w:t>
      </w:r>
      <w:r w:rsidRPr="00BB1559">
        <w:rPr>
          <w:rFonts w:ascii="Palatino Linotype" w:eastAsia="Palatino Linotype" w:hAnsi="Palatino Linotype" w:cs="Palatino Linotype"/>
          <w:color w:val="000000"/>
          <w:sz w:val="24"/>
          <w:szCs w:val="24"/>
        </w:rPr>
        <w:t>, el cual no se reproduce por ser del conocimiento de ambas partes; no obstante, se hará referencia de su contenido en el estudio correspondiente.</w:t>
      </w:r>
    </w:p>
    <w:p w:rsidR="00AB0C24" w:rsidRPr="00BB1559" w:rsidRDefault="00AB0C24" w:rsidP="00AB0C2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AB0C24" w:rsidRPr="00BB1559" w:rsidRDefault="002A1FA5" w:rsidP="00AB0C24">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8"/>
          <w:szCs w:val="26"/>
        </w:rPr>
        <w:t>CUARTO</w:t>
      </w:r>
      <w:r w:rsidR="00AB0C24" w:rsidRPr="00BB1559">
        <w:rPr>
          <w:rFonts w:ascii="Palatino Linotype" w:eastAsia="Palatino Linotype" w:hAnsi="Palatino Linotype" w:cs="Palatino Linotype"/>
          <w:b/>
          <w:color w:val="000000"/>
          <w:sz w:val="26"/>
          <w:szCs w:val="26"/>
        </w:rPr>
        <w:t>. Del recurso de revisión.</w:t>
      </w:r>
    </w:p>
    <w:p w:rsidR="00AB0C24" w:rsidRPr="00BB1559" w:rsidRDefault="00AB0C24" w:rsidP="00AB0C2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BB1559">
        <w:rPr>
          <w:rFonts w:ascii="Palatino Linotype" w:eastAsia="Palatino Linotype" w:hAnsi="Palatino Linotype" w:cs="Palatino Linotype"/>
          <w:color w:val="000000"/>
          <w:sz w:val="24"/>
          <w:szCs w:val="24"/>
        </w:rPr>
        <w:t xml:space="preserve">Inconforme con la respuesta emitida por el </w:t>
      </w:r>
      <w:r w:rsidRPr="00A07C41">
        <w:rPr>
          <w:rFonts w:ascii="Palatino Linotype" w:eastAsia="Palatino Linotype" w:hAnsi="Palatino Linotype" w:cs="Palatino Linotype"/>
          <w:b/>
          <w:color w:val="000000"/>
          <w:sz w:val="24"/>
          <w:szCs w:val="24"/>
        </w:rPr>
        <w:t>Sujeto Obligado</w:t>
      </w:r>
      <w:r w:rsidRPr="00BB1559">
        <w:rPr>
          <w:rFonts w:ascii="Palatino Linotype" w:eastAsia="Palatino Linotype" w:hAnsi="Palatino Linotype" w:cs="Palatino Linotype"/>
          <w:color w:val="000000"/>
          <w:sz w:val="24"/>
          <w:szCs w:val="24"/>
        </w:rPr>
        <w:t xml:space="preserve">, el </w:t>
      </w:r>
      <w:r w:rsidRPr="00A07C41">
        <w:rPr>
          <w:rFonts w:ascii="Palatino Linotype" w:eastAsia="Palatino Linotype" w:hAnsi="Palatino Linotype" w:cs="Palatino Linotype"/>
          <w:b/>
          <w:color w:val="000000"/>
          <w:sz w:val="24"/>
          <w:szCs w:val="24"/>
        </w:rPr>
        <w:t>Recurrente</w:t>
      </w:r>
      <w:r w:rsidRPr="00BB1559">
        <w:rPr>
          <w:rFonts w:ascii="Palatino Linotype" w:eastAsia="Palatino Linotype" w:hAnsi="Palatino Linotype" w:cs="Palatino Linotype"/>
          <w:color w:val="000000"/>
          <w:sz w:val="24"/>
          <w:szCs w:val="24"/>
        </w:rPr>
        <w:t xml:space="preserve"> interpuso el presente recurso de revisión el día </w:t>
      </w:r>
      <w:r w:rsidR="002A1FA5">
        <w:rPr>
          <w:rFonts w:ascii="Palatino Linotype" w:eastAsia="Palatino Linotype" w:hAnsi="Palatino Linotype" w:cs="Palatino Linotype"/>
          <w:color w:val="000000"/>
          <w:sz w:val="24"/>
          <w:szCs w:val="24"/>
        </w:rPr>
        <w:t xml:space="preserve">diecinueve de diciembre </w:t>
      </w:r>
      <w:r w:rsidRPr="00BB1559">
        <w:rPr>
          <w:rFonts w:ascii="Palatino Linotype" w:eastAsia="Palatino Linotype" w:hAnsi="Palatino Linotype" w:cs="Palatino Linotype"/>
          <w:color w:val="000000"/>
          <w:sz w:val="24"/>
          <w:szCs w:val="24"/>
        </w:rPr>
        <w:t xml:space="preserve">de dos mil veintidós, el cual se registró con el expediente número </w:t>
      </w:r>
      <w:r w:rsidRPr="00BB1559">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1</w:t>
      </w:r>
      <w:r w:rsidR="002A1FA5">
        <w:rPr>
          <w:rFonts w:ascii="Palatino Linotype" w:eastAsia="Palatino Linotype" w:hAnsi="Palatino Linotype" w:cs="Palatino Linotype"/>
          <w:b/>
          <w:color w:val="000000"/>
          <w:sz w:val="24"/>
          <w:szCs w:val="24"/>
        </w:rPr>
        <w:t>744</w:t>
      </w:r>
      <w:r>
        <w:rPr>
          <w:rFonts w:ascii="Palatino Linotype" w:eastAsia="Palatino Linotype" w:hAnsi="Palatino Linotype" w:cs="Palatino Linotype"/>
          <w:b/>
          <w:color w:val="000000"/>
          <w:sz w:val="24"/>
          <w:szCs w:val="24"/>
        </w:rPr>
        <w:t>5</w:t>
      </w:r>
      <w:r w:rsidRPr="00BB1559">
        <w:rPr>
          <w:rFonts w:ascii="Palatino Linotype" w:eastAsia="Palatino Linotype" w:hAnsi="Palatino Linotype" w:cs="Palatino Linotype"/>
          <w:b/>
          <w:color w:val="000000"/>
          <w:sz w:val="24"/>
          <w:szCs w:val="24"/>
        </w:rPr>
        <w:t>/INFOEM/IP/RR/2022</w:t>
      </w:r>
      <w:r w:rsidRPr="00BB1559">
        <w:rPr>
          <w:rFonts w:ascii="Palatino Linotype" w:eastAsia="Palatino Linotype" w:hAnsi="Palatino Linotype" w:cs="Palatino Linotype"/>
          <w:color w:val="000000"/>
          <w:sz w:val="24"/>
          <w:szCs w:val="24"/>
        </w:rPr>
        <w:t>, en el cual manifestó lo siguiente:</w:t>
      </w:r>
    </w:p>
    <w:p w:rsidR="00AB0C24" w:rsidRPr="00BB1559" w:rsidRDefault="00AB0C24" w:rsidP="00AB0C2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AB0C24" w:rsidRPr="00BB1559" w:rsidRDefault="00AB0C24" w:rsidP="00AB0C24">
      <w:pPr>
        <w:spacing w:after="0" w:line="360" w:lineRule="auto"/>
        <w:contextualSpacing/>
        <w:jc w:val="both"/>
        <w:rPr>
          <w:rFonts w:ascii="Palatino Linotype" w:eastAsia="Palatino Linotype" w:hAnsi="Palatino Linotype" w:cs="Palatino Linotype"/>
        </w:rPr>
      </w:pPr>
      <w:r w:rsidRPr="00BB1559">
        <w:rPr>
          <w:rFonts w:ascii="Palatino Linotype" w:eastAsia="Palatino Linotype" w:hAnsi="Palatino Linotype" w:cs="Palatino Linotype"/>
          <w:b/>
        </w:rPr>
        <w:t xml:space="preserve">Acto Impugnado: </w:t>
      </w:r>
    </w:p>
    <w:p w:rsidR="00AB0C24" w:rsidRPr="00BB1559" w:rsidRDefault="00AB0C24" w:rsidP="00AB0C24">
      <w:pPr>
        <w:spacing w:after="0" w:line="360" w:lineRule="auto"/>
        <w:contextualSpacing/>
        <w:jc w:val="both"/>
        <w:rPr>
          <w:rFonts w:ascii="Palatino Linotype" w:eastAsia="Palatino Linotype" w:hAnsi="Palatino Linotype" w:cs="Palatino Linotype"/>
        </w:rPr>
      </w:pPr>
    </w:p>
    <w:p w:rsidR="00AB0C24" w:rsidRPr="00BB1559" w:rsidRDefault="00AB0C24" w:rsidP="00AB0C24">
      <w:pPr>
        <w:spacing w:after="0"/>
        <w:ind w:left="567" w:right="616"/>
        <w:contextualSpacing/>
        <w:jc w:val="both"/>
        <w:rPr>
          <w:rFonts w:ascii="Palatino Linotype" w:eastAsia="Palatino Linotype" w:hAnsi="Palatino Linotype" w:cs="Palatino Linotype"/>
          <w:b/>
        </w:rPr>
      </w:pPr>
      <w:r w:rsidRPr="00BB1559">
        <w:rPr>
          <w:rFonts w:ascii="Palatino Linotype" w:eastAsia="Palatino Linotype" w:hAnsi="Palatino Linotype" w:cs="Palatino Linotype"/>
          <w:i/>
        </w:rPr>
        <w:t>“</w:t>
      </w:r>
      <w:r w:rsidR="002A1FA5" w:rsidRPr="002A1FA5">
        <w:rPr>
          <w:rFonts w:ascii="Palatino Linotype" w:eastAsia="Palatino Linotype" w:hAnsi="Palatino Linotype" w:cs="Palatino Linotype"/>
          <w:i/>
        </w:rPr>
        <w:t>LA RESPUESTA</w:t>
      </w:r>
      <w:r w:rsidRPr="00BB1559">
        <w:rPr>
          <w:rFonts w:ascii="Palatino Linotype" w:eastAsia="Palatino Linotype" w:hAnsi="Palatino Linotype" w:cs="Palatino Linotype"/>
          <w:i/>
        </w:rPr>
        <w:t>"(Sic)</w:t>
      </w:r>
    </w:p>
    <w:p w:rsidR="00AB0C24" w:rsidRPr="00BB1559" w:rsidRDefault="00AB0C24" w:rsidP="00AB0C24">
      <w:pPr>
        <w:spacing w:after="0" w:line="360" w:lineRule="auto"/>
        <w:contextualSpacing/>
        <w:jc w:val="both"/>
        <w:rPr>
          <w:rFonts w:ascii="Palatino Linotype" w:eastAsia="Palatino Linotype" w:hAnsi="Palatino Linotype" w:cs="Palatino Linotype"/>
          <w:iCs/>
          <w:sz w:val="24"/>
          <w:szCs w:val="24"/>
        </w:rPr>
      </w:pPr>
    </w:p>
    <w:p w:rsidR="00AB0C24" w:rsidRDefault="00AB0C24" w:rsidP="00AB0C24">
      <w:pPr>
        <w:spacing w:after="0" w:line="360" w:lineRule="auto"/>
        <w:contextualSpacing/>
        <w:jc w:val="both"/>
        <w:rPr>
          <w:rFonts w:ascii="Palatino Linotype" w:eastAsia="Palatino Linotype" w:hAnsi="Palatino Linotype" w:cs="Palatino Linotype"/>
        </w:rPr>
      </w:pPr>
      <w:r w:rsidRPr="00BB1559">
        <w:rPr>
          <w:rFonts w:ascii="Palatino Linotype" w:eastAsia="Palatino Linotype" w:hAnsi="Palatino Linotype" w:cs="Palatino Linotype"/>
          <w:b/>
        </w:rPr>
        <w:t>Razones o Motivos de Inconformidad</w:t>
      </w:r>
      <w:r w:rsidRPr="00BB1559">
        <w:rPr>
          <w:rFonts w:ascii="Palatino Linotype" w:eastAsia="Palatino Linotype" w:hAnsi="Palatino Linotype" w:cs="Palatino Linotype"/>
        </w:rPr>
        <w:t>:</w:t>
      </w:r>
    </w:p>
    <w:p w:rsidR="00AB0C24" w:rsidRPr="00BB1559" w:rsidRDefault="00AB0C24" w:rsidP="00AB0C24">
      <w:pPr>
        <w:spacing w:after="0" w:line="360" w:lineRule="auto"/>
        <w:contextualSpacing/>
        <w:jc w:val="both"/>
        <w:rPr>
          <w:rFonts w:ascii="Palatino Linotype" w:eastAsia="Palatino Linotype" w:hAnsi="Palatino Linotype" w:cs="Palatino Linotype"/>
        </w:rPr>
      </w:pPr>
    </w:p>
    <w:p w:rsidR="00AB0C24" w:rsidRPr="00BB1559" w:rsidRDefault="00AB0C24" w:rsidP="00AB0C24">
      <w:pPr>
        <w:spacing w:after="0"/>
        <w:ind w:left="567" w:right="616"/>
        <w:contextualSpacing/>
        <w:jc w:val="both"/>
        <w:rPr>
          <w:rFonts w:ascii="Palatino Linotype" w:eastAsia="Palatino Linotype" w:hAnsi="Palatino Linotype" w:cs="Palatino Linotype"/>
        </w:rPr>
      </w:pPr>
      <w:r w:rsidRPr="00BB1559">
        <w:rPr>
          <w:rFonts w:ascii="Palatino Linotype" w:eastAsia="Palatino Linotype" w:hAnsi="Palatino Linotype" w:cs="Palatino Linotype"/>
          <w:i/>
        </w:rPr>
        <w:t>“</w:t>
      </w:r>
      <w:r w:rsidR="002A1FA5" w:rsidRPr="002A1FA5">
        <w:rPr>
          <w:rFonts w:ascii="Palatino Linotype" w:eastAsia="Palatino Linotype" w:hAnsi="Palatino Linotype" w:cs="Palatino Linotype"/>
          <w:i/>
        </w:rPr>
        <w:t>NO ME ENTREGARON LO QUE SOLICITE</w:t>
      </w:r>
      <w:r w:rsidRPr="00BB1559">
        <w:rPr>
          <w:rFonts w:ascii="Palatino Linotype" w:eastAsia="Palatino Linotype" w:hAnsi="Palatino Linotype" w:cs="Palatino Linotype"/>
          <w:i/>
        </w:rPr>
        <w:t>” (Sic)</w:t>
      </w:r>
    </w:p>
    <w:p w:rsidR="00AB0C24" w:rsidRPr="00BB1559" w:rsidRDefault="00AB0C24" w:rsidP="00AB0C2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AB0C24" w:rsidRPr="00BB1559" w:rsidRDefault="00AB0C24" w:rsidP="00AB0C2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BB1559">
        <w:rPr>
          <w:rFonts w:ascii="Palatino Linotype" w:eastAsia="Palatino Linotype" w:hAnsi="Palatino Linotype" w:cs="Palatino Linotype"/>
          <w:color w:val="000000"/>
          <w:sz w:val="24"/>
          <w:szCs w:val="24"/>
        </w:rPr>
        <w:t xml:space="preserve">Medio de impugnación que le fue turnado al </w:t>
      </w:r>
      <w:r w:rsidRPr="00BB1559">
        <w:rPr>
          <w:rFonts w:ascii="Palatino Linotype" w:eastAsia="Palatino Linotype" w:hAnsi="Palatino Linotype" w:cs="Palatino Linotype"/>
          <w:b/>
          <w:color w:val="000000"/>
          <w:sz w:val="24"/>
          <w:szCs w:val="24"/>
        </w:rPr>
        <w:t>Comisionado José Martínez Vilchis</w:t>
      </w:r>
      <w:r w:rsidRPr="00BB1559">
        <w:rPr>
          <w:rFonts w:ascii="Palatino Linotype" w:eastAsia="Palatino Linotype" w:hAnsi="Palatino Linotype" w:cs="Palatino Linotype"/>
          <w:color w:val="000000"/>
          <w:sz w:val="24"/>
          <w:szCs w:val="24"/>
        </w:rPr>
        <w:t xml:space="preserve">, por medio del sistema electrónico en términos del numeral 185 fracción I de la Ley de Transparencia y Acceso a la información Pública del Estado de México y Municipios, al cual recayó acuerdo de admisión de fecha </w:t>
      </w:r>
      <w:r w:rsidR="002A1FA5">
        <w:rPr>
          <w:rFonts w:ascii="Palatino Linotype" w:eastAsia="Palatino Linotype" w:hAnsi="Palatino Linotype" w:cs="Palatino Linotype"/>
          <w:color w:val="000000"/>
          <w:sz w:val="24"/>
          <w:szCs w:val="24"/>
        </w:rPr>
        <w:t>nueve de enero de dos mil veintitrés</w:t>
      </w:r>
      <w:r w:rsidRPr="00BB1559">
        <w:rPr>
          <w:rFonts w:ascii="Palatino Linotype" w:eastAsia="Palatino Linotype" w:hAnsi="Palatino Linotype" w:cs="Palatino Linotype"/>
          <w:color w:val="000000"/>
          <w:sz w:val="24"/>
          <w:szCs w:val="24"/>
        </w:rPr>
        <w:t xml:space="preserve">, </w:t>
      </w:r>
      <w:r w:rsidRPr="00BB1559">
        <w:rPr>
          <w:rFonts w:ascii="Palatino Linotype" w:eastAsia="Palatino Linotype" w:hAnsi="Palatino Linotype" w:cs="Palatino Linotype"/>
          <w:sz w:val="24"/>
          <w:szCs w:val="24"/>
        </w:rPr>
        <w:t>otorgándose</w:t>
      </w:r>
      <w:r w:rsidRPr="00BB1559">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rsidR="00AB0C24" w:rsidRPr="00BB1559" w:rsidRDefault="002A1FA5" w:rsidP="00AB0C24">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8"/>
          <w:szCs w:val="26"/>
        </w:rPr>
        <w:lastRenderedPageBreak/>
        <w:t>QUINTO</w:t>
      </w:r>
      <w:r w:rsidR="00AB0C24" w:rsidRPr="00BB1559">
        <w:rPr>
          <w:rFonts w:ascii="Palatino Linotype" w:eastAsia="Palatino Linotype" w:hAnsi="Palatino Linotype" w:cs="Palatino Linotype"/>
          <w:b/>
          <w:color w:val="000000"/>
          <w:sz w:val="26"/>
          <w:szCs w:val="26"/>
        </w:rPr>
        <w:t>. De la etapa de instrucción.</w:t>
      </w:r>
    </w:p>
    <w:p w:rsidR="00AB0C24" w:rsidRPr="00BB1559" w:rsidRDefault="00AB0C24" w:rsidP="00AB0C24">
      <w:pPr>
        <w:pBdr>
          <w:top w:val="nil"/>
          <w:left w:val="nil"/>
          <w:bottom w:val="nil"/>
          <w:right w:val="nil"/>
          <w:between w:val="nil"/>
        </w:pBdr>
        <w:spacing w:after="0" w:line="360" w:lineRule="auto"/>
        <w:contextualSpacing/>
        <w:jc w:val="both"/>
        <w:rPr>
          <w:rFonts w:ascii="Palatino Linotype" w:hAnsi="Palatino Linotype" w:cs="Arial"/>
          <w:sz w:val="24"/>
          <w:szCs w:val="24"/>
        </w:rPr>
      </w:pPr>
      <w:r w:rsidRPr="00BB1559">
        <w:rPr>
          <w:rFonts w:ascii="Palatino Linotype" w:hAnsi="Palatino Linotype" w:cs="Arial"/>
          <w:sz w:val="24"/>
          <w:szCs w:val="24"/>
        </w:rPr>
        <w:t xml:space="preserve">Una vez abierta la etapa de instrucción, el </w:t>
      </w:r>
      <w:r w:rsidRPr="00BB1559">
        <w:rPr>
          <w:rFonts w:ascii="Palatino Linotype" w:hAnsi="Palatino Linotype" w:cs="Arial"/>
          <w:b/>
          <w:sz w:val="24"/>
          <w:szCs w:val="24"/>
        </w:rPr>
        <w:t>Sujeto Obligado</w:t>
      </w:r>
      <w:r>
        <w:rPr>
          <w:rFonts w:ascii="Palatino Linotype" w:hAnsi="Palatino Linotype" w:cs="Arial"/>
          <w:sz w:val="24"/>
          <w:szCs w:val="24"/>
        </w:rPr>
        <w:t xml:space="preserve"> presento su informe justificado por medio del documento electrónico “</w:t>
      </w:r>
      <w:r w:rsidR="002A1FA5" w:rsidRPr="002A1FA5">
        <w:rPr>
          <w:rFonts w:ascii="Palatino Linotype" w:hAnsi="Palatino Linotype" w:cs="Arial"/>
          <w:b/>
          <w:i/>
          <w:sz w:val="24"/>
          <w:szCs w:val="24"/>
        </w:rPr>
        <w:t>RR 17445.pdf</w:t>
      </w:r>
      <w:r>
        <w:rPr>
          <w:rFonts w:ascii="Palatino Linotype" w:hAnsi="Palatino Linotype" w:cs="Arial"/>
          <w:sz w:val="24"/>
          <w:szCs w:val="24"/>
        </w:rPr>
        <w:t xml:space="preserve">”, </w:t>
      </w:r>
      <w:r w:rsidR="002A1FA5">
        <w:rPr>
          <w:rFonts w:ascii="Palatino Linotype" w:hAnsi="Palatino Linotype" w:cs="Arial"/>
          <w:sz w:val="24"/>
          <w:szCs w:val="24"/>
        </w:rPr>
        <w:t>e</w:t>
      </w:r>
      <w:r>
        <w:rPr>
          <w:rFonts w:ascii="Palatino Linotype" w:hAnsi="Palatino Linotype" w:cs="Arial"/>
          <w:sz w:val="24"/>
          <w:szCs w:val="24"/>
        </w:rPr>
        <w:t>l</w:t>
      </w:r>
      <w:r w:rsidR="002A1FA5">
        <w:rPr>
          <w:rFonts w:ascii="Palatino Linotype" w:hAnsi="Palatino Linotype" w:cs="Arial"/>
          <w:sz w:val="24"/>
          <w:szCs w:val="24"/>
        </w:rPr>
        <w:t xml:space="preserve"> cual</w:t>
      </w:r>
      <w:r>
        <w:rPr>
          <w:rFonts w:ascii="Palatino Linotype" w:hAnsi="Palatino Linotype" w:cs="Arial"/>
          <w:sz w:val="24"/>
          <w:szCs w:val="24"/>
        </w:rPr>
        <w:t xml:space="preserve"> fue puesto a la vista de</w:t>
      </w:r>
      <w:r w:rsidRPr="00BB1559">
        <w:rPr>
          <w:rFonts w:ascii="Palatino Linotype" w:hAnsi="Palatino Linotype" w:cs="Arial"/>
          <w:sz w:val="24"/>
          <w:szCs w:val="24"/>
        </w:rPr>
        <w:t xml:space="preserve">l </w:t>
      </w:r>
      <w:r w:rsidRPr="000424E1">
        <w:rPr>
          <w:rFonts w:ascii="Palatino Linotype" w:hAnsi="Palatino Linotype" w:cs="Arial"/>
          <w:b/>
          <w:sz w:val="24"/>
          <w:szCs w:val="24"/>
        </w:rPr>
        <w:t>Recurrente</w:t>
      </w:r>
      <w:r w:rsidRPr="00BB1559">
        <w:rPr>
          <w:rFonts w:ascii="Palatino Linotype" w:hAnsi="Palatino Linotype" w:cs="Arial"/>
          <w:sz w:val="24"/>
          <w:szCs w:val="24"/>
        </w:rPr>
        <w:t>,</w:t>
      </w:r>
      <w:r>
        <w:rPr>
          <w:rFonts w:ascii="Palatino Linotype" w:hAnsi="Palatino Linotype" w:cs="Arial"/>
          <w:sz w:val="24"/>
          <w:szCs w:val="24"/>
        </w:rPr>
        <w:t xml:space="preserve"> a efecto que rindiera las manifestaciones que </w:t>
      </w:r>
      <w:r w:rsidRPr="00BB1559">
        <w:rPr>
          <w:rFonts w:ascii="Palatino Linotype" w:hAnsi="Palatino Linotype" w:cs="Arial"/>
          <w:sz w:val="24"/>
          <w:szCs w:val="24"/>
        </w:rPr>
        <w:t>a sus intereses convinieran</w:t>
      </w:r>
      <w:r>
        <w:rPr>
          <w:rFonts w:ascii="Palatino Linotype" w:hAnsi="Palatino Linotype" w:cs="Arial"/>
          <w:sz w:val="24"/>
          <w:szCs w:val="24"/>
        </w:rPr>
        <w:t xml:space="preserve">, sin que se haya desahogado la vista dentro del término otorgado. </w:t>
      </w:r>
      <w:r w:rsidRPr="00BB1559">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BB1559">
        <w:rPr>
          <w:rFonts w:ascii="Palatino Linotype" w:hAnsi="Palatino Linotype" w:cs="Arial"/>
          <w:b/>
          <w:sz w:val="24"/>
          <w:szCs w:val="24"/>
        </w:rPr>
        <w:t>Recurrente</w:t>
      </w:r>
      <w:r w:rsidRPr="00BB1559">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AB0C24" w:rsidRPr="00BB1559" w:rsidRDefault="00AB0C24" w:rsidP="00AB0C24">
      <w:pPr>
        <w:pBdr>
          <w:top w:val="nil"/>
          <w:left w:val="nil"/>
          <w:bottom w:val="nil"/>
          <w:right w:val="nil"/>
          <w:between w:val="nil"/>
        </w:pBdr>
        <w:spacing w:after="0" w:line="360" w:lineRule="auto"/>
        <w:contextualSpacing/>
        <w:jc w:val="both"/>
        <w:rPr>
          <w:rFonts w:ascii="Palatino Linotype" w:hAnsi="Palatino Linotype" w:cs="Arial"/>
          <w:sz w:val="24"/>
          <w:szCs w:val="24"/>
        </w:rPr>
      </w:pPr>
    </w:p>
    <w:p w:rsidR="00AB0C24" w:rsidRPr="00BB1559" w:rsidRDefault="00AB0C24" w:rsidP="00AB0C2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BB1559">
        <w:rPr>
          <w:rFonts w:ascii="Palatino Linotype" w:eastAsia="Palatino Linotype" w:hAnsi="Palatino Linotype" w:cs="Palatino Linotype"/>
          <w:color w:val="000000"/>
          <w:sz w:val="24"/>
          <w:szCs w:val="24"/>
        </w:rPr>
        <w:t xml:space="preserve">Así, una vez transcurrido el término legal, se decretó el cierre de instrucción en fecha </w:t>
      </w:r>
      <w:r w:rsidR="002A1FA5">
        <w:rPr>
          <w:rFonts w:ascii="Palatino Linotype" w:eastAsia="Palatino Linotype" w:hAnsi="Palatino Linotype" w:cs="Palatino Linotype"/>
          <w:color w:val="000000"/>
          <w:sz w:val="24"/>
          <w:szCs w:val="24"/>
        </w:rPr>
        <w:t>veinticuatro de enero de dos mil veintitrés</w:t>
      </w:r>
      <w:r w:rsidRPr="00BB1559">
        <w:rPr>
          <w:rFonts w:ascii="Palatino Linotype" w:eastAsia="Palatino Linotype" w:hAnsi="Palatino Linotype" w:cs="Palatino Linotype"/>
          <w:color w:val="000000"/>
          <w:sz w:val="24"/>
          <w:szCs w:val="24"/>
        </w:rPr>
        <w:t>, en términos del artículo 185 fracción VI de la Ley de Transparencia y Acceso a la Información Pública del Estado de México y Municipios, iniciando el término legal para dictar resolución definitiva del asunto.</w:t>
      </w:r>
    </w:p>
    <w:p w:rsidR="00AB0C24" w:rsidRPr="00BB1559" w:rsidRDefault="00AB0C24" w:rsidP="00AB0C2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AB0C24" w:rsidRPr="00BB1559" w:rsidRDefault="002A1FA5" w:rsidP="00AB0C24">
      <w:pPr>
        <w:spacing w:after="0" w:line="360" w:lineRule="auto"/>
        <w:rPr>
          <w:rFonts w:ascii="Palatino Linotype" w:eastAsiaTheme="minorHAnsi" w:hAnsi="Palatino Linotype" w:cstheme="minorBidi"/>
          <w:b/>
          <w:sz w:val="26"/>
          <w:szCs w:val="26"/>
          <w:lang w:eastAsia="en-US"/>
        </w:rPr>
      </w:pPr>
      <w:r>
        <w:rPr>
          <w:rFonts w:ascii="Palatino Linotype" w:eastAsiaTheme="minorHAnsi" w:hAnsi="Palatino Linotype" w:cstheme="minorBidi"/>
          <w:b/>
          <w:sz w:val="28"/>
          <w:szCs w:val="26"/>
          <w:lang w:eastAsia="en-US"/>
        </w:rPr>
        <w:t>SEXTO</w:t>
      </w:r>
      <w:r w:rsidR="00AB0C24" w:rsidRPr="00BB1559">
        <w:rPr>
          <w:rFonts w:ascii="Palatino Linotype" w:eastAsiaTheme="minorHAnsi" w:hAnsi="Palatino Linotype" w:cstheme="minorBidi"/>
          <w:b/>
          <w:sz w:val="26"/>
          <w:szCs w:val="26"/>
          <w:lang w:eastAsia="en-US"/>
        </w:rPr>
        <w:t>. De la ampliación del término para resolver.</w:t>
      </w:r>
    </w:p>
    <w:p w:rsidR="00AB0C24" w:rsidRPr="000424E1" w:rsidRDefault="00AB0C24" w:rsidP="00AB0C24">
      <w:pPr>
        <w:spacing w:after="0" w:line="360" w:lineRule="auto"/>
        <w:jc w:val="both"/>
        <w:rPr>
          <w:rFonts w:ascii="Palatino Linotype" w:eastAsiaTheme="minorHAnsi" w:hAnsi="Palatino Linotype" w:cs="Arial"/>
          <w:sz w:val="24"/>
          <w:szCs w:val="24"/>
          <w:lang w:eastAsia="en-US"/>
        </w:rPr>
      </w:pPr>
      <w:r w:rsidRPr="000424E1">
        <w:rPr>
          <w:rFonts w:ascii="Palatino Linotype" w:eastAsiaTheme="minorHAnsi" w:hAnsi="Palatino Linotype" w:cs="Arial"/>
          <w:sz w:val="24"/>
          <w:szCs w:val="24"/>
          <w:lang w:eastAsia="en-US"/>
        </w:rPr>
        <w:t xml:space="preserve">De las constancias que integran el expediente electrónico, se advierte que ha transcurrido el término de Ley, para la emisión de la resolución en el presente recurso de revisión, por lo que en fecha </w:t>
      </w:r>
      <w:r>
        <w:rPr>
          <w:rFonts w:ascii="Palatino Linotype" w:eastAsiaTheme="minorHAnsi" w:hAnsi="Palatino Linotype" w:cs="Arial"/>
          <w:sz w:val="24"/>
          <w:szCs w:val="24"/>
          <w:lang w:eastAsia="en-US"/>
        </w:rPr>
        <w:t xml:space="preserve">veintiuno de </w:t>
      </w:r>
      <w:r w:rsidR="002A1FA5">
        <w:rPr>
          <w:rFonts w:ascii="Palatino Linotype" w:eastAsiaTheme="minorHAnsi" w:hAnsi="Palatino Linotype" w:cs="Arial"/>
          <w:sz w:val="24"/>
          <w:szCs w:val="24"/>
          <w:lang w:eastAsia="en-US"/>
        </w:rPr>
        <w:t xml:space="preserve">febrero </w:t>
      </w:r>
      <w:r>
        <w:rPr>
          <w:rFonts w:ascii="Palatino Linotype" w:eastAsiaTheme="minorHAnsi" w:hAnsi="Palatino Linotype" w:cs="Arial"/>
          <w:sz w:val="24"/>
          <w:szCs w:val="24"/>
          <w:lang w:eastAsia="en-US"/>
        </w:rPr>
        <w:t>de dos mil veintitrés</w:t>
      </w:r>
      <w:r w:rsidRPr="000424E1">
        <w:rPr>
          <w:rFonts w:ascii="Palatino Linotype" w:eastAsiaTheme="minorHAnsi" w:hAnsi="Palatino Linotype" w:cs="Arial"/>
          <w:sz w:val="24"/>
          <w:szCs w:val="24"/>
          <w:lang w:eastAsia="en-US"/>
        </w:rPr>
        <w:t xml:space="preserve">, se notificó a las partes el acuerdo por el que se ordena ampliar el plazo para la emisión de la resolución, en términos del artículo 181 párrafo tercero de la Ley de Transparencia y </w:t>
      </w:r>
      <w:r w:rsidRPr="000424E1">
        <w:rPr>
          <w:rFonts w:ascii="Palatino Linotype" w:eastAsiaTheme="minorHAnsi" w:hAnsi="Palatino Linotype" w:cs="Arial"/>
          <w:sz w:val="24"/>
          <w:szCs w:val="24"/>
          <w:lang w:eastAsia="en-US"/>
        </w:rPr>
        <w:lastRenderedPageBreak/>
        <w:t>Acceso a la Información Pública del Estado de México y Municipios, ordenándose turnar los expedientes a la resolución que en derecho proceda.</w:t>
      </w:r>
    </w:p>
    <w:p w:rsidR="00AB0C24" w:rsidRPr="000424E1" w:rsidRDefault="00AB0C24" w:rsidP="00AB0C24">
      <w:pPr>
        <w:spacing w:after="0" w:line="360" w:lineRule="auto"/>
        <w:jc w:val="both"/>
        <w:rPr>
          <w:rFonts w:ascii="Palatino Linotype" w:eastAsiaTheme="minorHAnsi" w:hAnsi="Palatino Linotype" w:cs="Arial"/>
          <w:sz w:val="24"/>
          <w:szCs w:val="24"/>
          <w:lang w:eastAsia="en-US"/>
        </w:rPr>
      </w:pPr>
    </w:p>
    <w:p w:rsidR="00AB0C24" w:rsidRPr="000424E1" w:rsidRDefault="00AB0C24" w:rsidP="00AB0C24">
      <w:pPr>
        <w:spacing w:after="0" w:line="360" w:lineRule="auto"/>
        <w:ind w:right="49"/>
        <w:jc w:val="both"/>
        <w:rPr>
          <w:rFonts w:ascii="Palatino Linotype" w:eastAsia="Times New Roman" w:hAnsi="Palatino Linotype" w:cs="Arial"/>
          <w:sz w:val="24"/>
          <w:szCs w:val="24"/>
          <w:lang w:val="es-ES" w:eastAsia="es-ES"/>
        </w:rPr>
      </w:pPr>
      <w:r w:rsidRPr="000424E1">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AB0C24" w:rsidRPr="000424E1" w:rsidRDefault="00AB0C24" w:rsidP="00AB0C24">
      <w:pPr>
        <w:spacing w:after="0" w:line="360" w:lineRule="auto"/>
        <w:ind w:right="49"/>
        <w:jc w:val="both"/>
        <w:rPr>
          <w:rFonts w:ascii="Palatino Linotype" w:eastAsia="Times New Roman" w:hAnsi="Palatino Linotype" w:cs="Arial"/>
          <w:sz w:val="24"/>
          <w:szCs w:val="24"/>
          <w:lang w:val="es-ES" w:eastAsia="es-ES"/>
        </w:rPr>
      </w:pPr>
      <w:r w:rsidRPr="000424E1">
        <w:rPr>
          <w:rFonts w:ascii="Palatino Linotype" w:eastAsia="Times New Roman" w:hAnsi="Palatino Linotype" w:cs="Arial"/>
          <w:sz w:val="24"/>
          <w:szCs w:val="24"/>
          <w:lang w:val="es-ES" w:eastAsia="es-ES"/>
        </w:rPr>
        <w:t xml:space="preserve"> </w:t>
      </w:r>
    </w:p>
    <w:p w:rsidR="00AB0C24" w:rsidRDefault="00AB0C24" w:rsidP="00AB0C24">
      <w:pPr>
        <w:spacing w:after="0" w:line="360" w:lineRule="auto"/>
        <w:ind w:right="49"/>
        <w:jc w:val="both"/>
        <w:rPr>
          <w:rFonts w:ascii="Palatino Linotype" w:eastAsia="Times New Roman" w:hAnsi="Palatino Linotype" w:cs="Arial"/>
          <w:sz w:val="24"/>
          <w:szCs w:val="24"/>
          <w:lang w:val="es-ES" w:eastAsia="es-ES"/>
        </w:rPr>
      </w:pPr>
      <w:r w:rsidRPr="000424E1">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AB0C24" w:rsidRPr="000424E1" w:rsidRDefault="00AB0C24" w:rsidP="00AB0C24">
      <w:pPr>
        <w:spacing w:after="0" w:line="360" w:lineRule="auto"/>
        <w:ind w:right="49"/>
        <w:jc w:val="both"/>
        <w:rPr>
          <w:rFonts w:ascii="Palatino Linotype" w:eastAsia="Times New Roman" w:hAnsi="Palatino Linotype" w:cs="Arial"/>
          <w:sz w:val="24"/>
          <w:szCs w:val="24"/>
          <w:lang w:val="es-ES" w:eastAsia="es-ES"/>
        </w:rPr>
      </w:pPr>
    </w:p>
    <w:p w:rsidR="00AB0C24" w:rsidRPr="000424E1" w:rsidRDefault="00AB0C24" w:rsidP="00AB0C24">
      <w:pPr>
        <w:spacing w:after="0" w:line="360" w:lineRule="auto"/>
        <w:ind w:right="49"/>
        <w:jc w:val="both"/>
        <w:rPr>
          <w:rFonts w:ascii="Palatino Linotype" w:eastAsia="Times New Roman" w:hAnsi="Palatino Linotype" w:cs="Arial"/>
          <w:sz w:val="24"/>
          <w:szCs w:val="24"/>
          <w:lang w:val="es-ES" w:eastAsia="es-ES"/>
        </w:rPr>
      </w:pPr>
      <w:r w:rsidRPr="000424E1">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AB0C24" w:rsidRPr="000424E1" w:rsidRDefault="00AB0C24" w:rsidP="00AB0C24">
      <w:pPr>
        <w:spacing w:after="0" w:line="360" w:lineRule="auto"/>
        <w:ind w:right="49"/>
        <w:jc w:val="both"/>
        <w:rPr>
          <w:rFonts w:ascii="Palatino Linotype" w:eastAsia="Times New Roman" w:hAnsi="Palatino Linotype" w:cs="Arial"/>
          <w:sz w:val="24"/>
          <w:szCs w:val="24"/>
          <w:lang w:val="es-ES" w:eastAsia="es-ES"/>
        </w:rPr>
      </w:pPr>
      <w:r w:rsidRPr="000424E1">
        <w:rPr>
          <w:rFonts w:ascii="Palatino Linotype" w:eastAsia="Times New Roman" w:hAnsi="Palatino Linotype" w:cs="Arial"/>
          <w:sz w:val="24"/>
          <w:szCs w:val="24"/>
          <w:lang w:val="es-ES" w:eastAsia="es-ES"/>
        </w:rPr>
        <w:t xml:space="preserve"> </w:t>
      </w:r>
    </w:p>
    <w:p w:rsidR="00AB0C24" w:rsidRPr="000424E1" w:rsidRDefault="00AB0C24" w:rsidP="00AB0C24">
      <w:pPr>
        <w:spacing w:after="0" w:line="360" w:lineRule="auto"/>
        <w:ind w:right="49"/>
        <w:jc w:val="both"/>
        <w:rPr>
          <w:rFonts w:ascii="Palatino Linotype" w:eastAsia="Times New Roman" w:hAnsi="Palatino Linotype" w:cs="Arial"/>
          <w:sz w:val="24"/>
          <w:szCs w:val="24"/>
          <w:lang w:val="es-ES" w:eastAsia="es-ES"/>
        </w:rPr>
      </w:pPr>
      <w:r w:rsidRPr="000424E1">
        <w:rPr>
          <w:rFonts w:ascii="Palatino Linotype" w:eastAsia="Times New Roman" w:hAnsi="Palatino Linotype" w:cs="Arial"/>
          <w:sz w:val="24"/>
          <w:szCs w:val="24"/>
          <w:lang w:val="es-ES" w:eastAsia="es-ES"/>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AB0C24" w:rsidRPr="000424E1" w:rsidRDefault="00AB0C24" w:rsidP="00AB0C24">
      <w:pPr>
        <w:spacing w:after="0" w:line="360" w:lineRule="auto"/>
        <w:ind w:right="49"/>
        <w:jc w:val="both"/>
        <w:rPr>
          <w:rFonts w:ascii="Palatino Linotype" w:eastAsia="Times New Roman" w:hAnsi="Palatino Linotype" w:cs="Arial"/>
          <w:sz w:val="24"/>
          <w:szCs w:val="24"/>
          <w:lang w:val="es-ES" w:eastAsia="es-ES"/>
        </w:rPr>
      </w:pPr>
      <w:r w:rsidRPr="000424E1">
        <w:rPr>
          <w:rFonts w:ascii="Palatino Linotype" w:eastAsia="Times New Roman" w:hAnsi="Palatino Linotype" w:cs="Arial"/>
          <w:sz w:val="24"/>
          <w:szCs w:val="24"/>
          <w:lang w:val="es-ES" w:eastAsia="es-ES"/>
        </w:rPr>
        <w:t xml:space="preserve"> </w:t>
      </w:r>
    </w:p>
    <w:p w:rsidR="00AB0C24" w:rsidRDefault="00AB0C24" w:rsidP="00AB0C24">
      <w:pPr>
        <w:spacing w:after="0" w:line="360" w:lineRule="auto"/>
        <w:ind w:right="49"/>
        <w:jc w:val="both"/>
        <w:rPr>
          <w:rFonts w:ascii="Palatino Linotype" w:eastAsia="Times New Roman" w:hAnsi="Palatino Linotype" w:cs="Arial"/>
          <w:sz w:val="24"/>
          <w:szCs w:val="24"/>
          <w:lang w:val="es-ES" w:eastAsia="es-ES"/>
        </w:rPr>
      </w:pPr>
      <w:r w:rsidRPr="000424E1">
        <w:rPr>
          <w:rFonts w:ascii="Palatino Linotype" w:eastAsia="Times New Roman" w:hAnsi="Palatino Linotype" w:cs="Arial"/>
          <w:sz w:val="24"/>
          <w:szCs w:val="24"/>
          <w:lang w:val="es-ES" w:eastAsia="es-ES"/>
        </w:rPr>
        <w:t>Por ello, excepcionalmente, si un asunto es resuelto con posterioridad a los plazos señalados por la norma debe analizarse la razonabilidad del tiempo necesario para su resolución, atent</w:t>
      </w:r>
      <w:r>
        <w:rPr>
          <w:rFonts w:ascii="Palatino Linotype" w:eastAsia="Times New Roman" w:hAnsi="Palatino Linotype" w:cs="Arial"/>
          <w:sz w:val="24"/>
          <w:szCs w:val="24"/>
          <w:lang w:val="es-ES" w:eastAsia="es-ES"/>
        </w:rPr>
        <w:t>os a los siguientes criterios:</w:t>
      </w:r>
    </w:p>
    <w:p w:rsidR="00AB0C24" w:rsidRPr="000424E1" w:rsidRDefault="00AB0C24" w:rsidP="00AB0C24">
      <w:pPr>
        <w:spacing w:after="0" w:line="360" w:lineRule="auto"/>
        <w:ind w:right="49"/>
        <w:jc w:val="both"/>
        <w:rPr>
          <w:rFonts w:ascii="Palatino Linotype" w:eastAsia="Times New Roman" w:hAnsi="Palatino Linotype" w:cs="Arial"/>
          <w:sz w:val="24"/>
          <w:szCs w:val="24"/>
          <w:lang w:val="es-ES" w:eastAsia="es-ES"/>
        </w:rPr>
      </w:pPr>
    </w:p>
    <w:p w:rsidR="00AB0C24" w:rsidRPr="000424E1" w:rsidRDefault="00AB0C24" w:rsidP="00AB0C24">
      <w:pPr>
        <w:spacing w:after="0" w:line="360" w:lineRule="auto"/>
        <w:ind w:left="993" w:right="49" w:hanging="426"/>
        <w:jc w:val="both"/>
        <w:rPr>
          <w:rFonts w:ascii="Palatino Linotype" w:eastAsia="Times New Roman" w:hAnsi="Palatino Linotype" w:cs="Arial"/>
          <w:sz w:val="24"/>
          <w:szCs w:val="24"/>
          <w:lang w:val="es-ES" w:eastAsia="es-ES"/>
        </w:rPr>
      </w:pPr>
      <w:r w:rsidRPr="000424E1">
        <w:rPr>
          <w:rFonts w:ascii="Palatino Linotype" w:eastAsia="Times New Roman" w:hAnsi="Palatino Linotype" w:cs="Arial"/>
          <w:b/>
          <w:sz w:val="24"/>
          <w:szCs w:val="24"/>
          <w:lang w:val="es-ES" w:eastAsia="es-ES"/>
        </w:rPr>
        <w:t xml:space="preserve">a) </w:t>
      </w:r>
      <w:r w:rsidRPr="000424E1">
        <w:rPr>
          <w:rFonts w:ascii="Palatino Linotype" w:eastAsia="Times New Roman" w:hAnsi="Palatino Linotype" w:cs="Arial"/>
          <w:b/>
          <w:sz w:val="24"/>
          <w:szCs w:val="24"/>
          <w:lang w:val="es-ES" w:eastAsia="es-ES"/>
        </w:rPr>
        <w:tab/>
        <w:t>Complejidad del asunto:</w:t>
      </w:r>
      <w:r w:rsidRPr="000424E1">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AB0C24" w:rsidRPr="000424E1" w:rsidRDefault="00AB0C24" w:rsidP="00AB0C24">
      <w:pPr>
        <w:spacing w:after="0" w:line="360" w:lineRule="auto"/>
        <w:ind w:left="993" w:right="49" w:hanging="426"/>
        <w:jc w:val="both"/>
        <w:rPr>
          <w:rFonts w:ascii="Palatino Linotype" w:eastAsia="Times New Roman" w:hAnsi="Palatino Linotype" w:cs="Arial"/>
          <w:sz w:val="24"/>
          <w:szCs w:val="24"/>
          <w:lang w:val="es-ES" w:eastAsia="es-ES"/>
        </w:rPr>
      </w:pPr>
      <w:r w:rsidRPr="000424E1">
        <w:rPr>
          <w:rFonts w:ascii="Palatino Linotype" w:eastAsia="Times New Roman" w:hAnsi="Palatino Linotype" w:cs="Arial"/>
          <w:b/>
          <w:sz w:val="24"/>
          <w:szCs w:val="24"/>
          <w:lang w:val="es-ES" w:eastAsia="es-ES"/>
        </w:rPr>
        <w:t xml:space="preserve">b) </w:t>
      </w:r>
      <w:r w:rsidRPr="000424E1">
        <w:rPr>
          <w:rFonts w:ascii="Palatino Linotype" w:eastAsia="Times New Roman" w:hAnsi="Palatino Linotype" w:cs="Arial"/>
          <w:b/>
          <w:sz w:val="24"/>
          <w:szCs w:val="24"/>
          <w:lang w:val="es-ES" w:eastAsia="es-ES"/>
        </w:rPr>
        <w:tab/>
        <w:t>Actividad Procesal del interesado:</w:t>
      </w:r>
      <w:r w:rsidRPr="000424E1">
        <w:rPr>
          <w:rFonts w:ascii="Palatino Linotype" w:eastAsia="Times New Roman" w:hAnsi="Palatino Linotype" w:cs="Arial"/>
          <w:sz w:val="24"/>
          <w:szCs w:val="24"/>
          <w:lang w:val="es-ES" w:eastAsia="es-ES"/>
        </w:rPr>
        <w:t xml:space="preserve"> Acciones u omisiones del interesado.</w:t>
      </w:r>
    </w:p>
    <w:p w:rsidR="00AB0C24" w:rsidRPr="000424E1" w:rsidRDefault="00AB0C24" w:rsidP="00AB0C24">
      <w:pPr>
        <w:spacing w:after="0" w:line="360" w:lineRule="auto"/>
        <w:ind w:left="993" w:right="49" w:hanging="426"/>
        <w:jc w:val="both"/>
        <w:rPr>
          <w:rFonts w:ascii="Palatino Linotype" w:eastAsia="Times New Roman" w:hAnsi="Palatino Linotype" w:cs="Arial"/>
          <w:sz w:val="24"/>
          <w:szCs w:val="24"/>
          <w:lang w:val="es-ES" w:eastAsia="es-ES"/>
        </w:rPr>
      </w:pPr>
      <w:r w:rsidRPr="000424E1">
        <w:rPr>
          <w:rFonts w:ascii="Palatino Linotype" w:eastAsia="Times New Roman" w:hAnsi="Palatino Linotype" w:cs="Arial"/>
          <w:b/>
          <w:sz w:val="24"/>
          <w:szCs w:val="24"/>
          <w:lang w:val="es-ES" w:eastAsia="es-ES"/>
        </w:rPr>
        <w:t xml:space="preserve">c) </w:t>
      </w:r>
      <w:r w:rsidRPr="000424E1">
        <w:rPr>
          <w:rFonts w:ascii="Palatino Linotype" w:eastAsia="Times New Roman" w:hAnsi="Palatino Linotype" w:cs="Arial"/>
          <w:b/>
          <w:sz w:val="24"/>
          <w:szCs w:val="24"/>
          <w:lang w:val="es-ES" w:eastAsia="es-ES"/>
        </w:rPr>
        <w:tab/>
        <w:t>Conducta de la Autoridad:</w:t>
      </w:r>
      <w:r w:rsidRPr="000424E1">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AB0C24" w:rsidRPr="000424E1" w:rsidRDefault="00AB0C24" w:rsidP="00AB0C24">
      <w:pPr>
        <w:spacing w:after="0" w:line="360" w:lineRule="auto"/>
        <w:ind w:left="993" w:right="49" w:hanging="426"/>
        <w:jc w:val="both"/>
        <w:rPr>
          <w:rFonts w:ascii="Palatino Linotype" w:eastAsia="Times New Roman" w:hAnsi="Palatino Linotype" w:cs="Arial"/>
          <w:sz w:val="24"/>
          <w:szCs w:val="24"/>
          <w:lang w:val="es-ES" w:eastAsia="es-ES"/>
        </w:rPr>
      </w:pPr>
      <w:r w:rsidRPr="000424E1">
        <w:rPr>
          <w:rFonts w:ascii="Palatino Linotype" w:eastAsia="Times New Roman" w:hAnsi="Palatino Linotype" w:cs="Arial"/>
          <w:b/>
          <w:sz w:val="24"/>
          <w:szCs w:val="24"/>
          <w:lang w:val="es-ES" w:eastAsia="es-ES"/>
        </w:rPr>
        <w:t xml:space="preserve">d) </w:t>
      </w:r>
      <w:r w:rsidRPr="000424E1">
        <w:rPr>
          <w:rFonts w:ascii="Palatino Linotype" w:eastAsia="Times New Roman" w:hAnsi="Palatino Linotype" w:cs="Arial"/>
          <w:b/>
          <w:sz w:val="24"/>
          <w:szCs w:val="24"/>
          <w:lang w:val="es-ES" w:eastAsia="es-ES"/>
        </w:rPr>
        <w:tab/>
        <w:t>La afectación generada en la situación jurídica de la persona involucrada en el proceso:</w:t>
      </w:r>
      <w:r w:rsidRPr="000424E1">
        <w:rPr>
          <w:rFonts w:ascii="Palatino Linotype" w:eastAsia="Times New Roman" w:hAnsi="Palatino Linotype" w:cs="Arial"/>
          <w:sz w:val="24"/>
          <w:szCs w:val="24"/>
          <w:lang w:val="es-ES" w:eastAsia="es-ES"/>
        </w:rPr>
        <w:t xml:space="preserve"> Violación a sus derechos humanos.</w:t>
      </w:r>
    </w:p>
    <w:p w:rsidR="00AB0C24" w:rsidRPr="000424E1" w:rsidRDefault="00AB0C24" w:rsidP="00AB0C24">
      <w:pPr>
        <w:spacing w:after="0" w:line="360" w:lineRule="auto"/>
        <w:ind w:right="49"/>
        <w:jc w:val="both"/>
        <w:rPr>
          <w:rFonts w:ascii="Palatino Linotype" w:eastAsia="Times New Roman" w:hAnsi="Palatino Linotype" w:cs="Arial"/>
          <w:sz w:val="24"/>
          <w:szCs w:val="24"/>
          <w:lang w:val="es-ES" w:eastAsia="es-ES"/>
        </w:rPr>
      </w:pPr>
    </w:p>
    <w:p w:rsidR="00AB0C24" w:rsidRPr="000424E1" w:rsidRDefault="00AB0C24" w:rsidP="00AB0C24">
      <w:pPr>
        <w:spacing w:after="0" w:line="360" w:lineRule="auto"/>
        <w:ind w:right="49"/>
        <w:jc w:val="both"/>
        <w:rPr>
          <w:rFonts w:ascii="Palatino Linotype" w:eastAsia="Times New Roman" w:hAnsi="Palatino Linotype" w:cs="Arial"/>
          <w:sz w:val="24"/>
          <w:szCs w:val="24"/>
          <w:lang w:val="es-ES" w:eastAsia="es-ES"/>
        </w:rPr>
      </w:pPr>
      <w:r w:rsidRPr="000424E1">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AB0C24" w:rsidRPr="000424E1" w:rsidRDefault="00AB0C24" w:rsidP="00AB0C24">
      <w:pPr>
        <w:spacing w:after="0" w:line="360" w:lineRule="auto"/>
        <w:ind w:right="49"/>
        <w:jc w:val="both"/>
        <w:rPr>
          <w:rFonts w:ascii="Palatino Linotype" w:eastAsia="Times New Roman" w:hAnsi="Palatino Linotype" w:cs="Arial"/>
          <w:sz w:val="24"/>
          <w:szCs w:val="24"/>
          <w:lang w:val="es-ES" w:eastAsia="es-ES"/>
        </w:rPr>
      </w:pPr>
      <w:r w:rsidRPr="000424E1">
        <w:rPr>
          <w:rFonts w:ascii="Palatino Linotype" w:eastAsia="Times New Roman" w:hAnsi="Palatino Linotype" w:cs="Arial"/>
          <w:sz w:val="24"/>
          <w:szCs w:val="24"/>
          <w:lang w:val="es-ES" w:eastAsia="es-ES"/>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AB0C24" w:rsidRPr="000424E1" w:rsidRDefault="00AB0C24" w:rsidP="00AB0C24">
      <w:pPr>
        <w:spacing w:after="0" w:line="360" w:lineRule="auto"/>
        <w:ind w:right="49"/>
        <w:jc w:val="both"/>
        <w:rPr>
          <w:rFonts w:ascii="Palatino Linotype" w:eastAsia="Times New Roman" w:hAnsi="Palatino Linotype" w:cs="Arial"/>
          <w:sz w:val="24"/>
          <w:szCs w:val="24"/>
          <w:lang w:val="es-ES" w:eastAsia="es-ES"/>
        </w:rPr>
      </w:pPr>
    </w:p>
    <w:p w:rsidR="00AB0C24" w:rsidRPr="000424E1" w:rsidRDefault="00AB0C24" w:rsidP="00AB0C24">
      <w:pPr>
        <w:spacing w:after="0" w:line="360" w:lineRule="auto"/>
        <w:ind w:right="49"/>
        <w:jc w:val="both"/>
        <w:rPr>
          <w:rFonts w:ascii="Palatino Linotype" w:eastAsia="Times New Roman" w:hAnsi="Palatino Linotype" w:cs="Arial"/>
          <w:sz w:val="24"/>
          <w:szCs w:val="24"/>
          <w:lang w:val="es-ES" w:eastAsia="es-ES"/>
        </w:rPr>
      </w:pPr>
      <w:r w:rsidRPr="000424E1">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AB0C24" w:rsidRPr="000424E1" w:rsidRDefault="00AB0C24" w:rsidP="00AB0C24">
      <w:pPr>
        <w:spacing w:after="0" w:line="360" w:lineRule="auto"/>
        <w:ind w:right="49"/>
        <w:jc w:val="both"/>
        <w:rPr>
          <w:rFonts w:ascii="Palatino Linotype" w:eastAsia="Times New Roman" w:hAnsi="Palatino Linotype" w:cs="Arial"/>
          <w:sz w:val="24"/>
          <w:szCs w:val="24"/>
          <w:lang w:val="es-ES" w:eastAsia="es-ES"/>
        </w:rPr>
      </w:pPr>
    </w:p>
    <w:p w:rsidR="00AB0C24" w:rsidRPr="000424E1" w:rsidRDefault="00AB0C24" w:rsidP="00AB0C24">
      <w:pPr>
        <w:spacing w:after="0" w:line="360" w:lineRule="auto"/>
        <w:ind w:right="49"/>
        <w:jc w:val="both"/>
        <w:rPr>
          <w:rFonts w:ascii="Palatino Linotype" w:eastAsia="Times New Roman" w:hAnsi="Palatino Linotype" w:cs="Arial"/>
          <w:sz w:val="24"/>
          <w:szCs w:val="24"/>
          <w:lang w:val="es-ES" w:eastAsia="es-ES"/>
        </w:rPr>
      </w:pPr>
      <w:r w:rsidRPr="000424E1">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AB0C24" w:rsidRPr="000424E1" w:rsidRDefault="00AB0C24" w:rsidP="00AB0C24">
      <w:pPr>
        <w:spacing w:after="0" w:line="360" w:lineRule="auto"/>
        <w:ind w:right="49"/>
        <w:jc w:val="both"/>
        <w:rPr>
          <w:rFonts w:ascii="Palatino Linotype" w:eastAsia="Times New Roman" w:hAnsi="Palatino Linotype" w:cs="Arial"/>
          <w:sz w:val="24"/>
          <w:szCs w:val="24"/>
          <w:lang w:val="es-ES" w:eastAsia="es-ES"/>
        </w:rPr>
      </w:pPr>
      <w:r w:rsidRPr="000424E1">
        <w:rPr>
          <w:rFonts w:ascii="Palatino Linotype" w:eastAsia="Times New Roman" w:hAnsi="Palatino Linotype" w:cs="Arial"/>
          <w:sz w:val="24"/>
          <w:szCs w:val="24"/>
          <w:lang w:val="es-ES" w:eastAsia="es-ES"/>
        </w:rPr>
        <w:t xml:space="preserve"> </w:t>
      </w:r>
    </w:p>
    <w:p w:rsidR="00AB0C24" w:rsidRPr="000424E1" w:rsidRDefault="00AB0C24" w:rsidP="00AB0C24">
      <w:pPr>
        <w:spacing w:after="0" w:line="360" w:lineRule="auto"/>
        <w:ind w:right="49"/>
        <w:jc w:val="both"/>
        <w:rPr>
          <w:rFonts w:ascii="Palatino Linotype" w:eastAsia="Times New Roman" w:hAnsi="Palatino Linotype" w:cs="Arial"/>
          <w:sz w:val="24"/>
          <w:szCs w:val="24"/>
          <w:lang w:val="es-ES" w:eastAsia="es-ES"/>
        </w:rPr>
      </w:pPr>
      <w:r w:rsidRPr="000424E1">
        <w:rPr>
          <w:rFonts w:ascii="Palatino Linotype" w:eastAsia="Times New Roman" w:hAnsi="Palatino Linotype" w:cs="Arial"/>
          <w:sz w:val="24"/>
          <w:szCs w:val="24"/>
          <w:lang w:val="es-ES" w:eastAsia="es-ES"/>
        </w:rPr>
        <w:lastRenderedPageBreak/>
        <w:t>“PLAZO RAZONABLE PARA RESOLVER. DIMENSIÓN Y EFECTOS DE ESTE CONCEPTO CUANDO SE ADUCE EXCESIVA CARGA DE TRABAJO.” consultable en el Seminario Judicial de la Federación y su gaceta, con el registro digital 2002351.</w:t>
      </w:r>
    </w:p>
    <w:p w:rsidR="00AB0C24" w:rsidRPr="000424E1" w:rsidRDefault="00AB0C24" w:rsidP="00AB0C24">
      <w:pPr>
        <w:spacing w:after="0" w:line="360" w:lineRule="auto"/>
        <w:ind w:right="49"/>
        <w:jc w:val="both"/>
        <w:rPr>
          <w:rFonts w:ascii="Palatino Linotype" w:eastAsia="Times New Roman" w:hAnsi="Palatino Linotype" w:cs="Arial"/>
          <w:sz w:val="24"/>
          <w:szCs w:val="24"/>
          <w:lang w:val="es-ES" w:eastAsia="es-ES"/>
        </w:rPr>
      </w:pPr>
      <w:r w:rsidRPr="000424E1">
        <w:rPr>
          <w:rFonts w:ascii="Palatino Linotype" w:eastAsia="Times New Roman" w:hAnsi="Palatino Linotype" w:cs="Arial"/>
          <w:sz w:val="24"/>
          <w:szCs w:val="24"/>
          <w:lang w:val="es-ES" w:eastAsia="es-ES"/>
        </w:rPr>
        <w:t xml:space="preserve"> </w:t>
      </w:r>
    </w:p>
    <w:p w:rsidR="00AB0C24" w:rsidRPr="000424E1" w:rsidRDefault="00AB0C24" w:rsidP="00AB0C24">
      <w:pPr>
        <w:spacing w:after="0" w:line="360" w:lineRule="auto"/>
        <w:ind w:right="49"/>
        <w:jc w:val="both"/>
        <w:rPr>
          <w:rFonts w:ascii="Palatino Linotype" w:eastAsia="Times New Roman" w:hAnsi="Palatino Linotype" w:cs="Arial"/>
          <w:sz w:val="24"/>
          <w:szCs w:val="24"/>
          <w:lang w:val="es-ES" w:eastAsia="es-ES"/>
        </w:rPr>
      </w:pPr>
      <w:r w:rsidRPr="000424E1">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AB0C24" w:rsidRPr="000424E1" w:rsidRDefault="00AB0C24" w:rsidP="00AB0C24">
      <w:pPr>
        <w:spacing w:after="0" w:line="360" w:lineRule="auto"/>
        <w:ind w:right="49"/>
        <w:jc w:val="both"/>
        <w:rPr>
          <w:rFonts w:ascii="Palatino Linotype" w:eastAsia="Times New Roman" w:hAnsi="Palatino Linotype" w:cs="Arial"/>
          <w:sz w:val="24"/>
          <w:szCs w:val="24"/>
          <w:lang w:val="es-ES" w:eastAsia="es-ES"/>
        </w:rPr>
      </w:pPr>
    </w:p>
    <w:p w:rsidR="00AB0C24" w:rsidRDefault="00AB0C24" w:rsidP="00AB0C24">
      <w:pPr>
        <w:spacing w:after="0" w:line="360" w:lineRule="auto"/>
        <w:ind w:right="49"/>
        <w:jc w:val="both"/>
        <w:rPr>
          <w:rFonts w:ascii="Palatino Linotype" w:eastAsia="Times New Roman" w:hAnsi="Palatino Linotype" w:cs="Arial"/>
          <w:sz w:val="24"/>
          <w:szCs w:val="24"/>
          <w:lang w:val="es-ES" w:eastAsia="es-ES"/>
        </w:rPr>
      </w:pPr>
      <w:r w:rsidRPr="000424E1">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AB0C24" w:rsidRPr="000424E1" w:rsidRDefault="00AB0C24" w:rsidP="00AB0C24">
      <w:pPr>
        <w:spacing w:after="0" w:line="360" w:lineRule="auto"/>
        <w:ind w:right="49"/>
        <w:jc w:val="both"/>
        <w:rPr>
          <w:rFonts w:ascii="Palatino Linotype" w:eastAsia="Times New Roman" w:hAnsi="Palatino Linotype" w:cs="Arial"/>
          <w:sz w:val="24"/>
          <w:szCs w:val="24"/>
          <w:lang w:val="es-ES" w:eastAsia="es-ES"/>
        </w:rPr>
      </w:pPr>
    </w:p>
    <w:p w:rsidR="00AB0C24" w:rsidRPr="00BB1559" w:rsidRDefault="00AB0C24" w:rsidP="00AB0C24">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BB1559">
        <w:rPr>
          <w:rFonts w:ascii="Palatino Linotype" w:eastAsia="Palatino Linotype" w:hAnsi="Palatino Linotype" w:cs="Palatino Linotype"/>
          <w:b/>
          <w:color w:val="000000"/>
          <w:sz w:val="28"/>
          <w:szCs w:val="28"/>
        </w:rPr>
        <w:t>C O N S I D E R A N D O</w:t>
      </w:r>
    </w:p>
    <w:p w:rsidR="00AB0C24" w:rsidRPr="00BB1559" w:rsidRDefault="00AB0C24" w:rsidP="00AB0C2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AB0C24" w:rsidRPr="00BB1559" w:rsidRDefault="00AB0C24" w:rsidP="00AB0C24">
      <w:pPr>
        <w:spacing w:after="0" w:line="360" w:lineRule="auto"/>
        <w:jc w:val="both"/>
        <w:rPr>
          <w:rFonts w:ascii="Palatino Linotype" w:eastAsiaTheme="minorHAnsi" w:hAnsi="Palatino Linotype" w:cs="Arial"/>
          <w:sz w:val="28"/>
          <w:szCs w:val="28"/>
          <w:lang w:eastAsia="en-US"/>
        </w:rPr>
      </w:pPr>
      <w:r w:rsidRPr="00BB1559">
        <w:rPr>
          <w:rFonts w:ascii="Palatino Linotype" w:eastAsiaTheme="minorHAnsi" w:hAnsi="Palatino Linotype" w:cs="Arial"/>
          <w:b/>
          <w:sz w:val="28"/>
          <w:szCs w:val="28"/>
          <w:lang w:eastAsia="en-US"/>
        </w:rPr>
        <w:t xml:space="preserve">PRIMERO. </w:t>
      </w:r>
      <w:r w:rsidRPr="00BB1559">
        <w:rPr>
          <w:rFonts w:ascii="Palatino Linotype" w:eastAsiaTheme="minorHAnsi" w:hAnsi="Palatino Linotype" w:cs="Arial"/>
          <w:b/>
          <w:sz w:val="26"/>
          <w:szCs w:val="26"/>
          <w:lang w:eastAsia="en-US"/>
        </w:rPr>
        <w:t>De la competencia</w:t>
      </w:r>
      <w:r w:rsidRPr="00BB1559">
        <w:rPr>
          <w:rFonts w:ascii="Palatino Linotype" w:eastAsiaTheme="minorHAnsi" w:hAnsi="Palatino Linotype" w:cs="Arial"/>
          <w:sz w:val="26"/>
          <w:szCs w:val="26"/>
          <w:lang w:eastAsia="en-US"/>
        </w:rPr>
        <w:t>.</w:t>
      </w:r>
    </w:p>
    <w:p w:rsidR="00AB0C24" w:rsidRPr="00BB1559" w:rsidRDefault="00AB0C24" w:rsidP="00AB0C24">
      <w:pPr>
        <w:spacing w:after="0" w:line="360" w:lineRule="auto"/>
        <w:jc w:val="both"/>
        <w:rPr>
          <w:rFonts w:ascii="Palatino Linotype" w:eastAsiaTheme="minorHAnsi" w:hAnsi="Palatino Linotype" w:cs="Arial"/>
          <w:sz w:val="24"/>
          <w:szCs w:val="24"/>
          <w:lang w:eastAsia="en-US"/>
        </w:rPr>
      </w:pPr>
      <w:r w:rsidRPr="00BB1559">
        <w:rPr>
          <w:rFonts w:ascii="Palatino Linotype" w:eastAsiaTheme="minorHAnsi" w:hAnsi="Palatino Linotype" w:cs="Arial"/>
          <w:sz w:val="24"/>
          <w:szCs w:val="24"/>
          <w:lang w:eastAsia="en-US"/>
        </w:rPr>
        <w:t xml:space="preserve">Este Instituto de Transparencia, Acceso a la Información Pública y Protección de Datos Personales del Estado de México y Municipios, es competente para conocer y resolver el presente recurso de revisión interpuesto por el ahora </w:t>
      </w:r>
      <w:r w:rsidRPr="00BB1559">
        <w:rPr>
          <w:rFonts w:ascii="Palatino Linotype" w:eastAsiaTheme="minorHAnsi" w:hAnsi="Palatino Linotype" w:cs="Arial"/>
          <w:b/>
          <w:sz w:val="24"/>
          <w:szCs w:val="24"/>
          <w:lang w:eastAsia="en-US"/>
        </w:rPr>
        <w:t>Recurrente</w:t>
      </w:r>
      <w:r w:rsidRPr="00BB1559">
        <w:rPr>
          <w:rFonts w:ascii="Palatino Linotype" w:eastAsiaTheme="minorHAnsi" w:hAnsi="Palatino Linotype" w:cs="Arial"/>
          <w:sz w:val="24"/>
          <w:szCs w:val="24"/>
          <w:lang w:eastAsia="en-US"/>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w:t>
      </w:r>
      <w:r w:rsidRPr="00BB1559">
        <w:rPr>
          <w:rFonts w:ascii="Palatino Linotype" w:eastAsiaTheme="minorHAnsi" w:hAnsi="Palatino Linotype" w:cs="Arial"/>
          <w:sz w:val="24"/>
          <w:szCs w:val="24"/>
          <w:lang w:eastAsia="en-US"/>
        </w:rPr>
        <w:lastRenderedPageBreak/>
        <w:t>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AB0C24" w:rsidRDefault="00AB0C24" w:rsidP="00AB0C24">
      <w:pPr>
        <w:spacing w:after="0" w:line="360" w:lineRule="auto"/>
        <w:jc w:val="both"/>
        <w:rPr>
          <w:rFonts w:ascii="Palatino Linotype" w:eastAsiaTheme="minorHAnsi" w:hAnsi="Palatino Linotype" w:cs="Arial"/>
          <w:sz w:val="24"/>
          <w:szCs w:val="24"/>
          <w:lang w:eastAsia="en-US"/>
        </w:rPr>
      </w:pPr>
    </w:p>
    <w:p w:rsidR="00AB0C24" w:rsidRPr="00BB1559" w:rsidRDefault="00AB0C24" w:rsidP="00AB0C24">
      <w:pPr>
        <w:spacing w:after="0" w:line="360" w:lineRule="auto"/>
        <w:jc w:val="both"/>
        <w:rPr>
          <w:rFonts w:ascii="Palatino Linotype" w:eastAsiaTheme="minorHAnsi" w:hAnsi="Palatino Linotype" w:cs="Arial"/>
          <w:sz w:val="24"/>
          <w:szCs w:val="24"/>
          <w:lang w:eastAsia="en-US"/>
        </w:rPr>
      </w:pPr>
    </w:p>
    <w:p w:rsidR="00AB0C24" w:rsidRPr="00BB1559" w:rsidRDefault="00AB0C24" w:rsidP="00AB0C24">
      <w:pPr>
        <w:autoSpaceDE w:val="0"/>
        <w:autoSpaceDN w:val="0"/>
        <w:adjustRightInd w:val="0"/>
        <w:spacing w:after="0" w:line="360" w:lineRule="auto"/>
        <w:jc w:val="both"/>
        <w:rPr>
          <w:rFonts w:ascii="Palatino Linotype" w:eastAsiaTheme="minorHAnsi" w:hAnsi="Palatino Linotype" w:cs="Arial"/>
          <w:bCs/>
          <w:sz w:val="24"/>
          <w:szCs w:val="24"/>
          <w:lang w:eastAsia="en-US"/>
        </w:rPr>
      </w:pPr>
      <w:r w:rsidRPr="00BB1559">
        <w:rPr>
          <w:rFonts w:ascii="Palatino Linotype" w:eastAsiaTheme="minorHAnsi" w:hAnsi="Palatino Linotype" w:cs="Arial"/>
          <w:b/>
          <w:sz w:val="28"/>
          <w:szCs w:val="28"/>
          <w:lang w:eastAsia="en-US"/>
        </w:rPr>
        <w:t>SEGUNDO. Del alcance del recurso de revisión.</w:t>
      </w:r>
      <w:r w:rsidRPr="00BB1559">
        <w:rPr>
          <w:rFonts w:ascii="Palatino Linotype" w:eastAsiaTheme="minorHAnsi" w:hAnsi="Palatino Linotype" w:cs="Arial"/>
          <w:bCs/>
          <w:sz w:val="28"/>
          <w:szCs w:val="28"/>
          <w:lang w:eastAsia="en-US"/>
        </w:rPr>
        <w:t xml:space="preserve"> </w:t>
      </w:r>
    </w:p>
    <w:p w:rsidR="00AB0C24" w:rsidRPr="00BB1559" w:rsidRDefault="00AB0C24" w:rsidP="00AB0C24">
      <w:pPr>
        <w:autoSpaceDE w:val="0"/>
        <w:autoSpaceDN w:val="0"/>
        <w:adjustRightInd w:val="0"/>
        <w:spacing w:after="0" w:line="360" w:lineRule="auto"/>
        <w:jc w:val="both"/>
        <w:rPr>
          <w:rFonts w:ascii="Palatino Linotype" w:eastAsiaTheme="minorHAnsi" w:hAnsi="Palatino Linotype" w:cs="Arial"/>
          <w:bCs/>
          <w:sz w:val="24"/>
          <w:szCs w:val="24"/>
          <w:lang w:eastAsia="en-US"/>
        </w:rPr>
      </w:pPr>
      <w:r w:rsidRPr="00BB1559">
        <w:rPr>
          <w:rFonts w:ascii="Palatino Linotype" w:eastAsiaTheme="minorHAnsi" w:hAnsi="Palatino Linotype" w:cs="Arial"/>
          <w:bCs/>
          <w:sz w:val="24"/>
          <w:szCs w:val="24"/>
          <w:lang w:eastAsia="en-US"/>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AB0C24" w:rsidRPr="00BB1559" w:rsidRDefault="00AB0C24" w:rsidP="00AB0C24">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AB0C24" w:rsidRPr="00BB1559" w:rsidRDefault="00AB0C24" w:rsidP="00AB0C24">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BB1559">
        <w:rPr>
          <w:rFonts w:ascii="Palatino Linotype" w:eastAsiaTheme="minorHAnsi" w:hAnsi="Palatino Linotype" w:cs="Arial"/>
          <w:sz w:val="24"/>
          <w:szCs w:val="24"/>
          <w:lang w:eastAsia="en-US"/>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B0C24" w:rsidRPr="00BB1559" w:rsidRDefault="00AB0C24" w:rsidP="00AB0C24">
      <w:pPr>
        <w:autoSpaceDE w:val="0"/>
        <w:autoSpaceDN w:val="0"/>
        <w:adjustRightInd w:val="0"/>
        <w:spacing w:after="0" w:line="360" w:lineRule="auto"/>
        <w:jc w:val="both"/>
        <w:rPr>
          <w:rFonts w:ascii="Palatino Linotype" w:eastAsiaTheme="minorHAnsi" w:hAnsi="Palatino Linotype" w:cs="Arial"/>
          <w:b/>
          <w:sz w:val="28"/>
          <w:szCs w:val="28"/>
          <w:lang w:eastAsia="en-US"/>
        </w:rPr>
      </w:pPr>
      <w:r w:rsidRPr="00BB1559">
        <w:rPr>
          <w:rFonts w:ascii="Palatino Linotype" w:eastAsiaTheme="minorHAnsi" w:hAnsi="Palatino Linotype" w:cs="Arial"/>
          <w:b/>
          <w:sz w:val="28"/>
          <w:szCs w:val="28"/>
          <w:lang w:eastAsia="en-US"/>
        </w:rPr>
        <w:lastRenderedPageBreak/>
        <w:t xml:space="preserve">TERCERO. Del estudio de las causas de improcedencia. </w:t>
      </w:r>
    </w:p>
    <w:p w:rsidR="00AB0C24" w:rsidRDefault="00AB0C24" w:rsidP="00AB0C24">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BB1559">
        <w:rPr>
          <w:rFonts w:ascii="Palatino Linotype" w:eastAsiaTheme="minorHAnsi" w:hAnsi="Palatino Linotype" w:cs="Arial"/>
          <w:sz w:val="24"/>
          <w:szCs w:val="24"/>
          <w:lang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admitidos los recursos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AB0C24" w:rsidRPr="00BB1559" w:rsidRDefault="00AB0C24" w:rsidP="00AB0C24">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AB0C24" w:rsidRPr="00BB1559" w:rsidRDefault="00AB0C24" w:rsidP="00AB0C24">
      <w:pPr>
        <w:spacing w:after="0" w:line="240" w:lineRule="auto"/>
        <w:ind w:left="567" w:right="567"/>
        <w:jc w:val="both"/>
        <w:rPr>
          <w:rFonts w:ascii="Palatino Linotype" w:eastAsiaTheme="minorHAnsi" w:hAnsi="Palatino Linotype" w:cs="Arial"/>
          <w:lang w:eastAsia="en-US"/>
        </w:rPr>
      </w:pPr>
      <w:r w:rsidRPr="00BB1559">
        <w:rPr>
          <w:rFonts w:ascii="Palatino Linotype" w:eastAsiaTheme="minorHAnsi" w:hAnsi="Palatino Linotype" w:cstheme="minorBidi"/>
          <w:b/>
          <w:bCs/>
          <w:i/>
          <w:lang w:eastAsia="en-US"/>
        </w:rPr>
        <w:t xml:space="preserve">IMPROCEDENCIA Y SOBRESEIMIENTO EN EL JUICIO DE AMPARO. LAS CAUSAS PREVISTAS EN LOS ARTÍCULOS 73 Y 74 DE LA LEY DE LA MATERIA, RESPECTIVAMENTE, NO SON INCOMPATIBLES CON EL ARTÍCULO 25.1 DE LA CONVENCIÓN AMERICANA SOBRE DERECHOS HUMANOS. </w:t>
      </w:r>
      <w:r w:rsidRPr="00BB1559">
        <w:rPr>
          <w:rFonts w:ascii="Palatino Linotype" w:eastAsiaTheme="minorHAnsi" w:hAnsi="Palatino Linotype" w:cstheme="minorBidi"/>
          <w:i/>
          <w:lang w:eastAsia="en-US"/>
        </w:rPr>
        <w:t xml:space="preserve">Del examen de compatibilidad de los artículos </w:t>
      </w:r>
      <w:hyperlink r:id="rId7" w:history="1">
        <w:r w:rsidRPr="00BB1559">
          <w:rPr>
            <w:rFonts w:ascii="Palatino Linotype" w:hAnsi="Palatino Linotype" w:cstheme="minorBidi"/>
            <w:i/>
            <w:color w:val="0563C1" w:themeColor="hyperlink"/>
            <w:u w:val="single"/>
            <w:lang w:eastAsia="en-US"/>
          </w:rPr>
          <w:t>73 y 74 de la Ley de Amparo</w:t>
        </w:r>
      </w:hyperlink>
      <w:r w:rsidRPr="00BB1559">
        <w:rPr>
          <w:rFonts w:ascii="Palatino Linotype" w:hAnsi="Palatino Linotype" w:cstheme="minorBidi"/>
          <w:i/>
          <w:color w:val="0563C1" w:themeColor="hyperlink"/>
          <w:u w:val="single"/>
          <w:lang w:eastAsia="en-US"/>
        </w:rPr>
        <w:t xml:space="preserve"> </w:t>
      </w:r>
      <w:r w:rsidRPr="00BB1559">
        <w:rPr>
          <w:rFonts w:ascii="Palatino Linotype" w:eastAsiaTheme="minorHAnsi" w:hAnsi="Palatino Linotype" w:cstheme="minorBidi"/>
          <w:i/>
          <w:lang w:eastAsia="en-US"/>
        </w:rPr>
        <w:t xml:space="preserve">con el artículo </w:t>
      </w:r>
      <w:hyperlink r:id="rId8" w:history="1">
        <w:r w:rsidRPr="00BB1559">
          <w:rPr>
            <w:rFonts w:ascii="Palatino Linotype" w:hAnsi="Palatino Linotype" w:cstheme="minorBidi"/>
            <w:i/>
            <w:color w:val="0563C1" w:themeColor="hyperlink"/>
            <w:u w:val="single"/>
            <w:lang w:eastAsia="en-US"/>
          </w:rPr>
          <w:t>25.1 de la Convención Americana sobre Derechos Humanos</w:t>
        </w:r>
      </w:hyperlink>
      <w:r w:rsidRPr="00BB1559">
        <w:rPr>
          <w:rFonts w:ascii="Palatino Linotype" w:eastAsiaTheme="minorHAnsi" w:hAnsi="Palatino Linotype" w:cstheme="minorBidi"/>
          <w:i/>
          <w:lang w:eastAsia="en-US"/>
        </w:rPr>
        <w:t xml:space="preserve"> </w:t>
      </w:r>
      <w:r w:rsidRPr="00BB1559">
        <w:rPr>
          <w:rFonts w:ascii="Palatino Linotype" w:eastAsiaTheme="minorHAnsi" w:hAnsi="Palatino Linotype" w:cstheme="minorBidi"/>
          <w:b/>
          <w:i/>
          <w:u w:val="single"/>
          <w:lang w:eastAsia="en-US"/>
        </w:rPr>
        <w:t>no se advierte que el derecho interno desatienda los estándares que pretenden proteger los derechos humanos en dicho tratado, por regular causas de improcedencia y sobreseimiento que impiden abordar el estudio de fondo del asunto en el juicio de amparo,</w:t>
      </w:r>
      <w:r w:rsidRPr="00BB1559">
        <w:rPr>
          <w:rFonts w:ascii="Palatino Linotype" w:eastAsiaTheme="minorHAnsi" w:hAnsi="Palatino Linotype" w:cstheme="minorBidi"/>
          <w:i/>
          <w:lang w:eastAsia="en-US"/>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w:t>
      </w:r>
      <w:r w:rsidRPr="00BB1559">
        <w:rPr>
          <w:rFonts w:ascii="Palatino Linotype" w:eastAsiaTheme="minorHAnsi" w:hAnsi="Palatino Linotype" w:cstheme="minorBidi"/>
          <w:i/>
          <w:lang w:eastAsia="en-US"/>
        </w:rPr>
        <w:lastRenderedPageBreak/>
        <w:t>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AB0C24" w:rsidRPr="00BB1559" w:rsidRDefault="00AB0C24" w:rsidP="00AB0C2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B0C24" w:rsidRPr="00BB1559" w:rsidRDefault="00AB0C24" w:rsidP="00AB0C24">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BB1559">
        <w:rPr>
          <w:rFonts w:ascii="Palatino Linotype" w:eastAsiaTheme="minorHAnsi" w:hAnsi="Palatino Linotype" w:cs="Arial"/>
          <w:sz w:val="24"/>
          <w:szCs w:val="24"/>
          <w:lang w:eastAsia="en-US"/>
        </w:rPr>
        <w:t>Por lo que una vez que se analizó el expediente en estudio se cae en la cuenta de que no se actualiza ninguna de las casuales a continuación transcritas:</w:t>
      </w:r>
    </w:p>
    <w:p w:rsidR="00AB0C24" w:rsidRPr="00BB1559" w:rsidRDefault="00AB0C24" w:rsidP="00AB0C24">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AB0C24" w:rsidRPr="00BB1559" w:rsidRDefault="00AB0C24" w:rsidP="00AB0C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B1559">
        <w:rPr>
          <w:rFonts w:ascii="Palatino Linotype" w:eastAsia="Times New Roman" w:hAnsi="Palatino Linotype" w:cs="Arial"/>
          <w:i/>
          <w:lang w:val="es-ES" w:eastAsia="es-ES"/>
        </w:rPr>
        <w:t>“</w:t>
      </w:r>
      <w:r w:rsidRPr="00BB1559">
        <w:rPr>
          <w:rFonts w:ascii="Palatino Linotype" w:eastAsia="Times New Roman" w:hAnsi="Palatino Linotype" w:cs="Arial"/>
          <w:b/>
          <w:i/>
          <w:lang w:val="es-ES" w:eastAsia="es-ES"/>
        </w:rPr>
        <w:t>Artículo 191</w:t>
      </w:r>
      <w:r w:rsidRPr="00BB1559">
        <w:rPr>
          <w:rFonts w:ascii="Palatino Linotype" w:eastAsia="Times New Roman" w:hAnsi="Palatino Linotype" w:cs="Arial"/>
          <w:i/>
          <w:lang w:val="es-ES" w:eastAsia="es-ES"/>
        </w:rPr>
        <w:t xml:space="preserve">. El recurso será desechado por improcedente cuando:  </w:t>
      </w:r>
    </w:p>
    <w:p w:rsidR="00AB0C24" w:rsidRPr="00BB1559" w:rsidRDefault="00AB0C24" w:rsidP="00AB0C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B1559">
        <w:rPr>
          <w:rFonts w:ascii="Palatino Linotype" w:eastAsia="Times New Roman" w:hAnsi="Palatino Linotype" w:cs="Arial"/>
          <w:b/>
          <w:i/>
          <w:lang w:val="es-ES" w:eastAsia="es-ES"/>
        </w:rPr>
        <w:t>I</w:t>
      </w:r>
      <w:r w:rsidRPr="00BB1559">
        <w:rPr>
          <w:rFonts w:ascii="Palatino Linotype" w:eastAsia="Times New Roman" w:hAnsi="Palatino Linotype" w:cs="Arial"/>
          <w:i/>
          <w:lang w:val="es-ES" w:eastAsia="es-ES"/>
        </w:rPr>
        <w:t xml:space="preserve">. Sea extemporáneo por haber transcurrido el plazo establecido en la presente Ley, a partir de la respuesta;  </w:t>
      </w:r>
    </w:p>
    <w:p w:rsidR="00AB0C24" w:rsidRPr="00BB1559" w:rsidRDefault="00AB0C24" w:rsidP="00AB0C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B1559">
        <w:rPr>
          <w:rFonts w:ascii="Palatino Linotype" w:eastAsia="Times New Roman" w:hAnsi="Palatino Linotype" w:cs="Arial"/>
          <w:b/>
          <w:i/>
          <w:lang w:val="es-ES" w:eastAsia="es-ES"/>
        </w:rPr>
        <w:t>II</w:t>
      </w:r>
      <w:r w:rsidRPr="00BB1559">
        <w:rPr>
          <w:rFonts w:ascii="Palatino Linotype" w:eastAsia="Times New Roman" w:hAnsi="Palatino Linotype" w:cs="Arial"/>
          <w:i/>
          <w:lang w:val="es-ES" w:eastAsia="es-ES"/>
        </w:rPr>
        <w:t xml:space="preserve">. Se esté tramitando ante el Poder Judicial de la Federación algún recurso o medio de defensa interpuesto por la Recurrente;  </w:t>
      </w:r>
    </w:p>
    <w:p w:rsidR="00AB0C24" w:rsidRPr="00BB1559" w:rsidRDefault="00AB0C24" w:rsidP="00AB0C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B1559">
        <w:rPr>
          <w:rFonts w:ascii="Palatino Linotype" w:eastAsia="Times New Roman" w:hAnsi="Palatino Linotype" w:cs="Arial"/>
          <w:b/>
          <w:i/>
          <w:lang w:val="es-ES" w:eastAsia="es-ES"/>
        </w:rPr>
        <w:t>III</w:t>
      </w:r>
      <w:r w:rsidRPr="00BB1559">
        <w:rPr>
          <w:rFonts w:ascii="Palatino Linotype" w:eastAsia="Times New Roman" w:hAnsi="Palatino Linotype" w:cs="Arial"/>
          <w:i/>
          <w:lang w:val="es-ES" w:eastAsia="es-ES"/>
        </w:rPr>
        <w:t xml:space="preserve">. No actualice alguno de los supuestos previstos en la presente Ley;  </w:t>
      </w:r>
    </w:p>
    <w:p w:rsidR="00AB0C24" w:rsidRPr="00BB1559" w:rsidRDefault="00AB0C24" w:rsidP="00AB0C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B1559">
        <w:rPr>
          <w:rFonts w:ascii="Palatino Linotype" w:eastAsia="Times New Roman" w:hAnsi="Palatino Linotype" w:cs="Arial"/>
          <w:b/>
          <w:i/>
          <w:lang w:val="es-ES" w:eastAsia="es-ES"/>
        </w:rPr>
        <w:t>IV</w:t>
      </w:r>
      <w:r w:rsidRPr="00BB1559">
        <w:rPr>
          <w:rFonts w:ascii="Palatino Linotype" w:eastAsia="Times New Roman" w:hAnsi="Palatino Linotype" w:cs="Arial"/>
          <w:i/>
          <w:lang w:val="es-ES" w:eastAsia="es-ES"/>
        </w:rPr>
        <w:t xml:space="preserve">. No se haya desahogado la prevención en los términos establecidos en la presente Ley;  </w:t>
      </w:r>
    </w:p>
    <w:p w:rsidR="00AB0C24" w:rsidRPr="00BB1559" w:rsidRDefault="00AB0C24" w:rsidP="00AB0C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B1559">
        <w:rPr>
          <w:rFonts w:ascii="Palatino Linotype" w:eastAsia="Times New Roman" w:hAnsi="Palatino Linotype" w:cs="Arial"/>
          <w:b/>
          <w:i/>
          <w:lang w:val="es-ES" w:eastAsia="es-ES"/>
        </w:rPr>
        <w:t>V</w:t>
      </w:r>
      <w:r w:rsidRPr="00BB1559">
        <w:rPr>
          <w:rFonts w:ascii="Palatino Linotype" w:eastAsia="Times New Roman" w:hAnsi="Palatino Linotype" w:cs="Arial"/>
          <w:i/>
          <w:lang w:val="es-ES" w:eastAsia="es-ES"/>
        </w:rPr>
        <w:t xml:space="preserve">. Se impugne la veracidad de la información proporcionada;  </w:t>
      </w:r>
    </w:p>
    <w:p w:rsidR="00AB0C24" w:rsidRPr="00BB1559" w:rsidRDefault="00AB0C24" w:rsidP="00AB0C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B1559">
        <w:rPr>
          <w:rFonts w:ascii="Palatino Linotype" w:eastAsia="Times New Roman" w:hAnsi="Palatino Linotype" w:cs="Arial"/>
          <w:b/>
          <w:i/>
          <w:lang w:val="es-ES" w:eastAsia="es-ES"/>
        </w:rPr>
        <w:t>VI</w:t>
      </w:r>
      <w:r w:rsidRPr="00BB1559">
        <w:rPr>
          <w:rFonts w:ascii="Palatino Linotype" w:eastAsia="Times New Roman" w:hAnsi="Palatino Linotype" w:cs="Arial"/>
          <w:i/>
          <w:lang w:val="es-ES" w:eastAsia="es-ES"/>
        </w:rPr>
        <w:t xml:space="preserve">. Se trate de una consulta, o trámite en específico; y  </w:t>
      </w:r>
    </w:p>
    <w:p w:rsidR="00AB0C24" w:rsidRPr="00BB1559" w:rsidRDefault="00AB0C24" w:rsidP="00AB0C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B1559">
        <w:rPr>
          <w:rFonts w:ascii="Palatino Linotype" w:eastAsia="Times New Roman" w:hAnsi="Palatino Linotype" w:cs="Arial"/>
          <w:b/>
          <w:i/>
          <w:lang w:val="es-ES" w:eastAsia="es-ES"/>
        </w:rPr>
        <w:t>VII</w:t>
      </w:r>
      <w:r w:rsidRPr="00BB1559">
        <w:rPr>
          <w:rFonts w:ascii="Palatino Linotype" w:eastAsia="Times New Roman" w:hAnsi="Palatino Linotype" w:cs="Arial"/>
          <w:i/>
          <w:lang w:val="es-ES" w:eastAsia="es-ES"/>
        </w:rPr>
        <w:t>. La Recurrente amplíe su solicitud en el recurso de revisión, únicamente respecto de los nuevos contenidos.”</w:t>
      </w:r>
    </w:p>
    <w:p w:rsidR="00AB0C24" w:rsidRPr="00BB1559" w:rsidRDefault="00AB0C24" w:rsidP="00AB0C24">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AB0C24" w:rsidRPr="00BB1559" w:rsidRDefault="00AB0C24" w:rsidP="00AB0C24">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BB1559">
        <w:rPr>
          <w:rFonts w:ascii="Palatino Linotype" w:eastAsiaTheme="minorHAnsi" w:hAnsi="Palatino Linotype" w:cs="Arial"/>
          <w:sz w:val="24"/>
          <w:szCs w:val="24"/>
          <w:lang w:eastAsia="en-US"/>
        </w:rPr>
        <w:t xml:space="preserve">Ya que no fue interpuesto de forma extemporánea, no se está tramitando ante el Poder Judicial Federal, no son una consulta, o trámite en específico, ni tampoco se advierte que </w:t>
      </w:r>
      <w:r w:rsidRPr="00BB1559">
        <w:rPr>
          <w:rFonts w:ascii="Palatino Linotype" w:eastAsiaTheme="minorHAnsi" w:hAnsi="Palatino Linotype" w:cs="Arial"/>
          <w:b/>
          <w:sz w:val="24"/>
          <w:szCs w:val="24"/>
          <w:lang w:eastAsia="en-US"/>
        </w:rPr>
        <w:t>la Recurrente</w:t>
      </w:r>
      <w:r w:rsidRPr="00BB1559">
        <w:rPr>
          <w:rFonts w:ascii="Palatino Linotype" w:eastAsiaTheme="minorHAnsi" w:hAnsi="Palatino Linotype" w:cs="Arial"/>
          <w:sz w:val="24"/>
          <w:szCs w:val="24"/>
          <w:lang w:eastAsia="en-US"/>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AB0C24" w:rsidRDefault="00AB0C24" w:rsidP="00AB0C24">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AB0C24" w:rsidRDefault="00AB0C24" w:rsidP="00AB0C24">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AB0C24" w:rsidRDefault="00AB0C24" w:rsidP="00AB0C24">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AB0C24" w:rsidRPr="00BB1559" w:rsidRDefault="00AB0C24" w:rsidP="00AB0C24">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AB0C24" w:rsidRPr="00BB1559" w:rsidRDefault="00AB0C24" w:rsidP="00AB0C24">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BB1559">
        <w:rPr>
          <w:rFonts w:ascii="Palatino Linotype" w:eastAsia="Times New Roman" w:hAnsi="Palatino Linotype" w:cs="Arial"/>
          <w:b/>
          <w:sz w:val="28"/>
          <w:szCs w:val="28"/>
          <w:lang w:val="es-ES" w:eastAsia="es-ES"/>
        </w:rPr>
        <w:lastRenderedPageBreak/>
        <w:t xml:space="preserve">CUARTO. </w:t>
      </w:r>
      <w:r w:rsidRPr="00BB1559">
        <w:rPr>
          <w:rFonts w:ascii="Palatino Linotype" w:eastAsia="Times New Roman" w:hAnsi="Palatino Linotype" w:cs="Arial"/>
          <w:b/>
          <w:sz w:val="26"/>
          <w:szCs w:val="26"/>
          <w:lang w:val="es-ES" w:eastAsia="es-ES"/>
        </w:rPr>
        <w:t>Estudio y resolución de los recursos de revisión.</w:t>
      </w:r>
    </w:p>
    <w:p w:rsidR="00AB0C24" w:rsidRPr="00BB1559" w:rsidRDefault="00AB0C24" w:rsidP="00AB0C2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B1559">
        <w:rPr>
          <w:rFonts w:ascii="Palatino Linotype" w:eastAsia="Times New Roman" w:hAnsi="Palatino Linotype" w:cs="Arial"/>
          <w:sz w:val="24"/>
          <w:szCs w:val="24"/>
          <w:lang w:val="es-ES" w:eastAsia="es-ES"/>
        </w:rPr>
        <w:t xml:space="preserve">Se procede al análisis del recurso, así como al contenido íntegro de las actuaciones que obran en </w:t>
      </w:r>
      <w:r w:rsidR="002A1FA5">
        <w:rPr>
          <w:rFonts w:ascii="Palatino Linotype" w:eastAsia="Times New Roman" w:hAnsi="Palatino Linotype" w:cs="Arial"/>
          <w:sz w:val="24"/>
          <w:szCs w:val="24"/>
          <w:lang w:val="es-ES" w:eastAsia="es-ES"/>
        </w:rPr>
        <w:t>e</w:t>
      </w:r>
      <w:r w:rsidRPr="00BB1559">
        <w:rPr>
          <w:rFonts w:ascii="Palatino Linotype" w:eastAsia="Times New Roman" w:hAnsi="Palatino Linotype" w:cs="Arial"/>
          <w:sz w:val="24"/>
          <w:szCs w:val="24"/>
          <w:lang w:val="es-ES" w:eastAsia="es-ES"/>
        </w:rPr>
        <w:t>l</w:t>
      </w:r>
      <w:r w:rsidR="002A1FA5">
        <w:rPr>
          <w:rFonts w:ascii="Palatino Linotype" w:eastAsia="Times New Roman" w:hAnsi="Palatino Linotype" w:cs="Arial"/>
          <w:sz w:val="24"/>
          <w:szCs w:val="24"/>
          <w:lang w:val="es-ES" w:eastAsia="es-ES"/>
        </w:rPr>
        <w:t xml:space="preserve"> expediente</w:t>
      </w:r>
      <w:r w:rsidRPr="00BB1559">
        <w:rPr>
          <w:rFonts w:ascii="Palatino Linotype" w:eastAsia="Times New Roman" w:hAnsi="Palatino Linotype" w:cs="Arial"/>
          <w:sz w:val="24"/>
          <w:szCs w:val="24"/>
          <w:lang w:val="es-ES" w:eastAsia="es-ES"/>
        </w:rPr>
        <w:t xml:space="preserv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AB0C24" w:rsidRPr="00BB1559" w:rsidRDefault="00AB0C24" w:rsidP="00AB0C2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B0C24" w:rsidRPr="00BB1559" w:rsidRDefault="00AB0C24" w:rsidP="00AB0C2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De conformidad con la redacción de </w:t>
      </w:r>
      <w:r w:rsidRPr="00BB1559">
        <w:rPr>
          <w:rFonts w:ascii="Palatino Linotype" w:eastAsia="Times New Roman" w:hAnsi="Palatino Linotype" w:cs="Arial"/>
          <w:sz w:val="24"/>
          <w:szCs w:val="24"/>
          <w:lang w:val="es-ES" w:eastAsia="es-ES"/>
        </w:rPr>
        <w:t>la</w:t>
      </w:r>
      <w:r>
        <w:rPr>
          <w:rFonts w:ascii="Palatino Linotype" w:eastAsia="Times New Roman" w:hAnsi="Palatino Linotype" w:cs="Arial"/>
          <w:sz w:val="24"/>
          <w:szCs w:val="24"/>
          <w:lang w:val="es-ES" w:eastAsia="es-ES"/>
        </w:rPr>
        <w:t xml:space="preserve"> solicitud</w:t>
      </w:r>
      <w:r w:rsidRPr="00BB1559">
        <w:rPr>
          <w:rFonts w:ascii="Palatino Linotype" w:eastAsia="Times New Roman" w:hAnsi="Palatino Linotype" w:cs="Arial"/>
          <w:sz w:val="24"/>
          <w:szCs w:val="24"/>
          <w:lang w:val="es-ES" w:eastAsia="es-ES"/>
        </w:rPr>
        <w:t xml:space="preserve"> de información</w:t>
      </w:r>
      <w:r>
        <w:rPr>
          <w:rFonts w:ascii="Palatino Linotype" w:eastAsia="Times New Roman" w:hAnsi="Palatino Linotype" w:cs="Arial"/>
          <w:sz w:val="24"/>
          <w:szCs w:val="24"/>
          <w:lang w:val="es-ES" w:eastAsia="es-ES"/>
        </w:rPr>
        <w:t xml:space="preserve">, </w:t>
      </w:r>
      <w:r w:rsidRPr="00BB1559">
        <w:rPr>
          <w:rFonts w:ascii="Palatino Linotype" w:eastAsia="Times New Roman" w:hAnsi="Palatino Linotype" w:cs="Arial"/>
          <w:sz w:val="24"/>
          <w:szCs w:val="24"/>
          <w:lang w:val="es-ES" w:eastAsia="es-ES"/>
        </w:rPr>
        <w:t xml:space="preserve">se puede apreciar que el </w:t>
      </w:r>
      <w:r w:rsidRPr="00BB1559">
        <w:rPr>
          <w:rFonts w:ascii="Palatino Linotype" w:eastAsia="Times New Roman" w:hAnsi="Palatino Linotype" w:cs="Arial"/>
          <w:b/>
          <w:sz w:val="24"/>
          <w:szCs w:val="24"/>
          <w:lang w:val="es-ES" w:eastAsia="es-ES"/>
        </w:rPr>
        <w:t>Recurrente</w:t>
      </w:r>
      <w:r w:rsidRPr="00BB1559">
        <w:rPr>
          <w:rFonts w:ascii="Palatino Linotype" w:eastAsia="Times New Roman" w:hAnsi="Palatino Linotype" w:cs="Arial"/>
          <w:sz w:val="24"/>
          <w:szCs w:val="24"/>
          <w:lang w:val="es-ES" w:eastAsia="es-ES"/>
        </w:rPr>
        <w:t xml:space="preserve"> peticiona</w:t>
      </w:r>
      <w:r>
        <w:rPr>
          <w:rFonts w:ascii="Palatino Linotype" w:eastAsia="Times New Roman" w:hAnsi="Palatino Linotype" w:cs="Arial"/>
          <w:sz w:val="24"/>
          <w:szCs w:val="24"/>
          <w:lang w:val="es-ES" w:eastAsia="es-ES"/>
        </w:rPr>
        <w:t xml:space="preserve"> </w:t>
      </w:r>
      <w:r w:rsidRPr="00BB1559">
        <w:rPr>
          <w:rFonts w:ascii="Palatino Linotype" w:eastAsia="Times New Roman" w:hAnsi="Palatino Linotype" w:cs="Arial"/>
          <w:sz w:val="24"/>
          <w:szCs w:val="24"/>
          <w:lang w:val="es-ES" w:eastAsia="es-ES"/>
        </w:rPr>
        <w:t>lo siguiente:</w:t>
      </w:r>
    </w:p>
    <w:p w:rsidR="00AB0C24" w:rsidRPr="00BB1559" w:rsidRDefault="00AB0C24" w:rsidP="00AB0C2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A1FA5" w:rsidRPr="002A1FA5" w:rsidRDefault="002A1FA5" w:rsidP="002A1FA5">
      <w:pPr>
        <w:pStyle w:val="Prrafodelista"/>
        <w:numPr>
          <w:ilvl w:val="0"/>
          <w:numId w:val="7"/>
        </w:numPr>
        <w:spacing w:line="360" w:lineRule="auto"/>
        <w:jc w:val="both"/>
        <w:rPr>
          <w:rFonts w:ascii="Palatino Linotype" w:hAnsi="Palatino Linotype" w:cs="Arial"/>
        </w:rPr>
      </w:pPr>
      <w:r>
        <w:rPr>
          <w:rFonts w:ascii="Palatino Linotype" w:hAnsi="Palatino Linotype" w:cs="Arial"/>
        </w:rPr>
        <w:t>L</w:t>
      </w:r>
      <w:r w:rsidRPr="002A1FA5">
        <w:rPr>
          <w:rFonts w:ascii="Palatino Linotype" w:hAnsi="Palatino Linotype" w:cs="Arial"/>
        </w:rPr>
        <w:t>os acuerdos, contratos, convenios, estudios técnicos y dictámenes de factibilidad de las obras correspondientes a las ciclovías programadas;</w:t>
      </w:r>
    </w:p>
    <w:p w:rsidR="002A1FA5" w:rsidRPr="002A1FA5" w:rsidRDefault="002A1FA5" w:rsidP="002A1FA5">
      <w:pPr>
        <w:pStyle w:val="Prrafodelista"/>
        <w:numPr>
          <w:ilvl w:val="0"/>
          <w:numId w:val="7"/>
        </w:numPr>
        <w:spacing w:line="360" w:lineRule="auto"/>
        <w:jc w:val="both"/>
        <w:rPr>
          <w:rFonts w:ascii="Palatino Linotype" w:hAnsi="Palatino Linotype" w:cs="Arial"/>
        </w:rPr>
      </w:pPr>
      <w:r w:rsidRPr="002A1FA5">
        <w:rPr>
          <w:rFonts w:ascii="Palatino Linotype" w:hAnsi="Palatino Linotype" w:cs="Arial"/>
        </w:rPr>
        <w:t>Información y soporte documental del estado actual que guardan las obras correspondientes a las ciclovías;</w:t>
      </w:r>
    </w:p>
    <w:p w:rsidR="002A1FA5" w:rsidRPr="002A1FA5" w:rsidRDefault="002A1FA5" w:rsidP="002A1FA5">
      <w:pPr>
        <w:pStyle w:val="Prrafodelista"/>
        <w:numPr>
          <w:ilvl w:val="0"/>
          <w:numId w:val="7"/>
        </w:numPr>
        <w:spacing w:line="360" w:lineRule="auto"/>
        <w:jc w:val="both"/>
        <w:rPr>
          <w:rFonts w:ascii="Palatino Linotype" w:hAnsi="Palatino Linotype" w:cs="Arial"/>
        </w:rPr>
      </w:pPr>
      <w:r w:rsidRPr="002A1FA5">
        <w:rPr>
          <w:rFonts w:ascii="Palatino Linotype" w:hAnsi="Palatino Linotype" w:cs="Arial"/>
        </w:rPr>
        <w:t xml:space="preserve">Información debidamente fundada y motivada que explique las razones por los que estas obras han sido suspendidas, en las que se incluya el porcentaje de la población a favor y en contra de la ciclovías y específicamente en la Avenida Isidro Fabela en el municipio de Toluca, </w:t>
      </w:r>
    </w:p>
    <w:p w:rsidR="00AB0C24" w:rsidRPr="002A1FA5" w:rsidRDefault="002A1FA5" w:rsidP="002A1FA5">
      <w:pPr>
        <w:pStyle w:val="Prrafodelista"/>
        <w:numPr>
          <w:ilvl w:val="0"/>
          <w:numId w:val="7"/>
        </w:numPr>
        <w:spacing w:line="360" w:lineRule="auto"/>
        <w:jc w:val="both"/>
        <w:rPr>
          <w:rFonts w:ascii="Palatino Linotype" w:hAnsi="Palatino Linotype" w:cs="Arial"/>
        </w:rPr>
      </w:pPr>
      <w:r>
        <w:rPr>
          <w:rFonts w:ascii="Palatino Linotype" w:hAnsi="Palatino Linotype" w:cs="Arial"/>
        </w:rPr>
        <w:t>E</w:t>
      </w:r>
      <w:r w:rsidRPr="002A1FA5">
        <w:rPr>
          <w:rFonts w:ascii="Palatino Linotype" w:hAnsi="Palatino Linotype" w:cs="Arial"/>
        </w:rPr>
        <w:t>l número de beneficiarios proyectados con estas obras.</w:t>
      </w:r>
    </w:p>
    <w:p w:rsidR="002A1FA5" w:rsidRDefault="002A1FA5" w:rsidP="00AB0C24">
      <w:pPr>
        <w:spacing w:after="0" w:line="360" w:lineRule="auto"/>
        <w:jc w:val="both"/>
        <w:rPr>
          <w:rFonts w:ascii="Palatino Linotype" w:eastAsia="Times New Roman" w:hAnsi="Palatino Linotype" w:cs="Arial"/>
          <w:sz w:val="24"/>
          <w:szCs w:val="24"/>
          <w:lang w:val="es-ES" w:eastAsia="es-ES"/>
        </w:rPr>
      </w:pPr>
    </w:p>
    <w:p w:rsidR="00D16F88" w:rsidRPr="00D16F88" w:rsidRDefault="00D16F88" w:rsidP="00D16F88">
      <w:pPr>
        <w:spacing w:after="0" w:line="360" w:lineRule="auto"/>
        <w:jc w:val="both"/>
        <w:rPr>
          <w:rFonts w:ascii="Palatino Linotype" w:eastAsia="Times New Roman" w:hAnsi="Palatino Linotype" w:cs="Times New Roman"/>
          <w:sz w:val="24"/>
          <w:szCs w:val="24"/>
          <w:lang w:val="es-ES_tradnl" w:eastAsia="es-ES"/>
        </w:rPr>
      </w:pPr>
      <w:r w:rsidRPr="00D16F88">
        <w:rPr>
          <w:rFonts w:ascii="Palatino Linotype" w:hAnsi="Palatino Linotype" w:cstheme="minorBidi"/>
          <w:sz w:val="24"/>
          <w:lang w:eastAsia="en-US"/>
        </w:rPr>
        <w:lastRenderedPageBreak/>
        <w:t xml:space="preserve">En </w:t>
      </w:r>
      <w:r>
        <w:rPr>
          <w:rFonts w:ascii="Palatino Linotype" w:hAnsi="Palatino Linotype" w:cstheme="minorBidi"/>
          <w:sz w:val="24"/>
          <w:lang w:eastAsia="en-US"/>
        </w:rPr>
        <w:t xml:space="preserve">primer lugar </w:t>
      </w:r>
      <w:r w:rsidRPr="00D16F88">
        <w:rPr>
          <w:rFonts w:ascii="Palatino Linotype" w:hAnsi="Palatino Linotype" w:cstheme="minorBidi"/>
          <w:sz w:val="24"/>
          <w:lang w:eastAsia="en-US"/>
        </w:rPr>
        <w:t xml:space="preserve">podemos advertir que, el </w:t>
      </w:r>
      <w:r w:rsidRPr="00D16F88">
        <w:rPr>
          <w:rFonts w:ascii="Palatino Linotype" w:hAnsi="Palatino Linotype" w:cstheme="minorBidi"/>
          <w:b/>
          <w:sz w:val="24"/>
          <w:lang w:eastAsia="en-US"/>
        </w:rPr>
        <w:t>Recurrente</w:t>
      </w:r>
      <w:r w:rsidRPr="00D16F88">
        <w:rPr>
          <w:rFonts w:ascii="Palatino Linotype" w:hAnsi="Palatino Linotype" w:cstheme="minorBidi"/>
          <w:sz w:val="24"/>
          <w:lang w:eastAsia="en-US"/>
        </w:rPr>
        <w:t xml:space="preserve"> </w:t>
      </w:r>
      <w:r w:rsidRPr="00D16F88">
        <w:rPr>
          <w:rFonts w:ascii="Palatino Linotype" w:eastAsiaTheme="minorHAnsi" w:hAnsi="Palatino Linotype" w:cs="Arial"/>
          <w:sz w:val="24"/>
          <w:lang w:eastAsia="en-US"/>
        </w:rPr>
        <w:t xml:space="preserve">no señalo temporalidad de la información peticionada, </w:t>
      </w:r>
      <w:r w:rsidRPr="00D16F88">
        <w:rPr>
          <w:rFonts w:ascii="Palatino Linotype" w:eastAsia="Times New Roman" w:hAnsi="Palatino Linotype" w:cs="Times New Roman"/>
          <w:sz w:val="24"/>
          <w:szCs w:val="24"/>
          <w:lang w:val="es-ES_tradnl" w:eastAsia="es-ES"/>
        </w:rPr>
        <w:t xml:space="preserve">resulta oportuno traer a colación el criterio relevante </w:t>
      </w:r>
      <w:r w:rsidRPr="00D16F88">
        <w:rPr>
          <w:rFonts w:ascii="Palatino Linotype" w:eastAsia="Times New Roman" w:hAnsi="Palatino Linotype" w:cs="Times New Roman"/>
          <w:b/>
          <w:sz w:val="24"/>
          <w:szCs w:val="24"/>
          <w:lang w:val="es-ES_tradnl" w:eastAsia="es-ES"/>
        </w:rPr>
        <w:t>03/19</w:t>
      </w:r>
      <w:r w:rsidRPr="00D16F88">
        <w:rPr>
          <w:rFonts w:ascii="Palatino Linotype" w:eastAsia="Times New Roman" w:hAnsi="Palatino Linotype" w:cs="Times New Roman"/>
          <w:sz w:val="24"/>
          <w:szCs w:val="24"/>
          <w:lang w:val="es-ES_tradnl" w:eastAsia="es-ES"/>
        </w:rPr>
        <w:t xml:space="preserve"> emitido por el Órgano Garante Nacional, cuyo contenido dispone a la literalidad lo siguiente: </w:t>
      </w:r>
    </w:p>
    <w:p w:rsidR="00D16F88" w:rsidRPr="00D16F88" w:rsidRDefault="00D16F88" w:rsidP="00D16F88">
      <w:pPr>
        <w:spacing w:after="0" w:line="360" w:lineRule="auto"/>
        <w:jc w:val="both"/>
        <w:rPr>
          <w:rFonts w:ascii="Palatino Linotype" w:eastAsia="Times New Roman" w:hAnsi="Palatino Linotype" w:cs="Times New Roman"/>
          <w:sz w:val="24"/>
          <w:szCs w:val="24"/>
          <w:lang w:val="es-ES_tradnl" w:eastAsia="es-ES"/>
        </w:rPr>
      </w:pPr>
    </w:p>
    <w:p w:rsidR="00D16F88" w:rsidRPr="00D16F88" w:rsidRDefault="00D16F88" w:rsidP="00D16F88">
      <w:pPr>
        <w:spacing w:after="0" w:line="240" w:lineRule="auto"/>
        <w:ind w:left="567" w:right="616"/>
        <w:jc w:val="both"/>
        <w:rPr>
          <w:rFonts w:ascii="Palatino Linotype" w:eastAsia="Times New Roman" w:hAnsi="Palatino Linotype" w:cs="Times New Roman"/>
          <w:i/>
          <w:szCs w:val="24"/>
          <w:lang w:val="es-ES_tradnl" w:eastAsia="es-ES"/>
        </w:rPr>
      </w:pPr>
      <w:r w:rsidRPr="00D16F88">
        <w:rPr>
          <w:rFonts w:ascii="Palatino Linotype" w:eastAsia="Times New Roman" w:hAnsi="Palatino Linotype" w:cs="Times New Roman"/>
          <w:i/>
          <w:szCs w:val="24"/>
          <w:lang w:val="es-ES_tradnl" w:eastAsia="es-ES"/>
        </w:rPr>
        <w:t>“</w:t>
      </w:r>
      <w:r w:rsidRPr="00D16F88">
        <w:rPr>
          <w:rFonts w:ascii="Palatino Linotype" w:eastAsia="Times New Roman" w:hAnsi="Palatino Linotype" w:cs="Times New Roman"/>
          <w:b/>
          <w:i/>
          <w:szCs w:val="24"/>
          <w:lang w:val="es-ES_tradnl" w:eastAsia="es-ES"/>
        </w:rPr>
        <w:t>Periodo de búsqueda de la información.</w:t>
      </w:r>
      <w:r w:rsidRPr="00D16F88">
        <w:rPr>
          <w:rFonts w:ascii="Palatino Linotype" w:eastAsia="Times New Roman" w:hAnsi="Palatino Linotype" w:cs="Times New Roman"/>
          <w:i/>
          <w:szCs w:val="24"/>
          <w:lang w:val="es-ES_tradnl" w:eastAsia="es-ES"/>
        </w:rPr>
        <w:t xml:space="preserve"> </w:t>
      </w:r>
    </w:p>
    <w:p w:rsidR="00D16F88" w:rsidRPr="00D16F88" w:rsidRDefault="00D16F88" w:rsidP="00D16F88">
      <w:pPr>
        <w:spacing w:after="0" w:line="240" w:lineRule="auto"/>
        <w:ind w:left="567" w:right="616"/>
        <w:jc w:val="both"/>
        <w:rPr>
          <w:rFonts w:ascii="Palatino Linotype" w:eastAsia="Times New Roman" w:hAnsi="Palatino Linotype" w:cs="Times New Roman"/>
          <w:i/>
          <w:szCs w:val="24"/>
          <w:lang w:val="es-ES_tradnl" w:eastAsia="es-ES"/>
        </w:rPr>
      </w:pPr>
      <w:r w:rsidRPr="00D16F88">
        <w:rPr>
          <w:rFonts w:ascii="Palatino Linotype" w:eastAsia="Times New Roman" w:hAnsi="Palatino Linotype" w:cs="Times New Roman"/>
          <w:i/>
          <w:szCs w:val="24"/>
          <w:lang w:val="es-ES_tradnl" w:eastAsia="es-ES"/>
        </w:rPr>
        <w:t xml:space="preserve">En el supuesto de que el particular no haya señalado el periodo respecto del cual requiere la información, o bien, de la solicitud presentada no se adviertan elementos que permitan identificarlo, deberá considerarse, </w:t>
      </w:r>
      <w:r w:rsidRPr="00D16F88">
        <w:rPr>
          <w:rFonts w:ascii="Palatino Linotype" w:eastAsia="Times New Roman" w:hAnsi="Palatino Linotype" w:cs="Times New Roman"/>
          <w:i/>
          <w:szCs w:val="24"/>
          <w:u w:val="single"/>
          <w:lang w:val="es-ES_tradnl" w:eastAsia="es-ES"/>
        </w:rPr>
        <w:t>para efectos de la búsqueda de la información, que el requerimiento se refiere al año inmediato anterior, contado a partir de la fecha en que se presentó la solicitud.</w:t>
      </w:r>
    </w:p>
    <w:p w:rsidR="00D16F88" w:rsidRPr="00D16F88" w:rsidRDefault="00D16F88" w:rsidP="00D16F88">
      <w:pPr>
        <w:spacing w:after="0" w:line="240" w:lineRule="auto"/>
        <w:ind w:left="567" w:right="616"/>
        <w:jc w:val="both"/>
        <w:rPr>
          <w:rFonts w:ascii="Palatino Linotype" w:eastAsia="Times New Roman" w:hAnsi="Palatino Linotype" w:cs="Times New Roman"/>
          <w:b/>
          <w:i/>
          <w:sz w:val="20"/>
          <w:szCs w:val="24"/>
          <w:lang w:val="es-ES_tradnl" w:eastAsia="es-ES"/>
        </w:rPr>
      </w:pPr>
      <w:r w:rsidRPr="00D16F88">
        <w:rPr>
          <w:rFonts w:ascii="Palatino Linotype" w:eastAsia="Times New Roman" w:hAnsi="Palatino Linotype" w:cs="Times New Roman"/>
          <w:i/>
          <w:szCs w:val="24"/>
          <w:lang w:val="es-ES_tradnl" w:eastAsia="es-ES"/>
        </w:rPr>
        <w:t>´</w:t>
      </w:r>
      <w:r w:rsidRPr="00D16F88">
        <w:rPr>
          <w:rFonts w:ascii="Palatino Linotype" w:eastAsia="Times New Roman" w:hAnsi="Palatino Linotype" w:cs="Times New Roman"/>
          <w:b/>
          <w:i/>
          <w:sz w:val="20"/>
          <w:szCs w:val="24"/>
          <w:lang w:val="es-ES_tradnl" w:eastAsia="es-ES"/>
        </w:rPr>
        <w:t>Resoluciones</w:t>
      </w:r>
    </w:p>
    <w:p w:rsidR="00D16F88" w:rsidRPr="00D16F88" w:rsidRDefault="00D16F88" w:rsidP="00D16F88">
      <w:pPr>
        <w:spacing w:after="0" w:line="240" w:lineRule="auto"/>
        <w:ind w:left="567" w:right="616"/>
        <w:jc w:val="both"/>
        <w:rPr>
          <w:rFonts w:ascii="Palatino Linotype" w:eastAsia="Times New Roman" w:hAnsi="Palatino Linotype" w:cs="Times New Roman"/>
          <w:i/>
          <w:sz w:val="20"/>
          <w:szCs w:val="24"/>
          <w:lang w:val="es-ES_tradnl" w:eastAsia="es-ES"/>
        </w:rPr>
      </w:pPr>
      <w:r w:rsidRPr="00D16F88">
        <w:rPr>
          <w:rFonts w:ascii="Palatino Linotype" w:eastAsia="Times New Roman" w:hAnsi="Palatino Linotype" w:cs="Times New Roman"/>
          <w:b/>
          <w:i/>
          <w:sz w:val="20"/>
          <w:szCs w:val="24"/>
          <w:lang w:val="es-ES_tradnl" w:eastAsia="es-ES"/>
        </w:rPr>
        <w:t>RRA 0022/17.</w:t>
      </w:r>
      <w:r w:rsidRPr="00D16F88">
        <w:rPr>
          <w:rFonts w:ascii="Palatino Linotype" w:eastAsia="Times New Roman" w:hAnsi="Palatino Linotype" w:cs="Times New Roman"/>
          <w:i/>
          <w:sz w:val="20"/>
          <w:szCs w:val="24"/>
          <w:lang w:val="es-ES_tradnl" w:eastAsia="es-ES"/>
        </w:rPr>
        <w:t xml:space="preserve"> Instituto Mexicano de la Propiedad Industrial. 16 de febrero de 2017. Por unanimidad. Comisionado Ponente Francisco Javier Acuña Llamas.</w:t>
      </w:r>
    </w:p>
    <w:p w:rsidR="00D16F88" w:rsidRPr="00D16F88" w:rsidRDefault="00D16F88" w:rsidP="00D16F88">
      <w:pPr>
        <w:spacing w:after="0" w:line="240" w:lineRule="auto"/>
        <w:ind w:left="567" w:right="616"/>
        <w:jc w:val="both"/>
        <w:rPr>
          <w:rFonts w:ascii="Palatino Linotype" w:eastAsia="Times New Roman" w:hAnsi="Palatino Linotype" w:cs="Times New Roman"/>
          <w:i/>
          <w:sz w:val="20"/>
          <w:szCs w:val="24"/>
          <w:lang w:val="es-ES_tradnl" w:eastAsia="es-ES"/>
        </w:rPr>
      </w:pPr>
      <w:r w:rsidRPr="00D16F88">
        <w:rPr>
          <w:rFonts w:ascii="Palatino Linotype" w:eastAsia="Times New Roman" w:hAnsi="Palatino Linotype" w:cs="Times New Roman"/>
          <w:i/>
          <w:sz w:val="20"/>
          <w:szCs w:val="24"/>
          <w:lang w:val="es-ES_tradnl" w:eastAsia="es-ES"/>
        </w:rPr>
        <w:t>http://consultas.ifai.org.mx/descargar.php?r=./pdf/resoluciones/2017/&amp;a=RRA%2022.pdf</w:t>
      </w:r>
    </w:p>
    <w:p w:rsidR="00D16F88" w:rsidRPr="00D16F88" w:rsidRDefault="00D16F88" w:rsidP="00D16F88">
      <w:pPr>
        <w:spacing w:after="0" w:line="240" w:lineRule="auto"/>
        <w:ind w:left="567" w:right="616"/>
        <w:jc w:val="both"/>
        <w:rPr>
          <w:rFonts w:ascii="Palatino Linotype" w:eastAsia="Times New Roman" w:hAnsi="Palatino Linotype" w:cs="Times New Roman"/>
          <w:i/>
          <w:sz w:val="20"/>
          <w:szCs w:val="24"/>
          <w:lang w:val="es-ES_tradnl" w:eastAsia="es-ES"/>
        </w:rPr>
      </w:pPr>
      <w:r w:rsidRPr="00D16F88">
        <w:rPr>
          <w:rFonts w:ascii="Palatino Linotype" w:eastAsia="Times New Roman" w:hAnsi="Palatino Linotype" w:cs="Times New Roman"/>
          <w:b/>
          <w:i/>
          <w:sz w:val="20"/>
          <w:szCs w:val="24"/>
          <w:lang w:val="es-ES_tradnl" w:eastAsia="es-ES"/>
        </w:rPr>
        <w:t xml:space="preserve">RRA 2536/17. </w:t>
      </w:r>
      <w:r w:rsidRPr="00D16F88">
        <w:rPr>
          <w:rFonts w:ascii="Palatino Linotype" w:eastAsia="Times New Roman" w:hAnsi="Palatino Linotype" w:cs="Times New Roman"/>
          <w:i/>
          <w:sz w:val="20"/>
          <w:szCs w:val="24"/>
          <w:lang w:val="es-ES_tradnl" w:eastAsia="es-ES"/>
        </w:rPr>
        <w:t xml:space="preserve">Secretaría de Gobernación. 07 de junio de 2017. Por unanimidad. Comisionada Ponente Areli Cano Guadiana. </w:t>
      </w:r>
    </w:p>
    <w:p w:rsidR="00D16F88" w:rsidRPr="00D16F88" w:rsidRDefault="00D16F88" w:rsidP="00D16F88">
      <w:pPr>
        <w:spacing w:after="0" w:line="240" w:lineRule="auto"/>
        <w:ind w:left="567" w:right="616"/>
        <w:jc w:val="both"/>
        <w:rPr>
          <w:rFonts w:ascii="Palatino Linotype" w:eastAsia="Times New Roman" w:hAnsi="Palatino Linotype" w:cs="Times New Roman"/>
          <w:i/>
          <w:sz w:val="20"/>
          <w:szCs w:val="24"/>
          <w:lang w:val="es-ES_tradnl" w:eastAsia="es-ES"/>
        </w:rPr>
      </w:pPr>
      <w:r w:rsidRPr="00D16F88">
        <w:rPr>
          <w:rFonts w:ascii="Palatino Linotype" w:eastAsia="Times New Roman" w:hAnsi="Palatino Linotype" w:cs="Times New Roman"/>
          <w:i/>
          <w:sz w:val="20"/>
          <w:szCs w:val="24"/>
          <w:lang w:val="es-ES_tradnl" w:eastAsia="es-ES"/>
        </w:rPr>
        <w:t xml:space="preserve">http://consultas.ifai.org.mx/descargar.php?r=./pdf/resoluciones/2017/&amp;a=RRA%202536.pdf </w:t>
      </w:r>
    </w:p>
    <w:p w:rsidR="00D16F88" w:rsidRPr="00D16F88" w:rsidRDefault="00D16F88" w:rsidP="00D16F88">
      <w:pPr>
        <w:spacing w:after="0" w:line="240" w:lineRule="auto"/>
        <w:ind w:left="567" w:right="616"/>
        <w:jc w:val="both"/>
        <w:rPr>
          <w:rFonts w:ascii="Palatino Linotype" w:eastAsia="Times New Roman" w:hAnsi="Palatino Linotype" w:cs="Times New Roman"/>
          <w:i/>
          <w:sz w:val="20"/>
          <w:szCs w:val="24"/>
          <w:lang w:val="es-ES_tradnl" w:eastAsia="es-ES"/>
        </w:rPr>
      </w:pPr>
      <w:r w:rsidRPr="00D16F88">
        <w:rPr>
          <w:rFonts w:ascii="Palatino Linotype" w:eastAsia="Times New Roman" w:hAnsi="Palatino Linotype" w:cs="Times New Roman"/>
          <w:b/>
          <w:i/>
          <w:sz w:val="20"/>
          <w:szCs w:val="24"/>
          <w:lang w:val="es-ES_tradnl" w:eastAsia="es-ES"/>
        </w:rPr>
        <w:t>RRA 3482/17.</w:t>
      </w:r>
      <w:r w:rsidRPr="00D16F88">
        <w:rPr>
          <w:rFonts w:ascii="Palatino Linotype" w:eastAsia="Times New Roman" w:hAnsi="Palatino Linotype" w:cs="Times New Roman"/>
          <w:i/>
          <w:sz w:val="20"/>
          <w:szCs w:val="24"/>
          <w:lang w:val="es-ES_tradnl" w:eastAsia="es-ES"/>
        </w:rPr>
        <w:t xml:space="preserve"> Secretaría de Comunicaciones y Transportes. 02 de agosto de 2017. Por unanimidad. Comisionado Ponente Oscar Mauricio Guerra Ford.</w:t>
      </w:r>
    </w:p>
    <w:p w:rsidR="00D16F88" w:rsidRPr="00D16F88" w:rsidRDefault="004C0DCD" w:rsidP="00D16F88">
      <w:pPr>
        <w:spacing w:after="0" w:line="240" w:lineRule="auto"/>
        <w:ind w:left="567" w:right="616"/>
        <w:jc w:val="both"/>
        <w:rPr>
          <w:rFonts w:ascii="Palatino Linotype" w:eastAsia="Times New Roman" w:hAnsi="Palatino Linotype" w:cs="Times New Roman"/>
          <w:sz w:val="20"/>
          <w:szCs w:val="24"/>
          <w:lang w:val="es-ES_tradnl" w:eastAsia="es-ES"/>
        </w:rPr>
      </w:pPr>
      <w:hyperlink r:id="rId9" w:history="1">
        <w:r w:rsidR="00D16F88" w:rsidRPr="00D16F88">
          <w:rPr>
            <w:rFonts w:ascii="Palatino Linotype" w:eastAsia="Times New Roman" w:hAnsi="Palatino Linotype" w:cs="Times New Roman"/>
            <w:i/>
            <w:color w:val="0563C1" w:themeColor="hyperlink"/>
            <w:sz w:val="20"/>
            <w:szCs w:val="24"/>
            <w:u w:val="single"/>
            <w:lang w:val="es-ES_tradnl" w:eastAsia="es-ES"/>
          </w:rPr>
          <w:t>http://consultas.ifai.org.mx/descargar.php?r=./pdf/resoluciones/2017/&amp;a=RRA%203482.pdf</w:t>
        </w:r>
      </w:hyperlink>
      <w:r w:rsidR="00D16F88" w:rsidRPr="00D16F88">
        <w:rPr>
          <w:rFonts w:ascii="Palatino Linotype" w:eastAsia="Times New Roman" w:hAnsi="Palatino Linotype" w:cs="Times New Roman"/>
          <w:i/>
          <w:sz w:val="20"/>
          <w:szCs w:val="24"/>
          <w:lang w:val="es-ES_tradnl" w:eastAsia="es-ES"/>
        </w:rPr>
        <w:t>”</w:t>
      </w:r>
    </w:p>
    <w:p w:rsidR="00D16F88" w:rsidRPr="00D16F88" w:rsidRDefault="00D16F88" w:rsidP="00D16F88">
      <w:pPr>
        <w:spacing w:after="0" w:line="240" w:lineRule="auto"/>
        <w:ind w:left="567" w:right="616"/>
        <w:jc w:val="both"/>
        <w:rPr>
          <w:rFonts w:ascii="Palatino Linotype" w:eastAsia="Times New Roman" w:hAnsi="Palatino Linotype" w:cs="Times New Roman"/>
          <w:sz w:val="20"/>
          <w:szCs w:val="24"/>
          <w:lang w:val="es-ES_tradnl" w:eastAsia="es-ES"/>
        </w:rPr>
      </w:pPr>
    </w:p>
    <w:p w:rsidR="00D16F88" w:rsidRPr="00D16F88" w:rsidRDefault="00D16F88" w:rsidP="00D16F88">
      <w:pPr>
        <w:spacing w:after="0" w:line="240" w:lineRule="auto"/>
        <w:ind w:left="567" w:right="616"/>
        <w:jc w:val="right"/>
        <w:rPr>
          <w:rFonts w:ascii="Palatino Linotype" w:eastAsia="Times New Roman" w:hAnsi="Palatino Linotype" w:cs="Times New Roman"/>
          <w:sz w:val="20"/>
          <w:szCs w:val="24"/>
          <w:lang w:val="es-ES_tradnl" w:eastAsia="es-ES"/>
        </w:rPr>
      </w:pPr>
      <w:r w:rsidRPr="00D16F88">
        <w:rPr>
          <w:rFonts w:ascii="Palatino Linotype" w:eastAsia="Times New Roman" w:hAnsi="Palatino Linotype" w:cs="Times New Roman"/>
          <w:sz w:val="20"/>
          <w:szCs w:val="24"/>
          <w:lang w:val="es-ES_tradnl" w:eastAsia="es-ES"/>
        </w:rPr>
        <w:t>(Énfasis añadido)</w:t>
      </w:r>
    </w:p>
    <w:p w:rsidR="00D16F88" w:rsidRPr="00D16F88" w:rsidRDefault="00D16F88" w:rsidP="00D16F88">
      <w:pPr>
        <w:spacing w:after="0" w:line="360" w:lineRule="auto"/>
        <w:ind w:right="616"/>
        <w:jc w:val="both"/>
        <w:rPr>
          <w:rFonts w:ascii="Palatino Linotype" w:eastAsia="Times New Roman" w:hAnsi="Palatino Linotype" w:cs="Arial"/>
          <w:color w:val="000000" w:themeColor="text1"/>
          <w:sz w:val="24"/>
          <w:szCs w:val="24"/>
          <w:lang w:val="es-ES_tradnl" w:eastAsia="es-ES"/>
        </w:rPr>
      </w:pPr>
    </w:p>
    <w:p w:rsidR="00D16F88" w:rsidRPr="00D16F88" w:rsidRDefault="00D16F88" w:rsidP="00D16F88">
      <w:pPr>
        <w:spacing w:after="0" w:line="360" w:lineRule="auto"/>
        <w:jc w:val="both"/>
        <w:rPr>
          <w:rFonts w:ascii="Palatino Linotype" w:eastAsiaTheme="minorHAnsi" w:hAnsi="Palatino Linotype" w:cs="Arial"/>
          <w:sz w:val="24"/>
          <w:lang w:val="es-ES_tradnl" w:eastAsia="en-US"/>
        </w:rPr>
      </w:pPr>
      <w:r w:rsidRPr="00D16F88">
        <w:rPr>
          <w:rFonts w:ascii="Palatino Linotype" w:eastAsiaTheme="minorHAnsi" w:hAnsi="Palatino Linotype" w:cs="Arial"/>
          <w:sz w:val="24"/>
          <w:lang w:val="es-ES_tradnl" w:eastAsia="en-US"/>
        </w:rPr>
        <w:t xml:space="preserve">Criterio que establece en los supuestos que no se establezca </w:t>
      </w:r>
      <w:r w:rsidRPr="00D16F88">
        <w:rPr>
          <w:rFonts w:ascii="Palatino Linotype" w:eastAsiaTheme="minorHAnsi" w:hAnsi="Palatino Linotype" w:cs="Arial"/>
          <w:b/>
          <w:sz w:val="24"/>
          <w:lang w:val="es-ES_tradnl" w:eastAsia="en-US"/>
        </w:rPr>
        <w:t>periodo de la información</w:t>
      </w:r>
      <w:r w:rsidRPr="00D16F88">
        <w:rPr>
          <w:rFonts w:ascii="Palatino Linotype" w:eastAsiaTheme="minorHAnsi" w:hAnsi="Palatino Linotype" w:cs="Arial"/>
          <w:sz w:val="24"/>
          <w:lang w:val="es-ES_tradnl" w:eastAsia="en-US"/>
        </w:rPr>
        <w:t xml:space="preserve"> peticionada, se deberá establecer el año inmediato anterior, contado a partir de la fecha de ingreso de la solicitud, lo que en el caso particular, </w:t>
      </w:r>
      <w:r w:rsidRPr="00D16F88">
        <w:rPr>
          <w:rFonts w:ascii="Palatino Linotype" w:eastAsiaTheme="minorHAnsi" w:hAnsi="Palatino Linotype" w:cs="Arial"/>
          <w:b/>
          <w:sz w:val="24"/>
          <w:lang w:val="es-ES_tradnl" w:eastAsia="en-US"/>
        </w:rPr>
        <w:t xml:space="preserve">corresponde del </w:t>
      </w:r>
      <w:r>
        <w:rPr>
          <w:rFonts w:ascii="Palatino Linotype" w:eastAsiaTheme="minorHAnsi" w:hAnsi="Palatino Linotype" w:cs="Arial"/>
          <w:b/>
          <w:sz w:val="24"/>
          <w:lang w:val="es-ES_tradnl" w:eastAsia="en-US"/>
        </w:rPr>
        <w:t>08</w:t>
      </w:r>
      <w:r w:rsidRPr="00D16F88">
        <w:rPr>
          <w:rFonts w:ascii="Palatino Linotype" w:eastAsiaTheme="minorHAnsi" w:hAnsi="Palatino Linotype" w:cs="Arial"/>
          <w:b/>
          <w:sz w:val="24"/>
          <w:lang w:val="es-ES_tradnl" w:eastAsia="en-US"/>
        </w:rPr>
        <w:t xml:space="preserve"> (</w:t>
      </w:r>
      <w:r>
        <w:rPr>
          <w:rFonts w:ascii="Palatino Linotype" w:eastAsiaTheme="minorHAnsi" w:hAnsi="Palatino Linotype" w:cs="Arial"/>
          <w:b/>
          <w:sz w:val="24"/>
          <w:lang w:val="es-ES_tradnl" w:eastAsia="en-US"/>
        </w:rPr>
        <w:t>ocho</w:t>
      </w:r>
      <w:r w:rsidRPr="00D16F88">
        <w:rPr>
          <w:rFonts w:ascii="Palatino Linotype" w:eastAsiaTheme="minorHAnsi" w:hAnsi="Palatino Linotype" w:cs="Arial"/>
          <w:b/>
          <w:sz w:val="24"/>
          <w:lang w:val="es-ES_tradnl" w:eastAsia="en-US"/>
        </w:rPr>
        <w:t xml:space="preserve">) de </w:t>
      </w:r>
      <w:r>
        <w:rPr>
          <w:rFonts w:ascii="Palatino Linotype" w:eastAsiaTheme="minorHAnsi" w:hAnsi="Palatino Linotype" w:cs="Arial"/>
          <w:b/>
          <w:sz w:val="24"/>
          <w:lang w:val="es-ES_tradnl" w:eastAsia="en-US"/>
        </w:rPr>
        <w:t>noviembre</w:t>
      </w:r>
      <w:r w:rsidRPr="00D16F88">
        <w:rPr>
          <w:rFonts w:ascii="Palatino Linotype" w:eastAsiaTheme="minorHAnsi" w:hAnsi="Palatino Linotype" w:cs="Arial"/>
          <w:b/>
          <w:sz w:val="24"/>
          <w:lang w:val="es-ES_tradnl" w:eastAsia="en-US"/>
        </w:rPr>
        <w:t xml:space="preserve"> de 2021 (dos mil veintiuno) al </w:t>
      </w:r>
      <w:r>
        <w:rPr>
          <w:rFonts w:ascii="Palatino Linotype" w:eastAsiaTheme="minorHAnsi" w:hAnsi="Palatino Linotype" w:cs="Arial"/>
          <w:b/>
          <w:sz w:val="24"/>
          <w:lang w:val="es-ES_tradnl" w:eastAsia="en-US"/>
        </w:rPr>
        <w:t>08</w:t>
      </w:r>
      <w:r w:rsidRPr="00D16F88">
        <w:rPr>
          <w:rFonts w:ascii="Palatino Linotype" w:eastAsiaTheme="minorHAnsi" w:hAnsi="Palatino Linotype" w:cs="Arial"/>
          <w:b/>
          <w:sz w:val="24"/>
          <w:lang w:val="es-ES_tradnl" w:eastAsia="en-US"/>
        </w:rPr>
        <w:t xml:space="preserve"> (</w:t>
      </w:r>
      <w:r>
        <w:rPr>
          <w:rFonts w:ascii="Palatino Linotype" w:eastAsiaTheme="minorHAnsi" w:hAnsi="Palatino Linotype" w:cs="Arial"/>
          <w:b/>
          <w:sz w:val="24"/>
          <w:lang w:val="es-ES_tradnl" w:eastAsia="en-US"/>
        </w:rPr>
        <w:t>ocho</w:t>
      </w:r>
      <w:r w:rsidRPr="00D16F88">
        <w:rPr>
          <w:rFonts w:ascii="Palatino Linotype" w:eastAsiaTheme="minorHAnsi" w:hAnsi="Palatino Linotype" w:cs="Arial"/>
          <w:b/>
          <w:sz w:val="24"/>
          <w:lang w:val="es-ES_tradnl" w:eastAsia="en-US"/>
        </w:rPr>
        <w:t xml:space="preserve">) de </w:t>
      </w:r>
      <w:r>
        <w:rPr>
          <w:rFonts w:ascii="Palatino Linotype" w:eastAsiaTheme="minorHAnsi" w:hAnsi="Palatino Linotype" w:cs="Arial"/>
          <w:b/>
          <w:sz w:val="24"/>
          <w:lang w:val="es-ES_tradnl" w:eastAsia="en-US"/>
        </w:rPr>
        <w:t>noviembre</w:t>
      </w:r>
      <w:r w:rsidRPr="00D16F88">
        <w:rPr>
          <w:rFonts w:ascii="Palatino Linotype" w:eastAsiaTheme="minorHAnsi" w:hAnsi="Palatino Linotype" w:cs="Arial"/>
          <w:b/>
          <w:sz w:val="24"/>
          <w:lang w:val="es-ES_tradnl" w:eastAsia="en-US"/>
        </w:rPr>
        <w:t xml:space="preserve"> de 2022 (dos mil veintidós).</w:t>
      </w:r>
    </w:p>
    <w:p w:rsidR="00AB0C24" w:rsidRDefault="00AB0C24" w:rsidP="00AB0C24">
      <w:pPr>
        <w:spacing w:after="0" w:line="360" w:lineRule="auto"/>
        <w:jc w:val="both"/>
        <w:rPr>
          <w:rFonts w:ascii="Palatino Linotype" w:hAnsi="Palatino Linotype" w:cs="Arial"/>
          <w:sz w:val="24"/>
        </w:rPr>
      </w:pPr>
    </w:p>
    <w:p w:rsidR="00AB0C24" w:rsidRDefault="00AB0C24" w:rsidP="00AB0C24">
      <w:pPr>
        <w:spacing w:after="0" w:line="360" w:lineRule="auto"/>
        <w:jc w:val="both"/>
        <w:rPr>
          <w:rFonts w:ascii="Palatino Linotype" w:eastAsiaTheme="minorHAnsi" w:hAnsi="Palatino Linotype" w:cs="Arial"/>
          <w:sz w:val="24"/>
          <w:szCs w:val="24"/>
          <w:lang w:eastAsia="en-US"/>
        </w:rPr>
      </w:pPr>
      <w:r w:rsidRPr="00A2091E">
        <w:rPr>
          <w:rFonts w:ascii="Palatino Linotype" w:hAnsi="Palatino Linotype" w:cs="Times New Roman"/>
          <w:sz w:val="24"/>
          <w:szCs w:val="24"/>
          <w:lang w:val="es-ES_tradnl" w:eastAsia="es-ES"/>
        </w:rPr>
        <w:lastRenderedPageBreak/>
        <w:t>Hechas las precisiones anteriores, d</w:t>
      </w:r>
      <w:r w:rsidRPr="00A2091E">
        <w:rPr>
          <w:rFonts w:ascii="Palatino Linotype" w:eastAsiaTheme="minorHAnsi" w:hAnsi="Palatino Linotype" w:cs="Arial"/>
          <w:sz w:val="24"/>
          <w:lang w:val="es-ES_tradnl" w:eastAsia="en-US"/>
        </w:rPr>
        <w:t>e conformidad</w:t>
      </w:r>
      <w:r>
        <w:rPr>
          <w:rFonts w:ascii="Palatino Linotype" w:eastAsiaTheme="minorHAnsi" w:hAnsi="Palatino Linotype" w:cs="Arial"/>
          <w:sz w:val="24"/>
          <w:lang w:val="es-ES_tradnl" w:eastAsia="en-US"/>
        </w:rPr>
        <w:t xml:space="preserve"> </w:t>
      </w:r>
      <w:r w:rsidRPr="00BB1559">
        <w:rPr>
          <w:rFonts w:ascii="Palatino Linotype" w:eastAsiaTheme="minorHAnsi" w:hAnsi="Palatino Linotype" w:cs="Arial"/>
          <w:sz w:val="24"/>
          <w:lang w:val="es-ES_tradnl" w:eastAsia="en-US"/>
        </w:rPr>
        <w:t xml:space="preserve">con las constancias que obran en </w:t>
      </w:r>
      <w:r>
        <w:rPr>
          <w:rFonts w:ascii="Palatino Linotype" w:eastAsiaTheme="minorHAnsi" w:hAnsi="Palatino Linotype" w:cs="Arial"/>
          <w:sz w:val="24"/>
          <w:lang w:val="es-ES_tradnl" w:eastAsia="en-US"/>
        </w:rPr>
        <w:t xml:space="preserve">el expediente electrónico </w:t>
      </w:r>
      <w:r w:rsidRPr="00BB1559">
        <w:rPr>
          <w:rFonts w:ascii="Palatino Linotype" w:eastAsiaTheme="minorHAnsi" w:hAnsi="Palatino Linotype" w:cs="Arial"/>
          <w:sz w:val="24"/>
          <w:lang w:val="es-ES_tradnl" w:eastAsia="en-US"/>
        </w:rPr>
        <w:t>se observa que</w:t>
      </w:r>
      <w:r>
        <w:rPr>
          <w:rFonts w:ascii="Palatino Linotype" w:eastAsiaTheme="minorHAnsi" w:hAnsi="Palatino Linotype" w:cs="Arial"/>
          <w:sz w:val="24"/>
          <w:lang w:val="es-ES_tradnl" w:eastAsia="en-US"/>
        </w:rPr>
        <w:t xml:space="preserve">, </w:t>
      </w:r>
      <w:r w:rsidRPr="00BB1559">
        <w:rPr>
          <w:rFonts w:ascii="Palatino Linotype" w:eastAsiaTheme="minorHAnsi" w:hAnsi="Palatino Linotype" w:cs="Arial"/>
          <w:sz w:val="24"/>
          <w:lang w:val="es-ES_tradnl" w:eastAsia="en-US"/>
        </w:rPr>
        <w:t>e</w:t>
      </w:r>
      <w:r w:rsidRPr="00BB1559">
        <w:rPr>
          <w:rFonts w:ascii="Palatino Linotype" w:eastAsiaTheme="minorHAnsi" w:hAnsi="Palatino Linotype" w:cs="Arial"/>
          <w:sz w:val="24"/>
          <w:lang w:eastAsia="en-US"/>
        </w:rPr>
        <w:t xml:space="preserve">l </w:t>
      </w:r>
      <w:r w:rsidRPr="00BB1559">
        <w:rPr>
          <w:rFonts w:ascii="Palatino Linotype" w:eastAsiaTheme="minorHAnsi" w:hAnsi="Palatino Linotype" w:cs="Arial"/>
          <w:b/>
          <w:sz w:val="24"/>
          <w:lang w:eastAsia="en-US"/>
        </w:rPr>
        <w:t>Sujeto Obligado</w:t>
      </w:r>
      <w:r w:rsidRPr="00BB1559">
        <w:rPr>
          <w:rFonts w:ascii="Palatino Linotype" w:eastAsiaTheme="minorHAnsi" w:hAnsi="Palatino Linotype" w:cs="Arial"/>
          <w:sz w:val="24"/>
          <w:lang w:eastAsia="en-US"/>
        </w:rPr>
        <w:t xml:space="preserve"> dio respuesta por medio del </w:t>
      </w:r>
      <w:r w:rsidR="00D16F88">
        <w:rPr>
          <w:rFonts w:ascii="Palatino Linotype" w:eastAsiaTheme="minorHAnsi" w:hAnsi="Palatino Linotype" w:cs="Arial"/>
          <w:sz w:val="24"/>
          <w:lang w:eastAsia="en-US"/>
        </w:rPr>
        <w:t xml:space="preserve">oficio </w:t>
      </w:r>
      <w:r w:rsidR="00D16F88">
        <w:rPr>
          <w:rFonts w:ascii="Palatino Linotype" w:eastAsiaTheme="minorHAnsi" w:hAnsi="Palatino Linotype" w:cs="Arial"/>
          <w:i/>
          <w:sz w:val="24"/>
          <w:lang w:eastAsia="en-US"/>
        </w:rPr>
        <w:t>“</w:t>
      </w:r>
      <w:r w:rsidR="00D16F88" w:rsidRPr="00D16F88">
        <w:rPr>
          <w:rFonts w:ascii="Palatino Linotype" w:eastAsiaTheme="minorHAnsi" w:hAnsi="Palatino Linotype" w:cs="Arial"/>
          <w:b/>
          <w:i/>
          <w:sz w:val="24"/>
          <w:lang w:eastAsia="en-US"/>
        </w:rPr>
        <w:t>Respuesta 2387.pdf</w:t>
      </w:r>
      <w:r w:rsidR="00D16F88">
        <w:rPr>
          <w:rFonts w:ascii="Palatino Linotype" w:eastAsiaTheme="minorHAnsi" w:hAnsi="Palatino Linotype" w:cs="Arial"/>
          <w:i/>
          <w:sz w:val="24"/>
          <w:lang w:eastAsia="en-US"/>
        </w:rPr>
        <w:t>”</w:t>
      </w:r>
      <w:r w:rsidR="00D16F88">
        <w:rPr>
          <w:rFonts w:ascii="Palatino Linotype" w:eastAsiaTheme="minorHAnsi" w:hAnsi="Palatino Linotype" w:cs="Arial"/>
          <w:sz w:val="24"/>
          <w:lang w:eastAsia="en-US"/>
        </w:rPr>
        <w:t>, consistente en el oficio sin número, de fecha 09 (nueve) de diciembre de 2022 (dos mil veintidós), remitido por la Titular de la Unidad de Transparencia del Sujeto Obligado a la entonces Solicitante, del que se desprende sustancialmente el contenido</w:t>
      </w:r>
      <w:r>
        <w:rPr>
          <w:rFonts w:ascii="Palatino Linotype" w:eastAsiaTheme="minorHAnsi" w:hAnsi="Palatino Linotype" w:cs="Arial"/>
          <w:sz w:val="24"/>
          <w:szCs w:val="24"/>
          <w:lang w:eastAsia="en-US"/>
        </w:rPr>
        <w:t xml:space="preserve"> siguiente:</w:t>
      </w:r>
    </w:p>
    <w:p w:rsidR="00AB0C24" w:rsidRDefault="00AB0C24" w:rsidP="00AB0C24">
      <w:pPr>
        <w:spacing w:after="0" w:line="360" w:lineRule="auto"/>
        <w:jc w:val="both"/>
        <w:rPr>
          <w:rFonts w:ascii="Palatino Linotype" w:eastAsiaTheme="minorHAnsi" w:hAnsi="Palatino Linotype" w:cs="Arial"/>
          <w:sz w:val="24"/>
          <w:szCs w:val="24"/>
          <w:lang w:eastAsia="en-US"/>
        </w:rPr>
      </w:pPr>
    </w:p>
    <w:p w:rsidR="00D16F88" w:rsidRDefault="00AB0C24" w:rsidP="00AB0C24">
      <w:pPr>
        <w:spacing w:after="0" w:line="240" w:lineRule="auto"/>
        <w:ind w:left="567" w:right="616"/>
        <w:jc w:val="both"/>
        <w:rPr>
          <w:rFonts w:ascii="Palatino Linotype" w:eastAsiaTheme="minorHAnsi" w:hAnsi="Palatino Linotype" w:cs="Arial"/>
          <w:i/>
          <w:szCs w:val="24"/>
          <w:lang w:eastAsia="en-US"/>
        </w:rPr>
      </w:pPr>
      <w:r>
        <w:rPr>
          <w:rFonts w:ascii="Palatino Linotype" w:eastAsiaTheme="minorHAnsi" w:hAnsi="Palatino Linotype" w:cs="Arial"/>
          <w:i/>
          <w:szCs w:val="24"/>
          <w:lang w:eastAsia="en-US"/>
        </w:rPr>
        <w:t>“…</w:t>
      </w:r>
      <w:r w:rsidR="00D16F88">
        <w:rPr>
          <w:rFonts w:ascii="Palatino Linotype" w:eastAsiaTheme="minorHAnsi" w:hAnsi="Palatino Linotype" w:cs="Arial"/>
          <w:i/>
          <w:szCs w:val="24"/>
          <w:lang w:eastAsia="en-US"/>
        </w:rPr>
        <w:t xml:space="preserve">hago de su conocimiento que </w:t>
      </w:r>
      <w:r w:rsidR="00D16F88" w:rsidRPr="00F9752B">
        <w:rPr>
          <w:rFonts w:ascii="Palatino Linotype" w:eastAsiaTheme="minorHAnsi" w:hAnsi="Palatino Linotype" w:cs="Arial"/>
          <w:i/>
          <w:szCs w:val="24"/>
          <w:u w:val="single"/>
          <w:lang w:eastAsia="en-US"/>
        </w:rPr>
        <w:t>la Dirección General de Desarrollo Urbano, Ordenamiento Territorial y Obras Públicas</w:t>
      </w:r>
      <w:r w:rsidR="00D16F88">
        <w:rPr>
          <w:rFonts w:ascii="Palatino Linotype" w:eastAsiaTheme="minorHAnsi" w:hAnsi="Palatino Linotype" w:cs="Arial"/>
          <w:i/>
          <w:szCs w:val="24"/>
          <w:lang w:eastAsia="en-US"/>
        </w:rPr>
        <w:t xml:space="preserve"> y Servidora Pública Habilitada, informó a la que suscribe que después de realizar una búsqueda exhaustiva y razonable en los archivos que se encuentran bajo resguardo de la Dirección de Obras Públicas, así como dela Unidad Municipal de Planeación, </w:t>
      </w:r>
      <w:r w:rsidR="00D16F88" w:rsidRPr="00F9752B">
        <w:rPr>
          <w:rFonts w:ascii="Palatino Linotype" w:eastAsiaTheme="minorHAnsi" w:hAnsi="Palatino Linotype" w:cs="Arial"/>
          <w:i/>
          <w:szCs w:val="24"/>
          <w:u w:val="single"/>
          <w:lang w:eastAsia="en-US"/>
        </w:rPr>
        <w:t>advierte que No se generó, administra ni posee soporte documental</w:t>
      </w:r>
      <w:r w:rsidR="00D16F88">
        <w:rPr>
          <w:rFonts w:ascii="Palatino Linotype" w:eastAsiaTheme="minorHAnsi" w:hAnsi="Palatino Linotype" w:cs="Arial"/>
          <w:i/>
          <w:szCs w:val="24"/>
          <w:lang w:eastAsia="en-US"/>
        </w:rPr>
        <w:t>…</w:t>
      </w:r>
    </w:p>
    <w:p w:rsidR="00D16F88" w:rsidRDefault="00D16F88" w:rsidP="00AB0C24">
      <w:pPr>
        <w:spacing w:after="0" w:line="240" w:lineRule="auto"/>
        <w:ind w:left="567" w:right="616"/>
        <w:jc w:val="both"/>
        <w:rPr>
          <w:rFonts w:ascii="Palatino Linotype" w:eastAsiaTheme="minorHAnsi" w:hAnsi="Palatino Linotype" w:cs="Arial"/>
          <w:i/>
          <w:szCs w:val="24"/>
          <w:lang w:eastAsia="en-US"/>
        </w:rPr>
      </w:pPr>
    </w:p>
    <w:p w:rsidR="00AC32C0" w:rsidRDefault="00AC32C0" w:rsidP="00AB0C24">
      <w:pPr>
        <w:spacing w:after="0" w:line="240" w:lineRule="auto"/>
        <w:ind w:left="567" w:right="616"/>
        <w:jc w:val="both"/>
        <w:rPr>
          <w:rFonts w:ascii="Palatino Linotype" w:eastAsiaTheme="minorHAnsi" w:hAnsi="Palatino Linotype" w:cs="Arial"/>
          <w:i/>
          <w:szCs w:val="24"/>
          <w:lang w:eastAsia="en-US"/>
        </w:rPr>
      </w:pPr>
      <w:r>
        <w:rPr>
          <w:rFonts w:ascii="Palatino Linotype" w:eastAsiaTheme="minorHAnsi" w:hAnsi="Palatino Linotype" w:cs="Arial"/>
          <w:i/>
          <w:szCs w:val="24"/>
          <w:lang w:eastAsia="en-US"/>
        </w:rPr>
        <w:t xml:space="preserve">Al tiempo informó, que en lo que va de esta administración, </w:t>
      </w:r>
      <w:r w:rsidRPr="00F9752B">
        <w:rPr>
          <w:rFonts w:ascii="Palatino Linotype" w:eastAsiaTheme="minorHAnsi" w:hAnsi="Palatino Linotype" w:cs="Arial"/>
          <w:i/>
          <w:szCs w:val="24"/>
          <w:u w:val="single"/>
          <w:lang w:eastAsia="en-US"/>
        </w:rPr>
        <w:t>no se han llevado a cabo estudios para la implementación de ciclovías en Toluca; asimismo, señaló que el proyecto de la ciclovía de Isidro Fabela corresponde a un proyecto de Gobierno del Estado de México</w:t>
      </w:r>
      <w:r>
        <w:rPr>
          <w:rFonts w:ascii="Palatino Linotype" w:eastAsiaTheme="minorHAnsi" w:hAnsi="Palatino Linotype" w:cs="Arial"/>
          <w:i/>
          <w:szCs w:val="24"/>
          <w:lang w:eastAsia="en-US"/>
        </w:rPr>
        <w:t>.</w:t>
      </w:r>
    </w:p>
    <w:p w:rsidR="00AC32C0" w:rsidRDefault="00AC32C0" w:rsidP="00AB0C24">
      <w:pPr>
        <w:spacing w:after="0" w:line="240" w:lineRule="auto"/>
        <w:ind w:left="567" w:right="616"/>
        <w:jc w:val="both"/>
        <w:rPr>
          <w:rFonts w:ascii="Palatino Linotype" w:eastAsiaTheme="minorHAnsi" w:hAnsi="Palatino Linotype" w:cs="Arial"/>
          <w:i/>
          <w:szCs w:val="24"/>
          <w:lang w:eastAsia="en-US"/>
        </w:rPr>
      </w:pPr>
    </w:p>
    <w:p w:rsidR="00AC32C0" w:rsidRDefault="00AC32C0" w:rsidP="00AC32C0">
      <w:pPr>
        <w:spacing w:after="0" w:line="240" w:lineRule="auto"/>
        <w:ind w:left="567" w:right="616"/>
        <w:jc w:val="both"/>
        <w:rPr>
          <w:rFonts w:ascii="Palatino Linotype" w:eastAsiaTheme="minorHAnsi" w:hAnsi="Palatino Linotype" w:cs="Arial"/>
          <w:i/>
          <w:szCs w:val="24"/>
          <w:lang w:eastAsia="en-US"/>
        </w:rPr>
      </w:pPr>
      <w:r w:rsidRPr="00AC32C0">
        <w:rPr>
          <w:rFonts w:ascii="Palatino Linotype" w:eastAsiaTheme="minorHAnsi" w:hAnsi="Palatino Linotype" w:cs="Arial"/>
          <w:i/>
          <w:szCs w:val="24"/>
          <w:lang w:eastAsia="en-US"/>
        </w:rPr>
        <w:t>Aunado a ello, la Dirección General de Medio Ambiente y Servidor Público Habilitado,</w:t>
      </w:r>
      <w:r>
        <w:rPr>
          <w:rFonts w:ascii="Palatino Linotype" w:eastAsiaTheme="minorHAnsi" w:hAnsi="Palatino Linotype" w:cs="Arial"/>
          <w:i/>
          <w:szCs w:val="24"/>
          <w:lang w:eastAsia="en-US"/>
        </w:rPr>
        <w:t xml:space="preserve"> </w:t>
      </w:r>
      <w:r w:rsidRPr="00AC32C0">
        <w:rPr>
          <w:rFonts w:ascii="Palatino Linotype" w:eastAsiaTheme="minorHAnsi" w:hAnsi="Palatino Linotype" w:cs="Arial"/>
          <w:i/>
          <w:szCs w:val="24"/>
          <w:lang w:eastAsia="en-US"/>
        </w:rPr>
        <w:t>informó que una vez realizada la búsqueda exhaustiva y razonada dentro de los</w:t>
      </w:r>
      <w:r>
        <w:rPr>
          <w:rFonts w:ascii="Palatino Linotype" w:eastAsiaTheme="minorHAnsi" w:hAnsi="Palatino Linotype" w:cs="Arial"/>
          <w:i/>
          <w:szCs w:val="24"/>
          <w:lang w:eastAsia="en-US"/>
        </w:rPr>
        <w:t xml:space="preserve"> </w:t>
      </w:r>
      <w:r w:rsidRPr="00AC32C0">
        <w:rPr>
          <w:rFonts w:ascii="Palatino Linotype" w:eastAsiaTheme="minorHAnsi" w:hAnsi="Palatino Linotype" w:cs="Arial"/>
          <w:i/>
          <w:szCs w:val="24"/>
          <w:lang w:eastAsia="en-US"/>
        </w:rPr>
        <w:t>archivos que obran en dicha dependencia, no se localizó la información que solicita,</w:t>
      </w:r>
      <w:r>
        <w:rPr>
          <w:rFonts w:ascii="Palatino Linotype" w:eastAsiaTheme="minorHAnsi" w:hAnsi="Palatino Linotype" w:cs="Arial"/>
          <w:i/>
          <w:szCs w:val="24"/>
          <w:lang w:eastAsia="en-US"/>
        </w:rPr>
        <w:t xml:space="preserve"> </w:t>
      </w:r>
      <w:r w:rsidRPr="00AC32C0">
        <w:rPr>
          <w:rFonts w:ascii="Palatino Linotype" w:eastAsiaTheme="minorHAnsi" w:hAnsi="Palatino Linotype" w:cs="Arial"/>
          <w:i/>
          <w:szCs w:val="24"/>
          <w:lang w:eastAsia="en-US"/>
        </w:rPr>
        <w:t xml:space="preserve">derivado que </w:t>
      </w:r>
      <w:r w:rsidRPr="00F9752B">
        <w:rPr>
          <w:rFonts w:ascii="Palatino Linotype" w:eastAsiaTheme="minorHAnsi" w:hAnsi="Palatino Linotype" w:cs="Arial"/>
          <w:i/>
          <w:szCs w:val="24"/>
          <w:u w:val="single"/>
          <w:lang w:eastAsia="en-US"/>
        </w:rPr>
        <w:t>esta autoridad no es el área correspondiente de generar dichos documentos, ya que no forma parte de las funciones y atribuciones</w:t>
      </w:r>
      <w:r w:rsidRPr="00AC32C0">
        <w:rPr>
          <w:rFonts w:ascii="Palatino Linotype" w:eastAsiaTheme="minorHAnsi" w:hAnsi="Palatino Linotype" w:cs="Arial"/>
          <w:i/>
          <w:szCs w:val="24"/>
          <w:lang w:eastAsia="en-US"/>
        </w:rPr>
        <w:t xml:space="preserve"> establecidas para</w:t>
      </w:r>
      <w:r>
        <w:rPr>
          <w:rFonts w:ascii="Palatino Linotype" w:eastAsiaTheme="minorHAnsi" w:hAnsi="Palatino Linotype" w:cs="Arial"/>
          <w:i/>
          <w:szCs w:val="24"/>
          <w:lang w:eastAsia="en-US"/>
        </w:rPr>
        <w:t xml:space="preserve"> </w:t>
      </w:r>
      <w:r w:rsidRPr="00AC32C0">
        <w:rPr>
          <w:rFonts w:ascii="Palatino Linotype" w:eastAsiaTheme="minorHAnsi" w:hAnsi="Palatino Linotype" w:cs="Arial"/>
          <w:i/>
          <w:szCs w:val="24"/>
          <w:lang w:eastAsia="en-US"/>
        </w:rPr>
        <w:t>esta Dirección General así como de acuerdo al Manual de Procedimientos del</w:t>
      </w:r>
      <w:r>
        <w:rPr>
          <w:rFonts w:ascii="Palatino Linotype" w:eastAsiaTheme="minorHAnsi" w:hAnsi="Palatino Linotype" w:cs="Arial"/>
          <w:i/>
          <w:szCs w:val="24"/>
          <w:lang w:eastAsia="en-US"/>
        </w:rPr>
        <w:t xml:space="preserve"> </w:t>
      </w:r>
      <w:r w:rsidRPr="00AC32C0">
        <w:rPr>
          <w:rFonts w:ascii="Palatino Linotype" w:eastAsiaTheme="minorHAnsi" w:hAnsi="Palatino Linotype" w:cs="Arial"/>
          <w:i/>
          <w:szCs w:val="24"/>
          <w:lang w:eastAsia="en-US"/>
        </w:rPr>
        <w:t>Departamento de Cambio Climático y Movilidad Alternativa y a los artículos 3.46 y 3.49</w:t>
      </w:r>
      <w:r>
        <w:rPr>
          <w:rFonts w:ascii="Palatino Linotype" w:eastAsiaTheme="minorHAnsi" w:hAnsi="Palatino Linotype" w:cs="Arial"/>
          <w:i/>
          <w:szCs w:val="24"/>
          <w:lang w:eastAsia="en-US"/>
        </w:rPr>
        <w:t xml:space="preserve"> </w:t>
      </w:r>
      <w:r w:rsidRPr="00AC32C0">
        <w:rPr>
          <w:rFonts w:ascii="Palatino Linotype" w:eastAsiaTheme="minorHAnsi" w:hAnsi="Palatino Linotype" w:cs="Arial"/>
          <w:i/>
          <w:szCs w:val="24"/>
          <w:lang w:eastAsia="en-US"/>
        </w:rPr>
        <w:t>del Código Reglamentario Municipal de Toluca vigente, que a letra dice: La o el titular</w:t>
      </w:r>
      <w:r>
        <w:rPr>
          <w:rFonts w:ascii="Palatino Linotype" w:eastAsiaTheme="minorHAnsi" w:hAnsi="Palatino Linotype" w:cs="Arial"/>
          <w:i/>
          <w:szCs w:val="24"/>
          <w:lang w:eastAsia="en-US"/>
        </w:rPr>
        <w:t xml:space="preserve"> </w:t>
      </w:r>
      <w:r w:rsidRPr="00AC32C0">
        <w:rPr>
          <w:rFonts w:ascii="Palatino Linotype" w:eastAsiaTheme="minorHAnsi" w:hAnsi="Palatino Linotype" w:cs="Arial"/>
          <w:i/>
          <w:szCs w:val="24"/>
          <w:lang w:eastAsia="en-US"/>
        </w:rPr>
        <w:t>de la Dirección de Prevención, Educación y Control Ambiental dentro de sus</w:t>
      </w:r>
      <w:r>
        <w:rPr>
          <w:rFonts w:ascii="Palatino Linotype" w:eastAsiaTheme="minorHAnsi" w:hAnsi="Palatino Linotype" w:cs="Arial"/>
          <w:i/>
          <w:szCs w:val="24"/>
          <w:lang w:eastAsia="en-US"/>
        </w:rPr>
        <w:t xml:space="preserve"> </w:t>
      </w:r>
      <w:r w:rsidRPr="00AC32C0">
        <w:rPr>
          <w:rFonts w:ascii="Palatino Linotype" w:eastAsiaTheme="minorHAnsi" w:hAnsi="Palatino Linotype" w:cs="Arial"/>
          <w:i/>
          <w:szCs w:val="24"/>
          <w:lang w:eastAsia="en-US"/>
        </w:rPr>
        <w:t>atribuciones es el de concientizar a la población en el uso de transporte sustentable.</w:t>
      </w:r>
    </w:p>
    <w:p w:rsidR="00AC32C0" w:rsidRPr="00AC32C0" w:rsidRDefault="00AC32C0" w:rsidP="00AC32C0">
      <w:pPr>
        <w:spacing w:after="0" w:line="240" w:lineRule="auto"/>
        <w:ind w:left="567" w:right="616"/>
        <w:jc w:val="both"/>
        <w:rPr>
          <w:rFonts w:ascii="Palatino Linotype" w:eastAsiaTheme="minorHAnsi" w:hAnsi="Palatino Linotype" w:cs="Arial"/>
          <w:i/>
          <w:szCs w:val="24"/>
          <w:lang w:eastAsia="en-US"/>
        </w:rPr>
      </w:pPr>
    </w:p>
    <w:p w:rsidR="00AC32C0" w:rsidRPr="00AC32C0" w:rsidRDefault="00AC32C0" w:rsidP="00AC32C0">
      <w:pPr>
        <w:spacing w:after="0" w:line="240" w:lineRule="auto"/>
        <w:ind w:left="567" w:right="616"/>
        <w:jc w:val="both"/>
        <w:rPr>
          <w:rFonts w:ascii="Palatino Linotype" w:eastAsiaTheme="minorHAnsi" w:hAnsi="Palatino Linotype" w:cs="Arial"/>
          <w:i/>
          <w:szCs w:val="24"/>
          <w:lang w:eastAsia="en-US"/>
        </w:rPr>
      </w:pPr>
      <w:r w:rsidRPr="00AC32C0">
        <w:rPr>
          <w:rFonts w:ascii="Palatino Linotype" w:eastAsiaTheme="minorHAnsi" w:hAnsi="Palatino Linotype" w:cs="Arial"/>
          <w:i/>
          <w:szCs w:val="24"/>
          <w:lang w:eastAsia="en-US"/>
        </w:rPr>
        <w:t>Finalmente, la Dirección General de Seguridad y Protección y Servidor Público</w:t>
      </w:r>
      <w:r>
        <w:rPr>
          <w:rFonts w:ascii="Palatino Linotype" w:eastAsiaTheme="minorHAnsi" w:hAnsi="Palatino Linotype" w:cs="Arial"/>
          <w:i/>
          <w:szCs w:val="24"/>
          <w:lang w:eastAsia="en-US"/>
        </w:rPr>
        <w:t xml:space="preserve"> h</w:t>
      </w:r>
      <w:r w:rsidRPr="00AC32C0">
        <w:rPr>
          <w:rFonts w:ascii="Palatino Linotype" w:eastAsiaTheme="minorHAnsi" w:hAnsi="Palatino Linotype" w:cs="Arial"/>
          <w:i/>
          <w:szCs w:val="24"/>
          <w:lang w:eastAsia="en-US"/>
        </w:rPr>
        <w:t>abilitado, informó que los acuerdos, contratos, convenios, estudios técnicos y</w:t>
      </w:r>
      <w:r>
        <w:rPr>
          <w:rFonts w:ascii="Palatino Linotype" w:eastAsiaTheme="minorHAnsi" w:hAnsi="Palatino Linotype" w:cs="Arial"/>
          <w:i/>
          <w:szCs w:val="24"/>
          <w:lang w:eastAsia="en-US"/>
        </w:rPr>
        <w:t xml:space="preserve"> dict</w:t>
      </w:r>
      <w:r w:rsidRPr="00AC32C0">
        <w:rPr>
          <w:rFonts w:ascii="Palatino Linotype" w:eastAsiaTheme="minorHAnsi" w:hAnsi="Palatino Linotype" w:cs="Arial"/>
          <w:i/>
          <w:szCs w:val="24"/>
          <w:lang w:eastAsia="en-US"/>
        </w:rPr>
        <w:t>ámenes de factibilidad de las obras correspondientes a ciclovías programadas, se</w:t>
      </w:r>
      <w:r>
        <w:rPr>
          <w:rFonts w:ascii="Palatino Linotype" w:eastAsiaTheme="minorHAnsi" w:hAnsi="Palatino Linotype" w:cs="Arial"/>
          <w:i/>
          <w:szCs w:val="24"/>
          <w:lang w:eastAsia="en-US"/>
        </w:rPr>
        <w:t xml:space="preserve"> </w:t>
      </w:r>
      <w:r w:rsidRPr="00AC32C0">
        <w:rPr>
          <w:rFonts w:ascii="Palatino Linotype" w:eastAsiaTheme="minorHAnsi" w:hAnsi="Palatino Linotype" w:cs="Arial"/>
          <w:i/>
          <w:szCs w:val="24"/>
          <w:lang w:eastAsia="en-US"/>
        </w:rPr>
        <w:t>realizan con la aportación de información de diversas áreas de la administración</w:t>
      </w:r>
      <w:r>
        <w:rPr>
          <w:rFonts w:ascii="Palatino Linotype" w:eastAsiaTheme="minorHAnsi" w:hAnsi="Palatino Linotype" w:cs="Arial"/>
          <w:i/>
          <w:szCs w:val="24"/>
          <w:lang w:eastAsia="en-US"/>
        </w:rPr>
        <w:t xml:space="preserve"> </w:t>
      </w:r>
      <w:r w:rsidRPr="00AC32C0">
        <w:rPr>
          <w:rFonts w:ascii="Palatino Linotype" w:eastAsiaTheme="minorHAnsi" w:hAnsi="Palatino Linotype" w:cs="Arial"/>
          <w:i/>
          <w:szCs w:val="24"/>
          <w:lang w:eastAsia="en-US"/>
        </w:rPr>
        <w:t xml:space="preserve">municipal y del Gobierno </w:t>
      </w:r>
      <w:r w:rsidRPr="00AC32C0">
        <w:rPr>
          <w:rFonts w:ascii="Palatino Linotype" w:eastAsiaTheme="minorHAnsi" w:hAnsi="Palatino Linotype" w:cs="Arial"/>
          <w:i/>
          <w:szCs w:val="24"/>
          <w:lang w:eastAsia="en-US"/>
        </w:rPr>
        <w:lastRenderedPageBreak/>
        <w:t>del Estado de México, en particular la Dirección de</w:t>
      </w:r>
      <w:r>
        <w:rPr>
          <w:rFonts w:ascii="Palatino Linotype" w:eastAsiaTheme="minorHAnsi" w:hAnsi="Palatino Linotype" w:cs="Arial"/>
          <w:i/>
          <w:szCs w:val="24"/>
          <w:lang w:eastAsia="en-US"/>
        </w:rPr>
        <w:t xml:space="preserve"> </w:t>
      </w:r>
      <w:r w:rsidRPr="00AC32C0">
        <w:rPr>
          <w:rFonts w:ascii="Palatino Linotype" w:eastAsiaTheme="minorHAnsi" w:hAnsi="Palatino Linotype" w:cs="Arial"/>
          <w:i/>
          <w:szCs w:val="24"/>
          <w:lang w:eastAsia="en-US"/>
        </w:rPr>
        <w:t>Sustentabilidad Vial, trabaja en la revisión de proyectos, de acuerdo en lo establecido</w:t>
      </w:r>
      <w:r>
        <w:rPr>
          <w:rFonts w:ascii="Palatino Linotype" w:eastAsiaTheme="minorHAnsi" w:hAnsi="Palatino Linotype" w:cs="Arial"/>
          <w:i/>
          <w:szCs w:val="24"/>
          <w:lang w:eastAsia="en-US"/>
        </w:rPr>
        <w:t xml:space="preserve"> </w:t>
      </w:r>
      <w:r w:rsidRPr="00AC32C0">
        <w:rPr>
          <w:rFonts w:ascii="Palatino Linotype" w:eastAsiaTheme="minorHAnsi" w:hAnsi="Palatino Linotype" w:cs="Arial"/>
          <w:i/>
          <w:szCs w:val="24"/>
          <w:lang w:eastAsia="en-US"/>
        </w:rPr>
        <w:t>en el artículo 3.39 bis del Código Reglamentario, en coordinación con las áreas</w:t>
      </w:r>
      <w:r>
        <w:rPr>
          <w:rFonts w:ascii="Palatino Linotype" w:eastAsiaTheme="minorHAnsi" w:hAnsi="Palatino Linotype" w:cs="Arial"/>
          <w:i/>
          <w:szCs w:val="24"/>
          <w:lang w:eastAsia="en-US"/>
        </w:rPr>
        <w:t xml:space="preserve"> </w:t>
      </w:r>
      <w:r w:rsidRPr="00AC32C0">
        <w:rPr>
          <w:rFonts w:ascii="Palatino Linotype" w:eastAsiaTheme="minorHAnsi" w:hAnsi="Palatino Linotype" w:cs="Arial"/>
          <w:i/>
          <w:szCs w:val="24"/>
          <w:lang w:eastAsia="en-US"/>
        </w:rPr>
        <w:t>competentes, quienes se encargan de realizar la propuesta integral de información</w:t>
      </w:r>
      <w:r>
        <w:rPr>
          <w:rFonts w:ascii="Palatino Linotype" w:eastAsiaTheme="minorHAnsi" w:hAnsi="Palatino Linotype" w:cs="Arial"/>
          <w:i/>
          <w:szCs w:val="24"/>
          <w:lang w:eastAsia="en-US"/>
        </w:rPr>
        <w:t xml:space="preserve"> </w:t>
      </w:r>
      <w:r w:rsidRPr="00AC32C0">
        <w:rPr>
          <w:rFonts w:ascii="Palatino Linotype" w:eastAsiaTheme="minorHAnsi" w:hAnsi="Palatino Linotype" w:cs="Arial"/>
          <w:i/>
          <w:szCs w:val="24"/>
          <w:lang w:eastAsia="en-US"/>
        </w:rPr>
        <w:t>para determinar la viabilidad del desarrollo de la misma; por lo anterior hace de su</w:t>
      </w:r>
      <w:r>
        <w:rPr>
          <w:rFonts w:ascii="Palatino Linotype" w:eastAsiaTheme="minorHAnsi" w:hAnsi="Palatino Linotype" w:cs="Arial"/>
          <w:i/>
          <w:szCs w:val="24"/>
          <w:lang w:eastAsia="en-US"/>
        </w:rPr>
        <w:t xml:space="preserve"> </w:t>
      </w:r>
      <w:r w:rsidRPr="00AC32C0">
        <w:rPr>
          <w:rFonts w:ascii="Palatino Linotype" w:eastAsiaTheme="minorHAnsi" w:hAnsi="Palatino Linotype" w:cs="Arial"/>
          <w:i/>
          <w:szCs w:val="24"/>
          <w:lang w:eastAsia="en-US"/>
        </w:rPr>
        <w:t>conocimiento que dicha dependencia “no cuenta con el soporte documental para</w:t>
      </w:r>
      <w:r>
        <w:rPr>
          <w:rFonts w:ascii="Palatino Linotype" w:eastAsiaTheme="minorHAnsi" w:hAnsi="Palatino Linotype" w:cs="Arial"/>
          <w:i/>
          <w:szCs w:val="24"/>
          <w:lang w:eastAsia="en-US"/>
        </w:rPr>
        <w:t xml:space="preserve"> </w:t>
      </w:r>
      <w:r w:rsidRPr="00AC32C0">
        <w:rPr>
          <w:rFonts w:ascii="Palatino Linotype" w:eastAsiaTheme="minorHAnsi" w:hAnsi="Palatino Linotype" w:cs="Arial"/>
          <w:i/>
          <w:szCs w:val="24"/>
          <w:lang w:eastAsia="en-US"/>
        </w:rPr>
        <w:t>atender favorablemente su petición, toda vez que n</w:t>
      </w:r>
      <w:r w:rsidR="00F45938">
        <w:rPr>
          <w:rFonts w:ascii="Palatino Linotype" w:eastAsiaTheme="minorHAnsi" w:hAnsi="Palatino Linotype" w:cs="Arial"/>
          <w:i/>
          <w:szCs w:val="24"/>
          <w:lang w:eastAsia="en-US"/>
        </w:rPr>
        <w:t>o</w:t>
      </w:r>
      <w:r w:rsidRPr="00AC32C0">
        <w:rPr>
          <w:rFonts w:ascii="Palatino Linotype" w:eastAsiaTheme="minorHAnsi" w:hAnsi="Palatino Linotype" w:cs="Arial"/>
          <w:i/>
          <w:szCs w:val="24"/>
          <w:lang w:eastAsia="en-US"/>
        </w:rPr>
        <w:t xml:space="preserve"> ha sido generado, poseído y/o</w:t>
      </w:r>
      <w:r>
        <w:rPr>
          <w:rFonts w:ascii="Palatino Linotype" w:eastAsiaTheme="minorHAnsi" w:hAnsi="Palatino Linotype" w:cs="Arial"/>
          <w:i/>
          <w:szCs w:val="24"/>
          <w:lang w:eastAsia="en-US"/>
        </w:rPr>
        <w:t xml:space="preserve"> </w:t>
      </w:r>
      <w:r w:rsidRPr="00AC32C0">
        <w:rPr>
          <w:rFonts w:ascii="Palatino Linotype" w:eastAsiaTheme="minorHAnsi" w:hAnsi="Palatino Linotype" w:cs="Arial"/>
          <w:i/>
          <w:szCs w:val="24"/>
          <w:lang w:eastAsia="en-US"/>
        </w:rPr>
        <w:t>administrado.</w:t>
      </w:r>
    </w:p>
    <w:p w:rsidR="00AC32C0" w:rsidRPr="00AC32C0" w:rsidRDefault="00AC32C0" w:rsidP="00AC32C0">
      <w:pPr>
        <w:spacing w:after="0" w:line="240" w:lineRule="auto"/>
        <w:ind w:left="567" w:right="616"/>
        <w:jc w:val="both"/>
        <w:rPr>
          <w:rFonts w:ascii="Palatino Linotype" w:eastAsiaTheme="minorHAnsi" w:hAnsi="Palatino Linotype" w:cs="Arial"/>
          <w:i/>
          <w:szCs w:val="24"/>
          <w:lang w:eastAsia="en-US"/>
        </w:rPr>
      </w:pPr>
    </w:p>
    <w:p w:rsidR="00AB0C24" w:rsidRDefault="00AC32C0" w:rsidP="00AC32C0">
      <w:pPr>
        <w:spacing w:after="0" w:line="240" w:lineRule="auto"/>
        <w:ind w:left="567" w:right="616"/>
        <w:jc w:val="both"/>
        <w:rPr>
          <w:rFonts w:ascii="Palatino Linotype" w:eastAsiaTheme="minorHAnsi" w:hAnsi="Palatino Linotype" w:cs="Arial"/>
          <w:sz w:val="24"/>
          <w:szCs w:val="24"/>
          <w:lang w:eastAsia="en-US"/>
        </w:rPr>
      </w:pPr>
      <w:r w:rsidRPr="00AC32C0">
        <w:rPr>
          <w:rFonts w:ascii="Palatino Linotype" w:eastAsiaTheme="minorHAnsi" w:hAnsi="Palatino Linotype" w:cs="Arial"/>
          <w:i/>
          <w:szCs w:val="24"/>
          <w:lang w:eastAsia="en-US"/>
        </w:rPr>
        <w:t>Lo anterior, de conformidad con los artículos 12 y 24 de la Ley de Transparencia, Acceso</w:t>
      </w:r>
      <w:r>
        <w:rPr>
          <w:rFonts w:ascii="Palatino Linotype" w:eastAsiaTheme="minorHAnsi" w:hAnsi="Palatino Linotype" w:cs="Arial"/>
          <w:i/>
          <w:szCs w:val="24"/>
          <w:lang w:eastAsia="en-US"/>
        </w:rPr>
        <w:t xml:space="preserve"> </w:t>
      </w:r>
      <w:r w:rsidRPr="00AC32C0">
        <w:rPr>
          <w:rFonts w:ascii="Palatino Linotype" w:eastAsiaTheme="minorHAnsi" w:hAnsi="Palatino Linotype" w:cs="Arial"/>
          <w:i/>
          <w:szCs w:val="24"/>
          <w:lang w:eastAsia="en-US"/>
        </w:rPr>
        <w:t>a la Información Pública del Estado de México y Municipios que a la letra dicen:</w:t>
      </w:r>
      <w:r w:rsidR="0038345F">
        <w:rPr>
          <w:rFonts w:ascii="Palatino Linotype" w:eastAsiaTheme="minorHAnsi" w:hAnsi="Palatino Linotype" w:cs="Arial"/>
          <w:i/>
          <w:szCs w:val="24"/>
          <w:lang w:eastAsia="en-US"/>
        </w:rPr>
        <w:t>…”</w:t>
      </w:r>
    </w:p>
    <w:p w:rsidR="00AC32C0" w:rsidRDefault="00AC32C0" w:rsidP="00AB0C24">
      <w:pPr>
        <w:spacing w:after="0" w:line="360" w:lineRule="auto"/>
        <w:jc w:val="both"/>
        <w:rPr>
          <w:rFonts w:ascii="Palatino Linotype" w:eastAsiaTheme="minorHAnsi" w:hAnsi="Palatino Linotype" w:cs="Arial"/>
          <w:sz w:val="24"/>
          <w:szCs w:val="24"/>
          <w:lang w:eastAsia="en-US"/>
        </w:rPr>
      </w:pPr>
    </w:p>
    <w:p w:rsidR="00AB0C24" w:rsidRPr="0038345F" w:rsidRDefault="00AB0C24" w:rsidP="00AB0C24">
      <w:pPr>
        <w:spacing w:after="0" w:line="360" w:lineRule="auto"/>
        <w:jc w:val="both"/>
        <w:rPr>
          <w:rFonts w:ascii="Palatino Linotype" w:eastAsiaTheme="minorHAnsi" w:hAnsi="Palatino Linotype" w:cs="Arial"/>
          <w:sz w:val="24"/>
          <w:szCs w:val="24"/>
          <w:lang w:eastAsia="en-US"/>
        </w:rPr>
      </w:pPr>
      <w:r>
        <w:rPr>
          <w:rFonts w:ascii="Palatino Linotype" w:eastAsiaTheme="minorHAnsi" w:hAnsi="Palatino Linotype" w:cs="Arial"/>
          <w:sz w:val="24"/>
          <w:szCs w:val="24"/>
          <w:lang w:eastAsia="en-US"/>
        </w:rPr>
        <w:t xml:space="preserve">El </w:t>
      </w:r>
      <w:r w:rsidRPr="00524713">
        <w:rPr>
          <w:rFonts w:ascii="Palatino Linotype" w:eastAsiaTheme="minorHAnsi" w:hAnsi="Palatino Linotype" w:cs="Arial"/>
          <w:b/>
          <w:sz w:val="24"/>
          <w:szCs w:val="24"/>
          <w:lang w:eastAsia="en-US"/>
        </w:rPr>
        <w:t>Recurrente</w:t>
      </w:r>
      <w:r>
        <w:rPr>
          <w:rFonts w:ascii="Palatino Linotype" w:eastAsiaTheme="minorHAnsi" w:hAnsi="Palatino Linotype" w:cs="Arial"/>
          <w:sz w:val="24"/>
          <w:szCs w:val="24"/>
          <w:lang w:eastAsia="en-US"/>
        </w:rPr>
        <w:t xml:space="preserve">, inconforme con la respuesta proporcionada, interpuso recurso de revisión, </w:t>
      </w:r>
      <w:r w:rsidR="0038345F">
        <w:rPr>
          <w:rFonts w:ascii="Palatino Linotype" w:eastAsiaTheme="minorHAnsi" w:hAnsi="Palatino Linotype" w:cs="Arial"/>
          <w:sz w:val="24"/>
          <w:szCs w:val="24"/>
          <w:lang w:eastAsia="en-US"/>
        </w:rPr>
        <w:t xml:space="preserve">señalando como razones o motivos de inconformidad </w:t>
      </w:r>
      <w:r w:rsidR="0038345F">
        <w:rPr>
          <w:rFonts w:ascii="Palatino Linotype" w:eastAsiaTheme="minorHAnsi" w:hAnsi="Palatino Linotype" w:cs="Arial"/>
          <w:i/>
          <w:sz w:val="24"/>
          <w:szCs w:val="24"/>
          <w:lang w:eastAsia="en-US"/>
        </w:rPr>
        <w:t>“</w:t>
      </w:r>
      <w:r w:rsidR="0038345F" w:rsidRPr="0038345F">
        <w:rPr>
          <w:rFonts w:ascii="Palatino Linotype" w:eastAsiaTheme="minorHAnsi" w:hAnsi="Palatino Linotype" w:cs="Arial"/>
          <w:i/>
          <w:sz w:val="24"/>
          <w:szCs w:val="24"/>
          <w:lang w:eastAsia="en-US"/>
        </w:rPr>
        <w:t>NO ME ENTREGARON LO QUE SOLICITE</w:t>
      </w:r>
      <w:r w:rsidR="0038345F">
        <w:rPr>
          <w:rFonts w:ascii="Palatino Linotype" w:eastAsiaTheme="minorHAnsi" w:hAnsi="Palatino Linotype" w:cs="Arial"/>
          <w:i/>
          <w:sz w:val="24"/>
          <w:szCs w:val="24"/>
          <w:lang w:eastAsia="en-US"/>
        </w:rPr>
        <w:t>”</w:t>
      </w:r>
      <w:r w:rsidR="0038345F">
        <w:rPr>
          <w:rFonts w:ascii="Palatino Linotype" w:eastAsiaTheme="minorHAnsi" w:hAnsi="Palatino Linotype" w:cs="Arial"/>
          <w:sz w:val="24"/>
          <w:szCs w:val="24"/>
          <w:lang w:eastAsia="en-US"/>
        </w:rPr>
        <w:t>, las cuales resultan procedentes para la interposición del recurso de revisión, al encuadrar en la hipótesis normativa establecida en la fracción IV del artículo 179 de la Ley de Transparencia Local</w:t>
      </w:r>
      <w:r w:rsidR="0038345F">
        <w:rPr>
          <w:rStyle w:val="Refdenotaalpie"/>
          <w:rFonts w:ascii="Palatino Linotype" w:eastAsiaTheme="minorHAnsi" w:hAnsi="Palatino Linotype" w:cs="Arial"/>
          <w:sz w:val="24"/>
          <w:szCs w:val="24"/>
          <w:lang w:eastAsia="en-US"/>
        </w:rPr>
        <w:footnoteReference w:id="1"/>
      </w:r>
      <w:r w:rsidR="0038345F">
        <w:rPr>
          <w:rFonts w:ascii="Palatino Linotype" w:eastAsiaTheme="minorHAnsi" w:hAnsi="Palatino Linotype" w:cs="Arial"/>
          <w:sz w:val="24"/>
          <w:szCs w:val="24"/>
          <w:lang w:eastAsia="en-US"/>
        </w:rPr>
        <w:t>, relativa a la declaración de incompetencia.</w:t>
      </w:r>
    </w:p>
    <w:p w:rsidR="00AB0C24" w:rsidRDefault="00AB0C24" w:rsidP="00AB0C24">
      <w:pPr>
        <w:spacing w:after="0" w:line="360" w:lineRule="auto"/>
        <w:jc w:val="both"/>
        <w:rPr>
          <w:rFonts w:ascii="Palatino Linotype" w:eastAsiaTheme="minorHAnsi" w:hAnsi="Palatino Linotype" w:cs="Arial"/>
          <w:sz w:val="24"/>
          <w:szCs w:val="24"/>
          <w:lang w:eastAsia="en-US"/>
        </w:rPr>
      </w:pPr>
    </w:p>
    <w:p w:rsidR="00AB0C24" w:rsidRDefault="00AB0C24" w:rsidP="00AB0C24">
      <w:pPr>
        <w:spacing w:after="0" w:line="360" w:lineRule="auto"/>
        <w:jc w:val="both"/>
        <w:rPr>
          <w:rFonts w:ascii="Palatino Linotype" w:hAnsi="Palatino Linotype" w:cs="Arial"/>
          <w:sz w:val="24"/>
          <w:szCs w:val="24"/>
        </w:rPr>
      </w:pPr>
      <w:r>
        <w:rPr>
          <w:rFonts w:ascii="Palatino Linotype" w:eastAsiaTheme="minorHAnsi" w:hAnsi="Palatino Linotype" w:cs="Arial"/>
          <w:sz w:val="24"/>
          <w:szCs w:val="24"/>
          <w:lang w:eastAsia="en-US"/>
        </w:rPr>
        <w:t xml:space="preserve">Derivado de la interposición del recurso de revisión, en la etapa de manifestaciones el </w:t>
      </w:r>
      <w:r w:rsidRPr="00EA4AF1">
        <w:rPr>
          <w:rFonts w:ascii="Palatino Linotype" w:eastAsiaTheme="minorHAnsi" w:hAnsi="Palatino Linotype" w:cs="Arial"/>
          <w:b/>
          <w:sz w:val="24"/>
          <w:szCs w:val="24"/>
          <w:lang w:eastAsia="en-US"/>
        </w:rPr>
        <w:t>Sujeto Obligado</w:t>
      </w:r>
      <w:r>
        <w:rPr>
          <w:rFonts w:ascii="Palatino Linotype" w:eastAsiaTheme="minorHAnsi" w:hAnsi="Palatino Linotype" w:cs="Arial"/>
          <w:sz w:val="24"/>
          <w:szCs w:val="24"/>
          <w:lang w:eastAsia="en-US"/>
        </w:rPr>
        <w:t xml:space="preserve"> presentó su informe justificado, a través del documento </w:t>
      </w:r>
      <w:r>
        <w:rPr>
          <w:rFonts w:ascii="Palatino Linotype" w:hAnsi="Palatino Linotype" w:cs="Arial"/>
          <w:sz w:val="24"/>
          <w:szCs w:val="24"/>
        </w:rPr>
        <w:t>“</w:t>
      </w:r>
      <w:r w:rsidR="00D37E20" w:rsidRPr="00D37E20">
        <w:rPr>
          <w:rFonts w:ascii="Palatino Linotype" w:hAnsi="Palatino Linotype" w:cs="Arial"/>
          <w:b/>
          <w:i/>
          <w:sz w:val="24"/>
          <w:szCs w:val="24"/>
        </w:rPr>
        <w:t>RR 17445.pdf</w:t>
      </w:r>
      <w:r>
        <w:rPr>
          <w:rFonts w:ascii="Palatino Linotype" w:hAnsi="Palatino Linotype" w:cs="Arial"/>
          <w:sz w:val="24"/>
          <w:szCs w:val="24"/>
        </w:rPr>
        <w:t>”,</w:t>
      </w:r>
      <w:r w:rsidR="00D37E20">
        <w:rPr>
          <w:rFonts w:ascii="Palatino Linotype" w:hAnsi="Palatino Linotype" w:cs="Arial"/>
          <w:sz w:val="24"/>
          <w:szCs w:val="24"/>
        </w:rPr>
        <w:t xml:space="preserve"> correspondiente al oficio número 2010A4000/UT/RR/0039/2023 de fecha 16 (dieciséis) de enero de 2023 (dos mil veintitrés), remitido por la Titular de la Unidad de Transparencia del Sujeto Obligado, a este Órgano Garante, </w:t>
      </w:r>
      <w:r w:rsidR="007D21D4">
        <w:rPr>
          <w:rFonts w:ascii="Palatino Linotype" w:hAnsi="Palatino Linotype" w:cs="Arial"/>
          <w:sz w:val="24"/>
          <w:szCs w:val="24"/>
        </w:rPr>
        <w:t>que contiene sustancialmente lo siguiente:</w:t>
      </w:r>
    </w:p>
    <w:p w:rsidR="00B676E3" w:rsidRPr="00B676E3" w:rsidRDefault="007D21D4" w:rsidP="00B676E3">
      <w:pPr>
        <w:spacing w:after="0" w:line="240" w:lineRule="auto"/>
        <w:ind w:left="567" w:right="616"/>
        <w:jc w:val="both"/>
        <w:rPr>
          <w:rFonts w:ascii="Palatino Linotype" w:hAnsi="Palatino Linotype" w:cs="Arial"/>
          <w:i/>
          <w:szCs w:val="24"/>
        </w:rPr>
      </w:pPr>
      <w:r>
        <w:rPr>
          <w:rFonts w:ascii="Palatino Linotype" w:hAnsi="Palatino Linotype" w:cs="Arial"/>
          <w:i/>
          <w:szCs w:val="24"/>
        </w:rPr>
        <w:lastRenderedPageBreak/>
        <w:t>“</w:t>
      </w:r>
      <w:r w:rsidR="00B676E3" w:rsidRPr="00B676E3">
        <w:rPr>
          <w:rFonts w:ascii="Palatino Linotype" w:hAnsi="Palatino Linotype" w:cs="Arial"/>
          <w:i/>
          <w:szCs w:val="24"/>
        </w:rPr>
        <w:t>Ahora bien, por lo que respecta a las “Razones o Motivos de inconformidad” en la que expone,</w:t>
      </w:r>
      <w:r w:rsidR="00B676E3">
        <w:rPr>
          <w:rFonts w:ascii="Palatino Linotype" w:hAnsi="Palatino Linotype" w:cs="Arial"/>
          <w:i/>
          <w:szCs w:val="24"/>
        </w:rPr>
        <w:t xml:space="preserve"> </w:t>
      </w:r>
      <w:r w:rsidR="00B676E3" w:rsidRPr="00B676E3">
        <w:rPr>
          <w:rFonts w:ascii="Palatino Linotype" w:hAnsi="Palatino Linotype" w:cs="Arial"/>
          <w:i/>
          <w:szCs w:val="24"/>
        </w:rPr>
        <w:t>“NO ME ENTREGARON LO QUE SOLICITE”, en primera instancia es imperante mencionar que</w:t>
      </w:r>
      <w:r w:rsidR="00B676E3">
        <w:rPr>
          <w:rFonts w:ascii="Palatino Linotype" w:hAnsi="Palatino Linotype" w:cs="Arial"/>
          <w:i/>
          <w:szCs w:val="24"/>
        </w:rPr>
        <w:t xml:space="preserve"> </w:t>
      </w:r>
      <w:r w:rsidR="00B676E3" w:rsidRPr="00B676E3">
        <w:rPr>
          <w:rFonts w:ascii="Palatino Linotype" w:hAnsi="Palatino Linotype" w:cs="Arial"/>
          <w:i/>
          <w:szCs w:val="24"/>
        </w:rPr>
        <w:t>de acuerdo con la información que se solita, como bien se hizo del conocimiento no se generó,</w:t>
      </w:r>
      <w:r w:rsidR="00B676E3">
        <w:rPr>
          <w:rFonts w:ascii="Palatino Linotype" w:hAnsi="Palatino Linotype" w:cs="Arial"/>
          <w:i/>
          <w:szCs w:val="24"/>
        </w:rPr>
        <w:t xml:space="preserve"> </w:t>
      </w:r>
      <w:r w:rsidR="00B676E3" w:rsidRPr="00B676E3">
        <w:rPr>
          <w:rFonts w:ascii="Palatino Linotype" w:hAnsi="Palatino Linotype" w:cs="Arial"/>
          <w:i/>
          <w:szCs w:val="24"/>
        </w:rPr>
        <w:t>posee y/o andinista soporte documental de la información que se solita.</w:t>
      </w:r>
    </w:p>
    <w:p w:rsidR="00B676E3" w:rsidRPr="00B676E3" w:rsidRDefault="00B676E3" w:rsidP="00B676E3">
      <w:pPr>
        <w:spacing w:after="0" w:line="240" w:lineRule="auto"/>
        <w:ind w:left="567" w:right="616"/>
        <w:jc w:val="both"/>
        <w:rPr>
          <w:rFonts w:ascii="Palatino Linotype" w:hAnsi="Palatino Linotype" w:cs="Arial"/>
          <w:i/>
          <w:szCs w:val="24"/>
        </w:rPr>
      </w:pPr>
    </w:p>
    <w:p w:rsidR="007D21D4" w:rsidRDefault="00B676E3" w:rsidP="00B676E3">
      <w:pPr>
        <w:spacing w:after="0" w:line="240" w:lineRule="auto"/>
        <w:ind w:left="567" w:right="616"/>
        <w:jc w:val="both"/>
        <w:rPr>
          <w:rFonts w:ascii="Palatino Linotype" w:hAnsi="Palatino Linotype" w:cs="Arial"/>
          <w:i/>
          <w:szCs w:val="24"/>
        </w:rPr>
      </w:pPr>
      <w:r w:rsidRPr="00B676E3">
        <w:rPr>
          <w:rFonts w:ascii="Palatino Linotype" w:hAnsi="Palatino Linotype" w:cs="Arial"/>
          <w:i/>
          <w:szCs w:val="24"/>
        </w:rPr>
        <w:t>En este contexto, son la Secretaría de Movilidad y la Junta de Caminos del Estado de México,</w:t>
      </w:r>
      <w:r>
        <w:rPr>
          <w:rFonts w:ascii="Palatino Linotype" w:hAnsi="Palatino Linotype" w:cs="Arial"/>
          <w:i/>
          <w:szCs w:val="24"/>
        </w:rPr>
        <w:t xml:space="preserve"> </w:t>
      </w:r>
      <w:r w:rsidRPr="00B676E3">
        <w:rPr>
          <w:rFonts w:ascii="Palatino Linotype" w:hAnsi="Palatino Linotype" w:cs="Arial"/>
          <w:i/>
          <w:szCs w:val="24"/>
        </w:rPr>
        <w:t>los encargados de planear, formular, dirigir, coordinar, gestionar, evaluar, ejecutar y supervisar</w:t>
      </w:r>
      <w:r>
        <w:rPr>
          <w:rFonts w:ascii="Palatino Linotype" w:hAnsi="Palatino Linotype" w:cs="Arial"/>
          <w:i/>
          <w:szCs w:val="24"/>
        </w:rPr>
        <w:t xml:space="preserve"> </w:t>
      </w:r>
      <w:r w:rsidRPr="00B676E3">
        <w:rPr>
          <w:rFonts w:ascii="Palatino Linotype" w:hAnsi="Palatino Linotype" w:cs="Arial"/>
          <w:i/>
          <w:szCs w:val="24"/>
        </w:rPr>
        <w:t>las políticas, programas, proyectos y estudios para el desarrollo del sistema integral de</w:t>
      </w:r>
      <w:r>
        <w:rPr>
          <w:rFonts w:ascii="Palatino Linotype" w:hAnsi="Palatino Linotype" w:cs="Arial"/>
          <w:i/>
          <w:szCs w:val="24"/>
        </w:rPr>
        <w:t xml:space="preserve"> </w:t>
      </w:r>
      <w:r w:rsidRPr="00B676E3">
        <w:rPr>
          <w:rFonts w:ascii="Palatino Linotype" w:hAnsi="Palatino Linotype" w:cs="Arial"/>
          <w:i/>
          <w:szCs w:val="24"/>
        </w:rPr>
        <w:t>movilidad, incluyendo el servicio público de transporte de jurisdicción estatal.</w:t>
      </w:r>
    </w:p>
    <w:p w:rsidR="00B676E3" w:rsidRDefault="00B676E3" w:rsidP="00B676E3">
      <w:pPr>
        <w:spacing w:after="0" w:line="240" w:lineRule="auto"/>
        <w:ind w:left="567" w:right="616"/>
        <w:jc w:val="both"/>
        <w:rPr>
          <w:rFonts w:ascii="Palatino Linotype" w:hAnsi="Palatino Linotype" w:cs="Arial"/>
          <w:i/>
          <w:szCs w:val="24"/>
        </w:rPr>
      </w:pPr>
    </w:p>
    <w:p w:rsidR="00B676E3" w:rsidRPr="00B676E3" w:rsidRDefault="00B676E3" w:rsidP="00B676E3">
      <w:pPr>
        <w:spacing w:after="0" w:line="240" w:lineRule="auto"/>
        <w:ind w:left="567" w:right="616"/>
        <w:jc w:val="both"/>
        <w:rPr>
          <w:rFonts w:ascii="Palatino Linotype" w:hAnsi="Palatino Linotype" w:cs="Arial"/>
          <w:i/>
          <w:szCs w:val="24"/>
        </w:rPr>
      </w:pPr>
      <w:r w:rsidRPr="00B676E3">
        <w:rPr>
          <w:rFonts w:ascii="Palatino Linotype" w:hAnsi="Palatino Linotype" w:cs="Arial"/>
          <w:i/>
          <w:szCs w:val="24"/>
        </w:rPr>
        <w:t>Aunado a lo anterior, tienen como finalidad fomentar mecanismos para garantizar el derecho</w:t>
      </w:r>
      <w:r>
        <w:rPr>
          <w:rFonts w:ascii="Palatino Linotype" w:hAnsi="Palatino Linotype" w:cs="Arial"/>
          <w:i/>
          <w:szCs w:val="24"/>
        </w:rPr>
        <w:t xml:space="preserve"> </w:t>
      </w:r>
      <w:r w:rsidRPr="00B676E3">
        <w:rPr>
          <w:rFonts w:ascii="Palatino Linotype" w:hAnsi="Palatino Linotype" w:cs="Arial"/>
          <w:i/>
          <w:szCs w:val="24"/>
        </w:rPr>
        <w:t>humano a la movilidad, a través de una política gubernamental que facilite el movimiento de</w:t>
      </w:r>
      <w:r>
        <w:rPr>
          <w:rFonts w:ascii="Palatino Linotype" w:hAnsi="Palatino Linotype" w:cs="Arial"/>
          <w:i/>
          <w:szCs w:val="24"/>
        </w:rPr>
        <w:t xml:space="preserve"> </w:t>
      </w:r>
      <w:r w:rsidRPr="00B676E3">
        <w:rPr>
          <w:rFonts w:ascii="Palatino Linotype" w:hAnsi="Palatino Linotype" w:cs="Arial"/>
          <w:i/>
          <w:szCs w:val="24"/>
        </w:rPr>
        <w:t>las personas en la entidad, favoreciendo el desplazamiento de personas y bienes.</w:t>
      </w:r>
    </w:p>
    <w:p w:rsidR="00B676E3" w:rsidRPr="00B676E3" w:rsidRDefault="00B676E3" w:rsidP="00B676E3">
      <w:pPr>
        <w:spacing w:after="0" w:line="240" w:lineRule="auto"/>
        <w:ind w:left="567" w:right="616"/>
        <w:jc w:val="both"/>
        <w:rPr>
          <w:rFonts w:ascii="Palatino Linotype" w:hAnsi="Palatino Linotype" w:cs="Arial"/>
          <w:i/>
          <w:szCs w:val="24"/>
        </w:rPr>
      </w:pPr>
    </w:p>
    <w:p w:rsidR="00B676E3" w:rsidRDefault="00B676E3" w:rsidP="00B676E3">
      <w:pPr>
        <w:spacing w:after="0" w:line="240" w:lineRule="auto"/>
        <w:ind w:left="567" w:right="616"/>
        <w:jc w:val="both"/>
        <w:rPr>
          <w:rFonts w:ascii="Palatino Linotype" w:hAnsi="Palatino Linotype" w:cs="Arial"/>
          <w:i/>
          <w:szCs w:val="24"/>
        </w:rPr>
      </w:pPr>
      <w:r w:rsidRPr="00B676E3">
        <w:rPr>
          <w:rFonts w:ascii="Palatino Linotype" w:hAnsi="Palatino Linotype" w:cs="Arial"/>
          <w:i/>
          <w:szCs w:val="24"/>
        </w:rPr>
        <w:t>Correlativo a lo anterior, por cuanto hace a la infraestructura para la movilidad, como elemento</w:t>
      </w:r>
      <w:r>
        <w:rPr>
          <w:rFonts w:ascii="Palatino Linotype" w:hAnsi="Palatino Linotype" w:cs="Arial"/>
          <w:i/>
          <w:szCs w:val="24"/>
        </w:rPr>
        <w:t xml:space="preserve"> </w:t>
      </w:r>
      <w:r w:rsidRPr="00B676E3">
        <w:rPr>
          <w:rFonts w:ascii="Palatino Linotype" w:hAnsi="Palatino Linotype" w:cs="Arial"/>
          <w:i/>
          <w:szCs w:val="24"/>
        </w:rPr>
        <w:t>del Sistema Integral de Movilidad, los artículos 16, fracción ll incisos d), e) y f), 21, 23 y 25 del</w:t>
      </w:r>
      <w:r>
        <w:rPr>
          <w:rFonts w:ascii="Palatino Linotype" w:hAnsi="Palatino Linotype" w:cs="Arial"/>
          <w:i/>
          <w:szCs w:val="24"/>
        </w:rPr>
        <w:t xml:space="preserve"> </w:t>
      </w:r>
      <w:r w:rsidRPr="00B676E3">
        <w:rPr>
          <w:rFonts w:ascii="Palatino Linotype" w:hAnsi="Palatino Linotype" w:cs="Arial"/>
          <w:i/>
          <w:szCs w:val="24"/>
        </w:rPr>
        <w:t>ordenamiento previamente citado establecen:</w:t>
      </w:r>
    </w:p>
    <w:p w:rsidR="00B676E3" w:rsidRDefault="00B676E3" w:rsidP="00B676E3">
      <w:pPr>
        <w:spacing w:after="0" w:line="240" w:lineRule="auto"/>
        <w:ind w:left="567" w:right="616"/>
        <w:jc w:val="both"/>
        <w:rPr>
          <w:rFonts w:ascii="Palatino Linotype" w:hAnsi="Palatino Linotype" w:cs="Arial"/>
          <w:i/>
          <w:szCs w:val="24"/>
        </w:rPr>
      </w:pPr>
    </w:p>
    <w:p w:rsidR="00B676E3" w:rsidRDefault="00B676E3" w:rsidP="00B676E3">
      <w:pPr>
        <w:spacing w:after="0" w:line="240" w:lineRule="auto"/>
        <w:ind w:left="567" w:right="616"/>
        <w:jc w:val="both"/>
        <w:rPr>
          <w:rFonts w:ascii="Palatino Linotype" w:hAnsi="Palatino Linotype" w:cs="Arial"/>
          <w:i/>
          <w:szCs w:val="24"/>
        </w:rPr>
      </w:pPr>
      <w:r>
        <w:rPr>
          <w:rFonts w:ascii="Palatino Linotype" w:hAnsi="Palatino Linotype" w:cs="Arial"/>
          <w:i/>
          <w:szCs w:val="24"/>
        </w:rPr>
        <w:t>…</w:t>
      </w:r>
    </w:p>
    <w:p w:rsidR="00B676E3" w:rsidRDefault="00B676E3" w:rsidP="00B676E3">
      <w:pPr>
        <w:spacing w:after="0" w:line="240" w:lineRule="auto"/>
        <w:ind w:left="567" w:right="616"/>
        <w:jc w:val="both"/>
        <w:rPr>
          <w:rFonts w:ascii="Palatino Linotype" w:hAnsi="Palatino Linotype" w:cs="Arial"/>
          <w:i/>
          <w:szCs w:val="24"/>
        </w:rPr>
      </w:pPr>
    </w:p>
    <w:p w:rsidR="00B676E3" w:rsidRDefault="00B676E3" w:rsidP="00B676E3">
      <w:pPr>
        <w:spacing w:after="0" w:line="240" w:lineRule="auto"/>
        <w:ind w:left="567" w:right="616"/>
        <w:jc w:val="both"/>
        <w:rPr>
          <w:rFonts w:ascii="Palatino Linotype" w:hAnsi="Palatino Linotype" w:cs="Arial"/>
          <w:i/>
          <w:szCs w:val="24"/>
        </w:rPr>
      </w:pPr>
      <w:r w:rsidRPr="00B676E3">
        <w:rPr>
          <w:rFonts w:ascii="Palatino Linotype" w:hAnsi="Palatino Linotype" w:cs="Arial"/>
          <w:i/>
          <w:szCs w:val="24"/>
        </w:rPr>
        <w:t>En ese sentido, si bien es cierto que la Secretaría de Movilidad y la Junta de Caminos tiene por</w:t>
      </w:r>
      <w:r>
        <w:rPr>
          <w:rFonts w:ascii="Palatino Linotype" w:hAnsi="Palatino Linotype" w:cs="Arial"/>
          <w:i/>
          <w:szCs w:val="24"/>
        </w:rPr>
        <w:t xml:space="preserve"> </w:t>
      </w:r>
      <w:r w:rsidRPr="00B676E3">
        <w:rPr>
          <w:rFonts w:ascii="Palatino Linotype" w:hAnsi="Palatino Linotype" w:cs="Arial"/>
          <w:i/>
          <w:szCs w:val="24"/>
        </w:rPr>
        <w:t>objeto establecer las bases y directrices que la Administración Pública debe observar para</w:t>
      </w:r>
      <w:r>
        <w:rPr>
          <w:rFonts w:ascii="Palatino Linotype" w:hAnsi="Palatino Linotype" w:cs="Arial"/>
          <w:i/>
          <w:szCs w:val="24"/>
        </w:rPr>
        <w:t xml:space="preserve"> </w:t>
      </w:r>
      <w:r w:rsidRPr="00B676E3">
        <w:rPr>
          <w:rFonts w:ascii="Palatino Linotype" w:hAnsi="Palatino Linotype" w:cs="Arial"/>
          <w:i/>
          <w:szCs w:val="24"/>
        </w:rPr>
        <w:t>planear, regular, gestionar y fomentar la movilidad de las personas en la Entidad y competente</w:t>
      </w:r>
      <w:r>
        <w:rPr>
          <w:rFonts w:ascii="Palatino Linotype" w:hAnsi="Palatino Linotype" w:cs="Arial"/>
          <w:i/>
          <w:szCs w:val="24"/>
        </w:rPr>
        <w:t xml:space="preserve"> </w:t>
      </w:r>
      <w:r w:rsidRPr="00B676E3">
        <w:rPr>
          <w:rFonts w:ascii="Palatino Linotype" w:hAnsi="Palatino Linotype" w:cs="Arial"/>
          <w:i/>
          <w:szCs w:val="24"/>
        </w:rPr>
        <w:t>para implementar y regular los servicios complementarios a la infraestructura de movilidad o</w:t>
      </w:r>
      <w:r>
        <w:rPr>
          <w:rFonts w:ascii="Palatino Linotype" w:hAnsi="Palatino Linotype" w:cs="Arial"/>
          <w:i/>
          <w:szCs w:val="24"/>
        </w:rPr>
        <w:t xml:space="preserve"> </w:t>
      </w:r>
      <w:r w:rsidRPr="00B676E3">
        <w:rPr>
          <w:rFonts w:ascii="Palatino Linotype" w:hAnsi="Palatino Linotype" w:cs="Arial"/>
          <w:i/>
          <w:szCs w:val="24"/>
        </w:rPr>
        <w:t>vías públicas, siendo la ciclovía como la parte de la vía pública destinada a la circulación de</w:t>
      </w:r>
      <w:r>
        <w:rPr>
          <w:rFonts w:ascii="Palatino Linotype" w:hAnsi="Palatino Linotype" w:cs="Arial"/>
          <w:i/>
          <w:szCs w:val="24"/>
        </w:rPr>
        <w:t xml:space="preserve"> </w:t>
      </w:r>
      <w:r w:rsidRPr="00B676E3">
        <w:rPr>
          <w:rFonts w:ascii="Palatino Linotype" w:hAnsi="Palatino Linotype" w:cs="Arial"/>
          <w:i/>
          <w:szCs w:val="24"/>
        </w:rPr>
        <w:t>bicicletas; también lo es que, la propia Ley de Movilidad del Estado de México en los artículos</w:t>
      </w:r>
      <w:r>
        <w:rPr>
          <w:rFonts w:ascii="Palatino Linotype" w:hAnsi="Palatino Linotype" w:cs="Arial"/>
          <w:i/>
          <w:szCs w:val="24"/>
        </w:rPr>
        <w:t xml:space="preserve"> </w:t>
      </w:r>
      <w:r w:rsidRPr="00B676E3">
        <w:rPr>
          <w:rFonts w:ascii="Palatino Linotype" w:hAnsi="Palatino Linotype" w:cs="Arial"/>
          <w:i/>
          <w:szCs w:val="24"/>
        </w:rPr>
        <w:t>6, fracción VI, 8 y 9 establecen:</w:t>
      </w:r>
    </w:p>
    <w:p w:rsidR="00B676E3" w:rsidRDefault="00B676E3" w:rsidP="00B676E3">
      <w:pPr>
        <w:spacing w:after="0" w:line="240" w:lineRule="auto"/>
        <w:ind w:left="567" w:right="616"/>
        <w:jc w:val="both"/>
        <w:rPr>
          <w:rFonts w:ascii="Palatino Linotype" w:hAnsi="Palatino Linotype" w:cs="Arial"/>
          <w:i/>
          <w:szCs w:val="24"/>
        </w:rPr>
      </w:pPr>
    </w:p>
    <w:p w:rsidR="00B676E3" w:rsidRDefault="00B676E3" w:rsidP="00B676E3">
      <w:pPr>
        <w:spacing w:after="0" w:line="240" w:lineRule="auto"/>
        <w:ind w:left="567" w:right="616"/>
        <w:jc w:val="both"/>
        <w:rPr>
          <w:rFonts w:ascii="Palatino Linotype" w:hAnsi="Palatino Linotype" w:cs="Arial"/>
          <w:i/>
          <w:szCs w:val="24"/>
        </w:rPr>
      </w:pPr>
      <w:r>
        <w:rPr>
          <w:rFonts w:ascii="Palatino Linotype" w:hAnsi="Palatino Linotype" w:cs="Arial"/>
          <w:i/>
          <w:szCs w:val="24"/>
        </w:rPr>
        <w:t>…</w:t>
      </w:r>
    </w:p>
    <w:p w:rsidR="00B676E3" w:rsidRDefault="00B676E3" w:rsidP="00B676E3">
      <w:pPr>
        <w:spacing w:after="0" w:line="240" w:lineRule="auto"/>
        <w:ind w:left="567" w:right="616"/>
        <w:jc w:val="both"/>
        <w:rPr>
          <w:rFonts w:ascii="Palatino Linotype" w:hAnsi="Palatino Linotype" w:cs="Arial"/>
          <w:i/>
          <w:szCs w:val="24"/>
        </w:rPr>
      </w:pPr>
    </w:p>
    <w:p w:rsidR="00B676E3" w:rsidRDefault="00B676E3" w:rsidP="00B676E3">
      <w:pPr>
        <w:spacing w:after="0" w:line="240" w:lineRule="auto"/>
        <w:ind w:left="567" w:right="616"/>
        <w:jc w:val="both"/>
        <w:rPr>
          <w:rFonts w:ascii="Palatino Linotype" w:hAnsi="Palatino Linotype" w:cs="Arial"/>
          <w:i/>
          <w:szCs w:val="24"/>
        </w:rPr>
      </w:pPr>
      <w:r w:rsidRPr="00B676E3">
        <w:rPr>
          <w:rFonts w:ascii="Palatino Linotype" w:hAnsi="Palatino Linotype" w:cs="Arial"/>
          <w:i/>
          <w:szCs w:val="24"/>
        </w:rPr>
        <w:t>Asimismo, el Reglamento Interior de la Secretaría de Movilidad en los artículos 15, fracción 1,</w:t>
      </w:r>
      <w:r>
        <w:rPr>
          <w:rFonts w:ascii="Palatino Linotype" w:hAnsi="Palatino Linotype" w:cs="Arial"/>
          <w:i/>
          <w:szCs w:val="24"/>
        </w:rPr>
        <w:t xml:space="preserve"> </w:t>
      </w:r>
      <w:r w:rsidRPr="00B676E3">
        <w:rPr>
          <w:rFonts w:ascii="Palatino Linotype" w:hAnsi="Palatino Linotype" w:cs="Arial"/>
          <w:i/>
          <w:szCs w:val="24"/>
        </w:rPr>
        <w:t>inciso a) y 16 fracción VI dispone:</w:t>
      </w:r>
    </w:p>
    <w:p w:rsidR="00B676E3" w:rsidRDefault="00B676E3" w:rsidP="00B676E3">
      <w:pPr>
        <w:spacing w:after="0" w:line="240" w:lineRule="auto"/>
        <w:ind w:left="567" w:right="616"/>
        <w:jc w:val="both"/>
        <w:rPr>
          <w:rFonts w:ascii="Palatino Linotype" w:hAnsi="Palatino Linotype" w:cs="Arial"/>
          <w:i/>
          <w:szCs w:val="24"/>
        </w:rPr>
      </w:pPr>
    </w:p>
    <w:p w:rsidR="00B676E3" w:rsidRDefault="00B676E3" w:rsidP="00B676E3">
      <w:pPr>
        <w:spacing w:after="0" w:line="240" w:lineRule="auto"/>
        <w:ind w:left="567" w:right="616"/>
        <w:jc w:val="both"/>
        <w:rPr>
          <w:rFonts w:ascii="Palatino Linotype" w:hAnsi="Palatino Linotype" w:cs="Arial"/>
          <w:i/>
          <w:szCs w:val="24"/>
        </w:rPr>
      </w:pPr>
      <w:r>
        <w:rPr>
          <w:rFonts w:ascii="Palatino Linotype" w:hAnsi="Palatino Linotype" w:cs="Arial"/>
          <w:i/>
          <w:szCs w:val="24"/>
        </w:rPr>
        <w:t>…</w:t>
      </w:r>
    </w:p>
    <w:p w:rsidR="00B676E3" w:rsidRDefault="00B676E3" w:rsidP="00B676E3">
      <w:pPr>
        <w:spacing w:after="0" w:line="240" w:lineRule="auto"/>
        <w:ind w:left="567" w:right="616"/>
        <w:jc w:val="both"/>
        <w:rPr>
          <w:rFonts w:ascii="Palatino Linotype" w:hAnsi="Palatino Linotype" w:cs="Arial"/>
          <w:i/>
          <w:szCs w:val="24"/>
        </w:rPr>
      </w:pPr>
    </w:p>
    <w:p w:rsidR="00B676E3" w:rsidRDefault="00B676E3" w:rsidP="00B676E3">
      <w:pPr>
        <w:spacing w:after="0" w:line="240" w:lineRule="auto"/>
        <w:ind w:left="567" w:right="616"/>
        <w:jc w:val="both"/>
        <w:rPr>
          <w:rFonts w:ascii="Palatino Linotype" w:hAnsi="Palatino Linotype" w:cs="Arial"/>
          <w:i/>
          <w:szCs w:val="24"/>
        </w:rPr>
      </w:pPr>
      <w:r w:rsidRPr="00B676E3">
        <w:rPr>
          <w:rFonts w:ascii="Palatino Linotype" w:hAnsi="Palatino Linotype" w:cs="Arial"/>
          <w:i/>
          <w:szCs w:val="24"/>
        </w:rPr>
        <w:lastRenderedPageBreak/>
        <w:t xml:space="preserve">Es así que, de los preceptos normativos citados, </w:t>
      </w:r>
      <w:r w:rsidRPr="004D4732">
        <w:rPr>
          <w:rFonts w:ascii="Palatino Linotype" w:hAnsi="Palatino Linotype" w:cs="Arial"/>
          <w:i/>
          <w:szCs w:val="24"/>
          <w:u w:val="single"/>
        </w:rPr>
        <w:t xml:space="preserve">se coligen que le corresponde a la </w:t>
      </w:r>
      <w:r w:rsidRPr="004D4732">
        <w:rPr>
          <w:rFonts w:ascii="Palatino Linotype" w:hAnsi="Palatino Linotype" w:cs="Arial"/>
          <w:b/>
          <w:i/>
          <w:szCs w:val="24"/>
          <w:u w:val="single"/>
        </w:rPr>
        <w:t>secretaría de Movilidad y Junta de Caminos del Estado de México</w:t>
      </w:r>
      <w:r w:rsidRPr="004D4732">
        <w:rPr>
          <w:rFonts w:ascii="Palatino Linotype" w:hAnsi="Palatino Linotype" w:cs="Arial"/>
          <w:i/>
          <w:szCs w:val="24"/>
          <w:u w:val="single"/>
        </w:rPr>
        <w:t xml:space="preserve">, la programación, formulación, dirección, coordinación, ejecución, evaluación y control de los programas destinados a la implementación de servicios complementarios a la infraestructura para la movilidad, incluidas la </w:t>
      </w:r>
      <w:r w:rsidRPr="004D4732">
        <w:rPr>
          <w:rFonts w:ascii="Palatino Linotype" w:hAnsi="Palatino Linotype" w:cs="Arial"/>
          <w:b/>
          <w:i/>
          <w:szCs w:val="24"/>
          <w:u w:val="single"/>
        </w:rPr>
        <w:t>ciclovías</w:t>
      </w:r>
      <w:r w:rsidRPr="004D4732">
        <w:rPr>
          <w:rFonts w:ascii="Palatino Linotype" w:hAnsi="Palatino Linotype" w:cs="Arial"/>
          <w:i/>
          <w:szCs w:val="24"/>
          <w:u w:val="single"/>
        </w:rPr>
        <w:t>,</w:t>
      </w:r>
      <w:r w:rsidRPr="00B676E3">
        <w:rPr>
          <w:rFonts w:ascii="Palatino Linotype" w:hAnsi="Palatino Linotype" w:cs="Arial"/>
          <w:i/>
          <w:szCs w:val="24"/>
        </w:rPr>
        <w:t xml:space="preserve"> consideradas como parte de la vía pública destinada</w:t>
      </w:r>
      <w:r>
        <w:rPr>
          <w:rFonts w:ascii="Palatino Linotype" w:hAnsi="Palatino Linotype" w:cs="Arial"/>
          <w:i/>
          <w:szCs w:val="24"/>
        </w:rPr>
        <w:t xml:space="preserve"> </w:t>
      </w:r>
      <w:r w:rsidRPr="00B676E3">
        <w:rPr>
          <w:rFonts w:ascii="Palatino Linotype" w:hAnsi="Palatino Linotype" w:cs="Arial"/>
          <w:i/>
          <w:szCs w:val="24"/>
        </w:rPr>
        <w:t>únicamente para la circulación de bicicletas; sin embargo, es atribución de los Municipios</w:t>
      </w:r>
      <w:r>
        <w:rPr>
          <w:rFonts w:ascii="Palatino Linotype" w:hAnsi="Palatino Linotype" w:cs="Arial"/>
          <w:i/>
          <w:szCs w:val="24"/>
        </w:rPr>
        <w:t xml:space="preserve"> </w:t>
      </w:r>
      <w:r w:rsidRPr="00B676E3">
        <w:rPr>
          <w:rFonts w:ascii="Palatino Linotype" w:hAnsi="Palatino Linotype" w:cs="Arial"/>
          <w:i/>
          <w:szCs w:val="24"/>
        </w:rPr>
        <w:t>participar de manera coordinada con las autoridades en materia de movilidad; de tal</w:t>
      </w:r>
      <w:r>
        <w:rPr>
          <w:rFonts w:ascii="Palatino Linotype" w:hAnsi="Palatino Linotype" w:cs="Arial"/>
          <w:i/>
          <w:szCs w:val="24"/>
        </w:rPr>
        <w:t xml:space="preserve"> </w:t>
      </w:r>
      <w:r w:rsidRPr="00B676E3">
        <w:rPr>
          <w:rFonts w:ascii="Palatino Linotype" w:hAnsi="Palatino Linotype" w:cs="Arial"/>
          <w:i/>
          <w:szCs w:val="24"/>
        </w:rPr>
        <w:t xml:space="preserve">manera que, </w:t>
      </w:r>
      <w:r w:rsidRPr="004D4732">
        <w:rPr>
          <w:rFonts w:ascii="Palatino Linotype" w:hAnsi="Palatino Linotype" w:cs="Arial"/>
          <w:i/>
          <w:szCs w:val="24"/>
          <w:u w:val="single"/>
        </w:rPr>
        <w:t xml:space="preserve">este Ayuntamiento de Toluca, a través de la Dirección de Sustentabilidad Vial adscrita a la Dirección General de Seguridad y Protección, como bien lo refiere en su respuesta primigenia, </w:t>
      </w:r>
      <w:r w:rsidR="004D4732" w:rsidRPr="004D4732">
        <w:rPr>
          <w:rFonts w:ascii="Palatino Linotype" w:hAnsi="Palatino Linotype" w:cs="Arial"/>
          <w:i/>
          <w:szCs w:val="24"/>
          <w:u w:val="single"/>
        </w:rPr>
        <w:t>no</w:t>
      </w:r>
      <w:r w:rsidRPr="004D4732">
        <w:rPr>
          <w:rFonts w:ascii="Palatino Linotype" w:hAnsi="Palatino Linotype" w:cs="Arial"/>
          <w:i/>
          <w:szCs w:val="24"/>
          <w:u w:val="single"/>
        </w:rPr>
        <w:t xml:space="preserve"> cuenta con el soporte documental para atender favorablemente la solicitud de mérito, toda vez que la misma no a sido generada, ostentada y/o administrada</w:t>
      </w:r>
      <w:r w:rsidRPr="00B676E3">
        <w:rPr>
          <w:rFonts w:ascii="Palatino Linotype" w:hAnsi="Palatino Linotype" w:cs="Arial"/>
          <w:i/>
          <w:szCs w:val="24"/>
        </w:rPr>
        <w:t>.</w:t>
      </w:r>
      <w:r w:rsidR="004D4732">
        <w:rPr>
          <w:rFonts w:ascii="Palatino Linotype" w:hAnsi="Palatino Linotype" w:cs="Arial"/>
          <w:i/>
          <w:szCs w:val="24"/>
        </w:rPr>
        <w:t>”</w:t>
      </w:r>
    </w:p>
    <w:p w:rsidR="00B676E3" w:rsidRDefault="00B676E3" w:rsidP="00B676E3">
      <w:pPr>
        <w:spacing w:after="0" w:line="240" w:lineRule="auto"/>
        <w:ind w:left="567" w:right="616"/>
        <w:jc w:val="both"/>
        <w:rPr>
          <w:rFonts w:ascii="Palatino Linotype" w:hAnsi="Palatino Linotype" w:cs="Arial"/>
          <w:i/>
          <w:szCs w:val="24"/>
        </w:rPr>
      </w:pPr>
    </w:p>
    <w:p w:rsidR="00B676E3" w:rsidRPr="004D4732" w:rsidRDefault="004D4732" w:rsidP="004D4732">
      <w:pPr>
        <w:spacing w:after="0" w:line="240" w:lineRule="auto"/>
        <w:ind w:left="567" w:right="616"/>
        <w:jc w:val="right"/>
        <w:rPr>
          <w:rFonts w:ascii="Palatino Linotype" w:hAnsi="Palatino Linotype" w:cs="Arial"/>
          <w:szCs w:val="24"/>
        </w:rPr>
      </w:pPr>
      <w:r>
        <w:rPr>
          <w:rFonts w:ascii="Palatino Linotype" w:hAnsi="Palatino Linotype" w:cs="Arial"/>
          <w:szCs w:val="24"/>
        </w:rPr>
        <w:t>(Énfasis añadido)</w:t>
      </w:r>
    </w:p>
    <w:p w:rsidR="007D21D4" w:rsidRDefault="007D21D4" w:rsidP="00AB0C24">
      <w:pPr>
        <w:spacing w:after="0" w:line="360" w:lineRule="auto"/>
        <w:jc w:val="both"/>
        <w:rPr>
          <w:rFonts w:ascii="Palatino Linotype" w:hAnsi="Palatino Linotype" w:cs="Arial"/>
          <w:sz w:val="24"/>
          <w:szCs w:val="24"/>
        </w:rPr>
      </w:pPr>
    </w:p>
    <w:p w:rsidR="00AB0C24" w:rsidRDefault="00AB0C24" w:rsidP="004D473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rPr>
      </w:pPr>
      <w:r>
        <w:rPr>
          <w:rFonts w:ascii="Palatino Linotype" w:eastAsia="Palatino Linotype" w:hAnsi="Palatino Linotype" w:cs="Palatino Linotype"/>
          <w:color w:val="000000"/>
          <w:sz w:val="24"/>
          <w:lang w:val="es-ES_tradnl"/>
        </w:rPr>
        <w:t xml:space="preserve">Una vez </w:t>
      </w:r>
      <w:r w:rsidR="004D4732">
        <w:rPr>
          <w:rFonts w:ascii="Palatino Linotype" w:eastAsia="Palatino Linotype" w:hAnsi="Palatino Linotype" w:cs="Palatino Linotype"/>
          <w:color w:val="000000"/>
          <w:sz w:val="24"/>
          <w:lang w:val="es-ES_tradnl"/>
        </w:rPr>
        <w:t xml:space="preserve">analizadas las manifestaciones vertidas en respuesta, </w:t>
      </w:r>
      <w:r w:rsidR="00404747">
        <w:rPr>
          <w:rFonts w:ascii="Palatino Linotype" w:eastAsia="Palatino Linotype" w:hAnsi="Palatino Linotype" w:cs="Palatino Linotype"/>
          <w:color w:val="000000"/>
          <w:sz w:val="24"/>
          <w:lang w:val="es-ES_tradnl"/>
        </w:rPr>
        <w:t>así</w:t>
      </w:r>
      <w:r w:rsidR="004D4732">
        <w:rPr>
          <w:rFonts w:ascii="Palatino Linotype" w:eastAsia="Palatino Linotype" w:hAnsi="Palatino Linotype" w:cs="Palatino Linotype"/>
          <w:color w:val="000000"/>
          <w:sz w:val="24"/>
          <w:lang w:val="es-ES_tradnl"/>
        </w:rPr>
        <w:t xml:space="preserve"> como en informe justificado, podemos concluir que el </w:t>
      </w:r>
      <w:r w:rsidR="004D4732" w:rsidRPr="00404747">
        <w:rPr>
          <w:rFonts w:ascii="Palatino Linotype" w:eastAsia="Palatino Linotype" w:hAnsi="Palatino Linotype" w:cs="Palatino Linotype"/>
          <w:b/>
          <w:color w:val="000000"/>
          <w:sz w:val="24"/>
          <w:lang w:val="es-ES_tradnl"/>
        </w:rPr>
        <w:t>Sujeto Obligado</w:t>
      </w:r>
      <w:r w:rsidR="004D4732">
        <w:rPr>
          <w:rFonts w:ascii="Palatino Linotype" w:eastAsia="Palatino Linotype" w:hAnsi="Palatino Linotype" w:cs="Palatino Linotype"/>
          <w:color w:val="000000"/>
          <w:sz w:val="24"/>
          <w:lang w:val="es-ES_tradnl"/>
        </w:rPr>
        <w:t xml:space="preserve"> manifiesta </w:t>
      </w:r>
      <w:r w:rsidR="00404747">
        <w:rPr>
          <w:rFonts w:ascii="Palatino Linotype" w:eastAsia="Palatino Linotype" w:hAnsi="Palatino Linotype" w:cs="Palatino Linotype"/>
          <w:color w:val="000000"/>
          <w:sz w:val="24"/>
          <w:lang w:val="es-ES_tradnl"/>
        </w:rPr>
        <w:t xml:space="preserve">ser parcialmente incompetente, atendiendo que la </w:t>
      </w:r>
      <w:r w:rsidR="00404747" w:rsidRPr="00404747">
        <w:rPr>
          <w:rFonts w:ascii="Palatino Linotype" w:eastAsia="Palatino Linotype" w:hAnsi="Palatino Linotype" w:cs="Palatino Linotype"/>
          <w:b/>
          <w:color w:val="000000"/>
          <w:sz w:val="24"/>
          <w:lang w:val="es-ES_tradnl"/>
        </w:rPr>
        <w:t>Secretaría de Movilidad y la Junta de Caminos del Estado de México</w:t>
      </w:r>
      <w:r w:rsidR="00404747">
        <w:rPr>
          <w:rFonts w:ascii="Palatino Linotype" w:eastAsia="Palatino Linotype" w:hAnsi="Palatino Linotype" w:cs="Palatino Linotype"/>
          <w:color w:val="000000"/>
          <w:sz w:val="24"/>
          <w:lang w:val="es-ES_tradnl"/>
        </w:rPr>
        <w:t xml:space="preserve">, son las dependencias encargadas de la programación, formulación, dirección, coordinación, ejecución, evaluación y control de los programas destinados a </w:t>
      </w:r>
      <w:r w:rsidR="00404747" w:rsidRPr="00404747">
        <w:rPr>
          <w:rFonts w:ascii="Palatino Linotype" w:eastAsia="Palatino Linotype" w:hAnsi="Palatino Linotype" w:cs="Palatino Linotype"/>
          <w:color w:val="000000"/>
          <w:sz w:val="24"/>
          <w:lang w:val="es-ES_tradnl"/>
        </w:rPr>
        <w:t>destinados a la implementación de servicios complementarios a la infraestructura para la movilidad, incluidas la ciclovías</w:t>
      </w:r>
      <w:r w:rsidR="00404747">
        <w:rPr>
          <w:rFonts w:ascii="Palatino Linotype" w:eastAsia="Palatino Linotype" w:hAnsi="Palatino Linotype" w:cs="Palatino Linotype"/>
          <w:color w:val="000000"/>
          <w:sz w:val="24"/>
          <w:lang w:val="es-ES_tradnl"/>
        </w:rPr>
        <w:t>.</w:t>
      </w:r>
    </w:p>
    <w:p w:rsidR="00404747" w:rsidRDefault="00404747" w:rsidP="004D473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rPr>
      </w:pPr>
    </w:p>
    <w:p w:rsidR="00590E04" w:rsidRDefault="0028046E" w:rsidP="004D473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rPr>
      </w:pPr>
      <w:r>
        <w:rPr>
          <w:rFonts w:ascii="Palatino Linotype" w:eastAsia="Palatino Linotype" w:hAnsi="Palatino Linotype" w:cs="Palatino Linotype"/>
          <w:color w:val="000000"/>
          <w:sz w:val="24"/>
          <w:lang w:val="es-ES_tradnl"/>
        </w:rPr>
        <w:t xml:space="preserve">Atentos a lo anterior, resulta procedente hacer estudio del marco normativo que rige el actuar del Sujeto Obligado, a efecto de poder determinar si el área que emitió respuesta es la facultada para generar, administrar, procesar y/o poseer el soporte documental en que obre la información peticionada, en ejercicio de sus atribuciones. </w:t>
      </w:r>
    </w:p>
    <w:p w:rsidR="00590E04" w:rsidRDefault="00590E04" w:rsidP="004D473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rPr>
      </w:pPr>
    </w:p>
    <w:p w:rsidR="00404747" w:rsidRDefault="0028046E" w:rsidP="004D473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rPr>
      </w:pPr>
      <w:r>
        <w:rPr>
          <w:rFonts w:ascii="Palatino Linotype" w:eastAsia="Palatino Linotype" w:hAnsi="Palatino Linotype" w:cs="Palatino Linotype"/>
          <w:color w:val="000000"/>
          <w:sz w:val="24"/>
          <w:lang w:val="es-ES_tradnl"/>
        </w:rPr>
        <w:lastRenderedPageBreak/>
        <w:t>Por lo que se traen a contexto los artículos</w:t>
      </w:r>
      <w:r w:rsidR="00590E04">
        <w:rPr>
          <w:rFonts w:ascii="Palatino Linotype" w:eastAsia="Palatino Linotype" w:hAnsi="Palatino Linotype" w:cs="Palatino Linotype"/>
          <w:color w:val="000000"/>
          <w:sz w:val="24"/>
          <w:lang w:val="es-ES_tradnl"/>
        </w:rPr>
        <w:t xml:space="preserve"> 5.2 fracción I inciso l), 5.7, 5.57 Ter, y 7.2 del </w:t>
      </w:r>
      <w:r w:rsidR="00590E04" w:rsidRPr="00987F02">
        <w:rPr>
          <w:rFonts w:ascii="Palatino Linotype" w:eastAsia="Palatino Linotype" w:hAnsi="Palatino Linotype" w:cs="Palatino Linotype"/>
          <w:color w:val="000000"/>
          <w:sz w:val="24"/>
          <w:lang w:val="es-ES_tradnl"/>
        </w:rPr>
        <w:t>Código Administrativo del Estado de México</w:t>
      </w:r>
      <w:r w:rsidR="00590E04">
        <w:rPr>
          <w:rFonts w:ascii="Palatino Linotype" w:eastAsia="Palatino Linotype" w:hAnsi="Palatino Linotype" w:cs="Palatino Linotype"/>
          <w:color w:val="000000"/>
          <w:sz w:val="24"/>
          <w:lang w:val="es-ES_tradnl"/>
        </w:rPr>
        <w:t>,</w:t>
      </w:r>
      <w:r>
        <w:rPr>
          <w:rFonts w:ascii="Palatino Linotype" w:eastAsia="Palatino Linotype" w:hAnsi="Palatino Linotype" w:cs="Palatino Linotype"/>
          <w:color w:val="000000"/>
          <w:sz w:val="24"/>
          <w:lang w:val="es-ES_tradnl"/>
        </w:rPr>
        <w:t xml:space="preserve"> </w:t>
      </w:r>
      <w:r w:rsidR="00590E04">
        <w:rPr>
          <w:rFonts w:ascii="Palatino Linotype" w:eastAsia="Palatino Linotype" w:hAnsi="Palatino Linotype" w:cs="Palatino Linotype"/>
          <w:color w:val="000000"/>
          <w:sz w:val="24"/>
          <w:lang w:val="es-ES_tradnl"/>
        </w:rPr>
        <w:t>31 fracción XXXV Bis</w:t>
      </w:r>
      <w:r>
        <w:rPr>
          <w:rFonts w:ascii="Palatino Linotype" w:eastAsia="Palatino Linotype" w:hAnsi="Palatino Linotype" w:cs="Palatino Linotype"/>
          <w:color w:val="000000"/>
          <w:sz w:val="24"/>
          <w:lang w:val="es-ES_tradnl"/>
        </w:rPr>
        <w:t xml:space="preserve"> de la Ley Orgánica Municipal del Estado de México, </w:t>
      </w:r>
      <w:r w:rsidR="00590E04">
        <w:rPr>
          <w:rFonts w:ascii="Palatino Linotype" w:eastAsia="Palatino Linotype" w:hAnsi="Palatino Linotype" w:cs="Palatino Linotype"/>
          <w:color w:val="000000"/>
          <w:sz w:val="24"/>
          <w:lang w:val="es-ES_tradnl"/>
        </w:rPr>
        <w:t>y 5 fracción III, 17 fracción I inciso o), 23, 65 fracción XII y 112 del Bando Municipal 2022 del Sujeto Obligado,</w:t>
      </w:r>
      <w:r w:rsidR="000C2E09">
        <w:rPr>
          <w:rFonts w:ascii="Palatino Linotype" w:eastAsia="Palatino Linotype" w:hAnsi="Palatino Linotype" w:cs="Palatino Linotype"/>
          <w:color w:val="000000"/>
          <w:sz w:val="24"/>
          <w:lang w:val="es-ES_tradnl"/>
        </w:rPr>
        <w:t xml:space="preserve"> 3.39 Bis del </w:t>
      </w:r>
      <w:r w:rsidR="000C2E09" w:rsidRPr="000C2E09">
        <w:rPr>
          <w:rFonts w:ascii="Palatino Linotype" w:eastAsia="Palatino Linotype" w:hAnsi="Palatino Linotype" w:cs="Palatino Linotype"/>
          <w:color w:val="000000"/>
          <w:sz w:val="24"/>
          <w:lang w:val="es-ES_tradnl"/>
        </w:rPr>
        <w:t xml:space="preserve">Código Reglamentario Municipal </w:t>
      </w:r>
      <w:r w:rsidR="000C2E09">
        <w:rPr>
          <w:rFonts w:ascii="Palatino Linotype" w:eastAsia="Palatino Linotype" w:hAnsi="Palatino Linotype" w:cs="Palatino Linotype"/>
          <w:color w:val="000000"/>
          <w:sz w:val="24"/>
          <w:lang w:val="es-ES_tradnl"/>
        </w:rPr>
        <w:t>d</w:t>
      </w:r>
      <w:r w:rsidR="000C2E09" w:rsidRPr="000C2E09">
        <w:rPr>
          <w:rFonts w:ascii="Palatino Linotype" w:eastAsia="Palatino Linotype" w:hAnsi="Palatino Linotype" w:cs="Palatino Linotype"/>
          <w:color w:val="000000"/>
          <w:sz w:val="24"/>
          <w:lang w:val="es-ES_tradnl"/>
        </w:rPr>
        <w:t>e Toluca</w:t>
      </w:r>
      <w:r w:rsidR="000C2E09">
        <w:rPr>
          <w:rFonts w:ascii="Palatino Linotype" w:eastAsia="Palatino Linotype" w:hAnsi="Palatino Linotype" w:cs="Palatino Linotype"/>
          <w:color w:val="000000"/>
          <w:sz w:val="24"/>
          <w:lang w:val="es-ES_tradnl"/>
        </w:rPr>
        <w:t xml:space="preserve"> </w:t>
      </w:r>
      <w:r w:rsidR="00590E04">
        <w:rPr>
          <w:rFonts w:ascii="Palatino Linotype" w:eastAsia="Palatino Linotype" w:hAnsi="Palatino Linotype" w:cs="Palatino Linotype"/>
          <w:color w:val="000000"/>
          <w:sz w:val="24"/>
          <w:lang w:val="es-ES_tradnl"/>
        </w:rPr>
        <w:t>que disponen lo siguiente:</w:t>
      </w:r>
    </w:p>
    <w:p w:rsidR="00590E04" w:rsidRDefault="00590E04" w:rsidP="004D473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rPr>
      </w:pPr>
    </w:p>
    <w:p w:rsidR="00987F02" w:rsidRDefault="00987F02"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lang w:val="es-ES_tradnl"/>
        </w:rPr>
        <w:t>“</w:t>
      </w:r>
      <w:r w:rsidRPr="00987F02">
        <w:rPr>
          <w:rFonts w:ascii="Palatino Linotype" w:eastAsia="Palatino Linotype" w:hAnsi="Palatino Linotype" w:cs="Palatino Linotype"/>
          <w:b/>
          <w:i/>
          <w:color w:val="000000"/>
        </w:rPr>
        <w:t>Artículo 5.2</w:t>
      </w:r>
      <w:r w:rsidRPr="00987F02">
        <w:rPr>
          <w:rFonts w:ascii="Palatino Linotype" w:eastAsia="Palatino Linotype" w:hAnsi="Palatino Linotype" w:cs="Palatino Linotype"/>
          <w:i/>
          <w:color w:val="000000"/>
        </w:rPr>
        <w:t>. En el ordenamiento territorial de los asentamientos humanos y el desarrollo urbano de los centros de población, se deberán observar los principios generales de política pública siguientes: derecho a la ciudad, equidad e inclusión, derecho a la propiedad urbana, coherencia y racionalidad, participación democrática y transparencia, productividad y eficiencia, protección y progresividad del</w:t>
      </w:r>
      <w:r>
        <w:rPr>
          <w:rFonts w:ascii="Palatino Linotype" w:eastAsia="Palatino Linotype" w:hAnsi="Palatino Linotype" w:cs="Palatino Linotype"/>
          <w:i/>
          <w:color w:val="000000"/>
        </w:rPr>
        <w:t xml:space="preserve"> </w:t>
      </w:r>
      <w:r w:rsidRPr="00987F02">
        <w:rPr>
          <w:rFonts w:ascii="Palatino Linotype" w:eastAsia="Palatino Linotype" w:hAnsi="Palatino Linotype" w:cs="Palatino Linotype"/>
          <w:i/>
          <w:color w:val="000000"/>
        </w:rPr>
        <w:t xml:space="preserve">espacio público, resiliencia, seguridad urbana y riesgos, sustentabilidad ambiental y accesibilidad universal y movilidad, previstos en la Ley General de Asentamientos Humanos, Ordenamiento Territorial y Desarrollo Urbano. Para tal efecto: </w:t>
      </w:r>
    </w:p>
    <w:p w:rsidR="00404747" w:rsidRDefault="00987F02"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987F02">
        <w:rPr>
          <w:rFonts w:ascii="Palatino Linotype" w:eastAsia="Palatino Linotype" w:hAnsi="Palatino Linotype" w:cs="Palatino Linotype"/>
          <w:b/>
          <w:i/>
          <w:color w:val="000000"/>
        </w:rPr>
        <w:t>I.</w:t>
      </w:r>
      <w:r w:rsidRPr="00987F02">
        <w:rPr>
          <w:rFonts w:ascii="Palatino Linotype" w:eastAsia="Palatino Linotype" w:hAnsi="Palatino Linotype" w:cs="Palatino Linotype"/>
          <w:i/>
          <w:color w:val="000000"/>
        </w:rPr>
        <w:t xml:space="preserve"> El ordenamiento territorial de los asentamientos humanos atenderá:</w:t>
      </w:r>
    </w:p>
    <w:p w:rsidR="00987F02" w:rsidRDefault="00987F02"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rsidR="00987F02" w:rsidRDefault="00987F02"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987F02">
        <w:rPr>
          <w:rFonts w:ascii="Palatino Linotype" w:eastAsia="Palatino Linotype" w:hAnsi="Palatino Linotype" w:cs="Palatino Linotype"/>
          <w:b/>
          <w:i/>
          <w:color w:val="000000"/>
        </w:rPr>
        <w:t>l)</w:t>
      </w:r>
      <w:r w:rsidRPr="00987F02">
        <w:rPr>
          <w:rFonts w:ascii="Palatino Linotype" w:eastAsia="Palatino Linotype" w:hAnsi="Palatino Linotype" w:cs="Palatino Linotype"/>
          <w:i/>
          <w:color w:val="000000"/>
        </w:rPr>
        <w:t xml:space="preserve"> </w:t>
      </w:r>
      <w:r w:rsidRPr="00E769E0">
        <w:rPr>
          <w:rFonts w:ascii="Palatino Linotype" w:eastAsia="Palatino Linotype" w:hAnsi="Palatino Linotype" w:cs="Palatino Linotype"/>
          <w:b/>
          <w:i/>
          <w:color w:val="000000"/>
        </w:rPr>
        <w:t>La movilidad sustentable</w:t>
      </w:r>
      <w:r w:rsidRPr="00E769E0">
        <w:rPr>
          <w:rFonts w:ascii="Palatino Linotype" w:eastAsia="Palatino Linotype" w:hAnsi="Palatino Linotype" w:cs="Palatino Linotype"/>
          <w:i/>
          <w:color w:val="000000"/>
        </w:rPr>
        <w:t xml:space="preserve"> que privilegie las calles completas, el transporte público, el peatonal y el no motorizado.</w:t>
      </w:r>
    </w:p>
    <w:p w:rsidR="00987F02" w:rsidRDefault="00987F02"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p>
    <w:p w:rsidR="00987F02" w:rsidRDefault="00987F02"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987F02">
        <w:rPr>
          <w:rFonts w:ascii="Palatino Linotype" w:eastAsia="Palatino Linotype" w:hAnsi="Palatino Linotype" w:cs="Palatino Linotype"/>
          <w:b/>
          <w:i/>
          <w:color w:val="000000"/>
        </w:rPr>
        <w:t>Artículo 5.7.</w:t>
      </w:r>
      <w:r w:rsidRPr="00987F02">
        <w:rPr>
          <w:rFonts w:ascii="Palatino Linotype" w:eastAsia="Palatino Linotype" w:hAnsi="Palatino Linotype" w:cs="Palatino Linotype"/>
          <w:i/>
          <w:color w:val="000000"/>
        </w:rPr>
        <w:t xml:space="preserve"> Son autoridades para la aplicación de este Libro el Gobernador del Estado, la Secretaría de Desarrollo Urbano y Obra, la Secretaría de Movilidad y los </w:t>
      </w:r>
      <w:r w:rsidRPr="00987F02">
        <w:rPr>
          <w:rFonts w:ascii="Palatino Linotype" w:eastAsia="Palatino Linotype" w:hAnsi="Palatino Linotype" w:cs="Palatino Linotype"/>
          <w:i/>
          <w:color w:val="000000"/>
          <w:u w:val="single"/>
        </w:rPr>
        <w:t>municipios</w:t>
      </w:r>
      <w:r w:rsidRPr="00987F02">
        <w:rPr>
          <w:rFonts w:ascii="Palatino Linotype" w:eastAsia="Palatino Linotype" w:hAnsi="Palatino Linotype" w:cs="Palatino Linotype"/>
          <w:i/>
          <w:color w:val="000000"/>
        </w:rPr>
        <w:t>.</w:t>
      </w:r>
    </w:p>
    <w:p w:rsidR="00987F02" w:rsidRDefault="00987F02"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p>
    <w:p w:rsidR="00111740" w:rsidRDefault="00987F02"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987F02">
        <w:rPr>
          <w:rFonts w:ascii="Palatino Linotype" w:eastAsia="Palatino Linotype" w:hAnsi="Palatino Linotype" w:cs="Palatino Linotype"/>
          <w:b/>
          <w:i/>
          <w:color w:val="000000"/>
        </w:rPr>
        <w:t>Artículo 5.57 Ter.</w:t>
      </w:r>
      <w:r w:rsidRPr="00987F02">
        <w:rPr>
          <w:rFonts w:ascii="Palatino Linotype" w:eastAsia="Palatino Linotype" w:hAnsi="Palatino Linotype" w:cs="Palatino Linotype"/>
          <w:i/>
          <w:color w:val="000000"/>
        </w:rPr>
        <w:t xml:space="preserve"> Los planes de desarrollo urbano, en apoyo a las políticas y programas para la movilidad, deberán considerar: </w:t>
      </w:r>
    </w:p>
    <w:p w:rsidR="00987F02" w:rsidRDefault="00987F02"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111740">
        <w:rPr>
          <w:rFonts w:ascii="Palatino Linotype" w:eastAsia="Palatino Linotype" w:hAnsi="Palatino Linotype" w:cs="Palatino Linotype"/>
          <w:b/>
          <w:i/>
          <w:color w:val="000000"/>
        </w:rPr>
        <w:t>I.</w:t>
      </w:r>
      <w:r w:rsidRPr="00987F02">
        <w:rPr>
          <w:rFonts w:ascii="Palatino Linotype" w:eastAsia="Palatino Linotype" w:hAnsi="Palatino Linotype" w:cs="Palatino Linotype"/>
          <w:i/>
          <w:color w:val="000000"/>
        </w:rPr>
        <w:t xml:space="preserve"> La accesibilidad universal de las personas, para garantizar la máxima interconexión entre vialidades, medios de transporte, rutas y destinos, priorizando la movilidad peatonal y no motorizada</w:t>
      </w:r>
      <w:r w:rsidR="00111740">
        <w:rPr>
          <w:rFonts w:ascii="Palatino Linotype" w:eastAsia="Palatino Linotype" w:hAnsi="Palatino Linotype" w:cs="Palatino Linotype"/>
          <w:i/>
          <w:color w:val="000000"/>
        </w:rPr>
        <w:t>.</w:t>
      </w:r>
    </w:p>
    <w:p w:rsidR="00111740" w:rsidRDefault="00111740"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111740">
        <w:rPr>
          <w:rFonts w:ascii="Palatino Linotype" w:eastAsia="Palatino Linotype" w:hAnsi="Palatino Linotype" w:cs="Palatino Linotype"/>
          <w:b/>
          <w:i/>
          <w:color w:val="000000"/>
        </w:rPr>
        <w:t>II.</w:t>
      </w:r>
      <w:r w:rsidRPr="00111740">
        <w:rPr>
          <w:rFonts w:ascii="Palatino Linotype" w:eastAsia="Palatino Linotype" w:hAnsi="Palatino Linotype" w:cs="Palatino Linotype"/>
          <w:i/>
          <w:color w:val="000000"/>
        </w:rPr>
        <w:t xml:space="preserve"> La distribución equitativa del espacio público de vialidades, para los diferentes tipos de usuarios</w:t>
      </w:r>
    </w:p>
    <w:p w:rsidR="00111740" w:rsidRDefault="00111740"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rsidR="00987F02" w:rsidRDefault="00111740"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111740">
        <w:rPr>
          <w:rFonts w:ascii="Palatino Linotype" w:eastAsia="Palatino Linotype" w:hAnsi="Palatino Linotype" w:cs="Palatino Linotype"/>
          <w:b/>
          <w:i/>
          <w:color w:val="000000"/>
        </w:rPr>
        <w:t>V.</w:t>
      </w:r>
      <w:r w:rsidRPr="00111740">
        <w:rPr>
          <w:rFonts w:ascii="Palatino Linotype" w:eastAsia="Palatino Linotype" w:hAnsi="Palatino Linotype" w:cs="Palatino Linotype"/>
          <w:i/>
          <w:color w:val="000000"/>
        </w:rPr>
        <w:t xml:space="preserve"> El diseño de la estructura vial de los centros de población y la interconexión vial regional, para facilitar la movilidad y la implementación de programas que, entre otros fines, </w:t>
      </w:r>
      <w:r w:rsidRPr="00111740">
        <w:rPr>
          <w:rFonts w:ascii="Palatino Linotype" w:eastAsia="Palatino Linotype" w:hAnsi="Palatino Linotype" w:cs="Palatino Linotype"/>
          <w:i/>
          <w:color w:val="000000"/>
        </w:rPr>
        <w:lastRenderedPageBreak/>
        <w:t>desestimulen la dependencia del automóvil particular y favorezcan el desarrollo de nuevas alternativas al transporte público.</w:t>
      </w:r>
    </w:p>
    <w:p w:rsidR="00987F02" w:rsidRDefault="00987F02"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lang w:val="es-ES_tradnl"/>
        </w:rPr>
      </w:pPr>
    </w:p>
    <w:p w:rsidR="00987F02" w:rsidRDefault="001C7F07"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lang w:val="es-ES_tradnl"/>
        </w:rPr>
      </w:pPr>
      <w:r w:rsidRPr="001C7F07">
        <w:rPr>
          <w:rFonts w:ascii="Palatino Linotype" w:eastAsia="Palatino Linotype" w:hAnsi="Palatino Linotype" w:cs="Palatino Linotype"/>
          <w:b/>
          <w:i/>
          <w:color w:val="000000"/>
        </w:rPr>
        <w:t xml:space="preserve">Artículo 7.2.- </w:t>
      </w:r>
      <w:r w:rsidRPr="001C7F07">
        <w:rPr>
          <w:rFonts w:ascii="Palatino Linotype" w:eastAsia="Palatino Linotype" w:hAnsi="Palatino Linotype" w:cs="Palatino Linotype"/>
          <w:i/>
          <w:color w:val="000000"/>
        </w:rPr>
        <w:t xml:space="preserve">Las disposiciones de este Libro tienen como finalidad que se cuente con </w:t>
      </w:r>
      <w:r w:rsidRPr="001C7F07">
        <w:rPr>
          <w:rFonts w:ascii="Palatino Linotype" w:eastAsia="Palatino Linotype" w:hAnsi="Palatino Linotype" w:cs="Palatino Linotype"/>
          <w:i/>
          <w:color w:val="000000"/>
          <w:u w:val="single"/>
        </w:rPr>
        <w:t>transporte público</w:t>
      </w:r>
      <w:r w:rsidRPr="001C7F07">
        <w:rPr>
          <w:rFonts w:ascii="Palatino Linotype" w:eastAsia="Palatino Linotype" w:hAnsi="Palatino Linotype" w:cs="Palatino Linotype"/>
          <w:i/>
          <w:color w:val="000000"/>
        </w:rPr>
        <w:t xml:space="preserve"> seguro, eficiente, </w:t>
      </w:r>
      <w:r w:rsidRPr="001C7F07">
        <w:rPr>
          <w:rFonts w:ascii="Palatino Linotype" w:eastAsia="Palatino Linotype" w:hAnsi="Palatino Linotype" w:cs="Palatino Linotype"/>
          <w:i/>
          <w:color w:val="000000"/>
          <w:u w:val="single"/>
        </w:rPr>
        <w:t>sustentable</w:t>
      </w:r>
      <w:r w:rsidRPr="001C7F07">
        <w:rPr>
          <w:rFonts w:ascii="Palatino Linotype" w:eastAsia="Palatino Linotype" w:hAnsi="Palatino Linotype" w:cs="Palatino Linotype"/>
          <w:i/>
          <w:color w:val="000000"/>
        </w:rPr>
        <w:t xml:space="preserve"> con el medio ambiente y de calidad.</w:t>
      </w:r>
    </w:p>
    <w:p w:rsidR="00987F02" w:rsidRDefault="00987F02"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lang w:val="es-ES_tradnl"/>
        </w:rPr>
      </w:pPr>
    </w:p>
    <w:p w:rsidR="00987F02" w:rsidRDefault="00987F02"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lang w:val="es-ES_tradnl"/>
        </w:rPr>
      </w:pPr>
    </w:p>
    <w:p w:rsidR="001C7F07" w:rsidRPr="001C7F07" w:rsidRDefault="001C7F07" w:rsidP="001C7F07">
      <w:pPr>
        <w:pBdr>
          <w:top w:val="nil"/>
          <w:left w:val="nil"/>
          <w:bottom w:val="nil"/>
          <w:right w:val="nil"/>
          <w:between w:val="nil"/>
        </w:pBdr>
        <w:spacing w:after="0" w:line="240" w:lineRule="auto"/>
        <w:ind w:left="567" w:right="616"/>
        <w:contextualSpacing/>
        <w:jc w:val="center"/>
        <w:rPr>
          <w:rFonts w:ascii="Palatino Linotype" w:eastAsia="Palatino Linotype" w:hAnsi="Palatino Linotype" w:cs="Palatino Linotype"/>
          <w:b/>
          <w:i/>
          <w:color w:val="000000"/>
          <w:lang w:val="es-ES_tradnl"/>
        </w:rPr>
      </w:pPr>
      <w:r w:rsidRPr="001C7F07">
        <w:rPr>
          <w:rFonts w:ascii="Palatino Linotype" w:eastAsia="Palatino Linotype" w:hAnsi="Palatino Linotype" w:cs="Palatino Linotype"/>
          <w:b/>
          <w:i/>
          <w:color w:val="000000"/>
          <w:lang w:val="es-ES_tradnl"/>
        </w:rPr>
        <w:t>Ley Orgánica Municipal del Estado de México</w:t>
      </w:r>
    </w:p>
    <w:p w:rsidR="001C7F07" w:rsidRDefault="001C7F07"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lang w:val="es-ES_tradnl"/>
        </w:rPr>
      </w:pPr>
    </w:p>
    <w:p w:rsidR="001C7F07" w:rsidRDefault="001C7F07"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lang w:val="es-ES_tradnl"/>
        </w:rPr>
      </w:pPr>
      <w:r w:rsidRPr="001C7F07">
        <w:rPr>
          <w:rFonts w:ascii="Palatino Linotype" w:eastAsia="Palatino Linotype" w:hAnsi="Palatino Linotype" w:cs="Palatino Linotype"/>
          <w:b/>
          <w:i/>
          <w:color w:val="000000"/>
        </w:rPr>
        <w:t>Artículo 31.-</w:t>
      </w:r>
      <w:r w:rsidRPr="001C7F07">
        <w:rPr>
          <w:rFonts w:ascii="Palatino Linotype" w:eastAsia="Palatino Linotype" w:hAnsi="Palatino Linotype" w:cs="Palatino Linotype"/>
          <w:i/>
          <w:color w:val="000000"/>
        </w:rPr>
        <w:t xml:space="preserve"> Son atribuciones de los ayuntamientos:</w:t>
      </w:r>
    </w:p>
    <w:p w:rsidR="001C7F07" w:rsidRDefault="001C7F07"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lang w:val="es-ES_tradnl"/>
        </w:rPr>
      </w:pPr>
      <w:r>
        <w:rPr>
          <w:rFonts w:ascii="Palatino Linotype" w:eastAsia="Palatino Linotype" w:hAnsi="Palatino Linotype" w:cs="Palatino Linotype"/>
          <w:i/>
          <w:color w:val="000000"/>
          <w:lang w:val="es-ES_tradnl"/>
        </w:rPr>
        <w:t>…</w:t>
      </w:r>
    </w:p>
    <w:p w:rsidR="001C7F07" w:rsidRDefault="001C7F07"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lang w:val="es-ES_tradnl"/>
        </w:rPr>
      </w:pPr>
      <w:r w:rsidRPr="001C7F07">
        <w:rPr>
          <w:rFonts w:ascii="Palatino Linotype" w:eastAsia="Palatino Linotype" w:hAnsi="Palatino Linotype" w:cs="Palatino Linotype"/>
          <w:b/>
          <w:i/>
          <w:color w:val="000000"/>
        </w:rPr>
        <w:t>XXXV Bis.-</w:t>
      </w:r>
      <w:r w:rsidRPr="001C7F07">
        <w:rPr>
          <w:rFonts w:ascii="Palatino Linotype" w:eastAsia="Palatino Linotype" w:hAnsi="Palatino Linotype" w:cs="Palatino Linotype"/>
          <w:i/>
          <w:color w:val="000000"/>
        </w:rPr>
        <w:t xml:space="preserve"> Establecer, fomentar, coordinar y difundir permanentemente programas y acciones en materia de educación vial. Para el cumplimiento de esta disposición los ayuntamientos se auxiliarán de la participación directa de los concesionarios y permisionarios del transporte público;</w:t>
      </w:r>
    </w:p>
    <w:p w:rsidR="001C7F07" w:rsidRDefault="001C7F07"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lang w:val="es-ES_tradnl"/>
        </w:rPr>
      </w:pPr>
    </w:p>
    <w:p w:rsidR="001C7F07" w:rsidRPr="001C7F07" w:rsidRDefault="001C7F07" w:rsidP="001C7F07">
      <w:pPr>
        <w:pBdr>
          <w:top w:val="nil"/>
          <w:left w:val="nil"/>
          <w:bottom w:val="nil"/>
          <w:right w:val="nil"/>
          <w:between w:val="nil"/>
        </w:pBdr>
        <w:spacing w:after="0" w:line="240" w:lineRule="auto"/>
        <w:ind w:left="567" w:right="616"/>
        <w:contextualSpacing/>
        <w:jc w:val="center"/>
        <w:rPr>
          <w:rFonts w:ascii="Palatino Linotype" w:eastAsia="Palatino Linotype" w:hAnsi="Palatino Linotype" w:cs="Palatino Linotype"/>
          <w:b/>
          <w:i/>
          <w:color w:val="000000"/>
          <w:lang w:val="es-ES_tradnl"/>
        </w:rPr>
      </w:pPr>
      <w:r>
        <w:rPr>
          <w:rFonts w:ascii="Palatino Linotype" w:eastAsia="Palatino Linotype" w:hAnsi="Palatino Linotype" w:cs="Palatino Linotype"/>
          <w:b/>
          <w:i/>
          <w:color w:val="000000"/>
          <w:lang w:val="es-ES_tradnl"/>
        </w:rPr>
        <w:t>Bando Municipal de Toluca 2022</w:t>
      </w:r>
    </w:p>
    <w:p w:rsidR="001C7F07" w:rsidRDefault="001C7F07"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lang w:val="es-ES_tradnl"/>
        </w:rPr>
      </w:pPr>
    </w:p>
    <w:p w:rsidR="001C7F07" w:rsidRDefault="001C7F07"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1C7F07">
        <w:rPr>
          <w:rFonts w:ascii="Palatino Linotype" w:eastAsia="Palatino Linotype" w:hAnsi="Palatino Linotype" w:cs="Palatino Linotype"/>
          <w:b/>
          <w:i/>
          <w:color w:val="000000"/>
        </w:rPr>
        <w:t>Artículo 5.</w:t>
      </w:r>
      <w:r w:rsidRPr="001C7F07">
        <w:rPr>
          <w:rFonts w:ascii="Palatino Linotype" w:eastAsia="Palatino Linotype" w:hAnsi="Palatino Linotype" w:cs="Palatino Linotype"/>
          <w:i/>
          <w:color w:val="000000"/>
        </w:rPr>
        <w:t xml:space="preserve"> Por ser nuestro municipio parte de la Zona Metropolitana del Valle de Toluca y para el mejor ejercicio de sus funciones, incluyendo la prestación eficaz de los servicios públicos, los programas y acciones tendrán una visión metropolitana, basada en:</w:t>
      </w:r>
    </w:p>
    <w:p w:rsidR="001C7F07" w:rsidRDefault="001C7F07"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rsidR="001C7F07" w:rsidRDefault="001C7F07"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lang w:val="es-ES_tradnl"/>
        </w:rPr>
      </w:pPr>
      <w:r w:rsidRPr="001C7F07">
        <w:rPr>
          <w:rFonts w:ascii="Palatino Linotype" w:eastAsia="Palatino Linotype" w:hAnsi="Palatino Linotype" w:cs="Palatino Linotype"/>
          <w:b/>
          <w:i/>
          <w:color w:val="000000"/>
        </w:rPr>
        <w:t>III.</w:t>
      </w:r>
      <w:r w:rsidRPr="001C7F07">
        <w:rPr>
          <w:rFonts w:ascii="Palatino Linotype" w:eastAsia="Palatino Linotype" w:hAnsi="Palatino Linotype" w:cs="Palatino Linotype"/>
          <w:i/>
          <w:color w:val="000000"/>
        </w:rPr>
        <w:t xml:space="preserve"> Promover la suscripción de convenios metropolitanos en las materias de desarrollo urbano, rural, ordenamiento territorial, protección al ambiente, preservación y restauración del equilibrio ecológico, </w:t>
      </w:r>
      <w:r w:rsidRPr="003869AF">
        <w:rPr>
          <w:rFonts w:ascii="Palatino Linotype" w:eastAsia="Palatino Linotype" w:hAnsi="Palatino Linotype" w:cs="Palatino Linotype"/>
          <w:i/>
          <w:color w:val="000000"/>
          <w:u w:val="single"/>
        </w:rPr>
        <w:t>transporte alternativo</w:t>
      </w:r>
      <w:r w:rsidRPr="001C7F07">
        <w:rPr>
          <w:rFonts w:ascii="Palatino Linotype" w:eastAsia="Palatino Linotype" w:hAnsi="Palatino Linotype" w:cs="Palatino Linotype"/>
          <w:i/>
          <w:color w:val="000000"/>
        </w:rPr>
        <w:t xml:space="preserve">, movilidad y accesibilidad universal, agua potable y drenaje, recolección, tratamiento y disposición de desechos sólidos, ciencia y tecnología, seguridad pública, </w:t>
      </w:r>
      <w:r w:rsidRPr="003869AF">
        <w:rPr>
          <w:rFonts w:ascii="Palatino Linotype" w:eastAsia="Palatino Linotype" w:hAnsi="Palatino Linotype" w:cs="Palatino Linotype"/>
          <w:i/>
          <w:color w:val="000000"/>
          <w:u w:val="single"/>
        </w:rPr>
        <w:t>ciclo vías</w:t>
      </w:r>
      <w:r w:rsidRPr="001C7F07">
        <w:rPr>
          <w:rFonts w:ascii="Palatino Linotype" w:eastAsia="Palatino Linotype" w:hAnsi="Palatino Linotype" w:cs="Palatino Linotype"/>
          <w:i/>
          <w:color w:val="000000"/>
        </w:rPr>
        <w:t>, ciclo carriles, comercio y regulación sanitaria;</w:t>
      </w:r>
    </w:p>
    <w:p w:rsidR="001C7F07" w:rsidRDefault="001C7F07"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lang w:val="es-ES_tradnl"/>
        </w:rPr>
      </w:pPr>
    </w:p>
    <w:p w:rsidR="001C7F07" w:rsidRDefault="001C7F07"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1C7F07">
        <w:rPr>
          <w:rFonts w:ascii="Palatino Linotype" w:eastAsia="Palatino Linotype" w:hAnsi="Palatino Linotype" w:cs="Palatino Linotype"/>
          <w:b/>
          <w:i/>
          <w:color w:val="000000"/>
        </w:rPr>
        <w:t>Artículo 17.</w:t>
      </w:r>
      <w:r w:rsidRPr="001C7F07">
        <w:rPr>
          <w:rFonts w:ascii="Palatino Linotype" w:eastAsia="Palatino Linotype" w:hAnsi="Palatino Linotype" w:cs="Palatino Linotype"/>
          <w:i/>
          <w:color w:val="000000"/>
        </w:rPr>
        <w:t xml:space="preserve"> Los vecinos del Municipio tienen los siguientes: </w:t>
      </w:r>
    </w:p>
    <w:p w:rsidR="001C7F07" w:rsidRPr="001C7F07" w:rsidRDefault="001C7F07"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b/>
          <w:i/>
          <w:color w:val="000000"/>
          <w:lang w:val="es-ES_tradnl"/>
        </w:rPr>
      </w:pPr>
      <w:r w:rsidRPr="001C7F07">
        <w:rPr>
          <w:rFonts w:ascii="Palatino Linotype" w:eastAsia="Palatino Linotype" w:hAnsi="Palatino Linotype" w:cs="Palatino Linotype"/>
          <w:b/>
          <w:i/>
          <w:color w:val="000000"/>
        </w:rPr>
        <w:t>I. Derechos:</w:t>
      </w:r>
    </w:p>
    <w:p w:rsidR="001C7F07" w:rsidRDefault="001C7F07"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lang w:val="es-ES_tradnl"/>
        </w:rPr>
      </w:pPr>
      <w:r>
        <w:rPr>
          <w:rFonts w:ascii="Palatino Linotype" w:eastAsia="Palatino Linotype" w:hAnsi="Palatino Linotype" w:cs="Palatino Linotype"/>
          <w:i/>
          <w:color w:val="000000"/>
          <w:lang w:val="es-ES_tradnl"/>
        </w:rPr>
        <w:t>…</w:t>
      </w:r>
    </w:p>
    <w:p w:rsidR="001C7F07" w:rsidRDefault="001C7F07"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lang w:val="es-ES_tradnl"/>
        </w:rPr>
      </w:pPr>
      <w:r w:rsidRPr="001C7F07">
        <w:rPr>
          <w:rFonts w:ascii="Palatino Linotype" w:eastAsia="Palatino Linotype" w:hAnsi="Palatino Linotype" w:cs="Palatino Linotype"/>
          <w:b/>
          <w:i/>
          <w:color w:val="000000"/>
          <w:lang w:val="es-ES_tradnl"/>
        </w:rPr>
        <w:t>o.</w:t>
      </w:r>
      <w:r w:rsidRPr="001C7F07">
        <w:rPr>
          <w:rFonts w:ascii="Palatino Linotype" w:eastAsia="Palatino Linotype" w:hAnsi="Palatino Linotype" w:cs="Palatino Linotype"/>
          <w:i/>
          <w:color w:val="000000"/>
        </w:rPr>
        <w:t xml:space="preserve"> Tener alternativas de movilidad segura, saludable, sustentable y solidaria, así como infraestructura adecuada para ejercer este derecho en el municipio.</w:t>
      </w:r>
    </w:p>
    <w:p w:rsidR="001C7F07" w:rsidRDefault="001C7F07"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lang w:val="es-ES_tradnl"/>
        </w:rPr>
      </w:pPr>
      <w:r>
        <w:rPr>
          <w:rFonts w:ascii="Palatino Linotype" w:eastAsia="Palatino Linotype" w:hAnsi="Palatino Linotype" w:cs="Palatino Linotype"/>
          <w:i/>
          <w:color w:val="000000"/>
          <w:lang w:val="es-ES_tradnl"/>
        </w:rPr>
        <w:t>…</w:t>
      </w:r>
    </w:p>
    <w:p w:rsidR="001C7F07" w:rsidRDefault="001C7F07"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lang w:val="es-ES_tradnl"/>
        </w:rPr>
      </w:pPr>
    </w:p>
    <w:p w:rsidR="00590E04" w:rsidRDefault="00590E04"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E769E0">
        <w:rPr>
          <w:rFonts w:ascii="Palatino Linotype" w:eastAsia="Palatino Linotype" w:hAnsi="Palatino Linotype" w:cs="Palatino Linotype"/>
          <w:b/>
          <w:i/>
          <w:color w:val="000000"/>
        </w:rPr>
        <w:lastRenderedPageBreak/>
        <w:t>Artículo 23.</w:t>
      </w:r>
      <w:r w:rsidRPr="00590E04">
        <w:rPr>
          <w:rFonts w:ascii="Palatino Linotype" w:eastAsia="Palatino Linotype" w:hAnsi="Palatino Linotype" w:cs="Palatino Linotype"/>
          <w:i/>
          <w:color w:val="000000"/>
        </w:rPr>
        <w:t xml:space="preserve"> Para la consulta, estudio, planeación y despacho de los asuntos en los diversos ramos de la Administración Pública Municipal, la o el Presidente Municipal se auxiliará de la Secretaría del Ayuntamiento y de las siguientes: </w:t>
      </w:r>
    </w:p>
    <w:p w:rsidR="00590E04" w:rsidRPr="00590E04" w:rsidRDefault="00590E04"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b/>
          <w:i/>
          <w:color w:val="000000"/>
        </w:rPr>
      </w:pPr>
      <w:r w:rsidRPr="00590E04">
        <w:rPr>
          <w:rFonts w:ascii="Palatino Linotype" w:eastAsia="Palatino Linotype" w:hAnsi="Palatino Linotype" w:cs="Palatino Linotype"/>
          <w:b/>
          <w:i/>
          <w:color w:val="000000"/>
        </w:rPr>
        <w:t xml:space="preserve">I. DEPENDENCIAS: </w:t>
      </w:r>
    </w:p>
    <w:p w:rsidR="00590E04" w:rsidRDefault="00590E04"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590E04">
        <w:rPr>
          <w:rFonts w:ascii="Palatino Linotype" w:eastAsia="Palatino Linotype" w:hAnsi="Palatino Linotype" w:cs="Palatino Linotype"/>
          <w:i/>
          <w:color w:val="000000"/>
        </w:rPr>
        <w:t xml:space="preserve">1. Tesorería Municipal; </w:t>
      </w:r>
    </w:p>
    <w:p w:rsidR="00590E04" w:rsidRDefault="00590E04"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590E04">
        <w:rPr>
          <w:rFonts w:ascii="Palatino Linotype" w:eastAsia="Palatino Linotype" w:hAnsi="Palatino Linotype" w:cs="Palatino Linotype"/>
          <w:i/>
          <w:color w:val="000000"/>
        </w:rPr>
        <w:t xml:space="preserve">2. Contraloría; </w:t>
      </w:r>
    </w:p>
    <w:p w:rsidR="00590E04" w:rsidRDefault="00590E04"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590E04">
        <w:rPr>
          <w:rFonts w:ascii="Palatino Linotype" w:eastAsia="Palatino Linotype" w:hAnsi="Palatino Linotype" w:cs="Palatino Linotype"/>
          <w:i/>
          <w:color w:val="000000"/>
        </w:rPr>
        <w:t xml:space="preserve">3. Dirección General de Gobierno; </w:t>
      </w:r>
    </w:p>
    <w:p w:rsidR="00590E04" w:rsidRDefault="00590E04"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590E04">
        <w:rPr>
          <w:rFonts w:ascii="Palatino Linotype" w:eastAsia="Palatino Linotype" w:hAnsi="Palatino Linotype" w:cs="Palatino Linotype"/>
          <w:i/>
          <w:color w:val="000000"/>
        </w:rPr>
        <w:t xml:space="preserve">4. Dirección General de Seguridad y Protección; </w:t>
      </w:r>
    </w:p>
    <w:p w:rsidR="00590E04" w:rsidRDefault="00590E04"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590E04">
        <w:rPr>
          <w:rFonts w:ascii="Palatino Linotype" w:eastAsia="Palatino Linotype" w:hAnsi="Palatino Linotype" w:cs="Palatino Linotype"/>
          <w:i/>
          <w:color w:val="000000"/>
        </w:rPr>
        <w:t xml:space="preserve">5. Dirección General de Administración; </w:t>
      </w:r>
    </w:p>
    <w:p w:rsidR="00590E04" w:rsidRDefault="00590E04"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590E04">
        <w:rPr>
          <w:rFonts w:ascii="Palatino Linotype" w:eastAsia="Palatino Linotype" w:hAnsi="Palatino Linotype" w:cs="Palatino Linotype"/>
          <w:i/>
          <w:color w:val="000000"/>
        </w:rPr>
        <w:t xml:space="preserve">6. Dirección General de Medio Ambiente; </w:t>
      </w:r>
    </w:p>
    <w:p w:rsidR="00590E04" w:rsidRDefault="00590E04"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590E04">
        <w:rPr>
          <w:rFonts w:ascii="Palatino Linotype" w:eastAsia="Palatino Linotype" w:hAnsi="Palatino Linotype" w:cs="Palatino Linotype"/>
          <w:i/>
          <w:color w:val="000000"/>
        </w:rPr>
        <w:t xml:space="preserve">7. Dirección General de Servicios Públicos; </w:t>
      </w:r>
    </w:p>
    <w:p w:rsidR="00590E04" w:rsidRDefault="00590E04"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590E04">
        <w:rPr>
          <w:rFonts w:ascii="Palatino Linotype" w:eastAsia="Palatino Linotype" w:hAnsi="Palatino Linotype" w:cs="Palatino Linotype"/>
          <w:i/>
          <w:color w:val="000000"/>
        </w:rPr>
        <w:t xml:space="preserve">8. Dirección General de Desarrollo Urbano y Ordenamiento Territorial; </w:t>
      </w:r>
    </w:p>
    <w:p w:rsidR="00590E04" w:rsidRDefault="00590E04"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590E04">
        <w:rPr>
          <w:rFonts w:ascii="Palatino Linotype" w:eastAsia="Palatino Linotype" w:hAnsi="Palatino Linotype" w:cs="Palatino Linotype"/>
          <w:i/>
          <w:color w:val="000000"/>
        </w:rPr>
        <w:t xml:space="preserve">9. Dirección General de Obras Públicas; </w:t>
      </w:r>
    </w:p>
    <w:p w:rsidR="00590E04" w:rsidRDefault="00590E04"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590E04">
        <w:rPr>
          <w:rFonts w:ascii="Palatino Linotype" w:eastAsia="Palatino Linotype" w:hAnsi="Palatino Linotype" w:cs="Palatino Linotype"/>
          <w:i/>
          <w:color w:val="000000"/>
        </w:rPr>
        <w:t xml:space="preserve">10. Dirección General de Desarrollo Económico; y </w:t>
      </w:r>
    </w:p>
    <w:p w:rsidR="00590E04" w:rsidRDefault="00590E04"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590E04">
        <w:rPr>
          <w:rFonts w:ascii="Palatino Linotype" w:eastAsia="Palatino Linotype" w:hAnsi="Palatino Linotype" w:cs="Palatino Linotype"/>
          <w:i/>
          <w:color w:val="000000"/>
        </w:rPr>
        <w:t>11. Dirección General de Desarrollo Social.</w:t>
      </w:r>
      <w:r>
        <w:rPr>
          <w:rFonts w:ascii="Palatino Linotype" w:eastAsia="Palatino Linotype" w:hAnsi="Palatino Linotype" w:cs="Palatino Linotype"/>
          <w:i/>
          <w:color w:val="000000"/>
        </w:rPr>
        <w:t xml:space="preserve"> </w:t>
      </w:r>
    </w:p>
    <w:p w:rsidR="00590E04" w:rsidRPr="00590E04" w:rsidRDefault="00590E04"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b/>
          <w:i/>
          <w:color w:val="000000"/>
        </w:rPr>
      </w:pPr>
      <w:r w:rsidRPr="00590E04">
        <w:rPr>
          <w:rFonts w:ascii="Palatino Linotype" w:eastAsia="Palatino Linotype" w:hAnsi="Palatino Linotype" w:cs="Palatino Linotype"/>
          <w:b/>
          <w:i/>
          <w:color w:val="000000"/>
        </w:rPr>
        <w:t xml:space="preserve">II. ÓRGANO DESCONCENTRADO: </w:t>
      </w:r>
    </w:p>
    <w:p w:rsidR="00590E04" w:rsidRDefault="00590E04"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590E04">
        <w:rPr>
          <w:rFonts w:ascii="Palatino Linotype" w:eastAsia="Palatino Linotype" w:hAnsi="Palatino Linotype" w:cs="Palatino Linotype"/>
          <w:i/>
          <w:color w:val="000000"/>
        </w:rPr>
        <w:t xml:space="preserve">1. Unidad de Asuntos Internos. </w:t>
      </w:r>
    </w:p>
    <w:p w:rsidR="00590E04" w:rsidRPr="00590E04" w:rsidRDefault="00590E04"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b/>
          <w:i/>
          <w:color w:val="000000"/>
        </w:rPr>
      </w:pPr>
      <w:r w:rsidRPr="00590E04">
        <w:rPr>
          <w:rFonts w:ascii="Palatino Linotype" w:eastAsia="Palatino Linotype" w:hAnsi="Palatino Linotype" w:cs="Palatino Linotype"/>
          <w:b/>
          <w:i/>
          <w:color w:val="000000"/>
        </w:rPr>
        <w:t xml:space="preserve">III. ORGANISMOS DESCENTRALIZADOS: </w:t>
      </w:r>
    </w:p>
    <w:p w:rsidR="00590E04" w:rsidRDefault="00590E04"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590E04">
        <w:rPr>
          <w:rFonts w:ascii="Palatino Linotype" w:eastAsia="Palatino Linotype" w:hAnsi="Palatino Linotype" w:cs="Palatino Linotype"/>
          <w:i/>
          <w:color w:val="000000"/>
        </w:rPr>
        <w:t xml:space="preserve">1. Sistema Municipal para el Desarrollo Integral de la Familia de Toluca; </w:t>
      </w:r>
    </w:p>
    <w:p w:rsidR="00590E04" w:rsidRDefault="00590E04"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590E04">
        <w:rPr>
          <w:rFonts w:ascii="Palatino Linotype" w:eastAsia="Palatino Linotype" w:hAnsi="Palatino Linotype" w:cs="Palatino Linotype"/>
          <w:i/>
          <w:color w:val="000000"/>
        </w:rPr>
        <w:t xml:space="preserve">2. Instituto Municipal de Cultura Física y Deporte de Toluca; </w:t>
      </w:r>
    </w:p>
    <w:p w:rsidR="00590E04" w:rsidRDefault="00590E04"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590E04">
        <w:rPr>
          <w:rFonts w:ascii="Palatino Linotype" w:eastAsia="Palatino Linotype" w:hAnsi="Palatino Linotype" w:cs="Palatino Linotype"/>
          <w:i/>
          <w:color w:val="000000"/>
        </w:rPr>
        <w:t xml:space="preserve">3. Instituto Municipal de la Mujer de Toluca; y </w:t>
      </w:r>
    </w:p>
    <w:p w:rsidR="00590E04" w:rsidRDefault="00590E04"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590E04">
        <w:rPr>
          <w:rFonts w:ascii="Palatino Linotype" w:eastAsia="Palatino Linotype" w:hAnsi="Palatino Linotype" w:cs="Palatino Linotype"/>
          <w:i/>
          <w:color w:val="000000"/>
        </w:rPr>
        <w:t xml:space="preserve">4. Organismo Agua y Saneamiento de Toluca. </w:t>
      </w:r>
    </w:p>
    <w:p w:rsidR="00590E04" w:rsidRPr="00590E04" w:rsidRDefault="00590E04"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b/>
          <w:i/>
          <w:color w:val="000000"/>
        </w:rPr>
      </w:pPr>
      <w:r w:rsidRPr="00590E04">
        <w:rPr>
          <w:rFonts w:ascii="Palatino Linotype" w:eastAsia="Palatino Linotype" w:hAnsi="Palatino Linotype" w:cs="Palatino Linotype"/>
          <w:b/>
          <w:i/>
          <w:color w:val="000000"/>
        </w:rPr>
        <w:t xml:space="preserve">IV. ÓRGANO AUTÓNOMO: </w:t>
      </w:r>
    </w:p>
    <w:p w:rsidR="00590E04" w:rsidRDefault="00590E04"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590E04">
        <w:rPr>
          <w:rFonts w:ascii="Palatino Linotype" w:eastAsia="Palatino Linotype" w:hAnsi="Palatino Linotype" w:cs="Palatino Linotype"/>
          <w:i/>
          <w:color w:val="000000"/>
        </w:rPr>
        <w:t xml:space="preserve">1. Defensoría Municipal de los Derechos Humanos de Toluca. </w:t>
      </w:r>
    </w:p>
    <w:p w:rsidR="00590E04" w:rsidRDefault="00590E04"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590E04">
        <w:rPr>
          <w:rFonts w:ascii="Palatino Linotype" w:eastAsia="Palatino Linotype" w:hAnsi="Palatino Linotype" w:cs="Palatino Linotype"/>
          <w:i/>
          <w:color w:val="000000"/>
        </w:rPr>
        <w:t xml:space="preserve">La Secretaría del Ayuntamiento tendrá las atribuciones que le otorgue la Ley Orgánica Municipal del Estado de México y las que le asigne el Ayuntamiento. </w:t>
      </w:r>
    </w:p>
    <w:p w:rsidR="00590E04" w:rsidRDefault="00590E04"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590E04">
        <w:rPr>
          <w:rFonts w:ascii="Palatino Linotype" w:eastAsia="Palatino Linotype" w:hAnsi="Palatino Linotype" w:cs="Palatino Linotype"/>
          <w:i/>
          <w:color w:val="000000"/>
        </w:rPr>
        <w:t xml:space="preserve">Al frente de la Secretaría del Ayuntamiento, de la Contraloría, de las Direcciones Generales, de las Direcciones de Área, de las Unidades y de las Coordinaciones, habrá una o un titular a quien se denominará Secretaria o Secretario del Ayuntamiento, Contralora o Contralor, Directora o Director General, Directora o Director de Área, Coordinadora o Coordinador, Jefa, Jefe o Titular de la Unidad, respectivamente; y en el caso de los órganos desconcentrados, Directora, Director de Área o Titular, quienes se auxiliarán de las Jefas o los Jefes de Departamento y demás personal que será autorizado por el Presidente Municipal, en razón de lo que establezcan las leyes, reglamentos, manuales administrativos y otras disposiciones legales encaminadas al debido funcionamiento de las áreas, y tendrán las atribuciones que se señalan en esos ordenamientos y las que le asigne la o el Presidente Municipal y la o el titular de quien dependan. </w:t>
      </w:r>
    </w:p>
    <w:p w:rsidR="00590E04" w:rsidRDefault="00590E04"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lang w:val="es-ES_tradnl"/>
        </w:rPr>
      </w:pPr>
      <w:r w:rsidRPr="00590E04">
        <w:rPr>
          <w:rFonts w:ascii="Palatino Linotype" w:eastAsia="Palatino Linotype" w:hAnsi="Palatino Linotype" w:cs="Palatino Linotype"/>
          <w:i/>
          <w:color w:val="000000"/>
        </w:rPr>
        <w:lastRenderedPageBreak/>
        <w:t>Los nombramientos de la Secretaria o Secretario del Ayuntamiento, de la Tesorera o Tesorero Municipal, Contralora o Contralor, Directoras o Directores Generales, personal que señale la Ley Orgánica Municipal y otros ordenamientos legales aplicables, serán aprobados por el Ayuntamiento a propuesta de la o el Presidente Municipal, quien podrá removerlos libremente por causa justificada, cuando la remoción no esté determinada en algún otro ordenamiento legal.</w:t>
      </w:r>
    </w:p>
    <w:p w:rsidR="00590E04" w:rsidRDefault="00590E04"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lang w:val="es-ES_tradnl"/>
        </w:rPr>
      </w:pPr>
    </w:p>
    <w:p w:rsidR="001C7F07" w:rsidRDefault="001C7F07"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1C7F07">
        <w:rPr>
          <w:rFonts w:ascii="Palatino Linotype" w:eastAsia="Palatino Linotype" w:hAnsi="Palatino Linotype" w:cs="Palatino Linotype"/>
          <w:b/>
          <w:i/>
          <w:color w:val="000000"/>
        </w:rPr>
        <w:t>Artículo 65.</w:t>
      </w:r>
      <w:r w:rsidRPr="001C7F07">
        <w:rPr>
          <w:rFonts w:ascii="Palatino Linotype" w:eastAsia="Palatino Linotype" w:hAnsi="Palatino Linotype" w:cs="Palatino Linotype"/>
          <w:i/>
          <w:color w:val="000000"/>
        </w:rPr>
        <w:t xml:space="preserve"> Son atribuciones de las autoridades municipales en materia de planeación urbana y ordenamiento territorial:</w:t>
      </w:r>
    </w:p>
    <w:p w:rsidR="001C7F07" w:rsidRDefault="001C7F07"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lang w:val="es-ES_tradnl"/>
        </w:rPr>
      </w:pPr>
      <w:r>
        <w:rPr>
          <w:rFonts w:ascii="Palatino Linotype" w:eastAsia="Palatino Linotype" w:hAnsi="Palatino Linotype" w:cs="Palatino Linotype"/>
          <w:i/>
          <w:color w:val="000000"/>
        </w:rPr>
        <w:t>…</w:t>
      </w:r>
    </w:p>
    <w:p w:rsidR="001C7F07" w:rsidRDefault="001C7F07"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1C7F07">
        <w:rPr>
          <w:rFonts w:ascii="Palatino Linotype" w:eastAsia="Palatino Linotype" w:hAnsi="Palatino Linotype" w:cs="Palatino Linotype"/>
          <w:b/>
          <w:i/>
          <w:color w:val="000000"/>
        </w:rPr>
        <w:t>XII.</w:t>
      </w:r>
      <w:r w:rsidRPr="001C7F07">
        <w:rPr>
          <w:rFonts w:ascii="Palatino Linotype" w:eastAsia="Palatino Linotype" w:hAnsi="Palatino Linotype" w:cs="Palatino Linotype"/>
          <w:i/>
          <w:color w:val="000000"/>
        </w:rPr>
        <w:t xml:space="preserve"> Elaborar y actualizar el Plan Municipal de Desarrollo Urbano, los planes parciales que deriven de él, los planes y programas municipales de movilidad y accesibilidad, así como los estudios e investigaciones necesarios para planear, promover y vigilar el desarrollo urbano, ordenamiento territorial y el sistema de movilidad municipal, fomentando la participación ciudadana;</w:t>
      </w:r>
    </w:p>
    <w:p w:rsidR="001C7F07" w:rsidRDefault="001C7F07"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p>
    <w:p w:rsidR="003869AF" w:rsidRDefault="003869AF"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3869AF">
        <w:rPr>
          <w:rFonts w:ascii="Palatino Linotype" w:eastAsia="Palatino Linotype" w:hAnsi="Palatino Linotype" w:cs="Palatino Linotype"/>
          <w:b/>
          <w:i/>
          <w:color w:val="000000"/>
        </w:rPr>
        <w:t>Artículo 111.</w:t>
      </w:r>
      <w:r w:rsidRPr="003869AF">
        <w:rPr>
          <w:rFonts w:ascii="Palatino Linotype" w:eastAsia="Palatino Linotype" w:hAnsi="Palatino Linotype" w:cs="Palatino Linotype"/>
          <w:i/>
          <w:color w:val="000000"/>
        </w:rPr>
        <w:t xml:space="preserve"> Son derechos y obligaciones de los </w:t>
      </w:r>
      <w:r w:rsidRPr="003869AF">
        <w:rPr>
          <w:rFonts w:ascii="Palatino Linotype" w:eastAsia="Palatino Linotype" w:hAnsi="Palatino Linotype" w:cs="Palatino Linotype"/>
          <w:i/>
          <w:color w:val="000000"/>
          <w:u w:val="single"/>
        </w:rPr>
        <w:t>ciclistas</w:t>
      </w:r>
      <w:r w:rsidRPr="003869AF">
        <w:rPr>
          <w:rFonts w:ascii="Palatino Linotype" w:eastAsia="Palatino Linotype" w:hAnsi="Palatino Linotype" w:cs="Palatino Linotype"/>
          <w:i/>
          <w:color w:val="000000"/>
        </w:rPr>
        <w:t xml:space="preserve">: </w:t>
      </w:r>
    </w:p>
    <w:p w:rsidR="003869AF" w:rsidRPr="003869AF" w:rsidRDefault="003869AF"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b/>
          <w:i/>
          <w:color w:val="000000"/>
        </w:rPr>
      </w:pPr>
      <w:r w:rsidRPr="003869AF">
        <w:rPr>
          <w:rFonts w:ascii="Palatino Linotype" w:eastAsia="Palatino Linotype" w:hAnsi="Palatino Linotype" w:cs="Palatino Linotype"/>
          <w:b/>
          <w:i/>
          <w:color w:val="000000"/>
        </w:rPr>
        <w:t xml:space="preserve">I. Derechos </w:t>
      </w:r>
    </w:p>
    <w:p w:rsidR="003869AF" w:rsidRDefault="003869AF"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3869AF">
        <w:rPr>
          <w:rFonts w:ascii="Palatino Linotype" w:eastAsia="Palatino Linotype" w:hAnsi="Palatino Linotype" w:cs="Palatino Linotype"/>
          <w:i/>
          <w:color w:val="000000"/>
        </w:rPr>
        <w:t xml:space="preserve">a. Circular en la infraestructura ciclista existente y con precaución en los espacios destinados al tránsito de vehículos; </w:t>
      </w:r>
    </w:p>
    <w:p w:rsidR="003869AF" w:rsidRDefault="003869AF"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3869AF">
        <w:rPr>
          <w:rFonts w:ascii="Palatino Linotype" w:eastAsia="Palatino Linotype" w:hAnsi="Palatino Linotype" w:cs="Palatino Linotype"/>
          <w:i/>
          <w:color w:val="000000"/>
        </w:rPr>
        <w:t xml:space="preserve">b. Recibir orientación y auxilio por parte de las autoridades de tránsito y vialidad; </w:t>
      </w:r>
    </w:p>
    <w:p w:rsidR="003869AF" w:rsidRDefault="003869AF"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3869AF">
        <w:rPr>
          <w:rFonts w:ascii="Palatino Linotype" w:eastAsia="Palatino Linotype" w:hAnsi="Palatino Linotype" w:cs="Palatino Linotype"/>
          <w:i/>
          <w:color w:val="000000"/>
        </w:rPr>
        <w:t xml:space="preserve">c. Tener preferencia sobre el tránsito vehicular motorizado; </w:t>
      </w:r>
    </w:p>
    <w:p w:rsidR="003869AF" w:rsidRDefault="003869AF"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3869AF">
        <w:rPr>
          <w:rFonts w:ascii="Palatino Linotype" w:eastAsia="Palatino Linotype" w:hAnsi="Palatino Linotype" w:cs="Palatino Linotype"/>
          <w:i/>
          <w:color w:val="000000"/>
        </w:rPr>
        <w:t xml:space="preserve">d. Hacer uso del carril completo en las vías sin infraestructura ciclista; </w:t>
      </w:r>
    </w:p>
    <w:p w:rsidR="003869AF" w:rsidRDefault="003869AF"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3869AF">
        <w:rPr>
          <w:rFonts w:ascii="Palatino Linotype" w:eastAsia="Palatino Linotype" w:hAnsi="Palatino Linotype" w:cs="Palatino Linotype"/>
          <w:i/>
          <w:color w:val="000000"/>
        </w:rPr>
        <w:t xml:space="preserve">e. Circular entre carriles cuando: </w:t>
      </w:r>
    </w:p>
    <w:p w:rsidR="003869AF" w:rsidRDefault="003869AF" w:rsidP="003869AF">
      <w:pPr>
        <w:pBdr>
          <w:top w:val="nil"/>
          <w:left w:val="nil"/>
          <w:bottom w:val="nil"/>
          <w:right w:val="nil"/>
          <w:between w:val="nil"/>
        </w:pBdr>
        <w:spacing w:after="0" w:line="240" w:lineRule="auto"/>
        <w:ind w:left="851" w:right="616"/>
        <w:contextualSpacing/>
        <w:jc w:val="both"/>
        <w:rPr>
          <w:rFonts w:ascii="Palatino Linotype" w:eastAsia="Palatino Linotype" w:hAnsi="Palatino Linotype" w:cs="Palatino Linotype"/>
          <w:i/>
          <w:color w:val="000000"/>
        </w:rPr>
      </w:pPr>
      <w:r w:rsidRPr="003869AF">
        <w:rPr>
          <w:rFonts w:ascii="Palatino Linotype" w:eastAsia="Palatino Linotype" w:hAnsi="Palatino Linotype" w:cs="Palatino Linotype"/>
          <w:i/>
          <w:color w:val="000000"/>
        </w:rPr>
        <w:t xml:space="preserve">I. El tránsito esté detenido y pretenda reiniciar su marcha; o </w:t>
      </w:r>
    </w:p>
    <w:p w:rsidR="003869AF" w:rsidRDefault="003869AF" w:rsidP="003869AF">
      <w:pPr>
        <w:pBdr>
          <w:top w:val="nil"/>
          <w:left w:val="nil"/>
          <w:bottom w:val="nil"/>
          <w:right w:val="nil"/>
          <w:between w:val="nil"/>
        </w:pBdr>
        <w:spacing w:after="0" w:line="240" w:lineRule="auto"/>
        <w:ind w:left="851" w:right="616"/>
        <w:contextualSpacing/>
        <w:jc w:val="both"/>
        <w:rPr>
          <w:rFonts w:ascii="Palatino Linotype" w:eastAsia="Palatino Linotype" w:hAnsi="Palatino Linotype" w:cs="Palatino Linotype"/>
          <w:i/>
          <w:color w:val="000000"/>
        </w:rPr>
      </w:pPr>
      <w:r w:rsidRPr="003869AF">
        <w:rPr>
          <w:rFonts w:ascii="Palatino Linotype" w:eastAsia="Palatino Linotype" w:hAnsi="Palatino Linotype" w:cs="Palatino Linotype"/>
          <w:i/>
          <w:color w:val="000000"/>
        </w:rPr>
        <w:t xml:space="preserve">II. Necesite rebasar un vehículo que esté detenido en el carril sobre el que circula. </w:t>
      </w:r>
    </w:p>
    <w:p w:rsidR="003869AF" w:rsidRDefault="003869AF"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3869AF">
        <w:rPr>
          <w:rFonts w:ascii="Palatino Linotype" w:eastAsia="Palatino Linotype" w:hAnsi="Palatino Linotype" w:cs="Palatino Linotype"/>
          <w:i/>
          <w:color w:val="000000"/>
        </w:rPr>
        <w:t xml:space="preserve">f. Contar preferencialmente con caja bici-moto al frente de los carriles en todas las vialidades para reiniciar la marcha en posición adelantada cuando la luz del semáforo lo permita; y </w:t>
      </w:r>
    </w:p>
    <w:p w:rsidR="001C7F07" w:rsidRDefault="003869AF"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3869AF">
        <w:rPr>
          <w:rFonts w:ascii="Palatino Linotype" w:eastAsia="Palatino Linotype" w:hAnsi="Palatino Linotype" w:cs="Palatino Linotype"/>
          <w:i/>
          <w:color w:val="000000"/>
        </w:rPr>
        <w:t>g. Contar con ciclovías y bici carriles suficientes, seguros e interconectados y disfrutar de su uso exclusivo.</w:t>
      </w:r>
    </w:p>
    <w:p w:rsidR="001C7F07" w:rsidRDefault="001C7F07"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p>
    <w:p w:rsidR="003869AF" w:rsidRPr="003869AF" w:rsidRDefault="003869AF"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b/>
          <w:i/>
          <w:color w:val="000000"/>
        </w:rPr>
      </w:pPr>
      <w:r w:rsidRPr="003869AF">
        <w:rPr>
          <w:rFonts w:ascii="Palatino Linotype" w:eastAsia="Palatino Linotype" w:hAnsi="Palatino Linotype" w:cs="Palatino Linotype"/>
          <w:b/>
          <w:i/>
          <w:color w:val="000000"/>
        </w:rPr>
        <w:t xml:space="preserve">II. Obligaciones </w:t>
      </w:r>
    </w:p>
    <w:p w:rsidR="003869AF" w:rsidRDefault="003869AF"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3869AF">
        <w:rPr>
          <w:rFonts w:ascii="Palatino Linotype" w:eastAsia="Palatino Linotype" w:hAnsi="Palatino Linotype" w:cs="Palatino Linotype"/>
          <w:i/>
          <w:color w:val="000000"/>
        </w:rPr>
        <w:t xml:space="preserve">a. Respetar las señales de tránsito y las indicaciones de las y los agentes de seguridad vial; </w:t>
      </w:r>
    </w:p>
    <w:p w:rsidR="003869AF" w:rsidRDefault="003869AF"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3869AF">
        <w:rPr>
          <w:rFonts w:ascii="Palatino Linotype" w:eastAsia="Palatino Linotype" w:hAnsi="Palatino Linotype" w:cs="Palatino Linotype"/>
          <w:i/>
          <w:color w:val="000000"/>
        </w:rPr>
        <w:t xml:space="preserve">b. Circular en el sentido de la vía; </w:t>
      </w:r>
    </w:p>
    <w:p w:rsidR="003869AF" w:rsidRDefault="003869AF"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3869AF">
        <w:rPr>
          <w:rFonts w:ascii="Palatino Linotype" w:eastAsia="Palatino Linotype" w:hAnsi="Palatino Linotype" w:cs="Palatino Linotype"/>
          <w:i/>
          <w:color w:val="000000"/>
        </w:rPr>
        <w:t xml:space="preserve">c. Usar los implementos de seguridad en la vestimenta y en el vehículo no motorizado, tanto usuario como acompañante; </w:t>
      </w:r>
    </w:p>
    <w:p w:rsidR="003869AF" w:rsidRDefault="003869AF"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3869AF">
        <w:rPr>
          <w:rFonts w:ascii="Palatino Linotype" w:eastAsia="Palatino Linotype" w:hAnsi="Palatino Linotype" w:cs="Palatino Linotype"/>
          <w:i/>
          <w:color w:val="000000"/>
        </w:rPr>
        <w:t xml:space="preserve">d. Llevar a bordo de la bicicleta sólo al número de personas para las que existe asiento; </w:t>
      </w:r>
    </w:p>
    <w:p w:rsidR="003869AF" w:rsidRDefault="003869AF"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3869AF">
        <w:rPr>
          <w:rFonts w:ascii="Palatino Linotype" w:eastAsia="Palatino Linotype" w:hAnsi="Palatino Linotype" w:cs="Palatino Linotype"/>
          <w:i/>
          <w:color w:val="000000"/>
        </w:rPr>
        <w:lastRenderedPageBreak/>
        <w:t xml:space="preserve">e. No circular sobre la línea divisoria de carriles; </w:t>
      </w:r>
    </w:p>
    <w:p w:rsidR="003869AF" w:rsidRDefault="003869AF"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3869AF">
        <w:rPr>
          <w:rFonts w:ascii="Palatino Linotype" w:eastAsia="Palatino Linotype" w:hAnsi="Palatino Linotype" w:cs="Palatino Linotype"/>
          <w:i/>
          <w:color w:val="000000"/>
        </w:rPr>
        <w:t xml:space="preserve">f. Rebasar por el carril izquierdo con extrema precaución; </w:t>
      </w:r>
    </w:p>
    <w:p w:rsidR="003869AF" w:rsidRDefault="003869AF"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3869AF">
        <w:rPr>
          <w:rFonts w:ascii="Palatino Linotype" w:eastAsia="Palatino Linotype" w:hAnsi="Palatino Linotype" w:cs="Palatino Linotype"/>
          <w:i/>
          <w:color w:val="000000"/>
        </w:rPr>
        <w:t xml:space="preserve">g. Usar aditamentos o bandas reflejantes en la bicicleta para uso nocturno; </w:t>
      </w:r>
    </w:p>
    <w:p w:rsidR="003869AF" w:rsidRDefault="003869AF"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3869AF">
        <w:rPr>
          <w:rFonts w:ascii="Palatino Linotype" w:eastAsia="Palatino Linotype" w:hAnsi="Palatino Linotype" w:cs="Palatino Linotype"/>
          <w:i/>
          <w:color w:val="000000"/>
        </w:rPr>
        <w:t xml:space="preserve">h. Circular dentro de la infraestructura ciclista en los lugares en donde exista o sobre la extrema derecha sobre la vía en la que transite; </w:t>
      </w:r>
    </w:p>
    <w:p w:rsidR="003869AF" w:rsidRDefault="003869AF"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3869AF">
        <w:rPr>
          <w:rFonts w:ascii="Palatino Linotype" w:eastAsia="Palatino Linotype" w:hAnsi="Palatino Linotype" w:cs="Palatino Linotype"/>
          <w:i/>
          <w:color w:val="000000"/>
        </w:rPr>
        <w:t xml:space="preserve">i. Compartir de manera responsable con los vehículos y el transporte público la circulación en carril derecho; </w:t>
      </w:r>
    </w:p>
    <w:p w:rsidR="003869AF" w:rsidRDefault="003869AF"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3869AF">
        <w:rPr>
          <w:rFonts w:ascii="Palatino Linotype" w:eastAsia="Palatino Linotype" w:hAnsi="Palatino Linotype" w:cs="Palatino Linotype"/>
          <w:i/>
          <w:color w:val="000000"/>
        </w:rPr>
        <w:t xml:space="preserve">j. No circular sobre las banquetas y áreas reservadas al uso exclusivo de peatones o estacionarse en ellas, excepto en donde existan ciclo estacionamientos; </w:t>
      </w:r>
    </w:p>
    <w:p w:rsidR="003869AF" w:rsidRDefault="003869AF"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3869AF">
        <w:rPr>
          <w:rFonts w:ascii="Palatino Linotype" w:eastAsia="Palatino Linotype" w:hAnsi="Palatino Linotype" w:cs="Palatino Linotype"/>
          <w:i/>
          <w:color w:val="000000"/>
        </w:rPr>
        <w:t xml:space="preserve">k. No transportar carga que impida mantener ambas manos sobre el manubrio, y un debido control del vehículo o su necesaria estabilidad; </w:t>
      </w:r>
    </w:p>
    <w:p w:rsidR="003869AF" w:rsidRDefault="003869AF"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3869AF">
        <w:rPr>
          <w:rFonts w:ascii="Palatino Linotype" w:eastAsia="Palatino Linotype" w:hAnsi="Palatino Linotype" w:cs="Palatino Linotype"/>
          <w:i/>
          <w:color w:val="000000"/>
        </w:rPr>
        <w:t xml:space="preserve">l. No asirse o sujetarse a otros vehículos en movimiento, con excepción de remolques ciclistas que se adapten a otra bicicleta; </w:t>
      </w:r>
    </w:p>
    <w:p w:rsidR="003869AF" w:rsidRDefault="003869AF"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3869AF">
        <w:rPr>
          <w:rFonts w:ascii="Palatino Linotype" w:eastAsia="Palatino Linotype" w:hAnsi="Palatino Linotype" w:cs="Palatino Linotype"/>
          <w:i/>
          <w:color w:val="000000"/>
        </w:rPr>
        <w:t xml:space="preserve">m. Dar preferencia de paso a los peatones; </w:t>
      </w:r>
    </w:p>
    <w:p w:rsidR="003869AF" w:rsidRDefault="003869AF"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3869AF">
        <w:rPr>
          <w:rFonts w:ascii="Palatino Linotype" w:eastAsia="Palatino Linotype" w:hAnsi="Palatino Linotype" w:cs="Palatino Linotype"/>
          <w:i/>
          <w:color w:val="000000"/>
        </w:rPr>
        <w:t xml:space="preserve">n. No usar distractores que impidan tener sus sentidos enfocados a la conducción de vehículo no motorizado; </w:t>
      </w:r>
    </w:p>
    <w:p w:rsidR="003869AF" w:rsidRDefault="003869AF"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3869AF">
        <w:rPr>
          <w:rFonts w:ascii="Palatino Linotype" w:eastAsia="Palatino Linotype" w:hAnsi="Palatino Linotype" w:cs="Palatino Linotype"/>
          <w:i/>
          <w:color w:val="000000"/>
        </w:rPr>
        <w:t xml:space="preserve">o. No conducir en estado de ebriedad o bajo el influjo de drogas, enervantes, psicotrópicos y/u otras sustancias que tengan efectos similares; e </w:t>
      </w:r>
    </w:p>
    <w:p w:rsidR="003869AF" w:rsidRDefault="003869AF"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3869AF">
        <w:rPr>
          <w:rFonts w:ascii="Palatino Linotype" w:eastAsia="Palatino Linotype" w:hAnsi="Palatino Linotype" w:cs="Palatino Linotype"/>
          <w:i/>
          <w:color w:val="000000"/>
        </w:rPr>
        <w:t xml:space="preserve">p. Indicar la dirección del giro o cambio de carril mediante señales con el brazo y mano. </w:t>
      </w:r>
    </w:p>
    <w:p w:rsidR="003869AF" w:rsidRDefault="003869AF"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p>
    <w:p w:rsidR="003869AF" w:rsidRDefault="003869AF"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3869AF">
        <w:rPr>
          <w:rFonts w:ascii="Palatino Linotype" w:eastAsia="Palatino Linotype" w:hAnsi="Palatino Linotype" w:cs="Palatino Linotype"/>
          <w:i/>
          <w:color w:val="000000"/>
        </w:rPr>
        <w:t xml:space="preserve">El incumplimiento de estas obligaciones ameritará una amonestación por parte de las autoridades de seguridad vial. Tratándose de los incisos a), j), k), l) y o), se aplicará una multa de hasta tres Unidades de Medida y Actualización por parte de la autoridad. </w:t>
      </w:r>
    </w:p>
    <w:p w:rsidR="001C7F07" w:rsidRDefault="003869AF"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3869AF">
        <w:rPr>
          <w:rFonts w:ascii="Palatino Linotype" w:eastAsia="Palatino Linotype" w:hAnsi="Palatino Linotype" w:cs="Palatino Linotype"/>
          <w:i/>
          <w:color w:val="000000"/>
        </w:rPr>
        <w:t>En caso de incumplimiento de la fracción II inciso b) se realizará un exhorto en una ocasión al conductor, por parte del oficial de Tránsito o Vialidad, a circular conforme al sentido de la vía; en caso de desacato se procederá conforme a lo establecido en el párrafo anterior</w:t>
      </w:r>
    </w:p>
    <w:p w:rsidR="001C7F07" w:rsidRDefault="001C7F07"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lang w:val="es-ES_tradnl"/>
        </w:rPr>
      </w:pPr>
    </w:p>
    <w:p w:rsidR="001C7F07" w:rsidRPr="00C9314D" w:rsidRDefault="000C2E09" w:rsidP="000C2E09">
      <w:pPr>
        <w:pBdr>
          <w:top w:val="nil"/>
          <w:left w:val="nil"/>
          <w:bottom w:val="nil"/>
          <w:right w:val="nil"/>
          <w:between w:val="nil"/>
        </w:pBdr>
        <w:spacing w:after="0" w:line="240" w:lineRule="auto"/>
        <w:ind w:left="567" w:right="616"/>
        <w:contextualSpacing/>
        <w:jc w:val="center"/>
        <w:rPr>
          <w:rFonts w:ascii="Palatino Linotype" w:eastAsia="Palatino Linotype" w:hAnsi="Palatino Linotype" w:cs="Palatino Linotype"/>
          <w:b/>
          <w:i/>
          <w:color w:val="000000"/>
          <w:lang w:val="es-ES_tradnl"/>
        </w:rPr>
      </w:pPr>
      <w:r w:rsidRPr="00C9314D">
        <w:rPr>
          <w:rFonts w:ascii="Palatino Linotype" w:eastAsia="Palatino Linotype" w:hAnsi="Palatino Linotype" w:cs="Palatino Linotype"/>
          <w:b/>
          <w:i/>
          <w:color w:val="000000"/>
        </w:rPr>
        <w:t>Código Reglamentario Municipal de Toluca</w:t>
      </w:r>
    </w:p>
    <w:p w:rsidR="000C2E09" w:rsidRPr="00C9314D" w:rsidRDefault="000C2E09"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lang w:val="es-ES_tradnl"/>
        </w:rPr>
      </w:pPr>
    </w:p>
    <w:p w:rsidR="000C2E09" w:rsidRPr="00C9314D" w:rsidRDefault="000C2E09"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C9314D">
        <w:rPr>
          <w:rFonts w:ascii="Palatino Linotype" w:eastAsia="Palatino Linotype" w:hAnsi="Palatino Linotype" w:cs="Palatino Linotype"/>
          <w:b/>
          <w:i/>
          <w:color w:val="000000"/>
        </w:rPr>
        <w:t>Artículo 3.39 bis.</w:t>
      </w:r>
      <w:r w:rsidRPr="00C9314D">
        <w:rPr>
          <w:rFonts w:ascii="Palatino Linotype" w:eastAsia="Palatino Linotype" w:hAnsi="Palatino Linotype" w:cs="Palatino Linotype"/>
          <w:i/>
          <w:color w:val="000000"/>
        </w:rPr>
        <w:t xml:space="preserve"> La o el titular de </w:t>
      </w:r>
      <w:r w:rsidRPr="00C9314D">
        <w:rPr>
          <w:rFonts w:ascii="Palatino Linotype" w:eastAsia="Palatino Linotype" w:hAnsi="Palatino Linotype" w:cs="Palatino Linotype"/>
          <w:i/>
          <w:color w:val="000000"/>
          <w:u w:val="single"/>
        </w:rPr>
        <w:t>La Dirección de Sustentabilidad Vial</w:t>
      </w:r>
      <w:r w:rsidRPr="00C9314D">
        <w:rPr>
          <w:rFonts w:ascii="Palatino Linotype" w:eastAsia="Palatino Linotype" w:hAnsi="Palatino Linotype" w:cs="Palatino Linotype"/>
          <w:i/>
          <w:color w:val="000000"/>
        </w:rPr>
        <w:t xml:space="preserve">, tendrá las siguientes atribuciones: </w:t>
      </w:r>
    </w:p>
    <w:p w:rsidR="000C2E09" w:rsidRPr="00C9314D" w:rsidRDefault="000C2E09" w:rsidP="000C2E09">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C9314D">
        <w:rPr>
          <w:rFonts w:ascii="Palatino Linotype" w:eastAsia="Palatino Linotype" w:hAnsi="Palatino Linotype" w:cs="Palatino Linotype"/>
          <w:i/>
          <w:color w:val="000000"/>
        </w:rPr>
        <w:t xml:space="preserve">…; </w:t>
      </w:r>
    </w:p>
    <w:p w:rsidR="000C2E09" w:rsidRDefault="000C2E09"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E769E0">
        <w:rPr>
          <w:rFonts w:ascii="Palatino Linotype" w:eastAsia="Palatino Linotype" w:hAnsi="Palatino Linotype" w:cs="Palatino Linotype"/>
          <w:b/>
          <w:i/>
          <w:color w:val="000000"/>
        </w:rPr>
        <w:t>III.</w:t>
      </w:r>
      <w:r w:rsidRPr="00C9314D">
        <w:rPr>
          <w:rFonts w:ascii="Palatino Linotype" w:eastAsia="Palatino Linotype" w:hAnsi="Palatino Linotype" w:cs="Palatino Linotype"/>
          <w:i/>
          <w:color w:val="000000"/>
        </w:rPr>
        <w:t xml:space="preserve"> Analizar y modernizar los</w:t>
      </w:r>
      <w:r w:rsidRPr="000C2E09">
        <w:rPr>
          <w:rFonts w:ascii="Palatino Linotype" w:eastAsia="Palatino Linotype" w:hAnsi="Palatino Linotype" w:cs="Palatino Linotype"/>
          <w:i/>
          <w:color w:val="000000"/>
        </w:rPr>
        <w:t xml:space="preserve"> procesos administrativos, técnicos y operativos de control de infracciones, inspección de estacionómetros, mantenimiento, explotación de datos y monitoreo de la red semafórica, formulación de estudios y proyectos de vialidad, </w:t>
      </w:r>
      <w:r w:rsidRPr="000C2E09">
        <w:rPr>
          <w:rFonts w:ascii="Palatino Linotype" w:eastAsia="Palatino Linotype" w:hAnsi="Palatino Linotype" w:cs="Palatino Linotype"/>
          <w:i/>
          <w:color w:val="000000"/>
          <w:u w:val="single"/>
        </w:rPr>
        <w:t xml:space="preserve">así como brindar el apoyo logístico, </w:t>
      </w:r>
      <w:r w:rsidRPr="00C9314D">
        <w:rPr>
          <w:rFonts w:ascii="Palatino Linotype" w:eastAsia="Palatino Linotype" w:hAnsi="Palatino Linotype" w:cs="Palatino Linotype"/>
          <w:b/>
          <w:i/>
          <w:color w:val="000000"/>
          <w:u w:val="single"/>
        </w:rPr>
        <w:t>técnico</w:t>
      </w:r>
      <w:r w:rsidRPr="000C2E09">
        <w:rPr>
          <w:rFonts w:ascii="Palatino Linotype" w:eastAsia="Palatino Linotype" w:hAnsi="Palatino Linotype" w:cs="Palatino Linotype"/>
          <w:i/>
          <w:color w:val="000000"/>
          <w:u w:val="single"/>
        </w:rPr>
        <w:t xml:space="preserve"> y normativo a la red de ciclovías,</w:t>
      </w:r>
      <w:r w:rsidRPr="000C2E09">
        <w:rPr>
          <w:rFonts w:ascii="Palatino Linotype" w:eastAsia="Palatino Linotype" w:hAnsi="Palatino Linotype" w:cs="Palatino Linotype"/>
          <w:i/>
          <w:color w:val="000000"/>
        </w:rPr>
        <w:t xml:space="preserve"> espacios peatonales y vía pública;</w:t>
      </w:r>
    </w:p>
    <w:p w:rsidR="00763229" w:rsidRDefault="00763229"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w:t>
      </w:r>
    </w:p>
    <w:p w:rsidR="00763229" w:rsidRDefault="00763229"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p>
    <w:p w:rsidR="00763229" w:rsidRDefault="00763229"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763229">
        <w:rPr>
          <w:rFonts w:ascii="Palatino Linotype" w:eastAsia="Palatino Linotype" w:hAnsi="Palatino Linotype" w:cs="Palatino Linotype"/>
          <w:b/>
          <w:i/>
          <w:color w:val="000000"/>
        </w:rPr>
        <w:t>Artículo 3.53.</w:t>
      </w:r>
      <w:r w:rsidRPr="00763229">
        <w:rPr>
          <w:rFonts w:ascii="Palatino Linotype" w:eastAsia="Palatino Linotype" w:hAnsi="Palatino Linotype" w:cs="Palatino Linotype"/>
          <w:i/>
          <w:color w:val="000000"/>
        </w:rPr>
        <w:t xml:space="preserve"> La o el titular de la Dirección General de Desarrollo Urbano, Ordenamiento Territorial y Obras Públicas tendrá las siguientes atribuciones: </w:t>
      </w:r>
    </w:p>
    <w:p w:rsidR="00763229" w:rsidRPr="005618B8" w:rsidRDefault="005618B8"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b/>
          <w:i/>
          <w:color w:val="000000"/>
        </w:rPr>
      </w:pPr>
      <w:r w:rsidRPr="005618B8">
        <w:rPr>
          <w:rFonts w:ascii="Palatino Linotype" w:eastAsia="Palatino Linotype" w:hAnsi="Palatino Linotype" w:cs="Palatino Linotype"/>
          <w:b/>
          <w:i/>
          <w:color w:val="000000"/>
        </w:rPr>
        <w:t>I…</w:t>
      </w:r>
      <w:r w:rsidR="00763229" w:rsidRPr="005618B8">
        <w:rPr>
          <w:rFonts w:ascii="Palatino Linotype" w:eastAsia="Palatino Linotype" w:hAnsi="Palatino Linotype" w:cs="Palatino Linotype"/>
          <w:b/>
          <w:i/>
          <w:color w:val="000000"/>
        </w:rPr>
        <w:t xml:space="preserve">; </w:t>
      </w:r>
    </w:p>
    <w:p w:rsidR="00763229" w:rsidRDefault="00763229"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5618B8">
        <w:rPr>
          <w:rFonts w:ascii="Palatino Linotype" w:eastAsia="Palatino Linotype" w:hAnsi="Palatino Linotype" w:cs="Palatino Linotype"/>
          <w:b/>
          <w:i/>
          <w:color w:val="000000"/>
        </w:rPr>
        <w:t>II.</w:t>
      </w:r>
      <w:r w:rsidRPr="00763229">
        <w:rPr>
          <w:rFonts w:ascii="Palatino Linotype" w:eastAsia="Palatino Linotype" w:hAnsi="Palatino Linotype" w:cs="Palatino Linotype"/>
          <w:i/>
          <w:color w:val="000000"/>
        </w:rPr>
        <w:t xml:space="preserve"> Organizar, dirigir y vigilar el proceso de la emisión de licencias de construcción de obras nuevas y extemporáneas, prorrogas y/o permisos de construcción, demoliciones y excavaciones, constancias de suspensión de obra, regularización de obra edificada, constancia de terminación de obra, </w:t>
      </w:r>
      <w:r w:rsidRPr="005618B8">
        <w:rPr>
          <w:rFonts w:ascii="Palatino Linotype" w:eastAsia="Palatino Linotype" w:hAnsi="Palatino Linotype" w:cs="Palatino Linotype"/>
          <w:i/>
          <w:color w:val="000000"/>
          <w:u w:val="single"/>
        </w:rPr>
        <w:t>permiso para obra en la infraestructura vial local</w:t>
      </w:r>
      <w:r w:rsidRPr="00763229">
        <w:rPr>
          <w:rFonts w:ascii="Palatino Linotype" w:eastAsia="Palatino Linotype" w:hAnsi="Palatino Linotype" w:cs="Palatino Linotype"/>
          <w:i/>
          <w:color w:val="000000"/>
        </w:rPr>
        <w:t>, licencias de uso de suelo, cédulas informativas de zonificación, constancias de alineamiento y número oficial en asuntos relacionados con la construcción, así mismo, prever que en los nuevos desarrollos urbanos y comerciales, se encuentre considerada la infraestructura del servicio de transporte público, así como autorizar la habilitación y/o construcción de bahías de acenso y descenso del mismo;</w:t>
      </w:r>
    </w:p>
    <w:p w:rsidR="005618B8" w:rsidRDefault="005618B8"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rsidR="005618B8" w:rsidRDefault="005618B8"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lang w:val="es-ES_tradnl"/>
        </w:rPr>
      </w:pPr>
      <w:r w:rsidRPr="005618B8">
        <w:rPr>
          <w:rFonts w:ascii="Palatino Linotype" w:eastAsia="Palatino Linotype" w:hAnsi="Palatino Linotype" w:cs="Palatino Linotype"/>
          <w:b/>
          <w:i/>
          <w:color w:val="000000"/>
        </w:rPr>
        <w:t>VII.</w:t>
      </w:r>
      <w:r w:rsidRPr="005618B8">
        <w:rPr>
          <w:rFonts w:ascii="Palatino Linotype" w:eastAsia="Palatino Linotype" w:hAnsi="Palatino Linotype" w:cs="Palatino Linotype"/>
          <w:i/>
          <w:color w:val="000000"/>
        </w:rPr>
        <w:t xml:space="preserve"> Intervenir en la autorización de construcción de obras para la prestación de servicios públicos;</w:t>
      </w:r>
    </w:p>
    <w:p w:rsidR="000C2E09" w:rsidRDefault="005618B8"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lang w:val="es-ES_tradnl"/>
        </w:rPr>
      </w:pPr>
      <w:r>
        <w:rPr>
          <w:rFonts w:ascii="Palatino Linotype" w:eastAsia="Palatino Linotype" w:hAnsi="Palatino Linotype" w:cs="Palatino Linotype"/>
          <w:i/>
          <w:color w:val="000000"/>
          <w:lang w:val="es-ES_tradnl"/>
        </w:rPr>
        <w:t>…</w:t>
      </w:r>
    </w:p>
    <w:p w:rsidR="005618B8" w:rsidRDefault="005618B8"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5618B8">
        <w:rPr>
          <w:rFonts w:ascii="Palatino Linotype" w:eastAsia="Palatino Linotype" w:hAnsi="Palatino Linotype" w:cs="Palatino Linotype"/>
          <w:b/>
          <w:i/>
          <w:color w:val="000000"/>
        </w:rPr>
        <w:t>XXIV.</w:t>
      </w:r>
      <w:r w:rsidRPr="005618B8">
        <w:rPr>
          <w:rFonts w:ascii="Palatino Linotype" w:eastAsia="Palatino Linotype" w:hAnsi="Palatino Linotype" w:cs="Palatino Linotype"/>
          <w:i/>
          <w:color w:val="000000"/>
        </w:rPr>
        <w:t xml:space="preserve"> Conducir los procedimientos relativos a la apertura, prolongación, ampliación o cualquier otra modificación </w:t>
      </w:r>
      <w:r w:rsidRPr="005618B8">
        <w:rPr>
          <w:rFonts w:ascii="Palatino Linotype" w:eastAsia="Palatino Linotype" w:hAnsi="Palatino Linotype" w:cs="Palatino Linotype"/>
          <w:i/>
          <w:color w:val="000000"/>
          <w:u w:val="single"/>
        </w:rPr>
        <w:t>de las vías públicas que constituyan la infraestructura local</w:t>
      </w:r>
      <w:r w:rsidRPr="005618B8">
        <w:rPr>
          <w:rFonts w:ascii="Palatino Linotype" w:eastAsia="Palatino Linotype" w:hAnsi="Palatino Linotype" w:cs="Palatino Linotype"/>
          <w:i/>
          <w:color w:val="000000"/>
        </w:rPr>
        <w:t>, previo dictamen técnico;</w:t>
      </w:r>
    </w:p>
    <w:p w:rsidR="005618B8" w:rsidRDefault="005618B8"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lang w:val="es-ES_tradnl"/>
        </w:rPr>
      </w:pPr>
      <w:r>
        <w:rPr>
          <w:rFonts w:ascii="Palatino Linotype" w:eastAsia="Palatino Linotype" w:hAnsi="Palatino Linotype" w:cs="Palatino Linotype"/>
          <w:b/>
          <w:i/>
          <w:color w:val="000000"/>
        </w:rPr>
        <w:t>…</w:t>
      </w:r>
    </w:p>
    <w:p w:rsidR="005618B8" w:rsidRDefault="005618B8"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lang w:val="es-ES_tradnl"/>
        </w:rPr>
      </w:pPr>
      <w:r w:rsidRPr="005618B8">
        <w:rPr>
          <w:rFonts w:ascii="Palatino Linotype" w:eastAsia="Palatino Linotype" w:hAnsi="Palatino Linotype" w:cs="Palatino Linotype"/>
          <w:b/>
          <w:i/>
          <w:color w:val="000000"/>
        </w:rPr>
        <w:t>XXIX.</w:t>
      </w:r>
      <w:r w:rsidRPr="005618B8">
        <w:rPr>
          <w:rFonts w:ascii="Palatino Linotype" w:eastAsia="Palatino Linotype" w:hAnsi="Palatino Linotype" w:cs="Palatino Linotype"/>
          <w:i/>
          <w:color w:val="000000"/>
        </w:rPr>
        <w:t xml:space="preserve"> Validar las acciones y proyectos de infraestructura, equipamiento público, imagen urbana, mobiliario urbano, vivienda y movilidad que considere realizar cualquier orden de gobierno dentro del territorio municipal, a través de la emisión de dictámenes y opiniones técnicas que contemplen el impacto urbano;</w:t>
      </w:r>
    </w:p>
    <w:p w:rsidR="000C2E09" w:rsidRDefault="000C2E09"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lang w:val="es-ES_tradnl"/>
        </w:rPr>
      </w:pPr>
    </w:p>
    <w:p w:rsidR="00C9314D" w:rsidRDefault="00C9314D"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C9314D">
        <w:rPr>
          <w:rFonts w:ascii="Palatino Linotype" w:eastAsia="Palatino Linotype" w:hAnsi="Palatino Linotype" w:cs="Palatino Linotype"/>
          <w:b/>
          <w:i/>
          <w:color w:val="000000"/>
        </w:rPr>
        <w:t>Artículo 7.93</w:t>
      </w:r>
      <w:r w:rsidRPr="00C9314D">
        <w:rPr>
          <w:rFonts w:ascii="Palatino Linotype" w:eastAsia="Palatino Linotype" w:hAnsi="Palatino Linotype" w:cs="Palatino Linotype"/>
          <w:i/>
          <w:color w:val="000000"/>
        </w:rPr>
        <w:t xml:space="preserve">. El sistema de </w:t>
      </w:r>
      <w:r w:rsidRPr="00E769E0">
        <w:rPr>
          <w:rFonts w:ascii="Palatino Linotype" w:eastAsia="Palatino Linotype" w:hAnsi="Palatino Linotype" w:cs="Palatino Linotype"/>
          <w:i/>
          <w:color w:val="000000"/>
          <w:u w:val="single"/>
        </w:rPr>
        <w:t>bicicleta pública es un medio alternativo de transporte y tiene por objeto poner a disposición de los usuarios registrados, bicicletas para que sean utilizadas en sus traslados</w:t>
      </w:r>
      <w:r w:rsidRPr="00C9314D">
        <w:rPr>
          <w:rFonts w:ascii="Palatino Linotype" w:eastAsia="Palatino Linotype" w:hAnsi="Palatino Linotype" w:cs="Palatino Linotype"/>
          <w:i/>
          <w:color w:val="000000"/>
        </w:rPr>
        <w:t xml:space="preserve">. </w:t>
      </w:r>
    </w:p>
    <w:p w:rsidR="00C9314D" w:rsidRDefault="00C9314D"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C9314D">
        <w:rPr>
          <w:rFonts w:ascii="Palatino Linotype" w:eastAsia="Palatino Linotype" w:hAnsi="Palatino Linotype" w:cs="Palatino Linotype"/>
          <w:i/>
          <w:color w:val="000000"/>
        </w:rPr>
        <w:t xml:space="preserve">El Sistema es gestionado por el gobierno municipal y permite hacer uso de una bicicleta, disponiendo de ella en una bici-estación y devolviéndola en los lugares asignados. </w:t>
      </w:r>
    </w:p>
    <w:p w:rsidR="00C9314D" w:rsidRDefault="00C9314D"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p>
    <w:p w:rsidR="00C9314D" w:rsidRDefault="00C9314D"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lang w:val="es-ES_tradnl"/>
        </w:rPr>
      </w:pPr>
      <w:r w:rsidRPr="00C9314D">
        <w:rPr>
          <w:rFonts w:ascii="Palatino Linotype" w:eastAsia="Palatino Linotype" w:hAnsi="Palatino Linotype" w:cs="Palatino Linotype"/>
          <w:b/>
          <w:i/>
          <w:color w:val="000000"/>
        </w:rPr>
        <w:t>Artículo 7.94.</w:t>
      </w:r>
      <w:r w:rsidRPr="00C9314D">
        <w:rPr>
          <w:rFonts w:ascii="Palatino Linotype" w:eastAsia="Palatino Linotype" w:hAnsi="Palatino Linotype" w:cs="Palatino Linotype"/>
          <w:i/>
          <w:color w:val="000000"/>
        </w:rPr>
        <w:t xml:space="preserve"> Los derechos y obligaciones de los usuarios de este sistema serán determinados por las Condiciones Generales de Uso del Sistema de Bicicleta Pública, así como las demás disposiciones legales aplicables.</w:t>
      </w:r>
      <w:r w:rsidR="00E769E0">
        <w:rPr>
          <w:rFonts w:ascii="Palatino Linotype" w:eastAsia="Palatino Linotype" w:hAnsi="Palatino Linotype" w:cs="Palatino Linotype"/>
          <w:i/>
          <w:color w:val="000000"/>
        </w:rPr>
        <w:t>”</w:t>
      </w:r>
    </w:p>
    <w:p w:rsidR="00C9314D" w:rsidRDefault="00C9314D"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color w:val="000000"/>
          <w:lang w:val="es-ES_tradnl"/>
        </w:rPr>
      </w:pPr>
    </w:p>
    <w:p w:rsidR="00E769E0" w:rsidRPr="00E769E0" w:rsidRDefault="00E769E0" w:rsidP="00987F0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lastRenderedPageBreak/>
        <w:t>(Énfasis añadido)</w:t>
      </w:r>
    </w:p>
    <w:p w:rsidR="00987F02" w:rsidRDefault="00987F02" w:rsidP="004D473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rPr>
      </w:pPr>
    </w:p>
    <w:p w:rsidR="00E769E0" w:rsidRDefault="00E769E0" w:rsidP="004D473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rPr>
      </w:pPr>
      <w:r>
        <w:rPr>
          <w:rFonts w:ascii="Palatino Linotype" w:eastAsia="Palatino Linotype" w:hAnsi="Palatino Linotype" w:cs="Palatino Linotype"/>
          <w:color w:val="000000"/>
          <w:sz w:val="24"/>
          <w:lang w:val="es-ES_tradnl"/>
        </w:rPr>
        <w:t xml:space="preserve">Preceptos legales con los cuales podemos concretar que, el </w:t>
      </w:r>
      <w:r w:rsidRPr="00E769E0">
        <w:rPr>
          <w:rFonts w:ascii="Palatino Linotype" w:eastAsia="Palatino Linotype" w:hAnsi="Palatino Linotype" w:cs="Palatino Linotype"/>
          <w:b/>
          <w:color w:val="000000"/>
          <w:sz w:val="24"/>
          <w:lang w:val="es-ES_tradnl"/>
        </w:rPr>
        <w:t>Sujeto Obligado</w:t>
      </w:r>
      <w:r>
        <w:rPr>
          <w:rFonts w:ascii="Palatino Linotype" w:eastAsia="Palatino Linotype" w:hAnsi="Palatino Linotype" w:cs="Palatino Linotype"/>
          <w:color w:val="000000"/>
          <w:sz w:val="24"/>
          <w:lang w:val="es-ES_tradnl"/>
        </w:rPr>
        <w:t xml:space="preserve"> cuenta entre otras, con atribuciones en materia de movilidad sustentable y en la elaboración de los planes de desarrollo urbano, en el cual se debe priorizar la movilidad peatonal y no motorizada. Asimismo, se encuentran señalados los derechos y obligaciones de los ciclistas que hagan uso de la infraestructura existente en los límites territoriales del Municipio.</w:t>
      </w:r>
      <w:r w:rsidR="00F12F30">
        <w:rPr>
          <w:rFonts w:ascii="Palatino Linotype" w:eastAsia="Palatino Linotype" w:hAnsi="Palatino Linotype" w:cs="Palatino Linotype"/>
          <w:color w:val="000000"/>
          <w:sz w:val="24"/>
          <w:lang w:val="es-ES_tradnl"/>
        </w:rPr>
        <w:t xml:space="preserve"> </w:t>
      </w:r>
      <w:r w:rsidR="009C5A85">
        <w:rPr>
          <w:rFonts w:ascii="Palatino Linotype" w:eastAsia="Palatino Linotype" w:hAnsi="Palatino Linotype" w:cs="Palatino Linotype"/>
          <w:color w:val="000000"/>
          <w:sz w:val="24"/>
          <w:lang w:val="es-ES_tradnl"/>
        </w:rPr>
        <w:t xml:space="preserve">De igual manera, se acredita la existencia de la </w:t>
      </w:r>
      <w:r w:rsidR="009C5A85" w:rsidRPr="00F12F30">
        <w:rPr>
          <w:rFonts w:ascii="Palatino Linotype" w:eastAsia="Palatino Linotype" w:hAnsi="Palatino Linotype" w:cs="Palatino Linotype"/>
          <w:b/>
          <w:color w:val="000000"/>
          <w:sz w:val="24"/>
          <w:lang w:val="es-ES_tradnl"/>
        </w:rPr>
        <w:t>Dirección de Sustentabilidad Vial</w:t>
      </w:r>
      <w:r w:rsidR="009C5A85">
        <w:rPr>
          <w:rFonts w:ascii="Palatino Linotype" w:eastAsia="Palatino Linotype" w:hAnsi="Palatino Linotype" w:cs="Palatino Linotype"/>
          <w:color w:val="000000"/>
          <w:sz w:val="24"/>
          <w:lang w:val="es-ES_tradnl"/>
        </w:rPr>
        <w:t xml:space="preserve">, encargada particularmente de brindar el apoyo </w:t>
      </w:r>
      <w:r w:rsidR="009C5A85" w:rsidRPr="009C5A85">
        <w:rPr>
          <w:rFonts w:ascii="Palatino Linotype" w:eastAsia="Palatino Linotype" w:hAnsi="Palatino Linotype" w:cs="Palatino Linotype"/>
          <w:color w:val="000000"/>
          <w:sz w:val="24"/>
          <w:u w:val="single"/>
        </w:rPr>
        <w:t xml:space="preserve">logístico, </w:t>
      </w:r>
      <w:r w:rsidR="009C5A85" w:rsidRPr="009C5A85">
        <w:rPr>
          <w:rFonts w:ascii="Palatino Linotype" w:eastAsia="Palatino Linotype" w:hAnsi="Palatino Linotype" w:cs="Palatino Linotype"/>
          <w:b/>
          <w:color w:val="000000"/>
          <w:sz w:val="24"/>
          <w:u w:val="single"/>
        </w:rPr>
        <w:t>técnico</w:t>
      </w:r>
      <w:r w:rsidR="009C5A85" w:rsidRPr="009C5A85">
        <w:rPr>
          <w:rFonts w:ascii="Palatino Linotype" w:eastAsia="Palatino Linotype" w:hAnsi="Palatino Linotype" w:cs="Palatino Linotype"/>
          <w:color w:val="000000"/>
          <w:sz w:val="24"/>
          <w:u w:val="single"/>
        </w:rPr>
        <w:t xml:space="preserve"> y normativo a la red de ciclovías,</w:t>
      </w:r>
      <w:r w:rsidR="009C5A85" w:rsidRPr="009C5A85">
        <w:rPr>
          <w:rFonts w:ascii="Palatino Linotype" w:eastAsia="Palatino Linotype" w:hAnsi="Palatino Linotype" w:cs="Palatino Linotype"/>
          <w:color w:val="000000"/>
          <w:sz w:val="24"/>
        </w:rPr>
        <w:t xml:space="preserve"> es</w:t>
      </w:r>
      <w:r w:rsidR="009C5A85">
        <w:rPr>
          <w:rFonts w:ascii="Palatino Linotype" w:eastAsia="Palatino Linotype" w:hAnsi="Palatino Linotype" w:cs="Palatino Linotype"/>
          <w:color w:val="000000"/>
          <w:sz w:val="24"/>
        </w:rPr>
        <w:t>pacios peatonales y vía pública</w:t>
      </w:r>
      <w:r w:rsidR="00F12F30">
        <w:rPr>
          <w:rFonts w:ascii="Palatino Linotype" w:eastAsia="Palatino Linotype" w:hAnsi="Palatino Linotype" w:cs="Palatino Linotype"/>
          <w:color w:val="000000"/>
          <w:sz w:val="24"/>
        </w:rPr>
        <w:t>.</w:t>
      </w:r>
    </w:p>
    <w:p w:rsidR="00F12F30" w:rsidRDefault="00F12F30" w:rsidP="004D473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rPr>
      </w:pPr>
    </w:p>
    <w:p w:rsidR="00F12F30" w:rsidRPr="00F12F30" w:rsidRDefault="00F12F30" w:rsidP="00F12F30">
      <w:pPr>
        <w:pBdr>
          <w:top w:val="nil"/>
          <w:left w:val="nil"/>
          <w:bottom w:val="nil"/>
          <w:right w:val="nil"/>
          <w:between w:val="nil"/>
        </w:pBdr>
        <w:spacing w:after="0" w:line="360" w:lineRule="auto"/>
        <w:contextualSpacing/>
        <w:jc w:val="both"/>
        <w:rPr>
          <w:rFonts w:ascii="Palatino Linotype" w:eastAsiaTheme="minorHAnsi" w:hAnsi="Palatino Linotype" w:cs="Arial"/>
          <w:sz w:val="24"/>
          <w:lang w:val="es-ES" w:eastAsia="en-US"/>
        </w:rPr>
      </w:pPr>
      <w:r>
        <w:rPr>
          <w:rFonts w:ascii="Palatino Linotype" w:eastAsia="Palatino Linotype" w:hAnsi="Palatino Linotype" w:cs="Palatino Linotype"/>
          <w:color w:val="000000"/>
          <w:sz w:val="24"/>
          <w:lang w:val="es-ES_tradnl"/>
        </w:rPr>
        <w:t xml:space="preserve">Ordenamientos que contrastados con las manifestaciones vertidas, tanto en la respuesta como en informe justificado, por el Sujeto Obligado, resultan suficientes para acreditar que, únicamente emitió respuesta la Dirección General de Desarrollo Urbano, Ordenamiento Territorial y Obras Públicas. </w:t>
      </w:r>
      <w:r w:rsidRPr="00F12F30">
        <w:rPr>
          <w:rFonts w:ascii="Palatino Linotype" w:eastAsiaTheme="minorHAnsi" w:hAnsi="Palatino Linotype" w:cs="Arial"/>
          <w:sz w:val="24"/>
          <w:lang w:val="es-ES" w:eastAsia="en-US"/>
        </w:rPr>
        <w:t xml:space="preserve">De lo anterior podemos advertir que, el Titular de la Unidad de Transparencia omitió observar lo dispuesto en el artículo 162 de la Ley de Transparencia y Acceso a la Información Pública del Estado de México y Municipios, es decir, turnar a todas las áreas correspondientes que de acuerdo a sus atribuciones pudieran generar, poseer o administrar la información solicitada, con el objeto de que realizaran una búsqueda exhaustiva y razonable de la información solicitada. </w:t>
      </w:r>
    </w:p>
    <w:p w:rsidR="00F12F30" w:rsidRPr="00F12F30" w:rsidRDefault="00F12F30" w:rsidP="00F12F30">
      <w:pPr>
        <w:spacing w:after="0" w:line="360" w:lineRule="auto"/>
        <w:jc w:val="both"/>
        <w:rPr>
          <w:rFonts w:ascii="Palatino Linotype" w:eastAsiaTheme="minorHAnsi" w:hAnsi="Palatino Linotype" w:cs="Arial"/>
          <w:sz w:val="24"/>
          <w:lang w:val="es-ES" w:eastAsia="en-US"/>
        </w:rPr>
      </w:pPr>
    </w:p>
    <w:p w:rsidR="00F12F30" w:rsidRPr="00F12F30" w:rsidRDefault="00F12F30" w:rsidP="00F12F30">
      <w:pPr>
        <w:spacing w:after="0" w:line="360" w:lineRule="auto"/>
        <w:jc w:val="both"/>
        <w:rPr>
          <w:rFonts w:ascii="Palatino Linotype" w:eastAsiaTheme="minorHAnsi" w:hAnsi="Palatino Linotype" w:cs="Arial"/>
          <w:sz w:val="24"/>
          <w:lang w:val="es-ES" w:eastAsia="en-US"/>
        </w:rPr>
      </w:pPr>
      <w:r w:rsidRPr="00F12F30">
        <w:rPr>
          <w:rFonts w:ascii="Palatino Linotype" w:eastAsiaTheme="minorHAnsi" w:hAnsi="Palatino Linotype" w:cs="Arial"/>
          <w:sz w:val="24"/>
          <w:lang w:val="es-ES" w:eastAsia="en-US"/>
        </w:rPr>
        <w:lastRenderedPageBreak/>
        <w:t>A efecto de determinar la legalidad de dicha respuesta, es necesario tomar en cuenta las siguientes disposiciones de la Ley de la materia, que a la letra señalan:</w:t>
      </w:r>
    </w:p>
    <w:p w:rsidR="00F12F30" w:rsidRPr="00F12F30" w:rsidRDefault="00F12F30" w:rsidP="00F12F30">
      <w:pPr>
        <w:spacing w:after="0" w:line="360" w:lineRule="auto"/>
        <w:jc w:val="both"/>
        <w:rPr>
          <w:rFonts w:ascii="Palatino Linotype" w:eastAsiaTheme="minorHAnsi" w:hAnsi="Palatino Linotype" w:cs="Arial"/>
          <w:sz w:val="24"/>
          <w:lang w:val="es-ES" w:eastAsia="en-US"/>
        </w:rPr>
      </w:pPr>
    </w:p>
    <w:p w:rsidR="00F12F30" w:rsidRPr="00F12F30" w:rsidRDefault="00F12F30" w:rsidP="00F12F30">
      <w:pPr>
        <w:spacing w:after="0" w:line="240" w:lineRule="auto"/>
        <w:ind w:left="567" w:right="567"/>
        <w:jc w:val="both"/>
        <w:rPr>
          <w:rFonts w:ascii="Palatino Linotype" w:eastAsiaTheme="minorHAnsi" w:hAnsi="Palatino Linotype" w:cs="Arial"/>
          <w:i/>
          <w:lang w:val="es-ES" w:eastAsia="en-US"/>
        </w:rPr>
      </w:pPr>
      <w:r w:rsidRPr="00F12F30">
        <w:rPr>
          <w:rFonts w:ascii="Palatino Linotype" w:eastAsiaTheme="minorHAnsi" w:hAnsi="Palatino Linotype" w:cs="Arial"/>
          <w:i/>
          <w:lang w:val="es-ES" w:eastAsia="en-US"/>
        </w:rPr>
        <w:t>“</w:t>
      </w:r>
      <w:r w:rsidRPr="00F12F30">
        <w:rPr>
          <w:rFonts w:ascii="Palatino Linotype" w:eastAsiaTheme="minorHAnsi" w:hAnsi="Palatino Linotype" w:cs="Arial"/>
          <w:b/>
          <w:i/>
          <w:lang w:val="es-ES" w:eastAsia="en-US"/>
        </w:rPr>
        <w:t>Artículo 50.</w:t>
      </w:r>
      <w:r w:rsidRPr="00F12F30">
        <w:rPr>
          <w:rFonts w:ascii="Palatino Linotype" w:eastAsiaTheme="minorHAnsi" w:hAnsi="Palatino Linotype" w:cs="Arial"/>
          <w:i/>
          <w:lang w:val="es-ES" w:eastAsia="en-US"/>
        </w:rPr>
        <w:t xml:space="preserve"> Los sujetos obligados contarán con un área responsable para la atención de las solicitudes de información, a la que se le denominará Unidad de Transparencia.</w:t>
      </w:r>
    </w:p>
    <w:p w:rsidR="00F12F30" w:rsidRPr="00F12F30" w:rsidRDefault="00F12F30" w:rsidP="00F12F30">
      <w:pPr>
        <w:spacing w:after="0" w:line="240" w:lineRule="auto"/>
        <w:ind w:left="567" w:right="567"/>
        <w:jc w:val="both"/>
        <w:rPr>
          <w:rFonts w:ascii="Palatino Linotype" w:eastAsiaTheme="minorHAnsi" w:hAnsi="Palatino Linotype" w:cs="Arial"/>
          <w:i/>
          <w:lang w:val="es-ES" w:eastAsia="en-US"/>
        </w:rPr>
      </w:pPr>
    </w:p>
    <w:p w:rsidR="00F12F30" w:rsidRPr="00F12F30" w:rsidRDefault="00F12F30" w:rsidP="00F12F30">
      <w:pPr>
        <w:spacing w:after="0" w:line="240" w:lineRule="auto"/>
        <w:ind w:left="567" w:right="567"/>
        <w:jc w:val="both"/>
        <w:rPr>
          <w:rFonts w:ascii="Palatino Linotype" w:eastAsiaTheme="minorHAnsi" w:hAnsi="Palatino Linotype" w:cs="Arial"/>
          <w:i/>
          <w:lang w:val="es-ES" w:eastAsia="en-US"/>
        </w:rPr>
      </w:pPr>
      <w:r w:rsidRPr="00F12F30">
        <w:rPr>
          <w:rFonts w:ascii="Palatino Linotype" w:eastAsiaTheme="minorHAnsi" w:hAnsi="Palatino Linotype" w:cs="Arial"/>
          <w:b/>
          <w:i/>
          <w:lang w:val="es-ES" w:eastAsia="en-US"/>
        </w:rPr>
        <w:t>Artículo 51</w:t>
      </w:r>
      <w:r w:rsidRPr="00F12F30">
        <w:rPr>
          <w:rFonts w:ascii="Palatino Linotype" w:eastAsiaTheme="minorHAnsi" w:hAnsi="Palatino Linotype" w:cs="Arial"/>
          <w:i/>
          <w:lang w:val="es-ES" w:eastAsia="en-US"/>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F12F30" w:rsidRPr="00F12F30" w:rsidRDefault="00F12F30" w:rsidP="00F12F30">
      <w:pPr>
        <w:spacing w:after="0" w:line="240" w:lineRule="auto"/>
        <w:ind w:left="567" w:right="567"/>
        <w:jc w:val="both"/>
        <w:rPr>
          <w:rFonts w:ascii="Palatino Linotype" w:eastAsiaTheme="minorHAnsi" w:hAnsi="Palatino Linotype" w:cs="Arial"/>
          <w:i/>
          <w:lang w:val="es-ES" w:eastAsia="en-US"/>
        </w:rPr>
      </w:pPr>
    </w:p>
    <w:p w:rsidR="00F12F30" w:rsidRPr="00F12F30" w:rsidRDefault="00F12F30" w:rsidP="00F12F30">
      <w:pPr>
        <w:spacing w:after="0" w:line="240" w:lineRule="auto"/>
        <w:ind w:left="567" w:right="567"/>
        <w:jc w:val="both"/>
        <w:rPr>
          <w:rFonts w:ascii="Palatino Linotype" w:eastAsiaTheme="minorHAnsi" w:hAnsi="Palatino Linotype" w:cs="Arial"/>
          <w:i/>
          <w:lang w:val="es-ES" w:eastAsia="en-US"/>
        </w:rPr>
      </w:pPr>
      <w:r w:rsidRPr="00F12F30">
        <w:rPr>
          <w:rFonts w:ascii="Palatino Linotype" w:eastAsiaTheme="minorHAnsi" w:hAnsi="Palatino Linotype" w:cs="Arial"/>
          <w:b/>
          <w:i/>
          <w:lang w:val="es-ES" w:eastAsia="en-US"/>
        </w:rPr>
        <w:t>Artículo 53</w:t>
      </w:r>
      <w:r w:rsidRPr="00F12F30">
        <w:rPr>
          <w:rFonts w:ascii="Palatino Linotype" w:eastAsiaTheme="minorHAnsi" w:hAnsi="Palatino Linotype" w:cs="Arial"/>
          <w:i/>
          <w:lang w:val="es-ES" w:eastAsia="en-US"/>
        </w:rPr>
        <w:t>. Las Unidades de Transparencia tendrán las siguientes funciones:</w:t>
      </w:r>
    </w:p>
    <w:p w:rsidR="00F12F30" w:rsidRPr="00F12F30" w:rsidRDefault="00F12F30" w:rsidP="00F12F30">
      <w:pPr>
        <w:spacing w:after="0" w:line="240" w:lineRule="auto"/>
        <w:ind w:left="567" w:right="567"/>
        <w:jc w:val="both"/>
        <w:rPr>
          <w:rFonts w:ascii="Palatino Linotype" w:eastAsiaTheme="minorHAnsi" w:hAnsi="Palatino Linotype" w:cs="Arial"/>
          <w:i/>
          <w:lang w:val="es-ES" w:eastAsia="en-US"/>
        </w:rPr>
      </w:pPr>
      <w:r w:rsidRPr="00F12F30">
        <w:rPr>
          <w:rFonts w:ascii="Palatino Linotype" w:eastAsiaTheme="minorHAnsi" w:hAnsi="Palatino Linotype" w:cs="Arial"/>
          <w:i/>
          <w:lang w:val="es-ES" w:eastAsia="en-US"/>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00F12F30" w:rsidRPr="00F12F30" w:rsidRDefault="00F12F30" w:rsidP="00F12F30">
      <w:pPr>
        <w:spacing w:after="0" w:line="240" w:lineRule="auto"/>
        <w:ind w:left="567" w:right="567"/>
        <w:jc w:val="both"/>
        <w:rPr>
          <w:rFonts w:ascii="Palatino Linotype" w:eastAsiaTheme="minorHAnsi" w:hAnsi="Palatino Linotype" w:cs="Arial"/>
          <w:b/>
          <w:i/>
          <w:lang w:val="es-ES" w:eastAsia="en-US"/>
        </w:rPr>
      </w:pPr>
      <w:r w:rsidRPr="00F12F30">
        <w:rPr>
          <w:rFonts w:ascii="Palatino Linotype" w:eastAsiaTheme="minorHAnsi" w:hAnsi="Palatino Linotype" w:cs="Arial"/>
          <w:b/>
          <w:i/>
          <w:lang w:val="es-ES" w:eastAsia="en-US"/>
        </w:rPr>
        <w:t xml:space="preserve">II. Recibir, </w:t>
      </w:r>
      <w:r w:rsidRPr="00F12F30">
        <w:rPr>
          <w:rFonts w:ascii="Palatino Linotype" w:eastAsiaTheme="minorHAnsi" w:hAnsi="Palatino Linotype" w:cs="Arial"/>
          <w:b/>
          <w:i/>
          <w:u w:val="single"/>
          <w:lang w:val="es-ES" w:eastAsia="en-US"/>
        </w:rPr>
        <w:t>tramitar</w:t>
      </w:r>
      <w:r w:rsidRPr="00F12F30">
        <w:rPr>
          <w:rFonts w:ascii="Palatino Linotype" w:eastAsiaTheme="minorHAnsi" w:hAnsi="Palatino Linotype" w:cs="Arial"/>
          <w:b/>
          <w:i/>
          <w:lang w:val="es-ES" w:eastAsia="en-US"/>
        </w:rPr>
        <w:t xml:space="preserve"> y dar respuesta a las solicitudes de acceso a la información;</w:t>
      </w:r>
    </w:p>
    <w:p w:rsidR="00F12F30" w:rsidRPr="00F12F30" w:rsidRDefault="00F12F30" w:rsidP="00F12F30">
      <w:pPr>
        <w:spacing w:after="0" w:line="240" w:lineRule="auto"/>
        <w:ind w:left="567" w:right="567"/>
        <w:jc w:val="both"/>
        <w:rPr>
          <w:rFonts w:ascii="Palatino Linotype" w:eastAsiaTheme="minorHAnsi" w:hAnsi="Palatino Linotype" w:cs="Arial"/>
          <w:i/>
          <w:lang w:val="es-ES" w:eastAsia="en-US"/>
        </w:rPr>
      </w:pPr>
      <w:r w:rsidRPr="00F12F30">
        <w:rPr>
          <w:rFonts w:ascii="Palatino Linotype" w:eastAsiaTheme="minorHAnsi" w:hAnsi="Palatino Linotype" w:cs="Arial"/>
          <w:i/>
          <w:lang w:val="es-ES" w:eastAsia="en-US"/>
        </w:rPr>
        <w:t>III. Auxiliar a los particulares en la elaboración de solicitudes de acceso a la información y, en su caso, orientarlos sobre los sujetos obligados competentes conforme a la normatividad aplicable;</w:t>
      </w:r>
    </w:p>
    <w:p w:rsidR="00F12F30" w:rsidRPr="00F12F30" w:rsidRDefault="00F12F30" w:rsidP="00F12F30">
      <w:pPr>
        <w:spacing w:after="0" w:line="240" w:lineRule="auto"/>
        <w:ind w:left="567" w:right="567"/>
        <w:jc w:val="both"/>
        <w:rPr>
          <w:rFonts w:ascii="Palatino Linotype" w:eastAsiaTheme="minorHAnsi" w:hAnsi="Palatino Linotype" w:cs="Arial"/>
          <w:i/>
          <w:lang w:val="es-ES" w:eastAsia="en-US"/>
        </w:rPr>
      </w:pPr>
      <w:r w:rsidRPr="00F12F30">
        <w:rPr>
          <w:rFonts w:ascii="Palatino Linotype" w:eastAsiaTheme="minorHAnsi" w:hAnsi="Palatino Linotype" w:cs="Arial"/>
          <w:i/>
          <w:lang w:val="es-ES" w:eastAsia="en-US"/>
        </w:rPr>
        <w:t>IV. Realizar, con efectividad, los trámites internos necesarios para la atención de las solicitudes de acceso a la información;</w:t>
      </w:r>
    </w:p>
    <w:p w:rsidR="00F12F30" w:rsidRPr="00F12F30" w:rsidRDefault="00F12F30" w:rsidP="00F12F30">
      <w:pPr>
        <w:spacing w:after="0" w:line="240" w:lineRule="auto"/>
        <w:ind w:left="567" w:right="567"/>
        <w:jc w:val="both"/>
        <w:rPr>
          <w:rFonts w:ascii="Palatino Linotype" w:eastAsiaTheme="minorHAnsi" w:hAnsi="Palatino Linotype" w:cs="Arial"/>
          <w:i/>
          <w:lang w:val="es-ES" w:eastAsia="en-US"/>
        </w:rPr>
      </w:pPr>
      <w:r w:rsidRPr="00F12F30">
        <w:rPr>
          <w:rFonts w:ascii="Palatino Linotype" w:eastAsiaTheme="minorHAnsi" w:hAnsi="Palatino Linotype" w:cs="Arial"/>
          <w:i/>
          <w:lang w:val="es-ES" w:eastAsia="en-US"/>
        </w:rPr>
        <w:t>V. Entregar, en su caso, a los particulares la información solicitada;</w:t>
      </w:r>
    </w:p>
    <w:p w:rsidR="00F12F30" w:rsidRPr="00F12F30" w:rsidRDefault="00F12F30" w:rsidP="00F12F30">
      <w:pPr>
        <w:spacing w:after="0" w:line="240" w:lineRule="auto"/>
        <w:ind w:left="567" w:right="567"/>
        <w:jc w:val="both"/>
        <w:rPr>
          <w:rFonts w:ascii="Palatino Linotype" w:eastAsiaTheme="minorHAnsi" w:hAnsi="Palatino Linotype" w:cs="Arial"/>
          <w:i/>
          <w:lang w:val="es-ES" w:eastAsia="en-US"/>
        </w:rPr>
      </w:pPr>
      <w:r w:rsidRPr="00F12F30">
        <w:rPr>
          <w:rFonts w:ascii="Palatino Linotype" w:eastAsiaTheme="minorHAnsi" w:hAnsi="Palatino Linotype" w:cs="Arial"/>
          <w:i/>
          <w:lang w:val="es-ES" w:eastAsia="en-US"/>
        </w:rPr>
        <w:t>VI. Efectuar las notificaciones a los solicitantes;</w:t>
      </w:r>
    </w:p>
    <w:p w:rsidR="00F12F30" w:rsidRPr="00F12F30" w:rsidRDefault="00F12F30" w:rsidP="00F12F30">
      <w:pPr>
        <w:spacing w:after="0" w:line="240" w:lineRule="auto"/>
        <w:ind w:left="567" w:right="567"/>
        <w:jc w:val="both"/>
        <w:rPr>
          <w:rFonts w:ascii="Palatino Linotype" w:eastAsiaTheme="minorHAnsi" w:hAnsi="Palatino Linotype" w:cs="Arial"/>
          <w:i/>
          <w:lang w:val="es-ES" w:eastAsia="en-US"/>
        </w:rPr>
      </w:pPr>
      <w:r w:rsidRPr="00F12F30">
        <w:rPr>
          <w:rFonts w:ascii="Palatino Linotype" w:eastAsiaTheme="minorHAnsi" w:hAnsi="Palatino Linotype" w:cs="Arial"/>
          <w:i/>
          <w:lang w:val="es-ES" w:eastAsia="en-US"/>
        </w:rPr>
        <w:t>VII. Proponer al Comité de Transparencia, los procedimientos internos que aseguren la mayor eficiencia en la gestión de las solicitudes de acceso a la información, conforme a la normatividad aplicable;</w:t>
      </w:r>
    </w:p>
    <w:p w:rsidR="00F12F30" w:rsidRPr="00F12F30" w:rsidRDefault="00F12F30" w:rsidP="00F12F30">
      <w:pPr>
        <w:spacing w:after="0" w:line="240" w:lineRule="auto"/>
        <w:ind w:left="567" w:right="567"/>
        <w:jc w:val="both"/>
        <w:rPr>
          <w:rFonts w:ascii="Palatino Linotype" w:eastAsiaTheme="minorHAnsi" w:hAnsi="Palatino Linotype" w:cs="Arial"/>
          <w:i/>
          <w:lang w:val="es-ES" w:eastAsia="en-US"/>
        </w:rPr>
      </w:pPr>
      <w:r w:rsidRPr="00F12F30">
        <w:rPr>
          <w:rFonts w:ascii="Palatino Linotype" w:eastAsiaTheme="minorHAnsi" w:hAnsi="Palatino Linotype" w:cs="Arial"/>
          <w:i/>
          <w:lang w:val="es-ES" w:eastAsia="en-US"/>
        </w:rPr>
        <w:t>VIII. Proponer a quien preside el Comité de Transparencia, personal habilitado que sea necesario para recibir y dar trámite a las solicitudes de acceso a la información;</w:t>
      </w:r>
    </w:p>
    <w:p w:rsidR="00F12F30" w:rsidRPr="00F12F30" w:rsidRDefault="00F12F30" w:rsidP="00F12F30">
      <w:pPr>
        <w:spacing w:after="0" w:line="240" w:lineRule="auto"/>
        <w:ind w:left="567" w:right="567"/>
        <w:jc w:val="both"/>
        <w:rPr>
          <w:rFonts w:ascii="Palatino Linotype" w:eastAsiaTheme="minorHAnsi" w:hAnsi="Palatino Linotype" w:cs="Arial"/>
          <w:i/>
          <w:lang w:val="es-ES" w:eastAsia="en-US"/>
        </w:rPr>
      </w:pPr>
      <w:r w:rsidRPr="00F12F30">
        <w:rPr>
          <w:rFonts w:ascii="Palatino Linotype" w:eastAsiaTheme="minorHAnsi" w:hAnsi="Palatino Linotype" w:cs="Arial"/>
          <w:i/>
          <w:lang w:val="es-ES" w:eastAsia="en-US"/>
        </w:rPr>
        <w:t>IX. Llevar un registro de las solicitudes de acceso a la información, sus respuestas, resultados, costos de reproducción y envío, resolución a los recursos de revisión que se hayan emitido en contra de sus respuestas y del cumplimiento de las mismas;</w:t>
      </w:r>
    </w:p>
    <w:p w:rsidR="00F12F30" w:rsidRPr="00F12F30" w:rsidRDefault="00F12F30" w:rsidP="00F12F30">
      <w:pPr>
        <w:spacing w:after="0" w:line="240" w:lineRule="auto"/>
        <w:ind w:left="567" w:right="567"/>
        <w:jc w:val="both"/>
        <w:rPr>
          <w:rFonts w:ascii="Palatino Linotype" w:eastAsiaTheme="minorHAnsi" w:hAnsi="Palatino Linotype" w:cs="Arial"/>
          <w:i/>
          <w:lang w:val="es-ES" w:eastAsia="en-US"/>
        </w:rPr>
      </w:pPr>
      <w:r w:rsidRPr="00F12F30">
        <w:rPr>
          <w:rFonts w:ascii="Palatino Linotype" w:eastAsiaTheme="minorHAnsi" w:hAnsi="Palatino Linotype" w:cs="Arial"/>
          <w:i/>
          <w:lang w:val="es-ES" w:eastAsia="en-US"/>
        </w:rPr>
        <w:t>X. Presentar ante el Comité, el proyecto de clasificación de información;</w:t>
      </w:r>
    </w:p>
    <w:p w:rsidR="00F12F30" w:rsidRPr="00F12F30" w:rsidRDefault="00F12F30" w:rsidP="00F12F30">
      <w:pPr>
        <w:spacing w:after="0" w:line="240" w:lineRule="auto"/>
        <w:ind w:left="567" w:right="567"/>
        <w:jc w:val="both"/>
        <w:rPr>
          <w:rFonts w:ascii="Palatino Linotype" w:eastAsiaTheme="minorHAnsi" w:hAnsi="Palatino Linotype" w:cs="Arial"/>
          <w:i/>
          <w:lang w:val="es-ES" w:eastAsia="en-US"/>
        </w:rPr>
      </w:pPr>
      <w:r w:rsidRPr="00F12F30">
        <w:rPr>
          <w:rFonts w:ascii="Palatino Linotype" w:eastAsiaTheme="minorHAnsi" w:hAnsi="Palatino Linotype" w:cs="Arial"/>
          <w:i/>
          <w:lang w:val="es-ES" w:eastAsia="en-US"/>
        </w:rPr>
        <w:lastRenderedPageBreak/>
        <w:t>XI. Promover e implementar políticas de transparencia proactiva procurando su accesibilidad;</w:t>
      </w:r>
    </w:p>
    <w:p w:rsidR="00F12F30" w:rsidRPr="00F12F30" w:rsidRDefault="00F12F30" w:rsidP="00F12F30">
      <w:pPr>
        <w:spacing w:after="0" w:line="240" w:lineRule="auto"/>
        <w:ind w:left="567" w:right="567"/>
        <w:jc w:val="both"/>
        <w:rPr>
          <w:rFonts w:ascii="Palatino Linotype" w:eastAsiaTheme="minorHAnsi" w:hAnsi="Palatino Linotype" w:cs="Arial"/>
          <w:i/>
          <w:lang w:val="es-ES" w:eastAsia="en-US"/>
        </w:rPr>
      </w:pPr>
      <w:r w:rsidRPr="00F12F30">
        <w:rPr>
          <w:rFonts w:ascii="Palatino Linotype" w:eastAsiaTheme="minorHAnsi" w:hAnsi="Palatino Linotype" w:cs="Arial"/>
          <w:i/>
          <w:lang w:val="es-ES" w:eastAsia="en-US"/>
        </w:rPr>
        <w:t>XII. Fomentar la transparencia y accesibilidad al interior del sujeto obligado;</w:t>
      </w:r>
    </w:p>
    <w:p w:rsidR="00F12F30" w:rsidRPr="00F12F30" w:rsidRDefault="00F12F30" w:rsidP="00F12F30">
      <w:pPr>
        <w:spacing w:after="0" w:line="240" w:lineRule="auto"/>
        <w:ind w:left="567" w:right="567"/>
        <w:jc w:val="both"/>
        <w:rPr>
          <w:rFonts w:ascii="Palatino Linotype" w:eastAsiaTheme="minorHAnsi" w:hAnsi="Palatino Linotype" w:cs="Arial"/>
          <w:i/>
          <w:lang w:val="es-ES" w:eastAsia="en-US"/>
        </w:rPr>
      </w:pPr>
      <w:r w:rsidRPr="00F12F30">
        <w:rPr>
          <w:rFonts w:ascii="Palatino Linotype" w:eastAsiaTheme="minorHAnsi" w:hAnsi="Palatino Linotype" w:cs="Arial"/>
          <w:i/>
          <w:lang w:val="es-ES" w:eastAsia="en-US"/>
        </w:rPr>
        <w:t>XIII. Hacer del conocimiento de la instancia competente la probable responsabilidad por el incumplimiento de las obligaciones previstas en la presente Ley; y</w:t>
      </w:r>
    </w:p>
    <w:p w:rsidR="00F12F30" w:rsidRPr="00F12F30" w:rsidRDefault="00F12F30" w:rsidP="00F12F30">
      <w:pPr>
        <w:spacing w:after="0" w:line="240" w:lineRule="auto"/>
        <w:ind w:left="567" w:right="567"/>
        <w:jc w:val="both"/>
        <w:rPr>
          <w:rFonts w:ascii="Palatino Linotype" w:eastAsiaTheme="minorHAnsi" w:hAnsi="Palatino Linotype" w:cs="Arial"/>
          <w:i/>
          <w:lang w:val="es-ES" w:eastAsia="en-US"/>
        </w:rPr>
      </w:pPr>
      <w:r w:rsidRPr="00F12F30">
        <w:rPr>
          <w:rFonts w:ascii="Palatino Linotype" w:eastAsiaTheme="minorHAnsi" w:hAnsi="Palatino Linotype" w:cs="Arial"/>
          <w:i/>
          <w:lang w:val="es-ES" w:eastAsia="en-US"/>
        </w:rPr>
        <w:t>XIV. Las demás que resulten necesarias para facilitar el acceso a la información y aquellas que se desprenden de la presente Ley y demás disposiciones jurídicas aplicables.</w:t>
      </w:r>
    </w:p>
    <w:p w:rsidR="00F12F30" w:rsidRPr="00F12F30" w:rsidRDefault="00F12F30" w:rsidP="00F12F30">
      <w:pPr>
        <w:spacing w:after="0" w:line="240" w:lineRule="auto"/>
        <w:ind w:left="567" w:right="567"/>
        <w:jc w:val="both"/>
        <w:rPr>
          <w:rFonts w:ascii="Palatino Linotype" w:eastAsiaTheme="minorHAnsi" w:hAnsi="Palatino Linotype" w:cs="Arial"/>
          <w:i/>
          <w:lang w:val="es-ES" w:eastAsia="en-US"/>
        </w:rPr>
      </w:pPr>
      <w:r w:rsidRPr="00F12F30">
        <w:rPr>
          <w:rFonts w:ascii="Palatino Linotype" w:eastAsiaTheme="minorHAnsi" w:hAnsi="Palatino Linotype" w:cs="Arial"/>
          <w:i/>
          <w:lang w:val="es-ES" w:eastAsia="en-U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F12F30" w:rsidRPr="00F12F30" w:rsidRDefault="00F12F30" w:rsidP="00F12F30">
      <w:pPr>
        <w:spacing w:after="0" w:line="240" w:lineRule="auto"/>
        <w:ind w:left="567" w:right="567"/>
        <w:jc w:val="both"/>
        <w:rPr>
          <w:rFonts w:ascii="Palatino Linotype" w:eastAsiaTheme="minorHAnsi" w:hAnsi="Palatino Linotype" w:cs="Arial"/>
          <w:i/>
          <w:lang w:val="es-ES" w:eastAsia="en-US"/>
        </w:rPr>
      </w:pPr>
      <w:r w:rsidRPr="00F12F30">
        <w:rPr>
          <w:rFonts w:ascii="Palatino Linotype" w:eastAsiaTheme="minorHAnsi" w:hAnsi="Palatino Linotype" w:cs="Arial"/>
          <w:i/>
          <w:lang w:val="es-ES" w:eastAsia="en-U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F12F30" w:rsidRPr="00F12F30" w:rsidRDefault="00F12F30" w:rsidP="00F12F30">
      <w:pPr>
        <w:spacing w:after="0" w:line="240" w:lineRule="auto"/>
        <w:ind w:left="567" w:right="567"/>
        <w:jc w:val="both"/>
        <w:rPr>
          <w:rFonts w:ascii="Palatino Linotype" w:eastAsiaTheme="minorHAnsi" w:hAnsi="Palatino Linotype" w:cs="Arial"/>
          <w:i/>
          <w:lang w:val="es-ES" w:eastAsia="en-US"/>
        </w:rPr>
      </w:pPr>
    </w:p>
    <w:p w:rsidR="00F12F30" w:rsidRPr="00F12F30" w:rsidRDefault="00F12F30" w:rsidP="00F12F30">
      <w:pPr>
        <w:spacing w:after="0" w:line="240" w:lineRule="auto"/>
        <w:ind w:left="567" w:right="567"/>
        <w:jc w:val="both"/>
        <w:rPr>
          <w:rFonts w:ascii="Palatino Linotype" w:eastAsiaTheme="minorHAnsi" w:hAnsi="Palatino Linotype" w:cs="Arial"/>
          <w:i/>
          <w:lang w:val="es-ES" w:eastAsia="en-US"/>
        </w:rPr>
      </w:pPr>
      <w:r w:rsidRPr="00F12F30">
        <w:rPr>
          <w:rFonts w:ascii="Palatino Linotype" w:eastAsiaTheme="minorHAnsi" w:hAnsi="Palatino Linotype" w:cs="Arial"/>
          <w:b/>
          <w:i/>
          <w:lang w:val="es-ES" w:eastAsia="en-US"/>
        </w:rPr>
        <w:t>Artículo 59</w:t>
      </w:r>
      <w:r w:rsidRPr="00F12F30">
        <w:rPr>
          <w:rFonts w:ascii="Palatino Linotype" w:eastAsiaTheme="minorHAnsi" w:hAnsi="Palatino Linotype" w:cs="Arial"/>
          <w:i/>
          <w:lang w:val="es-ES" w:eastAsia="en-US"/>
        </w:rPr>
        <w:t>. Los servidores públicos habilitados tendrán las funciones siguientes:</w:t>
      </w:r>
    </w:p>
    <w:p w:rsidR="00F12F30" w:rsidRPr="00F12F30" w:rsidRDefault="00F12F30" w:rsidP="00F12F30">
      <w:pPr>
        <w:spacing w:after="0" w:line="240" w:lineRule="auto"/>
        <w:ind w:left="567" w:right="567"/>
        <w:jc w:val="both"/>
        <w:rPr>
          <w:rFonts w:ascii="Palatino Linotype" w:eastAsiaTheme="minorHAnsi" w:hAnsi="Palatino Linotype" w:cs="Arial"/>
          <w:i/>
          <w:lang w:val="es-ES" w:eastAsia="en-US"/>
        </w:rPr>
      </w:pPr>
      <w:r w:rsidRPr="00F12F30">
        <w:rPr>
          <w:rFonts w:ascii="Palatino Linotype" w:eastAsiaTheme="minorHAnsi" w:hAnsi="Palatino Linotype" w:cs="Arial"/>
          <w:i/>
          <w:lang w:val="es-ES" w:eastAsia="en-US"/>
        </w:rPr>
        <w:t>I. Localizar la información que le solicite la Unidad de Transparencia;</w:t>
      </w:r>
    </w:p>
    <w:p w:rsidR="00F12F30" w:rsidRPr="00F12F30" w:rsidRDefault="00F12F30" w:rsidP="00F12F30">
      <w:pPr>
        <w:spacing w:after="0" w:line="240" w:lineRule="auto"/>
        <w:ind w:left="567" w:right="567"/>
        <w:jc w:val="both"/>
        <w:rPr>
          <w:rFonts w:ascii="Palatino Linotype" w:eastAsiaTheme="minorHAnsi" w:hAnsi="Palatino Linotype" w:cs="Arial"/>
          <w:i/>
          <w:lang w:val="es-ES" w:eastAsia="en-US"/>
        </w:rPr>
      </w:pPr>
      <w:r w:rsidRPr="00F12F30">
        <w:rPr>
          <w:rFonts w:ascii="Palatino Linotype" w:eastAsiaTheme="minorHAnsi" w:hAnsi="Palatino Linotype" w:cs="Arial"/>
          <w:i/>
          <w:lang w:val="es-ES" w:eastAsia="en-US"/>
        </w:rPr>
        <w:t>II. Proporcionar la información que obre en los archivos y que le sea solicitada por la Unidad de Transparencia;</w:t>
      </w:r>
    </w:p>
    <w:p w:rsidR="00F12F30" w:rsidRPr="00F12F30" w:rsidRDefault="00F12F30" w:rsidP="00F12F30">
      <w:pPr>
        <w:spacing w:after="0" w:line="240" w:lineRule="auto"/>
        <w:ind w:left="567" w:right="567"/>
        <w:jc w:val="both"/>
        <w:rPr>
          <w:rFonts w:ascii="Palatino Linotype" w:eastAsiaTheme="minorHAnsi" w:hAnsi="Palatino Linotype" w:cs="Arial"/>
          <w:i/>
          <w:lang w:val="es-ES" w:eastAsia="en-US"/>
        </w:rPr>
      </w:pPr>
      <w:r w:rsidRPr="00F12F30">
        <w:rPr>
          <w:rFonts w:ascii="Palatino Linotype" w:eastAsiaTheme="minorHAnsi" w:hAnsi="Palatino Linotype" w:cs="Arial"/>
          <w:i/>
          <w:lang w:val="es-ES" w:eastAsia="en-US"/>
        </w:rPr>
        <w:t>III. Apoyar a la Unidad de Transparencia en lo que esta le solicite para el cumplimiento de sus funciones;</w:t>
      </w:r>
    </w:p>
    <w:p w:rsidR="00F12F30" w:rsidRPr="00F12F30" w:rsidRDefault="00F12F30" w:rsidP="00F12F30">
      <w:pPr>
        <w:spacing w:after="0" w:line="240" w:lineRule="auto"/>
        <w:ind w:left="567" w:right="567"/>
        <w:jc w:val="both"/>
        <w:rPr>
          <w:rFonts w:ascii="Palatino Linotype" w:eastAsiaTheme="minorHAnsi" w:hAnsi="Palatino Linotype" w:cs="Arial"/>
          <w:i/>
          <w:lang w:val="es-ES" w:eastAsia="en-US"/>
        </w:rPr>
      </w:pPr>
      <w:r w:rsidRPr="00F12F30">
        <w:rPr>
          <w:rFonts w:ascii="Palatino Linotype" w:eastAsiaTheme="minorHAnsi" w:hAnsi="Palatino Linotype" w:cs="Arial"/>
          <w:i/>
          <w:lang w:val="es-ES" w:eastAsia="en-US"/>
        </w:rPr>
        <w:t>IV. Proporcionar a la Unidad de Transparencia, las modificaciones a la información pública de oficio que obre en su poder;</w:t>
      </w:r>
    </w:p>
    <w:p w:rsidR="00F12F30" w:rsidRPr="00F12F30" w:rsidRDefault="00F12F30" w:rsidP="00F12F30">
      <w:pPr>
        <w:spacing w:after="0" w:line="240" w:lineRule="auto"/>
        <w:ind w:left="567" w:right="567"/>
        <w:jc w:val="both"/>
        <w:rPr>
          <w:rFonts w:ascii="Palatino Linotype" w:eastAsiaTheme="minorHAnsi" w:hAnsi="Palatino Linotype" w:cs="Arial"/>
          <w:i/>
          <w:lang w:val="es-ES" w:eastAsia="en-US"/>
        </w:rPr>
      </w:pPr>
      <w:r w:rsidRPr="00F12F30">
        <w:rPr>
          <w:rFonts w:ascii="Palatino Linotype" w:eastAsiaTheme="minorHAnsi" w:hAnsi="Palatino Linotype" w:cs="Arial"/>
          <w:i/>
          <w:lang w:val="es-ES" w:eastAsia="en-US"/>
        </w:rPr>
        <w:t>V. Integrar y presentar al responsable de la Unidad de Transparencia la propuesta de clasificación de información, la cual tendrá los fundamentos y argumentos en que se basa dicha propuesta;</w:t>
      </w:r>
    </w:p>
    <w:p w:rsidR="00F12F30" w:rsidRPr="00F12F30" w:rsidRDefault="00F12F30" w:rsidP="00F12F30">
      <w:pPr>
        <w:spacing w:after="0" w:line="240" w:lineRule="auto"/>
        <w:ind w:left="567" w:right="567"/>
        <w:jc w:val="both"/>
        <w:rPr>
          <w:rFonts w:ascii="Palatino Linotype" w:eastAsiaTheme="minorHAnsi" w:hAnsi="Palatino Linotype" w:cs="Arial"/>
          <w:i/>
          <w:lang w:val="es-ES" w:eastAsia="en-US"/>
        </w:rPr>
      </w:pPr>
      <w:r w:rsidRPr="00F12F30">
        <w:rPr>
          <w:rFonts w:ascii="Palatino Linotype" w:eastAsiaTheme="minorHAnsi" w:hAnsi="Palatino Linotype" w:cs="Arial"/>
          <w:i/>
          <w:lang w:val="es-ES" w:eastAsia="en-US"/>
        </w:rPr>
        <w:t>VI. Verificar, una vez analizado el contenido de la información, que no se encuentre en los supuestos de información clasificada; y</w:t>
      </w:r>
    </w:p>
    <w:p w:rsidR="00F12F30" w:rsidRPr="00F12F30" w:rsidRDefault="00F12F30" w:rsidP="00F12F30">
      <w:pPr>
        <w:spacing w:after="0" w:line="240" w:lineRule="auto"/>
        <w:ind w:left="567" w:right="567"/>
        <w:jc w:val="both"/>
        <w:rPr>
          <w:rFonts w:ascii="Palatino Linotype" w:eastAsiaTheme="minorHAnsi" w:hAnsi="Palatino Linotype" w:cs="Arial"/>
          <w:i/>
          <w:lang w:val="es-ES" w:eastAsia="en-US"/>
        </w:rPr>
      </w:pPr>
      <w:r w:rsidRPr="00F12F30">
        <w:rPr>
          <w:rFonts w:ascii="Palatino Linotype" w:eastAsiaTheme="minorHAnsi" w:hAnsi="Palatino Linotype" w:cs="Arial"/>
          <w:i/>
          <w:lang w:val="es-ES" w:eastAsia="en-US"/>
        </w:rPr>
        <w:t>VII. Dar cuenta a la Unidad de Transparencia del vencimiento de los plazos de reserva.</w:t>
      </w:r>
    </w:p>
    <w:p w:rsidR="00F12F30" w:rsidRPr="00F12F30" w:rsidRDefault="00F12F30" w:rsidP="00F12F30">
      <w:pPr>
        <w:spacing w:after="0" w:line="240" w:lineRule="auto"/>
        <w:ind w:left="567" w:right="567"/>
        <w:jc w:val="both"/>
        <w:rPr>
          <w:rFonts w:ascii="Palatino Linotype" w:eastAsiaTheme="minorHAnsi" w:hAnsi="Palatino Linotype" w:cs="Arial"/>
          <w:i/>
          <w:lang w:val="es-ES" w:eastAsia="en-US"/>
        </w:rPr>
      </w:pPr>
    </w:p>
    <w:p w:rsidR="00F12F30" w:rsidRPr="00F12F30" w:rsidRDefault="00F12F30" w:rsidP="00F12F30">
      <w:pPr>
        <w:spacing w:after="0" w:line="240" w:lineRule="auto"/>
        <w:ind w:left="567" w:right="567"/>
        <w:jc w:val="both"/>
        <w:rPr>
          <w:rFonts w:ascii="Palatino Linotype" w:eastAsiaTheme="minorHAnsi" w:hAnsi="Palatino Linotype" w:cs="Arial"/>
          <w:i/>
          <w:lang w:val="es-ES" w:eastAsia="en-US"/>
        </w:rPr>
      </w:pPr>
      <w:r w:rsidRPr="00F12F30">
        <w:rPr>
          <w:rFonts w:ascii="Palatino Linotype" w:eastAsiaTheme="minorHAnsi" w:hAnsi="Palatino Linotype" w:cs="Arial"/>
          <w:b/>
          <w:i/>
          <w:lang w:val="es-ES" w:eastAsia="en-US"/>
        </w:rPr>
        <w:t>Artículo 162</w:t>
      </w:r>
      <w:r w:rsidRPr="00F12F30">
        <w:rPr>
          <w:rFonts w:ascii="Palatino Linotype" w:eastAsiaTheme="minorHAnsi" w:hAnsi="Palatino Linotype" w:cs="Arial"/>
          <w:i/>
          <w:lang w:val="es-ES" w:eastAsia="en-US"/>
        </w:rPr>
        <w:t xml:space="preserve">. Las unidades de transparencia deberán garantizar que las solicitudes se turnen a todas las Áreas competentes que cuenten con la información o deban tenerla de </w:t>
      </w:r>
      <w:r w:rsidRPr="00F12F30">
        <w:rPr>
          <w:rFonts w:ascii="Palatino Linotype" w:eastAsiaTheme="minorHAnsi" w:hAnsi="Palatino Linotype" w:cs="Arial"/>
          <w:i/>
          <w:lang w:val="es-ES" w:eastAsia="en-US"/>
        </w:rPr>
        <w:lastRenderedPageBreak/>
        <w:t>acuerdo a sus facultades, competencias y funciones, con el objeto de que realicen una búsqueda exhaustiva y razonable de la información solicitada.”</w:t>
      </w:r>
    </w:p>
    <w:p w:rsidR="00F12F30" w:rsidRPr="00F12F30" w:rsidRDefault="00F12F30" w:rsidP="00F12F30">
      <w:pPr>
        <w:spacing w:after="0" w:line="240" w:lineRule="auto"/>
        <w:ind w:left="567" w:right="567"/>
        <w:jc w:val="both"/>
        <w:rPr>
          <w:rFonts w:ascii="Palatino Linotype" w:eastAsiaTheme="minorHAnsi" w:hAnsi="Palatino Linotype" w:cs="Arial"/>
          <w:i/>
          <w:lang w:val="es-ES" w:eastAsia="en-US"/>
        </w:rPr>
      </w:pPr>
      <w:r w:rsidRPr="00F12F30">
        <w:rPr>
          <w:rFonts w:ascii="Palatino Linotype" w:eastAsiaTheme="minorHAnsi" w:hAnsi="Palatino Linotype" w:cs="Arial"/>
          <w:i/>
          <w:lang w:val="es-ES" w:eastAsia="en-US"/>
        </w:rPr>
        <w:t>(Énfasis añadido)</w:t>
      </w:r>
    </w:p>
    <w:p w:rsidR="00F12F30" w:rsidRPr="00F12F30" w:rsidRDefault="00F12F30" w:rsidP="00F12F30">
      <w:pPr>
        <w:spacing w:after="0" w:line="360" w:lineRule="auto"/>
        <w:jc w:val="both"/>
        <w:rPr>
          <w:rFonts w:ascii="Palatino Linotype" w:eastAsiaTheme="minorHAnsi" w:hAnsi="Palatino Linotype" w:cs="Arial"/>
          <w:sz w:val="24"/>
          <w:lang w:val="es-ES" w:eastAsia="en-US"/>
        </w:rPr>
      </w:pPr>
    </w:p>
    <w:p w:rsidR="00F12F30" w:rsidRPr="00F12F30" w:rsidRDefault="00F12F30" w:rsidP="00F12F30">
      <w:pPr>
        <w:spacing w:after="0" w:line="360" w:lineRule="auto"/>
        <w:jc w:val="both"/>
        <w:rPr>
          <w:rFonts w:ascii="Palatino Linotype" w:eastAsiaTheme="minorHAnsi" w:hAnsi="Palatino Linotype" w:cs="Arial"/>
          <w:sz w:val="24"/>
          <w:lang w:val="es-ES" w:eastAsia="en-US"/>
        </w:rPr>
      </w:pPr>
      <w:r w:rsidRPr="00F12F30">
        <w:rPr>
          <w:rFonts w:ascii="Palatino Linotype" w:eastAsiaTheme="minorHAnsi" w:hAnsi="Palatino Linotype" w:cs="Arial"/>
          <w:sz w:val="24"/>
          <w:lang w:val="es-ES" w:eastAsia="en-US"/>
        </w:rPr>
        <w:t xml:space="preserve">De la normatividad en cita, se desprende que las Unidades de Transparencia, se le atribuye como el área responsable de cada </w:t>
      </w:r>
      <w:r w:rsidRPr="00F12F30">
        <w:rPr>
          <w:rFonts w:ascii="Palatino Linotype" w:eastAsiaTheme="minorHAnsi" w:hAnsi="Palatino Linotype" w:cs="Arial"/>
          <w:b/>
          <w:sz w:val="24"/>
          <w:lang w:val="es-ES" w:eastAsia="en-US"/>
        </w:rPr>
        <w:t>Sujeto Obligado</w:t>
      </w:r>
      <w:r w:rsidRPr="00F12F30">
        <w:rPr>
          <w:rFonts w:ascii="Palatino Linotype" w:eastAsiaTheme="minorHAnsi" w:hAnsi="Palatino Linotype" w:cs="Arial"/>
          <w:sz w:val="24"/>
          <w:lang w:val="es-ES" w:eastAsia="en-US"/>
        </w:rPr>
        <w:t xml:space="preserve"> el tener a su cargo la atención de las solicitudes de información que se realicen al amparo de la Ley el responsable de dicha área funge como enlace entre el </w:t>
      </w:r>
      <w:r w:rsidRPr="00F12F30">
        <w:rPr>
          <w:rFonts w:ascii="Palatino Linotype" w:eastAsiaTheme="minorHAnsi" w:hAnsi="Palatino Linotype" w:cs="Arial"/>
          <w:b/>
          <w:sz w:val="24"/>
          <w:lang w:val="es-ES" w:eastAsia="en-US"/>
        </w:rPr>
        <w:t>Sujeto Obligado</w:t>
      </w:r>
      <w:r w:rsidRPr="00F12F30">
        <w:rPr>
          <w:rFonts w:ascii="Palatino Linotype" w:eastAsiaTheme="minorHAnsi" w:hAnsi="Palatino Linotype" w:cs="Arial"/>
          <w:sz w:val="24"/>
          <w:lang w:val="es-ES" w:eastAsia="en-US"/>
        </w:rPr>
        <w:t xml:space="preserve"> y los solicitantes ya que tienen bajo su responsabilidad el tramitar internamente la solicitud de información.</w:t>
      </w:r>
    </w:p>
    <w:p w:rsidR="00F12F30" w:rsidRPr="00F12F30" w:rsidRDefault="00F12F30" w:rsidP="00F12F30">
      <w:pPr>
        <w:spacing w:after="0" w:line="360" w:lineRule="auto"/>
        <w:jc w:val="both"/>
        <w:rPr>
          <w:rFonts w:ascii="Palatino Linotype" w:eastAsiaTheme="minorHAnsi" w:hAnsi="Palatino Linotype" w:cs="Arial"/>
          <w:sz w:val="24"/>
          <w:lang w:val="es-ES" w:eastAsia="en-US"/>
        </w:rPr>
      </w:pPr>
    </w:p>
    <w:p w:rsidR="00F12F30" w:rsidRPr="00F12F30" w:rsidRDefault="00F12F30" w:rsidP="00F12F30">
      <w:pPr>
        <w:spacing w:after="0" w:line="360" w:lineRule="auto"/>
        <w:jc w:val="both"/>
        <w:rPr>
          <w:rFonts w:ascii="Palatino Linotype" w:eastAsiaTheme="minorHAnsi" w:hAnsi="Palatino Linotype" w:cs="Arial"/>
          <w:sz w:val="24"/>
          <w:lang w:val="es-ES" w:eastAsia="en-US"/>
        </w:rPr>
      </w:pPr>
      <w:r w:rsidRPr="00F12F30">
        <w:rPr>
          <w:rFonts w:ascii="Palatino Linotype" w:eastAsiaTheme="minorHAnsi" w:hAnsi="Palatino Linotype" w:cs="Arial"/>
          <w:sz w:val="24"/>
          <w:lang w:val="es-ES" w:eastAsia="en-US"/>
        </w:rPr>
        <w:t xml:space="preserve">De tal manera que, si bien, el Titular de la Unidad de Transparencia no tiene bajo su resguardo el archivo que contiene la documentación en donde consta la información requerida, sino que puede obrar en las distintas áreas que conforman la estructura del </w:t>
      </w:r>
      <w:r w:rsidRPr="00F12F30">
        <w:rPr>
          <w:rFonts w:ascii="Palatino Linotype" w:eastAsiaTheme="minorHAnsi" w:hAnsi="Palatino Linotype" w:cs="Arial"/>
          <w:b/>
          <w:sz w:val="24"/>
          <w:lang w:val="es-ES" w:eastAsia="en-US"/>
        </w:rPr>
        <w:t>Sujeto Obligado</w:t>
      </w:r>
      <w:r w:rsidRPr="00F12F30">
        <w:rPr>
          <w:rFonts w:ascii="Palatino Linotype" w:eastAsiaTheme="minorHAnsi" w:hAnsi="Palatino Linotype" w:cs="Arial"/>
          <w:sz w:val="24"/>
          <w:lang w:val="es-ES" w:eastAsia="en-US"/>
        </w:rPr>
        <w:t>, es por ello que debe turnar la solicitud a los servidores públicos habilitados que pudieran generar, administrar o poseer la información; pues los mismos, tienen como función, buscar, localizar y poseer la información, así como entregarla.</w:t>
      </w:r>
    </w:p>
    <w:p w:rsidR="00F12F30" w:rsidRPr="00F12F30" w:rsidRDefault="00F12F30" w:rsidP="00F12F30">
      <w:pPr>
        <w:spacing w:after="0" w:line="360" w:lineRule="auto"/>
        <w:jc w:val="both"/>
        <w:rPr>
          <w:rFonts w:ascii="Palatino Linotype" w:eastAsiaTheme="minorHAnsi" w:hAnsi="Palatino Linotype" w:cs="Arial"/>
          <w:sz w:val="24"/>
          <w:lang w:val="es-ES" w:eastAsia="en-US"/>
        </w:rPr>
      </w:pPr>
    </w:p>
    <w:p w:rsidR="00F12F30" w:rsidRPr="00F12F30" w:rsidRDefault="00F12F30" w:rsidP="00F12F30">
      <w:pPr>
        <w:spacing w:after="0" w:line="360" w:lineRule="auto"/>
        <w:jc w:val="both"/>
        <w:rPr>
          <w:rFonts w:ascii="Palatino Linotype" w:eastAsiaTheme="minorHAnsi" w:hAnsi="Palatino Linotype" w:cs="Arial"/>
          <w:sz w:val="24"/>
          <w:lang w:val="es-ES" w:eastAsia="en-US"/>
        </w:rPr>
      </w:pPr>
      <w:r w:rsidRPr="00F12F30">
        <w:rPr>
          <w:rFonts w:ascii="Palatino Linotype" w:eastAsiaTheme="minorHAnsi" w:hAnsi="Palatino Linotype" w:cs="Arial"/>
          <w:sz w:val="24"/>
          <w:lang w:val="es-ES" w:eastAsia="en-US"/>
        </w:rPr>
        <w:t>Es por ello, que corresponde al Titular de la Unidad de Transparencia el garantizar que las solicitudes se turnen a todas las áreas competentes que puedan contar con la información, con el objeto de que se realice una búsqueda exhaustiva y razonable de la misma.</w:t>
      </w:r>
    </w:p>
    <w:p w:rsidR="00E769E0" w:rsidRDefault="00E769E0" w:rsidP="004D473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rPr>
      </w:pPr>
    </w:p>
    <w:p w:rsidR="00892B52" w:rsidRPr="00892B52" w:rsidRDefault="00892B52" w:rsidP="00892B52">
      <w:pPr>
        <w:autoSpaceDE w:val="0"/>
        <w:autoSpaceDN w:val="0"/>
        <w:adjustRightInd w:val="0"/>
        <w:spacing w:after="0" w:line="360" w:lineRule="auto"/>
        <w:jc w:val="both"/>
        <w:rPr>
          <w:rFonts w:ascii="Palatino Linotype" w:eastAsiaTheme="minorHAnsi" w:hAnsi="Palatino Linotype" w:cs="Arial"/>
          <w:sz w:val="24"/>
          <w:lang w:eastAsia="en-US"/>
        </w:rPr>
      </w:pPr>
      <w:r w:rsidRPr="00892B52">
        <w:rPr>
          <w:rFonts w:ascii="Palatino Linotype" w:eastAsia="Times New Roman" w:hAnsi="Palatino Linotype" w:cs="Arial"/>
          <w:sz w:val="24"/>
          <w:szCs w:val="24"/>
          <w:lang w:val="es-ES" w:eastAsia="es-ES"/>
        </w:rPr>
        <w:lastRenderedPageBreak/>
        <w:t xml:space="preserve">entregando la información solicitada, </w:t>
      </w:r>
      <w:r w:rsidRPr="00892B52">
        <w:rPr>
          <w:rFonts w:ascii="Palatino Linotype" w:eastAsiaTheme="minorHAnsi" w:hAnsi="Palatino Linotype" w:cs="Arial"/>
          <w:sz w:val="24"/>
          <w:lang w:eastAsia="en-US"/>
        </w:rPr>
        <w:t>debiendo observar la tutela de los datos de carácter sensible y confidencial en términos de la Ley de Protección de Datos Personales en Posesión de Sujetos Obligados del Estado de México y Municipios.</w:t>
      </w:r>
    </w:p>
    <w:p w:rsidR="00892B52" w:rsidRPr="00892B52" w:rsidRDefault="00892B52" w:rsidP="00892B52">
      <w:pPr>
        <w:spacing w:after="0" w:line="360" w:lineRule="auto"/>
        <w:jc w:val="both"/>
        <w:rPr>
          <w:rFonts w:ascii="Palatino Linotype" w:eastAsia="Times New Roman" w:hAnsi="Palatino Linotype" w:cs="Times New Roman"/>
          <w:sz w:val="24"/>
          <w:szCs w:val="24"/>
          <w:lang w:eastAsia="es-ES"/>
        </w:rPr>
      </w:pPr>
    </w:p>
    <w:p w:rsidR="00892B52" w:rsidRPr="00892B52" w:rsidRDefault="00892B52" w:rsidP="00892B52">
      <w:pPr>
        <w:numPr>
          <w:ilvl w:val="0"/>
          <w:numId w:val="8"/>
        </w:numPr>
        <w:shd w:val="clear" w:color="auto" w:fill="FFFFFF"/>
        <w:spacing w:after="0" w:line="360" w:lineRule="auto"/>
        <w:ind w:left="426"/>
        <w:jc w:val="both"/>
        <w:rPr>
          <w:rFonts w:ascii="Palatino Linotype" w:eastAsia="Times New Roman" w:hAnsi="Palatino Linotype" w:cs="Times New Roman"/>
          <w:color w:val="222222"/>
          <w:sz w:val="28"/>
          <w:szCs w:val="24"/>
          <w:lang w:val="es-ES"/>
        </w:rPr>
      </w:pPr>
      <w:r w:rsidRPr="00892B52">
        <w:rPr>
          <w:rFonts w:ascii="Palatino Linotype" w:eastAsia="Times New Roman" w:hAnsi="Palatino Linotype" w:cs="Times New Roman"/>
          <w:b/>
          <w:bCs/>
          <w:i/>
          <w:iCs/>
          <w:color w:val="222222"/>
          <w:sz w:val="28"/>
          <w:szCs w:val="24"/>
          <w:lang w:val="es-ES"/>
        </w:rPr>
        <w:t>De la versión pública.</w:t>
      </w:r>
    </w:p>
    <w:p w:rsidR="00892B52" w:rsidRPr="00892B52" w:rsidRDefault="00892B52" w:rsidP="00892B52">
      <w:pPr>
        <w:tabs>
          <w:tab w:val="left" w:pos="7938"/>
        </w:tabs>
        <w:spacing w:after="0" w:line="360" w:lineRule="auto"/>
        <w:jc w:val="both"/>
        <w:rPr>
          <w:rFonts w:ascii="Palatino Linotype" w:eastAsia="Arial Unicode MS" w:hAnsi="Palatino Linotype" w:cs="Arial"/>
          <w:sz w:val="24"/>
          <w:lang w:eastAsia="en-US"/>
        </w:rPr>
      </w:pPr>
      <w:r w:rsidRPr="00892B52">
        <w:rPr>
          <w:rFonts w:ascii="Palatino Linotype" w:eastAsiaTheme="minorHAnsi" w:hAnsi="Palatino Linotype" w:cstheme="minorBidi"/>
          <w:b/>
          <w:bCs/>
          <w:i/>
          <w:iCs/>
          <w:color w:val="222222"/>
          <w:sz w:val="24"/>
          <w:szCs w:val="24"/>
        </w:rPr>
        <w:t> </w:t>
      </w:r>
    </w:p>
    <w:p w:rsidR="00892B52" w:rsidRPr="00892B52" w:rsidRDefault="00892B52" w:rsidP="00892B52">
      <w:pPr>
        <w:tabs>
          <w:tab w:val="left" w:pos="7938"/>
        </w:tabs>
        <w:spacing w:after="0" w:line="360" w:lineRule="auto"/>
        <w:jc w:val="both"/>
        <w:rPr>
          <w:rFonts w:ascii="Palatino Linotype" w:eastAsia="Arial Unicode MS" w:hAnsi="Palatino Linotype" w:cs="Arial"/>
          <w:sz w:val="24"/>
          <w:lang w:eastAsia="en-US"/>
        </w:rPr>
      </w:pPr>
      <w:r w:rsidRPr="00892B52">
        <w:rPr>
          <w:rFonts w:ascii="Palatino Linotype" w:eastAsia="Arial Unicode MS" w:hAnsi="Palatino Linotype" w:cs="Arial"/>
          <w:sz w:val="24"/>
          <w:lang w:eastAsia="en-US"/>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w:t>
      </w:r>
      <w:r>
        <w:rPr>
          <w:rFonts w:ascii="Palatino Linotype" w:eastAsia="Arial Unicode MS" w:hAnsi="Palatino Linotype" w:cs="Arial"/>
          <w:sz w:val="24"/>
          <w:lang w:eastAsia="en-US"/>
        </w:rPr>
        <w:t xml:space="preserve"> </w:t>
      </w:r>
      <w:r w:rsidRPr="00892B52">
        <w:rPr>
          <w:rFonts w:ascii="Palatino Linotype" w:eastAsia="Arial Unicode MS" w:hAnsi="Palatino Linotype" w:cs="Arial"/>
          <w:sz w:val="24"/>
          <w:lang w:eastAsia="en-US"/>
        </w:rPr>
        <w:t>su entrega deberá ser en versión</w:t>
      </w:r>
      <w:r w:rsidR="00D539B3">
        <w:rPr>
          <w:rFonts w:ascii="Palatino Linotype" w:eastAsia="Arial Unicode MS" w:hAnsi="Palatino Linotype" w:cs="Arial"/>
          <w:sz w:val="24"/>
          <w:lang w:eastAsia="en-US"/>
        </w:rPr>
        <w:t xml:space="preserve"> pública; </w:t>
      </w:r>
      <w:r w:rsidRPr="00892B52">
        <w:rPr>
          <w:rFonts w:ascii="Palatino Linotype" w:eastAsia="Arial Unicode MS" w:hAnsi="Palatino Linotype" w:cs="Arial"/>
          <w:sz w:val="24"/>
          <w:lang w:eastAsia="en-US"/>
        </w:rPr>
        <w:t>referencia cuyo fundamento legal aplicable se encuentra inmerso en los numerales de la Ley de la materia, que a la letra esgrimen:</w:t>
      </w:r>
    </w:p>
    <w:p w:rsidR="00892B52" w:rsidRPr="00892B52" w:rsidRDefault="00892B52" w:rsidP="00892B52">
      <w:pPr>
        <w:tabs>
          <w:tab w:val="left" w:pos="7938"/>
        </w:tabs>
        <w:spacing w:after="0" w:line="360" w:lineRule="auto"/>
        <w:jc w:val="both"/>
        <w:rPr>
          <w:rFonts w:ascii="Palatino Linotype" w:eastAsia="Arial Unicode MS" w:hAnsi="Palatino Linotype" w:cs="Arial"/>
          <w:sz w:val="24"/>
          <w:lang w:eastAsia="en-US"/>
        </w:rPr>
      </w:pPr>
      <w:r w:rsidRPr="00892B52">
        <w:rPr>
          <w:rFonts w:ascii="Palatino Linotype" w:eastAsia="Arial Unicode MS" w:hAnsi="Palatino Linotype" w:cs="Arial"/>
          <w:sz w:val="24"/>
          <w:lang w:eastAsia="en-US"/>
        </w:rPr>
        <w:t> </w:t>
      </w:r>
    </w:p>
    <w:p w:rsidR="00892B52" w:rsidRPr="00892B52" w:rsidRDefault="00892B52" w:rsidP="00892B52">
      <w:pPr>
        <w:shd w:val="clear" w:color="auto" w:fill="FFFFFF"/>
        <w:spacing w:after="0" w:line="240" w:lineRule="auto"/>
        <w:ind w:left="567" w:right="567"/>
        <w:jc w:val="both"/>
        <w:rPr>
          <w:rFonts w:ascii="Palatino Linotype" w:eastAsiaTheme="minorHAnsi" w:hAnsi="Palatino Linotype" w:cstheme="minorBidi"/>
          <w:color w:val="222222"/>
        </w:rPr>
      </w:pPr>
      <w:r w:rsidRPr="00892B52">
        <w:rPr>
          <w:rFonts w:ascii="Palatino Linotype" w:eastAsiaTheme="minorHAnsi" w:hAnsi="Palatino Linotype" w:cstheme="minorBidi"/>
          <w:b/>
          <w:bCs/>
          <w:i/>
          <w:iCs/>
          <w:color w:val="222222"/>
        </w:rPr>
        <w:t>Artículo 3. Para los efectos de la presente Ley se entenderá por:</w:t>
      </w:r>
    </w:p>
    <w:p w:rsidR="00892B52" w:rsidRPr="00892B52" w:rsidRDefault="00892B52" w:rsidP="00892B52">
      <w:pPr>
        <w:shd w:val="clear" w:color="auto" w:fill="FFFFFF"/>
        <w:spacing w:after="0" w:line="240" w:lineRule="auto"/>
        <w:ind w:left="567" w:right="567"/>
        <w:jc w:val="both"/>
        <w:rPr>
          <w:rFonts w:ascii="Palatino Linotype" w:eastAsiaTheme="minorHAnsi" w:hAnsi="Palatino Linotype" w:cstheme="minorBidi"/>
          <w:color w:val="222222"/>
        </w:rPr>
      </w:pPr>
      <w:r w:rsidRPr="00892B52">
        <w:rPr>
          <w:rFonts w:ascii="Palatino Linotype" w:eastAsiaTheme="minorHAnsi" w:hAnsi="Palatino Linotype" w:cstheme="minorBidi"/>
          <w:b/>
          <w:bCs/>
          <w:i/>
          <w:iCs/>
          <w:color w:val="222222"/>
        </w:rPr>
        <w:t>[…]</w:t>
      </w:r>
    </w:p>
    <w:p w:rsidR="00892B52" w:rsidRPr="00892B52" w:rsidRDefault="00892B52" w:rsidP="00892B52">
      <w:pPr>
        <w:shd w:val="clear" w:color="auto" w:fill="FFFFFF"/>
        <w:spacing w:after="0" w:line="240" w:lineRule="auto"/>
        <w:ind w:left="567" w:right="567"/>
        <w:jc w:val="both"/>
        <w:rPr>
          <w:rFonts w:ascii="Palatino Linotype" w:eastAsiaTheme="minorHAnsi" w:hAnsi="Palatino Linotype" w:cstheme="minorBidi"/>
          <w:color w:val="222222"/>
        </w:rPr>
      </w:pPr>
      <w:r w:rsidRPr="00892B52">
        <w:rPr>
          <w:rFonts w:ascii="Palatino Linotype" w:eastAsiaTheme="minorHAnsi" w:hAnsi="Palatino Linotype" w:cstheme="minorBidi"/>
          <w:b/>
          <w:bCs/>
          <w:i/>
          <w:iCs/>
          <w:color w:val="222222"/>
        </w:rPr>
        <w:t xml:space="preserve">IX. Datos personales: </w:t>
      </w:r>
      <w:r w:rsidRPr="00892B52">
        <w:rPr>
          <w:rFonts w:ascii="Palatino Linotype" w:eastAsiaTheme="minorHAnsi" w:hAnsi="Palatino Linotype" w:cstheme="minorBidi"/>
          <w:bCs/>
          <w:i/>
          <w:iCs/>
          <w:color w:val="222222"/>
        </w:rPr>
        <w:t>La información concerniente a una persona, identificada o identificable según lo dispuesto por la Ley de Protección de Datos Personales del Estado de México;</w:t>
      </w:r>
    </w:p>
    <w:p w:rsidR="00892B52" w:rsidRPr="00892B52" w:rsidRDefault="00892B52" w:rsidP="00892B52">
      <w:pPr>
        <w:shd w:val="clear" w:color="auto" w:fill="FFFFFF"/>
        <w:spacing w:after="0" w:line="240" w:lineRule="auto"/>
        <w:ind w:left="567" w:right="567"/>
        <w:jc w:val="both"/>
        <w:rPr>
          <w:rFonts w:ascii="Palatino Linotype" w:eastAsiaTheme="minorHAnsi" w:hAnsi="Palatino Linotype" w:cstheme="minorBidi"/>
          <w:color w:val="222222"/>
        </w:rPr>
      </w:pPr>
      <w:r w:rsidRPr="00892B52">
        <w:rPr>
          <w:rFonts w:ascii="Palatino Linotype" w:eastAsiaTheme="minorHAnsi" w:hAnsi="Palatino Linotype" w:cstheme="minorBidi"/>
          <w:b/>
          <w:bCs/>
          <w:i/>
          <w:iCs/>
          <w:color w:val="222222"/>
        </w:rPr>
        <w:t>[…]</w:t>
      </w:r>
    </w:p>
    <w:p w:rsidR="00892B52" w:rsidRPr="00892B52" w:rsidRDefault="00892B52" w:rsidP="00892B52">
      <w:pPr>
        <w:shd w:val="clear" w:color="auto" w:fill="FFFFFF"/>
        <w:spacing w:after="0" w:line="240" w:lineRule="auto"/>
        <w:ind w:left="567" w:right="567"/>
        <w:jc w:val="both"/>
        <w:rPr>
          <w:rFonts w:ascii="Palatino Linotype" w:eastAsiaTheme="minorHAnsi" w:hAnsi="Palatino Linotype" w:cstheme="minorBidi"/>
          <w:color w:val="222222"/>
        </w:rPr>
      </w:pPr>
      <w:r w:rsidRPr="00892B52">
        <w:rPr>
          <w:rFonts w:ascii="Palatino Linotype" w:eastAsiaTheme="minorHAnsi" w:hAnsi="Palatino Linotype" w:cstheme="minorBidi"/>
          <w:b/>
          <w:bCs/>
          <w:i/>
          <w:iCs/>
          <w:color w:val="222222"/>
        </w:rPr>
        <w:t xml:space="preserve">XLV. Versión pública: </w:t>
      </w:r>
      <w:r w:rsidRPr="00892B52">
        <w:rPr>
          <w:rFonts w:ascii="Palatino Linotype" w:eastAsiaTheme="minorHAnsi" w:hAnsi="Palatino Linotype" w:cstheme="minorBidi"/>
          <w:bCs/>
          <w:i/>
          <w:iCs/>
          <w:color w:val="222222"/>
        </w:rPr>
        <w:t>Documento en el que se elimine, suprime o borra la información clasificada como reservada o confidencial para permitir su acceso.</w:t>
      </w:r>
    </w:p>
    <w:p w:rsidR="00892B52" w:rsidRPr="00892B52" w:rsidRDefault="00892B52" w:rsidP="00892B52">
      <w:pPr>
        <w:shd w:val="clear" w:color="auto" w:fill="FFFFFF"/>
        <w:spacing w:after="0" w:line="240" w:lineRule="auto"/>
        <w:ind w:left="567" w:right="567"/>
        <w:jc w:val="both"/>
        <w:rPr>
          <w:rFonts w:ascii="Palatino Linotype" w:eastAsiaTheme="minorHAnsi" w:hAnsi="Palatino Linotype" w:cstheme="minorBidi"/>
          <w:b/>
          <w:bCs/>
          <w:i/>
          <w:iCs/>
          <w:color w:val="222222"/>
        </w:rPr>
      </w:pPr>
    </w:p>
    <w:p w:rsidR="00892B52" w:rsidRPr="00892B52" w:rsidRDefault="00892B52" w:rsidP="00892B52">
      <w:pPr>
        <w:shd w:val="clear" w:color="auto" w:fill="FFFFFF"/>
        <w:spacing w:after="0" w:line="240" w:lineRule="auto"/>
        <w:ind w:left="567" w:right="567"/>
        <w:jc w:val="both"/>
        <w:rPr>
          <w:rFonts w:ascii="Palatino Linotype" w:eastAsiaTheme="minorHAnsi" w:hAnsi="Palatino Linotype" w:cstheme="minorBidi"/>
          <w:color w:val="222222"/>
        </w:rPr>
      </w:pPr>
      <w:r w:rsidRPr="00892B52">
        <w:rPr>
          <w:rFonts w:ascii="Palatino Linotype" w:eastAsiaTheme="minorHAnsi" w:hAnsi="Palatino Linotype" w:cstheme="minorBidi"/>
          <w:b/>
          <w:bCs/>
          <w:i/>
          <w:iCs/>
          <w:color w:val="222222"/>
        </w:rPr>
        <w:t xml:space="preserve">Artículo 122. </w:t>
      </w:r>
      <w:r w:rsidRPr="00892B52">
        <w:rPr>
          <w:rFonts w:ascii="Palatino Linotype" w:eastAsiaTheme="minorHAnsi" w:hAnsi="Palatino Linotype" w:cstheme="minorBidi"/>
          <w:i/>
          <w:iCs/>
          <w:color w:val="222222"/>
        </w:rPr>
        <w:t>La clasificación es el proceso mediante el cual el sujeto obligado determina que la información en su poder actualiza alguno de los supuestos de reserva o confidencialidad, de conformidad con lo dispuesto en el presente título.</w:t>
      </w:r>
    </w:p>
    <w:p w:rsidR="00892B52" w:rsidRPr="00892B52" w:rsidRDefault="00892B52" w:rsidP="00892B52">
      <w:pPr>
        <w:shd w:val="clear" w:color="auto" w:fill="FFFFFF"/>
        <w:spacing w:after="0" w:line="240" w:lineRule="auto"/>
        <w:ind w:left="567" w:right="567"/>
        <w:jc w:val="both"/>
        <w:rPr>
          <w:rFonts w:ascii="Palatino Linotype" w:eastAsiaTheme="minorHAnsi" w:hAnsi="Palatino Linotype" w:cstheme="minorBidi"/>
          <w:color w:val="222222"/>
        </w:rPr>
      </w:pPr>
      <w:r w:rsidRPr="00892B52">
        <w:rPr>
          <w:rFonts w:ascii="Palatino Linotype" w:eastAsiaTheme="minorHAnsi" w:hAnsi="Palatino Linotype" w:cstheme="minorBidi"/>
          <w:i/>
          <w:iCs/>
          <w:color w:val="222222"/>
        </w:rPr>
        <w:lastRenderedPageBreak/>
        <w:t>[…]</w:t>
      </w:r>
    </w:p>
    <w:p w:rsidR="00892B52" w:rsidRPr="00892B52" w:rsidRDefault="00892B52" w:rsidP="00892B52">
      <w:pPr>
        <w:shd w:val="clear" w:color="auto" w:fill="FFFFFF"/>
        <w:spacing w:after="0" w:line="240" w:lineRule="auto"/>
        <w:ind w:left="567" w:right="567"/>
        <w:jc w:val="both"/>
        <w:rPr>
          <w:rFonts w:ascii="Palatino Linotype" w:eastAsiaTheme="minorHAnsi" w:hAnsi="Palatino Linotype" w:cstheme="minorBidi"/>
          <w:b/>
          <w:bCs/>
          <w:i/>
          <w:iCs/>
          <w:color w:val="222222"/>
        </w:rPr>
      </w:pPr>
    </w:p>
    <w:p w:rsidR="00892B52" w:rsidRPr="00892B52" w:rsidRDefault="00892B52" w:rsidP="00892B52">
      <w:pPr>
        <w:shd w:val="clear" w:color="auto" w:fill="FFFFFF"/>
        <w:spacing w:after="0" w:line="240" w:lineRule="auto"/>
        <w:ind w:left="567" w:right="567"/>
        <w:jc w:val="both"/>
        <w:rPr>
          <w:rFonts w:ascii="Palatino Linotype" w:eastAsiaTheme="minorHAnsi" w:hAnsi="Palatino Linotype" w:cstheme="minorBidi"/>
          <w:color w:val="222222"/>
        </w:rPr>
      </w:pPr>
      <w:r w:rsidRPr="00892B52">
        <w:rPr>
          <w:rFonts w:ascii="Palatino Linotype" w:eastAsiaTheme="minorHAnsi" w:hAnsi="Palatino Linotype" w:cstheme="minorBidi"/>
          <w:b/>
          <w:bCs/>
          <w:i/>
          <w:iCs/>
          <w:color w:val="222222"/>
        </w:rPr>
        <w:t>Artículo 132.</w:t>
      </w:r>
      <w:r w:rsidRPr="00892B52">
        <w:rPr>
          <w:rFonts w:ascii="Palatino Linotype" w:eastAsiaTheme="minorHAnsi" w:hAnsi="Palatino Linotype" w:cstheme="minorBidi"/>
          <w:i/>
          <w:iCs/>
          <w:color w:val="222222"/>
        </w:rPr>
        <w:t xml:space="preserve"> La clasificación de la información se llevará a cabo en el momento en que:</w:t>
      </w:r>
    </w:p>
    <w:p w:rsidR="00892B52" w:rsidRPr="00892B52" w:rsidRDefault="00892B52" w:rsidP="00892B52">
      <w:pPr>
        <w:shd w:val="clear" w:color="auto" w:fill="FFFFFF"/>
        <w:spacing w:after="0" w:line="240" w:lineRule="auto"/>
        <w:ind w:left="567" w:right="567"/>
        <w:jc w:val="both"/>
        <w:rPr>
          <w:rFonts w:ascii="Palatino Linotype" w:eastAsiaTheme="minorHAnsi" w:hAnsi="Palatino Linotype" w:cstheme="minorBidi"/>
          <w:color w:val="222222"/>
        </w:rPr>
      </w:pPr>
      <w:r w:rsidRPr="00892B52">
        <w:rPr>
          <w:rFonts w:ascii="Palatino Linotype" w:eastAsiaTheme="minorHAnsi" w:hAnsi="Palatino Linotype" w:cstheme="minorBidi"/>
          <w:i/>
          <w:iCs/>
          <w:color w:val="222222"/>
        </w:rPr>
        <w:t>[…]</w:t>
      </w:r>
    </w:p>
    <w:p w:rsidR="00892B52" w:rsidRPr="00892B52" w:rsidRDefault="00892B52" w:rsidP="00892B52">
      <w:pPr>
        <w:shd w:val="clear" w:color="auto" w:fill="FFFFFF"/>
        <w:spacing w:after="0" w:line="240" w:lineRule="auto"/>
        <w:ind w:left="567" w:right="567"/>
        <w:jc w:val="both"/>
        <w:rPr>
          <w:rFonts w:ascii="Palatino Linotype" w:eastAsiaTheme="minorHAnsi" w:hAnsi="Palatino Linotype" w:cstheme="minorBidi"/>
          <w:color w:val="222222"/>
        </w:rPr>
      </w:pPr>
      <w:r w:rsidRPr="00892B52">
        <w:rPr>
          <w:rFonts w:ascii="Palatino Linotype" w:eastAsiaTheme="minorHAnsi" w:hAnsi="Palatino Linotype" w:cstheme="minorBidi"/>
          <w:b/>
          <w:bCs/>
          <w:i/>
          <w:iCs/>
          <w:color w:val="222222"/>
        </w:rPr>
        <w:t>II. Se determine mediante resolución de autoridad competente; o</w:t>
      </w:r>
    </w:p>
    <w:p w:rsidR="00892B52" w:rsidRPr="00892B52" w:rsidRDefault="00892B52" w:rsidP="00892B52">
      <w:pPr>
        <w:shd w:val="clear" w:color="auto" w:fill="FFFFFF"/>
        <w:spacing w:after="0" w:line="240" w:lineRule="auto"/>
        <w:ind w:left="567" w:right="567"/>
        <w:jc w:val="both"/>
        <w:rPr>
          <w:rFonts w:ascii="Palatino Linotype" w:eastAsiaTheme="minorHAnsi" w:hAnsi="Palatino Linotype" w:cstheme="minorBidi"/>
          <w:b/>
          <w:bCs/>
          <w:i/>
          <w:iCs/>
          <w:color w:val="222222"/>
        </w:rPr>
      </w:pPr>
    </w:p>
    <w:p w:rsidR="00892B52" w:rsidRPr="00892B52" w:rsidRDefault="00892B52" w:rsidP="00892B52">
      <w:pPr>
        <w:shd w:val="clear" w:color="auto" w:fill="FFFFFF"/>
        <w:spacing w:after="0" w:line="240" w:lineRule="auto"/>
        <w:ind w:left="567" w:right="567"/>
        <w:jc w:val="both"/>
        <w:rPr>
          <w:rFonts w:ascii="Palatino Linotype" w:eastAsiaTheme="minorHAnsi" w:hAnsi="Palatino Linotype" w:cstheme="minorBidi"/>
          <w:color w:val="222222"/>
        </w:rPr>
      </w:pPr>
      <w:r w:rsidRPr="00892B52">
        <w:rPr>
          <w:rFonts w:ascii="Palatino Linotype" w:eastAsiaTheme="minorHAnsi" w:hAnsi="Palatino Linotype" w:cstheme="minorBidi"/>
          <w:b/>
          <w:bCs/>
          <w:i/>
          <w:iCs/>
          <w:color w:val="222222"/>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892B52">
        <w:rPr>
          <w:rFonts w:ascii="Palatino Linotype" w:eastAsiaTheme="minorHAnsi" w:hAnsi="Palatino Linotype" w:cstheme="minorBidi"/>
          <w:b/>
          <w:bCs/>
          <w:i/>
          <w:iCs/>
          <w:color w:val="222222"/>
          <w:u w:val="single"/>
        </w:rPr>
        <w:t>de manera genérica y fundando y motivando su clasificación.”</w:t>
      </w:r>
    </w:p>
    <w:p w:rsidR="00892B52" w:rsidRPr="00892B52" w:rsidRDefault="00892B52" w:rsidP="00892B52">
      <w:pPr>
        <w:shd w:val="clear" w:color="auto" w:fill="FFFFFF"/>
        <w:spacing w:after="0" w:line="240" w:lineRule="auto"/>
        <w:ind w:left="567" w:right="567"/>
        <w:jc w:val="both"/>
        <w:rPr>
          <w:rFonts w:ascii="Palatino Linotype" w:eastAsiaTheme="minorHAnsi" w:hAnsi="Palatino Linotype" w:cstheme="minorBidi"/>
          <w:color w:val="222222"/>
        </w:rPr>
      </w:pPr>
    </w:p>
    <w:p w:rsidR="00892B52" w:rsidRPr="00892B52" w:rsidRDefault="00892B52" w:rsidP="00892B52">
      <w:pPr>
        <w:shd w:val="clear" w:color="auto" w:fill="FFFFFF"/>
        <w:spacing w:after="0" w:line="240" w:lineRule="auto"/>
        <w:ind w:left="567" w:right="567"/>
        <w:jc w:val="right"/>
        <w:rPr>
          <w:rFonts w:ascii="Palatino Linotype" w:eastAsiaTheme="minorHAnsi" w:hAnsi="Palatino Linotype" w:cstheme="minorBidi"/>
          <w:color w:val="222222"/>
        </w:rPr>
      </w:pPr>
      <w:r w:rsidRPr="00892B52">
        <w:rPr>
          <w:rFonts w:ascii="Palatino Linotype" w:eastAsiaTheme="minorHAnsi" w:hAnsi="Palatino Linotype" w:cstheme="minorBidi"/>
          <w:color w:val="222222"/>
        </w:rPr>
        <w:t>(Énfasis añadido)</w:t>
      </w:r>
    </w:p>
    <w:p w:rsidR="00892B52" w:rsidRPr="00892B52" w:rsidRDefault="00892B52" w:rsidP="00892B52">
      <w:pPr>
        <w:tabs>
          <w:tab w:val="left" w:pos="7938"/>
        </w:tabs>
        <w:spacing w:after="0" w:line="360" w:lineRule="auto"/>
        <w:jc w:val="both"/>
        <w:rPr>
          <w:rFonts w:ascii="Palatino Linotype" w:eastAsia="Arial Unicode MS" w:hAnsi="Palatino Linotype" w:cs="Arial"/>
          <w:sz w:val="24"/>
          <w:lang w:eastAsia="en-US"/>
        </w:rPr>
      </w:pPr>
    </w:p>
    <w:p w:rsidR="00892B52" w:rsidRPr="00892B52" w:rsidRDefault="00892B52" w:rsidP="00892B52">
      <w:pPr>
        <w:tabs>
          <w:tab w:val="left" w:pos="7938"/>
        </w:tabs>
        <w:spacing w:after="0" w:line="360" w:lineRule="auto"/>
        <w:jc w:val="both"/>
        <w:rPr>
          <w:rFonts w:ascii="Palatino Linotype" w:eastAsia="Arial Unicode MS" w:hAnsi="Palatino Linotype" w:cs="Arial"/>
          <w:sz w:val="24"/>
          <w:lang w:eastAsia="en-US"/>
        </w:rPr>
      </w:pPr>
      <w:r w:rsidRPr="00892B52">
        <w:rPr>
          <w:rFonts w:ascii="Palatino Linotype" w:eastAsia="Arial Unicode MS" w:hAnsi="Palatino Linotype" w:cs="Arial"/>
          <w:sz w:val="24"/>
          <w:lang w:eastAsia="en-US"/>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rsidR="00892B52" w:rsidRPr="00892B52" w:rsidRDefault="00892B52" w:rsidP="00892B52">
      <w:pPr>
        <w:tabs>
          <w:tab w:val="left" w:pos="7938"/>
        </w:tabs>
        <w:spacing w:after="0" w:line="360" w:lineRule="auto"/>
        <w:jc w:val="both"/>
        <w:rPr>
          <w:rFonts w:ascii="Palatino Linotype" w:eastAsia="Arial Unicode MS" w:hAnsi="Palatino Linotype" w:cs="Arial"/>
          <w:sz w:val="24"/>
          <w:lang w:eastAsia="en-US"/>
        </w:rPr>
      </w:pPr>
      <w:r w:rsidRPr="00892B52">
        <w:rPr>
          <w:rFonts w:ascii="Palatino Linotype" w:eastAsia="Arial Unicode MS" w:hAnsi="Palatino Linotype" w:cs="Arial"/>
          <w:sz w:val="24"/>
          <w:lang w:eastAsia="en-US"/>
        </w:rPr>
        <w:t> </w:t>
      </w:r>
    </w:p>
    <w:p w:rsidR="00892B52" w:rsidRPr="00892B52" w:rsidRDefault="00892B52" w:rsidP="00892B52">
      <w:pPr>
        <w:tabs>
          <w:tab w:val="left" w:pos="7938"/>
        </w:tabs>
        <w:spacing w:after="0" w:line="360" w:lineRule="auto"/>
        <w:jc w:val="both"/>
        <w:rPr>
          <w:rFonts w:ascii="Palatino Linotype" w:eastAsia="Arial Unicode MS" w:hAnsi="Palatino Linotype" w:cs="Arial"/>
          <w:sz w:val="24"/>
          <w:lang w:eastAsia="en-US"/>
        </w:rPr>
      </w:pPr>
      <w:r w:rsidRPr="00892B52">
        <w:rPr>
          <w:rFonts w:ascii="Palatino Linotype" w:eastAsia="Arial Unicode MS" w:hAnsi="Palatino Linotype" w:cs="Arial"/>
          <w:sz w:val="24"/>
          <w:lang w:eastAsia="en-US"/>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892B52" w:rsidRPr="00892B52" w:rsidRDefault="00892B52" w:rsidP="00892B52">
      <w:pPr>
        <w:tabs>
          <w:tab w:val="left" w:pos="7938"/>
        </w:tabs>
        <w:spacing w:after="0" w:line="360" w:lineRule="auto"/>
        <w:jc w:val="both"/>
        <w:rPr>
          <w:rFonts w:ascii="Palatino Linotype" w:eastAsia="Arial Unicode MS" w:hAnsi="Palatino Linotype" w:cs="Arial"/>
          <w:sz w:val="24"/>
          <w:lang w:eastAsia="en-US"/>
        </w:rPr>
      </w:pPr>
      <w:r w:rsidRPr="00892B52">
        <w:rPr>
          <w:rFonts w:ascii="Palatino Linotype" w:eastAsia="Arial Unicode MS" w:hAnsi="Palatino Linotype" w:cs="Arial"/>
          <w:sz w:val="24"/>
          <w:lang w:eastAsia="en-US"/>
        </w:rPr>
        <w:t> </w:t>
      </w:r>
    </w:p>
    <w:p w:rsidR="00892B52" w:rsidRPr="00892B52" w:rsidRDefault="00892B52" w:rsidP="00892B52">
      <w:pPr>
        <w:tabs>
          <w:tab w:val="left" w:pos="7938"/>
        </w:tabs>
        <w:spacing w:after="0" w:line="360" w:lineRule="auto"/>
        <w:jc w:val="both"/>
        <w:rPr>
          <w:rFonts w:ascii="Palatino Linotype" w:eastAsia="Arial Unicode MS" w:hAnsi="Palatino Linotype" w:cs="Arial"/>
          <w:sz w:val="24"/>
          <w:lang w:eastAsia="en-US"/>
        </w:rPr>
      </w:pPr>
      <w:r w:rsidRPr="00892B52">
        <w:rPr>
          <w:rFonts w:ascii="Palatino Linotype" w:eastAsia="Arial Unicode MS" w:hAnsi="Palatino Linotype" w:cs="Arial"/>
          <w:sz w:val="24"/>
          <w:lang w:eastAsia="en-US"/>
        </w:rPr>
        <w:t xml:space="preserve">Ahora bien, las personas físicas tramitan su inscripción en el registro con el propósito de realizar (mediante esa clave de identificación) operaciones o actividades de </w:t>
      </w:r>
      <w:r w:rsidRPr="00892B52">
        <w:rPr>
          <w:rFonts w:ascii="Palatino Linotype" w:eastAsia="Arial Unicode MS" w:hAnsi="Palatino Linotype" w:cs="Arial"/>
          <w:sz w:val="24"/>
          <w:lang w:eastAsia="en-US"/>
        </w:rPr>
        <w:lastRenderedPageBreak/>
        <w:t>naturaleza fiscal, la cual, les permite hacer identificable respecto de una situación fiscal determinada.</w:t>
      </w:r>
    </w:p>
    <w:p w:rsidR="00892B52" w:rsidRPr="00892B52" w:rsidRDefault="00892B52" w:rsidP="00892B52">
      <w:pPr>
        <w:tabs>
          <w:tab w:val="left" w:pos="7938"/>
        </w:tabs>
        <w:spacing w:after="0" w:line="360" w:lineRule="auto"/>
        <w:jc w:val="both"/>
        <w:rPr>
          <w:rFonts w:ascii="Palatino Linotype" w:eastAsia="Arial Unicode MS" w:hAnsi="Palatino Linotype" w:cs="Arial"/>
          <w:sz w:val="24"/>
          <w:lang w:eastAsia="en-US"/>
        </w:rPr>
      </w:pPr>
      <w:r w:rsidRPr="00892B52">
        <w:rPr>
          <w:rFonts w:ascii="Palatino Linotype" w:eastAsia="Arial Unicode MS" w:hAnsi="Palatino Linotype" w:cs="Arial"/>
          <w:sz w:val="24"/>
          <w:lang w:eastAsia="en-US"/>
        </w:rPr>
        <w:t> </w:t>
      </w:r>
    </w:p>
    <w:p w:rsidR="00892B52" w:rsidRPr="00892B52" w:rsidRDefault="00892B52" w:rsidP="00892B52">
      <w:pPr>
        <w:tabs>
          <w:tab w:val="left" w:pos="7938"/>
        </w:tabs>
        <w:spacing w:after="0" w:line="360" w:lineRule="auto"/>
        <w:jc w:val="both"/>
        <w:rPr>
          <w:rFonts w:ascii="Palatino Linotype" w:eastAsia="Arial Unicode MS" w:hAnsi="Palatino Linotype" w:cs="Arial"/>
          <w:sz w:val="24"/>
          <w:lang w:eastAsia="en-US"/>
        </w:rPr>
      </w:pPr>
      <w:r w:rsidRPr="00892B52">
        <w:rPr>
          <w:rFonts w:ascii="Palatino Linotype" w:eastAsia="Arial Unicode MS" w:hAnsi="Palatino Linotype" w:cs="Arial"/>
          <w:sz w:val="24"/>
          <w:lang w:eastAsia="en-US"/>
        </w:rPr>
        <w:t>Lo anterior, es compartido por el Instituto Nacional de Transparencia, Acceso a la Información Pública y Protección de Datos Personales (INAI), a través del Criterio 19/17, de la segunda época, el cual es del tenor literal siguiente:</w:t>
      </w:r>
    </w:p>
    <w:p w:rsidR="00892B52" w:rsidRPr="00892B52" w:rsidRDefault="00892B52" w:rsidP="00892B52">
      <w:pPr>
        <w:tabs>
          <w:tab w:val="left" w:pos="7938"/>
        </w:tabs>
        <w:spacing w:after="0" w:line="360" w:lineRule="auto"/>
        <w:jc w:val="both"/>
        <w:rPr>
          <w:rFonts w:ascii="Palatino Linotype" w:eastAsia="Arial Unicode MS" w:hAnsi="Palatino Linotype" w:cs="Arial"/>
          <w:sz w:val="24"/>
          <w:lang w:eastAsia="en-US"/>
        </w:rPr>
      </w:pPr>
      <w:r w:rsidRPr="00892B52">
        <w:rPr>
          <w:rFonts w:ascii="Palatino Linotype" w:eastAsia="Arial Unicode MS" w:hAnsi="Palatino Linotype" w:cs="Arial"/>
          <w:sz w:val="24"/>
          <w:lang w:eastAsia="en-US"/>
        </w:rPr>
        <w:t> </w:t>
      </w:r>
    </w:p>
    <w:p w:rsidR="00892B52" w:rsidRPr="00892B52" w:rsidRDefault="00892B52" w:rsidP="00892B52">
      <w:pPr>
        <w:shd w:val="clear" w:color="auto" w:fill="FFFFFF"/>
        <w:spacing w:after="0" w:line="240" w:lineRule="auto"/>
        <w:ind w:left="567" w:right="567"/>
        <w:jc w:val="both"/>
        <w:rPr>
          <w:rFonts w:ascii="Palatino Linotype" w:eastAsiaTheme="minorHAnsi" w:hAnsi="Palatino Linotype" w:cstheme="minorBidi"/>
          <w:color w:val="222222"/>
        </w:rPr>
      </w:pPr>
      <w:r w:rsidRPr="00892B52">
        <w:rPr>
          <w:rFonts w:ascii="Palatino Linotype" w:eastAsiaTheme="minorHAnsi" w:hAnsi="Palatino Linotype" w:cstheme="minorBidi"/>
          <w:i/>
          <w:iCs/>
          <w:color w:val="222222"/>
        </w:rPr>
        <w:t>“</w:t>
      </w:r>
      <w:r w:rsidRPr="00892B52">
        <w:rPr>
          <w:rFonts w:ascii="Palatino Linotype" w:eastAsiaTheme="minorHAnsi" w:hAnsi="Palatino Linotype" w:cstheme="minorBidi"/>
          <w:b/>
          <w:bCs/>
          <w:i/>
          <w:iCs/>
          <w:color w:val="222222"/>
        </w:rPr>
        <w:t>Registro Federal de Contribuyentes (RFC) de personas físicas. </w:t>
      </w:r>
      <w:r w:rsidRPr="00892B52">
        <w:rPr>
          <w:rFonts w:ascii="Palatino Linotype" w:eastAsiaTheme="minorHAnsi" w:hAnsi="Palatino Linotype" w:cstheme="minorBidi"/>
          <w:i/>
          <w:iCs/>
          <w:color w:val="222222"/>
        </w:rPr>
        <w:t>El RFC es una clave de carácter fiscal, única e irrepetible, que permite identificar al titular, su edad y fecha de nacimiento, por lo que es un dato personal de carácter confidencial.</w:t>
      </w:r>
    </w:p>
    <w:p w:rsidR="00892B52" w:rsidRPr="00892B52" w:rsidRDefault="00892B52" w:rsidP="00892B52">
      <w:pPr>
        <w:shd w:val="clear" w:color="auto" w:fill="FFFFFF"/>
        <w:spacing w:after="0" w:line="240" w:lineRule="auto"/>
        <w:ind w:left="567" w:right="567"/>
        <w:jc w:val="both"/>
        <w:rPr>
          <w:rFonts w:ascii="Palatino Linotype" w:eastAsiaTheme="minorHAnsi" w:hAnsi="Palatino Linotype" w:cstheme="minorBidi"/>
          <w:color w:val="222222"/>
        </w:rPr>
      </w:pPr>
      <w:r w:rsidRPr="00892B52">
        <w:rPr>
          <w:rFonts w:ascii="Palatino Linotype" w:eastAsiaTheme="minorHAnsi" w:hAnsi="Palatino Linotype" w:cstheme="minorBidi"/>
          <w:i/>
          <w:iCs/>
          <w:color w:val="222222"/>
        </w:rPr>
        <w:t>Resoluciones:</w:t>
      </w:r>
    </w:p>
    <w:p w:rsidR="00892B52" w:rsidRPr="00892B52" w:rsidRDefault="00892B52" w:rsidP="00892B52">
      <w:pPr>
        <w:shd w:val="clear" w:color="auto" w:fill="FFFFFF"/>
        <w:spacing w:after="0" w:line="240" w:lineRule="auto"/>
        <w:ind w:left="567" w:right="567"/>
        <w:jc w:val="both"/>
        <w:rPr>
          <w:rFonts w:ascii="Palatino Linotype" w:eastAsiaTheme="minorHAnsi" w:hAnsi="Palatino Linotype" w:cstheme="minorBidi"/>
          <w:color w:val="222222"/>
        </w:rPr>
      </w:pPr>
      <w:r w:rsidRPr="00892B52">
        <w:rPr>
          <w:rFonts w:ascii="Palatino Linotype" w:eastAsiaTheme="minorHAnsi" w:hAnsi="Palatino Linotype" w:cstheme="minorBidi"/>
          <w:i/>
          <w:iCs/>
          <w:color w:val="222222"/>
        </w:rPr>
        <w:t>• RRA 0189/17. Morena. 08 de febrero de 2017. Por unanimidad. Comisionado Ponente Joel Salas Suárez.</w:t>
      </w:r>
    </w:p>
    <w:p w:rsidR="00892B52" w:rsidRPr="00892B52" w:rsidRDefault="00892B52" w:rsidP="00892B52">
      <w:pPr>
        <w:shd w:val="clear" w:color="auto" w:fill="FFFFFF"/>
        <w:spacing w:after="0" w:line="240" w:lineRule="auto"/>
        <w:ind w:left="567" w:right="567"/>
        <w:jc w:val="both"/>
        <w:rPr>
          <w:rFonts w:ascii="Palatino Linotype" w:eastAsiaTheme="minorHAnsi" w:hAnsi="Palatino Linotype" w:cstheme="minorBidi"/>
          <w:color w:val="222222"/>
        </w:rPr>
      </w:pPr>
      <w:r w:rsidRPr="00892B52">
        <w:rPr>
          <w:rFonts w:ascii="Palatino Linotype" w:eastAsiaTheme="minorHAnsi" w:hAnsi="Palatino Linotype" w:cstheme="minorBidi"/>
          <w:i/>
          <w:iCs/>
          <w:color w:val="222222"/>
        </w:rPr>
        <w:t>• RRA 0677/17. Universidad Nacional Autónoma de México. 08 de marzo de 2017. Por unanimidad. Comisionado Ponente Rosendoevgueni Monterrey Chepov.</w:t>
      </w:r>
    </w:p>
    <w:p w:rsidR="00892B52" w:rsidRPr="00892B52" w:rsidRDefault="00892B52" w:rsidP="00892B52">
      <w:pPr>
        <w:shd w:val="clear" w:color="auto" w:fill="FFFFFF"/>
        <w:spacing w:after="0" w:line="240" w:lineRule="auto"/>
        <w:ind w:left="567" w:right="567"/>
        <w:jc w:val="both"/>
        <w:rPr>
          <w:rFonts w:ascii="Palatino Linotype" w:eastAsiaTheme="minorHAnsi" w:hAnsi="Palatino Linotype" w:cstheme="minorBidi"/>
          <w:color w:val="222222"/>
        </w:rPr>
      </w:pPr>
      <w:r w:rsidRPr="00892B52">
        <w:rPr>
          <w:rFonts w:ascii="Palatino Linotype" w:eastAsiaTheme="minorHAnsi" w:hAnsi="Palatino Linotype" w:cstheme="minorBidi"/>
          <w:i/>
          <w:iCs/>
          <w:color w:val="222222"/>
        </w:rPr>
        <w:t>• RRA 1564/17. Tribunal Electoral del Poder Judicial de la Federación. 26 de abril de 2017. Por unanimidad. Comisionado Ponente Oscar Mauricio Guerra Ford.”</w:t>
      </w:r>
    </w:p>
    <w:p w:rsidR="00892B52" w:rsidRPr="00892B52" w:rsidRDefault="00892B52" w:rsidP="00892B52">
      <w:pPr>
        <w:tabs>
          <w:tab w:val="left" w:pos="7938"/>
        </w:tabs>
        <w:spacing w:after="0" w:line="360" w:lineRule="auto"/>
        <w:jc w:val="both"/>
        <w:rPr>
          <w:rFonts w:ascii="Palatino Linotype" w:eastAsia="Arial Unicode MS" w:hAnsi="Palatino Linotype" w:cs="Arial"/>
          <w:sz w:val="24"/>
          <w:lang w:eastAsia="en-US"/>
        </w:rPr>
      </w:pPr>
    </w:p>
    <w:p w:rsidR="00892B52" w:rsidRPr="00892B52" w:rsidRDefault="00892B52" w:rsidP="00892B52">
      <w:pPr>
        <w:tabs>
          <w:tab w:val="left" w:pos="7938"/>
        </w:tabs>
        <w:spacing w:after="0" w:line="360" w:lineRule="auto"/>
        <w:jc w:val="both"/>
        <w:rPr>
          <w:rFonts w:ascii="Palatino Linotype" w:eastAsia="Arial Unicode MS" w:hAnsi="Palatino Linotype" w:cs="Arial"/>
          <w:sz w:val="24"/>
          <w:lang w:eastAsia="en-US"/>
        </w:rPr>
      </w:pPr>
      <w:r w:rsidRPr="00892B52">
        <w:rPr>
          <w:rFonts w:ascii="Palatino Linotype" w:eastAsia="Arial Unicode MS" w:hAnsi="Palatino Linotype" w:cs="Arial"/>
          <w:sz w:val="24"/>
          <w:lang w:eastAsia="en-US"/>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rsidR="00892B52" w:rsidRPr="00892B52" w:rsidRDefault="00892B52" w:rsidP="00892B52">
      <w:pPr>
        <w:tabs>
          <w:tab w:val="left" w:pos="7938"/>
        </w:tabs>
        <w:spacing w:after="0" w:line="360" w:lineRule="auto"/>
        <w:jc w:val="both"/>
        <w:rPr>
          <w:rFonts w:ascii="Palatino Linotype" w:eastAsia="Arial Unicode MS" w:hAnsi="Palatino Linotype" w:cs="Arial"/>
          <w:sz w:val="24"/>
          <w:lang w:eastAsia="en-US"/>
        </w:rPr>
      </w:pPr>
      <w:r w:rsidRPr="00892B52">
        <w:rPr>
          <w:rFonts w:ascii="Palatino Linotype" w:eastAsia="Arial Unicode MS" w:hAnsi="Palatino Linotype" w:cs="Arial"/>
          <w:sz w:val="24"/>
          <w:lang w:eastAsia="en-US"/>
        </w:rPr>
        <w:t> </w:t>
      </w:r>
    </w:p>
    <w:p w:rsidR="00892B52" w:rsidRPr="00892B52" w:rsidRDefault="00892B52" w:rsidP="00892B52">
      <w:pPr>
        <w:tabs>
          <w:tab w:val="left" w:pos="7938"/>
        </w:tabs>
        <w:spacing w:after="0" w:line="360" w:lineRule="auto"/>
        <w:jc w:val="both"/>
        <w:rPr>
          <w:rFonts w:ascii="Palatino Linotype" w:eastAsia="Arial Unicode MS" w:hAnsi="Palatino Linotype" w:cs="Arial"/>
          <w:sz w:val="24"/>
          <w:lang w:eastAsia="en-US"/>
        </w:rPr>
      </w:pPr>
      <w:r w:rsidRPr="00892B52">
        <w:rPr>
          <w:rFonts w:ascii="Palatino Linotype" w:eastAsia="Arial Unicode MS" w:hAnsi="Palatino Linotype" w:cs="Arial"/>
          <w:sz w:val="24"/>
          <w:lang w:eastAsia="en-US"/>
        </w:rPr>
        <w:t xml:space="preserve">En ese entendido, en los supuestos de entregarse el soporte documental del tipo nómina de personal donde se advierta el Código Bidimensional QR, así como las cadenas de seguridad, estos elementos deben clasificarse, atendiendo a que los mismos </w:t>
      </w:r>
      <w:r w:rsidRPr="00892B52">
        <w:rPr>
          <w:rFonts w:ascii="Palatino Linotype" w:eastAsia="Arial Unicode MS" w:hAnsi="Palatino Linotype" w:cs="Arial"/>
          <w:sz w:val="24"/>
          <w:lang w:eastAsia="en-US"/>
        </w:rPr>
        <w:lastRenderedPageBreak/>
        <w:t>al ser leídos a través de herramientas tecnológicas, pueden obtenerse los RFC de los servidores públicos, los cuales ya quedo claramente establecido, se deben clasificar como confidenciales.</w:t>
      </w:r>
    </w:p>
    <w:p w:rsidR="00892B52" w:rsidRPr="00892B52" w:rsidRDefault="00892B52" w:rsidP="00892B52">
      <w:pPr>
        <w:tabs>
          <w:tab w:val="left" w:pos="7938"/>
        </w:tabs>
        <w:spacing w:after="0" w:line="360" w:lineRule="auto"/>
        <w:jc w:val="both"/>
        <w:rPr>
          <w:rFonts w:ascii="Palatino Linotype" w:eastAsia="Arial Unicode MS" w:hAnsi="Palatino Linotype" w:cs="Arial"/>
          <w:sz w:val="24"/>
          <w:lang w:eastAsia="en-US"/>
        </w:rPr>
      </w:pPr>
    </w:p>
    <w:p w:rsidR="00892B52" w:rsidRPr="00892B52" w:rsidRDefault="00892B52" w:rsidP="00892B52">
      <w:pPr>
        <w:tabs>
          <w:tab w:val="left" w:pos="7938"/>
        </w:tabs>
        <w:spacing w:after="0" w:line="360" w:lineRule="auto"/>
        <w:jc w:val="both"/>
        <w:rPr>
          <w:rFonts w:ascii="Palatino Linotype" w:eastAsia="Arial Unicode MS" w:hAnsi="Palatino Linotype" w:cs="Arial"/>
          <w:sz w:val="24"/>
          <w:lang w:eastAsia="en-US"/>
        </w:rPr>
      </w:pPr>
      <w:r w:rsidRPr="00892B52">
        <w:rPr>
          <w:rFonts w:ascii="Palatino Linotype" w:eastAsia="Arial Unicode MS" w:hAnsi="Palatino Linotype" w:cs="Arial"/>
          <w:sz w:val="24"/>
          <w:lang w:eastAsia="en-US"/>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892B52" w:rsidRPr="00892B52" w:rsidRDefault="00892B52" w:rsidP="00892B52">
      <w:pPr>
        <w:tabs>
          <w:tab w:val="left" w:pos="7938"/>
        </w:tabs>
        <w:spacing w:after="0" w:line="360" w:lineRule="auto"/>
        <w:jc w:val="both"/>
        <w:rPr>
          <w:rFonts w:ascii="Palatino Linotype" w:eastAsia="Arial Unicode MS" w:hAnsi="Palatino Linotype" w:cs="Arial"/>
          <w:sz w:val="24"/>
          <w:lang w:eastAsia="en-US"/>
        </w:rPr>
      </w:pPr>
      <w:r w:rsidRPr="00892B52">
        <w:rPr>
          <w:rFonts w:ascii="Palatino Linotype" w:eastAsia="Arial Unicode MS" w:hAnsi="Palatino Linotype" w:cs="Arial"/>
          <w:sz w:val="24"/>
          <w:lang w:eastAsia="en-US"/>
        </w:rPr>
        <w:t> </w:t>
      </w:r>
    </w:p>
    <w:p w:rsidR="00892B52" w:rsidRPr="00892B52" w:rsidRDefault="00892B52" w:rsidP="00892B52">
      <w:pPr>
        <w:tabs>
          <w:tab w:val="left" w:pos="7938"/>
        </w:tabs>
        <w:spacing w:after="0" w:line="360" w:lineRule="auto"/>
        <w:jc w:val="both"/>
        <w:rPr>
          <w:rFonts w:ascii="Palatino Linotype" w:eastAsia="Arial Unicode MS" w:hAnsi="Palatino Linotype" w:cs="Arial"/>
          <w:sz w:val="24"/>
          <w:lang w:eastAsia="en-US"/>
        </w:rPr>
      </w:pPr>
      <w:r w:rsidRPr="00892B52">
        <w:rPr>
          <w:rFonts w:ascii="Palatino Linotype" w:eastAsia="Arial Unicode MS" w:hAnsi="Palatino Linotype" w:cs="Arial"/>
          <w:sz w:val="24"/>
          <w:lang w:eastAsia="en-US"/>
        </w:rPr>
        <w:t>Argumento que es compartido por el Instituto Nacional de Transparencia, Acceso a la Información Pública y Protección de Datos Personales, conforme al criterio número 18/17 de la segunda época, el cual refiere:</w:t>
      </w:r>
    </w:p>
    <w:p w:rsidR="00892B52" w:rsidRPr="00892B52" w:rsidRDefault="00892B52" w:rsidP="00892B52">
      <w:pPr>
        <w:tabs>
          <w:tab w:val="left" w:pos="7938"/>
        </w:tabs>
        <w:spacing w:after="0" w:line="360" w:lineRule="auto"/>
        <w:jc w:val="both"/>
        <w:rPr>
          <w:rFonts w:ascii="Palatino Linotype" w:eastAsia="Arial Unicode MS" w:hAnsi="Palatino Linotype" w:cs="Arial"/>
          <w:sz w:val="24"/>
          <w:lang w:eastAsia="en-US"/>
        </w:rPr>
      </w:pPr>
      <w:r w:rsidRPr="00892B52">
        <w:rPr>
          <w:rFonts w:ascii="Palatino Linotype" w:eastAsia="Arial Unicode MS" w:hAnsi="Palatino Linotype" w:cs="Arial"/>
          <w:sz w:val="24"/>
          <w:lang w:eastAsia="en-US"/>
        </w:rPr>
        <w:t> </w:t>
      </w:r>
    </w:p>
    <w:p w:rsidR="00892B52" w:rsidRPr="00892B52" w:rsidRDefault="00892B52" w:rsidP="00892B52">
      <w:pPr>
        <w:shd w:val="clear" w:color="auto" w:fill="FFFFFF"/>
        <w:spacing w:after="0" w:line="240" w:lineRule="auto"/>
        <w:ind w:left="567" w:right="567"/>
        <w:jc w:val="both"/>
        <w:rPr>
          <w:rFonts w:ascii="Palatino Linotype" w:eastAsiaTheme="minorHAnsi" w:hAnsi="Palatino Linotype" w:cstheme="minorBidi"/>
          <w:color w:val="222222"/>
        </w:rPr>
      </w:pPr>
      <w:r w:rsidRPr="00892B52">
        <w:rPr>
          <w:rFonts w:ascii="Palatino Linotype" w:eastAsiaTheme="minorHAnsi" w:hAnsi="Palatino Linotype" w:cstheme="minorBidi"/>
          <w:i/>
          <w:iCs/>
          <w:color w:val="222222"/>
        </w:rPr>
        <w:t>“</w:t>
      </w:r>
      <w:r w:rsidRPr="00892B52">
        <w:rPr>
          <w:rFonts w:ascii="Palatino Linotype" w:eastAsiaTheme="minorHAnsi" w:hAnsi="Palatino Linotype" w:cstheme="minorBidi"/>
          <w:b/>
          <w:bCs/>
          <w:i/>
          <w:iCs/>
          <w:color w:val="222222"/>
        </w:rPr>
        <w:t>Clave Única de Registro de Población (CURP).</w:t>
      </w:r>
      <w:r w:rsidR="00D539B3">
        <w:rPr>
          <w:rFonts w:ascii="Palatino Linotype" w:eastAsiaTheme="minorHAnsi" w:hAnsi="Palatino Linotype" w:cstheme="minorBidi"/>
          <w:b/>
          <w:bCs/>
          <w:i/>
          <w:iCs/>
          <w:color w:val="222222"/>
        </w:rPr>
        <w:t xml:space="preserve"> </w:t>
      </w:r>
      <w:r w:rsidRPr="00892B52">
        <w:rPr>
          <w:rFonts w:ascii="Palatino Linotype" w:eastAsiaTheme="minorHAnsi" w:hAnsi="Palatino Linotype" w:cstheme="minorBidi"/>
          <w:i/>
          <w:iCs/>
          <w:color w:val="2222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892B52" w:rsidRPr="00892B52" w:rsidRDefault="00892B52" w:rsidP="00892B52">
      <w:pPr>
        <w:shd w:val="clear" w:color="auto" w:fill="FFFFFF"/>
        <w:spacing w:after="0" w:line="240" w:lineRule="auto"/>
        <w:ind w:left="567" w:right="567"/>
        <w:jc w:val="both"/>
        <w:rPr>
          <w:rFonts w:ascii="Palatino Linotype" w:eastAsiaTheme="minorHAnsi" w:hAnsi="Palatino Linotype" w:cstheme="minorBidi"/>
          <w:color w:val="222222"/>
        </w:rPr>
      </w:pPr>
      <w:r w:rsidRPr="00892B52">
        <w:rPr>
          <w:rFonts w:ascii="Palatino Linotype" w:eastAsiaTheme="minorHAnsi" w:hAnsi="Palatino Linotype" w:cstheme="minorBidi"/>
          <w:i/>
          <w:iCs/>
          <w:color w:val="222222"/>
        </w:rPr>
        <w:t>Resoluciones:</w:t>
      </w:r>
    </w:p>
    <w:p w:rsidR="00892B52" w:rsidRPr="00892B52" w:rsidRDefault="00892B52" w:rsidP="00892B52">
      <w:pPr>
        <w:shd w:val="clear" w:color="auto" w:fill="FFFFFF"/>
        <w:spacing w:after="0" w:line="240" w:lineRule="auto"/>
        <w:ind w:left="567" w:right="567"/>
        <w:jc w:val="both"/>
        <w:rPr>
          <w:rFonts w:ascii="Palatino Linotype" w:eastAsiaTheme="minorHAnsi" w:hAnsi="Palatino Linotype" w:cstheme="minorBidi"/>
          <w:color w:val="222222"/>
        </w:rPr>
      </w:pPr>
      <w:r w:rsidRPr="00892B52">
        <w:rPr>
          <w:rFonts w:ascii="Palatino Linotype" w:eastAsiaTheme="minorHAnsi" w:hAnsi="Palatino Linotype" w:cstheme="minorBidi"/>
          <w:i/>
          <w:iCs/>
          <w:color w:val="222222"/>
        </w:rPr>
        <w:t>• RRA 3995/16. Secretaría de la Defensa Nacional. 1 de febrero de 2017. Por unanimidad. Comisionado Ponente Rosendoevgueni Monterrey Chepov.</w:t>
      </w:r>
    </w:p>
    <w:p w:rsidR="00892B52" w:rsidRPr="00892B52" w:rsidRDefault="00892B52" w:rsidP="00892B52">
      <w:pPr>
        <w:shd w:val="clear" w:color="auto" w:fill="FFFFFF"/>
        <w:spacing w:after="0" w:line="240" w:lineRule="auto"/>
        <w:ind w:left="567" w:right="567"/>
        <w:jc w:val="both"/>
        <w:rPr>
          <w:rFonts w:ascii="Palatino Linotype" w:eastAsiaTheme="minorHAnsi" w:hAnsi="Palatino Linotype" w:cstheme="minorBidi"/>
          <w:color w:val="222222"/>
        </w:rPr>
      </w:pPr>
      <w:r w:rsidRPr="00892B52">
        <w:rPr>
          <w:rFonts w:ascii="Palatino Linotype" w:eastAsiaTheme="minorHAnsi" w:hAnsi="Palatino Linotype" w:cstheme="minorBidi"/>
          <w:i/>
          <w:iCs/>
          <w:color w:val="222222"/>
        </w:rPr>
        <w:t>• RRA 0937/17. Senado de la República. 15 de marzo de 2017. Por unanimidad. Comisionada Ponente Ximena Puente de la Mora.</w:t>
      </w:r>
    </w:p>
    <w:p w:rsidR="00892B52" w:rsidRPr="00892B52" w:rsidRDefault="00892B52" w:rsidP="00892B52">
      <w:pPr>
        <w:shd w:val="clear" w:color="auto" w:fill="FFFFFF"/>
        <w:spacing w:after="0" w:line="240" w:lineRule="auto"/>
        <w:ind w:left="567" w:right="567"/>
        <w:jc w:val="both"/>
        <w:rPr>
          <w:rFonts w:ascii="Palatino Linotype" w:eastAsiaTheme="minorHAnsi" w:hAnsi="Palatino Linotype" w:cstheme="minorBidi"/>
          <w:color w:val="222222"/>
        </w:rPr>
      </w:pPr>
      <w:r w:rsidRPr="00892B52">
        <w:rPr>
          <w:rFonts w:ascii="Palatino Linotype" w:eastAsiaTheme="minorHAnsi" w:hAnsi="Palatino Linotype" w:cstheme="minorBidi"/>
          <w:i/>
          <w:iCs/>
          <w:color w:val="222222"/>
        </w:rPr>
        <w:t>RRA 0478/17. Secretaría de Relaciones Exteriores. 26 de abril de 2017. Por unanimidad. Comisionada Ponente Areli Cano Guadiana.” (sic)</w:t>
      </w:r>
    </w:p>
    <w:p w:rsidR="00892B52" w:rsidRPr="00892B52" w:rsidRDefault="00892B52" w:rsidP="00892B52">
      <w:pPr>
        <w:tabs>
          <w:tab w:val="left" w:pos="7938"/>
        </w:tabs>
        <w:spacing w:after="0" w:line="360" w:lineRule="auto"/>
        <w:jc w:val="both"/>
        <w:rPr>
          <w:rFonts w:ascii="Palatino Linotype" w:eastAsia="Arial Unicode MS" w:hAnsi="Palatino Linotype" w:cs="Arial"/>
          <w:sz w:val="24"/>
          <w:lang w:eastAsia="en-US"/>
        </w:rPr>
      </w:pPr>
    </w:p>
    <w:p w:rsidR="00892B52" w:rsidRPr="00892B52" w:rsidRDefault="00892B52" w:rsidP="00892B52">
      <w:pPr>
        <w:tabs>
          <w:tab w:val="left" w:pos="7938"/>
        </w:tabs>
        <w:spacing w:after="0" w:line="360" w:lineRule="auto"/>
        <w:jc w:val="both"/>
        <w:rPr>
          <w:rFonts w:ascii="Palatino Linotype" w:eastAsia="Arial Unicode MS" w:hAnsi="Palatino Linotype" w:cs="Arial"/>
          <w:sz w:val="24"/>
          <w:lang w:eastAsia="en-US"/>
        </w:rPr>
      </w:pPr>
      <w:r w:rsidRPr="00892B52">
        <w:rPr>
          <w:rFonts w:ascii="Palatino Linotype" w:eastAsia="Arial Unicode MS" w:hAnsi="Palatino Linotype" w:cs="Arial"/>
          <w:sz w:val="24"/>
          <w:lang w:eastAsia="en-US"/>
        </w:rPr>
        <w:lastRenderedPageBreak/>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892B52" w:rsidRPr="00892B52" w:rsidRDefault="00892B52" w:rsidP="00892B52">
      <w:pPr>
        <w:tabs>
          <w:tab w:val="left" w:pos="7938"/>
        </w:tabs>
        <w:spacing w:after="0" w:line="360" w:lineRule="auto"/>
        <w:jc w:val="both"/>
        <w:rPr>
          <w:rFonts w:ascii="Palatino Linotype" w:eastAsia="Arial Unicode MS" w:hAnsi="Palatino Linotype" w:cs="Arial"/>
          <w:sz w:val="24"/>
          <w:lang w:eastAsia="en-US"/>
        </w:rPr>
      </w:pPr>
    </w:p>
    <w:p w:rsidR="00892B52" w:rsidRPr="00892B52" w:rsidRDefault="00892B52" w:rsidP="00892B52">
      <w:pPr>
        <w:shd w:val="clear" w:color="auto" w:fill="FFFFFF"/>
        <w:spacing w:after="0" w:line="240" w:lineRule="auto"/>
        <w:ind w:left="567" w:right="567"/>
        <w:jc w:val="both"/>
        <w:rPr>
          <w:rFonts w:ascii="Palatino Linotype" w:eastAsiaTheme="minorHAnsi" w:hAnsi="Palatino Linotype" w:cs="Arial"/>
          <w:color w:val="222222"/>
        </w:rPr>
      </w:pPr>
      <w:r w:rsidRPr="00892B52">
        <w:rPr>
          <w:rFonts w:ascii="Palatino Linotype" w:eastAsiaTheme="minorHAnsi" w:hAnsi="Palatino Linotype" w:cs="Arial"/>
          <w:b/>
          <w:bCs/>
          <w:i/>
          <w:iCs/>
          <w:color w:val="000000"/>
          <w:lang w:val="es-ES_tradnl"/>
        </w:rPr>
        <w:t>“FUNDAMENTACIÓN Y MOTIVACIÓN.</w:t>
      </w:r>
      <w:r w:rsidRPr="00892B52">
        <w:rPr>
          <w:rFonts w:ascii="Palatino Linotype" w:eastAsiaTheme="minorHAnsi" w:hAnsi="Palatino Linotype" w:cs="Arial"/>
          <w:i/>
          <w:iCs/>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892B52" w:rsidRPr="00892B52" w:rsidRDefault="00892B52" w:rsidP="00892B52">
      <w:pPr>
        <w:shd w:val="clear" w:color="auto" w:fill="FFFFFF"/>
        <w:spacing w:after="0" w:line="240" w:lineRule="auto"/>
        <w:ind w:left="567" w:right="567"/>
        <w:jc w:val="both"/>
        <w:rPr>
          <w:rFonts w:ascii="Palatino Linotype" w:eastAsiaTheme="minorHAnsi" w:hAnsi="Palatino Linotype" w:cs="Arial"/>
          <w:color w:val="222222"/>
        </w:rPr>
      </w:pPr>
      <w:r w:rsidRPr="00892B52">
        <w:rPr>
          <w:rFonts w:ascii="Palatino Linotype" w:eastAsiaTheme="minorHAnsi" w:hAnsi="Palatino Linotype" w:cs="Arial"/>
          <w:i/>
          <w:iCs/>
          <w:color w:val="000000"/>
          <w:lang w:val="es-ES_tradnl"/>
        </w:rPr>
        <w:t>SEGUNDO TRIBUNAL COLEGIADO DEL SEXTO CIRCUITO.</w:t>
      </w:r>
    </w:p>
    <w:p w:rsidR="00892B52" w:rsidRPr="00892B52" w:rsidRDefault="00892B52" w:rsidP="00892B52">
      <w:pPr>
        <w:shd w:val="clear" w:color="auto" w:fill="FFFFFF"/>
        <w:spacing w:after="0" w:line="240" w:lineRule="auto"/>
        <w:ind w:left="567" w:right="567"/>
        <w:jc w:val="both"/>
        <w:rPr>
          <w:rFonts w:ascii="Palatino Linotype" w:eastAsiaTheme="minorHAnsi" w:hAnsi="Palatino Linotype" w:cs="Arial"/>
          <w:color w:val="222222"/>
        </w:rPr>
      </w:pPr>
      <w:r w:rsidRPr="00892B52">
        <w:rPr>
          <w:rFonts w:ascii="Palatino Linotype" w:eastAsiaTheme="minorHAnsi" w:hAnsi="Palatino Linotype" w:cs="Arial"/>
          <w:i/>
          <w:iCs/>
          <w:color w:val="000000"/>
          <w:lang w:val="es-ES_tradnl"/>
        </w:rPr>
        <w:t>Amparo directo 194/88. Bufete Industrial Construcciones, S.A. de C.V. 28 de junio de 1988. Unanimidad de votos. Ponente: Gustavo Calvillo Rangel. Secretario: Jorge Alberto González Álvarez.</w:t>
      </w:r>
    </w:p>
    <w:p w:rsidR="00892B52" w:rsidRPr="00892B52" w:rsidRDefault="00892B52" w:rsidP="00892B52">
      <w:pPr>
        <w:shd w:val="clear" w:color="auto" w:fill="FFFFFF"/>
        <w:spacing w:after="0" w:line="240" w:lineRule="auto"/>
        <w:ind w:left="567" w:right="567"/>
        <w:jc w:val="both"/>
        <w:rPr>
          <w:rFonts w:ascii="Palatino Linotype" w:eastAsiaTheme="minorHAnsi" w:hAnsi="Palatino Linotype" w:cs="Arial"/>
          <w:color w:val="222222"/>
        </w:rPr>
      </w:pPr>
      <w:r w:rsidRPr="00892B52">
        <w:rPr>
          <w:rFonts w:ascii="Palatino Linotype" w:eastAsiaTheme="minorHAnsi" w:hAnsi="Palatino Linotype" w:cs="Arial"/>
          <w:i/>
          <w:iCs/>
          <w:color w:val="000000"/>
          <w:lang w:val="es-ES_tradnl"/>
        </w:rPr>
        <w:t>Revisión fiscal 103/88. Instituto Mexicano del Seguro Social. 18 de octubre de 1988. Unanimidad de votos. Ponente: Arnoldo Nájera Virgen. Secretario: Alejandro Esponda Rincón.</w:t>
      </w:r>
    </w:p>
    <w:p w:rsidR="00892B52" w:rsidRPr="00892B52" w:rsidRDefault="00892B52" w:rsidP="00892B52">
      <w:pPr>
        <w:shd w:val="clear" w:color="auto" w:fill="FFFFFF"/>
        <w:spacing w:after="0" w:line="240" w:lineRule="auto"/>
        <w:ind w:left="567" w:right="567"/>
        <w:jc w:val="both"/>
        <w:rPr>
          <w:rFonts w:ascii="Palatino Linotype" w:eastAsiaTheme="minorHAnsi" w:hAnsi="Palatino Linotype" w:cs="Arial"/>
          <w:color w:val="222222"/>
        </w:rPr>
      </w:pPr>
      <w:r w:rsidRPr="00892B52">
        <w:rPr>
          <w:rFonts w:ascii="Palatino Linotype" w:eastAsiaTheme="minorHAnsi" w:hAnsi="Palatino Linotype" w:cs="Arial"/>
          <w:i/>
          <w:iCs/>
          <w:color w:val="000000"/>
          <w:lang w:val="es-ES_tradnl"/>
        </w:rPr>
        <w:t>Amparo en revisión 333/88. Adilia Romero. 26 de octubre de 1988. Unanimidad de votos. Ponente: Arnoldo Nájera Virgen. Secretario: Enrique Crispín Campos Ramírez.</w:t>
      </w:r>
    </w:p>
    <w:p w:rsidR="00892B52" w:rsidRPr="00892B52" w:rsidRDefault="00892B52" w:rsidP="00892B52">
      <w:pPr>
        <w:shd w:val="clear" w:color="auto" w:fill="FFFFFF"/>
        <w:spacing w:after="0" w:line="240" w:lineRule="auto"/>
        <w:ind w:left="567" w:right="567"/>
        <w:jc w:val="both"/>
        <w:rPr>
          <w:rFonts w:ascii="Palatino Linotype" w:eastAsiaTheme="minorHAnsi" w:hAnsi="Palatino Linotype" w:cs="Arial"/>
          <w:color w:val="222222"/>
        </w:rPr>
      </w:pPr>
      <w:r w:rsidRPr="00892B52">
        <w:rPr>
          <w:rFonts w:ascii="Palatino Linotype" w:eastAsiaTheme="minorHAnsi" w:hAnsi="Palatino Linotype" w:cs="Arial"/>
          <w:i/>
          <w:iCs/>
          <w:color w:val="000000"/>
          <w:lang w:val="es-ES_tradnl"/>
        </w:rPr>
        <w:t>Amparo en revisión 597/95. Emilio Maurer Bretón. 15 de noviembre de 1995. Unanimidad de votos. Ponente: Clementina Ramírez Moguel Goyzueta. Secretario: Gonzalo Carrera Molina.</w:t>
      </w:r>
    </w:p>
    <w:p w:rsidR="00892B52" w:rsidRPr="00892B52" w:rsidRDefault="00892B52" w:rsidP="00892B52">
      <w:pPr>
        <w:shd w:val="clear" w:color="auto" w:fill="FFFFFF"/>
        <w:spacing w:after="0" w:line="240" w:lineRule="auto"/>
        <w:ind w:left="567" w:right="567"/>
        <w:jc w:val="both"/>
        <w:rPr>
          <w:rFonts w:ascii="Palatino Linotype" w:eastAsiaTheme="minorHAnsi" w:hAnsi="Palatino Linotype" w:cs="Arial"/>
          <w:color w:val="222222"/>
        </w:rPr>
      </w:pPr>
      <w:r w:rsidRPr="00892B52">
        <w:rPr>
          <w:rFonts w:ascii="Palatino Linotype" w:eastAsiaTheme="minorHAnsi" w:hAnsi="Palatino Linotype" w:cs="Arial"/>
          <w:i/>
          <w:iCs/>
          <w:color w:val="000000"/>
          <w:lang w:val="es-ES_tradnl"/>
        </w:rPr>
        <w:t>Amparo directo 7/96. Pedro Vicente López Miro. 21 de febrero de 1996. Unanimidad de votos. Ponente: María Eugenia Estela Martínez Cardiel. Secretario: Enrique Baigts Muñoz.” (sic)</w:t>
      </w:r>
    </w:p>
    <w:p w:rsidR="00892B52" w:rsidRPr="00892B52" w:rsidRDefault="00892B52" w:rsidP="00892B52">
      <w:pPr>
        <w:tabs>
          <w:tab w:val="left" w:pos="7938"/>
        </w:tabs>
        <w:spacing w:after="0" w:line="360" w:lineRule="auto"/>
        <w:jc w:val="both"/>
        <w:rPr>
          <w:rFonts w:ascii="Palatino Linotype" w:eastAsia="Arial Unicode MS" w:hAnsi="Palatino Linotype" w:cs="Arial"/>
          <w:sz w:val="24"/>
          <w:lang w:eastAsia="en-US"/>
        </w:rPr>
      </w:pPr>
    </w:p>
    <w:p w:rsidR="00892B52" w:rsidRPr="00892B52" w:rsidRDefault="00892B52" w:rsidP="00892B52">
      <w:pPr>
        <w:tabs>
          <w:tab w:val="left" w:pos="7938"/>
        </w:tabs>
        <w:spacing w:after="0" w:line="360" w:lineRule="auto"/>
        <w:jc w:val="both"/>
        <w:rPr>
          <w:rFonts w:ascii="Palatino Linotype" w:eastAsia="Arial Unicode MS" w:hAnsi="Palatino Linotype" w:cs="Arial"/>
          <w:sz w:val="24"/>
          <w:lang w:eastAsia="en-US"/>
        </w:rPr>
      </w:pPr>
      <w:r w:rsidRPr="00892B52">
        <w:rPr>
          <w:rFonts w:ascii="Palatino Linotype" w:eastAsia="Arial Unicode MS" w:hAnsi="Palatino Linotype" w:cs="Arial"/>
          <w:sz w:val="24"/>
          <w:lang w:eastAsia="en-U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892B52" w:rsidRPr="00892B52" w:rsidRDefault="00892B52" w:rsidP="00892B52">
      <w:pPr>
        <w:tabs>
          <w:tab w:val="left" w:pos="7938"/>
        </w:tabs>
        <w:spacing w:after="0" w:line="360" w:lineRule="auto"/>
        <w:jc w:val="both"/>
        <w:rPr>
          <w:rFonts w:ascii="Palatino Linotype" w:eastAsia="Arial Unicode MS" w:hAnsi="Palatino Linotype" w:cs="Arial"/>
          <w:sz w:val="24"/>
          <w:lang w:eastAsia="en-US"/>
        </w:rPr>
      </w:pPr>
      <w:r w:rsidRPr="00892B52">
        <w:rPr>
          <w:rFonts w:ascii="Palatino Linotype" w:eastAsia="Arial Unicode MS" w:hAnsi="Palatino Linotype" w:cs="Arial"/>
          <w:sz w:val="24"/>
          <w:lang w:eastAsia="en-US"/>
        </w:rPr>
        <w:lastRenderedPageBreak/>
        <w:t>En consecuencia, la fundamentación y motivación implica que, en el acto de autoridad, además de contenerse los supuestos jurídicos aplicables se expliquen claramente por qué a través de la utilización de la norma se emitió el acto.</w:t>
      </w:r>
    </w:p>
    <w:p w:rsidR="00892B52" w:rsidRPr="00892B52" w:rsidRDefault="00892B52" w:rsidP="00892B52">
      <w:pPr>
        <w:tabs>
          <w:tab w:val="left" w:pos="7938"/>
        </w:tabs>
        <w:spacing w:after="0" w:line="360" w:lineRule="auto"/>
        <w:jc w:val="both"/>
        <w:rPr>
          <w:rFonts w:ascii="Palatino Linotype" w:eastAsia="Arial Unicode MS" w:hAnsi="Palatino Linotype" w:cs="Arial"/>
          <w:sz w:val="24"/>
          <w:lang w:eastAsia="en-US"/>
        </w:rPr>
      </w:pPr>
      <w:r w:rsidRPr="00892B52">
        <w:rPr>
          <w:rFonts w:ascii="Palatino Linotype" w:eastAsia="Arial Unicode MS" w:hAnsi="Palatino Linotype" w:cs="Arial"/>
          <w:sz w:val="24"/>
          <w:lang w:eastAsia="en-US"/>
        </w:rPr>
        <w:t> </w:t>
      </w:r>
    </w:p>
    <w:p w:rsidR="00892B52" w:rsidRPr="00892B52" w:rsidRDefault="00892B52" w:rsidP="00892B52">
      <w:pPr>
        <w:tabs>
          <w:tab w:val="left" w:pos="7938"/>
        </w:tabs>
        <w:spacing w:after="0" w:line="360" w:lineRule="auto"/>
        <w:jc w:val="both"/>
        <w:rPr>
          <w:rFonts w:ascii="Palatino Linotype" w:eastAsia="Arial Unicode MS" w:hAnsi="Palatino Linotype" w:cs="Arial"/>
          <w:sz w:val="24"/>
          <w:lang w:eastAsia="en-US"/>
        </w:rPr>
      </w:pPr>
      <w:r w:rsidRPr="00892B52">
        <w:rPr>
          <w:rFonts w:ascii="Palatino Linotype" w:eastAsia="Arial Unicode MS" w:hAnsi="Palatino Linotype" w:cs="Arial"/>
          <w:sz w:val="24"/>
          <w:lang w:eastAsia="en-US"/>
        </w:rPr>
        <w:t>En este sentido, el numeral trigésimo tercero fracción V de los Lineamientos Generales, precisa que para motivar la clasificación se deben acreditar las circunstancias de tiempo, modo y lugar.</w:t>
      </w:r>
    </w:p>
    <w:p w:rsidR="00AB0C24" w:rsidRDefault="00AB0C24" w:rsidP="00AB0C24">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AB0C24" w:rsidRPr="00BA0D9C" w:rsidRDefault="00AB0C24" w:rsidP="00AB0C24">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A0D9C">
        <w:rPr>
          <w:rFonts w:ascii="Palatino Linotype" w:eastAsia="Times New Roman" w:hAnsi="Palatino Linotype" w:cs="Times New Roman"/>
          <w:sz w:val="24"/>
          <w:szCs w:val="24"/>
          <w:lang w:val="es-ES" w:eastAsia="es-ES"/>
        </w:rPr>
        <w:t>Atento a lo anterior, se califica</w:t>
      </w:r>
      <w:r w:rsidR="00D539B3">
        <w:rPr>
          <w:rFonts w:ascii="Palatino Linotype" w:eastAsia="Times New Roman" w:hAnsi="Palatino Linotype" w:cs="Times New Roman"/>
          <w:sz w:val="24"/>
          <w:szCs w:val="24"/>
          <w:lang w:val="es-ES" w:eastAsia="es-ES"/>
        </w:rPr>
        <w:t>n</w:t>
      </w:r>
      <w:r w:rsidRPr="00BA0D9C">
        <w:rPr>
          <w:rFonts w:ascii="Palatino Linotype" w:eastAsia="Times New Roman" w:hAnsi="Palatino Linotype" w:cs="Times New Roman"/>
          <w:sz w:val="24"/>
          <w:szCs w:val="24"/>
          <w:lang w:val="es-ES" w:eastAsia="es-ES"/>
        </w:rPr>
        <w:t xml:space="preserve"> de fundadas las razones o motivos de inconformidad expuestas por el hoy </w:t>
      </w:r>
      <w:r w:rsidRPr="00BA0D9C">
        <w:rPr>
          <w:rFonts w:ascii="Palatino Linotype" w:eastAsia="Times New Roman" w:hAnsi="Palatino Linotype" w:cs="Times New Roman"/>
          <w:b/>
          <w:sz w:val="24"/>
          <w:szCs w:val="24"/>
          <w:lang w:val="es-ES" w:eastAsia="es-ES"/>
        </w:rPr>
        <w:t>Recurrente</w:t>
      </w:r>
      <w:r w:rsidRPr="00BA0D9C">
        <w:rPr>
          <w:rFonts w:ascii="Palatino Linotype" w:eastAsia="Times New Roman" w:hAnsi="Palatino Linotype" w:cs="Times New Roman"/>
          <w:sz w:val="24"/>
          <w:szCs w:val="24"/>
          <w:lang w:val="es-ES" w:eastAsia="es-ES"/>
        </w:rPr>
        <w:t xml:space="preserve">; por lo que, resulta procedente de conformidad con el artículo 186 fracción III de la Ley de Transparencia y Acceso a la Información Pública del Estado de México y Municipios, </w:t>
      </w:r>
      <w:r w:rsidRPr="00BA0D9C">
        <w:rPr>
          <w:rFonts w:ascii="Palatino Linotype" w:eastAsia="Times New Roman" w:hAnsi="Palatino Linotype" w:cs="Times New Roman"/>
          <w:b/>
          <w:sz w:val="24"/>
          <w:szCs w:val="24"/>
          <w:lang w:val="es-ES" w:eastAsia="es-ES"/>
        </w:rPr>
        <w:t>MODIFICAR</w:t>
      </w:r>
      <w:r w:rsidRPr="00BA0D9C">
        <w:rPr>
          <w:rFonts w:ascii="Palatino Linotype" w:eastAsia="Times New Roman" w:hAnsi="Palatino Linotype" w:cs="Times New Roman"/>
          <w:sz w:val="24"/>
          <w:szCs w:val="24"/>
          <w:lang w:val="es-ES" w:eastAsia="es-ES"/>
        </w:rPr>
        <w:t xml:space="preserve"> la respuesta proporcionada por el </w:t>
      </w:r>
      <w:r w:rsidRPr="00BA0D9C">
        <w:rPr>
          <w:rFonts w:ascii="Palatino Linotype" w:eastAsia="Times New Roman" w:hAnsi="Palatino Linotype" w:cs="Times New Roman"/>
          <w:b/>
          <w:sz w:val="24"/>
          <w:szCs w:val="24"/>
          <w:lang w:val="es-ES" w:eastAsia="es-ES"/>
        </w:rPr>
        <w:t>Sujeto Obligado</w:t>
      </w:r>
      <w:r w:rsidRPr="00BA0D9C">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ES"/>
        </w:rPr>
        <w:t xml:space="preserve">a la solicitud de información </w:t>
      </w:r>
      <w:r w:rsidRPr="00AB0C24">
        <w:rPr>
          <w:rFonts w:ascii="Palatino Linotype" w:eastAsia="Times New Roman" w:hAnsi="Palatino Linotype" w:cs="Times New Roman"/>
          <w:b/>
          <w:sz w:val="24"/>
          <w:szCs w:val="24"/>
          <w:lang w:val="es-ES" w:eastAsia="es-ES"/>
        </w:rPr>
        <w:t>02387/TOLUCA/IP/2022</w:t>
      </w:r>
      <w:r>
        <w:rPr>
          <w:rFonts w:ascii="Palatino Linotype" w:eastAsia="Times New Roman" w:hAnsi="Palatino Linotype" w:cs="Times New Roman"/>
          <w:sz w:val="24"/>
          <w:szCs w:val="24"/>
          <w:lang w:val="es-ES" w:eastAsia="es-ES"/>
        </w:rPr>
        <w:t xml:space="preserve"> </w:t>
      </w:r>
      <w:r w:rsidRPr="00BA0D9C">
        <w:rPr>
          <w:rFonts w:ascii="Palatino Linotype" w:eastAsia="Times New Roman" w:hAnsi="Palatino Linotype" w:cs="Times New Roman"/>
          <w:sz w:val="24"/>
          <w:szCs w:val="24"/>
          <w:lang w:val="es-ES" w:eastAsia="es-ES"/>
        </w:rPr>
        <w:t>y se le ordena haga entrega del Acuerdo de Incompetencia que ha quedado precisado.</w:t>
      </w:r>
    </w:p>
    <w:p w:rsidR="00AB0C24" w:rsidRPr="00BA0D9C" w:rsidRDefault="00AB0C24" w:rsidP="00AB0C24">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AB0C24" w:rsidRPr="00BA0D9C" w:rsidRDefault="00AB0C24" w:rsidP="00AB0C24">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A0D9C">
        <w:rPr>
          <w:rFonts w:ascii="Palatino Linotype" w:eastAsia="Times New Roman" w:hAnsi="Palatino Linotype" w:cs="Times New Roman"/>
          <w:sz w:val="24"/>
          <w:szCs w:val="24"/>
          <w:lang w:val="es-ES" w:eastAsia="es-ES"/>
        </w:rPr>
        <w:t>Así, con fundamento en lo prescrito en los artículos 5, párrafo trigésimo, trigésimo primero, trigésimo segundo, fracciones IV y V, de la Constitución Política del Estado Libre y Soberano de México, y los artículos 2, fracción II, 9, 29, 36, fracciones I y II, 176, 178, 179, 181, 185, fracción I, 186, 188 y 192, fracción III de la Ley de Transparencia y Acceso a la Información Pública del Estado de México y Municipios, este Pleno:</w:t>
      </w:r>
    </w:p>
    <w:p w:rsidR="00AB0C24" w:rsidRDefault="00AB0C24" w:rsidP="00AB0C24">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4C4503" w:rsidRDefault="004C4503" w:rsidP="00AB0C24">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4C4503" w:rsidRPr="00BA0D9C" w:rsidRDefault="004C4503" w:rsidP="00AB0C24">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AB0C24" w:rsidRPr="00BA0D9C" w:rsidRDefault="00AB0C24" w:rsidP="00AB0C24">
      <w:pPr>
        <w:autoSpaceDE w:val="0"/>
        <w:autoSpaceDN w:val="0"/>
        <w:adjustRightInd w:val="0"/>
        <w:spacing w:after="0" w:line="360" w:lineRule="auto"/>
        <w:jc w:val="center"/>
        <w:rPr>
          <w:rFonts w:ascii="Palatino Linotype" w:eastAsia="Times New Roman" w:hAnsi="Palatino Linotype" w:cs="Times New Roman"/>
          <w:b/>
          <w:sz w:val="28"/>
          <w:szCs w:val="24"/>
          <w:lang w:val="es-ES" w:eastAsia="es-ES"/>
        </w:rPr>
      </w:pPr>
      <w:r w:rsidRPr="00BA0D9C">
        <w:rPr>
          <w:rFonts w:ascii="Palatino Linotype" w:eastAsia="Times New Roman" w:hAnsi="Palatino Linotype" w:cs="Times New Roman"/>
          <w:b/>
          <w:sz w:val="28"/>
          <w:szCs w:val="24"/>
          <w:lang w:val="es-ES" w:eastAsia="es-ES"/>
        </w:rPr>
        <w:lastRenderedPageBreak/>
        <w:t>R E S U E L V E</w:t>
      </w:r>
    </w:p>
    <w:p w:rsidR="00AB0C24" w:rsidRPr="00BA0D9C" w:rsidRDefault="00AB0C24" w:rsidP="00AB0C24">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AB0C24" w:rsidRPr="00BA0D9C" w:rsidRDefault="00AB0C24" w:rsidP="00AB0C24">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A0D9C">
        <w:rPr>
          <w:rFonts w:ascii="Palatino Linotype" w:eastAsia="Times New Roman" w:hAnsi="Palatino Linotype" w:cs="Times New Roman"/>
          <w:b/>
          <w:sz w:val="28"/>
          <w:szCs w:val="24"/>
          <w:lang w:val="es-ES" w:eastAsia="es-ES"/>
        </w:rPr>
        <w:t>PRIMERO</w:t>
      </w:r>
      <w:r w:rsidRPr="00BA0D9C">
        <w:rPr>
          <w:rFonts w:ascii="Palatino Linotype" w:eastAsia="Times New Roman" w:hAnsi="Palatino Linotype" w:cs="Times New Roman"/>
          <w:sz w:val="24"/>
          <w:szCs w:val="24"/>
          <w:lang w:val="es-ES" w:eastAsia="es-ES"/>
        </w:rPr>
        <w:t xml:space="preserve">. Resultan fundadas las razones o motivos de inconformidad hechas valer por el </w:t>
      </w:r>
      <w:r w:rsidRPr="00BA0D9C">
        <w:rPr>
          <w:rFonts w:ascii="Palatino Linotype" w:eastAsia="Times New Roman" w:hAnsi="Palatino Linotype" w:cs="Times New Roman"/>
          <w:b/>
          <w:sz w:val="24"/>
          <w:szCs w:val="24"/>
          <w:lang w:val="es-ES" w:eastAsia="es-ES"/>
        </w:rPr>
        <w:t>Recurrente</w:t>
      </w:r>
      <w:r w:rsidRPr="00BA0D9C">
        <w:rPr>
          <w:rFonts w:ascii="Palatino Linotype" w:eastAsia="Times New Roman" w:hAnsi="Palatino Linotype" w:cs="Times New Roman"/>
          <w:sz w:val="24"/>
          <w:szCs w:val="24"/>
          <w:lang w:val="es-ES" w:eastAsia="es-ES"/>
        </w:rPr>
        <w:t>, en términos del Considerando CUARTO de la presente resolución.</w:t>
      </w:r>
    </w:p>
    <w:p w:rsidR="00AB0C24" w:rsidRPr="00BA0D9C" w:rsidRDefault="00AB0C24" w:rsidP="00AB0C24">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AB0C24" w:rsidRPr="00BA0D9C" w:rsidRDefault="00AB0C24" w:rsidP="00AB0C24">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A0D9C">
        <w:rPr>
          <w:rFonts w:ascii="Palatino Linotype" w:eastAsia="Times New Roman" w:hAnsi="Palatino Linotype" w:cs="Times New Roman"/>
          <w:b/>
          <w:sz w:val="28"/>
          <w:szCs w:val="24"/>
          <w:lang w:val="es-ES" w:eastAsia="es-ES"/>
        </w:rPr>
        <w:t>SEGUNDO</w:t>
      </w:r>
      <w:r w:rsidRPr="00BA0D9C">
        <w:rPr>
          <w:rFonts w:ascii="Palatino Linotype" w:eastAsia="Times New Roman" w:hAnsi="Palatino Linotype" w:cs="Times New Roman"/>
          <w:sz w:val="24"/>
          <w:szCs w:val="24"/>
          <w:lang w:val="es-ES" w:eastAsia="es-ES"/>
        </w:rPr>
        <w:t xml:space="preserve">. Se </w:t>
      </w:r>
      <w:r w:rsidRPr="00BA0D9C">
        <w:rPr>
          <w:rFonts w:ascii="Palatino Linotype" w:eastAsia="Times New Roman" w:hAnsi="Palatino Linotype" w:cs="Times New Roman"/>
          <w:b/>
          <w:sz w:val="24"/>
          <w:szCs w:val="24"/>
          <w:lang w:val="es-ES" w:eastAsia="es-ES"/>
        </w:rPr>
        <w:t>MODIFICA</w:t>
      </w:r>
      <w:r w:rsidRPr="00BA0D9C">
        <w:rPr>
          <w:rFonts w:ascii="Palatino Linotype" w:eastAsia="Times New Roman" w:hAnsi="Palatino Linotype" w:cs="Times New Roman"/>
          <w:sz w:val="24"/>
          <w:szCs w:val="24"/>
          <w:lang w:val="es-ES" w:eastAsia="es-ES"/>
        </w:rPr>
        <w:t xml:space="preserve"> la respuesta</w:t>
      </w:r>
      <w:r>
        <w:rPr>
          <w:rFonts w:ascii="Palatino Linotype" w:eastAsia="Times New Roman" w:hAnsi="Palatino Linotype" w:cs="Times New Roman"/>
          <w:sz w:val="24"/>
          <w:szCs w:val="24"/>
          <w:lang w:val="es-ES" w:eastAsia="es-ES"/>
        </w:rPr>
        <w:t xml:space="preserve"> </w:t>
      </w:r>
      <w:r w:rsidRPr="00AB0C24">
        <w:rPr>
          <w:rFonts w:ascii="Palatino Linotype" w:eastAsia="Times New Roman" w:hAnsi="Palatino Linotype" w:cs="Times New Roman"/>
          <w:sz w:val="24"/>
          <w:szCs w:val="24"/>
          <w:lang w:val="es-ES" w:eastAsia="es-ES"/>
        </w:rPr>
        <w:t>02387/TOLUCA/IP/2022</w:t>
      </w:r>
      <w:r w:rsidRPr="00BA0D9C">
        <w:rPr>
          <w:rFonts w:ascii="Palatino Linotype" w:eastAsia="Times New Roman" w:hAnsi="Palatino Linotype" w:cs="Times New Roman"/>
          <w:sz w:val="24"/>
          <w:szCs w:val="24"/>
          <w:lang w:val="es-ES" w:eastAsia="es-ES"/>
        </w:rPr>
        <w:t xml:space="preserve"> del </w:t>
      </w:r>
      <w:r w:rsidRPr="00BA0D9C">
        <w:rPr>
          <w:rFonts w:ascii="Palatino Linotype" w:eastAsia="Times New Roman" w:hAnsi="Palatino Linotype" w:cs="Times New Roman"/>
          <w:b/>
          <w:sz w:val="24"/>
          <w:szCs w:val="24"/>
          <w:lang w:val="es-ES" w:eastAsia="es-ES"/>
        </w:rPr>
        <w:t>Sujeto Obligado</w:t>
      </w:r>
      <w:r w:rsidRPr="00BA0D9C">
        <w:rPr>
          <w:rFonts w:ascii="Palatino Linotype" w:eastAsia="Times New Roman" w:hAnsi="Palatino Linotype" w:cs="Times New Roman"/>
          <w:sz w:val="24"/>
          <w:szCs w:val="24"/>
          <w:lang w:val="es-ES" w:eastAsia="es-ES"/>
        </w:rPr>
        <w:t xml:space="preserve"> y se ordena, en términos del Considerando CUARTO de la presente resolución haga entrega al </w:t>
      </w:r>
      <w:r w:rsidRPr="00BA0D9C">
        <w:rPr>
          <w:rFonts w:ascii="Palatino Linotype" w:eastAsia="Times New Roman" w:hAnsi="Palatino Linotype" w:cs="Times New Roman"/>
          <w:b/>
          <w:sz w:val="24"/>
          <w:szCs w:val="24"/>
          <w:lang w:val="es-ES" w:eastAsia="es-ES"/>
        </w:rPr>
        <w:t>Recurrente</w:t>
      </w:r>
      <w:r w:rsidR="004C4503">
        <w:rPr>
          <w:rFonts w:ascii="Palatino Linotype" w:eastAsia="Times New Roman" w:hAnsi="Palatino Linotype" w:cs="Times New Roman"/>
          <w:sz w:val="24"/>
          <w:szCs w:val="24"/>
          <w:lang w:val="es-ES" w:eastAsia="es-ES"/>
        </w:rPr>
        <w:t>, vía SAIMEX, en su caso en versión pública, del soporte documental generado en el periodo del</w:t>
      </w:r>
      <w:r w:rsidR="004C4503" w:rsidRPr="004C4503">
        <w:rPr>
          <w:rFonts w:ascii="Palatino Linotype" w:eastAsia="Times New Roman" w:hAnsi="Palatino Linotype" w:cs="Times New Roman"/>
          <w:sz w:val="24"/>
          <w:szCs w:val="24"/>
          <w:lang w:val="es-ES" w:eastAsia="es-ES"/>
        </w:rPr>
        <w:t xml:space="preserve"> 08 (ocho) de noviembre de 2021 (dos mil veintiuno) al 08 (ocho) de noviembre de 2022 (dos mil veintidós)</w:t>
      </w:r>
      <w:r w:rsidR="004C4503">
        <w:rPr>
          <w:rFonts w:ascii="Palatino Linotype" w:eastAsia="Times New Roman" w:hAnsi="Palatino Linotype" w:cs="Times New Roman"/>
          <w:sz w:val="24"/>
          <w:szCs w:val="24"/>
          <w:lang w:val="es-ES" w:eastAsia="es-ES"/>
        </w:rPr>
        <w:t xml:space="preserve">, en que obre al mayor grado de desagregación </w:t>
      </w:r>
      <w:r w:rsidRPr="00BA0D9C">
        <w:rPr>
          <w:rFonts w:ascii="Palatino Linotype" w:eastAsia="Times New Roman" w:hAnsi="Palatino Linotype" w:cs="Times New Roman"/>
          <w:sz w:val="24"/>
          <w:szCs w:val="24"/>
          <w:lang w:val="es-ES" w:eastAsia="es-ES"/>
        </w:rPr>
        <w:t>lo siguiente:</w:t>
      </w:r>
    </w:p>
    <w:p w:rsidR="00AB0C24" w:rsidRPr="00BA0D9C" w:rsidRDefault="00AB0C24" w:rsidP="00AB0C24">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4C4503" w:rsidRPr="002A1FA5" w:rsidRDefault="004C4503" w:rsidP="004C4503">
      <w:pPr>
        <w:pStyle w:val="Prrafodelista"/>
        <w:numPr>
          <w:ilvl w:val="0"/>
          <w:numId w:val="9"/>
        </w:numPr>
        <w:spacing w:line="360" w:lineRule="auto"/>
        <w:jc w:val="both"/>
        <w:rPr>
          <w:rFonts w:ascii="Palatino Linotype" w:hAnsi="Palatino Linotype" w:cs="Arial"/>
        </w:rPr>
      </w:pPr>
      <w:r>
        <w:rPr>
          <w:rFonts w:ascii="Palatino Linotype" w:hAnsi="Palatino Linotype" w:cs="Arial"/>
        </w:rPr>
        <w:t>L</w:t>
      </w:r>
      <w:r w:rsidRPr="002A1FA5">
        <w:rPr>
          <w:rFonts w:ascii="Palatino Linotype" w:hAnsi="Palatino Linotype" w:cs="Arial"/>
        </w:rPr>
        <w:t>os acuerdos, contratos, convenios, estudios técnicos y dictámenes de factibilidad de las obras correspondientes a las ciclovías programadas;</w:t>
      </w:r>
    </w:p>
    <w:p w:rsidR="004C4503" w:rsidRPr="002A1FA5" w:rsidRDefault="004C4503" w:rsidP="004C4503">
      <w:pPr>
        <w:pStyle w:val="Prrafodelista"/>
        <w:numPr>
          <w:ilvl w:val="0"/>
          <w:numId w:val="9"/>
        </w:numPr>
        <w:spacing w:line="360" w:lineRule="auto"/>
        <w:jc w:val="both"/>
        <w:rPr>
          <w:rFonts w:ascii="Palatino Linotype" w:hAnsi="Palatino Linotype" w:cs="Arial"/>
        </w:rPr>
      </w:pPr>
      <w:r w:rsidRPr="002A1FA5">
        <w:rPr>
          <w:rFonts w:ascii="Palatino Linotype" w:hAnsi="Palatino Linotype" w:cs="Arial"/>
        </w:rPr>
        <w:t>Información y soporte documental del estado actual que guardan las obras correspondientes a las ciclovías;</w:t>
      </w:r>
    </w:p>
    <w:p w:rsidR="004C4503" w:rsidRPr="002A1FA5" w:rsidRDefault="004C4503" w:rsidP="004C4503">
      <w:pPr>
        <w:pStyle w:val="Prrafodelista"/>
        <w:numPr>
          <w:ilvl w:val="0"/>
          <w:numId w:val="9"/>
        </w:numPr>
        <w:spacing w:line="360" w:lineRule="auto"/>
        <w:jc w:val="both"/>
        <w:rPr>
          <w:rFonts w:ascii="Palatino Linotype" w:hAnsi="Palatino Linotype" w:cs="Arial"/>
        </w:rPr>
      </w:pPr>
      <w:r>
        <w:rPr>
          <w:rFonts w:ascii="Palatino Linotype" w:hAnsi="Palatino Linotype" w:cs="Arial"/>
        </w:rPr>
        <w:t>Motivos</w:t>
      </w:r>
      <w:r w:rsidRPr="002A1FA5">
        <w:rPr>
          <w:rFonts w:ascii="Palatino Linotype" w:hAnsi="Palatino Linotype" w:cs="Arial"/>
        </w:rPr>
        <w:t xml:space="preserve"> por los que estas obras han sido suspendidas, en las que se incluya el porcentaje de la población a favor y en contra de la ciclovías y específicamente en la Avenida Isidro Fabela en el municipio de Toluca, </w:t>
      </w:r>
    </w:p>
    <w:p w:rsidR="004C4503" w:rsidRPr="002A1FA5" w:rsidRDefault="004C4503" w:rsidP="004C4503">
      <w:pPr>
        <w:pStyle w:val="Prrafodelista"/>
        <w:numPr>
          <w:ilvl w:val="0"/>
          <w:numId w:val="9"/>
        </w:numPr>
        <w:spacing w:line="360" w:lineRule="auto"/>
        <w:jc w:val="both"/>
        <w:rPr>
          <w:rFonts w:ascii="Palatino Linotype" w:hAnsi="Palatino Linotype" w:cs="Arial"/>
        </w:rPr>
      </w:pPr>
      <w:r>
        <w:rPr>
          <w:rFonts w:ascii="Palatino Linotype" w:hAnsi="Palatino Linotype" w:cs="Arial"/>
        </w:rPr>
        <w:t>E</w:t>
      </w:r>
      <w:r w:rsidRPr="002A1FA5">
        <w:rPr>
          <w:rFonts w:ascii="Palatino Linotype" w:hAnsi="Palatino Linotype" w:cs="Arial"/>
        </w:rPr>
        <w:t>l número de beneficiarios proyectados con estas obras.</w:t>
      </w:r>
    </w:p>
    <w:p w:rsidR="00AB0C24" w:rsidRDefault="00AB0C24" w:rsidP="00AB0C24">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4C4503" w:rsidRDefault="004C4503" w:rsidP="004C4503">
      <w:pPr>
        <w:spacing w:after="0" w:line="360" w:lineRule="auto"/>
        <w:jc w:val="both"/>
        <w:rPr>
          <w:rFonts w:ascii="Palatino Linotype" w:eastAsia="Times New Roman" w:hAnsi="Palatino Linotype" w:cs="Tahoma"/>
          <w:sz w:val="24"/>
          <w:szCs w:val="24"/>
          <w:lang w:eastAsia="es-ES"/>
        </w:rPr>
      </w:pPr>
      <w:r w:rsidRPr="004C4503">
        <w:rPr>
          <w:rFonts w:ascii="Palatino Linotype" w:eastAsia="Times New Roman" w:hAnsi="Palatino Linotype" w:cs="Tahoma"/>
          <w:sz w:val="24"/>
          <w:szCs w:val="24"/>
          <w:lang w:eastAsia="es-ES"/>
        </w:rPr>
        <w:lastRenderedPageBreak/>
        <w:t>De ser procedente la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4C4503" w:rsidRDefault="004C4503" w:rsidP="004C4503">
      <w:pPr>
        <w:spacing w:after="0" w:line="360" w:lineRule="auto"/>
        <w:jc w:val="both"/>
        <w:rPr>
          <w:rFonts w:ascii="Palatino Linotype" w:eastAsia="Times New Roman" w:hAnsi="Palatino Linotype" w:cs="Tahoma"/>
          <w:sz w:val="24"/>
          <w:szCs w:val="24"/>
          <w:lang w:eastAsia="es-ES"/>
        </w:rPr>
      </w:pPr>
    </w:p>
    <w:p w:rsidR="004C4503" w:rsidRPr="004C4503" w:rsidRDefault="004C4503" w:rsidP="004C4503">
      <w:pPr>
        <w:spacing w:after="0" w:line="360" w:lineRule="auto"/>
        <w:jc w:val="both"/>
        <w:rPr>
          <w:rFonts w:ascii="Palatino Linotype" w:eastAsia="Times New Roman" w:hAnsi="Palatino Linotype" w:cs="Tahoma"/>
          <w:sz w:val="24"/>
          <w:szCs w:val="24"/>
          <w:lang w:eastAsia="es-ES"/>
        </w:rPr>
      </w:pPr>
      <w:r>
        <w:rPr>
          <w:rFonts w:ascii="Palatino Linotype" w:eastAsia="Times New Roman" w:hAnsi="Palatino Linotype" w:cs="Tahoma"/>
          <w:sz w:val="24"/>
          <w:szCs w:val="24"/>
          <w:lang w:eastAsia="es-ES"/>
        </w:rPr>
        <w:t xml:space="preserve">Respecto del numerales </w:t>
      </w:r>
      <w:r w:rsidRPr="004C4503">
        <w:rPr>
          <w:rFonts w:ascii="Palatino Linotype" w:eastAsia="Times New Roman" w:hAnsi="Palatino Linotype" w:cs="Tahoma"/>
          <w:b/>
          <w:sz w:val="26"/>
          <w:szCs w:val="26"/>
          <w:lang w:eastAsia="es-ES"/>
        </w:rPr>
        <w:t>3</w:t>
      </w:r>
      <w:r>
        <w:rPr>
          <w:rFonts w:ascii="Palatino Linotype" w:eastAsia="Times New Roman" w:hAnsi="Palatino Linotype" w:cs="Tahoma"/>
          <w:sz w:val="24"/>
          <w:szCs w:val="24"/>
          <w:lang w:eastAsia="es-ES"/>
        </w:rPr>
        <w:t>, e</w:t>
      </w:r>
      <w:r w:rsidRPr="004C4503">
        <w:rPr>
          <w:rFonts w:ascii="Palatino Linotype" w:eastAsia="Times New Roman" w:hAnsi="Palatino Linotype" w:cs="Tahoma"/>
          <w:sz w:val="24"/>
          <w:szCs w:val="24"/>
          <w:lang w:eastAsia="es-ES"/>
        </w:rPr>
        <w:t>n el supuesto que una vez agotada la búsqueda exhaustiva y razonable, se acredite no contar con información, bastara que lo haga del conocimiento del Recurrente, en términos del artículo 19 de la Ley de Transparencia Local.</w:t>
      </w:r>
    </w:p>
    <w:p w:rsidR="004C4503" w:rsidRPr="00BA0D9C" w:rsidRDefault="004C4503" w:rsidP="00AB0C24">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AB0C24" w:rsidRPr="00BA0D9C" w:rsidRDefault="00AB0C24" w:rsidP="00AB0C24">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A0D9C">
        <w:rPr>
          <w:rFonts w:ascii="Palatino Linotype" w:eastAsia="Times New Roman" w:hAnsi="Palatino Linotype" w:cs="Times New Roman"/>
          <w:b/>
          <w:sz w:val="28"/>
          <w:szCs w:val="24"/>
          <w:lang w:val="es-ES" w:eastAsia="es-ES"/>
        </w:rPr>
        <w:t>TERCERO</w:t>
      </w:r>
      <w:r w:rsidRPr="00BA0D9C">
        <w:rPr>
          <w:rFonts w:ascii="Palatino Linotype" w:eastAsia="Times New Roman" w:hAnsi="Palatino Linotype" w:cs="Times New Roman"/>
          <w:sz w:val="24"/>
          <w:szCs w:val="24"/>
          <w:lang w:val="es-ES" w:eastAsia="es-ES"/>
        </w:rPr>
        <w:t xml:space="preserve">. Notifíquese al Titular de la Unidad de Transparencia del </w:t>
      </w:r>
      <w:r w:rsidRPr="00BA0D9C">
        <w:rPr>
          <w:rFonts w:ascii="Palatino Linotype" w:eastAsia="Times New Roman" w:hAnsi="Palatino Linotype" w:cs="Times New Roman"/>
          <w:b/>
          <w:sz w:val="24"/>
          <w:szCs w:val="24"/>
          <w:lang w:val="es-ES" w:eastAsia="es-ES"/>
        </w:rPr>
        <w:t>Sujeto Obligado</w:t>
      </w:r>
      <w:r w:rsidRPr="00BA0D9C">
        <w:rPr>
          <w:rFonts w:ascii="Palatino Linotype" w:eastAsia="Times New Roman" w:hAnsi="Palatino Linotype" w:cs="Times New Roman"/>
          <w:sz w:val="24"/>
          <w:szCs w:val="24"/>
          <w:lang w:val="es-ES" w:eastAsia="es-ES"/>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rsidR="00AB0C24" w:rsidRPr="00BA0D9C" w:rsidRDefault="00AB0C24" w:rsidP="00AB0C24">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AB0C24" w:rsidRPr="00BA0D9C" w:rsidRDefault="00AB0C24" w:rsidP="00AB0C24">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A0D9C">
        <w:rPr>
          <w:rFonts w:ascii="Palatino Linotype" w:eastAsia="Times New Roman" w:hAnsi="Palatino Linotype" w:cs="Times New Roman"/>
          <w:b/>
          <w:sz w:val="28"/>
          <w:szCs w:val="24"/>
          <w:lang w:val="es-ES" w:eastAsia="es-ES"/>
        </w:rPr>
        <w:t>CUARTO</w:t>
      </w:r>
      <w:r w:rsidRPr="00BA0D9C">
        <w:rPr>
          <w:rFonts w:ascii="Palatino Linotype" w:eastAsia="Times New Roman" w:hAnsi="Palatino Linotype" w:cs="Times New Roman"/>
          <w:sz w:val="24"/>
          <w:szCs w:val="24"/>
          <w:lang w:val="es-ES" w:eastAsia="es-ES"/>
        </w:rPr>
        <w:t xml:space="preserve">. De conformidad con el artículo 198 de la Ley de Transparencia y Acceso a la Información Pública del Estado de México y Municipios, de considerarlo procedente, el </w:t>
      </w:r>
      <w:r w:rsidRPr="00BA0D9C">
        <w:rPr>
          <w:rFonts w:ascii="Palatino Linotype" w:eastAsia="Times New Roman" w:hAnsi="Palatino Linotype" w:cs="Times New Roman"/>
          <w:b/>
          <w:sz w:val="24"/>
          <w:szCs w:val="24"/>
          <w:lang w:val="es-ES" w:eastAsia="es-ES"/>
        </w:rPr>
        <w:t>Sujeto Obligado</w:t>
      </w:r>
      <w:r w:rsidRPr="00BA0D9C">
        <w:rPr>
          <w:rFonts w:ascii="Palatino Linotype" w:eastAsia="Times New Roman" w:hAnsi="Palatino Linotype" w:cs="Times New Roman"/>
          <w:sz w:val="24"/>
          <w:szCs w:val="24"/>
          <w:lang w:val="es-ES" w:eastAsia="es-ES"/>
        </w:rPr>
        <w:t xml:space="preserve"> de manera fundada y motivada, podrá solicitar una ampliación de plazo para el cumplimiento de la presente resolución</w:t>
      </w:r>
    </w:p>
    <w:p w:rsidR="00AB0C24" w:rsidRPr="00BA0D9C" w:rsidRDefault="00AB0C24" w:rsidP="00AB0C24">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A0D9C">
        <w:rPr>
          <w:rFonts w:ascii="Palatino Linotype" w:eastAsia="Times New Roman" w:hAnsi="Palatino Linotype" w:cs="Times New Roman"/>
          <w:b/>
          <w:sz w:val="28"/>
          <w:szCs w:val="24"/>
          <w:lang w:val="es-ES" w:eastAsia="es-ES"/>
        </w:rPr>
        <w:lastRenderedPageBreak/>
        <w:t>QUINTO</w:t>
      </w:r>
      <w:r w:rsidRPr="00BA0D9C">
        <w:rPr>
          <w:rFonts w:ascii="Palatino Linotype" w:eastAsia="Times New Roman" w:hAnsi="Palatino Linotype" w:cs="Times New Roman"/>
          <w:sz w:val="24"/>
          <w:szCs w:val="24"/>
          <w:lang w:val="es-ES" w:eastAsia="es-ES"/>
        </w:rPr>
        <w:t xml:space="preserve">. Notifíquese al </w:t>
      </w:r>
      <w:r w:rsidRPr="00BA0D9C">
        <w:rPr>
          <w:rFonts w:ascii="Palatino Linotype" w:eastAsia="Times New Roman" w:hAnsi="Palatino Linotype" w:cs="Times New Roman"/>
          <w:b/>
          <w:sz w:val="24"/>
          <w:szCs w:val="24"/>
          <w:lang w:val="es-ES" w:eastAsia="es-ES"/>
        </w:rPr>
        <w:t>Recurrente</w:t>
      </w:r>
      <w:r w:rsidRPr="00BA0D9C">
        <w:rPr>
          <w:rFonts w:ascii="Palatino Linotype" w:eastAsia="Times New Roman" w:hAnsi="Palatino Linotype" w:cs="Times New Roman"/>
          <w:sz w:val="24"/>
          <w:szCs w:val="24"/>
          <w:lang w:val="es-ES" w:eastAsia="es-ES"/>
        </w:rPr>
        <w:t xml:space="preserve"> la presente resolución vía Sistema de Acceso a la Información Mexiquense (SAIMEX) y hágase de su conocimiento que, de conformidad con lo establecido en el artículo 196 de la Ley de Transparencia y Acceso a la Información Pública del Estado de México y Municipios, podrá impugnarla vía Juicio de Amparo en los términos de las leyes aplicables.</w:t>
      </w:r>
    </w:p>
    <w:p w:rsidR="00AB0C24" w:rsidRPr="00BA0D9C" w:rsidRDefault="00AB0C24" w:rsidP="00AB0C24">
      <w:pPr>
        <w:spacing w:after="0" w:line="360" w:lineRule="auto"/>
        <w:contextualSpacing/>
        <w:jc w:val="both"/>
        <w:rPr>
          <w:rFonts w:ascii="Palatino Linotype" w:eastAsia="Palatino Linotype" w:hAnsi="Palatino Linotype" w:cs="Palatino Linotype"/>
          <w:sz w:val="24"/>
          <w:szCs w:val="24"/>
          <w:lang w:val="es-ES"/>
        </w:rPr>
      </w:pPr>
    </w:p>
    <w:p w:rsidR="00AB0C24" w:rsidRPr="00BB1559" w:rsidRDefault="00AB0C24" w:rsidP="00AB0C24">
      <w:pPr>
        <w:spacing w:after="0" w:line="360" w:lineRule="auto"/>
        <w:contextualSpacing/>
        <w:jc w:val="both"/>
        <w:rPr>
          <w:rFonts w:ascii="Palatino Linotype" w:eastAsia="Palatino Linotype" w:hAnsi="Palatino Linotype" w:cs="Palatino Linotype"/>
          <w:sz w:val="24"/>
          <w:szCs w:val="24"/>
        </w:rPr>
      </w:pPr>
    </w:p>
    <w:p w:rsidR="00AB0C24" w:rsidRPr="00BB1559" w:rsidRDefault="00AB0C24" w:rsidP="00AB0C2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BB1559">
        <w:rPr>
          <w:rFonts w:ascii="Palatino Linotype" w:eastAsia="Palatino Linotype" w:hAnsi="Palatino Linotype" w:cs="Palatino Linotype"/>
          <w:color w:val="000000"/>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A26CE0">
        <w:rPr>
          <w:rFonts w:ascii="Palatino Linotype" w:eastAsia="Palatino Linotype" w:hAnsi="Palatino Linotype" w:cs="Palatino Linotype"/>
          <w:color w:val="000000"/>
          <w:sz w:val="24"/>
          <w:szCs w:val="24"/>
        </w:rPr>
        <w:t>DÉCIMA</w:t>
      </w:r>
      <w:r w:rsidRPr="00BB1559">
        <w:rPr>
          <w:rFonts w:ascii="Palatino Linotype" w:eastAsia="Palatino Linotype" w:hAnsi="Palatino Linotype" w:cs="Palatino Linotype"/>
          <w:color w:val="000000"/>
          <w:sz w:val="24"/>
          <w:szCs w:val="24"/>
        </w:rPr>
        <w:t xml:space="preserve"> </w:t>
      </w:r>
      <w:r w:rsidR="00A26CE0">
        <w:rPr>
          <w:rFonts w:ascii="Palatino Linotype" w:eastAsia="Palatino Linotype" w:hAnsi="Palatino Linotype" w:cs="Palatino Linotype"/>
          <w:color w:val="000000"/>
          <w:sz w:val="24"/>
          <w:szCs w:val="24"/>
        </w:rPr>
        <w:t xml:space="preserve">SEGUNDA </w:t>
      </w:r>
      <w:r w:rsidRPr="00BB1559">
        <w:rPr>
          <w:rFonts w:ascii="Palatino Linotype" w:eastAsia="Palatino Linotype" w:hAnsi="Palatino Linotype" w:cs="Palatino Linotype"/>
          <w:color w:val="000000"/>
          <w:sz w:val="24"/>
          <w:szCs w:val="24"/>
        </w:rPr>
        <w:t xml:space="preserve">SESIÓN ORDINARIA CELEBRADA EL </w:t>
      </w:r>
      <w:r w:rsidR="00A26CE0">
        <w:rPr>
          <w:rFonts w:ascii="Palatino Linotype" w:eastAsia="Palatino Linotype" w:hAnsi="Palatino Linotype" w:cs="Palatino Linotype"/>
          <w:color w:val="000000"/>
          <w:sz w:val="24"/>
          <w:szCs w:val="24"/>
        </w:rPr>
        <w:t xml:space="preserve">VEINTIDOS </w:t>
      </w:r>
      <w:r>
        <w:rPr>
          <w:rFonts w:ascii="Palatino Linotype" w:eastAsia="Palatino Linotype" w:hAnsi="Palatino Linotype" w:cs="Palatino Linotype"/>
          <w:color w:val="000000"/>
          <w:sz w:val="24"/>
          <w:szCs w:val="24"/>
        </w:rPr>
        <w:t xml:space="preserve">DE MARZO </w:t>
      </w:r>
      <w:r w:rsidRPr="00BB1559">
        <w:rPr>
          <w:rFonts w:ascii="Palatino Linotype" w:eastAsia="Palatino Linotype" w:hAnsi="Palatino Linotype" w:cs="Palatino Linotype"/>
          <w:color w:val="000000"/>
          <w:sz w:val="24"/>
          <w:szCs w:val="24"/>
        </w:rPr>
        <w:t>DE DOS MIL VEINTI</w:t>
      </w:r>
      <w:r>
        <w:rPr>
          <w:rFonts w:ascii="Palatino Linotype" w:eastAsia="Palatino Linotype" w:hAnsi="Palatino Linotype" w:cs="Palatino Linotype"/>
          <w:color w:val="000000"/>
          <w:sz w:val="24"/>
          <w:szCs w:val="24"/>
        </w:rPr>
        <w:t>TRÉS</w:t>
      </w:r>
      <w:r w:rsidRPr="00BB1559">
        <w:rPr>
          <w:rFonts w:ascii="Palatino Linotype" w:eastAsia="Palatino Linotype" w:hAnsi="Palatino Linotype" w:cs="Palatino Linotype"/>
          <w:color w:val="000000"/>
          <w:sz w:val="24"/>
          <w:szCs w:val="24"/>
        </w:rPr>
        <w:t>, ANTE EL SECRETARIO TÉCNICO DEL PLENO, ALEXIS TAPIA RAMÍREZ.--------------------------------------------------------------------------------------------------------------------------------------------------------------------------------------------------------------------- ------------------------------------------------------------------------------------------------------------------</w:t>
      </w:r>
    </w:p>
    <w:p w:rsidR="00AB0C24" w:rsidRPr="00BB1559" w:rsidRDefault="00AB0C24" w:rsidP="00AB0C2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BB1559">
        <w:rPr>
          <w:rFonts w:ascii="Palatino Linotype" w:eastAsia="Palatino Linotype" w:hAnsi="Palatino Linotype" w:cs="Palatino Linotype"/>
          <w:color w:val="000000"/>
          <w:sz w:val="24"/>
          <w:szCs w:val="24"/>
        </w:rPr>
        <w:t>------------------------------------------------------------------------------------------------------------------</w:t>
      </w:r>
    </w:p>
    <w:p w:rsidR="00AB0C24" w:rsidRPr="00BB1559" w:rsidRDefault="00AB0C24" w:rsidP="00AB0C2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BB1559">
        <w:rPr>
          <w:rFonts w:ascii="Palatino Linotype" w:eastAsia="Palatino Linotype" w:hAnsi="Palatino Linotype" w:cs="Palatino Linotype"/>
          <w:color w:val="000000"/>
          <w:sz w:val="24"/>
          <w:szCs w:val="24"/>
        </w:rPr>
        <w:t>------------------------------------------------------------------------------------------------------------------</w:t>
      </w:r>
    </w:p>
    <w:p w:rsidR="00AB0C24" w:rsidRPr="00BB1559" w:rsidRDefault="00AB0C24" w:rsidP="00AB0C2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BB1559">
        <w:rPr>
          <w:rFonts w:ascii="Palatino Linotype" w:eastAsia="Palatino Linotype" w:hAnsi="Palatino Linotype" w:cs="Palatino Linotype"/>
          <w:color w:val="000000"/>
          <w:sz w:val="24"/>
          <w:szCs w:val="24"/>
        </w:rPr>
        <w:t>------------------------------------------------------------------------------------------------------------------</w:t>
      </w:r>
    </w:p>
    <w:p w:rsidR="00AB0C24" w:rsidRPr="00BB1559" w:rsidRDefault="00AB0C24" w:rsidP="00AB0C2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BB1559">
        <w:rPr>
          <w:rFonts w:ascii="Palatino Linotype" w:eastAsia="Palatino Linotype" w:hAnsi="Palatino Linotype" w:cs="Palatino Linotype"/>
          <w:color w:val="000000"/>
          <w:sz w:val="24"/>
          <w:szCs w:val="24"/>
        </w:rPr>
        <w:t>------------------------------------------------------------------------------------------------------------------</w:t>
      </w:r>
    </w:p>
    <w:p w:rsidR="00AB0C24" w:rsidRDefault="00AB0C24" w:rsidP="00AB0C24">
      <w:pPr>
        <w:pBdr>
          <w:top w:val="nil"/>
          <w:left w:val="nil"/>
          <w:bottom w:val="nil"/>
          <w:right w:val="nil"/>
          <w:between w:val="nil"/>
        </w:pBdr>
        <w:spacing w:after="0" w:line="240" w:lineRule="auto"/>
        <w:contextualSpacing/>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CCR/*</w:t>
      </w:r>
    </w:p>
    <w:p w:rsidR="00AB0C24" w:rsidRDefault="00AB0C24" w:rsidP="00AB0C2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AB0C24" w:rsidRDefault="00AB0C24" w:rsidP="00AB0C2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AB0C24" w:rsidRDefault="00AB0C24" w:rsidP="00AB0C2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AB0C24" w:rsidRDefault="00AB0C24" w:rsidP="00AB0C2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AB0C24" w:rsidRDefault="00AB0C24" w:rsidP="00AB0C2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AB0C24" w:rsidRDefault="00AB0C24" w:rsidP="00AB0C2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AB0C24" w:rsidRDefault="00AB0C24" w:rsidP="00AB0C2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AB0C24" w:rsidRDefault="00AB0C24" w:rsidP="00AB0C2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AB0C24" w:rsidRDefault="00AB0C24" w:rsidP="00AB0C2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AB0C24" w:rsidRDefault="00AB0C24" w:rsidP="00AB0C24">
      <w:pPr>
        <w:spacing w:after="0"/>
      </w:pPr>
    </w:p>
    <w:p w:rsidR="00AB0C24" w:rsidRDefault="00AB0C24" w:rsidP="00AB0C24"/>
    <w:p w:rsidR="00AB0C24" w:rsidRDefault="00AB0C24" w:rsidP="00AB0C24"/>
    <w:p w:rsidR="00AB0C24" w:rsidRDefault="00AB0C24" w:rsidP="00AB0C24"/>
    <w:p w:rsidR="00AB0C24" w:rsidRDefault="00AB0C24" w:rsidP="00AB0C24"/>
    <w:p w:rsidR="00237291" w:rsidRDefault="00237291"/>
    <w:sectPr w:rsidR="00237291" w:rsidSect="00AC32C0">
      <w:headerReference w:type="even" r:id="rId10"/>
      <w:headerReference w:type="default" r:id="rId11"/>
      <w:footerReference w:type="default" r:id="rId12"/>
      <w:headerReference w:type="first" r:id="rId13"/>
      <w:footerReference w:type="first" r:id="rId14"/>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284" w:rsidRDefault="002C5284" w:rsidP="00AB0C24">
      <w:pPr>
        <w:spacing w:after="0" w:line="240" w:lineRule="auto"/>
      </w:pPr>
      <w:r>
        <w:separator/>
      </w:r>
    </w:p>
  </w:endnote>
  <w:endnote w:type="continuationSeparator" w:id="0">
    <w:p w:rsidR="002C5284" w:rsidRDefault="002C5284" w:rsidP="00AB0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F30" w:rsidRDefault="00F12F30" w:rsidP="00AC32C0">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C0DCD">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C0DCD">
      <w:rPr>
        <w:rFonts w:ascii="Palatino Linotype" w:hAnsi="Palatino Linotype"/>
        <w:b/>
        <w:bCs/>
        <w:noProof/>
        <w:sz w:val="20"/>
      </w:rPr>
      <w:t>37</w:t>
    </w:r>
    <w:r w:rsidRPr="00713DD5">
      <w:rPr>
        <w:rFonts w:ascii="Palatino Linotype" w:hAnsi="Palatino Linotype"/>
        <w:b/>
        <w:bCs/>
        <w:sz w:val="20"/>
      </w:rPr>
      <w:fldChar w:fldCharType="end"/>
    </w:r>
  </w:p>
  <w:p w:rsidR="00F12F30" w:rsidRPr="000B69FA" w:rsidRDefault="00F12F30" w:rsidP="00AC32C0">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F30" w:rsidRDefault="00F12F30" w:rsidP="00AC32C0">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C0DCD">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C0DCD">
      <w:rPr>
        <w:rFonts w:ascii="Palatino Linotype" w:hAnsi="Palatino Linotype"/>
        <w:b/>
        <w:bCs/>
        <w:noProof/>
        <w:sz w:val="20"/>
      </w:rPr>
      <w:t>37</w:t>
    </w:r>
    <w:r w:rsidRPr="00713DD5">
      <w:rPr>
        <w:rFonts w:ascii="Palatino Linotype" w:hAnsi="Palatino Linotype"/>
        <w:b/>
        <w:bCs/>
        <w:sz w:val="20"/>
      </w:rPr>
      <w:fldChar w:fldCharType="end"/>
    </w:r>
  </w:p>
  <w:p w:rsidR="00F12F30" w:rsidRPr="000B69FA" w:rsidRDefault="00F12F30" w:rsidP="00AC32C0">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284" w:rsidRDefault="002C5284" w:rsidP="00AB0C24">
      <w:pPr>
        <w:spacing w:after="0" w:line="240" w:lineRule="auto"/>
      </w:pPr>
      <w:r>
        <w:separator/>
      </w:r>
    </w:p>
  </w:footnote>
  <w:footnote w:type="continuationSeparator" w:id="0">
    <w:p w:rsidR="002C5284" w:rsidRDefault="002C5284" w:rsidP="00AB0C24">
      <w:pPr>
        <w:spacing w:after="0" w:line="240" w:lineRule="auto"/>
      </w:pPr>
      <w:r>
        <w:continuationSeparator/>
      </w:r>
    </w:p>
  </w:footnote>
  <w:footnote w:id="1">
    <w:p w:rsidR="00F12F30" w:rsidRPr="0038345F" w:rsidRDefault="00F12F30" w:rsidP="0038345F">
      <w:pPr>
        <w:pStyle w:val="Textonotapie"/>
        <w:jc w:val="both"/>
        <w:rPr>
          <w:rFonts w:ascii="Palatino Linotype" w:hAnsi="Palatino Linotype"/>
        </w:rPr>
      </w:pPr>
      <w:r>
        <w:rPr>
          <w:rStyle w:val="Refdenotaalpie"/>
        </w:rPr>
        <w:footnoteRef/>
      </w:r>
      <w:r>
        <w:t xml:space="preserve"> </w:t>
      </w:r>
      <w:r w:rsidRPr="0038345F">
        <w:rPr>
          <w:rFonts w:ascii="Palatino Linotype" w:hAnsi="Palatino Linotype"/>
          <w:b/>
        </w:rPr>
        <w:t>Artículo 179.</w:t>
      </w:r>
      <w:r w:rsidRPr="0038345F">
        <w:rPr>
          <w:rFonts w:ascii="Palatino Linotype" w:hAnsi="Palatino Linotype"/>
        </w:rPr>
        <w:t xml:space="preserve"> El recurso de revisión es un medio de protección que la Ley otorga a los particulares, para hacer valer su derecho de acceso a la información pública, y procederá en contra de las siguientes causas:</w:t>
      </w:r>
    </w:p>
    <w:p w:rsidR="00F12F30" w:rsidRPr="0038345F" w:rsidRDefault="00F12F30" w:rsidP="0038345F">
      <w:pPr>
        <w:pStyle w:val="Textonotapie"/>
        <w:jc w:val="both"/>
        <w:rPr>
          <w:rFonts w:ascii="Palatino Linotype" w:hAnsi="Palatino Linotype"/>
        </w:rPr>
      </w:pPr>
      <w:r w:rsidRPr="0038345F">
        <w:rPr>
          <w:rFonts w:ascii="Palatino Linotype" w:hAnsi="Palatino Linotype"/>
        </w:rPr>
        <w:t>…</w:t>
      </w:r>
    </w:p>
    <w:p w:rsidR="00F12F30" w:rsidRDefault="00F12F30" w:rsidP="0038345F">
      <w:pPr>
        <w:pStyle w:val="Textonotapie"/>
        <w:jc w:val="both"/>
      </w:pPr>
      <w:r w:rsidRPr="0038345F">
        <w:rPr>
          <w:rFonts w:ascii="Palatino Linotype" w:hAnsi="Palatino Linotype"/>
          <w:b/>
        </w:rPr>
        <w:t>IV.</w:t>
      </w:r>
      <w:r w:rsidRPr="0038345F">
        <w:rPr>
          <w:rFonts w:ascii="Palatino Linotype" w:hAnsi="Palatino Linotype"/>
        </w:rPr>
        <w:t xml:space="preserve"> La declaración de incompetencia por el sujeto obligado;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F30" w:rsidRDefault="004C0DC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F12F30" w:rsidRPr="00B17577" w:rsidTr="00AC32C0">
      <w:trPr>
        <w:trHeight w:val="227"/>
      </w:trPr>
      <w:tc>
        <w:tcPr>
          <w:tcW w:w="5103" w:type="dxa"/>
          <w:hideMark/>
        </w:tcPr>
        <w:p w:rsidR="00F12F30" w:rsidRPr="00B86205" w:rsidRDefault="00F12F30" w:rsidP="00AC32C0">
          <w:pPr>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Recurso de Revisión:</w:t>
          </w:r>
        </w:p>
      </w:tc>
      <w:tc>
        <w:tcPr>
          <w:tcW w:w="4111" w:type="dxa"/>
          <w:hideMark/>
        </w:tcPr>
        <w:p w:rsidR="00F12F30" w:rsidRPr="00096248" w:rsidRDefault="00F12F30" w:rsidP="00AB0C24">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17445</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F12F30" w:rsidTr="00AC32C0">
      <w:trPr>
        <w:trHeight w:val="242"/>
      </w:trPr>
      <w:tc>
        <w:tcPr>
          <w:tcW w:w="5103" w:type="dxa"/>
          <w:hideMark/>
        </w:tcPr>
        <w:p w:rsidR="00F12F30" w:rsidRPr="00B86205" w:rsidRDefault="00F12F30" w:rsidP="00AC32C0">
          <w:pPr>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Sujeto Obligado:</w:t>
          </w:r>
        </w:p>
      </w:tc>
      <w:tc>
        <w:tcPr>
          <w:tcW w:w="4111" w:type="dxa"/>
          <w:hideMark/>
        </w:tcPr>
        <w:p w:rsidR="00F12F30" w:rsidRPr="00B86205" w:rsidRDefault="00F12F30" w:rsidP="00AC32C0">
          <w:pPr>
            <w:spacing w:line="276" w:lineRule="auto"/>
            <w:ind w:left="-70" w:right="71"/>
            <w:jc w:val="right"/>
            <w:rPr>
              <w:rFonts w:ascii="Palatino Linotype" w:hAnsi="Palatino Linotype" w:cs="Arial"/>
              <w:b/>
              <w:sz w:val="24"/>
              <w:szCs w:val="24"/>
            </w:rPr>
          </w:pPr>
          <w:r w:rsidRPr="00AB0C24">
            <w:rPr>
              <w:rFonts w:ascii="Palatino Linotype" w:hAnsi="Palatino Linotype" w:cs="Arial"/>
              <w:b/>
              <w:sz w:val="24"/>
              <w:szCs w:val="24"/>
            </w:rPr>
            <w:t>Ayuntamiento de Toluca</w:t>
          </w:r>
        </w:p>
      </w:tc>
    </w:tr>
    <w:tr w:rsidR="00F12F30" w:rsidRPr="00F63239" w:rsidTr="00AC32C0">
      <w:trPr>
        <w:trHeight w:val="342"/>
      </w:trPr>
      <w:tc>
        <w:tcPr>
          <w:tcW w:w="5103" w:type="dxa"/>
          <w:hideMark/>
        </w:tcPr>
        <w:p w:rsidR="00F12F30" w:rsidRPr="00B86205" w:rsidRDefault="00F12F30" w:rsidP="00AC32C0">
          <w:pPr>
            <w:tabs>
              <w:tab w:val="left" w:pos="4892"/>
            </w:tabs>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Comisionado Ponente:</w:t>
          </w:r>
        </w:p>
      </w:tc>
      <w:tc>
        <w:tcPr>
          <w:tcW w:w="4111" w:type="dxa"/>
          <w:hideMark/>
        </w:tcPr>
        <w:p w:rsidR="00F12F30" w:rsidRPr="00B86205" w:rsidRDefault="00F12F30" w:rsidP="00AC32C0">
          <w:pPr>
            <w:spacing w:after="0" w:line="360" w:lineRule="auto"/>
            <w:ind w:left="-486" w:right="71" w:firstLine="567"/>
            <w:jc w:val="right"/>
            <w:rPr>
              <w:rFonts w:ascii="Palatino Linotype" w:hAnsi="Palatino Linotype" w:cs="Arial"/>
              <w:b/>
              <w:sz w:val="24"/>
              <w:szCs w:val="24"/>
            </w:rPr>
          </w:pPr>
          <w:r w:rsidRPr="00B86205">
            <w:rPr>
              <w:rFonts w:ascii="Palatino Linotype" w:hAnsi="Palatino Linotype" w:cs="Arial"/>
              <w:b/>
              <w:sz w:val="24"/>
              <w:szCs w:val="24"/>
            </w:rPr>
            <w:t>José Martínez Vilchis</w:t>
          </w:r>
        </w:p>
      </w:tc>
    </w:tr>
  </w:tbl>
  <w:p w:rsidR="00F12F30" w:rsidRDefault="004C0DC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margin-left:-80.05pt;margin-top:-144.35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F12F30" w:rsidTr="00AC32C0">
      <w:trPr>
        <w:trHeight w:val="227"/>
      </w:trPr>
      <w:tc>
        <w:tcPr>
          <w:tcW w:w="5103" w:type="dxa"/>
          <w:hideMark/>
        </w:tcPr>
        <w:p w:rsidR="00F12F30" w:rsidRPr="00B86205" w:rsidRDefault="00F12F30" w:rsidP="00AC32C0">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Recurso de Revisión:</w:t>
          </w:r>
        </w:p>
      </w:tc>
      <w:tc>
        <w:tcPr>
          <w:tcW w:w="4111" w:type="dxa"/>
          <w:hideMark/>
        </w:tcPr>
        <w:p w:rsidR="00F12F30" w:rsidRPr="00096248" w:rsidRDefault="00F12F30" w:rsidP="00AB0C24">
          <w:pPr>
            <w:spacing w:after="0" w:line="360" w:lineRule="auto"/>
            <w:ind w:left="-486" w:right="68" w:firstLine="558"/>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17445</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F12F30" w:rsidRPr="001F57CD" w:rsidTr="00AC32C0">
      <w:trPr>
        <w:trHeight w:val="196"/>
      </w:trPr>
      <w:tc>
        <w:tcPr>
          <w:tcW w:w="5103" w:type="dxa"/>
          <w:hideMark/>
        </w:tcPr>
        <w:p w:rsidR="00F12F30" w:rsidRPr="00B86205" w:rsidRDefault="00F12F30" w:rsidP="00AC32C0">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Recurrente:</w:t>
          </w:r>
        </w:p>
      </w:tc>
      <w:tc>
        <w:tcPr>
          <w:tcW w:w="4111" w:type="dxa"/>
          <w:hideMark/>
        </w:tcPr>
        <w:p w:rsidR="00F12F30" w:rsidRPr="00AB0C24" w:rsidRDefault="004C0DCD" w:rsidP="00AC32C0">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XXXXXXXXXXXXXXXX</w:t>
          </w:r>
        </w:p>
      </w:tc>
    </w:tr>
    <w:tr w:rsidR="00F12F30" w:rsidTr="00AC32C0">
      <w:trPr>
        <w:trHeight w:val="242"/>
      </w:trPr>
      <w:tc>
        <w:tcPr>
          <w:tcW w:w="5103" w:type="dxa"/>
          <w:hideMark/>
        </w:tcPr>
        <w:p w:rsidR="00F12F30" w:rsidRPr="00B86205" w:rsidRDefault="00F12F30" w:rsidP="00AC32C0">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Sujeto Obligado:</w:t>
          </w:r>
        </w:p>
      </w:tc>
      <w:tc>
        <w:tcPr>
          <w:tcW w:w="4111" w:type="dxa"/>
          <w:hideMark/>
        </w:tcPr>
        <w:p w:rsidR="00F12F30" w:rsidRPr="00B86205" w:rsidRDefault="00F12F30" w:rsidP="00AC32C0">
          <w:pPr>
            <w:spacing w:line="276" w:lineRule="auto"/>
            <w:ind w:left="-70" w:right="68"/>
            <w:jc w:val="right"/>
            <w:rPr>
              <w:rFonts w:ascii="Palatino Linotype" w:hAnsi="Palatino Linotype" w:cs="Arial"/>
              <w:b/>
              <w:sz w:val="24"/>
              <w:szCs w:val="24"/>
            </w:rPr>
          </w:pPr>
          <w:r w:rsidRPr="00AB0C24">
            <w:rPr>
              <w:rFonts w:ascii="Palatino Linotype" w:hAnsi="Palatino Linotype" w:cs="Arial"/>
              <w:b/>
              <w:sz w:val="24"/>
              <w:szCs w:val="24"/>
            </w:rPr>
            <w:t>Ayuntamiento de Toluca</w:t>
          </w:r>
        </w:p>
      </w:tc>
    </w:tr>
    <w:tr w:rsidR="00F12F30" w:rsidTr="00AC32C0">
      <w:trPr>
        <w:trHeight w:val="342"/>
      </w:trPr>
      <w:tc>
        <w:tcPr>
          <w:tcW w:w="5103" w:type="dxa"/>
          <w:hideMark/>
        </w:tcPr>
        <w:p w:rsidR="00F12F30" w:rsidRPr="00B86205" w:rsidRDefault="00F12F30" w:rsidP="00AC32C0">
          <w:pPr>
            <w:tabs>
              <w:tab w:val="left" w:pos="4892"/>
            </w:tabs>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Comisionado Ponente:</w:t>
          </w:r>
        </w:p>
      </w:tc>
      <w:tc>
        <w:tcPr>
          <w:tcW w:w="4111" w:type="dxa"/>
          <w:hideMark/>
        </w:tcPr>
        <w:p w:rsidR="00F12F30" w:rsidRPr="00B86205" w:rsidRDefault="00F12F30" w:rsidP="00AC32C0">
          <w:pPr>
            <w:spacing w:after="0" w:line="360" w:lineRule="auto"/>
            <w:ind w:left="-486" w:right="68" w:firstLine="567"/>
            <w:jc w:val="right"/>
            <w:rPr>
              <w:rFonts w:ascii="Palatino Linotype" w:hAnsi="Palatino Linotype" w:cs="Arial"/>
              <w:b/>
              <w:sz w:val="24"/>
              <w:szCs w:val="24"/>
            </w:rPr>
          </w:pPr>
          <w:r w:rsidRPr="00B86205">
            <w:rPr>
              <w:rFonts w:ascii="Palatino Linotype" w:hAnsi="Palatino Linotype" w:cs="Arial"/>
              <w:b/>
              <w:sz w:val="24"/>
              <w:szCs w:val="24"/>
            </w:rPr>
            <w:t>José Martínez Vilchis</w:t>
          </w:r>
        </w:p>
      </w:tc>
    </w:tr>
  </w:tbl>
  <w:p w:rsidR="00F12F30" w:rsidRDefault="004C0DC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51" type="#_x0000_t75" alt="" style="position:absolute;margin-left:-80.8pt;margin-top:-162.9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376DB"/>
    <w:multiLevelType w:val="hybridMultilevel"/>
    <w:tmpl w:val="B1C2E3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2462EA"/>
    <w:multiLevelType w:val="hybridMultilevel"/>
    <w:tmpl w:val="DEFE5C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5B09B4"/>
    <w:multiLevelType w:val="hybridMultilevel"/>
    <w:tmpl w:val="4A60A018"/>
    <w:lvl w:ilvl="0" w:tplc="4F0E1E8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230C67"/>
    <w:multiLevelType w:val="hybridMultilevel"/>
    <w:tmpl w:val="E4B0E4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276D3C7C"/>
    <w:multiLevelType w:val="hybridMultilevel"/>
    <w:tmpl w:val="4A60A018"/>
    <w:lvl w:ilvl="0" w:tplc="4F0E1E8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FDD7A3A"/>
    <w:multiLevelType w:val="hybridMultilevel"/>
    <w:tmpl w:val="8354A1DE"/>
    <w:lvl w:ilvl="0" w:tplc="9580D06E">
      <w:start w:val="15"/>
      <w:numFmt w:val="bullet"/>
      <w:lvlText w:val="-"/>
      <w:lvlJc w:val="left"/>
      <w:pPr>
        <w:ind w:left="927" w:hanging="360"/>
      </w:pPr>
      <w:rPr>
        <w:rFonts w:ascii="Palatino Linotype" w:eastAsia="Palatino Linotype" w:hAnsi="Palatino Linotype" w:cs="Palatino Linotype"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6" w15:restartNumberingAfterBreak="0">
    <w:nsid w:val="35E66564"/>
    <w:multiLevelType w:val="hybridMultilevel"/>
    <w:tmpl w:val="FEA244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52D57CD"/>
    <w:multiLevelType w:val="hybridMultilevel"/>
    <w:tmpl w:val="ABE05F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B1870EE"/>
    <w:multiLevelType w:val="hybridMultilevel"/>
    <w:tmpl w:val="7AEE6F1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8"/>
  </w:num>
  <w:num w:numId="5">
    <w:abstractNumId w:val="5"/>
  </w:num>
  <w:num w:numId="6">
    <w:abstractNumId w:val="7"/>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C24"/>
    <w:rsid w:val="000C2E09"/>
    <w:rsid w:val="00111740"/>
    <w:rsid w:val="001C7F07"/>
    <w:rsid w:val="00237291"/>
    <w:rsid w:val="0028046E"/>
    <w:rsid w:val="002A1FA5"/>
    <w:rsid w:val="002C5284"/>
    <w:rsid w:val="0038345F"/>
    <w:rsid w:val="003869AF"/>
    <w:rsid w:val="00404747"/>
    <w:rsid w:val="004C0DCD"/>
    <w:rsid w:val="004C4503"/>
    <w:rsid w:val="004D4732"/>
    <w:rsid w:val="005618B8"/>
    <w:rsid w:val="00590E04"/>
    <w:rsid w:val="00701C0B"/>
    <w:rsid w:val="00737732"/>
    <w:rsid w:val="00763229"/>
    <w:rsid w:val="00785334"/>
    <w:rsid w:val="007D21D4"/>
    <w:rsid w:val="00892B52"/>
    <w:rsid w:val="00987F02"/>
    <w:rsid w:val="009C5A85"/>
    <w:rsid w:val="00A26CE0"/>
    <w:rsid w:val="00AB0C24"/>
    <w:rsid w:val="00AC32C0"/>
    <w:rsid w:val="00B676E3"/>
    <w:rsid w:val="00C9314D"/>
    <w:rsid w:val="00D16F88"/>
    <w:rsid w:val="00D37E20"/>
    <w:rsid w:val="00D539B3"/>
    <w:rsid w:val="00DF6613"/>
    <w:rsid w:val="00E769E0"/>
    <w:rsid w:val="00F12F30"/>
    <w:rsid w:val="00F45938"/>
    <w:rsid w:val="00F975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2891442-3F38-4595-A7FE-2FF3674A4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C24"/>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0C24"/>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AB0C2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B0C24"/>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B0C2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B0C2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B0C24"/>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semiHidden/>
    <w:unhideWhenUsed/>
    <w:rsid w:val="00AB0C2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B0C24"/>
    <w:rPr>
      <w:rFonts w:ascii="Calibri" w:eastAsia="Calibri" w:hAnsi="Calibri" w:cs="Calibri"/>
      <w:sz w:val="20"/>
      <w:szCs w:val="20"/>
      <w:lang w:eastAsia="es-MX"/>
    </w:rPr>
  </w:style>
  <w:style w:type="character" w:styleId="Refdenotaalpie">
    <w:name w:val="footnote reference"/>
    <w:basedOn w:val="Fuentedeprrafopredeter"/>
    <w:uiPriority w:val="99"/>
    <w:semiHidden/>
    <w:unhideWhenUsed/>
    <w:rsid w:val="00AB0C24"/>
    <w:rPr>
      <w:vertAlign w:val="superscript"/>
    </w:rPr>
  </w:style>
  <w:style w:type="character" w:styleId="Hipervnculo">
    <w:name w:val="Hyperlink"/>
    <w:basedOn w:val="Fuentedeprrafopredeter"/>
    <w:uiPriority w:val="99"/>
    <w:unhideWhenUsed/>
    <w:rsid w:val="00AB0C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670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nsultas.ifai.org.mx/descargar.php?r=./pdf/resoluciones/2017/&amp;a=RRA%203482.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37</Pages>
  <Words>9500</Words>
  <Characters>52251</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2023-03-15T17:42:00Z</dcterms:created>
  <dcterms:modified xsi:type="dcterms:W3CDTF">2023-04-19T22:12:00Z</dcterms:modified>
</cp:coreProperties>
</file>