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66723" w14:textId="77777777" w:rsidR="00B30F4B" w:rsidRDefault="00761BA1">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w:t>
      </w:r>
      <w:r w:rsidR="00501C32">
        <w:rPr>
          <w:rFonts w:ascii="Palatino Linotype" w:eastAsia="Palatino Linotype" w:hAnsi="Palatino Linotype" w:cs="Palatino Linotype"/>
        </w:rPr>
        <w:t xml:space="preserve"> Estado de México; a tres</w:t>
      </w:r>
      <w:r>
        <w:rPr>
          <w:rFonts w:ascii="Palatino Linotype" w:eastAsia="Palatino Linotype" w:hAnsi="Palatino Linotype" w:cs="Palatino Linotype"/>
        </w:rPr>
        <w:t xml:space="preserve"> de </w:t>
      </w:r>
      <w:r w:rsidR="00501C32">
        <w:rPr>
          <w:rFonts w:ascii="Palatino Linotype" w:eastAsia="Palatino Linotype" w:hAnsi="Palatino Linotype" w:cs="Palatino Linotype"/>
        </w:rPr>
        <w:t>octu</w:t>
      </w:r>
      <w:r>
        <w:rPr>
          <w:rFonts w:ascii="Palatino Linotype" w:eastAsia="Palatino Linotype" w:hAnsi="Palatino Linotype" w:cs="Palatino Linotype"/>
        </w:rPr>
        <w:t xml:space="preserve">bre de dos mil veintitrés. </w:t>
      </w:r>
    </w:p>
    <w:p w14:paraId="010F994A" w14:textId="77777777" w:rsidR="00B30F4B" w:rsidRDefault="00761BA1">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00514/INFOEM/IP/RR/2023</w:t>
      </w:r>
      <w:r>
        <w:rPr>
          <w:rFonts w:ascii="Palatino Linotype" w:eastAsia="Palatino Linotype" w:hAnsi="Palatino Linotype" w:cs="Palatino Linotype"/>
        </w:rPr>
        <w:t>, interpuesto por persona que no proporcionó nombre 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Zinacantepec,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4E784AD4" w14:textId="77777777" w:rsidR="00B30F4B" w:rsidRDefault="00761BA1">
      <w:pPr>
        <w:spacing w:before="240" w:after="240" w:line="360" w:lineRule="auto"/>
        <w:jc w:val="center"/>
        <w:rPr>
          <w:rFonts w:ascii="Palatino Linotype" w:eastAsia="Palatino Linotype" w:hAnsi="Palatino Linotype" w:cs="Palatino Linotype"/>
          <w:b/>
          <w:sz w:val="28"/>
          <w:szCs w:val="28"/>
        </w:rPr>
      </w:pPr>
      <w:bookmarkStart w:id="2" w:name="_heading=h.1fob9te" w:colFirst="0" w:colLast="0"/>
      <w:bookmarkEnd w:id="2"/>
      <w:r>
        <w:rPr>
          <w:rFonts w:ascii="Palatino Linotype" w:eastAsia="Palatino Linotype" w:hAnsi="Palatino Linotype" w:cs="Palatino Linotype"/>
          <w:b/>
        </w:rPr>
        <w:t>I. A N T E C E D E N T E S</w:t>
      </w:r>
    </w:p>
    <w:p w14:paraId="77DB8187"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doce de diciembre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01449/ZINACANT/IP/2022, </w:t>
      </w:r>
      <w:r>
        <w:rPr>
          <w:rFonts w:ascii="Palatino Linotype" w:eastAsia="Palatino Linotype" w:hAnsi="Palatino Linotype" w:cs="Palatino Linotype"/>
        </w:rPr>
        <w:t xml:space="preserve">mediante la cual requirió la información siguiente: </w:t>
      </w:r>
    </w:p>
    <w:p w14:paraId="3B050D88" w14:textId="77777777" w:rsidR="00B30F4B" w:rsidRDefault="00761BA1">
      <w:pPr>
        <w:spacing w:before="240" w:after="240"/>
        <w:ind w:left="851" w:right="616"/>
        <w:jc w:val="both"/>
        <w:rPr>
          <w:rFonts w:ascii="Palatino Linotype" w:eastAsia="Palatino Linotype" w:hAnsi="Palatino Linotype" w:cs="Palatino Linotype"/>
          <w:i/>
          <w:sz w:val="22"/>
          <w:szCs w:val="22"/>
        </w:rPr>
      </w:pPr>
      <w:bookmarkStart w:id="3" w:name="_heading=h.3znysh7" w:colFirst="0" w:colLast="0"/>
      <w:bookmarkEnd w:id="3"/>
      <w:r>
        <w:rPr>
          <w:rFonts w:ascii="Palatino Linotype" w:eastAsia="Palatino Linotype" w:hAnsi="Palatino Linotype" w:cs="Palatino Linotype"/>
          <w:i/>
          <w:sz w:val="22"/>
          <w:szCs w:val="22"/>
        </w:rPr>
        <w:t>“SOLICITO TODOS LOS COMPROBANTES DE PAGO AL ISSEMYM DEL AÑO 2022</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BE4ED0D"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 </w:t>
      </w:r>
    </w:p>
    <w:p w14:paraId="2866F2FA"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Solicitud de aclaración.  </w:t>
      </w:r>
      <w:r>
        <w:rPr>
          <w:rFonts w:ascii="Palatino Linotype" w:eastAsia="Palatino Linotype" w:hAnsi="Palatino Linotype" w:cs="Palatino Linotype"/>
        </w:rPr>
        <w:t xml:space="preserve">En fecha diecinueve de diciembre del dos mil veintidós, con fundamento en el artículo 159 de la Ley de Transparencia y Acceso a la Información Pública del Estado de México y Municipios, se le requiere para que </w:t>
      </w:r>
      <w:r>
        <w:rPr>
          <w:rFonts w:ascii="Palatino Linotype" w:eastAsia="Palatino Linotype" w:hAnsi="Palatino Linotype" w:cs="Palatino Linotype"/>
        </w:rPr>
        <w:lastRenderedPageBreak/>
        <w:t xml:space="preserve">dentro del plazo de diez días hábiles realice lo siguiente: </w:t>
      </w:r>
      <w:r>
        <w:rPr>
          <w:rFonts w:ascii="Palatino Linotype" w:eastAsia="Palatino Linotype" w:hAnsi="Palatino Linotype" w:cs="Palatino Linotype"/>
          <w:i/>
          <w:sz w:val="28"/>
          <w:szCs w:val="28"/>
        </w:rPr>
        <w:t>“</w:t>
      </w:r>
      <w:r>
        <w:rPr>
          <w:rFonts w:ascii="Palatino Linotype" w:eastAsia="Palatino Linotype" w:hAnsi="Palatino Linotype" w:cs="Palatino Linotype"/>
          <w:i/>
          <w:color w:val="000000"/>
          <w:sz w:val="20"/>
          <w:szCs w:val="20"/>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10841FD7"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Desahogo de la solicitud de aclaración.  </w:t>
      </w:r>
      <w:r>
        <w:rPr>
          <w:rFonts w:ascii="Palatino Linotype" w:eastAsia="Palatino Linotype" w:hAnsi="Palatino Linotype" w:cs="Palatino Linotype"/>
        </w:rPr>
        <w:t xml:space="preserve">En fecha veintiuno de diciembre del dos mil veintidós, el particular en atención al requerimiento de aclaración extendido </w:t>
      </w:r>
      <w:proofErr w:type="gramStart"/>
      <w:r>
        <w:rPr>
          <w:rFonts w:ascii="Palatino Linotype" w:eastAsia="Palatino Linotype" w:hAnsi="Palatino Linotype" w:cs="Palatino Linotype"/>
        </w:rPr>
        <w:t>por  el</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refiere: “</w:t>
      </w:r>
      <w:r>
        <w:rPr>
          <w:rFonts w:ascii="Palatino Linotype" w:eastAsia="Palatino Linotype" w:hAnsi="Palatino Linotype" w:cs="Palatino Linotype"/>
          <w:i/>
        </w:rPr>
        <w:t>LA SOLICITUD ES MUY ESPECÍFICA” (Sic)</w:t>
      </w:r>
    </w:p>
    <w:p w14:paraId="37C6255E" w14:textId="77777777" w:rsidR="00B30F4B" w:rsidRDefault="00761BA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remitir su respuesta o documentales que dieran cuenta de la petición del particular. </w:t>
      </w:r>
    </w:p>
    <w:p w14:paraId="47944BB5" w14:textId="77777777" w:rsidR="00B30F4B" w:rsidRDefault="00761BA1">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rPr>
        <w:t xml:space="preserve">5.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treinta de enero de dos mil veintitrés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interpuso el recurso de revisión en el que expresó lo siguiente:</w:t>
      </w:r>
    </w:p>
    <w:p w14:paraId="1F294050" w14:textId="77777777" w:rsidR="00B30F4B" w:rsidRDefault="00761BA1">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rPr>
        <w:t xml:space="preserve">Acto impugnado: </w:t>
      </w:r>
    </w:p>
    <w:p w14:paraId="0C950393" w14:textId="77777777" w:rsidR="00B30F4B" w:rsidRDefault="00761BA1">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ENTREGA INFORMACIÓN “(Sic)</w:t>
      </w:r>
    </w:p>
    <w:p w14:paraId="4BB6CEF5" w14:textId="77777777" w:rsidR="00B30F4B" w:rsidRDefault="00761BA1">
      <w:pPr>
        <w:spacing w:before="240" w:after="240" w:line="360" w:lineRule="auto"/>
        <w:ind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b/>
          <w:sz w:val="22"/>
          <w:szCs w:val="22"/>
        </w:rPr>
        <w:t xml:space="preserve">: </w:t>
      </w:r>
    </w:p>
    <w:p w14:paraId="3F2E5B74" w14:textId="77777777" w:rsidR="00B30F4B" w:rsidRDefault="00761BA1">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ENTREGA INFORMACIÓN Sic)</w:t>
      </w:r>
    </w:p>
    <w:p w14:paraId="707751CC" w14:textId="77777777" w:rsidR="00B30F4B" w:rsidRDefault="00B30F4B">
      <w:pPr>
        <w:spacing w:before="240" w:after="240" w:line="360" w:lineRule="auto"/>
        <w:jc w:val="both"/>
        <w:rPr>
          <w:rFonts w:ascii="Palatino Linotype" w:eastAsia="Palatino Linotype" w:hAnsi="Palatino Linotype" w:cs="Palatino Linotype"/>
          <w:sz w:val="2"/>
          <w:szCs w:val="2"/>
        </w:rPr>
      </w:pPr>
    </w:p>
    <w:p w14:paraId="2C89E517"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41265F13"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dos de febrero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781A2CD2" w14:textId="77777777" w:rsidR="00B30F4B" w:rsidRDefault="00761BA1">
      <w:pPr>
        <w:widowControl w:val="0"/>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b/>
        </w:rPr>
        <w:t>8. Manifestaciones</w:t>
      </w:r>
      <w:r>
        <w:rPr>
          <w:rFonts w:ascii="Palatino Linotype" w:eastAsia="Palatino Linotype" w:hAnsi="Palatino Linotype" w:cs="Palatino Linotype"/>
        </w:rPr>
        <w:t>.</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nueve de febrero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en informe justificado el archivo electrónico identificado como:</w:t>
      </w:r>
    </w:p>
    <w:p w14:paraId="1F367B16" w14:textId="77777777" w:rsidR="00B30F4B" w:rsidRDefault="00761BA1">
      <w:pPr>
        <w:widowControl w:val="0"/>
        <w:numPr>
          <w:ilvl w:val="0"/>
          <w:numId w:val="2"/>
        </w:numPr>
        <w:pBdr>
          <w:top w:val="nil"/>
          <w:left w:val="nil"/>
          <w:bottom w:val="nil"/>
          <w:right w:val="nil"/>
          <w:between w:val="nil"/>
        </w:pBdr>
        <w:spacing w:before="240" w:after="240" w:line="360" w:lineRule="auto"/>
        <w:jc w:val="both"/>
        <w:rPr>
          <w:b/>
          <w:i/>
          <w:color w:val="000000"/>
        </w:rPr>
      </w:pPr>
      <w:r>
        <w:rPr>
          <w:rFonts w:ascii="Palatino Linotype" w:eastAsia="Palatino Linotype" w:hAnsi="Palatino Linotype" w:cs="Palatino Linotype"/>
          <w:color w:val="000000"/>
        </w:rPr>
        <w:tab/>
      </w:r>
      <w:r>
        <w:rPr>
          <w:rFonts w:ascii="Palatino Linotype" w:eastAsia="Palatino Linotype" w:hAnsi="Palatino Linotype" w:cs="Palatino Linotype"/>
          <w:b/>
          <w:i/>
          <w:color w:val="000000"/>
        </w:rPr>
        <w:t xml:space="preserve">respuesta de solicitud 1449-22.pdf: </w:t>
      </w:r>
      <w:r>
        <w:rPr>
          <w:rFonts w:ascii="Palatino Linotype" w:eastAsia="Palatino Linotype" w:hAnsi="Palatino Linotype" w:cs="Palatino Linotype"/>
          <w:color w:val="000000"/>
        </w:rPr>
        <w:t xml:space="preserve">Contiene el escrito enviado por el Titular de la Unidad de Transparencia en el que informó que al realizar un análisis en su solicitud procedió a </w:t>
      </w:r>
      <w:r>
        <w:rPr>
          <w:rFonts w:ascii="Palatino Linotype" w:eastAsia="Palatino Linotype" w:hAnsi="Palatino Linotype" w:cs="Palatino Linotype"/>
        </w:rPr>
        <w:t>turnar al</w:t>
      </w:r>
      <w:r>
        <w:rPr>
          <w:rFonts w:ascii="Palatino Linotype" w:eastAsia="Palatino Linotype" w:hAnsi="Palatino Linotype" w:cs="Palatino Linotype"/>
          <w:color w:val="000000"/>
        </w:rPr>
        <w:t xml:space="preserve"> Servidor Público Habilitado poseedor de la información, mismo que informa que lo solicitado se encuentra cargado dentro de la página oficial del </w:t>
      </w:r>
      <w:proofErr w:type="gramStart"/>
      <w:r>
        <w:rPr>
          <w:rFonts w:ascii="Palatino Linotype" w:eastAsia="Palatino Linotype" w:hAnsi="Palatino Linotype" w:cs="Palatino Linotype"/>
          <w:color w:val="000000"/>
        </w:rPr>
        <w:t>Ayuntamiento  de</w:t>
      </w:r>
      <w:proofErr w:type="gramEnd"/>
      <w:r>
        <w:rPr>
          <w:rFonts w:ascii="Palatino Linotype" w:eastAsia="Palatino Linotype" w:hAnsi="Palatino Linotype" w:cs="Palatino Linotype"/>
          <w:color w:val="000000"/>
        </w:rPr>
        <w:t xml:space="preserve"> Zinacantepec mismo que se puede consultar en el siguiente link (no remite liga). </w:t>
      </w:r>
    </w:p>
    <w:p w14:paraId="081CCC25" w14:textId="77777777" w:rsidR="00B30F4B" w:rsidRDefault="00761BA1">
      <w:pPr>
        <w:widowControl w:val="0"/>
        <w:pBdr>
          <w:top w:val="nil"/>
          <w:left w:val="nil"/>
          <w:bottom w:val="nil"/>
          <w:right w:val="nil"/>
          <w:between w:val="nil"/>
        </w:pBdr>
        <w:spacing w:before="240" w:after="240" w:line="360" w:lineRule="auto"/>
        <w:ind w:left="1080"/>
        <w:jc w:val="both"/>
        <w:rPr>
          <w:i/>
          <w:color w:val="000000"/>
        </w:rPr>
      </w:pPr>
      <w:r>
        <w:rPr>
          <w:rFonts w:ascii="Palatino Linotype" w:eastAsia="Palatino Linotype" w:hAnsi="Palatino Linotype" w:cs="Palatino Linotype"/>
          <w:color w:val="000000"/>
        </w:rPr>
        <w:t xml:space="preserve">Documento que se puso a la vista de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para su conocimiento, quien</w:t>
      </w:r>
      <w:r>
        <w:rPr>
          <w:rFonts w:ascii="Palatino Linotype" w:eastAsia="Palatino Linotype" w:hAnsi="Palatino Linotype" w:cs="Palatino Linotype"/>
        </w:rPr>
        <w:t xml:space="preserve"> en esta etapa procesal no emitió </w:t>
      </w:r>
      <w:proofErr w:type="gramStart"/>
      <w:r>
        <w:rPr>
          <w:rFonts w:ascii="Palatino Linotype" w:eastAsia="Palatino Linotype" w:hAnsi="Palatino Linotype" w:cs="Palatino Linotype"/>
        </w:rPr>
        <w:t>pronunciamiento  alguno</w:t>
      </w:r>
      <w:proofErr w:type="gramEnd"/>
      <w:r>
        <w:rPr>
          <w:rFonts w:ascii="Palatino Linotype" w:eastAsia="Palatino Linotype" w:hAnsi="Palatino Linotype" w:cs="Palatino Linotype"/>
        </w:rPr>
        <w:t xml:space="preserve">. </w:t>
      </w:r>
    </w:p>
    <w:p w14:paraId="53D0500D" w14:textId="77777777" w:rsidR="00B30F4B" w:rsidRDefault="00761BA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9.</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trece de septiembre de dos mil veintitrés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799BEDCB"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6DFE743D"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5BE2CCA"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C9191F"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CD5AEFF" w14:textId="77777777" w:rsidR="00B30F4B" w:rsidRDefault="00761BA1">
      <w:pPr>
        <w:spacing w:before="240" w:after="240"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CA76CD6" w14:textId="77777777" w:rsidR="00B30F4B" w:rsidRDefault="00761BA1">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E0745DB" w14:textId="77777777" w:rsidR="00B30F4B" w:rsidRDefault="00761BA1">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180F9C8E" w14:textId="77777777" w:rsidR="00B30F4B" w:rsidRDefault="00761BA1">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29F5BDB1" w14:textId="77777777" w:rsidR="00B30F4B" w:rsidRDefault="00761BA1">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537AFB6D"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0C736B" w14:textId="77777777" w:rsidR="00B30F4B" w:rsidRDefault="00761BA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8B49C25"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D73432"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1FA4C90"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1A580775"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3E22D07F"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8A56C6E"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diecinueve de septiembre de dos mil veintitrés,</w:t>
      </w:r>
      <w:r>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5D3D9F10" w14:textId="77777777" w:rsidR="00B30F4B" w:rsidRDefault="00761BA1">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14:paraId="200C0042" w14:textId="77777777" w:rsidR="00B30F4B" w:rsidRDefault="00761BA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0772967B"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3B07E" w14:textId="77777777" w:rsidR="00B30F4B" w:rsidRDefault="00761BA1">
      <w:pPr>
        <w:spacing w:before="240" w:after="240"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296BA5F" w14:textId="77777777" w:rsidR="00B30F4B" w:rsidRDefault="00761BA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precisar que la Ley de Transparencia y Acceso a la Información Pública del Estado de México y Municipios, describe el mecanismo de procedencia de los recursos de revisión, en ese sentido en su artículo 163, se indica lo siguiente:</w:t>
      </w:r>
    </w:p>
    <w:p w14:paraId="1B78BE3B" w14:textId="77777777" w:rsidR="00B30F4B" w:rsidRDefault="00B30F4B">
      <w:pPr>
        <w:pBdr>
          <w:top w:val="nil"/>
          <w:left w:val="nil"/>
          <w:bottom w:val="nil"/>
          <w:right w:val="nil"/>
          <w:between w:val="nil"/>
        </w:pBdr>
        <w:rPr>
          <w:rFonts w:ascii="Palatino Linotype" w:eastAsia="Palatino Linotype" w:hAnsi="Palatino Linotype" w:cs="Palatino Linotype"/>
          <w:color w:val="000000"/>
        </w:rPr>
      </w:pPr>
    </w:p>
    <w:p w14:paraId="0226B0AF" w14:textId="77777777" w:rsidR="00B30F4B" w:rsidRDefault="00761BA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163.</w:t>
      </w:r>
      <w:r>
        <w:rPr>
          <w:rFonts w:ascii="Palatino Linotype" w:eastAsia="Palatino Linotype" w:hAnsi="Palatino Linotype" w:cs="Palatino Linotype"/>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2154D57C" w14:textId="77777777" w:rsidR="00B30F4B" w:rsidRDefault="00761BA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E8EBA75" w14:textId="77777777" w:rsidR="00B30F4B" w:rsidRDefault="00761BA1">
      <w:pPr>
        <w:pBdr>
          <w:top w:val="nil"/>
          <w:left w:val="nil"/>
          <w:bottom w:val="nil"/>
          <w:right w:val="nil"/>
          <w:between w:val="nil"/>
        </w:pBdr>
        <w:ind w:left="567" w:right="567"/>
        <w:jc w:val="right"/>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(Énfasis añadido)</w:t>
      </w:r>
    </w:p>
    <w:p w14:paraId="54940520" w14:textId="77777777" w:rsidR="00B30F4B" w:rsidRDefault="00B30F4B">
      <w:pPr>
        <w:spacing w:line="360" w:lineRule="auto"/>
        <w:jc w:val="both"/>
        <w:rPr>
          <w:rFonts w:ascii="Palatino Linotype" w:eastAsia="Palatino Linotype" w:hAnsi="Palatino Linotype" w:cs="Palatino Linotype"/>
        </w:rPr>
      </w:pPr>
    </w:p>
    <w:p w14:paraId="4D9588AC" w14:textId="77777777" w:rsidR="00B30F4B" w:rsidRDefault="00761BA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interpretación al precepto legal inserto, se advierte que el plazo que les asiste a los Sujetos Obligados para notificar la respuesta a una solicitud de información pública, es de quince días hábiles posteriores a la presentación de ésta.</w:t>
      </w:r>
    </w:p>
    <w:p w14:paraId="7CA90579" w14:textId="77777777" w:rsidR="00B30F4B" w:rsidRDefault="00B30F4B">
      <w:pPr>
        <w:spacing w:line="360" w:lineRule="auto"/>
        <w:jc w:val="both"/>
        <w:rPr>
          <w:rFonts w:ascii="Palatino Linotype" w:eastAsia="Palatino Linotype" w:hAnsi="Palatino Linotype" w:cs="Palatino Linotype"/>
        </w:rPr>
      </w:pPr>
    </w:p>
    <w:p w14:paraId="7B43EEBC" w14:textId="77777777" w:rsidR="00B30F4B" w:rsidRDefault="00761BA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Pr>
          <w:rFonts w:ascii="Palatino Linotype" w:eastAsia="Palatino Linotype" w:hAnsi="Palatino Linotype" w:cs="Palatino Linotype"/>
          <w:b/>
          <w:i/>
        </w:rPr>
        <w:t>Negativa Ficta</w:t>
      </w:r>
      <w:r>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14:paraId="782AA532" w14:textId="77777777" w:rsidR="00B30F4B" w:rsidRDefault="00B30F4B">
      <w:pPr>
        <w:pBdr>
          <w:top w:val="nil"/>
          <w:left w:val="nil"/>
          <w:bottom w:val="nil"/>
          <w:right w:val="nil"/>
          <w:between w:val="nil"/>
        </w:pBdr>
        <w:rPr>
          <w:rFonts w:ascii="Palatino Linotype" w:eastAsia="Palatino Linotype" w:hAnsi="Palatino Linotype" w:cs="Palatino Linotype"/>
          <w:color w:val="000000"/>
        </w:rPr>
      </w:pPr>
    </w:p>
    <w:p w14:paraId="17105598" w14:textId="77777777" w:rsidR="00B30F4B" w:rsidRDefault="00761BA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artículo 178, de la Ley de Transparencia y Acceso a la Información Pública del Estado de México y Municipios, establece:</w:t>
      </w:r>
    </w:p>
    <w:p w14:paraId="68B06762" w14:textId="77777777" w:rsidR="00B30F4B" w:rsidRDefault="00B30F4B">
      <w:pPr>
        <w:pBdr>
          <w:top w:val="nil"/>
          <w:left w:val="nil"/>
          <w:bottom w:val="nil"/>
          <w:right w:val="nil"/>
          <w:between w:val="nil"/>
        </w:pBdr>
        <w:rPr>
          <w:color w:val="000000"/>
        </w:rPr>
      </w:pPr>
    </w:p>
    <w:p w14:paraId="527AF929" w14:textId="77777777" w:rsidR="00B30F4B" w:rsidRDefault="00761BA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178.</w:t>
      </w:r>
      <w:r>
        <w:rPr>
          <w:rFonts w:ascii="Palatino Linotype" w:eastAsia="Palatino Linotype" w:hAnsi="Palatino Linotype" w:cs="Palatino Linotype"/>
          <w:i/>
          <w:color w:val="000000"/>
          <w:sz w:val="22"/>
          <w:szCs w:val="22"/>
        </w:rPr>
        <w:t xml:space="preserve"> El solicitante podrá interponer, por sí mismo o a través de su representante, de manera directa o por medios electrónicos, recurso de revisión ante el </w:t>
      </w:r>
      <w:r>
        <w:rPr>
          <w:rFonts w:ascii="Palatino Linotype" w:eastAsia="Palatino Linotype" w:hAnsi="Palatino Linotype" w:cs="Palatino Linotype"/>
          <w:i/>
          <w:color w:val="000000"/>
          <w:sz w:val="22"/>
          <w:szCs w:val="22"/>
        </w:rPr>
        <w:lastRenderedPageBreak/>
        <w:t>Instituto o ante la Unidad de Transparencia que haya conocido de la solicitud dentro de los quince días hábiles, siguientes a la fecha de la notificación de la respuesta.</w:t>
      </w:r>
    </w:p>
    <w:p w14:paraId="52B57C93" w14:textId="77777777" w:rsidR="00B30F4B" w:rsidRDefault="00B30F4B">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1778F5B6" w14:textId="77777777" w:rsidR="00B30F4B" w:rsidRDefault="00761BA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 falta de respuesta del sujeto obligado, dentro de los plazos establecidos en esta Ley, a una solicitud de acceso a la información pública, el recurso podrá ser interpuesto en cualquier momento</w:t>
      </w:r>
      <w:r>
        <w:rPr>
          <w:rFonts w:ascii="Palatino Linotype" w:eastAsia="Palatino Linotype" w:hAnsi="Palatino Linotype" w:cs="Palatino Linotype"/>
          <w:i/>
          <w:color w:val="000000"/>
          <w:sz w:val="22"/>
          <w:szCs w:val="22"/>
        </w:rPr>
        <w:t>, acompañado con el documento que pruebe la fecha en que presentó la solicitud.</w:t>
      </w:r>
    </w:p>
    <w:p w14:paraId="16770696" w14:textId="77777777" w:rsidR="00B30F4B" w:rsidRDefault="00B30F4B">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6F445632" w14:textId="77777777" w:rsidR="00B30F4B" w:rsidRDefault="00761BA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de que se interponga ante la Unidad de Transparencia, ésta deberá remitir el recurso de revisión al Instituto a más tardar al día siguiente de haberlo recibido.”</w:t>
      </w:r>
    </w:p>
    <w:p w14:paraId="2BABB4BA" w14:textId="77777777" w:rsidR="00B30F4B" w:rsidRDefault="00B30F4B">
      <w:pPr>
        <w:pBdr>
          <w:top w:val="nil"/>
          <w:left w:val="nil"/>
          <w:bottom w:val="nil"/>
          <w:right w:val="nil"/>
          <w:between w:val="nil"/>
        </w:pBdr>
        <w:ind w:left="567" w:right="567"/>
        <w:jc w:val="both"/>
        <w:rPr>
          <w:rFonts w:ascii="Palatino Linotype" w:eastAsia="Palatino Linotype" w:hAnsi="Palatino Linotype" w:cs="Palatino Linotype"/>
          <w:i/>
          <w:color w:val="000000"/>
          <w:sz w:val="28"/>
          <w:szCs w:val="28"/>
        </w:rPr>
      </w:pPr>
    </w:p>
    <w:p w14:paraId="75410115"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59D387B3" w14:textId="77777777" w:rsidR="00B30F4B" w:rsidRDefault="00761BA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referir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omitió señalar nombre, como se advierte en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309CEA6" w14:textId="77777777" w:rsidR="00B30F4B" w:rsidRDefault="00761BA1">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4A496A01"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D748EF0"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w:t>
      </w:r>
      <w:proofErr w:type="gramStart"/>
      <w:r>
        <w:rPr>
          <w:rFonts w:ascii="Palatino Linotype" w:eastAsia="Palatino Linotype" w:hAnsi="Palatino Linotype" w:cs="Palatino Linotype"/>
        </w:rPr>
        <w:t>artículo  179</w:t>
      </w:r>
      <w:proofErr w:type="gramEnd"/>
      <w:r>
        <w:rPr>
          <w:rFonts w:ascii="Palatino Linotype" w:eastAsia="Palatino Linotype" w:hAnsi="Palatino Linotype" w:cs="Palatino Linotype"/>
        </w:rPr>
        <w:t>, fracción VII del ordenamiento legal citado, que a la letra dice: </w:t>
      </w:r>
    </w:p>
    <w:p w14:paraId="7B9C8093" w14:textId="77777777" w:rsidR="00B30F4B" w:rsidRDefault="00761BA1">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DFD7D1D" w14:textId="77777777" w:rsidR="00B30F4B" w:rsidRDefault="00761BA1">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40B5A929" w14:textId="77777777" w:rsidR="00B30F4B" w:rsidRDefault="00761BA1">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 La falta de respuesta a una solicitud de acceso a la información;</w:t>
      </w:r>
      <w:r>
        <w:rPr>
          <w:rFonts w:ascii="Palatino Linotype" w:eastAsia="Palatino Linotype" w:hAnsi="Palatino Linotype" w:cs="Palatino Linotype"/>
          <w:b/>
          <w:i/>
          <w:sz w:val="22"/>
          <w:szCs w:val="22"/>
        </w:rPr>
        <w:br/>
      </w:r>
      <w:r>
        <w:rPr>
          <w:rFonts w:ascii="Palatino Linotype" w:eastAsia="Palatino Linotype" w:hAnsi="Palatino Linotype" w:cs="Palatino Linotype"/>
          <w:b/>
          <w:i/>
          <w:sz w:val="22"/>
          <w:szCs w:val="22"/>
        </w:rPr>
        <w:br/>
        <w:t>…</w:t>
      </w:r>
      <w:r>
        <w:rPr>
          <w:rFonts w:ascii="Palatino Linotype" w:eastAsia="Palatino Linotype" w:hAnsi="Palatino Linotype" w:cs="Palatino Linotype"/>
          <w:i/>
          <w:sz w:val="22"/>
          <w:szCs w:val="22"/>
        </w:rPr>
        <w:t>”</w:t>
      </w:r>
    </w:p>
    <w:p w14:paraId="14276BC1"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precepto legal citado, establece como supuesto de procedencia del recurso de revisión, en aquellos casos en que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estime negado el acceso a la información por la falta de respuesta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este asunto se actualiza la hipótesis jurídica citada, en atención a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combate </w:t>
      </w:r>
      <w:r>
        <w:rPr>
          <w:rFonts w:ascii="Palatino Linotype" w:eastAsia="Palatino Linotype" w:hAnsi="Palatino Linotype" w:cs="Palatino Linotype"/>
        </w:rPr>
        <w:lastRenderedPageBreak/>
        <w:t xml:space="preserve">falta de trámite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expresa motivos de inconformidad en contra de dicha circunstancia.</w:t>
      </w:r>
    </w:p>
    <w:p w14:paraId="475D8721" w14:textId="77777777" w:rsidR="00B30F4B" w:rsidRDefault="00761BA1">
      <w:pPr>
        <w:tabs>
          <w:tab w:val="left" w:pos="8647"/>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Este Organismo Garante procede del análisis de los agravios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fin de determinar si se violenta en perjuicio de éste, el derecho de acceso a la información previsto en la Constitución Política de los Estados Unidos Mexicanos y en la Constitución Política del Estado Libre y Soberano de México. </w:t>
      </w:r>
    </w:p>
    <w:p w14:paraId="6A15E9C8"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5B693F7" w14:textId="77777777" w:rsidR="00B30F4B" w:rsidRDefault="00761BA1">
      <w:pPr>
        <w:tabs>
          <w:tab w:val="left" w:pos="709"/>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85763AB" w14:textId="77777777" w:rsidR="00B30F4B" w:rsidRDefault="00761BA1">
      <w:pPr>
        <w:tabs>
          <w:tab w:val="left" w:pos="709"/>
        </w:tabs>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B97510B" w14:textId="77777777" w:rsidR="00B30F4B" w:rsidRDefault="00761BA1">
      <w:pPr>
        <w:tabs>
          <w:tab w:val="left" w:pos="709"/>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w:t>
      </w:r>
      <w:r>
        <w:rPr>
          <w:rFonts w:ascii="Palatino Linotype" w:eastAsia="Palatino Linotype" w:hAnsi="Palatino Linotype" w:cs="Palatino Linotype"/>
          <w:i/>
          <w:sz w:val="22"/>
          <w:szCs w:val="22"/>
        </w:rPr>
        <w:lastRenderedPageBreak/>
        <w:t>deberá prevenir, investigar, sancionar y reparar las violaciones a los derechos humanos, en los términos que establezca la ley</w:t>
      </w:r>
    </w:p>
    <w:p w14:paraId="370CD622" w14:textId="77777777" w:rsidR="00B30F4B" w:rsidRDefault="00761BA1">
      <w:pPr>
        <w:tabs>
          <w:tab w:val="left" w:pos="709"/>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7FA69B"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76272A06"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7841E58"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028CF19C"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41DA6C4"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9396C8"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90C3E84" w14:textId="77777777" w:rsidR="00B30F4B" w:rsidRDefault="00761BA1">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5C708D9"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FAB3DD4"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776FD56A"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85B36D3"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E53051B" w14:textId="77777777" w:rsidR="00B30F4B" w:rsidRDefault="00B30F4B">
      <w:pPr>
        <w:ind w:left="851" w:right="616"/>
        <w:jc w:val="both"/>
        <w:rPr>
          <w:rFonts w:ascii="Palatino Linotype" w:eastAsia="Palatino Linotype" w:hAnsi="Palatino Linotype" w:cs="Palatino Linotype"/>
          <w:i/>
          <w:sz w:val="22"/>
          <w:szCs w:val="22"/>
        </w:rPr>
      </w:pPr>
    </w:p>
    <w:p w14:paraId="51F7CF73"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DE4552"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C162CC3"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9C003BD"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65C4DC5"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E202575" w14:textId="77777777" w:rsidR="00B30F4B" w:rsidRDefault="00B30F4B">
      <w:pPr>
        <w:ind w:right="616"/>
        <w:jc w:val="both"/>
        <w:rPr>
          <w:rFonts w:ascii="Palatino Linotype" w:eastAsia="Palatino Linotype" w:hAnsi="Palatino Linotype" w:cs="Palatino Linotype"/>
          <w:i/>
          <w:sz w:val="22"/>
          <w:szCs w:val="22"/>
        </w:rPr>
      </w:pPr>
    </w:p>
    <w:p w14:paraId="5249B765" w14:textId="77777777" w:rsidR="00B30F4B" w:rsidRDefault="00761BA1">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710D78E0" w14:textId="77777777" w:rsidR="00B30F4B" w:rsidRDefault="00761BA1">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14:paraId="2CE32BC0" w14:textId="77777777" w:rsidR="00B30F4B" w:rsidRDefault="00761BA1">
      <w:pPr>
        <w:spacing w:before="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21240B0"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Pr>
          <w:rFonts w:ascii="Palatino Linotype" w:eastAsia="Palatino Linotype" w:hAnsi="Palatino Linotype" w:cs="Palatino Linotype"/>
          <w:b/>
          <w:i/>
          <w:sz w:val="22"/>
          <w:szCs w:val="22"/>
        </w:rPr>
        <w:lastRenderedPageBreak/>
        <w:t>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4874E8"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3B9C15F" w14:textId="77777777" w:rsidR="00B30F4B" w:rsidRDefault="00B30F4B">
      <w:pPr>
        <w:ind w:left="851" w:right="760"/>
        <w:jc w:val="both"/>
        <w:rPr>
          <w:rFonts w:ascii="Palatino Linotype" w:eastAsia="Palatino Linotype" w:hAnsi="Palatino Linotype" w:cs="Palatino Linotype"/>
          <w:i/>
        </w:rPr>
      </w:pPr>
    </w:p>
    <w:p w14:paraId="483C323A"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85FB74F"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B081C2E"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12DD952" w14:textId="77777777" w:rsidR="00B30F4B" w:rsidRDefault="00B30F4B">
      <w:pPr>
        <w:spacing w:line="360" w:lineRule="auto"/>
        <w:ind w:right="-93"/>
        <w:jc w:val="both"/>
        <w:rPr>
          <w:rFonts w:ascii="Palatino Linotype" w:eastAsia="Palatino Linotype" w:hAnsi="Palatino Linotype" w:cs="Palatino Linotype"/>
          <w:color w:val="000000"/>
        </w:rPr>
      </w:pPr>
    </w:p>
    <w:p w14:paraId="76F6D2A3" w14:textId="77777777" w:rsidR="00B30F4B" w:rsidRDefault="00761BA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5FBABBA" w14:textId="77777777" w:rsidR="00B30F4B" w:rsidRDefault="00B30F4B">
      <w:pPr>
        <w:spacing w:line="360" w:lineRule="auto"/>
        <w:jc w:val="both"/>
        <w:rPr>
          <w:rFonts w:ascii="Palatino Linotype" w:eastAsia="Palatino Linotype" w:hAnsi="Palatino Linotype" w:cs="Palatino Linotype"/>
          <w:color w:val="000000"/>
        </w:rPr>
      </w:pPr>
    </w:p>
    <w:p w14:paraId="52F7E9CB" w14:textId="77777777" w:rsidR="00B30F4B" w:rsidRDefault="00761BA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BD0E7E4" w14:textId="77777777" w:rsidR="00B30F4B" w:rsidRDefault="00B30F4B">
      <w:pPr>
        <w:spacing w:line="360" w:lineRule="auto"/>
        <w:ind w:right="49"/>
        <w:jc w:val="both"/>
        <w:rPr>
          <w:rFonts w:ascii="Palatino Linotype" w:eastAsia="Palatino Linotype" w:hAnsi="Palatino Linotype" w:cs="Palatino Linotype"/>
        </w:rPr>
      </w:pPr>
    </w:p>
    <w:p w14:paraId="685CD2D1" w14:textId="77777777" w:rsidR="00B30F4B" w:rsidRDefault="00761BA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4C109695" w14:textId="77777777" w:rsidR="00B30F4B" w:rsidRDefault="00B30F4B">
      <w:pPr>
        <w:spacing w:line="360" w:lineRule="auto"/>
        <w:jc w:val="both"/>
        <w:rPr>
          <w:rFonts w:ascii="Palatino Linotype" w:eastAsia="Palatino Linotype" w:hAnsi="Palatino Linotype" w:cs="Palatino Linotype"/>
        </w:rPr>
      </w:pPr>
    </w:p>
    <w:p w14:paraId="336DB93B"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1367E3E1" w14:textId="77777777" w:rsidR="00B30F4B" w:rsidRDefault="00B30F4B">
      <w:pPr>
        <w:ind w:left="851" w:right="616"/>
        <w:jc w:val="both"/>
        <w:rPr>
          <w:rFonts w:ascii="Palatino Linotype" w:eastAsia="Palatino Linotype" w:hAnsi="Palatino Linotype" w:cs="Palatino Linotype"/>
          <w:b/>
          <w:i/>
          <w:sz w:val="22"/>
          <w:szCs w:val="22"/>
        </w:rPr>
      </w:pPr>
    </w:p>
    <w:p w14:paraId="139DE13E"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2AD6CB56" w14:textId="77777777" w:rsidR="00B30F4B" w:rsidRDefault="00B30F4B">
      <w:pPr>
        <w:ind w:left="851" w:right="616"/>
        <w:jc w:val="both"/>
        <w:rPr>
          <w:rFonts w:ascii="Palatino Linotype" w:eastAsia="Palatino Linotype" w:hAnsi="Palatino Linotype" w:cs="Palatino Linotype"/>
          <w:i/>
          <w:sz w:val="22"/>
          <w:szCs w:val="22"/>
        </w:rPr>
      </w:pPr>
    </w:p>
    <w:p w14:paraId="0D43647B"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6D728C09" w14:textId="77777777" w:rsidR="00B30F4B" w:rsidRDefault="00B30F4B">
      <w:pPr>
        <w:ind w:left="851" w:right="616"/>
        <w:jc w:val="both"/>
        <w:rPr>
          <w:rFonts w:ascii="Palatino Linotype" w:eastAsia="Palatino Linotype" w:hAnsi="Palatino Linotype" w:cs="Palatino Linotype"/>
          <w:i/>
          <w:sz w:val="22"/>
          <w:szCs w:val="22"/>
        </w:rPr>
      </w:pPr>
    </w:p>
    <w:p w14:paraId="5E732ECD"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el sujeto obligado, en el ejercicio de sus atribuciones, debía generar, poseer o administrar la información, pero ésta no se encuentra, el Comité de transparencia </w:t>
      </w:r>
      <w:r>
        <w:rPr>
          <w:rFonts w:ascii="Palatino Linotype" w:eastAsia="Palatino Linotype" w:hAnsi="Palatino Linotype" w:cs="Palatino Linotype"/>
          <w:i/>
          <w:sz w:val="22"/>
          <w:szCs w:val="22"/>
        </w:rPr>
        <w:lastRenderedPageBreak/>
        <w:t>deberá emitir un acuerdo de inexistencia, debidamente fundado y motivado, en el que detalle las razones del por qué no obra en sus archivos.</w:t>
      </w:r>
    </w:p>
    <w:p w14:paraId="03D7604B" w14:textId="77777777" w:rsidR="00B30F4B" w:rsidRDefault="00B30F4B">
      <w:pPr>
        <w:ind w:left="851" w:right="851"/>
        <w:jc w:val="both"/>
        <w:rPr>
          <w:rFonts w:ascii="Palatino Linotype" w:eastAsia="Palatino Linotype" w:hAnsi="Palatino Linotype" w:cs="Palatino Linotype"/>
          <w:i/>
          <w:sz w:val="22"/>
          <w:szCs w:val="22"/>
        </w:rPr>
      </w:pPr>
    </w:p>
    <w:p w14:paraId="7895CD59" w14:textId="77777777" w:rsidR="00B30F4B" w:rsidRDefault="00761BA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25F3C0B3" w14:textId="77777777" w:rsidR="00B30F4B" w:rsidRDefault="00B30F4B">
      <w:pPr>
        <w:spacing w:line="360" w:lineRule="auto"/>
        <w:jc w:val="both"/>
        <w:rPr>
          <w:rFonts w:ascii="Palatino Linotype" w:eastAsia="Palatino Linotype" w:hAnsi="Palatino Linotype" w:cs="Palatino Linotype"/>
        </w:rPr>
      </w:pPr>
    </w:p>
    <w:p w14:paraId="13346620" w14:textId="77777777" w:rsidR="00B30F4B" w:rsidRDefault="00761BA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C3E9DF5" w14:textId="77777777" w:rsidR="00B30F4B" w:rsidRDefault="00B30F4B">
      <w:pPr>
        <w:spacing w:line="360" w:lineRule="auto"/>
        <w:jc w:val="both"/>
        <w:rPr>
          <w:rFonts w:ascii="Palatino Linotype" w:eastAsia="Palatino Linotype" w:hAnsi="Palatino Linotype" w:cs="Palatino Linotype"/>
        </w:rPr>
      </w:pPr>
    </w:p>
    <w:p w14:paraId="693EB304" w14:textId="77777777" w:rsidR="00B30F4B" w:rsidRDefault="00761BA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56699B0" w14:textId="77777777" w:rsidR="00B30F4B" w:rsidRDefault="00B30F4B">
      <w:pPr>
        <w:ind w:left="851" w:right="899"/>
        <w:jc w:val="both"/>
        <w:rPr>
          <w:rFonts w:ascii="Palatino Linotype" w:eastAsia="Palatino Linotype" w:hAnsi="Palatino Linotype" w:cs="Palatino Linotype"/>
          <w:i/>
          <w:sz w:val="22"/>
          <w:szCs w:val="22"/>
        </w:rPr>
      </w:pPr>
    </w:p>
    <w:p w14:paraId="6C22CABA" w14:textId="77777777" w:rsidR="00B30F4B" w:rsidRDefault="00761BA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0DC840F4" w14:textId="77777777" w:rsidR="00B30F4B" w:rsidRDefault="00761BA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56707C06" w14:textId="77777777" w:rsidR="00B30F4B" w:rsidRDefault="00761BA1">
      <w:pP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Pr>
          <w:rFonts w:ascii="Palatino Linotype" w:eastAsia="Palatino Linotype" w:hAnsi="Palatino Linotype" w:cs="Palatino Linotype"/>
          <w:b/>
          <w:i/>
          <w:color w:val="000000"/>
          <w:sz w:val="22"/>
          <w:szCs w:val="22"/>
          <w:u w:val="single"/>
        </w:rPr>
        <w:t>registro que documente el ejercicio de las facultades, funciones y competencias de los sujetos obligados</w:t>
      </w:r>
      <w:r>
        <w:rPr>
          <w:rFonts w:ascii="Palatino Linotype" w:eastAsia="Palatino Linotype" w:hAnsi="Palatino Linotype" w:cs="Palatino Linotype"/>
          <w:i/>
          <w:color w:val="000000"/>
          <w:sz w:val="22"/>
          <w:szCs w:val="22"/>
        </w:rPr>
        <w:t xml:space="preserve">, sus servidores públicos e integrantes, sin importar su fuente o fecha de elaboración. Los documentos podrán estar en cualquier medio, sea escrito, impreso, sonoro, visual, </w:t>
      </w:r>
      <w:r>
        <w:rPr>
          <w:rFonts w:ascii="Palatino Linotype" w:eastAsia="Palatino Linotype" w:hAnsi="Palatino Linotype" w:cs="Palatino Linotype"/>
          <w:b/>
          <w:i/>
          <w:color w:val="000000"/>
          <w:sz w:val="22"/>
          <w:szCs w:val="22"/>
          <w:u w:val="single"/>
        </w:rPr>
        <w:t>electrónico, informático</w:t>
      </w:r>
      <w:r>
        <w:rPr>
          <w:rFonts w:ascii="Palatino Linotype" w:eastAsia="Palatino Linotype" w:hAnsi="Palatino Linotype" w:cs="Palatino Linotype"/>
          <w:i/>
          <w:color w:val="000000"/>
          <w:sz w:val="22"/>
          <w:szCs w:val="22"/>
        </w:rPr>
        <w:t xml:space="preserve"> u holográfico…” (Sic)</w:t>
      </w:r>
    </w:p>
    <w:p w14:paraId="3452D28A" w14:textId="77777777" w:rsidR="00B30F4B" w:rsidRDefault="00B30F4B">
      <w:pPr>
        <w:ind w:left="851" w:right="899"/>
        <w:jc w:val="both"/>
        <w:rPr>
          <w:rFonts w:ascii="Palatino Linotype" w:eastAsia="Palatino Linotype" w:hAnsi="Palatino Linotype" w:cs="Palatino Linotype"/>
          <w:sz w:val="22"/>
          <w:szCs w:val="22"/>
        </w:rPr>
      </w:pPr>
    </w:p>
    <w:p w14:paraId="6863C23C" w14:textId="77777777" w:rsidR="00B30F4B" w:rsidRDefault="00761BA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1F6A49" w14:textId="77777777" w:rsidR="00B30F4B" w:rsidRDefault="00B30F4B">
      <w:pPr>
        <w:ind w:left="851" w:right="899"/>
        <w:jc w:val="both"/>
        <w:rPr>
          <w:rFonts w:ascii="Palatino Linotype" w:eastAsia="Palatino Linotype" w:hAnsi="Palatino Linotype" w:cs="Palatino Linotype"/>
        </w:rPr>
      </w:pPr>
    </w:p>
    <w:p w14:paraId="0E3D6158" w14:textId="77777777" w:rsidR="00B30F4B" w:rsidRDefault="00761BA1">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3CC12E1"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6FD3E7F"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C53522C"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03843921"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029063FC" w14:textId="77777777" w:rsidR="00B30F4B" w:rsidRDefault="00761BA1">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encuentre en posesión de los Sujetos Obligados.” </w:t>
      </w:r>
    </w:p>
    <w:p w14:paraId="7858687A" w14:textId="77777777" w:rsidR="00B30F4B" w:rsidRDefault="00761BA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2ACF76C"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Agotado lo anterior, de la materia de la solicitud de información planteada por la </w:t>
      </w:r>
      <w:proofErr w:type="gramStart"/>
      <w:r>
        <w:rPr>
          <w:rFonts w:ascii="Palatino Linotype" w:eastAsia="Palatino Linotype" w:hAnsi="Palatino Linotype" w:cs="Palatino Linotype"/>
        </w:rPr>
        <w:t>ahora  parte</w:t>
      </w:r>
      <w:proofErr w:type="gramEnd"/>
      <w:r>
        <w:rPr>
          <w:rFonts w:ascii="Palatino Linotype" w:eastAsia="Palatino Linotype" w:hAnsi="Palatino Linotype" w:cs="Palatino Linotype"/>
        </w:rPr>
        <w:t xml:space="preserve"> recurrente, se precisa que fueron solicitadas las documentales donde constaran los comprobantes de pago al ISSEMyM durante el ejercicio fiscal 2022, situación que fue soslayada por el </w:t>
      </w:r>
      <w:r>
        <w:rPr>
          <w:rFonts w:ascii="Palatino Linotype" w:eastAsia="Palatino Linotype" w:hAnsi="Palatino Linotype" w:cs="Palatino Linotype"/>
          <w:b/>
        </w:rPr>
        <w:t xml:space="preserve">Sujeto Obligando </w:t>
      </w:r>
      <w:r>
        <w:rPr>
          <w:rFonts w:ascii="Palatino Linotype" w:eastAsia="Palatino Linotype" w:hAnsi="Palatino Linotype" w:cs="Palatino Linotype"/>
        </w:rPr>
        <w:t xml:space="preserve">al ser omiso en dar atención al requerimiento en cuestión. </w:t>
      </w:r>
    </w:p>
    <w:p w14:paraId="709CD8C0"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tal como quedó acotado en el antecedente cuarto,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informe justificado remite la documental </w:t>
      </w:r>
      <w:proofErr w:type="gramStart"/>
      <w:r>
        <w:rPr>
          <w:rFonts w:ascii="Palatino Linotype" w:eastAsia="Palatino Linotype" w:hAnsi="Palatino Linotype" w:cs="Palatino Linotype"/>
        </w:rPr>
        <w:t>denominada  “</w:t>
      </w:r>
      <w:proofErr w:type="gramEnd"/>
      <w:r>
        <w:rPr>
          <w:rFonts w:ascii="Palatino Linotype" w:eastAsia="Palatino Linotype" w:hAnsi="Palatino Linotype" w:cs="Palatino Linotype"/>
          <w:b/>
          <w:i/>
        </w:rPr>
        <w:t xml:space="preserve">respuesta de solicitud </w:t>
      </w:r>
      <w:r>
        <w:rPr>
          <w:rFonts w:ascii="Palatino Linotype" w:eastAsia="Palatino Linotype" w:hAnsi="Palatino Linotype" w:cs="Palatino Linotype"/>
          <w:b/>
          <w:i/>
        </w:rPr>
        <w:lastRenderedPageBreak/>
        <w:t xml:space="preserve">1449-22.pdf “ </w:t>
      </w:r>
      <w:r>
        <w:rPr>
          <w:rFonts w:ascii="Palatino Linotype" w:eastAsia="Palatino Linotype" w:hAnsi="Palatino Linotype" w:cs="Palatino Linotype"/>
        </w:rPr>
        <w:t xml:space="preserve">de cuyo contenido se advierte que no niega conocer de la naturaleza de la información peticionada por el particular, por el contrario señala que la misma puede ser consultada en la página oficial del Ayuntamiento de Zinacantepec sin que se haya adjuntado la liga electrónica.  </w:t>
      </w:r>
    </w:p>
    <w:p w14:paraId="4C343AF4" w14:textId="77777777" w:rsidR="00B30F4B" w:rsidRDefault="00761BA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anteriormente expuesto, este Organismo Garante determina </w:t>
      </w:r>
      <w:proofErr w:type="gramStart"/>
      <w:r>
        <w:rPr>
          <w:rFonts w:ascii="Palatino Linotype" w:eastAsia="Palatino Linotype" w:hAnsi="Palatino Linotype" w:cs="Palatino Linotype"/>
        </w:rPr>
        <w:t>que  los</w:t>
      </w:r>
      <w:proofErr w:type="gramEnd"/>
      <w:r>
        <w:rPr>
          <w:rFonts w:ascii="Palatino Linotype" w:eastAsia="Palatino Linotype" w:hAnsi="Palatino Linotype" w:cs="Palatino Linotype"/>
        </w:rPr>
        <w:t xml:space="preserve"> motivos de inconformidad 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toda vez que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manifestó que no se le entregó la información, aunado a las consideraciones de hecho y derecho que se precisan en párrafos posteriores. </w:t>
      </w:r>
    </w:p>
    <w:p w14:paraId="0AC69090"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en primer lugar, debemos traer a colación el artículo 161</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el cual establece las características que debe tener la información desde el momento de su generación, publicación y entrega; de igual manera se contempla el procedimiento a seguir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EA4A9B1" w14:textId="77777777" w:rsidR="00B30F4B" w:rsidRDefault="00761BA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a) La fuente</w:t>
      </w:r>
    </w:p>
    <w:p w14:paraId="0E0EF326" w14:textId="77777777" w:rsidR="00B30F4B" w:rsidRDefault="00761BA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b) El lugar y</w:t>
      </w:r>
    </w:p>
    <w:p w14:paraId="6E92B86B" w14:textId="77777777" w:rsidR="00B30F4B" w:rsidRDefault="00761BA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c) La forma</w:t>
      </w:r>
    </w:p>
    <w:p w14:paraId="0DB9C2E1" w14:textId="77777777" w:rsidR="00B30F4B" w:rsidRDefault="00761BA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 establece que la fuente de la información deberá ser:</w:t>
      </w:r>
    </w:p>
    <w:p w14:paraId="2A75FBB2" w14:textId="77777777" w:rsidR="00B30F4B" w:rsidRDefault="00761BA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a) Precisa</w:t>
      </w:r>
    </w:p>
    <w:p w14:paraId="0B4599DC" w14:textId="77777777" w:rsidR="00B30F4B" w:rsidRDefault="00761BA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b) Concreta</w:t>
      </w:r>
    </w:p>
    <w:p w14:paraId="082C3743" w14:textId="77777777" w:rsidR="00B30F4B" w:rsidRDefault="00761BA1">
      <w:pPr>
        <w:spacing w:before="240" w:after="240" w:line="276" w:lineRule="auto"/>
        <w:ind w:left="284" w:right="49"/>
        <w:jc w:val="both"/>
        <w:rPr>
          <w:rFonts w:ascii="Palatino Linotype" w:eastAsia="Palatino Linotype" w:hAnsi="Palatino Linotype" w:cs="Palatino Linotype"/>
          <w:color w:val="FF0000"/>
        </w:rPr>
      </w:pPr>
      <w:r>
        <w:rPr>
          <w:rFonts w:ascii="Palatino Linotype" w:eastAsia="Palatino Linotype" w:hAnsi="Palatino Linotype" w:cs="Palatino Linotype"/>
        </w:rPr>
        <w:t>c) Y no debe implicar que el solicitante realice una búsqueda en toda la información que se encuentre disponible</w:t>
      </w:r>
      <w:r>
        <w:rPr>
          <w:rFonts w:ascii="Palatino Linotype" w:eastAsia="Palatino Linotype" w:hAnsi="Palatino Linotype" w:cs="Palatino Linotype"/>
          <w:color w:val="FF0000"/>
        </w:rPr>
        <w:t>.</w:t>
      </w:r>
    </w:p>
    <w:p w14:paraId="2350AA82" w14:textId="77777777" w:rsidR="00B30F4B" w:rsidRDefault="00761BA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Imperativos legales que establecen el procedimiento que debe seguir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pueda tomarse como válida su orientación sobre la forma en que puede consultar la información requerida.</w:t>
      </w:r>
    </w:p>
    <w:p w14:paraId="68A9F44C"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no escapa de la óptica que el Sujeto Obligado por vía del titular de la Unidad de Transparencia refirió mediante su informe justificado que la información del interés del particular se podría consultar en su portal oficial, razón suficiente a efectos de que este Instituto procedió a consultar el portal mencionado, a efecto de determinar si su pronunciamiento colma el requerimiento del particular, para ello resulta conveniente traer a colación las siguiente captura de pantalla: </w:t>
      </w:r>
    </w:p>
    <w:p w14:paraId="5B0DF4DA" w14:textId="77777777" w:rsidR="00B30F4B" w:rsidRDefault="00761BA1">
      <w:pPr>
        <w:spacing w:before="240" w:after="240" w:line="360" w:lineRule="auto"/>
        <w:jc w:val="both"/>
        <w:rPr>
          <w:rFonts w:ascii="Palatino Linotype" w:eastAsia="Palatino Linotype" w:hAnsi="Palatino Linotype" w:cs="Palatino Linotype"/>
          <w:color w:val="FF0000"/>
        </w:rPr>
      </w:pPr>
      <w:r>
        <w:rPr>
          <w:noProof/>
          <w:lang w:val="es-MX"/>
        </w:rPr>
        <w:lastRenderedPageBreak/>
        <w:drawing>
          <wp:inline distT="0" distB="0" distL="0" distR="0" wp14:anchorId="7928A681" wp14:editId="27888AF1">
            <wp:extent cx="5048920" cy="284797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5020" t="6015" r="18234" b="9763"/>
                    <a:stretch>
                      <a:fillRect/>
                    </a:stretch>
                  </pic:blipFill>
                  <pic:spPr>
                    <a:xfrm>
                      <a:off x="0" y="0"/>
                      <a:ext cx="5048920" cy="2847970"/>
                    </a:xfrm>
                    <a:prstGeom prst="rect">
                      <a:avLst/>
                    </a:prstGeom>
                    <a:ln/>
                  </pic:spPr>
                </pic:pic>
              </a:graphicData>
            </a:graphic>
          </wp:inline>
        </w:drawing>
      </w:r>
    </w:p>
    <w:p w14:paraId="417748F4" w14:textId="77777777" w:rsidR="00B30F4B" w:rsidRDefault="00B30F4B">
      <w:pPr>
        <w:spacing w:before="240" w:line="360" w:lineRule="auto"/>
        <w:jc w:val="both"/>
        <w:rPr>
          <w:rFonts w:ascii="Palatino Linotype" w:eastAsia="Palatino Linotype" w:hAnsi="Palatino Linotype" w:cs="Palatino Linotype"/>
          <w:color w:val="FF0000"/>
        </w:rPr>
      </w:pPr>
    </w:p>
    <w:p w14:paraId="183698DA" w14:textId="77777777" w:rsidR="00B30F4B" w:rsidRDefault="00761BA1">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que consecuentemente, nos encontramos ante una búsqueda que el particular tendría que efectuar dentro del portal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a efecto de localizar la información requerida, es por ello que en la óptica de este Organismo </w:t>
      </w:r>
      <w:proofErr w:type="gramStart"/>
      <w:r>
        <w:rPr>
          <w:rFonts w:ascii="Palatino Linotype" w:eastAsia="Palatino Linotype" w:hAnsi="Palatino Linotype" w:cs="Palatino Linotype"/>
        </w:rPr>
        <w:t>Garante  no</w:t>
      </w:r>
      <w:proofErr w:type="gramEnd"/>
      <w:r>
        <w:rPr>
          <w:rFonts w:ascii="Palatino Linotype" w:eastAsia="Palatino Linotype" w:hAnsi="Palatino Linotype" w:cs="Palatino Linotype"/>
        </w:rPr>
        <w:t xml:space="preserve"> se tiene por satisfecho el derecho de acceso a la información del particular. </w:t>
      </w:r>
    </w:p>
    <w:p w14:paraId="01929F5E" w14:textId="77777777" w:rsidR="00B30F4B" w:rsidRDefault="00761BA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considerando el pronunciamiento de que la información que peticiona el particular se encuentra pública en su página oficial deriva únicamente del Titular de la Unidad de Transparencia, resulta evidente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w:t>
      </w:r>
      <w:r>
        <w:rPr>
          <w:rFonts w:ascii="Palatino Linotype" w:eastAsia="Palatino Linotype" w:hAnsi="Palatino Linotype" w:cs="Palatino Linotype"/>
        </w:rPr>
        <w:lastRenderedPageBreak/>
        <w:t xml:space="preserve">facultades, competencias y funciones, </w:t>
      </w:r>
      <w:r>
        <w:rPr>
          <w:rFonts w:ascii="Palatino Linotype" w:eastAsia="Palatino Linotype" w:hAnsi="Palatino Linotype" w:cs="Palatino Linotype"/>
          <w:b/>
          <w:u w:val="single"/>
        </w:rPr>
        <w:t>con el objeto de que realicen una búsqueda exhaustiva y razonable de la información solicitada</w:t>
      </w:r>
      <w:r>
        <w:rPr>
          <w:rFonts w:ascii="Palatino Linotype" w:eastAsia="Palatino Linotype" w:hAnsi="Palatino Linotype" w:cs="Palatino Linotype"/>
        </w:rPr>
        <w:t xml:space="preserve">, disposiciones de la Ley de la materia que señalan: </w:t>
      </w:r>
    </w:p>
    <w:p w14:paraId="70F88727" w14:textId="77777777" w:rsidR="00B30F4B" w:rsidRDefault="00B30F4B">
      <w:pPr>
        <w:jc w:val="both"/>
        <w:rPr>
          <w:rFonts w:ascii="Palatino Linotype" w:eastAsia="Palatino Linotype" w:hAnsi="Palatino Linotype" w:cs="Palatino Linotype"/>
          <w:sz w:val="22"/>
          <w:szCs w:val="22"/>
        </w:rPr>
      </w:pPr>
    </w:p>
    <w:p w14:paraId="0965D13E"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2218F019" w14:textId="77777777" w:rsidR="00B30F4B" w:rsidRDefault="00B30F4B">
      <w:pPr>
        <w:ind w:left="567" w:right="618"/>
        <w:jc w:val="both"/>
        <w:rPr>
          <w:rFonts w:ascii="Palatino Linotype" w:eastAsia="Palatino Linotype" w:hAnsi="Palatino Linotype" w:cs="Palatino Linotype"/>
          <w:i/>
          <w:sz w:val="22"/>
          <w:szCs w:val="22"/>
        </w:rPr>
      </w:pPr>
    </w:p>
    <w:p w14:paraId="31BFA7E1"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0983071" w14:textId="77777777" w:rsidR="00B30F4B" w:rsidRDefault="00B30F4B">
      <w:pPr>
        <w:ind w:left="567" w:right="618"/>
        <w:jc w:val="both"/>
        <w:rPr>
          <w:rFonts w:ascii="Palatino Linotype" w:eastAsia="Palatino Linotype" w:hAnsi="Palatino Linotype" w:cs="Palatino Linotype"/>
          <w:i/>
          <w:sz w:val="22"/>
          <w:szCs w:val="22"/>
        </w:rPr>
      </w:pPr>
    </w:p>
    <w:p w14:paraId="09872064"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Las Unidades de Transparencia tendrán las siguientes funciones:</w:t>
      </w:r>
    </w:p>
    <w:p w14:paraId="1FF25ECB"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02B49A5" w14:textId="77777777" w:rsidR="00B30F4B" w:rsidRDefault="00761BA1">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14:paraId="07B505C1"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46AA632D"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11AB99AE"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Entregar, en su caso, a los particulares la información solicitada;</w:t>
      </w:r>
    </w:p>
    <w:p w14:paraId="7F336400"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Efectuar las notificaciones a los solicitantes;</w:t>
      </w:r>
    </w:p>
    <w:p w14:paraId="71905240"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48B06400"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VIII. Proponer a quien preside el Comité de Transparencia, personal habilitado que sea necesario para recibir y dar trámite a las solicitudes de acceso a la información;</w:t>
      </w:r>
    </w:p>
    <w:p w14:paraId="31F92C7E"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3F2CA51B"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Presentar ante el Comité, el proyecto de clasificación de información;</w:t>
      </w:r>
    </w:p>
    <w:p w14:paraId="2EC6D3A7"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Promover e implementar políticas de transparencia proactiva procurando su accesibilidad;</w:t>
      </w:r>
    </w:p>
    <w:p w14:paraId="1CB27527"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Fomentar la transparencia y accesibilidad al interior del sujeto obligado;</w:t>
      </w:r>
    </w:p>
    <w:p w14:paraId="05451796"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46A694BB"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7FA4AF75"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BEC206D"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CA4D86D" w14:textId="77777777" w:rsidR="00B30F4B" w:rsidRDefault="00B30F4B">
      <w:pPr>
        <w:ind w:left="567" w:right="618"/>
        <w:jc w:val="both"/>
        <w:rPr>
          <w:rFonts w:ascii="Palatino Linotype" w:eastAsia="Palatino Linotype" w:hAnsi="Palatino Linotype" w:cs="Palatino Linotype"/>
          <w:i/>
          <w:sz w:val="22"/>
          <w:szCs w:val="22"/>
        </w:rPr>
      </w:pPr>
    </w:p>
    <w:p w14:paraId="3B0FBDEA"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Los servidores públicos habilitados tendrán las funciones siguientes:</w:t>
      </w:r>
    </w:p>
    <w:p w14:paraId="65F59E8F"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Localizar la información que le solicite la Unidad de Transparencia;</w:t>
      </w:r>
    </w:p>
    <w:p w14:paraId="1AD0CB03"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Proporcionar la información que obre en los archivos y que le sea solicitada por la Unidad de Transparencia;</w:t>
      </w:r>
    </w:p>
    <w:p w14:paraId="5708FD9E"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Apoyar a la Unidad de Transparencia en lo que esta le solicite para el cumplimiento de sus funciones;</w:t>
      </w:r>
    </w:p>
    <w:p w14:paraId="0EF673D6"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IV. Proporcionar a la Unidad de Transparencia, las modificaciones a la información pública de oficio que obre en su poder;</w:t>
      </w:r>
    </w:p>
    <w:p w14:paraId="1FC69FA0"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21E69086"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25431E87"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Dar cuenta a la Unidad de Transparencia del vencimiento de los plazos de reserva.</w:t>
      </w:r>
    </w:p>
    <w:p w14:paraId="1AF6DD37" w14:textId="77777777" w:rsidR="00B30F4B" w:rsidRDefault="00B30F4B">
      <w:pPr>
        <w:ind w:left="567" w:right="618"/>
        <w:jc w:val="both"/>
        <w:rPr>
          <w:rFonts w:ascii="Palatino Linotype" w:eastAsia="Palatino Linotype" w:hAnsi="Palatino Linotype" w:cs="Palatino Linotype"/>
          <w:i/>
          <w:sz w:val="22"/>
          <w:szCs w:val="22"/>
        </w:rPr>
      </w:pPr>
    </w:p>
    <w:p w14:paraId="0B9134FD" w14:textId="77777777" w:rsidR="00B30F4B" w:rsidRDefault="00761BA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CAA959D" w14:textId="77777777" w:rsidR="00B30F4B" w:rsidRDefault="00B30F4B">
      <w:pPr>
        <w:ind w:left="851" w:right="901"/>
        <w:jc w:val="both"/>
        <w:rPr>
          <w:rFonts w:ascii="Palatino Linotype" w:eastAsia="Palatino Linotype" w:hAnsi="Palatino Linotype" w:cs="Palatino Linotype"/>
          <w:i/>
          <w:color w:val="FF0000"/>
        </w:rPr>
      </w:pPr>
    </w:p>
    <w:p w14:paraId="173AA1B9" w14:textId="77777777" w:rsidR="00B30F4B" w:rsidRDefault="00761BA1">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w:t>
      </w:r>
      <w:r>
        <w:rPr>
          <w:rFonts w:ascii="Palatino Linotype" w:eastAsia="Palatino Linotype" w:hAnsi="Palatino Linotype" w:cs="Palatino Linotype"/>
          <w:b/>
        </w:rPr>
        <w:t xml:space="preserve">Sujeto </w:t>
      </w:r>
      <w:proofErr w:type="gramStart"/>
      <w:r>
        <w:rPr>
          <w:rFonts w:ascii="Palatino Linotype" w:eastAsia="Palatino Linotype" w:hAnsi="Palatino Linotype" w:cs="Palatino Linotype"/>
          <w:b/>
        </w:rPr>
        <w:t>Obligado</w:t>
      </w:r>
      <w:r>
        <w:rPr>
          <w:rFonts w:ascii="Palatino Linotype" w:eastAsia="Palatino Linotype" w:hAnsi="Palatino Linotype" w:cs="Palatino Linotype"/>
        </w:rPr>
        <w:t xml:space="preserve">  y</w:t>
      </w:r>
      <w:proofErr w:type="gramEnd"/>
      <w:r>
        <w:rPr>
          <w:rFonts w:ascii="Palatino Linotype" w:eastAsia="Palatino Linotype" w:hAnsi="Palatino Linotype" w:cs="Palatino Linotype"/>
        </w:rPr>
        <w:t xml:space="preserve"> los solicitantes, y tiene bajo su responsabilidad el tramitar internamente la solicitud de información.</w:t>
      </w:r>
    </w:p>
    <w:p w14:paraId="3F5AE915" w14:textId="77777777" w:rsidR="00B30F4B" w:rsidRDefault="00B30F4B">
      <w:pPr>
        <w:ind w:left="426"/>
        <w:jc w:val="both"/>
        <w:rPr>
          <w:rFonts w:ascii="Palatino Linotype" w:eastAsia="Palatino Linotype" w:hAnsi="Palatino Linotype" w:cs="Palatino Linotype"/>
          <w:color w:val="FF0000"/>
        </w:rPr>
      </w:pPr>
    </w:p>
    <w:p w14:paraId="1DACB148" w14:textId="77777777" w:rsidR="00B30F4B" w:rsidRDefault="00761BA1">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De tal manera que, si bien, el Titular de la Unidad de Transparencia intento dar atención a la solicitud del particular en vía de su informe justificado, tenía que haber realizado el procedimiento, de turnar dentro de las áreas que conforman la estructura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fin de que el responsable del área que contara con atribuciones diera respuesta a la misma. </w:t>
      </w:r>
    </w:p>
    <w:p w14:paraId="0519EB28" w14:textId="77777777" w:rsidR="00B30F4B" w:rsidRDefault="00761BA1">
      <w:pPr>
        <w:spacing w:before="240" w:after="240" w:line="360" w:lineRule="auto"/>
        <w:ind w:right="49"/>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Expuesto lo previo, a efectos de entrar a la materia de la solicitud de información es importante que el particular requirió al </w:t>
      </w:r>
      <w:r>
        <w:rPr>
          <w:rFonts w:ascii="Palatino Linotype" w:eastAsia="Palatino Linotype" w:hAnsi="Palatino Linotype" w:cs="Palatino Linotype"/>
          <w:b/>
        </w:rPr>
        <w:t xml:space="preserve">Ayuntamiento de Zinacantepec </w:t>
      </w:r>
      <w:r>
        <w:rPr>
          <w:rFonts w:ascii="Palatino Linotype" w:eastAsia="Palatino Linotype" w:hAnsi="Palatino Linotype" w:cs="Palatino Linotype"/>
        </w:rPr>
        <w:t xml:space="preserve">le </w:t>
      </w:r>
      <w:r>
        <w:rPr>
          <w:rFonts w:ascii="Palatino Linotype" w:eastAsia="Palatino Linotype" w:hAnsi="Palatino Linotype" w:cs="Palatino Linotype"/>
        </w:rPr>
        <w:lastRenderedPageBreak/>
        <w:t xml:space="preserve">entregaran </w:t>
      </w:r>
      <w:proofErr w:type="gramStart"/>
      <w:r>
        <w:rPr>
          <w:rFonts w:ascii="Palatino Linotype" w:eastAsia="Palatino Linotype" w:hAnsi="Palatino Linotype" w:cs="Palatino Linotype"/>
        </w:rPr>
        <w:t xml:space="preserve">los </w:t>
      </w:r>
      <w:r>
        <w:rPr>
          <w:rFonts w:ascii="Palatino Linotype" w:eastAsia="Palatino Linotype" w:hAnsi="Palatino Linotype" w:cs="Palatino Linotype"/>
          <w:i/>
        </w:rPr>
        <w:t xml:space="preserve"> comprobantes</w:t>
      </w:r>
      <w:proofErr w:type="gramEnd"/>
      <w:r>
        <w:rPr>
          <w:rFonts w:ascii="Palatino Linotype" w:eastAsia="Palatino Linotype" w:hAnsi="Palatino Linotype" w:cs="Palatino Linotype"/>
          <w:i/>
        </w:rPr>
        <w:t xml:space="preserve"> de pago al Instituto de Seguridad Social del Estado de México y Municipios  ISSEMyM correspondientes al ejercicio fiscal 2022. </w:t>
      </w:r>
    </w:p>
    <w:p w14:paraId="4E5F0265" w14:textId="77777777" w:rsidR="00B30F4B" w:rsidRDefault="00761BA1">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la petición del particular, es importante referir que el artículo 9 del Código Financiero del Estado de México, dispone lo que debe entenderse por cuotas y aportaciones de seguridad social:</w:t>
      </w:r>
    </w:p>
    <w:p w14:paraId="2DEBC49E" w14:textId="77777777" w:rsidR="00B30F4B" w:rsidRDefault="00B30F4B">
      <w:pPr>
        <w:shd w:val="clear" w:color="auto" w:fill="FFFFFF"/>
        <w:spacing w:line="360" w:lineRule="auto"/>
        <w:jc w:val="both"/>
        <w:rPr>
          <w:rFonts w:ascii="Palatino Linotype" w:eastAsia="Palatino Linotype" w:hAnsi="Palatino Linotype" w:cs="Palatino Linotype"/>
          <w:sz w:val="22"/>
          <w:szCs w:val="22"/>
        </w:rPr>
      </w:pPr>
    </w:p>
    <w:p w14:paraId="48E2B8C4" w14:textId="77777777" w:rsidR="00B30F4B" w:rsidRDefault="00761BA1">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 Las contribuciones se clasifican en impuestos, derechos, contribuciones o aportaciones de mejoras, y aportaciones y cuotas de seguridad social, las que se definen de la manera siguiente:</w:t>
      </w:r>
    </w:p>
    <w:p w14:paraId="3CD7091A" w14:textId="77777777" w:rsidR="00B30F4B" w:rsidRDefault="00761BA1">
      <w:pPr>
        <w:numPr>
          <w:ilvl w:val="0"/>
          <w:numId w:val="3"/>
        </w:numPr>
        <w:pBdr>
          <w:top w:val="nil"/>
          <w:left w:val="nil"/>
          <w:bottom w:val="nil"/>
          <w:right w:val="nil"/>
          <w:between w:val="nil"/>
        </w:pBdr>
        <w:shd w:val="clear" w:color="auto" w:fill="FFFFFF"/>
        <w:ind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III. …</w:t>
      </w:r>
    </w:p>
    <w:p w14:paraId="2084F261" w14:textId="77777777" w:rsidR="00B30F4B" w:rsidRDefault="00B30F4B">
      <w:pPr>
        <w:pBdr>
          <w:top w:val="nil"/>
          <w:left w:val="nil"/>
          <w:bottom w:val="nil"/>
          <w:right w:val="nil"/>
          <w:between w:val="nil"/>
        </w:pBdr>
        <w:shd w:val="clear" w:color="auto" w:fill="FFFFFF"/>
        <w:ind w:left="1287" w:right="567"/>
        <w:jc w:val="both"/>
        <w:rPr>
          <w:rFonts w:ascii="Palatino Linotype" w:eastAsia="Palatino Linotype" w:hAnsi="Palatino Linotype" w:cs="Palatino Linotype"/>
          <w:i/>
          <w:color w:val="000000"/>
          <w:sz w:val="22"/>
          <w:szCs w:val="22"/>
        </w:rPr>
      </w:pPr>
    </w:p>
    <w:p w14:paraId="2753351A" w14:textId="77777777" w:rsidR="00B30F4B" w:rsidRDefault="00761BA1">
      <w:pPr>
        <w:shd w:val="clear" w:color="auto" w:fill="FFFFFF"/>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Aportaciones y cuotas de Seguridad Social. Son las contribuciones que las instituciones públicas y sus servidores públicos, respectivamente, están obligados a cubrir en los términos de la ley en materia de seguridad social en el Estado.</w:t>
      </w:r>
    </w:p>
    <w:p w14:paraId="3E28F352" w14:textId="77777777" w:rsidR="00B30F4B" w:rsidRDefault="00B30F4B">
      <w:pPr>
        <w:tabs>
          <w:tab w:val="left" w:pos="709"/>
        </w:tabs>
        <w:spacing w:line="360" w:lineRule="auto"/>
        <w:jc w:val="both"/>
        <w:rPr>
          <w:rFonts w:ascii="Palatino Linotype" w:eastAsia="Palatino Linotype" w:hAnsi="Palatino Linotype" w:cs="Palatino Linotype"/>
          <w:sz w:val="22"/>
          <w:szCs w:val="22"/>
        </w:rPr>
      </w:pPr>
    </w:p>
    <w:p w14:paraId="440B7891" w14:textId="77777777" w:rsidR="00B30F4B" w:rsidRDefault="00761BA1">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lo anterior, es necesario referir que la Ley del Trabajo de los Servidores Públicos del Estado y Municipios establece en su fracción V del numeral 84 que, el Instituto de Seguridad Social del Estado de México y Municipios podrá hacer retenciones, descuentos o deducciones a los servidores públicos con motivo de las cuotas y obligaciones contraídas con este. </w:t>
      </w:r>
    </w:p>
    <w:p w14:paraId="071D1C1C" w14:textId="77777777" w:rsidR="00B30F4B" w:rsidRDefault="00761BA1">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84. Sólo podrán hacerse retenciones, descuentos o deducciones al </w:t>
      </w:r>
      <w:proofErr w:type="gramStart"/>
      <w:r>
        <w:rPr>
          <w:rFonts w:ascii="Palatino Linotype" w:eastAsia="Palatino Linotype" w:hAnsi="Palatino Linotype" w:cs="Palatino Linotype"/>
          <w:i/>
          <w:sz w:val="22"/>
          <w:szCs w:val="22"/>
        </w:rPr>
        <w:t>sueldo  de</w:t>
      </w:r>
      <w:proofErr w:type="gramEnd"/>
      <w:r>
        <w:rPr>
          <w:rFonts w:ascii="Palatino Linotype" w:eastAsia="Palatino Linotype" w:hAnsi="Palatino Linotype" w:cs="Palatino Linotype"/>
          <w:i/>
          <w:sz w:val="22"/>
          <w:szCs w:val="22"/>
        </w:rPr>
        <w:t xml:space="preserve"> los servidores públicos por concepto de:</w:t>
      </w:r>
    </w:p>
    <w:p w14:paraId="02CC11F4" w14:textId="77777777" w:rsidR="00B30F4B" w:rsidRDefault="00761BA1">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w:t>
      </w:r>
    </w:p>
    <w:p w14:paraId="69D95E75" w14:textId="77777777" w:rsidR="00B30F4B" w:rsidRDefault="00761BA1">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Descuentos ordenados por el Instituto de Seguridad Social del Estado de México y Municipios, con motivo de cuotas y obligaciones contraídas con éste por los servidores públicos;</w:t>
      </w:r>
    </w:p>
    <w:p w14:paraId="53099DC6" w14:textId="77777777" w:rsidR="00B30F4B" w:rsidRDefault="00B30F4B">
      <w:pPr>
        <w:tabs>
          <w:tab w:val="left" w:pos="709"/>
        </w:tabs>
        <w:spacing w:line="360" w:lineRule="auto"/>
        <w:jc w:val="both"/>
      </w:pPr>
    </w:p>
    <w:p w14:paraId="32F69BA8" w14:textId="77777777" w:rsidR="00B30F4B" w:rsidRDefault="00761BA1">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la misma Ley del Trabajo establece en su numeral 98, fracción VIII las obligaciones de las instituciones públicas y que a la letra reza:</w:t>
      </w:r>
    </w:p>
    <w:p w14:paraId="39BE56FF" w14:textId="77777777" w:rsidR="00B30F4B" w:rsidRDefault="00761BA1">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ARTÍCULO 98. </w:t>
      </w:r>
      <w:r>
        <w:rPr>
          <w:rFonts w:ascii="Palatino Linotype" w:eastAsia="Palatino Linotype" w:hAnsi="Palatino Linotype" w:cs="Palatino Linotype"/>
          <w:b/>
          <w:i/>
        </w:rPr>
        <w:t>Son obligaciones de las instituciones públicas</w:t>
      </w:r>
      <w:r>
        <w:rPr>
          <w:rFonts w:ascii="Palatino Linotype" w:eastAsia="Palatino Linotype" w:hAnsi="Palatino Linotype" w:cs="Palatino Linotype"/>
          <w:i/>
        </w:rPr>
        <w:t xml:space="preserve">: </w:t>
      </w:r>
    </w:p>
    <w:p w14:paraId="561C3BBE" w14:textId="77777777" w:rsidR="00B30F4B" w:rsidRDefault="00761BA1">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142CD054" w14:textId="77777777" w:rsidR="00B30F4B" w:rsidRDefault="00761BA1">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w:t>
      </w:r>
      <w:r>
        <w:rPr>
          <w:rFonts w:ascii="Palatino Linotype" w:eastAsia="Palatino Linotype" w:hAnsi="Palatino Linotype" w:cs="Palatino Linotype"/>
          <w:b/>
          <w:i/>
        </w:rPr>
        <w:t>Cubrir las aportaciones del régimen de seguridad social que les correspondan</w:t>
      </w:r>
      <w:r>
        <w:rPr>
          <w:rFonts w:ascii="Palatino Linotype" w:eastAsia="Palatino Linotype" w:hAnsi="Palatino Linotype" w:cs="Palatino Linotype"/>
          <w:i/>
        </w:rPr>
        <w:t>, así como retener las cuotas y descuentos a cargo de los servidores públicos y enterarlos oportunamente en los términos que establece la Ley de Seguridad Social para los Servidores Públicos del Estado y Municipios.</w:t>
      </w:r>
    </w:p>
    <w:p w14:paraId="1640D400" w14:textId="77777777" w:rsidR="00B30F4B" w:rsidRDefault="00761BA1">
      <w:pPr>
        <w:tabs>
          <w:tab w:val="left" w:pos="709"/>
        </w:tabs>
        <w:spacing w:line="360" w:lineRule="auto"/>
        <w:ind w:left="709"/>
        <w:jc w:val="both"/>
      </w:pPr>
      <w:r>
        <w:t xml:space="preserve"> …….</w:t>
      </w:r>
    </w:p>
    <w:p w14:paraId="5011C14A" w14:textId="77777777" w:rsidR="00B30F4B" w:rsidRDefault="00B30F4B">
      <w:pPr>
        <w:tabs>
          <w:tab w:val="left" w:pos="709"/>
        </w:tabs>
        <w:spacing w:line="360" w:lineRule="auto"/>
        <w:jc w:val="both"/>
        <w:rPr>
          <w:rFonts w:ascii="Palatino Linotype" w:eastAsia="Palatino Linotype" w:hAnsi="Palatino Linotype" w:cs="Palatino Linotype"/>
        </w:rPr>
      </w:pPr>
    </w:p>
    <w:p w14:paraId="5431240D" w14:textId="77777777" w:rsidR="00B30F4B" w:rsidRDefault="00761BA1">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la Ley de Seguridad Social para los Servidores Públicos del Estado de México y Municipios establece: </w:t>
      </w:r>
    </w:p>
    <w:p w14:paraId="7C40DD56" w14:textId="77777777" w:rsidR="00B30F4B" w:rsidRDefault="00761BA1">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35.- </w:t>
      </w:r>
      <w:r>
        <w:rPr>
          <w:rFonts w:ascii="Palatino Linotype" w:eastAsia="Palatino Linotype" w:hAnsi="Palatino Linotype" w:cs="Palatino Linotype"/>
          <w:b/>
          <w:i/>
          <w:sz w:val="22"/>
          <w:szCs w:val="22"/>
          <w:u w:val="single"/>
        </w:rPr>
        <w:t>Las instituciones públicas deberán enterar al Instituto el importe de las cuotas retenidas quincenalmente a los servidores públicos, así como el de las aportaciones que les correspondan, dentro de los cinco días siguientes al de la fecha en que efectúen la retención</w:t>
      </w:r>
      <w:r>
        <w:rPr>
          <w:rFonts w:ascii="Palatino Linotype" w:eastAsia="Palatino Linotype" w:hAnsi="Palatino Linotype" w:cs="Palatino Linotype"/>
          <w:i/>
          <w:sz w:val="22"/>
          <w:szCs w:val="22"/>
        </w:rPr>
        <w:t xml:space="preserve">. En el mismo plazo, deberán enterar el importe de los descuentos que por créditos u otros conceptos que ordene el propio Instituto, en cumplimiento de lo dispuesto por esta ley. </w:t>
      </w:r>
    </w:p>
    <w:p w14:paraId="5F782B8B" w14:textId="77777777" w:rsidR="00B30F4B" w:rsidRDefault="00761BA1">
      <w:pPr>
        <w:tabs>
          <w:tab w:val="left" w:pos="709"/>
        </w:tabs>
        <w:ind w:left="851" w:right="85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El entero de cuotas y aportaciones que los ayuntamientos convengan a través de descuento de las participaciones federales que les correspondan, se realizará de forma mensual.</w:t>
      </w:r>
    </w:p>
    <w:p w14:paraId="202B64B7" w14:textId="77777777" w:rsidR="00B30F4B" w:rsidRDefault="00B30F4B">
      <w:pPr>
        <w:tabs>
          <w:tab w:val="left" w:pos="709"/>
        </w:tabs>
        <w:ind w:left="851" w:right="850"/>
        <w:jc w:val="both"/>
        <w:rPr>
          <w:rFonts w:ascii="Palatino Linotype" w:eastAsia="Palatino Linotype" w:hAnsi="Palatino Linotype" w:cs="Palatino Linotype"/>
          <w:i/>
          <w:sz w:val="16"/>
          <w:szCs w:val="16"/>
        </w:rPr>
      </w:pPr>
    </w:p>
    <w:p w14:paraId="3BC38591" w14:textId="77777777" w:rsidR="00B30F4B" w:rsidRDefault="00761BA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 misma ley se establece que los trabajadores deben cubrir cuotas equivalentes a un porcentaje del sueldo, además de que existen aportaciones voluntarias y otras que se deben cubrir de manera obligatoria.</w:t>
      </w:r>
    </w:p>
    <w:p w14:paraId="56E7D148" w14:textId="77777777" w:rsidR="00B30F4B" w:rsidRDefault="00B30F4B">
      <w:pPr>
        <w:spacing w:before="240" w:line="360" w:lineRule="auto"/>
        <w:jc w:val="both"/>
        <w:rPr>
          <w:rFonts w:ascii="Palatino Linotype" w:eastAsia="Palatino Linotype" w:hAnsi="Palatino Linotype" w:cs="Palatino Linotype"/>
        </w:rPr>
      </w:pPr>
    </w:p>
    <w:p w14:paraId="1654AD8C" w14:textId="77777777" w:rsidR="00B30F4B" w:rsidRDefault="00761BA1">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5.- Para los efectos de esta ley se entiende por:</w:t>
      </w:r>
      <w:r>
        <w:rPr>
          <w:rFonts w:ascii="Palatino Linotype" w:eastAsia="Palatino Linotype" w:hAnsi="Palatino Linotype" w:cs="Palatino Linotype"/>
          <w:i/>
          <w:sz w:val="22"/>
          <w:szCs w:val="22"/>
        </w:rPr>
        <w:br/>
        <w:t xml:space="preserve">I. a </w:t>
      </w:r>
    </w:p>
    <w:p w14:paraId="49928709" w14:textId="77777777" w:rsidR="00B30F4B" w:rsidRDefault="00761BA1">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Cuota, al monto que le corresponde cubrir al servidor público, equivalente a un porcentaje determinado de </w:t>
      </w:r>
      <w:proofErr w:type="gramStart"/>
      <w:r>
        <w:rPr>
          <w:rFonts w:ascii="Palatino Linotype" w:eastAsia="Palatino Linotype" w:hAnsi="Palatino Linotype" w:cs="Palatino Linotype"/>
          <w:b/>
          <w:i/>
          <w:sz w:val="22"/>
          <w:szCs w:val="22"/>
        </w:rPr>
        <w:t>sus sueldo sujeto</w:t>
      </w:r>
      <w:proofErr w:type="gramEnd"/>
      <w:r>
        <w:rPr>
          <w:rFonts w:ascii="Palatino Linotype" w:eastAsia="Palatino Linotype" w:hAnsi="Palatino Linotype" w:cs="Palatino Linotype"/>
          <w:b/>
          <w:i/>
          <w:sz w:val="22"/>
          <w:szCs w:val="22"/>
        </w:rPr>
        <w:t xml:space="preserve"> a cotización</w:t>
      </w:r>
      <w:r>
        <w:rPr>
          <w:rFonts w:ascii="Palatino Linotype" w:eastAsia="Palatino Linotype" w:hAnsi="Palatino Linotype" w:cs="Palatino Linotype"/>
          <w:i/>
          <w:sz w:val="22"/>
          <w:szCs w:val="22"/>
        </w:rPr>
        <w:t>, así como el que debe cubrir el pensionado o pensionista y que recibe el Instituto para otorgar las prestaciones establecidas en la presente ley;</w:t>
      </w:r>
    </w:p>
    <w:p w14:paraId="1553406F" w14:textId="77777777" w:rsidR="00B30F4B" w:rsidRDefault="00B30F4B">
      <w:pPr>
        <w:shd w:val="clear" w:color="auto" w:fill="FFFFFF"/>
        <w:ind w:left="567" w:right="567"/>
        <w:jc w:val="both"/>
        <w:rPr>
          <w:rFonts w:ascii="Palatino Linotype" w:eastAsia="Palatino Linotype" w:hAnsi="Palatino Linotype" w:cs="Palatino Linotype"/>
          <w:i/>
          <w:sz w:val="22"/>
          <w:szCs w:val="22"/>
        </w:rPr>
      </w:pPr>
    </w:p>
    <w:p w14:paraId="35DBA5D6" w14:textId="77777777" w:rsidR="00B30F4B" w:rsidRDefault="00761BA1">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VIII. </w:t>
      </w:r>
      <w:r>
        <w:rPr>
          <w:rFonts w:ascii="Palatino Linotype" w:eastAsia="Palatino Linotype" w:hAnsi="Palatino Linotype" w:cs="Palatino Linotype"/>
          <w:b/>
          <w:i/>
          <w:sz w:val="22"/>
          <w:szCs w:val="22"/>
        </w:rPr>
        <w:t>Aportación</w:t>
      </w:r>
      <w:r>
        <w:rPr>
          <w:rFonts w:ascii="Palatino Linotype" w:eastAsia="Palatino Linotype" w:hAnsi="Palatino Linotype" w:cs="Palatino Linotype"/>
          <w:i/>
          <w:sz w:val="22"/>
          <w:szCs w:val="22"/>
        </w:rPr>
        <w:t>, al monto que le corresponde cubrir a las instituciones públicas como porcentaje del sueldo sujeto a cotización de cada servidor público;</w:t>
      </w:r>
    </w:p>
    <w:p w14:paraId="4675CF78" w14:textId="77777777" w:rsidR="00B30F4B" w:rsidRDefault="00761BA1">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a XVI. …</w:t>
      </w:r>
    </w:p>
    <w:p w14:paraId="30A5086F" w14:textId="77777777" w:rsidR="00B30F4B" w:rsidRDefault="00B30F4B">
      <w:pPr>
        <w:shd w:val="clear" w:color="auto" w:fill="FFFFFF"/>
        <w:ind w:left="567" w:right="567"/>
        <w:jc w:val="both"/>
        <w:rPr>
          <w:rFonts w:ascii="Palatino Linotype" w:eastAsia="Palatino Linotype" w:hAnsi="Palatino Linotype" w:cs="Palatino Linotype"/>
          <w:i/>
          <w:sz w:val="22"/>
          <w:szCs w:val="22"/>
        </w:rPr>
      </w:pPr>
    </w:p>
    <w:p w14:paraId="46415BFF" w14:textId="77777777" w:rsidR="00B30F4B" w:rsidRDefault="00761BA1">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116.- Se establece un sistema de cuenta individual a favor de los servidores públicos, mediante cuotas de estos y aportaciones de las instituciones públicas en dos modalidades: obligatorio en el cual se deberán aportar las cantidades que establezca esta ley, y voluntario en el que él servidor público tendrá derecho de aportar recursos adicionales a su cuenta, sin que ello implique aportación  adicional de la institución pública, salvo cuando convenga estímulos de este tipo, con los servidores públicos.</w:t>
      </w:r>
    </w:p>
    <w:p w14:paraId="54731F06" w14:textId="77777777" w:rsidR="00B30F4B" w:rsidRDefault="00B30F4B">
      <w:pPr>
        <w:shd w:val="clear" w:color="auto" w:fill="FFFFFF"/>
        <w:ind w:left="567" w:right="567"/>
        <w:jc w:val="both"/>
        <w:rPr>
          <w:rFonts w:ascii="Palatino Linotype" w:eastAsia="Palatino Linotype" w:hAnsi="Palatino Linotype" w:cs="Palatino Linotype"/>
          <w:i/>
          <w:sz w:val="22"/>
          <w:szCs w:val="22"/>
        </w:rPr>
      </w:pPr>
    </w:p>
    <w:p w14:paraId="5F7A1DC4" w14:textId="77777777" w:rsidR="00B30F4B" w:rsidRDefault="00B30F4B">
      <w:pPr>
        <w:shd w:val="clear" w:color="auto" w:fill="FFFFFF"/>
        <w:spacing w:line="360" w:lineRule="auto"/>
        <w:jc w:val="both"/>
        <w:rPr>
          <w:rFonts w:ascii="Palatino Linotype" w:eastAsia="Palatino Linotype" w:hAnsi="Palatino Linotype" w:cs="Palatino Linotype"/>
          <w:sz w:val="22"/>
          <w:szCs w:val="22"/>
        </w:rPr>
      </w:pPr>
    </w:p>
    <w:p w14:paraId="6AD4DA51" w14:textId="77777777" w:rsidR="00B30F4B" w:rsidRDefault="00761BA1">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pues, de la normatividad señalada se precisa que las instituciones públicas deberán de enterar al Instituto de Seguridad Social del Estado de México y Municipios el importe de las cuotas retenidas quincenalmente, así como las aportaciones del régimen de seguridad social a cargo de los servidores públicos.</w:t>
      </w:r>
    </w:p>
    <w:p w14:paraId="02C847C5" w14:textId="77777777" w:rsidR="00B30F4B" w:rsidRDefault="00B30F4B">
      <w:pPr>
        <w:tabs>
          <w:tab w:val="left" w:pos="709"/>
        </w:tabs>
        <w:spacing w:line="360" w:lineRule="auto"/>
        <w:jc w:val="both"/>
        <w:rPr>
          <w:rFonts w:ascii="Palatino Linotype" w:eastAsia="Palatino Linotype" w:hAnsi="Palatino Linotype" w:cs="Palatino Linotype"/>
        </w:rPr>
      </w:pPr>
    </w:p>
    <w:p w14:paraId="58760B3C" w14:textId="77777777" w:rsidR="00B30F4B" w:rsidRDefault="00761BA1">
      <w:pPr>
        <w:tabs>
          <w:tab w:val="left" w:pos="709"/>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este mismo tenor es necesario remitirnos al Manual de Procedimientos para la Administración de la Plataforma de Recaudación e Información de Seguridad Social PRISMA ISSEMyM, establece los procedimientos de registro de alta de Instituciones Públicas al Régimen de Seguridad Social, a través de la Plataforma de Recaudación e información de Seguridad Social (PRISMA ISSEMyM) y el Registro de bajas, cambios y/o modificaciones de datos de las Instituciones Públicas afiliadas al Régimen de Seguridad Social del ISSEMyM,  a través de la Plataforma de Recaudación e Información de Seguridad Social (PRISMA ISSEMyM), </w:t>
      </w:r>
    </w:p>
    <w:p w14:paraId="4399DF41" w14:textId="77777777" w:rsidR="00B30F4B" w:rsidRDefault="00B30F4B">
      <w:pPr>
        <w:shd w:val="clear" w:color="auto" w:fill="FFFFFF"/>
        <w:spacing w:line="360" w:lineRule="auto"/>
        <w:jc w:val="both"/>
        <w:rPr>
          <w:rFonts w:ascii="Palatino Linotype" w:eastAsia="Palatino Linotype" w:hAnsi="Palatino Linotype" w:cs="Palatino Linotype"/>
        </w:rPr>
      </w:pPr>
    </w:p>
    <w:p w14:paraId="0116A505" w14:textId="77777777" w:rsidR="00B30F4B" w:rsidRDefault="00761BA1">
      <w:pPr>
        <w:shd w:val="clear" w:color="auto" w:fill="FFFFFF"/>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t xml:space="preserve">En razón de </w:t>
      </w:r>
      <w:proofErr w:type="gramStart"/>
      <w:r>
        <w:rPr>
          <w:rFonts w:ascii="Palatino Linotype" w:eastAsia="Palatino Linotype" w:hAnsi="Palatino Linotype" w:cs="Palatino Linotype"/>
        </w:rPr>
        <w:t>ello,  la</w:t>
      </w:r>
      <w:proofErr w:type="gramEnd"/>
      <w:r>
        <w:rPr>
          <w:rFonts w:ascii="Palatino Linotype" w:eastAsia="Palatino Linotype" w:hAnsi="Palatino Linotype" w:cs="Palatino Linotype"/>
        </w:rPr>
        <w:t xml:space="preserve"> Plataforma de Recaudación e Información de Seguridad Social del ISSEMyM (PRISMA</w:t>
      </w:r>
      <w:r>
        <w:rPr>
          <w:rFonts w:ascii="Palatino Linotype" w:eastAsia="Palatino Linotype" w:hAnsi="Palatino Linotype" w:cs="Palatino Linotype"/>
          <w:b/>
          <w:u w:val="single"/>
        </w:rPr>
        <w:t xml:space="preserve">),  es una herramienta tecnológica que implica esta práctica </w:t>
      </w:r>
      <w:r>
        <w:rPr>
          <w:rFonts w:ascii="Palatino Linotype" w:eastAsia="Palatino Linotype" w:hAnsi="Palatino Linotype" w:cs="Palatino Linotype"/>
          <w:b/>
          <w:u w:val="single"/>
        </w:rPr>
        <w:lastRenderedPageBreak/>
        <w:t xml:space="preserve">y permite la recepción oportuna de información del entero de las cuotas, aportaciones, accesorios y retenciones del personal, que laboran en las instituciones públicas afiliadas al régimen de seguridad social del Estado de México y sus municipios, con los beneficios de la Ley. </w:t>
      </w:r>
      <w:r>
        <w:rPr>
          <w:rFonts w:ascii="Palatino Linotype" w:eastAsia="Palatino Linotype" w:hAnsi="Palatino Linotype" w:cs="Palatino Linotype"/>
        </w:rPr>
        <w:t>Asimismo, permite hacer más eficiente la recaudación, cobro y fiscalización de cuotas, aportaciones, accesorios, retenciones y aprovechamientos que derivan de las mismas, así como de los créditos fiscales que se generan, los cuales son enterados y cubiertos al Instituto de Seguridad Social del Estado de México y sus Municipios (ISSEMyM). Favorece el pronto registro de alta, baja y/o modificación de datos tanto del personal al servicio público como de las mismas instituciones públicas, haciendo más expedita la acreditación de vigencia de derechos y además mejora la capacidad para administrar las cuentas del sistema de capitalización individual.</w:t>
      </w:r>
    </w:p>
    <w:p w14:paraId="5CC57393" w14:textId="77777777" w:rsidR="00B30F4B" w:rsidRDefault="00B30F4B">
      <w:pPr>
        <w:tabs>
          <w:tab w:val="left" w:pos="1275"/>
        </w:tabs>
        <w:spacing w:line="360" w:lineRule="auto"/>
        <w:jc w:val="both"/>
        <w:rPr>
          <w:rFonts w:ascii="Palatino Linotype" w:eastAsia="Palatino Linotype" w:hAnsi="Palatino Linotype" w:cs="Palatino Linotype"/>
          <w:color w:val="FF0000"/>
        </w:rPr>
      </w:pPr>
    </w:p>
    <w:p w14:paraId="1DEFC88A" w14:textId="77777777" w:rsidR="00B30F4B" w:rsidRDefault="00761BA1">
      <w:pPr>
        <w:tabs>
          <w:tab w:val="left" w:pos="127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lo anterior es necesario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una búsqueda de la información en los archivos a su cargo, con la finalidad de localizar los documentos en donde consten los pagos entregados al Instituto </w:t>
      </w:r>
      <w:proofErr w:type="gramStart"/>
      <w:r>
        <w:rPr>
          <w:rFonts w:ascii="Palatino Linotype" w:eastAsia="Palatino Linotype" w:hAnsi="Palatino Linotype" w:cs="Palatino Linotype"/>
        </w:rPr>
        <w:t>de  Seguridad</w:t>
      </w:r>
      <w:proofErr w:type="gramEnd"/>
      <w:r>
        <w:rPr>
          <w:rFonts w:ascii="Palatino Linotype" w:eastAsia="Palatino Linotype" w:hAnsi="Palatino Linotype" w:cs="Palatino Linotype"/>
        </w:rPr>
        <w:t xml:space="preserve"> Social entregadas por el Ayuntamiento de Zinacantepec al Instituto de Seguridad Social del Estado de México y Municipios, correspondientes al ejercicio  fiscal 2022. </w:t>
      </w:r>
    </w:p>
    <w:p w14:paraId="12ED17EC" w14:textId="77777777" w:rsidR="00B30F4B" w:rsidRDefault="00B30F4B">
      <w:pPr>
        <w:tabs>
          <w:tab w:val="left" w:pos="1275"/>
        </w:tabs>
        <w:spacing w:line="360" w:lineRule="auto"/>
        <w:jc w:val="both"/>
        <w:rPr>
          <w:rFonts w:ascii="Palatino Linotype" w:eastAsia="Palatino Linotype" w:hAnsi="Palatino Linotype" w:cs="Palatino Linotype"/>
          <w:color w:val="FF0000"/>
        </w:rPr>
      </w:pPr>
    </w:p>
    <w:p w14:paraId="2CBB7EA5" w14:textId="77777777" w:rsidR="00B30F4B" w:rsidRDefault="00761BA1">
      <w:pPr>
        <w:shd w:val="clear" w:color="auto" w:fill="FFFFFF"/>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w:t>
      </w:r>
      <w:r>
        <w:rPr>
          <w:rFonts w:ascii="Palatino Linotype" w:eastAsia="Palatino Linotype" w:hAnsi="Palatino Linotype" w:cs="Palatino Linotype"/>
        </w:rPr>
        <w:lastRenderedPageBreak/>
        <w:t>la información que obre en sus archivos. Además, resulta aplicable el Criterio 03/17 del Instituto Nacional de Transparencia, Acceso a la Información y Protección de Datos Personales que a continuación se cita</w:t>
      </w:r>
      <w:r>
        <w:rPr>
          <w:rFonts w:ascii="Palatino Linotype" w:eastAsia="Palatino Linotype" w:hAnsi="Palatino Linotype" w:cs="Palatino Linotype"/>
          <w:sz w:val="22"/>
          <w:szCs w:val="22"/>
        </w:rPr>
        <w:t>:</w:t>
      </w:r>
    </w:p>
    <w:p w14:paraId="2FF6457A" w14:textId="77777777" w:rsidR="00B30F4B" w:rsidRDefault="00B30F4B">
      <w:pPr>
        <w:shd w:val="clear" w:color="auto" w:fill="FFFFFF"/>
        <w:spacing w:line="360" w:lineRule="auto"/>
        <w:jc w:val="both"/>
        <w:rPr>
          <w:rFonts w:ascii="Palatino Linotype" w:eastAsia="Palatino Linotype" w:hAnsi="Palatino Linotype" w:cs="Palatino Linotype"/>
          <w:b/>
          <w:sz w:val="22"/>
          <w:szCs w:val="22"/>
        </w:rPr>
      </w:pPr>
    </w:p>
    <w:p w14:paraId="15D42261" w14:textId="77777777" w:rsidR="00B30F4B" w:rsidRDefault="00761BA1">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6379A8A" w14:textId="77777777" w:rsidR="00B30F4B" w:rsidRDefault="00B30F4B">
      <w:pPr>
        <w:shd w:val="clear" w:color="auto" w:fill="FFFFFF"/>
        <w:spacing w:line="360" w:lineRule="auto"/>
        <w:jc w:val="both"/>
        <w:rPr>
          <w:rFonts w:ascii="Palatino Linotype" w:eastAsia="Palatino Linotype" w:hAnsi="Palatino Linotype" w:cs="Palatino Linotype"/>
          <w:sz w:val="22"/>
          <w:szCs w:val="22"/>
        </w:rPr>
      </w:pPr>
    </w:p>
    <w:p w14:paraId="1E30558F" w14:textId="77777777" w:rsidR="00B30F4B" w:rsidRDefault="00761BA1">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para dar atención al requerimiento informativo, se considera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proporcionar el documento donde consten los pagos de cuotas y aportaciones retenidas por el Ayuntamiento de Zinacantepec y enteradas al Instituto de Seguridad Social del Estado de México del 01 de enero al 31 de diciembre del ejercicio fiscal 2022. </w:t>
      </w:r>
    </w:p>
    <w:p w14:paraId="3F4F15FB"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es de señalar que, como ha quedado de manifiesto,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proporcionar la respuesta a la solicitud de acceso a la información pública </w:t>
      </w:r>
      <w:r>
        <w:rPr>
          <w:rFonts w:ascii="Palatino Linotype" w:eastAsia="Palatino Linotype" w:hAnsi="Palatino Linotype" w:cs="Palatino Linotype"/>
          <w:b/>
        </w:rPr>
        <w:t>01449/ZINACANT/IP/2022,</w:t>
      </w:r>
      <w:r>
        <w:rPr>
          <w:rFonts w:ascii="Palatino Linotype" w:eastAsia="Palatino Linotype" w:hAnsi="Palatino Linotype" w:cs="Palatino Linotype"/>
        </w:rPr>
        <w:t xml:space="preserve"> en el término contemplado en el artículo 163 de la ley </w:t>
      </w:r>
      <w:r>
        <w:rPr>
          <w:rFonts w:ascii="Palatino Linotype" w:eastAsia="Palatino Linotype" w:hAnsi="Palatino Linotype" w:cs="Palatino Linotype"/>
        </w:rPr>
        <w:lastRenderedPageBreak/>
        <w:t>de la materia, razón por la que se ordena dar vista a la Secretaría Técnica del Pleno de este Instituto para que dé vista al Órgano Interno de Control competente y se resuelva lo que a Derecho proceda, en términos del artículo 190 de la Ley de Transparencia y Acceso a la Información Pública del Estado de México y Municipios.</w:t>
      </w:r>
    </w:p>
    <w:p w14:paraId="580B1F84" w14:textId="77777777" w:rsidR="00B30F4B" w:rsidRDefault="00761BA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3DC4E2EB" w14:textId="77777777" w:rsidR="00B30F4B" w:rsidRDefault="00761BA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454234A7" w14:textId="77777777" w:rsidR="00B30F4B" w:rsidRDefault="00761BA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00514/INFOEM/IP/RR/2023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17EAB7FF" w14:textId="77777777" w:rsidR="00B30F4B" w:rsidRDefault="00761BA1">
      <w:pPr>
        <w:spacing w:before="240" w:after="240" w:line="360" w:lineRule="auto"/>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t>Segundo.</w:t>
      </w:r>
      <w:r>
        <w:rPr>
          <w:rFonts w:ascii="Palatino Linotype" w:eastAsia="Palatino Linotype" w:hAnsi="Palatino Linotype" w:cs="Palatino Linotype"/>
        </w:rPr>
        <w:t xml:space="preserve">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w:t>
      </w:r>
      <w:proofErr w:type="gramStart"/>
      <w:r>
        <w:rPr>
          <w:rFonts w:ascii="Palatino Linotype" w:eastAsia="Palatino Linotype" w:hAnsi="Palatino Linotype" w:cs="Palatino Linotype"/>
          <w:b/>
        </w:rPr>
        <w:t xml:space="preserve">Obligado </w:t>
      </w:r>
      <w:r>
        <w:rPr>
          <w:rFonts w:ascii="Palatino Linotype" w:eastAsia="Palatino Linotype" w:hAnsi="Palatino Linotype" w:cs="Palatino Linotype"/>
        </w:rPr>
        <w:t xml:space="preserve"> haga</w:t>
      </w:r>
      <w:proofErr w:type="gramEnd"/>
      <w:r>
        <w:rPr>
          <w:rFonts w:ascii="Palatino Linotype" w:eastAsia="Palatino Linotype" w:hAnsi="Palatino Linotype" w:cs="Palatino Linotype"/>
        </w:rPr>
        <w:t xml:space="preserve"> entrega vía </w:t>
      </w:r>
      <w:r>
        <w:rPr>
          <w:rFonts w:ascii="Palatino Linotype" w:eastAsia="Palatino Linotype" w:hAnsi="Palatino Linotype" w:cs="Palatino Linotype"/>
          <w:b/>
        </w:rPr>
        <w:t>Sistema de Acceso a la Información Mexiquense, SAIMEX</w:t>
      </w:r>
      <w:r>
        <w:rPr>
          <w:rFonts w:ascii="Palatino Linotype" w:eastAsia="Palatino Linotype" w:hAnsi="Palatino Linotype" w:cs="Palatino Linotype"/>
        </w:rPr>
        <w:t>, en términos del Considerando Cuarto los documentos donde conste la siguiente información:</w:t>
      </w:r>
    </w:p>
    <w:p w14:paraId="22A1767F" w14:textId="77777777" w:rsidR="00B30F4B" w:rsidRDefault="00761BA1">
      <w:pPr>
        <w:numPr>
          <w:ilvl w:val="3"/>
          <w:numId w:val="3"/>
        </w:numPr>
        <w:pBdr>
          <w:top w:val="nil"/>
          <w:left w:val="nil"/>
          <w:bottom w:val="nil"/>
          <w:right w:val="nil"/>
          <w:between w:val="nil"/>
        </w:pBdr>
        <w:spacing w:before="240" w:line="360" w:lineRule="auto"/>
        <w:ind w:left="850" w:hanging="855"/>
        <w:jc w:val="both"/>
        <w:rPr>
          <w:rFonts w:ascii="Palatino Linotype" w:eastAsia="Palatino Linotype" w:hAnsi="Palatino Linotype" w:cs="Palatino Linotype"/>
          <w:color w:val="000000"/>
        </w:rPr>
      </w:pPr>
      <w:r>
        <w:rPr>
          <w:rFonts w:ascii="Palatino Linotype" w:eastAsia="Palatino Linotype" w:hAnsi="Palatino Linotype" w:cs="Palatino Linotype"/>
        </w:rPr>
        <w:t>Comprobantes de p</w:t>
      </w:r>
      <w:r>
        <w:rPr>
          <w:rFonts w:ascii="Palatino Linotype" w:eastAsia="Palatino Linotype" w:hAnsi="Palatino Linotype" w:cs="Palatino Linotype"/>
          <w:color w:val="000000"/>
        </w:rPr>
        <w:t xml:space="preserve">ago de cuotas y aportaciones retenidas por el Ayuntamiento de Zinacantepec y enteradas al Instituto de Seguridad Social del Estado de México del 01 de enero al 31 de diciembre de dos mil veintidós. </w:t>
      </w:r>
    </w:p>
    <w:p w14:paraId="274BBD35" w14:textId="77777777" w:rsidR="00B30F4B" w:rsidRDefault="00B30F4B">
      <w:pPr>
        <w:spacing w:line="360" w:lineRule="auto"/>
        <w:jc w:val="both"/>
        <w:rPr>
          <w:rFonts w:ascii="Palatino Linotype" w:eastAsia="Palatino Linotype" w:hAnsi="Palatino Linotype" w:cs="Palatino Linotype"/>
          <w:b/>
        </w:rPr>
      </w:pPr>
    </w:p>
    <w:p w14:paraId="1FA65048" w14:textId="77777777" w:rsidR="00B30F4B" w:rsidRDefault="00761BA1">
      <w:pPr>
        <w:spacing w:line="360" w:lineRule="auto"/>
        <w:jc w:val="both"/>
      </w:pPr>
      <w:r>
        <w:rPr>
          <w:rFonts w:ascii="Palatino Linotype" w:eastAsia="Palatino Linotype" w:hAnsi="Palatino Linotype" w:cs="Palatino Linotype"/>
          <w:b/>
        </w:rPr>
        <w:lastRenderedPageBreak/>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t>.</w:t>
      </w:r>
    </w:p>
    <w:p w14:paraId="4A628C35"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1A9B3FB" w14:textId="77777777" w:rsidR="00B30F4B" w:rsidRDefault="00761B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la respuesta que dé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66A7F26" w14:textId="77777777" w:rsidR="00B30F4B" w:rsidRDefault="00761BA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Sexto. Gírese</w:t>
      </w:r>
      <w:r>
        <w:rPr>
          <w:rFonts w:ascii="Palatino Linotype" w:eastAsia="Palatino Linotype" w:hAnsi="Palatino Linotype" w:cs="Palatino Linotype"/>
        </w:rPr>
        <w:t xml:space="preserve"> oficio a la </w:t>
      </w:r>
      <w:r>
        <w:rPr>
          <w:rFonts w:ascii="Palatino Linotype" w:eastAsia="Palatino Linotype" w:hAnsi="Palatino Linotype" w:cs="Palatino Linotype"/>
          <w:b/>
        </w:rPr>
        <w:t>Secretaría Técnica del Pleno de este Instituto</w:t>
      </w:r>
      <w:r>
        <w:rPr>
          <w:rFonts w:ascii="Palatino Linotype" w:eastAsia="Palatino Linotype" w:hAnsi="Palatino Linotype" w:cs="Palatino Linotype"/>
        </w:rPr>
        <w:t xml:space="preserve"> para hacer de su conocimiento la presente resolución, a fin de que en ejercicio de sus </w:t>
      </w:r>
      <w:r>
        <w:rPr>
          <w:rFonts w:ascii="Palatino Linotype" w:eastAsia="Palatino Linotype" w:hAnsi="Palatino Linotype" w:cs="Palatino Linotype"/>
        </w:rPr>
        <w:lastRenderedPageBreak/>
        <w:t>atribuciones y de conformidad con el artículo 190, de la Ley de Transparencia y Acceso a la Información Pública del Estado de México y Municipios, determine lo conducente, en términos de lo señalado en el considerando</w:t>
      </w:r>
      <w:r>
        <w:rPr>
          <w:rFonts w:ascii="Palatino Linotype" w:eastAsia="Palatino Linotype" w:hAnsi="Palatino Linotype" w:cs="Palatino Linotype"/>
          <w:b/>
        </w:rPr>
        <w:t xml:space="preserve"> Tercero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w:t>
      </w:r>
    </w:p>
    <w:p w14:paraId="5E9C9BE9" w14:textId="77777777" w:rsidR="00B30F4B" w:rsidRDefault="00761BA1">
      <w:pPr>
        <w:pBdr>
          <w:top w:val="nil"/>
          <w:left w:val="nil"/>
          <w:bottom w:val="nil"/>
          <w:right w:val="nil"/>
          <w:between w:val="nil"/>
        </w:pBdr>
        <w:spacing w:line="360" w:lineRule="auto"/>
        <w:jc w:val="both"/>
        <w:rPr>
          <w:color w:val="000000"/>
        </w:rPr>
      </w:pPr>
      <w:bookmarkStart w:id="6" w:name="_heading=h.3dy6vkm" w:colFirst="0" w:colLast="0"/>
      <w:bookmarkEnd w:id="6"/>
      <w:r>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w:t>
      </w:r>
      <w:r w:rsidR="00501C32">
        <w:rPr>
          <w:rFonts w:ascii="Palatino Linotype" w:eastAsia="Palatino Linotype" w:hAnsi="Palatino Linotype" w:cs="Palatino Linotype"/>
          <w:color w:val="000000"/>
        </w:rPr>
        <w:t>E RAMÍREZ PEÑA; EN LA TRIGÉSIMA SEXTA</w:t>
      </w:r>
      <w:r>
        <w:rPr>
          <w:rFonts w:ascii="Palatino Linotype" w:eastAsia="Palatino Linotype" w:hAnsi="Palatino Linotype" w:cs="Palatino Linotype"/>
          <w:color w:val="000000"/>
        </w:rPr>
        <w:t xml:space="preserve"> SESIÓN ORDINARIA CELEBRADA EL </w:t>
      </w:r>
      <w:r w:rsidR="00501C32">
        <w:rPr>
          <w:rFonts w:ascii="Palatino Linotype" w:eastAsia="Palatino Linotype" w:hAnsi="Palatino Linotype" w:cs="Palatino Linotype"/>
          <w:color w:val="000000"/>
        </w:rPr>
        <w:t>TRES</w:t>
      </w:r>
      <w:r>
        <w:rPr>
          <w:rFonts w:ascii="Palatino Linotype" w:eastAsia="Palatino Linotype" w:hAnsi="Palatino Linotype" w:cs="Palatino Linotype"/>
          <w:color w:val="000000"/>
        </w:rPr>
        <w:t xml:space="preserve"> DE </w:t>
      </w:r>
      <w:r w:rsidR="00501C32">
        <w:rPr>
          <w:rFonts w:ascii="Palatino Linotype" w:eastAsia="Palatino Linotype" w:hAnsi="Palatino Linotype" w:cs="Palatino Linotype"/>
          <w:color w:val="000000"/>
        </w:rPr>
        <w:t>OCTU</w:t>
      </w:r>
      <w:r>
        <w:rPr>
          <w:rFonts w:ascii="Palatino Linotype" w:eastAsia="Palatino Linotype" w:hAnsi="Palatino Linotype" w:cs="Palatino Linotype"/>
          <w:color w:val="000000"/>
        </w:rPr>
        <w:t>BRE DE DOS MIL VEINTITRÉS, ANTE EL SECRETARIO TÉCNICO DEL PLENO ALEXIS TAPIA RAMÍREZ</w:t>
      </w:r>
    </w:p>
    <w:p w14:paraId="391621F2"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212114C3"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0D263A22"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0E90F429"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69F37925"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3C7B7FBF"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68E08D2A"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099468BE"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1D82E464"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41809FFA" w14:textId="77777777" w:rsidR="00B30F4B" w:rsidRDefault="00B30F4B">
      <w:pPr>
        <w:spacing w:before="240" w:after="240" w:line="360" w:lineRule="auto"/>
        <w:jc w:val="both"/>
        <w:rPr>
          <w:rFonts w:ascii="Palatino Linotype" w:eastAsia="Palatino Linotype" w:hAnsi="Palatino Linotype" w:cs="Palatino Linotype"/>
          <w:sz w:val="20"/>
          <w:szCs w:val="20"/>
        </w:rPr>
      </w:pPr>
    </w:p>
    <w:p w14:paraId="7E8616E1" w14:textId="77777777" w:rsidR="00B30F4B" w:rsidRDefault="00B30F4B">
      <w:pPr>
        <w:spacing w:before="240" w:after="240" w:line="360" w:lineRule="auto"/>
        <w:jc w:val="both"/>
        <w:rPr>
          <w:rFonts w:ascii="Palatino Linotype" w:eastAsia="Palatino Linotype" w:hAnsi="Palatino Linotype" w:cs="Palatino Linotype"/>
          <w:sz w:val="20"/>
          <w:szCs w:val="20"/>
        </w:rPr>
      </w:pPr>
    </w:p>
    <w:sectPr w:rsidR="00B30F4B">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A173C" w14:textId="77777777" w:rsidR="001B2323" w:rsidRDefault="001B2323">
      <w:r>
        <w:separator/>
      </w:r>
    </w:p>
  </w:endnote>
  <w:endnote w:type="continuationSeparator" w:id="0">
    <w:p w14:paraId="15550BB8" w14:textId="77777777" w:rsidR="001B2323" w:rsidRDefault="001B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BF59" w14:textId="77777777" w:rsidR="00B30F4B" w:rsidRDefault="00761BA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E2151">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E2151">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11586F22" w14:textId="77777777" w:rsidR="00B30F4B" w:rsidRDefault="00B30F4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04DB" w14:textId="77777777" w:rsidR="00B30F4B" w:rsidRDefault="00761BA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E215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E2151">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1BB30BD8" w14:textId="77777777" w:rsidR="00B30F4B" w:rsidRDefault="00B30F4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6FE91" w14:textId="77777777" w:rsidR="001B2323" w:rsidRDefault="001B2323">
      <w:r>
        <w:separator/>
      </w:r>
    </w:p>
  </w:footnote>
  <w:footnote w:type="continuationSeparator" w:id="0">
    <w:p w14:paraId="568A3B88" w14:textId="77777777" w:rsidR="001B2323" w:rsidRDefault="001B2323">
      <w:r>
        <w:continuationSeparator/>
      </w:r>
    </w:p>
  </w:footnote>
  <w:footnote w:id="1">
    <w:p w14:paraId="6856EDD7" w14:textId="77777777" w:rsidR="00B30F4B" w:rsidRDefault="00761BA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9EF4A56" w14:textId="77777777" w:rsidR="00B30F4B" w:rsidRDefault="00761BA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C03C167" w14:textId="77777777" w:rsidR="00B30F4B" w:rsidRDefault="00761BA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C0B2" w14:textId="77777777" w:rsidR="00B30F4B" w:rsidRDefault="00761BA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D78C3AC" wp14:editId="3CF767AA">
          <wp:simplePos x="0" y="0"/>
          <wp:positionH relativeFrom="column">
            <wp:posOffset>-1080127</wp:posOffset>
          </wp:positionH>
          <wp:positionV relativeFrom="paragraph">
            <wp:posOffset>-396394</wp:posOffset>
          </wp:positionV>
          <wp:extent cx="7809865" cy="1016571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B30F4B" w14:paraId="1B02DD1D" w14:textId="77777777">
      <w:tc>
        <w:tcPr>
          <w:tcW w:w="2489" w:type="dxa"/>
          <w:shd w:val="clear" w:color="auto" w:fill="auto"/>
        </w:tcPr>
        <w:p w14:paraId="14D52863" w14:textId="77777777" w:rsidR="00B30F4B" w:rsidRDefault="00761BA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07B0886" w14:textId="77777777" w:rsidR="00B30F4B" w:rsidRDefault="00761BA1">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00514/INFOEM/IP/RR/2023</w:t>
          </w:r>
        </w:p>
      </w:tc>
    </w:tr>
    <w:tr w:rsidR="00B30F4B" w14:paraId="42ADE60B" w14:textId="77777777">
      <w:trPr>
        <w:trHeight w:val="228"/>
      </w:trPr>
      <w:tc>
        <w:tcPr>
          <w:tcW w:w="2489" w:type="dxa"/>
          <w:shd w:val="clear" w:color="auto" w:fill="auto"/>
          <w:vAlign w:val="center"/>
        </w:tcPr>
        <w:p w14:paraId="57E9729B" w14:textId="77777777" w:rsidR="00B30F4B" w:rsidRDefault="00761BA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31DE92AE" w14:textId="77777777" w:rsidR="00B30F4B" w:rsidRDefault="00761BA1">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Zinacantepec</w:t>
          </w:r>
        </w:p>
      </w:tc>
    </w:tr>
    <w:tr w:rsidR="00B30F4B" w14:paraId="5BA118D3" w14:textId="77777777">
      <w:trPr>
        <w:trHeight w:val="311"/>
      </w:trPr>
      <w:tc>
        <w:tcPr>
          <w:tcW w:w="2489" w:type="dxa"/>
          <w:shd w:val="clear" w:color="auto" w:fill="auto"/>
          <w:vAlign w:val="center"/>
        </w:tcPr>
        <w:p w14:paraId="245EFCC1" w14:textId="77777777" w:rsidR="00B30F4B" w:rsidRDefault="00761BA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6B1339E6" w14:textId="77777777" w:rsidR="00B30F4B" w:rsidRDefault="00761BA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E4242A0" w14:textId="77777777" w:rsidR="00B30F4B" w:rsidRDefault="00761BA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A103" w14:textId="77777777" w:rsidR="00B30F4B" w:rsidRDefault="00761BA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A50B7DA" wp14:editId="05AA10E6">
          <wp:simplePos x="0" y="0"/>
          <wp:positionH relativeFrom="column">
            <wp:posOffset>-1079143</wp:posOffset>
          </wp:positionH>
          <wp:positionV relativeFrom="paragraph">
            <wp:posOffset>-644523</wp:posOffset>
          </wp:positionV>
          <wp:extent cx="7809865" cy="1016571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6095" w:type="dxa"/>
      <w:tblInd w:w="2762" w:type="dxa"/>
      <w:tblLayout w:type="fixed"/>
      <w:tblLook w:val="0400" w:firstRow="0" w:lastRow="0" w:firstColumn="0" w:lastColumn="0" w:noHBand="0" w:noVBand="1"/>
    </w:tblPr>
    <w:tblGrid>
      <w:gridCol w:w="2551"/>
      <w:gridCol w:w="3544"/>
    </w:tblGrid>
    <w:tr w:rsidR="00B30F4B" w14:paraId="2434CEBE" w14:textId="77777777">
      <w:tc>
        <w:tcPr>
          <w:tcW w:w="2551" w:type="dxa"/>
          <w:shd w:val="clear" w:color="auto" w:fill="auto"/>
          <w:vAlign w:val="center"/>
        </w:tcPr>
        <w:p w14:paraId="0AC3C9EF" w14:textId="77777777" w:rsidR="00B30F4B" w:rsidRDefault="00761BA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14268123" w14:textId="77777777" w:rsidR="00B30F4B" w:rsidRDefault="00761BA1">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00514/INFOEM/IP/RR/2023</w:t>
          </w:r>
        </w:p>
      </w:tc>
    </w:tr>
    <w:tr w:rsidR="00B30F4B" w14:paraId="4AACAE57" w14:textId="77777777">
      <w:trPr>
        <w:trHeight w:val="130"/>
      </w:trPr>
      <w:tc>
        <w:tcPr>
          <w:tcW w:w="2551" w:type="dxa"/>
          <w:shd w:val="clear" w:color="auto" w:fill="auto"/>
          <w:vAlign w:val="center"/>
        </w:tcPr>
        <w:p w14:paraId="18EC1D40" w14:textId="77777777" w:rsidR="00B30F4B" w:rsidRDefault="00761BA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352AEC01" w14:textId="77777777" w:rsidR="00B30F4B" w:rsidRDefault="00B30F4B">
          <w:pPr>
            <w:jc w:val="both"/>
            <w:rPr>
              <w:rFonts w:ascii="Palatino Linotype" w:eastAsia="Palatino Linotype" w:hAnsi="Palatino Linotype" w:cs="Palatino Linotype"/>
              <w:b/>
            </w:rPr>
          </w:pPr>
        </w:p>
      </w:tc>
    </w:tr>
    <w:tr w:rsidR="00B30F4B" w14:paraId="6B4B931A" w14:textId="77777777">
      <w:trPr>
        <w:trHeight w:val="228"/>
      </w:trPr>
      <w:tc>
        <w:tcPr>
          <w:tcW w:w="2551" w:type="dxa"/>
          <w:shd w:val="clear" w:color="auto" w:fill="auto"/>
          <w:vAlign w:val="center"/>
        </w:tcPr>
        <w:p w14:paraId="5DA9207C" w14:textId="77777777" w:rsidR="00B30F4B" w:rsidRDefault="00761BA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3C502FEE" w14:textId="77777777" w:rsidR="00B30F4B" w:rsidRDefault="00761BA1">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Zinacantepec</w:t>
          </w:r>
        </w:p>
      </w:tc>
    </w:tr>
    <w:tr w:rsidR="00B30F4B" w14:paraId="14A68C7E" w14:textId="77777777">
      <w:tc>
        <w:tcPr>
          <w:tcW w:w="2551" w:type="dxa"/>
          <w:shd w:val="clear" w:color="auto" w:fill="auto"/>
          <w:vAlign w:val="center"/>
        </w:tcPr>
        <w:p w14:paraId="4D573DE3" w14:textId="77777777" w:rsidR="00B30F4B" w:rsidRDefault="00761BA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6EE079B" w14:textId="77777777" w:rsidR="00B30F4B" w:rsidRDefault="00761BA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46886AE" w14:textId="77777777" w:rsidR="00B30F4B" w:rsidRDefault="00B30F4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BD6"/>
    <w:multiLevelType w:val="multilevel"/>
    <w:tmpl w:val="75387C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14C62EF"/>
    <w:multiLevelType w:val="multilevel"/>
    <w:tmpl w:val="5658CAE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2945"/>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E8239CC"/>
    <w:multiLevelType w:val="multilevel"/>
    <w:tmpl w:val="0170A02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F4B"/>
    <w:rsid w:val="001B2323"/>
    <w:rsid w:val="004B3365"/>
    <w:rsid w:val="00501C32"/>
    <w:rsid w:val="00761BA1"/>
    <w:rsid w:val="00B30F4B"/>
    <w:rsid w:val="00DA576C"/>
    <w:rsid w:val="00DE21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E3BE1"/>
  <w15:docId w15:val="{E7545597-5071-4513-833D-9362556C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spacing w:after="160"/>
    </w:pPr>
    <w:rPr>
      <w:rFonts w:ascii="Cambria" w:eastAsia="Cambria" w:hAnsi="Cambria" w:cs="Cambria"/>
      <w:color w:val="5A5A5A"/>
      <w:sz w:val="22"/>
      <w:szCs w:val="22"/>
    </w:rPr>
  </w:style>
  <w:style w:type="table" w:customStyle="1" w:styleId="a">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0"/>
    <w:rPr>
      <w:rFonts w:ascii="Calibri" w:eastAsia="Calibri" w:hAnsi="Calibri" w:cs="Calibri"/>
      <w:sz w:val="22"/>
      <w:szCs w:val="22"/>
    </w:rPr>
    <w:tblPr>
      <w:tblStyleRowBandSize w:val="1"/>
      <w:tblStyleColBandSize w:val="1"/>
      <w:tblCellMar>
        <w:left w:w="115" w:type="dxa"/>
        <w:right w:w="115" w:type="dxa"/>
      </w:tblCellMar>
    </w:tblPr>
  </w:style>
  <w:style w:type="paragraph" w:styleId="Prrafodelista">
    <w:name w:val="List Paragraph"/>
    <w:basedOn w:val="Normal"/>
    <w:uiPriority w:val="34"/>
    <w:qFormat/>
    <w:rsid w:val="006B643E"/>
    <w:pPr>
      <w:ind w:left="720"/>
      <w:contextualSpacing/>
    </w:pPr>
  </w:style>
  <w:style w:type="paragraph" w:styleId="Encabezado">
    <w:name w:val="header"/>
    <w:basedOn w:val="Normal"/>
    <w:link w:val="EncabezadoCar"/>
    <w:uiPriority w:val="99"/>
    <w:unhideWhenUsed/>
    <w:rsid w:val="00484539"/>
    <w:pPr>
      <w:tabs>
        <w:tab w:val="center" w:pos="4419"/>
        <w:tab w:val="right" w:pos="8838"/>
      </w:tabs>
    </w:pPr>
  </w:style>
  <w:style w:type="character" w:customStyle="1" w:styleId="EncabezadoCar">
    <w:name w:val="Encabezado Car"/>
    <w:basedOn w:val="Fuentedeprrafopredeter"/>
    <w:link w:val="Encabezado"/>
    <w:uiPriority w:val="99"/>
    <w:rsid w:val="00484539"/>
  </w:style>
  <w:style w:type="paragraph" w:styleId="Piedepgina">
    <w:name w:val="footer"/>
    <w:basedOn w:val="Normal"/>
    <w:link w:val="PiedepginaCar"/>
    <w:uiPriority w:val="99"/>
    <w:unhideWhenUsed/>
    <w:rsid w:val="00484539"/>
    <w:pPr>
      <w:tabs>
        <w:tab w:val="center" w:pos="4419"/>
        <w:tab w:val="right" w:pos="8838"/>
      </w:tabs>
    </w:pPr>
  </w:style>
  <w:style w:type="character" w:customStyle="1" w:styleId="PiedepginaCar">
    <w:name w:val="Pie de página Car"/>
    <w:basedOn w:val="Fuentedeprrafopredeter"/>
    <w:link w:val="Piedepgina"/>
    <w:uiPriority w:val="99"/>
    <w:rsid w:val="00484539"/>
  </w:style>
  <w:style w:type="table" w:customStyle="1" w:styleId="a1">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9ZNa4sU4gxjAxSVYd3W/AZseMQ==">CgMxLjAyCGguZ2pkZ3hzMgloLjMwajB6bGwyCWguMWZvYjl0ZTIJaC4zem55c2g3MgloLjJldDkycDAyCGgudHlqY3d0MgloLjNkeTZ2a204AHIhMXdSZElGV193RndnWGJyYjF0dTVXdnVQVzVJanJhR04x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8281</Words>
  <Characters>45547</Characters>
  <Application>Microsoft Office Word</Application>
  <DocSecurity>4</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dc:creator>
  <cp:lastModifiedBy>Maricela Villagomez</cp:lastModifiedBy>
  <cp:revision>2</cp:revision>
  <cp:lastPrinted>2023-10-04T16:20:00Z</cp:lastPrinted>
  <dcterms:created xsi:type="dcterms:W3CDTF">2023-10-27T17:31:00Z</dcterms:created>
  <dcterms:modified xsi:type="dcterms:W3CDTF">2023-10-27T17:31:00Z</dcterms:modified>
</cp:coreProperties>
</file>