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EF3DC7" w:rsidR="008A63B5" w:rsidP="008A63B5" w:rsidRDefault="008A63B5" w14:paraId="6057D5AD" w14:textId="02F74007">
      <w:pPr>
        <w:tabs>
          <w:tab w:val="left" w:pos="8931"/>
        </w:tabs>
        <w:spacing w:after="0" w:line="360" w:lineRule="auto"/>
        <w:rPr>
          <w:rFonts w:eastAsia="Calibri" w:cs="Tahoma"/>
          <w:lang w:val="es-ES"/>
        </w:rPr>
      </w:pPr>
      <w:r w:rsidRPr="00EF3DC7">
        <w:rPr>
          <w:rFonts w:cs="Tahoma"/>
          <w:bCs/>
        </w:rPr>
        <w:t xml:space="preserve">Resolución del Pleno del Instituto de Transparencia, Acceso a la Información Pública y Protección de Datos Personales del Estado de México y Municipios, con domicilio en Metepec, </w:t>
      </w:r>
      <w:r w:rsidRPr="00EF3DC7">
        <w:rPr>
          <w:rFonts w:eastAsia="Calibri" w:cs="Tahoma"/>
          <w:lang w:val="es-ES"/>
        </w:rPr>
        <w:t xml:space="preserve">Estado de México, </w:t>
      </w:r>
      <w:r w:rsidRPr="00EF3DC7" w:rsidR="00A63E20">
        <w:rPr>
          <w:rFonts w:eastAsia="Calibri" w:cs="Tahoma"/>
          <w:lang w:val="es-ES"/>
        </w:rPr>
        <w:t xml:space="preserve">nueve </w:t>
      </w:r>
      <w:r w:rsidRPr="00EF3DC7">
        <w:rPr>
          <w:rFonts w:eastAsia="Calibri" w:cs="Tahoma"/>
          <w:lang w:val="es-ES"/>
        </w:rPr>
        <w:t xml:space="preserve">de febrero de dos mil veintitrés. </w:t>
      </w:r>
    </w:p>
    <w:p w:rsidRPr="00EF3DC7" w:rsidR="008A63B5" w:rsidP="008A63B5" w:rsidRDefault="008A63B5" w14:paraId="24AD3ADF" w14:textId="77777777">
      <w:pPr>
        <w:spacing w:after="0" w:line="360" w:lineRule="auto"/>
        <w:rPr>
          <w:rFonts w:eastAsia="Calibri" w:cs="Tahoma"/>
          <w:b/>
          <w:bCs/>
          <w:lang w:val="es-ES"/>
        </w:rPr>
      </w:pPr>
    </w:p>
    <w:p w:rsidRPr="00EF3DC7" w:rsidR="008A63B5" w:rsidP="008A63B5" w:rsidRDefault="008A63B5" w14:paraId="24B83B81" w14:textId="058ECC63">
      <w:pPr>
        <w:spacing w:after="0" w:line="360" w:lineRule="auto"/>
        <w:rPr>
          <w:rFonts w:cs="Tahoma"/>
          <w:color w:val="0D0D0D" w:themeColor="text1" w:themeTint="F2"/>
        </w:rPr>
      </w:pPr>
      <w:r w:rsidRPr="5FC3AAFE" w:rsidR="5FC3AAFE">
        <w:rPr>
          <w:rFonts w:eastAsia="Calibri" w:cs="Tahoma"/>
          <w:b w:val="1"/>
          <w:bCs w:val="1"/>
          <w:lang w:val="es-ES"/>
        </w:rPr>
        <w:t xml:space="preserve">VISTO </w:t>
      </w:r>
      <w:r w:rsidRPr="5FC3AAFE" w:rsidR="5FC3AAFE">
        <w:rPr>
          <w:rFonts w:eastAsia="Calibri" w:cs="Tahoma"/>
          <w:lang w:val="es-ES"/>
        </w:rPr>
        <w:t xml:space="preserve">el expediente conformado con motivo del Recurso de Revisión </w:t>
      </w:r>
      <w:r w:rsidRPr="5FC3AAFE" w:rsidR="5FC3AAFE">
        <w:rPr>
          <w:rFonts w:eastAsia="Calibri" w:cs="Tahoma"/>
        </w:rPr>
        <w:t xml:space="preserve">17026/INFOEM/IP/RR/2022, interpuesto por </w:t>
      </w:r>
      <w:r w:rsidRPr="5FC3AAFE" w:rsidR="5FC3AAFE">
        <w:rPr>
          <w:rFonts w:eastAsia="Calibri" w:cs="Tahoma"/>
          <w:highlight w:val="black"/>
        </w:rPr>
        <w:t>XXXXXXXXXXXXXXXXX</w:t>
      </w:r>
      <w:r w:rsidRPr="5FC3AAFE" w:rsidR="5FC3AAFE">
        <w:rPr>
          <w:rFonts w:eastAsia="Calibri" w:cs="Tahoma"/>
        </w:rPr>
        <w:t>, en lo sucesivo el</w:t>
      </w:r>
      <w:r w:rsidRPr="5FC3AAFE" w:rsidR="5FC3AAFE">
        <w:rPr>
          <w:rFonts w:cs="Tahoma"/>
          <w:color w:val="0D0D0D" w:themeColor="text1" w:themeTint="F2" w:themeShade="FF"/>
        </w:rPr>
        <w:t xml:space="preserve"> Recurrente o Particular, en contra de la respuesta del Sujeto Obligado, Secretaría de Salud, a la solicitud de acceso a la información pública</w:t>
      </w:r>
      <w:r w:rsidR="5FC3AAFE">
        <w:rPr/>
        <w:t xml:space="preserve"> 00464/SSALUD/IP/2022, </w:t>
      </w:r>
      <w:r w:rsidRPr="5FC3AAFE" w:rsidR="5FC3AAFE">
        <w:rPr>
          <w:rFonts w:cs="Tahoma"/>
          <w:color w:val="0D0D0D" w:themeColor="text1" w:themeTint="F2" w:themeShade="FF"/>
        </w:rPr>
        <w:t>se emite la presente Resolución, con base en los Antecedentes y Considerandos que se exponen a continuación:</w:t>
      </w:r>
    </w:p>
    <w:p w:rsidRPr="00EF3DC7" w:rsidR="008A63B5" w:rsidP="008A63B5" w:rsidRDefault="008A63B5" w14:paraId="4ACF8A12" w14:textId="77777777">
      <w:pPr>
        <w:spacing w:after="0" w:line="360" w:lineRule="auto"/>
        <w:rPr>
          <w:rFonts w:eastAsia="Calibri" w:cs="Tahoma"/>
          <w:b/>
          <w:bCs/>
          <w:lang w:val="es-ES"/>
        </w:rPr>
      </w:pPr>
    </w:p>
    <w:p w:rsidRPr="00EF3DC7" w:rsidR="008A63B5" w:rsidP="008A63B5" w:rsidRDefault="008A63B5" w14:paraId="16F0B5F3" w14:textId="77777777">
      <w:pPr>
        <w:spacing w:after="0" w:line="360" w:lineRule="auto"/>
        <w:jc w:val="center"/>
        <w:rPr>
          <w:rFonts w:eastAsia="Calibri" w:cs="Tahoma"/>
          <w:b/>
          <w:bCs/>
          <w:lang w:val="es-ES"/>
        </w:rPr>
      </w:pPr>
      <w:r w:rsidRPr="00EF3DC7">
        <w:rPr>
          <w:rFonts w:eastAsia="Calibri" w:cs="Tahoma"/>
          <w:b/>
          <w:bCs/>
          <w:lang w:val="es-ES"/>
        </w:rPr>
        <w:t>A N T E C E D E N T E S:</w:t>
      </w:r>
    </w:p>
    <w:p w:rsidRPr="00EF3DC7" w:rsidR="008A63B5" w:rsidP="008A63B5" w:rsidRDefault="008A63B5" w14:paraId="2B80E3DA" w14:textId="77777777">
      <w:pPr>
        <w:spacing w:after="0" w:line="360" w:lineRule="auto"/>
        <w:rPr>
          <w:lang w:val="es-ES"/>
        </w:rPr>
      </w:pPr>
    </w:p>
    <w:p w:rsidRPr="00EF3DC7" w:rsidR="008A63B5" w:rsidP="008A63B5" w:rsidRDefault="008A63B5" w14:paraId="0AB1DAFF" w14:textId="77777777">
      <w:pPr>
        <w:spacing w:after="0" w:line="360" w:lineRule="auto"/>
        <w:rPr>
          <w:rFonts w:eastAsia="Calibri" w:cs="Tahoma"/>
          <w:b/>
          <w:bCs/>
          <w:lang w:val="es-ES"/>
        </w:rPr>
      </w:pPr>
      <w:r w:rsidRPr="00EF3DC7">
        <w:rPr>
          <w:rFonts w:eastAsia="Calibri" w:cs="Tahoma"/>
          <w:b/>
          <w:bCs/>
          <w:lang w:val="es-ES"/>
        </w:rPr>
        <w:t>I. Presentación de la solicitud de información.</w:t>
      </w:r>
    </w:p>
    <w:p w:rsidRPr="00EF3DC7" w:rsidR="008A63B5" w:rsidP="008A63B5" w:rsidRDefault="008A63B5" w14:paraId="642B0FF9" w14:textId="77777777">
      <w:pPr>
        <w:spacing w:after="0" w:line="360" w:lineRule="auto"/>
        <w:rPr>
          <w:rFonts w:eastAsia="Calibri" w:cs="Tahoma"/>
          <w:b/>
          <w:bCs/>
          <w:lang w:val="es-ES"/>
        </w:rPr>
      </w:pPr>
    </w:p>
    <w:p w:rsidRPr="00EF3DC7" w:rsidR="008A63B5" w:rsidP="008A63B5" w:rsidRDefault="008A63B5" w14:paraId="6310AB28" w14:textId="52BB4427">
      <w:pPr>
        <w:spacing w:after="0" w:line="360" w:lineRule="auto"/>
        <w:rPr>
          <w:rFonts w:cs="Tahoma"/>
        </w:rPr>
      </w:pPr>
      <w:r w:rsidRPr="00EF3DC7">
        <w:rPr>
          <w:rFonts w:eastAsia="Calibri" w:cs="Tahoma"/>
          <w:lang w:val="es-ES"/>
        </w:rPr>
        <w:t>Con fecha siete de noviembre de dos mil veintidós, la Particular presentó una solicitud de información, a través del Sistema de Acceso a la Información Mexiquense (SAIMEX), ante la Secretaría de Salud</w:t>
      </w:r>
      <w:r w:rsidRPr="00EF3DC7">
        <w:rPr>
          <w:b/>
          <w:bCs/>
          <w:lang w:val="es-ES"/>
        </w:rPr>
        <w:t>,</w:t>
      </w:r>
      <w:r w:rsidRPr="00EF3DC7">
        <w:rPr>
          <w:rFonts w:cs="Tahoma"/>
        </w:rPr>
        <w:t xml:space="preserve"> en los siguientes términos:</w:t>
      </w:r>
    </w:p>
    <w:p w:rsidRPr="00EF3DC7" w:rsidR="008A63B5" w:rsidP="008A63B5" w:rsidRDefault="008A63B5" w14:paraId="1183065C" w14:textId="77777777">
      <w:pPr>
        <w:spacing w:after="0" w:line="360" w:lineRule="auto"/>
        <w:rPr>
          <w:rFonts w:cs="Tahoma"/>
        </w:rPr>
      </w:pPr>
    </w:p>
    <w:p w:rsidRPr="00EF3DC7" w:rsidR="008A63B5" w:rsidP="008A63B5" w:rsidRDefault="008A63B5" w14:paraId="6A97AF51" w14:textId="77777777">
      <w:pPr>
        <w:tabs>
          <w:tab w:val="left" w:pos="4667"/>
        </w:tabs>
        <w:spacing w:after="0" w:line="360" w:lineRule="auto"/>
        <w:ind w:left="567" w:right="567"/>
        <w:rPr>
          <w:rFonts w:cs="Tahoma"/>
          <w:b/>
          <w:bCs/>
          <w:i/>
          <w:sz w:val="20"/>
          <w:szCs w:val="20"/>
        </w:rPr>
      </w:pPr>
      <w:r w:rsidRPr="00EF3DC7">
        <w:rPr>
          <w:rFonts w:cs="Tahoma"/>
          <w:b/>
          <w:bCs/>
          <w:i/>
          <w:sz w:val="20"/>
          <w:szCs w:val="20"/>
        </w:rPr>
        <w:t>“DESCRIPCIÓN CLARA Y PRECISA DE LA INFORMACIÓN SOLICITADA</w:t>
      </w:r>
    </w:p>
    <w:p w:rsidRPr="00EF3DC7" w:rsidR="008A63B5" w:rsidP="008A63B5" w:rsidRDefault="008A63B5" w14:paraId="582DA398" w14:textId="2D2F5595">
      <w:pPr>
        <w:tabs>
          <w:tab w:val="left" w:pos="4667"/>
        </w:tabs>
        <w:spacing w:after="0" w:line="360" w:lineRule="auto"/>
        <w:ind w:left="567" w:right="567"/>
        <w:rPr>
          <w:i/>
          <w:color w:val="000000"/>
          <w:sz w:val="20"/>
          <w:szCs w:val="20"/>
        </w:rPr>
      </w:pPr>
      <w:r w:rsidRPr="00EF3DC7">
        <w:rPr>
          <w:i/>
          <w:color w:val="000000"/>
          <w:sz w:val="20"/>
          <w:szCs w:val="20"/>
        </w:rPr>
        <w:t xml:space="preserve">nómina general del 1 de enero de 2022 al 31 de octubre de 2022 lista de raya, pago por honorarios </w:t>
      </w:r>
      <w:proofErr w:type="spellStart"/>
      <w:r w:rsidRPr="00EF3DC7">
        <w:rPr>
          <w:i/>
          <w:color w:val="000000"/>
          <w:sz w:val="20"/>
          <w:szCs w:val="20"/>
        </w:rPr>
        <w:t>asi</w:t>
      </w:r>
      <w:proofErr w:type="spellEnd"/>
      <w:r w:rsidRPr="00EF3DC7">
        <w:rPr>
          <w:i/>
          <w:color w:val="000000"/>
          <w:sz w:val="20"/>
          <w:szCs w:val="20"/>
        </w:rPr>
        <w:t xml:space="preserve"> como cualquier otro método de pago que se le realice a los trabajadores del hospital incluyendo doctores, especialistas, enfermeras, trabajadoras sociales y personal de intendencia, del Hospital general de Atlacomulco.(Sic)</w:t>
      </w:r>
    </w:p>
    <w:p w:rsidRPr="00EF3DC7" w:rsidR="008A63B5" w:rsidP="008A63B5" w:rsidRDefault="008A63B5" w14:paraId="69E9F102" w14:textId="77777777">
      <w:pPr>
        <w:spacing w:after="0" w:line="360" w:lineRule="auto"/>
        <w:ind w:left="567" w:right="567"/>
        <w:rPr>
          <w:rFonts w:eastAsia="Times New Roman" w:cs="Arial"/>
          <w:bCs/>
          <w:i/>
          <w:color w:val="auto"/>
          <w:sz w:val="20"/>
          <w:szCs w:val="20"/>
          <w:lang w:eastAsia="es-ES"/>
        </w:rPr>
      </w:pPr>
    </w:p>
    <w:p w:rsidRPr="00EF3DC7" w:rsidR="008A63B5" w:rsidP="008A63B5" w:rsidRDefault="008A63B5" w14:paraId="4ECFBE0E" w14:textId="77777777">
      <w:pPr>
        <w:tabs>
          <w:tab w:val="left" w:pos="4667"/>
        </w:tabs>
        <w:spacing w:after="0" w:line="360" w:lineRule="auto"/>
        <w:ind w:left="567" w:right="567"/>
        <w:rPr>
          <w:rFonts w:eastAsia="Times New Roman" w:cs="Tahoma"/>
          <w:b/>
          <w:bCs/>
          <w:i/>
          <w:color w:val="auto"/>
          <w:sz w:val="20"/>
          <w:szCs w:val="20"/>
          <w:lang w:eastAsia="es-ES"/>
        </w:rPr>
      </w:pPr>
      <w:r w:rsidRPr="00EF3DC7">
        <w:rPr>
          <w:rFonts w:eastAsia="Times New Roman" w:cs="Tahoma"/>
          <w:b/>
          <w:bCs/>
          <w:i/>
          <w:color w:val="auto"/>
          <w:sz w:val="20"/>
          <w:szCs w:val="20"/>
          <w:lang w:eastAsia="es-ES"/>
        </w:rPr>
        <w:t>“MODALIDAD DE ENTREGA</w:t>
      </w:r>
    </w:p>
    <w:p w:rsidRPr="00EF3DC7" w:rsidR="008A63B5" w:rsidP="008A63B5" w:rsidRDefault="008A63B5" w14:paraId="12BB013F" w14:textId="77777777">
      <w:pPr>
        <w:spacing w:after="0" w:line="360" w:lineRule="auto"/>
        <w:ind w:left="567" w:right="567"/>
        <w:rPr>
          <w:rFonts w:eastAsia="Times New Roman" w:cs="Arial"/>
          <w:bCs/>
          <w:i/>
          <w:color w:val="auto"/>
          <w:sz w:val="20"/>
          <w:szCs w:val="20"/>
          <w:lang w:eastAsia="es-ES"/>
        </w:rPr>
      </w:pPr>
      <w:r w:rsidRPr="00EF3DC7">
        <w:rPr>
          <w:rFonts w:eastAsia="Times New Roman" w:cs="Arial"/>
          <w:bCs/>
          <w:i/>
          <w:color w:val="auto"/>
          <w:sz w:val="20"/>
          <w:szCs w:val="20"/>
          <w:lang w:eastAsia="es-ES"/>
        </w:rPr>
        <w:t>A través del SAIMEX” (Sic)</w:t>
      </w:r>
    </w:p>
    <w:p w:rsidRPr="00EF3DC7" w:rsidR="008A63B5" w:rsidP="008A63B5" w:rsidRDefault="008A63B5" w14:paraId="3EC3E1D2" w14:textId="77777777">
      <w:pPr>
        <w:tabs>
          <w:tab w:val="left" w:pos="4667"/>
        </w:tabs>
        <w:spacing w:after="0" w:line="360" w:lineRule="auto"/>
        <w:ind w:right="567"/>
        <w:rPr>
          <w:rFonts w:cs="Tahoma"/>
          <w:b/>
          <w:bCs/>
          <w:color w:val="auto"/>
          <w:szCs w:val="24"/>
        </w:rPr>
      </w:pPr>
      <w:r w:rsidRPr="00EF3DC7">
        <w:rPr>
          <w:rFonts w:cs="Tahoma"/>
          <w:b/>
          <w:bCs/>
          <w:szCs w:val="24"/>
        </w:rPr>
        <w:t xml:space="preserve">II. </w:t>
      </w:r>
      <w:r w:rsidRPr="00EF3DC7">
        <w:rPr>
          <w:rFonts w:cs="Tahoma"/>
          <w:b/>
          <w:szCs w:val="24"/>
        </w:rPr>
        <w:t>Respuesta</w:t>
      </w:r>
      <w:r w:rsidRPr="00EF3DC7">
        <w:rPr>
          <w:rFonts w:cs="Tahoma"/>
          <w:b/>
          <w:bCs/>
          <w:szCs w:val="24"/>
        </w:rPr>
        <w:t xml:space="preserve"> del Sujeto Obligado.</w:t>
      </w:r>
    </w:p>
    <w:p w:rsidRPr="00EF3DC7" w:rsidR="008A63B5" w:rsidP="008A63B5" w:rsidRDefault="008A63B5" w14:paraId="7BBB06BC" w14:textId="77777777">
      <w:pPr>
        <w:pStyle w:val="Prrafodelista"/>
        <w:tabs>
          <w:tab w:val="left" w:pos="567"/>
        </w:tabs>
        <w:spacing w:after="0" w:line="360" w:lineRule="auto"/>
        <w:ind w:left="0"/>
        <w:rPr>
          <w:rFonts w:cs="Tahoma"/>
          <w:bCs/>
        </w:rPr>
      </w:pPr>
    </w:p>
    <w:p w:rsidRPr="00EF3DC7" w:rsidR="008A63B5" w:rsidP="008A63B5" w:rsidRDefault="005F58A7" w14:paraId="50FE4525" w14:textId="3E86D168">
      <w:pPr>
        <w:pStyle w:val="Prrafodelista"/>
        <w:tabs>
          <w:tab w:val="left" w:pos="567"/>
        </w:tabs>
        <w:spacing w:after="0" w:line="360" w:lineRule="auto"/>
        <w:ind w:left="0"/>
        <w:rPr>
          <w:rFonts w:cs="Tahoma"/>
        </w:rPr>
      </w:pPr>
      <w:r w:rsidRPr="00EF3DC7">
        <w:rPr>
          <w:rFonts w:cs="Tahoma"/>
          <w:bCs/>
        </w:rPr>
        <w:t>Con fecha</w:t>
      </w:r>
      <w:r w:rsidRPr="00EF3DC7" w:rsidR="008A63B5">
        <w:rPr>
          <w:rFonts w:cs="Tahoma"/>
          <w:bCs/>
        </w:rPr>
        <w:t xml:space="preserve"> veintinueve de noviembre de dos mil veintidós,</w:t>
      </w:r>
      <w:r w:rsidRPr="00EF3DC7" w:rsidR="008A63B5">
        <w:rPr>
          <w:rFonts w:cs="Tahoma"/>
        </w:rPr>
        <w:t xml:space="preserve"> el Sujeto Obligado notificó al Solicitante, mediante el Sistema de Acceso a la Información Mexiquense (SAIMEX), la respuesta a la solicitud de acceso a la información, por medio del oficio número 505/2022, </w:t>
      </w:r>
      <w:r w:rsidRPr="00EF3DC7">
        <w:rPr>
          <w:rFonts w:cs="Tahoma"/>
        </w:rPr>
        <w:t xml:space="preserve"> del mismo mes y año</w:t>
      </w:r>
      <w:r w:rsidRPr="00EF3DC7" w:rsidR="008A63B5">
        <w:rPr>
          <w:rFonts w:cs="Tahoma"/>
        </w:rPr>
        <w:t xml:space="preserve">, suscrito por el Jefe de la Unidad de Información, Planeación, Programación y Evaluación, dirigido al Solicitante, por medio del cual manifiesta y expone esencialmente lo siguiente: </w:t>
      </w:r>
    </w:p>
    <w:p w:rsidRPr="00EF3DC7" w:rsidR="008A63B5" w:rsidP="008A63B5" w:rsidRDefault="008A63B5" w14:paraId="45AF772E" w14:textId="77777777">
      <w:pPr>
        <w:spacing w:after="0" w:line="360" w:lineRule="auto"/>
        <w:ind w:left="567" w:right="567"/>
        <w:rPr>
          <w:rFonts w:eastAsia="Calibri" w:cs="Tahoma"/>
          <w:b/>
          <w:i/>
          <w:iCs/>
          <w:sz w:val="20"/>
          <w:szCs w:val="20"/>
        </w:rPr>
      </w:pPr>
    </w:p>
    <w:p w:rsidRPr="00EF3DC7" w:rsidR="008A63B5" w:rsidP="008A63B5" w:rsidRDefault="008A63B5" w14:paraId="777BF846" w14:textId="77777777">
      <w:pPr>
        <w:spacing w:after="0" w:line="360" w:lineRule="auto"/>
        <w:ind w:left="567" w:right="567"/>
        <w:rPr>
          <w:rFonts w:eastAsia="Calibri" w:cs="Tahoma"/>
          <w:bCs/>
          <w:i/>
          <w:iCs/>
          <w:sz w:val="20"/>
          <w:szCs w:val="20"/>
        </w:rPr>
      </w:pPr>
      <w:r w:rsidRPr="00EF3DC7">
        <w:rPr>
          <w:rFonts w:eastAsia="Calibri" w:cs="Tahoma"/>
          <w:bCs/>
          <w:i/>
          <w:iCs/>
          <w:sz w:val="20"/>
          <w:szCs w:val="20"/>
        </w:rPr>
        <w:t>“…</w:t>
      </w:r>
    </w:p>
    <w:p w:rsidRPr="00EF3DC7" w:rsidR="008A63B5" w:rsidP="008A63B5" w:rsidRDefault="008A63B5" w14:paraId="25BD6756" w14:textId="48660A38">
      <w:pPr>
        <w:spacing w:after="0" w:line="360" w:lineRule="auto"/>
        <w:ind w:left="567" w:right="567"/>
        <w:rPr>
          <w:rFonts w:eastAsia="Calibri" w:cs="Tahoma"/>
          <w:bCs/>
          <w:i/>
          <w:iCs/>
          <w:sz w:val="20"/>
          <w:szCs w:val="20"/>
        </w:rPr>
      </w:pPr>
      <w:r w:rsidRPr="00EF3DC7">
        <w:rPr>
          <w:i/>
          <w:iCs/>
          <w:sz w:val="20"/>
          <w:szCs w:val="20"/>
        </w:rPr>
        <w:t xml:space="preserve">Derivado del análisis realizado, </w:t>
      </w:r>
      <w:r w:rsidRPr="00EF3DC7">
        <w:rPr>
          <w:b/>
          <w:bCs/>
          <w:i/>
          <w:iCs/>
          <w:sz w:val="20"/>
          <w:szCs w:val="20"/>
        </w:rPr>
        <w:t>se identificó que la información que describe, no es administrada por unidades administrativas u órganos desconcentrados pertenecientes a esta Secretaría de Salud del Estado de México,</w:t>
      </w:r>
      <w:r w:rsidRPr="00EF3DC7">
        <w:rPr>
          <w:i/>
          <w:iCs/>
          <w:sz w:val="20"/>
          <w:szCs w:val="20"/>
        </w:rPr>
        <w:t xml:space="preserve"> una vez cotejado con las atribuciones establecidas en el marco jurídico de actuación de la Secretaría de Salud del Estado de México, en particular en el Código Administrativo del Estado de México, así como su Reglamento Interior de la Secretaria de Salud del Estado de México y las funciones descritas en el Manual General de Organización de la Secretaría de Salud del Estado de México; por razón de que la unidad administrativa a la que se hace referencia, forma parte de la infraestructura en salud del Instituto de Salud del Estado de México (ISEM).</w:t>
      </w:r>
      <w:r w:rsidRPr="00EF3DC7">
        <w:rPr>
          <w:rFonts w:eastAsia="Calibri" w:cs="Tahoma"/>
          <w:bCs/>
          <w:i/>
          <w:iCs/>
          <w:sz w:val="20"/>
          <w:szCs w:val="20"/>
        </w:rPr>
        <w:t xml:space="preserve">.  </w:t>
      </w:r>
    </w:p>
    <w:p w:rsidRPr="00EF3DC7" w:rsidR="008A63B5" w:rsidP="008A63B5" w:rsidRDefault="008A63B5" w14:paraId="0DA2DF5D" w14:textId="3C5F9E2B">
      <w:pPr>
        <w:spacing w:after="0" w:line="360" w:lineRule="auto"/>
        <w:ind w:left="567" w:right="567"/>
        <w:rPr>
          <w:rFonts w:eastAsia="Calibri" w:cs="Tahoma"/>
          <w:bCs/>
          <w:i/>
          <w:iCs/>
          <w:sz w:val="20"/>
          <w:szCs w:val="20"/>
        </w:rPr>
      </w:pPr>
    </w:p>
    <w:p w:rsidRPr="00EF3DC7" w:rsidR="008A63B5" w:rsidP="008A63B5" w:rsidRDefault="008A63B5" w14:paraId="3B43B7FB" w14:textId="6FB121C5">
      <w:pPr>
        <w:spacing w:after="0" w:line="360" w:lineRule="auto"/>
        <w:ind w:left="567" w:right="567"/>
        <w:rPr>
          <w:rFonts w:eastAsia="Calibri" w:cs="Tahoma"/>
          <w:bCs/>
          <w:i/>
          <w:iCs/>
          <w:sz w:val="20"/>
          <w:szCs w:val="20"/>
        </w:rPr>
      </w:pPr>
      <w:r w:rsidRPr="00EF3DC7">
        <w:rPr>
          <w:i/>
          <w:iCs/>
          <w:sz w:val="20"/>
          <w:szCs w:val="20"/>
        </w:rPr>
        <w:t>Por tal motivo y de conformidad con lo expuesto en el Código Administrativo del Estado de México, en su CAPITULO CUARTO Del Instituto de Salud del Estado de México Artículo 2.5., el</w:t>
      </w:r>
      <w:r w:rsidRPr="00EF3DC7" w:rsidR="00E67F34">
        <w:rPr>
          <w:i/>
          <w:iCs/>
          <w:sz w:val="20"/>
          <w:szCs w:val="20"/>
        </w:rPr>
        <w:t xml:space="preserve"> Instituto de Salud del Estado de México es un organismo público descentralizado, con personalidad jurídica y patrimonio propios, que tiene por objeto la prestación de los servicios de salud en la Entidad, por lo que este sujeto obligado está imposibilitado de dar atención positiva a su petición; respetuosamente sugiero canalizar su solicitud de información al Instituto de Salud del Estado de México, a través de la dirección electrónica: </w:t>
      </w:r>
      <w:r w:rsidRPr="00EF3DC7" w:rsidR="00E67F34">
        <w:rPr>
          <w:b/>
          <w:bCs/>
          <w:i/>
          <w:iCs/>
          <w:sz w:val="20"/>
          <w:szCs w:val="20"/>
        </w:rPr>
        <w:t>https://salud.edomex.gob.mx/isem/home.html</w:t>
      </w:r>
      <w:r w:rsidRPr="00EF3DC7" w:rsidR="00E67F34">
        <w:rPr>
          <w:i/>
          <w:iCs/>
          <w:sz w:val="20"/>
          <w:szCs w:val="20"/>
        </w:rPr>
        <w:t>, o en modo presencial en el Módulo de Acceso a la Información Pública del ISEM, ubicado en Avenida Independencia Oriente número 1009, Colonia Reforma y Ferrocarriles Nacionales, Toluca Estado de México, C.P. 50070, en días y horas hábiles.</w:t>
      </w:r>
    </w:p>
    <w:p w:rsidRPr="00EF3DC7" w:rsidR="008A63B5" w:rsidP="008A63B5" w:rsidRDefault="008A63B5" w14:paraId="6E320BC1" w14:textId="77777777">
      <w:pPr>
        <w:spacing w:after="0" w:line="360" w:lineRule="auto"/>
        <w:ind w:left="567" w:right="567"/>
        <w:rPr>
          <w:rFonts w:eastAsia="Calibri" w:cs="Tahoma"/>
          <w:bCs/>
          <w:i/>
          <w:iCs/>
          <w:sz w:val="20"/>
          <w:szCs w:val="20"/>
        </w:rPr>
      </w:pPr>
      <w:r w:rsidRPr="00EF3DC7">
        <w:rPr>
          <w:rFonts w:eastAsia="Calibri" w:cs="Tahoma"/>
          <w:bCs/>
          <w:i/>
          <w:iCs/>
          <w:sz w:val="20"/>
          <w:szCs w:val="20"/>
        </w:rPr>
        <w:lastRenderedPageBreak/>
        <w:t>…”</w:t>
      </w:r>
    </w:p>
    <w:p w:rsidRPr="00EF3DC7" w:rsidR="008A63B5" w:rsidP="008A63B5" w:rsidRDefault="008A63B5" w14:paraId="10F9F030" w14:textId="77777777">
      <w:pPr>
        <w:autoSpaceDE w:val="0"/>
        <w:autoSpaceDN w:val="0"/>
        <w:adjustRightInd w:val="0"/>
        <w:spacing w:after="0" w:line="360" w:lineRule="auto"/>
        <w:rPr>
          <w:rFonts w:eastAsia="Calibri" w:cs="Tahoma"/>
          <w:b/>
          <w:color w:val="000000"/>
        </w:rPr>
      </w:pPr>
    </w:p>
    <w:p w:rsidRPr="00EF3DC7" w:rsidR="008A63B5" w:rsidP="008A63B5" w:rsidRDefault="008A63B5" w14:paraId="5F802BB1" w14:textId="77777777">
      <w:pPr>
        <w:autoSpaceDE w:val="0"/>
        <w:autoSpaceDN w:val="0"/>
        <w:adjustRightInd w:val="0"/>
        <w:spacing w:after="0" w:line="360" w:lineRule="auto"/>
        <w:rPr>
          <w:rFonts w:eastAsia="Calibri" w:cs="Tahoma"/>
          <w:b/>
          <w:color w:val="000000"/>
        </w:rPr>
      </w:pPr>
      <w:r w:rsidRPr="00EF3DC7">
        <w:rPr>
          <w:rFonts w:eastAsia="Calibri" w:cs="Tahoma"/>
          <w:b/>
          <w:color w:val="000000"/>
        </w:rPr>
        <w:t xml:space="preserve">III. Interposición del Recurso de Revisión. </w:t>
      </w:r>
    </w:p>
    <w:p w:rsidRPr="00EF3DC7" w:rsidR="008A63B5" w:rsidP="008A63B5" w:rsidRDefault="008A63B5" w14:paraId="5318FF5D" w14:textId="77777777">
      <w:pPr>
        <w:spacing w:after="0" w:line="360" w:lineRule="auto"/>
        <w:rPr>
          <w:rFonts w:eastAsia="Times New Roman" w:cs="Tahoma"/>
          <w:bCs/>
          <w:color w:val="auto"/>
          <w:lang w:eastAsia="es-ES"/>
        </w:rPr>
      </w:pPr>
    </w:p>
    <w:p w:rsidRPr="00EF3DC7" w:rsidR="008A63B5" w:rsidP="008A63B5" w:rsidRDefault="008A63B5" w14:paraId="0109795E" w14:textId="3611936C">
      <w:pPr>
        <w:spacing w:after="0" w:line="360" w:lineRule="auto"/>
        <w:rPr>
          <w:rFonts w:eastAsia="Times New Roman" w:cs="Tahoma"/>
          <w:bCs/>
          <w:color w:val="auto"/>
          <w:lang w:val="es-ES" w:eastAsia="es-ES"/>
        </w:rPr>
      </w:pPr>
      <w:r w:rsidRPr="00EF3DC7">
        <w:rPr>
          <w:rFonts w:eastAsia="Times New Roman" w:cs="Tahoma"/>
          <w:bCs/>
          <w:color w:val="auto"/>
          <w:lang w:val="es-ES" w:eastAsia="es-ES"/>
        </w:rPr>
        <w:t xml:space="preserve">Con primero de agosto de dos mil veintidós, </w:t>
      </w:r>
      <w:r w:rsidRPr="00EF3DC7">
        <w:rPr>
          <w:rFonts w:eastAsia="Times New Roman" w:cs="Tahoma"/>
          <w:bCs/>
          <w:color w:val="auto"/>
          <w:lang w:eastAsia="es-ES"/>
        </w:rPr>
        <w:t xml:space="preserve">se recibió en este Instituto, a través del </w:t>
      </w:r>
      <w:r w:rsidRPr="00EF3DC7">
        <w:rPr>
          <w:rFonts w:eastAsia="Times New Roman" w:cs="Tahoma"/>
          <w:bCs/>
          <w:color w:val="auto"/>
          <w:lang w:val="es-ES" w:eastAsia="es-ES"/>
        </w:rPr>
        <w:t>Sistema de Acceso a la Información Mexiquense (SAIMEX)</w:t>
      </w:r>
      <w:r w:rsidRPr="00EF3DC7">
        <w:rPr>
          <w:rFonts w:eastAsia="Times New Roman" w:cs="Tahoma"/>
          <w:bCs/>
          <w:color w:val="auto"/>
          <w:lang w:eastAsia="es-ES"/>
        </w:rPr>
        <w:t>, Recurso de Revisión interpuesto por la parte Recurrente, en contra de la respuesta del Sujeto Obligado, en los siguientes términos:</w:t>
      </w:r>
    </w:p>
    <w:p w:rsidRPr="00EF3DC7" w:rsidR="008A63B5" w:rsidP="008A63B5" w:rsidRDefault="008A63B5" w14:paraId="6381B1CF" w14:textId="77777777">
      <w:pPr>
        <w:spacing w:after="0" w:line="360" w:lineRule="auto"/>
        <w:rPr>
          <w:rFonts w:eastAsia="Times New Roman" w:cs="Tahoma"/>
          <w:bCs/>
          <w:color w:val="auto"/>
          <w:lang w:eastAsia="es-ES"/>
        </w:rPr>
      </w:pPr>
    </w:p>
    <w:p w:rsidRPr="00EF3DC7" w:rsidR="008A63B5" w:rsidP="00E67F34" w:rsidRDefault="008A63B5" w14:paraId="018F47EB" w14:textId="77777777">
      <w:pPr>
        <w:spacing w:after="0" w:line="360" w:lineRule="auto"/>
        <w:ind w:left="567" w:right="567"/>
        <w:contextualSpacing/>
        <w:rPr>
          <w:rFonts w:eastAsia="Times New Roman" w:cs="Tahoma"/>
          <w:b/>
          <w:bCs/>
          <w:i/>
          <w:color w:val="auto"/>
          <w:sz w:val="20"/>
          <w:szCs w:val="20"/>
          <w:lang w:eastAsia="es-ES"/>
        </w:rPr>
      </w:pPr>
      <w:r w:rsidRPr="00EF3DC7">
        <w:rPr>
          <w:rFonts w:eastAsia="Times New Roman" w:cs="Tahoma"/>
          <w:b/>
          <w:bCs/>
          <w:i/>
          <w:color w:val="auto"/>
          <w:sz w:val="20"/>
          <w:szCs w:val="20"/>
          <w:lang w:eastAsia="es-ES"/>
        </w:rPr>
        <w:t>“ACTO IMPUGNADO</w:t>
      </w:r>
    </w:p>
    <w:p w:rsidRPr="00EF3DC7" w:rsidR="00E67F34" w:rsidP="00E67F34" w:rsidRDefault="00E67F34" w14:paraId="412FED17" w14:textId="459AE9A8">
      <w:pPr>
        <w:spacing w:after="0" w:line="360" w:lineRule="auto"/>
        <w:ind w:left="567" w:right="567"/>
        <w:contextualSpacing/>
        <w:rPr>
          <w:rFonts w:eastAsia="Times New Roman" w:cs="Times New Roman"/>
          <w:i/>
          <w:color w:val="auto"/>
          <w:sz w:val="20"/>
          <w:szCs w:val="20"/>
          <w:lang w:eastAsia="es-MX"/>
        </w:rPr>
      </w:pPr>
      <w:r w:rsidRPr="00EF3DC7">
        <w:rPr>
          <w:rFonts w:eastAsia="Times New Roman" w:cs="Times New Roman"/>
          <w:i/>
          <w:color w:val="auto"/>
          <w:sz w:val="20"/>
          <w:szCs w:val="20"/>
          <w:lang w:eastAsia="es-MX"/>
        </w:rPr>
        <w:t xml:space="preserve">me negaron la información la </w:t>
      </w:r>
      <w:r w:rsidRPr="00EF3DC7" w:rsidR="00A10619">
        <w:rPr>
          <w:rFonts w:eastAsia="Times New Roman" w:cs="Times New Roman"/>
          <w:i/>
          <w:color w:val="auto"/>
          <w:sz w:val="20"/>
          <w:szCs w:val="20"/>
          <w:lang w:eastAsia="es-MX"/>
        </w:rPr>
        <w:t>página</w:t>
      </w:r>
      <w:r w:rsidRPr="00EF3DC7">
        <w:rPr>
          <w:rFonts w:eastAsia="Times New Roman" w:cs="Times New Roman"/>
          <w:i/>
          <w:color w:val="auto"/>
          <w:sz w:val="20"/>
          <w:szCs w:val="20"/>
          <w:lang w:eastAsia="es-MX"/>
        </w:rPr>
        <w:t xml:space="preserve"> que me dan; https://salud.edomex.gob.mx/isem/home.html solo me disecciona al menú principal y no a la información (Nomina) que requiero por lo que pido que me manden la información, o este sea el medio para que la pidan. (Sic)</w:t>
      </w:r>
    </w:p>
    <w:p w:rsidRPr="00EF3DC7" w:rsidR="008A63B5" w:rsidP="00E67F34" w:rsidRDefault="008A63B5" w14:paraId="10412E45" w14:textId="77777777">
      <w:pPr>
        <w:spacing w:after="0" w:line="360" w:lineRule="auto"/>
        <w:ind w:left="567" w:right="567"/>
        <w:contextualSpacing/>
        <w:rPr>
          <w:rFonts w:eastAsia="Times New Roman" w:cs="Tahoma"/>
          <w:bCs/>
          <w:i/>
          <w:color w:val="auto"/>
          <w:sz w:val="20"/>
          <w:szCs w:val="20"/>
          <w:lang w:eastAsia="es-ES"/>
        </w:rPr>
      </w:pPr>
    </w:p>
    <w:p w:rsidRPr="00EF3DC7" w:rsidR="008A63B5" w:rsidP="00E67F34" w:rsidRDefault="008A63B5" w14:paraId="133ED93D" w14:textId="019779A2">
      <w:pPr>
        <w:spacing w:after="0" w:line="360" w:lineRule="auto"/>
        <w:ind w:left="567" w:right="567"/>
        <w:contextualSpacing/>
        <w:rPr>
          <w:rFonts w:eastAsia="Times New Roman" w:cs="Tahoma"/>
          <w:b/>
          <w:bCs/>
          <w:i/>
          <w:color w:val="auto"/>
          <w:sz w:val="20"/>
          <w:szCs w:val="20"/>
          <w:lang w:eastAsia="es-ES"/>
        </w:rPr>
      </w:pPr>
      <w:r w:rsidRPr="00EF3DC7">
        <w:rPr>
          <w:rFonts w:eastAsia="Times New Roman" w:cs="Tahoma"/>
          <w:b/>
          <w:bCs/>
          <w:i/>
          <w:color w:val="auto"/>
          <w:sz w:val="20"/>
          <w:szCs w:val="20"/>
          <w:lang w:eastAsia="es-ES"/>
        </w:rPr>
        <w:t>“RAZONES O MOTIVOS DE LA INCONFORMIDAD</w:t>
      </w:r>
    </w:p>
    <w:p w:rsidRPr="00EF3DC7" w:rsidR="008A63B5" w:rsidP="00E67F34" w:rsidRDefault="00E67F34" w14:paraId="6D20B613" w14:textId="35186A49">
      <w:pPr>
        <w:spacing w:after="0" w:line="360" w:lineRule="auto"/>
        <w:ind w:left="567" w:right="567"/>
        <w:contextualSpacing/>
        <w:rPr>
          <w:i/>
          <w:color w:val="000000"/>
          <w:sz w:val="20"/>
          <w:szCs w:val="20"/>
        </w:rPr>
      </w:pPr>
      <w:r w:rsidRPr="00EF3DC7">
        <w:rPr>
          <w:i/>
          <w:color w:val="000000"/>
          <w:sz w:val="20"/>
          <w:szCs w:val="20"/>
        </w:rPr>
        <w:t>mala orientación. negativa de la información</w:t>
      </w:r>
      <w:r w:rsidRPr="00EF3DC7" w:rsidR="008A63B5">
        <w:rPr>
          <w:i/>
          <w:color w:val="000000"/>
          <w:sz w:val="20"/>
          <w:szCs w:val="20"/>
        </w:rPr>
        <w:t>.”</w:t>
      </w:r>
      <w:r w:rsidRPr="00EF3DC7" w:rsidR="008A63B5">
        <w:rPr>
          <w:bCs/>
          <w:i/>
          <w:color w:val="000000"/>
          <w:sz w:val="20"/>
          <w:szCs w:val="20"/>
        </w:rPr>
        <w:t xml:space="preserve"> </w:t>
      </w:r>
      <w:r w:rsidRPr="00EF3DC7" w:rsidR="008A63B5">
        <w:rPr>
          <w:rFonts w:eastAsia="Times New Roman" w:cs="Tahoma"/>
          <w:bCs/>
          <w:i/>
          <w:color w:val="auto"/>
          <w:sz w:val="20"/>
          <w:szCs w:val="20"/>
          <w:lang w:eastAsia="es-ES"/>
        </w:rPr>
        <w:t>(Sic)</w:t>
      </w:r>
    </w:p>
    <w:p w:rsidRPr="00EF3DC7" w:rsidR="008A63B5" w:rsidP="008A63B5" w:rsidRDefault="008A63B5" w14:paraId="1AF5EA98" w14:textId="77777777">
      <w:pPr>
        <w:spacing w:after="0" w:line="360" w:lineRule="auto"/>
        <w:rPr>
          <w:rFonts w:eastAsia="Times New Roman" w:cs="Tahoma"/>
          <w:bCs/>
          <w:color w:val="auto"/>
          <w:lang w:eastAsia="es-ES"/>
        </w:rPr>
      </w:pPr>
    </w:p>
    <w:p w:rsidRPr="00EF3DC7" w:rsidR="008A63B5" w:rsidP="008A63B5" w:rsidRDefault="008A63B5" w14:paraId="67358E13" w14:textId="77777777">
      <w:pPr>
        <w:spacing w:after="0" w:line="360" w:lineRule="auto"/>
        <w:rPr>
          <w:rFonts w:eastAsia="Batang" w:cs="Tahoma"/>
          <w:b/>
          <w:bCs/>
          <w:color w:val="000000"/>
        </w:rPr>
      </w:pPr>
      <w:r w:rsidRPr="00EF3DC7">
        <w:rPr>
          <w:rFonts w:eastAsia="Calibri" w:cs="Tahoma"/>
          <w:b/>
          <w:color w:val="000000"/>
        </w:rPr>
        <w:t xml:space="preserve">IV. </w:t>
      </w:r>
      <w:r w:rsidRPr="00EF3DC7">
        <w:rPr>
          <w:rFonts w:eastAsia="Batang" w:cs="Tahoma"/>
          <w:b/>
          <w:bCs/>
          <w:color w:val="000000"/>
        </w:rPr>
        <w:t>Trámite del Recurso de Revisión</w:t>
      </w:r>
      <w:r w:rsidRPr="00EF3DC7">
        <w:rPr>
          <w:rFonts w:eastAsia="Calibri" w:cs="Tahoma"/>
          <w:b/>
          <w:color w:val="000000"/>
        </w:rPr>
        <w:t xml:space="preserve"> </w:t>
      </w:r>
      <w:r w:rsidRPr="00EF3DC7">
        <w:rPr>
          <w:rFonts w:eastAsia="Batang" w:cs="Tahoma"/>
          <w:b/>
          <w:bCs/>
          <w:color w:val="000000"/>
        </w:rPr>
        <w:t>ante este Instituto.</w:t>
      </w:r>
    </w:p>
    <w:p w:rsidRPr="00EF3DC7" w:rsidR="008A63B5" w:rsidP="008A63B5" w:rsidRDefault="008A63B5" w14:paraId="0C986C56" w14:textId="77777777">
      <w:pPr>
        <w:spacing w:after="0" w:line="360" w:lineRule="auto"/>
        <w:rPr>
          <w:rFonts w:eastAsia="Batang" w:cs="Tahoma"/>
          <w:b/>
          <w:bCs/>
          <w:color w:val="000000"/>
        </w:rPr>
      </w:pPr>
    </w:p>
    <w:p w:rsidRPr="00EF3DC7" w:rsidR="008A63B5" w:rsidP="008A63B5" w:rsidRDefault="008A63B5" w14:paraId="4E80D544" w14:textId="66B3FBD8">
      <w:pPr>
        <w:spacing w:after="0" w:line="360" w:lineRule="auto"/>
        <w:rPr>
          <w:rFonts w:eastAsia="Times New Roman" w:cs="Tahoma"/>
          <w:bCs/>
          <w:color w:val="auto"/>
          <w:lang w:eastAsia="es-ES"/>
        </w:rPr>
      </w:pPr>
      <w:r w:rsidRPr="00EF3DC7">
        <w:rPr>
          <w:rFonts w:eastAsia="Batang" w:cs="Tahoma"/>
          <w:b/>
          <w:bCs/>
          <w:color w:val="000000"/>
        </w:rPr>
        <w:t xml:space="preserve">a) Turno del Medio de Impugnación. </w:t>
      </w:r>
      <w:r w:rsidRPr="00EF3DC7">
        <w:rPr>
          <w:rFonts w:eastAsia="Batang" w:cs="Tahoma"/>
          <w:bCs/>
          <w:color w:val="000000"/>
        </w:rPr>
        <w:t xml:space="preserve">El </w:t>
      </w:r>
      <w:r w:rsidRPr="00EF3DC7" w:rsidR="00E67F34">
        <w:rPr>
          <w:rFonts w:eastAsia="Batang" w:cs="Tahoma"/>
          <w:bCs/>
          <w:color w:val="000000"/>
        </w:rPr>
        <w:t>treinta de noviembre</w:t>
      </w:r>
      <w:r w:rsidRPr="00EF3DC7">
        <w:rPr>
          <w:rFonts w:eastAsia="Batang" w:cs="Tahoma"/>
          <w:bCs/>
          <w:color w:val="000000"/>
        </w:rPr>
        <w:t xml:space="preserve"> </w:t>
      </w:r>
      <w:r w:rsidRPr="00EF3DC7">
        <w:rPr>
          <w:rFonts w:eastAsia="Times New Roman" w:cs="Tahoma"/>
          <w:bCs/>
          <w:color w:val="auto"/>
          <w:lang w:eastAsia="es-ES"/>
        </w:rPr>
        <w:t>de dos mil veintidós</w:t>
      </w:r>
      <w:r w:rsidRPr="00EF3DC7">
        <w:rPr>
          <w:rFonts w:eastAsia="Batang" w:cs="Tahoma"/>
          <w:bCs/>
          <w:color w:val="000000"/>
        </w:rPr>
        <w:t xml:space="preserve">, el </w:t>
      </w:r>
      <w:r w:rsidRPr="00EF3DC7">
        <w:rPr>
          <w:rFonts w:eastAsia="Calibri" w:cs="Tahoma"/>
          <w:color w:val="000000"/>
          <w:lang w:val="es-ES"/>
        </w:rPr>
        <w:t>Sistema de Acceso a la Información Mexiquense (SAIMEX),</w:t>
      </w:r>
      <w:r w:rsidRPr="00EF3DC7">
        <w:rPr>
          <w:rFonts w:eastAsia="Batang" w:cs="Tahoma"/>
          <w:bCs/>
          <w:color w:val="000000"/>
        </w:rPr>
        <w:t xml:space="preserve"> asignó el número de expediente </w:t>
      </w:r>
      <w:r w:rsidRPr="00EF3DC7">
        <w:rPr>
          <w:rFonts w:eastAsia="Batang" w:cs="Tahoma"/>
          <w:color w:val="000000"/>
        </w:rPr>
        <w:t>1</w:t>
      </w:r>
      <w:r w:rsidRPr="00EF3DC7" w:rsidR="00E67F34">
        <w:rPr>
          <w:rFonts w:eastAsia="Batang" w:cs="Tahoma"/>
          <w:color w:val="000000"/>
        </w:rPr>
        <w:t>7026</w:t>
      </w:r>
      <w:r w:rsidRPr="00EF3DC7">
        <w:rPr>
          <w:rFonts w:eastAsia="Calibri" w:cs="Tahoma"/>
        </w:rPr>
        <w:t>/INFOEM/IP/RR/2022</w:t>
      </w:r>
      <w:r w:rsidRPr="00EF3DC7">
        <w:rPr>
          <w:rFonts w:eastAsia="Batang" w:cs="Tahoma"/>
          <w:bCs/>
          <w:color w:val="000000"/>
        </w:rPr>
        <w:t>, al Medio de Impugnación que nos ocupa, con base en el sistema aprobado por el Pleno de este Órgano Garante y lo turnó al Comisionado Luis Gustavo Parra Noriega, para los efectos del artículo 185, fracción I de la Ley de Transparencia y Acceso a la Información Pública del Estado de México y Municipios.</w:t>
      </w:r>
    </w:p>
    <w:p w:rsidRPr="00EF3DC7" w:rsidR="008A63B5" w:rsidP="008A63B5" w:rsidRDefault="008A63B5" w14:paraId="3F826A1E" w14:textId="77777777">
      <w:pPr>
        <w:spacing w:after="0" w:line="360" w:lineRule="auto"/>
        <w:rPr>
          <w:rFonts w:eastAsia="Batang" w:cs="Tahoma"/>
          <w:bCs/>
          <w:color w:val="000000"/>
        </w:rPr>
      </w:pPr>
    </w:p>
    <w:p w:rsidRPr="00EF3DC7" w:rsidR="008A63B5" w:rsidP="008A63B5" w:rsidRDefault="008A63B5" w14:paraId="092DE7A1" w14:textId="23D30165">
      <w:pPr>
        <w:spacing w:after="0" w:line="360" w:lineRule="auto"/>
        <w:rPr>
          <w:rFonts w:eastAsia="Times New Roman" w:cs="Tahoma"/>
          <w:b/>
          <w:bCs/>
          <w:color w:val="auto"/>
          <w:lang w:eastAsia="es-ES"/>
        </w:rPr>
      </w:pPr>
      <w:r w:rsidRPr="00EF3DC7">
        <w:rPr>
          <w:rFonts w:eastAsia="Times New Roman" w:cs="Tahoma"/>
          <w:b/>
          <w:bCs/>
          <w:color w:val="auto"/>
          <w:lang w:eastAsia="es-ES"/>
        </w:rPr>
        <w:t>b) Admisión del Recurso de Revisión</w:t>
      </w:r>
      <w:r w:rsidRPr="00EF3DC7">
        <w:rPr>
          <w:rFonts w:eastAsia="Times New Roman" w:cs="Tahoma"/>
          <w:b/>
          <w:bCs/>
          <w:color w:val="auto"/>
          <w:lang w:val="es-ES_tradnl" w:eastAsia="es-ES"/>
        </w:rPr>
        <w:t xml:space="preserve">. </w:t>
      </w:r>
      <w:r w:rsidRPr="00EF3DC7">
        <w:rPr>
          <w:rFonts w:eastAsia="Batang" w:cs="Tahoma"/>
          <w:bCs/>
          <w:color w:val="000000"/>
        </w:rPr>
        <w:t xml:space="preserve">El </w:t>
      </w:r>
      <w:r w:rsidRPr="00EF3DC7" w:rsidR="00E67F34">
        <w:rPr>
          <w:rFonts w:eastAsia="Batang" w:cs="Tahoma"/>
          <w:bCs/>
          <w:color w:val="000000"/>
        </w:rPr>
        <w:t>cinco de diciembre</w:t>
      </w:r>
      <w:r w:rsidRPr="00EF3DC7">
        <w:rPr>
          <w:rFonts w:eastAsia="Batang" w:cs="Tahoma"/>
          <w:bCs/>
          <w:color w:val="000000"/>
        </w:rPr>
        <w:t xml:space="preserve"> de dos mil veintidós</w:t>
      </w:r>
      <w:r w:rsidRPr="00EF3DC7">
        <w:rPr>
          <w:rFonts w:eastAsia="Times New Roman" w:cs="Tahoma"/>
          <w:bCs/>
          <w:color w:val="auto"/>
          <w:lang w:val="es-ES_tradnl" w:eastAsia="es-ES"/>
        </w:rPr>
        <w:t xml:space="preserve">, se acordó la admisión del Recurso de Revisión interpuesto por la Recurrente en contra del Sujeto Obligado, en términos del artículo 185, fracciones I y II de la Ley de Transparencia y Acceso </w:t>
      </w:r>
      <w:r w:rsidRPr="00EF3DC7">
        <w:rPr>
          <w:rFonts w:eastAsia="Times New Roman" w:cs="Tahoma"/>
          <w:bCs/>
          <w:color w:val="auto"/>
          <w:lang w:val="es-ES_tradnl" w:eastAsia="es-ES"/>
        </w:rPr>
        <w:lastRenderedPageBreak/>
        <w:t xml:space="preserve">a la Información Pública del Estado de México y Municipios, el cual fue debidamente notificado a las partes el cinco de dicho mes y año, a través del Sistema de Acceso a la Información Mexiquense (SAIMEX), en el que se les otorgó un plazo de siete días hábiles posteriores a la misma, para que manifestaran lo que a su derecho conviniera y formularan alegatos. </w:t>
      </w:r>
    </w:p>
    <w:p w:rsidRPr="00EF3DC7" w:rsidR="008A63B5" w:rsidP="008A63B5" w:rsidRDefault="008A63B5" w14:paraId="411BC017" w14:textId="77777777">
      <w:pPr>
        <w:spacing w:after="0" w:line="360" w:lineRule="auto"/>
        <w:rPr>
          <w:rFonts w:cs="Tahoma"/>
          <w:b/>
          <w:lang w:val="es-ES_tradnl"/>
        </w:rPr>
      </w:pPr>
    </w:p>
    <w:p w:rsidRPr="00EF3DC7" w:rsidR="008A63B5" w:rsidP="00E67F34" w:rsidRDefault="008A63B5" w14:paraId="2C2ADE56" w14:textId="63B5E713">
      <w:pPr>
        <w:spacing w:after="0" w:line="360" w:lineRule="auto"/>
        <w:rPr>
          <w:rFonts w:cs="Tahoma"/>
          <w:bCs/>
          <w:lang w:val="es-ES_tradnl"/>
        </w:rPr>
      </w:pPr>
      <w:r w:rsidRPr="00EF3DC7">
        <w:rPr>
          <w:rFonts w:cs="Tahoma"/>
          <w:b/>
          <w:lang w:val="es-ES_tradnl"/>
        </w:rPr>
        <w:t xml:space="preserve">c) </w:t>
      </w:r>
      <w:r w:rsidRPr="00EF3DC7" w:rsidR="00E67F34">
        <w:rPr>
          <w:rFonts w:cs="Tahoma"/>
          <w:b/>
          <w:lang w:val="es-ES_tradnl"/>
        </w:rPr>
        <w:t xml:space="preserve">Informe Justificado o </w:t>
      </w:r>
      <w:r w:rsidRPr="00EF3DC7">
        <w:rPr>
          <w:rFonts w:cs="Tahoma"/>
          <w:b/>
          <w:lang w:val="es-ES_tradnl"/>
        </w:rPr>
        <w:t xml:space="preserve">Manifestaciones. </w:t>
      </w:r>
      <w:r w:rsidRPr="00EF3DC7">
        <w:rPr>
          <w:rFonts w:cs="Tahoma"/>
          <w:bCs/>
          <w:lang w:val="es-ES_tradnl"/>
        </w:rPr>
        <w:t>La</w:t>
      </w:r>
      <w:r w:rsidRPr="00EF3DC7" w:rsidR="00E67F34">
        <w:rPr>
          <w:rFonts w:cs="Tahoma"/>
          <w:bCs/>
          <w:lang w:val="es-ES_tradnl"/>
        </w:rPr>
        <w:t>s partes fueron omisas en emitir manifestaciones o alegatos.</w:t>
      </w:r>
      <w:r w:rsidRPr="00EF3DC7">
        <w:rPr>
          <w:rFonts w:cs="Tahoma"/>
          <w:bCs/>
          <w:lang w:val="es-ES_tradnl"/>
        </w:rPr>
        <w:t xml:space="preserve"> </w:t>
      </w:r>
    </w:p>
    <w:p w:rsidRPr="00EF3DC7" w:rsidR="008A63B5" w:rsidP="008A63B5" w:rsidRDefault="008A63B5" w14:paraId="4E2CAF7C" w14:textId="77777777">
      <w:pPr>
        <w:spacing w:after="0" w:line="360" w:lineRule="auto"/>
        <w:rPr>
          <w:rFonts w:eastAsia="Times New Roman" w:cs="Tahoma"/>
          <w:b/>
          <w:color w:val="auto"/>
          <w:szCs w:val="24"/>
          <w:lang w:eastAsia="es-ES"/>
        </w:rPr>
      </w:pPr>
    </w:p>
    <w:p w:rsidRPr="00EF3DC7" w:rsidR="008A63B5" w:rsidP="008A63B5" w:rsidRDefault="00E67F34" w14:paraId="235507A8" w14:textId="1B20D5FA">
      <w:pPr>
        <w:spacing w:after="0" w:line="360" w:lineRule="auto"/>
        <w:rPr>
          <w:rFonts w:eastAsia="Times New Roman" w:cs="Tahoma"/>
          <w:color w:val="auto"/>
          <w:szCs w:val="24"/>
          <w:lang w:eastAsia="es-ES"/>
        </w:rPr>
      </w:pPr>
      <w:r w:rsidRPr="00EF3DC7">
        <w:rPr>
          <w:rFonts w:eastAsia="Times New Roman" w:cs="Tahoma"/>
          <w:b/>
          <w:color w:val="auto"/>
          <w:szCs w:val="24"/>
          <w:lang w:eastAsia="es-ES"/>
        </w:rPr>
        <w:t>d</w:t>
      </w:r>
      <w:r w:rsidRPr="00EF3DC7" w:rsidR="008A63B5">
        <w:rPr>
          <w:rFonts w:eastAsia="Times New Roman" w:cs="Tahoma"/>
          <w:b/>
          <w:color w:val="auto"/>
          <w:szCs w:val="24"/>
          <w:lang w:eastAsia="es-ES"/>
        </w:rPr>
        <w:t>) Cierre de instrucción.</w:t>
      </w:r>
      <w:r w:rsidRPr="00EF3DC7" w:rsidR="005F58A7">
        <w:rPr>
          <w:rFonts w:eastAsia="Times New Roman" w:cs="Tahoma"/>
          <w:color w:val="auto"/>
          <w:szCs w:val="24"/>
          <w:lang w:eastAsia="es-ES"/>
        </w:rPr>
        <w:t xml:space="preserve"> El treinta</w:t>
      </w:r>
      <w:r w:rsidRPr="00EF3DC7" w:rsidR="008A63B5">
        <w:rPr>
          <w:rFonts w:eastAsia="Times New Roman" w:cs="Tahoma"/>
          <w:color w:val="auto"/>
          <w:szCs w:val="24"/>
          <w:lang w:eastAsia="es-ES"/>
        </w:rPr>
        <w:t xml:space="preserve"> de </w:t>
      </w:r>
      <w:r w:rsidRPr="00EF3DC7">
        <w:rPr>
          <w:rFonts w:eastAsia="Times New Roman" w:cs="Tahoma"/>
          <w:color w:val="auto"/>
          <w:szCs w:val="24"/>
          <w:lang w:eastAsia="es-ES"/>
        </w:rPr>
        <w:t xml:space="preserve">enero </w:t>
      </w:r>
      <w:r w:rsidRPr="00EF3DC7" w:rsidR="008A63B5">
        <w:rPr>
          <w:rFonts w:eastAsia="Times New Roman" w:cs="Tahoma"/>
          <w:color w:val="auto"/>
          <w:szCs w:val="24"/>
          <w:lang w:eastAsia="es-ES"/>
        </w:rPr>
        <w:t>de dos mil veinti</w:t>
      </w:r>
      <w:r w:rsidRPr="00EF3DC7">
        <w:rPr>
          <w:rFonts w:eastAsia="Times New Roman" w:cs="Tahoma"/>
          <w:color w:val="auto"/>
          <w:szCs w:val="24"/>
          <w:lang w:eastAsia="es-ES"/>
        </w:rPr>
        <w:t>trés</w:t>
      </w:r>
      <w:r w:rsidRPr="00EF3DC7" w:rsidR="008A63B5">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EF3DC7" w:rsidR="008A63B5">
        <w:rPr>
          <w:rFonts w:eastAsia="Times New Roman" w:cs="Tahoma"/>
          <w:color w:val="auto"/>
          <w:szCs w:val="20"/>
          <w:lang w:val="es-ES" w:eastAsia="es-ES"/>
        </w:rPr>
        <w:t>Sistema de Acceso a la Información Mexiquense (SAIMEX)</w:t>
      </w:r>
      <w:r w:rsidRPr="00EF3DC7" w:rsidR="008A63B5">
        <w:rPr>
          <w:rFonts w:eastAsia="Times New Roman" w:cs="Tahoma"/>
          <w:color w:val="auto"/>
          <w:szCs w:val="24"/>
          <w:lang w:eastAsia="es-ES"/>
        </w:rPr>
        <w:t xml:space="preserve">. </w:t>
      </w:r>
    </w:p>
    <w:p w:rsidRPr="00EF3DC7" w:rsidR="008A63B5" w:rsidP="008A63B5" w:rsidRDefault="008A63B5" w14:paraId="1013892F" w14:textId="77777777">
      <w:pPr>
        <w:spacing w:after="0" w:line="360" w:lineRule="auto"/>
        <w:rPr>
          <w:rFonts w:eastAsia="Times New Roman" w:cs="Tahoma"/>
          <w:color w:val="auto"/>
          <w:szCs w:val="24"/>
          <w:lang w:eastAsia="es-ES"/>
        </w:rPr>
      </w:pPr>
    </w:p>
    <w:p w:rsidRPr="00EF3DC7" w:rsidR="008A63B5" w:rsidP="008A63B5" w:rsidRDefault="008A63B5" w14:paraId="588278AF" w14:textId="77777777">
      <w:pPr>
        <w:spacing w:after="0" w:line="360" w:lineRule="auto"/>
        <w:rPr>
          <w:rFonts w:eastAsia="Times New Roman" w:cs="Tahoma"/>
          <w:color w:val="000000"/>
          <w:szCs w:val="24"/>
          <w:lang w:eastAsia="es-ES"/>
        </w:rPr>
      </w:pPr>
      <w:r w:rsidRPr="00EF3DC7">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EF3DC7" w:rsidR="008A63B5" w:rsidP="008A63B5" w:rsidRDefault="008A63B5" w14:paraId="205CBCA6" w14:textId="77777777">
      <w:pPr>
        <w:spacing w:after="0" w:line="360" w:lineRule="auto"/>
        <w:rPr>
          <w:rFonts w:eastAsia="Times New Roman" w:cs="Tahoma"/>
          <w:b/>
          <w:color w:val="auto"/>
          <w:lang w:val="es-ES" w:eastAsia="es-ES"/>
        </w:rPr>
      </w:pPr>
    </w:p>
    <w:p w:rsidRPr="00EF3DC7" w:rsidR="008A63B5" w:rsidP="008A63B5" w:rsidRDefault="008A63B5" w14:paraId="20BDF570" w14:textId="77777777">
      <w:pPr>
        <w:spacing w:after="0" w:line="360" w:lineRule="auto"/>
        <w:jc w:val="center"/>
        <w:rPr>
          <w:rFonts w:eastAsia="Times New Roman" w:cs="Tahoma"/>
          <w:b/>
          <w:color w:val="auto"/>
          <w:lang w:val="es-ES" w:eastAsia="es-ES"/>
        </w:rPr>
      </w:pPr>
      <w:r w:rsidRPr="00EF3DC7">
        <w:rPr>
          <w:rFonts w:eastAsia="Times New Roman" w:cs="Tahoma"/>
          <w:b/>
          <w:color w:val="auto"/>
          <w:lang w:val="es-ES" w:eastAsia="es-ES"/>
        </w:rPr>
        <w:t>C O N S I D E R A N D O S:</w:t>
      </w:r>
    </w:p>
    <w:p w:rsidRPr="00EF3DC7" w:rsidR="008A63B5" w:rsidP="008A63B5" w:rsidRDefault="008A63B5" w14:paraId="327D87F4" w14:textId="77777777">
      <w:pPr>
        <w:spacing w:after="0" w:line="360" w:lineRule="auto"/>
        <w:jc w:val="center"/>
        <w:rPr>
          <w:rFonts w:eastAsia="Times New Roman" w:cs="Tahoma"/>
          <w:b/>
          <w:color w:val="auto"/>
          <w:lang w:val="es-ES" w:eastAsia="es-ES"/>
        </w:rPr>
      </w:pPr>
    </w:p>
    <w:p w:rsidRPr="00EF3DC7" w:rsidR="008A63B5" w:rsidP="008A63B5" w:rsidRDefault="008A63B5" w14:paraId="14D5734F" w14:textId="77777777">
      <w:pPr>
        <w:autoSpaceDE w:val="0"/>
        <w:autoSpaceDN w:val="0"/>
        <w:adjustRightInd w:val="0"/>
        <w:spacing w:after="0" w:line="360" w:lineRule="auto"/>
        <w:rPr>
          <w:rFonts w:eastAsia="Times New Roman" w:cs="Tahoma"/>
          <w:b/>
          <w:color w:val="auto"/>
          <w:szCs w:val="24"/>
          <w:lang w:val="es-ES" w:eastAsia="es-ES"/>
        </w:rPr>
      </w:pPr>
      <w:r w:rsidRPr="00EF3DC7">
        <w:rPr>
          <w:rFonts w:eastAsia="Calibri" w:cs="Tahoma"/>
          <w:b/>
          <w:color w:val="000000"/>
          <w:szCs w:val="24"/>
          <w:lang w:val="es-ES" w:eastAsia="es-MX"/>
        </w:rPr>
        <w:t>PRIMERO</w:t>
      </w:r>
      <w:r w:rsidRPr="00EF3DC7">
        <w:rPr>
          <w:rFonts w:eastAsia="Calibri" w:cs="Tahoma"/>
          <w:color w:val="000000"/>
          <w:szCs w:val="24"/>
          <w:lang w:val="es-ES" w:eastAsia="es-MX"/>
        </w:rPr>
        <w:t xml:space="preserve">. </w:t>
      </w:r>
      <w:r w:rsidRPr="00EF3DC7">
        <w:rPr>
          <w:rFonts w:eastAsia="Times New Roman" w:cs="Tahoma"/>
          <w:b/>
          <w:color w:val="auto"/>
          <w:szCs w:val="24"/>
          <w:lang w:val="es-ES" w:eastAsia="es-ES"/>
        </w:rPr>
        <w:t>Competencia.</w:t>
      </w:r>
    </w:p>
    <w:p w:rsidRPr="00EF3DC7" w:rsidR="008A63B5" w:rsidP="008A63B5" w:rsidRDefault="008A63B5" w14:paraId="5BB5651B" w14:textId="77777777">
      <w:pPr>
        <w:autoSpaceDE w:val="0"/>
        <w:autoSpaceDN w:val="0"/>
        <w:adjustRightInd w:val="0"/>
        <w:spacing w:after="0" w:line="360" w:lineRule="auto"/>
        <w:rPr>
          <w:rFonts w:eastAsia="Times New Roman" w:cs="Tahoma"/>
          <w:b/>
          <w:color w:val="auto"/>
          <w:szCs w:val="24"/>
          <w:lang w:val="es-ES" w:eastAsia="es-ES"/>
        </w:rPr>
      </w:pPr>
    </w:p>
    <w:p w:rsidRPr="00EF3DC7" w:rsidR="008A63B5" w:rsidP="008A63B5" w:rsidRDefault="008A63B5" w14:paraId="58F49A9E" w14:textId="60D242F3">
      <w:pPr>
        <w:spacing w:after="0" w:line="360" w:lineRule="auto"/>
        <w:rPr>
          <w:rFonts w:eastAsia="Times New Roman" w:cs="Tahoma"/>
          <w:bCs/>
          <w:color w:val="auto"/>
          <w:lang w:eastAsia="es-ES"/>
        </w:rPr>
      </w:pPr>
      <w:bookmarkStart w:name="_Hlk63334754" w:id="0"/>
      <w:r w:rsidRPr="00EF3DC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EF3DC7">
        <w:rPr>
          <w:rFonts w:eastAsia="Times New Roman" w:cs="Tahoma"/>
          <w:bCs/>
          <w:color w:val="auto"/>
          <w:lang w:eastAsia="es-ES"/>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F3DC7">
        <w:rPr>
          <w:rFonts w:eastAsia="Times New Roman" w:cs="Times New Roman"/>
          <w:bCs/>
          <w:color w:val="auto"/>
          <w:lang w:eastAsia="es-ES"/>
        </w:rPr>
        <w:t xml:space="preserve"> 7°, </w:t>
      </w:r>
      <w:r w:rsidRPr="00EF3D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EF3DC7" w:rsidR="008A63B5" w:rsidP="008A63B5" w:rsidRDefault="008A63B5" w14:paraId="3ADC891F" w14:textId="77777777">
      <w:pPr>
        <w:spacing w:after="0" w:line="360" w:lineRule="auto"/>
      </w:pPr>
    </w:p>
    <w:p w:rsidRPr="00EF3DC7" w:rsidR="008A63B5" w:rsidP="008A63B5" w:rsidRDefault="008A63B5" w14:paraId="39854F6A" w14:textId="77777777">
      <w:pPr>
        <w:autoSpaceDE w:val="0"/>
        <w:autoSpaceDN w:val="0"/>
        <w:adjustRightInd w:val="0"/>
        <w:spacing w:after="0" w:line="360" w:lineRule="auto"/>
        <w:rPr>
          <w:b/>
          <w:lang w:val="es-ES"/>
        </w:rPr>
      </w:pPr>
      <w:r w:rsidRPr="00EF3DC7">
        <w:rPr>
          <w:rFonts w:eastAsia="Calibri" w:cs="Tahoma"/>
          <w:b/>
          <w:color w:val="000000"/>
          <w:szCs w:val="24"/>
          <w:lang w:val="es-ES" w:eastAsia="es-MX"/>
        </w:rPr>
        <w:t>SEGUNDO</w:t>
      </w:r>
      <w:r w:rsidRPr="00EF3DC7">
        <w:rPr>
          <w:rFonts w:eastAsia="Calibri" w:cs="Tahoma"/>
          <w:color w:val="000000"/>
          <w:szCs w:val="24"/>
          <w:lang w:val="es-ES" w:eastAsia="es-MX"/>
        </w:rPr>
        <w:t xml:space="preserve">. </w:t>
      </w:r>
      <w:r w:rsidRPr="00EF3DC7">
        <w:rPr>
          <w:b/>
          <w:lang w:val="es-ES"/>
        </w:rPr>
        <w:t>Causales de improcedencia</w:t>
      </w:r>
    </w:p>
    <w:p w:rsidRPr="00EF3DC7" w:rsidR="008A63B5" w:rsidP="008A63B5" w:rsidRDefault="008A63B5" w14:paraId="4A447797" w14:textId="77777777">
      <w:pPr>
        <w:spacing w:after="0" w:line="360" w:lineRule="auto"/>
        <w:rPr>
          <w:b/>
          <w:lang w:val="es-ES"/>
        </w:rPr>
      </w:pPr>
    </w:p>
    <w:p w:rsidRPr="00EF3DC7" w:rsidR="008A63B5" w:rsidP="008A63B5" w:rsidRDefault="008A63B5" w14:paraId="3FACACC7" w14:textId="77777777">
      <w:pPr>
        <w:spacing w:after="0" w:line="360" w:lineRule="auto"/>
        <w:rPr>
          <w:rFonts w:eastAsia="Times New Roman" w:cs="Tahoma"/>
          <w:color w:val="auto"/>
          <w:lang w:eastAsia="es-ES"/>
        </w:rPr>
      </w:pPr>
      <w:r w:rsidRPr="00EF3D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F3DC7" w:rsidR="008A63B5" w:rsidP="008A63B5" w:rsidRDefault="008A63B5" w14:paraId="5E6D2EB9" w14:textId="77777777">
      <w:pPr>
        <w:spacing w:after="0" w:line="360" w:lineRule="auto"/>
        <w:rPr>
          <w:rFonts w:eastAsia="Times New Roman" w:cs="Tahoma"/>
          <w:color w:val="auto"/>
          <w:lang w:eastAsia="es-ES"/>
        </w:rPr>
      </w:pPr>
    </w:p>
    <w:p w:rsidRPr="00EF3DC7" w:rsidR="008A63B5" w:rsidP="008A63B5" w:rsidRDefault="008A63B5" w14:paraId="1DA666A5" w14:textId="77777777">
      <w:pPr>
        <w:autoSpaceDE w:val="0"/>
        <w:autoSpaceDN w:val="0"/>
        <w:adjustRightInd w:val="0"/>
        <w:spacing w:after="0" w:line="360" w:lineRule="auto"/>
        <w:rPr>
          <w:rFonts w:eastAsia="Calibri" w:cs="Tahoma"/>
          <w:color w:val="000000"/>
          <w:lang w:eastAsia="es-MX"/>
        </w:rPr>
      </w:pPr>
      <w:r w:rsidRPr="00EF3DC7">
        <w:rPr>
          <w:rFonts w:eastAsia="Calibri" w:cs="Tahoma"/>
          <w:color w:val="000000"/>
          <w:lang w:eastAsia="es-MX"/>
        </w:rPr>
        <w:t xml:space="preserve">En el presente caso, </w:t>
      </w:r>
      <w:r w:rsidRPr="00EF3DC7">
        <w:rPr>
          <w:rFonts w:eastAsia="Calibri" w:cs="Tahoma"/>
          <w:b/>
          <w:color w:val="000000"/>
          <w:lang w:eastAsia="es-MX"/>
        </w:rPr>
        <w:t>no se actualiza ninguna de las causales de improcedencia</w:t>
      </w:r>
      <w:r w:rsidRPr="00EF3DC7">
        <w:rPr>
          <w:rFonts w:eastAsia="Calibri" w:cs="Tahoma"/>
          <w:color w:val="000000"/>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w:t>
      </w:r>
      <w:r w:rsidRPr="00EF3DC7">
        <w:rPr>
          <w:rFonts w:eastAsia="Calibri" w:cs="Tahoma"/>
          <w:color w:val="000000"/>
          <w:lang w:eastAsia="es-MX"/>
        </w:rPr>
        <w:lastRenderedPageBreak/>
        <w:t>requerimiento informativo, aunado a que el medio de impugnación fue presentado en tiempo.</w:t>
      </w:r>
    </w:p>
    <w:p w:rsidRPr="00EF3DC7" w:rsidR="008A63B5" w:rsidP="008A63B5" w:rsidRDefault="008A63B5" w14:paraId="13BC8FF3" w14:textId="77777777">
      <w:pPr>
        <w:spacing w:after="0" w:line="360" w:lineRule="auto"/>
        <w:rPr>
          <w:rFonts w:eastAsia="Times New Roman" w:cs="Tahoma"/>
          <w:b/>
          <w:bCs/>
          <w:color w:val="auto"/>
          <w:lang w:eastAsia="es-ES"/>
        </w:rPr>
      </w:pPr>
    </w:p>
    <w:p w:rsidRPr="00EF3DC7" w:rsidR="008A63B5" w:rsidP="008A63B5" w:rsidRDefault="008A63B5" w14:paraId="43EB261C" w14:textId="77777777">
      <w:pPr>
        <w:spacing w:after="0" w:line="360" w:lineRule="auto"/>
        <w:rPr>
          <w:rFonts w:eastAsia="Calibri" w:cs="Tahoma"/>
          <w:color w:val="000000"/>
          <w:lang w:eastAsia="es-MX"/>
        </w:rPr>
      </w:pPr>
      <w:r w:rsidRPr="00EF3DC7">
        <w:rPr>
          <w:rFonts w:eastAsia="Times New Roman" w:cs="Tahoma"/>
          <w:color w:val="auto"/>
          <w:lang w:eastAsia="es-ES"/>
        </w:rPr>
        <w:t xml:space="preserve">Asimismo, se actualiza la causal de procedencia del Recurso de Revisión señalada en el artículo 179, fracciones IV, </w:t>
      </w:r>
      <w:r w:rsidRPr="00EF3DC7">
        <w:rPr>
          <w:rFonts w:eastAsia="Calibri" w:cs="Tahoma"/>
          <w:color w:val="000000"/>
          <w:lang w:eastAsia="es-MX"/>
        </w:rPr>
        <w:t>Ley de Transparencia y Acceso a la Información Pública del Estado de México y Municipios</w:t>
      </w:r>
      <w:r w:rsidRPr="00EF3DC7">
        <w:rPr>
          <w:rFonts w:eastAsia="Times New Roman" w:cs="Tahoma"/>
          <w:color w:val="auto"/>
          <w:lang w:eastAsia="es-ES"/>
        </w:rPr>
        <w:t xml:space="preserve">, </w:t>
      </w:r>
      <w:r w:rsidRPr="00EF3DC7">
        <w:rPr>
          <w:rFonts w:eastAsia="Calibri" w:cs="Tahoma"/>
          <w:color w:val="000000"/>
          <w:lang w:eastAsia="es-MX"/>
        </w:rPr>
        <w:t>pues el Recurrente se inconformó con la incompetencia manifestada por el Sujeto Obligado.</w:t>
      </w:r>
    </w:p>
    <w:p w:rsidRPr="00EF3DC7" w:rsidR="008A63B5" w:rsidP="008A63B5" w:rsidRDefault="008A63B5" w14:paraId="3E261440" w14:textId="77777777">
      <w:pPr>
        <w:spacing w:after="0" w:line="360" w:lineRule="auto"/>
        <w:rPr>
          <w:rFonts w:eastAsia="Times New Roman" w:cs="Tahoma"/>
          <w:b/>
          <w:bCs/>
          <w:color w:val="auto"/>
          <w:szCs w:val="24"/>
          <w:lang w:val="es-ES" w:eastAsia="es-ES"/>
        </w:rPr>
      </w:pPr>
    </w:p>
    <w:p w:rsidRPr="00EF3DC7" w:rsidR="008A63B5" w:rsidP="008A63B5" w:rsidRDefault="008A63B5" w14:paraId="55E3A128" w14:textId="77777777">
      <w:pPr>
        <w:spacing w:after="0" w:line="360" w:lineRule="auto"/>
        <w:rPr>
          <w:rFonts w:eastAsia="Times New Roman" w:cs="Tahoma"/>
          <w:b/>
          <w:bCs/>
          <w:color w:val="auto"/>
          <w:szCs w:val="24"/>
          <w:lang w:val="es-ES" w:eastAsia="es-ES"/>
        </w:rPr>
      </w:pPr>
      <w:r w:rsidRPr="00EF3DC7">
        <w:rPr>
          <w:rFonts w:eastAsia="Times New Roman" w:cs="Tahoma"/>
          <w:b/>
          <w:bCs/>
          <w:color w:val="auto"/>
          <w:szCs w:val="24"/>
          <w:lang w:val="es-ES" w:eastAsia="es-ES"/>
        </w:rPr>
        <w:t>TERCERO. Causales de sobreseimiento.</w:t>
      </w:r>
    </w:p>
    <w:p w:rsidRPr="00EF3DC7" w:rsidR="008A63B5" w:rsidP="00FC636C" w:rsidRDefault="00E67F34" w14:paraId="4C87FA2F" w14:textId="0D7A5FBC">
      <w:pPr>
        <w:spacing w:after="0" w:line="360" w:lineRule="auto"/>
        <w:rPr>
          <w:rFonts w:cs="Tahoma"/>
          <w:lang w:val="es-ES"/>
        </w:rPr>
      </w:pPr>
      <w:r w:rsidRPr="00EF3DC7">
        <w:rPr>
          <w:rFonts w:eastAsia="Times New Roman" w:cs="Tahoma"/>
          <w:color w:val="auto"/>
          <w:szCs w:val="24"/>
          <w:lang w:val="es-ES" w:eastAsia="es-ES"/>
        </w:rPr>
        <w:br/>
      </w:r>
      <w:r w:rsidRPr="00EF3DC7" w:rsidR="008A63B5">
        <w:rPr>
          <w:rFonts w:eastAsia="Times New Roman" w:cs="Tahoma"/>
          <w:color w:val="auto"/>
          <w:szCs w:val="24"/>
          <w:lang w:val="es-ES" w:eastAsia="es-ES"/>
        </w:rPr>
        <w:t>Por ser de previo y especial pronunciamiento, este Instituto analiza si se actualiza alguna causal de sobreseimiento.</w:t>
      </w:r>
      <w:r w:rsidRPr="00EF3DC7" w:rsidR="00FC636C">
        <w:rPr>
          <w:rFonts w:eastAsia="Times New Roman" w:cs="Tahoma"/>
          <w:color w:val="auto"/>
          <w:szCs w:val="24"/>
          <w:lang w:val="es-ES" w:eastAsia="es-ES"/>
        </w:rPr>
        <w:t xml:space="preserve"> </w:t>
      </w:r>
      <w:r w:rsidRPr="00EF3DC7" w:rsidR="008A63B5">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r w:rsidRPr="00EF3DC7" w:rsidR="00FC636C">
        <w:rPr>
          <w:rFonts w:cs="Tahoma"/>
        </w:rPr>
        <w:t xml:space="preserve"> </w:t>
      </w:r>
      <w:r w:rsidRPr="00EF3DC7" w:rsidR="008A63B5">
        <w:rPr>
          <w:rFonts w:cs="Tahoma"/>
          <w:bCs/>
          <w:lang w:val="es-ES"/>
        </w:rPr>
        <w:t xml:space="preserve">Por tales motivos, </w:t>
      </w:r>
      <w:r w:rsidRPr="00EF3DC7" w:rsidR="008A63B5">
        <w:rPr>
          <w:rFonts w:cs="Tahoma"/>
          <w:lang w:val="es-ES"/>
        </w:rPr>
        <w:t xml:space="preserve">se considera procedente entrar al fondo del presente asunto. </w:t>
      </w:r>
    </w:p>
    <w:p w:rsidRPr="00EF3DC7" w:rsidR="008A63B5" w:rsidP="008A63B5" w:rsidRDefault="008A63B5" w14:paraId="66B673BF" w14:textId="77777777">
      <w:pPr>
        <w:tabs>
          <w:tab w:val="left" w:pos="4962"/>
        </w:tabs>
        <w:spacing w:after="0" w:line="360" w:lineRule="auto"/>
        <w:rPr>
          <w:rFonts w:eastAsia="Calibri" w:cs="Tahoma"/>
          <w:b/>
          <w:iCs/>
          <w:color w:val="auto"/>
          <w:lang w:val="es-ES" w:eastAsia="es-ES_tradnl"/>
        </w:rPr>
      </w:pPr>
    </w:p>
    <w:p w:rsidRPr="00EF3DC7" w:rsidR="008A63B5" w:rsidP="008A63B5" w:rsidRDefault="008A63B5" w14:paraId="008349AC" w14:textId="77777777">
      <w:pPr>
        <w:tabs>
          <w:tab w:val="left" w:pos="4962"/>
        </w:tabs>
        <w:spacing w:after="0" w:line="360" w:lineRule="auto"/>
        <w:rPr>
          <w:rFonts w:eastAsia="Calibri" w:cs="Tahoma"/>
          <w:b/>
          <w:iCs/>
          <w:color w:val="auto"/>
          <w:lang w:val="es-ES" w:eastAsia="es-ES_tradnl"/>
        </w:rPr>
      </w:pPr>
      <w:r w:rsidRPr="00EF3DC7">
        <w:rPr>
          <w:rFonts w:eastAsia="Calibri" w:cs="Tahoma"/>
          <w:b/>
          <w:iCs/>
          <w:color w:val="auto"/>
          <w:lang w:val="es-ES" w:eastAsia="es-ES_tradnl"/>
        </w:rPr>
        <w:t xml:space="preserve">TERCERO. Determinación de la Controversia. </w:t>
      </w:r>
    </w:p>
    <w:p w:rsidRPr="00EF3DC7" w:rsidR="008A63B5" w:rsidP="008A63B5" w:rsidRDefault="008A63B5" w14:paraId="47ADF272" w14:textId="77777777">
      <w:pPr>
        <w:tabs>
          <w:tab w:val="left" w:pos="4962"/>
        </w:tabs>
        <w:spacing w:after="0" w:line="360" w:lineRule="auto"/>
        <w:rPr>
          <w:rFonts w:eastAsia="Calibri" w:cs="Tahoma"/>
          <w:b/>
          <w:iCs/>
          <w:color w:val="auto"/>
          <w:lang w:val="es-ES" w:eastAsia="es-ES_tradnl"/>
        </w:rPr>
      </w:pPr>
    </w:p>
    <w:p w:rsidRPr="00EF3DC7" w:rsidR="005F58A7" w:rsidP="008A63B5" w:rsidRDefault="008A63B5" w14:paraId="0EEF5F2C" w14:textId="483A626A">
      <w:pPr>
        <w:spacing w:after="0" w:line="360" w:lineRule="auto"/>
        <w:rPr>
          <w:rFonts w:eastAsia="Times New Roman" w:cs="Tahoma"/>
          <w:color w:val="auto"/>
          <w:lang w:eastAsia="es-ES"/>
        </w:rPr>
      </w:pPr>
      <w:r w:rsidRPr="00EF3DC7">
        <w:rPr>
          <w:rFonts w:eastAsia="Times New Roman" w:cs="Tahoma"/>
          <w:color w:val="auto"/>
          <w:lang w:eastAsia="es-ES"/>
        </w:rPr>
        <w:t>Con el objetivo de ilustrar la controversia planteada, resulta conveniente precisar, que una vez realizado el estudio de las constancias que integran el expediente en el que se actúa, se despr</w:t>
      </w:r>
      <w:r w:rsidRPr="00EF3DC7" w:rsidR="005F58A7">
        <w:rPr>
          <w:rFonts w:eastAsia="Times New Roman" w:cs="Tahoma"/>
          <w:color w:val="auto"/>
          <w:lang w:eastAsia="es-ES"/>
        </w:rPr>
        <w:t>ende que el Particular requirió</w:t>
      </w:r>
      <w:r w:rsidRPr="00EF3DC7">
        <w:rPr>
          <w:rFonts w:eastAsia="Times New Roman" w:cs="Tahoma"/>
          <w:color w:val="auto"/>
          <w:lang w:eastAsia="es-ES"/>
        </w:rPr>
        <w:t xml:space="preserve"> </w:t>
      </w:r>
      <w:r w:rsidRPr="00EF3DC7" w:rsidR="005F58A7">
        <w:rPr>
          <w:rFonts w:eastAsia="Times New Roman" w:cs="Tahoma"/>
          <w:color w:val="auto"/>
          <w:lang w:eastAsia="es-ES"/>
        </w:rPr>
        <w:t>la nómina general, lista de raya, pago por honorarios y cualquier otro método de pago, a los trabajadores del Hospital General de Atlacomulco, del primero de enero al treinta y uno de octubre de dos mil veintidós.</w:t>
      </w:r>
    </w:p>
    <w:p w:rsidRPr="00EF3DC7" w:rsidR="005F58A7" w:rsidP="008A63B5" w:rsidRDefault="005F58A7" w14:paraId="01DEFBBF" w14:textId="77777777">
      <w:pPr>
        <w:spacing w:after="0" w:line="360" w:lineRule="auto"/>
        <w:rPr>
          <w:rFonts w:eastAsia="Times New Roman" w:cs="Tahoma"/>
          <w:color w:val="auto"/>
          <w:lang w:eastAsia="es-ES"/>
        </w:rPr>
      </w:pPr>
    </w:p>
    <w:p w:rsidRPr="00EF3DC7" w:rsidR="008A63B5" w:rsidP="008A63B5" w:rsidRDefault="008A63B5" w14:paraId="3374E0D5" w14:textId="01EF4D9F">
      <w:pPr>
        <w:spacing w:after="0" w:line="360" w:lineRule="auto"/>
        <w:rPr>
          <w:color w:val="000000"/>
        </w:rPr>
      </w:pPr>
      <w:r w:rsidRPr="00EF3DC7">
        <w:rPr>
          <w:rFonts w:eastAsia="Times New Roman" w:cs="Times New Roman"/>
          <w:color w:val="auto"/>
          <w:lang w:eastAsia="es-ES"/>
        </w:rPr>
        <w:t>En respuesta, el Sujeto Obligado</w:t>
      </w:r>
      <w:r w:rsidRPr="00EF3DC7" w:rsidR="005F58A7">
        <w:rPr>
          <w:rFonts w:eastAsia="Times New Roman" w:cs="Times New Roman"/>
          <w:color w:val="auto"/>
          <w:lang w:eastAsia="es-ES"/>
        </w:rPr>
        <w:t>, se declaró incompetente para conocer de la información peticionada y</w:t>
      </w:r>
      <w:r w:rsidRPr="00EF3DC7">
        <w:rPr>
          <w:rFonts w:eastAsia="Times New Roman" w:cs="Times New Roman"/>
          <w:color w:val="auto"/>
          <w:lang w:eastAsia="es-ES"/>
        </w:rPr>
        <w:t xml:space="preserve"> orientó al Particular a dirigir su solicitud ante </w:t>
      </w:r>
      <w:r w:rsidRPr="00EF3DC7" w:rsidR="001D4885">
        <w:rPr>
          <w:rFonts w:eastAsia="Times New Roman" w:cs="Times New Roman"/>
          <w:color w:val="auto"/>
          <w:lang w:eastAsia="es-ES"/>
        </w:rPr>
        <w:t>el Instituto de S</w:t>
      </w:r>
      <w:r w:rsidRPr="00EF3DC7" w:rsidR="00E35E93">
        <w:rPr>
          <w:rFonts w:eastAsia="Times New Roman" w:cs="Times New Roman"/>
          <w:color w:val="auto"/>
          <w:lang w:eastAsia="es-ES"/>
        </w:rPr>
        <w:t>alud del Estado de México, además le proporcionó el vínculo electrónico de dicha Dependencia</w:t>
      </w:r>
      <w:r w:rsidRPr="00EF3DC7">
        <w:rPr>
          <w:rFonts w:eastAsia="Times New Roman" w:cs="Times New Roman"/>
          <w:color w:val="auto"/>
          <w:lang w:eastAsia="es-ES"/>
        </w:rPr>
        <w:t xml:space="preserve">; ante dicha circunstancia, la parte Recurrente se inconformó con la incompetencia manifestada, </w:t>
      </w:r>
      <w:r w:rsidRPr="00EF3DC7">
        <w:rPr>
          <w:rFonts w:eastAsia="Calibri" w:cs="Tahoma"/>
          <w:bCs/>
          <w:iCs/>
          <w:lang w:val="es-ES"/>
        </w:rPr>
        <w:t>lo cual actualiza el supuesto previsto en el artículo 179, fracción IV, de la Ley de Transparencia y Acceso a la Información Pública del Estado de México y Municipios</w:t>
      </w:r>
      <w:r w:rsidRPr="00EF3DC7" w:rsidR="00E35E93">
        <w:rPr>
          <w:rFonts w:eastAsia="Calibri" w:cs="Tahoma"/>
          <w:bCs/>
          <w:iCs/>
          <w:lang w:val="es-ES"/>
        </w:rPr>
        <w:t xml:space="preserve">, al señalar </w:t>
      </w:r>
      <w:r w:rsidRPr="00EF3DC7" w:rsidR="009E06FA">
        <w:rPr>
          <w:rFonts w:eastAsia="Calibri" w:cs="Tahoma"/>
          <w:bCs/>
          <w:iCs/>
          <w:lang w:val="es-ES"/>
        </w:rPr>
        <w:t>que la liga electrónica no remitía a la nómina de los servidores públicos</w:t>
      </w:r>
      <w:r w:rsidRPr="00EF3DC7">
        <w:rPr>
          <w:rFonts w:eastAsia="Calibri" w:cs="Tahoma"/>
          <w:bCs/>
          <w:iCs/>
          <w:shd w:val="clear" w:color="auto" w:fill="FFFFFF"/>
        </w:rPr>
        <w:t>.</w:t>
      </w:r>
      <w:r w:rsidRPr="00EF3DC7">
        <w:rPr>
          <w:rFonts w:eastAsia="Calibri" w:cs="Tahoma"/>
          <w:bCs/>
          <w:iCs/>
          <w:color w:val="000000"/>
          <w:lang w:val="es-ES_tradnl"/>
        </w:rPr>
        <w:t xml:space="preserve"> </w:t>
      </w:r>
      <w:r w:rsidRPr="00EF3DC7">
        <w:rPr>
          <w:rFonts w:eastAsia="Calibri" w:cs="Tahoma"/>
          <w:lang w:val="es-ES"/>
        </w:rPr>
        <w:t xml:space="preserve">Así las cosas, una vez admitido y notificado el Recurso de Revisión a las partes, </w:t>
      </w:r>
      <w:r w:rsidRPr="00EF3DC7" w:rsidR="001D4885">
        <w:rPr>
          <w:rFonts w:eastAsia="Calibri" w:cs="Tahoma"/>
          <w:lang w:val="es-ES"/>
        </w:rPr>
        <w:t>estas fueron omisas en emitir manifestaciones o alegatos.</w:t>
      </w:r>
    </w:p>
    <w:p w:rsidRPr="00EF3DC7" w:rsidR="008A63B5" w:rsidP="008A63B5" w:rsidRDefault="008A63B5" w14:paraId="25E21A0E" w14:textId="77777777">
      <w:pPr>
        <w:spacing w:after="0" w:line="360" w:lineRule="auto"/>
        <w:rPr>
          <w:rFonts w:eastAsia="Times New Roman" w:cs="Tahoma"/>
          <w:iCs/>
          <w:color w:val="auto"/>
          <w:shd w:val="clear" w:color="auto" w:fill="FFFFFF"/>
          <w:lang w:val="es-ES" w:eastAsia="es-ES"/>
        </w:rPr>
      </w:pPr>
    </w:p>
    <w:p w:rsidRPr="00EF3DC7" w:rsidR="008A63B5" w:rsidP="008A63B5" w:rsidRDefault="008A63B5" w14:paraId="6E0E5A48" w14:textId="2000DCFD">
      <w:pPr>
        <w:spacing w:after="0" w:line="360" w:lineRule="auto"/>
        <w:rPr>
          <w:rFonts w:eastAsia="Times New Roman" w:cs="Times New Roman"/>
          <w:color w:val="auto"/>
          <w:lang w:eastAsia="es-ES"/>
        </w:rPr>
      </w:pPr>
      <w:r w:rsidRPr="00EF3DC7">
        <w:rPr>
          <w:rFonts w:eastAsia="Times New Roman" w:cs="Times New Roman"/>
          <w:color w:val="auto"/>
          <w:lang w:eastAsia="es-ES"/>
        </w:rPr>
        <w:t>Lo anterior, se desprende de las documentales que obran en el expediente de referencia, materia de la presente resolución, consistentes en: la solicitud de acceso a la información; la respuesta proporcionada</w:t>
      </w:r>
      <w:r w:rsidRPr="00EF3DC7" w:rsidR="001D4885">
        <w:rPr>
          <w:rFonts w:eastAsia="Times New Roman" w:cs="Times New Roman"/>
          <w:color w:val="auto"/>
          <w:lang w:eastAsia="es-ES"/>
        </w:rPr>
        <w:t xml:space="preserve"> y</w:t>
      </w:r>
      <w:r w:rsidRPr="00EF3DC7">
        <w:rPr>
          <w:rFonts w:eastAsia="Times New Roman" w:cs="Times New Roman"/>
          <w:color w:val="auto"/>
          <w:lang w:eastAsia="es-ES"/>
        </w:rPr>
        <w:t xml:space="preserve"> el escrito </w:t>
      </w:r>
      <w:proofErr w:type="spellStart"/>
      <w:r w:rsidRPr="00EF3DC7">
        <w:rPr>
          <w:rFonts w:eastAsia="Times New Roman" w:cs="Times New Roman"/>
          <w:color w:val="auto"/>
          <w:lang w:eastAsia="es-ES"/>
        </w:rPr>
        <w:t>recursa</w:t>
      </w:r>
      <w:r w:rsidRPr="00EF3DC7" w:rsidR="001D4885">
        <w:rPr>
          <w:rFonts w:eastAsia="Times New Roman" w:cs="Times New Roman"/>
          <w:color w:val="auto"/>
          <w:lang w:eastAsia="es-ES"/>
        </w:rPr>
        <w:t>l</w:t>
      </w:r>
      <w:proofErr w:type="spellEnd"/>
      <w:r w:rsidRPr="00EF3DC7">
        <w:rPr>
          <w:rFonts w:eastAsia="Times New Roman" w:cs="Times New Roman"/>
          <w:color w:val="auto"/>
          <w:lang w:eastAsia="es-ES"/>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rsidRPr="00EF3DC7" w:rsidR="008A63B5" w:rsidP="008A63B5" w:rsidRDefault="008A63B5" w14:paraId="2269077C" w14:textId="77777777">
      <w:pPr>
        <w:spacing w:after="0" w:line="360" w:lineRule="auto"/>
        <w:rPr>
          <w:rFonts w:eastAsia="Times New Roman" w:cs="Tahoma"/>
          <w:b/>
          <w:color w:val="auto"/>
          <w:lang w:eastAsia="es-ES"/>
        </w:rPr>
      </w:pPr>
    </w:p>
    <w:p w:rsidRPr="00EF3DC7" w:rsidR="008A63B5" w:rsidP="008A63B5" w:rsidRDefault="008A63B5" w14:paraId="3250DF70" w14:textId="77777777">
      <w:pPr>
        <w:spacing w:after="0" w:line="360" w:lineRule="auto"/>
        <w:rPr>
          <w:rFonts w:eastAsia="Times New Roman" w:cs="Tahoma"/>
          <w:b/>
          <w:color w:val="auto"/>
          <w:lang w:eastAsia="es-ES"/>
        </w:rPr>
      </w:pPr>
      <w:r w:rsidRPr="00EF3DC7">
        <w:rPr>
          <w:rFonts w:eastAsia="Times New Roman" w:cs="Tahoma"/>
          <w:b/>
          <w:color w:val="auto"/>
          <w:lang w:eastAsia="es-ES"/>
        </w:rPr>
        <w:t>CUARTO. Marco normativo aplicable en materia de transparencia y acceso a la información pública.</w:t>
      </w:r>
    </w:p>
    <w:p w:rsidRPr="00EF3DC7" w:rsidR="008A63B5" w:rsidP="008A63B5" w:rsidRDefault="008A63B5" w14:paraId="639898C9" w14:textId="77777777">
      <w:pPr>
        <w:spacing w:after="0" w:line="360" w:lineRule="auto"/>
        <w:rPr>
          <w:rFonts w:eastAsia="Times New Roman" w:cs="Tahoma"/>
          <w:b/>
          <w:color w:val="auto"/>
          <w:lang w:eastAsia="es-ES"/>
        </w:rPr>
      </w:pPr>
    </w:p>
    <w:p w:rsidRPr="00EF3DC7" w:rsidR="008A63B5" w:rsidP="008A63B5" w:rsidRDefault="008A63B5" w14:paraId="702A53B3" w14:textId="77777777">
      <w:pPr>
        <w:spacing w:after="0" w:line="360" w:lineRule="auto"/>
        <w:rPr>
          <w:rFonts w:eastAsia="Times New Roman" w:cs="Tahoma"/>
          <w:color w:val="auto"/>
          <w:lang w:eastAsia="es-ES"/>
        </w:rPr>
      </w:pPr>
      <w:r w:rsidRPr="00EF3DC7">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F3DC7" w:rsidR="008A63B5" w:rsidP="008A63B5" w:rsidRDefault="008A63B5" w14:paraId="22D9DD76" w14:textId="77777777">
      <w:pPr>
        <w:spacing w:after="0" w:line="360" w:lineRule="auto"/>
        <w:rPr>
          <w:rFonts w:eastAsia="Times New Roman" w:cs="Tahoma"/>
          <w:color w:val="auto"/>
          <w:lang w:eastAsia="es-ES"/>
        </w:rPr>
      </w:pPr>
    </w:p>
    <w:p w:rsidRPr="00EF3DC7" w:rsidR="008A63B5" w:rsidP="008A63B5" w:rsidRDefault="008A63B5" w14:paraId="1B11ACD8" w14:textId="77777777">
      <w:pPr>
        <w:spacing w:after="0" w:line="360" w:lineRule="auto"/>
        <w:rPr>
          <w:rFonts w:eastAsia="Times New Roman" w:cs="Tahoma"/>
          <w:color w:val="auto"/>
          <w:lang w:eastAsia="es-ES"/>
        </w:rPr>
      </w:pPr>
      <w:r w:rsidRPr="00EF3DC7">
        <w:rPr>
          <w:rFonts w:eastAsia="Times New Roman" w:cs="Tahoma"/>
          <w:color w:val="auto"/>
          <w:lang w:eastAsia="es-ES"/>
        </w:rPr>
        <w:t xml:space="preserve">La Ley General de Transparencia y Acceso a la Información Pública, publicada en el Diario Oficial de la Federación el cuatro de mayo de dos mil quince, dispone en su artículo 70, la </w:t>
      </w:r>
      <w:r w:rsidRPr="00EF3DC7">
        <w:rPr>
          <w:rFonts w:eastAsia="Times New Roman" w:cs="Tahoma"/>
          <w:color w:val="auto"/>
          <w:lang w:eastAsia="es-ES"/>
        </w:rPr>
        <w:lastRenderedPageBreak/>
        <w:t>información que se considera corresponde a las Obligaciones de Transparencia, la cual debe estar disponible para cualquier persona de manera permanente y actualizada.</w:t>
      </w:r>
    </w:p>
    <w:p w:rsidRPr="00EF3DC7" w:rsidR="008A63B5" w:rsidP="008A63B5" w:rsidRDefault="008A63B5" w14:paraId="10209E0F" w14:textId="77777777">
      <w:pPr>
        <w:spacing w:after="0" w:line="360" w:lineRule="auto"/>
        <w:rPr>
          <w:rFonts w:eastAsia="Times New Roman" w:cs="Tahoma"/>
          <w:color w:val="auto"/>
          <w:lang w:eastAsia="es-ES"/>
        </w:rPr>
      </w:pPr>
    </w:p>
    <w:p w:rsidRPr="00EF3DC7" w:rsidR="008A63B5" w:rsidP="008A63B5" w:rsidRDefault="008A63B5" w14:paraId="4E5C52C8" w14:textId="77777777">
      <w:pPr>
        <w:spacing w:after="0" w:line="360" w:lineRule="auto"/>
        <w:rPr>
          <w:rFonts w:eastAsia="Times New Roman" w:cs="Tahoma"/>
          <w:color w:val="auto"/>
          <w:lang w:eastAsia="es-ES"/>
        </w:rPr>
      </w:pPr>
      <w:r w:rsidRPr="00EF3DC7">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F3DC7" w:rsidR="008A63B5" w:rsidP="008A63B5" w:rsidRDefault="008A63B5" w14:paraId="46E09860" w14:textId="77777777">
      <w:pPr>
        <w:spacing w:after="0" w:line="360" w:lineRule="auto"/>
        <w:rPr>
          <w:rFonts w:eastAsia="Times New Roman" w:cs="Tahoma"/>
          <w:color w:val="auto"/>
          <w:lang w:eastAsia="es-ES"/>
        </w:rPr>
      </w:pPr>
    </w:p>
    <w:p w:rsidRPr="00EF3DC7" w:rsidR="008A63B5" w:rsidP="008A63B5" w:rsidRDefault="008A63B5" w14:paraId="31426CEC" w14:textId="77777777">
      <w:pPr>
        <w:spacing w:after="0" w:line="360" w:lineRule="auto"/>
        <w:rPr>
          <w:rFonts w:eastAsia="Times New Roman" w:cs="Tahoma"/>
          <w:color w:val="auto"/>
          <w:lang w:eastAsia="es-ES"/>
        </w:rPr>
      </w:pPr>
      <w:r w:rsidRPr="00EF3DC7">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rsidRPr="00EF3DC7" w:rsidR="008A63B5" w:rsidP="008A63B5" w:rsidRDefault="008A63B5" w14:paraId="5C596F9A" w14:textId="77777777">
      <w:pPr>
        <w:spacing w:after="0" w:line="360" w:lineRule="auto"/>
        <w:rPr>
          <w:rFonts w:eastAsia="Times New Roman" w:cs="Tahoma"/>
          <w:color w:val="auto"/>
          <w:lang w:eastAsia="es-ES"/>
        </w:rPr>
      </w:pPr>
    </w:p>
    <w:p w:rsidRPr="00EF3DC7" w:rsidR="008A63B5" w:rsidP="008A63B5" w:rsidRDefault="008A63B5" w14:paraId="6E1B46ED" w14:textId="77777777">
      <w:pPr>
        <w:spacing w:after="0" w:line="360" w:lineRule="auto"/>
        <w:rPr>
          <w:rFonts w:eastAsia="Times New Roman" w:cs="Tahoma"/>
          <w:color w:val="auto"/>
          <w:lang w:eastAsia="es-ES"/>
        </w:rPr>
      </w:pPr>
      <w:r w:rsidRPr="00EF3DC7">
        <w:rPr>
          <w:rFonts w:eastAsia="Times New Roman" w:cs="Tahoma"/>
          <w:color w:val="auto"/>
          <w:lang w:eastAsia="es-ES"/>
        </w:rPr>
        <w:t>El artículo 12, que, quienes generen, recopilen, administren, manejen, procesen, archiven o conserven información pública serán responsables de la misma.</w:t>
      </w:r>
    </w:p>
    <w:p w:rsidRPr="00EF3DC7" w:rsidR="008A63B5" w:rsidP="008A63B5" w:rsidRDefault="008A63B5" w14:paraId="277CE617" w14:textId="77777777">
      <w:pPr>
        <w:spacing w:after="0" w:line="360" w:lineRule="auto"/>
        <w:rPr>
          <w:rFonts w:eastAsia="Times New Roman" w:cs="Tahoma"/>
          <w:color w:val="auto"/>
          <w:lang w:eastAsia="es-ES"/>
        </w:rPr>
      </w:pPr>
    </w:p>
    <w:p w:rsidRPr="00EF3DC7" w:rsidR="008A63B5" w:rsidP="008A63B5" w:rsidRDefault="008A63B5" w14:paraId="7D93BAB9" w14:textId="77777777">
      <w:pPr>
        <w:spacing w:after="0" w:line="360" w:lineRule="auto"/>
        <w:rPr>
          <w:rFonts w:eastAsia="Times New Roman" w:cs="Tahoma"/>
          <w:color w:val="auto"/>
          <w:lang w:eastAsia="es-ES"/>
        </w:rPr>
      </w:pPr>
      <w:r w:rsidRPr="00EF3DC7">
        <w:rPr>
          <w:rFonts w:eastAsia="Times New Roman" w:cs="Tahoma"/>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EF3DC7" w:rsidR="008A63B5" w:rsidP="008A63B5" w:rsidRDefault="008A63B5" w14:paraId="276F3828" w14:textId="77777777">
      <w:pPr>
        <w:spacing w:after="0" w:line="360" w:lineRule="auto"/>
        <w:rPr>
          <w:rFonts w:eastAsia="Times New Roman" w:cs="Tahoma"/>
          <w:color w:val="auto"/>
          <w:lang w:eastAsia="es-ES"/>
        </w:rPr>
      </w:pPr>
    </w:p>
    <w:p w:rsidRPr="00EF3DC7" w:rsidR="008A63B5" w:rsidP="008A63B5" w:rsidRDefault="008A63B5" w14:paraId="70CA0E33" w14:textId="4973164F">
      <w:pPr>
        <w:spacing w:after="0" w:line="360" w:lineRule="auto"/>
        <w:rPr>
          <w:rFonts w:eastAsia="Times New Roman" w:cs="Tahoma"/>
          <w:color w:val="auto"/>
          <w:lang w:eastAsia="es-ES"/>
        </w:rPr>
      </w:pPr>
      <w:r w:rsidRPr="00EF3DC7">
        <w:rPr>
          <w:rFonts w:eastAsia="Times New Roman" w:cs="Tahoma"/>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F3DC7" w:rsidR="00A10619" w:rsidP="008A63B5" w:rsidRDefault="00A10619" w14:paraId="5F2BBD39" w14:textId="2C071C75">
      <w:pPr>
        <w:spacing w:after="0" w:line="360" w:lineRule="auto"/>
        <w:rPr>
          <w:rFonts w:eastAsia="Times New Roman" w:cs="Tahoma"/>
          <w:color w:val="auto"/>
          <w:lang w:eastAsia="es-ES"/>
        </w:rPr>
      </w:pPr>
    </w:p>
    <w:p w:rsidRPr="00EF3DC7" w:rsidR="00A10619" w:rsidP="00A10619" w:rsidRDefault="00A10619" w14:paraId="2C8EDC0A" w14:textId="77777777">
      <w:pPr>
        <w:spacing w:after="0" w:line="360" w:lineRule="auto"/>
        <w:rPr>
          <w:rFonts w:cs="Tahoma"/>
          <w:bCs/>
          <w:iCs/>
          <w:lang w:val="es-ES"/>
        </w:rPr>
      </w:pPr>
      <w:r w:rsidRPr="00EF3DC7">
        <w:rPr>
          <w:rFonts w:cs="Tahoma"/>
          <w:bCs/>
          <w:iCs/>
          <w:lang w:val="es-ES"/>
        </w:rPr>
        <w:t>El artículo 92, fracción VIII, que, la información sobre las remuneraciones bruta y neta de todos los servidores públicos de base o de confianza corresponden a una Obligación Común de Transparencia para los Sujetos Obligados.</w:t>
      </w:r>
    </w:p>
    <w:p w:rsidRPr="00EF3DC7" w:rsidR="00925C69" w:rsidP="008A63B5" w:rsidRDefault="00925C69" w14:paraId="0D3ADB4A" w14:textId="77777777">
      <w:pPr>
        <w:spacing w:after="0" w:line="360" w:lineRule="auto"/>
        <w:rPr>
          <w:rFonts w:eastAsia="Times New Roman" w:cs="Tahoma"/>
          <w:b/>
          <w:color w:val="auto"/>
          <w:lang w:eastAsia="es-ES"/>
        </w:rPr>
      </w:pPr>
    </w:p>
    <w:p w:rsidRPr="00EF3DC7" w:rsidR="008A63B5" w:rsidP="008A63B5" w:rsidRDefault="008A63B5" w14:paraId="724E48BC" w14:textId="6C72DAA5">
      <w:pPr>
        <w:spacing w:after="0" w:line="360" w:lineRule="auto"/>
        <w:rPr>
          <w:rFonts w:eastAsia="Times New Roman" w:cs="Tahoma"/>
          <w:b/>
          <w:color w:val="auto"/>
          <w:lang w:eastAsia="es-ES"/>
        </w:rPr>
      </w:pPr>
      <w:r w:rsidRPr="00EF3DC7">
        <w:rPr>
          <w:rFonts w:eastAsia="Times New Roman" w:cs="Tahoma"/>
          <w:b/>
          <w:color w:val="auto"/>
          <w:lang w:eastAsia="es-ES"/>
        </w:rPr>
        <w:t>QUINTO. Estudio de Fondo.</w:t>
      </w:r>
    </w:p>
    <w:p w:rsidRPr="00EF3DC7" w:rsidR="008A63B5" w:rsidP="008A63B5" w:rsidRDefault="008A63B5" w14:paraId="404938C7" w14:textId="77777777">
      <w:pPr>
        <w:spacing w:after="0" w:line="360" w:lineRule="auto"/>
        <w:rPr>
          <w:rFonts w:eastAsia="Times New Roman" w:cs="Tahoma"/>
          <w:color w:val="auto"/>
          <w:lang w:eastAsia="es-ES"/>
        </w:rPr>
      </w:pPr>
    </w:p>
    <w:p w:rsidRPr="00EF3DC7" w:rsidR="008A63B5" w:rsidP="008A63B5" w:rsidRDefault="00B81241" w14:paraId="1C8839B4" w14:textId="4860073B">
      <w:pPr>
        <w:spacing w:after="0" w:line="360" w:lineRule="auto"/>
        <w:rPr>
          <w:rFonts w:cs="Tahoma"/>
          <w:lang w:val="es-ES"/>
        </w:rPr>
      </w:pPr>
      <w:r w:rsidRPr="00EF3DC7">
        <w:rPr>
          <w:rFonts w:cs="Tahoma"/>
          <w:lang w:val="es-ES"/>
        </w:rPr>
        <w:t>Expuestas las posturas de las partes, se procede analizar la incompetencia manifestada por el Sujeto Obligado, para conocer de la información referente a las remuneraciones pagadas a los trabajadores del Hospital General de Atlacomulco.</w:t>
      </w:r>
    </w:p>
    <w:p w:rsidRPr="00EF3DC7" w:rsidR="00B81241" w:rsidP="008A63B5" w:rsidRDefault="00B81241" w14:paraId="5EE37FF8" w14:textId="77777777">
      <w:pPr>
        <w:spacing w:after="0" w:line="360" w:lineRule="auto"/>
        <w:rPr>
          <w:rFonts w:eastAsia="Times New Roman" w:cs="Times New Roman"/>
          <w:color w:val="auto"/>
          <w:lang w:eastAsia="es-ES"/>
        </w:rPr>
      </w:pPr>
    </w:p>
    <w:p w:rsidRPr="00EF3DC7" w:rsidR="008A63B5" w:rsidP="008A63B5" w:rsidRDefault="00B81241" w14:paraId="6247F538" w14:textId="4A27B56D">
      <w:pPr>
        <w:spacing w:after="0" w:line="360" w:lineRule="auto"/>
        <w:rPr>
          <w:rFonts w:eastAsia="Calibri" w:cs="Times New Roman"/>
          <w:b/>
        </w:rPr>
      </w:pPr>
      <w:r w:rsidRPr="00EF3DC7">
        <w:rPr>
          <w:rFonts w:eastAsia="Calibri" w:cs="Times New Roman"/>
        </w:rPr>
        <w:t>Al respecto</w:t>
      </w:r>
      <w:r w:rsidRPr="00EF3DC7" w:rsidR="008A63B5">
        <w:rPr>
          <w:rFonts w:eastAsia="Calibri" w:cs="Times New Roman"/>
        </w:rPr>
        <w:t xml:space="preserv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EF3DC7" w:rsidR="008A63B5">
        <w:rPr>
          <w:rFonts w:eastAsia="Calibri" w:cs="Times New Roman"/>
          <w:b/>
        </w:rPr>
        <w:t>cuando la misma no sea competencia del sujeto obligado ante el cual se formule la solicitud de acceso.</w:t>
      </w:r>
    </w:p>
    <w:p w:rsidRPr="00EF3DC7" w:rsidR="008A63B5" w:rsidP="008A63B5" w:rsidRDefault="008A63B5" w14:paraId="7D975B47" w14:textId="77777777">
      <w:pPr>
        <w:spacing w:after="0" w:line="360" w:lineRule="auto"/>
        <w:rPr>
          <w:rFonts w:eastAsia="Calibri" w:cs="Times New Roman"/>
          <w:b/>
        </w:rPr>
      </w:pPr>
    </w:p>
    <w:p w:rsidRPr="00EF3DC7" w:rsidR="008A63B5" w:rsidP="008A63B5" w:rsidRDefault="008A63B5" w14:paraId="3295AF40" w14:textId="77777777">
      <w:pPr>
        <w:spacing w:after="0" w:line="360" w:lineRule="auto"/>
        <w:rPr>
          <w:rFonts w:eastAsia="Calibri" w:cs="Times New Roman"/>
        </w:rPr>
      </w:pPr>
      <w:r w:rsidRPr="00EF3DC7">
        <w:rPr>
          <w:rFonts w:eastAsia="Calibri" w:cs="Times New Roman"/>
        </w:rPr>
        <w:t xml:space="preserve">Asimismo, que los Comités de Transparencia tienen entre sus atribuciones confirmar, modificar o revocar la </w:t>
      </w:r>
      <w:r w:rsidRPr="00EF3DC7">
        <w:rPr>
          <w:rFonts w:eastAsia="Calibri" w:cs="Times New Roman"/>
          <w:b/>
        </w:rPr>
        <w:t>declaración de incompetencia</w:t>
      </w:r>
      <w:r w:rsidRPr="00EF3DC7">
        <w:rPr>
          <w:rFonts w:eastAsia="Calibri" w:cs="Times New Roman"/>
        </w:rPr>
        <w:t xml:space="preserve"> que realicen los titulares de las unidades administrativas.</w:t>
      </w:r>
    </w:p>
    <w:p w:rsidRPr="00EF3DC7" w:rsidR="008A63B5" w:rsidP="008A63B5" w:rsidRDefault="008A63B5" w14:paraId="3370F8DA" w14:textId="77777777">
      <w:pPr>
        <w:spacing w:after="0" w:line="360" w:lineRule="auto"/>
        <w:rPr>
          <w:rFonts w:eastAsia="Calibri" w:cs="Times New Roman"/>
        </w:rPr>
      </w:pPr>
    </w:p>
    <w:p w:rsidRPr="00EF3DC7" w:rsidR="008A63B5" w:rsidP="008A63B5" w:rsidRDefault="008A63B5" w14:paraId="10078B6E" w14:textId="609B5B2A">
      <w:pPr>
        <w:spacing w:after="0" w:line="360" w:lineRule="auto"/>
        <w:rPr>
          <w:rFonts w:eastAsia="Calibri" w:cs="Times New Roman"/>
        </w:rPr>
      </w:pPr>
      <w:r w:rsidRPr="00EF3DC7">
        <w:rPr>
          <w:rFonts w:eastAsia="Calibri" w:cs="Times New Roman"/>
        </w:rPr>
        <w:t xml:space="preserve">En esa tesitura, cuando las Unidades de Transparencia determinen </w:t>
      </w:r>
      <w:r w:rsidRPr="00EF3DC7">
        <w:rPr>
          <w:rFonts w:eastAsia="Calibri" w:cs="Times New Roman"/>
          <w:b/>
        </w:rPr>
        <w:t>la notoria incompetencia</w:t>
      </w:r>
      <w:r w:rsidRPr="00EF3DC7">
        <w:rPr>
          <w:rFonts w:eastAsia="Calibri" w:cs="Times New Roman"/>
        </w:rPr>
        <w:t xml:space="preserve"> por parte de los sujetos obligados deberán comunicar al solicitante la misma dentro de los tres días posteriores a la recepción de la solicitud, lo cual </w:t>
      </w:r>
      <w:r w:rsidRPr="00EF3DC7" w:rsidR="00925C69">
        <w:rPr>
          <w:rFonts w:eastAsia="Calibri" w:cs="Times New Roman"/>
        </w:rPr>
        <w:t xml:space="preserve">no </w:t>
      </w:r>
      <w:r w:rsidRPr="00EF3DC7">
        <w:rPr>
          <w:rFonts w:eastAsia="Calibri" w:cs="Times New Roman"/>
        </w:rPr>
        <w:t>aconteció</w:t>
      </w:r>
      <w:r w:rsidRPr="00EF3DC7" w:rsidR="00925C69">
        <w:rPr>
          <w:rFonts w:eastAsia="Calibri" w:cs="Times New Roman"/>
        </w:rPr>
        <w:t xml:space="preserve">, al haber transcurrido en exceso dicho término, es decir el veintinueve de noviembre de dos mil veintidós. </w:t>
      </w:r>
    </w:p>
    <w:p w:rsidRPr="00EF3DC7" w:rsidR="008A63B5" w:rsidP="008A63B5" w:rsidRDefault="008A63B5" w14:paraId="0C7CB256" w14:textId="77777777">
      <w:pPr>
        <w:spacing w:after="0" w:line="360" w:lineRule="auto"/>
        <w:rPr>
          <w:rFonts w:eastAsia="Calibri" w:cs="Times New Roman"/>
        </w:rPr>
      </w:pPr>
    </w:p>
    <w:p w:rsidRPr="00EF3DC7" w:rsidR="008A63B5" w:rsidP="008A63B5" w:rsidRDefault="008A63B5" w14:paraId="26D249A3" w14:textId="77777777">
      <w:pPr>
        <w:spacing w:after="0" w:line="360" w:lineRule="auto"/>
        <w:rPr>
          <w:rFonts w:eastAsia="Calibri" w:cs="Times New Roman"/>
          <w:bCs/>
        </w:rPr>
      </w:pPr>
      <w:r w:rsidRPr="00EF3DC7">
        <w:rPr>
          <w:rFonts w:eastAsia="Calibri" w:cs="Times New Roman"/>
        </w:rPr>
        <w:t>Como se logra observar, si bien la Ley de la materia, prevé el supuesto de incompetencia para que los sujetos obligados den atención a solitudes de información, también lo es, que no se precisa en que consiste dicho concepto; sobre dicha situación</w:t>
      </w:r>
      <w:r w:rsidRPr="00EF3DC7">
        <w:rPr>
          <w:rFonts w:eastAsia="Calibri" w:cs="Times New Roman"/>
          <w:lang w:val="es-ES_tradnl"/>
        </w:rPr>
        <w:t xml:space="preserve">, </w:t>
      </w:r>
      <w:r w:rsidRPr="00EF3DC7">
        <w:rPr>
          <w:rFonts w:eastAsia="Calibri" w:cs="Times New Roman"/>
          <w:bCs/>
        </w:rPr>
        <w:t>según Cabanellas, Guillermo (1993), en el “Diccionario Jurídico Elemental” (p. 32 y 161), precisó los siguientes conceptos:</w:t>
      </w:r>
    </w:p>
    <w:p w:rsidRPr="00EF3DC7" w:rsidR="008A63B5" w:rsidP="008A63B5" w:rsidRDefault="008A63B5" w14:paraId="6C5FB520" w14:textId="77777777">
      <w:pPr>
        <w:spacing w:after="0" w:line="360" w:lineRule="auto"/>
        <w:rPr>
          <w:rFonts w:eastAsia="Calibri" w:cs="Times New Roman"/>
          <w:bCs/>
        </w:rPr>
      </w:pPr>
    </w:p>
    <w:p w:rsidRPr="00EF3DC7" w:rsidR="008A63B5" w:rsidP="008A63B5" w:rsidRDefault="008A63B5" w14:paraId="2EB46E55" w14:textId="77777777">
      <w:pPr>
        <w:numPr>
          <w:ilvl w:val="0"/>
          <w:numId w:val="1"/>
        </w:numPr>
        <w:spacing w:after="0" w:line="360" w:lineRule="auto"/>
        <w:jc w:val="left"/>
        <w:rPr>
          <w:rFonts w:eastAsia="Calibri" w:cs="Times New Roman"/>
          <w:bCs/>
        </w:rPr>
      </w:pPr>
      <w:r w:rsidRPr="00EF3DC7">
        <w:rPr>
          <w:rFonts w:eastAsia="Calibri" w:cs="Times New Roman"/>
          <w:b/>
          <w:bCs/>
        </w:rPr>
        <w:t xml:space="preserve">Competencia: </w:t>
      </w:r>
      <w:r w:rsidRPr="00EF3DC7">
        <w:rPr>
          <w:rFonts w:eastAsia="Calibri" w:cs="Times New Roman"/>
          <w:bCs/>
        </w:rPr>
        <w:t>La capacidad de una autoridad para conocer sobre una materia o asunto.</w:t>
      </w:r>
    </w:p>
    <w:p w:rsidRPr="00EF3DC7" w:rsidR="008A63B5" w:rsidP="008A63B5" w:rsidRDefault="008A63B5" w14:paraId="5AF98752" w14:textId="77777777">
      <w:pPr>
        <w:numPr>
          <w:ilvl w:val="0"/>
          <w:numId w:val="1"/>
        </w:numPr>
        <w:spacing w:after="0" w:line="360" w:lineRule="auto"/>
        <w:jc w:val="left"/>
        <w:rPr>
          <w:rFonts w:eastAsia="Calibri" w:cs="Times New Roman"/>
          <w:bCs/>
        </w:rPr>
      </w:pPr>
      <w:r w:rsidRPr="00EF3DC7">
        <w:rPr>
          <w:rFonts w:eastAsia="Calibri" w:cs="Times New Roman"/>
          <w:b/>
          <w:bCs/>
        </w:rPr>
        <w:t>Incompetencia:</w:t>
      </w:r>
      <w:r w:rsidRPr="00EF3DC7">
        <w:rPr>
          <w:rFonts w:eastAsia="Calibri" w:cs="Times New Roman"/>
          <w:bCs/>
        </w:rPr>
        <w:t xml:space="preserve"> Falta de Competencia.</w:t>
      </w:r>
    </w:p>
    <w:p w:rsidRPr="00EF3DC7" w:rsidR="008A63B5" w:rsidP="008A63B5" w:rsidRDefault="008A63B5" w14:paraId="31C949D4" w14:textId="77777777">
      <w:pPr>
        <w:spacing w:after="0" w:line="360" w:lineRule="auto"/>
        <w:rPr>
          <w:rFonts w:eastAsia="Calibri" w:cs="Times New Roman"/>
        </w:rPr>
      </w:pPr>
    </w:p>
    <w:p w:rsidRPr="00EF3DC7" w:rsidR="008A63B5" w:rsidP="008A63B5" w:rsidRDefault="008A63B5" w14:paraId="12221938" w14:textId="77777777">
      <w:pPr>
        <w:spacing w:after="0" w:line="360" w:lineRule="auto"/>
        <w:rPr>
          <w:rFonts w:eastAsia="Calibri" w:cs="Times New Roman"/>
        </w:rPr>
      </w:pPr>
      <w:r w:rsidRPr="00EF3DC7">
        <w:rPr>
          <w:rFonts w:eastAsia="Calibri" w:cs="Times New Roman"/>
          <w:lang w:val="es-ES_tradnl"/>
        </w:rPr>
        <w:t xml:space="preserve">Por lo que, </w:t>
      </w:r>
      <w:r w:rsidRPr="00EF3DC7">
        <w:rPr>
          <w:rFonts w:eastAsia="Calibri" w:cs="Times New Roman"/>
          <w:b/>
          <w:lang w:val="es-ES_tradnl"/>
        </w:rPr>
        <w:t>la incompetencia</w:t>
      </w:r>
      <w:r w:rsidRPr="00EF3DC7">
        <w:rPr>
          <w:rFonts w:eastAsia="Calibri" w:cs="Times New Roman"/>
          <w:lang w:val="es-ES_tradnl"/>
        </w:rPr>
        <w:t>, radica en la incapacidad de una autoridad para conocer de un tema o asunto; en el mismo sentido, conviene traer a cuenta tesis</w:t>
      </w:r>
      <w:r w:rsidRPr="00EF3DC7">
        <w:rPr>
          <w:rFonts w:eastAsia="Calibri" w:cs="Times New Roman"/>
        </w:rPr>
        <w:t xml:space="preserve"> aislada número III.2o.P.11 K, publicada en el Semanario Judicial de la Federación y su Gaceta, Novena Época, Tomo XV, Mayo de 2002, Pág. 1243, ya que precisa lo siguiente: </w:t>
      </w:r>
    </w:p>
    <w:p w:rsidRPr="00EF3DC7" w:rsidR="008A63B5" w:rsidP="008A63B5" w:rsidRDefault="008A63B5" w14:paraId="412E2C98" w14:textId="77777777">
      <w:pPr>
        <w:spacing w:after="0" w:line="360" w:lineRule="auto"/>
        <w:rPr>
          <w:rFonts w:eastAsia="Calibri" w:cs="Times New Roman"/>
          <w:lang w:val="es-ES_tradnl"/>
        </w:rPr>
      </w:pPr>
    </w:p>
    <w:p w:rsidRPr="00EF3DC7" w:rsidR="008A63B5" w:rsidP="008A63B5" w:rsidRDefault="008A63B5" w14:paraId="2371A65A" w14:textId="77777777">
      <w:pPr>
        <w:spacing w:after="0" w:line="360" w:lineRule="auto"/>
        <w:ind w:left="567" w:right="567"/>
        <w:rPr>
          <w:rFonts w:eastAsia="Calibri" w:cs="Times New Roman"/>
          <w:i/>
          <w:sz w:val="20"/>
          <w:szCs w:val="20"/>
          <w:lang w:val="es-ES_tradnl"/>
        </w:rPr>
      </w:pPr>
      <w:r w:rsidRPr="00EF3DC7">
        <w:rPr>
          <w:rFonts w:eastAsia="Calibri" w:cs="Times New Roman"/>
          <w:b/>
          <w:bCs/>
          <w:i/>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EF3DC7">
        <w:rPr>
          <w:rFonts w:eastAsia="Calibri" w:cs="Times New Roman"/>
          <w:i/>
          <w:sz w:val="20"/>
          <w:szCs w:val="20"/>
          <w:lang w:val="es-ES_tradnl"/>
        </w:rPr>
        <w:t>El artículo </w:t>
      </w:r>
      <w:hyperlink w:history="1" r:id="rId7">
        <w:r w:rsidRPr="00EF3DC7">
          <w:rPr>
            <w:rFonts w:eastAsia="Calibri" w:cs="Times New Roman"/>
            <w:i/>
            <w:color w:val="0563C1" w:themeColor="hyperlink"/>
            <w:sz w:val="20"/>
            <w:szCs w:val="20"/>
            <w:u w:val="single"/>
            <w:lang w:val="es-ES_tradnl"/>
          </w:rPr>
          <w:t>16 constitucional</w:t>
        </w:r>
      </w:hyperlink>
      <w:r w:rsidRPr="00EF3DC7">
        <w:rPr>
          <w:rFonts w:eastAsia="Calibri" w:cs="Times New Roman"/>
          <w:i/>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EF3DC7" w:rsidR="008A63B5" w:rsidP="008A63B5" w:rsidRDefault="008A63B5" w14:paraId="5A078A15" w14:textId="77777777">
      <w:pPr>
        <w:spacing w:after="0" w:line="360" w:lineRule="auto"/>
        <w:rPr>
          <w:rFonts w:eastAsia="Calibri" w:cs="Times New Roman"/>
          <w:lang w:val="es-ES_tradnl"/>
        </w:rPr>
      </w:pPr>
    </w:p>
    <w:p w:rsidRPr="00EF3DC7" w:rsidR="00B81241" w:rsidP="00B81241" w:rsidRDefault="00B81241" w14:paraId="73F0FCE8" w14:textId="77777777">
      <w:pPr>
        <w:spacing w:after="0" w:line="360" w:lineRule="auto"/>
      </w:pPr>
      <w:r w:rsidRPr="00EF3DC7">
        <w:rPr>
          <w:lang w:val="es-ES_tradnl"/>
        </w:rPr>
        <w:t xml:space="preserve">De la misma manera, resulta necesario traer a colación, </w:t>
      </w:r>
      <w:r w:rsidRPr="00EF3DC7">
        <w:rPr>
          <w:rFonts w:eastAsia="Calibri" w:cs="Tahoma"/>
          <w:bCs/>
          <w:color w:val="000000"/>
          <w:lang w:val="es-ES"/>
        </w:rPr>
        <w:t xml:space="preserve">Criterio de Interpretación, de la Segunda Época, con clave de control </w:t>
      </w:r>
      <w:r w:rsidRPr="00EF3DC7">
        <w:rPr>
          <w:rFonts w:eastAsia="Calibri" w:cs="Tahoma"/>
          <w:bCs/>
          <w:color w:val="000000"/>
        </w:rPr>
        <w:t>SO/013/2017</w:t>
      </w:r>
      <w:r w:rsidRPr="00EF3DC7">
        <w:rPr>
          <w:lang w:val="es-ES"/>
        </w:rPr>
        <w:t xml:space="preserve">, </w:t>
      </w:r>
      <w:r w:rsidRPr="00EF3DC7">
        <w:t xml:space="preserve">emitido por el Instituto Nacional de Transparencia, Acceso a la Información y Protección de Datos Personales, que dispone lo siguiente: </w:t>
      </w:r>
    </w:p>
    <w:p w:rsidRPr="00EF3DC7" w:rsidR="008A63B5" w:rsidP="008A63B5" w:rsidRDefault="008A63B5" w14:paraId="0A6CDE0A" w14:textId="77777777">
      <w:pPr>
        <w:spacing w:after="0" w:line="360" w:lineRule="auto"/>
        <w:rPr>
          <w:rFonts w:eastAsia="Calibri" w:cs="Times New Roman"/>
        </w:rPr>
      </w:pPr>
    </w:p>
    <w:p w:rsidRPr="00EF3DC7" w:rsidR="008A63B5" w:rsidP="008A63B5" w:rsidRDefault="008A63B5" w14:paraId="0D8EE2B4" w14:textId="77777777">
      <w:pPr>
        <w:spacing w:after="0" w:line="360" w:lineRule="auto"/>
        <w:ind w:left="567" w:right="567"/>
        <w:rPr>
          <w:rFonts w:eastAsia="Calibri" w:cs="Times New Roman"/>
          <w:i/>
          <w:sz w:val="20"/>
          <w:szCs w:val="20"/>
        </w:rPr>
      </w:pPr>
      <w:r w:rsidRPr="00EF3DC7">
        <w:rPr>
          <w:rFonts w:eastAsia="Calibri" w:cs="Times New Roman"/>
          <w:i/>
          <w:sz w:val="20"/>
          <w:szCs w:val="20"/>
        </w:rPr>
        <w:lastRenderedPageBreak/>
        <w:t>“</w:t>
      </w:r>
      <w:r w:rsidRPr="00EF3DC7">
        <w:rPr>
          <w:rFonts w:eastAsia="Calibri" w:cs="Times New Roman"/>
          <w:b/>
          <w:bCs/>
          <w:i/>
          <w:sz w:val="20"/>
          <w:szCs w:val="20"/>
        </w:rPr>
        <w:t xml:space="preserve">Incompetencia. </w:t>
      </w:r>
      <w:r w:rsidRPr="00EF3DC7">
        <w:rPr>
          <w:rFonts w:eastAsia="Calibri" w:cs="Times New Roman"/>
          <w:i/>
          <w:sz w:val="20"/>
          <w:szCs w:val="20"/>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EF3DC7" w:rsidR="008A63B5" w:rsidP="008A63B5" w:rsidRDefault="008A63B5" w14:paraId="3D9BC84A" w14:textId="77777777">
      <w:pPr>
        <w:spacing w:after="0" w:line="360" w:lineRule="auto"/>
        <w:rPr>
          <w:rFonts w:eastAsia="Calibri" w:cs="Times New Roman"/>
          <w:lang w:val="es-ES_tradnl"/>
        </w:rPr>
      </w:pPr>
    </w:p>
    <w:p w:rsidRPr="00EF3DC7" w:rsidR="008A63B5" w:rsidP="008A63B5" w:rsidRDefault="008A63B5" w14:paraId="1C5FA1DE" w14:textId="77777777">
      <w:pPr>
        <w:spacing w:after="0" w:line="360" w:lineRule="auto"/>
        <w:rPr>
          <w:rFonts w:eastAsia="Calibri" w:cs="Times New Roman"/>
          <w:lang w:val="es-ES_tradnl"/>
        </w:rPr>
      </w:pPr>
      <w:r w:rsidRPr="00EF3DC7">
        <w:rPr>
          <w:rFonts w:eastAsia="Calibri" w:cs="Times New Roman"/>
          <w:lang w:val="es-ES_tradnl"/>
        </w:rPr>
        <w:t xml:space="preserve">En tal virtud, la </w:t>
      </w:r>
      <w:r w:rsidRPr="00EF3DC7">
        <w:rPr>
          <w:rFonts w:eastAsia="Calibri" w:cs="Times New Roman"/>
          <w:b/>
          <w:lang w:val="es-ES_tradnl"/>
        </w:rPr>
        <w:t xml:space="preserve">incompetencia </w:t>
      </w:r>
      <w:r w:rsidRPr="00EF3DC7">
        <w:rPr>
          <w:rFonts w:eastAsia="Calibri" w:cs="Times New Roman"/>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rsidRPr="00EF3DC7" w:rsidR="008A63B5" w:rsidP="008A63B5" w:rsidRDefault="008A63B5" w14:paraId="1BD1731B" w14:textId="77777777">
      <w:pPr>
        <w:spacing w:after="0" w:line="360" w:lineRule="auto"/>
        <w:rPr>
          <w:rFonts w:eastAsia="Calibri" w:cs="Times New Roman"/>
          <w:lang w:val="es-ES_tradnl"/>
        </w:rPr>
      </w:pPr>
    </w:p>
    <w:p w:rsidRPr="00EF3DC7" w:rsidR="008A63B5" w:rsidP="008A63B5" w:rsidRDefault="008A63B5" w14:paraId="4D3981CA" w14:textId="77777777">
      <w:pPr>
        <w:spacing w:after="0" w:line="360" w:lineRule="auto"/>
        <w:rPr>
          <w:rFonts w:eastAsia="Calibri" w:cs="Times New Roman"/>
          <w:b/>
        </w:rPr>
      </w:pPr>
      <w:r w:rsidRPr="00EF3DC7">
        <w:rPr>
          <w:rFonts w:eastAsia="Calibri" w:cs="Times New Roman"/>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Pr="00EF3DC7" w:rsidR="008A63B5" w:rsidP="008A63B5" w:rsidRDefault="008A63B5" w14:paraId="3234F7F4" w14:textId="77777777">
      <w:pPr>
        <w:spacing w:after="0" w:line="360" w:lineRule="auto"/>
        <w:rPr>
          <w:rFonts w:eastAsia="Calibri" w:cs="Times New Roman"/>
        </w:rPr>
      </w:pPr>
    </w:p>
    <w:p w:rsidRPr="00EF3DC7" w:rsidR="00B81241" w:rsidP="00B81241" w:rsidRDefault="00B81241" w14:paraId="2D030A52" w14:textId="2C91BE89">
      <w:pPr>
        <w:spacing w:after="0" w:line="360" w:lineRule="auto"/>
        <w:rPr>
          <w:bCs/>
        </w:rPr>
      </w:pPr>
      <w:r w:rsidRPr="00EF3DC7">
        <w:rPr>
          <w:bCs/>
        </w:rPr>
        <w:t>Por tanto, a continuación, se analiza si en la especie, el Ente Recurrido cuenta con atribuciones para conocer sobre la información requerida, por lo cual, es oportuno traer al estudio los artículos, 19, fracción IV, 25 y 26 de la Ley Orgánica de la Administración Pública del Estado de México,</w:t>
      </w:r>
      <w:r w:rsidRPr="00EF3DC7">
        <w:rPr>
          <w:rFonts w:cs="Tahoma"/>
          <w:lang w:val="es-ES"/>
        </w:rPr>
        <w:t xml:space="preserve"> </w:t>
      </w:r>
      <w:r w:rsidRPr="00EF3DC7" w:rsidR="00DC11CF">
        <w:rPr>
          <w:rFonts w:cs="Tahoma"/>
          <w:lang w:val="es-ES"/>
        </w:rPr>
        <w:t xml:space="preserve">la Secretaría de Salud es la </w:t>
      </w:r>
      <w:r w:rsidRPr="00EF3DC7">
        <w:rPr>
          <w:rFonts w:cs="Tahoma"/>
          <w:lang w:val="es-ES"/>
        </w:rPr>
        <w:t>encargada de conducir la política estatal en materia de salud, así como realizar las siguientes funciones.</w:t>
      </w:r>
    </w:p>
    <w:p w:rsidRPr="00EF3DC7" w:rsidR="00B81241" w:rsidP="00B81241" w:rsidRDefault="00B81241" w14:paraId="68AFC267" w14:textId="77777777">
      <w:pPr>
        <w:spacing w:after="0" w:line="360" w:lineRule="auto"/>
        <w:rPr>
          <w:bCs/>
        </w:rPr>
      </w:pPr>
    </w:p>
    <w:p w:rsidRPr="00EF3DC7" w:rsidR="00B81241" w:rsidP="00B81241" w:rsidRDefault="00B81241" w14:paraId="39C1E8B9"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t>Ejercer las atribuciones que en materia de salud;</w:t>
      </w:r>
    </w:p>
    <w:p w:rsidRPr="00EF3DC7" w:rsidR="00B81241" w:rsidP="00B81241" w:rsidRDefault="00B81241" w14:paraId="15E36707"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t>Conducir la política estatal en materia de salud;</w:t>
      </w:r>
    </w:p>
    <w:p w:rsidRPr="00EF3DC7" w:rsidR="00B81241" w:rsidP="00B81241" w:rsidRDefault="00B81241" w14:paraId="6878EA14"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t>Coordinar la ejecución de las políticas de salud de la entidad;</w:t>
      </w:r>
    </w:p>
    <w:p w:rsidRPr="00EF3DC7" w:rsidR="00B81241" w:rsidP="00B81241" w:rsidRDefault="00B81241" w14:paraId="2C3606EC"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t>Planear, organizar, dirigir, coordinar y evaluar el Sistema Estatal de Salud;</w:t>
      </w:r>
    </w:p>
    <w:p w:rsidRPr="00EF3DC7" w:rsidR="00B81241" w:rsidP="00B81241" w:rsidRDefault="00B81241" w14:paraId="33092ADA"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t>Coordinar la prestación de servicios de atención médica, salud pública y regulación sanitaria en el Estado;</w:t>
      </w:r>
    </w:p>
    <w:p w:rsidRPr="00EF3DC7" w:rsidR="00B81241" w:rsidP="00B81241" w:rsidRDefault="00B81241" w14:paraId="655EDA69"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t>Planear, operar, controlar y evaluar el Sistema de Información de Salud;</w:t>
      </w:r>
    </w:p>
    <w:p w:rsidRPr="00EF3DC7" w:rsidR="00B81241" w:rsidP="00B81241" w:rsidRDefault="00B81241" w14:paraId="78BBE498"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t>Dictar las medidas de seguridad sanitaria que sean necesarias para proteger la salud de la población.</w:t>
      </w:r>
    </w:p>
    <w:p w:rsidRPr="00EF3DC7" w:rsidR="00B81241" w:rsidP="00B81241" w:rsidRDefault="00B81241" w14:paraId="6721343B"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lastRenderedPageBreak/>
        <w:t>Coordinar la realización de campañas para prevenir y atacar las epidemias y enfermedades</w:t>
      </w:r>
    </w:p>
    <w:p w:rsidRPr="00EF3DC7" w:rsidR="00B81241" w:rsidP="00B81241" w:rsidRDefault="00B81241" w14:paraId="74C2786F" w14:textId="77777777">
      <w:pPr>
        <w:numPr>
          <w:ilvl w:val="0"/>
          <w:numId w:val="5"/>
        </w:numPr>
        <w:spacing w:after="0" w:line="360" w:lineRule="auto"/>
        <w:contextualSpacing/>
        <w:rPr>
          <w:rFonts w:eastAsia="Times New Roman" w:cs="Times New Roman"/>
          <w:szCs w:val="24"/>
          <w:lang w:eastAsia="es-ES"/>
        </w:rPr>
      </w:pPr>
      <w:r w:rsidRPr="00EF3DC7">
        <w:rPr>
          <w:rFonts w:eastAsia="Times New Roman" w:cs="Times New Roman"/>
          <w:szCs w:val="24"/>
          <w:lang w:eastAsia="es-ES"/>
        </w:rPr>
        <w:t>Vigilar que se apliquen las normas oficiales mexicanas, en materia de salud, que emitan las autoridades federales.</w:t>
      </w:r>
    </w:p>
    <w:p w:rsidRPr="00EF3DC7" w:rsidR="00B81241" w:rsidP="00B81241" w:rsidRDefault="00B81241" w14:paraId="639320E6" w14:textId="77777777">
      <w:pPr>
        <w:spacing w:after="0" w:line="360" w:lineRule="auto"/>
        <w:ind w:left="720"/>
        <w:contextualSpacing/>
        <w:rPr>
          <w:rFonts w:eastAsia="Times New Roman" w:cs="Times New Roman"/>
          <w:szCs w:val="24"/>
          <w:lang w:eastAsia="es-ES"/>
        </w:rPr>
      </w:pPr>
    </w:p>
    <w:p w:rsidRPr="00EF3DC7" w:rsidR="00B81241" w:rsidP="00B81241" w:rsidRDefault="00B81241" w14:paraId="1E620B06" w14:textId="500EE7A2">
      <w:pPr>
        <w:spacing w:after="0" w:line="360" w:lineRule="auto"/>
      </w:pPr>
      <w:r w:rsidRPr="00EF3DC7">
        <w:t xml:space="preserve">En ese orden de ideas, conforme al Reglamento Interior de la Secretaría de Salud y el Manual General de Organización de la Secretaría de Salud, el </w:t>
      </w:r>
      <w:r w:rsidRPr="00EF3DC7" w:rsidR="00DC11CF">
        <w:t>Ente Recurrido</w:t>
      </w:r>
      <w:r w:rsidRPr="00EF3DC7">
        <w:t xml:space="preserve"> será el encargado de Planear, coordinar y dirigir las acciones de salubridad general, así como, regular y controlar las actividades de las</w:t>
      </w:r>
      <w:r w:rsidRPr="00EF3DC7" w:rsidR="00DC11CF">
        <w:t xml:space="preserve"> instituciones del sector salud; por lo que, en primera instancia, se logra vislumbrar que carece de atribuciones para conocer de la información del personal de un Hospital Público General.</w:t>
      </w:r>
    </w:p>
    <w:p w:rsidRPr="00EF3DC7" w:rsidR="00663178" w:rsidP="008A63B5" w:rsidRDefault="00663178" w14:paraId="547EE2E6" w14:textId="77777777">
      <w:pPr>
        <w:widowControl w:val="0"/>
        <w:spacing w:after="0" w:line="360" w:lineRule="auto"/>
        <w:rPr>
          <w:rFonts w:eastAsia="Times New Roman" w:cs="Tahoma"/>
          <w:color w:val="auto"/>
          <w:lang w:eastAsia="es-ES"/>
        </w:rPr>
      </w:pPr>
    </w:p>
    <w:p w:rsidRPr="00EF3DC7" w:rsidR="00B81241" w:rsidP="00B81241" w:rsidRDefault="00B81241" w14:paraId="655F1CC8" w14:textId="05C782D9">
      <w:pPr>
        <w:spacing w:after="0" w:line="360" w:lineRule="auto"/>
        <w:rPr>
          <w:rFonts w:eastAsia="Calibri" w:cs="Tahoma"/>
          <w:bCs/>
          <w:lang w:val="es-ES_tradnl"/>
        </w:rPr>
      </w:pPr>
      <w:r w:rsidRPr="00EF3DC7">
        <w:rPr>
          <w:rFonts w:eastAsia="Calibri" w:cs="Tahoma"/>
          <w:bCs/>
          <w:lang w:val="es-ES_tradnl"/>
        </w:rPr>
        <w:t>Ahora bien, conforme a los artículos 2.5, 2.16 y 2.18, del Código Administrativo del Estado de México, el Instituto de Salud del Estado de México, es un organismo público descentralizado de la Secretaría de Salud, con personalidad jurídica y patrimonio propios, encargada de la operación de los servicios de salud</w:t>
      </w:r>
      <w:r w:rsidRPr="00EF3DC7" w:rsidR="00DC11CF">
        <w:rPr>
          <w:rFonts w:eastAsia="Calibri" w:cs="Tahoma"/>
          <w:bCs/>
          <w:lang w:val="es-ES_tradnl"/>
        </w:rPr>
        <w:t>; pues la Secretaría de Salud tendrá a su cargo únicamente la regulación de los servicios de salud.</w:t>
      </w:r>
    </w:p>
    <w:p w:rsidRPr="00EF3DC7" w:rsidR="00B81241" w:rsidP="008A63B5" w:rsidRDefault="00B81241" w14:paraId="5FA84598" w14:textId="77777777">
      <w:pPr>
        <w:widowControl w:val="0"/>
        <w:spacing w:after="0" w:line="360" w:lineRule="auto"/>
        <w:rPr>
          <w:rFonts w:eastAsia="Times New Roman" w:cs="Tahoma"/>
          <w:color w:val="auto"/>
          <w:lang w:eastAsia="es-ES"/>
        </w:rPr>
      </w:pPr>
    </w:p>
    <w:p w:rsidRPr="00EF3DC7" w:rsidR="00DC11CF" w:rsidP="00DC11CF" w:rsidRDefault="00DC11CF" w14:paraId="16139A6A" w14:textId="122DD1EF">
      <w:pPr>
        <w:widowControl w:val="0"/>
        <w:spacing w:after="0" w:line="360" w:lineRule="auto"/>
        <w:rPr>
          <w:rFonts w:eastAsia="Times New Roman" w:cs="Tahoma"/>
          <w:bCs/>
          <w:color w:val="auto"/>
          <w:lang w:val="es-ES_tradnl" w:eastAsia="es-ES"/>
        </w:rPr>
      </w:pPr>
      <w:r w:rsidRPr="00EF3DC7">
        <w:rPr>
          <w:rFonts w:eastAsia="Calibri" w:cs="Tahoma"/>
          <w:bCs/>
          <w:lang w:val="es-ES_tradnl"/>
        </w:rPr>
        <w:t>Lo anterior, toma relevancia</w:t>
      </w:r>
      <w:r w:rsidRPr="00EF3DC7">
        <w:rPr>
          <w:rFonts w:eastAsia="Times New Roman" w:cs="Tahoma"/>
          <w:bCs/>
          <w:color w:val="auto"/>
          <w:lang w:val="es-ES_tradnl" w:eastAsia="es-ES"/>
        </w:rPr>
        <w:t>,  pues conforme al Manual General de Organización del Instituto de Salud del Estado de México, dicho ente cuenta con diversos Hospitales Generales, Municipales, maternos-infantiles, psiquiátrico, entre  los cuales, se encuentra el Hospital General de Atlacomulco, adscrito a la Dirección de Servicios de Salud.</w:t>
      </w:r>
    </w:p>
    <w:p w:rsidRPr="00EF3DC7" w:rsidR="00B81241" w:rsidP="008A63B5" w:rsidRDefault="00DC11CF" w14:paraId="13D005C9" w14:textId="1B8DA6A9">
      <w:pPr>
        <w:widowControl w:val="0"/>
        <w:spacing w:after="0" w:line="360" w:lineRule="auto"/>
        <w:rPr>
          <w:rFonts w:eastAsia="Times New Roman" w:cs="Tahoma"/>
          <w:color w:val="auto"/>
          <w:lang w:eastAsia="es-ES"/>
        </w:rPr>
      </w:pPr>
      <w:r w:rsidRPr="00EF3DC7">
        <w:rPr>
          <w:rFonts w:eastAsia="Times New Roman" w:cs="Tahoma"/>
          <w:color w:val="auto"/>
          <w:lang w:eastAsia="es-ES"/>
        </w:rPr>
        <w:t>Además, este Instituto realizó una búsqueda, en el apartado Unidades M</w:t>
      </w:r>
      <w:r w:rsidRPr="00EF3DC7" w:rsidR="00B13892">
        <w:rPr>
          <w:rFonts w:eastAsia="Times New Roman" w:cs="Tahoma"/>
          <w:color w:val="auto"/>
          <w:lang w:eastAsia="es-ES"/>
        </w:rPr>
        <w:t xml:space="preserve">édicas del Instituto de Salud del Estado de México (consultado el treinta de enero de dos mil veintitrés, en la liga </w:t>
      </w:r>
      <w:hyperlink w:history="1" r:id="rId8">
        <w:r w:rsidRPr="00EF3DC7" w:rsidR="009B5A78">
          <w:rPr>
            <w:rStyle w:val="Hipervnculo"/>
            <w:rFonts w:eastAsia="Times New Roman" w:cs="Tahoma"/>
            <w:lang w:eastAsia="es-ES"/>
          </w:rPr>
          <w:t>https://salud.edomex.gob.mx/isem/at_unidades_medicas&amp;cveunidad=MCSSA010123</w:t>
        </w:r>
      </w:hyperlink>
      <w:r w:rsidRPr="00EF3DC7" w:rsidR="00B13892">
        <w:rPr>
          <w:rFonts w:eastAsia="Times New Roman" w:cs="Tahoma"/>
          <w:color w:val="auto"/>
          <w:lang w:eastAsia="es-ES"/>
        </w:rPr>
        <w:t>)</w:t>
      </w:r>
      <w:r w:rsidRPr="00EF3DC7" w:rsidR="009B5A78">
        <w:rPr>
          <w:rFonts w:eastAsia="Times New Roman" w:cs="Tahoma"/>
          <w:color w:val="auto"/>
          <w:lang w:eastAsia="es-ES"/>
        </w:rPr>
        <w:t xml:space="preserve"> y localizó que el Hospital referido forma parte del Organismo Público Descentralizado, tal como se muestra a continuación:</w:t>
      </w:r>
    </w:p>
    <w:p w:rsidRPr="00EF3DC7" w:rsidR="009B5A78" w:rsidP="00240903" w:rsidRDefault="009B5A78" w14:paraId="7776CA68" w14:textId="77777777">
      <w:pPr>
        <w:widowControl w:val="0"/>
        <w:spacing w:after="0" w:line="360" w:lineRule="auto"/>
        <w:rPr>
          <w:rFonts w:eastAsia="Times New Roman" w:cs="Tahoma"/>
          <w:bCs/>
          <w:iCs/>
          <w:color w:val="auto"/>
          <w:lang w:val="es-ES" w:eastAsia="es-ES"/>
        </w:rPr>
      </w:pPr>
    </w:p>
    <w:p w:rsidRPr="00EF3DC7" w:rsidR="00753BC0" w:rsidP="00753BC0" w:rsidRDefault="009B5A78" w14:paraId="2F44A31D" w14:textId="6129FA8E">
      <w:pPr>
        <w:widowControl w:val="0"/>
        <w:spacing w:after="0" w:line="360" w:lineRule="auto"/>
        <w:jc w:val="center"/>
        <w:rPr>
          <w:rFonts w:eastAsia="Times New Roman" w:cs="Tahoma"/>
          <w:bCs/>
          <w:iCs/>
          <w:color w:val="auto"/>
          <w:lang w:val="es-ES" w:eastAsia="es-ES"/>
        </w:rPr>
      </w:pPr>
      <w:r w:rsidRPr="00EF3DC7">
        <w:rPr>
          <w:rFonts w:eastAsia="Times New Roman" w:cs="Tahoma"/>
          <w:bCs/>
          <w:iCs/>
          <w:noProof/>
          <w:color w:val="auto"/>
          <w:lang w:eastAsia="es-MX"/>
        </w:rPr>
        <w:drawing>
          <wp:inline distT="0" distB="0" distL="0" distR="0" wp14:anchorId="39A93EFE" wp14:editId="090A9EB2">
            <wp:extent cx="5671185" cy="219202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2192020"/>
                    </a:xfrm>
                    <a:prstGeom prst="rect">
                      <a:avLst/>
                    </a:prstGeom>
                  </pic:spPr>
                </pic:pic>
              </a:graphicData>
            </a:graphic>
          </wp:inline>
        </w:drawing>
      </w:r>
    </w:p>
    <w:p w:rsidRPr="00EF3DC7" w:rsidR="00753BC0" w:rsidP="00753BC0" w:rsidRDefault="00753BC0" w14:paraId="0400C0D3" w14:textId="2BF20FA8">
      <w:pPr>
        <w:widowControl w:val="0"/>
        <w:spacing w:after="0" w:line="360" w:lineRule="auto"/>
        <w:jc w:val="center"/>
        <w:rPr>
          <w:rFonts w:eastAsia="Times New Roman" w:cs="Tahoma"/>
          <w:bCs/>
          <w:iCs/>
          <w:color w:val="auto"/>
          <w:lang w:val="es-ES" w:eastAsia="es-ES"/>
        </w:rPr>
      </w:pPr>
    </w:p>
    <w:p w:rsidRPr="00EF3DC7" w:rsidR="007143A1" w:rsidP="00753BC0" w:rsidRDefault="007143A1" w14:paraId="76F9F575" w14:textId="77777777">
      <w:pPr>
        <w:widowControl w:val="0"/>
        <w:spacing w:after="0" w:line="360" w:lineRule="auto"/>
        <w:jc w:val="center"/>
        <w:rPr>
          <w:rFonts w:eastAsia="Times New Roman" w:cs="Tahoma"/>
          <w:bCs/>
          <w:iCs/>
          <w:color w:val="auto"/>
          <w:lang w:val="es-ES" w:eastAsia="es-ES"/>
        </w:rPr>
      </w:pPr>
    </w:p>
    <w:p w:rsidRPr="00EF3DC7" w:rsidR="009B5A78" w:rsidP="008A63B5" w:rsidRDefault="009B5A78" w14:paraId="0A2BCA87" w14:textId="1F32C72D">
      <w:pPr>
        <w:spacing w:after="0" w:line="360" w:lineRule="auto"/>
        <w:rPr>
          <w:rFonts w:eastAsia="Times New Roman" w:cs="Tahoma"/>
          <w:bCs/>
          <w:iCs/>
          <w:color w:val="auto"/>
          <w:lang w:val="es-ES" w:eastAsia="es-ES"/>
        </w:rPr>
      </w:pPr>
      <w:r w:rsidRPr="00EF3DC7">
        <w:rPr>
          <w:rFonts w:eastAsia="Times New Roman" w:cs="Tahoma"/>
          <w:bCs/>
          <w:iCs/>
          <w:color w:val="auto"/>
          <w:lang w:val="es-ES" w:eastAsia="es-ES"/>
        </w:rPr>
        <w:t>Conforme a lo anterior, se logra colegir que la información del Hospital General de Atlacomulco, incluido las remuneraciones pagadas al personal, le corresponde al Instituto de Salud del Estado de México, toda vez que es una Unidad Médica administrada por dicho Organismo Público Descentralizado.</w:t>
      </w:r>
    </w:p>
    <w:p w:rsidRPr="00EF3DC7" w:rsidR="009B5A78" w:rsidP="008A63B5" w:rsidRDefault="009B5A78" w14:paraId="7F98AD06" w14:textId="77777777">
      <w:pPr>
        <w:spacing w:after="0" w:line="360" w:lineRule="auto"/>
        <w:rPr>
          <w:rFonts w:eastAsia="Times New Roman" w:cs="Tahoma"/>
          <w:bCs/>
          <w:iCs/>
          <w:color w:val="auto"/>
          <w:lang w:val="es-ES" w:eastAsia="es-ES"/>
        </w:rPr>
      </w:pPr>
    </w:p>
    <w:p w:rsidRPr="00EF3DC7" w:rsidR="007143A1" w:rsidP="007143A1" w:rsidRDefault="009B5A78" w14:paraId="229C1D19" w14:textId="77777777">
      <w:pPr>
        <w:spacing w:after="0" w:line="360" w:lineRule="auto"/>
      </w:pPr>
      <w:r w:rsidRPr="00EF3DC7">
        <w:rPr>
          <w:rFonts w:eastAsia="Times New Roman" w:cs="Tahoma"/>
          <w:bCs/>
          <w:iCs/>
          <w:color w:val="auto"/>
          <w:lang w:val="es-ES" w:eastAsia="es-ES"/>
        </w:rPr>
        <w:t>En ese orden de ideas, es necesario traer a colación el Directorio de Sujetos Obligados, publicado en la página de este Instituto y el Directorio de los sitios electrónicos de sujetos obligados a la transparencia</w:t>
      </w:r>
      <w:r w:rsidRPr="00EF3DC7" w:rsidR="007143A1">
        <w:rPr>
          <w:rFonts w:eastAsia="Times New Roman" w:cs="Tahoma"/>
          <w:bCs/>
          <w:iCs/>
          <w:color w:val="auto"/>
          <w:lang w:val="es-ES" w:eastAsia="es-ES"/>
        </w:rPr>
        <w:t xml:space="preserve">, localizados en el Portal de Información Pública de Oficio Mexiquense, los cuales establecen </w:t>
      </w:r>
      <w:r w:rsidRPr="00EF3DC7" w:rsidR="007143A1">
        <w:rPr>
          <w:bCs/>
        </w:rPr>
        <w:t xml:space="preserve">que la Secretaría de Salud y el </w:t>
      </w:r>
      <w:r w:rsidRPr="00EF3DC7" w:rsidR="007143A1">
        <w:t xml:space="preserve">Instituto de Salud del Estado de México, son Sujetos Obligados distintos, tal como se muestra a continuación: </w:t>
      </w:r>
    </w:p>
    <w:p w:rsidRPr="00EF3DC7" w:rsidR="009B5A78" w:rsidP="008A63B5" w:rsidRDefault="009B5A78" w14:paraId="7A0FD6E5" w14:textId="01D4B34A">
      <w:pPr>
        <w:spacing w:after="0" w:line="360" w:lineRule="auto"/>
        <w:rPr>
          <w:rFonts w:eastAsia="Times New Roman" w:cs="Tahoma"/>
          <w:bCs/>
          <w:iCs/>
          <w:color w:val="auto"/>
          <w:lang w:val="es-ES" w:eastAsia="es-ES"/>
        </w:rPr>
      </w:pPr>
      <w:r w:rsidRPr="00EF3DC7">
        <w:rPr>
          <w:rFonts w:eastAsia="Times New Roman" w:cs="Tahoma"/>
          <w:bCs/>
          <w:iCs/>
          <w:color w:val="auto"/>
          <w:lang w:val="es-ES" w:eastAsia="es-ES"/>
        </w:rPr>
        <w:t xml:space="preserve"> </w:t>
      </w:r>
    </w:p>
    <w:p w:rsidRPr="00EF3DC7" w:rsidR="00FC636C" w:rsidP="008A63B5" w:rsidRDefault="00FC636C" w14:paraId="2AB76DF0" w14:textId="77777777">
      <w:pPr>
        <w:spacing w:after="0" w:line="360" w:lineRule="auto"/>
        <w:rPr>
          <w:rFonts w:eastAsia="Times New Roman" w:cs="Tahoma"/>
          <w:bCs/>
          <w:iCs/>
          <w:color w:val="auto"/>
          <w:lang w:val="es-ES" w:eastAsia="es-ES"/>
        </w:rPr>
      </w:pPr>
    </w:p>
    <w:p w:rsidRPr="00EF3DC7" w:rsidR="008A63B5" w:rsidP="008A63B5" w:rsidRDefault="008A63B5" w14:paraId="4DE5DCAA" w14:textId="66F1507D">
      <w:pPr>
        <w:spacing w:after="0" w:line="360" w:lineRule="auto"/>
        <w:rPr>
          <w:rFonts w:eastAsia="Times New Roman" w:cs="Tahoma"/>
          <w:bCs/>
          <w:iCs/>
          <w:color w:val="auto"/>
          <w:lang w:val="es-ES" w:eastAsia="es-ES"/>
        </w:rPr>
      </w:pPr>
      <w:r w:rsidRPr="00EF3DC7">
        <w:rPr>
          <w:noProof/>
          <w:lang w:eastAsia="es-MX"/>
        </w:rPr>
        <w:drawing>
          <wp:inline distT="0" distB="0" distL="0" distR="0" wp14:anchorId="59469D45" wp14:editId="050C4AD8">
            <wp:extent cx="5570090" cy="1161080"/>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6415" t="36627" r="9687" b="32265"/>
                    <a:stretch/>
                  </pic:blipFill>
                  <pic:spPr bwMode="auto">
                    <a:xfrm>
                      <a:off x="0" y="0"/>
                      <a:ext cx="5676657" cy="1183294"/>
                    </a:xfrm>
                    <a:prstGeom prst="rect">
                      <a:avLst/>
                    </a:prstGeom>
                    <a:ln>
                      <a:noFill/>
                    </a:ln>
                    <a:extLst>
                      <a:ext uri="{53640926-AAD7-44D8-BBD7-CCE9431645EC}">
                        <a14:shadowObscured xmlns:a14="http://schemas.microsoft.com/office/drawing/2010/main"/>
                      </a:ext>
                    </a:extLst>
                  </pic:spPr>
                </pic:pic>
              </a:graphicData>
            </a:graphic>
          </wp:inline>
        </w:drawing>
      </w:r>
    </w:p>
    <w:p w:rsidRPr="00EF3DC7" w:rsidR="008A63B5" w:rsidP="008A63B5" w:rsidRDefault="008A63B5" w14:paraId="064F4931" w14:textId="77777777">
      <w:pPr>
        <w:spacing w:after="0" w:line="360" w:lineRule="auto"/>
        <w:jc w:val="center"/>
        <w:rPr>
          <w:rFonts w:eastAsia="Times New Roman" w:cs="Tahoma"/>
          <w:bCs/>
          <w:iCs/>
          <w:color w:val="auto"/>
          <w:lang w:val="es-ES" w:eastAsia="es-ES"/>
        </w:rPr>
      </w:pPr>
      <w:r w:rsidRPr="00EF3DC7">
        <w:rPr>
          <w:rFonts w:eastAsia="Times New Roman" w:cs="Tahoma"/>
          <w:bCs/>
          <w:iCs/>
          <w:color w:val="auto"/>
          <w:lang w:val="es-ES" w:eastAsia="es-ES"/>
        </w:rPr>
        <w:lastRenderedPageBreak/>
        <w:t>…</w:t>
      </w:r>
    </w:p>
    <w:p w:rsidRPr="00EF3DC7" w:rsidR="008A63B5" w:rsidP="008A63B5" w:rsidRDefault="00240903" w14:paraId="2AB791B4" w14:textId="3970F5E3">
      <w:pPr>
        <w:spacing w:after="0" w:line="360" w:lineRule="auto"/>
        <w:rPr>
          <w:rFonts w:eastAsia="Times New Roman" w:cs="Tahoma"/>
          <w:bCs/>
          <w:iCs/>
          <w:color w:val="auto"/>
          <w:lang w:val="es-ES" w:eastAsia="es-ES"/>
        </w:rPr>
      </w:pPr>
      <w:r w:rsidRPr="00EF3DC7">
        <w:rPr>
          <w:noProof/>
          <w:lang w:eastAsia="es-MX"/>
        </w:rPr>
        <w:drawing>
          <wp:inline distT="0" distB="0" distL="0" distR="0" wp14:anchorId="3AD5BCCF" wp14:editId="7296921B">
            <wp:extent cx="5569585" cy="18362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48" t="28906" r="11062" b="20727"/>
                    <a:stretch/>
                  </pic:blipFill>
                  <pic:spPr bwMode="auto">
                    <a:xfrm>
                      <a:off x="0" y="0"/>
                      <a:ext cx="5597424" cy="1845389"/>
                    </a:xfrm>
                    <a:prstGeom prst="rect">
                      <a:avLst/>
                    </a:prstGeom>
                    <a:ln>
                      <a:noFill/>
                    </a:ln>
                    <a:extLst>
                      <a:ext uri="{53640926-AAD7-44D8-BBD7-CCE9431645EC}">
                        <a14:shadowObscured xmlns:a14="http://schemas.microsoft.com/office/drawing/2010/main"/>
                      </a:ext>
                    </a:extLst>
                  </pic:spPr>
                </pic:pic>
              </a:graphicData>
            </a:graphic>
          </wp:inline>
        </w:drawing>
      </w:r>
    </w:p>
    <w:p w:rsidRPr="00EF3DC7" w:rsidR="008A63B5" w:rsidP="008A63B5" w:rsidRDefault="008A63B5" w14:paraId="5F5D6302" w14:textId="77777777">
      <w:pPr>
        <w:widowControl w:val="0"/>
        <w:spacing w:after="0" w:line="360" w:lineRule="auto"/>
        <w:rPr>
          <w:rFonts w:eastAsia="Times New Roman" w:cs="Tahoma"/>
          <w:color w:val="auto"/>
          <w:lang w:eastAsia="es-ES"/>
        </w:rPr>
      </w:pPr>
    </w:p>
    <w:p w:rsidRPr="00EF3DC7" w:rsidR="00240903" w:rsidP="008A63B5" w:rsidRDefault="00295B68" w14:paraId="302AAD21" w14:textId="2F863582">
      <w:pPr>
        <w:spacing w:after="0" w:line="360" w:lineRule="auto"/>
        <w:rPr>
          <w:rFonts w:eastAsia="Times New Roman" w:cs="Tahoma"/>
          <w:bCs/>
          <w:iCs/>
          <w:color w:val="auto"/>
          <w:lang w:val="es-ES" w:eastAsia="es-ES"/>
        </w:rPr>
      </w:pPr>
      <w:r w:rsidRPr="00EF3DC7">
        <w:rPr>
          <w:rFonts w:eastAsia="Times New Roman" w:cs="Tahoma"/>
          <w:bCs/>
          <w:iCs/>
          <w:noProof/>
          <w:color w:val="auto"/>
          <w:lang w:eastAsia="es-MX"/>
        </w:rPr>
        <w:drawing>
          <wp:inline distT="0" distB="0" distL="0" distR="0" wp14:anchorId="3278D364" wp14:editId="0103B05B">
            <wp:extent cx="5671185" cy="537210"/>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1185" cy="537210"/>
                    </a:xfrm>
                    <a:prstGeom prst="rect">
                      <a:avLst/>
                    </a:prstGeom>
                  </pic:spPr>
                </pic:pic>
              </a:graphicData>
            </a:graphic>
          </wp:inline>
        </w:drawing>
      </w:r>
    </w:p>
    <w:p w:rsidRPr="00EF3DC7" w:rsidR="00240903" w:rsidP="00240903" w:rsidRDefault="00240903" w14:paraId="330B6E32" w14:textId="7A1A3508">
      <w:pPr>
        <w:spacing w:after="0" w:line="360" w:lineRule="auto"/>
        <w:jc w:val="center"/>
        <w:rPr>
          <w:rFonts w:eastAsia="Times New Roman" w:cs="Tahoma"/>
          <w:bCs/>
          <w:iCs/>
          <w:color w:val="auto"/>
          <w:lang w:val="es-ES" w:eastAsia="es-ES"/>
        </w:rPr>
      </w:pPr>
      <w:r w:rsidRPr="00EF3DC7">
        <w:rPr>
          <w:rFonts w:eastAsia="Times New Roman" w:cs="Tahoma"/>
          <w:bCs/>
          <w:iCs/>
          <w:color w:val="auto"/>
          <w:lang w:val="es-ES" w:eastAsia="es-ES"/>
        </w:rPr>
        <w:t>…</w:t>
      </w:r>
    </w:p>
    <w:p w:rsidRPr="00EF3DC7" w:rsidR="00240903" w:rsidP="00240903" w:rsidRDefault="007143A1" w14:paraId="5A716439" w14:textId="262F25BB">
      <w:pPr>
        <w:spacing w:after="0" w:line="360" w:lineRule="auto"/>
        <w:jc w:val="center"/>
        <w:rPr>
          <w:rFonts w:eastAsia="Times New Roman" w:cs="Tahoma"/>
          <w:bCs/>
          <w:iCs/>
          <w:color w:val="auto"/>
          <w:lang w:val="es-ES" w:eastAsia="es-ES"/>
        </w:rPr>
      </w:pPr>
      <w:r w:rsidRPr="00EF3DC7">
        <w:rPr>
          <w:rFonts w:eastAsia="Times New Roman" w:cs="Tahoma"/>
          <w:bCs/>
          <w:iCs/>
          <w:noProof/>
          <w:color w:val="auto"/>
          <w:lang w:eastAsia="es-MX"/>
        </w:rPr>
        <w:drawing>
          <wp:inline distT="0" distB="0" distL="0" distR="0" wp14:anchorId="2EEC5598" wp14:editId="4A39C132">
            <wp:extent cx="5671185" cy="1235075"/>
            <wp:effectExtent l="0" t="0" r="571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1185" cy="1235075"/>
                    </a:xfrm>
                    <a:prstGeom prst="rect">
                      <a:avLst/>
                    </a:prstGeom>
                  </pic:spPr>
                </pic:pic>
              </a:graphicData>
            </a:graphic>
          </wp:inline>
        </w:drawing>
      </w:r>
    </w:p>
    <w:p w:rsidRPr="00EF3DC7" w:rsidR="008A63B5" w:rsidP="008A63B5" w:rsidRDefault="008A63B5" w14:paraId="73D87812" w14:textId="77777777">
      <w:pPr>
        <w:spacing w:after="0" w:line="360" w:lineRule="auto"/>
        <w:rPr>
          <w:rFonts w:eastAsia="Times New Roman" w:cs="Tahoma"/>
          <w:b/>
          <w:bCs/>
          <w:color w:val="auto"/>
          <w:lang w:eastAsia="es-ES"/>
        </w:rPr>
      </w:pPr>
    </w:p>
    <w:p w:rsidRPr="00EF3DC7" w:rsidR="00295B68" w:rsidP="00295B68" w:rsidRDefault="00295B68" w14:paraId="647D2CE0" w14:textId="59D5ECBC">
      <w:pPr>
        <w:spacing w:after="0" w:line="360" w:lineRule="auto"/>
      </w:pPr>
      <w:r w:rsidRPr="00EF3DC7">
        <w:t xml:space="preserve">Conforme a lo anterior, se logra verificar que el Instituto de Salud del Estado de México es la dependencia con atribuciones para conocer de lo requerido; con lo cual, se logra ratificar que </w:t>
      </w:r>
      <w:r w:rsidRPr="00EF3DC7">
        <w:rPr>
          <w:rFonts w:eastAsia="Calibri" w:cs="Tahoma"/>
          <w:bCs/>
        </w:rPr>
        <w:t xml:space="preserve">la Secretaría de Salud </w:t>
      </w:r>
      <w:r w:rsidRPr="00EF3DC7" w:rsidR="00FC636C">
        <w:rPr>
          <w:rFonts w:eastAsia="Calibri" w:cs="Tahoma"/>
          <w:bCs/>
        </w:rPr>
        <w:t>carece de atribuciones,</w:t>
      </w:r>
      <w:r w:rsidRPr="00EF3DC7">
        <w:rPr>
          <w:rFonts w:eastAsia="Calibri" w:cs="Tahoma"/>
          <w:bCs/>
        </w:rPr>
        <w:t xml:space="preserve"> para conocer de la información solicitada por el Particular, pues únicamente </w:t>
      </w:r>
      <w:r w:rsidRPr="00EF3DC7">
        <w:t>regula los servicios de salud y lleva a cabo, la política estatal de salud.</w:t>
      </w:r>
    </w:p>
    <w:p w:rsidRPr="00EF3DC7" w:rsidR="008A63B5" w:rsidP="008A63B5" w:rsidRDefault="008A63B5" w14:paraId="11F9AB39" w14:textId="77777777">
      <w:pPr>
        <w:spacing w:after="0" w:line="360" w:lineRule="auto"/>
        <w:rPr>
          <w:rFonts w:eastAsia="Times New Roman" w:cs="Tahoma"/>
          <w:color w:val="auto"/>
          <w:lang w:eastAsia="es-ES"/>
        </w:rPr>
      </w:pPr>
    </w:p>
    <w:p w:rsidRPr="00EF3DC7" w:rsidR="007C406E" w:rsidP="007C406E" w:rsidRDefault="007C406E" w14:paraId="1BF96B92" w14:textId="1B5BA15B">
      <w:pPr>
        <w:tabs>
          <w:tab w:val="left" w:pos="4962"/>
        </w:tabs>
        <w:spacing w:after="0" w:line="360" w:lineRule="auto"/>
        <w:rPr>
          <w:rFonts w:eastAsia="Times New Roman" w:cs="Tahoma"/>
          <w:color w:val="auto"/>
          <w:lang w:eastAsia="es-ES"/>
        </w:rPr>
      </w:pPr>
      <w:r w:rsidRPr="00EF3DC7">
        <w:rPr>
          <w:rFonts w:eastAsia="Times New Roman" w:cs="Tahoma"/>
          <w:color w:val="auto"/>
          <w:lang w:eastAsia="es-ES"/>
        </w:rPr>
        <w:t xml:space="preserve">Ahora bien, es necesario traer a colación el </w:t>
      </w:r>
      <w:r w:rsidRPr="00EF3DC7">
        <w:rPr>
          <w:rFonts w:eastAsia="Calibri" w:cs="Tahoma"/>
          <w:bCs/>
          <w:color w:val="000000"/>
          <w:lang w:val="es-ES"/>
        </w:rPr>
        <w:t xml:space="preserve">Criterio de Interpretación, de la Segunda Época, con clave de control </w:t>
      </w:r>
      <w:r w:rsidRPr="00EF3DC7">
        <w:rPr>
          <w:rFonts w:eastAsia="Calibri" w:cs="Tahoma"/>
          <w:bCs/>
          <w:color w:val="000000"/>
        </w:rPr>
        <w:t>SO/002/2020</w:t>
      </w:r>
      <w:r w:rsidRPr="00EF3DC7">
        <w:rPr>
          <w:rFonts w:eastAsia="Times New Roman" w:cs="Tahoma"/>
          <w:color w:val="auto"/>
          <w:lang w:eastAsia="es-ES"/>
        </w:rPr>
        <w:t xml:space="preserve">, emitido por el Instituto Nacional de Transparencia, Acceso a la Información y Protección de Datos Personales, que precisa que cuando la incompetencia no sea manifestada por el Sujeto Obligado, o bien, que se necesite efectuar un análisis mayor, </w:t>
      </w:r>
      <w:r w:rsidRPr="00EF3DC7">
        <w:rPr>
          <w:rFonts w:eastAsia="Times New Roman" w:cs="Tahoma"/>
          <w:color w:val="auto"/>
          <w:lang w:eastAsia="es-ES"/>
        </w:rPr>
        <w:lastRenderedPageBreak/>
        <w:t>a la verificación de atribuciones, será necesario que sea declarada por el Comité de Transparencia.</w:t>
      </w:r>
    </w:p>
    <w:p w:rsidRPr="00EF3DC7" w:rsidR="007C406E" w:rsidP="007C406E" w:rsidRDefault="007C406E" w14:paraId="4AA09190" w14:textId="77777777">
      <w:pPr>
        <w:tabs>
          <w:tab w:val="left" w:pos="4962"/>
        </w:tabs>
        <w:spacing w:after="0" w:line="360" w:lineRule="auto"/>
        <w:rPr>
          <w:rFonts w:eastAsia="Times New Roman" w:cs="Tahoma"/>
          <w:color w:val="auto"/>
          <w:lang w:eastAsia="es-ES"/>
        </w:rPr>
      </w:pPr>
    </w:p>
    <w:p w:rsidRPr="00EF3DC7" w:rsidR="007C406E" w:rsidP="007C406E" w:rsidRDefault="007C406E" w14:paraId="0CFD0CC5" w14:textId="7E62EAA2">
      <w:pPr>
        <w:tabs>
          <w:tab w:val="left" w:pos="4962"/>
        </w:tabs>
        <w:spacing w:after="0" w:line="360" w:lineRule="auto"/>
        <w:rPr>
          <w:rFonts w:eastAsia="Times New Roman" w:cs="Tahoma"/>
          <w:b/>
          <w:bCs/>
          <w:color w:val="auto"/>
          <w:lang w:eastAsia="es-ES"/>
        </w:rPr>
      </w:pPr>
      <w:r w:rsidRPr="00EF3DC7">
        <w:rPr>
          <w:rFonts w:eastAsia="Times New Roman" w:cs="Tahoma"/>
          <w:color w:val="auto"/>
          <w:lang w:eastAsia="es-ES"/>
        </w:rPr>
        <w:t xml:space="preserve">Al respecto, en el presente caso, si bien la </w:t>
      </w:r>
      <w:r w:rsidRPr="00EF3DC7">
        <w:rPr>
          <w:rFonts w:eastAsia="Times New Roman" w:cs="Tahoma"/>
          <w:b/>
          <w:color w:val="auto"/>
          <w:lang w:eastAsia="es-ES"/>
        </w:rPr>
        <w:t>incompetencia es notoria</w:t>
      </w:r>
      <w:r w:rsidRPr="00EF3DC7">
        <w:rPr>
          <w:rFonts w:eastAsia="Times New Roman" w:cs="Tahoma"/>
          <w:color w:val="auto"/>
          <w:lang w:eastAsia="es-ES"/>
        </w:rPr>
        <w:t xml:space="preserve">, pues de las atribuciones del Ente Recurrido, no se localizó ninguna donde se advierta que pueda contar con lo peticionado, también lo es que la Secretaría de Salud, no manifestó su incompetencia dentro del plazo establecido en la ley, lo cual da como resultado que el agravio sea </w:t>
      </w:r>
      <w:r w:rsidRPr="00EF3DC7">
        <w:rPr>
          <w:rFonts w:eastAsia="Times New Roman" w:cs="Tahoma"/>
          <w:b/>
          <w:color w:val="auto"/>
          <w:lang w:eastAsia="es-ES"/>
        </w:rPr>
        <w:t>PARCIALMENTE FUNDADO.</w:t>
      </w:r>
      <w:r w:rsidRPr="00EF3DC7" w:rsidR="0001376C">
        <w:rPr>
          <w:rFonts w:eastAsia="Times New Roman" w:cs="Tahoma"/>
          <w:b/>
          <w:color w:val="auto"/>
          <w:lang w:eastAsia="es-ES"/>
        </w:rPr>
        <w:t xml:space="preserve"> </w:t>
      </w:r>
    </w:p>
    <w:p w:rsidRPr="00EF3DC7" w:rsidR="007C406E" w:rsidP="007C406E" w:rsidRDefault="007C406E" w14:paraId="62DF91AB" w14:textId="77777777">
      <w:pPr>
        <w:tabs>
          <w:tab w:val="left" w:pos="4962"/>
        </w:tabs>
        <w:spacing w:after="0" w:line="360" w:lineRule="auto"/>
        <w:ind w:right="-28"/>
        <w:rPr>
          <w:rFonts w:eastAsia="Calibri" w:cs="Tahoma"/>
          <w:iCs/>
          <w:color w:val="auto"/>
          <w:szCs w:val="24"/>
          <w:lang w:val="es-ES" w:eastAsia="es-ES_tradnl"/>
        </w:rPr>
      </w:pPr>
    </w:p>
    <w:p w:rsidRPr="00EF3DC7" w:rsidR="007C406E" w:rsidP="007C406E" w:rsidRDefault="007C406E" w14:paraId="35E43E7D" w14:textId="4613C56F">
      <w:pPr>
        <w:spacing w:after="0" w:line="360" w:lineRule="auto"/>
        <w:rPr>
          <w:rFonts w:eastAsia="Times New Roman" w:cs="Tahoma"/>
          <w:bCs/>
          <w:iCs/>
          <w:color w:val="auto"/>
          <w:lang w:eastAsia="es-ES"/>
        </w:rPr>
      </w:pPr>
      <w:r w:rsidRPr="00EF3DC7">
        <w:rPr>
          <w:rFonts w:eastAsia="Times New Roman" w:cs="Tahoma"/>
          <w:bCs/>
          <w:iCs/>
          <w:color w:val="auto"/>
          <w:lang w:eastAsia="es-ES"/>
        </w:rPr>
        <w:t xml:space="preserve">Por lo cual, para dar por atendida la solicitud de acceso a la información, se considera procedente ordenar la entrega del Acuerdo emitido por el Comité de Transparencia del Ente Recurrido, a efecto de confirmar la incompetencia para conocer de las remuneraciones del personal adscrito al </w:t>
      </w:r>
      <w:r w:rsidRPr="00EF3DC7">
        <w:rPr>
          <w:rFonts w:eastAsia="Times New Roman" w:cs="Tahoma"/>
          <w:bCs/>
          <w:iCs/>
          <w:color w:val="auto"/>
          <w:lang w:val="es-ES" w:eastAsia="es-ES"/>
        </w:rPr>
        <w:t>del Hospital General de Atlacomulco.</w:t>
      </w:r>
    </w:p>
    <w:p w:rsidRPr="00EF3DC7" w:rsidR="00FC636C" w:rsidP="00FC636C" w:rsidRDefault="00FC636C" w14:paraId="3E01A57B" w14:textId="77777777">
      <w:pPr>
        <w:spacing w:after="0" w:line="360" w:lineRule="auto"/>
        <w:rPr>
          <w:rFonts w:eastAsia="Times New Roman" w:cs="Tahoma"/>
          <w:b/>
          <w:color w:val="auto"/>
          <w:lang w:val="es-ES" w:eastAsia="es-ES"/>
        </w:rPr>
      </w:pPr>
    </w:p>
    <w:p w:rsidRPr="00EF3DC7" w:rsidR="008A63B5" w:rsidP="008A63B5" w:rsidRDefault="008A63B5" w14:paraId="46C3A00B" w14:textId="77777777">
      <w:pPr>
        <w:spacing w:after="0" w:line="360" w:lineRule="auto"/>
        <w:rPr>
          <w:rFonts w:eastAsia="Calibri" w:cs="Tahoma"/>
          <w:b/>
          <w:color w:val="auto"/>
        </w:rPr>
      </w:pPr>
      <w:r w:rsidRPr="00EF3DC7">
        <w:rPr>
          <w:rFonts w:eastAsia="Calibri" w:cs="Tahoma"/>
          <w:b/>
          <w:color w:val="auto"/>
        </w:rPr>
        <w:t xml:space="preserve">SEXTO. Decisión. </w:t>
      </w:r>
    </w:p>
    <w:p w:rsidRPr="00EF3DC7" w:rsidR="008A63B5" w:rsidP="008A63B5" w:rsidRDefault="008A63B5" w14:paraId="59DF9C9D" w14:textId="77777777">
      <w:pPr>
        <w:spacing w:after="0" w:line="360" w:lineRule="auto"/>
        <w:rPr>
          <w:rFonts w:eastAsia="Calibri" w:cs="Tahoma"/>
          <w:b/>
          <w:color w:val="auto"/>
        </w:rPr>
      </w:pPr>
    </w:p>
    <w:p w:rsidRPr="00EF3DC7" w:rsidR="007C406E" w:rsidP="007C406E" w:rsidRDefault="007C406E" w14:paraId="01E267FC" w14:textId="65BBD56F">
      <w:pPr>
        <w:spacing w:after="0" w:line="360" w:lineRule="auto"/>
        <w:rPr>
          <w:rFonts w:eastAsia="Times New Roman" w:cs="Tahoma"/>
          <w:bCs/>
          <w:iCs/>
          <w:color w:val="auto"/>
          <w:lang w:eastAsia="es-ES"/>
        </w:rPr>
      </w:pPr>
      <w:r w:rsidRPr="00EF3DC7">
        <w:rPr>
          <w:rFonts w:cs="Tahoma"/>
        </w:rPr>
        <w:t xml:space="preserve">Con fundamento en el artículo 186, fracción III, de la Ley de Transparencia y Acceso a la Información Pública del Estado de México y Municipios, este Instituto considera procedente </w:t>
      </w:r>
      <w:r w:rsidRPr="00EF3DC7">
        <w:rPr>
          <w:rFonts w:cs="Tahoma"/>
          <w:b/>
        </w:rPr>
        <w:t xml:space="preserve">MODIFICAR </w:t>
      </w:r>
      <w:r w:rsidRPr="00EF3DC7">
        <w:rPr>
          <w:rFonts w:cs="Tahoma"/>
          <w:bCs/>
        </w:rPr>
        <w:t>la</w:t>
      </w:r>
      <w:r w:rsidRPr="00EF3DC7">
        <w:rPr>
          <w:rFonts w:cs="Tahoma"/>
        </w:rPr>
        <w:t xml:space="preserve"> respuesta otorgada por la Secretaría de Salud</w:t>
      </w:r>
      <w:r w:rsidRPr="00EF3DC7">
        <w:rPr>
          <w:rFonts w:eastAsia="Calibri" w:cs="Tahoma"/>
        </w:rPr>
        <w:t xml:space="preserve">, </w:t>
      </w:r>
      <w:r w:rsidRPr="00EF3DC7">
        <w:rPr>
          <w:rFonts w:cs="Tahoma"/>
        </w:rPr>
        <w:t>a efecto de que entregue,</w:t>
      </w:r>
      <w:r w:rsidRPr="00EF3DC7">
        <w:rPr>
          <w:rFonts w:eastAsia="Calibri" w:cs="Tahoma"/>
          <w:iCs/>
          <w:lang w:eastAsia="es-ES_tradnl"/>
        </w:rPr>
        <w:t xml:space="preserve"> el </w:t>
      </w:r>
      <w:r w:rsidRPr="00EF3DC7">
        <w:rPr>
          <w:rFonts w:cs="Tahoma"/>
          <w:lang w:val="es-ES_tradnl"/>
        </w:rPr>
        <w:t>Acuerdo emitido por el Comité de Transparencia, que confirme la incompetencia para conocer</w:t>
      </w:r>
      <w:r w:rsidRPr="00EF3DC7">
        <w:rPr>
          <w:rFonts w:eastAsia="Times New Roman" w:cs="Tahoma"/>
          <w:bCs/>
          <w:iCs/>
          <w:color w:val="auto"/>
          <w:lang w:eastAsia="es-ES"/>
        </w:rPr>
        <w:t xml:space="preserve"> de las remuneraciones del personal adscrito al </w:t>
      </w:r>
      <w:r w:rsidRPr="00EF3DC7">
        <w:rPr>
          <w:rFonts w:eastAsia="Times New Roman" w:cs="Tahoma"/>
          <w:bCs/>
          <w:iCs/>
          <w:color w:val="auto"/>
          <w:lang w:val="es-ES" w:eastAsia="es-ES"/>
        </w:rPr>
        <w:t>del Hospital General de Atlacomulco.</w:t>
      </w:r>
    </w:p>
    <w:p w:rsidRPr="00EF3DC7" w:rsidR="008A63B5" w:rsidP="007C406E" w:rsidRDefault="008A63B5" w14:paraId="68404099" w14:textId="2D4A5F5D">
      <w:pPr>
        <w:widowControl w:val="0"/>
        <w:spacing w:after="0" w:line="360" w:lineRule="auto"/>
        <w:rPr>
          <w:rFonts w:eastAsia="Times New Roman" w:cs="Tahoma"/>
          <w:color w:val="auto"/>
          <w:sz w:val="20"/>
          <w:lang w:eastAsia="es-ES"/>
        </w:rPr>
      </w:pPr>
    </w:p>
    <w:p w:rsidRPr="00EF3DC7" w:rsidR="008A63B5" w:rsidP="008A63B5" w:rsidRDefault="008A63B5" w14:paraId="03FB1237" w14:textId="77777777">
      <w:pPr>
        <w:spacing w:after="0" w:line="360" w:lineRule="auto"/>
        <w:rPr>
          <w:rFonts w:eastAsia="Calibri" w:cs="Tahoma"/>
          <w:b/>
          <w:bCs/>
          <w:color w:val="auto"/>
        </w:rPr>
      </w:pPr>
      <w:r w:rsidRPr="00EF3DC7">
        <w:rPr>
          <w:rFonts w:eastAsia="Calibri" w:cs="Tahoma"/>
          <w:b/>
          <w:bCs/>
          <w:color w:val="auto"/>
        </w:rPr>
        <w:t>Términos de la Resolución para conocimiento del Particular.</w:t>
      </w:r>
    </w:p>
    <w:p w:rsidRPr="00EF3DC7" w:rsidR="008A63B5" w:rsidP="008A63B5" w:rsidRDefault="008A63B5" w14:paraId="51F67948" w14:textId="77777777">
      <w:pPr>
        <w:spacing w:after="0" w:line="360" w:lineRule="auto"/>
        <w:rPr>
          <w:rFonts w:eastAsia="Calibri" w:cs="Tahoma"/>
          <w:b/>
          <w:bCs/>
          <w:color w:val="auto"/>
        </w:rPr>
      </w:pPr>
    </w:p>
    <w:p w:rsidRPr="00EF3DC7" w:rsidR="008A63B5" w:rsidP="008A63B5" w:rsidRDefault="008A63B5" w14:paraId="7797ACEC" w14:textId="5A47AEF6">
      <w:pPr>
        <w:widowControl w:val="0"/>
        <w:spacing w:after="0" w:line="360" w:lineRule="auto"/>
        <w:rPr>
          <w:rFonts w:eastAsia="Calibri" w:cs="Tahoma"/>
          <w:bCs/>
          <w:iCs/>
          <w:color w:val="auto"/>
          <w:lang w:val="es-ES_tradnl"/>
        </w:rPr>
      </w:pPr>
      <w:r w:rsidRPr="00EF3DC7">
        <w:rPr>
          <w:rFonts w:eastAsia="Calibri" w:cs="Tahoma"/>
          <w:bCs/>
          <w:iCs/>
          <w:color w:val="000000"/>
        </w:rPr>
        <w:t xml:space="preserve">Se le hace del conocimiento al Particular, que, en el presente caso, </w:t>
      </w:r>
      <w:r w:rsidRPr="00EF3DC7" w:rsidR="007C406E">
        <w:rPr>
          <w:rFonts w:eastAsia="Calibri" w:cs="Tahoma"/>
          <w:bCs/>
          <w:iCs/>
          <w:color w:val="000000"/>
        </w:rPr>
        <w:t xml:space="preserve">se le concede parcialmente la razón, ya que si bien el Sujeto Obligado es notoriamente incompetente para conocer de lo requerido, omitió proporcionarle el Acuerdo emitido por el Comité de Transparencia, </w:t>
      </w:r>
      <w:r w:rsidRPr="00EF3DC7" w:rsidR="007C406E">
        <w:rPr>
          <w:rFonts w:eastAsia="Calibri" w:cs="Tahoma"/>
          <w:bCs/>
          <w:iCs/>
          <w:color w:val="000000"/>
        </w:rPr>
        <w:lastRenderedPageBreak/>
        <w:t>mediante el cual de manera fundada y motivada, le informará dicha situación.</w:t>
      </w:r>
      <w:r w:rsidRPr="00EF3DC7" w:rsidR="0001376C">
        <w:rPr>
          <w:rFonts w:eastAsia="Calibri" w:cs="Tahoma"/>
          <w:bCs/>
          <w:iCs/>
          <w:color w:val="000000"/>
        </w:rPr>
        <w:t xml:space="preserve"> </w:t>
      </w:r>
      <w:r w:rsidRPr="00EF3DC7">
        <w:rPr>
          <w:rFonts w:eastAsia="Calibri" w:cs="Tahoma"/>
          <w:bCs/>
          <w:iCs/>
          <w:color w:val="auto"/>
          <w:lang w:val="es-ES_tradnl"/>
        </w:rPr>
        <w:t>La labor del Instituto, es apoyar a la población a acceder a la información pública y garantizar la protección de los datos personales.</w:t>
      </w:r>
    </w:p>
    <w:p w:rsidRPr="00EF3DC7" w:rsidR="008A63B5" w:rsidP="008A63B5" w:rsidRDefault="008A63B5" w14:paraId="10D1DDE9" w14:textId="77777777">
      <w:pPr>
        <w:spacing w:after="0" w:line="360" w:lineRule="auto"/>
        <w:rPr>
          <w:rFonts w:eastAsia="Calibri" w:cs="Tahoma"/>
          <w:color w:val="auto"/>
          <w:lang w:eastAsia="es-ES"/>
        </w:rPr>
      </w:pPr>
    </w:p>
    <w:p w:rsidRPr="00EF3DC7" w:rsidR="008A63B5" w:rsidP="008A63B5" w:rsidRDefault="008A63B5" w14:paraId="5E3AF701" w14:textId="77777777">
      <w:pPr>
        <w:spacing w:after="0" w:line="360" w:lineRule="auto"/>
        <w:rPr>
          <w:rFonts w:eastAsia="Calibri" w:cs="Tahoma"/>
          <w:bCs/>
          <w:color w:val="auto"/>
        </w:rPr>
      </w:pPr>
      <w:r w:rsidRPr="00EF3DC7">
        <w:rPr>
          <w:rFonts w:eastAsia="Calibri" w:cs="Tahoma"/>
          <w:bCs/>
          <w:color w:val="auto"/>
        </w:rPr>
        <w:t>Por lo expuesto y fundado, este Pleno:</w:t>
      </w:r>
    </w:p>
    <w:p w:rsidRPr="00EF3DC7" w:rsidR="008A63B5" w:rsidP="008A63B5" w:rsidRDefault="008A63B5" w14:paraId="1722C685" w14:textId="77777777">
      <w:pPr>
        <w:spacing w:after="0" w:line="360" w:lineRule="auto"/>
        <w:ind w:right="-91"/>
        <w:jc w:val="left"/>
        <w:rPr>
          <w:rFonts w:eastAsia="Calibri" w:cs="Tahoma"/>
          <w:b/>
          <w:bCs/>
          <w:color w:val="auto"/>
        </w:rPr>
      </w:pPr>
    </w:p>
    <w:p w:rsidRPr="00EF3DC7" w:rsidR="008A63B5" w:rsidP="008A63B5" w:rsidRDefault="008A63B5" w14:paraId="2C269809" w14:textId="77777777">
      <w:pPr>
        <w:spacing w:after="0" w:line="360" w:lineRule="auto"/>
        <w:ind w:right="-91"/>
        <w:jc w:val="center"/>
        <w:rPr>
          <w:rFonts w:eastAsia="Calibri" w:cs="Tahoma"/>
          <w:b/>
          <w:bCs/>
          <w:color w:val="auto"/>
        </w:rPr>
      </w:pPr>
      <w:r w:rsidRPr="00EF3DC7">
        <w:rPr>
          <w:rFonts w:eastAsia="Calibri" w:cs="Tahoma"/>
          <w:b/>
          <w:bCs/>
          <w:color w:val="auto"/>
        </w:rPr>
        <w:t>R E S U E L V E:</w:t>
      </w:r>
    </w:p>
    <w:p w:rsidRPr="00EF3DC7" w:rsidR="008A63B5" w:rsidP="008A63B5" w:rsidRDefault="008A63B5" w14:paraId="5FA36231" w14:textId="77777777">
      <w:pPr>
        <w:spacing w:after="0" w:line="360" w:lineRule="auto"/>
        <w:ind w:right="-91"/>
        <w:jc w:val="center"/>
        <w:rPr>
          <w:rFonts w:eastAsia="Calibri" w:cs="Tahoma"/>
          <w:b/>
          <w:bCs/>
          <w:color w:val="auto"/>
        </w:rPr>
      </w:pPr>
    </w:p>
    <w:p w:rsidRPr="00EF3DC7" w:rsidR="007C406E" w:rsidP="007C406E" w:rsidRDefault="008A63B5" w14:paraId="2E7DFD33" w14:textId="5F0C6FAD">
      <w:pPr>
        <w:spacing w:after="0" w:line="360" w:lineRule="auto"/>
        <w:contextualSpacing/>
        <w:rPr>
          <w:rFonts w:eastAsia="Calibri" w:cs="Tahoma"/>
          <w:bCs/>
        </w:rPr>
      </w:pPr>
      <w:r w:rsidRPr="00EF3DC7">
        <w:rPr>
          <w:rFonts w:eastAsia="Calibri" w:cs="Tahoma"/>
          <w:b/>
          <w:bCs/>
          <w:iCs/>
          <w:color w:val="auto"/>
        </w:rPr>
        <w:t xml:space="preserve">PRIMERO. </w:t>
      </w:r>
      <w:r w:rsidRPr="00EF3DC7" w:rsidR="007C406E">
        <w:rPr>
          <w:rFonts w:cs="Tahoma"/>
          <w:bCs/>
        </w:rPr>
        <w:t xml:space="preserve">Se </w:t>
      </w:r>
      <w:r w:rsidRPr="00EF3DC7" w:rsidR="007C406E">
        <w:rPr>
          <w:rFonts w:cs="Tahoma"/>
          <w:b/>
          <w:bCs/>
        </w:rPr>
        <w:t>MODIFICA</w:t>
      </w:r>
      <w:r w:rsidRPr="00EF3DC7" w:rsidR="007C406E">
        <w:rPr>
          <w:rFonts w:cs="Tahoma"/>
          <w:bCs/>
        </w:rPr>
        <w:t xml:space="preserve"> la respuesta entregada por la Secretaría de Salud, a la solicitud de </w:t>
      </w:r>
      <w:r w:rsidRPr="00EF3DC7" w:rsidR="007C406E">
        <w:rPr>
          <w:rFonts w:eastAsia="Calibri" w:cs="Tahoma"/>
        </w:rPr>
        <w:t xml:space="preserve">información </w:t>
      </w:r>
      <w:r w:rsidRPr="00EF3DC7" w:rsidR="007C406E">
        <w:rPr>
          <w:rFonts w:eastAsia="Calibri" w:cs="Tahoma"/>
          <w:bCs/>
        </w:rPr>
        <w:t xml:space="preserve">00464/SSALUD/IP/2022, </w:t>
      </w:r>
      <w:r w:rsidRPr="00EF3DC7" w:rsidR="007C406E">
        <w:t xml:space="preserve">por resultar </w:t>
      </w:r>
      <w:r w:rsidRPr="00EF3DC7" w:rsidR="007C406E">
        <w:rPr>
          <w:b/>
        </w:rPr>
        <w:t>PARCIALMENTE FUNDADAS</w:t>
      </w:r>
      <w:r w:rsidRPr="00EF3DC7" w:rsidR="007C406E">
        <w:rPr>
          <w:rFonts w:cs="Tahoma"/>
        </w:rPr>
        <w:t xml:space="preserve"> </w:t>
      </w:r>
      <w:r w:rsidRPr="00EF3DC7" w:rsidR="007C406E">
        <w:rPr>
          <w:rFonts w:eastAsia="Calibri" w:cs="Tahoma"/>
        </w:rPr>
        <w:t>las razones o motivos de inconformidad hechos valer por el Particular, en</w:t>
      </w:r>
      <w:r w:rsidRPr="00EF3DC7" w:rsidR="007C406E">
        <w:rPr>
          <w:rFonts w:eastAsia="Calibri" w:cs="Tahoma"/>
          <w:bCs/>
        </w:rPr>
        <w:t xml:space="preserve"> términos de los considerandos QUINTO </w:t>
      </w:r>
      <w:r w:rsidRPr="00EF3DC7" w:rsidR="007C406E">
        <w:rPr>
          <w:rFonts w:eastAsia="Calibri" w:cs="Tahoma"/>
        </w:rPr>
        <w:t xml:space="preserve">y </w:t>
      </w:r>
      <w:r w:rsidRPr="00EF3DC7" w:rsidR="007C406E">
        <w:rPr>
          <w:rFonts w:eastAsia="Calibri" w:cs="Tahoma"/>
          <w:bCs/>
        </w:rPr>
        <w:t>SEXTO de la presente Resolución.</w:t>
      </w:r>
    </w:p>
    <w:p w:rsidRPr="00EF3DC7" w:rsidR="007C406E" w:rsidP="008A63B5" w:rsidRDefault="007C406E" w14:paraId="447DE7EC" w14:textId="77777777">
      <w:pPr>
        <w:spacing w:after="0" w:line="360" w:lineRule="auto"/>
        <w:rPr>
          <w:rFonts w:eastAsia="Calibri" w:cs="Tahoma"/>
          <w:b/>
          <w:bCs/>
          <w:iCs/>
          <w:color w:val="auto"/>
        </w:rPr>
      </w:pPr>
    </w:p>
    <w:p w:rsidRPr="00EF3DC7" w:rsidR="007C406E" w:rsidP="007C406E" w:rsidRDefault="007C406E" w14:paraId="09E3EFAB" w14:textId="02DD2381">
      <w:pPr>
        <w:spacing w:after="0" w:line="360" w:lineRule="auto"/>
        <w:rPr>
          <w:rFonts w:eastAsia="Calibri" w:cs="Tahoma"/>
          <w:bCs/>
          <w:iCs/>
          <w:color w:val="auto"/>
        </w:rPr>
      </w:pPr>
      <w:r w:rsidRPr="00EF3DC7">
        <w:rPr>
          <w:rFonts w:eastAsia="Calibri" w:cs="Tahoma"/>
          <w:b/>
          <w:bCs/>
          <w:iCs/>
          <w:color w:val="auto"/>
        </w:rPr>
        <w:t xml:space="preserve">SEGUNDO. </w:t>
      </w:r>
      <w:r w:rsidRPr="00EF3DC7">
        <w:rPr>
          <w:rFonts w:eastAsia="Calibri" w:cs="Tahoma"/>
          <w:bCs/>
          <w:iCs/>
          <w:color w:val="auto"/>
        </w:rPr>
        <w:t xml:space="preserve">Se </w:t>
      </w:r>
      <w:r w:rsidRPr="00EF3DC7">
        <w:rPr>
          <w:rFonts w:eastAsia="Calibri" w:cs="Tahoma"/>
          <w:b/>
          <w:bCs/>
          <w:iCs/>
          <w:color w:val="auto"/>
        </w:rPr>
        <w:t xml:space="preserve">ORDENA </w:t>
      </w:r>
      <w:r w:rsidRPr="00EF3DC7">
        <w:rPr>
          <w:rFonts w:eastAsia="Calibri" w:cs="Tahoma"/>
          <w:bCs/>
          <w:iCs/>
          <w:color w:val="auto"/>
        </w:rPr>
        <w:t>al Ente Recurrido, a efecto de que entregue, a través del Sistema de Acceso a la Información Mexiquense (SAIMEX), lo siguiente:</w:t>
      </w:r>
    </w:p>
    <w:p w:rsidRPr="00EF3DC7" w:rsidR="008A63B5" w:rsidP="008A63B5" w:rsidRDefault="008A63B5" w14:paraId="466018DF" w14:textId="77777777">
      <w:pPr>
        <w:spacing w:after="0" w:line="360" w:lineRule="auto"/>
        <w:rPr>
          <w:rFonts w:eastAsia="Calibri" w:cs="Tahoma"/>
          <w:bCs/>
          <w:iCs/>
          <w:color w:val="auto"/>
        </w:rPr>
      </w:pPr>
    </w:p>
    <w:p w:rsidRPr="00EF3DC7" w:rsidR="007C406E" w:rsidP="007C406E" w:rsidRDefault="007C406E" w14:paraId="78A7AACE" w14:textId="4CC7794A">
      <w:pPr>
        <w:pStyle w:val="Prrafodelista"/>
        <w:numPr>
          <w:ilvl w:val="0"/>
          <w:numId w:val="6"/>
        </w:numPr>
        <w:spacing w:after="0" w:line="360" w:lineRule="auto"/>
        <w:rPr>
          <w:rFonts w:eastAsia="Calibri" w:cs="Tahoma"/>
          <w:bCs/>
          <w:iCs/>
          <w:color w:val="auto"/>
        </w:rPr>
      </w:pPr>
      <w:r w:rsidRPr="00EF3DC7">
        <w:rPr>
          <w:rFonts w:eastAsia="Calibri" w:cs="Tahoma"/>
          <w:bCs/>
          <w:iCs/>
          <w:color w:val="auto"/>
        </w:rPr>
        <w:t>El Acuerdo emitido por el Comité de Transparencia del Ente Recurrido, a efecto de confirmar la incompetencia para conocer de las remuneraciones del personal adscrito al del Hospital General de Atlacomulco.</w:t>
      </w:r>
    </w:p>
    <w:p w:rsidRPr="00EF3DC7" w:rsidR="008A63B5" w:rsidP="008A63B5" w:rsidRDefault="008A63B5" w14:paraId="08B5EBAE" w14:textId="77777777">
      <w:pPr>
        <w:spacing w:after="0" w:line="360" w:lineRule="auto"/>
        <w:rPr>
          <w:rFonts w:eastAsia="Calibri" w:cs="Tahoma"/>
          <w:bCs/>
          <w:lang w:val="es-ES"/>
        </w:rPr>
      </w:pPr>
    </w:p>
    <w:p w:rsidRPr="00EF3DC7" w:rsidR="007C406E" w:rsidP="007C406E" w:rsidRDefault="007C406E" w14:paraId="5B66F570" w14:textId="77777777">
      <w:pPr>
        <w:spacing w:after="0" w:line="360" w:lineRule="auto"/>
        <w:rPr>
          <w:rFonts w:cs="Tahoma"/>
        </w:rPr>
      </w:pPr>
      <w:r w:rsidRPr="00EF3DC7">
        <w:rPr>
          <w:rFonts w:cs="Arial"/>
          <w:b/>
          <w:lang w:val="es-ES_tradnl"/>
        </w:rPr>
        <w:t>TERCERO.</w:t>
      </w:r>
      <w:r w:rsidRPr="00EF3DC7">
        <w:rPr>
          <w:rFonts w:cs="Tahoma"/>
          <w:b/>
        </w:rPr>
        <w:t xml:space="preserve"> NOTIFÍQUESE </w:t>
      </w:r>
      <w:r w:rsidRPr="00EF3DC7">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EF3DC7" w:rsidR="007C406E" w:rsidP="007C406E" w:rsidRDefault="007C406E" w14:paraId="17E2BECE" w14:textId="77777777">
      <w:pPr>
        <w:spacing w:after="0" w:line="360" w:lineRule="auto"/>
        <w:rPr>
          <w:rFonts w:cs="Tahoma"/>
        </w:rPr>
      </w:pPr>
    </w:p>
    <w:p w:rsidRPr="00EF3DC7" w:rsidR="007C406E" w:rsidP="007C406E" w:rsidRDefault="007C406E" w14:paraId="70BE94A3" w14:textId="711D7AA3">
      <w:pPr>
        <w:spacing w:line="360" w:lineRule="auto"/>
        <w:contextualSpacing/>
        <w:rPr>
          <w:rFonts w:eastAsia="Calibri" w:cs="Tahoma"/>
          <w:iCs/>
        </w:rPr>
      </w:pPr>
      <w:bookmarkStart w:name="_Hlk61509110" w:id="1"/>
      <w:r w:rsidRPr="00EF3DC7">
        <w:rPr>
          <w:rFonts w:eastAsia="Calibri" w:cs="Tahoma"/>
          <w:iC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EF3DC7" w:rsidR="007C406E" w:rsidP="007C406E" w:rsidRDefault="007C406E" w14:paraId="5A592D12" w14:textId="77777777">
      <w:pPr>
        <w:spacing w:after="0" w:line="360" w:lineRule="auto"/>
        <w:rPr>
          <w:rFonts w:cs="Tahoma"/>
        </w:rPr>
      </w:pPr>
    </w:p>
    <w:p w:rsidRPr="00EF3DC7" w:rsidR="007C406E" w:rsidP="007C406E" w:rsidRDefault="007C406E" w14:paraId="2A22EF1F" w14:textId="77777777">
      <w:pPr>
        <w:spacing w:after="0" w:line="360" w:lineRule="auto"/>
        <w:rPr>
          <w:rFonts w:cs="Tahoma"/>
        </w:rPr>
      </w:pPr>
      <w:r w:rsidRPr="00EF3DC7">
        <w:rPr>
          <w:rFonts w:cs="Tahoma"/>
          <w:b/>
        </w:rPr>
        <w:t>CUARTO. NOTIFÍQUESE</w:t>
      </w:r>
      <w:r w:rsidRPr="00EF3DC7">
        <w:rPr>
          <w:rFonts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EF3DC7" w:rsidR="007C406E" w:rsidP="008A63B5" w:rsidRDefault="007C406E" w14:paraId="2C66E1E1" w14:textId="77777777">
      <w:pPr>
        <w:spacing w:after="0" w:line="360" w:lineRule="auto"/>
        <w:rPr>
          <w:rFonts w:eastAsia="Calibri" w:cs="Tahoma"/>
          <w:bCs/>
          <w:lang w:val="es-ES"/>
        </w:rPr>
      </w:pPr>
    </w:p>
    <w:p w:rsidR="008A63B5" w:rsidP="008A63B5" w:rsidRDefault="0049239C" w14:paraId="461F18B9" w14:textId="4CAAB862">
      <w:pPr>
        <w:spacing w:after="0" w:line="360" w:lineRule="auto"/>
        <w:rPr>
          <w:rFonts w:eastAsia="Calibri" w:cs="Tahoma"/>
          <w:bCs/>
        </w:rPr>
      </w:pPr>
      <w:r w:rsidRPr="00EF3DC7">
        <w:rPr>
          <w:rFonts w:eastAsia="Calibri" w:cs="Tahoma"/>
          <w:bCs/>
        </w:rPr>
        <w:t xml:space="preserve">ASÍ LO RESUELVE, POR </w:t>
      </w:r>
      <w:r w:rsidRPr="00EF3DC7">
        <w:rPr>
          <w:rFonts w:eastAsia="Calibri" w:cs="Tahoma"/>
          <w:b/>
        </w:rPr>
        <w:t>MAYORÍA</w:t>
      </w:r>
      <w:r w:rsidRPr="00EF3DC7">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VOTO DISIDENTE, EN LA QUINTA SESIÓN ORDINARIA, CELEBRADA EL NUEVE DE FEBRERO DE DOS MIL VEINTITRÉS, ANTE EL SECRETARIO TÉCNICO DEL PLENO, ALEXIS TAPIA RAMÍREZ.</w:t>
      </w:r>
      <w:bookmarkStart w:name="_GoBack" w:id="2"/>
      <w:bookmarkEnd w:id="2"/>
    </w:p>
    <w:p w:rsidR="008A63B5" w:rsidP="008A63B5" w:rsidRDefault="008A63B5" w14:paraId="320458FC" w14:textId="77777777">
      <w:pPr>
        <w:spacing w:after="0" w:line="360" w:lineRule="auto"/>
      </w:pPr>
      <w:r>
        <w:br w:type="page"/>
      </w:r>
    </w:p>
    <w:p w:rsidR="00A76A91" w:rsidRDefault="00A76A91" w14:paraId="0FB9F0AF" w14:textId="77777777"/>
    <w:sectPr w:rsidR="00A76A91" w:rsidSect="00F86CEF">
      <w:headerReference w:type="even" r:id="rId14"/>
      <w:headerReference w:type="default" r:id="rId15"/>
      <w:footerReference w:type="even" r:id="rId16"/>
      <w:footerReference w:type="default" r:id="rId17"/>
      <w:headerReference w:type="first" r:id="rId18"/>
      <w:footerReference w:type="first" r:id="rId19"/>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29B" w:rsidP="008A63B5" w:rsidRDefault="00BF629B" w14:paraId="2F132BFA" w14:textId="77777777">
      <w:pPr>
        <w:spacing w:after="0" w:line="240" w:lineRule="auto"/>
      </w:pPr>
      <w:r>
        <w:separator/>
      </w:r>
    </w:p>
  </w:endnote>
  <w:endnote w:type="continuationSeparator" w:id="0">
    <w:p w:rsidR="00BF629B" w:rsidP="008A63B5" w:rsidRDefault="00BF629B" w14:paraId="24C2E7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4E6" w:rsidRDefault="00A10619" w14:paraId="519DBED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A24E6" w:rsidRDefault="00BF629B" w14:paraId="2BB01401"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8A24E6" w:rsidRDefault="00A10619" w14:paraId="13D17C1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3DC7">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3DC7">
              <w:rPr>
                <w:b/>
                <w:bCs/>
                <w:noProof/>
              </w:rPr>
              <w:t>18</w:t>
            </w:r>
            <w:r>
              <w:rPr>
                <w:b/>
                <w:bCs/>
                <w:sz w:val="24"/>
                <w:szCs w:val="24"/>
              </w:rPr>
              <w:fldChar w:fldCharType="end"/>
            </w:r>
          </w:p>
        </w:sdtContent>
      </w:sdt>
    </w:sdtContent>
  </w:sdt>
  <w:p w:rsidR="008A24E6" w:rsidRDefault="00BF629B" w14:paraId="6691AD6E"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4E6" w:rsidRDefault="00A10619" w14:paraId="7B37CDE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3DC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3DC7">
      <w:rPr>
        <w:b/>
        <w:bCs/>
        <w:noProof/>
      </w:rPr>
      <w:t>18</w:t>
    </w:r>
    <w:r>
      <w:rPr>
        <w:b/>
        <w:bCs/>
        <w:sz w:val="24"/>
        <w:szCs w:val="24"/>
      </w:rPr>
      <w:fldChar w:fldCharType="end"/>
    </w:r>
  </w:p>
  <w:p w:rsidR="008A24E6" w:rsidRDefault="00BF629B" w14:paraId="26E28FA7"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29B" w:rsidP="008A63B5" w:rsidRDefault="00BF629B" w14:paraId="0E823F0F" w14:textId="77777777">
      <w:pPr>
        <w:spacing w:after="0" w:line="240" w:lineRule="auto"/>
      </w:pPr>
      <w:r>
        <w:separator/>
      </w:r>
    </w:p>
  </w:footnote>
  <w:footnote w:type="continuationSeparator" w:id="0">
    <w:p w:rsidR="00BF629B" w:rsidP="008A63B5" w:rsidRDefault="00BF629B" w14:paraId="35E90FEB"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A24E6" w:rsidTr="00F86CEF" w14:paraId="78466989" w14:textId="77777777">
      <w:trPr>
        <w:trHeight w:val="132"/>
      </w:trPr>
      <w:tc>
        <w:tcPr>
          <w:tcW w:w="2691" w:type="dxa"/>
        </w:tcPr>
        <w:p w:rsidRPr="00E152D8" w:rsidR="008A24E6" w:rsidP="00F86CEF" w:rsidRDefault="00A10619" w14:paraId="6EF58F86"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A24E6" w:rsidP="00F86CEF" w:rsidRDefault="00A10619" w14:paraId="5D8FFF6A" w14:textId="77777777">
          <w:pPr>
            <w:tabs>
              <w:tab w:val="right" w:pos="8838"/>
            </w:tabs>
            <w:ind w:left="-28" w:right="-32"/>
            <w:rPr>
              <w:rFonts w:eastAsia="Calibri" w:cs="Tahoma"/>
            </w:rPr>
          </w:pPr>
          <w:r w:rsidRPr="00EE1572">
            <w:rPr>
              <w:rFonts w:eastAsia="Calibri" w:cs="Tahoma"/>
            </w:rPr>
            <w:t>03846/INFOEM/IP/RR/2020</w:t>
          </w:r>
        </w:p>
      </w:tc>
    </w:tr>
    <w:tr w:rsidRPr="00E152D8" w:rsidR="008A24E6" w:rsidTr="00F86CEF" w14:paraId="2CF5FBA8" w14:textId="77777777">
      <w:trPr>
        <w:trHeight w:val="261"/>
      </w:trPr>
      <w:tc>
        <w:tcPr>
          <w:tcW w:w="2691" w:type="dxa"/>
        </w:tcPr>
        <w:p w:rsidRPr="00E152D8" w:rsidR="008A24E6" w:rsidP="00F86CEF" w:rsidRDefault="00A10619" w14:paraId="404B996A"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A24E6" w:rsidP="00F86CEF" w:rsidRDefault="00A10619" w14:paraId="2F496009"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A24E6" w:rsidTr="00F86CEF" w14:paraId="7DAF6BAD" w14:textId="77777777">
      <w:trPr>
        <w:trHeight w:val="261"/>
      </w:trPr>
      <w:tc>
        <w:tcPr>
          <w:tcW w:w="2691" w:type="dxa"/>
        </w:tcPr>
        <w:p w:rsidRPr="00E152D8" w:rsidR="008A24E6" w:rsidP="00F86CEF" w:rsidRDefault="00A10619" w14:paraId="73C43352"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A24E6" w:rsidP="00F86CEF" w:rsidRDefault="00A10619" w14:paraId="48F1C215"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A24E6" w:rsidRDefault="00BF629B" w14:paraId="4DC2DA10" w14:textId="77777777">
    <w:pPr>
      <w:pStyle w:val="Encabezado"/>
    </w:pPr>
    <w:r>
      <w:rPr>
        <w:noProof/>
      </w:rPr>
      <w:pict w14:anchorId="2889E27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970"/>
    </w:tblGrid>
    <w:tr w:rsidRPr="00E152D8" w:rsidR="008A24E6" w:rsidTr="005F58A7" w14:paraId="1AAC12B9" w14:textId="77777777">
      <w:trPr>
        <w:trHeight w:val="138"/>
      </w:trPr>
      <w:tc>
        <w:tcPr>
          <w:tcW w:w="2551" w:type="dxa"/>
          <w:vAlign w:val="center"/>
        </w:tcPr>
        <w:p w:rsidRPr="00E152D8" w:rsidR="008A24E6" w:rsidP="00F86CEF" w:rsidRDefault="00A10619" w14:paraId="40947560"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70" w:type="dxa"/>
        </w:tcPr>
        <w:p w:rsidRPr="00051642" w:rsidR="008A24E6" w:rsidP="00F86CEF" w:rsidRDefault="00A10619" w14:paraId="1A67C98E" w14:textId="388B99C6">
          <w:pPr>
            <w:tabs>
              <w:tab w:val="right" w:pos="8838"/>
            </w:tabs>
            <w:ind w:right="-32"/>
            <w:rPr>
              <w:rFonts w:eastAsia="Calibri" w:cs="Tahoma"/>
            </w:rPr>
          </w:pPr>
          <w:r>
            <w:rPr>
              <w:rFonts w:eastAsia="Calibri" w:cs="Tahoma"/>
              <w:lang w:val="es-MX"/>
            </w:rPr>
            <w:t>1</w:t>
          </w:r>
          <w:r w:rsidR="008A63B5">
            <w:rPr>
              <w:rFonts w:eastAsia="Calibri" w:cs="Tahoma"/>
              <w:lang w:val="es-MX"/>
            </w:rPr>
            <w:t>7026</w:t>
          </w:r>
          <w:r>
            <w:rPr>
              <w:rFonts w:eastAsia="Calibri" w:cs="Tahoma"/>
              <w:lang w:val="es-MX"/>
            </w:rPr>
            <w:t>/INFOEM/IP/RR/2022</w:t>
          </w:r>
        </w:p>
      </w:tc>
    </w:tr>
    <w:tr w:rsidRPr="00E152D8" w:rsidR="008A24E6" w:rsidTr="005F58A7" w14:paraId="3DFFBE67" w14:textId="77777777">
      <w:trPr>
        <w:trHeight w:val="273"/>
      </w:trPr>
      <w:tc>
        <w:tcPr>
          <w:tcW w:w="2551" w:type="dxa"/>
        </w:tcPr>
        <w:p w:rsidRPr="00E152D8" w:rsidR="008A24E6" w:rsidP="00F86CEF" w:rsidRDefault="00A10619" w14:paraId="5656F748"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70" w:type="dxa"/>
        </w:tcPr>
        <w:p w:rsidRPr="00051642" w:rsidR="008A24E6" w:rsidP="00F86CEF" w:rsidRDefault="008A63B5" w14:paraId="61596836" w14:textId="0F1B4117">
          <w:pPr>
            <w:tabs>
              <w:tab w:val="right" w:pos="8838"/>
            </w:tabs>
            <w:ind w:left="-28" w:right="-32"/>
            <w:rPr>
              <w:rFonts w:eastAsia="Calibri" w:cs="Tahoma"/>
              <w:lang w:val="es-MX"/>
            </w:rPr>
          </w:pPr>
          <w:r>
            <w:rPr>
              <w:rFonts w:eastAsia="Calibri" w:cs="Tahoma"/>
              <w:lang w:val="es-MX"/>
            </w:rPr>
            <w:t>Secretaría de Salud</w:t>
          </w:r>
        </w:p>
      </w:tc>
    </w:tr>
    <w:tr w:rsidRPr="00E152D8" w:rsidR="008A24E6" w:rsidTr="005F58A7" w14:paraId="062AF046" w14:textId="77777777">
      <w:trPr>
        <w:trHeight w:val="273"/>
      </w:trPr>
      <w:tc>
        <w:tcPr>
          <w:tcW w:w="2551" w:type="dxa"/>
        </w:tcPr>
        <w:p w:rsidRPr="00E152D8" w:rsidR="008A24E6" w:rsidP="00F86CEF" w:rsidRDefault="00A10619" w14:paraId="173846A5" w14:textId="77777777">
          <w:pPr>
            <w:tabs>
              <w:tab w:val="right" w:pos="8838"/>
            </w:tabs>
            <w:ind w:right="-105"/>
            <w:rPr>
              <w:rFonts w:eastAsia="Calibri" w:cs="Tahoma"/>
              <w:b/>
              <w:lang w:val="es-MX"/>
            </w:rPr>
          </w:pPr>
          <w:r w:rsidRPr="00E152D8">
            <w:rPr>
              <w:rFonts w:eastAsia="Calibri" w:cs="Tahoma"/>
              <w:b/>
              <w:lang w:val="es-MX"/>
            </w:rPr>
            <w:t>Comisionado Ponente:</w:t>
          </w:r>
        </w:p>
      </w:tc>
      <w:tc>
        <w:tcPr>
          <w:tcW w:w="3970" w:type="dxa"/>
        </w:tcPr>
        <w:p w:rsidRPr="00E152D8" w:rsidR="008A24E6" w:rsidP="00F86CEF" w:rsidRDefault="00A10619" w14:paraId="64FAD785"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A24E6" w:rsidP="00F86CEF" w:rsidRDefault="00BF629B" w14:paraId="38505092" w14:textId="77777777">
    <w:pPr>
      <w:pStyle w:val="Encabezado"/>
    </w:pPr>
    <w:r>
      <w:rPr>
        <w:noProof/>
      </w:rPr>
      <w:pict w14:anchorId="4CC2ED1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1"/>
      <w:gridCol w:w="3261"/>
    </w:tblGrid>
    <w:tr w:rsidRPr="00E152D8" w:rsidR="008A24E6" w:rsidTr="5FC3AAFE" w14:paraId="0CB2E366" w14:textId="77777777">
      <w:trPr>
        <w:trHeight w:val="132"/>
      </w:trPr>
      <w:tc>
        <w:tcPr>
          <w:tcW w:w="2551" w:type="dxa"/>
          <w:tcMar/>
        </w:tcPr>
        <w:p w:rsidRPr="00E152D8" w:rsidR="008A24E6" w:rsidP="00F86CEF" w:rsidRDefault="00A10619" w14:paraId="7C4E094F" w14:textId="77777777">
          <w:pPr>
            <w:tabs>
              <w:tab w:val="right" w:pos="8838"/>
            </w:tabs>
            <w:ind w:right="-105"/>
            <w:rPr>
              <w:rFonts w:eastAsia="Calibri" w:cs="Tahoma"/>
              <w:b/>
              <w:lang w:val="es-MX"/>
            </w:rPr>
          </w:pPr>
          <w:r w:rsidRPr="00E152D8">
            <w:rPr>
              <w:rFonts w:eastAsia="Calibri" w:cs="Tahoma"/>
              <w:b/>
              <w:lang w:val="es-MX"/>
            </w:rPr>
            <w:t>Recurso de Revisión:</w:t>
          </w:r>
        </w:p>
      </w:tc>
      <w:tc>
        <w:tcPr>
          <w:tcW w:w="3261" w:type="dxa"/>
          <w:tcMar/>
        </w:tcPr>
        <w:p w:rsidRPr="00051642" w:rsidR="008A24E6" w:rsidP="00F86CEF" w:rsidRDefault="00A10619" w14:paraId="58C8069F" w14:textId="175E4A6E">
          <w:pPr>
            <w:tabs>
              <w:tab w:val="right" w:pos="8838"/>
            </w:tabs>
            <w:ind w:left="-111" w:right="-32"/>
            <w:rPr>
              <w:rFonts w:eastAsia="Calibri" w:cs="Tahoma"/>
            </w:rPr>
          </w:pPr>
          <w:r>
            <w:rPr>
              <w:rFonts w:eastAsia="Calibri" w:cs="Tahoma"/>
              <w:lang w:val="es-MX"/>
            </w:rPr>
            <w:t>1</w:t>
          </w:r>
          <w:r w:rsidR="008A63B5">
            <w:rPr>
              <w:rFonts w:eastAsia="Calibri" w:cs="Tahoma"/>
              <w:lang w:val="es-MX"/>
            </w:rPr>
            <w:t>7026</w:t>
          </w:r>
          <w:r>
            <w:rPr>
              <w:rFonts w:eastAsia="Calibri" w:cs="Tahoma"/>
              <w:lang w:val="es-MX"/>
            </w:rPr>
            <w:t>/INFOEM/IP/RR/2022</w:t>
          </w:r>
        </w:p>
      </w:tc>
    </w:tr>
    <w:tr w:rsidRPr="00E152D8" w:rsidR="008A24E6" w:rsidTr="5FC3AAFE" w14:paraId="602A6AB2" w14:textId="77777777">
      <w:trPr>
        <w:trHeight w:val="132"/>
      </w:trPr>
      <w:tc>
        <w:tcPr>
          <w:tcW w:w="2551" w:type="dxa"/>
          <w:tcMar/>
        </w:tcPr>
        <w:p w:rsidRPr="00E152D8" w:rsidR="008A24E6" w:rsidP="00F86CEF" w:rsidRDefault="00A10619" w14:paraId="45CA672B"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1" w:type="dxa"/>
          <w:tcMar/>
        </w:tcPr>
        <w:p w:rsidRPr="00E152D8" w:rsidR="008A24E6" w:rsidP="5FC3AAFE" w:rsidRDefault="008A63B5" w14:paraId="00E4AF6C" w14:textId="43A09783">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5FC3AAFE" w:rsidR="5FC3AAFE">
            <w:rPr>
              <w:rFonts w:eastAsia="Calibri" w:cs="Tahoma"/>
              <w:highlight w:val="black"/>
              <w:lang w:val="es-MX"/>
            </w:rPr>
            <w:t>XXXXXXXXXXXXXXXX</w:t>
          </w:r>
        </w:p>
      </w:tc>
    </w:tr>
    <w:tr w:rsidRPr="00E152D8" w:rsidR="008A24E6" w:rsidTr="5FC3AAFE" w14:paraId="0CDF7691" w14:textId="77777777">
      <w:trPr>
        <w:trHeight w:val="261"/>
      </w:trPr>
      <w:tc>
        <w:tcPr>
          <w:tcW w:w="2551" w:type="dxa"/>
          <w:tcMar/>
        </w:tcPr>
        <w:p w:rsidRPr="00E152D8" w:rsidR="008A24E6" w:rsidP="00F86CEF" w:rsidRDefault="00A10619" w14:paraId="564C0BC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1" w:type="dxa"/>
          <w:tcMar/>
        </w:tcPr>
        <w:p w:rsidRPr="00051642" w:rsidR="008A24E6" w:rsidP="00F86CEF" w:rsidRDefault="008A63B5" w14:paraId="3E6D944F" w14:textId="35988A95">
          <w:pPr>
            <w:tabs>
              <w:tab w:val="right" w:pos="8838"/>
            </w:tabs>
            <w:ind w:left="-111" w:right="-32"/>
            <w:rPr>
              <w:rFonts w:eastAsia="Calibri" w:cs="Tahoma"/>
              <w:lang w:val="es-MX"/>
            </w:rPr>
          </w:pPr>
          <w:r>
            <w:rPr>
              <w:rFonts w:eastAsia="Calibri" w:cs="Tahoma"/>
              <w:lang w:val="es-MX"/>
            </w:rPr>
            <w:t>Secretaría de Salud</w:t>
          </w:r>
        </w:p>
      </w:tc>
    </w:tr>
    <w:tr w:rsidRPr="00E152D8" w:rsidR="008A24E6" w:rsidTr="5FC3AAFE" w14:paraId="0860C7C6" w14:textId="77777777">
      <w:trPr>
        <w:trHeight w:val="261"/>
      </w:trPr>
      <w:tc>
        <w:tcPr>
          <w:tcW w:w="2551" w:type="dxa"/>
          <w:tcMar/>
        </w:tcPr>
        <w:p w:rsidRPr="00E152D8" w:rsidR="008A24E6" w:rsidP="00F86CEF" w:rsidRDefault="00A10619" w14:paraId="73D4404F"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1" w:type="dxa"/>
          <w:tcMar/>
        </w:tcPr>
        <w:p w:rsidRPr="00E152D8" w:rsidR="008A24E6" w:rsidP="00F86CEF" w:rsidRDefault="00A10619" w14:paraId="30B41A46"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A24E6" w:rsidP="00F86CEF" w:rsidRDefault="00BF629B" w14:paraId="03DCB054" w14:textId="77777777">
    <w:pPr>
      <w:pStyle w:val="Encabezado"/>
      <w:tabs>
        <w:tab w:val="left" w:pos="5812"/>
      </w:tabs>
    </w:pPr>
    <w:r>
      <w:rPr>
        <w:noProof/>
      </w:rPr>
      <w:pict w14:anchorId="6D0D713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9.1pt;margin-top:-125pt;width:663.5pt;height:12in;z-index:-251655168;mso-wrap-edited:f;mso-width-percent:0;mso-height-percent:0;mso-position-horizontal-relative:margin;mso-position-vertical-relative:margin;mso-width-percent:0;mso-height-percent:0" alt=""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E2D4B"/>
    <w:multiLevelType w:val="hybridMultilevel"/>
    <w:tmpl w:val="78002EB8"/>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1E7347DB"/>
    <w:multiLevelType w:val="hybridMultilevel"/>
    <w:tmpl w:val="8DEADDAA"/>
    <w:lvl w:ilvl="0" w:tplc="0DEEC8B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9F47C7"/>
    <w:multiLevelType w:val="hybridMultilevel"/>
    <w:tmpl w:val="06DED06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4" w15:restartNumberingAfterBreak="0">
    <w:nsid w:val="534F5758"/>
    <w:multiLevelType w:val="hybridMultilevel"/>
    <w:tmpl w:val="06D8E4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7E1B223A"/>
    <w:multiLevelType w:val="hybridMultilevel"/>
    <w:tmpl w:val="7BE6A6C0"/>
    <w:lvl w:ilvl="0" w:tplc="6B58AD78">
      <w:numFmt w:val="bullet"/>
      <w:lvlText w:val="•"/>
      <w:lvlJc w:val="left"/>
      <w:pPr>
        <w:ind w:left="720" w:hanging="360"/>
      </w:pPr>
      <w:rPr>
        <w:rFonts w:hint="default" w:ascii="Palatino Linotype" w:hAnsi="Palatino Linotype" w:eastAsiaTheme="minorHAnsi" w:cstheme="minorBid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3B5"/>
    <w:rsid w:val="0001376C"/>
    <w:rsid w:val="000A2373"/>
    <w:rsid w:val="000B56AF"/>
    <w:rsid w:val="00117596"/>
    <w:rsid w:val="001D4885"/>
    <w:rsid w:val="00240903"/>
    <w:rsid w:val="00295B68"/>
    <w:rsid w:val="0049239C"/>
    <w:rsid w:val="005F58A7"/>
    <w:rsid w:val="00663178"/>
    <w:rsid w:val="007143A1"/>
    <w:rsid w:val="00753BC0"/>
    <w:rsid w:val="007C406E"/>
    <w:rsid w:val="00833DC1"/>
    <w:rsid w:val="0089755F"/>
    <w:rsid w:val="008A63B5"/>
    <w:rsid w:val="008C6A04"/>
    <w:rsid w:val="008E74D6"/>
    <w:rsid w:val="00925C69"/>
    <w:rsid w:val="009B5A78"/>
    <w:rsid w:val="009E06FA"/>
    <w:rsid w:val="00A10619"/>
    <w:rsid w:val="00A63E20"/>
    <w:rsid w:val="00A76A91"/>
    <w:rsid w:val="00B13892"/>
    <w:rsid w:val="00B81241"/>
    <w:rsid w:val="00BB5F79"/>
    <w:rsid w:val="00BF629B"/>
    <w:rsid w:val="00DC11CF"/>
    <w:rsid w:val="00E35E93"/>
    <w:rsid w:val="00E67F34"/>
    <w:rsid w:val="00EF3DC7"/>
    <w:rsid w:val="00F828F5"/>
    <w:rsid w:val="00FC636C"/>
    <w:rsid w:val="5FC3A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931F49"/>
  <w15:chartTrackingRefBased/>
  <w15:docId w15:val="{58B0B06C-590E-40CA-9FFB-AC911DA1A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63B5"/>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A63B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A63B5"/>
    <w:rPr>
      <w:rFonts w:ascii="Palatino Linotype" w:hAnsi="Palatino Linotype"/>
      <w:color w:val="000000" w:themeColor="text1"/>
    </w:rPr>
  </w:style>
  <w:style w:type="paragraph" w:styleId="Piedepgina">
    <w:name w:val="footer"/>
    <w:basedOn w:val="Normal"/>
    <w:link w:val="PiedepginaCar"/>
    <w:uiPriority w:val="99"/>
    <w:unhideWhenUsed/>
    <w:rsid w:val="008A63B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A63B5"/>
    <w:rPr>
      <w:rFonts w:ascii="Palatino Linotype" w:hAnsi="Palatino Linotype"/>
      <w:color w:val="000000" w:themeColor="text1"/>
    </w:rPr>
  </w:style>
  <w:style w:type="table" w:styleId="Tablaconcuadrcula">
    <w:name w:val="Table Grid"/>
    <w:basedOn w:val="Tablanormal"/>
    <w:uiPriority w:val="59"/>
    <w:qFormat/>
    <w:rsid w:val="008A63B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63B5"/>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A63B5"/>
    <w:rPr>
      <w:rFonts w:ascii="Palatino Linotype" w:hAnsi="Palatino Linotype"/>
      <w:color w:val="000000" w:themeColor="text1"/>
    </w:rPr>
  </w:style>
  <w:style w:type="character" w:styleId="Hipervnculo">
    <w:name w:val="Hyperlink"/>
    <w:basedOn w:val="Fuentedeprrafopredeter"/>
    <w:uiPriority w:val="99"/>
    <w:unhideWhenUsed/>
    <w:rsid w:val="008A63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02770">
      <w:bodyDiv w:val="1"/>
      <w:marLeft w:val="0"/>
      <w:marRight w:val="0"/>
      <w:marTop w:val="0"/>
      <w:marBottom w:val="0"/>
      <w:divBdr>
        <w:top w:val="none" w:sz="0" w:space="0" w:color="auto"/>
        <w:left w:val="none" w:sz="0" w:space="0" w:color="auto"/>
        <w:bottom w:val="none" w:sz="0" w:space="0" w:color="auto"/>
        <w:right w:val="none" w:sz="0" w:space="0" w:color="auto"/>
      </w:divBdr>
    </w:div>
    <w:div w:id="1913346542">
      <w:bodyDiv w:val="1"/>
      <w:marLeft w:val="0"/>
      <w:marRight w:val="0"/>
      <w:marTop w:val="0"/>
      <w:marBottom w:val="0"/>
      <w:divBdr>
        <w:top w:val="none" w:sz="0" w:space="0" w:color="auto"/>
        <w:left w:val="none" w:sz="0" w:space="0" w:color="auto"/>
        <w:bottom w:val="none" w:sz="0" w:space="0" w:color="auto"/>
        <w:right w:val="none" w:sz="0" w:space="0" w:color="auto"/>
      </w:divBdr>
      <w:divsChild>
        <w:div w:id="1363749604">
          <w:marLeft w:val="0"/>
          <w:marRight w:val="0"/>
          <w:marTop w:val="0"/>
          <w:marBottom w:val="0"/>
          <w:divBdr>
            <w:top w:val="none" w:sz="0" w:space="0" w:color="auto"/>
            <w:left w:val="none" w:sz="0" w:space="0" w:color="auto"/>
            <w:bottom w:val="none" w:sz="0" w:space="0" w:color="auto"/>
            <w:right w:val="none" w:sz="0" w:space="0" w:color="auto"/>
          </w:divBdr>
          <w:divsChild>
            <w:div w:id="15450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lud.edomex.gob.mx/isem/at_unidades_medicas&amp;cveunidad=MCSSA010123" TargetMode="External" Id="rId8" /><Relationship Type="http://schemas.openxmlformats.org/officeDocument/2006/relationships/image" Target="media/image5.png" Id="rId13" /><Relationship Type="http://schemas.openxmlformats.org/officeDocument/2006/relationships/header" Target="head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javascript:AbrirModal(1)" TargetMode="External" Id="rId7" /><Relationship Type="http://schemas.openxmlformats.org/officeDocument/2006/relationships/image" Target="media/image4.png" Id="rId12" /><Relationship Type="http://schemas.openxmlformats.org/officeDocument/2006/relationships/footer" Target="foot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footer" Target="footer3.xml" Id="rId19"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eader" Target="header1.xml" Id="rId14" /><Relationship Type="http://schemas.openxmlformats.org/officeDocument/2006/relationships/glossaryDocument" Target="glossary/document.xml" Id="R562f17782aa142f8"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72e887d-c761-4ddf-a0c8-07516223c73c}"/>
      </w:docPartPr>
      <w:docPartBody>
        <w:p w14:paraId="46C7DAB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9</revision>
  <dcterms:created xsi:type="dcterms:W3CDTF">2023-02-07T22:09:00.0000000Z</dcterms:created>
  <dcterms:modified xsi:type="dcterms:W3CDTF">2023-03-09T18:41:03.4967370Z</dcterms:modified>
</coreProperties>
</file>