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0A2" w:rsidRPr="00AB23E8" w:rsidRDefault="00D53821">
      <w:pPr>
        <w:spacing w:line="360" w:lineRule="auto"/>
        <w:jc w:val="both"/>
        <w:rPr>
          <w:rFonts w:ascii="Palatino Linotype" w:eastAsia="Palatino Linotype" w:hAnsi="Palatino Linotype" w:cs="Palatino Linotype"/>
        </w:rPr>
      </w:pPr>
      <w:bookmarkStart w:id="0" w:name="_GoBack"/>
      <w:bookmarkEnd w:id="0"/>
      <w:r w:rsidRPr="00AB23E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veinticinco de enero de dos mil veintitrés. </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b/>
          <w:sz w:val="28"/>
          <w:szCs w:val="28"/>
        </w:rPr>
        <w:t>VISTO</w:t>
      </w:r>
      <w:r w:rsidRPr="00AB23E8">
        <w:rPr>
          <w:rFonts w:ascii="Palatino Linotype" w:eastAsia="Palatino Linotype" w:hAnsi="Palatino Linotype" w:cs="Palatino Linotype"/>
        </w:rPr>
        <w:t xml:space="preserve"> el expediente formado con motivo del Recurso de Revisión </w:t>
      </w:r>
      <w:r w:rsidRPr="00AB23E8">
        <w:rPr>
          <w:rFonts w:ascii="Palatino Linotype" w:eastAsia="Palatino Linotype" w:hAnsi="Palatino Linotype" w:cs="Palatino Linotype"/>
          <w:b/>
        </w:rPr>
        <w:t xml:space="preserve">12267/INFOEM/IP/RR/2022, </w:t>
      </w:r>
      <w:r w:rsidRPr="00AB23E8">
        <w:rPr>
          <w:rFonts w:ascii="Palatino Linotype" w:eastAsia="Palatino Linotype" w:hAnsi="Palatino Linotype" w:cs="Palatino Linotype"/>
        </w:rPr>
        <w:t xml:space="preserve">promovido por un particular de forma anónima, a quien en lo sucesivo se le denominara como </w:t>
      </w:r>
      <w:r w:rsidRPr="00AB23E8">
        <w:rPr>
          <w:rFonts w:ascii="Palatino Linotype" w:eastAsia="Palatino Linotype" w:hAnsi="Palatino Linotype" w:cs="Palatino Linotype"/>
          <w:b/>
        </w:rPr>
        <w:t>EL RECURRENTE,</w:t>
      </w:r>
      <w:r w:rsidRPr="00AB23E8">
        <w:rPr>
          <w:rFonts w:ascii="Palatino Linotype" w:eastAsia="Palatino Linotype" w:hAnsi="Palatino Linotype" w:cs="Palatino Linotype"/>
        </w:rPr>
        <w:t xml:space="preserve"> en contra de la respuesta del </w:t>
      </w:r>
      <w:r w:rsidRPr="00AB23E8">
        <w:rPr>
          <w:rFonts w:ascii="Palatino Linotype" w:eastAsia="Palatino Linotype" w:hAnsi="Palatino Linotype" w:cs="Palatino Linotype"/>
          <w:b/>
        </w:rPr>
        <w:t xml:space="preserve">Ayuntamiento de Cuautitlán Izcalli </w:t>
      </w:r>
      <w:r w:rsidRPr="00AB23E8">
        <w:rPr>
          <w:rFonts w:ascii="Palatino Linotype" w:eastAsia="Palatino Linotype" w:hAnsi="Palatino Linotype" w:cs="Palatino Linotype"/>
        </w:rPr>
        <w:t xml:space="preserve">en lo subsecuente se le denominará </w:t>
      </w:r>
      <w:r w:rsidRPr="00AB23E8">
        <w:rPr>
          <w:rFonts w:ascii="Palatino Linotype" w:eastAsia="Palatino Linotype" w:hAnsi="Palatino Linotype" w:cs="Palatino Linotype"/>
          <w:b/>
        </w:rPr>
        <w:t xml:space="preserve">EL SUJETO OBLIGADO, </w:t>
      </w:r>
      <w:r w:rsidRPr="00AB23E8">
        <w:rPr>
          <w:rFonts w:ascii="Palatino Linotype" w:eastAsia="Palatino Linotype" w:hAnsi="Palatino Linotype" w:cs="Palatino Linotype"/>
        </w:rPr>
        <w:t>se procede a dictar la presente resolución con base en lo siguiente:</w:t>
      </w:r>
    </w:p>
    <w:p w:rsidR="001670A2" w:rsidRPr="00AB23E8" w:rsidRDefault="001670A2">
      <w:pPr>
        <w:spacing w:line="360" w:lineRule="auto"/>
        <w:jc w:val="both"/>
        <w:rPr>
          <w:rFonts w:ascii="Palatino Linotype" w:eastAsia="Palatino Linotype" w:hAnsi="Palatino Linotype" w:cs="Palatino Linotype"/>
          <w:b/>
        </w:rPr>
      </w:pPr>
    </w:p>
    <w:p w:rsidR="001670A2" w:rsidRPr="00AB23E8" w:rsidRDefault="00D53821">
      <w:pPr>
        <w:jc w:val="center"/>
        <w:rPr>
          <w:rFonts w:ascii="Palatino Linotype" w:eastAsia="Palatino Linotype" w:hAnsi="Palatino Linotype" w:cs="Palatino Linotype"/>
          <w:b/>
          <w:sz w:val="28"/>
          <w:szCs w:val="28"/>
        </w:rPr>
      </w:pPr>
      <w:r w:rsidRPr="00AB23E8">
        <w:rPr>
          <w:rFonts w:ascii="Palatino Linotype" w:eastAsia="Palatino Linotype" w:hAnsi="Palatino Linotype" w:cs="Palatino Linotype"/>
          <w:b/>
          <w:sz w:val="28"/>
          <w:szCs w:val="28"/>
        </w:rPr>
        <w:t>ANTECEDENTES</w:t>
      </w:r>
    </w:p>
    <w:p w:rsidR="001670A2" w:rsidRPr="00AB23E8" w:rsidRDefault="001670A2">
      <w:pPr>
        <w:rPr>
          <w:rFonts w:ascii="Palatino Linotype" w:eastAsia="Palatino Linotype" w:hAnsi="Palatino Linotype" w:cs="Palatino Linotype"/>
          <w:b/>
        </w:rPr>
      </w:pPr>
    </w:p>
    <w:p w:rsidR="001670A2" w:rsidRPr="00AB23E8" w:rsidRDefault="00D53821">
      <w:pPr>
        <w:spacing w:line="360" w:lineRule="auto"/>
        <w:jc w:val="both"/>
        <w:rPr>
          <w:rFonts w:ascii="Palatino Linotype" w:eastAsia="Palatino Linotype" w:hAnsi="Palatino Linotype" w:cs="Palatino Linotype"/>
          <w:b/>
          <w:sz w:val="28"/>
          <w:szCs w:val="28"/>
        </w:rPr>
      </w:pPr>
      <w:r w:rsidRPr="00AB23E8">
        <w:rPr>
          <w:rFonts w:ascii="Palatino Linotype" w:eastAsia="Palatino Linotype" w:hAnsi="Palatino Linotype" w:cs="Palatino Linotype"/>
          <w:b/>
          <w:sz w:val="28"/>
          <w:szCs w:val="28"/>
        </w:rPr>
        <w:t>I.</w:t>
      </w:r>
      <w:r w:rsidRPr="00AB23E8">
        <w:rPr>
          <w:rFonts w:ascii="Palatino Linotype" w:eastAsia="Palatino Linotype" w:hAnsi="Palatino Linotype" w:cs="Palatino Linotype"/>
          <w:b/>
        </w:rPr>
        <w:t xml:space="preserve"> </w:t>
      </w:r>
      <w:r w:rsidRPr="00AB23E8">
        <w:rPr>
          <w:rFonts w:ascii="Palatino Linotype" w:eastAsia="Palatino Linotype" w:hAnsi="Palatino Linotype" w:cs="Palatino Linotype"/>
          <w:b/>
          <w:sz w:val="28"/>
          <w:szCs w:val="28"/>
        </w:rPr>
        <w:t>De la Solicitud de Información</w:t>
      </w:r>
    </w:p>
    <w:p w:rsidR="001670A2" w:rsidRPr="00AB23E8" w:rsidRDefault="00D53821">
      <w:pPr>
        <w:spacing w:line="360" w:lineRule="auto"/>
        <w:jc w:val="both"/>
        <w:rPr>
          <w:rFonts w:ascii="Palatino Linotype" w:eastAsia="Palatino Linotype" w:hAnsi="Palatino Linotype" w:cs="Palatino Linotype"/>
        </w:rPr>
      </w:pPr>
      <w:bookmarkStart w:id="1" w:name="_heading=h.ifuj3wtxm21l" w:colFirst="0" w:colLast="0"/>
      <w:bookmarkEnd w:id="1"/>
      <w:r w:rsidRPr="00AB23E8">
        <w:rPr>
          <w:rFonts w:ascii="Palatino Linotype" w:eastAsia="Palatino Linotype" w:hAnsi="Palatino Linotype" w:cs="Palatino Linotype"/>
        </w:rPr>
        <w:t xml:space="preserve">En fecha </w:t>
      </w:r>
      <w:r w:rsidRPr="00AB23E8">
        <w:rPr>
          <w:rFonts w:ascii="Palatino Linotype" w:eastAsia="Palatino Linotype" w:hAnsi="Palatino Linotype" w:cs="Palatino Linotype"/>
          <w:b/>
        </w:rPr>
        <w:t>veintitrés de mayo de dos mil veintidós</w:t>
      </w:r>
      <w:r w:rsidRPr="00AB23E8">
        <w:rPr>
          <w:rFonts w:ascii="Palatino Linotype" w:eastAsia="Palatino Linotype" w:hAnsi="Palatino Linotype" w:cs="Palatino Linotype"/>
        </w:rPr>
        <w:t xml:space="preserve">, </w:t>
      </w:r>
      <w:r w:rsidRPr="00AB23E8">
        <w:rPr>
          <w:rFonts w:ascii="Palatino Linotype" w:eastAsia="Palatino Linotype" w:hAnsi="Palatino Linotype" w:cs="Palatino Linotype"/>
          <w:b/>
        </w:rPr>
        <w:t>EL RECURRENTE</w:t>
      </w:r>
      <w:r w:rsidRPr="00AB23E8">
        <w:rPr>
          <w:rFonts w:ascii="Palatino Linotype" w:eastAsia="Palatino Linotype" w:hAnsi="Palatino Linotype" w:cs="Palatino Linotype"/>
        </w:rPr>
        <w:t xml:space="preserve"> presentó a través del Sistema de Acceso a la Información Mexiquense, en lo subsecuente </w:t>
      </w:r>
      <w:r w:rsidRPr="00AB23E8">
        <w:rPr>
          <w:rFonts w:ascii="Palatino Linotype" w:eastAsia="Palatino Linotype" w:hAnsi="Palatino Linotype" w:cs="Palatino Linotype"/>
          <w:b/>
        </w:rPr>
        <w:t>EL SAIMEX</w:t>
      </w:r>
      <w:r w:rsidRPr="00AB23E8">
        <w:rPr>
          <w:rFonts w:ascii="Palatino Linotype" w:eastAsia="Palatino Linotype" w:hAnsi="Palatino Linotype" w:cs="Palatino Linotype"/>
        </w:rPr>
        <w:t xml:space="preserve"> ante </w:t>
      </w:r>
      <w:r w:rsidRPr="00AB23E8">
        <w:rPr>
          <w:rFonts w:ascii="Palatino Linotype" w:eastAsia="Palatino Linotype" w:hAnsi="Palatino Linotype" w:cs="Palatino Linotype"/>
          <w:b/>
        </w:rPr>
        <w:t>EL SUJETO OBLIGADO</w:t>
      </w:r>
      <w:r w:rsidRPr="00AB23E8">
        <w:rPr>
          <w:rFonts w:ascii="Palatino Linotype" w:eastAsia="Palatino Linotype" w:hAnsi="Palatino Linotype" w:cs="Palatino Linotype"/>
        </w:rPr>
        <w:t xml:space="preserve">, la solicitud de acceso a la información pública, a la que se le asignó el número de expediente </w:t>
      </w:r>
      <w:r w:rsidRPr="00AB23E8">
        <w:rPr>
          <w:rFonts w:ascii="Palatino Linotype" w:eastAsia="Palatino Linotype" w:hAnsi="Palatino Linotype" w:cs="Palatino Linotype"/>
          <w:b/>
        </w:rPr>
        <w:t xml:space="preserve">00439/CUAUTIZC/IP/2022, </w:t>
      </w:r>
      <w:r w:rsidRPr="00AB23E8">
        <w:rPr>
          <w:rFonts w:ascii="Palatino Linotype" w:eastAsia="Palatino Linotype" w:hAnsi="Palatino Linotype" w:cs="Palatino Linotype"/>
        </w:rPr>
        <w:t>requirió, lo siguiente:</w:t>
      </w:r>
    </w:p>
    <w:p w:rsidR="001670A2" w:rsidRPr="00AB23E8" w:rsidRDefault="00D53821">
      <w:pPr>
        <w:ind w:left="850"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 xml:space="preserve">“Con fines de investigación y académicos solicito la siguiente información. Información a requerir a los municipios 1. ¿Cuál es el presupuesto aprobado para el ejercicio fiscal 2022? 2. ¿Cuál es la principal Actividad Económica del Municipio y que porcentaje representa? 3. Qué monto de los ingresos del municipio son: a. Ingresos propios (de recaudación municipal) i. ¿Cuánto representa del total del presupuesto? b. ¿A cuánto ascienden los Ingresos proveniente de las de partidas presupuestales? i. Federales ir. Estatales iii. ¿Cuál es Porcentaje que representan del </w:t>
      </w:r>
      <w:r w:rsidRPr="00AB23E8">
        <w:rPr>
          <w:rFonts w:ascii="Palatino Linotype" w:eastAsia="Palatino Linotype" w:hAnsi="Palatino Linotype" w:cs="Palatino Linotype"/>
          <w:i/>
          <w:sz w:val="22"/>
          <w:szCs w:val="22"/>
        </w:rPr>
        <w:lastRenderedPageBreak/>
        <w:t xml:space="preserve">total del presupuesto? 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a. Impuestos i. ¿Cuál es el Monto recaudado por los Impuestos sobre conjuntos urbanos?, por cada uno de los años a partir del 2011 hasta el 2021. ii. ¿Cuál fue la recaudación por los Impuestos sobre anuncios publicitarios especificados en el artículo 120 y 121 por cada una de sus fracciones del Código Financiero del Estado de México y Municipios?, por cada uno de los años a partir del 2011 hasta el 2021. iii. Indicar el número de anuncios que no pagan impuesto por estar en el supuesto del penúltimo párrafo del artículo 121 del Código Financiero del Estado de México y Municipios., por cada uno de los años a partir del 2011 hasta el 2021. iv. ¿Cuál fue la recaudación 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b. Derechos i. ¿Cuál fue la recaudación por los Ingresos por el pago de los Derechos establecidos en el artículo 143 y 144 por cada una de sus fracciones del Código Financiero del Estado de México y Municipios?, por cada uno de los años a partir del 2011 hasta el 2021. 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iii.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iv. Indicar si al municipio le retuvieron por parte de la </w:t>
      </w:r>
      <w:r w:rsidRPr="00AB23E8">
        <w:rPr>
          <w:rFonts w:ascii="Palatino Linotype" w:eastAsia="Palatino Linotype" w:hAnsi="Palatino Linotype" w:cs="Palatino Linotype"/>
          <w:i/>
          <w:sz w:val="22"/>
          <w:szCs w:val="22"/>
        </w:rPr>
        <w:lastRenderedPageBreak/>
        <w:t xml:space="preserve">Secretaria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 v. ¿A cuánto ascienden los ingresos recaudados por lo establecido en el artículo 154 en cada una de sus fracciones del Código Financiero del Estado de México y Municipios de los años 2011 al 2021? vi. ¿Cuál fue la recaudación por los Derechos establecido en la fracción I? por cada una de los supuestos siguientes de cada uno de los años que comprenden del 2011 al 2021: a. Puestos fijos b. Semi fijos c. Comerciantes ambulantes vii.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w:t>
      </w:r>
      <w:r w:rsidRPr="00AB23E8">
        <w:rPr>
          <w:rFonts w:ascii="Palatino Linotype" w:eastAsia="Palatino Linotype" w:hAnsi="Palatino Linotype" w:cs="Palatino Linotype"/>
          <w:i/>
          <w:sz w:val="22"/>
          <w:szCs w:val="22"/>
        </w:rPr>
        <w:lastRenderedPageBreak/>
        <w:t>1. Especificar ¿cuántas personas Fiscas o Jurídicas Colectivas pagan el Derecho de refrendo por cada inciso del A) a la G)? y ¿cuántos pagan dos o más Derechos establecidos en el artículo 159 fracción I del Código Financiero del Estado de México y Municipios?. 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5. ¿El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 (sic)</w:t>
      </w:r>
    </w:p>
    <w:p w:rsidR="001670A2" w:rsidRPr="00AB23E8" w:rsidRDefault="001670A2">
      <w:pPr>
        <w:tabs>
          <w:tab w:val="left" w:pos="851"/>
        </w:tabs>
        <w:ind w:right="901"/>
        <w:jc w:val="both"/>
        <w:rPr>
          <w:rFonts w:ascii="Palatino Linotype" w:eastAsia="Palatino Linotype" w:hAnsi="Palatino Linotype" w:cs="Palatino Linotype"/>
          <w:sz w:val="22"/>
          <w:szCs w:val="22"/>
        </w:rPr>
      </w:pPr>
    </w:p>
    <w:p w:rsidR="001670A2" w:rsidRPr="00AB23E8" w:rsidRDefault="00D53821">
      <w:pPr>
        <w:widowControl w:val="0"/>
        <w:spacing w:line="360" w:lineRule="auto"/>
        <w:jc w:val="both"/>
        <w:rPr>
          <w:rFonts w:ascii="Palatino Linotype" w:eastAsia="Palatino Linotype" w:hAnsi="Palatino Linotype" w:cs="Palatino Linotype"/>
          <w:b/>
        </w:rPr>
      </w:pPr>
      <w:r w:rsidRPr="00AB23E8">
        <w:rPr>
          <w:rFonts w:ascii="Palatino Linotype" w:eastAsia="Palatino Linotype" w:hAnsi="Palatino Linotype" w:cs="Palatino Linotype"/>
          <w:b/>
        </w:rPr>
        <w:t xml:space="preserve">MODALIDAD DE ENTREGA: </w:t>
      </w:r>
      <w:r w:rsidRPr="00AB23E8">
        <w:rPr>
          <w:rFonts w:ascii="Palatino Linotype" w:eastAsia="Palatino Linotype" w:hAnsi="Palatino Linotype" w:cs="Palatino Linotype"/>
        </w:rPr>
        <w:t xml:space="preserve">vía </w:t>
      </w:r>
      <w:r w:rsidRPr="00AB23E8">
        <w:rPr>
          <w:rFonts w:ascii="Palatino Linotype" w:eastAsia="Palatino Linotype" w:hAnsi="Palatino Linotype" w:cs="Palatino Linotype"/>
          <w:b/>
        </w:rPr>
        <w:t xml:space="preserve">SAIMEX </w:t>
      </w:r>
    </w:p>
    <w:p w:rsidR="001670A2" w:rsidRPr="00AB23E8" w:rsidRDefault="001670A2">
      <w:pPr>
        <w:widowControl w:val="0"/>
        <w:spacing w:line="360" w:lineRule="auto"/>
        <w:jc w:val="both"/>
        <w:rPr>
          <w:rFonts w:ascii="Palatino Linotype" w:eastAsia="Palatino Linotype" w:hAnsi="Palatino Linotype" w:cs="Palatino Linotype"/>
          <w:b/>
        </w:rPr>
      </w:pPr>
    </w:p>
    <w:p w:rsidR="001670A2" w:rsidRPr="00AB23E8" w:rsidRDefault="00D53821">
      <w:pPr>
        <w:widowControl w:val="0"/>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El particular adjuntó a su solicitud el documento denominado </w:t>
      </w:r>
      <w:r w:rsidRPr="00AB23E8">
        <w:rPr>
          <w:rFonts w:ascii="Palatino Linotype" w:eastAsia="Palatino Linotype" w:hAnsi="Palatino Linotype" w:cs="Palatino Linotype"/>
          <w:b/>
          <w:i/>
        </w:rPr>
        <w:t xml:space="preserve">Requerimiento de trasparencia 2022.docx.pdf </w:t>
      </w:r>
      <w:r w:rsidRPr="00AB23E8">
        <w:rPr>
          <w:rFonts w:ascii="Palatino Linotype" w:eastAsia="Palatino Linotype" w:hAnsi="Palatino Linotype" w:cs="Palatino Linotype"/>
        </w:rPr>
        <w:t xml:space="preserve">del cual se advierte lo siguiente: </w:t>
      </w:r>
    </w:p>
    <w:p w:rsidR="001670A2" w:rsidRPr="00AB23E8" w:rsidRDefault="00D53821">
      <w:pPr>
        <w:widowControl w:val="0"/>
        <w:spacing w:line="360" w:lineRule="auto"/>
        <w:jc w:val="center"/>
        <w:rPr>
          <w:rFonts w:ascii="Palatino Linotype" w:eastAsia="Palatino Linotype" w:hAnsi="Palatino Linotype" w:cs="Palatino Linotype"/>
        </w:rPr>
      </w:pPr>
      <w:r w:rsidRPr="00AB23E8">
        <w:rPr>
          <w:rFonts w:ascii="Palatino Linotype" w:eastAsia="Palatino Linotype" w:hAnsi="Palatino Linotype" w:cs="Palatino Linotype"/>
          <w:noProof/>
        </w:rPr>
        <w:lastRenderedPageBreak/>
        <w:drawing>
          <wp:inline distT="114300" distB="114300" distL="114300" distR="114300">
            <wp:extent cx="4972050" cy="6112640"/>
            <wp:effectExtent l="0" t="0" r="0" b="0"/>
            <wp:docPr id="49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t="6324"/>
                    <a:stretch>
                      <a:fillRect/>
                    </a:stretch>
                  </pic:blipFill>
                  <pic:spPr>
                    <a:xfrm>
                      <a:off x="0" y="0"/>
                      <a:ext cx="4972050" cy="6112640"/>
                    </a:xfrm>
                    <a:prstGeom prst="rect">
                      <a:avLst/>
                    </a:prstGeom>
                    <a:ln/>
                  </pic:spPr>
                </pic:pic>
              </a:graphicData>
            </a:graphic>
          </wp:inline>
        </w:drawing>
      </w:r>
    </w:p>
    <w:p w:rsidR="001670A2" w:rsidRPr="00AB23E8" w:rsidRDefault="00D53821">
      <w:pPr>
        <w:widowControl w:val="0"/>
        <w:spacing w:line="360" w:lineRule="auto"/>
        <w:jc w:val="center"/>
        <w:rPr>
          <w:rFonts w:ascii="Palatino Linotype" w:eastAsia="Palatino Linotype" w:hAnsi="Palatino Linotype" w:cs="Palatino Linotype"/>
          <w:b/>
        </w:rPr>
      </w:pPr>
      <w:r w:rsidRPr="00AB23E8">
        <w:rPr>
          <w:rFonts w:ascii="Palatino Linotype" w:eastAsia="Palatino Linotype" w:hAnsi="Palatino Linotype" w:cs="Palatino Linotype"/>
          <w:b/>
          <w:noProof/>
        </w:rPr>
        <w:lastRenderedPageBreak/>
        <w:drawing>
          <wp:inline distT="114300" distB="114300" distL="114300" distR="114300">
            <wp:extent cx="5019675" cy="6486479"/>
            <wp:effectExtent l="0" t="0" r="0" b="0"/>
            <wp:docPr id="49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l="9473" t="5548"/>
                    <a:stretch>
                      <a:fillRect/>
                    </a:stretch>
                  </pic:blipFill>
                  <pic:spPr>
                    <a:xfrm>
                      <a:off x="0" y="0"/>
                      <a:ext cx="5019675" cy="6486479"/>
                    </a:xfrm>
                    <a:prstGeom prst="rect">
                      <a:avLst/>
                    </a:prstGeom>
                    <a:ln/>
                  </pic:spPr>
                </pic:pic>
              </a:graphicData>
            </a:graphic>
          </wp:inline>
        </w:drawing>
      </w:r>
    </w:p>
    <w:p w:rsidR="001670A2" w:rsidRPr="00AB23E8" w:rsidRDefault="00D53821">
      <w:pPr>
        <w:widowControl w:val="0"/>
        <w:spacing w:line="360" w:lineRule="auto"/>
        <w:jc w:val="center"/>
        <w:rPr>
          <w:rFonts w:ascii="Palatino Linotype" w:eastAsia="Palatino Linotype" w:hAnsi="Palatino Linotype" w:cs="Palatino Linotype"/>
          <w:b/>
        </w:rPr>
      </w:pPr>
      <w:r w:rsidRPr="00AB23E8">
        <w:rPr>
          <w:rFonts w:ascii="Palatino Linotype" w:eastAsia="Palatino Linotype" w:hAnsi="Palatino Linotype" w:cs="Palatino Linotype"/>
          <w:b/>
          <w:noProof/>
        </w:rPr>
        <w:lastRenderedPageBreak/>
        <w:drawing>
          <wp:inline distT="114300" distB="114300" distL="114300" distR="114300">
            <wp:extent cx="5206396" cy="6758033"/>
            <wp:effectExtent l="0" t="0" r="0" b="0"/>
            <wp:docPr id="49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5206396" cy="6758033"/>
                    </a:xfrm>
                    <a:prstGeom prst="rect">
                      <a:avLst/>
                    </a:prstGeom>
                    <a:ln/>
                  </pic:spPr>
                </pic:pic>
              </a:graphicData>
            </a:graphic>
          </wp:inline>
        </w:drawing>
      </w:r>
    </w:p>
    <w:p w:rsidR="001670A2" w:rsidRPr="00AB23E8" w:rsidRDefault="00D53821">
      <w:pPr>
        <w:widowControl w:val="0"/>
        <w:spacing w:line="360" w:lineRule="auto"/>
        <w:jc w:val="center"/>
        <w:rPr>
          <w:rFonts w:ascii="Palatino Linotype" w:eastAsia="Palatino Linotype" w:hAnsi="Palatino Linotype" w:cs="Palatino Linotype"/>
          <w:b/>
        </w:rPr>
      </w:pPr>
      <w:r w:rsidRPr="00AB23E8">
        <w:rPr>
          <w:rFonts w:ascii="Palatino Linotype" w:eastAsia="Palatino Linotype" w:hAnsi="Palatino Linotype" w:cs="Palatino Linotype"/>
          <w:b/>
          <w:noProof/>
        </w:rPr>
        <w:lastRenderedPageBreak/>
        <w:drawing>
          <wp:inline distT="114300" distB="114300" distL="114300" distR="114300">
            <wp:extent cx="5283907" cy="1709783"/>
            <wp:effectExtent l="0" t="0" r="0" b="0"/>
            <wp:docPr id="49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t="17586" b="6527"/>
                    <a:stretch>
                      <a:fillRect/>
                    </a:stretch>
                  </pic:blipFill>
                  <pic:spPr>
                    <a:xfrm>
                      <a:off x="0" y="0"/>
                      <a:ext cx="5283907" cy="1709783"/>
                    </a:xfrm>
                    <a:prstGeom prst="rect">
                      <a:avLst/>
                    </a:prstGeom>
                    <a:ln/>
                  </pic:spPr>
                </pic:pic>
              </a:graphicData>
            </a:graphic>
          </wp:inline>
        </w:drawing>
      </w:r>
    </w:p>
    <w:p w:rsidR="001670A2" w:rsidRPr="00AB23E8" w:rsidRDefault="00D53821">
      <w:pPr>
        <w:widowControl w:val="0"/>
        <w:spacing w:line="360" w:lineRule="auto"/>
        <w:jc w:val="both"/>
        <w:rPr>
          <w:rFonts w:ascii="Palatino Linotype" w:eastAsia="Palatino Linotype" w:hAnsi="Palatino Linotype" w:cs="Palatino Linotype"/>
          <w:b/>
          <w:sz w:val="28"/>
          <w:szCs w:val="28"/>
        </w:rPr>
      </w:pPr>
      <w:r w:rsidRPr="00AB23E8">
        <w:rPr>
          <w:rFonts w:ascii="Palatino Linotype" w:eastAsia="Palatino Linotype" w:hAnsi="Palatino Linotype" w:cs="Palatino Linotype"/>
          <w:b/>
          <w:sz w:val="28"/>
          <w:szCs w:val="28"/>
        </w:rPr>
        <w:t>II. Turno de requerimiento del Sujeto Obligado</w:t>
      </w:r>
    </w:p>
    <w:p w:rsidR="001670A2" w:rsidRPr="00AB23E8" w:rsidRDefault="00D53821">
      <w:pPr>
        <w:spacing w:line="360" w:lineRule="auto"/>
        <w:jc w:val="both"/>
        <w:rPr>
          <w:rFonts w:ascii="Palatino Linotype" w:eastAsia="Palatino Linotype" w:hAnsi="Palatino Linotype" w:cs="Palatino Linotype"/>
          <w:b/>
          <w:sz w:val="28"/>
          <w:szCs w:val="28"/>
        </w:rPr>
      </w:pPr>
      <w:r w:rsidRPr="00AB23E8">
        <w:rPr>
          <w:rFonts w:ascii="Palatino Linotype" w:eastAsia="Palatino Linotype" w:hAnsi="Palatino Linotype" w:cs="Palatino Linotype"/>
        </w:rPr>
        <w:t>De las constancias que obran en los expedientes electrónicos del SAIMEX  se advierte en fecha veintitrés de mayo de dos mil veintidós el turno de requerimiento hecho por el Titular de la Unidad de Transparencia, en términos de lo establecido por el artículo 162 de la Ley de Transparencia y Acceso a la Información Pública del Estado de México y Municipios.</w:t>
      </w:r>
    </w:p>
    <w:p w:rsidR="001670A2" w:rsidRPr="00AB23E8" w:rsidRDefault="001670A2">
      <w:pPr>
        <w:spacing w:line="360" w:lineRule="auto"/>
        <w:jc w:val="both"/>
        <w:rPr>
          <w:rFonts w:ascii="Palatino Linotype" w:eastAsia="Palatino Linotype" w:hAnsi="Palatino Linotype" w:cs="Palatino Linotype"/>
          <w:b/>
          <w:sz w:val="28"/>
          <w:szCs w:val="28"/>
        </w:rPr>
      </w:pPr>
    </w:p>
    <w:p w:rsidR="001670A2" w:rsidRPr="00AB23E8" w:rsidRDefault="00D53821">
      <w:pPr>
        <w:spacing w:line="360" w:lineRule="auto"/>
        <w:jc w:val="both"/>
        <w:rPr>
          <w:rFonts w:ascii="Palatino Linotype" w:eastAsia="Palatino Linotype" w:hAnsi="Palatino Linotype" w:cs="Palatino Linotype"/>
          <w:b/>
          <w:sz w:val="28"/>
          <w:szCs w:val="28"/>
        </w:rPr>
      </w:pPr>
      <w:r w:rsidRPr="00AB23E8">
        <w:rPr>
          <w:rFonts w:ascii="Palatino Linotype" w:eastAsia="Palatino Linotype" w:hAnsi="Palatino Linotype" w:cs="Palatino Linotype"/>
          <w:b/>
          <w:sz w:val="28"/>
          <w:szCs w:val="28"/>
        </w:rPr>
        <w:t xml:space="preserve">III. De la Prórroga </w:t>
      </w:r>
    </w:p>
    <w:p w:rsidR="001670A2" w:rsidRPr="00AB23E8" w:rsidRDefault="00D53821">
      <w:pPr>
        <w:spacing w:line="360" w:lineRule="auto"/>
        <w:jc w:val="both"/>
        <w:rPr>
          <w:rFonts w:ascii="Palatino Linotype" w:eastAsia="Palatino Linotype" w:hAnsi="Palatino Linotype" w:cs="Palatino Linotype"/>
          <w:b/>
          <w:sz w:val="28"/>
          <w:szCs w:val="28"/>
        </w:rPr>
      </w:pPr>
      <w:r w:rsidRPr="00AB23E8">
        <w:rPr>
          <w:rFonts w:ascii="Palatino Linotype" w:eastAsia="Palatino Linotype" w:hAnsi="Palatino Linotype" w:cs="Palatino Linotype"/>
        </w:rPr>
        <w:t>En fecha trece de junio de dos mil veintidós,</w:t>
      </w:r>
      <w:r w:rsidRPr="00AB23E8">
        <w:rPr>
          <w:rFonts w:ascii="Palatino Linotype" w:eastAsia="Palatino Linotype" w:hAnsi="Palatino Linotype" w:cs="Palatino Linotype"/>
          <w:b/>
        </w:rPr>
        <w:t xml:space="preserve"> EL SUJETO OBLIGADO</w:t>
      </w:r>
      <w:r w:rsidRPr="00AB23E8">
        <w:rPr>
          <w:rFonts w:ascii="Palatino Linotype" w:eastAsia="Palatino Linotype" w:hAnsi="Palatino Linotype" w:cs="Palatino Linotype"/>
        </w:rPr>
        <w:t xml:space="preserve"> notificó la prórroga de siete días hábiles para dar respuesta a la solicitud de acceso a la información del particular.  </w:t>
      </w:r>
    </w:p>
    <w:p w:rsidR="001670A2" w:rsidRPr="00AB23E8" w:rsidRDefault="001670A2">
      <w:pPr>
        <w:spacing w:line="360" w:lineRule="auto"/>
        <w:jc w:val="both"/>
        <w:rPr>
          <w:rFonts w:ascii="Palatino Linotype" w:eastAsia="Palatino Linotype" w:hAnsi="Palatino Linotype" w:cs="Palatino Linotype"/>
          <w:b/>
          <w:sz w:val="28"/>
          <w:szCs w:val="28"/>
        </w:rPr>
      </w:pPr>
    </w:p>
    <w:p w:rsidR="00AB23E8" w:rsidRPr="00AB23E8" w:rsidRDefault="00AB23E8">
      <w:pPr>
        <w:spacing w:line="360" w:lineRule="auto"/>
        <w:jc w:val="both"/>
        <w:rPr>
          <w:rFonts w:ascii="Palatino Linotype" w:eastAsia="Palatino Linotype" w:hAnsi="Palatino Linotype" w:cs="Palatino Linotype"/>
          <w:b/>
          <w:sz w:val="28"/>
          <w:szCs w:val="28"/>
        </w:rPr>
      </w:pPr>
    </w:p>
    <w:p w:rsidR="00AB23E8" w:rsidRPr="00AB23E8" w:rsidRDefault="00AB23E8">
      <w:pPr>
        <w:spacing w:line="360" w:lineRule="auto"/>
        <w:jc w:val="both"/>
        <w:rPr>
          <w:rFonts w:ascii="Palatino Linotype" w:eastAsia="Palatino Linotype" w:hAnsi="Palatino Linotype" w:cs="Palatino Linotype"/>
          <w:b/>
          <w:sz w:val="28"/>
          <w:szCs w:val="28"/>
        </w:rPr>
      </w:pPr>
    </w:p>
    <w:p w:rsidR="00AB23E8" w:rsidRPr="00AB23E8" w:rsidRDefault="00AB23E8">
      <w:pPr>
        <w:spacing w:line="360" w:lineRule="auto"/>
        <w:jc w:val="both"/>
        <w:rPr>
          <w:rFonts w:ascii="Palatino Linotype" w:eastAsia="Palatino Linotype" w:hAnsi="Palatino Linotype" w:cs="Palatino Linotype"/>
          <w:b/>
          <w:sz w:val="28"/>
          <w:szCs w:val="28"/>
        </w:rPr>
      </w:pPr>
    </w:p>
    <w:p w:rsidR="001670A2" w:rsidRPr="00AB23E8" w:rsidRDefault="00D53821">
      <w:pPr>
        <w:spacing w:line="360" w:lineRule="auto"/>
        <w:jc w:val="both"/>
        <w:rPr>
          <w:rFonts w:ascii="Palatino Linotype" w:eastAsia="Palatino Linotype" w:hAnsi="Palatino Linotype" w:cs="Palatino Linotype"/>
          <w:b/>
          <w:sz w:val="28"/>
          <w:szCs w:val="28"/>
        </w:rPr>
      </w:pPr>
      <w:r w:rsidRPr="00AB23E8">
        <w:rPr>
          <w:rFonts w:ascii="Palatino Linotype" w:eastAsia="Palatino Linotype" w:hAnsi="Palatino Linotype" w:cs="Palatino Linotype"/>
          <w:b/>
          <w:sz w:val="28"/>
          <w:szCs w:val="28"/>
        </w:rPr>
        <w:lastRenderedPageBreak/>
        <w:t>IV. Respuesta del Sujeto Obligado</w:t>
      </w: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De las constancias que obran en el expediente electrónico del SAIMEX se observa que en fecha</w:t>
      </w:r>
      <w:r w:rsidRPr="00AB23E8">
        <w:rPr>
          <w:rFonts w:ascii="Palatino Linotype" w:eastAsia="Palatino Linotype" w:hAnsi="Palatino Linotype" w:cs="Palatino Linotype"/>
          <w:b/>
        </w:rPr>
        <w:t xml:space="preserve"> veintidós de junio de dos mil veintidós</w:t>
      </w:r>
      <w:r w:rsidRPr="00AB23E8">
        <w:rPr>
          <w:rFonts w:ascii="Palatino Linotype" w:eastAsia="Palatino Linotype" w:hAnsi="Palatino Linotype" w:cs="Palatino Linotype"/>
        </w:rPr>
        <w:t xml:space="preserve">, </w:t>
      </w:r>
      <w:r w:rsidRPr="00AB23E8">
        <w:rPr>
          <w:rFonts w:ascii="Palatino Linotype" w:eastAsia="Palatino Linotype" w:hAnsi="Palatino Linotype" w:cs="Palatino Linotype"/>
          <w:b/>
        </w:rPr>
        <w:t>EL SUJETO OBLIGADO</w:t>
      </w:r>
      <w:r w:rsidRPr="00AB23E8">
        <w:rPr>
          <w:rFonts w:ascii="Palatino Linotype" w:eastAsia="Palatino Linotype" w:hAnsi="Palatino Linotype" w:cs="Palatino Linotype"/>
        </w:rPr>
        <w:t xml:space="preserve"> dio respuesta en los términos siguientes: </w:t>
      </w:r>
    </w:p>
    <w:p w:rsidR="001670A2" w:rsidRPr="00AB23E8" w:rsidRDefault="00D53821">
      <w:pPr>
        <w:ind w:left="850"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 Tesorería Municipal, (2) Dirección de Desarrollo Económico, (3) Dirección de Desarrollo Urbano, (4) Secretaría del Ayuntamiento y (5) Presidencia Municipal 1.- “Reciba un cordial saludo de quien suscribe, por este medio, en atención a la solicitud de información con número de folio 439/CUAUTIZC/IP/2022, recibida a través de la plataforma SAIMEX, que a la letra se transcribe: “Con fines de investigación y académicos solicito la siguiente información. Información a requerir a los municipios 1. ¿Cuál es el presupuesto aprobado para el ejercicio fiscal 2022? 2. ¿Cuál es la principal Actividad Económica del Municipio y que porcentaje representa? 3. Qué monto de los ingresos del municipio son: a. Ingresos propios (de recaudación municipal) i. ¿Cuánto representa del total del presupuesto? b. ¿A cuánto ascienden los Ingresos proveniente de las de partidas presupuestales? i. Federales ii. Estatales iii. ¿Cuál es Porcentaje que representan del total del presupuesto? 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a. Impuestos i. ¿Cuál es el Monto recaudado por los Impuestos sobre conjuntos urbanos?, por cada uno de los años a partir del 2011 hasta el 2021. ii. ¿Cuál fue la recaudación por los Impuestos sobre anuncios publicitarios especificados en el artículo 120 y 121 por cada una de sus fracciones del Código Financiero del Estado de México y Municipios?, por cada uno de los años a partir </w:t>
      </w:r>
      <w:r w:rsidRPr="00AB23E8">
        <w:rPr>
          <w:rFonts w:ascii="Palatino Linotype" w:eastAsia="Palatino Linotype" w:hAnsi="Palatino Linotype" w:cs="Palatino Linotype"/>
          <w:i/>
          <w:sz w:val="22"/>
          <w:szCs w:val="22"/>
        </w:rPr>
        <w:lastRenderedPageBreak/>
        <w:t xml:space="preserve">del 2011 hasta el 2021. iii. Indicar el número de anuncios que no pagan impuesto por estar en el supuesto del penúltimo párrafo del artículo 121 del Código Financiero del Estado de México y Municipios., por cada uno de los años a partir del 2011 hasta el 2021. iv. ¿Cuál fue la recaudación 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b. Derechos i. ¿Cuál fue la recaudación por los Ingresos por el pago de los Derechos establecidos en el artículo 143 y 144 por cada una de sus fracciones del Código Financiero del Estado de México y Municipios?, por cada uno de los años a partir del 2011 hasta el 2021. 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iii.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iv. 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 v. ¿A cuánto ascienden los ingresos recaudados por lo establecido en el artículo 154 en cada una de sus fracciones del Código Financiero del Estado de México y Municipios de los años 2011 al 2021? vi. ¿Cuál fue la recaudación por los Derechos establecido en la fracción I? por cada una de los supuestos siguientes de cada uno de los años que </w:t>
      </w:r>
      <w:r w:rsidRPr="00AB23E8">
        <w:rPr>
          <w:rFonts w:ascii="Palatino Linotype" w:eastAsia="Palatino Linotype" w:hAnsi="Palatino Linotype" w:cs="Palatino Linotype"/>
          <w:i/>
          <w:sz w:val="22"/>
          <w:szCs w:val="22"/>
        </w:rPr>
        <w:lastRenderedPageBreak/>
        <w:t xml:space="preserve">comprenden del 2011 al 2021: a. Puestos fijos b. Semi fijos c. Comerciantes ambulantes vii.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Financiero del Estado de México y Municipios?. 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5. ¿El municipio tiene Reglamentos, manuales de operación o lineamientos para la recaudación de los siguientes conceptos?: a. </w:t>
      </w:r>
      <w:r w:rsidRPr="00AB23E8">
        <w:rPr>
          <w:rFonts w:ascii="Palatino Linotype" w:eastAsia="Palatino Linotype" w:hAnsi="Palatino Linotype" w:cs="Palatino Linotype"/>
          <w:i/>
          <w:sz w:val="22"/>
          <w:szCs w:val="22"/>
        </w:rPr>
        <w:lastRenderedPageBreak/>
        <w:t xml:space="preserve">Impuestos Publicitarios i. Lineamientos para el desarrollo de las actividades fracciones IV y VI del Artículo 121 del Código Financiero del Estado de México y 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 ”SIC Sobre el particular y con fundamento en los artículos 11, 12 segundo párrafo de la Ley de Transparencia y Acceso a la Información Pública del Estado de México y Municipios, y acorde a las facultades de esta Tesorería Municipal le informo lo siguiente: 1. Inciso 1. El presupuesto definitivo aprobado para el ejercicio fiscal 2022 es de $2’ 781,957,880.57 (Dos mil setecientos ochenta y un mil millones novecientos cincuenta y siete mil ochocientos ochenta pesos 51/100 M.N.), mismo que fue publicado en la gaceta municipal de Cuautitlán Izcalli de fecha 25 de febrero de 2022. Mismo que en cumplimiento a las obligaciones de Transparencia de este sujeto obligado específicamente establecidas en el artículo 94, fracción I inciso b: Artículo 94. Además de las obligaciones de transparencia común a que se refiere el Capítulo II de este Título, los sujetos obligados del Poder Ejecutivo Local y municipales, deberán poner a disposición del público y actualizar la siguiente información: I. En el caso del Poder Ejecutivo y los Municipios, en el ámbito de su competencia: … b) El presupuesto de egresos… Se encuentra publicado en el Portal de Acceso a la Información Pública de Oficio Mexiquense (IPOMEX) y para efectos es consultable en el siguiente link: http://transparencia.izcalli.gob.mx/wp-content/uploads/dataTransparencia/articulo92/fraccion_XXV_A/PRESUPUESTO-DE-EGRESOS.pdf 2. En relación a los puntos 3 y 4 por lo que hace a los ingresos por los conceptos mencionados le informo que de conformidad con el artículo 92 fracción XLVII de la LTAIPEMyM: Artículo 92. Los sujetos obligados deberán </w:t>
      </w:r>
      <w:r w:rsidRPr="00AB23E8">
        <w:rPr>
          <w:rFonts w:ascii="Palatino Linotype" w:eastAsia="Palatino Linotype" w:hAnsi="Palatino Linotype" w:cs="Palatino Linotype"/>
          <w:i/>
          <w:sz w:val="22"/>
          <w:szCs w:val="22"/>
        </w:rPr>
        <w:lastRenderedPageBreak/>
        <w:t xml:space="preserve">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…XLVII. Los ingresos recibidos por cualquier concepto señalando el nombre de los responsables de recibirlos, administrarlos y ejercerlos, indicando el destino de cada uno de ellos; De lo anterior se desprende que es al ser una información de Transparencia dicha información se encuentra publicada en el siguiente link, para los ejercicios fiscales 2018,2019, 2020 y 2021. https://ipomex.org.mx/ipo3/lgt/indice/CUAUTITLANIZCALLI/art_92_xlvii_a.web?token=03AGdBq27X4Ew6KlVDHzJO6sNYSquwHY070v5an_RK6fMLf5y051DnPiBEckNzzizSYnZx-siXYY3FyaVp5-hkSq8pnwB6LFIMCOz1y7jm1RfxlUGveqscnmcZ_8fk1M-Bc2mGV7o23afdz_PEo989M39e1EiSbytia2g6zrWo1VB8zgiRlB47ySpAU6I59TJDpJ6up2tVzb0s3Xqlcrlh244BX_shJjnCWz9vKj5yR56aYxlJl4Sqol6YRGT01Dg9GuamufifZbKnDqQaRp1Jb8x3vf1FyjnRduKiC9COFWZnpv8IfQPNlouTeMzB01jmQEDluM5K3jVw0Gh3EpKewL0UKmFTmZKV_eLgDCzSqrn4h9XKp7e9cEJlP_3dlPAETqIXsuSaF8NZxWQwtlbgKxrJJeOTFbWC_MAklpQoSiLkrlQUfMmm5I6S4eK4YwqLCqSESGSU Le informo que, este sujeto obligado no resguarda la información a nivel detalle como lo solicita, sin embargo en aras de privilegiar la Transparencia y la máxima publicidad, de conformidad con la información que obra en los archivos de la Subtesorería de Ingresos y la Subtesorería de Contabilidad "sírvase encontrar adjuntos en formato PDF los documentos denominados “Estados comparativos presupuestales de ingresos detallados” correspondientes a los ejercicios fiscales 2011, 2012, 2013, 2014, 2015, 2016, 2017, 2018, 2019, 2020 y 2021 generados del Sistema de Contabilidad Interno del Municipio de Cuautitlán Izcalli en donde podrá visualizar los ingresos que recibió el municipio durante los periodos mencionados de acuerdo al Código Financiero del Estado de México y Municipios. 3. En relación al inciso b iii y b iv. Le informo que los Derechos establecidos en el artículo 143 fracción IV y 144 fracción VI del Código Financiero del Estado de México y Municipios no son competencia Federal por lo anterior no se han reintegrado pagos. 4. En relación al punto 5: “El municipio tiene Reglamentos, manuales de operación o lineamientos para la recaudación de los siguientes conceptos?”, le informo que la Tesorería Municipal ?: a. Impuestos Publicitarios i. Lineamientos para el desarrollo de las actividades fracciones IV y VI del Artículo 121 </w:t>
      </w:r>
      <w:r w:rsidRPr="00AB23E8">
        <w:rPr>
          <w:rFonts w:ascii="Palatino Linotype" w:eastAsia="Palatino Linotype" w:hAnsi="Palatino Linotype" w:cs="Palatino Linotype"/>
          <w:i/>
          <w:sz w:val="22"/>
          <w:szCs w:val="22"/>
        </w:rPr>
        <w:lastRenderedPageBreak/>
        <w:t xml:space="preserve">del Código Financiero del Estado de México y 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 (sic);) le informo que la Tesorería Municipal y las áreas adscritas a la misma recaudan los impuestos, derechos y/o aprovechamientos de conformidad con los establecido por el Código Financiero para el Estado de México y Municipios, así mismo le informo que por lo que hace a los incisos “e” y “f”, al respecto es preciso mencionar que lo relacionado a los sitios de taxis y bases de transporte público y la expedición o refrendo de licencias y/o permisos para la venta de bebidas alcohólicas al público esta actividad es realizada por la Dirección de Desarrollo Económico, por lo que se considera que dicha dependencia cuenta con la información precisa que se requiere.” SIC 2.- “Por medio del presente, respecto del folio de solicitud 00439/CUAUTIZC/IP/2022, ingresado en esta dirección, el día 23 de mayo de los corrientes, mediante el Sistema de Acceso a la Información Mexiquense, donde se me pide lo siguiente: … “Con fines de investigación y académicos solicito la siguiente información. Información a requerir a los municipios 1. ¿Cuál es el presupuesto aprobado para el ejercicio fiscal 2022? 2. ¿Cuál es la principal Actividad Económica del Municipio y que porcentaje representa? 3. Qué monto de los ingresos del municipio son: a. Ingresos propios (de recaudación municipal) i. ¿Cuánto representa del total del presupuesto? b. ¿A cuánto ascienden los Ingresos proveniente de las de partidas presupuestales? i. Federales ii. Estatales iii. ¿Cuál es Porcentaje que representan del total del presupuesto? 4. ¿A cuánto asciende la recaudación municipal realizada de las siguientes fuentes de ingresos estipuladas en la Ley de Ingresos de los Municipios del Estado de México de cada uno de los años solicitados (2011 al 2021) y en el Código Financiero del Estado de </w:t>
      </w:r>
      <w:r w:rsidRPr="00AB23E8">
        <w:rPr>
          <w:rFonts w:ascii="Palatino Linotype" w:eastAsia="Palatino Linotype" w:hAnsi="Palatino Linotype" w:cs="Palatino Linotype"/>
          <w:i/>
          <w:sz w:val="22"/>
          <w:szCs w:val="22"/>
        </w:rPr>
        <w:lastRenderedPageBreak/>
        <w:t xml:space="preserve">México y Municipios para cada uno de los ejercicios fiscales a partir del 2011 al 2021, con forme a sus registros? a. Impuestos i. ¿Cuál es el Monto recaudado por los Impuestos sobre conjuntos urbanos?, por cada uno de los años a partir del 2011 hasta el 2021. ii. ¿Cuál fue la recaudación por los Impuestos sobre anuncios publicitarios especificados en el artículo 120 y 121 por cada una de sus fracciones del Código Financiero del Estado de México y Municipios?, por cada uno de los años a partir del 2011 hasta el 2021. iii. Indicar el número de anuncios que no pagan impuesto por estar en el supuesto del penúltimo párrafo del artículo 121 del Código Financiero del Estado de México y Municipios., por cada uno de los años a partir del 2011 hasta el 2021. iv. ¿Cuál fue la recaudación 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b. Derechos i. ¿Cuál fue la recaudación por los Ingresos por el pago de los Derechos establecidos en el artículo 143 y 144 por cada una de sus fracciones del Código Financiero del Estado de México y Municipios?, por cada uno de los años a partir del 2011 hasta el 2021. 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iii.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iv. 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w:t>
      </w:r>
      <w:r w:rsidRPr="00AB23E8">
        <w:rPr>
          <w:rFonts w:ascii="Palatino Linotype" w:eastAsia="Palatino Linotype" w:hAnsi="Palatino Linotype" w:cs="Palatino Linotype"/>
          <w:i/>
          <w:sz w:val="22"/>
          <w:szCs w:val="22"/>
        </w:rPr>
        <w:lastRenderedPageBreak/>
        <w:t xml:space="preserve">México y Municipios, derivado de una orden judicial o administrativa, por ser estos derechos de competencia federal, en los ejercicios fiscales 2017-2018. v. ¿A cuánto ascienden los ingresos recaudados por lo establecido en el artículo 154 en cada una de sus fracciones del Código Financiero del Estado de México y Municipios de los años 2011 al 2021? vi. ¿Cuál fue la recaudación por los Derechos establecido en la fracción I? por cada una de los supuestos siguientes de cada uno de los años que comprenden del 2011 al 2021: a. Puestos fijos b. Semi fijos c. Comerciantes ambulantes vii.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Financiero del Estado de México </w:t>
      </w:r>
      <w:r w:rsidRPr="00AB23E8">
        <w:rPr>
          <w:rFonts w:ascii="Palatino Linotype" w:eastAsia="Palatino Linotype" w:hAnsi="Palatino Linotype" w:cs="Palatino Linotype"/>
          <w:i/>
          <w:sz w:val="22"/>
          <w:szCs w:val="22"/>
        </w:rPr>
        <w:lastRenderedPageBreak/>
        <w:t xml:space="preserve">y Municipios?. 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5. ¿El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 (SIC) Encontrándome en tiempo y forma, de acuerdo a lo solicitado, manifiesto que: Pregunta 2. ¿Cuál es la principal Actividad Económica del Municipio y que porcentaje representa? La principal Actividad Económica es el Comercio al por menor, con porcentaje del 45.1% Pregunta número 4 apartado b, de los derechos, fracción viii, numeral 1, que a la letra dice: 1. ¿Cuál es el Número de cajones autorizados para la prestación de servicios, de sitios de taxis o bases de servicio público de transporte de pasajeros? Está Dependencia solo emite permisos de funcionamiento para estacionamientos de servicio al público que proporcionen el servicio de recepción, guarda y protección de vehículos en Establecimientos construidos expresamente para tal fin; Centros comerciales y Espacios habilitados de manera eventual, en el que se establecen que la Dirección General de Desarrollo Económico, cumplidos los requisitos, expedirá el permiso correspondiente, especificando la clasificación del estacionamiento, el número de cajones autorizados y el horario de funcionamiento, entre otros datos; con fundamento en el artículo 1 fracciones I y II, 2 fracciones IV, VI, 6 y 29 del </w:t>
      </w:r>
      <w:r w:rsidRPr="00AB23E8">
        <w:rPr>
          <w:rFonts w:ascii="Palatino Linotype" w:eastAsia="Palatino Linotype" w:hAnsi="Palatino Linotype" w:cs="Palatino Linotype"/>
          <w:i/>
          <w:sz w:val="22"/>
          <w:szCs w:val="22"/>
        </w:rPr>
        <w:lastRenderedPageBreak/>
        <w:t xml:space="preserve">Reglamento para la Recepción, Guarda y Protección de Vehículos en Estacionamiento de Servicio al Público en el Municipio de Cuautitlán Izcalli. Pregunta número 4 apartado b, de los derechos, fracción ix, numeral 2, apartado a, que manifiesta lo consiguiente: a. Padrón de las empresas Jurídicas colectivas (Morales) que pagan autorizaciones de carga y descarga en vía pública. Al efecto, se le hace saber que, en fecha 5° de febrero de 2022, se publicó el Bando Municipal 2022 de Cuautitlán Izcalli, en su artículo 46 fracción IV, faculta a la Dirección de Desarrollo Económico expedir los permisos de carga y descarga, a los particulares que lo soliciten; al respecto, es menester hacerle de su conocimiento que es una nueva facultad que se incorpora a esta Dependencia y nos encontramos en espera de que la Dirección de Desarrollo Urbano nos entregue la información con la que cuenta, ya que era la Dependencia Administrativa facultada para conocer de este tema y resguardar la información de dicho trámite. Pregunta número 4 apartado b, de los derechos, fracción xi, numeral 1, establece que: 1. Especificar ¿cuántas personas Fiscas o Jurídicas Colectivas pagan el Derecho de refrendo por cada inciso del A) a la G)? y ¿cuántos pagan dos o más Derechos establecidos en el artículo 159 fracción I del Código Financiero del Estado de México y Municipios? La dirección de Desarrollo Económico a través del Departamento de Licencias de Funcionamiento emite la orden de pago correspondiente, por los derechos, por la expedición o refrendo anual para vender bebidas alcohólicas al público en botella cerrada, o al copeo en general, en establecimientos comerciales, de servicios o de diversión y espectáculos públicos, estipulado en el artículo 159 del Código Financiero del Estados de México y Municipios, basándose en el análisis de la información que obra en sus archivos, de la cual se desprende que: AÑO Órdenes de pago elaboradas 2016 1,662 2017 1,316 2018 1,475 2019 1,396 2020 1,177 2021 1,198 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como lo establece el artículo 344, penúltimo párrafo del Código Financiero del Estado de México. Pregunta número 5 apartado d, fracción i y ii, establece que: 5. ¿El municipio tiene Reglamentos, manuales de operación o lineamientos para la recaudación de los </w:t>
      </w:r>
      <w:r w:rsidRPr="00AB23E8">
        <w:rPr>
          <w:rFonts w:ascii="Palatino Linotype" w:eastAsia="Palatino Linotype" w:hAnsi="Palatino Linotype" w:cs="Palatino Linotype"/>
          <w:i/>
          <w:sz w:val="22"/>
          <w:szCs w:val="22"/>
        </w:rPr>
        <w:lastRenderedPageBreak/>
        <w:t xml:space="preserve">siguientes conceptos?: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El Ayuntamiento de Cuautitlán Izcalli para el cumplimiento de sus atribuciones observar lo establecido en el Reglamento General de Servicios de Cuautitlán Izcalli, México, el Reglamento Municipal de Procedimientos Administrativos de Cuautitlán Izcalli y el Bando Municipal 2022 de Cuautitlán Izcalli, en observancia de lo establecido en el Código Financiero del Estado de México, por la expedición y renovación anual de la cédula para puestos fijos, semifijos o comerciantes ambulantes, con fundamento en el artículo 11 de la Constitución Política de los Estados Unidos Mexicanos. Pregunta número 5 apartado e, establece que: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Está Dependencia no emite ninguna orden de pago por este concepto, solo emite permisos de funcionamiento para estacionamientos de servicio al público que proporcionen el servicio de recepción, guarda y protección de vehículos en Establecimientos construidos expresamente para tal fin; Centros comerciales y Espacios habilitados de manera eventual. Pregunta número 5 apartado f, fracción i, establece que: f. Derechos por la Expedición o Refrendo Anual de Bebidas Alcohólicas al Público i. Alineados a lo que establece la Ley de Competitividad y Ordenamiento Comercial del Estado de México, El Catálogo Mexiquense de Actividades Industriales, Comerciales y de Servicios de Bajo Riesgo y en materia de salud (COPRISEM). Esta dependencia para el cumplimiento de sus atribuciones observar lo establecido en el Reglamento General de Servicios de Cuautitlán Izcalli, México, el Reglamento Municipal de Procedimientos Administrativos de Cuautitlán Izcalli y el Bando Municipal 2022 de Cuautitlán Izcalli, en observancia de lo establecido en la Ley de Competitividad y Ordenamiento Comercial del Estado de México; Código Administrativo del Estado de México; Código de Procedimientos Administrativos del Estado de México y Código Financiero del Estado de México, por la expedición o refrendo de licencias para vender bebidas alcohólicas al público en botella cerrada, o al copeo en general, en establecimientos comerciales, de servicios. Sin más por el momento me reitero a sus órdenes.” SIC 3.- “En términos de lo dispuesto por los artículos 6 Base A, 16 </w:t>
      </w:r>
      <w:r w:rsidRPr="00AB23E8">
        <w:rPr>
          <w:rFonts w:ascii="Palatino Linotype" w:eastAsia="Palatino Linotype" w:hAnsi="Palatino Linotype" w:cs="Palatino Linotype"/>
          <w:i/>
          <w:sz w:val="22"/>
          <w:szCs w:val="22"/>
        </w:rPr>
        <w:lastRenderedPageBreak/>
        <w:t xml:space="preserve">segundo párrafo y 116 fracción VIII de la Constitución Política de los Estados Unidos Mexicanos; 5 de la Constitución Política del Estado Libre y Soberano de México; 1, 2 fracciones I, II y III, 12, 13, 14 y 25 de la Ley General de Transparencia y Acceso a la Información Pública; 1, 2 fracciones IV y V y 4 fracción XI de la Ley General de Protección de Datos Personales en Posesión de Sujetos Obligados; 1, 4, 6, 7, 8, 10, 11, 12, 23 fracción IV, 25, 59 fracciones I, II y III y 86 de la Ley de Transparencia y Acceso a la Información Pública del Estado de México y Municipios; 1, 2 fracciones II y IV, 3 fracción IV y 4 fracción XI de la Ley de Protección de Datos Personales en Posesión de Sujetos Obligados del Estado de México y Municipios; 86 y 96 Sexies fracciones III, VI y VII de la Ley Orgánica Municipal del Estado de México; 1.5 fracción VIII y 1.41 del Código Administrativo del Estado de México; 4, 16 fracción IV, 38, 113, 114 y 115 del Bando Municipal 2022, me permito referirme a la Solicitud de Información bajo el número de folio 00439/CUAUTIZC/IP/2022 ingresada a través del Sistema de Acceso a la Información Mexiquense (SAIMEX), donde se solicita lo siguiente: “…Con fines de investigación y académicos solicito la siguiente información. Información a requerir a los municipios 1. ¿Cuál es el presupuesto aprobado para el ejercicio fiscal 2022? 2. ¿Cuál es la principal Actividad Económica del Municipio y que porcentaje representa? 3. Qué monto de los ingresos del municipio son: a. Ingresos propios (de recaudación municipal) i. ¿Cuánto representa del total del presupuesto? b. ¿A cuánto ascienden los Ingresos proveniente de las de partidas presupuestales? i. Federales ii. Estatales iii. ¿Cuál es Porcentaje que representan del total del presupuesto? 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a. Impuestos i. ¿Cuál es el Monto recaudado por los Impuestos sobre conjuntos urbanos?, por cada uno de los años a partir del 2011 hasta el 2021. ii. ¿Cuál fue la recaudación por los Impuestos sobre anuncios publicitarios especificados en el artículo 120 y 121 por cada una de sus fracciones del Código Financiero del Estado de México y Municipios?, por cada uno de los años a partir del 2011 hasta el 2021. iii. Indicar el número de anuncios que no pagan impuesto por estar en el supuesto del penúltimo párrafo del artículo 121 del Código Financiero del Estado de México y Municipios., por cada uno de los años a partir del 2011 hasta el 2021. iv. ¿Cuál fue la recaudación por los Impuestos sobre diversiones, juegos y espectáculos públicos </w:t>
      </w:r>
      <w:r w:rsidRPr="00AB23E8">
        <w:rPr>
          <w:rFonts w:ascii="Palatino Linotype" w:eastAsia="Palatino Linotype" w:hAnsi="Palatino Linotype" w:cs="Palatino Linotype"/>
          <w:i/>
          <w:sz w:val="22"/>
          <w:szCs w:val="22"/>
        </w:rPr>
        <w:lastRenderedPageBreak/>
        <w:t xml:space="preserve">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b. Derechos i. ¿Cuál fue la recaudación por los Ingresos por el pago de los Derechos establecidos en el artículo 143 y 144 por cada una de sus fracciones del Código Financiero del Estado de México y Municipios?, por cada uno de los años a partir del 2011 hasta el 2021. 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iii.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iv. 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 v. ¿A cuánto ascienden los ingresos recaudados por lo establecido en el artículo 154 en cada una de sus fracciones del Código Financiero del Estado de México y Municipios de los años 2011 al 2021? vi. ¿Cuál fue la recaudación por los Derechos establecido en la fracción I? por cada una de los supuestos siguientes de cada uno de los años que comprenden del 2011 al 2021: a. Puestos fijos b. Semi fijos c. Comerciantes ambulantes vii. Especificar el ingreso recaudado por lo establecido en la fracción I del artículo 154 del Código Financiero del Estado de México y Municipios por cada uno de los siguientes rubros: 1. Tianguis 2. Ferias, bazares o ferias de temporadas Que se instalan periódicamente dentro del </w:t>
      </w:r>
      <w:r w:rsidRPr="00AB23E8">
        <w:rPr>
          <w:rFonts w:ascii="Palatino Linotype" w:eastAsia="Palatino Linotype" w:hAnsi="Palatino Linotype" w:cs="Palatino Linotype"/>
          <w:i/>
          <w:sz w:val="22"/>
          <w:szCs w:val="22"/>
        </w:rPr>
        <w:lastRenderedPageBreak/>
        <w:t xml:space="preserve">territorio municipal por cada uno de los años a partir del 2011 al 2021. 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Financiero del Estado de México y Municipios?. 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5. ¿El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Municipios b. Impuestos sobre Diversiones, Juegos y Espectáculos c. Derechos de Desarrollo Urbano d. Derechos por el uso de las vías y áreas públicas para el ejercicio </w:t>
      </w:r>
      <w:r w:rsidRPr="00AB23E8">
        <w:rPr>
          <w:rFonts w:ascii="Palatino Linotype" w:eastAsia="Palatino Linotype" w:hAnsi="Palatino Linotype" w:cs="Palatino Linotype"/>
          <w:i/>
          <w:sz w:val="22"/>
          <w:szCs w:val="22"/>
        </w:rPr>
        <w:lastRenderedPageBreak/>
        <w:t xml:space="preserve">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 ... ”(sic); al respecto se le informa lo siguiente: ----------------------------------------------------------------------------------------------------------------------------------------------------------------------------------------------- Visto lo peticionado, esta Dirección de Desarrollo Urbano, precisa que las preguntas relativas a cuál es el monto recaudado por impuestos sobre conjuntos urbanos, anuncios publicitarios y en general por derechos en materia de desarrollo urbano; son de naturaleza impositiva, motivo por el cual esta dependencia no es sujeto obligado para responderlas, al carecer de atribuciones recaudatorias conforme a las facultades que le confieren la Ley Orgánica Municipal del Estado de México, el Bando Municipal vigente y el Reglamento Interior de la Administración Pública Municipal de Cuautitlán Izcalli, Estado de México. Por lo que hace a los anuncios que no pagan impuesto y que se encuentran previstos en el penúltimo párrafo del artículo 121 del Código Financiero del Estado de México y Municipios, se informa que por ser anuncios que tienen como única finalidad publicitar el nombre, la denominación o razón social del establecimiento, así como aquellos que promuevan eventos educativos o culturales que no persigan fines de lucro; esta dependencia al no requerirlos por estar exentos de tramitar autorizaciones, no tiene registro de su número. En relación a la pregunta de si el Ayuntamiento cuenta con Reglamentos, Manuales de Operación o lineamientos para la recaudación de derechos en materia de Desarrollo Urbano, se informa que en la elaboración de Órdenes de Pago, la fundamentación legal para su cobro se basa en lo dispuesto en el Código Financiero del Estado de México y Municipios. Por lo que respecta así se cuenta con un Padrón de las Empresas Jurídicas Colectivas que pagan autorizaciones de carga y descarga en vía pública, se informa que conforme a lo dispuesto en el Bando Municipal vigente la dependencia, en cargada de expedir los permisos de carga y descarga para para </w:t>
      </w:r>
      <w:r w:rsidRPr="00AB23E8">
        <w:rPr>
          <w:rFonts w:ascii="Palatino Linotype" w:eastAsia="Palatino Linotype" w:hAnsi="Palatino Linotype" w:cs="Palatino Linotype"/>
          <w:i/>
          <w:sz w:val="22"/>
          <w:szCs w:val="22"/>
        </w:rPr>
        <w:lastRenderedPageBreak/>
        <w:t xml:space="preserve">particulares, es la Dirección de Desarrollo Económico. Para mejor proveer lo antes señalado, se transcribe la fracción IV del artículo 46 del Bando Municipal 2022: “Artículo 46. Para el adecuado desarrollo económico en el Municipio, se deberán llevar a cabo las acciones siguientes: … IV. Expedir los permisos de carga y descarga, para los particulares que lo soliciten (…)”. No se omite precisar que antes del inicio de la presente administración municipal, la dependencia encargada de la expedición de los permisos de carga y descarga, era la entonces Dirección General de Desarrollo Metropolitano, la cual conforme a las atribuciones que le eran propias, no tenía la obligación de contar con un Padrón de las empresas solicitantes en la tramitación de este tipo de permisos. Sin otro particular, quedo de Usted para cualquier duda o aclaración.” SIC 4.- “Por instrucciones del C. Miguel Ángel Gutiérrez Pilloni, Secretario del Ayuntamiento, en atención a la solicitud recibida por la Coordinación de Transparencia, en atención a la solicitud recibida por la Coordinación de Transparencia mediante el Sistema de Acceso a la información Mexiquense, el día veintitrés de mayo de dos mil veintidós, bajo el folio 0439/CUAUTIZC/IP/2022 y turnada a este Departamento; al respecto, hago de su conocimiento que, por lo que hace al número 5 de la referida solicitud, el cual dice: 5. ¿El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 Debido a la particularidad Inherente a las materia, los manuales de Operación o Lineamientos, y por ende los Reglamentos específicos, deberán ser </w:t>
      </w:r>
      <w:r w:rsidRPr="00AB23E8">
        <w:rPr>
          <w:rFonts w:ascii="Palatino Linotype" w:eastAsia="Palatino Linotype" w:hAnsi="Palatino Linotype" w:cs="Palatino Linotype"/>
          <w:i/>
          <w:sz w:val="22"/>
          <w:szCs w:val="22"/>
        </w:rPr>
        <w:lastRenderedPageBreak/>
        <w:t xml:space="preserve">requeridos a la dependencia encargada de la recaudación de los impuestos publicitarios, de los impuestos sobre diversos, juegos y espectáculos, así como de los derechos de desarrollo urbano; derechos por el uso de vías y áreas públicas para el ejercicio del comercio o de servicio derechos que se les cobran a los sitios de taxis y bases de transporte públicos y derechos por la expedición o refrendo anual de bebidas alcohólicas al públicos. Lo anterior, en virtud de que, de acuerdo a lo previsto por el artículo 21 del Reglamento Interior de la Administración Pública Municipal de Cuautitlán de Izcalli, Estado de México dentro de las atribuciones de esta Secretaría del Ayuntamiento, no está la de recaudación de impuestos o derechos. “ SIC 5.- “Atendiendo la solicitud 00439/CUAUTIZC/IP/2022, la que a la letra señala “Con fines de investigación y académicos solicito la siguiente información. Información a requerir a los municipios … 5. ¿El municipio tiene Reglamentos, manuales de operación o lineamientos para la recaudación de los siguientes conceptos?: …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(Sic). Dado que la solicitud de información versa en torno a datos sobre recaudación de recursos y se refiere específicamente a Reglamentos para la recaudación por el ejercicio de actividades comerciales; en esta Coordinación Municipal de Movilidad, se considera que es competencia de la Dirección de Desarrollo Económico quienes cuentan con las atribuciones al respecto. Respecto al artículo 1 de la Ley de Movilidad del Estado de México: “Objeto de la Ley… La presente Ley es de observancia general en el Estado de México…, y tiene por objeto establecer las bases y directrices a las que se deberá sujetar la Administración Pública para planear, regular, gestionar y fomentar la movilidad de las personas en el Estado de México (SIC)”. Refiriéndose expresamente a la regulación de la movilidad de las personas, no así la regulación de actividades comerciales en el espacio público. Por lo anterior, la Coordinación se declara sin competencia para proporcionar los datos solicitados. Agradeciendo su invaluable apoyo y colaboración.”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w:t>
      </w:r>
      <w:r w:rsidRPr="00AB23E8">
        <w:rPr>
          <w:rFonts w:ascii="Palatino Linotype" w:eastAsia="Palatino Linotype" w:hAnsi="Palatino Linotype" w:cs="Palatino Linotype"/>
          <w:i/>
          <w:sz w:val="22"/>
          <w:szCs w:val="22"/>
        </w:rPr>
        <w:lastRenderedPageBreak/>
        <w:t>acceso a la información para los efectos legales correspondientes, a través del sistema denominado SAIMEX.” (Sic)</w:t>
      </w:r>
    </w:p>
    <w:p w:rsidR="001670A2" w:rsidRPr="00AB23E8" w:rsidRDefault="001670A2">
      <w:pPr>
        <w:ind w:right="899"/>
        <w:jc w:val="both"/>
        <w:rPr>
          <w:rFonts w:ascii="Palatino Linotype" w:eastAsia="Palatino Linotype" w:hAnsi="Palatino Linotype" w:cs="Palatino Linotype"/>
          <w:i/>
          <w:sz w:val="22"/>
          <w:szCs w:val="22"/>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Adjuntando a su respuesta  los archivos que se describen a continuación: </w:t>
      </w:r>
    </w:p>
    <w:p w:rsidR="001670A2" w:rsidRPr="00AB23E8" w:rsidRDefault="00D53821">
      <w:pPr>
        <w:numPr>
          <w:ilvl w:val="0"/>
          <w:numId w:val="2"/>
        </w:numPr>
        <w:spacing w:line="360" w:lineRule="auto"/>
        <w:jc w:val="both"/>
        <w:rPr>
          <w:rFonts w:ascii="Palatino Linotype" w:eastAsia="Palatino Linotype" w:hAnsi="Palatino Linotype" w:cs="Palatino Linotype"/>
          <w:b/>
          <w:i/>
        </w:rPr>
      </w:pPr>
      <w:r w:rsidRPr="00AB23E8">
        <w:rPr>
          <w:rFonts w:ascii="Palatino Linotype" w:eastAsia="Palatino Linotype" w:hAnsi="Palatino Linotype" w:cs="Palatino Linotype"/>
          <w:b/>
          <w:i/>
        </w:rPr>
        <w:t xml:space="preserve">Solicitud 439-CUAUTIZC-IP-2022.pdf: </w:t>
      </w:r>
      <w:r w:rsidRPr="00AB23E8">
        <w:rPr>
          <w:rFonts w:ascii="Palatino Linotype" w:eastAsia="Palatino Linotype" w:hAnsi="Palatino Linotype" w:cs="Palatino Linotype"/>
        </w:rPr>
        <w:t xml:space="preserve">Oficio número DDE/1088/2022 de fecha uno de junio de dos mil veintidós firmado por la Directora de Desarrollo Económico señalando su respuesta a la las preguntas 2, 4 apartado b  fracción vii, numeral 1, 4, apartado b fracción IX numeral 2 apartado a, 4, apartado b, de los derechos, fracción IX numeral 1, 5 apartado d, fracción I y II, 5 apartado e, 5 apartado f, fracción I. </w:t>
      </w:r>
    </w:p>
    <w:p w:rsidR="001670A2" w:rsidRPr="00AB23E8" w:rsidRDefault="00D53821">
      <w:pPr>
        <w:numPr>
          <w:ilvl w:val="0"/>
          <w:numId w:val="2"/>
        </w:numPr>
        <w:spacing w:line="360" w:lineRule="auto"/>
        <w:jc w:val="both"/>
        <w:rPr>
          <w:rFonts w:ascii="Palatino Linotype" w:eastAsia="Palatino Linotype" w:hAnsi="Palatino Linotype" w:cs="Palatino Linotype"/>
          <w:b/>
          <w:i/>
        </w:rPr>
      </w:pPr>
      <w:r w:rsidRPr="00AB23E8">
        <w:rPr>
          <w:rFonts w:ascii="Palatino Linotype" w:eastAsia="Palatino Linotype" w:hAnsi="Palatino Linotype" w:cs="Palatino Linotype"/>
          <w:b/>
          <w:i/>
        </w:rPr>
        <w:t xml:space="preserve">Sol. 439-2022.pdf: </w:t>
      </w:r>
      <w:r w:rsidRPr="00AB23E8">
        <w:rPr>
          <w:rFonts w:ascii="Palatino Linotype" w:eastAsia="Palatino Linotype" w:hAnsi="Palatino Linotype" w:cs="Palatino Linotype"/>
        </w:rPr>
        <w:t xml:space="preserve">Oficio número DDU]/2648/2022 de fecha diez de junio de dos mil veintidós, firmado por la titular de la Dirección de Desarrollo Urbano quien señala  que el área competente es la Dirección de Desarrollo Económico. </w:t>
      </w:r>
    </w:p>
    <w:p w:rsidR="001670A2" w:rsidRPr="00AB23E8" w:rsidRDefault="00D53821">
      <w:pPr>
        <w:numPr>
          <w:ilvl w:val="0"/>
          <w:numId w:val="2"/>
        </w:numPr>
        <w:spacing w:line="360" w:lineRule="auto"/>
        <w:jc w:val="both"/>
        <w:rPr>
          <w:rFonts w:ascii="Palatino Linotype" w:eastAsia="Palatino Linotype" w:hAnsi="Palatino Linotype" w:cs="Palatino Linotype"/>
          <w:b/>
          <w:i/>
        </w:rPr>
      </w:pPr>
      <w:r w:rsidRPr="00AB23E8">
        <w:rPr>
          <w:rFonts w:ascii="Palatino Linotype" w:eastAsia="Palatino Linotype" w:hAnsi="Palatino Linotype" w:cs="Palatino Linotype"/>
          <w:b/>
          <w:i/>
        </w:rPr>
        <w:t xml:space="preserve">respuesta 439.pdf: </w:t>
      </w:r>
      <w:r w:rsidRPr="00AB23E8">
        <w:rPr>
          <w:rFonts w:ascii="Palatino Linotype" w:eastAsia="Palatino Linotype" w:hAnsi="Palatino Linotype" w:cs="Palatino Linotype"/>
        </w:rPr>
        <w:t xml:space="preserve">Oficio número CI/PM/CMM/076/2022 de fecha nueve de junio de dos mil veintidós, firmado por  la Titular de la Coordinación Municipal de Movilidad, mediante la cual se pronuncia respecto del punto número 5 de la solicitud. </w:t>
      </w:r>
    </w:p>
    <w:p w:rsidR="001670A2" w:rsidRPr="00AB23E8" w:rsidRDefault="00D53821">
      <w:pPr>
        <w:numPr>
          <w:ilvl w:val="0"/>
          <w:numId w:val="2"/>
        </w:numPr>
        <w:spacing w:line="360" w:lineRule="auto"/>
        <w:jc w:val="both"/>
        <w:rPr>
          <w:rFonts w:ascii="Palatino Linotype" w:eastAsia="Palatino Linotype" w:hAnsi="Palatino Linotype" w:cs="Palatino Linotype"/>
          <w:b/>
          <w:i/>
        </w:rPr>
      </w:pPr>
      <w:r w:rsidRPr="00AB23E8">
        <w:rPr>
          <w:rFonts w:ascii="Palatino Linotype" w:eastAsia="Palatino Linotype" w:hAnsi="Palatino Linotype" w:cs="Palatino Linotype"/>
          <w:b/>
          <w:i/>
        </w:rPr>
        <w:t xml:space="preserve">439.pdf: </w:t>
      </w:r>
      <w:r w:rsidRPr="00AB23E8">
        <w:rPr>
          <w:rFonts w:ascii="Palatino Linotype" w:eastAsia="Palatino Linotype" w:hAnsi="Palatino Linotype" w:cs="Palatino Linotype"/>
        </w:rPr>
        <w:t xml:space="preserve">Oficio número SA/2922/2022 de fecha veintisiete de mayo de dos mil veintidós, mediante el cual la Titular del Departamento de Normatividad y Convenios se pronuncia respecto del punto 5 de la solicitud. </w:t>
      </w:r>
    </w:p>
    <w:p w:rsidR="001670A2" w:rsidRPr="00AB23E8" w:rsidRDefault="00D53821">
      <w:pPr>
        <w:numPr>
          <w:ilvl w:val="0"/>
          <w:numId w:val="2"/>
        </w:numPr>
        <w:spacing w:line="360" w:lineRule="auto"/>
        <w:jc w:val="both"/>
        <w:rPr>
          <w:rFonts w:ascii="Palatino Linotype" w:eastAsia="Palatino Linotype" w:hAnsi="Palatino Linotype" w:cs="Palatino Linotype"/>
          <w:b/>
          <w:i/>
        </w:rPr>
      </w:pPr>
      <w:r w:rsidRPr="00AB23E8">
        <w:rPr>
          <w:rFonts w:ascii="Palatino Linotype" w:eastAsia="Palatino Linotype" w:hAnsi="Palatino Linotype" w:cs="Palatino Linotype"/>
          <w:b/>
          <w:i/>
        </w:rPr>
        <w:t xml:space="preserve">comparativo de ingresos 2011.pdf: </w:t>
      </w:r>
      <w:r w:rsidRPr="00AB23E8">
        <w:rPr>
          <w:rFonts w:ascii="Palatino Linotype" w:eastAsia="Palatino Linotype" w:hAnsi="Palatino Linotype" w:cs="Palatino Linotype"/>
        </w:rPr>
        <w:t xml:space="preserve">Documento del que se advierte el Estado Comparativo Presupuestal del Ingreso del año 2011 </w:t>
      </w:r>
    </w:p>
    <w:p w:rsidR="001670A2" w:rsidRPr="00AB23E8" w:rsidRDefault="00D53821">
      <w:pPr>
        <w:numPr>
          <w:ilvl w:val="0"/>
          <w:numId w:val="2"/>
        </w:numPr>
        <w:spacing w:line="360" w:lineRule="auto"/>
        <w:jc w:val="both"/>
        <w:rPr>
          <w:rFonts w:ascii="Palatino Linotype" w:eastAsia="Palatino Linotype" w:hAnsi="Palatino Linotype" w:cs="Palatino Linotype"/>
          <w:b/>
          <w:i/>
        </w:rPr>
      </w:pPr>
      <w:r w:rsidRPr="00AB23E8">
        <w:rPr>
          <w:rFonts w:ascii="Palatino Linotype" w:eastAsia="Palatino Linotype" w:hAnsi="Palatino Linotype" w:cs="Palatino Linotype"/>
          <w:b/>
          <w:i/>
        </w:rPr>
        <w:lastRenderedPageBreak/>
        <w:t xml:space="preserve">comparativo de ingresos 2021.pdf: </w:t>
      </w:r>
      <w:r w:rsidRPr="00AB23E8">
        <w:rPr>
          <w:rFonts w:ascii="Palatino Linotype" w:eastAsia="Palatino Linotype" w:hAnsi="Palatino Linotype" w:cs="Palatino Linotype"/>
        </w:rPr>
        <w:t>Documento del que se advierte el Estado Comparativo Presupuestal del Ingreso del año 2021</w:t>
      </w:r>
    </w:p>
    <w:p w:rsidR="001670A2" w:rsidRPr="00AB23E8" w:rsidRDefault="00D53821">
      <w:pPr>
        <w:numPr>
          <w:ilvl w:val="0"/>
          <w:numId w:val="2"/>
        </w:numPr>
        <w:spacing w:line="360" w:lineRule="auto"/>
        <w:jc w:val="both"/>
        <w:rPr>
          <w:rFonts w:ascii="Palatino Linotype" w:eastAsia="Palatino Linotype" w:hAnsi="Palatino Linotype" w:cs="Palatino Linotype"/>
          <w:b/>
          <w:i/>
        </w:rPr>
      </w:pPr>
      <w:r w:rsidRPr="00AB23E8">
        <w:rPr>
          <w:rFonts w:ascii="Palatino Linotype" w:eastAsia="Palatino Linotype" w:hAnsi="Palatino Linotype" w:cs="Palatino Linotype"/>
          <w:b/>
          <w:i/>
        </w:rPr>
        <w:t xml:space="preserve">comparativo de ingresos 2013.pdf: </w:t>
      </w:r>
      <w:r w:rsidRPr="00AB23E8">
        <w:rPr>
          <w:rFonts w:ascii="Palatino Linotype" w:eastAsia="Palatino Linotype" w:hAnsi="Palatino Linotype" w:cs="Palatino Linotype"/>
        </w:rPr>
        <w:t>Documento del que se advierte el Estado Comparativo Presupuestal del Ingreso del año 2013</w:t>
      </w:r>
    </w:p>
    <w:p w:rsidR="001670A2" w:rsidRPr="00AB23E8" w:rsidRDefault="00D53821">
      <w:pPr>
        <w:numPr>
          <w:ilvl w:val="0"/>
          <w:numId w:val="2"/>
        </w:numPr>
        <w:spacing w:line="360" w:lineRule="auto"/>
        <w:jc w:val="both"/>
        <w:rPr>
          <w:rFonts w:ascii="Palatino Linotype" w:eastAsia="Palatino Linotype" w:hAnsi="Palatino Linotype" w:cs="Palatino Linotype"/>
          <w:b/>
          <w:i/>
        </w:rPr>
      </w:pPr>
      <w:r w:rsidRPr="00AB23E8">
        <w:rPr>
          <w:rFonts w:ascii="Palatino Linotype" w:eastAsia="Palatino Linotype" w:hAnsi="Palatino Linotype" w:cs="Palatino Linotype"/>
          <w:b/>
          <w:i/>
        </w:rPr>
        <w:t xml:space="preserve">comparativo de ingresos 2020.pdf: </w:t>
      </w:r>
      <w:r w:rsidRPr="00AB23E8">
        <w:rPr>
          <w:rFonts w:ascii="Palatino Linotype" w:eastAsia="Palatino Linotype" w:hAnsi="Palatino Linotype" w:cs="Palatino Linotype"/>
        </w:rPr>
        <w:t>Documento del que se advierte el Estado Comparativo Presupuestal del Ingreso del año 2020</w:t>
      </w:r>
    </w:p>
    <w:p w:rsidR="001670A2" w:rsidRPr="00AB23E8" w:rsidRDefault="00D53821">
      <w:pPr>
        <w:numPr>
          <w:ilvl w:val="0"/>
          <w:numId w:val="2"/>
        </w:numPr>
        <w:spacing w:line="360" w:lineRule="auto"/>
        <w:jc w:val="both"/>
        <w:rPr>
          <w:rFonts w:ascii="Palatino Linotype" w:eastAsia="Palatino Linotype" w:hAnsi="Palatino Linotype" w:cs="Palatino Linotype"/>
          <w:b/>
          <w:i/>
        </w:rPr>
      </w:pPr>
      <w:r w:rsidRPr="00AB23E8">
        <w:rPr>
          <w:rFonts w:ascii="Palatino Linotype" w:eastAsia="Palatino Linotype" w:hAnsi="Palatino Linotype" w:cs="Palatino Linotype"/>
          <w:b/>
          <w:i/>
        </w:rPr>
        <w:t xml:space="preserve">comparativo de ingresos 2016.pdf: </w:t>
      </w:r>
      <w:r w:rsidRPr="00AB23E8">
        <w:rPr>
          <w:rFonts w:ascii="Palatino Linotype" w:eastAsia="Palatino Linotype" w:hAnsi="Palatino Linotype" w:cs="Palatino Linotype"/>
        </w:rPr>
        <w:t>Documento del que se advierte el Estado Comparativo Presupuestal del Ingreso del año 2016</w:t>
      </w:r>
    </w:p>
    <w:p w:rsidR="001670A2" w:rsidRPr="00AB23E8" w:rsidRDefault="00D53821">
      <w:pPr>
        <w:numPr>
          <w:ilvl w:val="0"/>
          <w:numId w:val="2"/>
        </w:numPr>
        <w:spacing w:line="360" w:lineRule="auto"/>
        <w:jc w:val="both"/>
        <w:rPr>
          <w:rFonts w:ascii="Palatino Linotype" w:eastAsia="Palatino Linotype" w:hAnsi="Palatino Linotype" w:cs="Palatino Linotype"/>
          <w:b/>
          <w:i/>
        </w:rPr>
      </w:pPr>
      <w:r w:rsidRPr="00AB23E8">
        <w:rPr>
          <w:rFonts w:ascii="Palatino Linotype" w:eastAsia="Palatino Linotype" w:hAnsi="Palatino Linotype" w:cs="Palatino Linotype"/>
          <w:b/>
          <w:i/>
        </w:rPr>
        <w:t xml:space="preserve">comparativo de ingresos 2019.pdf: </w:t>
      </w:r>
      <w:r w:rsidRPr="00AB23E8">
        <w:rPr>
          <w:rFonts w:ascii="Palatino Linotype" w:eastAsia="Palatino Linotype" w:hAnsi="Palatino Linotype" w:cs="Palatino Linotype"/>
        </w:rPr>
        <w:t>Documento del que se advierte el Estado Comparativo Presupuestal del Ingreso del año 2019</w:t>
      </w:r>
    </w:p>
    <w:p w:rsidR="001670A2" w:rsidRPr="00AB23E8" w:rsidRDefault="00D53821">
      <w:pPr>
        <w:numPr>
          <w:ilvl w:val="0"/>
          <w:numId w:val="2"/>
        </w:numPr>
        <w:spacing w:line="360" w:lineRule="auto"/>
        <w:jc w:val="both"/>
        <w:rPr>
          <w:rFonts w:ascii="Palatino Linotype" w:eastAsia="Palatino Linotype" w:hAnsi="Palatino Linotype" w:cs="Palatino Linotype"/>
          <w:b/>
          <w:i/>
        </w:rPr>
      </w:pPr>
      <w:r w:rsidRPr="00AB23E8">
        <w:rPr>
          <w:rFonts w:ascii="Palatino Linotype" w:eastAsia="Palatino Linotype" w:hAnsi="Palatino Linotype" w:cs="Palatino Linotype"/>
          <w:b/>
          <w:i/>
        </w:rPr>
        <w:t xml:space="preserve">comparativo de ingresos 2014.pdf: </w:t>
      </w:r>
      <w:r w:rsidRPr="00AB23E8">
        <w:rPr>
          <w:rFonts w:ascii="Palatino Linotype" w:eastAsia="Palatino Linotype" w:hAnsi="Palatino Linotype" w:cs="Palatino Linotype"/>
        </w:rPr>
        <w:t>Documento del que se advierte el Estado Comparativo Presupuestal del Ingreso del año 2014</w:t>
      </w:r>
    </w:p>
    <w:p w:rsidR="001670A2" w:rsidRPr="00AB23E8" w:rsidRDefault="00D53821">
      <w:pPr>
        <w:numPr>
          <w:ilvl w:val="0"/>
          <w:numId w:val="2"/>
        </w:numPr>
        <w:spacing w:line="360" w:lineRule="auto"/>
        <w:jc w:val="both"/>
        <w:rPr>
          <w:rFonts w:ascii="Palatino Linotype" w:eastAsia="Palatino Linotype" w:hAnsi="Palatino Linotype" w:cs="Palatino Linotype"/>
          <w:b/>
          <w:i/>
        </w:rPr>
      </w:pPr>
      <w:r w:rsidRPr="00AB23E8">
        <w:rPr>
          <w:rFonts w:ascii="Palatino Linotype" w:eastAsia="Palatino Linotype" w:hAnsi="Palatino Linotype" w:cs="Palatino Linotype"/>
          <w:b/>
          <w:i/>
        </w:rPr>
        <w:t xml:space="preserve">comparativo de ingresos 2018.pdf: </w:t>
      </w:r>
      <w:r w:rsidRPr="00AB23E8">
        <w:rPr>
          <w:rFonts w:ascii="Palatino Linotype" w:eastAsia="Palatino Linotype" w:hAnsi="Palatino Linotype" w:cs="Palatino Linotype"/>
        </w:rPr>
        <w:t>Documento del que se advierte el Estado Comparativo Presupuestal del Ingreso del año 2018</w:t>
      </w:r>
    </w:p>
    <w:p w:rsidR="001670A2" w:rsidRPr="00AB23E8" w:rsidRDefault="00D53821">
      <w:pPr>
        <w:numPr>
          <w:ilvl w:val="0"/>
          <w:numId w:val="2"/>
        </w:numPr>
        <w:spacing w:line="360" w:lineRule="auto"/>
        <w:jc w:val="both"/>
        <w:rPr>
          <w:rFonts w:ascii="Palatino Linotype" w:eastAsia="Palatino Linotype" w:hAnsi="Palatino Linotype" w:cs="Palatino Linotype"/>
          <w:b/>
          <w:i/>
        </w:rPr>
      </w:pPr>
      <w:r w:rsidRPr="00AB23E8">
        <w:rPr>
          <w:rFonts w:ascii="Palatino Linotype" w:eastAsia="Palatino Linotype" w:hAnsi="Palatino Linotype" w:cs="Palatino Linotype"/>
          <w:b/>
          <w:i/>
        </w:rPr>
        <w:t xml:space="preserve">comparativo de ingresos 2012.pdf: </w:t>
      </w:r>
      <w:r w:rsidRPr="00AB23E8">
        <w:rPr>
          <w:rFonts w:ascii="Palatino Linotype" w:eastAsia="Palatino Linotype" w:hAnsi="Palatino Linotype" w:cs="Palatino Linotype"/>
        </w:rPr>
        <w:t>Documento del que se advierte el Estado Comparativo Presupuestal del Ingreso del año 2012</w:t>
      </w:r>
    </w:p>
    <w:p w:rsidR="001670A2" w:rsidRPr="00AB23E8" w:rsidRDefault="00D53821">
      <w:pPr>
        <w:numPr>
          <w:ilvl w:val="0"/>
          <w:numId w:val="2"/>
        </w:numPr>
        <w:spacing w:line="360" w:lineRule="auto"/>
        <w:jc w:val="both"/>
        <w:rPr>
          <w:rFonts w:ascii="Palatino Linotype" w:eastAsia="Palatino Linotype" w:hAnsi="Palatino Linotype" w:cs="Palatino Linotype"/>
          <w:b/>
          <w:i/>
        </w:rPr>
      </w:pPr>
      <w:r w:rsidRPr="00AB23E8">
        <w:rPr>
          <w:rFonts w:ascii="Palatino Linotype" w:eastAsia="Palatino Linotype" w:hAnsi="Palatino Linotype" w:cs="Palatino Linotype"/>
          <w:b/>
          <w:i/>
        </w:rPr>
        <w:t xml:space="preserve">comparativo de ingresos 2017.pdf: </w:t>
      </w:r>
      <w:r w:rsidRPr="00AB23E8">
        <w:rPr>
          <w:rFonts w:ascii="Palatino Linotype" w:eastAsia="Palatino Linotype" w:hAnsi="Palatino Linotype" w:cs="Palatino Linotype"/>
        </w:rPr>
        <w:t>Documento del que se advierte el Estado Comparativo Presupuestal del Ingreso del año 2017</w:t>
      </w:r>
    </w:p>
    <w:p w:rsidR="001670A2" w:rsidRPr="00AB23E8" w:rsidRDefault="00D53821">
      <w:pPr>
        <w:numPr>
          <w:ilvl w:val="0"/>
          <w:numId w:val="2"/>
        </w:numPr>
        <w:spacing w:line="360" w:lineRule="auto"/>
        <w:jc w:val="both"/>
        <w:rPr>
          <w:rFonts w:ascii="Palatino Linotype" w:eastAsia="Palatino Linotype" w:hAnsi="Palatino Linotype" w:cs="Palatino Linotype"/>
          <w:b/>
          <w:i/>
        </w:rPr>
      </w:pPr>
      <w:r w:rsidRPr="00AB23E8">
        <w:rPr>
          <w:rFonts w:ascii="Palatino Linotype" w:eastAsia="Palatino Linotype" w:hAnsi="Palatino Linotype" w:cs="Palatino Linotype"/>
          <w:b/>
          <w:i/>
        </w:rPr>
        <w:t xml:space="preserve">comparativo de ingresos 2015.pdf: </w:t>
      </w:r>
      <w:r w:rsidRPr="00AB23E8">
        <w:rPr>
          <w:rFonts w:ascii="Palatino Linotype" w:eastAsia="Palatino Linotype" w:hAnsi="Palatino Linotype" w:cs="Palatino Linotype"/>
        </w:rPr>
        <w:t>Documento del que se advierte el Estado Comparativo Presupuestal del Ingreso del año 2015</w:t>
      </w:r>
    </w:p>
    <w:p w:rsidR="001670A2" w:rsidRPr="00AB23E8" w:rsidRDefault="00D53821">
      <w:pPr>
        <w:numPr>
          <w:ilvl w:val="0"/>
          <w:numId w:val="2"/>
        </w:numPr>
        <w:spacing w:line="360" w:lineRule="auto"/>
        <w:jc w:val="both"/>
        <w:rPr>
          <w:rFonts w:ascii="Palatino Linotype" w:eastAsia="Palatino Linotype" w:hAnsi="Palatino Linotype" w:cs="Palatino Linotype"/>
          <w:b/>
          <w:i/>
        </w:rPr>
      </w:pPr>
      <w:r w:rsidRPr="00AB23E8">
        <w:rPr>
          <w:rFonts w:ascii="Palatino Linotype" w:eastAsia="Palatino Linotype" w:hAnsi="Palatino Linotype" w:cs="Palatino Linotype"/>
          <w:b/>
          <w:i/>
        </w:rPr>
        <w:lastRenderedPageBreak/>
        <w:t xml:space="preserve">439.pdf: </w:t>
      </w:r>
      <w:r w:rsidRPr="00AB23E8">
        <w:rPr>
          <w:rFonts w:ascii="Palatino Linotype" w:eastAsia="Palatino Linotype" w:hAnsi="Palatino Linotype" w:cs="Palatino Linotype"/>
        </w:rPr>
        <w:t xml:space="preserve">Oficio número TM/2290/2022 de fecha veintiuno de junio de dos mil veintidós firmado por el Tesorero Municipal, quien se pronuncia sobre diversos puntos de la solicitud. </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b/>
        </w:rPr>
      </w:pPr>
      <w:r w:rsidRPr="00AB23E8">
        <w:rPr>
          <w:rFonts w:ascii="Palatino Linotype" w:eastAsia="Palatino Linotype" w:hAnsi="Palatino Linotype" w:cs="Palatino Linotype"/>
          <w:b/>
          <w:sz w:val="28"/>
          <w:szCs w:val="28"/>
        </w:rPr>
        <w:t>IV. Del Recurso de Revisión</w:t>
      </w:r>
      <w:r w:rsidRPr="00AB23E8">
        <w:rPr>
          <w:rFonts w:ascii="Palatino Linotype" w:eastAsia="Palatino Linotype" w:hAnsi="Palatino Linotype" w:cs="Palatino Linotype"/>
          <w:b/>
        </w:rPr>
        <w:t>.</w:t>
      </w:r>
    </w:p>
    <w:p w:rsidR="001670A2" w:rsidRPr="00AB23E8" w:rsidRDefault="00D53821">
      <w:pPr>
        <w:widowControl w:val="0"/>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Inconforme con la respuesta del</w:t>
      </w:r>
      <w:r w:rsidRPr="00AB23E8">
        <w:rPr>
          <w:rFonts w:ascii="Palatino Linotype" w:eastAsia="Palatino Linotype" w:hAnsi="Palatino Linotype" w:cs="Palatino Linotype"/>
          <w:b/>
        </w:rPr>
        <w:t xml:space="preserve"> SUJETO OBLIGADO</w:t>
      </w:r>
      <w:r w:rsidRPr="00AB23E8">
        <w:rPr>
          <w:rFonts w:ascii="Palatino Linotype" w:eastAsia="Palatino Linotype" w:hAnsi="Palatino Linotype" w:cs="Palatino Linotype"/>
        </w:rPr>
        <w:t xml:space="preserve">, el veintinueve de junio  de dos mil veintidós, </w:t>
      </w:r>
      <w:r w:rsidRPr="00AB23E8">
        <w:rPr>
          <w:rFonts w:ascii="Palatino Linotype" w:eastAsia="Palatino Linotype" w:hAnsi="Palatino Linotype" w:cs="Palatino Linotype"/>
          <w:b/>
        </w:rPr>
        <w:t>EL RECURRENTE</w:t>
      </w:r>
      <w:r w:rsidRPr="00AB23E8">
        <w:rPr>
          <w:rFonts w:ascii="Palatino Linotype" w:eastAsia="Palatino Linotype" w:hAnsi="Palatino Linotype" w:cs="Palatino Linotype"/>
        </w:rPr>
        <w:t xml:space="preserve"> interpuso el Recurso de Revisión, mismo que al corresponder a un día inhábil por periodo vacacional se tuvo por presentado hasta el día hábil siguiente siendo este el primero de agosto de la anualidad, registrado en </w:t>
      </w:r>
      <w:r w:rsidRPr="00AB23E8">
        <w:rPr>
          <w:rFonts w:ascii="Palatino Linotype" w:eastAsia="Palatino Linotype" w:hAnsi="Palatino Linotype" w:cs="Palatino Linotype"/>
          <w:b/>
        </w:rPr>
        <w:t>EL SAIMEX</w:t>
      </w:r>
      <w:r w:rsidRPr="00AB23E8">
        <w:rPr>
          <w:rFonts w:ascii="Palatino Linotype" w:eastAsia="Palatino Linotype" w:hAnsi="Palatino Linotype" w:cs="Palatino Linotype"/>
        </w:rPr>
        <w:t xml:space="preserve"> y se le asignó el número de expediente </w:t>
      </w:r>
      <w:r w:rsidRPr="00AB23E8">
        <w:rPr>
          <w:rFonts w:ascii="Palatino Linotype" w:eastAsia="Palatino Linotype" w:hAnsi="Palatino Linotype" w:cs="Palatino Linotype"/>
          <w:b/>
        </w:rPr>
        <w:t xml:space="preserve">12267/INFOEM/IP/RR/2022, </w:t>
      </w:r>
      <w:r w:rsidRPr="00AB23E8">
        <w:rPr>
          <w:rFonts w:ascii="Palatino Linotype" w:eastAsia="Palatino Linotype" w:hAnsi="Palatino Linotype" w:cs="Palatino Linotype"/>
        </w:rPr>
        <w:t>donde los motivos de agravio del</w:t>
      </w:r>
      <w:r w:rsidRPr="00AB23E8">
        <w:rPr>
          <w:rFonts w:ascii="Palatino Linotype" w:eastAsia="Palatino Linotype" w:hAnsi="Palatino Linotype" w:cs="Palatino Linotype"/>
          <w:b/>
        </w:rPr>
        <w:t xml:space="preserve"> RECURRENTE </w:t>
      </w:r>
      <w:r w:rsidRPr="00AB23E8">
        <w:rPr>
          <w:rFonts w:ascii="Palatino Linotype" w:eastAsia="Palatino Linotype" w:hAnsi="Palatino Linotype" w:cs="Palatino Linotype"/>
        </w:rPr>
        <w:t>fueron los siguientes:</w:t>
      </w:r>
    </w:p>
    <w:p w:rsidR="001670A2" w:rsidRPr="00AB23E8" w:rsidRDefault="001670A2">
      <w:pPr>
        <w:widowControl w:val="0"/>
        <w:spacing w:line="360" w:lineRule="auto"/>
        <w:jc w:val="both"/>
        <w:rPr>
          <w:rFonts w:ascii="Palatino Linotype" w:eastAsia="Palatino Linotype" w:hAnsi="Palatino Linotype" w:cs="Palatino Linotype"/>
        </w:rPr>
      </w:pPr>
    </w:p>
    <w:p w:rsidR="001670A2" w:rsidRPr="00AB23E8" w:rsidRDefault="00D53821">
      <w:pPr>
        <w:spacing w:line="360" w:lineRule="auto"/>
        <w:ind w:left="-57" w:right="-57"/>
        <w:jc w:val="both"/>
        <w:rPr>
          <w:rFonts w:ascii="Palatino Linotype" w:eastAsia="Palatino Linotype" w:hAnsi="Palatino Linotype" w:cs="Palatino Linotype"/>
          <w:b/>
          <w:u w:val="single"/>
        </w:rPr>
      </w:pPr>
      <w:r w:rsidRPr="00AB23E8">
        <w:rPr>
          <w:rFonts w:ascii="Palatino Linotype" w:eastAsia="Palatino Linotype" w:hAnsi="Palatino Linotype" w:cs="Palatino Linotype"/>
          <w:b/>
          <w:u w:val="single"/>
        </w:rPr>
        <w:t>Acto Impugnado:</w:t>
      </w:r>
      <w:r w:rsidRPr="00AB23E8">
        <w:rPr>
          <w:b/>
          <w:u w:val="single"/>
        </w:rPr>
        <w:t xml:space="preserve"> </w:t>
      </w:r>
    </w:p>
    <w:p w:rsidR="001670A2" w:rsidRPr="00AB23E8" w:rsidRDefault="00D53821">
      <w:pPr>
        <w:tabs>
          <w:tab w:val="left" w:pos="709"/>
        </w:tabs>
        <w:spacing w:before="66"/>
        <w:ind w:left="850"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“Información incompleta” (Sic)</w:t>
      </w:r>
    </w:p>
    <w:p w:rsidR="001670A2" w:rsidRPr="00AB23E8" w:rsidRDefault="001670A2">
      <w:pPr>
        <w:ind w:right="899"/>
        <w:jc w:val="both"/>
        <w:rPr>
          <w:rFonts w:ascii="Palatino Linotype" w:eastAsia="Palatino Linotype" w:hAnsi="Palatino Linotype" w:cs="Palatino Linotype"/>
        </w:rPr>
      </w:pPr>
    </w:p>
    <w:p w:rsidR="001670A2" w:rsidRPr="00AB23E8" w:rsidRDefault="00D53821">
      <w:pPr>
        <w:spacing w:line="360" w:lineRule="auto"/>
        <w:ind w:right="49"/>
        <w:jc w:val="both"/>
        <w:rPr>
          <w:rFonts w:ascii="Palatino Linotype" w:eastAsia="Palatino Linotype" w:hAnsi="Palatino Linotype" w:cs="Palatino Linotype"/>
          <w:b/>
          <w:u w:val="single"/>
        </w:rPr>
      </w:pPr>
      <w:r w:rsidRPr="00AB23E8">
        <w:rPr>
          <w:rFonts w:ascii="Palatino Linotype" w:eastAsia="Palatino Linotype" w:hAnsi="Palatino Linotype" w:cs="Palatino Linotype"/>
          <w:b/>
          <w:u w:val="single"/>
        </w:rPr>
        <w:t>Razones o motivos de inconformidad:</w:t>
      </w:r>
    </w:p>
    <w:p w:rsidR="001670A2" w:rsidRPr="00AB23E8" w:rsidRDefault="00D53821">
      <w:pPr>
        <w:tabs>
          <w:tab w:val="left" w:pos="709"/>
        </w:tabs>
        <w:spacing w:before="66"/>
        <w:ind w:left="850" w:right="899"/>
        <w:jc w:val="both"/>
        <w:rPr>
          <w:rFonts w:ascii="Palatino Linotype" w:eastAsia="Palatino Linotype" w:hAnsi="Palatino Linotype" w:cs="Palatino Linotype"/>
        </w:rPr>
      </w:pPr>
      <w:r w:rsidRPr="00AB23E8">
        <w:rPr>
          <w:rFonts w:ascii="Palatino Linotype" w:eastAsia="Palatino Linotype" w:hAnsi="Palatino Linotype" w:cs="Palatino Linotype"/>
          <w:i/>
          <w:sz w:val="22"/>
          <w:szCs w:val="22"/>
        </w:rPr>
        <w:t>“Dentro de la solicitud se especificó la información requerida, la cual se genera a través de reportes de las áreas correspondientes, la información que mandan no es lo solicitado, aunado a que la información no esta completa Se anexa documento que puede servir de apoyo para la entrega de la información por áreas de competencia” (Sic)</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lastRenderedPageBreak/>
        <w:t xml:space="preserve">Adjuntando su Recurso de Revisión el archivo denominado </w:t>
      </w:r>
      <w:r w:rsidRPr="00AB23E8">
        <w:rPr>
          <w:rFonts w:ascii="Palatino Linotype" w:eastAsia="Palatino Linotype" w:hAnsi="Palatino Linotype" w:cs="Palatino Linotype"/>
          <w:i/>
        </w:rPr>
        <w:t xml:space="preserve">Revision Cuautitlan Izcalli.pdf </w:t>
      </w:r>
      <w:r w:rsidRPr="00AB23E8">
        <w:rPr>
          <w:rFonts w:ascii="Palatino Linotype" w:eastAsia="Palatino Linotype" w:hAnsi="Palatino Linotype" w:cs="Palatino Linotype"/>
        </w:rPr>
        <w:t xml:space="preserve">del cual se advierte que el particular reiteró su solicitud indicando el área que pudiera ser competente para dar respuesta a la misma. </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b/>
          <w:sz w:val="28"/>
          <w:szCs w:val="28"/>
        </w:rPr>
      </w:pPr>
      <w:r w:rsidRPr="00AB23E8">
        <w:rPr>
          <w:rFonts w:ascii="Palatino Linotype" w:eastAsia="Palatino Linotype" w:hAnsi="Palatino Linotype" w:cs="Palatino Linotype"/>
          <w:b/>
          <w:sz w:val="28"/>
          <w:szCs w:val="28"/>
        </w:rPr>
        <w:t xml:space="preserve">V. Del turno del Recurso de Revisión. </w:t>
      </w: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El </w:t>
      </w:r>
      <w:r w:rsidRPr="00AB23E8">
        <w:rPr>
          <w:rFonts w:ascii="Palatino Linotype" w:eastAsia="Palatino Linotype" w:hAnsi="Palatino Linotype" w:cs="Palatino Linotype"/>
          <w:b/>
        </w:rPr>
        <w:t>veintinueve de julio de dos mil veintidós</w:t>
      </w:r>
      <w:r w:rsidRPr="00AB23E8">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AB23E8">
        <w:rPr>
          <w:rFonts w:ascii="Palatino Linotype" w:eastAsia="Palatino Linotype" w:hAnsi="Palatino Linotype" w:cs="Palatino Linotype"/>
          <w:b/>
        </w:rPr>
        <w:t>Comisionada Sharon Cristina Morales Martínez</w:t>
      </w:r>
      <w:r w:rsidRPr="00AB23E8">
        <w:rPr>
          <w:rFonts w:ascii="Palatino Linotype" w:eastAsia="Palatino Linotype" w:hAnsi="Palatino Linotype" w:cs="Palatino Linotype"/>
        </w:rPr>
        <w:t>; a efecto de decretar su admisión o desechamiento.</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tabs>
          <w:tab w:val="center" w:pos="4252"/>
          <w:tab w:val="right" w:pos="8504"/>
        </w:tabs>
        <w:spacing w:line="360" w:lineRule="auto"/>
        <w:jc w:val="both"/>
        <w:rPr>
          <w:rFonts w:ascii="Palatino Linotype" w:eastAsia="Palatino Linotype" w:hAnsi="Palatino Linotype" w:cs="Palatino Linotype"/>
          <w:b/>
        </w:rPr>
      </w:pPr>
      <w:r w:rsidRPr="00AB23E8">
        <w:rPr>
          <w:rFonts w:ascii="Palatino Linotype" w:eastAsia="Palatino Linotype" w:hAnsi="Palatino Linotype" w:cs="Palatino Linotype"/>
          <w:b/>
        </w:rPr>
        <w:t>a) Admisión del Recurso de Revisión</w:t>
      </w:r>
    </w:p>
    <w:p w:rsidR="001670A2" w:rsidRPr="00AB23E8" w:rsidRDefault="00D53821">
      <w:pPr>
        <w:tabs>
          <w:tab w:val="center" w:pos="4252"/>
          <w:tab w:val="right" w:pos="8504"/>
        </w:tabs>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De las constancias que obran en el expediente electrónico del</w:t>
      </w:r>
      <w:r w:rsidRPr="00AB23E8">
        <w:rPr>
          <w:rFonts w:ascii="Palatino Linotype" w:eastAsia="Palatino Linotype" w:hAnsi="Palatino Linotype" w:cs="Palatino Linotype"/>
          <w:b/>
        </w:rPr>
        <w:t xml:space="preserve"> SAIMEX</w:t>
      </w:r>
      <w:r w:rsidRPr="00AB23E8">
        <w:rPr>
          <w:rFonts w:ascii="Palatino Linotype" w:eastAsia="Palatino Linotype" w:hAnsi="Palatino Linotype" w:cs="Palatino Linotype"/>
        </w:rPr>
        <w:t>, se advierte que en fecha</w:t>
      </w:r>
      <w:r w:rsidRPr="00AB23E8">
        <w:rPr>
          <w:rFonts w:ascii="Palatino Linotype" w:eastAsia="Palatino Linotype" w:hAnsi="Palatino Linotype" w:cs="Palatino Linotype"/>
          <w:b/>
        </w:rPr>
        <w:t xml:space="preserve"> cinco de julio de dos mil veintidós</w:t>
      </w:r>
      <w:r w:rsidRPr="00AB23E8">
        <w:rPr>
          <w:rFonts w:ascii="Palatino Linotype" w:eastAsia="Palatino Linotype" w:hAnsi="Palatino Linotype" w:cs="Palatino Linotype"/>
        </w:rPr>
        <w:t>, se acordó la admisión a trámite del Recurso de Revisión que nos ocupa; así como la integración del expediente respectivo, mismo que se puso a disposición de las partes, para que en un plazo máximo de siete días hábiles</w:t>
      </w:r>
      <w:r w:rsidRPr="00AB23E8">
        <w:rPr>
          <w:rFonts w:ascii="Palatino Linotype" w:eastAsia="Palatino Linotype" w:hAnsi="Palatino Linotype" w:cs="Palatino Linotype"/>
          <w:b/>
        </w:rPr>
        <w:t xml:space="preserve"> </w:t>
      </w:r>
      <w:r w:rsidRPr="00AB23E8">
        <w:rPr>
          <w:rFonts w:ascii="Palatino Linotype" w:eastAsia="Palatino Linotype" w:hAnsi="Palatino Linotype" w:cs="Palatino Linotype"/>
        </w:rPr>
        <w:t>al</w:t>
      </w:r>
      <w:r w:rsidRPr="00AB23E8">
        <w:rPr>
          <w:rFonts w:ascii="Palatino Linotype" w:eastAsia="Palatino Linotype" w:hAnsi="Palatino Linotype" w:cs="Palatino Linotype"/>
          <w:b/>
        </w:rPr>
        <w:t xml:space="preserve"> RECURRENTE </w:t>
      </w:r>
      <w:r w:rsidRPr="00AB23E8">
        <w:rPr>
          <w:rFonts w:ascii="Palatino Linotype" w:eastAsia="Palatino Linotype" w:hAnsi="Palatino Linotype" w:cs="Palatino Linotype"/>
        </w:rPr>
        <w:t xml:space="preserve">manifestara lo que a su derecho conviniera, a efecto de presentar pruebas y alegatos; así como, para que </w:t>
      </w:r>
      <w:r w:rsidRPr="00AB23E8">
        <w:rPr>
          <w:rFonts w:ascii="Palatino Linotype" w:eastAsia="Palatino Linotype" w:hAnsi="Palatino Linotype" w:cs="Palatino Linotype"/>
          <w:b/>
        </w:rPr>
        <w:t xml:space="preserve">EL SUJETO OBLIGADO </w:t>
      </w:r>
      <w:r w:rsidRPr="00AB23E8">
        <w:rPr>
          <w:rFonts w:ascii="Palatino Linotype" w:eastAsia="Palatino Linotype" w:hAnsi="Palatino Linotype" w:cs="Palatino Linotype"/>
        </w:rPr>
        <w:t>rindiera el correspondiente</w:t>
      </w:r>
      <w:r w:rsidRPr="00AB23E8">
        <w:rPr>
          <w:rFonts w:ascii="Palatino Linotype" w:eastAsia="Palatino Linotype" w:hAnsi="Palatino Linotype" w:cs="Palatino Linotype"/>
          <w:b/>
        </w:rPr>
        <w:t xml:space="preserve"> </w:t>
      </w:r>
      <w:r w:rsidRPr="00AB23E8">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rsidR="001670A2" w:rsidRPr="00AB23E8" w:rsidRDefault="00D53821">
      <w:pPr>
        <w:spacing w:line="360" w:lineRule="auto"/>
        <w:jc w:val="both"/>
        <w:rPr>
          <w:rFonts w:ascii="Palatino Linotype" w:eastAsia="Palatino Linotype" w:hAnsi="Palatino Linotype" w:cs="Palatino Linotype"/>
          <w:b/>
        </w:rPr>
      </w:pPr>
      <w:r w:rsidRPr="00AB23E8">
        <w:rPr>
          <w:rFonts w:ascii="Palatino Linotype" w:eastAsia="Palatino Linotype" w:hAnsi="Palatino Linotype" w:cs="Palatino Linotype"/>
          <w:b/>
        </w:rPr>
        <w:lastRenderedPageBreak/>
        <w:t>b) Informe Justificado</w:t>
      </w:r>
    </w:p>
    <w:p w:rsidR="001670A2" w:rsidRPr="00AB23E8" w:rsidRDefault="00D53821">
      <w:pPr>
        <w:widowControl w:val="0"/>
        <w:tabs>
          <w:tab w:val="left" w:pos="0"/>
        </w:tabs>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Conforme a las constancias que obran en el expediente del </w:t>
      </w:r>
      <w:r w:rsidRPr="00AB23E8">
        <w:rPr>
          <w:rFonts w:ascii="Palatino Linotype" w:eastAsia="Palatino Linotype" w:hAnsi="Palatino Linotype" w:cs="Palatino Linotype"/>
          <w:b/>
        </w:rPr>
        <w:t>SAIMEX,</w:t>
      </w:r>
      <w:r w:rsidRPr="00AB23E8">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sidRPr="00AB23E8">
        <w:rPr>
          <w:rFonts w:ascii="Palatino Linotype" w:eastAsia="Palatino Linotype" w:hAnsi="Palatino Linotype" w:cs="Palatino Linotype"/>
          <w:b/>
        </w:rPr>
        <w:t>RECURRENTE</w:t>
      </w:r>
      <w:r w:rsidRPr="00AB23E8">
        <w:rPr>
          <w:rFonts w:ascii="Palatino Linotype" w:eastAsia="Palatino Linotype" w:hAnsi="Palatino Linotype" w:cs="Palatino Linotype"/>
        </w:rPr>
        <w:t xml:space="preserve"> presentó  el documento </w:t>
      </w:r>
      <w:r w:rsidRPr="00AB23E8">
        <w:rPr>
          <w:rFonts w:ascii="Palatino Linotype" w:eastAsia="Palatino Linotype" w:hAnsi="Palatino Linotype" w:cs="Palatino Linotype"/>
          <w:i/>
        </w:rPr>
        <w:t xml:space="preserve">Revision Cuautitlan Izcalli.pdf, </w:t>
      </w:r>
      <w:r w:rsidRPr="00AB23E8">
        <w:rPr>
          <w:rFonts w:ascii="Palatino Linotype" w:eastAsia="Palatino Linotype" w:hAnsi="Palatino Linotype" w:cs="Palatino Linotype"/>
        </w:rPr>
        <w:t xml:space="preserve">mismo que fue adjunto al escrito de interposición del Recurso de Revisión a efecto de facilitar la búsqueda de la información solicitada. </w:t>
      </w:r>
    </w:p>
    <w:p w:rsidR="001670A2" w:rsidRPr="00AB23E8" w:rsidRDefault="001670A2">
      <w:pPr>
        <w:widowControl w:val="0"/>
        <w:tabs>
          <w:tab w:val="left" w:pos="0"/>
        </w:tabs>
        <w:spacing w:line="360" w:lineRule="auto"/>
        <w:jc w:val="both"/>
        <w:rPr>
          <w:rFonts w:ascii="Palatino Linotype" w:eastAsia="Palatino Linotype" w:hAnsi="Palatino Linotype" w:cs="Palatino Linotype"/>
        </w:rPr>
      </w:pPr>
    </w:p>
    <w:p w:rsidR="001670A2" w:rsidRPr="00AB23E8" w:rsidRDefault="00D53821">
      <w:pPr>
        <w:widowControl w:val="0"/>
        <w:tabs>
          <w:tab w:val="left" w:pos="0"/>
        </w:tabs>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Por su parte, </w:t>
      </w:r>
      <w:r w:rsidRPr="00AB23E8">
        <w:rPr>
          <w:rFonts w:ascii="Palatino Linotype" w:eastAsia="Palatino Linotype" w:hAnsi="Palatino Linotype" w:cs="Palatino Linotype"/>
          <w:b/>
        </w:rPr>
        <w:t>EL SUJETO OBLIGADO</w:t>
      </w:r>
      <w:r w:rsidRPr="00AB23E8">
        <w:rPr>
          <w:rFonts w:ascii="Palatino Linotype" w:eastAsia="Palatino Linotype" w:hAnsi="Palatino Linotype" w:cs="Palatino Linotype"/>
        </w:rPr>
        <w:t xml:space="preserve"> del que se aprecian diversos turnos de requerimiento de la Coordinación de Transparencia a los servidores públicos habilitados a efecto de que rindan su Informe Justificado, así como los Informes Justificados correspondientes emitidos por la Coordinación Municipal de Movilidad, Directora Jurídica, Dirección de Desarrollo Urbano, Tesorería Municipal y la Dirección de Desarrollo Económico del Ayuntamiento de Cuautitlán Izcalli. </w:t>
      </w:r>
    </w:p>
    <w:p w:rsidR="001670A2" w:rsidRPr="00AB23E8" w:rsidRDefault="001670A2">
      <w:pPr>
        <w:widowControl w:val="0"/>
        <w:tabs>
          <w:tab w:val="left" w:pos="0"/>
        </w:tabs>
        <w:spacing w:line="360" w:lineRule="auto"/>
        <w:jc w:val="both"/>
        <w:rPr>
          <w:rFonts w:ascii="Palatino Linotype" w:eastAsia="Palatino Linotype" w:hAnsi="Palatino Linotype" w:cs="Palatino Linotype"/>
        </w:rPr>
      </w:pPr>
    </w:p>
    <w:p w:rsidR="001670A2" w:rsidRPr="00AB23E8" w:rsidRDefault="00D53821">
      <w:pPr>
        <w:widowControl w:val="0"/>
        <w:tabs>
          <w:tab w:val="left" w:pos="0"/>
        </w:tabs>
        <w:spacing w:line="360" w:lineRule="auto"/>
        <w:jc w:val="both"/>
        <w:rPr>
          <w:rFonts w:ascii="Palatino Linotype" w:eastAsia="Palatino Linotype" w:hAnsi="Palatino Linotype" w:cs="Palatino Linotype"/>
          <w:b/>
        </w:rPr>
      </w:pPr>
      <w:r w:rsidRPr="00AB23E8">
        <w:rPr>
          <w:rFonts w:ascii="Palatino Linotype" w:eastAsia="Palatino Linotype" w:hAnsi="Palatino Linotype" w:cs="Palatino Linotype"/>
          <w:b/>
        </w:rPr>
        <w:t xml:space="preserve">c) De la ampliación </w:t>
      </w:r>
    </w:p>
    <w:p w:rsidR="001670A2" w:rsidRPr="00AB23E8" w:rsidRDefault="00D53821">
      <w:pPr>
        <w:spacing w:line="360" w:lineRule="auto"/>
        <w:jc w:val="both"/>
        <w:rPr>
          <w:rFonts w:ascii="Palatino Linotype" w:eastAsia="Palatino Linotype" w:hAnsi="Palatino Linotype" w:cs="Palatino Linotype"/>
        </w:rPr>
      </w:pPr>
      <w:bookmarkStart w:id="2" w:name="_heading=h.1fob9te" w:colFirst="0" w:colLast="0"/>
      <w:bookmarkEnd w:id="2"/>
      <w:r w:rsidRPr="00AB23E8">
        <w:rPr>
          <w:rFonts w:ascii="Palatino Linotype" w:eastAsia="Palatino Linotype" w:hAnsi="Palatino Linotype" w:cs="Palatino Linotype"/>
        </w:rPr>
        <w:t xml:space="preserve">En fecha </w:t>
      </w:r>
      <w:r w:rsidRPr="00AB23E8">
        <w:rPr>
          <w:rFonts w:ascii="Palatino Linotype" w:eastAsia="Palatino Linotype" w:hAnsi="Palatino Linotype" w:cs="Palatino Linotype"/>
          <w:b/>
        </w:rPr>
        <w:t>treinta y uno de agosto de dos mil veintidós</w:t>
      </w:r>
      <w:r w:rsidRPr="00AB23E8">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rsidR="001670A2" w:rsidRPr="00AB23E8" w:rsidRDefault="001670A2">
      <w:pPr>
        <w:spacing w:line="360" w:lineRule="auto"/>
        <w:jc w:val="both"/>
        <w:rPr>
          <w:rFonts w:ascii="Palatino Linotype" w:eastAsia="Palatino Linotype" w:hAnsi="Palatino Linotype" w:cs="Palatino Linotype"/>
        </w:rPr>
      </w:pPr>
      <w:bookmarkStart w:id="3" w:name="_heading=h.vk1hlboevp3r" w:colFirst="0" w:colLast="0"/>
      <w:bookmarkEnd w:id="3"/>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w:t>
      </w:r>
      <w:r w:rsidRPr="00AB23E8">
        <w:rPr>
          <w:rFonts w:ascii="Palatino Linotype" w:eastAsia="Palatino Linotype" w:hAnsi="Palatino Linotype" w:cs="Palatino Linotype"/>
        </w:rPr>
        <w:lastRenderedPageBreak/>
        <w:t>jurisdiccionales o cuasi jurisdiccionales, tanto por la complejidad de los hechos, como por el número de casos que conocen.</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pacing w:line="360" w:lineRule="auto"/>
        <w:ind w:left="720"/>
        <w:jc w:val="both"/>
        <w:rPr>
          <w:rFonts w:ascii="Palatino Linotype" w:eastAsia="Palatino Linotype" w:hAnsi="Palatino Linotype" w:cs="Palatino Linotype"/>
        </w:rPr>
      </w:pPr>
      <w:r w:rsidRPr="00AB23E8">
        <w:rPr>
          <w:rFonts w:ascii="Palatino Linotype" w:eastAsia="Palatino Linotype" w:hAnsi="Palatino Linotype" w:cs="Palatino Linotype"/>
          <w:b/>
        </w:rPr>
        <w:t>a)</w:t>
      </w:r>
      <w:r w:rsidRPr="00AB23E8">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rsidR="001670A2" w:rsidRPr="00AB23E8" w:rsidRDefault="00D53821">
      <w:pPr>
        <w:spacing w:line="360" w:lineRule="auto"/>
        <w:ind w:left="720"/>
        <w:jc w:val="both"/>
        <w:rPr>
          <w:rFonts w:ascii="Palatino Linotype" w:eastAsia="Palatino Linotype" w:hAnsi="Palatino Linotype" w:cs="Palatino Linotype"/>
        </w:rPr>
      </w:pPr>
      <w:r w:rsidRPr="00AB23E8">
        <w:rPr>
          <w:rFonts w:ascii="Palatino Linotype" w:eastAsia="Palatino Linotype" w:hAnsi="Palatino Linotype" w:cs="Palatino Linotype"/>
          <w:b/>
        </w:rPr>
        <w:t>b)</w:t>
      </w:r>
      <w:r w:rsidRPr="00AB23E8">
        <w:rPr>
          <w:rFonts w:ascii="Palatino Linotype" w:eastAsia="Palatino Linotype" w:hAnsi="Palatino Linotype" w:cs="Palatino Linotype"/>
        </w:rPr>
        <w:t xml:space="preserve"> Actividad Procesal del interesado: Acciones u omisiones del interesado.</w:t>
      </w:r>
    </w:p>
    <w:p w:rsidR="001670A2" w:rsidRPr="00AB23E8" w:rsidRDefault="00D53821">
      <w:pPr>
        <w:spacing w:line="360" w:lineRule="auto"/>
        <w:ind w:left="720"/>
        <w:jc w:val="both"/>
        <w:rPr>
          <w:rFonts w:ascii="Palatino Linotype" w:eastAsia="Palatino Linotype" w:hAnsi="Palatino Linotype" w:cs="Palatino Linotype"/>
        </w:rPr>
      </w:pPr>
      <w:r w:rsidRPr="00AB23E8">
        <w:rPr>
          <w:rFonts w:ascii="Palatino Linotype" w:eastAsia="Palatino Linotype" w:hAnsi="Palatino Linotype" w:cs="Palatino Linotype"/>
          <w:b/>
        </w:rPr>
        <w:t>c)</w:t>
      </w:r>
      <w:r w:rsidRPr="00AB23E8">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rsidR="001670A2" w:rsidRPr="00AB23E8" w:rsidRDefault="00D53821">
      <w:pPr>
        <w:spacing w:line="360" w:lineRule="auto"/>
        <w:ind w:left="720"/>
        <w:jc w:val="both"/>
        <w:rPr>
          <w:rFonts w:ascii="Palatino Linotype" w:eastAsia="Palatino Linotype" w:hAnsi="Palatino Linotype" w:cs="Palatino Linotype"/>
        </w:rPr>
      </w:pPr>
      <w:r w:rsidRPr="00AB23E8">
        <w:rPr>
          <w:rFonts w:ascii="Palatino Linotype" w:eastAsia="Palatino Linotype" w:hAnsi="Palatino Linotype" w:cs="Palatino Linotype"/>
          <w:b/>
        </w:rPr>
        <w:t>d)</w:t>
      </w:r>
      <w:r w:rsidRPr="00AB23E8">
        <w:rPr>
          <w:rFonts w:ascii="Palatino Linotype" w:eastAsia="Palatino Linotype" w:hAnsi="Palatino Linotype" w:cs="Palatino Linotype"/>
        </w:rPr>
        <w:t xml:space="preserve"> La afectación generada en la situación jurídica de la persona involucrada en el proceso: Violación a sus derechos humanos.</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lastRenderedPageBreak/>
        <w:t>Argumento que encuentra sustento en la jurisprudencia P./J. 32/92 emitida por el Pleno de la Suprema Corte de Justicia de la Nación de rubro “</w:t>
      </w:r>
      <w:r w:rsidRPr="00AB23E8">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B23E8">
        <w:rPr>
          <w:rFonts w:ascii="Palatino Linotype" w:eastAsia="Palatino Linotype" w:hAnsi="Palatino Linotype" w:cs="Palatino Linotype"/>
        </w:rPr>
        <w:t>, visible en la Gaceta del Seminario Judicial de la Federación con el registro digital 205635.</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i/>
        </w:rPr>
        <w:lastRenderedPageBreak/>
        <w:t>“PLAZO RAZONABLE PARA RESOLVER. DIMENSIÓN Y EFECTOS DE ESTE CONCEPTO CUANDO SE ADUCE EXCESIVA CARGA DE TRABAJO.”</w:t>
      </w:r>
      <w:r w:rsidRPr="00AB23E8">
        <w:rPr>
          <w:rFonts w:ascii="Palatino Linotype" w:eastAsia="Palatino Linotype" w:hAnsi="Palatino Linotype" w:cs="Palatino Linotype"/>
        </w:rPr>
        <w:t xml:space="preserve"> consultable en el Seminario Judicial de la Federación y su gaceta, con el registro digital 2002351.</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i/>
        </w:rPr>
        <w:t>“PLAZO RAZONABLE PARA RESOLVER. CONCEPTO Y ELEMENTOS QUE LO INTEGRAN A LA LUZ DEL DERECHO INTERNACIONAL DE LOS DERECHOS HUMANOS.”</w:t>
      </w:r>
      <w:r w:rsidRPr="00AB23E8">
        <w:rPr>
          <w:rFonts w:ascii="Palatino Linotype" w:eastAsia="Palatino Linotype" w:hAnsi="Palatino Linotype" w:cs="Palatino Linotype"/>
        </w:rPr>
        <w:t>, visible en el Seminario Judicial de la Federación y su gaceta, con el registro digital 2002350.</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b/>
        </w:rPr>
      </w:pPr>
      <w:r w:rsidRPr="00AB23E8">
        <w:rPr>
          <w:rFonts w:ascii="Palatino Linotype" w:eastAsia="Palatino Linotype" w:hAnsi="Palatino Linotype" w:cs="Palatino Linotype"/>
          <w:b/>
        </w:rPr>
        <w:t>d) Cierre de Instrucción</w:t>
      </w: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Por lo que, una vez analizado el estado procesal que guarda el expediente, en fecha </w:t>
      </w:r>
      <w:r w:rsidRPr="00AB23E8">
        <w:rPr>
          <w:rFonts w:ascii="Palatino Linotype" w:eastAsia="Palatino Linotype" w:hAnsi="Palatino Linotype" w:cs="Palatino Linotype"/>
          <w:b/>
        </w:rPr>
        <w:t xml:space="preserve">veinticuatro de enero de dos mil veintitrés </w:t>
      </w:r>
      <w:r w:rsidRPr="00AB23E8">
        <w:rPr>
          <w:rFonts w:ascii="Palatino Linotype" w:eastAsia="Palatino Linotype" w:hAnsi="Palatino Linotype" w:cs="Palatino Linotype"/>
        </w:rPr>
        <w:t xml:space="preserve">la </w:t>
      </w:r>
      <w:r w:rsidRPr="00AB23E8">
        <w:rPr>
          <w:rFonts w:ascii="Palatino Linotype" w:eastAsia="Palatino Linotype" w:hAnsi="Palatino Linotype" w:cs="Palatino Linotype"/>
          <w:b/>
        </w:rPr>
        <w:t xml:space="preserve">Comisionada Sharon Cristina Morales Martínez </w:t>
      </w:r>
      <w:r w:rsidRPr="00AB23E8">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 </w:t>
      </w:r>
    </w:p>
    <w:p w:rsidR="001670A2" w:rsidRPr="00AB23E8" w:rsidRDefault="001670A2">
      <w:pPr>
        <w:rPr>
          <w:rFonts w:ascii="Palatino Linotype" w:eastAsia="Palatino Linotype" w:hAnsi="Palatino Linotype" w:cs="Palatino Linotype"/>
          <w:b/>
          <w:sz w:val="28"/>
          <w:szCs w:val="28"/>
        </w:rPr>
      </w:pPr>
    </w:p>
    <w:p w:rsidR="001670A2" w:rsidRPr="00AB23E8" w:rsidRDefault="001670A2">
      <w:pPr>
        <w:jc w:val="center"/>
        <w:rPr>
          <w:rFonts w:ascii="Palatino Linotype" w:eastAsia="Palatino Linotype" w:hAnsi="Palatino Linotype" w:cs="Palatino Linotype"/>
          <w:b/>
          <w:sz w:val="28"/>
          <w:szCs w:val="28"/>
        </w:rPr>
      </w:pPr>
    </w:p>
    <w:p w:rsidR="001670A2" w:rsidRPr="00AB23E8" w:rsidRDefault="00D53821">
      <w:pPr>
        <w:jc w:val="center"/>
        <w:rPr>
          <w:rFonts w:ascii="Palatino Linotype" w:eastAsia="Palatino Linotype" w:hAnsi="Palatino Linotype" w:cs="Palatino Linotype"/>
          <w:b/>
          <w:sz w:val="28"/>
          <w:szCs w:val="28"/>
        </w:rPr>
      </w:pPr>
      <w:r w:rsidRPr="00AB23E8">
        <w:rPr>
          <w:rFonts w:ascii="Palatino Linotype" w:eastAsia="Palatino Linotype" w:hAnsi="Palatino Linotype" w:cs="Palatino Linotype"/>
          <w:b/>
          <w:sz w:val="28"/>
          <w:szCs w:val="28"/>
        </w:rPr>
        <w:lastRenderedPageBreak/>
        <w:t>CONSIDERANDO</w:t>
      </w:r>
    </w:p>
    <w:p w:rsidR="001670A2" w:rsidRPr="00AB23E8" w:rsidRDefault="001670A2">
      <w:pPr>
        <w:jc w:val="center"/>
        <w:rPr>
          <w:rFonts w:ascii="Palatino Linotype" w:eastAsia="Palatino Linotype" w:hAnsi="Palatino Linotype" w:cs="Palatino Linotype"/>
          <w:b/>
          <w:sz w:val="28"/>
          <w:szCs w:val="28"/>
        </w:rPr>
      </w:pPr>
    </w:p>
    <w:p w:rsidR="001670A2" w:rsidRPr="00AB23E8" w:rsidRDefault="00D53821">
      <w:pPr>
        <w:widowControl w:val="0"/>
        <w:tabs>
          <w:tab w:val="left" w:pos="1701"/>
        </w:tabs>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b/>
          <w:sz w:val="28"/>
          <w:szCs w:val="28"/>
        </w:rPr>
        <w:t>PRIMERO.</w:t>
      </w:r>
      <w:r w:rsidRPr="00AB23E8">
        <w:rPr>
          <w:rFonts w:ascii="Palatino Linotype" w:eastAsia="Palatino Linotype" w:hAnsi="Palatino Linotype" w:cs="Palatino Linotype"/>
          <w:b/>
        </w:rPr>
        <w:t xml:space="preserve"> Competencia</w:t>
      </w:r>
      <w:r w:rsidRPr="00AB23E8">
        <w:rPr>
          <w:rFonts w:ascii="Palatino Linotype" w:eastAsia="Palatino Linotype" w:hAnsi="Palatino Linotype" w:cs="Palatino Linotype"/>
        </w:rPr>
        <w:t>.</w:t>
      </w:r>
      <w:r w:rsidRPr="00AB23E8">
        <w:rPr>
          <w:rFonts w:ascii="Palatino Linotype" w:eastAsia="Palatino Linotype" w:hAnsi="Palatino Linotype" w:cs="Palatino Linotype"/>
          <w:b/>
        </w:rPr>
        <w:t xml:space="preserve"> </w:t>
      </w:r>
    </w:p>
    <w:p w:rsidR="001670A2" w:rsidRPr="00AB23E8" w:rsidRDefault="00D53821">
      <w:pPr>
        <w:widowControl w:val="0"/>
        <w:tabs>
          <w:tab w:val="left" w:pos="1701"/>
        </w:tabs>
        <w:spacing w:line="360" w:lineRule="auto"/>
        <w:jc w:val="both"/>
        <w:rPr>
          <w:rFonts w:ascii="Palatino Linotype" w:eastAsia="Palatino Linotype" w:hAnsi="Palatino Linotype" w:cs="Palatino Linotype"/>
        </w:rPr>
      </w:pPr>
      <w:bookmarkStart w:id="4" w:name="_heading=h.3znysh7" w:colFirst="0" w:colLast="0"/>
      <w:bookmarkEnd w:id="4"/>
      <w:r w:rsidRPr="00AB23E8">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1670A2" w:rsidRPr="00AB23E8" w:rsidRDefault="001670A2">
      <w:pPr>
        <w:spacing w:line="360" w:lineRule="auto"/>
        <w:jc w:val="both"/>
        <w:rPr>
          <w:rFonts w:ascii="Palatino Linotype" w:eastAsia="Palatino Linotype" w:hAnsi="Palatino Linotype" w:cs="Palatino Linotype"/>
          <w:b/>
          <w:sz w:val="28"/>
          <w:szCs w:val="28"/>
        </w:rPr>
      </w:pPr>
    </w:p>
    <w:p w:rsidR="001670A2" w:rsidRPr="00AB23E8" w:rsidRDefault="00D53821">
      <w:pPr>
        <w:spacing w:line="360" w:lineRule="auto"/>
        <w:jc w:val="both"/>
        <w:rPr>
          <w:rFonts w:ascii="Palatino Linotype" w:eastAsia="Palatino Linotype" w:hAnsi="Palatino Linotype" w:cs="Palatino Linotype"/>
          <w:b/>
        </w:rPr>
      </w:pPr>
      <w:r w:rsidRPr="00AB23E8">
        <w:rPr>
          <w:rFonts w:ascii="Palatino Linotype" w:eastAsia="Palatino Linotype" w:hAnsi="Palatino Linotype" w:cs="Palatino Linotype"/>
          <w:b/>
          <w:sz w:val="28"/>
          <w:szCs w:val="28"/>
        </w:rPr>
        <w:t>SEGUNDO</w:t>
      </w:r>
      <w:r w:rsidRPr="00AB23E8">
        <w:rPr>
          <w:rFonts w:ascii="Palatino Linotype" w:eastAsia="Palatino Linotype" w:hAnsi="Palatino Linotype" w:cs="Palatino Linotype"/>
          <w:b/>
        </w:rPr>
        <w:t xml:space="preserve">. Interés. </w:t>
      </w:r>
    </w:p>
    <w:p w:rsidR="001670A2" w:rsidRPr="00AB23E8" w:rsidRDefault="00D53821">
      <w:pPr>
        <w:spacing w:line="360" w:lineRule="auto"/>
        <w:jc w:val="both"/>
        <w:rPr>
          <w:rFonts w:ascii="Palatino Linotype" w:eastAsia="Palatino Linotype" w:hAnsi="Palatino Linotype" w:cs="Palatino Linotype"/>
          <w:b/>
          <w:color w:val="000000"/>
        </w:rPr>
      </w:pPr>
      <w:r w:rsidRPr="00AB23E8">
        <w:rPr>
          <w:rFonts w:ascii="Palatino Linotype" w:eastAsia="Palatino Linotype" w:hAnsi="Palatino Linotype" w:cs="Palatino Linotype"/>
        </w:rPr>
        <w:t>El</w:t>
      </w:r>
      <w:r w:rsidRPr="00AB23E8">
        <w:rPr>
          <w:rFonts w:ascii="Palatino Linotype" w:eastAsia="Palatino Linotype" w:hAnsi="Palatino Linotype" w:cs="Palatino Linotype"/>
          <w:color w:val="000000"/>
        </w:rPr>
        <w:t xml:space="preserve"> Recurso de Revisión materia del presente estudio fue interpuesto por parte legítima, en atención a que se presentó por </w:t>
      </w:r>
      <w:r w:rsidRPr="00AB23E8">
        <w:rPr>
          <w:rFonts w:ascii="Palatino Linotype" w:eastAsia="Palatino Linotype" w:hAnsi="Palatino Linotype" w:cs="Palatino Linotype"/>
          <w:b/>
        </w:rPr>
        <w:t>EL</w:t>
      </w:r>
      <w:r w:rsidRPr="00AB23E8">
        <w:rPr>
          <w:rFonts w:ascii="Palatino Linotype" w:eastAsia="Palatino Linotype" w:hAnsi="Palatino Linotype" w:cs="Palatino Linotype"/>
          <w:b/>
          <w:color w:val="000000"/>
        </w:rPr>
        <w:t xml:space="preserve"> RECURRENTE,</w:t>
      </w:r>
      <w:r w:rsidRPr="00AB23E8">
        <w:rPr>
          <w:rFonts w:ascii="Palatino Linotype" w:eastAsia="Palatino Linotype" w:hAnsi="Palatino Linotype" w:cs="Palatino Linotype"/>
          <w:color w:val="000000"/>
        </w:rPr>
        <w:t xml:space="preserve"> quien es la misma persona que formuló la solicitud de acceso a la información pública al </w:t>
      </w:r>
      <w:r w:rsidRPr="00AB23E8">
        <w:rPr>
          <w:rFonts w:ascii="Palatino Linotype" w:eastAsia="Palatino Linotype" w:hAnsi="Palatino Linotype" w:cs="Palatino Linotype"/>
          <w:b/>
          <w:color w:val="000000"/>
        </w:rPr>
        <w:t xml:space="preserve">SUJETO OBLIGADO, </w:t>
      </w:r>
      <w:r w:rsidRPr="00AB23E8">
        <w:rPr>
          <w:rFonts w:ascii="Palatino Linotype" w:eastAsia="Palatino Linotype" w:hAnsi="Palatino Linotype" w:cs="Palatino Linotype"/>
          <w:color w:val="000000"/>
        </w:rPr>
        <w:t xml:space="preserve">pues para ello, es necesario que el particular ingrese al </w:t>
      </w:r>
      <w:r w:rsidRPr="00AB23E8">
        <w:rPr>
          <w:rFonts w:ascii="Palatino Linotype" w:eastAsia="Palatino Linotype" w:hAnsi="Palatino Linotype" w:cs="Palatino Linotype"/>
          <w:b/>
          <w:color w:val="000000"/>
        </w:rPr>
        <w:t xml:space="preserve">SAIMEX </w:t>
      </w:r>
      <w:r w:rsidRPr="00AB23E8">
        <w:rPr>
          <w:rFonts w:ascii="Palatino Linotype" w:eastAsia="Palatino Linotype" w:hAnsi="Palatino Linotype" w:cs="Palatino Linotype"/>
          <w:color w:val="000000"/>
        </w:rPr>
        <w:t>mediante la utilización de su clave de usuario y contraseña.</w:t>
      </w:r>
    </w:p>
    <w:p w:rsidR="001670A2" w:rsidRPr="00AB23E8" w:rsidRDefault="001670A2">
      <w:pPr>
        <w:tabs>
          <w:tab w:val="center" w:pos="4252"/>
          <w:tab w:val="right" w:pos="8504"/>
        </w:tabs>
        <w:spacing w:line="360" w:lineRule="auto"/>
        <w:ind w:left="-57"/>
        <w:jc w:val="both"/>
        <w:rPr>
          <w:rFonts w:ascii="Palatino Linotype" w:eastAsia="Palatino Linotype" w:hAnsi="Palatino Linotype" w:cs="Palatino Linotype"/>
          <w:b/>
          <w:sz w:val="28"/>
          <w:szCs w:val="28"/>
        </w:rPr>
      </w:pPr>
    </w:p>
    <w:p w:rsidR="001670A2" w:rsidRPr="00AB23E8" w:rsidRDefault="00D53821">
      <w:pPr>
        <w:tabs>
          <w:tab w:val="center" w:pos="4252"/>
          <w:tab w:val="right" w:pos="8504"/>
        </w:tabs>
        <w:spacing w:line="360" w:lineRule="auto"/>
        <w:ind w:left="-57"/>
        <w:jc w:val="both"/>
        <w:rPr>
          <w:rFonts w:ascii="Palatino Linotype" w:eastAsia="Palatino Linotype" w:hAnsi="Palatino Linotype" w:cs="Palatino Linotype"/>
          <w:color w:val="000000"/>
        </w:rPr>
      </w:pPr>
      <w:r w:rsidRPr="00AB23E8">
        <w:rPr>
          <w:rFonts w:ascii="Palatino Linotype" w:eastAsia="Palatino Linotype" w:hAnsi="Palatino Linotype" w:cs="Palatino Linotype"/>
          <w:b/>
          <w:sz w:val="28"/>
          <w:szCs w:val="28"/>
        </w:rPr>
        <w:lastRenderedPageBreak/>
        <w:t>TERCERO.</w:t>
      </w:r>
      <w:r w:rsidRPr="00AB23E8">
        <w:rPr>
          <w:rFonts w:ascii="Palatino Linotype" w:eastAsia="Palatino Linotype" w:hAnsi="Palatino Linotype" w:cs="Palatino Linotype"/>
        </w:rPr>
        <w:t xml:space="preserve"> </w:t>
      </w:r>
      <w:r w:rsidRPr="00AB23E8">
        <w:rPr>
          <w:rFonts w:ascii="Palatino Linotype" w:eastAsia="Palatino Linotype" w:hAnsi="Palatino Linotype" w:cs="Palatino Linotype"/>
          <w:b/>
          <w:color w:val="000000"/>
        </w:rPr>
        <w:t>Oportunidad</w:t>
      </w:r>
      <w:r w:rsidRPr="00AB23E8">
        <w:rPr>
          <w:rFonts w:ascii="Palatino Linotype" w:eastAsia="Palatino Linotype" w:hAnsi="Palatino Linotype" w:cs="Palatino Linotype"/>
          <w:color w:val="000000"/>
        </w:rPr>
        <w:t xml:space="preserve">. </w:t>
      </w:r>
    </w:p>
    <w:p w:rsidR="001670A2" w:rsidRPr="00AB23E8" w:rsidRDefault="00D53821">
      <w:pPr>
        <w:widowControl w:val="0"/>
        <w:tabs>
          <w:tab w:val="left" w:pos="1701"/>
        </w:tabs>
        <w:spacing w:line="360" w:lineRule="auto"/>
        <w:ind w:right="49"/>
        <w:jc w:val="both"/>
        <w:rPr>
          <w:rFonts w:ascii="Palatino Linotype" w:eastAsia="Palatino Linotype" w:hAnsi="Palatino Linotype" w:cs="Palatino Linotype"/>
          <w:b/>
        </w:rPr>
      </w:pPr>
      <w:r w:rsidRPr="00AB23E8">
        <w:rPr>
          <w:rFonts w:ascii="Palatino Linotype" w:eastAsia="Palatino Linotype" w:hAnsi="Palatino Linotype" w:cs="Palatino Linotype"/>
        </w:rPr>
        <w:t xml:space="preserve">El Recurso de Revisión fue interpuesto dentro del plazo de quince días hábiles, contados a partir del día siguiente al que </w:t>
      </w:r>
      <w:r w:rsidRPr="00AB23E8">
        <w:rPr>
          <w:rFonts w:ascii="Palatino Linotype" w:eastAsia="Palatino Linotype" w:hAnsi="Palatino Linotype" w:cs="Palatino Linotype"/>
          <w:b/>
        </w:rPr>
        <w:t xml:space="preserve">EL RECURRENTE </w:t>
      </w:r>
      <w:r w:rsidRPr="00AB23E8">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rsidR="001670A2" w:rsidRPr="00AB23E8" w:rsidRDefault="001670A2">
      <w:pPr>
        <w:ind w:left="720" w:right="709"/>
        <w:jc w:val="both"/>
        <w:rPr>
          <w:rFonts w:ascii="Palatino Linotype" w:eastAsia="Palatino Linotype" w:hAnsi="Palatino Linotype" w:cs="Palatino Linotype"/>
          <w:i/>
          <w:sz w:val="22"/>
          <w:szCs w:val="22"/>
        </w:rPr>
      </w:pPr>
    </w:p>
    <w:p w:rsidR="001670A2" w:rsidRPr="00AB23E8" w:rsidRDefault="00D53821">
      <w:pPr>
        <w:ind w:left="851"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w:t>
      </w:r>
      <w:r w:rsidRPr="00AB23E8">
        <w:rPr>
          <w:rFonts w:ascii="Palatino Linotype" w:eastAsia="Palatino Linotype" w:hAnsi="Palatino Linotype" w:cs="Palatino Linotype"/>
          <w:b/>
          <w:i/>
          <w:sz w:val="22"/>
          <w:szCs w:val="22"/>
        </w:rPr>
        <w:t>Artículo 178.</w:t>
      </w:r>
      <w:r w:rsidRPr="00AB23E8">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670A2" w:rsidRPr="00AB23E8" w:rsidRDefault="001670A2">
      <w:pPr>
        <w:ind w:left="851" w:right="899"/>
        <w:jc w:val="both"/>
        <w:rPr>
          <w:rFonts w:ascii="Palatino Linotype" w:eastAsia="Palatino Linotype" w:hAnsi="Palatino Linotype" w:cs="Palatino Linotype"/>
          <w:i/>
          <w:sz w:val="22"/>
          <w:szCs w:val="22"/>
        </w:rPr>
      </w:pPr>
    </w:p>
    <w:p w:rsidR="001670A2" w:rsidRPr="00AB23E8" w:rsidRDefault="00D53821">
      <w:pPr>
        <w:ind w:left="851"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670A2" w:rsidRPr="00AB23E8" w:rsidRDefault="001670A2">
      <w:pPr>
        <w:ind w:left="851" w:right="899"/>
        <w:jc w:val="both"/>
        <w:rPr>
          <w:rFonts w:ascii="Palatino Linotype" w:eastAsia="Palatino Linotype" w:hAnsi="Palatino Linotype" w:cs="Palatino Linotype"/>
          <w:i/>
          <w:sz w:val="22"/>
          <w:szCs w:val="22"/>
        </w:rPr>
      </w:pPr>
    </w:p>
    <w:p w:rsidR="001670A2" w:rsidRPr="00AB23E8" w:rsidRDefault="00D53821">
      <w:pPr>
        <w:ind w:left="851"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rsidR="001670A2" w:rsidRPr="00AB23E8" w:rsidRDefault="001670A2">
      <w:pPr>
        <w:ind w:left="720" w:right="709"/>
        <w:jc w:val="both"/>
        <w:rPr>
          <w:rFonts w:ascii="Palatino Linotype" w:eastAsia="Palatino Linotype" w:hAnsi="Palatino Linotype" w:cs="Palatino Linotype"/>
          <w:i/>
          <w:sz w:val="22"/>
          <w:szCs w:val="22"/>
        </w:rPr>
      </w:pPr>
    </w:p>
    <w:p w:rsidR="001670A2" w:rsidRPr="00AB23E8" w:rsidRDefault="00D53821">
      <w:pPr>
        <w:spacing w:line="360" w:lineRule="auto"/>
        <w:jc w:val="both"/>
        <w:rPr>
          <w:rFonts w:ascii="Palatino Linotype" w:eastAsia="Palatino Linotype" w:hAnsi="Palatino Linotype" w:cs="Palatino Linotype"/>
        </w:rPr>
      </w:pPr>
      <w:bookmarkStart w:id="5" w:name="_heading=h.2et92p0" w:colFirst="0" w:colLast="0"/>
      <w:bookmarkEnd w:id="5"/>
      <w:r w:rsidRPr="00AB23E8">
        <w:rPr>
          <w:rFonts w:ascii="Palatino Linotype" w:eastAsia="Palatino Linotype" w:hAnsi="Palatino Linotype" w:cs="Palatino Linotype"/>
        </w:rPr>
        <w:t xml:space="preserve">En esa tesitura, atendiendo a que </w:t>
      </w:r>
      <w:r w:rsidRPr="00AB23E8">
        <w:rPr>
          <w:rFonts w:ascii="Palatino Linotype" w:eastAsia="Palatino Linotype" w:hAnsi="Palatino Linotype" w:cs="Palatino Linotype"/>
          <w:b/>
        </w:rPr>
        <w:t>EL SUJETO OBLIGADO</w:t>
      </w:r>
      <w:r w:rsidRPr="00AB23E8">
        <w:rPr>
          <w:rFonts w:ascii="Palatino Linotype" w:eastAsia="Palatino Linotype" w:hAnsi="Palatino Linotype" w:cs="Palatino Linotype"/>
        </w:rPr>
        <w:t xml:space="preserve"> notificó la respuesta a la solicitud de acceso a la información pública el día</w:t>
      </w:r>
      <w:r w:rsidRPr="00AB23E8">
        <w:rPr>
          <w:rFonts w:ascii="Palatino Linotype" w:eastAsia="Palatino Linotype" w:hAnsi="Palatino Linotype" w:cs="Palatino Linotype"/>
          <w:b/>
        </w:rPr>
        <w:t xml:space="preserve"> veintidós de junio de dos mil veintidós</w:t>
      </w:r>
      <w:r w:rsidRPr="00AB23E8">
        <w:rPr>
          <w:rFonts w:ascii="Palatino Linotype" w:eastAsia="Palatino Linotype" w:hAnsi="Palatino Linotype" w:cs="Palatino Linotype"/>
        </w:rPr>
        <w:t>, así el plazo de quince días hábiles que el artículo 178 de la Ley de la materia otorga al</w:t>
      </w:r>
      <w:r w:rsidRPr="00AB23E8">
        <w:rPr>
          <w:rFonts w:ascii="Palatino Linotype" w:eastAsia="Palatino Linotype" w:hAnsi="Palatino Linotype" w:cs="Palatino Linotype"/>
          <w:b/>
        </w:rPr>
        <w:t xml:space="preserve"> RECURRENTE</w:t>
      </w:r>
      <w:r w:rsidRPr="00AB23E8">
        <w:rPr>
          <w:rFonts w:ascii="Palatino Linotype" w:eastAsia="Palatino Linotype" w:hAnsi="Palatino Linotype" w:cs="Palatino Linotype"/>
        </w:rPr>
        <w:t xml:space="preserve"> para presentar el respectivo Recurso de Revisión, transcurrió del</w:t>
      </w:r>
      <w:r w:rsidRPr="00AB23E8">
        <w:rPr>
          <w:rFonts w:ascii="Palatino Linotype" w:eastAsia="Palatino Linotype" w:hAnsi="Palatino Linotype" w:cs="Palatino Linotype"/>
          <w:b/>
        </w:rPr>
        <w:t xml:space="preserve"> veintitrés de junio al trece de julio de dos mil veintidós, </w:t>
      </w:r>
      <w:r w:rsidRPr="00AB23E8">
        <w:rPr>
          <w:rFonts w:ascii="Palatino Linotype" w:eastAsia="Palatino Linotype" w:hAnsi="Palatino Linotype" w:cs="Palatino Linotype"/>
        </w:rPr>
        <w:t xml:space="preserve">sin contemplar en el cómputo los días veinticinco, y veintiséis de junio, así como cuatro, cinco, once y doce de julio de dos mil veintidós, por corresponder a sábados y domingos, considerados </w:t>
      </w:r>
      <w:r w:rsidRPr="00AB23E8">
        <w:rPr>
          <w:rFonts w:ascii="Palatino Linotype" w:eastAsia="Palatino Linotype" w:hAnsi="Palatino Linotype" w:cs="Palatino Linotype"/>
        </w:rPr>
        <w:lastRenderedPageBreak/>
        <w:t>como días inhábiles, en términos del artículo 3, fracción X de la Ley de Transparencia y Acceso a la Información Pública del Estado de México y Municipios. Exceptuando  el periodo transcurrido del dieciocho al veintinueve de julio de la anualidad, por ser considerados como días inhábiles por periodo vacacional,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Pr="00AB23E8">
        <w:rPr>
          <w:rFonts w:ascii="Palatino Linotype" w:eastAsia="Palatino Linotype" w:hAnsi="Palatino Linotype" w:cs="Palatino Linotype"/>
          <w:vertAlign w:val="superscript"/>
        </w:rPr>
        <w:footnoteReference w:id="1"/>
      </w:r>
      <w:r w:rsidRPr="00AB23E8">
        <w:rPr>
          <w:rFonts w:ascii="Palatino Linotype" w:eastAsia="Palatino Linotype" w:hAnsi="Palatino Linotype" w:cs="Palatino Linotype"/>
        </w:rPr>
        <w:t>.</w:t>
      </w:r>
    </w:p>
    <w:p w:rsidR="001670A2" w:rsidRPr="00AB23E8" w:rsidRDefault="001670A2">
      <w:pPr>
        <w:spacing w:line="360" w:lineRule="auto"/>
        <w:jc w:val="both"/>
        <w:rPr>
          <w:rFonts w:ascii="Palatino Linotype" w:eastAsia="Palatino Linotype" w:hAnsi="Palatino Linotype" w:cs="Palatino Linotype"/>
        </w:rPr>
      </w:pPr>
      <w:bookmarkStart w:id="6" w:name="_heading=h.1j5r03d45pmh" w:colFirst="0" w:colLast="0"/>
      <w:bookmarkEnd w:id="6"/>
    </w:p>
    <w:p w:rsidR="001670A2" w:rsidRPr="00AB23E8" w:rsidRDefault="00D53821">
      <w:pPr>
        <w:spacing w:line="360" w:lineRule="auto"/>
        <w:jc w:val="both"/>
        <w:rPr>
          <w:rFonts w:ascii="Palatino Linotype" w:eastAsia="Palatino Linotype" w:hAnsi="Palatino Linotype" w:cs="Palatino Linotype"/>
        </w:rPr>
      </w:pPr>
      <w:bookmarkStart w:id="7" w:name="_heading=h.5rr2st44stcm" w:colFirst="0" w:colLast="0"/>
      <w:bookmarkEnd w:id="7"/>
      <w:r w:rsidRPr="00AB23E8">
        <w:rPr>
          <w:rFonts w:ascii="Palatino Linotype" w:eastAsia="Palatino Linotype" w:hAnsi="Palatino Linotype" w:cs="Palatino Linotype"/>
        </w:rPr>
        <w:t xml:space="preserve">En ese tenor, se advierte que </w:t>
      </w:r>
      <w:r w:rsidRPr="00AB23E8">
        <w:rPr>
          <w:rFonts w:ascii="Palatino Linotype" w:eastAsia="Palatino Linotype" w:hAnsi="Palatino Linotype" w:cs="Palatino Linotype"/>
          <w:b/>
        </w:rPr>
        <w:t>EL RECURRENTE</w:t>
      </w:r>
      <w:r w:rsidRPr="00AB23E8">
        <w:rPr>
          <w:rFonts w:ascii="Palatino Linotype" w:eastAsia="Palatino Linotype" w:hAnsi="Palatino Linotype" w:cs="Palatino Linotype"/>
        </w:rPr>
        <w:t xml:space="preserve"> presentó el medio de impugnación al rubro anotado el día veintinueve de junio de dos mil veintidós y por lo tanto su interposición se considera oportuna. </w:t>
      </w:r>
    </w:p>
    <w:p w:rsidR="001670A2" w:rsidRPr="00AB23E8" w:rsidRDefault="001670A2">
      <w:pPr>
        <w:spacing w:line="360" w:lineRule="auto"/>
        <w:ind w:right="49"/>
        <w:jc w:val="both"/>
        <w:rPr>
          <w:rFonts w:ascii="Palatino Linotype" w:eastAsia="Palatino Linotype" w:hAnsi="Palatino Linotype" w:cs="Palatino Linotype"/>
          <w:b/>
          <w:sz w:val="28"/>
          <w:szCs w:val="28"/>
        </w:rPr>
      </w:pPr>
    </w:p>
    <w:p w:rsidR="001670A2" w:rsidRPr="00AB23E8" w:rsidRDefault="00D53821">
      <w:pPr>
        <w:spacing w:line="360" w:lineRule="auto"/>
        <w:ind w:right="49"/>
        <w:jc w:val="both"/>
        <w:rPr>
          <w:rFonts w:ascii="Palatino Linotype" w:eastAsia="Palatino Linotype" w:hAnsi="Palatino Linotype" w:cs="Palatino Linotype"/>
          <w:b/>
        </w:rPr>
      </w:pPr>
      <w:r w:rsidRPr="00AB23E8">
        <w:rPr>
          <w:rFonts w:ascii="Palatino Linotype" w:eastAsia="Palatino Linotype" w:hAnsi="Palatino Linotype" w:cs="Palatino Linotype"/>
          <w:b/>
          <w:sz w:val="28"/>
          <w:szCs w:val="28"/>
        </w:rPr>
        <w:t>CUARTO</w:t>
      </w:r>
      <w:r w:rsidRPr="00AB23E8">
        <w:rPr>
          <w:rFonts w:ascii="Palatino Linotype" w:eastAsia="Palatino Linotype" w:hAnsi="Palatino Linotype" w:cs="Palatino Linotype"/>
          <w:b/>
        </w:rPr>
        <w:t xml:space="preserve">. Procedibilidad. </w:t>
      </w:r>
    </w:p>
    <w:p w:rsidR="001670A2" w:rsidRPr="00AB23E8" w:rsidRDefault="00D53821">
      <w:pPr>
        <w:spacing w:line="360" w:lineRule="auto"/>
        <w:ind w:right="49"/>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rsidR="001670A2" w:rsidRPr="00AB23E8" w:rsidRDefault="001670A2">
      <w:pPr>
        <w:spacing w:line="360" w:lineRule="auto"/>
        <w:ind w:right="49"/>
        <w:jc w:val="both"/>
        <w:rPr>
          <w:rFonts w:ascii="Palatino Linotype" w:eastAsia="Palatino Linotype" w:hAnsi="Palatino Linotype" w:cs="Palatino Linotype"/>
        </w:rPr>
      </w:pPr>
    </w:p>
    <w:p w:rsidR="001670A2" w:rsidRPr="00AB23E8" w:rsidRDefault="00D53821">
      <w:pPr>
        <w:tabs>
          <w:tab w:val="left" w:pos="851"/>
        </w:tabs>
        <w:ind w:left="851" w:right="901"/>
        <w:jc w:val="both"/>
        <w:rPr>
          <w:rFonts w:ascii="Palatino Linotype" w:eastAsia="Palatino Linotype" w:hAnsi="Palatino Linotype" w:cs="Palatino Linotype"/>
          <w:b/>
          <w:i/>
          <w:sz w:val="22"/>
          <w:szCs w:val="22"/>
        </w:rPr>
      </w:pPr>
      <w:r w:rsidRPr="00AB23E8">
        <w:rPr>
          <w:rFonts w:ascii="Palatino Linotype" w:eastAsia="Palatino Linotype" w:hAnsi="Palatino Linotype" w:cs="Palatino Linotype"/>
          <w:b/>
          <w:i/>
          <w:sz w:val="22"/>
          <w:szCs w:val="22"/>
        </w:rPr>
        <w:lastRenderedPageBreak/>
        <w:t xml:space="preserve">“Artículo 180. </w:t>
      </w:r>
      <w:r w:rsidRPr="00AB23E8">
        <w:rPr>
          <w:rFonts w:ascii="Palatino Linotype" w:eastAsia="Palatino Linotype" w:hAnsi="Palatino Linotype" w:cs="Palatino Linotype"/>
          <w:i/>
          <w:sz w:val="22"/>
          <w:szCs w:val="22"/>
        </w:rPr>
        <w:t>El Recurso de Revisión contendrá:</w:t>
      </w:r>
      <w:r w:rsidRPr="00AB23E8">
        <w:rPr>
          <w:rFonts w:ascii="Palatino Linotype" w:eastAsia="Palatino Linotype" w:hAnsi="Palatino Linotype" w:cs="Palatino Linotype"/>
          <w:b/>
          <w:i/>
          <w:sz w:val="22"/>
          <w:szCs w:val="22"/>
        </w:rPr>
        <w:t xml:space="preserve"> </w:t>
      </w:r>
    </w:p>
    <w:p w:rsidR="001670A2" w:rsidRPr="00AB23E8" w:rsidRDefault="00D53821">
      <w:pPr>
        <w:tabs>
          <w:tab w:val="left" w:pos="851"/>
        </w:tabs>
        <w:ind w:left="851" w:right="901"/>
        <w:jc w:val="both"/>
        <w:rPr>
          <w:rFonts w:ascii="Palatino Linotype" w:eastAsia="Palatino Linotype" w:hAnsi="Palatino Linotype" w:cs="Palatino Linotype"/>
          <w:b/>
          <w:i/>
          <w:sz w:val="22"/>
          <w:szCs w:val="22"/>
        </w:rPr>
      </w:pPr>
      <w:r w:rsidRPr="00AB23E8">
        <w:rPr>
          <w:rFonts w:ascii="Palatino Linotype" w:eastAsia="Palatino Linotype" w:hAnsi="Palatino Linotype" w:cs="Palatino Linotype"/>
          <w:b/>
          <w:i/>
          <w:sz w:val="22"/>
          <w:szCs w:val="22"/>
        </w:rPr>
        <w:t>…</w:t>
      </w:r>
    </w:p>
    <w:p w:rsidR="001670A2" w:rsidRPr="00AB23E8" w:rsidRDefault="00D53821">
      <w:pPr>
        <w:tabs>
          <w:tab w:val="left" w:pos="851"/>
        </w:tabs>
        <w:ind w:left="851" w:right="901"/>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 xml:space="preserve">II. El nombre del solicitante </w:t>
      </w:r>
      <w:r w:rsidRPr="00AB23E8">
        <w:rPr>
          <w:rFonts w:ascii="Palatino Linotype" w:eastAsia="Palatino Linotype" w:hAnsi="Palatino Linotype" w:cs="Palatino Linotype"/>
          <w:b/>
          <w:i/>
          <w:color w:val="222222"/>
          <w:sz w:val="22"/>
          <w:szCs w:val="22"/>
        </w:rPr>
        <w:t>que</w:t>
      </w:r>
      <w:r w:rsidRPr="00AB23E8">
        <w:rPr>
          <w:rFonts w:ascii="Palatino Linotype" w:eastAsia="Palatino Linotype" w:hAnsi="Palatino Linotype" w:cs="Palatino Linotype"/>
          <w:b/>
          <w:i/>
          <w:sz w:val="22"/>
          <w:szCs w:val="22"/>
        </w:rPr>
        <w:t xml:space="preserve"> recurre </w:t>
      </w:r>
      <w:r w:rsidRPr="00AB23E8">
        <w:rPr>
          <w:rFonts w:ascii="Palatino Linotype" w:eastAsia="Palatino Linotype" w:hAnsi="Palatino Linotype" w:cs="Palatino Linotype"/>
          <w:i/>
          <w:sz w:val="22"/>
          <w:szCs w:val="22"/>
        </w:rPr>
        <w:t>o de su representante y, en su caso, …</w:t>
      </w:r>
    </w:p>
    <w:p w:rsidR="001670A2" w:rsidRPr="00AB23E8" w:rsidRDefault="00D53821">
      <w:pPr>
        <w:tabs>
          <w:tab w:val="left" w:pos="851"/>
        </w:tabs>
        <w:ind w:left="851" w:right="901"/>
        <w:jc w:val="both"/>
        <w:rPr>
          <w:rFonts w:ascii="Palatino Linotype" w:eastAsia="Palatino Linotype" w:hAnsi="Palatino Linotype" w:cs="Palatino Linotype"/>
          <w:b/>
          <w:i/>
          <w:sz w:val="22"/>
          <w:szCs w:val="22"/>
        </w:rPr>
      </w:pPr>
      <w:r w:rsidRPr="00AB23E8">
        <w:rPr>
          <w:rFonts w:ascii="Palatino Linotype" w:eastAsia="Palatino Linotype" w:hAnsi="Palatino Linotype" w:cs="Palatino Linotype"/>
          <w:b/>
          <w:i/>
          <w:sz w:val="22"/>
          <w:szCs w:val="22"/>
        </w:rPr>
        <w:t xml:space="preserve">En caso de </w:t>
      </w:r>
      <w:r w:rsidRPr="00AB23E8">
        <w:rPr>
          <w:rFonts w:ascii="Palatino Linotype" w:eastAsia="Palatino Linotype" w:hAnsi="Palatino Linotype" w:cs="Palatino Linotype"/>
          <w:b/>
          <w:i/>
          <w:color w:val="222222"/>
          <w:sz w:val="22"/>
          <w:szCs w:val="22"/>
        </w:rPr>
        <w:t>que</w:t>
      </w:r>
      <w:r w:rsidRPr="00AB23E8">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AB23E8">
        <w:rPr>
          <w:rFonts w:ascii="Palatino Linotype" w:eastAsia="Palatino Linotype" w:hAnsi="Palatino Linotype" w:cs="Palatino Linotype"/>
          <w:i/>
          <w:sz w:val="22"/>
          <w:szCs w:val="22"/>
        </w:rPr>
        <w:t>, IV, VII y VIII.</w:t>
      </w:r>
      <w:r w:rsidRPr="00AB23E8">
        <w:rPr>
          <w:rFonts w:ascii="Palatino Linotype" w:eastAsia="Palatino Linotype" w:hAnsi="Palatino Linotype" w:cs="Palatino Linotype"/>
          <w:b/>
          <w:i/>
          <w:sz w:val="22"/>
          <w:szCs w:val="22"/>
        </w:rPr>
        <w:t>”</w:t>
      </w:r>
    </w:p>
    <w:p w:rsidR="001670A2" w:rsidRPr="00AB23E8" w:rsidRDefault="00D53821">
      <w:pPr>
        <w:tabs>
          <w:tab w:val="left" w:pos="851"/>
        </w:tabs>
        <w:ind w:left="851" w:right="901"/>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(Énfasis añadido)</w:t>
      </w:r>
    </w:p>
    <w:p w:rsidR="001670A2" w:rsidRPr="00AB23E8" w:rsidRDefault="001670A2">
      <w:pPr>
        <w:tabs>
          <w:tab w:val="left" w:pos="851"/>
        </w:tabs>
        <w:ind w:right="901"/>
        <w:jc w:val="both"/>
        <w:rPr>
          <w:rFonts w:ascii="Palatino Linotype" w:eastAsia="Palatino Linotype" w:hAnsi="Palatino Linotype" w:cs="Palatino Linotype"/>
          <w:i/>
          <w:sz w:val="22"/>
          <w:szCs w:val="22"/>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AB23E8">
        <w:rPr>
          <w:rFonts w:ascii="Palatino Linotype" w:eastAsia="Palatino Linotype" w:hAnsi="Palatino Linotype" w:cs="Palatino Linotype"/>
          <w:b/>
        </w:rPr>
        <w:t>;</w:t>
      </w:r>
      <w:r w:rsidRPr="00AB23E8">
        <w:rPr>
          <w:rFonts w:ascii="Palatino Linotype" w:eastAsia="Palatino Linotype" w:hAnsi="Palatino Linotype" w:cs="Palatino Linotype"/>
        </w:rPr>
        <w:t xml:space="preserve"> por lo que, en el presente caso, al haber sido presentado el Recurso de Revisión vía </w:t>
      </w:r>
      <w:r w:rsidRPr="00AB23E8">
        <w:rPr>
          <w:rFonts w:ascii="Palatino Linotype" w:eastAsia="Palatino Linotype" w:hAnsi="Palatino Linotype" w:cs="Palatino Linotype"/>
          <w:b/>
        </w:rPr>
        <w:t>SAIMEX</w:t>
      </w:r>
      <w:r w:rsidRPr="00AB23E8">
        <w:rPr>
          <w:rFonts w:ascii="Palatino Linotype" w:eastAsia="Palatino Linotype" w:hAnsi="Palatino Linotype" w:cs="Palatino Linotype"/>
        </w:rPr>
        <w:t>, dicho requisito resulta innecesario.</w:t>
      </w: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AB23E8">
        <w:rPr>
          <w:rFonts w:ascii="Palatino Linotype" w:eastAsia="Palatino Linotype" w:hAnsi="Palatino Linotype" w:cs="Palatino Linotype"/>
          <w:b/>
          <w:u w:val="single"/>
        </w:rPr>
        <w:t xml:space="preserve">el nombre no es un requisito </w:t>
      </w:r>
      <w:r w:rsidRPr="00AB23E8">
        <w:rPr>
          <w:rFonts w:ascii="Palatino Linotype" w:eastAsia="Palatino Linotype" w:hAnsi="Palatino Linotype" w:cs="Palatino Linotype"/>
          <w:b/>
          <w:i/>
          <w:u w:val="single"/>
        </w:rPr>
        <w:t>sine qua non</w:t>
      </w:r>
      <w:r w:rsidRPr="00AB23E8">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sz w:val="22"/>
          <w:szCs w:val="22"/>
        </w:rPr>
      </w:pPr>
      <w:r w:rsidRPr="00AB23E8">
        <w:rPr>
          <w:rFonts w:ascii="Palatino Linotype" w:eastAsia="Palatino Linotype" w:hAnsi="Palatino Linotype" w:cs="Palatino Linotype"/>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w:t>
      </w:r>
      <w:r w:rsidRPr="00AB23E8">
        <w:rPr>
          <w:rFonts w:ascii="Palatino Linotype" w:eastAsia="Palatino Linotype" w:hAnsi="Palatino Linotype" w:cs="Palatino Linotype"/>
        </w:rPr>
        <w:lastRenderedPageBreak/>
        <w:t>Acceso a la Información Pública, toda vez que disponen que toda persona sin necesidad de acreditar interés alguno o justificar su utilización, tendrá acceso gratuito a la Información Pública.</w:t>
      </w:r>
    </w:p>
    <w:p w:rsidR="001670A2" w:rsidRPr="00AB23E8" w:rsidRDefault="001670A2">
      <w:pPr>
        <w:tabs>
          <w:tab w:val="left" w:pos="851"/>
        </w:tabs>
        <w:ind w:left="851" w:right="901"/>
        <w:jc w:val="both"/>
        <w:rPr>
          <w:rFonts w:ascii="Palatino Linotype" w:eastAsia="Palatino Linotype" w:hAnsi="Palatino Linotype" w:cs="Palatino Linotype"/>
          <w:sz w:val="22"/>
          <w:szCs w:val="22"/>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Asimismo, se estima que el requisito relativo al nombre de </w:t>
      </w:r>
      <w:r w:rsidRPr="00AB23E8">
        <w:rPr>
          <w:rFonts w:ascii="Palatino Linotype" w:eastAsia="Palatino Linotype" w:hAnsi="Palatino Linotype" w:cs="Palatino Linotype"/>
          <w:b/>
        </w:rPr>
        <w:t>EL RECURRENTE</w:t>
      </w:r>
      <w:r w:rsidRPr="00AB23E8">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B23E8">
        <w:rPr>
          <w:rFonts w:ascii="Palatino Linotype" w:eastAsia="Palatino Linotype" w:hAnsi="Palatino Linotype" w:cs="Palatino Linotype"/>
          <w:b/>
        </w:rPr>
        <w:t xml:space="preserve">EL RECURRENTE </w:t>
      </w:r>
      <w:r w:rsidRPr="00AB23E8">
        <w:rPr>
          <w:rFonts w:ascii="Palatino Linotype" w:eastAsia="Palatino Linotype" w:hAnsi="Palatino Linotype" w:cs="Palatino Linotype"/>
        </w:rPr>
        <w:t xml:space="preserve"> es la misma persona que realizó la solicitud de Acceso a la Información Pública que ahora se impugna.</w:t>
      </w:r>
    </w:p>
    <w:p w:rsidR="001670A2" w:rsidRPr="00AB23E8" w:rsidRDefault="001670A2">
      <w:pPr>
        <w:tabs>
          <w:tab w:val="left" w:pos="851"/>
        </w:tabs>
        <w:ind w:left="851" w:right="901"/>
        <w:jc w:val="both"/>
        <w:rPr>
          <w:rFonts w:ascii="Palatino Linotype" w:eastAsia="Palatino Linotype" w:hAnsi="Palatino Linotype" w:cs="Palatino Linotype"/>
          <w:sz w:val="22"/>
          <w:szCs w:val="22"/>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w:t>
      </w:r>
      <w:r w:rsidRPr="00AB23E8">
        <w:rPr>
          <w:rFonts w:ascii="Palatino Linotype" w:eastAsia="Palatino Linotype" w:hAnsi="Palatino Linotype" w:cs="Palatino Linotype"/>
        </w:rPr>
        <w:lastRenderedPageBreak/>
        <w:t xml:space="preserve">Derecho Humano, como el Derecho de Acceso a la Información Pública, por una cuestión procedimental. </w:t>
      </w:r>
    </w:p>
    <w:p w:rsidR="001670A2" w:rsidRPr="00AB23E8" w:rsidRDefault="001670A2">
      <w:pPr>
        <w:spacing w:line="360" w:lineRule="auto"/>
        <w:ind w:right="49"/>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b/>
        </w:rPr>
      </w:pPr>
      <w:r w:rsidRPr="00AB23E8">
        <w:rPr>
          <w:rFonts w:ascii="Palatino Linotype" w:eastAsia="Palatino Linotype" w:hAnsi="Palatino Linotype" w:cs="Palatino Linotype"/>
          <w:b/>
          <w:sz w:val="28"/>
          <w:szCs w:val="28"/>
        </w:rPr>
        <w:t>QUINTO</w:t>
      </w:r>
      <w:r w:rsidRPr="00AB23E8">
        <w:rPr>
          <w:rFonts w:ascii="Palatino Linotype" w:eastAsia="Palatino Linotype" w:hAnsi="Palatino Linotype" w:cs="Palatino Linotype"/>
          <w:b/>
        </w:rPr>
        <w:t xml:space="preserve">. Estudio y resolución del asunto. </w:t>
      </w:r>
    </w:p>
    <w:p w:rsidR="001670A2" w:rsidRPr="00AB23E8" w:rsidRDefault="00D53821">
      <w:pPr>
        <w:tabs>
          <w:tab w:val="left" w:pos="709"/>
        </w:tabs>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En primera instancia es importante recordar que, </w:t>
      </w:r>
      <w:r w:rsidRPr="00AB23E8">
        <w:rPr>
          <w:rFonts w:ascii="Palatino Linotype" w:eastAsia="Palatino Linotype" w:hAnsi="Palatino Linotype" w:cs="Palatino Linotype"/>
          <w:b/>
        </w:rPr>
        <w:t>EL RECURRENTE</w:t>
      </w:r>
      <w:r w:rsidRPr="00AB23E8">
        <w:rPr>
          <w:rFonts w:ascii="Palatino Linotype" w:eastAsia="Palatino Linotype" w:hAnsi="Palatino Linotype" w:cs="Palatino Linotype"/>
        </w:rPr>
        <w:t xml:space="preserve"> solicitó al </w:t>
      </w:r>
      <w:r w:rsidRPr="00AB23E8">
        <w:rPr>
          <w:rFonts w:ascii="Palatino Linotype" w:eastAsia="Palatino Linotype" w:hAnsi="Palatino Linotype" w:cs="Palatino Linotype"/>
          <w:b/>
        </w:rPr>
        <w:t>SUJETO OBLIGADO</w:t>
      </w:r>
      <w:r w:rsidRPr="00AB23E8">
        <w:rPr>
          <w:rFonts w:ascii="Palatino Linotype" w:eastAsia="Palatino Linotype" w:hAnsi="Palatino Linotype" w:cs="Palatino Linotype"/>
        </w:rPr>
        <w:t xml:space="preserve"> lo siguiente: </w:t>
      </w:r>
    </w:p>
    <w:p w:rsidR="001670A2" w:rsidRPr="00AB23E8" w:rsidRDefault="00D53821">
      <w:pPr>
        <w:ind w:left="850"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 xml:space="preserve">“Con fines de investigación y académicos solicito la siguiente información. Información a requerir a los municipios 1. ¿Cuál es el presupuesto aprobado para el ejercicio fiscal 2022? 2. ¿Cuál es la principal Actividad Económica del Municipio y que porcentaje representa? 3. Qué monto de los ingresos del municipio son: a. Ingresos propios (de recaudación municipal) i. ¿Cuánto representa del total del presupuesto? b. ¿A cuánto ascienden los Ingresos proveniente de las de partidas presupuestales? i. Federales ii. Estatales iii. ¿Cuál es Porcentaje que representan del total del presupuesto? 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a. Impuestos i. ¿Cuál es el Monto recaudado por los Impuestos sobre conjuntos urbanos?, por cada uno de los años a partir del 2011 hasta el 2021. ii. ¿Cuál fue la recaudación por los Impuestos sobre anuncios publicitarios especificados en el artículo 120 y 121 por cada una de sus fracciones del Código Financiero del Estado de México y Municipios?, por cada uno de los años a partir del 2011 hasta el 2021. iii. Indicar el número de anuncios que no pagan impuesto por estar en el supuesto del penúltimo párrafo del artículo 121 del Código Financiero del Estado de México y Municipios., por cada uno de los años a partir del 2011 hasta el 2021. iv. ¿Cuál fue la recaudación 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indicando el número de </w:t>
      </w:r>
      <w:r w:rsidRPr="00AB23E8">
        <w:rPr>
          <w:rFonts w:ascii="Palatino Linotype" w:eastAsia="Palatino Linotype" w:hAnsi="Palatino Linotype" w:cs="Palatino Linotype"/>
          <w:i/>
          <w:sz w:val="22"/>
          <w:szCs w:val="22"/>
        </w:rPr>
        <w:lastRenderedPageBreak/>
        <w:t xml:space="preserve">máquinas instaladas dentro del territorio municipal?, por cada uno de los años a partir del 2011 hasta el 2021. b. Derechos i. ¿Cuál fue la recaudación por los Ingresos por el pago de los Derechos establecidos en el artículo 143 y 144 por cada una de sus fracciones del Código Financiero del Estado de México y Municipios?, por cada uno de los años a partir del 2011 hasta el 2021. 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iii.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iv. 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 v. ¿A cuánto ascienden los ingresos recaudados por lo establecido en el artículo 154 en cada una de sus fracciones del Código Financiero del Estado de México y Municipios de los años 2011 al 2021? vi. ¿Cuál fue la recaudación por los Derechos establecido en la fracción I? por cada una de los supuestos siguientes de cada uno de los años que comprenden del 2011 al 2021: a. Puestos fijos b. Semi fijos c. Comerciantes ambulantes vii.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w:t>
      </w:r>
      <w:r w:rsidRPr="00AB23E8">
        <w:rPr>
          <w:rFonts w:ascii="Palatino Linotype" w:eastAsia="Palatino Linotype" w:hAnsi="Palatino Linotype" w:cs="Palatino Linotype"/>
          <w:i/>
          <w:sz w:val="22"/>
          <w:szCs w:val="22"/>
        </w:rPr>
        <w:lastRenderedPageBreak/>
        <w:t xml:space="preserve">de Taxis o base de transporte público (combis, microbuses o autobuses de pasajeros) 1. ¿Cuál es el Numero de cajones autorizados para la prestación de servicios, de sitios de taxis o bases de servicio público de transporte de pasajeros? 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Financiero del Estado de México y Municipios?. 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5. ¿El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w:t>
      </w:r>
      <w:r w:rsidRPr="00AB23E8">
        <w:rPr>
          <w:rFonts w:ascii="Palatino Linotype" w:eastAsia="Palatino Linotype" w:hAnsi="Palatino Linotype" w:cs="Palatino Linotype"/>
          <w:i/>
          <w:sz w:val="22"/>
          <w:szCs w:val="22"/>
        </w:rPr>
        <w:lastRenderedPageBreak/>
        <w:t>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 (sic)</w:t>
      </w:r>
    </w:p>
    <w:p w:rsidR="001670A2" w:rsidRPr="00AB23E8" w:rsidRDefault="001670A2">
      <w:pPr>
        <w:ind w:left="850" w:right="899"/>
        <w:jc w:val="both"/>
        <w:rPr>
          <w:rFonts w:ascii="Palatino Linotype" w:eastAsia="Palatino Linotype" w:hAnsi="Palatino Linotype" w:cs="Palatino Linotype"/>
        </w:rPr>
      </w:pPr>
    </w:p>
    <w:p w:rsidR="001670A2" w:rsidRPr="00AB23E8" w:rsidRDefault="00D53821">
      <w:pPr>
        <w:tabs>
          <w:tab w:val="left" w:pos="2422"/>
        </w:tabs>
        <w:spacing w:before="280" w:after="280" w:line="360" w:lineRule="auto"/>
        <w:ind w:right="49"/>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A lo que, </w:t>
      </w:r>
      <w:r w:rsidRPr="00AB23E8">
        <w:rPr>
          <w:rFonts w:ascii="Palatino Linotype" w:eastAsia="Palatino Linotype" w:hAnsi="Palatino Linotype" w:cs="Palatino Linotype"/>
          <w:b/>
        </w:rPr>
        <w:t>EL SUJETO OBLIGADO</w:t>
      </w:r>
      <w:r w:rsidRPr="00AB23E8">
        <w:rPr>
          <w:rFonts w:ascii="Palatino Linotype" w:eastAsia="Palatino Linotype" w:hAnsi="Palatino Linotype" w:cs="Palatino Linotype"/>
        </w:rPr>
        <w:t xml:space="preserve">  en respuesta adjuntó diversos archivos, de los cuales se advierten los pronunciamientos de los titulares de la areas de Tesorería, Desarrollo Urbano, Desarrollo Económico y Movilidad, sobre los cuestionamientos hechos por el particular.</w:t>
      </w:r>
    </w:p>
    <w:p w:rsidR="001670A2" w:rsidRPr="00AB23E8" w:rsidRDefault="00D53821">
      <w:pPr>
        <w:tabs>
          <w:tab w:val="left" w:pos="2422"/>
        </w:tabs>
        <w:spacing w:before="280" w:after="280" w:line="360" w:lineRule="auto"/>
        <w:ind w:right="49"/>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En un acto posterior, el particular se inconformó, señalando que la información entregada fue incompleta, lo que en consecuencia actualiza la causal de procedencia prevista por la Ley de Transparencia y Acceso a la Información Pública del Estado de México y Municipios en su artículo 179 fracción V que establece lo sigueinte:  </w:t>
      </w:r>
    </w:p>
    <w:p w:rsidR="001670A2" w:rsidRPr="00AB23E8" w:rsidRDefault="00D53821">
      <w:pPr>
        <w:tabs>
          <w:tab w:val="left" w:pos="2422"/>
        </w:tabs>
        <w:ind w:left="855"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w:t>
      </w:r>
      <w:r w:rsidRPr="00AB23E8">
        <w:rPr>
          <w:rFonts w:ascii="Palatino Linotype" w:eastAsia="Palatino Linotype" w:hAnsi="Palatino Linotype" w:cs="Palatino Linotype"/>
          <w:b/>
          <w:i/>
          <w:sz w:val="22"/>
          <w:szCs w:val="22"/>
        </w:rPr>
        <w:t xml:space="preserve">Artículo 179. </w:t>
      </w:r>
      <w:r w:rsidRPr="00AB23E8">
        <w:rPr>
          <w:rFonts w:ascii="Palatino Linotype" w:eastAsia="Palatino Linotype" w:hAnsi="Palatino Linotype" w:cs="Palatino Linotype"/>
          <w:i/>
          <w:sz w:val="22"/>
          <w:szCs w:val="22"/>
        </w:rPr>
        <w:t>El recurso de revisión es un medio de protección que la Ley otorga a los particulares,</w:t>
      </w:r>
    </w:p>
    <w:p w:rsidR="001670A2" w:rsidRPr="00AB23E8" w:rsidRDefault="00D53821">
      <w:pPr>
        <w:tabs>
          <w:tab w:val="left" w:pos="2422"/>
        </w:tabs>
        <w:ind w:left="855"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para hacer valer su derecho de acceso a la información pública, y procederá en contra de las siguientes</w:t>
      </w:r>
    </w:p>
    <w:p w:rsidR="001670A2" w:rsidRPr="00AB23E8" w:rsidRDefault="00D53821">
      <w:pPr>
        <w:tabs>
          <w:tab w:val="left" w:pos="2422"/>
        </w:tabs>
        <w:ind w:left="855"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causas:</w:t>
      </w:r>
    </w:p>
    <w:p w:rsidR="001670A2" w:rsidRPr="00AB23E8" w:rsidRDefault="00D53821">
      <w:pPr>
        <w:tabs>
          <w:tab w:val="left" w:pos="2422"/>
        </w:tabs>
        <w:ind w:left="855"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I. La negativa a la información solicitada;</w:t>
      </w:r>
    </w:p>
    <w:p w:rsidR="001670A2" w:rsidRPr="00AB23E8" w:rsidRDefault="00D53821">
      <w:pPr>
        <w:tabs>
          <w:tab w:val="left" w:pos="2422"/>
        </w:tabs>
        <w:ind w:left="855"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II. La clasificación de la información;</w:t>
      </w:r>
    </w:p>
    <w:p w:rsidR="001670A2" w:rsidRPr="00AB23E8" w:rsidRDefault="00D53821">
      <w:pPr>
        <w:tabs>
          <w:tab w:val="left" w:pos="2422"/>
        </w:tabs>
        <w:ind w:left="855"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III. La declaración de inexistencia de la información;</w:t>
      </w:r>
    </w:p>
    <w:p w:rsidR="001670A2" w:rsidRPr="00AB23E8" w:rsidRDefault="00D53821">
      <w:pPr>
        <w:tabs>
          <w:tab w:val="left" w:pos="2422"/>
        </w:tabs>
        <w:ind w:left="855"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IV. La declaración de incompetencia por el sujeto obligado;</w:t>
      </w:r>
    </w:p>
    <w:p w:rsidR="001670A2" w:rsidRPr="00AB23E8" w:rsidRDefault="00D53821">
      <w:pPr>
        <w:tabs>
          <w:tab w:val="left" w:pos="2422"/>
        </w:tabs>
        <w:ind w:left="855" w:right="899"/>
        <w:jc w:val="both"/>
        <w:rPr>
          <w:rFonts w:ascii="Palatino Linotype" w:eastAsia="Palatino Linotype" w:hAnsi="Palatino Linotype" w:cs="Palatino Linotype"/>
          <w:b/>
          <w:i/>
          <w:sz w:val="22"/>
          <w:szCs w:val="22"/>
        </w:rPr>
      </w:pPr>
      <w:r w:rsidRPr="00AB23E8">
        <w:rPr>
          <w:rFonts w:ascii="Palatino Linotype" w:eastAsia="Palatino Linotype" w:hAnsi="Palatino Linotype" w:cs="Palatino Linotype"/>
          <w:b/>
          <w:i/>
          <w:sz w:val="22"/>
          <w:szCs w:val="22"/>
        </w:rPr>
        <w:t>V. La entrega de información incompleta;</w:t>
      </w:r>
    </w:p>
    <w:p w:rsidR="001670A2" w:rsidRPr="00AB23E8" w:rsidRDefault="00D53821">
      <w:pPr>
        <w:tabs>
          <w:tab w:val="left" w:pos="2422"/>
        </w:tabs>
        <w:ind w:left="855"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VI. La entrega de información que no corresponda con lo solicitado;</w:t>
      </w:r>
    </w:p>
    <w:p w:rsidR="001670A2" w:rsidRPr="00AB23E8" w:rsidRDefault="00D53821">
      <w:pPr>
        <w:tabs>
          <w:tab w:val="left" w:pos="2422"/>
        </w:tabs>
        <w:ind w:left="855"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VII. La falta de respuesta a una solicitud de acceso a la información;</w:t>
      </w:r>
    </w:p>
    <w:p w:rsidR="001670A2" w:rsidRPr="00AB23E8" w:rsidRDefault="00D53821">
      <w:pPr>
        <w:tabs>
          <w:tab w:val="left" w:pos="2422"/>
        </w:tabs>
        <w:ind w:left="855"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lastRenderedPageBreak/>
        <w:t>VIII. La notificación, entrega o puesta a disposición de información en una modalidad o formato distinto al solicitado;</w:t>
      </w:r>
    </w:p>
    <w:p w:rsidR="001670A2" w:rsidRPr="00AB23E8" w:rsidRDefault="00D53821">
      <w:pPr>
        <w:tabs>
          <w:tab w:val="left" w:pos="2422"/>
        </w:tabs>
        <w:ind w:left="855"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IX. La entrega o puesta a disposición de información en un formato incomprensible y/o no accesible para el solicitante;</w:t>
      </w:r>
    </w:p>
    <w:p w:rsidR="001670A2" w:rsidRPr="00AB23E8" w:rsidRDefault="00D53821">
      <w:pPr>
        <w:tabs>
          <w:tab w:val="left" w:pos="2422"/>
        </w:tabs>
        <w:ind w:left="855"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X. Los costos o tiempos de entrega de la información;</w:t>
      </w:r>
    </w:p>
    <w:p w:rsidR="001670A2" w:rsidRPr="00AB23E8" w:rsidRDefault="00D53821">
      <w:pPr>
        <w:tabs>
          <w:tab w:val="left" w:pos="2422"/>
        </w:tabs>
        <w:ind w:left="855"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XI. La falta de trámite a una solicitud;</w:t>
      </w:r>
    </w:p>
    <w:p w:rsidR="001670A2" w:rsidRPr="00AB23E8" w:rsidRDefault="00D53821">
      <w:pPr>
        <w:tabs>
          <w:tab w:val="left" w:pos="2422"/>
        </w:tabs>
        <w:ind w:left="855"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XII. La negativa a permitir la consulta directa de la información;</w:t>
      </w:r>
    </w:p>
    <w:p w:rsidR="001670A2" w:rsidRPr="00AB23E8" w:rsidRDefault="00D53821">
      <w:pPr>
        <w:tabs>
          <w:tab w:val="left" w:pos="2422"/>
        </w:tabs>
        <w:ind w:left="855"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XIII. La falta, deficiencia o insuficiencia de la fundamentación y/o motivación en la respuesta; y</w:t>
      </w:r>
    </w:p>
    <w:p w:rsidR="001670A2" w:rsidRPr="00AB23E8" w:rsidRDefault="00D53821">
      <w:pPr>
        <w:tabs>
          <w:tab w:val="left" w:pos="2422"/>
        </w:tabs>
        <w:ind w:left="855"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XIV. La orientación a un trámite específico.</w:t>
      </w:r>
    </w:p>
    <w:p w:rsidR="001670A2" w:rsidRPr="00AB23E8" w:rsidRDefault="00D53821">
      <w:pPr>
        <w:tabs>
          <w:tab w:val="left" w:pos="2422"/>
        </w:tabs>
        <w:ind w:left="855"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r w:rsidRPr="00AB23E8">
        <w:rPr>
          <w:rFonts w:ascii="Palatino Linotype" w:eastAsia="Palatino Linotype" w:hAnsi="Palatino Linotype" w:cs="Palatino Linotype"/>
          <w:i/>
          <w:sz w:val="22"/>
          <w:szCs w:val="22"/>
        </w:rPr>
        <w:br/>
        <w:t>(énfasis añadido)</w:t>
      </w:r>
    </w:p>
    <w:p w:rsidR="001670A2" w:rsidRPr="00AB23E8" w:rsidRDefault="00D53821">
      <w:pPr>
        <w:tabs>
          <w:tab w:val="left" w:pos="2422"/>
        </w:tabs>
        <w:spacing w:before="280" w:after="280" w:line="360" w:lineRule="auto"/>
        <w:ind w:right="49"/>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Por lo que, lo procedente es analizar la totalidad de las constancias que obran en el expediente electrónico del SAIMEX del presente asunto, para determinar si con las mismas se puede tener por satisfecho el derecho de acceso a la información del particular. </w:t>
      </w:r>
    </w:p>
    <w:p w:rsidR="001670A2" w:rsidRPr="00AB23E8" w:rsidRDefault="00D53821">
      <w:pPr>
        <w:widowControl w:val="0"/>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Así pues para un mejor estudio, se puede dividir la información solicitada y aportada en el tenor  siguiente:</w:t>
      </w:r>
    </w:p>
    <w:p w:rsidR="001670A2" w:rsidRPr="00AB23E8" w:rsidRDefault="001670A2">
      <w:pPr>
        <w:widowControl w:val="0"/>
        <w:spacing w:line="360" w:lineRule="auto"/>
        <w:jc w:val="both"/>
        <w:rPr>
          <w:rFonts w:ascii="Palatino Linotype" w:eastAsia="Palatino Linotype" w:hAnsi="Palatino Linotype" w:cs="Palatino Linotype"/>
        </w:rPr>
      </w:pPr>
    </w:p>
    <w:tbl>
      <w:tblPr>
        <w:tblStyle w:val="afffffffffa"/>
        <w:tblW w:w="97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2685"/>
        <w:gridCol w:w="3390"/>
        <w:gridCol w:w="1935"/>
        <w:gridCol w:w="975"/>
      </w:tblGrid>
      <w:tr w:rsidR="001670A2" w:rsidRPr="00AB23E8">
        <w:trPr>
          <w:trHeight w:val="420"/>
        </w:trPr>
        <w:tc>
          <w:tcPr>
            <w:tcW w:w="810" w:type="dxa"/>
            <w:shd w:val="clear" w:color="auto" w:fill="auto"/>
            <w:tcMar>
              <w:top w:w="100" w:type="dxa"/>
              <w:left w:w="100" w:type="dxa"/>
              <w:bottom w:w="100" w:type="dxa"/>
              <w:right w:w="100" w:type="dxa"/>
            </w:tcMar>
          </w:tcPr>
          <w:p w:rsidR="001670A2" w:rsidRPr="00AB23E8" w:rsidRDefault="00D53821">
            <w:pPr>
              <w:widowControl w:val="0"/>
              <w:jc w:val="center"/>
              <w:rPr>
                <w:rFonts w:ascii="Palatino Linotype" w:eastAsia="Palatino Linotype" w:hAnsi="Palatino Linotype" w:cs="Palatino Linotype"/>
                <w:b/>
                <w:sz w:val="20"/>
                <w:szCs w:val="20"/>
                <w:u w:val="single"/>
              </w:rPr>
            </w:pPr>
            <w:r w:rsidRPr="00AB23E8">
              <w:rPr>
                <w:rFonts w:ascii="Palatino Linotype" w:eastAsia="Palatino Linotype" w:hAnsi="Palatino Linotype" w:cs="Palatino Linotype"/>
                <w:b/>
                <w:sz w:val="20"/>
                <w:szCs w:val="20"/>
                <w:u w:val="single"/>
              </w:rPr>
              <w:t>No</w:t>
            </w:r>
          </w:p>
        </w:tc>
        <w:tc>
          <w:tcPr>
            <w:tcW w:w="2685" w:type="dxa"/>
            <w:shd w:val="clear" w:color="auto" w:fill="auto"/>
            <w:tcMar>
              <w:top w:w="100" w:type="dxa"/>
              <w:left w:w="100" w:type="dxa"/>
              <w:bottom w:w="100" w:type="dxa"/>
              <w:right w:w="100" w:type="dxa"/>
            </w:tcMar>
          </w:tcPr>
          <w:p w:rsidR="001670A2" w:rsidRPr="00AB23E8" w:rsidRDefault="00D53821">
            <w:pPr>
              <w:widowControl w:val="0"/>
              <w:jc w:val="center"/>
              <w:rPr>
                <w:rFonts w:ascii="Palatino Linotype" w:eastAsia="Palatino Linotype" w:hAnsi="Palatino Linotype" w:cs="Palatino Linotype"/>
                <w:b/>
                <w:sz w:val="20"/>
                <w:szCs w:val="20"/>
                <w:u w:val="single"/>
              </w:rPr>
            </w:pPr>
            <w:r w:rsidRPr="00AB23E8">
              <w:rPr>
                <w:rFonts w:ascii="Palatino Linotype" w:eastAsia="Palatino Linotype" w:hAnsi="Palatino Linotype" w:cs="Palatino Linotype"/>
                <w:b/>
                <w:sz w:val="20"/>
                <w:szCs w:val="20"/>
                <w:u w:val="single"/>
              </w:rPr>
              <w:t xml:space="preserve">Solicitud </w:t>
            </w:r>
          </w:p>
        </w:tc>
        <w:tc>
          <w:tcPr>
            <w:tcW w:w="3390" w:type="dxa"/>
            <w:shd w:val="clear" w:color="auto" w:fill="auto"/>
            <w:tcMar>
              <w:top w:w="100" w:type="dxa"/>
              <w:left w:w="100" w:type="dxa"/>
              <w:bottom w:w="100" w:type="dxa"/>
              <w:right w:w="100" w:type="dxa"/>
            </w:tcMar>
          </w:tcPr>
          <w:p w:rsidR="001670A2" w:rsidRPr="00AB23E8" w:rsidRDefault="00D53821">
            <w:pPr>
              <w:widowControl w:val="0"/>
              <w:jc w:val="center"/>
              <w:rPr>
                <w:rFonts w:ascii="Palatino Linotype" w:eastAsia="Palatino Linotype" w:hAnsi="Palatino Linotype" w:cs="Palatino Linotype"/>
                <w:b/>
                <w:sz w:val="20"/>
                <w:szCs w:val="20"/>
                <w:u w:val="single"/>
              </w:rPr>
            </w:pPr>
            <w:r w:rsidRPr="00AB23E8">
              <w:rPr>
                <w:rFonts w:ascii="Palatino Linotype" w:eastAsia="Palatino Linotype" w:hAnsi="Palatino Linotype" w:cs="Palatino Linotype"/>
                <w:b/>
                <w:sz w:val="20"/>
                <w:szCs w:val="20"/>
                <w:u w:val="single"/>
              </w:rPr>
              <w:t xml:space="preserve">Respuesta </w:t>
            </w:r>
          </w:p>
        </w:tc>
        <w:tc>
          <w:tcPr>
            <w:tcW w:w="1935" w:type="dxa"/>
            <w:shd w:val="clear" w:color="auto" w:fill="auto"/>
            <w:tcMar>
              <w:top w:w="100" w:type="dxa"/>
              <w:left w:w="100" w:type="dxa"/>
              <w:bottom w:w="100" w:type="dxa"/>
              <w:right w:w="100" w:type="dxa"/>
            </w:tcMar>
          </w:tcPr>
          <w:p w:rsidR="001670A2" w:rsidRPr="00AB23E8" w:rsidRDefault="00D53821">
            <w:pPr>
              <w:widowControl w:val="0"/>
              <w:jc w:val="center"/>
              <w:rPr>
                <w:rFonts w:ascii="Palatino Linotype" w:eastAsia="Palatino Linotype" w:hAnsi="Palatino Linotype" w:cs="Palatino Linotype"/>
                <w:b/>
                <w:sz w:val="20"/>
                <w:szCs w:val="20"/>
                <w:u w:val="single"/>
              </w:rPr>
            </w:pPr>
            <w:r w:rsidRPr="00AB23E8">
              <w:rPr>
                <w:rFonts w:ascii="Palatino Linotype" w:eastAsia="Palatino Linotype" w:hAnsi="Palatino Linotype" w:cs="Palatino Linotype"/>
                <w:b/>
                <w:sz w:val="20"/>
                <w:szCs w:val="20"/>
                <w:u w:val="single"/>
              </w:rPr>
              <w:t xml:space="preserve">Informe </w:t>
            </w:r>
          </w:p>
        </w:tc>
        <w:tc>
          <w:tcPr>
            <w:tcW w:w="975" w:type="dxa"/>
            <w:shd w:val="clear" w:color="auto" w:fill="auto"/>
            <w:tcMar>
              <w:top w:w="100" w:type="dxa"/>
              <w:left w:w="100" w:type="dxa"/>
              <w:bottom w:w="100" w:type="dxa"/>
              <w:right w:w="100" w:type="dxa"/>
            </w:tcMar>
          </w:tcPr>
          <w:p w:rsidR="001670A2" w:rsidRPr="00AB23E8" w:rsidRDefault="00D53821">
            <w:pPr>
              <w:widowControl w:val="0"/>
              <w:jc w:val="center"/>
              <w:rPr>
                <w:rFonts w:ascii="Palatino Linotype" w:eastAsia="Palatino Linotype" w:hAnsi="Palatino Linotype" w:cs="Palatino Linotype"/>
                <w:b/>
                <w:sz w:val="20"/>
                <w:szCs w:val="20"/>
                <w:u w:val="single"/>
              </w:rPr>
            </w:pPr>
            <w:r w:rsidRPr="00AB23E8">
              <w:rPr>
                <w:rFonts w:ascii="Palatino Linotype" w:eastAsia="Palatino Linotype" w:hAnsi="Palatino Linotype" w:cs="Palatino Linotype"/>
                <w:b/>
                <w:sz w:val="20"/>
                <w:szCs w:val="20"/>
                <w:u w:val="single"/>
              </w:rPr>
              <w:t xml:space="preserve">Colma </w:t>
            </w:r>
          </w:p>
        </w:tc>
      </w:tr>
      <w:tr w:rsidR="001670A2" w:rsidRPr="00AB23E8">
        <w:tc>
          <w:tcPr>
            <w:tcW w:w="81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1</w:t>
            </w:r>
          </w:p>
        </w:tc>
        <w:tc>
          <w:tcPr>
            <w:tcW w:w="268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¿Cuál es el presupuesto aprobado para el ejercicio fiscal 2022?</w:t>
            </w:r>
          </w:p>
        </w:tc>
        <w:tc>
          <w:tcPr>
            <w:tcW w:w="339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t>TESORERÍA</w:t>
            </w:r>
            <w:r w:rsidRPr="00AB23E8">
              <w:rPr>
                <w:rFonts w:ascii="Palatino Linotype" w:eastAsia="Palatino Linotype" w:hAnsi="Palatino Linotype" w:cs="Palatino Linotype"/>
                <w:sz w:val="20"/>
                <w:szCs w:val="20"/>
              </w:rPr>
              <w:t xml:space="preserve">: “El presupuesto definitivo aprobado para el ejercicio fiscal 2022 es de $2’ 781,957,880.57 (Dos mil setecientos ochenta y un mil millones novecientos cincuenta </w:t>
            </w:r>
            <w:r w:rsidRPr="00AB23E8">
              <w:rPr>
                <w:rFonts w:ascii="Palatino Linotype" w:eastAsia="Palatino Linotype" w:hAnsi="Palatino Linotype" w:cs="Palatino Linotype"/>
                <w:sz w:val="20"/>
                <w:szCs w:val="20"/>
              </w:rPr>
              <w:lastRenderedPageBreak/>
              <w:t xml:space="preserve">y siete mil ochocientos ochenta pesos 51/100 M.N.), mismo que fue publicado en la gaceta municipal de Cuautitlán Izcalli de fecha 25 de febrero de 2022.” </w:t>
            </w:r>
          </w:p>
        </w:tc>
        <w:tc>
          <w:tcPr>
            <w:tcW w:w="193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 xml:space="preserve">TESORERÍA: </w:t>
            </w:r>
            <w:r w:rsidRPr="00AB23E8">
              <w:rPr>
                <w:rFonts w:ascii="Palatino Linotype" w:eastAsia="Palatino Linotype" w:hAnsi="Palatino Linotype" w:cs="Palatino Linotype"/>
                <w:sz w:val="20"/>
                <w:szCs w:val="20"/>
              </w:rPr>
              <w:t xml:space="preserve">Ratifica </w:t>
            </w:r>
          </w:p>
        </w:tc>
        <w:tc>
          <w:tcPr>
            <w:tcW w:w="97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Sí </w:t>
            </w:r>
          </w:p>
        </w:tc>
      </w:tr>
      <w:tr w:rsidR="001670A2" w:rsidRPr="00AB23E8">
        <w:trPr>
          <w:trHeight w:val="420"/>
        </w:trPr>
        <w:tc>
          <w:tcPr>
            <w:tcW w:w="81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2</w:t>
            </w:r>
          </w:p>
        </w:tc>
        <w:tc>
          <w:tcPr>
            <w:tcW w:w="268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¿Cuál es la principal Actividad Económica del Municipio y que porcentaje representa?</w:t>
            </w:r>
          </w:p>
        </w:tc>
        <w:tc>
          <w:tcPr>
            <w:tcW w:w="339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t xml:space="preserve">DESARROLLO ECONÓMICO: </w:t>
            </w:r>
            <w:r w:rsidRPr="00AB23E8">
              <w:rPr>
                <w:rFonts w:ascii="Palatino Linotype" w:eastAsia="Palatino Linotype" w:hAnsi="Palatino Linotype" w:cs="Palatino Linotype"/>
                <w:sz w:val="20"/>
                <w:szCs w:val="20"/>
              </w:rPr>
              <w:t>Comercio al por menor con el porcentaje del 45.1%</w:t>
            </w:r>
          </w:p>
        </w:tc>
        <w:tc>
          <w:tcPr>
            <w:tcW w:w="193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t xml:space="preserve">DESARROLLO ECONÓMICO: </w:t>
            </w:r>
            <w:r w:rsidRPr="00AB23E8">
              <w:rPr>
                <w:rFonts w:ascii="Palatino Linotype" w:eastAsia="Palatino Linotype" w:hAnsi="Palatino Linotype" w:cs="Palatino Linotype"/>
                <w:sz w:val="20"/>
                <w:szCs w:val="20"/>
              </w:rPr>
              <w:t>Ratifica</w:t>
            </w:r>
          </w:p>
        </w:tc>
        <w:tc>
          <w:tcPr>
            <w:tcW w:w="97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Si</w:t>
            </w:r>
          </w:p>
        </w:tc>
      </w:tr>
      <w:tr w:rsidR="001670A2" w:rsidRPr="00AB23E8">
        <w:trPr>
          <w:trHeight w:val="420"/>
        </w:trPr>
        <w:tc>
          <w:tcPr>
            <w:tcW w:w="81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3a</w:t>
            </w:r>
          </w:p>
        </w:tc>
        <w:tc>
          <w:tcPr>
            <w:tcW w:w="268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¿Qué monto de los ingresos del municipio son: a. Ingresos propios (de recaudación municipal) i. ¿Cuánto representa del total del presupuesto?</w:t>
            </w:r>
          </w:p>
        </w:tc>
        <w:tc>
          <w:tcPr>
            <w:tcW w:w="339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t xml:space="preserve">TESORERÍA: </w:t>
            </w:r>
            <w:r w:rsidRPr="00AB23E8">
              <w:rPr>
                <w:rFonts w:ascii="Palatino Linotype" w:eastAsia="Palatino Linotype" w:hAnsi="Palatino Linotype" w:cs="Palatino Linotype"/>
                <w:sz w:val="20"/>
                <w:szCs w:val="20"/>
              </w:rPr>
              <w:t xml:space="preserve">3 y 4 por lo que hace a los ingresos por los conceptos mencionados le informo que (...) al ser una información de Transparencia dicha información se encuentra publicada en el siguiente link, para los ejercicios fiscales 2018,2019, 2020 y 2021. https://ipomex.org.mx/ipo3/lgt/indice/CUAUTITLANIZCALLI/art_92_xlvii_a.web?token=03AGdBq27X4Ew6KlVDHzJO6sNYSquwHY070v5an_RK6fMLf5y051DnPiBEckNzzizSYnZx-siXYY3FyaVp5-hkSq8pnwB6LFIMCOz1y7jm1RfxlUGveqscnmcZ_8fk1M-Bc2mGV7o23afdz_PEo989M39e1EiSbytia2g6zrWo1VB8zgiRlB47ySpAU6I59TJDpJ6up2tVzb0s3Xqlcrlh244BX_shJjnCWz9vKj5yR56aYxlJl4Sqol6YRGT01Dg9GuamufifZbKnDqQaRp1Jb8x3vf1FyjnRduKiC9COFWZnpv8IfQPNlouTeMzB01jmQEDluM5K3jVw0Gh3EpKewL0UKmFTmZKV_eLgDCzSqrn4h9XKp7e9cEJlP_3dlPAETqIXsuSaF8NZxWQwtlbgKxrJJeOTFbWC_MAklpQoSiLkrlQUfMmm5I6S4eK4YwqLCqSESGSU Le </w:t>
            </w:r>
            <w:r w:rsidRPr="00AB23E8">
              <w:rPr>
                <w:rFonts w:ascii="Palatino Linotype" w:eastAsia="Palatino Linotype" w:hAnsi="Palatino Linotype" w:cs="Palatino Linotype"/>
                <w:sz w:val="20"/>
                <w:szCs w:val="20"/>
              </w:rPr>
              <w:lastRenderedPageBreak/>
              <w:t>informo que, este sujeto obligado no resguarda la información a nivel detalle como lo solicita, sin embargo en aras de privilegiar la Transparencia y la máxima publicidad, de conformidad con la información que obra en los archivos de la Subtesorería de Ingresos y la Subtesorería de Contabilidad "sírvase encontrar adjuntos en formato PDF los documentos denominados “Estados comparativos presupuestales de ingresos detallados” correspondientes a los ejercicios fiscales 2011, 2012, 2013, 2014, 2015, 2016, 2017, 2018, 2019, 2020 y 2021 generados del Sistema de Contabilidad Interno del Municipio de Cuautitlán Izcalli en donde podrá visualizar los ingresos que recibió el municipio durante los periodos mencionados de acuerdo al Código Financiero del Estado de México y Municipios.</w:t>
            </w:r>
          </w:p>
        </w:tc>
        <w:tc>
          <w:tcPr>
            <w:tcW w:w="193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 xml:space="preserve">TESORERÍA: </w:t>
            </w:r>
            <w:r w:rsidRPr="00AB23E8">
              <w:rPr>
                <w:rFonts w:ascii="Palatino Linotype" w:eastAsia="Palatino Linotype" w:hAnsi="Palatino Linotype" w:cs="Palatino Linotype"/>
                <w:sz w:val="20"/>
                <w:szCs w:val="20"/>
              </w:rPr>
              <w:t xml:space="preserve">Ratifica </w:t>
            </w:r>
          </w:p>
        </w:tc>
        <w:tc>
          <w:tcPr>
            <w:tcW w:w="97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Si</w:t>
            </w:r>
          </w:p>
        </w:tc>
      </w:tr>
      <w:tr w:rsidR="001670A2" w:rsidRPr="00AB23E8">
        <w:trPr>
          <w:trHeight w:val="420"/>
        </w:trPr>
        <w:tc>
          <w:tcPr>
            <w:tcW w:w="81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3b</w:t>
            </w:r>
          </w:p>
        </w:tc>
        <w:tc>
          <w:tcPr>
            <w:tcW w:w="268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¿A cuánto ascienden los Ingresos provenientes de las partidas presupuestales? i. Federales ii. Estatales iii.</w:t>
            </w: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 ¿Cuál es el porcentaje que representan del total del presupuesto?</w:t>
            </w:r>
          </w:p>
          <w:p w:rsidR="001670A2" w:rsidRPr="00AB23E8" w:rsidRDefault="001670A2">
            <w:pPr>
              <w:widowControl w:val="0"/>
              <w:rPr>
                <w:rFonts w:ascii="Palatino Linotype" w:eastAsia="Palatino Linotype" w:hAnsi="Palatino Linotype" w:cs="Palatino Linotype"/>
                <w:sz w:val="20"/>
                <w:szCs w:val="20"/>
              </w:rPr>
            </w:pPr>
          </w:p>
        </w:tc>
        <w:tc>
          <w:tcPr>
            <w:tcW w:w="339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t xml:space="preserve">TESORERÍA: </w:t>
            </w:r>
            <w:r w:rsidRPr="00AB23E8">
              <w:rPr>
                <w:rFonts w:ascii="Palatino Linotype" w:eastAsia="Palatino Linotype" w:hAnsi="Palatino Linotype" w:cs="Palatino Linotype"/>
                <w:sz w:val="20"/>
                <w:szCs w:val="20"/>
              </w:rPr>
              <w:t xml:space="preserve">3 y 4 por lo que hace a los ingresos por los conceptos mencionados le informo que de conformidad con el artículo 92 fracción XLVII de la LTAIPEMyM: Artículo 92. Los sujetos obligados deberán poner a disposición del público de manera permanente y actualizada de forma sencilla, precisa y entendible, en los respectivos medios electrónicos, de acuerdo con sus facultades, </w:t>
            </w:r>
            <w:r w:rsidRPr="00AB23E8">
              <w:rPr>
                <w:rFonts w:ascii="Palatino Linotype" w:eastAsia="Palatino Linotype" w:hAnsi="Palatino Linotype" w:cs="Palatino Linotype"/>
                <w:sz w:val="20"/>
                <w:szCs w:val="20"/>
              </w:rPr>
              <w:lastRenderedPageBreak/>
              <w:t xml:space="preserve">atribuciones, funciones u objeto social, según corresponda, la información, por lo menos, de los temas, documentos y políticas que a continuación se señalan: …XLVII. Los ingresos recibidos por cualquier concepto señalando el nombre de los responsables de recibirlos, administrarlos y ejercerlos, indicando el destino de cada uno de ellos; De lo anterior se desprende que es al ser una información de Transparencia dicha información se encuentra publicada en el siguiente link, para los ejercicios fiscales 2018,2019, 2020 y 2021. https://ipomex.org.mx/ipo3/lgt/indice/CUAUTITLANIZCALLI/art_92_xlvii_a.web?token=03AGdBq27X4Ew6KlVDHzJO6sNYSquwHY070v5an_RK6fMLf5y051DnPiBEckNzzizSYnZx-siXYY3FyaVp5-hkSq8pnwB6LFIMCOz1y7jm1RfxlUGveqscnmcZ_8fk1M-Bc2mGV7o23afdz_PEo989M39e1EiSbytia2g6zrWo1VB8zgiRlB47ySpAU6I59TJDpJ6up2tVzb0s3Xqlcrlh244BX_shJjnCWz9vKj5yR56aYxlJl4Sqol6YRGT01Dg9GuamufifZbKnDqQaRp1Jb8x3vf1FyjnRduKiC9COFWZnpv8IfQPNlouTeMzB01jmQEDluM5K3jVw0Gh3EpKewL0UKmFTmZKV_eLgDCzSqrn4h9XKp7e9cEJlP_3dlPAETqIXsuSaF8NZxWQwtlbgKxrJJeOTFbWC_MAklpQoSiLkrlQUfMmm5I6S4eK4YwqLCqSESGSU Le informo que, este sujeto obligado </w:t>
            </w:r>
            <w:r w:rsidRPr="00AB23E8">
              <w:rPr>
                <w:rFonts w:ascii="Palatino Linotype" w:eastAsia="Palatino Linotype" w:hAnsi="Palatino Linotype" w:cs="Palatino Linotype"/>
                <w:sz w:val="20"/>
                <w:szCs w:val="20"/>
              </w:rPr>
              <w:lastRenderedPageBreak/>
              <w:t>no resguarda la información a nivel detalle como lo solicita, sin embargo en aras de privilegiar la Transparencia y la máxima publicidad, de conformidad con la información que obra en los archivos de la Subtesorería de Ingresos y la Subtesorería de Contabilidad "sírvase encontrar adjuntos en formato PDF los documentos denominados “Estados comparativos presupuestales de ingresos detallados” correspondientes a los ejercicios fiscales 2011, 2012, 2013, 2014, 2015, 2016, 2017, 2018, 2019, 2020 y 2021 generados del Sistema de Contabilidad Interno del Municipio de Cuautitlán Izcalli en donde podrá visualizar los ingresos que recibió el municipio durante los periodos mencionados de acuerdo al Código Financiero del Estado de México y Municipios.</w:t>
            </w:r>
          </w:p>
        </w:tc>
        <w:tc>
          <w:tcPr>
            <w:tcW w:w="193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 xml:space="preserve">TESORERÍA: </w:t>
            </w:r>
            <w:r w:rsidRPr="00AB23E8">
              <w:rPr>
                <w:rFonts w:ascii="Palatino Linotype" w:eastAsia="Palatino Linotype" w:hAnsi="Palatino Linotype" w:cs="Palatino Linotype"/>
                <w:sz w:val="20"/>
                <w:szCs w:val="20"/>
              </w:rPr>
              <w:t xml:space="preserve">Ratifica </w:t>
            </w:r>
          </w:p>
        </w:tc>
        <w:tc>
          <w:tcPr>
            <w:tcW w:w="97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Parcial Derecho de petición por lo que hace al porcentaje </w:t>
            </w:r>
          </w:p>
        </w:tc>
      </w:tr>
      <w:tr w:rsidR="001670A2" w:rsidRPr="00AB23E8">
        <w:trPr>
          <w:trHeight w:val="420"/>
        </w:trPr>
        <w:tc>
          <w:tcPr>
            <w:tcW w:w="81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lastRenderedPageBreak/>
              <w:t>4a</w:t>
            </w:r>
          </w:p>
        </w:tc>
        <w:tc>
          <w:tcPr>
            <w:tcW w:w="268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w:t>
            </w:r>
            <w:r w:rsidRPr="00AB23E8">
              <w:rPr>
                <w:rFonts w:ascii="Palatino Linotype" w:eastAsia="Palatino Linotype" w:hAnsi="Palatino Linotype" w:cs="Palatino Linotype"/>
                <w:sz w:val="20"/>
                <w:szCs w:val="20"/>
              </w:rPr>
              <w:lastRenderedPageBreak/>
              <w:t>partir del 2011 al 2021, con forme a sus registros? a. Impuestos i. ¿Cuál es el Monto recaudado por los Impuestos sobre conjuntos urbanos?, por cada uno de los años a partir del 2011 hasta el 2021.</w:t>
            </w:r>
          </w:p>
        </w:tc>
        <w:tc>
          <w:tcPr>
            <w:tcW w:w="339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 xml:space="preserve">TESORERÍA: </w:t>
            </w:r>
            <w:r w:rsidRPr="00AB23E8">
              <w:rPr>
                <w:rFonts w:ascii="Palatino Linotype" w:eastAsia="Palatino Linotype" w:hAnsi="Palatino Linotype" w:cs="Palatino Linotype"/>
                <w:sz w:val="20"/>
                <w:szCs w:val="20"/>
              </w:rPr>
              <w:t xml:space="preserve">3 y 4 por lo que hace a los ingresos por los conceptos mencionados le informo que de conformidad con el artículo 92 fracción XLVII de la LTAIPEMyM: Artículo 92. Los sujetos obligados deberán poner a disposición del público de manera permanente y actualizada de forma sencilla, precisa y entendible, en los respectivos medios electrónicos, de acuerdo con sus facultades, atribuciones, funciones u objeto </w:t>
            </w:r>
            <w:r w:rsidRPr="00AB23E8">
              <w:rPr>
                <w:rFonts w:ascii="Palatino Linotype" w:eastAsia="Palatino Linotype" w:hAnsi="Palatino Linotype" w:cs="Palatino Linotype"/>
                <w:sz w:val="20"/>
                <w:szCs w:val="20"/>
              </w:rPr>
              <w:lastRenderedPageBreak/>
              <w:t xml:space="preserve">social, según corresponda, la información, por lo menos, de los temas, documentos y políticas que a continuación se señalan: …XLVII. Los ingresos recibidos por cualquier concepto señalando el nombre de los responsables de recibirlos, administrarlos y ejercerlos, indicando el destino de cada uno de ellos; De lo anterior se desprende que es al ser una información de Transparencia dicha información se encuentra publicada en el siguiente link, para los ejercicios fiscales 2018,2019, 2020 y 2021. https://ipomex.org.mx/ipo3/lgt/indice/CUAUTITLANIZCALLI/art_92_xlvii_a.web?token=03AGdBq27X4Ew6KlVDHzJO6sNYSquwHY070v5an_RK6fMLf5y051DnPiBEckNzzizSYnZx-siXYY3FyaVp5-hkSq8pnwB6LFIMCOz1y7jm1RfxlUGveqscnmcZ_8fk1M-Bc2mGV7o23afdz_PEo989M39e1EiSbytia2g6zrWo1VB8zgiRlB47ySpAU6I59TJDpJ6up2tVzb0s3Xqlcrlh244BX_shJjnCWz9vKj5yR56aYxlJl4Sqol6YRGT01Dg9GuamufifZbKnDqQaRp1Jb8x3vf1FyjnRduKiC9COFWZnpv8IfQPNlouTeMzB01jmQEDluM5K3jVw0Gh3EpKewL0UKmFTmZKV_eLgDCzSqrn4h9XKp7e9cEJlP_3dlPAETqIXsuSaF8NZxWQwtlbgKxrJJeOTFbWC_MAklpQoSiLkrlQUfMmm5I6S4eK4YwqLCqSESGSU Le informo que, este sujeto obligado no resguarda la información a nivel </w:t>
            </w:r>
            <w:r w:rsidRPr="00AB23E8">
              <w:rPr>
                <w:rFonts w:ascii="Palatino Linotype" w:eastAsia="Palatino Linotype" w:hAnsi="Palatino Linotype" w:cs="Palatino Linotype"/>
                <w:sz w:val="20"/>
                <w:szCs w:val="20"/>
              </w:rPr>
              <w:lastRenderedPageBreak/>
              <w:t>detalle como lo solicita, sin embargo en aras de privilegiar la Transparencia y la máxima publicidad, de conformidad con la información que obra en los archivos de la Subtesorería de Ingresos y la Subtesorería de Contabilidad "sírvase encontrar adjuntos en formato PDF los documentos denominados “Estados comparativos presupuestales de ingresos detallados” correspondientes a los ejercicios fiscales 2011, 2012, 2013, 2014, 2015, 2016, 2017, 2018, 2019, 2020 y 2021 generados del Sistema de Contabilidad Interno del Municipio de Cuautitlán Izcalli en donde podrá visualizar los ingresos que recibió el municipio durante los periodos mencionados de acuerdo al Código Financiero del Estado de México y Municipios.</w:t>
            </w:r>
          </w:p>
        </w:tc>
        <w:tc>
          <w:tcPr>
            <w:tcW w:w="193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TESORERÍA:</w:t>
            </w:r>
            <w:r w:rsidRPr="00AB23E8">
              <w:rPr>
                <w:rFonts w:ascii="Palatino Linotype" w:eastAsia="Palatino Linotype" w:hAnsi="Palatino Linotype" w:cs="Palatino Linotype"/>
                <w:sz w:val="20"/>
                <w:szCs w:val="20"/>
              </w:rPr>
              <w:t xml:space="preserve">Ratifica </w:t>
            </w:r>
          </w:p>
        </w:tc>
        <w:tc>
          <w:tcPr>
            <w:tcW w:w="97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Si</w:t>
            </w:r>
          </w:p>
        </w:tc>
      </w:tr>
      <w:tr w:rsidR="001670A2" w:rsidRPr="00AB23E8">
        <w:trPr>
          <w:trHeight w:val="420"/>
        </w:trPr>
        <w:tc>
          <w:tcPr>
            <w:tcW w:w="81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lastRenderedPageBreak/>
              <w:t>4a</w:t>
            </w:r>
          </w:p>
        </w:tc>
        <w:tc>
          <w:tcPr>
            <w:tcW w:w="268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ii. ¿Cuál fue la recaudación por los Impuestos sobre anuncios publicitarios especificados en el artículo 120 y 121 por cada una de sus fracciones del Código Financiero del Estado de México y Municipios?, por cada uno de los años a partir del 2011 hasta el 2021. </w:t>
            </w: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iii. Indicar el número de anuncios que no pagan impuesto por estar en el </w:t>
            </w:r>
            <w:r w:rsidRPr="00AB23E8">
              <w:rPr>
                <w:rFonts w:ascii="Palatino Linotype" w:eastAsia="Palatino Linotype" w:hAnsi="Palatino Linotype" w:cs="Palatino Linotype"/>
                <w:sz w:val="20"/>
                <w:szCs w:val="20"/>
              </w:rPr>
              <w:lastRenderedPageBreak/>
              <w:t>supuesto del penúltimo párrafo del artículo 121 del Código Financiero del Estado de México y Municipios., por cada uno de los años a partir del 2011 hasta el 2021.</w:t>
            </w:r>
          </w:p>
        </w:tc>
        <w:tc>
          <w:tcPr>
            <w:tcW w:w="339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 xml:space="preserve">TESORERÍA: </w:t>
            </w:r>
            <w:r w:rsidRPr="00AB23E8">
              <w:rPr>
                <w:rFonts w:ascii="Palatino Linotype" w:eastAsia="Palatino Linotype" w:hAnsi="Palatino Linotype" w:cs="Palatino Linotype"/>
                <w:sz w:val="20"/>
                <w:szCs w:val="20"/>
              </w:rPr>
              <w:t xml:space="preserve">3 y 4 por lo que hace a los ingresos por los conceptos mencionados le informo que de conformidad con el artículo 92 fracción XLVII de la LTAIPEMyM: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w:t>
            </w:r>
            <w:r w:rsidRPr="00AB23E8">
              <w:rPr>
                <w:rFonts w:ascii="Palatino Linotype" w:eastAsia="Palatino Linotype" w:hAnsi="Palatino Linotype" w:cs="Palatino Linotype"/>
                <w:sz w:val="20"/>
                <w:szCs w:val="20"/>
              </w:rPr>
              <w:lastRenderedPageBreak/>
              <w:t xml:space="preserve">información, por lo menos, de los temas, documentos y políticas que a continuación se señalan: …XLVII. Los ingresos recibidos por cualquier concepto señalando el nombre de los responsables de recibirlos, administrarlos y ejercerlos, indicando el destino de cada uno de ellos; De lo anterior se desprende que es al ser una información de Transparencia dicha información se encuentra publicada en el siguiente link, para los ejercicios fiscales 2018,2019, 2020 y 2021. https://ipomex.org.mx/ipo3/lgt/indice/CUAUTITLANIZCALLI/art_92_xlvii_a.web?token=03AGdBq27X4Ew6KlVDHzJO6sNYSquwHY070v5an_RK6fMLf5y051DnPiBEckNzzizSYnZx-siXYY3FyaVp5-hkSq8pnwB6LFIMCOz1y7jm1RfxlUGveqscnmcZ_8fk1M-Bc2mGV7o23afdz_PEo989M39e1EiSbytia2g6zrWo1VB8zgiRlB47ySpAU6I59TJDpJ6up2tVzb0s3Xqlcrlh244BX_shJjnCWz9vKj5yR56aYxlJl4Sqol6YRGT01Dg9GuamufifZbKnDqQaRp1Jb8x3vf1FyjnRduKiC9COFWZnpv8IfQPNlouTeMzB01jmQEDluM5K3jVw0Gh3EpKewL0UKmFTmZKV_eLgDCzSqrn4h9XKp7e9cEJlP_3dlPAETqIXsuSaF8NZxWQwtlbgKxrJJeOTFbWC_MAklpQoSiLkrlQUfMmm5I6S4eK4YwqLCqSESGSU Le informo que, este sujeto obligado no resguarda la información a nivel detalle como lo solicita, sin </w:t>
            </w:r>
            <w:r w:rsidRPr="00AB23E8">
              <w:rPr>
                <w:rFonts w:ascii="Palatino Linotype" w:eastAsia="Palatino Linotype" w:hAnsi="Palatino Linotype" w:cs="Palatino Linotype"/>
                <w:sz w:val="20"/>
                <w:szCs w:val="20"/>
              </w:rPr>
              <w:lastRenderedPageBreak/>
              <w:t>embargo en aras de privilegiar la Transparencia y la máxima publicidad, de conformidad con la información que obra en los archivos de la Subtesorería de Ingresos y la Subtesorería de Contabilidad "sírvase encontrar adjuntos en formato PDF los documentos denominados “Estados comparativos presupuestales de ingresos detallados” correspondientes a los ejercicios fiscales 2011, 2012, 2013, 2014, 2015, 2016, 2017, 2018, 2019, 2020 y 2021 generados del Sistema de Contabilidad Interno del Municipio de Cuautitlán Izcalli en donde podrá visualizar los ingresos que recibió el municipio durante los periodos mencionados de acuerdo al Código Financiero del Estado de México y Municipios.</w:t>
            </w:r>
          </w:p>
          <w:p w:rsidR="001670A2" w:rsidRPr="00AB23E8" w:rsidRDefault="001670A2">
            <w:pPr>
              <w:widowControl w:val="0"/>
              <w:rPr>
                <w:rFonts w:ascii="Palatino Linotype" w:eastAsia="Palatino Linotype" w:hAnsi="Palatino Linotype" w:cs="Palatino Linotype"/>
                <w:sz w:val="20"/>
                <w:szCs w:val="20"/>
              </w:rPr>
            </w:pP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t>DESARROLLO URBANO: “</w:t>
            </w:r>
            <w:r w:rsidRPr="00AB23E8">
              <w:rPr>
                <w:rFonts w:ascii="Palatino Linotype" w:eastAsia="Palatino Linotype" w:hAnsi="Palatino Linotype" w:cs="Palatino Linotype"/>
                <w:sz w:val="20"/>
                <w:szCs w:val="20"/>
              </w:rPr>
              <w:t xml:space="preserve">Son de naturaleza impositiva, motivo por el cual esta dependencia no es sujeto obligado para responderlas, al carecer de atribuciones recudatorias conforme a las facultades que le confieren la Ley Orgánica Municipal del Estado de México, el Bando Municipal vigente y el Reglamento Interior de la Administración Pública Municipal de Cuatitlán Izcalli, Estado de México. </w:t>
            </w:r>
          </w:p>
          <w:p w:rsidR="001670A2" w:rsidRPr="00AB23E8" w:rsidRDefault="001670A2">
            <w:pPr>
              <w:widowControl w:val="0"/>
              <w:rPr>
                <w:rFonts w:ascii="Palatino Linotype" w:eastAsia="Palatino Linotype" w:hAnsi="Palatino Linotype" w:cs="Palatino Linotype"/>
                <w:sz w:val="20"/>
                <w:szCs w:val="20"/>
              </w:rPr>
            </w:pP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Por lo que hace a los anuncios que </w:t>
            </w:r>
            <w:r w:rsidRPr="00AB23E8">
              <w:rPr>
                <w:rFonts w:ascii="Palatino Linotype" w:eastAsia="Palatino Linotype" w:hAnsi="Palatino Linotype" w:cs="Palatino Linotype"/>
                <w:sz w:val="20"/>
                <w:szCs w:val="20"/>
              </w:rPr>
              <w:lastRenderedPageBreak/>
              <w:t xml:space="preserve">no pagan impuestos y que se encuentran previstos en el penúltimo párrafo del artñiuclo 121 del Código Financiero del Estado de México y Municipios, se informa que por ser anuncios que tienen como úncia finalidad publciitar el nombre, la denominación o razó social del establecimiento, así como aquellos que promuevan eventos educativos o culturales que no persigan fines de lucro; esta dependencia al no requerirlos por estar exentos de tramitar autorizaciones, no tiene registro de su número. </w:t>
            </w:r>
          </w:p>
        </w:tc>
        <w:tc>
          <w:tcPr>
            <w:tcW w:w="193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b/>
                <w:sz w:val="20"/>
                <w:szCs w:val="20"/>
              </w:rPr>
            </w:pPr>
            <w:r w:rsidRPr="00AB23E8">
              <w:rPr>
                <w:rFonts w:ascii="Palatino Linotype" w:eastAsia="Palatino Linotype" w:hAnsi="Palatino Linotype" w:cs="Palatino Linotype"/>
                <w:b/>
                <w:sz w:val="20"/>
                <w:szCs w:val="20"/>
              </w:rPr>
              <w:lastRenderedPageBreak/>
              <w:t>TESORERÍA:</w:t>
            </w:r>
            <w:r w:rsidRPr="00AB23E8">
              <w:rPr>
                <w:rFonts w:ascii="Palatino Linotype" w:eastAsia="Palatino Linotype" w:hAnsi="Palatino Linotype" w:cs="Palatino Linotype"/>
                <w:sz w:val="20"/>
                <w:szCs w:val="20"/>
              </w:rPr>
              <w:t xml:space="preserve">Ratifica </w:t>
            </w: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t>DESARROLLO URBANO</w:t>
            </w:r>
            <w:r w:rsidRPr="00AB23E8">
              <w:rPr>
                <w:rFonts w:ascii="Palatino Linotype" w:eastAsia="Palatino Linotype" w:hAnsi="Palatino Linotype" w:cs="Palatino Linotype"/>
                <w:sz w:val="20"/>
                <w:szCs w:val="20"/>
              </w:rPr>
              <w:t xml:space="preserve">: Ratifica </w:t>
            </w:r>
          </w:p>
          <w:p w:rsidR="001670A2" w:rsidRPr="00AB23E8" w:rsidRDefault="001670A2">
            <w:pPr>
              <w:widowControl w:val="0"/>
              <w:rPr>
                <w:rFonts w:ascii="Palatino Linotype" w:eastAsia="Palatino Linotype" w:hAnsi="Palatino Linotype" w:cs="Palatino Linotype"/>
                <w:sz w:val="20"/>
                <w:szCs w:val="20"/>
              </w:rPr>
            </w:pPr>
          </w:p>
        </w:tc>
        <w:tc>
          <w:tcPr>
            <w:tcW w:w="97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Si</w:t>
            </w:r>
          </w:p>
        </w:tc>
      </w:tr>
      <w:tr w:rsidR="001670A2" w:rsidRPr="00AB23E8">
        <w:trPr>
          <w:trHeight w:val="420"/>
        </w:trPr>
        <w:tc>
          <w:tcPr>
            <w:tcW w:w="81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lastRenderedPageBreak/>
              <w:t>4a</w:t>
            </w:r>
          </w:p>
        </w:tc>
        <w:tc>
          <w:tcPr>
            <w:tcW w:w="268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iv.¿Cuál fue la recaudación por los Impuestos sobre diversiones, juegos y espectáculos públicos que establece el artículo 123 en cada una de sus fracciones del Código Financiero del Estado de México y Municipios?, por cada uno de los años a partir del 2011 hasta el 2021.</w:t>
            </w:r>
          </w:p>
        </w:tc>
        <w:tc>
          <w:tcPr>
            <w:tcW w:w="339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t xml:space="preserve">TESORERÍA: </w:t>
            </w:r>
            <w:r w:rsidRPr="00AB23E8">
              <w:rPr>
                <w:rFonts w:ascii="Palatino Linotype" w:eastAsia="Palatino Linotype" w:hAnsi="Palatino Linotype" w:cs="Palatino Linotype"/>
                <w:sz w:val="20"/>
                <w:szCs w:val="20"/>
              </w:rPr>
              <w:t xml:space="preserve">3 y 4 por lo que hace a los ingresos por los conceptos mencionados le informo que de conformidad con el artículo 92 fracción XLVII de la LTAIPEMyM: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…XLVII. Los ingresos recibidos por cualquier concepto señalando el nombre de los responsables de recibirlos, administrarlos y </w:t>
            </w:r>
            <w:r w:rsidRPr="00AB23E8">
              <w:rPr>
                <w:rFonts w:ascii="Palatino Linotype" w:eastAsia="Palatino Linotype" w:hAnsi="Palatino Linotype" w:cs="Palatino Linotype"/>
                <w:sz w:val="20"/>
                <w:szCs w:val="20"/>
              </w:rPr>
              <w:lastRenderedPageBreak/>
              <w:t xml:space="preserve">ejercerlos, indicando el destino de cada uno de ellos; De lo anterior se desprende que es al ser una información de Transparencia dicha información se encuentra publicada en el siguiente link, para los ejercicios fiscales 2018,2019, 2020 y 2021. https://ipomex.org.mx/ipo3/lgt/indice/CUAUTITLANIZCALLI/art_92_xlvii_a.web?token=03AGdBq27X4Ew6KlVDHzJO6sNYSquwHY070v5an_RK6fMLf5y051DnPiBEckNzzizSYnZx-siXYY3FyaVp5-hkSq8pnwB6LFIMCOz1y7jm1RfxlUGveqscnmcZ_8fk1M-Bc2mGV7o23afdz_PEo989M39e1EiSbytia2g6zrWo1VB8zgiRlB47ySpAU6I59TJDpJ6up2tVzb0s3Xqlcrlh244BX_shJjnCWz9vKj5yR56aYxlJl4Sqol6YRGT01Dg9GuamufifZbKnDqQaRp1Jb8x3vf1FyjnRduKiC9COFWZnpv8IfQPNlouTeMzB01jmQEDluM5K3jVw0Gh3EpKewL0UKmFTmZKV_eLgDCzSqrn4h9XKp7e9cEJlP_3dlPAETqIXsuSaF8NZxWQwtlbgKxrJJeOTFbWC_MAklpQoSiLkrlQUfMmm5I6S4eK4YwqLCqSESGSU Le informo que, este sujeto obligado no resguarda la información a nivel detalle como lo solicita, sin embargo en aras de privilegiar la Transparencia y la máxima publicidad, de conformidad con la información que obra en los archivos de la Subtesorería de Ingresos y la Subtesorería de Contabilidad "sírvase encontrar </w:t>
            </w:r>
            <w:r w:rsidRPr="00AB23E8">
              <w:rPr>
                <w:rFonts w:ascii="Palatino Linotype" w:eastAsia="Palatino Linotype" w:hAnsi="Palatino Linotype" w:cs="Palatino Linotype"/>
                <w:sz w:val="20"/>
                <w:szCs w:val="20"/>
              </w:rPr>
              <w:lastRenderedPageBreak/>
              <w:t>adjuntos en formato PDF los documentos denominados “Estados comparativos presupuestales de ingresos detallados” correspondientes a los ejercicios fiscales 2011, 2012, 2013, 2014, 2015, 2016, 2017, 2018, 2019, 2020 y 2021 generados del Sistema de Contabilidad Interno del Municipio de Cuautitlán Izcalli en donde podrá visualizar los ingresos que recibió el municipio durante los periodos mencionados de acuerdo al Código Financiero del Estado de México y Municipios.</w:t>
            </w:r>
          </w:p>
        </w:tc>
        <w:tc>
          <w:tcPr>
            <w:tcW w:w="193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TESORERÍA:</w:t>
            </w:r>
            <w:r w:rsidRPr="00AB23E8">
              <w:rPr>
                <w:rFonts w:ascii="Palatino Linotype" w:eastAsia="Palatino Linotype" w:hAnsi="Palatino Linotype" w:cs="Palatino Linotype"/>
                <w:sz w:val="20"/>
                <w:szCs w:val="20"/>
              </w:rPr>
              <w:t xml:space="preserve">Ratifica </w:t>
            </w:r>
          </w:p>
        </w:tc>
        <w:tc>
          <w:tcPr>
            <w:tcW w:w="97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Si</w:t>
            </w:r>
          </w:p>
        </w:tc>
      </w:tr>
      <w:tr w:rsidR="001670A2" w:rsidRPr="00AB23E8">
        <w:trPr>
          <w:trHeight w:val="420"/>
        </w:trPr>
        <w:tc>
          <w:tcPr>
            <w:tcW w:w="81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lastRenderedPageBreak/>
              <w:t>4a</w:t>
            </w:r>
          </w:p>
        </w:tc>
        <w:tc>
          <w:tcPr>
            <w:tcW w:w="268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4v.¿Cuál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w:t>
            </w:r>
          </w:p>
        </w:tc>
        <w:tc>
          <w:tcPr>
            <w:tcW w:w="339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t xml:space="preserve">TESORERÍA: </w:t>
            </w:r>
            <w:r w:rsidRPr="00AB23E8">
              <w:rPr>
                <w:rFonts w:ascii="Palatino Linotype" w:eastAsia="Palatino Linotype" w:hAnsi="Palatino Linotype" w:cs="Palatino Linotype"/>
                <w:sz w:val="20"/>
                <w:szCs w:val="20"/>
              </w:rPr>
              <w:t xml:space="preserve">3 y 4 por lo que hace a los ingresos por los conceptos mencionados le informo que de conformidad con el artículo 92 fracción XLVII de la LTAIPEMyM: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…XLVII. Los ingresos recibidos por cualquier concepto señalando el nombre de los responsables de recibirlos, administrarlos y ejercerlos, indicando el destino de </w:t>
            </w:r>
            <w:r w:rsidRPr="00AB23E8">
              <w:rPr>
                <w:rFonts w:ascii="Palatino Linotype" w:eastAsia="Palatino Linotype" w:hAnsi="Palatino Linotype" w:cs="Palatino Linotype"/>
                <w:sz w:val="20"/>
                <w:szCs w:val="20"/>
              </w:rPr>
              <w:lastRenderedPageBreak/>
              <w:t xml:space="preserve">cada uno de ellos; De lo anterior se desprende que es al ser una información de Transparencia dicha información se encuentra publicada en el siguiente link, para los ejercicios fiscales 2018,2019, 2020 y 2021. https://ipomex.org.mx/ipo3/lgt/indice/CUAUTITLANIZCALLI/art_92_xlvii_a.web?token=03AGdBq27X4Ew6KlVDHzJO6sNYSquwHY070v5an_RK6fMLf5y051DnPiBEckNzzizSYnZx-siXYY3FyaVp5-hkSq8pnwB6LFIMCOz1y7jm1RfxlUGveqscnmcZ_8fk1M-Bc2mGV7o23afdz_PEo989M39e1EiSbytia2g6zrWo1VB8zgiRlB47ySpAU6I59TJDpJ6up2tVzb0s3Xqlcrlh244BX_shJjnCWz9vKj5yR56aYxlJl4Sqol6YRGT01Dg9GuamufifZbKnDqQaRp1Jb8x3vf1FyjnRduKiC9COFWZnpv8IfQPNlouTeMzB01jmQEDluM5K3jVw0Gh3EpKewL0UKmFTmZKV_eLgDCzSqrn4h9XKp7e9cEJlP_3dlPAETqIXsuSaF8NZxWQwtlbgKxrJJeOTFbWC_MAklpQoSiLkrlQUfMmm5I6S4eK4YwqLCqSESGSU Le informo que, este sujeto obligado no resguarda la información a nivel detalle como lo solicita, sin embargo en aras de privilegiar la Transparencia y la máxima publicidad, de conformidad con la información que obra en los archivos de la Subtesorería de Ingresos y la Subtesorería de Contabilidad "sírvase encontrar adjuntos en formato PDF los </w:t>
            </w:r>
            <w:r w:rsidRPr="00AB23E8">
              <w:rPr>
                <w:rFonts w:ascii="Palatino Linotype" w:eastAsia="Palatino Linotype" w:hAnsi="Palatino Linotype" w:cs="Palatino Linotype"/>
                <w:sz w:val="20"/>
                <w:szCs w:val="20"/>
              </w:rPr>
              <w:lastRenderedPageBreak/>
              <w:t>documentos denominados “Estados comparativos presupuestales de ingresos detallados” correspondientes a los ejercicios fiscales 2011, 2012, 2013, 2014, 2015, 2016, 2017, 2018, 2019, 2020 y 2021 generados del Sistema de Contabilidad Interno del Municipio de Cuautitlán Izcalli en donde podrá visualizar los ingresos que recibió el municipio durante los periodos mencionados de acuerdo al Código Financiero del Estado de México y Municipios.</w:t>
            </w:r>
          </w:p>
        </w:tc>
        <w:tc>
          <w:tcPr>
            <w:tcW w:w="193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TESORERÍA:</w:t>
            </w:r>
            <w:r w:rsidRPr="00AB23E8">
              <w:rPr>
                <w:rFonts w:ascii="Palatino Linotype" w:eastAsia="Palatino Linotype" w:hAnsi="Palatino Linotype" w:cs="Palatino Linotype"/>
                <w:sz w:val="20"/>
                <w:szCs w:val="20"/>
              </w:rPr>
              <w:t xml:space="preserve">Ratifica </w:t>
            </w:r>
          </w:p>
        </w:tc>
        <w:tc>
          <w:tcPr>
            <w:tcW w:w="97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No </w:t>
            </w:r>
          </w:p>
        </w:tc>
      </w:tr>
      <w:tr w:rsidR="001670A2" w:rsidRPr="00AB23E8">
        <w:trPr>
          <w:trHeight w:val="420"/>
        </w:trPr>
        <w:tc>
          <w:tcPr>
            <w:tcW w:w="81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lastRenderedPageBreak/>
              <w:t>4b</w:t>
            </w:r>
          </w:p>
        </w:tc>
        <w:tc>
          <w:tcPr>
            <w:tcW w:w="268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 i. ¿Cuál fue la recaudación por los Ingresos por el pago de los Derechos establecidos en el artículo 143 y 144 por cada una de sus fracciones del Código Financiero del Estado de México y Municipios?, por cada uno de los años a partir del 2011 hasta el 2021.</w:t>
            </w:r>
          </w:p>
        </w:tc>
        <w:tc>
          <w:tcPr>
            <w:tcW w:w="339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t xml:space="preserve">TESORERÍA: </w:t>
            </w:r>
            <w:r w:rsidRPr="00AB23E8">
              <w:rPr>
                <w:rFonts w:ascii="Palatino Linotype" w:eastAsia="Palatino Linotype" w:hAnsi="Palatino Linotype" w:cs="Palatino Linotype"/>
                <w:sz w:val="20"/>
                <w:szCs w:val="20"/>
              </w:rPr>
              <w:t xml:space="preserve">3 y 4 por lo que hace a los ingresos por los conceptos mencionados le informo que de conformidad con el artículo 92 fracción XLVII de la LTAIPEMyM: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…XLVII. Los ingresos recibidos por cualquier concepto señalando el nombre de los responsables de recibirlos, administrarlos y ejercerlos, indicando el destino de cada uno de ellos; De lo anterior se </w:t>
            </w:r>
            <w:r w:rsidRPr="00AB23E8">
              <w:rPr>
                <w:rFonts w:ascii="Palatino Linotype" w:eastAsia="Palatino Linotype" w:hAnsi="Palatino Linotype" w:cs="Palatino Linotype"/>
                <w:sz w:val="20"/>
                <w:szCs w:val="20"/>
              </w:rPr>
              <w:lastRenderedPageBreak/>
              <w:t xml:space="preserve">desprende que es al ser una información de Transparencia dicha información se encuentra publicada en el siguiente link, para los ejercicios fiscales 2018,2019, 2020 y 2021. https://ipomex.org.mx/ipo3/lgt/indice/CUAUTITLANIZCALLI/art_92_xlvii_a.web?token=03AGdBq27X4Ew6KlVDHzJO6sNYSquwHY070v5an_RK6fMLf5y051DnPiBEckNzzizSYnZx-siXYY3FyaVp5-hkSq8pnwB6LFIMCOz1y7jm1RfxlUGveqscnmcZ_8fk1M-Bc2mGV7o23afdz_PEo989M39e1EiSbytia2g6zrWo1VB8zgiRlB47ySpAU6I59TJDpJ6up2tVzb0s3Xqlcrlh244BX_shJjnCWz9vKj5yR56aYxlJl4Sqol6YRGT01Dg9GuamufifZbKnDqQaRp1Jb8x3vf1FyjnRduKiC9COFWZnpv8IfQPNlouTeMzB01jmQEDluM5K3jVw0Gh3EpKewL0UKmFTmZKV_eLgDCzSqrn4h9XKp7e9cEJlP_3dlPAETqIXsuSaF8NZxWQwtlbgKxrJJeOTFbWC_MAklpQoSiLkrlQUfMmm5I6S4eK4YwqLCqSESGSU Le informo que, este sujeto obligado no resguarda la información a nivel detalle como lo solicita, sin embargo en aras de privilegiar la Transparencia y la máxima publicidad, de conformidad con la información que obra en los archivos de la Subtesorería de Ingresos y la Subtesorería de Contabilidad "sírvase encontrar adjuntos en formato PDF los documentos denominados “Estados </w:t>
            </w:r>
            <w:r w:rsidRPr="00AB23E8">
              <w:rPr>
                <w:rFonts w:ascii="Palatino Linotype" w:eastAsia="Palatino Linotype" w:hAnsi="Palatino Linotype" w:cs="Palatino Linotype"/>
                <w:sz w:val="20"/>
                <w:szCs w:val="20"/>
              </w:rPr>
              <w:lastRenderedPageBreak/>
              <w:t>comparativos presupuestales de ingresos detallados” correspondientes a los ejercicios fiscales 2011, 2012, 2013, 2014, 2015, 2016, 2017, 2018, 2019, 2020 y 2021 generados del Sistema de Contabilidad Interno del Municipio de Cuautitlán Izcalli en donde podrá visualizar los ingresos que recibió el municipio durante los periodos mencionados de acuerdo al Código Financiero del Estado de México y Municipios.</w:t>
            </w:r>
          </w:p>
        </w:tc>
        <w:tc>
          <w:tcPr>
            <w:tcW w:w="193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TESORERÍA:</w:t>
            </w:r>
            <w:r w:rsidRPr="00AB23E8">
              <w:rPr>
                <w:rFonts w:ascii="Palatino Linotype" w:eastAsia="Palatino Linotype" w:hAnsi="Palatino Linotype" w:cs="Palatino Linotype"/>
                <w:sz w:val="20"/>
                <w:szCs w:val="20"/>
              </w:rPr>
              <w:t xml:space="preserve">Ratifica </w:t>
            </w:r>
          </w:p>
        </w:tc>
        <w:tc>
          <w:tcPr>
            <w:tcW w:w="97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Sí</w:t>
            </w:r>
          </w:p>
        </w:tc>
      </w:tr>
      <w:tr w:rsidR="001670A2" w:rsidRPr="00AB23E8">
        <w:trPr>
          <w:trHeight w:val="420"/>
        </w:trPr>
        <w:tc>
          <w:tcPr>
            <w:tcW w:w="81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lastRenderedPageBreak/>
              <w:t>4b</w:t>
            </w:r>
          </w:p>
        </w:tc>
        <w:tc>
          <w:tcPr>
            <w:tcW w:w="268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ii¿Cuál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w:t>
            </w:r>
            <w:r w:rsidRPr="00AB23E8">
              <w:rPr>
                <w:rFonts w:ascii="Palatino Linotype" w:eastAsia="Palatino Linotype" w:hAnsi="Palatino Linotype" w:cs="Palatino Linotype"/>
                <w:sz w:val="20"/>
                <w:szCs w:val="20"/>
              </w:rPr>
              <w:lastRenderedPageBreak/>
              <w:t>diciembre del 2017</w:t>
            </w:r>
          </w:p>
        </w:tc>
        <w:tc>
          <w:tcPr>
            <w:tcW w:w="339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 xml:space="preserve">TESORERÍA: </w:t>
            </w:r>
            <w:r w:rsidRPr="00AB23E8">
              <w:rPr>
                <w:rFonts w:ascii="Palatino Linotype" w:eastAsia="Palatino Linotype" w:hAnsi="Palatino Linotype" w:cs="Palatino Linotype"/>
                <w:sz w:val="20"/>
                <w:szCs w:val="20"/>
              </w:rPr>
              <w:t>“Le informo que los Derechos establecidos en el artñiuclo 143 fracción IV y 144 fracción VI del Código Financiero del Estado de México y Municipios no son competencia Deseral por lo anterior no se han reintegrado pagos”</w:t>
            </w:r>
          </w:p>
        </w:tc>
        <w:tc>
          <w:tcPr>
            <w:tcW w:w="193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t>TESORERÍA:</w:t>
            </w:r>
            <w:r w:rsidRPr="00AB23E8">
              <w:rPr>
                <w:rFonts w:ascii="Palatino Linotype" w:eastAsia="Palatino Linotype" w:hAnsi="Palatino Linotype" w:cs="Palatino Linotype"/>
                <w:sz w:val="20"/>
                <w:szCs w:val="20"/>
              </w:rPr>
              <w:t xml:space="preserve"> Ratifica </w:t>
            </w:r>
          </w:p>
        </w:tc>
        <w:tc>
          <w:tcPr>
            <w:tcW w:w="97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Si </w:t>
            </w:r>
          </w:p>
        </w:tc>
      </w:tr>
      <w:tr w:rsidR="001670A2" w:rsidRPr="00AB23E8">
        <w:trPr>
          <w:trHeight w:val="420"/>
        </w:trPr>
        <w:tc>
          <w:tcPr>
            <w:tcW w:w="81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4b</w:t>
            </w:r>
          </w:p>
        </w:tc>
        <w:tc>
          <w:tcPr>
            <w:tcW w:w="268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iii.Indicar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w:t>
            </w:r>
          </w:p>
        </w:tc>
        <w:tc>
          <w:tcPr>
            <w:tcW w:w="339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t>TESORERÍA:</w:t>
            </w:r>
            <w:r w:rsidRPr="00AB23E8">
              <w:rPr>
                <w:rFonts w:ascii="Palatino Linotype" w:eastAsia="Palatino Linotype" w:hAnsi="Palatino Linotype" w:cs="Palatino Linotype"/>
                <w:sz w:val="20"/>
                <w:szCs w:val="20"/>
              </w:rPr>
              <w:t xml:space="preserve"> Le informo que los Derechos establecidos en el artículo 143 fracción IV y 144 fracción VI del Código Financiero del Estado de México y Municipios no son competencia Federal por lo anterior no se han reintegrado pagos</w:t>
            </w:r>
          </w:p>
        </w:tc>
        <w:tc>
          <w:tcPr>
            <w:tcW w:w="193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t>TESORERÍA:</w:t>
            </w:r>
            <w:r w:rsidRPr="00AB23E8">
              <w:rPr>
                <w:rFonts w:ascii="Palatino Linotype" w:eastAsia="Palatino Linotype" w:hAnsi="Palatino Linotype" w:cs="Palatino Linotype"/>
                <w:sz w:val="20"/>
                <w:szCs w:val="20"/>
              </w:rPr>
              <w:t xml:space="preserve"> Ratifica </w:t>
            </w:r>
          </w:p>
        </w:tc>
        <w:tc>
          <w:tcPr>
            <w:tcW w:w="97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si </w:t>
            </w:r>
          </w:p>
        </w:tc>
      </w:tr>
      <w:tr w:rsidR="001670A2" w:rsidRPr="00AB23E8">
        <w:trPr>
          <w:trHeight w:val="420"/>
        </w:trPr>
        <w:tc>
          <w:tcPr>
            <w:tcW w:w="81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4b</w:t>
            </w:r>
          </w:p>
        </w:tc>
        <w:tc>
          <w:tcPr>
            <w:tcW w:w="268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iv.Indicar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w:t>
            </w:r>
          </w:p>
        </w:tc>
        <w:tc>
          <w:tcPr>
            <w:tcW w:w="339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t>TESORERÍA:</w:t>
            </w:r>
            <w:r w:rsidRPr="00AB23E8">
              <w:rPr>
                <w:rFonts w:ascii="Palatino Linotype" w:eastAsia="Palatino Linotype" w:hAnsi="Palatino Linotype" w:cs="Palatino Linotype"/>
                <w:sz w:val="20"/>
                <w:szCs w:val="20"/>
              </w:rPr>
              <w:t xml:space="preserve"> Le informo que los Derechos establecidos en el artículo 143 fracción IV y 144 fracción VI del Código Financiero del Estado de México y Municipios no son competencia Federal por lo anterior no se han reintegrado pagos</w:t>
            </w:r>
          </w:p>
        </w:tc>
        <w:tc>
          <w:tcPr>
            <w:tcW w:w="193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t>TESORERÍA:</w:t>
            </w:r>
            <w:r w:rsidRPr="00AB23E8">
              <w:rPr>
                <w:rFonts w:ascii="Palatino Linotype" w:eastAsia="Palatino Linotype" w:hAnsi="Palatino Linotype" w:cs="Palatino Linotype"/>
                <w:sz w:val="20"/>
                <w:szCs w:val="20"/>
              </w:rPr>
              <w:t xml:space="preserve"> Ratifica </w:t>
            </w:r>
          </w:p>
        </w:tc>
        <w:tc>
          <w:tcPr>
            <w:tcW w:w="97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Si</w:t>
            </w:r>
          </w:p>
        </w:tc>
      </w:tr>
      <w:tr w:rsidR="001670A2" w:rsidRPr="00AB23E8">
        <w:trPr>
          <w:trHeight w:val="420"/>
        </w:trPr>
        <w:tc>
          <w:tcPr>
            <w:tcW w:w="81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4b</w:t>
            </w:r>
          </w:p>
        </w:tc>
        <w:tc>
          <w:tcPr>
            <w:tcW w:w="268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v. ¿A cuánto ascienden los </w:t>
            </w:r>
            <w:r w:rsidRPr="00AB23E8">
              <w:rPr>
                <w:rFonts w:ascii="Palatino Linotype" w:eastAsia="Palatino Linotype" w:hAnsi="Palatino Linotype" w:cs="Palatino Linotype"/>
                <w:sz w:val="20"/>
                <w:szCs w:val="20"/>
              </w:rPr>
              <w:lastRenderedPageBreak/>
              <w:t>ingresos recaudados por lo establecido en el artículo 154 en cada una de sus fracciones del Código Financiero del Estado de México y Municipios de los años 2011 al 2021?</w:t>
            </w:r>
          </w:p>
        </w:tc>
        <w:tc>
          <w:tcPr>
            <w:tcW w:w="339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 xml:space="preserve">TESORERÍA: </w:t>
            </w:r>
            <w:r w:rsidRPr="00AB23E8">
              <w:rPr>
                <w:rFonts w:ascii="Palatino Linotype" w:eastAsia="Palatino Linotype" w:hAnsi="Palatino Linotype" w:cs="Palatino Linotype"/>
                <w:sz w:val="20"/>
                <w:szCs w:val="20"/>
              </w:rPr>
              <w:t xml:space="preserve">3 y 4 por lo que hace </w:t>
            </w:r>
            <w:r w:rsidRPr="00AB23E8">
              <w:rPr>
                <w:rFonts w:ascii="Palatino Linotype" w:eastAsia="Palatino Linotype" w:hAnsi="Palatino Linotype" w:cs="Palatino Linotype"/>
                <w:sz w:val="20"/>
                <w:szCs w:val="20"/>
              </w:rPr>
              <w:lastRenderedPageBreak/>
              <w:t>a los ingresos por los conceptos mencionados le informo que de conformidad con el artículo 92 fracción XLVII de la LTAIPEMyM: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…XLVII. Los ingresos recibidos por cualquier concepto señalando el nombre de los responsables de recibirlos, administrarlos y ejercerlos, indicando el destino de cada uno de ellos; De lo anterior se desprende que es al ser una información de Transparencia dicha información se encuentra publicada en el siguiente link, para los ejercicios fiscales 2018,2019, 2020 y 2021. https://ipomex.org.mx/ipo3/lgt/indice/CUAUTITLANIZCALLI/art_92_xlvii_a.web?token=03AGdBq27X4Ew6KlVDHzJO6sNYSquwHY070v5an_RK6fMLf5y051DnPiBEckNzzizSYnZx-siXYY3FyaVp5-hkSq8pnwB6LFIMCOz1y7jm1RfxlUGveqscnmcZ_8fk1M-Bc2mGV7o23afdz_PEo989M39e1EiSbytia2g6zrWo1VB8zgiRlB47ySpA</w:t>
            </w:r>
            <w:r w:rsidRPr="00AB23E8">
              <w:rPr>
                <w:rFonts w:ascii="Palatino Linotype" w:eastAsia="Palatino Linotype" w:hAnsi="Palatino Linotype" w:cs="Palatino Linotype"/>
                <w:sz w:val="20"/>
                <w:szCs w:val="20"/>
              </w:rPr>
              <w:lastRenderedPageBreak/>
              <w:t>U6I59TJDpJ6up2tVzb0s3Xqlcrlh244BX_shJjnCWz9vKj5yR56aYxlJl4Sqol6YRGT01Dg9GuamufifZbKnDqQaRp1Jb8x3vf1FyjnRduKiC9COFWZnpv8IfQPNlouTeMzB01jmQEDluM5K3jVw0Gh3EpKewL0UKmFTmZKV_eLgDCzSqrn4h9XKp7e9cEJlP_3dlPAETqIXsuSaF8NZxWQwtlbgKxrJJeOTFbWC_MAklpQoSiLkrlQUfMmm5I6S4eK4YwqLCqSESGSU Le informo que, este sujeto obligado no resguarda la información a nivel detalle como lo solicita, sin embargo en aras de privilegiar la Transparencia y la máxima publicidad, de conformidad con la información que obra en los archivos de la Subtesorería de Ingresos y la Subtesorería de Contabilidad "sírvase encontrar adjuntos en formato PDF los documentos denominados “Estados comparativos presupuestales de ingresos detallados” correspondientes a los ejercicios fiscales 2011, 2012, 2013, 2014, 2015, 2016, 2017, 2018, 2019, 2020 y 2021 generados del Sistema de Contabilidad Interno del Municipio de Cuautitlán Izcalli en donde podrá visualizar los ingresos que recibió el municipio durante los periodos mencionados de acuerdo al Código Financiero del Estado de México y Municipios.</w:t>
            </w:r>
          </w:p>
        </w:tc>
        <w:tc>
          <w:tcPr>
            <w:tcW w:w="1935" w:type="dxa"/>
            <w:shd w:val="clear" w:color="auto" w:fill="auto"/>
            <w:tcMar>
              <w:top w:w="100" w:type="dxa"/>
              <w:left w:w="100" w:type="dxa"/>
              <w:bottom w:w="100" w:type="dxa"/>
              <w:right w:w="100" w:type="dxa"/>
            </w:tcMar>
          </w:tcPr>
          <w:p w:rsidR="001670A2" w:rsidRPr="00AB23E8" w:rsidRDefault="001670A2">
            <w:pPr>
              <w:widowControl w:val="0"/>
              <w:rPr>
                <w:rFonts w:ascii="Palatino Linotype" w:eastAsia="Palatino Linotype" w:hAnsi="Palatino Linotype" w:cs="Palatino Linotype"/>
                <w:sz w:val="20"/>
                <w:szCs w:val="20"/>
              </w:rPr>
            </w:pPr>
          </w:p>
        </w:tc>
        <w:tc>
          <w:tcPr>
            <w:tcW w:w="97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Sí </w:t>
            </w:r>
          </w:p>
        </w:tc>
      </w:tr>
      <w:tr w:rsidR="001670A2" w:rsidRPr="00AB23E8">
        <w:trPr>
          <w:trHeight w:val="420"/>
        </w:trPr>
        <w:tc>
          <w:tcPr>
            <w:tcW w:w="81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lastRenderedPageBreak/>
              <w:t>4b</w:t>
            </w:r>
          </w:p>
        </w:tc>
        <w:tc>
          <w:tcPr>
            <w:tcW w:w="268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vi.¿Cuál fue la recaudación por los Derechos </w:t>
            </w:r>
            <w:r w:rsidRPr="00AB23E8">
              <w:rPr>
                <w:rFonts w:ascii="Palatino Linotype" w:eastAsia="Palatino Linotype" w:hAnsi="Palatino Linotype" w:cs="Palatino Linotype"/>
                <w:sz w:val="20"/>
                <w:szCs w:val="20"/>
              </w:rPr>
              <w:lastRenderedPageBreak/>
              <w:t xml:space="preserve">establecidos en la fracción I? por cada una de los supuestos siguientes de cada uno de los años que comprenden del 2011 al 2021: </w:t>
            </w: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a. Puestos fijos </w:t>
            </w: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b. Semi fijos </w:t>
            </w: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c. Comerciantes ambulantes</w:t>
            </w:r>
          </w:p>
        </w:tc>
        <w:tc>
          <w:tcPr>
            <w:tcW w:w="339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 xml:space="preserve">TESORERÍA: </w:t>
            </w:r>
            <w:r w:rsidRPr="00AB23E8">
              <w:rPr>
                <w:rFonts w:ascii="Palatino Linotype" w:eastAsia="Palatino Linotype" w:hAnsi="Palatino Linotype" w:cs="Palatino Linotype"/>
                <w:sz w:val="20"/>
                <w:szCs w:val="20"/>
              </w:rPr>
              <w:t xml:space="preserve">3 y 4 por lo que hace a los ingresos por los conceptos </w:t>
            </w:r>
            <w:r w:rsidRPr="00AB23E8">
              <w:rPr>
                <w:rFonts w:ascii="Palatino Linotype" w:eastAsia="Palatino Linotype" w:hAnsi="Palatino Linotype" w:cs="Palatino Linotype"/>
                <w:sz w:val="20"/>
                <w:szCs w:val="20"/>
              </w:rPr>
              <w:lastRenderedPageBreak/>
              <w:t>mencionados le informo que de conformidad con el artículo 92 fracción XLVII de la LTAIPEMyM: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…XLVII. Los ingresos recibidos por cualquier concepto señalando el nombre de los responsables de recibirlos, administrarlos y ejercerlos, indicando el destino de cada uno de ellos; De lo anterior se desprende que es al ser una información de Transparencia dicha información se encuentra publicada en el siguiente link, para los ejercicios fiscales 2018,2019, 2020 y 2021. https://ipomex.org.mx/ipo3/lgt/indice/CUAUTITLANIZCALLI/art_92_xlvii_a.web?token=03AGdBq27X4Ew6KlVDHzJO6sNYSquwHY070v5an_RK6fMLf5y051DnPiBEckNzzizSYnZx-siXYY3FyaVp5-hkSq8pnwB6LFIMCOz1y7jm1RfxlUGveqscnmcZ_8fk1M-Bc2mGV7o23afdz_PEo989M39e1EiSbytia2g6zrWo1VB8zgiRlB47ySpAU6I59TJDpJ6up2tVzb0s3Xqlcrlh244</w:t>
            </w:r>
            <w:r w:rsidRPr="00AB23E8">
              <w:rPr>
                <w:rFonts w:ascii="Palatino Linotype" w:eastAsia="Palatino Linotype" w:hAnsi="Palatino Linotype" w:cs="Palatino Linotype"/>
                <w:sz w:val="20"/>
                <w:szCs w:val="20"/>
              </w:rPr>
              <w:lastRenderedPageBreak/>
              <w:t>BX_shJjnCWz9vKj5yR56aYxlJl4Sqol6YRGT01Dg9GuamufifZbKnDqQaRp1Jb8x3vf1FyjnRduKiC9COFWZnpv8IfQPNlouTeMzB01jmQEDluM5K3jVw0Gh3EpKewL0UKmFTmZKV_eLgDCzSqrn4h9XKp7e9cEJlP_3dlPAETqIXsuSaF8NZxWQwtlbgKxrJJeOTFbWC_MAklpQoSiLkrlQUfMmm5I6S4eK4YwqLCqSESGSU Le informo que, este sujeto obligado no resguarda la información a nivel detalle como lo solicita, sin embargo en aras de privilegiar la Transparencia y la máxima publicidad, de conformidad con la información que obra en los archivos de la Subtesorería de Ingresos y la Subtesorería de Contabilidad "sírvase encontrar adjuntos en formato PDF los documentos denominados “Estados comparativos presupuestales de ingresos detallados” correspondientes a los ejercicios fiscales 2011, 2012, 2013, 2014, 2015, 2016, 2017, 2018, 2019, 2020 y 2021 generados del Sistema de Contabilidad Interno del Municipio de Cuautitlán Izcalli en donde podrá visualizar los ingresos que recibió el municipio durante los periodos mencionados de acuerdo al Código Financiero del Estado de México y Municipios.</w:t>
            </w:r>
          </w:p>
        </w:tc>
        <w:tc>
          <w:tcPr>
            <w:tcW w:w="193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TESORERÍA:</w:t>
            </w:r>
            <w:r w:rsidRPr="00AB23E8">
              <w:rPr>
                <w:rFonts w:ascii="Palatino Linotype" w:eastAsia="Palatino Linotype" w:hAnsi="Palatino Linotype" w:cs="Palatino Linotype"/>
                <w:sz w:val="20"/>
                <w:szCs w:val="20"/>
              </w:rPr>
              <w:t xml:space="preserve"> Ratifica </w:t>
            </w:r>
          </w:p>
        </w:tc>
        <w:tc>
          <w:tcPr>
            <w:tcW w:w="97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Sí</w:t>
            </w:r>
          </w:p>
        </w:tc>
      </w:tr>
      <w:tr w:rsidR="001670A2" w:rsidRPr="00AB23E8">
        <w:trPr>
          <w:trHeight w:val="420"/>
        </w:trPr>
        <w:tc>
          <w:tcPr>
            <w:tcW w:w="81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lastRenderedPageBreak/>
              <w:t>4b</w:t>
            </w:r>
          </w:p>
        </w:tc>
        <w:tc>
          <w:tcPr>
            <w:tcW w:w="268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vii.Especificar el ingreso recaudado por lo establecido en la fracción I </w:t>
            </w:r>
            <w:r w:rsidRPr="00AB23E8">
              <w:rPr>
                <w:rFonts w:ascii="Palatino Linotype" w:eastAsia="Palatino Linotype" w:hAnsi="Palatino Linotype" w:cs="Palatino Linotype"/>
                <w:sz w:val="20"/>
                <w:szCs w:val="20"/>
              </w:rPr>
              <w:lastRenderedPageBreak/>
              <w:t xml:space="preserve">del artículo 154 del Código Financiero del Estado de México y Municipios por cada uno de los siguientes rubros: 1. Tianguis </w:t>
            </w: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2. Ferias, bazares o ferias de temporadas que se instalan periódicamente dentro del territorio municipal por cada uno de los años a partir del 2011 al 2021.</w:t>
            </w:r>
          </w:p>
        </w:tc>
        <w:tc>
          <w:tcPr>
            <w:tcW w:w="339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 xml:space="preserve">TESORERÍA: </w:t>
            </w:r>
            <w:r w:rsidRPr="00AB23E8">
              <w:rPr>
                <w:rFonts w:ascii="Palatino Linotype" w:eastAsia="Palatino Linotype" w:hAnsi="Palatino Linotype" w:cs="Palatino Linotype"/>
                <w:sz w:val="20"/>
                <w:szCs w:val="20"/>
              </w:rPr>
              <w:t xml:space="preserve">3 y 4 por lo que hace a los ingresos por los conceptos mencionados le informo que de </w:t>
            </w:r>
            <w:r w:rsidRPr="00AB23E8">
              <w:rPr>
                <w:rFonts w:ascii="Palatino Linotype" w:eastAsia="Palatino Linotype" w:hAnsi="Palatino Linotype" w:cs="Palatino Linotype"/>
                <w:sz w:val="20"/>
                <w:szCs w:val="20"/>
              </w:rPr>
              <w:lastRenderedPageBreak/>
              <w:t>conformidad con el artículo 92 fracción XLVII de la LTAIPEMyM: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…XLVII. Los ingresos recibidos por cualquier concepto señalando el nombre de los responsables de recibirlos, administrarlos y ejercerlos, indicando el destino de cada uno de ellos; De lo anterior se desprende que es al ser una información de Transparencia dicha información se encuentra publicada en el siguiente link, para los ejercicios fiscales 2018,2019, 2020 y 2021. https://ipomex.org.mx/ipo3/lgt/indice/CUAUTITLANIZCALLI/art_92_xlvii_a.web?token=03AGdBq27X4Ew6KlVDHzJO6sNYSquwHY070v5an_RK6fMLf5y051DnPiBEckNzzizSYnZx-siXYY3FyaVp5-hkSq8pnwB6LFIMCOz1y7jm1RfxlUGveqscnmcZ_8fk1M-Bc2mGV7o23afdz_PEo989M39e1EiSbytia2g6zrWo1VB8zgiRlB47ySpAU6I59TJDpJ6up2tVzb0s3Xqlcrlh244BX_shJjnCWz9vKj5yR56aYxlJl4Sqol</w:t>
            </w:r>
            <w:r w:rsidRPr="00AB23E8">
              <w:rPr>
                <w:rFonts w:ascii="Palatino Linotype" w:eastAsia="Palatino Linotype" w:hAnsi="Palatino Linotype" w:cs="Palatino Linotype"/>
                <w:sz w:val="20"/>
                <w:szCs w:val="20"/>
              </w:rPr>
              <w:lastRenderedPageBreak/>
              <w:t>6YRGT01Dg9GuamufifZbKnDqQaRp1Jb8x3vf1FyjnRduKiC9COFWZnpv8IfQPNlouTeMzB01jmQEDluM5K3jVw0Gh3EpKewL0UKmFTmZKV_eLgDCzSqrn4h9XKp7e9cEJlP_3dlPAETqIXsuSaF8NZxWQwtlbgKxrJJeOTFbWC_MAklpQoSiLkrlQUfMmm5I6S4eK4YwqLCqSESGSU Le informo que, este sujeto obligado no resguarda la información a nivel detalle como lo solicita, sin embargo en aras de privilegiar la Transparencia y la máxima publicidad, de conformidad con la información que obra en los archivos de la Subtesorería de Ingresos y la Subtesorería de Contabilidad "sírvase encontrar adjuntos en formato PDF los documentos denominados “Estados comparativos presupuestales de ingresos detallados” correspondientes a los ejercicios fiscales 2011, 2012, 2013, 2014, 2015, 2016, 2017, 2018, 2019, 2020 y 2021 generados del Sistema de Contabilidad Interno del Municipio de Cuautitlán Izcalli en donde podrá visualizar los ingresos que recibió el municipio durante los periodos mencionados de acuerdo al Código Financiero del Estado de México y Municipios.</w:t>
            </w:r>
          </w:p>
        </w:tc>
        <w:tc>
          <w:tcPr>
            <w:tcW w:w="193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TESORERÍA:</w:t>
            </w:r>
            <w:r w:rsidRPr="00AB23E8">
              <w:rPr>
                <w:rFonts w:ascii="Palatino Linotype" w:eastAsia="Palatino Linotype" w:hAnsi="Palatino Linotype" w:cs="Palatino Linotype"/>
                <w:sz w:val="20"/>
                <w:szCs w:val="20"/>
              </w:rPr>
              <w:t xml:space="preserve"> Ratifica </w:t>
            </w:r>
          </w:p>
        </w:tc>
        <w:tc>
          <w:tcPr>
            <w:tcW w:w="97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Sí </w:t>
            </w:r>
          </w:p>
        </w:tc>
      </w:tr>
      <w:tr w:rsidR="001670A2" w:rsidRPr="00AB23E8">
        <w:trPr>
          <w:trHeight w:val="420"/>
        </w:trPr>
        <w:tc>
          <w:tcPr>
            <w:tcW w:w="81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lastRenderedPageBreak/>
              <w:t>4b</w:t>
            </w:r>
          </w:p>
        </w:tc>
        <w:tc>
          <w:tcPr>
            <w:tcW w:w="268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viii.Especificar, ¿Cuál fue el ingreso recaudado por los Derechos de estacionamientos en vía </w:t>
            </w:r>
            <w:r w:rsidRPr="00AB23E8">
              <w:rPr>
                <w:rFonts w:ascii="Palatino Linotype" w:eastAsia="Palatino Linotype" w:hAnsi="Palatino Linotype" w:cs="Palatino Linotype"/>
                <w:sz w:val="20"/>
                <w:szCs w:val="20"/>
              </w:rPr>
              <w:lastRenderedPageBreak/>
              <w:t xml:space="preserve">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w:t>
            </w:r>
          </w:p>
        </w:tc>
        <w:tc>
          <w:tcPr>
            <w:tcW w:w="339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 xml:space="preserve">TESORERÍA: </w:t>
            </w:r>
            <w:r w:rsidRPr="00AB23E8">
              <w:rPr>
                <w:rFonts w:ascii="Palatino Linotype" w:eastAsia="Palatino Linotype" w:hAnsi="Palatino Linotype" w:cs="Palatino Linotype"/>
                <w:sz w:val="20"/>
                <w:szCs w:val="20"/>
              </w:rPr>
              <w:t xml:space="preserve">3 y 4 por lo que hace a los ingresos por los conceptos mencionados le informo que de conformidad con el artículo 92 </w:t>
            </w:r>
            <w:r w:rsidRPr="00AB23E8">
              <w:rPr>
                <w:rFonts w:ascii="Palatino Linotype" w:eastAsia="Palatino Linotype" w:hAnsi="Palatino Linotype" w:cs="Palatino Linotype"/>
                <w:sz w:val="20"/>
                <w:szCs w:val="20"/>
              </w:rPr>
              <w:lastRenderedPageBreak/>
              <w:t>fracción XLVII de la LTAIPEMyM: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…XLVII. Los ingresos recibidos por cualquier concepto señalando el nombre de los responsables de recibirlos, administrarlos y ejercerlos, indicando el destino de cada uno de ellos; De lo anterior se desprende que es al ser una información de Transparencia dicha información se encuentra publicada en el siguiente link, para los ejercicios fiscales 2018,2019, 2020 y 2021. https://ipomex.org.mx/ipo3/lgt/indice/CUAUTITLANIZCALLI/art_92_xlvii_a.web?token=03AGdBq27X4Ew6KlVDHzJO6sNYSquwHY070v5an_RK6fMLf5y051DnPiBEckNzzizSYnZx-siXYY3FyaVp5-hkSq8pnwB6LFIMCOz1y7jm1RfxlUGveqscnmcZ_8fk1M-Bc2mGV7o23afdz_PEo989M39e1EiSbytia2g6zrWo1VB8zgiRlB47ySpAU6I59TJDpJ6up2tVzb0s3Xqlcrlh244BX_shJjnCWz9vKj5yR56aYxlJl4Sqol6YRGT01Dg9GuamufifZbKnDqQa</w:t>
            </w:r>
            <w:r w:rsidRPr="00AB23E8">
              <w:rPr>
                <w:rFonts w:ascii="Palatino Linotype" w:eastAsia="Palatino Linotype" w:hAnsi="Palatino Linotype" w:cs="Palatino Linotype"/>
                <w:sz w:val="20"/>
                <w:szCs w:val="20"/>
              </w:rPr>
              <w:lastRenderedPageBreak/>
              <w:t>Rp1Jb8x3vf1FyjnRduKiC9COFWZnpv8IfQPNlouTeMzB01jmQEDluM5K3jVw0Gh3EpKewL0UKmFTmZKV_eLgDCzSqrn4h9XKp7e9cEJlP_3dlPAETqIXsuSaF8NZxWQwtlbgKxrJJeOTFbWC_MAklpQoSiLkrlQUfMmm5I6S4eK4YwqLCqSESGSU Le informo que, este sujeto obligado no resguarda la información a nivel detalle como lo solicita, sin embargo en aras de privilegiar la Transparencia y la máxima publicidad, de conformidad con la información que obra en los archivos de la Subtesorería de Ingresos y la Subtesorería de Contabilidad "sírvase encontrar adjuntos en formato PDF los documentos denominados “Estados comparativos presupuestales de ingresos detallados” correspondientes a los ejercicios fiscales 2011, 2012, 2013, 2014, 2015, 2016, 2017, 2018, 2019, 2020 y 2021 generados del Sistema de Contabilidad Interno del Municipio de Cuautitlán Izcalli en donde podrá visualizar los ingresos que recibió el municipio durante los periodos mencionados de acuerdo al Código Financiero del Estado de México y Municipios.</w:t>
            </w:r>
          </w:p>
        </w:tc>
        <w:tc>
          <w:tcPr>
            <w:tcW w:w="193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TESORERÍA:</w:t>
            </w:r>
            <w:r w:rsidRPr="00AB23E8">
              <w:rPr>
                <w:rFonts w:ascii="Palatino Linotype" w:eastAsia="Palatino Linotype" w:hAnsi="Palatino Linotype" w:cs="Palatino Linotype"/>
                <w:sz w:val="20"/>
                <w:szCs w:val="20"/>
              </w:rPr>
              <w:t xml:space="preserve"> Ratifica </w:t>
            </w:r>
          </w:p>
        </w:tc>
        <w:tc>
          <w:tcPr>
            <w:tcW w:w="97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Sí </w:t>
            </w:r>
          </w:p>
        </w:tc>
      </w:tr>
      <w:tr w:rsidR="001670A2" w:rsidRPr="00AB23E8">
        <w:trPr>
          <w:trHeight w:val="420"/>
        </w:trPr>
        <w:tc>
          <w:tcPr>
            <w:tcW w:w="81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lastRenderedPageBreak/>
              <w:t>4b</w:t>
            </w:r>
          </w:p>
        </w:tc>
        <w:tc>
          <w:tcPr>
            <w:tcW w:w="268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 viii. ¿Cuál es el Número de cajones autorizados para la prestación de servicios, de sitios de taxis o bases de servicio público de </w:t>
            </w:r>
            <w:r w:rsidRPr="00AB23E8">
              <w:rPr>
                <w:rFonts w:ascii="Palatino Linotype" w:eastAsia="Palatino Linotype" w:hAnsi="Palatino Linotype" w:cs="Palatino Linotype"/>
                <w:sz w:val="20"/>
                <w:szCs w:val="20"/>
              </w:rPr>
              <w:lastRenderedPageBreak/>
              <w:t>transporte de pasajeros?</w:t>
            </w:r>
          </w:p>
        </w:tc>
        <w:tc>
          <w:tcPr>
            <w:tcW w:w="339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DESARROLLO ECONÓMICO</w:t>
            </w:r>
            <w:r w:rsidRPr="00AB23E8">
              <w:rPr>
                <w:rFonts w:ascii="Palatino Linotype" w:eastAsia="Palatino Linotype" w:hAnsi="Palatino Linotype" w:cs="Palatino Linotype"/>
                <w:sz w:val="20"/>
                <w:szCs w:val="20"/>
              </w:rPr>
              <w:t xml:space="preserve">: Esta dependencia solo emite permisos de funcionamiento para estacionamientos de servicio al público que proporcionen el </w:t>
            </w:r>
            <w:r w:rsidRPr="00AB23E8">
              <w:rPr>
                <w:rFonts w:ascii="Palatino Linotype" w:eastAsia="Palatino Linotype" w:hAnsi="Palatino Linotype" w:cs="Palatino Linotype"/>
                <w:sz w:val="20"/>
                <w:szCs w:val="20"/>
              </w:rPr>
              <w:lastRenderedPageBreak/>
              <w:t xml:space="preserve">servicio de recepción guarda y protección de vehículos en Establecimientos construidos expresamente para tal fin; Centros comerciales y Espacios habilitados de manera eventual, en el que establecen que la Dirección General de Desarrollo Económico, cumplidos los requisitos expedirá el permiso correspondiente especificando la clasificación del estacionamiento, el número de cajones autorizados y el horario de funcionamiento.  </w:t>
            </w:r>
          </w:p>
        </w:tc>
        <w:tc>
          <w:tcPr>
            <w:tcW w:w="193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 xml:space="preserve">DESARROLLO ECONÓMICO: </w:t>
            </w:r>
            <w:r w:rsidRPr="00AB23E8">
              <w:rPr>
                <w:rFonts w:ascii="Palatino Linotype" w:eastAsia="Palatino Linotype" w:hAnsi="Palatino Linotype" w:cs="Palatino Linotype"/>
                <w:sz w:val="20"/>
                <w:szCs w:val="20"/>
              </w:rPr>
              <w:t>Ratifica</w:t>
            </w:r>
          </w:p>
        </w:tc>
        <w:tc>
          <w:tcPr>
            <w:tcW w:w="97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Si ya que corresponde a cada </w:t>
            </w:r>
            <w:r w:rsidRPr="00AB23E8">
              <w:rPr>
                <w:rFonts w:ascii="Palatino Linotype" w:eastAsia="Palatino Linotype" w:hAnsi="Palatino Linotype" w:cs="Palatino Linotype"/>
                <w:sz w:val="20"/>
                <w:szCs w:val="20"/>
              </w:rPr>
              <w:lastRenderedPageBreak/>
              <w:t xml:space="preserve">caso en específico. </w:t>
            </w:r>
          </w:p>
        </w:tc>
      </w:tr>
      <w:tr w:rsidR="001670A2" w:rsidRPr="00AB23E8">
        <w:trPr>
          <w:trHeight w:val="420"/>
        </w:trPr>
        <w:tc>
          <w:tcPr>
            <w:tcW w:w="81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lastRenderedPageBreak/>
              <w:t>4b</w:t>
            </w:r>
          </w:p>
        </w:tc>
        <w:tc>
          <w:tcPr>
            <w:tcW w:w="268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ix.Especificar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w:t>
            </w: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1. Comercio establecido pago de cajones para carga y descarga</w:t>
            </w:r>
          </w:p>
          <w:p w:rsidR="001670A2" w:rsidRPr="00AB23E8" w:rsidRDefault="001670A2">
            <w:pPr>
              <w:widowControl w:val="0"/>
              <w:rPr>
                <w:rFonts w:ascii="Palatino Linotype" w:eastAsia="Palatino Linotype" w:hAnsi="Palatino Linotype" w:cs="Palatino Linotype"/>
                <w:sz w:val="20"/>
                <w:szCs w:val="20"/>
              </w:rPr>
            </w:pP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2. Empresas repartidoras pago de cajones para carga y descarga a. Padrón de las empresas Jurídicas colectivas (Morales) que pagan autorizaciones de </w:t>
            </w:r>
            <w:r w:rsidRPr="00AB23E8">
              <w:rPr>
                <w:rFonts w:ascii="Palatino Linotype" w:eastAsia="Palatino Linotype" w:hAnsi="Palatino Linotype" w:cs="Palatino Linotype"/>
                <w:sz w:val="20"/>
                <w:szCs w:val="20"/>
              </w:rPr>
              <w:lastRenderedPageBreak/>
              <w:t>carga y descarga en vía pública</w:t>
            </w:r>
          </w:p>
        </w:tc>
        <w:tc>
          <w:tcPr>
            <w:tcW w:w="339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DESARROLLO ECONÓMICO</w:t>
            </w:r>
            <w:r w:rsidRPr="00AB23E8">
              <w:rPr>
                <w:rFonts w:ascii="Palatino Linotype" w:eastAsia="Palatino Linotype" w:hAnsi="Palatino Linotype" w:cs="Palatino Linotype"/>
                <w:sz w:val="20"/>
                <w:szCs w:val="20"/>
              </w:rPr>
              <w:t xml:space="preserve">: Esta dependencia solo emite permisos de funcionamiento para estacionamientos de servicio al público que proporcionen el servicio de recepción guarda y protección de vehículos en Establecimientos construidos expresamente para tal fin; Centros comerciales y Espacios habilitados de manera eventual, en el que establecen que la Dirección General de Desarrollo Económico, cumplidos los requisitos expedirá el permiso correspondiente especificando la clasificación del estacionamiento, el número de cajones autorizados y el horario de funcionamiento. </w:t>
            </w:r>
          </w:p>
          <w:p w:rsidR="001670A2" w:rsidRPr="00AB23E8" w:rsidRDefault="001670A2">
            <w:pPr>
              <w:widowControl w:val="0"/>
              <w:rPr>
                <w:rFonts w:ascii="Palatino Linotype" w:eastAsia="Palatino Linotype" w:hAnsi="Palatino Linotype" w:cs="Palatino Linotype"/>
                <w:sz w:val="20"/>
                <w:szCs w:val="20"/>
              </w:rPr>
            </w:pP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2. Se hace saber que en fecha 5 de febrero de 2022, se publicó el Bando Municipal de Cuatitlán Izcalli que </w:t>
            </w:r>
            <w:r w:rsidRPr="00AB23E8">
              <w:rPr>
                <w:rFonts w:ascii="Palatino Linotype" w:eastAsia="Palatino Linotype" w:hAnsi="Palatino Linotype" w:cs="Palatino Linotype"/>
                <w:sz w:val="20"/>
                <w:szCs w:val="20"/>
              </w:rPr>
              <w:lastRenderedPageBreak/>
              <w:t xml:space="preserve">en su artículo 46 fracción IV, faculta a la Dirección de Desarrollo Económico expedir los permisos de carga y descarga, a los particulares que lo soliciten; al respecto, es menester hacerle de su conocimiento que es una nueva facultad que se incorpora a esta Dependencia y nos encontramos en espera de que la Dirección de Desarrollo Urbano nos entregue la información con la que cuenta. </w:t>
            </w:r>
          </w:p>
          <w:p w:rsidR="001670A2" w:rsidRPr="00AB23E8" w:rsidRDefault="001670A2">
            <w:pPr>
              <w:widowControl w:val="0"/>
              <w:rPr>
                <w:rFonts w:ascii="Palatino Linotype" w:eastAsia="Palatino Linotype" w:hAnsi="Palatino Linotype" w:cs="Palatino Linotype"/>
                <w:sz w:val="20"/>
                <w:szCs w:val="20"/>
              </w:rPr>
            </w:pP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t xml:space="preserve">DESARROLLO URBANO: </w:t>
            </w:r>
            <w:r w:rsidRPr="00AB23E8">
              <w:rPr>
                <w:rFonts w:ascii="Palatino Linotype" w:eastAsia="Palatino Linotype" w:hAnsi="Palatino Linotype" w:cs="Palatino Linotype"/>
                <w:sz w:val="20"/>
                <w:szCs w:val="20"/>
              </w:rPr>
              <w:t xml:space="preserve">Por lo que respecta a si se cuenta con un Padrón de las Empresas Jurídicas Colectivas que pagan autorizaciones de carga y descargar vía pública, se informa que conforme a lo dispuesto en el Bando Municipal vigente la dependencia encargada de expedir los permisos de carga y descarga para particulares, es la Dirección de Desarrollo Económico… </w:t>
            </w: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No se omite precisar que antes del inicio de la presente administración municipal, la dependencia encargada de la expedición de los permisos de carga y descarga, era </w:t>
            </w:r>
            <w:r w:rsidRPr="00AB23E8">
              <w:rPr>
                <w:rFonts w:ascii="Palatino Linotype" w:eastAsia="Palatino Linotype" w:hAnsi="Palatino Linotype" w:cs="Palatino Linotype"/>
                <w:b/>
                <w:sz w:val="20"/>
                <w:szCs w:val="20"/>
              </w:rPr>
              <w:t>la entonces Dirección General de Desarrollo Metropolitano, la cual conforme a las atribuciones que le eran propias, no tenía la obligación de contar con un Padrón de las empresas solicitantes en la tramitación de estos permisos</w:t>
            </w:r>
            <w:r w:rsidRPr="00AB23E8">
              <w:rPr>
                <w:rFonts w:ascii="Palatino Linotype" w:eastAsia="Palatino Linotype" w:hAnsi="Palatino Linotype" w:cs="Palatino Linotype"/>
                <w:sz w:val="20"/>
                <w:szCs w:val="20"/>
              </w:rPr>
              <w:t>”</w:t>
            </w:r>
          </w:p>
          <w:p w:rsidR="001670A2" w:rsidRPr="00AB23E8" w:rsidRDefault="001670A2">
            <w:pPr>
              <w:widowControl w:val="0"/>
              <w:rPr>
                <w:rFonts w:ascii="Palatino Linotype" w:eastAsia="Palatino Linotype" w:hAnsi="Palatino Linotype" w:cs="Palatino Linotype"/>
                <w:sz w:val="20"/>
                <w:szCs w:val="20"/>
              </w:rPr>
            </w:pPr>
          </w:p>
          <w:p w:rsidR="001670A2" w:rsidRPr="00AB23E8" w:rsidRDefault="001670A2">
            <w:pPr>
              <w:widowControl w:val="0"/>
              <w:rPr>
                <w:rFonts w:ascii="Palatino Linotype" w:eastAsia="Palatino Linotype" w:hAnsi="Palatino Linotype" w:cs="Palatino Linotype"/>
                <w:sz w:val="20"/>
                <w:szCs w:val="20"/>
              </w:rPr>
            </w:pPr>
          </w:p>
        </w:tc>
        <w:tc>
          <w:tcPr>
            <w:tcW w:w="193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 xml:space="preserve">DESARROLLO ECONÓMICO: </w:t>
            </w:r>
            <w:r w:rsidRPr="00AB23E8">
              <w:rPr>
                <w:rFonts w:ascii="Palatino Linotype" w:eastAsia="Palatino Linotype" w:hAnsi="Palatino Linotype" w:cs="Palatino Linotype"/>
                <w:sz w:val="20"/>
                <w:szCs w:val="20"/>
              </w:rPr>
              <w:t>Ratifica</w:t>
            </w:r>
          </w:p>
        </w:tc>
        <w:tc>
          <w:tcPr>
            <w:tcW w:w="97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Parcial </w:t>
            </w:r>
          </w:p>
        </w:tc>
      </w:tr>
      <w:tr w:rsidR="001670A2" w:rsidRPr="00AB23E8">
        <w:trPr>
          <w:trHeight w:val="420"/>
        </w:trPr>
        <w:tc>
          <w:tcPr>
            <w:tcW w:w="81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lastRenderedPageBreak/>
              <w:t>4b</w:t>
            </w:r>
          </w:p>
        </w:tc>
        <w:tc>
          <w:tcPr>
            <w:tcW w:w="268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x.Especificar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w:t>
            </w:r>
          </w:p>
        </w:tc>
        <w:tc>
          <w:tcPr>
            <w:tcW w:w="339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t>DESARROLLO ECONÓMICO</w:t>
            </w:r>
            <w:r w:rsidRPr="00AB23E8">
              <w:rPr>
                <w:rFonts w:ascii="Palatino Linotype" w:eastAsia="Palatino Linotype" w:hAnsi="Palatino Linotype" w:cs="Palatino Linotype"/>
                <w:sz w:val="20"/>
                <w:szCs w:val="20"/>
              </w:rPr>
              <w:t xml:space="preserve">: Esta dependencia solo emite permisos de funcionamiento para estacionamientos de servicio al público que proporcionen el servicio de recepción guarda y protección de vehículos en Establecimientos construidos expresamente para tal fin; Centros comerciales y Espacios habilitados de manera eventual, en el que establecen que la Dirección General de Desarrollo Económico, cumplidos los requisitos expedirá el permiso correspondiente especificando la clasificación del estacionamiento, el número de cajones autorizados y el horario de funcionamiento.  </w:t>
            </w:r>
          </w:p>
        </w:tc>
        <w:tc>
          <w:tcPr>
            <w:tcW w:w="193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t xml:space="preserve">DESARROLLO ECONÓMICO: </w:t>
            </w:r>
            <w:r w:rsidRPr="00AB23E8">
              <w:rPr>
                <w:rFonts w:ascii="Palatino Linotype" w:eastAsia="Palatino Linotype" w:hAnsi="Palatino Linotype" w:cs="Palatino Linotype"/>
                <w:sz w:val="20"/>
                <w:szCs w:val="20"/>
              </w:rPr>
              <w:t>Ratifica</w:t>
            </w:r>
          </w:p>
        </w:tc>
        <w:tc>
          <w:tcPr>
            <w:tcW w:w="97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Sí</w:t>
            </w:r>
          </w:p>
        </w:tc>
      </w:tr>
      <w:tr w:rsidR="001670A2" w:rsidRPr="00AB23E8">
        <w:trPr>
          <w:trHeight w:val="420"/>
        </w:trPr>
        <w:tc>
          <w:tcPr>
            <w:tcW w:w="81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4b</w:t>
            </w:r>
          </w:p>
        </w:tc>
        <w:tc>
          <w:tcPr>
            <w:tcW w:w="268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xi.Especificar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w:t>
            </w:r>
            <w:r w:rsidRPr="00AB23E8">
              <w:rPr>
                <w:rFonts w:ascii="Palatino Linotype" w:eastAsia="Palatino Linotype" w:hAnsi="Palatino Linotype" w:cs="Palatino Linotype"/>
                <w:sz w:val="20"/>
                <w:szCs w:val="20"/>
              </w:rPr>
              <w:lastRenderedPageBreak/>
              <w:t>Colectivas pagan el Derecho de refrendo por cada inciso del A) a la G)? y ¿cuántos pagan dos o más Derechos establecidos en el artículo 159 fracción I del Código Financiero del Estado de México y Municipios?.</w:t>
            </w:r>
          </w:p>
        </w:tc>
        <w:tc>
          <w:tcPr>
            <w:tcW w:w="339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b/>
                <w:sz w:val="20"/>
                <w:szCs w:val="20"/>
              </w:rPr>
            </w:pPr>
            <w:r w:rsidRPr="00AB23E8">
              <w:rPr>
                <w:rFonts w:ascii="Palatino Linotype" w:eastAsia="Palatino Linotype" w:hAnsi="Palatino Linotype" w:cs="Palatino Linotype"/>
                <w:b/>
                <w:sz w:val="20"/>
                <w:szCs w:val="20"/>
              </w:rPr>
              <w:lastRenderedPageBreak/>
              <w:t>DESARROLLO ECONÓMICO</w:t>
            </w:r>
            <w:r w:rsidRPr="00AB23E8">
              <w:rPr>
                <w:rFonts w:ascii="Palatino Linotype" w:eastAsia="Palatino Linotype" w:hAnsi="Palatino Linotype" w:cs="Palatino Linotype"/>
                <w:sz w:val="20"/>
                <w:szCs w:val="20"/>
              </w:rPr>
              <w:t xml:space="preserve">: La dirección de Desarrollo Económico a través del Departamento de Licencias de Funcionamiento emite la orden de pago correspondiente, por los derechos, por la expedición o refrendo anual para vender bebidas alcohólicas al público en botella cerrada, o al copeo en general, en establecimientos comerciales, de servicios o de diversión y espectáculos públicos, estipulado en el artículo 159 del Código Financiero del Estados de México y Municipios, basándose en el análisis de la información que </w:t>
            </w:r>
            <w:r w:rsidRPr="00AB23E8">
              <w:rPr>
                <w:rFonts w:ascii="Palatino Linotype" w:eastAsia="Palatino Linotype" w:hAnsi="Palatino Linotype" w:cs="Palatino Linotype"/>
                <w:sz w:val="20"/>
                <w:szCs w:val="20"/>
              </w:rPr>
              <w:lastRenderedPageBreak/>
              <w:t>obra en sus archivos, de la cual se desprende que: (Anexa cuadro de órdenes de pago elaboradas en los años 2016, 2017, 2018, 2019, 2020 y 2021)</w:t>
            </w:r>
          </w:p>
          <w:p w:rsidR="001670A2" w:rsidRPr="00AB23E8" w:rsidRDefault="001670A2">
            <w:pPr>
              <w:widowControl w:val="0"/>
              <w:rPr>
                <w:rFonts w:ascii="Palatino Linotype" w:eastAsia="Palatino Linotype" w:hAnsi="Palatino Linotype" w:cs="Palatino Linotype"/>
                <w:b/>
                <w:sz w:val="20"/>
                <w:szCs w:val="20"/>
              </w:rPr>
            </w:pPr>
          </w:p>
          <w:p w:rsidR="001670A2" w:rsidRPr="00AB23E8" w:rsidRDefault="001670A2">
            <w:pPr>
              <w:widowControl w:val="0"/>
              <w:rPr>
                <w:rFonts w:ascii="Palatino Linotype" w:eastAsia="Palatino Linotype" w:hAnsi="Palatino Linotype" w:cs="Palatino Linotype"/>
                <w:b/>
                <w:sz w:val="20"/>
                <w:szCs w:val="20"/>
              </w:rPr>
            </w:pP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 </w:t>
            </w:r>
          </w:p>
        </w:tc>
        <w:tc>
          <w:tcPr>
            <w:tcW w:w="193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 xml:space="preserve">DESARROLLO ECONÓMICO: </w:t>
            </w:r>
            <w:r w:rsidRPr="00AB23E8">
              <w:rPr>
                <w:rFonts w:ascii="Palatino Linotype" w:eastAsia="Palatino Linotype" w:hAnsi="Palatino Linotype" w:cs="Palatino Linotype"/>
                <w:sz w:val="20"/>
                <w:szCs w:val="20"/>
              </w:rPr>
              <w:t xml:space="preserve">Ratifica </w:t>
            </w:r>
          </w:p>
        </w:tc>
        <w:tc>
          <w:tcPr>
            <w:tcW w:w="97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Sí </w:t>
            </w: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anexo </w:t>
            </w:r>
          </w:p>
        </w:tc>
      </w:tr>
      <w:tr w:rsidR="001670A2" w:rsidRPr="00AB23E8">
        <w:trPr>
          <w:trHeight w:val="420"/>
        </w:trPr>
        <w:tc>
          <w:tcPr>
            <w:tcW w:w="81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4b</w:t>
            </w:r>
          </w:p>
        </w:tc>
        <w:tc>
          <w:tcPr>
            <w:tcW w:w="268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xii.Especificar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w:t>
            </w:r>
          </w:p>
        </w:tc>
        <w:tc>
          <w:tcPr>
            <w:tcW w:w="339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b/>
                <w:sz w:val="20"/>
                <w:szCs w:val="20"/>
              </w:rPr>
            </w:pPr>
            <w:r w:rsidRPr="00AB23E8">
              <w:rPr>
                <w:rFonts w:ascii="Palatino Linotype" w:eastAsia="Palatino Linotype" w:hAnsi="Palatino Linotype" w:cs="Palatino Linotype"/>
                <w:b/>
                <w:sz w:val="20"/>
                <w:szCs w:val="20"/>
              </w:rPr>
              <w:t>DESARROLLO ECONÓMICO</w:t>
            </w:r>
            <w:r w:rsidRPr="00AB23E8">
              <w:rPr>
                <w:rFonts w:ascii="Palatino Linotype" w:eastAsia="Palatino Linotype" w:hAnsi="Palatino Linotype" w:cs="Palatino Linotype"/>
                <w:sz w:val="20"/>
                <w:szCs w:val="20"/>
              </w:rPr>
              <w:t>: La dirección de Desarrollo Económico a través del Departamento de Licencias de Funcionamiento emite la orden de pago correspondiente, por los derechos, por la expedición o refrendo anual para vender bebidas alcohólicas al público en botella cerrada, o al copeo en general, en establecimientos comerciales, de servicios o de diversión y espectáculos públicos, estipulado en el artículo 159 del Código Financiero del Estados de México y Municipios, basándose en el análisis de la información que obra en sus archivos, de la cual se desprende que: (Anexa cuadro de órdenes de pago elaboradas en los años 2016, 2017, 2018, 2019, 2020 y 2021)</w:t>
            </w:r>
          </w:p>
          <w:p w:rsidR="001670A2" w:rsidRPr="00AB23E8" w:rsidRDefault="001670A2">
            <w:pPr>
              <w:widowControl w:val="0"/>
              <w:rPr>
                <w:rFonts w:ascii="Palatino Linotype" w:eastAsia="Palatino Linotype" w:hAnsi="Palatino Linotype" w:cs="Palatino Linotype"/>
                <w:sz w:val="20"/>
                <w:szCs w:val="20"/>
              </w:rPr>
            </w:pPr>
          </w:p>
        </w:tc>
        <w:tc>
          <w:tcPr>
            <w:tcW w:w="193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t xml:space="preserve">DESARROLLO ECONÓMICO: </w:t>
            </w:r>
            <w:r w:rsidRPr="00AB23E8">
              <w:rPr>
                <w:rFonts w:ascii="Palatino Linotype" w:eastAsia="Palatino Linotype" w:hAnsi="Palatino Linotype" w:cs="Palatino Linotype"/>
                <w:sz w:val="20"/>
                <w:szCs w:val="20"/>
              </w:rPr>
              <w:t>Ratifica</w:t>
            </w:r>
          </w:p>
        </w:tc>
        <w:tc>
          <w:tcPr>
            <w:tcW w:w="97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Sí</w:t>
            </w:r>
          </w:p>
        </w:tc>
      </w:tr>
      <w:tr w:rsidR="001670A2" w:rsidRPr="00AB23E8">
        <w:trPr>
          <w:trHeight w:val="420"/>
        </w:trPr>
        <w:tc>
          <w:tcPr>
            <w:tcW w:w="81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5</w:t>
            </w:r>
          </w:p>
        </w:tc>
        <w:tc>
          <w:tcPr>
            <w:tcW w:w="268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¿El municipio tiene Reglamentos, manuales de operación o lineamientos para la recaudación de los siguientes conceptos?: </w:t>
            </w:r>
          </w:p>
          <w:p w:rsidR="001670A2" w:rsidRPr="00AB23E8" w:rsidRDefault="001670A2">
            <w:pPr>
              <w:widowControl w:val="0"/>
              <w:rPr>
                <w:rFonts w:ascii="Palatino Linotype" w:eastAsia="Palatino Linotype" w:hAnsi="Palatino Linotype" w:cs="Palatino Linotype"/>
                <w:sz w:val="20"/>
                <w:szCs w:val="20"/>
              </w:rPr>
            </w:pP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lastRenderedPageBreak/>
              <w:t>a. Impuestos Publicitarios</w:t>
            </w: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 i. Lineamientos para el desarrollo de las actividades fracciones IV y VI del Artículo 121 del Código Financiero del Estado de México y Municipios</w:t>
            </w:r>
          </w:p>
          <w:p w:rsidR="001670A2" w:rsidRPr="00AB23E8" w:rsidRDefault="001670A2">
            <w:pPr>
              <w:widowControl w:val="0"/>
              <w:rPr>
                <w:rFonts w:ascii="Palatino Linotype" w:eastAsia="Palatino Linotype" w:hAnsi="Palatino Linotype" w:cs="Palatino Linotype"/>
                <w:sz w:val="20"/>
                <w:szCs w:val="20"/>
              </w:rPr>
            </w:pP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b. Impuestos sobre Diversiones, Juegos y Espectáculos </w:t>
            </w:r>
          </w:p>
          <w:p w:rsidR="001670A2" w:rsidRPr="00AB23E8" w:rsidRDefault="001670A2">
            <w:pPr>
              <w:widowControl w:val="0"/>
              <w:rPr>
                <w:rFonts w:ascii="Palatino Linotype" w:eastAsia="Palatino Linotype" w:hAnsi="Palatino Linotype" w:cs="Palatino Linotype"/>
                <w:sz w:val="20"/>
                <w:szCs w:val="20"/>
              </w:rPr>
            </w:pP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c. Derechos de Desarrollo Urbano</w:t>
            </w:r>
          </w:p>
          <w:p w:rsidR="001670A2" w:rsidRPr="00AB23E8" w:rsidRDefault="001670A2">
            <w:pPr>
              <w:widowControl w:val="0"/>
              <w:rPr>
                <w:rFonts w:ascii="Palatino Linotype" w:eastAsia="Palatino Linotype" w:hAnsi="Palatino Linotype" w:cs="Palatino Linotype"/>
                <w:sz w:val="20"/>
                <w:szCs w:val="20"/>
              </w:rPr>
            </w:pP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w:t>
            </w:r>
          </w:p>
          <w:p w:rsidR="001670A2" w:rsidRPr="00AB23E8" w:rsidRDefault="001670A2">
            <w:pPr>
              <w:widowControl w:val="0"/>
              <w:rPr>
                <w:rFonts w:ascii="Palatino Linotype" w:eastAsia="Palatino Linotype" w:hAnsi="Palatino Linotype" w:cs="Palatino Linotype"/>
                <w:sz w:val="20"/>
                <w:szCs w:val="20"/>
              </w:rPr>
            </w:pP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e. Por los Derechos que se les cobran a los sitios de Taxis y bases del transporte público conforme a lo establecido en el artículo 157 último párrafo del Código Financiero del </w:t>
            </w:r>
            <w:r w:rsidRPr="00AB23E8">
              <w:rPr>
                <w:rFonts w:ascii="Palatino Linotype" w:eastAsia="Palatino Linotype" w:hAnsi="Palatino Linotype" w:cs="Palatino Linotype"/>
                <w:sz w:val="20"/>
                <w:szCs w:val="20"/>
              </w:rPr>
              <w:lastRenderedPageBreak/>
              <w:t>Estado de México y Municipios y al artículo 1 Objeto de Ley de la Ley de Movilidad del Estado de México.</w:t>
            </w:r>
          </w:p>
          <w:p w:rsidR="001670A2" w:rsidRPr="00AB23E8" w:rsidRDefault="001670A2">
            <w:pPr>
              <w:widowControl w:val="0"/>
              <w:rPr>
                <w:rFonts w:ascii="Palatino Linotype" w:eastAsia="Palatino Linotype" w:hAnsi="Palatino Linotype" w:cs="Palatino Linotype"/>
                <w:sz w:val="20"/>
                <w:szCs w:val="20"/>
              </w:rPr>
            </w:pP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f. Derechos por la Expedición o Refrendo Anual de Bebidas Alcohólicas al Publico</w:t>
            </w: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 i. Alineados a lo que establece la Ley de Competitividad y Ordenamiento Comercial del Estado de México, El Catálogo Mexiquense de Actividades Industriales, Comerciales y de Servicios de Bajo Riesgo y en materia de salud (COPRISEM).</w:t>
            </w:r>
          </w:p>
          <w:p w:rsidR="001670A2" w:rsidRPr="00AB23E8" w:rsidRDefault="001670A2">
            <w:pPr>
              <w:widowControl w:val="0"/>
              <w:rPr>
                <w:rFonts w:ascii="Palatino Linotype" w:eastAsia="Palatino Linotype" w:hAnsi="Palatino Linotype" w:cs="Palatino Linotype"/>
                <w:sz w:val="20"/>
                <w:szCs w:val="20"/>
              </w:rPr>
            </w:pPr>
          </w:p>
          <w:p w:rsidR="001670A2" w:rsidRPr="00AB23E8" w:rsidRDefault="001670A2">
            <w:pPr>
              <w:widowControl w:val="0"/>
              <w:rPr>
                <w:rFonts w:ascii="Palatino Linotype" w:eastAsia="Palatino Linotype" w:hAnsi="Palatino Linotype" w:cs="Palatino Linotype"/>
                <w:sz w:val="20"/>
                <w:szCs w:val="20"/>
              </w:rPr>
            </w:pPr>
          </w:p>
        </w:tc>
        <w:tc>
          <w:tcPr>
            <w:tcW w:w="3390"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lastRenderedPageBreak/>
              <w:t>TESORERÍA MUNICIPAL</w:t>
            </w:r>
            <w:r w:rsidRPr="00AB23E8">
              <w:rPr>
                <w:rFonts w:ascii="Palatino Linotype" w:eastAsia="Palatino Linotype" w:hAnsi="Palatino Linotype" w:cs="Palatino Linotype"/>
                <w:sz w:val="20"/>
                <w:szCs w:val="20"/>
              </w:rPr>
              <w:t xml:space="preserve">: En relación al punto 5: “le informo que la Tesorería Municipal y las áreas adscritas a la misma recaudan los impuestos, derechos y/o aprovechamientos de conformidad </w:t>
            </w:r>
            <w:r w:rsidRPr="00AB23E8">
              <w:rPr>
                <w:rFonts w:ascii="Palatino Linotype" w:eastAsia="Palatino Linotype" w:hAnsi="Palatino Linotype" w:cs="Palatino Linotype"/>
                <w:sz w:val="20"/>
                <w:szCs w:val="20"/>
              </w:rPr>
              <w:lastRenderedPageBreak/>
              <w:t>con los establecido por el Código Financiero para el Estado de México y Municipios</w:t>
            </w:r>
          </w:p>
          <w:p w:rsidR="001670A2" w:rsidRPr="00AB23E8" w:rsidRDefault="001670A2">
            <w:pPr>
              <w:widowControl w:val="0"/>
              <w:rPr>
                <w:rFonts w:ascii="Palatino Linotype" w:eastAsia="Palatino Linotype" w:hAnsi="Palatino Linotype" w:cs="Palatino Linotype"/>
                <w:sz w:val="20"/>
                <w:szCs w:val="20"/>
              </w:rPr>
            </w:pP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t>NORMATIVIDAD Y CONVENIOS: “</w:t>
            </w:r>
            <w:r w:rsidRPr="00AB23E8">
              <w:rPr>
                <w:rFonts w:ascii="Palatino Linotype" w:eastAsia="Palatino Linotype" w:hAnsi="Palatino Linotype" w:cs="Palatino Linotype"/>
                <w:sz w:val="20"/>
                <w:szCs w:val="20"/>
              </w:rPr>
              <w:t>Se hace de su conocimiento que se cuenta con el Reglamento para la realización de Eventos Públicos en el Municipio de Cuautitlán Izcalli, mismo que es un conjunto de “disposiciones de orden público e interés general y tiene por objeto regular dentro de la competencia municipal, la realización de eventos públicos de concentración masiva, con fines de esparcimiento o convivencia”</w:t>
            </w:r>
          </w:p>
          <w:p w:rsidR="001670A2" w:rsidRPr="00AB23E8" w:rsidRDefault="001670A2">
            <w:pPr>
              <w:widowControl w:val="0"/>
              <w:rPr>
                <w:rFonts w:ascii="Palatino Linotype" w:eastAsia="Palatino Linotype" w:hAnsi="Palatino Linotype" w:cs="Palatino Linotype"/>
                <w:b/>
                <w:sz w:val="20"/>
                <w:szCs w:val="20"/>
              </w:rPr>
            </w:pP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t>DESARROLLO ECONÓMICO:</w:t>
            </w:r>
            <w:r w:rsidRPr="00AB23E8">
              <w:rPr>
                <w:rFonts w:ascii="Palatino Linotype" w:eastAsia="Palatino Linotype" w:hAnsi="Palatino Linotype" w:cs="Palatino Linotype"/>
                <w:sz w:val="20"/>
                <w:szCs w:val="20"/>
              </w:rPr>
              <w:t xml:space="preserve"> “El Ayuntamiento de Cuautitlán Izcalli para el cumplimiento de sus atribuciones observar lo establecido en el Reglamento General de Servicios de Cuautitlán Izcalli, México, el Reglamento Municipal de Procedimientos  Administrativos de Cuautitlán Izcalli y el Bando Municipal 2022 de Cuautitlán Izcalli, en observancia de lo establecido en el Código Financiero del Estado de México, por la expedición y renovación anual de la cédula para puestos fijos, semifijos o comerciales ambulantes, con fundamento en el artículo 11 de la Constitución Política de los Estados Unidos Mexicanos</w:t>
            </w:r>
          </w:p>
          <w:p w:rsidR="001670A2" w:rsidRPr="00AB23E8" w:rsidRDefault="001670A2">
            <w:pPr>
              <w:widowControl w:val="0"/>
              <w:rPr>
                <w:rFonts w:ascii="Palatino Linotype" w:eastAsia="Palatino Linotype" w:hAnsi="Palatino Linotype" w:cs="Palatino Linotype"/>
                <w:sz w:val="20"/>
                <w:szCs w:val="20"/>
              </w:rPr>
            </w:pP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…Pregunta número 5 apartado e (...) Esta Dependencia no emite ninguna orden de pago por este concepto solo emite permisos de funcionamiento para estacionamientos de servicios al público que proporcionen el servicio de recepción, guarda y protección de vehículos en Establecimientos construidos expresamente para tal fin; Centros comerciales y Espacios habilitados de manera eventual.</w:t>
            </w:r>
          </w:p>
          <w:p w:rsidR="001670A2" w:rsidRPr="00AB23E8" w:rsidRDefault="001670A2">
            <w:pPr>
              <w:widowControl w:val="0"/>
              <w:rPr>
                <w:rFonts w:ascii="Palatino Linotype" w:eastAsia="Palatino Linotype" w:hAnsi="Palatino Linotype" w:cs="Palatino Linotype"/>
                <w:sz w:val="20"/>
                <w:szCs w:val="20"/>
              </w:rPr>
            </w:pP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…Pregunta número 5 apartado f, fracción I (...) Esta dependencia para el cumplimiento de sus atribuciones observar lo establecido en el Reglamento General de Servicios de Cuautitlán Izcalli, México, El Reglamento Municipal de Procedimientos Administrativos de Cuautitlán Izcalli y el Bando Municipal 2022 de Cuautitlán Izcalli, en observancia de lo establecido en la Ley de Competitividad y Ordenamiento Comercial del Estado de México; Código Administrativo del Estado de México </w:t>
            </w: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Código de Procedimientos Administrativos del Estado de México y Código Financiero del Estado de México  ”(Sic)</w:t>
            </w:r>
          </w:p>
          <w:p w:rsidR="001670A2" w:rsidRPr="00AB23E8" w:rsidRDefault="001670A2">
            <w:pPr>
              <w:widowControl w:val="0"/>
              <w:rPr>
                <w:rFonts w:ascii="Palatino Linotype" w:eastAsia="Palatino Linotype" w:hAnsi="Palatino Linotype" w:cs="Palatino Linotype"/>
                <w:sz w:val="20"/>
                <w:szCs w:val="20"/>
              </w:rPr>
            </w:pPr>
          </w:p>
          <w:p w:rsidR="001670A2" w:rsidRPr="00AB23E8" w:rsidRDefault="001670A2">
            <w:pPr>
              <w:widowControl w:val="0"/>
              <w:rPr>
                <w:rFonts w:ascii="Palatino Linotype" w:eastAsia="Palatino Linotype" w:hAnsi="Palatino Linotype" w:cs="Palatino Linotype"/>
                <w:sz w:val="20"/>
                <w:szCs w:val="20"/>
              </w:rPr>
            </w:pPr>
          </w:p>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b/>
                <w:sz w:val="20"/>
                <w:szCs w:val="20"/>
              </w:rPr>
              <w:t>DESARROLLO URBANO:</w:t>
            </w:r>
            <w:r w:rsidRPr="00AB23E8">
              <w:rPr>
                <w:rFonts w:ascii="Palatino Linotype" w:eastAsia="Palatino Linotype" w:hAnsi="Palatino Linotype" w:cs="Palatino Linotype"/>
                <w:sz w:val="20"/>
                <w:szCs w:val="20"/>
              </w:rPr>
              <w:t xml:space="preserve"> “En </w:t>
            </w:r>
            <w:r w:rsidRPr="00AB23E8">
              <w:rPr>
                <w:rFonts w:ascii="Palatino Linotype" w:eastAsia="Palatino Linotype" w:hAnsi="Palatino Linotype" w:cs="Palatino Linotype"/>
                <w:sz w:val="20"/>
                <w:szCs w:val="20"/>
              </w:rPr>
              <w:lastRenderedPageBreak/>
              <w:t xml:space="preserve">relación a la pregunta de si el Ayuntamiento cuenta con Reglamentos, Manuales de Operación o lineamientos para la recaudación de derechos en materia de Desarrollo Urbano, se informa que, en la elaboración de Órdenes de Pago, la fundamentación legal para su cobro se basa en lo dispuesto en el Código Financiero del Estado de México y Municipios”. </w:t>
            </w:r>
          </w:p>
        </w:tc>
        <w:tc>
          <w:tcPr>
            <w:tcW w:w="193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lastRenderedPageBreak/>
              <w:t xml:space="preserve"> </w:t>
            </w:r>
            <w:r w:rsidRPr="00AB23E8">
              <w:rPr>
                <w:rFonts w:ascii="Palatino Linotype" w:eastAsia="Palatino Linotype" w:hAnsi="Palatino Linotype" w:cs="Palatino Linotype"/>
                <w:b/>
                <w:sz w:val="20"/>
                <w:szCs w:val="20"/>
              </w:rPr>
              <w:t xml:space="preserve">DESARROLLO ECONÓMICO: </w:t>
            </w:r>
            <w:r w:rsidRPr="00AB23E8">
              <w:rPr>
                <w:rFonts w:ascii="Palatino Linotype" w:eastAsia="Palatino Linotype" w:hAnsi="Palatino Linotype" w:cs="Palatino Linotype"/>
                <w:sz w:val="20"/>
                <w:szCs w:val="20"/>
              </w:rPr>
              <w:t>Ratifica</w:t>
            </w:r>
          </w:p>
        </w:tc>
        <w:tc>
          <w:tcPr>
            <w:tcW w:w="975" w:type="dxa"/>
            <w:shd w:val="clear" w:color="auto" w:fill="auto"/>
            <w:tcMar>
              <w:top w:w="100" w:type="dxa"/>
              <w:left w:w="100" w:type="dxa"/>
              <w:bottom w:w="100" w:type="dxa"/>
              <w:right w:w="100" w:type="dxa"/>
            </w:tcMar>
          </w:tcPr>
          <w:p w:rsidR="001670A2" w:rsidRPr="00AB23E8" w:rsidRDefault="00D53821">
            <w:pPr>
              <w:widowControl w:val="0"/>
              <w:rPr>
                <w:rFonts w:ascii="Palatino Linotype" w:eastAsia="Palatino Linotype" w:hAnsi="Palatino Linotype" w:cs="Palatino Linotype"/>
                <w:sz w:val="20"/>
                <w:szCs w:val="20"/>
              </w:rPr>
            </w:pPr>
            <w:r w:rsidRPr="00AB23E8">
              <w:rPr>
                <w:rFonts w:ascii="Palatino Linotype" w:eastAsia="Palatino Linotype" w:hAnsi="Palatino Linotype" w:cs="Palatino Linotype"/>
                <w:sz w:val="20"/>
                <w:szCs w:val="20"/>
              </w:rPr>
              <w:t xml:space="preserve">Si </w:t>
            </w:r>
          </w:p>
        </w:tc>
      </w:tr>
    </w:tbl>
    <w:p w:rsidR="001670A2" w:rsidRPr="00AB23E8" w:rsidRDefault="00D53821">
      <w:pPr>
        <w:tabs>
          <w:tab w:val="left" w:pos="2422"/>
        </w:tabs>
        <w:spacing w:before="280" w:after="280" w:line="360" w:lineRule="auto"/>
        <w:ind w:right="49"/>
        <w:jc w:val="both"/>
        <w:rPr>
          <w:rFonts w:ascii="Palatino Linotype" w:eastAsia="Palatino Linotype" w:hAnsi="Palatino Linotype" w:cs="Palatino Linotype"/>
          <w:i/>
        </w:rPr>
      </w:pPr>
      <w:r w:rsidRPr="00AB23E8">
        <w:rPr>
          <w:rFonts w:ascii="Palatino Linotype" w:eastAsia="Palatino Linotype" w:hAnsi="Palatino Linotype" w:cs="Palatino Linotype"/>
        </w:rPr>
        <w:lastRenderedPageBreak/>
        <w:t xml:space="preserve">En lo que respecta a </w:t>
      </w:r>
      <w:r w:rsidRPr="00AB23E8">
        <w:rPr>
          <w:rFonts w:ascii="Palatino Linotype" w:eastAsia="Palatino Linotype" w:hAnsi="Palatino Linotype" w:cs="Palatino Linotype"/>
          <w:i/>
        </w:rPr>
        <w:t>“¿Qué monto de los ingresos del municipio son: a. Ingresos propios (de recaudación municipal) i. ¿Cuánto representa del total del presupuesto? ¿A cuánto ascienden los Ingresos provenientes de las partidas presupuestales? i. Federales ii. Estatales iii  ¿Cuál es el porcentaje que representan del total del presupuesto?</w:t>
      </w:r>
    </w:p>
    <w:p w:rsidR="001670A2" w:rsidRPr="00AB23E8" w:rsidRDefault="00D53821">
      <w:pPr>
        <w:tabs>
          <w:tab w:val="left" w:pos="2422"/>
        </w:tabs>
        <w:spacing w:before="280" w:after="280" w:line="360" w:lineRule="auto"/>
        <w:ind w:right="49"/>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Sobre los cuestionamientos anteriores se puede arribar a dos conclusiones. En la primera parte del requerimiento donde se solicitan los ingresos propios del municipio y los provenientes de partidas estatales y federales, el Tesorero Municipal señalo que si bien no cuenta con la información al grado de desagregación solicitado por el particular, si genera documentos en donde se reflejan los ingresos del Municipio por diversos conceptos, refiriendo que al ser información pública de oficio según lo dispuesto por la Ley de Transparencia y Acceso a la Información Pública del Estado de México y Municipios, la misma se puede consultar en la dirección siguiente: </w:t>
      </w:r>
      <w:hyperlink r:id="rId12">
        <w:r w:rsidRPr="00AB23E8">
          <w:rPr>
            <w:rFonts w:ascii="Palatino Linotype" w:eastAsia="Palatino Linotype" w:hAnsi="Palatino Linotype" w:cs="Palatino Linotype"/>
            <w:color w:val="1155CC"/>
            <w:u w:val="single"/>
          </w:rPr>
          <w:t>https://ipomex.org.mx/ipo3/lgt/indice/CUAUTITLANIZCALLI/art_92_xlvii_a.web?token=03AGdBq27X4Ew6KlVDHzJO6sNYSquwHY070v5an_RK6fMLf5y051DnPiBEck</w:t>
        </w:r>
        <w:r w:rsidRPr="00AB23E8">
          <w:rPr>
            <w:rFonts w:ascii="Palatino Linotype" w:eastAsia="Palatino Linotype" w:hAnsi="Palatino Linotype" w:cs="Palatino Linotype"/>
            <w:color w:val="1155CC"/>
            <w:u w:val="single"/>
          </w:rPr>
          <w:lastRenderedPageBreak/>
          <w:t>NzzizSYnZx-siXYY3FyaVp5-hkSq8pnwB6LFIMCOz1y7jm1RfxlUGveqscnmcZ_8fk1M-Bc2mGV7o23afdz_PEo989M39e1EiSbytia2g6zrWo1VB8zgiRlB47ySpAU6I59TJDpJ6up2tVzb0s3Xqlcrlh244BX_shJjnCWz9vKj5yR56aYxlJl4Sqol6YRGT01Dg9GuamufifZbKnDqQaRp1Jb8x3vf1FyjnRduKiC9COFWZnpv8IfQPNlouTeMzB01jmQEDluM5K3jVw0Gh3EpKewL0UKmFTmZKV_eLgDCzSqrn4h9XKp7e9cEJlP_3dlPAETqIXsuSaF8NZxWQwtlbgKxrJJeOTFbWC_MAklpQoSiLkrlQUfMmm5I6S4eK4YwqLCqSESGSU</w:t>
        </w:r>
      </w:hyperlink>
      <w:r w:rsidRPr="00AB23E8">
        <w:rPr>
          <w:rFonts w:ascii="Palatino Linotype" w:eastAsia="Palatino Linotype" w:hAnsi="Palatino Linotype" w:cs="Palatino Linotype"/>
        </w:rPr>
        <w:t xml:space="preserve"> </w:t>
      </w:r>
    </w:p>
    <w:p w:rsidR="001670A2" w:rsidRPr="00AB23E8" w:rsidRDefault="00D53821">
      <w:pPr>
        <w:tabs>
          <w:tab w:val="left" w:pos="7513"/>
        </w:tabs>
        <w:spacing w:before="240" w:after="24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Dirección que fue consultada por esta Ponencia encontrado lo siguiente: </w:t>
      </w:r>
    </w:p>
    <w:p w:rsidR="001670A2" w:rsidRPr="00AB23E8" w:rsidRDefault="00D53821">
      <w:pPr>
        <w:tabs>
          <w:tab w:val="left" w:pos="7513"/>
        </w:tabs>
        <w:spacing w:before="240" w:after="240" w:line="360" w:lineRule="auto"/>
        <w:jc w:val="center"/>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4596448" cy="2129839"/>
            <wp:effectExtent l="0" t="0" r="0" b="0"/>
            <wp:docPr id="49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t="3509" b="21849"/>
                    <a:stretch>
                      <a:fillRect/>
                    </a:stretch>
                  </pic:blipFill>
                  <pic:spPr>
                    <a:xfrm>
                      <a:off x="0" y="0"/>
                      <a:ext cx="4596448" cy="2129839"/>
                    </a:xfrm>
                    <a:prstGeom prst="rect">
                      <a:avLst/>
                    </a:prstGeom>
                    <a:ln/>
                  </pic:spPr>
                </pic:pic>
              </a:graphicData>
            </a:graphic>
          </wp:inline>
        </w:drawing>
      </w:r>
      <w:r w:rsidRPr="00AB23E8">
        <w:rPr>
          <w:rFonts w:ascii="Palatino Linotype" w:eastAsia="Palatino Linotype" w:hAnsi="Palatino Linotype" w:cs="Palatino Linotype"/>
        </w:rPr>
        <w:t xml:space="preserve"> </w:t>
      </w:r>
    </w:p>
    <w:p w:rsidR="001670A2" w:rsidRPr="00AB23E8" w:rsidRDefault="00D53821">
      <w:pPr>
        <w:tabs>
          <w:tab w:val="left" w:pos="2422"/>
        </w:tabs>
        <w:spacing w:before="280" w:after="280" w:line="360" w:lineRule="auto"/>
        <w:ind w:right="49"/>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De la captura de pantalla anterior se observa que la liga electrónica refiere al apartado de información pública de oficio del </w:t>
      </w:r>
      <w:r w:rsidRPr="00AB23E8">
        <w:rPr>
          <w:rFonts w:ascii="Palatino Linotype" w:eastAsia="Palatino Linotype" w:hAnsi="Palatino Linotype" w:cs="Palatino Linotype"/>
          <w:b/>
        </w:rPr>
        <w:t>SUJETO OBLIGADO</w:t>
      </w:r>
      <w:r w:rsidRPr="00AB23E8">
        <w:rPr>
          <w:rFonts w:ascii="Palatino Linotype" w:eastAsia="Palatino Linotype" w:hAnsi="Palatino Linotype" w:cs="Palatino Linotype"/>
        </w:rPr>
        <w:t xml:space="preserve"> donde se aprecian los Ingresos recibidos por cualquier concepto, para los años 2022, 2021, 2019 y 2018. </w:t>
      </w:r>
    </w:p>
    <w:p w:rsidR="001670A2" w:rsidRPr="00AB23E8" w:rsidRDefault="00D53821">
      <w:pPr>
        <w:tabs>
          <w:tab w:val="left" w:pos="2422"/>
        </w:tabs>
        <w:spacing w:before="280" w:after="280" w:line="360" w:lineRule="auto"/>
        <w:ind w:right="49"/>
        <w:jc w:val="both"/>
        <w:rPr>
          <w:rFonts w:ascii="Palatino Linotype" w:eastAsia="Palatino Linotype" w:hAnsi="Palatino Linotype" w:cs="Palatino Linotype"/>
        </w:rPr>
      </w:pPr>
      <w:r w:rsidRPr="00AB23E8">
        <w:rPr>
          <w:rFonts w:ascii="Palatino Linotype" w:eastAsia="Palatino Linotype" w:hAnsi="Palatino Linotype" w:cs="Palatino Linotype"/>
        </w:rPr>
        <w:lastRenderedPageBreak/>
        <w:t>Así bien, dentro de los registros del año 2022 se encuentra el registro denominado “Ingresos propios con base a lo estipulado en la Ley de Ingresos de los Municipios del Estado de México” como se aprecia a continuación:</w:t>
      </w:r>
    </w:p>
    <w:p w:rsidR="001670A2" w:rsidRPr="00AB23E8" w:rsidRDefault="00D53821">
      <w:pPr>
        <w:tabs>
          <w:tab w:val="left" w:pos="2422"/>
        </w:tabs>
        <w:spacing w:before="280" w:after="280" w:line="360" w:lineRule="auto"/>
        <w:ind w:right="49"/>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400675" cy="3286125"/>
            <wp:effectExtent l="0" t="0" r="0" b="0"/>
            <wp:docPr id="49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5400675" cy="3286125"/>
                    </a:xfrm>
                    <a:prstGeom prst="rect">
                      <a:avLst/>
                    </a:prstGeom>
                    <a:ln/>
                  </pic:spPr>
                </pic:pic>
              </a:graphicData>
            </a:graphic>
          </wp:inline>
        </w:drawing>
      </w:r>
    </w:p>
    <w:p w:rsidR="001670A2" w:rsidRPr="00AB23E8" w:rsidRDefault="00D53821">
      <w:pPr>
        <w:tabs>
          <w:tab w:val="left" w:pos="2422"/>
        </w:tabs>
        <w:spacing w:before="280" w:after="280" w:line="360" w:lineRule="auto"/>
        <w:ind w:right="49"/>
        <w:jc w:val="both"/>
        <w:rPr>
          <w:rFonts w:ascii="Palatino Linotype" w:eastAsia="Palatino Linotype" w:hAnsi="Palatino Linotype" w:cs="Palatino Linotype"/>
        </w:rPr>
      </w:pPr>
      <w:r w:rsidRPr="00AB23E8">
        <w:rPr>
          <w:rFonts w:ascii="Palatino Linotype" w:eastAsia="Palatino Linotype" w:hAnsi="Palatino Linotype" w:cs="Palatino Linotype"/>
        </w:rPr>
        <w:t>Por su parte dicho registro contiene un hipervínculo a una tabla donde se reflejan los ingresos propios del Ayuntamiento al tercer trimestre como se puede observar del cuadro siguiente:</w:t>
      </w:r>
    </w:p>
    <w:p w:rsidR="001670A2" w:rsidRPr="00AB23E8" w:rsidRDefault="00D53821">
      <w:pPr>
        <w:tabs>
          <w:tab w:val="left" w:pos="2422"/>
        </w:tabs>
        <w:spacing w:before="280" w:after="280" w:line="360" w:lineRule="auto"/>
        <w:ind w:right="49"/>
        <w:jc w:val="both"/>
        <w:rPr>
          <w:rFonts w:ascii="Palatino Linotype" w:eastAsia="Palatino Linotype" w:hAnsi="Palatino Linotype" w:cs="Palatino Linotype"/>
        </w:rPr>
      </w:pPr>
      <w:r w:rsidRPr="00AB23E8">
        <w:rPr>
          <w:rFonts w:ascii="Palatino Linotype" w:eastAsia="Palatino Linotype" w:hAnsi="Palatino Linotype" w:cs="Palatino Linotype"/>
          <w:noProof/>
        </w:rPr>
        <w:lastRenderedPageBreak/>
        <w:drawing>
          <wp:inline distT="114300" distB="114300" distL="114300" distR="114300">
            <wp:extent cx="5791835" cy="1854200"/>
            <wp:effectExtent l="0" t="0" r="0" b="0"/>
            <wp:docPr id="49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5791835" cy="1854200"/>
                    </a:xfrm>
                    <a:prstGeom prst="rect">
                      <a:avLst/>
                    </a:prstGeom>
                    <a:ln/>
                  </pic:spPr>
                </pic:pic>
              </a:graphicData>
            </a:graphic>
          </wp:inline>
        </w:drawing>
      </w:r>
    </w:p>
    <w:p w:rsidR="001670A2" w:rsidRPr="00AB23E8" w:rsidRDefault="00D53821">
      <w:pPr>
        <w:tabs>
          <w:tab w:val="left" w:pos="2422"/>
        </w:tabs>
        <w:spacing w:before="280" w:after="280" w:line="360" w:lineRule="auto"/>
        <w:ind w:right="49"/>
        <w:jc w:val="both"/>
        <w:rPr>
          <w:rFonts w:ascii="Palatino Linotype" w:eastAsia="Palatino Linotype" w:hAnsi="Palatino Linotype" w:cs="Palatino Linotype"/>
        </w:rPr>
      </w:pPr>
      <w:r w:rsidRPr="00AB23E8">
        <w:rPr>
          <w:rFonts w:ascii="Palatino Linotype" w:eastAsia="Palatino Linotype" w:hAnsi="Palatino Linotype" w:cs="Palatino Linotype"/>
        </w:rPr>
        <w:t>Lo mismo ocurre con los ingresos del primer y segundo trimestre que se encuentran los otros registros publicados dentro del apartado del año 2022.</w:t>
      </w:r>
    </w:p>
    <w:p w:rsidR="001670A2" w:rsidRPr="00AB23E8" w:rsidRDefault="00D53821">
      <w:pPr>
        <w:tabs>
          <w:tab w:val="left" w:pos="2422"/>
        </w:tabs>
        <w:spacing w:before="280" w:after="280" w:line="360" w:lineRule="auto"/>
        <w:ind w:right="49"/>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No obstante, no obra información respecto a las aportaciones federales o estatales, por lo que resulta procedente ordenar su entrega respecto del periodo trascurrido del primero de enero al treinta y uno de diciembre del dos mil veintidós </w:t>
      </w:r>
    </w:p>
    <w:p w:rsidR="001670A2" w:rsidRPr="00AB23E8" w:rsidRDefault="00D53821">
      <w:pPr>
        <w:tabs>
          <w:tab w:val="left" w:pos="2422"/>
        </w:tabs>
        <w:spacing w:before="280" w:after="280" w:line="360" w:lineRule="auto"/>
        <w:ind w:right="49"/>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Por otra parte, en lo relativo al porcentaje solicitado por el particular en ambos requerimientos, se puede observar que lo que </w:t>
      </w:r>
      <w:r w:rsidRPr="00AB23E8">
        <w:rPr>
          <w:rFonts w:ascii="Palatino Linotype" w:eastAsia="Palatino Linotype" w:hAnsi="Palatino Linotype" w:cs="Palatino Linotype"/>
          <w:b/>
        </w:rPr>
        <w:t>EL RECURRENTE</w:t>
      </w:r>
      <w:r w:rsidRPr="00AB23E8">
        <w:rPr>
          <w:rFonts w:ascii="Palatino Linotype" w:eastAsia="Palatino Linotype" w:hAnsi="Palatino Linotype" w:cs="Palatino Linotype"/>
        </w:rPr>
        <w:t xml:space="preserve"> requiere es un pronunciamiento específico que implicaría que </w:t>
      </w:r>
      <w:r w:rsidRPr="00AB23E8">
        <w:rPr>
          <w:rFonts w:ascii="Palatino Linotype" w:eastAsia="Palatino Linotype" w:hAnsi="Palatino Linotype" w:cs="Palatino Linotype"/>
          <w:b/>
        </w:rPr>
        <w:t>EL SUJETO OBLIGADO</w:t>
      </w:r>
      <w:r w:rsidRPr="00AB23E8">
        <w:rPr>
          <w:rFonts w:ascii="Palatino Linotype" w:eastAsia="Palatino Linotype" w:hAnsi="Palatino Linotype" w:cs="Palatino Linotype"/>
        </w:rPr>
        <w:t xml:space="preserve"> lleve a cabo un documento a modo es decir un documento ad hoc, por lo que es importante señalar que los Sujetos Obligados, únicamente deben entregar la información que obre en sus archivos sin procesarla, resumirla, efectuar cálculos o practicar investigaciones, así como lo establece el artículo 12 de la Ley de Transparencia y Acceso a la Información Pública del Estado de México y Municipios, el cual se transcribe a continuación: </w:t>
      </w:r>
    </w:p>
    <w:p w:rsidR="001670A2" w:rsidRPr="00AB23E8" w:rsidRDefault="00D53821">
      <w:pPr>
        <w:spacing w:before="200"/>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lastRenderedPageBreak/>
        <w:t>“</w:t>
      </w:r>
      <w:r w:rsidRPr="00AB23E8">
        <w:rPr>
          <w:rFonts w:ascii="Palatino Linotype" w:eastAsia="Palatino Linotype" w:hAnsi="Palatino Linotype" w:cs="Palatino Linotype"/>
          <w:b/>
          <w:i/>
          <w:sz w:val="22"/>
          <w:szCs w:val="22"/>
        </w:rPr>
        <w:t>Artículo 12</w:t>
      </w:r>
      <w:r w:rsidRPr="00AB23E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1670A2" w:rsidRPr="00AB23E8" w:rsidRDefault="00D53821">
      <w:pPr>
        <w:shd w:val="clear" w:color="auto" w:fill="FFFFFF"/>
        <w:jc w:val="both"/>
      </w:pPr>
      <w:r w:rsidRPr="00AB23E8">
        <w:rPr>
          <w:rFonts w:ascii="Palatino Linotype" w:eastAsia="Palatino Linotype" w:hAnsi="Palatino Linotype" w:cs="Palatino Linotype"/>
          <w:sz w:val="22"/>
          <w:szCs w:val="22"/>
        </w:rPr>
        <w:t> </w:t>
      </w:r>
    </w:p>
    <w:p w:rsidR="001670A2" w:rsidRPr="00AB23E8" w:rsidRDefault="00D53821">
      <w:pPr>
        <w:shd w:val="clear" w:color="auto" w:fill="FFFFFF"/>
        <w:jc w:val="both"/>
        <w:rPr>
          <w:rFonts w:ascii="Palatino Linotype" w:eastAsia="Palatino Linotype" w:hAnsi="Palatino Linotype" w:cs="Palatino Linotype"/>
        </w:rPr>
      </w:pPr>
      <w:r w:rsidRPr="00AB23E8">
        <w:rPr>
          <w:rFonts w:ascii="Palatino Linotype" w:eastAsia="Palatino Linotype" w:hAnsi="Palatino Linotype" w:cs="Palatino Linotype"/>
          <w:sz w:val="22"/>
          <w:szCs w:val="22"/>
        </w:rPr>
        <w:t> </w:t>
      </w:r>
    </w:p>
    <w:p w:rsidR="001670A2" w:rsidRPr="00AB23E8" w:rsidRDefault="00D53821">
      <w:pPr>
        <w:tabs>
          <w:tab w:val="left" w:pos="709"/>
        </w:tabs>
        <w:spacing w:line="360" w:lineRule="auto"/>
        <w:ind w:right="49"/>
        <w:jc w:val="both"/>
        <w:rPr>
          <w:rFonts w:ascii="Palatino Linotype" w:eastAsia="Palatino Linotype" w:hAnsi="Palatino Linotype" w:cs="Palatino Linotype"/>
        </w:rPr>
      </w:pPr>
      <w:r w:rsidRPr="00AB23E8">
        <w:rPr>
          <w:rFonts w:ascii="Palatino Linotype" w:eastAsia="Palatino Linotype" w:hAnsi="Palatino Linotype" w:cs="Palatino Linotype"/>
        </w:rPr>
        <w:t>Ahora bien, es conveniente traer a colación la Ley de Transparencia y Acceso a la Información Pública del Estado de México y Municipios que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1670A2" w:rsidRPr="00AB23E8" w:rsidRDefault="00D53821">
      <w:pPr>
        <w:spacing w:before="240"/>
        <w:ind w:left="709" w:right="760"/>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w:t>
      </w:r>
      <w:r w:rsidRPr="00AB23E8">
        <w:rPr>
          <w:rFonts w:ascii="Palatino Linotype" w:eastAsia="Palatino Linotype" w:hAnsi="Palatino Linotype" w:cs="Palatino Linotype"/>
          <w:b/>
          <w:i/>
          <w:sz w:val="22"/>
          <w:szCs w:val="22"/>
        </w:rPr>
        <w:t>Artículo 4</w:t>
      </w:r>
      <w:r w:rsidRPr="00AB23E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670A2" w:rsidRPr="00AB23E8" w:rsidRDefault="00D53821">
      <w:pPr>
        <w:ind w:left="709" w:right="760"/>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B23E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1670A2" w:rsidRPr="00AB23E8" w:rsidRDefault="00D53821">
      <w:pPr>
        <w:ind w:left="709" w:right="760"/>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Pr="00AB23E8">
        <w:rPr>
          <w:rFonts w:ascii="Palatino Linotype" w:eastAsia="Palatino Linotype" w:hAnsi="Palatino Linotype" w:cs="Palatino Linotype"/>
          <w:i/>
          <w:sz w:val="22"/>
          <w:szCs w:val="22"/>
        </w:rPr>
        <w:t>.”(Sic)</w:t>
      </w:r>
    </w:p>
    <w:p w:rsidR="001670A2" w:rsidRPr="00AB23E8" w:rsidRDefault="001670A2">
      <w:pPr>
        <w:spacing w:line="360" w:lineRule="auto"/>
        <w:ind w:right="-93"/>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hd w:val="clear" w:color="auto" w:fill="FFFFFF"/>
        <w:spacing w:line="360" w:lineRule="auto"/>
        <w:jc w:val="both"/>
        <w:rPr>
          <w:color w:val="0D0D0D"/>
        </w:rPr>
      </w:pPr>
      <w:r w:rsidRPr="00AB23E8">
        <w:rPr>
          <w:rFonts w:ascii="Palatino Linotype" w:eastAsia="Palatino Linotype" w:hAnsi="Palatino Linotype" w:cs="Palatino Linotype"/>
          <w:color w:val="0D0D0D"/>
        </w:rPr>
        <w:t xml:space="preserve">De tales circunstancias, se colige que los sujetos obligados únicamente están constreñidos a proporcionar </w:t>
      </w:r>
      <w:r w:rsidRPr="00AB23E8">
        <w:rPr>
          <w:rFonts w:ascii="Palatino Linotype" w:eastAsia="Palatino Linotype" w:hAnsi="Palatino Linotype" w:cs="Palatino Linotype"/>
          <w:b/>
          <w:color w:val="0D0D0D"/>
        </w:rPr>
        <w:t>la documentación que obre en sus archivos</w:t>
      </w:r>
      <w:r w:rsidRPr="00AB23E8">
        <w:rPr>
          <w:rFonts w:ascii="Palatino Linotype" w:eastAsia="Palatino Linotype" w:hAnsi="Palatino Linotype" w:cs="Palatino Linotype"/>
          <w:color w:val="0D0D0D"/>
        </w:rPr>
        <w:t>; por lo que, no están obligados a generar o elaborar documentos </w:t>
      </w:r>
      <w:r w:rsidRPr="00AB23E8">
        <w:rPr>
          <w:rFonts w:ascii="Palatino Linotype" w:eastAsia="Palatino Linotype" w:hAnsi="Palatino Linotype" w:cs="Palatino Linotype"/>
          <w:i/>
          <w:color w:val="0D0D0D"/>
        </w:rPr>
        <w:t>ad hoc, </w:t>
      </w:r>
      <w:r w:rsidRPr="00AB23E8">
        <w:rPr>
          <w:rFonts w:ascii="Palatino Linotype" w:eastAsia="Palatino Linotype" w:hAnsi="Palatino Linotype" w:cs="Palatino Linotype"/>
          <w:color w:val="0D0D0D"/>
        </w:rPr>
        <w:t>como es el caso de proporcionar respuesta a un cuestionamiento.</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hd w:val="clear" w:color="auto" w:fill="FFFFFF"/>
        <w:spacing w:line="360" w:lineRule="auto"/>
        <w:jc w:val="both"/>
        <w:rPr>
          <w:sz w:val="28"/>
          <w:szCs w:val="28"/>
        </w:rPr>
      </w:pPr>
      <w:r w:rsidRPr="00AB23E8">
        <w:rPr>
          <w:rFonts w:ascii="Palatino Linotype" w:eastAsia="Palatino Linotype" w:hAnsi="Palatino Linotype" w:cs="Palatino Linotype"/>
        </w:rPr>
        <w:t>Robustece lo anterior el Criterio 03/17 emitido por el Instituto Nacional de Transparencia, Acceso a la Información y Protección de Datos Personales, que a continuación se cita:</w:t>
      </w:r>
    </w:p>
    <w:p w:rsidR="001670A2" w:rsidRPr="00AB23E8" w:rsidRDefault="00D53821">
      <w:pPr>
        <w:shd w:val="clear" w:color="auto" w:fill="FFFFFF"/>
        <w:ind w:left="567" w:right="567"/>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“No existe obligación de elaborar documentos ad hoc para atender las solicitudes de acceso a la información. </w:t>
      </w:r>
      <w:r w:rsidRPr="00AB23E8">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w:t>
      </w:r>
      <w:r w:rsidRPr="00AB23E8">
        <w:rPr>
          <w:rFonts w:ascii="Palatino Linotype" w:eastAsia="Palatino Linotype" w:hAnsi="Palatino Linotype" w:cs="Palatino Linotype"/>
          <w:i/>
          <w:sz w:val="22"/>
          <w:szCs w:val="22"/>
        </w:rPr>
        <w:lastRenderedPageBreak/>
        <w:t>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 (Sic)</w:t>
      </w:r>
    </w:p>
    <w:p w:rsidR="001670A2" w:rsidRPr="00AB23E8" w:rsidRDefault="001670A2">
      <w:pPr>
        <w:shd w:val="clear" w:color="auto" w:fill="FFFFFF"/>
        <w:ind w:left="567" w:right="567"/>
        <w:jc w:val="both"/>
        <w:rPr>
          <w:sz w:val="28"/>
          <w:szCs w:val="28"/>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Conforme a lo anterior, se advierte que en su petición del</w:t>
      </w:r>
      <w:r w:rsidRPr="00AB23E8">
        <w:rPr>
          <w:rFonts w:ascii="Palatino Linotype" w:eastAsia="Palatino Linotype" w:hAnsi="Palatino Linotype" w:cs="Palatino Linotype"/>
          <w:b/>
        </w:rPr>
        <w:t xml:space="preserve"> RECURRENTE</w:t>
      </w:r>
      <w:r w:rsidRPr="00AB23E8">
        <w:rPr>
          <w:rFonts w:ascii="Palatino Linotype" w:eastAsia="Palatino Linotype" w:hAnsi="Palatino Linotype" w:cs="Palatino Linotype"/>
        </w:rPr>
        <w:t xml:space="preserve">  requiere conocer el porcentaje específico, lo que en primera instancia, constituye una consulta y no así una solicitud de acceso a información pública que pueda ser atendida mediante una expresión documental; pues para responderlas </w:t>
      </w:r>
      <w:r w:rsidRPr="00AB23E8">
        <w:rPr>
          <w:rFonts w:ascii="Palatino Linotype" w:eastAsia="Palatino Linotype" w:hAnsi="Palatino Linotype" w:cs="Palatino Linotype"/>
          <w:b/>
        </w:rPr>
        <w:t xml:space="preserve">EL SUJETO OBLIGADO </w:t>
      </w:r>
      <w:r w:rsidRPr="00AB23E8">
        <w:rPr>
          <w:rFonts w:ascii="Palatino Linotype" w:eastAsia="Palatino Linotype" w:hAnsi="Palatino Linotype" w:cs="Palatino Linotype"/>
        </w:rPr>
        <w:t xml:space="preserve">debería efectuar un cálculo a modo de los solicitado, situación a la cual no se encuentran obligados en términos de los dispuesto por el artículo 12 de la Ley de Transparencia y Acceso a la Información Pública del Estado de México y Municipios. </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Lo anterior, toma sustento la Jurisprudencia XXI.1o.P.A. J/27, de los Tribunales Colegiados de Circuito, localizada en la página 1406, del Semanario Judicial de la Federación y su Gaceta, Tomo XXXIII, marzo 2011, Novena Época, que establece lo siguiente:</w:t>
      </w:r>
    </w:p>
    <w:p w:rsidR="001670A2" w:rsidRPr="00AB23E8" w:rsidRDefault="001670A2"/>
    <w:p w:rsidR="001670A2" w:rsidRPr="00AB23E8" w:rsidRDefault="00D53821">
      <w:pPr>
        <w:ind w:left="567" w:right="567"/>
        <w:jc w:val="both"/>
        <w:rPr>
          <w:sz w:val="28"/>
          <w:szCs w:val="28"/>
        </w:rPr>
      </w:pPr>
      <w:r w:rsidRPr="00AB23E8">
        <w:rPr>
          <w:rFonts w:ascii="Palatino Linotype" w:eastAsia="Palatino Linotype" w:hAnsi="Palatino Linotype" w:cs="Palatino Linotype"/>
          <w:b/>
          <w:i/>
          <w:sz w:val="22"/>
          <w:szCs w:val="22"/>
        </w:rPr>
        <w:t xml:space="preserve">“DERECHO DE PETICIÓN. SUS ELEMENTOS. </w:t>
      </w:r>
      <w:r w:rsidRPr="00AB23E8">
        <w:rPr>
          <w:rFonts w:ascii="Palatino Linotype" w:eastAsia="Palatino Linotype" w:hAnsi="Palatino Linotype" w:cs="Palatino Linotype"/>
          <w:i/>
          <w:sz w:val="22"/>
          <w:szCs w:val="22"/>
        </w:rPr>
        <w:t xml:space="preserve">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w:t>
      </w:r>
      <w:r w:rsidRPr="00AB23E8">
        <w:rPr>
          <w:rFonts w:ascii="Palatino Linotype" w:eastAsia="Palatino Linotype" w:hAnsi="Palatino Linotype" w:cs="Palatino Linotype"/>
          <w:i/>
          <w:sz w:val="22"/>
          <w:szCs w:val="22"/>
        </w:rPr>
        <w:lastRenderedPageBreak/>
        <w:t>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diversa.”(Sic)</w:t>
      </w:r>
    </w:p>
    <w:p w:rsidR="001670A2" w:rsidRPr="00AB23E8" w:rsidRDefault="001670A2"/>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entre otros), ante una autoridad, por lo que, tiene derecho de recibir una respuesta.</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En consecuencia, en virtud de que la solicitud de acceso a la información se trata de una consulta, que implicaría que el Sujeto Obligado realizará un pronunciamiento específico a diversas preguntas y elaborara un documento que dé contestación a estas, parte del Recurso de Revisión actualiza la causal de desechamiento establecida en el artículo 191, fracción VI, de la Ley de Transparencia y Acceso a la Información Pública del Estado de México y Municipios, únicamente por lo que, hace a dichos pedimentos; y en consecuencia se actualiza el supuesto previsto en el artículo 192, fracción IV, en relación con el diverso 186, fracción I, de ese ordenamiento legal que contempla el sobreseimiento, lo que impide a este Instituto a pronunciarse sobre dichos requerimientos, al ser improcedentes. </w:t>
      </w:r>
    </w:p>
    <w:p w:rsidR="001670A2" w:rsidRPr="00AB23E8" w:rsidRDefault="00D53821">
      <w:pPr>
        <w:tabs>
          <w:tab w:val="left" w:pos="2422"/>
        </w:tabs>
        <w:spacing w:before="280" w:after="280" w:line="360" w:lineRule="auto"/>
        <w:ind w:right="49"/>
        <w:jc w:val="both"/>
        <w:rPr>
          <w:rFonts w:ascii="Palatino Linotype" w:eastAsia="Palatino Linotype" w:hAnsi="Palatino Linotype" w:cs="Palatino Linotype"/>
        </w:rPr>
      </w:pPr>
      <w:r w:rsidRPr="00AB23E8">
        <w:rPr>
          <w:rFonts w:ascii="Palatino Linotype" w:eastAsia="Palatino Linotype" w:hAnsi="Palatino Linotype" w:cs="Palatino Linotype"/>
        </w:rPr>
        <w:lastRenderedPageBreak/>
        <w:t xml:space="preserve">Por lo que hace a </w:t>
      </w:r>
      <w:r w:rsidRPr="00AB23E8">
        <w:rPr>
          <w:rFonts w:ascii="Palatino Linotype" w:eastAsia="Palatino Linotype" w:hAnsi="Palatino Linotype" w:cs="Palatino Linotype"/>
          <w:i/>
        </w:rPr>
        <w:t>¿Cuál es el presupuesto aprobado para el ejercicio fiscal 2022?, ¿Cuál es la principal Actividad Económica del Municipio y que porcentaje representa?</w:t>
      </w:r>
      <w:r w:rsidRPr="00AB23E8">
        <w:rPr>
          <w:rFonts w:ascii="Palatino Linotype" w:eastAsia="Palatino Linotype" w:hAnsi="Palatino Linotype" w:cs="Palatino Linotype"/>
        </w:rPr>
        <w:t xml:space="preserve"> Se observa que en respuesta </w:t>
      </w:r>
      <w:r w:rsidRPr="00AB23E8">
        <w:rPr>
          <w:rFonts w:ascii="Palatino Linotype" w:eastAsia="Palatino Linotype" w:hAnsi="Palatino Linotype" w:cs="Palatino Linotype"/>
          <w:b/>
        </w:rPr>
        <w:t>EL SUJETO OBLIGADO</w:t>
      </w:r>
      <w:r w:rsidRPr="00AB23E8">
        <w:rPr>
          <w:rFonts w:ascii="Palatino Linotype" w:eastAsia="Palatino Linotype" w:hAnsi="Palatino Linotype" w:cs="Palatino Linotype"/>
        </w:rPr>
        <w:t xml:space="preserve"> refirió por medio de los Titulares de la Tesorería y Desarrollo Económico la cantidad exacta a la que asciende el presupuesto aprobado para el ejercicio 2022 ($2’ 781,957,880.57) y la principal actividad económica del Municipio señalando su porcentaje, siendo esta el comercio al por menos con un 41.5 %. </w:t>
      </w:r>
    </w:p>
    <w:p w:rsidR="001670A2" w:rsidRPr="00AB23E8" w:rsidRDefault="00D53821">
      <w:pPr>
        <w:tabs>
          <w:tab w:val="left" w:pos="2422"/>
        </w:tabs>
        <w:spacing w:before="280" w:after="280" w:line="360" w:lineRule="auto"/>
        <w:ind w:right="49"/>
        <w:jc w:val="both"/>
        <w:rPr>
          <w:rFonts w:ascii="Palatino Linotype" w:eastAsia="Palatino Linotype" w:hAnsi="Palatino Linotype" w:cs="Palatino Linotype"/>
        </w:rPr>
      </w:pPr>
      <w:r w:rsidRPr="00AB23E8">
        <w:rPr>
          <w:rFonts w:ascii="Palatino Linotype" w:eastAsia="Palatino Linotype" w:hAnsi="Palatino Linotype" w:cs="Palatino Linotype"/>
        </w:rPr>
        <w:t>Atendiendo con su respuesta de forma precisas y concreta a lo solicitado por el particular, siendo conveniente citar el criterio orientador 002/2017 del INAI, y la tesis 1a. CCCXXVII/2014 (10a.) emitida por la Primera Sala de la Suprema Corte de Justicia de la Nación, cuyo tenor es el siguiente:</w:t>
      </w:r>
    </w:p>
    <w:p w:rsidR="001670A2" w:rsidRPr="00AB23E8" w:rsidRDefault="001670A2">
      <w:pPr>
        <w:ind w:right="902"/>
        <w:jc w:val="both"/>
        <w:rPr>
          <w:rFonts w:ascii="Palatino Linotype" w:eastAsia="Palatino Linotype" w:hAnsi="Palatino Linotype" w:cs="Palatino Linotype"/>
          <w:color w:val="222222"/>
        </w:rPr>
      </w:pP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w:t>
      </w:r>
      <w:r w:rsidRPr="00AB23E8">
        <w:rPr>
          <w:rFonts w:ascii="Palatino Linotype" w:eastAsia="Palatino Linotype" w:hAnsi="Palatino Linotype" w:cs="Palatino Linotype"/>
          <w:b/>
          <w:i/>
          <w:sz w:val="22"/>
          <w:szCs w:val="22"/>
        </w:rPr>
        <w:t>Congruencia y exhaustividad</w:t>
      </w:r>
      <w:r w:rsidRPr="00AB23E8">
        <w:rPr>
          <w:rFonts w:ascii="Palatino Linotype" w:eastAsia="Palatino Linotype" w:hAnsi="Palatino Linotype" w:cs="Palatino Linotype"/>
          <w:i/>
          <w:sz w:val="22"/>
          <w:szCs w:val="22"/>
        </w:rPr>
        <w:t>.</w:t>
      </w:r>
      <w:r w:rsidRPr="00AB23E8">
        <w:rPr>
          <w:rFonts w:ascii="Palatino Linotype" w:eastAsia="Palatino Linotype" w:hAnsi="Palatino Linotype" w:cs="Palatino Linotype"/>
          <w:b/>
          <w:i/>
          <w:sz w:val="22"/>
          <w:szCs w:val="22"/>
        </w:rPr>
        <w:t xml:space="preserve"> Sus alcances para garantizar el derecho de acceso a la información.</w:t>
      </w:r>
      <w:r w:rsidRPr="00AB23E8">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información.”(Sic)</w:t>
      </w:r>
    </w:p>
    <w:p w:rsidR="001670A2" w:rsidRPr="00AB23E8" w:rsidRDefault="001670A2">
      <w:pPr>
        <w:widowControl w:val="0"/>
        <w:tabs>
          <w:tab w:val="left" w:pos="1701"/>
          <w:tab w:val="left" w:pos="1843"/>
        </w:tabs>
        <w:spacing w:line="360" w:lineRule="auto"/>
        <w:ind w:right="49"/>
        <w:jc w:val="both"/>
        <w:rPr>
          <w:rFonts w:ascii="Palatino Linotype" w:eastAsia="Palatino Linotype" w:hAnsi="Palatino Linotype" w:cs="Palatino Linotype"/>
        </w:rPr>
      </w:pPr>
      <w:bookmarkStart w:id="8" w:name="_heading=h.h5f6uylknmte" w:colFirst="0" w:colLast="0"/>
      <w:bookmarkEnd w:id="8"/>
    </w:p>
    <w:p w:rsidR="001670A2" w:rsidRPr="00AB23E8" w:rsidRDefault="00D53821">
      <w:pPr>
        <w:widowControl w:val="0"/>
        <w:tabs>
          <w:tab w:val="left" w:pos="1701"/>
          <w:tab w:val="left" w:pos="1843"/>
        </w:tabs>
        <w:spacing w:line="360" w:lineRule="auto"/>
        <w:ind w:right="49"/>
        <w:jc w:val="both"/>
        <w:rPr>
          <w:rFonts w:ascii="Palatino Linotype" w:eastAsia="Palatino Linotype" w:hAnsi="Palatino Linotype" w:cs="Palatino Linotype"/>
        </w:rPr>
      </w:pPr>
      <w:r w:rsidRPr="00AB23E8">
        <w:rPr>
          <w:rFonts w:ascii="Palatino Linotype" w:eastAsia="Palatino Linotype" w:hAnsi="Palatino Linotype" w:cs="Palatino Linotype"/>
        </w:rPr>
        <w:lastRenderedPageBreak/>
        <w:t>Del criterio citado se desprende que las respuestas de los sujetos obligados deberán contar con dos elementos; la congruencia y la exhaustividad. Entendiendo el primero como una relación entre el requerimiento formulado y la respuesta propiciada y el segundo como atender de manera puntual a cada uno de los pronunciamientos en la solicitud.</w:t>
      </w:r>
    </w:p>
    <w:p w:rsidR="001670A2" w:rsidRPr="00AB23E8" w:rsidRDefault="001670A2">
      <w:pPr>
        <w:widowControl w:val="0"/>
        <w:tabs>
          <w:tab w:val="left" w:pos="1701"/>
          <w:tab w:val="left" w:pos="1843"/>
        </w:tabs>
        <w:spacing w:line="360" w:lineRule="auto"/>
        <w:ind w:right="49"/>
        <w:jc w:val="both"/>
        <w:rPr>
          <w:rFonts w:ascii="Palatino Linotype" w:eastAsia="Palatino Linotype" w:hAnsi="Palatino Linotype" w:cs="Palatino Linotype"/>
        </w:rPr>
      </w:pPr>
    </w:p>
    <w:p w:rsidR="001670A2" w:rsidRPr="00AB23E8" w:rsidRDefault="00D53821">
      <w:pPr>
        <w:widowControl w:val="0"/>
        <w:tabs>
          <w:tab w:val="left" w:pos="1701"/>
          <w:tab w:val="left" w:pos="1843"/>
        </w:tabs>
        <w:spacing w:line="360" w:lineRule="auto"/>
        <w:ind w:right="49"/>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Situación que aconteció para los requerimientos hechos referentes al presupuesto y actividad económica y por tanto se tienen por satisfechos. </w:t>
      </w:r>
    </w:p>
    <w:p w:rsidR="001670A2" w:rsidRPr="00AB23E8" w:rsidRDefault="001670A2">
      <w:pPr>
        <w:widowControl w:val="0"/>
        <w:tabs>
          <w:tab w:val="left" w:pos="1701"/>
          <w:tab w:val="left" w:pos="1843"/>
        </w:tabs>
        <w:spacing w:line="360" w:lineRule="auto"/>
        <w:ind w:right="49"/>
        <w:jc w:val="both"/>
        <w:rPr>
          <w:rFonts w:ascii="Palatino Linotype" w:eastAsia="Palatino Linotype" w:hAnsi="Palatino Linotype" w:cs="Palatino Linotype"/>
        </w:rPr>
      </w:pPr>
    </w:p>
    <w:p w:rsidR="001670A2" w:rsidRPr="00AB23E8" w:rsidRDefault="00D53821">
      <w:pPr>
        <w:widowControl w:val="0"/>
        <w:tabs>
          <w:tab w:val="left" w:pos="1701"/>
          <w:tab w:val="left" w:pos="1843"/>
        </w:tabs>
        <w:spacing w:line="360" w:lineRule="auto"/>
        <w:ind w:right="49"/>
        <w:jc w:val="both"/>
        <w:rPr>
          <w:rFonts w:ascii="Palatino Linotype" w:eastAsia="Palatino Linotype" w:hAnsi="Palatino Linotype" w:cs="Palatino Linotype"/>
          <w:i/>
        </w:rPr>
      </w:pPr>
      <w:r w:rsidRPr="00AB23E8">
        <w:rPr>
          <w:rFonts w:ascii="Palatino Linotype" w:eastAsia="Palatino Linotype" w:hAnsi="Palatino Linotype" w:cs="Palatino Linotype"/>
        </w:rPr>
        <w:t xml:space="preserve">Mismo es el caso de la respuesta otorgada a los requerimientos relativos a </w:t>
      </w:r>
      <w:r w:rsidRPr="00AB23E8">
        <w:rPr>
          <w:rFonts w:ascii="Palatino Linotype" w:eastAsia="Palatino Linotype" w:hAnsi="Palatino Linotype" w:cs="Palatino Linotype"/>
          <w:i/>
        </w:rPr>
        <w:t xml:space="preserve">¿El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Municipios b. Impuestos sobre Diversiones, Juegos y Espectáculos c. Derechos de Desarrollo Urbanos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w:t>
      </w:r>
      <w:r w:rsidRPr="00AB23E8">
        <w:rPr>
          <w:rFonts w:ascii="Palatino Linotype" w:eastAsia="Palatino Linotype" w:hAnsi="Palatino Linotype" w:cs="Palatino Linotype"/>
          <w:i/>
        </w:rPr>
        <w:lastRenderedPageBreak/>
        <w:t>y Ordenamiento Comercial del Estado de México, El Catálogo Mexiquense de Actividades Industriales, Comerciales y de Servicios de Bajo Riesgo y en materia de salud (COPRISEM).</w:t>
      </w:r>
    </w:p>
    <w:p w:rsidR="001670A2" w:rsidRPr="00AB23E8" w:rsidRDefault="00D53821">
      <w:pPr>
        <w:tabs>
          <w:tab w:val="left" w:pos="2422"/>
        </w:tabs>
        <w:spacing w:before="280" w:after="280" w:line="360" w:lineRule="auto"/>
        <w:ind w:right="49"/>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Se advierte que en respuesta se pronunciaron los Servidores Públicos Habilitados de las áreas de tesorería, Desarrollo Económico, Desarrollo Urbano y Normatividad y Convenios, los cuales refirieron lo siguiente: </w:t>
      </w:r>
    </w:p>
    <w:p w:rsidR="001670A2" w:rsidRPr="00AB23E8" w:rsidRDefault="00D53821">
      <w:pPr>
        <w:widowControl w:val="0"/>
        <w:ind w:left="850" w:right="33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TESORERÍA MUNICIPAL</w:t>
      </w:r>
      <w:r w:rsidRPr="00AB23E8">
        <w:rPr>
          <w:rFonts w:ascii="Palatino Linotype" w:eastAsia="Palatino Linotype" w:hAnsi="Palatino Linotype" w:cs="Palatino Linotype"/>
          <w:i/>
          <w:sz w:val="22"/>
          <w:szCs w:val="22"/>
        </w:rPr>
        <w:t xml:space="preserve">: “En relación al punto 5: “ le informo que la Tesorería Municipal y las áreas adscritas a la misma recaudan los impuestos, derechos y/o aprovechamientos de conformidad con los establecido por el </w:t>
      </w:r>
      <w:r w:rsidRPr="00AB23E8">
        <w:rPr>
          <w:rFonts w:ascii="Palatino Linotype" w:eastAsia="Palatino Linotype" w:hAnsi="Palatino Linotype" w:cs="Palatino Linotype"/>
          <w:b/>
          <w:i/>
          <w:sz w:val="22"/>
          <w:szCs w:val="22"/>
          <w:u w:val="single"/>
        </w:rPr>
        <w:t>Código Financiero para el Estado de México y Municipios</w:t>
      </w:r>
      <w:r w:rsidRPr="00AB23E8">
        <w:rPr>
          <w:rFonts w:ascii="Palatino Linotype" w:eastAsia="Palatino Linotype" w:hAnsi="Palatino Linotype" w:cs="Palatino Linotype"/>
          <w:i/>
          <w:sz w:val="22"/>
          <w:szCs w:val="22"/>
        </w:rPr>
        <w:t>” (Sic)</w:t>
      </w:r>
    </w:p>
    <w:p w:rsidR="001670A2" w:rsidRPr="00AB23E8" w:rsidRDefault="001670A2">
      <w:pPr>
        <w:widowControl w:val="0"/>
        <w:ind w:left="850" w:right="332"/>
        <w:jc w:val="both"/>
        <w:rPr>
          <w:rFonts w:ascii="Palatino Linotype" w:eastAsia="Palatino Linotype" w:hAnsi="Palatino Linotype" w:cs="Palatino Linotype"/>
          <w:i/>
          <w:sz w:val="22"/>
          <w:szCs w:val="22"/>
        </w:rPr>
      </w:pPr>
    </w:p>
    <w:p w:rsidR="001670A2" w:rsidRPr="00AB23E8" w:rsidRDefault="00D53821">
      <w:pPr>
        <w:widowControl w:val="0"/>
        <w:ind w:left="850" w:right="33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NORMATIVIDAD Y CONVENIOS: “</w:t>
      </w:r>
      <w:r w:rsidRPr="00AB23E8">
        <w:rPr>
          <w:rFonts w:ascii="Palatino Linotype" w:eastAsia="Palatino Linotype" w:hAnsi="Palatino Linotype" w:cs="Palatino Linotype"/>
          <w:i/>
          <w:sz w:val="22"/>
          <w:szCs w:val="22"/>
        </w:rPr>
        <w:t xml:space="preserve">Se hace de su conocimiento que se cuenta con el </w:t>
      </w:r>
      <w:r w:rsidRPr="00AB23E8">
        <w:rPr>
          <w:rFonts w:ascii="Palatino Linotype" w:eastAsia="Palatino Linotype" w:hAnsi="Palatino Linotype" w:cs="Palatino Linotype"/>
          <w:b/>
          <w:i/>
          <w:sz w:val="22"/>
          <w:szCs w:val="22"/>
        </w:rPr>
        <w:t>Reglamento para la realización de Eventos Públicos en el Municipio de Cuautitlán Izcalli,</w:t>
      </w:r>
      <w:r w:rsidRPr="00AB23E8">
        <w:rPr>
          <w:rFonts w:ascii="Palatino Linotype" w:eastAsia="Palatino Linotype" w:hAnsi="Palatino Linotype" w:cs="Palatino Linotype"/>
          <w:i/>
          <w:sz w:val="22"/>
          <w:szCs w:val="22"/>
        </w:rPr>
        <w:t xml:space="preserve"> mismo que es un conjunto de “disposiciones de orden público e interés general y tiene por objeto regular dentro de la competencia municipal, la realización de eventos públicos de concentración masiva, con fines de esparcimiento o convivencia” (Sic)</w:t>
      </w:r>
    </w:p>
    <w:p w:rsidR="001670A2" w:rsidRPr="00AB23E8" w:rsidRDefault="001670A2">
      <w:pPr>
        <w:widowControl w:val="0"/>
        <w:ind w:left="850" w:right="332"/>
        <w:jc w:val="both"/>
        <w:rPr>
          <w:rFonts w:ascii="Palatino Linotype" w:eastAsia="Palatino Linotype" w:hAnsi="Palatino Linotype" w:cs="Palatino Linotype"/>
          <w:b/>
          <w:i/>
          <w:sz w:val="22"/>
          <w:szCs w:val="22"/>
        </w:rPr>
      </w:pPr>
    </w:p>
    <w:p w:rsidR="001670A2" w:rsidRPr="00AB23E8" w:rsidRDefault="00D53821">
      <w:pPr>
        <w:widowControl w:val="0"/>
        <w:ind w:left="850" w:right="33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DESARROLLO ECONÓMICO:</w:t>
      </w:r>
      <w:r w:rsidRPr="00AB23E8">
        <w:rPr>
          <w:rFonts w:ascii="Palatino Linotype" w:eastAsia="Palatino Linotype" w:hAnsi="Palatino Linotype" w:cs="Palatino Linotype"/>
          <w:i/>
          <w:sz w:val="22"/>
          <w:szCs w:val="22"/>
        </w:rPr>
        <w:t xml:space="preserve"> “El Ayuntamiento de Cuautitlán Izcalli para el cumplimiento de sus atribuciones observar lo establecido en el </w:t>
      </w:r>
      <w:r w:rsidRPr="00AB23E8">
        <w:rPr>
          <w:rFonts w:ascii="Palatino Linotype" w:eastAsia="Palatino Linotype" w:hAnsi="Palatino Linotype" w:cs="Palatino Linotype"/>
          <w:b/>
          <w:i/>
          <w:sz w:val="22"/>
          <w:szCs w:val="22"/>
        </w:rPr>
        <w:t>Reglamento General de Servicios de Cuautitlán Izcalli</w:t>
      </w:r>
      <w:r w:rsidRPr="00AB23E8">
        <w:rPr>
          <w:rFonts w:ascii="Palatino Linotype" w:eastAsia="Palatino Linotype" w:hAnsi="Palatino Linotype" w:cs="Palatino Linotype"/>
          <w:i/>
          <w:sz w:val="22"/>
          <w:szCs w:val="22"/>
        </w:rPr>
        <w:t xml:space="preserve">, México, el </w:t>
      </w:r>
      <w:r w:rsidRPr="00AB23E8">
        <w:rPr>
          <w:rFonts w:ascii="Palatino Linotype" w:eastAsia="Palatino Linotype" w:hAnsi="Palatino Linotype" w:cs="Palatino Linotype"/>
          <w:b/>
          <w:i/>
          <w:sz w:val="22"/>
          <w:szCs w:val="22"/>
        </w:rPr>
        <w:t>Reglamento Municipal de Procedimientos Administrativos de Cuautitlán Izcalli</w:t>
      </w:r>
      <w:r w:rsidRPr="00AB23E8">
        <w:rPr>
          <w:rFonts w:ascii="Palatino Linotype" w:eastAsia="Palatino Linotype" w:hAnsi="Palatino Linotype" w:cs="Palatino Linotype"/>
          <w:i/>
          <w:sz w:val="22"/>
          <w:szCs w:val="22"/>
        </w:rPr>
        <w:t xml:space="preserve"> y el </w:t>
      </w:r>
      <w:r w:rsidRPr="00AB23E8">
        <w:rPr>
          <w:rFonts w:ascii="Palatino Linotype" w:eastAsia="Palatino Linotype" w:hAnsi="Palatino Linotype" w:cs="Palatino Linotype"/>
          <w:b/>
          <w:i/>
          <w:sz w:val="22"/>
          <w:szCs w:val="22"/>
        </w:rPr>
        <w:t>Bando Municipal 2022</w:t>
      </w:r>
      <w:r w:rsidRPr="00AB23E8">
        <w:rPr>
          <w:rFonts w:ascii="Palatino Linotype" w:eastAsia="Palatino Linotype" w:hAnsi="Palatino Linotype" w:cs="Palatino Linotype"/>
          <w:i/>
          <w:sz w:val="22"/>
          <w:szCs w:val="22"/>
        </w:rPr>
        <w:t xml:space="preserve"> de Cuautitlán Izcalli, en observancia de lo establecido en el </w:t>
      </w:r>
      <w:r w:rsidRPr="00AB23E8">
        <w:rPr>
          <w:rFonts w:ascii="Palatino Linotype" w:eastAsia="Palatino Linotype" w:hAnsi="Palatino Linotype" w:cs="Palatino Linotype"/>
          <w:b/>
          <w:i/>
          <w:sz w:val="22"/>
          <w:szCs w:val="22"/>
        </w:rPr>
        <w:t>Código Financiero del Estado de México</w:t>
      </w:r>
      <w:r w:rsidRPr="00AB23E8">
        <w:rPr>
          <w:rFonts w:ascii="Palatino Linotype" w:eastAsia="Palatino Linotype" w:hAnsi="Palatino Linotype" w:cs="Palatino Linotype"/>
          <w:i/>
          <w:sz w:val="22"/>
          <w:szCs w:val="22"/>
        </w:rPr>
        <w:t>, por la expedición y renovación anual de la cédula para puestos fijos, semifijos o comerciales ambulantes, con fundamento en el artículo 11 de la Constitución Política de los Estados Unidos Mexicanos</w:t>
      </w:r>
    </w:p>
    <w:p w:rsidR="001670A2" w:rsidRPr="00AB23E8" w:rsidRDefault="001670A2">
      <w:pPr>
        <w:widowControl w:val="0"/>
        <w:ind w:left="850" w:right="332"/>
        <w:jc w:val="both"/>
        <w:rPr>
          <w:rFonts w:ascii="Palatino Linotype" w:eastAsia="Palatino Linotype" w:hAnsi="Palatino Linotype" w:cs="Palatino Linotype"/>
          <w:i/>
          <w:sz w:val="22"/>
          <w:szCs w:val="22"/>
        </w:rPr>
      </w:pPr>
    </w:p>
    <w:p w:rsidR="001670A2" w:rsidRPr="00AB23E8" w:rsidRDefault="00D53821">
      <w:pPr>
        <w:widowControl w:val="0"/>
        <w:ind w:left="850" w:right="33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 xml:space="preserve">…Pregunta número 5 apartado f, fracción I (...) Esta dependencia para el cumplimiento de sus atribuciones observar lo establecido en el </w:t>
      </w:r>
      <w:r w:rsidRPr="00AB23E8">
        <w:rPr>
          <w:rFonts w:ascii="Palatino Linotype" w:eastAsia="Palatino Linotype" w:hAnsi="Palatino Linotype" w:cs="Palatino Linotype"/>
          <w:b/>
          <w:i/>
          <w:sz w:val="22"/>
          <w:szCs w:val="22"/>
        </w:rPr>
        <w:t>Reglamento General de Servicios de Cuautitlán Izcalli</w:t>
      </w:r>
      <w:r w:rsidRPr="00AB23E8">
        <w:rPr>
          <w:rFonts w:ascii="Palatino Linotype" w:eastAsia="Palatino Linotype" w:hAnsi="Palatino Linotype" w:cs="Palatino Linotype"/>
          <w:i/>
          <w:sz w:val="22"/>
          <w:szCs w:val="22"/>
        </w:rPr>
        <w:t xml:space="preserve">, México, </w:t>
      </w:r>
      <w:r w:rsidRPr="00AB23E8">
        <w:rPr>
          <w:rFonts w:ascii="Palatino Linotype" w:eastAsia="Palatino Linotype" w:hAnsi="Palatino Linotype" w:cs="Palatino Linotype"/>
          <w:b/>
          <w:i/>
          <w:sz w:val="22"/>
          <w:szCs w:val="22"/>
        </w:rPr>
        <w:t>El Reglamento Municipal de Procedimientos Administrativos de Cuautitlán Izcalli</w:t>
      </w:r>
      <w:r w:rsidRPr="00AB23E8">
        <w:rPr>
          <w:rFonts w:ascii="Palatino Linotype" w:eastAsia="Palatino Linotype" w:hAnsi="Palatino Linotype" w:cs="Palatino Linotype"/>
          <w:i/>
          <w:sz w:val="22"/>
          <w:szCs w:val="22"/>
        </w:rPr>
        <w:t xml:space="preserve"> y el </w:t>
      </w:r>
      <w:r w:rsidRPr="00AB23E8">
        <w:rPr>
          <w:rFonts w:ascii="Palatino Linotype" w:eastAsia="Palatino Linotype" w:hAnsi="Palatino Linotype" w:cs="Palatino Linotype"/>
          <w:b/>
          <w:i/>
          <w:sz w:val="22"/>
          <w:szCs w:val="22"/>
        </w:rPr>
        <w:t xml:space="preserve">Bando Municipal 2022 de Cuautitlán Izcalli, en observancia de lo establecido en la Ley de Competitividad y </w:t>
      </w:r>
      <w:r w:rsidRPr="00AB23E8">
        <w:rPr>
          <w:rFonts w:ascii="Palatino Linotype" w:eastAsia="Palatino Linotype" w:hAnsi="Palatino Linotype" w:cs="Palatino Linotype"/>
          <w:b/>
          <w:i/>
          <w:sz w:val="22"/>
          <w:szCs w:val="22"/>
        </w:rPr>
        <w:lastRenderedPageBreak/>
        <w:t>Ordenamiento Comercial del Estado de México</w:t>
      </w:r>
      <w:r w:rsidRPr="00AB23E8">
        <w:rPr>
          <w:rFonts w:ascii="Palatino Linotype" w:eastAsia="Palatino Linotype" w:hAnsi="Palatino Linotype" w:cs="Palatino Linotype"/>
          <w:i/>
          <w:sz w:val="22"/>
          <w:szCs w:val="22"/>
        </w:rPr>
        <w:t xml:space="preserve">; </w:t>
      </w:r>
      <w:r w:rsidRPr="00AB23E8">
        <w:rPr>
          <w:rFonts w:ascii="Palatino Linotype" w:eastAsia="Palatino Linotype" w:hAnsi="Palatino Linotype" w:cs="Palatino Linotype"/>
          <w:b/>
          <w:i/>
          <w:sz w:val="22"/>
          <w:szCs w:val="22"/>
        </w:rPr>
        <w:t>Código Administrativo del Estado de México</w:t>
      </w:r>
      <w:r w:rsidRPr="00AB23E8">
        <w:rPr>
          <w:rFonts w:ascii="Palatino Linotype" w:eastAsia="Palatino Linotype" w:hAnsi="Palatino Linotype" w:cs="Palatino Linotype"/>
          <w:i/>
          <w:sz w:val="22"/>
          <w:szCs w:val="22"/>
        </w:rPr>
        <w:t xml:space="preserve"> ; </w:t>
      </w:r>
      <w:r w:rsidRPr="00AB23E8">
        <w:rPr>
          <w:rFonts w:ascii="Palatino Linotype" w:eastAsia="Palatino Linotype" w:hAnsi="Palatino Linotype" w:cs="Palatino Linotype"/>
          <w:b/>
          <w:i/>
          <w:sz w:val="22"/>
          <w:szCs w:val="22"/>
        </w:rPr>
        <w:t>Código de Procedimientos Administrativos del Estado de México y Código Financiero del Estado de México</w:t>
      </w:r>
      <w:r w:rsidRPr="00AB23E8">
        <w:rPr>
          <w:rFonts w:ascii="Palatino Linotype" w:eastAsia="Palatino Linotype" w:hAnsi="Palatino Linotype" w:cs="Palatino Linotype"/>
          <w:i/>
          <w:sz w:val="22"/>
          <w:szCs w:val="22"/>
        </w:rPr>
        <w:t xml:space="preserve"> ”(Sic)</w:t>
      </w:r>
    </w:p>
    <w:p w:rsidR="001670A2" w:rsidRPr="00AB23E8" w:rsidRDefault="001670A2">
      <w:pPr>
        <w:widowControl w:val="0"/>
        <w:ind w:left="850" w:right="332"/>
        <w:jc w:val="both"/>
        <w:rPr>
          <w:rFonts w:ascii="Palatino Linotype" w:eastAsia="Palatino Linotype" w:hAnsi="Palatino Linotype" w:cs="Palatino Linotype"/>
          <w:i/>
          <w:sz w:val="22"/>
          <w:szCs w:val="22"/>
        </w:rPr>
      </w:pPr>
    </w:p>
    <w:p w:rsidR="001670A2" w:rsidRPr="00AB23E8" w:rsidRDefault="001670A2">
      <w:pPr>
        <w:widowControl w:val="0"/>
        <w:ind w:left="850" w:right="332"/>
        <w:jc w:val="both"/>
        <w:rPr>
          <w:rFonts w:ascii="Palatino Linotype" w:eastAsia="Palatino Linotype" w:hAnsi="Palatino Linotype" w:cs="Palatino Linotype"/>
          <w:i/>
          <w:sz w:val="22"/>
          <w:szCs w:val="22"/>
        </w:rPr>
      </w:pPr>
    </w:p>
    <w:p w:rsidR="001670A2" w:rsidRPr="00AB23E8" w:rsidRDefault="00D53821">
      <w:pPr>
        <w:widowControl w:val="0"/>
        <w:ind w:left="850" w:right="33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DESARROLLO URBANO:</w:t>
      </w:r>
      <w:r w:rsidRPr="00AB23E8">
        <w:rPr>
          <w:rFonts w:ascii="Palatino Linotype" w:eastAsia="Palatino Linotype" w:hAnsi="Palatino Linotype" w:cs="Palatino Linotype"/>
          <w:i/>
          <w:sz w:val="22"/>
          <w:szCs w:val="22"/>
        </w:rPr>
        <w:t xml:space="preserve"> “En relación a la pregunta de si el Ayuntamiento cuenta con Reglamentos, Manuales de Operación o lineamientos para la recaudación de derechos en materia de Desarrollo Urbano, se informa que, en la elaboración de Órdenes de Pago, la fundamentación legal para su cobro se basa en lo dispuesto en el </w:t>
      </w:r>
      <w:r w:rsidRPr="00AB23E8">
        <w:rPr>
          <w:rFonts w:ascii="Palatino Linotype" w:eastAsia="Palatino Linotype" w:hAnsi="Palatino Linotype" w:cs="Palatino Linotype"/>
          <w:b/>
          <w:i/>
          <w:sz w:val="22"/>
          <w:szCs w:val="22"/>
        </w:rPr>
        <w:t>Código Financiero del Estado de México y Municipios</w:t>
      </w:r>
      <w:r w:rsidRPr="00AB23E8">
        <w:rPr>
          <w:rFonts w:ascii="Palatino Linotype" w:eastAsia="Palatino Linotype" w:hAnsi="Palatino Linotype" w:cs="Palatino Linotype"/>
          <w:i/>
          <w:sz w:val="22"/>
          <w:szCs w:val="22"/>
        </w:rPr>
        <w:t xml:space="preserve">”. </w:t>
      </w:r>
    </w:p>
    <w:p w:rsidR="001670A2" w:rsidRPr="00AB23E8" w:rsidRDefault="00D53821">
      <w:pPr>
        <w:tabs>
          <w:tab w:val="left" w:pos="2422"/>
        </w:tabs>
        <w:spacing w:before="280" w:after="280" w:line="360" w:lineRule="auto"/>
        <w:ind w:right="332"/>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De las citas anteriores se desprende que las áreas señalan como fundamento normativo para los requerimientos realizados diversos Reglamentos municipales, así como el Codigo de Procedimientos Administrativos del Estado de México, y la Ley de Competitividad y Ordenamiento Comercial del Estado de México, y de forma específica para el cobro de derechos el Código Financiero del Estado de México. </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Por lo que, al haber existido un pronunciamiento por parte del servidor público habilitado competente, a fin de dar respuesta a la solicitud planteada, este Instituto no está facultado para manifestarse sobre la veracidad de la información proporcionada, conforme al artículo 36 de la Ley de la Materia. </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Sirve de sustento a lo anterior, el criterio 31/10 emitido por el entonces Instituto Federal de Acceso a la Información y Protección de Datos, ahora Instituto Nacional de Acceso a la Información y Protección de Datos, el cual refiere: </w:t>
      </w:r>
    </w:p>
    <w:p w:rsidR="001670A2" w:rsidRPr="00AB23E8" w:rsidRDefault="00D53821">
      <w:pPr>
        <w:ind w:left="851" w:right="1041"/>
        <w:jc w:val="both"/>
        <w:rPr>
          <w:rFonts w:ascii="Palatino Linotype" w:eastAsia="Palatino Linotype" w:hAnsi="Palatino Linotype" w:cs="Palatino Linotype"/>
          <w:i/>
          <w:sz w:val="22"/>
          <w:szCs w:val="22"/>
        </w:rPr>
      </w:pPr>
      <w:bookmarkStart w:id="9" w:name="_heading=h.gjdgxs" w:colFirst="0" w:colLast="0"/>
      <w:bookmarkEnd w:id="9"/>
      <w:r w:rsidRPr="00AB23E8">
        <w:rPr>
          <w:rFonts w:ascii="Palatino Linotype" w:eastAsia="Palatino Linotype" w:hAnsi="Palatino Linotype" w:cs="Palatino Linotype"/>
          <w:b/>
          <w:i/>
          <w:sz w:val="22"/>
          <w:szCs w:val="22"/>
        </w:rPr>
        <w:lastRenderedPageBreak/>
        <w:t>“El Instituto Federal de Acceso a la Información y Protección de Datos no cuenta con facultades para pronunciarse respecto de la veracidad de los documentos proporcionados por los sujetos obligados</w:t>
      </w:r>
      <w:r w:rsidRPr="00AB23E8">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B23E8">
        <w:rPr>
          <w:rFonts w:ascii="Palatino Linotype" w:eastAsia="Palatino Linotype" w:hAnsi="Palatino Linotype" w:cs="Palatino Linotype"/>
          <w:b/>
          <w:i/>
          <w:sz w:val="22"/>
          <w:szCs w:val="22"/>
        </w:rPr>
        <w:t>”.</w:t>
      </w:r>
      <w:r w:rsidRPr="00AB23E8">
        <w:rPr>
          <w:rFonts w:ascii="Palatino Linotype" w:eastAsia="Palatino Linotype" w:hAnsi="Palatino Linotype" w:cs="Palatino Linotype"/>
          <w:i/>
          <w:sz w:val="22"/>
          <w:szCs w:val="22"/>
        </w:rPr>
        <w:t xml:space="preserve"> (Sic)</w:t>
      </w:r>
    </w:p>
    <w:p w:rsidR="001670A2" w:rsidRPr="00AB23E8" w:rsidRDefault="00D53821">
      <w:pPr>
        <w:tabs>
          <w:tab w:val="left" w:pos="2422"/>
        </w:tabs>
        <w:spacing w:before="280" w:after="280" w:line="360" w:lineRule="auto"/>
        <w:ind w:right="332"/>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Así, toda vez que las preguntas hechas recibieron puntual contestación por las áreas competentes para ello, se consideran colmados los requerimientos del particular con la respuesta del </w:t>
      </w:r>
      <w:r w:rsidRPr="00AB23E8">
        <w:rPr>
          <w:rFonts w:ascii="Palatino Linotype" w:eastAsia="Palatino Linotype" w:hAnsi="Palatino Linotype" w:cs="Palatino Linotype"/>
          <w:b/>
        </w:rPr>
        <w:t xml:space="preserve">SUJETO OBLIGADO. </w:t>
      </w:r>
    </w:p>
    <w:p w:rsidR="001670A2" w:rsidRPr="00AB23E8" w:rsidRDefault="001670A2">
      <w:pPr>
        <w:tabs>
          <w:tab w:val="left" w:pos="7513"/>
        </w:tabs>
        <w:spacing w:before="240" w:after="240" w:line="360" w:lineRule="auto"/>
        <w:jc w:val="both"/>
        <w:rPr>
          <w:rFonts w:ascii="Palatino Linotype" w:eastAsia="Palatino Linotype" w:hAnsi="Palatino Linotype" w:cs="Palatino Linotype"/>
        </w:rPr>
      </w:pPr>
    </w:p>
    <w:p w:rsidR="001670A2" w:rsidRPr="00AB23E8" w:rsidRDefault="00D53821">
      <w:pPr>
        <w:tabs>
          <w:tab w:val="left" w:pos="7513"/>
        </w:tabs>
        <w:spacing w:before="240" w:after="24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En cuanto a los puntos 3 y 4 referentes a diversos cuestionamientos sobre ingresos por distintos conceptos. Como ya fue referido anteriormente, se observa que, en respuesta, </w:t>
      </w:r>
      <w:r w:rsidRPr="00AB23E8">
        <w:rPr>
          <w:rFonts w:ascii="Palatino Linotype" w:eastAsia="Palatino Linotype" w:hAnsi="Palatino Linotype" w:cs="Palatino Linotype"/>
          <w:b/>
        </w:rPr>
        <w:t>EL SUJETO OBLIGADO</w:t>
      </w:r>
      <w:r w:rsidRPr="00AB23E8">
        <w:rPr>
          <w:rFonts w:ascii="Palatino Linotype" w:eastAsia="Palatino Linotype" w:hAnsi="Palatino Linotype" w:cs="Palatino Linotype"/>
        </w:rPr>
        <w:t xml:space="preserve"> hizo entrega de una liga electrónica que dirige al portal de IPOMEX del </w:t>
      </w:r>
      <w:r w:rsidRPr="00AB23E8">
        <w:rPr>
          <w:rFonts w:ascii="Palatino Linotype" w:eastAsia="Palatino Linotype" w:hAnsi="Palatino Linotype" w:cs="Palatino Linotype"/>
          <w:b/>
        </w:rPr>
        <w:t xml:space="preserve">SUJETO OBLIGADO </w:t>
      </w:r>
      <w:r w:rsidRPr="00AB23E8">
        <w:rPr>
          <w:rFonts w:ascii="Palatino Linotype" w:eastAsia="Palatino Linotype" w:hAnsi="Palatino Linotype" w:cs="Palatino Linotype"/>
        </w:rPr>
        <w:t xml:space="preserve">en el apartado referente a Ingresos recibidos por cualquier concepto por el Sujeto Obligado para los ejercicios fiscales 2018, 2019, 2020, 2021 y 2022, dentro de los cuales se encuentran publicados diversos registros con ingresos efectuados. Se insertan capturas de pantalla para mayor referencia: </w:t>
      </w:r>
    </w:p>
    <w:p w:rsidR="001670A2" w:rsidRPr="00AB23E8" w:rsidRDefault="00D53821">
      <w:pPr>
        <w:tabs>
          <w:tab w:val="left" w:pos="7513"/>
        </w:tabs>
        <w:spacing w:before="240" w:after="240" w:line="360" w:lineRule="auto"/>
        <w:jc w:val="center"/>
        <w:rPr>
          <w:rFonts w:ascii="Palatino Linotype" w:eastAsia="Palatino Linotype" w:hAnsi="Palatino Linotype" w:cs="Palatino Linotype"/>
        </w:rPr>
      </w:pPr>
      <w:r w:rsidRPr="00AB23E8">
        <w:rPr>
          <w:rFonts w:ascii="Palatino Linotype" w:eastAsia="Palatino Linotype" w:hAnsi="Palatino Linotype" w:cs="Palatino Linotype"/>
          <w:noProof/>
        </w:rPr>
        <w:lastRenderedPageBreak/>
        <w:drawing>
          <wp:inline distT="114300" distB="114300" distL="114300" distR="114300">
            <wp:extent cx="4453573" cy="2628782"/>
            <wp:effectExtent l="0" t="0" r="0" b="0"/>
            <wp:docPr id="50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t="4335"/>
                    <a:stretch>
                      <a:fillRect/>
                    </a:stretch>
                  </pic:blipFill>
                  <pic:spPr>
                    <a:xfrm>
                      <a:off x="0" y="0"/>
                      <a:ext cx="4453573" cy="2628782"/>
                    </a:xfrm>
                    <a:prstGeom prst="rect">
                      <a:avLst/>
                    </a:prstGeom>
                    <a:ln/>
                  </pic:spPr>
                </pic:pic>
              </a:graphicData>
            </a:graphic>
          </wp:inline>
        </w:drawing>
      </w:r>
    </w:p>
    <w:p w:rsidR="001670A2" w:rsidRPr="00AB23E8" w:rsidRDefault="00D53821">
      <w:pPr>
        <w:tabs>
          <w:tab w:val="left" w:pos="7513"/>
        </w:tabs>
        <w:spacing w:before="240" w:after="24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392103" cy="2758131"/>
            <wp:effectExtent l="0" t="0" r="0" b="0"/>
            <wp:docPr id="50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5392103" cy="2758131"/>
                    </a:xfrm>
                    <a:prstGeom prst="rect">
                      <a:avLst/>
                    </a:prstGeom>
                    <a:ln/>
                  </pic:spPr>
                </pic:pic>
              </a:graphicData>
            </a:graphic>
          </wp:inline>
        </w:drawing>
      </w:r>
    </w:p>
    <w:p w:rsidR="001670A2" w:rsidRPr="00AB23E8" w:rsidRDefault="00D53821">
      <w:pPr>
        <w:tabs>
          <w:tab w:val="left" w:pos="7513"/>
        </w:tabs>
        <w:spacing w:before="240" w:after="24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Así, como se mencionó anteriormente, dicha información solo contempla los ejercicios del 2018 al 2022, siendo que el particular solicitó desde el año 2011. No obstante, es preciso referir que en respuesta </w:t>
      </w:r>
      <w:r w:rsidRPr="00AB23E8">
        <w:rPr>
          <w:rFonts w:ascii="Palatino Linotype" w:eastAsia="Palatino Linotype" w:hAnsi="Palatino Linotype" w:cs="Palatino Linotype"/>
          <w:b/>
        </w:rPr>
        <w:t>EL SUJETO OBLIGADO</w:t>
      </w:r>
      <w:r w:rsidRPr="00AB23E8">
        <w:rPr>
          <w:rFonts w:ascii="Palatino Linotype" w:eastAsia="Palatino Linotype" w:hAnsi="Palatino Linotype" w:cs="Palatino Linotype"/>
        </w:rPr>
        <w:t xml:space="preserve"> hizo entrega de los Estados </w:t>
      </w:r>
      <w:r w:rsidRPr="00AB23E8">
        <w:rPr>
          <w:rFonts w:ascii="Palatino Linotype" w:eastAsia="Palatino Linotype" w:hAnsi="Palatino Linotype" w:cs="Palatino Linotype"/>
        </w:rPr>
        <w:lastRenderedPageBreak/>
        <w:t xml:space="preserve">comparativos de Ingresos de los años 2011, 2012, 2013, 2014, 2015, 2016, 2017, 2018, 2019, 2020, 2021 y 2022 como se observa a continuación: </w:t>
      </w:r>
    </w:p>
    <w:p w:rsidR="001670A2" w:rsidRPr="00AB23E8" w:rsidRDefault="00D53821">
      <w:pPr>
        <w:tabs>
          <w:tab w:val="left" w:pos="7513"/>
        </w:tabs>
        <w:spacing w:before="240" w:after="24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835" cy="1778000"/>
            <wp:effectExtent l="0" t="0" r="0" b="0"/>
            <wp:docPr id="50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5791835" cy="1778000"/>
                    </a:xfrm>
                    <a:prstGeom prst="rect">
                      <a:avLst/>
                    </a:prstGeom>
                    <a:ln/>
                  </pic:spPr>
                </pic:pic>
              </a:graphicData>
            </a:graphic>
          </wp:inline>
        </w:drawing>
      </w:r>
    </w:p>
    <w:p w:rsidR="001670A2" w:rsidRPr="00AB23E8" w:rsidRDefault="00D53821">
      <w:pPr>
        <w:tabs>
          <w:tab w:val="left" w:pos="7513"/>
        </w:tabs>
        <w:spacing w:before="240" w:after="24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835" cy="2019300"/>
            <wp:effectExtent l="0" t="0" r="0" b="0"/>
            <wp:docPr id="50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5791835" cy="2019300"/>
                    </a:xfrm>
                    <a:prstGeom prst="rect">
                      <a:avLst/>
                    </a:prstGeom>
                    <a:ln/>
                  </pic:spPr>
                </pic:pic>
              </a:graphicData>
            </a:graphic>
          </wp:inline>
        </w:drawing>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lastRenderedPageBreak/>
        <w:drawing>
          <wp:inline distT="114300" distB="114300" distL="114300" distR="114300">
            <wp:extent cx="5791835" cy="2019300"/>
            <wp:effectExtent l="0" t="0" r="0" b="0"/>
            <wp:docPr id="50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791835" cy="2019300"/>
                    </a:xfrm>
                    <a:prstGeom prst="rect">
                      <a:avLst/>
                    </a:prstGeom>
                    <a:ln/>
                  </pic:spPr>
                </pic:pic>
              </a:graphicData>
            </a:graphic>
          </wp:inline>
        </w:drawing>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Dichos documentos contienen la información de los ingresos del municipio en diversos rubros, siendo de especial mención aquellos solicitados por el particular como lo son. Se insertan capturas de pantalla para mayor certeza: </w:t>
      </w:r>
    </w:p>
    <w:p w:rsidR="001670A2" w:rsidRPr="00AB23E8" w:rsidRDefault="00D53821">
      <w:pPr>
        <w:numPr>
          <w:ilvl w:val="0"/>
          <w:numId w:val="3"/>
        </w:numPr>
        <w:spacing w:before="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Impuestos</w:t>
      </w:r>
    </w:p>
    <w:p w:rsidR="001670A2" w:rsidRPr="00AB23E8" w:rsidRDefault="00D53821">
      <w:pPr>
        <w:numPr>
          <w:ilvl w:val="1"/>
          <w:numId w:val="3"/>
        </w:numPr>
        <w:spacing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 Ingresos sobre impuestos recaudados sobre conjuntos urbanos. </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200" cy="790529"/>
            <wp:effectExtent l="0" t="0" r="0" b="0"/>
            <wp:docPr id="50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t="11309" b="16516"/>
                    <a:stretch>
                      <a:fillRect/>
                    </a:stretch>
                  </pic:blipFill>
                  <pic:spPr>
                    <a:xfrm>
                      <a:off x="0" y="0"/>
                      <a:ext cx="5791200" cy="790529"/>
                    </a:xfrm>
                    <a:prstGeom prst="rect">
                      <a:avLst/>
                    </a:prstGeom>
                    <a:ln/>
                  </pic:spPr>
                </pic:pic>
              </a:graphicData>
            </a:graphic>
          </wp:inline>
        </w:drawing>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667375" cy="776271"/>
            <wp:effectExtent l="0" t="0" r="0" b="0"/>
            <wp:docPr id="50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a:srcRect l="1277"/>
                    <a:stretch>
                      <a:fillRect/>
                    </a:stretch>
                  </pic:blipFill>
                  <pic:spPr>
                    <a:xfrm>
                      <a:off x="0" y="0"/>
                      <a:ext cx="5667375" cy="776271"/>
                    </a:xfrm>
                    <a:prstGeom prst="rect">
                      <a:avLst/>
                    </a:prstGeom>
                    <a:ln/>
                  </pic:spPr>
                </pic:pic>
              </a:graphicData>
            </a:graphic>
          </wp:inline>
        </w:drawing>
      </w:r>
    </w:p>
    <w:p w:rsidR="001670A2" w:rsidRPr="00AB23E8" w:rsidRDefault="00D53821">
      <w:pPr>
        <w:numPr>
          <w:ilvl w:val="1"/>
          <w:numId w:val="3"/>
        </w:num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Impuestos recaudados sobre anuncios publicitarios:</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lastRenderedPageBreak/>
        <w:drawing>
          <wp:inline distT="114300" distB="114300" distL="114300" distR="114300">
            <wp:extent cx="5791200" cy="499550"/>
            <wp:effectExtent l="0" t="0" r="0" b="0"/>
            <wp:docPr id="50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5791200" cy="499550"/>
                    </a:xfrm>
                    <a:prstGeom prst="rect">
                      <a:avLst/>
                    </a:prstGeom>
                    <a:ln/>
                  </pic:spPr>
                </pic:pic>
              </a:graphicData>
            </a:graphic>
          </wp:inline>
        </w:drawing>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200" cy="389951"/>
            <wp:effectExtent l="0" t="0" r="0" b="0"/>
            <wp:docPr id="50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b="51262"/>
                    <a:stretch>
                      <a:fillRect/>
                    </a:stretch>
                  </pic:blipFill>
                  <pic:spPr>
                    <a:xfrm>
                      <a:off x="0" y="0"/>
                      <a:ext cx="5791200" cy="389951"/>
                    </a:xfrm>
                    <a:prstGeom prst="rect">
                      <a:avLst/>
                    </a:prstGeom>
                    <a:ln/>
                  </pic:spPr>
                </pic:pic>
              </a:graphicData>
            </a:graphic>
          </wp:inline>
        </w:drawing>
      </w:r>
    </w:p>
    <w:p w:rsidR="001670A2" w:rsidRPr="00AB23E8" w:rsidRDefault="00D53821">
      <w:pPr>
        <w:numPr>
          <w:ilvl w:val="1"/>
          <w:numId w:val="3"/>
        </w:num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impuestos sobre diversiones, juegos y espectáculos públicos:</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200" cy="458270"/>
            <wp:effectExtent l="0" t="0" r="0" b="0"/>
            <wp:docPr id="50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t="42723"/>
                    <a:stretch>
                      <a:fillRect/>
                    </a:stretch>
                  </pic:blipFill>
                  <pic:spPr>
                    <a:xfrm>
                      <a:off x="0" y="0"/>
                      <a:ext cx="5791200" cy="458270"/>
                    </a:xfrm>
                    <a:prstGeom prst="rect">
                      <a:avLst/>
                    </a:prstGeom>
                    <a:ln/>
                  </pic:spPr>
                </pic:pic>
              </a:graphicData>
            </a:graphic>
          </wp:inline>
        </w:drawing>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835" cy="165100"/>
            <wp:effectExtent l="0" t="0" r="0" b="0"/>
            <wp:docPr id="51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5"/>
                    <a:srcRect/>
                    <a:stretch>
                      <a:fillRect/>
                    </a:stretch>
                  </pic:blipFill>
                  <pic:spPr>
                    <a:xfrm>
                      <a:off x="0" y="0"/>
                      <a:ext cx="5791835" cy="165100"/>
                    </a:xfrm>
                    <a:prstGeom prst="rect">
                      <a:avLst/>
                    </a:prstGeom>
                    <a:ln/>
                  </pic:spPr>
                </pic:pic>
              </a:graphicData>
            </a:graphic>
          </wp:inline>
        </w:drawing>
      </w:r>
    </w:p>
    <w:p w:rsidR="001670A2" w:rsidRPr="00AB23E8" w:rsidRDefault="00D53821">
      <w:pPr>
        <w:numPr>
          <w:ilvl w:val="0"/>
          <w:numId w:val="3"/>
        </w:numPr>
        <w:spacing w:before="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Derechos </w:t>
      </w:r>
    </w:p>
    <w:p w:rsidR="001670A2" w:rsidRPr="00AB23E8" w:rsidRDefault="00D53821">
      <w:pPr>
        <w:numPr>
          <w:ilvl w:val="1"/>
          <w:numId w:val="3"/>
        </w:numPr>
        <w:spacing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Por el pago de los derechos establecidos en el artículo 143 y 144 del Código Financiero del Estado de México (DERECHOS DE DESARROLLO URBANO Y OBRAS PUBLICAS)</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835" cy="355600"/>
            <wp:effectExtent l="0" t="0" r="0" b="0"/>
            <wp:docPr id="5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a:stretch>
                      <a:fillRect/>
                    </a:stretch>
                  </pic:blipFill>
                  <pic:spPr>
                    <a:xfrm>
                      <a:off x="0" y="0"/>
                      <a:ext cx="5791835" cy="355600"/>
                    </a:xfrm>
                    <a:prstGeom prst="rect">
                      <a:avLst/>
                    </a:prstGeom>
                    <a:ln/>
                  </pic:spPr>
                </pic:pic>
              </a:graphicData>
            </a:graphic>
          </wp:inline>
        </w:drawing>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835" cy="266700"/>
            <wp:effectExtent l="0" t="0" r="0" b="0"/>
            <wp:docPr id="5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5791835" cy="266700"/>
                    </a:xfrm>
                    <a:prstGeom prst="rect">
                      <a:avLst/>
                    </a:prstGeom>
                    <a:ln/>
                  </pic:spPr>
                </pic:pic>
              </a:graphicData>
            </a:graphic>
          </wp:inline>
        </w:drawing>
      </w:r>
    </w:p>
    <w:p w:rsidR="001670A2" w:rsidRPr="00AB23E8" w:rsidRDefault="00D53821">
      <w:pPr>
        <w:numPr>
          <w:ilvl w:val="1"/>
          <w:numId w:val="3"/>
        </w:num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Por los conceptos establecidos en el artículo 143 fracción IV y 144 fracción IV del Código Financiero del Estado de México del 2011 al 2017.</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lastRenderedPageBreak/>
        <w:drawing>
          <wp:inline distT="114300" distB="114300" distL="114300" distR="114300">
            <wp:extent cx="5791835" cy="266700"/>
            <wp:effectExtent l="0" t="0" r="0" b="0"/>
            <wp:docPr id="4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5791835" cy="266700"/>
                    </a:xfrm>
                    <a:prstGeom prst="rect">
                      <a:avLst/>
                    </a:prstGeom>
                    <a:ln/>
                  </pic:spPr>
                </pic:pic>
              </a:graphicData>
            </a:graphic>
          </wp:inline>
        </w:drawing>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835" cy="152400"/>
            <wp:effectExtent l="0" t="0" r="0" b="0"/>
            <wp:docPr id="4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791835" cy="152400"/>
                    </a:xfrm>
                    <a:prstGeom prst="rect">
                      <a:avLst/>
                    </a:prstGeom>
                    <a:ln/>
                  </pic:spPr>
                </pic:pic>
              </a:graphicData>
            </a:graphic>
          </wp:inline>
        </w:drawing>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835" cy="152400"/>
            <wp:effectExtent l="0" t="0" r="0" b="0"/>
            <wp:docPr id="4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5791835" cy="152400"/>
                    </a:xfrm>
                    <a:prstGeom prst="rect">
                      <a:avLst/>
                    </a:prstGeom>
                    <a:ln/>
                  </pic:spPr>
                </pic:pic>
              </a:graphicData>
            </a:graphic>
          </wp:inline>
        </w:drawing>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835" cy="139700"/>
            <wp:effectExtent l="0" t="0" r="0" b="0"/>
            <wp:docPr id="48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5791835" cy="139700"/>
                    </a:xfrm>
                    <a:prstGeom prst="rect">
                      <a:avLst/>
                    </a:prstGeom>
                    <a:ln/>
                  </pic:spPr>
                </pic:pic>
              </a:graphicData>
            </a:graphic>
          </wp:inline>
        </w:drawing>
      </w:r>
    </w:p>
    <w:p w:rsidR="001670A2" w:rsidRPr="00AB23E8" w:rsidRDefault="00D53821">
      <w:pPr>
        <w:numPr>
          <w:ilvl w:val="1"/>
          <w:numId w:val="3"/>
        </w:num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Ingresos recaudados por lo establecido en el artículo 154 del Código Financiero del Estado de México del 2011 al 2021. (Por el uso de vías, plazas públicas, mercados públicos municipales o áreas de uso común para realizar actividades comerciales o de servicio)</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200" cy="290558"/>
            <wp:effectExtent l="0" t="0" r="0" b="0"/>
            <wp:docPr id="48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5791200" cy="290558"/>
                    </a:xfrm>
                    <a:prstGeom prst="rect">
                      <a:avLst/>
                    </a:prstGeom>
                    <a:ln/>
                  </pic:spPr>
                </pic:pic>
              </a:graphicData>
            </a:graphic>
          </wp:inline>
        </w:drawing>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200" cy="309546"/>
            <wp:effectExtent l="0" t="0" r="0" b="0"/>
            <wp:docPr id="4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791200" cy="309546"/>
                    </a:xfrm>
                    <a:prstGeom prst="rect">
                      <a:avLst/>
                    </a:prstGeom>
                    <a:ln/>
                  </pic:spPr>
                </pic:pic>
              </a:graphicData>
            </a:graphic>
          </wp:inline>
        </w:drawing>
      </w:r>
    </w:p>
    <w:p w:rsidR="001670A2" w:rsidRPr="00AB23E8" w:rsidRDefault="00D53821">
      <w:pPr>
        <w:numPr>
          <w:ilvl w:val="1"/>
          <w:numId w:val="3"/>
        </w:num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Ingresos recaudados por los Derechos establecidos en la fracción I en Puestos fijos, semi fijos y Comerciantes ambulantes, del 2011 al 2021.</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200" cy="290558"/>
            <wp:effectExtent l="0" t="0" r="0" b="0"/>
            <wp:docPr id="48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5791200" cy="290558"/>
                    </a:xfrm>
                    <a:prstGeom prst="rect">
                      <a:avLst/>
                    </a:prstGeom>
                    <a:ln/>
                  </pic:spPr>
                </pic:pic>
              </a:graphicData>
            </a:graphic>
          </wp:inline>
        </w:drawing>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200" cy="309546"/>
            <wp:effectExtent l="0" t="0" r="0" b="0"/>
            <wp:docPr id="4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791200" cy="309546"/>
                    </a:xfrm>
                    <a:prstGeom prst="rect">
                      <a:avLst/>
                    </a:prstGeom>
                    <a:ln/>
                  </pic:spPr>
                </pic:pic>
              </a:graphicData>
            </a:graphic>
          </wp:inline>
        </w:drawing>
      </w:r>
    </w:p>
    <w:p w:rsidR="001670A2" w:rsidRPr="00AB23E8" w:rsidRDefault="00D53821">
      <w:pPr>
        <w:numPr>
          <w:ilvl w:val="1"/>
          <w:numId w:val="3"/>
        </w:num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lastRenderedPageBreak/>
        <w:t>Ingresos recaudados por los Derechos establecidos en la fracción I en Tianguis y Ferias, bazares o ferias de temporadas del 2011 al 2021.</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200" cy="290558"/>
            <wp:effectExtent l="0" t="0" r="0" b="0"/>
            <wp:docPr id="49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5791200" cy="290558"/>
                    </a:xfrm>
                    <a:prstGeom prst="rect">
                      <a:avLst/>
                    </a:prstGeom>
                    <a:ln/>
                  </pic:spPr>
                </pic:pic>
              </a:graphicData>
            </a:graphic>
          </wp:inline>
        </w:drawing>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200" cy="309546"/>
            <wp:effectExtent l="0" t="0" r="0" b="0"/>
            <wp:docPr id="49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791200" cy="309546"/>
                    </a:xfrm>
                    <a:prstGeom prst="rect">
                      <a:avLst/>
                    </a:prstGeom>
                    <a:ln/>
                  </pic:spPr>
                </pic:pic>
              </a:graphicData>
            </a:graphic>
          </wp:inline>
        </w:drawing>
      </w:r>
    </w:p>
    <w:p w:rsidR="001670A2" w:rsidRPr="00AB23E8" w:rsidRDefault="00D53821">
      <w:pPr>
        <w:numPr>
          <w:ilvl w:val="1"/>
          <w:numId w:val="3"/>
        </w:num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Ingreso recaudado por los Derechos de estacionamiento en la vía pública y servicios establecidos en el artículo 152 fracción II del Código Financiero del 2011 al 2021 </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835" cy="330200"/>
            <wp:effectExtent l="0" t="0" r="0" b="0"/>
            <wp:docPr id="4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5791835" cy="330200"/>
                    </a:xfrm>
                    <a:prstGeom prst="rect">
                      <a:avLst/>
                    </a:prstGeom>
                    <a:ln/>
                  </pic:spPr>
                </pic:pic>
              </a:graphicData>
            </a:graphic>
          </wp:inline>
        </w:drawing>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835" cy="330200"/>
            <wp:effectExtent l="0" t="0" r="0" b="0"/>
            <wp:docPr id="4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5791835" cy="330200"/>
                    </a:xfrm>
                    <a:prstGeom prst="rect">
                      <a:avLst/>
                    </a:prstGeom>
                    <a:ln/>
                  </pic:spPr>
                </pic:pic>
              </a:graphicData>
            </a:graphic>
          </wp:inline>
        </w:drawing>
      </w:r>
    </w:p>
    <w:p w:rsidR="001670A2" w:rsidRPr="00AB23E8" w:rsidRDefault="00D53821">
      <w:pPr>
        <w:numPr>
          <w:ilvl w:val="1"/>
          <w:numId w:val="3"/>
        </w:num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Ingresos recaudados por los derechos de estacionamiento en vía pública y de servicios públicos establecidos en el artículo 158 del Código Financiero del Estado de México. </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835" cy="330200"/>
            <wp:effectExtent l="0" t="0" r="0" b="0"/>
            <wp:docPr id="4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5791835" cy="330200"/>
                    </a:xfrm>
                    <a:prstGeom prst="rect">
                      <a:avLst/>
                    </a:prstGeom>
                    <a:ln/>
                  </pic:spPr>
                </pic:pic>
              </a:graphicData>
            </a:graphic>
          </wp:inline>
        </w:drawing>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835" cy="330200"/>
            <wp:effectExtent l="0" t="0" r="0" b="0"/>
            <wp:docPr id="4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5791835" cy="330200"/>
                    </a:xfrm>
                    <a:prstGeom prst="rect">
                      <a:avLst/>
                    </a:prstGeom>
                    <a:ln/>
                  </pic:spPr>
                </pic:pic>
              </a:graphicData>
            </a:graphic>
          </wp:inline>
        </w:drawing>
      </w:r>
    </w:p>
    <w:p w:rsidR="001670A2" w:rsidRPr="00AB23E8" w:rsidRDefault="00D53821">
      <w:pPr>
        <w:numPr>
          <w:ilvl w:val="1"/>
          <w:numId w:val="3"/>
        </w:num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lastRenderedPageBreak/>
        <w:t xml:space="preserve">Ingresos por la expedición o refrendo anual de licencias para la venta de bebidas alcohólicas al público, establecidos en el artículo 159 fracción I por cada uno de sus incisos del 2011 al 2021. </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200" cy="734644"/>
            <wp:effectExtent l="0" t="0" r="0" b="0"/>
            <wp:docPr id="4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5791200" cy="734644"/>
                    </a:xfrm>
                    <a:prstGeom prst="rect">
                      <a:avLst/>
                    </a:prstGeom>
                    <a:ln/>
                  </pic:spPr>
                </pic:pic>
              </a:graphicData>
            </a:graphic>
          </wp:inline>
        </w:drawing>
      </w:r>
    </w:p>
    <w:p w:rsidR="001670A2" w:rsidRPr="00AB23E8" w:rsidRDefault="00D53821">
      <w:pPr>
        <w:numPr>
          <w:ilvl w:val="1"/>
          <w:numId w:val="3"/>
        </w:num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Ingreso recusado por los derechos de la expedición o refrendo anual de licencias para la venta de bebidas alcohólicas al público, establecidos en el artículo 159 fracción II y III por cada uno de sus incisos del Código Financiero del Estado de México y Municipios del 2011 al 2021.</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5791200" cy="734644"/>
            <wp:effectExtent l="0" t="0" r="0" b="0"/>
            <wp:docPr id="4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5791200" cy="734644"/>
                    </a:xfrm>
                    <a:prstGeom prst="rect">
                      <a:avLst/>
                    </a:prstGeom>
                    <a:ln/>
                  </pic:spPr>
                </pic:pic>
              </a:graphicData>
            </a:graphic>
          </wp:inline>
        </w:drawing>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De lo anterior se coligue que mediante los estados comparativos presupuestales de ingresos de los años 2011, 2012, 2013, 2014, 2015, 2016, 2017, 2018, 2019, 2020, 2021 se encuentran los montos de los diferentes ingresos recaudados que, aun cuando el ente recurrido genera dicha información vale la pena reiterar que en respuesta refirió que no lo hace al grado de desagregación solicitado por el particular, ya que lo que requiere en su solicitud de información es un cálculo específico que el Ayuntamiento no está obligado a generar, reiterando que en términos del artículo 12 de la Ley de </w:t>
      </w:r>
      <w:r w:rsidRPr="00AB23E8">
        <w:rPr>
          <w:rFonts w:ascii="Palatino Linotype" w:eastAsia="Palatino Linotype" w:hAnsi="Palatino Linotype" w:cs="Palatino Linotype"/>
        </w:rPr>
        <w:lastRenderedPageBreak/>
        <w:t xml:space="preserve">Transparencia y Acceso a la Información del Estado de México y Municipios,  los Sujetos Obligados únicamente se encuentran constreñidos a entregar la información que obre en sus archivos en el estado en que se encuentre sin que deban procesar o para el caso que nos ocupa efectuar cálculos y por tanto se tiene por colmados dichos rubros de la solicitud. </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Por otra parte, en cuanto a: </w:t>
      </w:r>
      <w:r w:rsidRPr="00AB23E8">
        <w:rPr>
          <w:rFonts w:ascii="Palatino Linotype" w:eastAsia="Palatino Linotype" w:hAnsi="Palatino Linotype" w:cs="Palatino Linotype"/>
          <w:i/>
        </w:rPr>
        <w:t xml:space="preserve">Si el municipio tuvo que reintegrar algún pago efectuado por los Derechos establecidos en el artículo 143 fracción IV y 144 fracción VI del Código Financiero a alguna empresa pública, por ser de competencia federal y Si al municipio le retuvieron por parte de la Secretaría de Finanzas del Estado algún recurso económico para subsanar pagos  efectuados por empresa pública o privada por los Derechos establecidos en el artículo 143 fracción IV y 144 fracción VI del Código Financiero, derivado de alguna ordena judicial o administrativa en los ejercicios fiscales 2017, 2018. </w:t>
      </w:r>
      <w:r w:rsidRPr="00AB23E8">
        <w:rPr>
          <w:rFonts w:ascii="Palatino Linotype" w:eastAsia="Palatino Linotype" w:hAnsi="Palatino Linotype" w:cs="Palatino Linotype"/>
        </w:rPr>
        <w:t xml:space="preserve">Se advierte que </w:t>
      </w:r>
      <w:r w:rsidRPr="00AB23E8">
        <w:rPr>
          <w:rFonts w:ascii="Palatino Linotype" w:eastAsia="Palatino Linotype" w:hAnsi="Palatino Linotype" w:cs="Palatino Linotype"/>
          <w:b/>
        </w:rPr>
        <w:t xml:space="preserve">EL SUJETO OBLIGADO </w:t>
      </w:r>
      <w:r w:rsidRPr="00AB23E8">
        <w:rPr>
          <w:rFonts w:ascii="Palatino Linotype" w:eastAsia="Palatino Linotype" w:hAnsi="Palatino Linotype" w:cs="Palatino Linotype"/>
        </w:rPr>
        <w:t xml:space="preserve">en respuesta señaló por medio del Tesorero municipal lo siguiente: </w:t>
      </w:r>
    </w:p>
    <w:p w:rsidR="001670A2" w:rsidRPr="00AB23E8" w:rsidRDefault="00D53821">
      <w:pPr>
        <w:spacing w:before="280" w:after="280"/>
        <w:ind w:left="708"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“Le informo que los Derechos establecidos en el artículo 143 fracción IV y 144 fracción VI del Código Financiero del Estado de México y Municipios no son competencia Federal por lo anterior no se han reintegrado pagos” (Sic)</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Luego entonces, al haber existido un pronunciamiento por parte del </w:t>
      </w:r>
      <w:r w:rsidRPr="00AB23E8">
        <w:rPr>
          <w:rFonts w:ascii="Palatino Linotype" w:eastAsia="Palatino Linotype" w:hAnsi="Palatino Linotype" w:cs="Palatino Linotype"/>
          <w:b/>
        </w:rPr>
        <w:t>SUJETO OBLIGADO</w:t>
      </w:r>
      <w:r w:rsidRPr="00AB23E8">
        <w:rPr>
          <w:rFonts w:ascii="Palatino Linotype" w:eastAsia="Palatino Linotype" w:hAnsi="Palatino Linotype" w:cs="Palatino Linotype"/>
        </w:rPr>
        <w:t xml:space="preserve"> en atención a sus competencias y atribuciones a fin de dar respuesta a la solicitud planteada,  se está ante la presencia de un hecho negativo, señalando no haber generado a información solicitada si se está ante la presencia de un hecho negativo, ya que no puede probarse por ser lógica y materialmente imposible, en razón de que, al </w:t>
      </w:r>
      <w:r w:rsidRPr="00AB23E8">
        <w:rPr>
          <w:rFonts w:ascii="Palatino Linotype" w:eastAsia="Palatino Linotype" w:hAnsi="Palatino Linotype" w:cs="Palatino Linotype"/>
        </w:rPr>
        <w:lastRenderedPageBreak/>
        <w:t>no haber generado dicha información, no la posee, no administra y no cuenta con la misma.</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Lo anterior, ya que de conformidad con lo establecido en el artículo 12 de la Ley de Transparencia y Acceso a la Información Pública del Estado de México y Municipios </w:t>
      </w:r>
      <w:r w:rsidRPr="00AB23E8">
        <w:rPr>
          <w:rFonts w:ascii="Palatino Linotype" w:eastAsia="Palatino Linotype" w:hAnsi="Palatino Linotype" w:cs="Palatino Linotype"/>
          <w:b/>
        </w:rPr>
        <w:t>EL SUJETO OBLIGADO</w:t>
      </w:r>
      <w:r w:rsidRPr="00AB23E8">
        <w:rPr>
          <w:rFonts w:ascii="Palatino Linotype" w:eastAsia="Palatino Linotype" w:hAnsi="Palatino Linotype" w:cs="Palatino Linotype"/>
        </w:rPr>
        <w:t xml:space="preserve"> sólo proporcionará la información que se les requiera y que obre en sus archivos, lo que a contrario sensu significa que no se está obligado a proporcionar lo que no obre en sus archivos; destacando entonces que el Pleno de este Órgano Garante, ha sostenido que ante la presencia de un hecho negativo, resultaría innecesaria una declaratoria de inexistencia, en términos de los artículos 19, 169 y 170 de la Ley de la materia, y ante un hecho negativo resulta aplicable la siguiente tesis:</w:t>
      </w:r>
    </w:p>
    <w:p w:rsidR="001670A2" w:rsidRPr="00AB23E8" w:rsidRDefault="00D53821">
      <w:pPr>
        <w:widowControl w:val="0"/>
        <w:tabs>
          <w:tab w:val="left" w:pos="1276"/>
        </w:tabs>
        <w:ind w:left="851" w:right="899"/>
        <w:jc w:val="both"/>
        <w:rPr>
          <w:rFonts w:ascii="Palatino Linotype" w:eastAsia="Palatino Linotype" w:hAnsi="Palatino Linotype" w:cs="Palatino Linotype"/>
          <w:b/>
          <w:i/>
          <w:sz w:val="22"/>
          <w:szCs w:val="22"/>
        </w:rPr>
      </w:pPr>
      <w:r w:rsidRPr="00AB23E8">
        <w:rPr>
          <w:rFonts w:ascii="Palatino Linotype" w:eastAsia="Palatino Linotype" w:hAnsi="Palatino Linotype" w:cs="Palatino Linotype"/>
          <w:b/>
          <w:i/>
          <w:sz w:val="22"/>
          <w:szCs w:val="22"/>
        </w:rPr>
        <w:t>“HECHOS NEGATIVOS, NO SON SUSCEPTIBLES DE DEMOSTRACIÓN.</w:t>
      </w:r>
    </w:p>
    <w:p w:rsidR="001670A2" w:rsidRPr="00AB23E8" w:rsidRDefault="00D53821">
      <w:pPr>
        <w:widowControl w:val="0"/>
        <w:tabs>
          <w:tab w:val="left" w:pos="1276"/>
        </w:tabs>
        <w:ind w:left="851"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rsidR="001670A2" w:rsidRPr="00AB23E8" w:rsidRDefault="00D53821">
      <w:pPr>
        <w:widowControl w:val="0"/>
        <w:tabs>
          <w:tab w:val="left" w:pos="1276"/>
        </w:tabs>
        <w:ind w:left="851" w:right="899"/>
        <w:jc w:val="both"/>
        <w:rPr>
          <w:rFonts w:ascii="Palatino Linotype" w:eastAsia="Palatino Linotype" w:hAnsi="Palatino Linotype" w:cs="Palatino Linotype"/>
        </w:rPr>
      </w:pPr>
      <w:r w:rsidRPr="00AB23E8">
        <w:rPr>
          <w:rFonts w:ascii="Palatino Linotype" w:eastAsia="Palatino Linotype" w:hAnsi="Palatino Linotype" w:cs="Palatino Linotype"/>
          <w:i/>
          <w:sz w:val="22"/>
          <w:szCs w:val="22"/>
        </w:rPr>
        <w:t>Amparo en revisión 2022/61. José García Florín (Menor). 9 de octubre de 1961. Cinco votos. Ponente: José Rivera Pérez Campos.”</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De igual forma, es aplicable el criterio 7/2017, emitido en la Segunda Época por el Instituto Nacional de Transparencia, Acceso a la Información y Protección de Datos Personales (INAI), el cual señala lo siguiente:</w:t>
      </w:r>
    </w:p>
    <w:p w:rsidR="001670A2" w:rsidRPr="00AB23E8" w:rsidRDefault="00D53821">
      <w:pPr>
        <w:widowControl w:val="0"/>
        <w:tabs>
          <w:tab w:val="left" w:pos="1276"/>
        </w:tabs>
        <w:ind w:left="851"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w:t>
      </w:r>
      <w:r w:rsidRPr="00AB23E8">
        <w:rPr>
          <w:rFonts w:ascii="Palatino Linotype" w:eastAsia="Palatino Linotype" w:hAnsi="Palatino Linotype" w:cs="Palatino Linotype"/>
          <w:i/>
          <w:sz w:val="22"/>
          <w:szCs w:val="22"/>
        </w:rPr>
        <w:lastRenderedPageBreak/>
        <w:t>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rsidR="001670A2" w:rsidRPr="00AB23E8" w:rsidRDefault="00D53821">
      <w:pPr>
        <w:widowControl w:val="0"/>
        <w:tabs>
          <w:tab w:val="left" w:pos="1276"/>
        </w:tabs>
        <w:ind w:left="851"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(Énfasis añadido)</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Aunado a ello, se debe mencionar que este Instituto no está facultado para pronunciarse sobre la veracidad de la información proporcionada y se tiene por colmado dicho punto de la solicitud. </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Mismo es el caso por lo que hace a los anuncios que no pagan impuestos y que se encuentran previstos en el penúltimo párrafo del artículo 121 del Código Financiero del Estado de México y Municipios,  sobre el cual la Dirección de Desarrollo Urbano informó que por ser anuncios que tienen como única finalidad publicitar el nombre, la denominación o razón social del establecimiento, así como aquellos que promuevan eventos educativos o culturales que no persigan fines de lucro; esta dependencia al no requerirlos por estar exentos de tramitar autorizaciones, no tiene registro de su número y por tanto se tiene por colmado. </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En cuanto al </w:t>
      </w:r>
      <w:r w:rsidRPr="00AB23E8">
        <w:rPr>
          <w:rFonts w:ascii="Palatino Linotype" w:eastAsia="Palatino Linotype" w:hAnsi="Palatino Linotype" w:cs="Palatino Linotype"/>
          <w:i/>
        </w:rPr>
        <w:t xml:space="preserve">Número de cajones autorizados para la prestación de servicios de sitios de taxis o bases de servicio público de transporte de pasajeros, </w:t>
      </w:r>
      <w:r w:rsidRPr="00AB23E8">
        <w:rPr>
          <w:rFonts w:ascii="Palatino Linotype" w:eastAsia="Palatino Linotype" w:hAnsi="Palatino Linotype" w:cs="Palatino Linotype"/>
        </w:rPr>
        <w:t xml:space="preserve">la Dirección de Desarrollo Económico indicó que dicha dependencia efectivamente cuenta con las atribuciones para conceder </w:t>
      </w:r>
      <w:r w:rsidRPr="00AB23E8">
        <w:rPr>
          <w:rFonts w:ascii="Palatino Linotype" w:eastAsia="Palatino Linotype" w:hAnsi="Palatino Linotype" w:cs="Palatino Linotype"/>
        </w:rPr>
        <w:lastRenderedPageBreak/>
        <w:t>dichos permisos y una vez acreditas los requisitos solicitados se expedirá el permiso correspondiente señalado el número de cajones autorizados para cada uno de los estacionamientos.</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Atento a lo anterior, del pronunciamiento expuesto por el área competente se puede entender que el número de cajones de estacionamiento autorizados depende de las particularidades de cada licencia solicitada, es decir, atienden al caso en concreto y por tanto no se puede señalar un monto específico y con el pronunciamiento entregado en respuesta se tiene por atendida esa parte de la solicitud. </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En relación al</w:t>
      </w:r>
      <w:r w:rsidRPr="00AB23E8">
        <w:rPr>
          <w:rFonts w:ascii="Palatino Linotype" w:eastAsia="Palatino Linotype" w:hAnsi="Palatino Linotype" w:cs="Palatino Linotype"/>
          <w:i/>
        </w:rPr>
        <w:t xml:space="preserve"> Padrón de las empresas que pagan autorización de carga y descarga en vía pública </w:t>
      </w:r>
      <w:r w:rsidRPr="00AB23E8">
        <w:rPr>
          <w:rFonts w:ascii="Palatino Linotype" w:eastAsia="Palatino Linotype" w:hAnsi="Palatino Linotype" w:cs="Palatino Linotype"/>
        </w:rPr>
        <w:t xml:space="preserve">hubo respuesta por dos áreas. Por una parte  la Dirección de Desarrollo Económico indicó que en fecha 5 de febrero de 2022, se publicó el Bando Municipal de Cuautitlán Izcalli que en su artículo 46 fracción IV, faculta a la Dirección de Desarrollo Económico expedir los permisos de carga y descarga, a los particulares que lo soliciten; al respecto, es menester hacerle de su conocimiento que es una nueva facultad que se incorpora a esta Dependencia y nos encontramos en espera de que la Dirección de Desarrollo Urbano nos entregue la información con la que cuenta. </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En tal sentido, toda vez que la atribución le fue conferida a la Dirección de Desarrollo Económico hasta el cinco de febrero de dos mil veintidós, y la información solicitada es del periodo comprendido del primero de enero de dos mil veintiuno al treinta y uno de diciembre de dos mil veintiuno, la autoridad competente era la Dirección de </w:t>
      </w:r>
      <w:r w:rsidRPr="00AB23E8">
        <w:rPr>
          <w:rFonts w:ascii="Palatino Linotype" w:eastAsia="Palatino Linotype" w:hAnsi="Palatino Linotype" w:cs="Palatino Linotype"/>
        </w:rPr>
        <w:lastRenderedPageBreak/>
        <w:t xml:space="preserve">Desarrollo Urbano mediante la Dirección General de Desarrollo Metropolitano, misma que señaló no tener la obligación de genera dicho padrón. </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Por otra parte la Dirección de Desarrollo Urbano refirió que antes del inicio de la presente administración municipal, la dependencia encargada de la expedición de los permisos de carga y descarga, era la entonces Dirección General de Desarrollo Metropolitano, la cual conforme a las atribuciones que le eran propias, no tenía la obligación de contar con un Padrón de las empresas solicitantes en la tramitación de estos permisos, no obstante si es obligación de Transparencia común a todos los Sujetos Obligados  el publicar las concesiones, licencias o autorizaciones otorgadas, como lo establece el artículo 92 fracción XXXII de la Ley de Transparencia y Acceso a la Información Pública de Estado de México y Municipios, como se parecía a continuación:</w:t>
      </w:r>
    </w:p>
    <w:p w:rsidR="001670A2" w:rsidRPr="00AB23E8" w:rsidRDefault="00D53821">
      <w:pPr>
        <w:spacing w:before="280" w:after="280"/>
        <w:ind w:left="850"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w:t>
      </w:r>
      <w:r w:rsidRPr="00AB23E8">
        <w:rPr>
          <w:rFonts w:ascii="Palatino Linotype" w:eastAsia="Palatino Linotype" w:hAnsi="Palatino Linotype" w:cs="Palatino Linotype"/>
          <w:b/>
          <w:i/>
          <w:sz w:val="22"/>
          <w:szCs w:val="22"/>
        </w:rPr>
        <w:t xml:space="preserve">Artículo 92. </w:t>
      </w:r>
      <w:r w:rsidRPr="00AB23E8">
        <w:rPr>
          <w:rFonts w:ascii="Palatino Linotype" w:eastAsia="Palatino Linotype" w:hAnsi="Palatino Linotype" w:cs="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1670A2" w:rsidRPr="00AB23E8" w:rsidRDefault="00D53821">
      <w:pPr>
        <w:spacing w:before="280" w:after="280"/>
        <w:ind w:left="850"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XXXII.</w:t>
      </w:r>
      <w:r w:rsidRPr="00AB23E8">
        <w:rPr>
          <w:rFonts w:ascii="Palatino Linotype" w:eastAsia="Palatino Linotype" w:hAnsi="Palatino Linotype" w:cs="Palatino Linotype"/>
          <w:i/>
          <w:sz w:val="22"/>
          <w:szCs w:val="22"/>
        </w:rPr>
        <w:t xml:space="preserve">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(Sic) </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lastRenderedPageBreak/>
        <w:t xml:space="preserve">En tal sentido, a efecto de generar certeza en el particular se le ordena haga entrega de las empresas que pagan autorización de carga y descarga en vía pública del primero de enero de dos mil once al treinta y uno de diciembre de dos mil veintiuno. </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Respecto de </w:t>
      </w:r>
      <w:r w:rsidRPr="00AB23E8">
        <w:rPr>
          <w:rFonts w:ascii="Palatino Linotype" w:eastAsia="Palatino Linotype" w:hAnsi="Palatino Linotype" w:cs="Palatino Linotype"/>
          <w:i/>
        </w:rPr>
        <w:t xml:space="preserve">Especificar ¿Cuántas personas Fisicas y colectivas pagan el Derecho de refrendo por cada inciso del A) al G) y ¿Cúantos pagan dos o más derechos establecidos en el artículo 159 fracción I ? </w:t>
      </w:r>
      <w:r w:rsidRPr="00AB23E8">
        <w:rPr>
          <w:rFonts w:ascii="Palatino Linotype" w:eastAsia="Palatino Linotype" w:hAnsi="Palatino Linotype" w:cs="Palatino Linotype"/>
        </w:rPr>
        <w:t>La Dirección de Desarrollo Económico refirió a través del Departamento de Licencias de Funcionamiento que emite la orden de pago correspondiente, por los derechos, por la expedición o refrendo anual para vender bebidas alcohólicas al público en botella cerrada, o al copeo en general, en establecimientos comerciales, de servicios o de diversión y espectáculos públicos, estipulado en el artículo 159 del Código Financiero del Estados de México y Municipios, basándose en el análisis de la información que obra en sus archivos, de la cual se desprenden los siguientes:</w:t>
      </w:r>
    </w:p>
    <w:p w:rsidR="001670A2" w:rsidRPr="00AB23E8" w:rsidRDefault="00D53821">
      <w:pPr>
        <w:spacing w:before="280" w:after="280" w:line="360" w:lineRule="auto"/>
        <w:jc w:val="center"/>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3105150" cy="1400175"/>
            <wp:effectExtent l="0" t="0" r="0" b="0"/>
            <wp:docPr id="4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3105150" cy="1400175"/>
                    </a:xfrm>
                    <a:prstGeom prst="rect">
                      <a:avLst/>
                    </a:prstGeom>
                    <a:ln/>
                  </pic:spPr>
                </pic:pic>
              </a:graphicData>
            </a:graphic>
          </wp:inline>
        </w:drawing>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noProof/>
        </w:rPr>
        <w:drawing>
          <wp:inline distT="114300" distB="114300" distL="114300" distR="114300">
            <wp:extent cx="4533900" cy="476250"/>
            <wp:effectExtent l="0" t="0" r="0" b="0"/>
            <wp:docPr id="48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4533900" cy="476250"/>
                    </a:xfrm>
                    <a:prstGeom prst="rect">
                      <a:avLst/>
                    </a:prstGeom>
                    <a:ln/>
                  </pic:spPr>
                </pic:pic>
              </a:graphicData>
            </a:graphic>
          </wp:inline>
        </w:drawing>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lastRenderedPageBreak/>
        <w:t xml:space="preserve">De la imagen anterior se desprende que </w:t>
      </w:r>
      <w:r w:rsidRPr="00AB23E8">
        <w:rPr>
          <w:rFonts w:ascii="Palatino Linotype" w:eastAsia="Palatino Linotype" w:hAnsi="Palatino Linotype" w:cs="Palatino Linotype"/>
          <w:b/>
        </w:rPr>
        <w:t>EL SUJETO OBLIGADO</w:t>
      </w:r>
      <w:r w:rsidRPr="00AB23E8">
        <w:rPr>
          <w:rFonts w:ascii="Palatino Linotype" w:eastAsia="Palatino Linotype" w:hAnsi="Palatino Linotype" w:cs="Palatino Linotype"/>
        </w:rPr>
        <w:t xml:space="preserve"> indica el número de órdenes de pago establecidas por concepto del refrendo para la venta de bebidas alcohólicas, sin embargo, no conoce el número de cuantos pagan más de dos derechos y toda vez que no se advierte fuente normativa que lo obligue a conocer dicho dato se tiene por colmado. </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Empero, dentro de los registros entregados falta la información del periodo comprendido del año 2011 al 2015, por lo cual es dable ordenar su entrega.</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Finalmente en cuanto al monto recibido por concepto de impuestos sobre Las máquinas de entretenimiento de audio, vídeo, vídeo juegos, eléctricas y electrónicas, mesas de aire, futbolitos, y los juegos de computadora que se activen con monedas, fichas, tarjetas magnéticas o cualquier otro dispositivo y que impliquen interacción de uno o varios usuarios con dichas máquinas o aparatos y los Ingresos recaudados por los derechos de estacionamiento en la vía pública y servicios públicos establecidos en el artículo 157 fracción III del Código Financiero del Estado de México del 2011 al 2021, señalando si es comercio establecido, pago de cajones para carga y descarga o empresas repartidoras pago de cajones para carga y descarga. No se advierte que dicha información obre dentro de la información entregada en respuesta aun cuando el SUEJTO OBLIGADO admitió ser competente para conocer de la información en los numerales 3 y 4 de la solicitud de información, por lo cual a efecto de generar certeza en el particular deberá hacer entrega de la misma al mayor grado de desagregación posible. </w:t>
      </w:r>
    </w:p>
    <w:p w:rsidR="001670A2" w:rsidRPr="00AB23E8" w:rsidRDefault="00D53821">
      <w:p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lastRenderedPageBreak/>
        <w:t xml:space="preserve">Expuesto lo anterior, se determina </w:t>
      </w:r>
      <w:r w:rsidRPr="00AB23E8">
        <w:rPr>
          <w:rFonts w:ascii="Palatino Linotype" w:eastAsia="Palatino Linotype" w:hAnsi="Palatino Linotype" w:cs="Palatino Linotype"/>
          <w:b/>
        </w:rPr>
        <w:t>MODIFICAR l</w:t>
      </w:r>
      <w:r w:rsidRPr="00AB23E8">
        <w:rPr>
          <w:rFonts w:ascii="Palatino Linotype" w:eastAsia="Palatino Linotype" w:hAnsi="Palatino Linotype" w:cs="Palatino Linotype"/>
        </w:rPr>
        <w:t xml:space="preserve">a respuesta del Sujeto Obligado por resultar </w:t>
      </w:r>
      <w:r w:rsidRPr="00AB23E8">
        <w:rPr>
          <w:rFonts w:ascii="Palatino Linotype" w:eastAsia="Palatino Linotype" w:hAnsi="Palatino Linotype" w:cs="Palatino Linotype"/>
          <w:b/>
        </w:rPr>
        <w:t xml:space="preserve">parcialmente fundados </w:t>
      </w:r>
      <w:r w:rsidRPr="00AB23E8">
        <w:rPr>
          <w:rFonts w:ascii="Palatino Linotype" w:eastAsia="Palatino Linotype" w:hAnsi="Palatino Linotype" w:cs="Palatino Linotype"/>
        </w:rPr>
        <w:t xml:space="preserve">los motivos de inconformidad, vertidos por el particular en el presente Recurso de Revisión y ordenar la entrega en versión pública se ser procedente del soporte documental donde conste del periodo comprendido del primero de enero de dos mil once al treinta y uno de diciembre de dos mil veintiuno lo siguiente: </w:t>
      </w:r>
    </w:p>
    <w:p w:rsidR="001670A2" w:rsidRPr="00AB23E8" w:rsidRDefault="00D53821">
      <w:pPr>
        <w:numPr>
          <w:ilvl w:val="0"/>
          <w:numId w:val="4"/>
        </w:numPr>
        <w:spacing w:before="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Las empresas que pagan autorización de carga y descarga en vía pública del primero de enero de dos mil once al treinta y uno de diciembre de dos mil veintiuno. </w:t>
      </w:r>
    </w:p>
    <w:p w:rsidR="001670A2" w:rsidRPr="00AB23E8" w:rsidRDefault="00D53821">
      <w:pPr>
        <w:numPr>
          <w:ilvl w:val="0"/>
          <w:numId w:val="4"/>
        </w:numPr>
        <w:spacing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Número de personas que pagan el derecho por concepto de la expedición o refrendo anual para vender bebidas alcohólicas al público en botella cerrada</w:t>
      </w:r>
    </w:p>
    <w:p w:rsidR="001670A2" w:rsidRPr="00AB23E8" w:rsidRDefault="00D53821">
      <w:pPr>
        <w:numPr>
          <w:ilvl w:val="0"/>
          <w:numId w:val="4"/>
        </w:num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Monto recibido por concepto de impuestos sobre Las máquinas de entretenimiento de audio, vídeo, vídeo juegos, eléctricas y electrónicas, mesas de aire, futbolitos, y los juegos de computadora que se activen con monedas, fichas, tarjetas magnéticas o cualquier otro dispositivo y que impliquen interacción de uno o varios usuarios con dichas máquinas o aparatos </w:t>
      </w:r>
    </w:p>
    <w:p w:rsidR="001670A2" w:rsidRPr="00AB23E8" w:rsidRDefault="00D53821">
      <w:pPr>
        <w:numPr>
          <w:ilvl w:val="0"/>
          <w:numId w:val="4"/>
        </w:numPr>
        <w:spacing w:before="280" w:after="28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 Ingresos recaudados por los derechos de estacionamiento en la vía pública y servicios públicos establecidos en el artículo 157 fracción III del Código Financiero del Estado de México del 2011 al 2021, señalando si es comercio </w:t>
      </w:r>
      <w:r w:rsidRPr="00AB23E8">
        <w:rPr>
          <w:rFonts w:ascii="Palatino Linotype" w:eastAsia="Palatino Linotype" w:hAnsi="Palatino Linotype" w:cs="Palatino Linotype"/>
        </w:rPr>
        <w:lastRenderedPageBreak/>
        <w:t>establecido, pago de cajones para carga y descarga o empresas repartidoras pago de cajones para carga y descarga.</w:t>
      </w:r>
    </w:p>
    <w:p w:rsidR="001670A2" w:rsidRPr="00AB23E8" w:rsidRDefault="00D53821">
      <w:pPr>
        <w:spacing w:before="240" w:after="240"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Atento en a lo anterior, toda vez que se desconoce a cabalidad el contenido de la información con la que cuente </w:t>
      </w:r>
      <w:r w:rsidRPr="00AB23E8">
        <w:rPr>
          <w:rFonts w:ascii="Palatino Linotype" w:eastAsia="Palatino Linotype" w:hAnsi="Palatino Linotype" w:cs="Palatino Linotype"/>
          <w:b/>
        </w:rPr>
        <w:t>EL SUJETO OBLIGADO,</w:t>
      </w:r>
      <w:r w:rsidRPr="00AB23E8">
        <w:rPr>
          <w:rFonts w:ascii="Palatino Linotype" w:eastAsia="Palatino Linotype" w:hAnsi="Palatino Linotype" w:cs="Palatino Linotype"/>
        </w:rPr>
        <w:t xml:space="preserve"> en caso de que fuese necesaria la versión pública de los documentos que se ordenan, en términos del artículo 143 de la Ley de Transparencia y Acceso a la Información Pública del Estado de México y Municipios, deberá omitirse, eliminarse o suprimirse la información </w:t>
      </w:r>
      <w:r w:rsidRPr="00AB23E8">
        <w:rPr>
          <w:rFonts w:ascii="Palatino Linotype" w:eastAsia="Palatino Linotype" w:hAnsi="Palatino Linotype" w:cs="Palatino Linotype"/>
          <w:b/>
        </w:rPr>
        <w:t>confidencial</w:t>
      </w:r>
      <w:r w:rsidRPr="00AB23E8">
        <w:rPr>
          <w:rFonts w:ascii="Palatino Linotype" w:eastAsia="Palatino Linotype" w:hAnsi="Palatino Linotype" w:cs="Palatino Linotype"/>
        </w:rPr>
        <w:t xml:space="preserve">. </w:t>
      </w: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AB23E8">
        <w:rPr>
          <w:rFonts w:ascii="Palatino Linotype" w:eastAsia="Palatino Linotype" w:hAnsi="Palatino Linotype" w:cs="Palatino Linotype"/>
          <w:b/>
        </w:rPr>
        <w:t>SUJETO OBLIGADO</w:t>
      </w:r>
      <w:r w:rsidRPr="00AB23E8">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lastRenderedPageBreak/>
        <w:t xml:space="preserve">Por ende, </w:t>
      </w:r>
      <w:r w:rsidRPr="00AB23E8">
        <w:rPr>
          <w:rFonts w:ascii="Palatino Linotype" w:eastAsia="Palatino Linotype" w:hAnsi="Palatino Linotype" w:cs="Palatino Linotype"/>
          <w:b/>
        </w:rPr>
        <w:t>EL SUJETO OBLIGADO</w:t>
      </w:r>
      <w:r w:rsidRPr="00AB23E8">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670A2" w:rsidRPr="00AB23E8" w:rsidRDefault="00D53821">
      <w:pPr>
        <w:ind w:left="851" w:right="902"/>
        <w:jc w:val="center"/>
        <w:rPr>
          <w:rFonts w:ascii="Palatino Linotype" w:eastAsia="Palatino Linotype" w:hAnsi="Palatino Linotype" w:cs="Palatino Linotype"/>
          <w:b/>
          <w:i/>
          <w:sz w:val="22"/>
          <w:szCs w:val="22"/>
        </w:rPr>
      </w:pPr>
      <w:r w:rsidRPr="00AB23E8">
        <w:rPr>
          <w:rFonts w:ascii="Palatino Linotype" w:eastAsia="Palatino Linotype" w:hAnsi="Palatino Linotype" w:cs="Palatino Linotype"/>
          <w:b/>
          <w:i/>
          <w:sz w:val="22"/>
          <w:szCs w:val="22"/>
        </w:rPr>
        <w:t>Ley de Transparencia y Acceso a la Información Pública del Estado de México y Municipios</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w:t>
      </w:r>
      <w:r w:rsidRPr="00AB23E8">
        <w:rPr>
          <w:rFonts w:ascii="Palatino Linotype" w:eastAsia="Palatino Linotype" w:hAnsi="Palatino Linotype" w:cs="Palatino Linotype"/>
          <w:b/>
          <w:i/>
          <w:sz w:val="22"/>
          <w:szCs w:val="22"/>
        </w:rPr>
        <w:t xml:space="preserve">Artículo 49. </w:t>
      </w:r>
      <w:r w:rsidRPr="00AB23E8">
        <w:rPr>
          <w:rFonts w:ascii="Palatino Linotype" w:eastAsia="Palatino Linotype" w:hAnsi="Palatino Linotype" w:cs="Palatino Linotype"/>
          <w:i/>
          <w:sz w:val="22"/>
          <w:szCs w:val="22"/>
        </w:rPr>
        <w:t>Los Comités de Transparencia tendrán las siguientes atribuciones:</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VIII.</w:t>
      </w:r>
      <w:r w:rsidRPr="00AB23E8">
        <w:rPr>
          <w:rFonts w:ascii="Palatino Linotype" w:eastAsia="Palatino Linotype" w:hAnsi="Palatino Linotype" w:cs="Palatino Linotype"/>
          <w:i/>
          <w:sz w:val="22"/>
          <w:szCs w:val="22"/>
        </w:rPr>
        <w:t xml:space="preserve"> </w:t>
      </w:r>
      <w:r w:rsidRPr="00AB23E8">
        <w:rPr>
          <w:rFonts w:ascii="Palatino Linotype" w:eastAsia="Palatino Linotype" w:hAnsi="Palatino Linotype" w:cs="Palatino Linotype"/>
          <w:b/>
          <w:i/>
          <w:sz w:val="22"/>
          <w:szCs w:val="22"/>
        </w:rPr>
        <w:t>Aprobar</w:t>
      </w:r>
      <w:r w:rsidRPr="00AB23E8">
        <w:rPr>
          <w:rFonts w:ascii="Palatino Linotype" w:eastAsia="Palatino Linotype" w:hAnsi="Palatino Linotype" w:cs="Palatino Linotype"/>
          <w:i/>
          <w:sz w:val="22"/>
          <w:szCs w:val="22"/>
        </w:rPr>
        <w:t>, modificar o revocar la clasificación de la información;</w:t>
      </w:r>
    </w:p>
    <w:p w:rsidR="001670A2" w:rsidRPr="00AB23E8" w:rsidRDefault="00D53821">
      <w:pPr>
        <w:ind w:left="851" w:right="902"/>
        <w:jc w:val="both"/>
        <w:rPr>
          <w:rFonts w:ascii="Palatino Linotype" w:eastAsia="Palatino Linotype" w:hAnsi="Palatino Linotype" w:cs="Palatino Linotype"/>
          <w:b/>
          <w:i/>
          <w:sz w:val="22"/>
          <w:szCs w:val="22"/>
        </w:rPr>
      </w:pPr>
      <w:r w:rsidRPr="00AB23E8">
        <w:rPr>
          <w:rFonts w:ascii="Palatino Linotype" w:eastAsia="Palatino Linotype" w:hAnsi="Palatino Linotype" w:cs="Palatino Linotype"/>
          <w:b/>
          <w:i/>
          <w:sz w:val="22"/>
          <w:szCs w:val="22"/>
        </w:rPr>
        <w:t>Artículo 132.</w:t>
      </w:r>
      <w:r w:rsidRPr="00AB23E8">
        <w:rPr>
          <w:rFonts w:ascii="Palatino Linotype" w:eastAsia="Palatino Linotype" w:hAnsi="Palatino Linotype" w:cs="Palatino Linotype"/>
          <w:i/>
          <w:sz w:val="22"/>
          <w:szCs w:val="22"/>
        </w:rPr>
        <w:t xml:space="preserve"> </w:t>
      </w:r>
      <w:r w:rsidRPr="00AB23E8">
        <w:rPr>
          <w:rFonts w:ascii="Palatino Linotype" w:eastAsia="Palatino Linotype" w:hAnsi="Palatino Linotype" w:cs="Palatino Linotype"/>
          <w:b/>
          <w:i/>
          <w:sz w:val="22"/>
          <w:szCs w:val="22"/>
        </w:rPr>
        <w:t>La clasificación de la información se llevará a cabo en el momento en que:</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II.</w:t>
      </w:r>
      <w:r w:rsidRPr="00AB23E8">
        <w:rPr>
          <w:rFonts w:ascii="Palatino Linotype" w:eastAsia="Palatino Linotype" w:hAnsi="Palatino Linotype" w:cs="Palatino Linotype"/>
          <w:i/>
          <w:sz w:val="22"/>
          <w:szCs w:val="22"/>
        </w:rPr>
        <w:t xml:space="preserve"> Se determine mediante resolución de autoridad competente; o</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III</w:t>
      </w:r>
      <w:r w:rsidRPr="00AB23E8">
        <w:rPr>
          <w:rFonts w:ascii="Palatino Linotype" w:eastAsia="Palatino Linotype" w:hAnsi="Palatino Linotype" w:cs="Palatino Linotype"/>
          <w:i/>
          <w:sz w:val="22"/>
          <w:szCs w:val="22"/>
        </w:rPr>
        <w:t xml:space="preserve">. </w:t>
      </w:r>
      <w:r w:rsidRPr="00AB23E8">
        <w:rPr>
          <w:rFonts w:ascii="Palatino Linotype" w:eastAsia="Palatino Linotype" w:hAnsi="Palatino Linotype" w:cs="Palatino Linotype"/>
          <w:b/>
          <w:i/>
          <w:sz w:val="22"/>
          <w:szCs w:val="22"/>
        </w:rPr>
        <w:t>Se generen versiones públicas para dar cumplimiento a las obligaciones de transparencia previstas en esta Ley</w:t>
      </w:r>
      <w:r w:rsidRPr="00AB23E8">
        <w:rPr>
          <w:rFonts w:ascii="Palatino Linotype" w:eastAsia="Palatino Linotype" w:hAnsi="Palatino Linotype" w:cs="Palatino Linotype"/>
          <w:i/>
          <w:sz w:val="22"/>
          <w:szCs w:val="22"/>
        </w:rPr>
        <w:t>.”</w:t>
      </w:r>
    </w:p>
    <w:p w:rsidR="001670A2" w:rsidRPr="00AB23E8" w:rsidRDefault="00D53821">
      <w:pPr>
        <w:ind w:left="851" w:right="902"/>
        <w:jc w:val="center"/>
        <w:rPr>
          <w:rFonts w:ascii="Palatino Linotype" w:eastAsia="Palatino Linotype" w:hAnsi="Palatino Linotype" w:cs="Palatino Linotype"/>
          <w:b/>
          <w:i/>
          <w:sz w:val="22"/>
          <w:szCs w:val="22"/>
        </w:rPr>
      </w:pPr>
      <w:r w:rsidRPr="00AB23E8">
        <w:rPr>
          <w:rFonts w:ascii="Palatino Linotype" w:eastAsia="Palatino Linotype" w:hAnsi="Palatino Linotype" w:cs="Palatino Linotype"/>
          <w:b/>
          <w:i/>
          <w:sz w:val="22"/>
          <w:szCs w:val="22"/>
        </w:rPr>
        <w:t>Lineamientos Generales en materia de Clasificación y Desclasificación de la Información</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w:t>
      </w:r>
      <w:r w:rsidRPr="00AB23E8">
        <w:rPr>
          <w:rFonts w:ascii="Palatino Linotype" w:eastAsia="Palatino Linotype" w:hAnsi="Palatino Linotype" w:cs="Palatino Linotype"/>
          <w:b/>
          <w:i/>
          <w:sz w:val="22"/>
          <w:szCs w:val="22"/>
        </w:rPr>
        <w:t>Segundo. -</w:t>
      </w:r>
      <w:r w:rsidRPr="00AB23E8">
        <w:rPr>
          <w:rFonts w:ascii="Palatino Linotype" w:eastAsia="Palatino Linotype" w:hAnsi="Palatino Linotype" w:cs="Palatino Linotype"/>
          <w:i/>
          <w:sz w:val="22"/>
          <w:szCs w:val="22"/>
        </w:rPr>
        <w:t xml:space="preserve"> Para efectos de los presentes Lineamientos Generales, se entenderá por:</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XVIII.</w:t>
      </w:r>
      <w:r w:rsidRPr="00AB23E8">
        <w:rPr>
          <w:rFonts w:ascii="Palatino Linotype" w:eastAsia="Palatino Linotype" w:hAnsi="Palatino Linotype" w:cs="Palatino Linotype"/>
          <w:i/>
          <w:sz w:val="22"/>
          <w:szCs w:val="22"/>
        </w:rPr>
        <w:t xml:space="preserve"> </w:t>
      </w:r>
      <w:r w:rsidRPr="00AB23E8">
        <w:rPr>
          <w:rFonts w:ascii="Palatino Linotype" w:eastAsia="Palatino Linotype" w:hAnsi="Palatino Linotype" w:cs="Palatino Linotype"/>
          <w:b/>
          <w:i/>
          <w:sz w:val="22"/>
          <w:szCs w:val="22"/>
        </w:rPr>
        <w:t>Versión pública:</w:t>
      </w:r>
      <w:r w:rsidRPr="00AB23E8">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AB23E8">
        <w:rPr>
          <w:rFonts w:ascii="Palatino Linotype" w:eastAsia="Palatino Linotype" w:hAnsi="Palatino Linotype" w:cs="Palatino Linotype"/>
          <w:b/>
          <w:i/>
          <w:sz w:val="22"/>
          <w:szCs w:val="22"/>
        </w:rPr>
        <w:t>fundando y motivando la</w:t>
      </w:r>
      <w:r w:rsidRPr="00AB23E8">
        <w:rPr>
          <w:rFonts w:ascii="Palatino Linotype" w:eastAsia="Palatino Linotype" w:hAnsi="Palatino Linotype" w:cs="Palatino Linotype"/>
          <w:i/>
          <w:sz w:val="22"/>
          <w:szCs w:val="22"/>
        </w:rPr>
        <w:t xml:space="preserve"> reserva o </w:t>
      </w:r>
      <w:r w:rsidRPr="00AB23E8">
        <w:rPr>
          <w:rFonts w:ascii="Palatino Linotype" w:eastAsia="Palatino Linotype" w:hAnsi="Palatino Linotype" w:cs="Palatino Linotype"/>
          <w:b/>
          <w:i/>
          <w:sz w:val="22"/>
          <w:szCs w:val="22"/>
        </w:rPr>
        <w:t>confidencialidad</w:t>
      </w:r>
      <w:r w:rsidRPr="00AB23E8">
        <w:rPr>
          <w:rFonts w:ascii="Palatino Linotype" w:eastAsia="Palatino Linotype" w:hAnsi="Palatino Linotype" w:cs="Palatino Linotype"/>
          <w:i/>
          <w:sz w:val="22"/>
          <w:szCs w:val="22"/>
        </w:rPr>
        <w:t>, a través de la resolución que para tal efecto emita el Comité de Transparencia.</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Cuarto.</w:t>
      </w:r>
      <w:r w:rsidRPr="00AB23E8">
        <w:rPr>
          <w:rFonts w:ascii="Palatino Linotype" w:eastAsia="Palatino Linotype" w:hAnsi="Palatino Linotype" w:cs="Palatino Linotype"/>
          <w:i/>
          <w:sz w:val="22"/>
          <w:szCs w:val="22"/>
        </w:rPr>
        <w:t xml:space="preserve"> </w:t>
      </w:r>
      <w:r w:rsidRPr="00AB23E8">
        <w:rPr>
          <w:rFonts w:ascii="Palatino Linotype" w:eastAsia="Palatino Linotype" w:hAnsi="Palatino Linotype" w:cs="Palatino Linotype"/>
          <w:b/>
          <w:i/>
          <w:sz w:val="22"/>
          <w:szCs w:val="22"/>
        </w:rPr>
        <w:t>Para clasificar la información como</w:t>
      </w:r>
      <w:r w:rsidRPr="00AB23E8">
        <w:rPr>
          <w:rFonts w:ascii="Palatino Linotype" w:eastAsia="Palatino Linotype" w:hAnsi="Palatino Linotype" w:cs="Palatino Linotype"/>
          <w:i/>
          <w:sz w:val="22"/>
          <w:szCs w:val="22"/>
        </w:rPr>
        <w:t xml:space="preserve"> reservada o </w:t>
      </w:r>
      <w:r w:rsidRPr="00AB23E8">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AB23E8">
        <w:rPr>
          <w:rFonts w:ascii="Palatino Linotype" w:eastAsia="Palatino Linotype" w:hAnsi="Palatino Linotype" w:cs="Palatino Linotype"/>
          <w:i/>
          <w:sz w:val="22"/>
          <w:szCs w:val="22"/>
        </w:rPr>
        <w:t xml:space="preserve">, en relación con las </w:t>
      </w:r>
      <w:r w:rsidRPr="00AB23E8">
        <w:rPr>
          <w:rFonts w:ascii="Palatino Linotype" w:eastAsia="Palatino Linotype" w:hAnsi="Palatino Linotype" w:cs="Palatino Linotype"/>
          <w:i/>
          <w:sz w:val="22"/>
          <w:szCs w:val="22"/>
        </w:rPr>
        <w:lastRenderedPageBreak/>
        <w:t>disposiciones contenidas en los presentes lineamientos, así como en aquellas disposiciones legales aplicables a la materia en el ámbito de sus respectivas competencias, en tanto estas últimas no contravengan lo dispuesto en la Ley General.</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Quinto.</w:t>
      </w:r>
      <w:r w:rsidRPr="00AB23E8">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Sexto.</w:t>
      </w:r>
      <w:r w:rsidRPr="00AB23E8">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Séptimo.</w:t>
      </w:r>
      <w:r w:rsidRPr="00AB23E8">
        <w:rPr>
          <w:rFonts w:ascii="Palatino Linotype" w:eastAsia="Palatino Linotype" w:hAnsi="Palatino Linotype" w:cs="Palatino Linotype"/>
          <w:i/>
          <w:sz w:val="22"/>
          <w:szCs w:val="22"/>
        </w:rPr>
        <w:t xml:space="preserve"> La clasificación de la información se llevará a cabo en el momento en que:</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I.</w:t>
      </w:r>
      <w:r w:rsidRPr="00AB23E8">
        <w:rPr>
          <w:rFonts w:ascii="Palatino Linotype" w:eastAsia="Palatino Linotype" w:hAnsi="Palatino Linotype" w:cs="Palatino Linotype"/>
          <w:i/>
          <w:sz w:val="22"/>
          <w:szCs w:val="22"/>
        </w:rPr>
        <w:t xml:space="preserve"> Se reciba una solicitud de acceso a la información;</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II.</w:t>
      </w:r>
      <w:r w:rsidRPr="00AB23E8">
        <w:rPr>
          <w:rFonts w:ascii="Palatino Linotype" w:eastAsia="Palatino Linotype" w:hAnsi="Palatino Linotype" w:cs="Palatino Linotype"/>
          <w:i/>
          <w:sz w:val="22"/>
          <w:szCs w:val="22"/>
        </w:rPr>
        <w:t xml:space="preserve"> Se determine mediante resolución de autoridad competente, o</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III.</w:t>
      </w:r>
      <w:r w:rsidRPr="00AB23E8">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Octavo.</w:t>
      </w:r>
      <w:r w:rsidRPr="00AB23E8">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lastRenderedPageBreak/>
        <w:t>En caso de referirse a información reservada, la motivación de la clasificación también deberá comprender las circunstancias que justifican el establecimiento de determinado plazo de reserva.</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Noveno.</w:t>
      </w:r>
      <w:r w:rsidRPr="00AB23E8">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Décimo.</w:t>
      </w:r>
      <w:r w:rsidRPr="00AB23E8">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1670A2" w:rsidRPr="00AB23E8" w:rsidRDefault="00D53821">
      <w:pPr>
        <w:ind w:left="851" w:right="90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Décimo primero.</w:t>
      </w:r>
      <w:r w:rsidRPr="00AB23E8">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670A2" w:rsidRPr="00AB23E8" w:rsidRDefault="001670A2">
      <w:pPr>
        <w:ind w:left="851" w:right="902"/>
        <w:jc w:val="both"/>
        <w:rPr>
          <w:rFonts w:ascii="Palatino Linotype" w:eastAsia="Palatino Linotype" w:hAnsi="Palatino Linotype" w:cs="Palatino Linotype"/>
          <w:i/>
          <w:sz w:val="22"/>
          <w:szCs w:val="22"/>
        </w:rPr>
      </w:pPr>
    </w:p>
    <w:p w:rsidR="001670A2" w:rsidRPr="00AB23E8" w:rsidRDefault="00D53821">
      <w:pPr>
        <w:ind w:left="850" w:right="901"/>
        <w:jc w:val="center"/>
        <w:rPr>
          <w:rFonts w:ascii="Palatino Linotype" w:eastAsia="Palatino Linotype" w:hAnsi="Palatino Linotype" w:cs="Palatino Linotype"/>
          <w:b/>
          <w:i/>
          <w:sz w:val="22"/>
          <w:szCs w:val="22"/>
        </w:rPr>
      </w:pPr>
      <w:r w:rsidRPr="00AB23E8">
        <w:rPr>
          <w:rFonts w:ascii="Palatino Linotype" w:eastAsia="Palatino Linotype" w:hAnsi="Palatino Linotype" w:cs="Palatino Linotype"/>
          <w:b/>
          <w:i/>
          <w:sz w:val="22"/>
          <w:szCs w:val="22"/>
        </w:rPr>
        <w:t>CAPÍTULO VIII</w:t>
      </w:r>
    </w:p>
    <w:p w:rsidR="001670A2" w:rsidRPr="00AB23E8" w:rsidRDefault="00D53821">
      <w:pPr>
        <w:ind w:left="850" w:right="901"/>
        <w:jc w:val="center"/>
        <w:rPr>
          <w:rFonts w:ascii="Palatino Linotype" w:eastAsia="Palatino Linotype" w:hAnsi="Palatino Linotype" w:cs="Palatino Linotype"/>
          <w:b/>
          <w:i/>
          <w:sz w:val="22"/>
          <w:szCs w:val="22"/>
        </w:rPr>
      </w:pPr>
      <w:r w:rsidRPr="00AB23E8">
        <w:rPr>
          <w:rFonts w:ascii="Palatino Linotype" w:eastAsia="Palatino Linotype" w:hAnsi="Palatino Linotype" w:cs="Palatino Linotype"/>
          <w:b/>
          <w:i/>
          <w:sz w:val="22"/>
          <w:szCs w:val="22"/>
        </w:rPr>
        <w:t>DE LA LEYENDA DE CLASIFICACIÓN</w:t>
      </w:r>
    </w:p>
    <w:p w:rsidR="001670A2" w:rsidRPr="00AB23E8" w:rsidRDefault="00D53821">
      <w:pPr>
        <w:ind w:left="850" w:right="901"/>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t xml:space="preserve">Quincuagésimo. </w:t>
      </w:r>
      <w:r w:rsidRPr="00AB23E8">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AB23E8">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1670A2" w:rsidRPr="00AB23E8" w:rsidRDefault="00D53821">
      <w:pPr>
        <w:ind w:left="850" w:right="901"/>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w:t>
      </w:r>
    </w:p>
    <w:p w:rsidR="001670A2" w:rsidRPr="00AB23E8" w:rsidRDefault="00D53821">
      <w:pPr>
        <w:ind w:left="850" w:right="901"/>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b/>
          <w:i/>
          <w:sz w:val="22"/>
          <w:szCs w:val="22"/>
        </w:rPr>
        <w:lastRenderedPageBreak/>
        <w:t xml:space="preserve">Quincuagésimo tercero. </w:t>
      </w:r>
      <w:r w:rsidRPr="00AB23E8">
        <w:rPr>
          <w:rFonts w:ascii="Palatino Linotype" w:eastAsia="Palatino Linotype" w:hAnsi="Palatino Linotype" w:cs="Palatino Linotype"/>
          <w:b/>
          <w:i/>
          <w:sz w:val="22"/>
          <w:szCs w:val="22"/>
          <w:u w:val="single"/>
        </w:rPr>
        <w:t>El formato para señalar la clasificación parcial de un documento</w:t>
      </w:r>
      <w:r w:rsidRPr="00AB23E8">
        <w:rPr>
          <w:rFonts w:ascii="Palatino Linotype" w:eastAsia="Palatino Linotype" w:hAnsi="Palatino Linotype" w:cs="Palatino Linotype"/>
          <w:i/>
          <w:sz w:val="22"/>
          <w:szCs w:val="22"/>
        </w:rPr>
        <w:t>, es el siguiente:</w:t>
      </w:r>
    </w:p>
    <w:p w:rsidR="001670A2" w:rsidRPr="00AB23E8" w:rsidRDefault="001670A2">
      <w:pPr>
        <w:ind w:left="850" w:right="901"/>
        <w:jc w:val="both"/>
        <w:rPr>
          <w:rFonts w:ascii="Palatino Linotype" w:eastAsia="Palatino Linotype" w:hAnsi="Palatino Linotype" w:cs="Palatino Linotype"/>
          <w:i/>
          <w:sz w:val="22"/>
          <w:szCs w:val="22"/>
        </w:rPr>
      </w:pPr>
    </w:p>
    <w:tbl>
      <w:tblPr>
        <w:tblStyle w:val="afffffffffb"/>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1670A2" w:rsidRPr="00AB23E8">
        <w:trPr>
          <w:jc w:val="center"/>
        </w:trPr>
        <w:tc>
          <w:tcPr>
            <w:tcW w:w="1129" w:type="dxa"/>
            <w:tcBorders>
              <w:top w:val="single" w:sz="4" w:space="0" w:color="000000"/>
              <w:left w:val="single" w:sz="4" w:space="0" w:color="000000"/>
              <w:bottom w:val="single" w:sz="4" w:space="0" w:color="000000"/>
              <w:right w:val="single" w:sz="4" w:space="0" w:color="000000"/>
            </w:tcBorders>
          </w:tcPr>
          <w:p w:rsidR="001670A2" w:rsidRPr="00AB23E8" w:rsidRDefault="001670A2">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center"/>
              <w:rPr>
                <w:rFonts w:ascii="Palatino Linotype" w:eastAsia="Palatino Linotype" w:hAnsi="Palatino Linotype" w:cs="Palatino Linotype"/>
                <w:b/>
                <w:i/>
              </w:rPr>
            </w:pPr>
            <w:r w:rsidRPr="00AB23E8">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center"/>
              <w:rPr>
                <w:rFonts w:ascii="Palatino Linotype" w:eastAsia="Palatino Linotype" w:hAnsi="Palatino Linotype" w:cs="Palatino Linotype"/>
                <w:b/>
                <w:i/>
              </w:rPr>
            </w:pPr>
            <w:r w:rsidRPr="00AB23E8">
              <w:rPr>
                <w:rFonts w:ascii="Palatino Linotype" w:eastAsia="Palatino Linotype" w:hAnsi="Palatino Linotype" w:cs="Palatino Linotype"/>
                <w:b/>
                <w:i/>
              </w:rPr>
              <w:t>Dónde:</w:t>
            </w:r>
          </w:p>
        </w:tc>
      </w:tr>
      <w:tr w:rsidR="001670A2" w:rsidRPr="00AB23E8">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1670A2" w:rsidRPr="00AB23E8" w:rsidRDefault="00D53821">
            <w:pPr>
              <w:jc w:val="center"/>
              <w:rPr>
                <w:rFonts w:ascii="Palatino Linotype" w:eastAsia="Palatino Linotype" w:hAnsi="Palatino Linotype" w:cs="Palatino Linotype"/>
                <w:b/>
                <w:i/>
              </w:rPr>
            </w:pPr>
            <w:r w:rsidRPr="00AB23E8">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center"/>
              <w:rPr>
                <w:rFonts w:ascii="Palatino Linotype" w:eastAsia="Palatino Linotype" w:hAnsi="Palatino Linotype" w:cs="Palatino Linotype"/>
                <w:i/>
              </w:rPr>
            </w:pPr>
            <w:r w:rsidRPr="00AB23E8">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both"/>
              <w:rPr>
                <w:rFonts w:ascii="Palatino Linotype" w:eastAsia="Palatino Linotype" w:hAnsi="Palatino Linotype" w:cs="Palatino Linotype"/>
                <w:i/>
              </w:rPr>
            </w:pPr>
            <w:r w:rsidRPr="00AB23E8">
              <w:rPr>
                <w:rFonts w:ascii="Palatino Linotype" w:eastAsia="Palatino Linotype" w:hAnsi="Palatino Linotype" w:cs="Palatino Linotype"/>
                <w:i/>
              </w:rPr>
              <w:t>Se anotará la fecha en la que el Comité de Transparencia confirmó la clasificación del documento, en su caso.</w:t>
            </w:r>
          </w:p>
        </w:tc>
      </w:tr>
      <w:tr w:rsidR="001670A2" w:rsidRPr="00AB23E8">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1670A2" w:rsidRPr="00AB23E8" w:rsidRDefault="001670A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center"/>
              <w:rPr>
                <w:rFonts w:ascii="Palatino Linotype" w:eastAsia="Palatino Linotype" w:hAnsi="Palatino Linotype" w:cs="Palatino Linotype"/>
                <w:i/>
              </w:rPr>
            </w:pPr>
            <w:r w:rsidRPr="00AB23E8">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both"/>
              <w:rPr>
                <w:rFonts w:ascii="Palatino Linotype" w:eastAsia="Palatino Linotype" w:hAnsi="Palatino Linotype" w:cs="Palatino Linotype"/>
                <w:i/>
              </w:rPr>
            </w:pPr>
            <w:r w:rsidRPr="00AB23E8">
              <w:rPr>
                <w:rFonts w:ascii="Palatino Linotype" w:eastAsia="Palatino Linotype" w:hAnsi="Palatino Linotype" w:cs="Palatino Linotype"/>
                <w:i/>
              </w:rPr>
              <w:t>Se señalará el nombre del área del cual es titular quien clasifica.</w:t>
            </w:r>
          </w:p>
        </w:tc>
      </w:tr>
      <w:tr w:rsidR="001670A2" w:rsidRPr="00AB23E8">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1670A2" w:rsidRPr="00AB23E8" w:rsidRDefault="001670A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center"/>
              <w:rPr>
                <w:rFonts w:ascii="Palatino Linotype" w:eastAsia="Palatino Linotype" w:hAnsi="Palatino Linotype" w:cs="Palatino Linotype"/>
                <w:i/>
              </w:rPr>
            </w:pPr>
            <w:r w:rsidRPr="00AB23E8">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both"/>
              <w:rPr>
                <w:rFonts w:ascii="Palatino Linotype" w:eastAsia="Palatino Linotype" w:hAnsi="Palatino Linotype" w:cs="Palatino Linotype"/>
                <w:i/>
              </w:rPr>
            </w:pPr>
            <w:r w:rsidRPr="00AB23E8">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1670A2" w:rsidRPr="00AB23E8">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1670A2" w:rsidRPr="00AB23E8" w:rsidRDefault="001670A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center"/>
              <w:rPr>
                <w:rFonts w:ascii="Palatino Linotype" w:eastAsia="Palatino Linotype" w:hAnsi="Palatino Linotype" w:cs="Palatino Linotype"/>
                <w:i/>
              </w:rPr>
            </w:pPr>
            <w:r w:rsidRPr="00AB23E8">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both"/>
              <w:rPr>
                <w:rFonts w:ascii="Palatino Linotype" w:eastAsia="Palatino Linotype" w:hAnsi="Palatino Linotype" w:cs="Palatino Linotype"/>
                <w:i/>
              </w:rPr>
            </w:pPr>
            <w:r w:rsidRPr="00AB23E8">
              <w:rPr>
                <w:rFonts w:ascii="Palatino Linotype" w:eastAsia="Palatino Linotype" w:hAnsi="Palatino Linotype" w:cs="Palatino Linotype"/>
                <w:i/>
              </w:rPr>
              <w:t>Se anotará el número de años o meses por los que se mantendrá el documento o las partes del mismo como reservado.</w:t>
            </w:r>
          </w:p>
        </w:tc>
      </w:tr>
      <w:tr w:rsidR="001670A2" w:rsidRPr="00AB23E8">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1670A2" w:rsidRPr="00AB23E8" w:rsidRDefault="001670A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center"/>
              <w:rPr>
                <w:rFonts w:ascii="Palatino Linotype" w:eastAsia="Palatino Linotype" w:hAnsi="Palatino Linotype" w:cs="Palatino Linotype"/>
                <w:i/>
              </w:rPr>
            </w:pPr>
            <w:r w:rsidRPr="00AB23E8">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both"/>
              <w:rPr>
                <w:rFonts w:ascii="Palatino Linotype" w:eastAsia="Palatino Linotype" w:hAnsi="Palatino Linotype" w:cs="Palatino Linotype"/>
                <w:i/>
              </w:rPr>
            </w:pPr>
            <w:r w:rsidRPr="00AB23E8">
              <w:rPr>
                <w:rFonts w:ascii="Palatino Linotype" w:eastAsia="Palatino Linotype" w:hAnsi="Palatino Linotype" w:cs="Palatino Linotype"/>
                <w:i/>
              </w:rPr>
              <w:t>Se señalará el nombre del ordenamiento, el o los artículos, fracción(es), párrafo(s) con base en los cuales se sustente la reserva.</w:t>
            </w:r>
          </w:p>
        </w:tc>
      </w:tr>
      <w:tr w:rsidR="001670A2" w:rsidRPr="00AB23E8">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1670A2" w:rsidRPr="00AB23E8" w:rsidRDefault="001670A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center"/>
              <w:rPr>
                <w:rFonts w:ascii="Palatino Linotype" w:eastAsia="Palatino Linotype" w:hAnsi="Palatino Linotype" w:cs="Palatino Linotype"/>
                <w:i/>
              </w:rPr>
            </w:pPr>
            <w:r w:rsidRPr="00AB23E8">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both"/>
              <w:rPr>
                <w:rFonts w:ascii="Palatino Linotype" w:eastAsia="Palatino Linotype" w:hAnsi="Palatino Linotype" w:cs="Palatino Linotype"/>
                <w:i/>
              </w:rPr>
            </w:pPr>
            <w:r w:rsidRPr="00AB23E8">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1670A2" w:rsidRPr="00AB23E8">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1670A2" w:rsidRPr="00AB23E8" w:rsidRDefault="001670A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center"/>
              <w:rPr>
                <w:rFonts w:ascii="Palatino Linotype" w:eastAsia="Palatino Linotype" w:hAnsi="Palatino Linotype" w:cs="Palatino Linotype"/>
                <w:b/>
                <w:i/>
                <w:u w:val="single"/>
              </w:rPr>
            </w:pPr>
            <w:r w:rsidRPr="00AB23E8">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both"/>
              <w:rPr>
                <w:rFonts w:ascii="Palatino Linotype" w:eastAsia="Palatino Linotype" w:hAnsi="Palatino Linotype" w:cs="Palatino Linotype"/>
                <w:i/>
              </w:rPr>
            </w:pPr>
            <w:r w:rsidRPr="00AB23E8">
              <w:rPr>
                <w:rFonts w:ascii="Palatino Linotype" w:eastAsia="Palatino Linotype" w:hAnsi="Palatino Linotype" w:cs="Palatino Linotype"/>
                <w:i/>
              </w:rPr>
              <w:t xml:space="preserve">Se indicarán, en su caso, </w:t>
            </w:r>
            <w:r w:rsidRPr="00AB23E8">
              <w:rPr>
                <w:rFonts w:ascii="Palatino Linotype" w:eastAsia="Palatino Linotype" w:hAnsi="Palatino Linotype" w:cs="Palatino Linotype"/>
                <w:b/>
                <w:i/>
                <w:u w:val="single"/>
              </w:rPr>
              <w:t>las partes o páginas del documento que se clasifica como confidencial</w:t>
            </w:r>
            <w:r w:rsidRPr="00AB23E8">
              <w:rPr>
                <w:rFonts w:ascii="Palatino Linotype" w:eastAsia="Palatino Linotype" w:hAnsi="Palatino Linotype" w:cs="Palatino Linotype"/>
                <w:i/>
              </w:rPr>
              <w:t xml:space="preserve">. </w:t>
            </w:r>
            <w:r w:rsidRPr="00AB23E8">
              <w:rPr>
                <w:rFonts w:ascii="Palatino Linotype" w:eastAsia="Palatino Linotype" w:hAnsi="Palatino Linotype" w:cs="Palatino Linotype"/>
                <w:b/>
                <w:i/>
                <w:u w:val="single"/>
              </w:rPr>
              <w:t>Si el documento fuera confidencial en su totalidad, se anotarán todas las páginas que lo conforman</w:t>
            </w:r>
            <w:r w:rsidRPr="00AB23E8">
              <w:rPr>
                <w:rFonts w:ascii="Palatino Linotype" w:eastAsia="Palatino Linotype" w:hAnsi="Palatino Linotype" w:cs="Palatino Linotype"/>
                <w:i/>
              </w:rPr>
              <w:t xml:space="preserve">. Si el </w:t>
            </w:r>
            <w:r w:rsidRPr="00AB23E8">
              <w:rPr>
                <w:rFonts w:ascii="Palatino Linotype" w:eastAsia="Palatino Linotype" w:hAnsi="Palatino Linotype" w:cs="Palatino Linotype"/>
                <w:i/>
              </w:rPr>
              <w:lastRenderedPageBreak/>
              <w:t>documento no contiene información confidencial, se tachará este apartado.</w:t>
            </w:r>
          </w:p>
        </w:tc>
      </w:tr>
      <w:tr w:rsidR="001670A2" w:rsidRPr="00AB23E8">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1670A2" w:rsidRPr="00AB23E8" w:rsidRDefault="001670A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center"/>
              <w:rPr>
                <w:rFonts w:ascii="Palatino Linotype" w:eastAsia="Palatino Linotype" w:hAnsi="Palatino Linotype" w:cs="Palatino Linotype"/>
                <w:i/>
              </w:rPr>
            </w:pPr>
            <w:r w:rsidRPr="00AB23E8">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both"/>
              <w:rPr>
                <w:rFonts w:ascii="Palatino Linotype" w:eastAsia="Palatino Linotype" w:hAnsi="Palatino Linotype" w:cs="Palatino Linotype"/>
                <w:i/>
              </w:rPr>
            </w:pPr>
            <w:r w:rsidRPr="00AB23E8">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1670A2" w:rsidRPr="00AB23E8">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1670A2" w:rsidRPr="00AB23E8" w:rsidRDefault="001670A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center"/>
              <w:rPr>
                <w:rFonts w:ascii="Palatino Linotype" w:eastAsia="Palatino Linotype" w:hAnsi="Palatino Linotype" w:cs="Palatino Linotype"/>
                <w:i/>
              </w:rPr>
            </w:pPr>
            <w:r w:rsidRPr="00AB23E8">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both"/>
              <w:rPr>
                <w:rFonts w:ascii="Palatino Linotype" w:eastAsia="Palatino Linotype" w:hAnsi="Palatino Linotype" w:cs="Palatino Linotype"/>
                <w:i/>
              </w:rPr>
            </w:pPr>
            <w:r w:rsidRPr="00AB23E8">
              <w:rPr>
                <w:rFonts w:ascii="Palatino Linotype" w:eastAsia="Palatino Linotype" w:hAnsi="Palatino Linotype" w:cs="Palatino Linotype"/>
                <w:i/>
              </w:rPr>
              <w:t>Rúbrica autógrafa de quien clasifica.</w:t>
            </w:r>
          </w:p>
        </w:tc>
      </w:tr>
      <w:tr w:rsidR="001670A2" w:rsidRPr="00AB23E8">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1670A2" w:rsidRPr="00AB23E8" w:rsidRDefault="001670A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center"/>
              <w:rPr>
                <w:rFonts w:ascii="Palatino Linotype" w:eastAsia="Palatino Linotype" w:hAnsi="Palatino Linotype" w:cs="Palatino Linotype"/>
                <w:i/>
              </w:rPr>
            </w:pPr>
            <w:r w:rsidRPr="00AB23E8">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both"/>
              <w:rPr>
                <w:rFonts w:ascii="Palatino Linotype" w:eastAsia="Palatino Linotype" w:hAnsi="Palatino Linotype" w:cs="Palatino Linotype"/>
                <w:i/>
              </w:rPr>
            </w:pPr>
            <w:r w:rsidRPr="00AB23E8">
              <w:rPr>
                <w:rFonts w:ascii="Palatino Linotype" w:eastAsia="Palatino Linotype" w:hAnsi="Palatino Linotype" w:cs="Palatino Linotype"/>
                <w:i/>
              </w:rPr>
              <w:t>Se anotará la fecha en que se desclasifica el documento.</w:t>
            </w:r>
          </w:p>
        </w:tc>
      </w:tr>
      <w:tr w:rsidR="001670A2" w:rsidRPr="00AB23E8">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1670A2" w:rsidRPr="00AB23E8" w:rsidRDefault="001670A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670A2" w:rsidRPr="00AB23E8" w:rsidRDefault="00D53821">
            <w:pPr>
              <w:jc w:val="center"/>
              <w:rPr>
                <w:rFonts w:ascii="Palatino Linotype" w:eastAsia="Palatino Linotype" w:hAnsi="Palatino Linotype" w:cs="Palatino Linotype"/>
                <w:i/>
              </w:rPr>
            </w:pPr>
            <w:r w:rsidRPr="00AB23E8">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1670A2" w:rsidRPr="00AB23E8" w:rsidRDefault="00D53821">
            <w:pPr>
              <w:rPr>
                <w:rFonts w:ascii="Palatino Linotype" w:eastAsia="Palatino Linotype" w:hAnsi="Palatino Linotype" w:cs="Palatino Linotype"/>
                <w:i/>
              </w:rPr>
            </w:pPr>
            <w:r w:rsidRPr="00AB23E8">
              <w:rPr>
                <w:rFonts w:ascii="Palatino Linotype" w:eastAsia="Palatino Linotype" w:hAnsi="Palatino Linotype" w:cs="Palatino Linotype"/>
                <w:i/>
              </w:rPr>
              <w:t>Rúbrica autógrafa de quien desclasifica.</w:t>
            </w:r>
          </w:p>
        </w:tc>
      </w:tr>
    </w:tbl>
    <w:p w:rsidR="001670A2" w:rsidRPr="00AB23E8" w:rsidRDefault="00D53821">
      <w:pPr>
        <w:ind w:left="709" w:right="709"/>
        <w:jc w:val="both"/>
        <w:rPr>
          <w:rFonts w:ascii="Palatino Linotype" w:eastAsia="Palatino Linotype" w:hAnsi="Palatino Linotype" w:cs="Palatino Linotype"/>
          <w:sz w:val="22"/>
          <w:szCs w:val="22"/>
        </w:rPr>
      </w:pPr>
      <w:r w:rsidRPr="00AB23E8">
        <w:rPr>
          <w:rFonts w:ascii="Palatino Linotype" w:eastAsia="Palatino Linotype" w:hAnsi="Palatino Linotype" w:cs="Palatino Linotype"/>
          <w:sz w:val="22"/>
          <w:szCs w:val="22"/>
        </w:rPr>
        <w:t>(Énfasis Añadido)</w:t>
      </w:r>
    </w:p>
    <w:p w:rsidR="001670A2" w:rsidRPr="00AB23E8" w:rsidRDefault="001670A2">
      <w:pPr>
        <w:spacing w:line="360" w:lineRule="auto"/>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 xml:space="preserve">Es importante referir que, </w:t>
      </w:r>
      <w:r w:rsidRPr="00AB23E8">
        <w:rPr>
          <w:rFonts w:ascii="Palatino Linotype" w:eastAsia="Palatino Linotype" w:hAnsi="Palatino Linotype" w:cs="Palatino Linotype"/>
          <w:b/>
        </w:rPr>
        <w:t>EL SUJETO OBLIGADO</w:t>
      </w:r>
      <w:r w:rsidRPr="00AB23E8">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AB23E8">
        <w:rPr>
          <w:rFonts w:ascii="Palatino Linotype" w:eastAsia="Palatino Linotype" w:hAnsi="Palatino Linotype" w:cs="Palatino Linotype"/>
          <w:b/>
        </w:rPr>
        <w:t xml:space="preserve"> </w:t>
      </w:r>
      <w:r w:rsidRPr="00AB23E8">
        <w:rPr>
          <w:rFonts w:ascii="Palatino Linotype" w:eastAsia="Palatino Linotype" w:hAnsi="Palatino Linotype" w:cs="Palatino Linotype"/>
        </w:rPr>
        <w:t xml:space="preserve">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AB23E8">
        <w:rPr>
          <w:rFonts w:ascii="Palatino Linotype" w:eastAsia="Palatino Linotype" w:hAnsi="Palatino Linotype" w:cs="Palatino Linotype"/>
        </w:rPr>
        <w:lastRenderedPageBreak/>
        <w:t>manera puntual las razones de ello se estaría violentando desde un inicio el derecho de acceso a la información del solicitante.</w:t>
      </w:r>
    </w:p>
    <w:p w:rsidR="001670A2" w:rsidRPr="00AB23E8" w:rsidRDefault="00D53821">
      <w:pPr>
        <w:spacing w:before="280" w:after="280" w:line="360" w:lineRule="auto"/>
        <w:jc w:val="both"/>
        <w:rPr>
          <w:rFonts w:ascii="Palatino Linotype" w:eastAsia="Palatino Linotype" w:hAnsi="Palatino Linotype" w:cs="Palatino Linotype"/>
          <w:b/>
          <w:sz w:val="26"/>
          <w:szCs w:val="26"/>
        </w:rPr>
      </w:pPr>
      <w:r w:rsidRPr="00AB23E8">
        <w:rPr>
          <w:rFonts w:ascii="Palatino Linotype" w:eastAsia="Palatino Linotype" w:hAnsi="Palatino Linotype" w:cs="Palatino Linotype"/>
        </w:rPr>
        <w:t>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rsidR="001670A2" w:rsidRPr="00AB23E8" w:rsidRDefault="00D53821">
      <w:pPr>
        <w:spacing w:line="360" w:lineRule="auto"/>
        <w:jc w:val="center"/>
        <w:rPr>
          <w:rFonts w:ascii="Palatino Linotype" w:eastAsia="Palatino Linotype" w:hAnsi="Palatino Linotype" w:cs="Palatino Linotype"/>
          <w:b/>
          <w:sz w:val="26"/>
          <w:szCs w:val="26"/>
        </w:rPr>
      </w:pPr>
      <w:r w:rsidRPr="00AB23E8">
        <w:rPr>
          <w:rFonts w:ascii="Palatino Linotype" w:eastAsia="Palatino Linotype" w:hAnsi="Palatino Linotype" w:cs="Palatino Linotype"/>
          <w:b/>
          <w:sz w:val="26"/>
          <w:szCs w:val="26"/>
        </w:rPr>
        <w:t>RESUELVE</w:t>
      </w:r>
    </w:p>
    <w:p w:rsidR="001670A2" w:rsidRPr="00AB23E8" w:rsidRDefault="001670A2">
      <w:pPr>
        <w:spacing w:line="360" w:lineRule="auto"/>
        <w:ind w:right="49"/>
        <w:jc w:val="both"/>
        <w:rPr>
          <w:rFonts w:ascii="Palatino Linotype" w:eastAsia="Palatino Linotype" w:hAnsi="Palatino Linotype" w:cs="Palatino Linotype"/>
          <w:b/>
        </w:rPr>
      </w:pPr>
    </w:p>
    <w:p w:rsidR="001670A2" w:rsidRPr="00AB23E8" w:rsidRDefault="00D53821">
      <w:pPr>
        <w:spacing w:line="360" w:lineRule="auto"/>
        <w:ind w:right="49"/>
        <w:jc w:val="both"/>
        <w:rPr>
          <w:rFonts w:ascii="Palatino Linotype" w:eastAsia="Palatino Linotype" w:hAnsi="Palatino Linotype" w:cs="Palatino Linotype"/>
        </w:rPr>
      </w:pPr>
      <w:r w:rsidRPr="00AB23E8">
        <w:rPr>
          <w:rFonts w:ascii="Palatino Linotype" w:eastAsia="Palatino Linotype" w:hAnsi="Palatino Linotype" w:cs="Palatino Linotype"/>
          <w:b/>
        </w:rPr>
        <w:t>PRIMERO.</w:t>
      </w:r>
      <w:r w:rsidRPr="00AB23E8">
        <w:rPr>
          <w:rFonts w:ascii="Palatino Linotype" w:eastAsia="Palatino Linotype" w:hAnsi="Palatino Linotype" w:cs="Palatino Linotype"/>
        </w:rPr>
        <w:t xml:space="preserve"> Resultan </w:t>
      </w:r>
      <w:r w:rsidRPr="00AB23E8">
        <w:rPr>
          <w:rFonts w:ascii="Palatino Linotype" w:eastAsia="Palatino Linotype" w:hAnsi="Palatino Linotype" w:cs="Palatino Linotype"/>
          <w:b/>
        </w:rPr>
        <w:t>parcialmente</w:t>
      </w:r>
      <w:r w:rsidRPr="00AB23E8">
        <w:rPr>
          <w:rFonts w:ascii="Palatino Linotype" w:eastAsia="Palatino Linotype" w:hAnsi="Palatino Linotype" w:cs="Palatino Linotype"/>
        </w:rPr>
        <w:t xml:space="preserve"> </w:t>
      </w:r>
      <w:r w:rsidRPr="00AB23E8">
        <w:rPr>
          <w:rFonts w:ascii="Palatino Linotype" w:eastAsia="Palatino Linotype" w:hAnsi="Palatino Linotype" w:cs="Palatino Linotype"/>
          <w:b/>
        </w:rPr>
        <w:t>fundadas</w:t>
      </w:r>
      <w:r w:rsidRPr="00AB23E8">
        <w:rPr>
          <w:rFonts w:ascii="Palatino Linotype" w:eastAsia="Palatino Linotype" w:hAnsi="Palatino Linotype" w:cs="Palatino Linotype"/>
        </w:rPr>
        <w:t xml:space="preserve"> las manifestaciones hechas valer por </w:t>
      </w:r>
      <w:r w:rsidRPr="00AB23E8">
        <w:rPr>
          <w:rFonts w:ascii="Palatino Linotype" w:eastAsia="Palatino Linotype" w:hAnsi="Palatino Linotype" w:cs="Palatino Linotype"/>
          <w:b/>
        </w:rPr>
        <w:t>EL RECURRENTE</w:t>
      </w:r>
      <w:r w:rsidRPr="00AB23E8">
        <w:rPr>
          <w:rFonts w:ascii="Palatino Linotype" w:eastAsia="Palatino Linotype" w:hAnsi="Palatino Linotype" w:cs="Palatino Linotype"/>
        </w:rPr>
        <w:t xml:space="preserve"> en el recurso de revisión </w:t>
      </w:r>
      <w:r w:rsidRPr="00AB23E8">
        <w:rPr>
          <w:rFonts w:ascii="Palatino Linotype" w:eastAsia="Palatino Linotype" w:hAnsi="Palatino Linotype" w:cs="Palatino Linotype"/>
          <w:b/>
        </w:rPr>
        <w:t>12267/INFOEM/IP/RR/2022</w:t>
      </w:r>
      <w:r w:rsidRPr="00AB23E8">
        <w:rPr>
          <w:rFonts w:ascii="Palatino Linotype" w:eastAsia="Palatino Linotype" w:hAnsi="Palatino Linotype" w:cs="Palatino Linotype"/>
        </w:rPr>
        <w:t xml:space="preserve">, en términos del considerando </w:t>
      </w:r>
      <w:r w:rsidRPr="00AB23E8">
        <w:rPr>
          <w:rFonts w:ascii="Palatino Linotype" w:eastAsia="Palatino Linotype" w:hAnsi="Palatino Linotype" w:cs="Palatino Linotype"/>
          <w:b/>
        </w:rPr>
        <w:t>QUINTO</w:t>
      </w:r>
      <w:r w:rsidRPr="00AB23E8">
        <w:rPr>
          <w:rFonts w:ascii="Palatino Linotype" w:eastAsia="Palatino Linotype" w:hAnsi="Palatino Linotype" w:cs="Palatino Linotype"/>
        </w:rPr>
        <w:t>.</w:t>
      </w:r>
    </w:p>
    <w:p w:rsidR="001670A2" w:rsidRPr="00AB23E8" w:rsidRDefault="001670A2">
      <w:pPr>
        <w:spacing w:line="360" w:lineRule="auto"/>
        <w:ind w:right="49"/>
        <w:jc w:val="both"/>
        <w:rPr>
          <w:rFonts w:ascii="Palatino Linotype" w:eastAsia="Palatino Linotype" w:hAnsi="Palatino Linotype" w:cs="Palatino Linotype"/>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b/>
        </w:rPr>
        <w:t xml:space="preserve">SEGUNDO. </w:t>
      </w:r>
      <w:r w:rsidRPr="00AB23E8">
        <w:rPr>
          <w:rFonts w:ascii="Palatino Linotype" w:eastAsia="Palatino Linotype" w:hAnsi="Palatino Linotype" w:cs="Palatino Linotype"/>
        </w:rPr>
        <w:t xml:space="preserve">Se </w:t>
      </w:r>
      <w:r w:rsidRPr="00AB23E8">
        <w:rPr>
          <w:rFonts w:ascii="Palatino Linotype" w:eastAsia="Palatino Linotype" w:hAnsi="Palatino Linotype" w:cs="Palatino Linotype"/>
          <w:b/>
        </w:rPr>
        <w:t xml:space="preserve">MODIFICA </w:t>
      </w:r>
      <w:r w:rsidRPr="00AB23E8">
        <w:rPr>
          <w:rFonts w:ascii="Palatino Linotype" w:eastAsia="Palatino Linotype" w:hAnsi="Palatino Linotype" w:cs="Palatino Linotype"/>
        </w:rPr>
        <w:t xml:space="preserve">la respuesta emitida por </w:t>
      </w:r>
      <w:r w:rsidRPr="00AB23E8">
        <w:rPr>
          <w:rFonts w:ascii="Palatino Linotype" w:eastAsia="Palatino Linotype" w:hAnsi="Palatino Linotype" w:cs="Palatino Linotype"/>
          <w:b/>
        </w:rPr>
        <w:t>EL</w:t>
      </w:r>
      <w:r w:rsidRPr="00AB23E8">
        <w:rPr>
          <w:rFonts w:ascii="Palatino Linotype" w:eastAsia="Palatino Linotype" w:hAnsi="Palatino Linotype" w:cs="Palatino Linotype"/>
        </w:rPr>
        <w:t xml:space="preserve"> </w:t>
      </w:r>
      <w:r w:rsidRPr="00AB23E8">
        <w:rPr>
          <w:rFonts w:ascii="Palatino Linotype" w:eastAsia="Palatino Linotype" w:hAnsi="Palatino Linotype" w:cs="Palatino Linotype"/>
          <w:b/>
        </w:rPr>
        <w:t>SUJETO OBLIGADO</w:t>
      </w:r>
      <w:r w:rsidRPr="00AB23E8">
        <w:rPr>
          <w:rFonts w:ascii="Palatino Linotype" w:eastAsia="Palatino Linotype" w:hAnsi="Palatino Linotype" w:cs="Palatino Linotype"/>
        </w:rPr>
        <w:t xml:space="preserve"> y se ordena que en términos del Considerando </w:t>
      </w:r>
      <w:r w:rsidRPr="00AB23E8">
        <w:rPr>
          <w:rFonts w:ascii="Palatino Linotype" w:eastAsia="Palatino Linotype" w:hAnsi="Palatino Linotype" w:cs="Palatino Linotype"/>
          <w:b/>
        </w:rPr>
        <w:t>Quinto</w:t>
      </w:r>
      <w:r w:rsidRPr="00AB23E8">
        <w:rPr>
          <w:rFonts w:ascii="Palatino Linotype" w:eastAsia="Palatino Linotype" w:hAnsi="Palatino Linotype" w:cs="Palatino Linotype"/>
        </w:rPr>
        <w:t xml:space="preserve"> haga entrega al </w:t>
      </w:r>
      <w:r w:rsidR="00AB23E8" w:rsidRPr="00AB23E8">
        <w:rPr>
          <w:rFonts w:ascii="Palatino Linotype" w:eastAsia="Palatino Linotype" w:hAnsi="Palatino Linotype" w:cs="Palatino Linotype"/>
          <w:b/>
        </w:rPr>
        <w:t>RECURRENTE</w:t>
      </w:r>
      <w:r w:rsidRPr="00AB23E8">
        <w:rPr>
          <w:rFonts w:ascii="Palatino Linotype" w:eastAsia="Palatino Linotype" w:hAnsi="Palatino Linotype" w:cs="Palatino Linotype"/>
        </w:rPr>
        <w:t xml:space="preserve"> mediante el Sistema de Acceso a la Información Mexiquense (SAIMEX), entrega en versión pública se ser procedente del soporte documental donde conste al mayor grado de desagregación posible, lo siguiente: </w:t>
      </w:r>
    </w:p>
    <w:p w:rsidR="00AB23E8" w:rsidRPr="00AB23E8" w:rsidRDefault="00AB23E8">
      <w:pPr>
        <w:spacing w:line="360" w:lineRule="auto"/>
        <w:jc w:val="both"/>
        <w:rPr>
          <w:rFonts w:ascii="Palatino Linotype" w:eastAsia="Palatino Linotype" w:hAnsi="Palatino Linotype" w:cs="Palatino Linotype"/>
        </w:rPr>
      </w:pPr>
    </w:p>
    <w:p w:rsidR="00AB23E8" w:rsidRPr="00AB23E8" w:rsidRDefault="00AB23E8">
      <w:pPr>
        <w:spacing w:line="360" w:lineRule="auto"/>
        <w:jc w:val="both"/>
        <w:rPr>
          <w:rFonts w:ascii="Palatino Linotype" w:eastAsia="Palatino Linotype" w:hAnsi="Palatino Linotype" w:cs="Palatino Linotype"/>
        </w:rPr>
      </w:pPr>
    </w:p>
    <w:p w:rsidR="001670A2" w:rsidRPr="00AB23E8" w:rsidRDefault="00D53821">
      <w:pPr>
        <w:numPr>
          <w:ilvl w:val="0"/>
          <w:numId w:val="1"/>
        </w:numPr>
        <w:ind w:right="33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lastRenderedPageBreak/>
        <w:t>Las aportaciones federales y estatales al presupuesto municipal, del periodo transcurrido del primero de enero al treinta y uno de diciembre de dos mil veintidós</w:t>
      </w:r>
    </w:p>
    <w:p w:rsidR="001670A2" w:rsidRPr="00AB23E8" w:rsidRDefault="00D53821">
      <w:pPr>
        <w:numPr>
          <w:ilvl w:val="0"/>
          <w:numId w:val="1"/>
        </w:numPr>
        <w:ind w:right="33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 xml:space="preserve">Las empresas que pagan autorización de carga y descarga en vía pública del primero de enero de dos mil once al treinta y uno de diciembre de dos mil veintiuno. </w:t>
      </w:r>
    </w:p>
    <w:p w:rsidR="001670A2" w:rsidRPr="00AB23E8" w:rsidRDefault="00D53821">
      <w:pPr>
        <w:numPr>
          <w:ilvl w:val="0"/>
          <w:numId w:val="1"/>
        </w:numPr>
        <w:ind w:right="33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Documento donde conste el número de personas que pagan el derecho por concepto de la expedición o refrendo anual para vender bebidas alcohólicas al público en botella cerrada del primero de enero de dos mil once al treinta y uno de diciembre de dos mil veintiuno.</w:t>
      </w:r>
    </w:p>
    <w:p w:rsidR="001670A2" w:rsidRPr="00AB23E8" w:rsidRDefault="00D53821">
      <w:pPr>
        <w:numPr>
          <w:ilvl w:val="0"/>
          <w:numId w:val="1"/>
        </w:numPr>
        <w:ind w:right="33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Monto recibido por concepto de impuestos sobre las máquinas de entretenimiento de audio, vídeo, vídeo juegos, eléctricas y electrónicas, mesas de aire, futbolitos, y los juegos de computadora que se activen con monedas, fichas, tarjetas magnéticas o cualquier otro dispositivo y que impliquen interacción de uno o varios usuarios con dichas máquinas o aparatos del primero de enero de dos mil once al treinta y uno de diciembre de dos mil veintiuno.</w:t>
      </w:r>
    </w:p>
    <w:p w:rsidR="001670A2" w:rsidRPr="00AB23E8" w:rsidRDefault="00D53821">
      <w:pPr>
        <w:numPr>
          <w:ilvl w:val="0"/>
          <w:numId w:val="1"/>
        </w:numPr>
        <w:ind w:right="332"/>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Ingresos recaudados por los derechos de estacionamiento en la vía pública y servicios públicos establecidos en el artículo 157 fracción III del Código Financiero del Estado de México del primero de enero de dos mil once al treinta y uno de diciembre de dos mil veintiuno; así como señala si corresponde a comercio establecido por pago de cajones para carga y descarga o empresas repartidoras por pago de cajones para carga y descarga.</w:t>
      </w:r>
    </w:p>
    <w:p w:rsidR="001670A2" w:rsidRPr="00AB23E8" w:rsidRDefault="001670A2">
      <w:pPr>
        <w:tabs>
          <w:tab w:val="left" w:pos="709"/>
        </w:tabs>
        <w:ind w:right="899"/>
        <w:jc w:val="both"/>
        <w:rPr>
          <w:rFonts w:ascii="Palatino Linotype" w:eastAsia="Palatino Linotype" w:hAnsi="Palatino Linotype" w:cs="Palatino Linotype"/>
          <w:i/>
          <w:sz w:val="20"/>
          <w:szCs w:val="20"/>
        </w:rPr>
      </w:pPr>
    </w:p>
    <w:p w:rsidR="001670A2" w:rsidRPr="00AB23E8" w:rsidRDefault="00D53821">
      <w:pPr>
        <w:tabs>
          <w:tab w:val="left" w:pos="709"/>
        </w:tabs>
        <w:ind w:left="850" w:right="899"/>
        <w:jc w:val="both"/>
        <w:rPr>
          <w:rFonts w:ascii="Palatino Linotype" w:eastAsia="Palatino Linotype" w:hAnsi="Palatino Linotype" w:cs="Palatino Linotype"/>
          <w:i/>
          <w:sz w:val="22"/>
          <w:szCs w:val="22"/>
        </w:rPr>
      </w:pPr>
      <w:r w:rsidRPr="00AB23E8">
        <w:rPr>
          <w:rFonts w:ascii="Palatino Linotype" w:eastAsia="Palatino Linotype" w:hAnsi="Palatino Linotype" w:cs="Palatino Linotype"/>
          <w:i/>
          <w:sz w:val="22"/>
          <w:szCs w:val="22"/>
        </w:rPr>
        <w:t xml:space="preserve">Debiendo notificar al </w:t>
      </w:r>
      <w:r w:rsidRPr="00AB23E8">
        <w:rPr>
          <w:rFonts w:ascii="Palatino Linotype" w:eastAsia="Palatino Linotype" w:hAnsi="Palatino Linotype" w:cs="Palatino Linotype"/>
          <w:b/>
          <w:i/>
          <w:sz w:val="22"/>
          <w:szCs w:val="22"/>
        </w:rPr>
        <w:t>RECURRENTE</w:t>
      </w:r>
      <w:r w:rsidRPr="00AB23E8">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rsidR="001670A2" w:rsidRPr="00AB23E8" w:rsidRDefault="001670A2">
      <w:pPr>
        <w:tabs>
          <w:tab w:val="left" w:pos="709"/>
        </w:tabs>
        <w:ind w:left="850" w:right="899"/>
        <w:jc w:val="both"/>
        <w:rPr>
          <w:rFonts w:ascii="Palatino Linotype" w:eastAsia="Palatino Linotype" w:hAnsi="Palatino Linotype" w:cs="Palatino Linotype"/>
          <w:i/>
          <w:sz w:val="22"/>
          <w:szCs w:val="22"/>
        </w:rPr>
      </w:pPr>
    </w:p>
    <w:p w:rsidR="001670A2" w:rsidRPr="00AB23E8" w:rsidRDefault="001670A2">
      <w:pPr>
        <w:tabs>
          <w:tab w:val="left" w:pos="709"/>
        </w:tabs>
        <w:ind w:left="850" w:right="899"/>
        <w:jc w:val="both"/>
        <w:rPr>
          <w:rFonts w:ascii="Palatino Linotype" w:eastAsia="Palatino Linotype" w:hAnsi="Palatino Linotype" w:cs="Palatino Linotype"/>
          <w:i/>
          <w:sz w:val="22"/>
          <w:szCs w:val="22"/>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b/>
        </w:rPr>
        <w:t>TERCERO.</w:t>
      </w:r>
      <w:r w:rsidRPr="00AB23E8">
        <w:rPr>
          <w:rFonts w:ascii="Palatino Linotype" w:eastAsia="Palatino Linotype" w:hAnsi="Palatino Linotype" w:cs="Palatino Linotype"/>
        </w:rPr>
        <w:t xml:space="preserve"> </w:t>
      </w:r>
      <w:r w:rsidRPr="00AB23E8">
        <w:rPr>
          <w:rFonts w:ascii="Palatino Linotype" w:eastAsia="Palatino Linotype" w:hAnsi="Palatino Linotype" w:cs="Palatino Linotype"/>
          <w:b/>
        </w:rPr>
        <w:t xml:space="preserve">NOTIFÍQUESE </w:t>
      </w:r>
      <w:r w:rsidRPr="00AB23E8">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1670A2" w:rsidRPr="00AB23E8" w:rsidRDefault="001670A2">
      <w:pPr>
        <w:spacing w:line="360" w:lineRule="auto"/>
        <w:jc w:val="both"/>
        <w:rPr>
          <w:rFonts w:ascii="Palatino Linotype" w:eastAsia="Palatino Linotype" w:hAnsi="Palatino Linotype" w:cs="Palatino Linotype"/>
          <w:sz w:val="22"/>
          <w:szCs w:val="22"/>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b/>
        </w:rPr>
        <w:lastRenderedPageBreak/>
        <w:t xml:space="preserve">CUARTO. </w:t>
      </w:r>
      <w:r w:rsidRPr="00AB23E8">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1670A2" w:rsidRPr="00AB23E8" w:rsidRDefault="001670A2">
      <w:pPr>
        <w:spacing w:line="360" w:lineRule="auto"/>
        <w:jc w:val="both"/>
        <w:rPr>
          <w:rFonts w:ascii="Palatino Linotype" w:eastAsia="Palatino Linotype" w:hAnsi="Palatino Linotype" w:cs="Palatino Linotype"/>
          <w:sz w:val="22"/>
          <w:szCs w:val="22"/>
        </w:rPr>
      </w:pPr>
    </w:p>
    <w:p w:rsidR="001670A2" w:rsidRPr="00AB23E8" w:rsidRDefault="00D53821">
      <w:pPr>
        <w:spacing w:line="360" w:lineRule="auto"/>
        <w:jc w:val="both"/>
        <w:rPr>
          <w:rFonts w:ascii="Palatino Linotype" w:eastAsia="Palatino Linotype" w:hAnsi="Palatino Linotype" w:cs="Palatino Linotype"/>
          <w:b/>
        </w:rPr>
      </w:pPr>
      <w:r w:rsidRPr="00AB23E8">
        <w:rPr>
          <w:rFonts w:ascii="Palatino Linotype" w:eastAsia="Palatino Linotype" w:hAnsi="Palatino Linotype" w:cs="Palatino Linotype"/>
          <w:b/>
        </w:rPr>
        <w:t>QUINTO.</w:t>
      </w:r>
      <w:r w:rsidRPr="00AB23E8">
        <w:rPr>
          <w:rFonts w:ascii="Palatino Linotype" w:eastAsia="Palatino Linotype" w:hAnsi="Palatino Linotype" w:cs="Palatino Linotype"/>
        </w:rPr>
        <w:t xml:space="preserve"> </w:t>
      </w:r>
      <w:r w:rsidRPr="00AB23E8">
        <w:rPr>
          <w:rFonts w:ascii="Palatino Linotype" w:eastAsia="Palatino Linotype" w:hAnsi="Palatino Linotype" w:cs="Palatino Linotype"/>
          <w:b/>
        </w:rPr>
        <w:t>NOTIFÍQUESE</w:t>
      </w:r>
      <w:r w:rsidRPr="00AB23E8">
        <w:rPr>
          <w:rFonts w:ascii="Palatino Linotype" w:eastAsia="Palatino Linotype" w:hAnsi="Palatino Linotype" w:cs="Palatino Linotype"/>
        </w:rPr>
        <w:t xml:space="preserve"> al </w:t>
      </w:r>
      <w:r w:rsidR="00AB23E8" w:rsidRPr="00AB23E8">
        <w:rPr>
          <w:rFonts w:ascii="Palatino Linotype" w:eastAsia="Palatino Linotype" w:hAnsi="Palatino Linotype" w:cs="Palatino Linotype"/>
          <w:b/>
        </w:rPr>
        <w:t>RECURRENTE</w:t>
      </w:r>
      <w:r w:rsidRPr="00AB23E8">
        <w:rPr>
          <w:rFonts w:ascii="Palatino Linotype" w:eastAsia="Palatino Linotype" w:hAnsi="Palatino Linotype" w:cs="Palatino Linotype"/>
        </w:rPr>
        <w:t xml:space="preserv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1670A2" w:rsidRPr="00AB23E8" w:rsidRDefault="001670A2">
      <w:pPr>
        <w:spacing w:line="360" w:lineRule="auto"/>
        <w:jc w:val="both"/>
        <w:rPr>
          <w:rFonts w:ascii="Palatino Linotype" w:eastAsia="Palatino Linotype" w:hAnsi="Palatino Linotype" w:cs="Palatino Linotype"/>
          <w:sz w:val="22"/>
          <w:szCs w:val="22"/>
        </w:rPr>
      </w:pPr>
    </w:p>
    <w:p w:rsidR="001670A2" w:rsidRPr="00AB23E8" w:rsidRDefault="00D53821">
      <w:pPr>
        <w:spacing w:line="360" w:lineRule="auto"/>
        <w:jc w:val="both"/>
        <w:rPr>
          <w:rFonts w:ascii="Palatino Linotype" w:eastAsia="Palatino Linotype" w:hAnsi="Palatino Linotype" w:cs="Palatino Linotype"/>
        </w:rPr>
      </w:pPr>
      <w:r w:rsidRPr="00AB23E8">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TERCER</w:t>
      </w:r>
      <w:r w:rsidR="00AB23E8" w:rsidRPr="00AB23E8">
        <w:rPr>
          <w:rFonts w:ascii="Palatino Linotype" w:eastAsia="Palatino Linotype" w:hAnsi="Palatino Linotype" w:cs="Palatino Linotype"/>
        </w:rPr>
        <w:t>A</w:t>
      </w:r>
      <w:r w:rsidRPr="00AB23E8">
        <w:rPr>
          <w:rFonts w:ascii="Palatino Linotype" w:eastAsia="Palatino Linotype" w:hAnsi="Palatino Linotype" w:cs="Palatino Linotype"/>
        </w:rPr>
        <w:t xml:space="preserve"> SESIÓN ORDINARIA CELEBRADA EL VEINTICINCO DE ENERO DE DOS MIL </w:t>
      </w:r>
      <w:r w:rsidR="00AB23E8" w:rsidRPr="00AB23E8">
        <w:rPr>
          <w:rFonts w:ascii="Palatino Linotype" w:eastAsia="Palatino Linotype" w:hAnsi="Palatino Linotype" w:cs="Palatino Linotype"/>
        </w:rPr>
        <w:t>VEINTITRÉS</w:t>
      </w:r>
      <w:r w:rsidRPr="00AB23E8">
        <w:rPr>
          <w:rFonts w:ascii="Palatino Linotype" w:eastAsia="Palatino Linotype" w:hAnsi="Palatino Linotype" w:cs="Palatino Linotype"/>
        </w:rPr>
        <w:t xml:space="preserve"> ANTE EL SECRETARIO TÉCNICO DEL PLENO, ALEXIS TAPIA RAMÍREZ.</w:t>
      </w:r>
    </w:p>
    <w:p w:rsidR="001670A2" w:rsidRDefault="00D53821">
      <w:pPr>
        <w:spacing w:line="360" w:lineRule="auto"/>
        <w:jc w:val="both"/>
        <w:rPr>
          <w:rFonts w:ascii="Palatino Linotype" w:eastAsia="Palatino Linotype" w:hAnsi="Palatino Linotype" w:cs="Palatino Linotype"/>
          <w:sz w:val="14"/>
          <w:szCs w:val="14"/>
        </w:rPr>
      </w:pPr>
      <w:r w:rsidRPr="00AB23E8">
        <w:rPr>
          <w:rFonts w:ascii="Palatino Linotype" w:eastAsia="Palatino Linotype" w:hAnsi="Palatino Linotype" w:cs="Palatino Linotype"/>
          <w:sz w:val="14"/>
          <w:szCs w:val="14"/>
        </w:rPr>
        <w:t>SCMM/BLA/DEMF/PMRE</w:t>
      </w:r>
    </w:p>
    <w:p w:rsidR="001670A2" w:rsidRDefault="00D53821">
      <w:pPr>
        <w:rPr>
          <w:rFonts w:ascii="Palatino Linotype" w:eastAsia="Palatino Linotype" w:hAnsi="Palatino Linotype" w:cs="Palatino Linotype"/>
        </w:rPr>
      </w:pPr>
      <w:r>
        <w:br w:type="page"/>
      </w:r>
    </w:p>
    <w:p w:rsidR="001670A2" w:rsidRDefault="001670A2">
      <w:pPr>
        <w:spacing w:line="360" w:lineRule="auto"/>
        <w:jc w:val="both"/>
        <w:rPr>
          <w:rFonts w:ascii="Palatino Linotype" w:eastAsia="Palatino Linotype" w:hAnsi="Palatino Linotype" w:cs="Palatino Linotype"/>
        </w:rPr>
      </w:pPr>
    </w:p>
    <w:p w:rsidR="001670A2" w:rsidRDefault="001670A2">
      <w:pPr>
        <w:spacing w:line="360" w:lineRule="auto"/>
        <w:jc w:val="both"/>
        <w:rPr>
          <w:rFonts w:ascii="Palatino Linotype" w:eastAsia="Palatino Linotype" w:hAnsi="Palatino Linotype" w:cs="Palatino Linotype"/>
        </w:rPr>
      </w:pPr>
    </w:p>
    <w:p w:rsidR="001670A2" w:rsidRDefault="001670A2">
      <w:pPr>
        <w:spacing w:line="360" w:lineRule="auto"/>
        <w:jc w:val="both"/>
        <w:rPr>
          <w:rFonts w:ascii="Palatino Linotype" w:eastAsia="Palatino Linotype" w:hAnsi="Palatino Linotype" w:cs="Palatino Linotype"/>
        </w:rPr>
      </w:pPr>
    </w:p>
    <w:p w:rsidR="001670A2" w:rsidRDefault="001670A2">
      <w:pPr>
        <w:spacing w:line="360" w:lineRule="auto"/>
        <w:jc w:val="both"/>
        <w:rPr>
          <w:rFonts w:ascii="Palatino Linotype" w:eastAsia="Palatino Linotype" w:hAnsi="Palatino Linotype" w:cs="Palatino Linotype"/>
        </w:rPr>
      </w:pPr>
    </w:p>
    <w:p w:rsidR="001670A2" w:rsidRDefault="001670A2">
      <w:pPr>
        <w:spacing w:line="360" w:lineRule="auto"/>
        <w:jc w:val="both"/>
        <w:rPr>
          <w:rFonts w:ascii="Palatino Linotype" w:eastAsia="Palatino Linotype" w:hAnsi="Palatino Linotype" w:cs="Palatino Linotype"/>
        </w:rPr>
      </w:pPr>
    </w:p>
    <w:p w:rsidR="001670A2" w:rsidRDefault="001670A2">
      <w:pPr>
        <w:spacing w:line="360" w:lineRule="auto"/>
        <w:jc w:val="both"/>
        <w:rPr>
          <w:rFonts w:ascii="Palatino Linotype" w:eastAsia="Palatino Linotype" w:hAnsi="Palatino Linotype" w:cs="Palatino Linotype"/>
        </w:rPr>
      </w:pPr>
    </w:p>
    <w:p w:rsidR="001670A2" w:rsidRDefault="001670A2">
      <w:pPr>
        <w:spacing w:line="360" w:lineRule="auto"/>
        <w:jc w:val="both"/>
        <w:rPr>
          <w:rFonts w:ascii="Palatino Linotype" w:eastAsia="Palatino Linotype" w:hAnsi="Palatino Linotype" w:cs="Palatino Linotype"/>
        </w:rPr>
      </w:pPr>
    </w:p>
    <w:p w:rsidR="001670A2" w:rsidRDefault="001670A2">
      <w:pPr>
        <w:spacing w:line="360" w:lineRule="auto"/>
        <w:jc w:val="both"/>
        <w:rPr>
          <w:rFonts w:ascii="Palatino Linotype" w:eastAsia="Palatino Linotype" w:hAnsi="Palatino Linotype" w:cs="Palatino Linotype"/>
        </w:rPr>
      </w:pPr>
    </w:p>
    <w:p w:rsidR="001670A2" w:rsidRDefault="001670A2">
      <w:pPr>
        <w:spacing w:line="360" w:lineRule="auto"/>
        <w:jc w:val="both"/>
        <w:rPr>
          <w:rFonts w:ascii="Palatino Linotype" w:eastAsia="Palatino Linotype" w:hAnsi="Palatino Linotype" w:cs="Palatino Linotype"/>
        </w:rPr>
      </w:pPr>
      <w:bookmarkStart w:id="10" w:name="_heading=h.30j0zll" w:colFirst="0" w:colLast="0"/>
      <w:bookmarkEnd w:id="10"/>
    </w:p>
    <w:p w:rsidR="001670A2" w:rsidRDefault="001670A2">
      <w:pPr>
        <w:spacing w:line="360" w:lineRule="auto"/>
        <w:jc w:val="both"/>
        <w:rPr>
          <w:rFonts w:ascii="Palatino Linotype" w:eastAsia="Palatino Linotype" w:hAnsi="Palatino Linotype" w:cs="Palatino Linotype"/>
        </w:rPr>
      </w:pPr>
    </w:p>
    <w:p w:rsidR="001670A2" w:rsidRDefault="001670A2">
      <w:pPr>
        <w:spacing w:line="360" w:lineRule="auto"/>
        <w:jc w:val="both"/>
        <w:rPr>
          <w:rFonts w:ascii="Palatino Linotype" w:eastAsia="Palatino Linotype" w:hAnsi="Palatino Linotype" w:cs="Palatino Linotype"/>
        </w:rPr>
      </w:pPr>
    </w:p>
    <w:p w:rsidR="001670A2" w:rsidRDefault="001670A2">
      <w:pPr>
        <w:spacing w:line="360" w:lineRule="auto"/>
        <w:jc w:val="both"/>
        <w:rPr>
          <w:rFonts w:ascii="Palatino Linotype" w:eastAsia="Palatino Linotype" w:hAnsi="Palatino Linotype" w:cs="Palatino Linotype"/>
        </w:rPr>
      </w:pPr>
    </w:p>
    <w:p w:rsidR="001670A2" w:rsidRDefault="001670A2">
      <w:pPr>
        <w:spacing w:line="360" w:lineRule="auto"/>
        <w:jc w:val="both"/>
        <w:rPr>
          <w:rFonts w:ascii="Palatino Linotype" w:eastAsia="Palatino Linotype" w:hAnsi="Palatino Linotype" w:cs="Palatino Linotype"/>
        </w:rPr>
      </w:pPr>
    </w:p>
    <w:p w:rsidR="001670A2" w:rsidRDefault="001670A2">
      <w:pPr>
        <w:spacing w:line="360" w:lineRule="auto"/>
        <w:jc w:val="both"/>
        <w:rPr>
          <w:rFonts w:ascii="Palatino Linotype" w:eastAsia="Palatino Linotype" w:hAnsi="Palatino Linotype" w:cs="Palatino Linotype"/>
        </w:rPr>
      </w:pPr>
    </w:p>
    <w:p w:rsidR="001670A2" w:rsidRDefault="001670A2">
      <w:pPr>
        <w:spacing w:line="360" w:lineRule="auto"/>
        <w:jc w:val="both"/>
        <w:rPr>
          <w:rFonts w:ascii="Palatino Linotype" w:eastAsia="Palatino Linotype" w:hAnsi="Palatino Linotype" w:cs="Palatino Linotype"/>
        </w:rPr>
      </w:pPr>
    </w:p>
    <w:p w:rsidR="001670A2" w:rsidRDefault="001670A2">
      <w:pPr>
        <w:spacing w:line="360" w:lineRule="auto"/>
        <w:jc w:val="both"/>
        <w:rPr>
          <w:rFonts w:ascii="Palatino Linotype" w:eastAsia="Palatino Linotype" w:hAnsi="Palatino Linotype" w:cs="Palatino Linotype"/>
        </w:rPr>
      </w:pPr>
    </w:p>
    <w:p w:rsidR="001670A2" w:rsidRDefault="001670A2">
      <w:pPr>
        <w:spacing w:line="360" w:lineRule="auto"/>
        <w:jc w:val="both"/>
        <w:rPr>
          <w:rFonts w:ascii="Palatino Linotype" w:eastAsia="Palatino Linotype" w:hAnsi="Palatino Linotype" w:cs="Palatino Linotype"/>
        </w:rPr>
      </w:pPr>
    </w:p>
    <w:p w:rsidR="001670A2" w:rsidRDefault="001670A2">
      <w:pPr>
        <w:spacing w:line="360" w:lineRule="auto"/>
        <w:jc w:val="both"/>
        <w:rPr>
          <w:rFonts w:ascii="Palatino Linotype" w:eastAsia="Palatino Linotype" w:hAnsi="Palatino Linotype" w:cs="Palatino Linotype"/>
        </w:rPr>
      </w:pPr>
    </w:p>
    <w:sectPr w:rsidR="001670A2">
      <w:headerReference w:type="even" r:id="rId38"/>
      <w:headerReference w:type="default" r:id="rId39"/>
      <w:footerReference w:type="default" r:id="rId40"/>
      <w:headerReference w:type="first" r:id="rId41"/>
      <w:footerReference w:type="first" r:id="rId42"/>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922" w:rsidRDefault="005C3922">
      <w:r>
        <w:separator/>
      </w:r>
    </w:p>
  </w:endnote>
  <w:endnote w:type="continuationSeparator" w:id="0">
    <w:p w:rsidR="005C3922" w:rsidRDefault="005C3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821" w:rsidRDefault="00D5382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D2CE2">
      <w:rPr>
        <w:rFonts w:ascii="Palatino Linotype" w:eastAsia="Palatino Linotype" w:hAnsi="Palatino Linotype" w:cs="Palatino Linotype"/>
        <w:noProof/>
        <w:color w:val="000000"/>
        <w:sz w:val="22"/>
        <w:szCs w:val="22"/>
      </w:rPr>
      <w:t>111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D2CE2">
      <w:rPr>
        <w:rFonts w:ascii="Palatino Linotype" w:eastAsia="Palatino Linotype" w:hAnsi="Palatino Linotype" w:cs="Palatino Linotype"/>
        <w:noProof/>
        <w:color w:val="000000"/>
        <w:sz w:val="22"/>
        <w:szCs w:val="22"/>
      </w:rPr>
      <w:t>112</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821" w:rsidRDefault="00D53821">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D2CE2">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D2CE2">
      <w:rPr>
        <w:rFonts w:ascii="Palatino Linotype" w:eastAsia="Palatino Linotype" w:hAnsi="Palatino Linotype" w:cs="Palatino Linotype"/>
        <w:noProof/>
        <w:color w:val="000000"/>
        <w:sz w:val="22"/>
        <w:szCs w:val="22"/>
      </w:rPr>
      <w:t>112</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922" w:rsidRDefault="005C3922">
      <w:r>
        <w:separator/>
      </w:r>
    </w:p>
  </w:footnote>
  <w:footnote w:type="continuationSeparator" w:id="0">
    <w:p w:rsidR="005C3922" w:rsidRDefault="005C3922">
      <w:r>
        <w:continuationSeparator/>
      </w:r>
    </w:p>
  </w:footnote>
  <w:footnote w:id="1">
    <w:p w:rsidR="00D53821" w:rsidRDefault="00D53821">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821" w:rsidRDefault="00DD2CE2">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728;mso-position-horizontal:center;mso-position-horizontal-relative:margin;mso-position-vertical:center;mso-position-vertical-relative:margin">
          <v:imagedata r:id="rId1" o:title="image1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821" w:rsidRDefault="00DD2CE2">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0;margin-top:0;width:540pt;height:10in;z-index:-251659776;mso-position-horizontal:center;mso-position-horizontal-relative:margin;mso-position-vertical:center;mso-position-vertical-relative:margin">
          <v:imagedata r:id="rId1" o:title="image13"/>
          <w10:wrap anchorx="margin" anchory="margin"/>
        </v:shape>
      </w:pict>
    </w:r>
  </w:p>
  <w:tbl>
    <w:tblPr>
      <w:tblStyle w:val="afffffffffc"/>
      <w:tblW w:w="9534" w:type="dxa"/>
      <w:tblInd w:w="-142" w:type="dxa"/>
      <w:tblLayout w:type="fixed"/>
      <w:tblLook w:val="0400" w:firstRow="0" w:lastRow="0" w:firstColumn="0" w:lastColumn="0" w:noHBand="0" w:noVBand="1"/>
    </w:tblPr>
    <w:tblGrid>
      <w:gridCol w:w="3261"/>
      <w:gridCol w:w="2551"/>
      <w:gridCol w:w="3722"/>
    </w:tblGrid>
    <w:tr w:rsidR="00D53821">
      <w:tc>
        <w:tcPr>
          <w:tcW w:w="3261" w:type="dxa"/>
          <w:vMerge w:val="restart"/>
        </w:tcPr>
        <w:p w:rsidR="00D53821" w:rsidRDefault="00D53821">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extent cx="1692162" cy="852673"/>
                <wp:effectExtent l="0" t="0" r="0" b="0"/>
                <wp:docPr id="48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rsidR="00D53821" w:rsidRDefault="00D5382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rsidR="00D53821" w:rsidRDefault="00D53821">
          <w:pPr>
            <w:jc w:val="both"/>
            <w:rPr>
              <w:rFonts w:ascii="Palatino Linotype" w:eastAsia="Palatino Linotype" w:hAnsi="Palatino Linotype" w:cs="Palatino Linotype"/>
              <w:b/>
            </w:rPr>
          </w:pPr>
          <w:r>
            <w:rPr>
              <w:rFonts w:ascii="Palatino Linotype" w:eastAsia="Palatino Linotype" w:hAnsi="Palatino Linotype" w:cs="Palatino Linotype"/>
              <w:b/>
            </w:rPr>
            <w:t>12267/INFOEM/IP/RR/2022</w:t>
          </w:r>
        </w:p>
      </w:tc>
    </w:tr>
    <w:tr w:rsidR="00D53821">
      <w:tc>
        <w:tcPr>
          <w:tcW w:w="3261" w:type="dxa"/>
          <w:vMerge/>
        </w:tcPr>
        <w:p w:rsidR="00D53821" w:rsidRDefault="00D53821">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D53821" w:rsidRDefault="00D5382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rsidR="00D53821" w:rsidRDefault="00D53821">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Cuautitlán Izcalli </w:t>
          </w:r>
        </w:p>
      </w:tc>
    </w:tr>
    <w:tr w:rsidR="00D53821">
      <w:trPr>
        <w:trHeight w:val="790"/>
      </w:trPr>
      <w:tc>
        <w:tcPr>
          <w:tcW w:w="3261" w:type="dxa"/>
          <w:vMerge/>
        </w:tcPr>
        <w:p w:rsidR="00D53821" w:rsidRDefault="00D53821">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D53821" w:rsidRDefault="00D53821">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rsidR="00D53821" w:rsidRDefault="00D53821">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rsidR="00D53821" w:rsidRDefault="00D53821">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821" w:rsidRDefault="00DD2CE2">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13"/>
          <w10:wrap anchorx="margin" anchory="margin"/>
        </v:shape>
      </w:pict>
    </w:r>
  </w:p>
  <w:tbl>
    <w:tblPr>
      <w:tblStyle w:val="afffffffffd"/>
      <w:tblW w:w="9900" w:type="dxa"/>
      <w:tblInd w:w="-833" w:type="dxa"/>
      <w:tblLayout w:type="fixed"/>
      <w:tblLook w:val="0400" w:firstRow="0" w:lastRow="0" w:firstColumn="0" w:lastColumn="0" w:noHBand="0" w:noVBand="1"/>
    </w:tblPr>
    <w:tblGrid>
      <w:gridCol w:w="3805"/>
      <w:gridCol w:w="3000"/>
      <w:gridCol w:w="3095"/>
    </w:tblGrid>
    <w:tr w:rsidR="00D53821">
      <w:tc>
        <w:tcPr>
          <w:tcW w:w="3805" w:type="dxa"/>
          <w:vMerge w:val="restart"/>
          <w:shd w:val="clear" w:color="auto" w:fill="auto"/>
        </w:tcPr>
        <w:p w:rsidR="00D53821" w:rsidRDefault="00D53821">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extent cx="1692162" cy="852673"/>
                <wp:effectExtent l="0" t="0" r="0" b="0"/>
                <wp:docPr id="4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rsidR="00D53821" w:rsidRDefault="00D5382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rsidR="00D53821" w:rsidRDefault="00D53821">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12267/INFOEM/IP/RR/2022 </w:t>
          </w:r>
        </w:p>
      </w:tc>
    </w:tr>
    <w:tr w:rsidR="00D53821">
      <w:tc>
        <w:tcPr>
          <w:tcW w:w="3805" w:type="dxa"/>
          <w:vMerge/>
          <w:shd w:val="clear" w:color="auto" w:fill="auto"/>
        </w:tcPr>
        <w:p w:rsidR="00D53821" w:rsidRDefault="00D53821">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D53821" w:rsidRDefault="00D53821">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rsidR="00D53821" w:rsidRDefault="00D53821">
          <w:pPr>
            <w:jc w:val="both"/>
            <w:rPr>
              <w:rFonts w:ascii="Palatino Linotype" w:eastAsia="Palatino Linotype" w:hAnsi="Palatino Linotype" w:cs="Palatino Linotype"/>
              <w:b/>
            </w:rPr>
          </w:pPr>
        </w:p>
      </w:tc>
    </w:tr>
    <w:tr w:rsidR="00D53821">
      <w:trPr>
        <w:trHeight w:val="228"/>
      </w:trPr>
      <w:tc>
        <w:tcPr>
          <w:tcW w:w="3805" w:type="dxa"/>
          <w:vMerge/>
          <w:shd w:val="clear" w:color="auto" w:fill="auto"/>
        </w:tcPr>
        <w:p w:rsidR="00D53821" w:rsidRDefault="00D53821">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D53821" w:rsidRDefault="00D5382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rsidR="00D53821" w:rsidRDefault="00D53821">
          <w:pPr>
            <w:jc w:val="both"/>
            <w:rPr>
              <w:rFonts w:ascii="Palatino Linotype" w:eastAsia="Palatino Linotype" w:hAnsi="Palatino Linotype" w:cs="Palatino Linotype"/>
              <w:b/>
            </w:rPr>
          </w:pPr>
          <w:r>
            <w:rPr>
              <w:rFonts w:ascii="Palatino Linotype" w:eastAsia="Palatino Linotype" w:hAnsi="Palatino Linotype" w:cs="Palatino Linotype"/>
              <w:b/>
            </w:rPr>
            <w:t>Ayuntamiento de Cuautitlán Izcalli</w:t>
          </w:r>
        </w:p>
      </w:tc>
    </w:tr>
    <w:tr w:rsidR="00D53821">
      <w:tc>
        <w:tcPr>
          <w:tcW w:w="3805" w:type="dxa"/>
          <w:vMerge/>
          <w:shd w:val="clear" w:color="auto" w:fill="auto"/>
        </w:tcPr>
        <w:p w:rsidR="00D53821" w:rsidRDefault="00D53821">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D53821" w:rsidRDefault="00D53821">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rsidR="00D53821" w:rsidRDefault="00D53821">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rsidR="00D53821" w:rsidRDefault="00D53821">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D0BDC"/>
    <w:multiLevelType w:val="multilevel"/>
    <w:tmpl w:val="6A548FB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05E50BB"/>
    <w:multiLevelType w:val="multilevel"/>
    <w:tmpl w:val="C20CC2B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37AF6776"/>
    <w:multiLevelType w:val="multilevel"/>
    <w:tmpl w:val="C58C2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32390B"/>
    <w:multiLevelType w:val="multilevel"/>
    <w:tmpl w:val="3AF2A0E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0A2"/>
    <w:rsid w:val="001670A2"/>
    <w:rsid w:val="005C3922"/>
    <w:rsid w:val="00660E4C"/>
    <w:rsid w:val="00AB23E8"/>
    <w:rsid w:val="00D53821"/>
    <w:rsid w:val="00DD2C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4B18A06-0B71-4604-A664-917850E40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ff9"/>
    <w:tblPr>
      <w:tblStyleRowBandSize w:val="1"/>
      <w:tblStyleColBandSize w:val="1"/>
      <w:tblCellMar>
        <w:top w:w="100" w:type="dxa"/>
        <w:left w:w="100" w:type="dxa"/>
        <w:bottom w:w="100" w:type="dxa"/>
        <w:right w:w="100" w:type="dxa"/>
      </w:tblCellMar>
    </w:tblPr>
  </w:style>
  <w:style w:type="table" w:customStyle="1" w:styleId="a0">
    <w:basedOn w:val="TableNormalfff9"/>
    <w:tblPr>
      <w:tblStyleRowBandSize w:val="1"/>
      <w:tblStyleColBandSize w:val="1"/>
      <w:tblCellMar>
        <w:left w:w="115" w:type="dxa"/>
        <w:right w:w="115" w:type="dxa"/>
      </w:tblCellMar>
    </w:tblPr>
  </w:style>
  <w:style w:type="table" w:customStyle="1" w:styleId="a1">
    <w:basedOn w:val="TableNormalfff9"/>
    <w:tblPr>
      <w:tblStyleRowBandSize w:val="1"/>
      <w:tblStyleColBandSize w:val="1"/>
      <w:tblCellMar>
        <w:left w:w="115" w:type="dxa"/>
        <w:right w:w="115" w:type="dxa"/>
      </w:tblCellMar>
    </w:tblPr>
  </w:style>
  <w:style w:type="table" w:customStyle="1" w:styleId="a2">
    <w:basedOn w:val="TableNormalfff9"/>
    <w:tblPr>
      <w:tblStyleRowBandSize w:val="1"/>
      <w:tblStyleColBandSize w:val="1"/>
      <w:tblCellMar>
        <w:left w:w="115" w:type="dxa"/>
        <w:right w:w="115" w:type="dxa"/>
      </w:tblCellMar>
    </w:tblPr>
  </w:style>
  <w:style w:type="table" w:customStyle="1" w:styleId="a3">
    <w:basedOn w:val="TableNormalfff9"/>
    <w:tblPr>
      <w:tblStyleRowBandSize w:val="1"/>
      <w:tblStyleColBandSize w:val="1"/>
      <w:tblCellMar>
        <w:left w:w="115" w:type="dxa"/>
        <w:right w:w="115" w:type="dxa"/>
      </w:tblCellMar>
    </w:tblPr>
  </w:style>
  <w:style w:type="table" w:customStyle="1" w:styleId="a4">
    <w:basedOn w:val="TableNormalfff9"/>
    <w:tblPr>
      <w:tblStyleRowBandSize w:val="1"/>
      <w:tblStyleColBandSize w:val="1"/>
      <w:tblCellMar>
        <w:left w:w="115" w:type="dxa"/>
        <w:right w:w="115" w:type="dxa"/>
      </w:tblCellMar>
    </w:tblPr>
  </w:style>
  <w:style w:type="table" w:customStyle="1" w:styleId="a5">
    <w:basedOn w:val="TableNormalfff9"/>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ff9"/>
    <w:tblPr>
      <w:tblStyleRowBandSize w:val="1"/>
      <w:tblStyleColBandSize w:val="1"/>
      <w:tblCellMar>
        <w:left w:w="115" w:type="dxa"/>
        <w:right w:w="115" w:type="dxa"/>
      </w:tblCellMar>
    </w:tblPr>
  </w:style>
  <w:style w:type="table" w:customStyle="1" w:styleId="a7">
    <w:basedOn w:val="TableNormalfff9"/>
    <w:tblPr>
      <w:tblStyleRowBandSize w:val="1"/>
      <w:tblStyleColBandSize w:val="1"/>
      <w:tblCellMar>
        <w:left w:w="115" w:type="dxa"/>
        <w:right w:w="115" w:type="dxa"/>
      </w:tblCellMar>
    </w:tblPr>
  </w:style>
  <w:style w:type="table" w:customStyle="1" w:styleId="a8">
    <w:basedOn w:val="TableNormalfff9"/>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ff9"/>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ff6"/>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f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f8"/>
    <w:tblPr>
      <w:tblStyleRowBandSize w:val="1"/>
      <w:tblStyleColBandSize w:val="1"/>
      <w:tblCellMar>
        <w:left w:w="115" w:type="dxa"/>
        <w:right w:w="115" w:type="dxa"/>
      </w:tblCellMar>
    </w:tblPr>
  </w:style>
  <w:style w:type="table" w:customStyle="1" w:styleId="afff3">
    <w:basedOn w:val="TableNormalff8"/>
    <w:tblPr>
      <w:tblStyleRowBandSize w:val="1"/>
      <w:tblStyleColBandSize w:val="1"/>
      <w:tblCellMar>
        <w:top w:w="100" w:type="dxa"/>
        <w:left w:w="100" w:type="dxa"/>
        <w:bottom w:w="100" w:type="dxa"/>
        <w:right w:w="100" w:type="dxa"/>
      </w:tblCellMar>
    </w:tblPr>
  </w:style>
  <w:style w:type="table" w:customStyle="1" w:styleId="afff4">
    <w:basedOn w:val="TableNormalf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f8"/>
    <w:tblPr>
      <w:tblStyleRowBandSize w:val="1"/>
      <w:tblStyleColBandSize w:val="1"/>
      <w:tblCellMar>
        <w:top w:w="100" w:type="dxa"/>
        <w:left w:w="100" w:type="dxa"/>
        <w:bottom w:w="100" w:type="dxa"/>
        <w:right w:w="100" w:type="dxa"/>
      </w:tblCellMar>
    </w:tblPr>
  </w:style>
  <w:style w:type="table" w:customStyle="1" w:styleId="afff7">
    <w:basedOn w:val="TableNormalf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f8"/>
    <w:rPr>
      <w:rFonts w:ascii="Arial" w:eastAsia="Arial" w:hAnsi="Arial" w:cs="Arial"/>
      <w:sz w:val="22"/>
      <w:szCs w:val="22"/>
    </w:rPr>
    <w:tblPr>
      <w:tblStyleRowBandSize w:val="1"/>
      <w:tblStyleColBandSize w:val="1"/>
      <w:tblCellMar>
        <w:left w:w="115" w:type="dxa"/>
        <w:right w:w="115" w:type="dxa"/>
      </w:tblCellMar>
    </w:tblPr>
  </w:style>
  <w:style w:type="table" w:customStyle="1" w:styleId="afffc">
    <w:basedOn w:val="TableNormalf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f8"/>
    <w:rPr>
      <w:rFonts w:ascii="Arial" w:eastAsia="Arial" w:hAnsi="Arial" w:cs="Arial"/>
      <w:sz w:val="22"/>
      <w:szCs w:val="22"/>
    </w:rPr>
    <w:tblPr>
      <w:tblStyleRowBandSize w:val="1"/>
      <w:tblStyleColBandSize w:val="1"/>
      <w:tblCellMar>
        <w:left w:w="108" w:type="dxa"/>
        <w:right w:w="108" w:type="dxa"/>
      </w:tblCellMar>
    </w:tblPr>
  </w:style>
  <w:style w:type="table" w:customStyle="1" w:styleId="affff">
    <w:basedOn w:val="TableNormalf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0">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1">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2">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3">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4">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5">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6">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7">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8">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9">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a">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b">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c">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d">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e">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0">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1">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2">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3">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4">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5">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6">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7">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8">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9">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a">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b">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c">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d">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2.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ipomex.org.mx/ipo3/lgt/indice/CUAUTITLANIZCALLI/art_92_xlvii_a.web?token=03AGdBq27X4Ew6KlVDHzJO6sNYSquwHY070v5an_RK6fMLf5y051DnPiBEckNzzizSYnZx-siXYY3FyaVp5-hkSq8pnwB6LFIMCOz1y7jm1RfxlUGveqscnmcZ_8fk1M-Bc2mGV7o23afdz_PEo989M39e1EiSbytia2g6zrWo1VB8zgiRlB47ySpAU6I59TJDpJ6up2tVzb0s3Xqlcrlh244BX_shJjnCWz9vKj5yR56aYxlJl4Sqol6YRGT01Dg9GuamufifZbKnDqQaRp1Jb8x3vf1FyjnRduKiC9COFWZnpv8IfQPNlouTeMzB01jmQEDluM5K3jVw0Gh3EpKewL0UKmFTmZKV_eLgDCzSqrn4h9XKp7e9cEJlP_3dlPAETqIXsuSaF8NZxWQwtlbgKxrJJeOTFbWC_MAklpQoSiLkrlQUfMmm5I6S4eK4YwqLCqSESGSU"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_rels/header3.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vkPMtKkX05MpnPf+A8eK+7IeMfg==">AMUW2mXYbMgispj6e4rfsFuojXTAywitYm+dkgfOLkUqV9uroFfN/qqYCI9MsZ5efzFy04YZ3KLO0lU1Crz2zfwY6n+VfWGkMydLTTFpKvQRywMr9ZZOfsj0yBndUxjGYhbSG4QIuInDyzg2FD0UZ5CqBx+a5U5fN7qpiEu6LBJDOISKj2SMDqPLcXb8vzRylDwgY88PV4Fe9bh/oi8MvRP5bMsj/glvlYCioSFw0kKMseo2KmYHQTDTGx5Epvnvb15wmlmF7y8Q8IXPthWKCwcAD7UIGDYyjALiiZu2O435OFCQ/eWUs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112</Pages>
  <Words>27982</Words>
  <Characters>153902</Characters>
  <Application>Microsoft Office Word</Application>
  <DocSecurity>0</DocSecurity>
  <Lines>1282</Lines>
  <Paragraphs>363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 infoem</cp:lastModifiedBy>
  <cp:revision>4</cp:revision>
  <cp:lastPrinted>2023-01-26T21:10:00Z</cp:lastPrinted>
  <dcterms:created xsi:type="dcterms:W3CDTF">2023-01-19T20:39:00Z</dcterms:created>
  <dcterms:modified xsi:type="dcterms:W3CDTF">2023-01-26T21:11:00Z</dcterms:modified>
</cp:coreProperties>
</file>