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65B" w14:textId="56E507AC"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80F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D3D36">
        <w:rPr>
          <w:rFonts w:ascii="Palatino Linotype" w:eastAsia="Times New Roman" w:hAnsi="Palatino Linotype" w:cs="Arial"/>
          <w:color w:val="000000"/>
          <w:sz w:val="24"/>
          <w:szCs w:val="24"/>
          <w:lang w:eastAsia="es-MX"/>
        </w:rPr>
        <w:t xml:space="preserve">diecisiete de mayo de dos mil veintitrés. </w:t>
      </w:r>
      <w:r w:rsidR="00DF5B9E">
        <w:rPr>
          <w:rFonts w:ascii="Palatino Linotype" w:eastAsia="Times New Roman" w:hAnsi="Palatino Linotype" w:cs="Arial"/>
          <w:color w:val="000000"/>
          <w:sz w:val="24"/>
          <w:szCs w:val="24"/>
          <w:lang w:eastAsia="es-MX"/>
        </w:rPr>
        <w:t xml:space="preserve"> </w:t>
      </w:r>
      <w:r w:rsidR="00827658">
        <w:rPr>
          <w:rFonts w:ascii="Palatino Linotype" w:eastAsia="Times New Roman" w:hAnsi="Palatino Linotype" w:cs="Arial"/>
          <w:color w:val="000000"/>
          <w:sz w:val="24"/>
          <w:szCs w:val="24"/>
          <w:lang w:eastAsia="es-MX"/>
        </w:rPr>
        <w:t xml:space="preserve"> </w:t>
      </w:r>
      <w:r w:rsidR="00A354C4">
        <w:rPr>
          <w:rFonts w:ascii="Palatino Linotype" w:eastAsia="Times New Roman" w:hAnsi="Palatino Linotype" w:cs="Arial"/>
          <w:color w:val="000000"/>
          <w:sz w:val="24"/>
          <w:szCs w:val="24"/>
          <w:lang w:eastAsia="es-MX"/>
        </w:rPr>
        <w:t xml:space="preserve"> </w:t>
      </w:r>
      <w:r w:rsidR="00DE6917">
        <w:rPr>
          <w:rFonts w:ascii="Palatino Linotype" w:eastAsia="Times New Roman" w:hAnsi="Palatino Linotype" w:cs="Arial"/>
          <w:color w:val="000000"/>
          <w:sz w:val="24"/>
          <w:szCs w:val="24"/>
          <w:lang w:eastAsia="es-MX"/>
        </w:rPr>
        <w:t xml:space="preserve"> </w:t>
      </w:r>
      <w:r w:rsidR="00675390">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D3A625A" w14:textId="3374FC5E" w:rsidR="00DD3D36" w:rsidRPr="00DD3D36" w:rsidRDefault="00B433C9" w:rsidP="00B433C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827658">
        <w:rPr>
          <w:rFonts w:ascii="Palatino Linotype" w:hAnsi="Palatino Linotype" w:cs="Arial"/>
          <w:b/>
          <w:bCs/>
          <w:sz w:val="24"/>
          <w:lang w:eastAsia="es-MX"/>
        </w:rPr>
        <w:t>0</w:t>
      </w:r>
      <w:r w:rsidR="00DD3D36">
        <w:rPr>
          <w:rFonts w:ascii="Palatino Linotype" w:hAnsi="Palatino Linotype" w:cs="Arial"/>
          <w:b/>
          <w:bCs/>
          <w:sz w:val="24"/>
          <w:lang w:eastAsia="es-MX"/>
        </w:rPr>
        <w:t>1890</w:t>
      </w:r>
      <w:r w:rsidR="00675390">
        <w:rPr>
          <w:rFonts w:ascii="Palatino Linotype" w:hAnsi="Palatino Linotype" w:cs="Arial"/>
          <w:b/>
          <w:bCs/>
          <w:sz w:val="24"/>
          <w:lang w:eastAsia="es-MX"/>
        </w:rPr>
        <w:t>/INFOEM/IP/RR/202</w:t>
      </w:r>
      <w:r w:rsidR="00A354C4">
        <w:rPr>
          <w:rFonts w:ascii="Palatino Linotype" w:hAnsi="Palatino Linotype" w:cs="Arial"/>
          <w:b/>
          <w:bCs/>
          <w:sz w:val="24"/>
          <w:lang w:eastAsia="es-MX"/>
        </w:rPr>
        <w:t>3</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DF5B9E">
        <w:rPr>
          <w:rFonts w:ascii="Palatino Linotype" w:hAnsi="Palatino Linotype" w:cs="Arial"/>
          <w:sz w:val="24"/>
          <w:szCs w:val="24"/>
        </w:rPr>
        <w:t xml:space="preserve">el </w:t>
      </w:r>
      <w:r w:rsidR="00DF5B9E">
        <w:rPr>
          <w:rFonts w:ascii="Palatino Linotype" w:hAnsi="Palatino Linotype" w:cs="Arial"/>
          <w:b/>
          <w:bCs/>
          <w:sz w:val="24"/>
          <w:szCs w:val="24"/>
        </w:rPr>
        <w:t xml:space="preserve">C. </w:t>
      </w:r>
      <w:r w:rsidR="00CA7B02">
        <w:rPr>
          <w:rFonts w:ascii="Palatino Linotype" w:hAnsi="Palatino Linotype" w:cs="Arial"/>
          <w:b/>
          <w:bCs/>
          <w:sz w:val="24"/>
          <w:szCs w:val="24"/>
        </w:rPr>
        <w:t>XXXXXXXXXXXXXXXX</w:t>
      </w:r>
      <w:r w:rsidR="00DD3D36">
        <w:rPr>
          <w:rFonts w:ascii="Palatino Linotype" w:hAnsi="Palatino Linotype" w:cs="Arial"/>
          <w:b/>
          <w:bCs/>
          <w:sz w:val="24"/>
          <w:szCs w:val="24"/>
        </w:rPr>
        <w:t xml:space="preserve">, </w:t>
      </w:r>
      <w:r w:rsidR="00DD3D36">
        <w:rPr>
          <w:rFonts w:ascii="Palatino Linotype" w:hAnsi="Palatino Linotype" w:cs="Arial"/>
          <w:sz w:val="24"/>
          <w:szCs w:val="24"/>
        </w:rPr>
        <w:t xml:space="preserve">en lo sucesivo </w:t>
      </w:r>
      <w:r w:rsidR="00DD3D36">
        <w:rPr>
          <w:rFonts w:ascii="Palatino Linotype" w:hAnsi="Palatino Linotype" w:cs="Arial"/>
          <w:b/>
          <w:bCs/>
          <w:sz w:val="24"/>
          <w:szCs w:val="24"/>
        </w:rPr>
        <w:t xml:space="preserve">El Recurrente, </w:t>
      </w:r>
      <w:r w:rsidR="00DD3D36">
        <w:rPr>
          <w:rFonts w:ascii="Palatino Linotype" w:hAnsi="Palatino Linotype" w:cs="Arial"/>
          <w:sz w:val="24"/>
          <w:szCs w:val="24"/>
        </w:rPr>
        <w:t xml:space="preserve">en contra de la respuesta del </w:t>
      </w:r>
      <w:r w:rsidR="00DD3D36">
        <w:rPr>
          <w:rFonts w:ascii="Palatino Linotype" w:hAnsi="Palatino Linotype" w:cs="Arial"/>
          <w:b/>
          <w:bCs/>
          <w:sz w:val="24"/>
          <w:szCs w:val="24"/>
        </w:rPr>
        <w:t xml:space="preserve">Instituto de Transparencia, Acceso a la Información Pública y Protección de Datos Personales del Estado de México y Municipios, </w:t>
      </w:r>
      <w:r w:rsidR="00DD3D36">
        <w:rPr>
          <w:rFonts w:ascii="Palatino Linotype" w:hAnsi="Palatino Linotype" w:cs="Arial"/>
          <w:sz w:val="24"/>
          <w:szCs w:val="24"/>
        </w:rPr>
        <w:t xml:space="preserve">en lo subsecuente </w:t>
      </w:r>
      <w:r w:rsidR="00DD3D36">
        <w:rPr>
          <w:rFonts w:ascii="Palatino Linotype" w:hAnsi="Palatino Linotype" w:cs="Arial"/>
          <w:b/>
          <w:bCs/>
          <w:sz w:val="24"/>
          <w:szCs w:val="24"/>
        </w:rPr>
        <w:t xml:space="preserve">El Sujeto Obligado, </w:t>
      </w:r>
      <w:r w:rsidR="00DD3D36">
        <w:rPr>
          <w:rFonts w:ascii="Palatino Linotype" w:hAnsi="Palatino Linotype" w:cs="Arial"/>
          <w:sz w:val="24"/>
          <w:szCs w:val="24"/>
        </w:rPr>
        <w:t xml:space="preserve">se procede a dictar la presente resolución. </w:t>
      </w:r>
    </w:p>
    <w:p w14:paraId="1CC643AE" w14:textId="77777777" w:rsidR="00DF5B9E" w:rsidRDefault="00DF5B9E" w:rsidP="00B433C9">
      <w:pPr>
        <w:tabs>
          <w:tab w:val="left" w:pos="1701"/>
        </w:tabs>
        <w:spacing w:before="240" w:line="360" w:lineRule="auto"/>
        <w:jc w:val="both"/>
        <w:rPr>
          <w:rFonts w:ascii="Palatino Linotype" w:hAnsi="Palatino Linotype" w:cs="Arial"/>
          <w:sz w:val="24"/>
          <w:szCs w:val="24"/>
        </w:rPr>
      </w:pPr>
    </w:p>
    <w:p w14:paraId="11244050" w14:textId="10A532C6"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6C3FEB3"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FF78860" w14:textId="67752D55" w:rsidR="00DD3D36"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DD3D36">
        <w:rPr>
          <w:rFonts w:ascii="Palatino Linotype" w:hAnsi="Palatino Linotype" w:cs="Arial"/>
          <w:sz w:val="24"/>
        </w:rPr>
        <w:t xml:space="preserve">veinticuatro de febrero de dos mil veintitrés, </w:t>
      </w:r>
      <w:r w:rsidR="00DD3D36">
        <w:rPr>
          <w:rFonts w:ascii="Palatino Linotype" w:hAnsi="Palatino Linotype" w:cs="Arial"/>
          <w:b/>
          <w:bCs/>
          <w:sz w:val="24"/>
        </w:rPr>
        <w:t xml:space="preserve">El Recurrente, </w:t>
      </w:r>
      <w:r w:rsidR="00DD3D36">
        <w:rPr>
          <w:rFonts w:ascii="Palatino Linotype" w:hAnsi="Palatino Linotype" w:cs="Arial"/>
          <w:sz w:val="24"/>
        </w:rPr>
        <w:t>presentó a través del Sistema de Acceso a la Información Mexiquense (</w:t>
      </w:r>
      <w:r w:rsidR="00DD3D36">
        <w:rPr>
          <w:rFonts w:ascii="Palatino Linotype" w:hAnsi="Palatino Linotype" w:cs="Arial"/>
          <w:b/>
          <w:sz w:val="24"/>
        </w:rPr>
        <w:t>SAIMEX)</w:t>
      </w:r>
      <w:r w:rsidR="00DD3D36">
        <w:rPr>
          <w:rFonts w:ascii="Palatino Linotype" w:hAnsi="Palatino Linotype" w:cs="Arial"/>
          <w:sz w:val="24"/>
        </w:rPr>
        <w:t xml:space="preserve"> ante </w:t>
      </w:r>
      <w:r w:rsidR="00DD3D36">
        <w:rPr>
          <w:rFonts w:ascii="Palatino Linotype" w:hAnsi="Palatino Linotype" w:cs="Arial"/>
          <w:b/>
          <w:sz w:val="24"/>
        </w:rPr>
        <w:t>El Sujeto Obligado</w:t>
      </w:r>
      <w:r w:rsidR="00DD3D36">
        <w:rPr>
          <w:rFonts w:ascii="Palatino Linotype" w:hAnsi="Palatino Linotype" w:cs="Arial"/>
          <w:sz w:val="24"/>
        </w:rPr>
        <w:t xml:space="preserve">, solicitud de acceso a la información pública, registrada bajo el número de expediente </w:t>
      </w:r>
      <w:r w:rsidR="009016BD">
        <w:rPr>
          <w:rFonts w:ascii="Palatino Linotype" w:hAnsi="Palatino Linotype" w:cs="Arial"/>
          <w:b/>
          <w:bCs/>
          <w:sz w:val="24"/>
        </w:rPr>
        <w:t xml:space="preserve">00237/INFOEM/IP/2023, </w:t>
      </w:r>
      <w:r w:rsidR="009016BD">
        <w:rPr>
          <w:rFonts w:ascii="Palatino Linotype" w:hAnsi="Palatino Linotype" w:cs="Arial"/>
          <w:sz w:val="24"/>
        </w:rPr>
        <w:t>mediante la cual solicitó información en el tenor siguiente:</w:t>
      </w:r>
    </w:p>
    <w:p w14:paraId="13AE6C74" w14:textId="22B6EE6B" w:rsidR="009016BD" w:rsidRPr="009016BD" w:rsidRDefault="009016BD" w:rsidP="009016BD">
      <w:pPr>
        <w:pStyle w:val="Citas"/>
        <w:rPr>
          <w:b/>
          <w:bCs/>
          <w:sz w:val="24"/>
        </w:rPr>
      </w:pPr>
      <w:r>
        <w:lastRenderedPageBreak/>
        <w:t xml:space="preserve">“solicito saber </w:t>
      </w:r>
      <w:proofErr w:type="spellStart"/>
      <w:r>
        <w:t>cuantos</w:t>
      </w:r>
      <w:proofErr w:type="spellEnd"/>
      <w:r>
        <w:t xml:space="preserve"> días hábiles tienen los sujetos obligados para contestar las solicitudes de información y si en caso de no contestar tienen alguna sanción, a su vez deseo conocer todos los sujetos obligados sancionados del 2022 a la fecha” </w:t>
      </w:r>
      <w:r>
        <w:rPr>
          <w:b/>
          <w:bCs/>
        </w:rPr>
        <w:t>(Sic)</w:t>
      </w:r>
    </w:p>
    <w:p w14:paraId="2501F49F" w14:textId="77CA4996"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1EBA191A" w14:textId="77777777" w:rsidR="009016BD" w:rsidRDefault="009016BD" w:rsidP="00B433C9">
      <w:pPr>
        <w:spacing w:before="240" w:line="360" w:lineRule="auto"/>
        <w:jc w:val="both"/>
        <w:rPr>
          <w:rFonts w:ascii="Palatino Linotype" w:hAnsi="Palatino Linotype" w:cs="Arial"/>
          <w:sz w:val="24"/>
        </w:rPr>
      </w:pPr>
    </w:p>
    <w:p w14:paraId="743FE4C4" w14:textId="499007AC" w:rsidR="00B433C9" w:rsidRDefault="000C666C"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1681988F" w14:textId="55595EB9" w:rsidR="009016BD"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día </w:t>
      </w:r>
      <w:r w:rsidR="009016BD">
        <w:rPr>
          <w:rFonts w:ascii="Palatino Linotype" w:hAnsi="Palatino Linotype" w:cs="Arial"/>
          <w:sz w:val="24"/>
          <w:szCs w:val="24"/>
        </w:rPr>
        <w:t xml:space="preserve">veintisiete de marzo de dos mil veintitrés, </w:t>
      </w:r>
      <w:r w:rsidR="009016BD">
        <w:rPr>
          <w:rFonts w:ascii="Palatino Linotype" w:hAnsi="Palatino Linotype" w:cs="Arial"/>
          <w:b/>
          <w:bCs/>
          <w:sz w:val="24"/>
          <w:szCs w:val="24"/>
        </w:rPr>
        <w:t xml:space="preserve">El Sujeto Obligado </w:t>
      </w:r>
      <w:r w:rsidR="009016BD">
        <w:rPr>
          <w:rFonts w:ascii="Palatino Linotype" w:hAnsi="Palatino Linotype" w:cs="Arial"/>
          <w:sz w:val="24"/>
          <w:szCs w:val="24"/>
        </w:rPr>
        <w:t>dio respuesta a la solicitud de información en los siguientes términos:</w:t>
      </w:r>
    </w:p>
    <w:p w14:paraId="087CC3BB" w14:textId="0AB4B6C8" w:rsidR="009016BD" w:rsidRPr="009016BD" w:rsidRDefault="009016BD" w:rsidP="009016BD">
      <w:pPr>
        <w:pStyle w:val="Citas"/>
      </w:pPr>
      <w:r w:rsidRPr="009016BD">
        <w:t>“En respuesta a la solicitud recibida, nos permitimos hacer de su conocimiento que con fundamento en el artículo 53, Fracciones: II, V y VI de la Ley de Transparencia y Acceso a la Información Pública del Estado de México y Municipios, le contestamos que:</w:t>
      </w:r>
    </w:p>
    <w:p w14:paraId="6AB1B3A7" w14:textId="0588D5D9" w:rsidR="009016BD" w:rsidRPr="009016BD" w:rsidRDefault="009016BD" w:rsidP="009016BD">
      <w:pPr>
        <w:pStyle w:val="Citas"/>
        <w:rPr>
          <w:b/>
          <w:bCs/>
        </w:rPr>
      </w:pPr>
      <w:r w:rsidRPr="009016BD">
        <w:t>Con fundamento en el artículo 53 fracción II de la Ley de Transparencia y Acceso a la Información Pública del Estado de México y Municipios, se adjunta la respuesta a su solicitud de información pública”</w:t>
      </w:r>
      <w:r>
        <w:t xml:space="preserve"> </w:t>
      </w:r>
      <w:r>
        <w:rPr>
          <w:b/>
          <w:bCs/>
        </w:rPr>
        <w:t>(Sic)</w:t>
      </w:r>
    </w:p>
    <w:p w14:paraId="1EF24A3D" w14:textId="77777777" w:rsidR="009016BD" w:rsidRPr="009016BD" w:rsidRDefault="009016BD" w:rsidP="00B433C9">
      <w:pPr>
        <w:spacing w:before="240" w:line="360" w:lineRule="auto"/>
        <w:jc w:val="both"/>
        <w:rPr>
          <w:rFonts w:ascii="Palatino Linotype" w:hAnsi="Palatino Linotype" w:cs="Arial"/>
          <w:sz w:val="24"/>
          <w:szCs w:val="24"/>
        </w:rPr>
      </w:pPr>
    </w:p>
    <w:p w14:paraId="49C5EC3C" w14:textId="77777777" w:rsidR="009016BD" w:rsidRDefault="009016BD" w:rsidP="00B433C9">
      <w:pPr>
        <w:spacing w:before="240" w:line="360" w:lineRule="auto"/>
        <w:jc w:val="both"/>
        <w:rPr>
          <w:rFonts w:ascii="Palatino Linotype" w:hAnsi="Palatino Linotype" w:cs="Arial"/>
          <w:sz w:val="24"/>
          <w:szCs w:val="24"/>
        </w:rPr>
      </w:pPr>
    </w:p>
    <w:p w14:paraId="4BD60AB0" w14:textId="317D9EBD" w:rsidR="009016BD" w:rsidRPr="009016BD" w:rsidRDefault="00DF5B9E"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manera complementaria, en el expediente electrónico de la solicitud de información,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sidR="009016BD">
        <w:rPr>
          <w:rFonts w:ascii="Palatino Linotype" w:hAnsi="Palatino Linotype" w:cs="Arial"/>
          <w:b/>
          <w:bCs/>
          <w:sz w:val="24"/>
          <w:szCs w:val="24"/>
        </w:rPr>
        <w:t xml:space="preserve">“RespuestaSolicitud00237UT2023.pdf”, “RespuestaResumen00237.pdf” </w:t>
      </w:r>
      <w:r w:rsidR="009016BD">
        <w:rPr>
          <w:rFonts w:ascii="Palatino Linotype" w:hAnsi="Palatino Linotype" w:cs="Arial"/>
          <w:sz w:val="24"/>
          <w:szCs w:val="24"/>
        </w:rPr>
        <w:t xml:space="preserve">y </w:t>
      </w:r>
      <w:r w:rsidR="009016BD">
        <w:rPr>
          <w:rFonts w:ascii="Palatino Linotype" w:hAnsi="Palatino Linotype" w:cs="Arial"/>
          <w:b/>
          <w:bCs/>
          <w:sz w:val="24"/>
          <w:szCs w:val="24"/>
        </w:rPr>
        <w:t xml:space="preserve">“RespuestaSolicitud00237OIC.pdf”, </w:t>
      </w:r>
      <w:r w:rsidR="009016BD">
        <w:rPr>
          <w:rFonts w:ascii="Palatino Linotype" w:hAnsi="Palatino Linotype" w:cs="Arial"/>
          <w:sz w:val="24"/>
          <w:szCs w:val="24"/>
        </w:rPr>
        <w:t xml:space="preserve">los cuales serán materia de análisis en párrafos subsecuentes. </w:t>
      </w:r>
    </w:p>
    <w:p w14:paraId="53A61810" w14:textId="77777777" w:rsidR="009016BD" w:rsidRDefault="009016BD" w:rsidP="00B433C9">
      <w:pPr>
        <w:spacing w:before="240" w:line="360" w:lineRule="auto"/>
        <w:jc w:val="both"/>
        <w:rPr>
          <w:rFonts w:ascii="Palatino Linotype" w:hAnsi="Palatino Linotype" w:cs="Arial"/>
          <w:sz w:val="24"/>
          <w:szCs w:val="24"/>
        </w:rPr>
      </w:pPr>
    </w:p>
    <w:p w14:paraId="087D134D" w14:textId="3E9D2D89" w:rsidR="00B433C9" w:rsidRDefault="0071487C"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11C9FFD4" w14:textId="349ECD0F" w:rsidR="009016BD" w:rsidRPr="009016BD"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El Sujeto Obligado,</w:t>
      </w:r>
      <w:r w:rsidR="00DF5B9E">
        <w:rPr>
          <w:rFonts w:ascii="Palatino Linotype" w:hAnsi="Palatino Linotype" w:cs="Arial"/>
          <w:b/>
          <w:sz w:val="24"/>
          <w:szCs w:val="24"/>
        </w:rPr>
        <w:t xml:space="preserve">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9016BD">
        <w:rPr>
          <w:rFonts w:ascii="Palatino Linotype" w:hAnsi="Palatino Linotype" w:cs="Arial"/>
          <w:sz w:val="24"/>
          <w:szCs w:val="24"/>
        </w:rPr>
        <w:t xml:space="preserve">doce de abril del presente, el cual fue registrado en el sistema electrónico con el expediente número </w:t>
      </w:r>
      <w:r w:rsidR="009016BD">
        <w:rPr>
          <w:rFonts w:ascii="Palatino Linotype" w:hAnsi="Palatino Linotype" w:cs="Arial"/>
          <w:b/>
          <w:bCs/>
          <w:sz w:val="24"/>
          <w:szCs w:val="24"/>
        </w:rPr>
        <w:t xml:space="preserve">01890/INFOEM/IP/RR/2023, </w:t>
      </w:r>
      <w:r w:rsidR="009016BD">
        <w:rPr>
          <w:rFonts w:ascii="Palatino Linotype" w:hAnsi="Palatino Linotype" w:cs="Arial"/>
          <w:sz w:val="24"/>
          <w:szCs w:val="24"/>
        </w:rPr>
        <w:t>en el cual arguye las siguientes manifestaciones:</w:t>
      </w:r>
    </w:p>
    <w:p w14:paraId="3CF50515"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ED0C8FA" w14:textId="3B0ED189" w:rsidR="00B433C9" w:rsidRPr="00712E3A" w:rsidRDefault="00B433C9" w:rsidP="009016BD">
      <w:pPr>
        <w:pStyle w:val="Citas"/>
        <w:rPr>
          <w:b/>
        </w:rPr>
      </w:pPr>
      <w:r w:rsidRPr="003D4314">
        <w:t>“</w:t>
      </w:r>
      <w:r w:rsidR="009016BD">
        <w:t>la respuesta</w:t>
      </w:r>
      <w:r w:rsidR="00B76471" w:rsidRPr="003D4314">
        <w:t>"</w:t>
      </w:r>
      <w:r w:rsidR="00B76471">
        <w:rPr>
          <w:b/>
          <w:bCs/>
        </w:rPr>
        <w:t xml:space="preserve"> (Sic)</w:t>
      </w:r>
    </w:p>
    <w:p w14:paraId="7FB77606"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C37B9AB" w14:textId="4C5C7708" w:rsidR="00B433C9" w:rsidRPr="00712E3A" w:rsidRDefault="00B433C9" w:rsidP="009016BD">
      <w:pPr>
        <w:pStyle w:val="Citas"/>
      </w:pPr>
      <w:r w:rsidRPr="003D4314">
        <w:t>“</w:t>
      </w:r>
      <w:r w:rsidR="009016BD">
        <w:t>no hay razones fundadas y motivadas por la declaratoria de inexistencia de la información</w:t>
      </w:r>
      <w:r w:rsidR="00B76471" w:rsidRPr="003D4314">
        <w:t>"</w:t>
      </w:r>
      <w:r w:rsidRPr="00A354C4">
        <w:t xml:space="preserve"> </w:t>
      </w:r>
      <w:r w:rsidR="00B76471">
        <w:rPr>
          <w:b/>
        </w:rPr>
        <w:t>(Sic)</w:t>
      </w:r>
    </w:p>
    <w:p w14:paraId="0D63A89D" w14:textId="77777777" w:rsidR="003D4314" w:rsidRDefault="003D4314" w:rsidP="003D4314">
      <w:pPr>
        <w:spacing w:before="240" w:line="360" w:lineRule="auto"/>
        <w:jc w:val="both"/>
        <w:rPr>
          <w:rFonts w:ascii="Palatino Linotype" w:hAnsi="Palatino Linotype" w:cs="Arial"/>
          <w:sz w:val="24"/>
          <w:szCs w:val="24"/>
        </w:rPr>
      </w:pPr>
    </w:p>
    <w:p w14:paraId="1F62F175" w14:textId="6304A05E" w:rsidR="00B433C9" w:rsidRDefault="0071487C"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637E5A72" w14:textId="44176C23" w:rsidR="00B76471" w:rsidRDefault="00B76471" w:rsidP="00B76471">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al Comisionado </w:t>
      </w:r>
      <w:r w:rsidR="007A2404">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9016BD">
        <w:rPr>
          <w:rFonts w:ascii="Palatino Linotype" w:hAnsi="Palatino Linotype" w:cs="Arial"/>
          <w:b/>
          <w:bCs/>
          <w:sz w:val="24"/>
          <w:szCs w:val="24"/>
        </w:rPr>
        <w:t xml:space="preserve">catorce de abril de los corrientes, </w:t>
      </w:r>
      <w:r>
        <w:rPr>
          <w:rFonts w:ascii="Palatino Linotype" w:hAnsi="Palatino Linotype" w:cs="Arial"/>
          <w:sz w:val="24"/>
          <w:szCs w:val="24"/>
        </w:rPr>
        <w:t>determinándose en él, un plazo de siete días para que las partes manifestaran lo que a su derecho corresponda en términos del numeral ya citado.</w:t>
      </w:r>
    </w:p>
    <w:p w14:paraId="7346C2F0" w14:textId="77777777" w:rsidR="00712E3A" w:rsidRDefault="00712E3A" w:rsidP="00B433C9">
      <w:pPr>
        <w:spacing w:before="240" w:line="360" w:lineRule="auto"/>
        <w:jc w:val="both"/>
        <w:rPr>
          <w:rFonts w:ascii="Palatino Linotype" w:hAnsi="Palatino Linotype" w:cs="Arial"/>
          <w:sz w:val="24"/>
          <w:szCs w:val="24"/>
        </w:rPr>
      </w:pPr>
    </w:p>
    <w:p w14:paraId="7CB15C1B" w14:textId="33C3FEEC" w:rsidR="00B433C9" w:rsidRDefault="0071487C"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72B87C09" w14:textId="6AA65865" w:rsidR="009016BD" w:rsidRPr="009016BD" w:rsidRDefault="00712E3A" w:rsidP="00712E3A">
      <w:pPr>
        <w:spacing w:before="240" w:line="360" w:lineRule="auto"/>
        <w:jc w:val="both"/>
        <w:rPr>
          <w:rFonts w:ascii="Palatino Linotype" w:hAnsi="Palatino Linotype" w:cs="Arial"/>
          <w:b/>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sidR="009016BD">
        <w:rPr>
          <w:rFonts w:ascii="Palatino Linotype" w:hAnsi="Palatino Linotype" w:cs="Arial"/>
          <w:bCs/>
          <w:sz w:val="24"/>
          <w:szCs w:val="24"/>
        </w:rPr>
        <w:t xml:space="preserve">rindió su informe justificado en fecha </w:t>
      </w:r>
      <w:r w:rsidR="009016BD">
        <w:rPr>
          <w:rFonts w:ascii="Palatino Linotype" w:hAnsi="Palatino Linotype" w:cs="Arial"/>
          <w:b/>
          <w:sz w:val="24"/>
          <w:szCs w:val="24"/>
        </w:rPr>
        <w:t xml:space="preserve">veinticinco de abril, </w:t>
      </w:r>
      <w:r w:rsidR="009016BD">
        <w:rPr>
          <w:rFonts w:ascii="Palatino Linotype" w:hAnsi="Palatino Linotype" w:cs="Arial"/>
          <w:bCs/>
          <w:sz w:val="24"/>
          <w:szCs w:val="24"/>
        </w:rPr>
        <w:t xml:space="preserve">mismo que fue puesto a la vista el </w:t>
      </w:r>
      <w:r w:rsidR="009016BD">
        <w:rPr>
          <w:rFonts w:ascii="Palatino Linotype" w:hAnsi="Palatino Linotype" w:cs="Arial"/>
          <w:b/>
          <w:sz w:val="24"/>
          <w:szCs w:val="24"/>
        </w:rPr>
        <w:t xml:space="preserve">cuatro de mayo, ambos de dos mil veintitrés. </w:t>
      </w:r>
    </w:p>
    <w:p w14:paraId="5EAB3FBB" w14:textId="49B175EA" w:rsidR="003D4314" w:rsidRDefault="009016BD" w:rsidP="009016BD">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cierre de instrucción con </w:t>
      </w:r>
      <w:r w:rsidRPr="00D20A46">
        <w:rPr>
          <w:rFonts w:ascii="Palatino Linotype" w:hAnsi="Palatino Linotype" w:cs="Arial"/>
          <w:bCs/>
          <w:sz w:val="24"/>
          <w:szCs w:val="24"/>
        </w:rPr>
        <w:t xml:space="preserve">fecha </w:t>
      </w:r>
      <w:r w:rsidR="00632225" w:rsidRPr="00D20A46">
        <w:rPr>
          <w:rFonts w:ascii="Palatino Linotype" w:hAnsi="Palatino Linotype" w:cs="Arial"/>
          <w:b/>
          <w:sz w:val="24"/>
          <w:szCs w:val="24"/>
        </w:rPr>
        <w:t>dieciséis</w:t>
      </w:r>
      <w:r w:rsidRPr="00D20A46">
        <w:rPr>
          <w:rFonts w:ascii="Palatino Linotype" w:hAnsi="Palatino Linotype" w:cs="Arial"/>
          <w:b/>
          <w:sz w:val="24"/>
          <w:szCs w:val="24"/>
        </w:rPr>
        <w:t xml:space="preserve"> de mayo de</w:t>
      </w:r>
      <w:r>
        <w:rPr>
          <w:rFonts w:ascii="Palatino Linotype" w:hAnsi="Palatino Linotype" w:cs="Arial"/>
          <w:b/>
          <w:sz w:val="24"/>
          <w:szCs w:val="24"/>
        </w:rPr>
        <w:t xml:space="preserve"> dos mil veintitrés, </w:t>
      </w:r>
      <w:r w:rsidR="003D4314" w:rsidRPr="00730609">
        <w:rPr>
          <w:rFonts w:ascii="Palatino Linotype" w:hAnsi="Palatino Linotype" w:cs="Arial"/>
          <w:sz w:val="24"/>
          <w:szCs w:val="24"/>
        </w:rPr>
        <w:t>en</w:t>
      </w:r>
      <w:r w:rsidR="003D4314">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 </w:t>
      </w:r>
    </w:p>
    <w:p w14:paraId="5146E2BA" w14:textId="77777777" w:rsidR="00FC16E9" w:rsidRDefault="00FC16E9" w:rsidP="00FC16E9">
      <w:pPr>
        <w:spacing w:before="240" w:line="360" w:lineRule="auto"/>
        <w:jc w:val="both"/>
        <w:rPr>
          <w:rFonts w:ascii="Palatino Linotype" w:hAnsi="Palatino Linotype" w:cs="Arial"/>
          <w:sz w:val="24"/>
          <w:szCs w:val="24"/>
        </w:rPr>
      </w:pPr>
      <w:r>
        <w:rPr>
          <w:rFonts w:ascii="Palatino Linotype" w:hAnsi="Palatino Linotype" w:cs="Arial"/>
          <w:sz w:val="24"/>
          <w:szCs w:val="24"/>
        </w:rPr>
        <w:t>.</w:t>
      </w:r>
    </w:p>
    <w:p w14:paraId="154CA85F" w14:textId="77777777" w:rsidR="007345EA" w:rsidRPr="005D0901" w:rsidRDefault="007345EA" w:rsidP="007345EA">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38E40E64" w14:textId="77777777" w:rsidR="007345EA" w:rsidRDefault="007345EA" w:rsidP="007345EA">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6C51D125" w14:textId="77777777" w:rsidR="009016BD" w:rsidRPr="00121F39" w:rsidRDefault="009016BD" w:rsidP="009016BD">
      <w:pPr>
        <w:spacing w:after="0" w:line="360" w:lineRule="auto"/>
        <w:jc w:val="both"/>
        <w:rPr>
          <w:rFonts w:ascii="Palatino Linotype" w:hAnsi="Palatino Linotype"/>
          <w:sz w:val="24"/>
          <w:szCs w:val="24"/>
        </w:rPr>
      </w:pPr>
      <w:r w:rsidRPr="00121F39">
        <w:rPr>
          <w:rFonts w:ascii="Palatino Linotype" w:hAnsi="Palatino Linotype"/>
          <w:sz w:val="24"/>
          <w:szCs w:val="24"/>
        </w:rPr>
        <w:lastRenderedPageBreak/>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3950D18" w14:textId="77777777" w:rsidR="009016BD" w:rsidRDefault="009016BD" w:rsidP="007345EA">
      <w:pPr>
        <w:spacing w:before="240" w:line="360" w:lineRule="auto"/>
        <w:jc w:val="both"/>
        <w:rPr>
          <w:rFonts w:ascii="Palatino Linotype" w:eastAsia="Calibri" w:hAnsi="Palatino Linotype" w:cs="Arial"/>
          <w:b/>
          <w:color w:val="000000" w:themeColor="text1"/>
          <w:sz w:val="24"/>
          <w:szCs w:val="24"/>
        </w:rPr>
      </w:pPr>
    </w:p>
    <w:p w14:paraId="2807682C" w14:textId="77777777" w:rsidR="007345EA" w:rsidRDefault="007345EA" w:rsidP="007345EA">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F341A94" w14:textId="77777777" w:rsidR="007345EA" w:rsidRDefault="007345EA" w:rsidP="007345E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B54E1B6" w14:textId="77777777" w:rsidR="00D115C2" w:rsidRPr="00161CEB" w:rsidRDefault="00D115C2" w:rsidP="00D115C2">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lastRenderedPageBreak/>
        <w:t>TERCERO. Cuestiones de previo y especial pronunciamiento</w:t>
      </w:r>
      <w:r w:rsidRPr="00161CEB">
        <w:rPr>
          <w:rFonts w:ascii="Palatino Linotype" w:hAnsi="Palatino Linotype" w:cs="Arial"/>
          <w:b/>
        </w:rPr>
        <w:t>.</w:t>
      </w:r>
    </w:p>
    <w:p w14:paraId="0263FE61" w14:textId="3CF33DB3" w:rsidR="00D115C2" w:rsidRDefault="00D115C2" w:rsidP="00D115C2">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CA7B02">
        <w:rPr>
          <w:rFonts w:ascii="Palatino Linotype" w:hAnsi="Palatino Linotype" w:cs="Arial"/>
          <w:b/>
          <w:sz w:val="24"/>
          <w:szCs w:val="24"/>
        </w:rPr>
        <w:t>XXXX</w:t>
      </w:r>
      <w:r>
        <w:rPr>
          <w:rFonts w:ascii="Palatino Linotype" w:hAnsi="Palatino Linotype" w:cs="Arial"/>
          <w:b/>
          <w:sz w:val="24"/>
          <w:szCs w:val="24"/>
        </w:rPr>
        <w:t xml:space="preserve"> </w:t>
      </w:r>
      <w:r w:rsidR="00CA7B02">
        <w:rPr>
          <w:rFonts w:ascii="Palatino Linotype" w:hAnsi="Palatino Linotype" w:cs="Arial"/>
          <w:b/>
          <w:sz w:val="24"/>
          <w:szCs w:val="24"/>
        </w:rPr>
        <w:t>XXXXXXXXXXXXX</w:t>
      </w:r>
      <w:r>
        <w:rPr>
          <w:rFonts w:ascii="Palatino Linotype" w:hAnsi="Palatino Linotype" w:cs="Arial"/>
          <w:sz w:val="24"/>
        </w:rPr>
        <w:t>, del cual no se colige que corresponda al nombre de una persona.</w:t>
      </w:r>
    </w:p>
    <w:p w14:paraId="28A89DF8" w14:textId="77777777" w:rsidR="00D115C2" w:rsidRDefault="00D115C2" w:rsidP="00D115C2">
      <w:pPr>
        <w:pStyle w:val="Prrafodelista"/>
        <w:widowControl w:val="0"/>
        <w:autoSpaceDE w:val="0"/>
        <w:autoSpaceDN w:val="0"/>
        <w:adjustRightInd w:val="0"/>
        <w:spacing w:line="360" w:lineRule="auto"/>
        <w:ind w:left="0"/>
        <w:jc w:val="both"/>
        <w:rPr>
          <w:rFonts w:ascii="Palatino Linotype" w:hAnsi="Palatino Linotype" w:cs="Arial"/>
          <w:lang w:val="es-MX"/>
        </w:rPr>
      </w:pPr>
    </w:p>
    <w:p w14:paraId="51227B12" w14:textId="1816402C" w:rsidR="00D115C2" w:rsidRDefault="00D115C2" w:rsidP="00D115C2">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32D84559" w14:textId="77777777" w:rsidR="00D115C2" w:rsidRDefault="00D115C2" w:rsidP="00D115C2">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DE92FB7" w14:textId="77777777" w:rsidR="00D115C2" w:rsidRDefault="00D115C2" w:rsidP="00D115C2">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65D844CA" w14:textId="77777777" w:rsidR="00D115C2" w:rsidRDefault="00D115C2" w:rsidP="00D115C2">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34D3D3E6" w14:textId="77777777" w:rsidR="00D115C2" w:rsidRDefault="00D115C2" w:rsidP="00D115C2">
      <w:pPr>
        <w:spacing w:before="240" w:line="360" w:lineRule="auto"/>
        <w:ind w:left="851" w:right="851"/>
        <w:rPr>
          <w:rFonts w:ascii="Palatino Linotype" w:hAnsi="Palatino Linotype"/>
          <w:i/>
        </w:rPr>
      </w:pPr>
      <w:r>
        <w:rPr>
          <w:rFonts w:ascii="Palatino Linotype" w:hAnsi="Palatino Linotype"/>
          <w:b/>
          <w:i/>
        </w:rPr>
        <w:lastRenderedPageBreak/>
        <w:t>(…)” [Sic]</w:t>
      </w:r>
    </w:p>
    <w:p w14:paraId="3D74E237" w14:textId="77777777" w:rsidR="00D115C2" w:rsidRDefault="00D115C2" w:rsidP="00D115C2">
      <w:pPr>
        <w:pStyle w:val="Prrafodelista"/>
        <w:widowControl w:val="0"/>
        <w:autoSpaceDE w:val="0"/>
        <w:autoSpaceDN w:val="0"/>
        <w:adjustRightInd w:val="0"/>
        <w:ind w:left="0"/>
        <w:jc w:val="both"/>
        <w:rPr>
          <w:rFonts w:ascii="Palatino Linotype" w:hAnsi="Palatino Linotype"/>
          <w:highlight w:val="yellow"/>
        </w:rPr>
      </w:pPr>
    </w:p>
    <w:p w14:paraId="481732A5" w14:textId="5913A07A" w:rsidR="00D115C2" w:rsidRDefault="00D115C2" w:rsidP="00D115C2">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CA7B02">
        <w:rPr>
          <w:rFonts w:ascii="Palatino Linotype" w:hAnsi="Palatino Linotype" w:cs="Arial"/>
          <w:b/>
        </w:rPr>
        <w:t>XXXXXXXXXXXXXXXX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3CFEB58A" w14:textId="77777777" w:rsidR="00D115C2" w:rsidRDefault="00D115C2" w:rsidP="00D115C2">
      <w:pPr>
        <w:pStyle w:val="Prrafodelista"/>
        <w:widowControl w:val="0"/>
        <w:autoSpaceDE w:val="0"/>
        <w:autoSpaceDN w:val="0"/>
        <w:adjustRightInd w:val="0"/>
        <w:spacing w:line="360" w:lineRule="auto"/>
        <w:ind w:left="0"/>
        <w:jc w:val="both"/>
        <w:rPr>
          <w:rFonts w:ascii="Palatino Linotype" w:hAnsi="Palatino Linotype"/>
        </w:rPr>
      </w:pPr>
    </w:p>
    <w:p w14:paraId="1287418F" w14:textId="77777777" w:rsidR="00D115C2" w:rsidRDefault="00D115C2" w:rsidP="00D115C2">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9EAB6EE" w14:textId="77777777" w:rsidR="00D115C2" w:rsidRDefault="00D115C2" w:rsidP="00D115C2">
      <w:pPr>
        <w:pStyle w:val="Prrafodelista"/>
        <w:widowControl w:val="0"/>
        <w:autoSpaceDE w:val="0"/>
        <w:autoSpaceDN w:val="0"/>
        <w:adjustRightInd w:val="0"/>
        <w:ind w:left="0"/>
        <w:jc w:val="both"/>
        <w:rPr>
          <w:rFonts w:ascii="Palatino Linotype" w:hAnsi="Palatino Linotype"/>
          <w:highlight w:val="yellow"/>
        </w:rPr>
      </w:pPr>
    </w:p>
    <w:p w14:paraId="675EBAE1" w14:textId="6C78BA33" w:rsidR="00DC2AC2" w:rsidRPr="00C6786D" w:rsidRDefault="00D115C2" w:rsidP="00D115C2">
      <w:pPr>
        <w:tabs>
          <w:tab w:val="left" w:pos="709"/>
        </w:tabs>
        <w:spacing w:before="240" w:line="360" w:lineRule="auto"/>
        <w:ind w:right="51"/>
        <w:jc w:val="both"/>
        <w:rPr>
          <w:rFonts w:ascii="Palatino Linotype" w:hAnsi="Palatino Linotype"/>
          <w:b/>
          <w:sz w:val="24"/>
          <w:szCs w:val="24"/>
          <w:lang w:val="es-ES"/>
        </w:rPr>
      </w:pPr>
      <w:r w:rsidRPr="00C6786D">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w:t>
      </w:r>
      <w:r w:rsidRPr="00C6786D">
        <w:rPr>
          <w:rFonts w:ascii="Palatino Linotype" w:hAnsi="Palatino Linotype"/>
          <w:sz w:val="24"/>
          <w:szCs w:val="24"/>
        </w:rPr>
        <w:lastRenderedPageBreak/>
        <w:t xml:space="preserve">tener acceso a la información pública, es decir, dicho </w:t>
      </w:r>
      <w:r w:rsidRPr="00C6786D">
        <w:rPr>
          <w:rFonts w:ascii="Palatino Linotype" w:hAnsi="Palatino Linotype" w:cs="Arial"/>
          <w:sz w:val="24"/>
          <w:szCs w:val="24"/>
        </w:rPr>
        <w:t>derecho</w:t>
      </w:r>
      <w:r w:rsidRPr="00C6786D">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B1F2100" w14:textId="77777777" w:rsidR="00D115C2" w:rsidRDefault="00D115C2" w:rsidP="00827658">
      <w:pPr>
        <w:tabs>
          <w:tab w:val="left" w:pos="709"/>
        </w:tabs>
        <w:spacing w:before="240" w:line="360" w:lineRule="auto"/>
        <w:ind w:right="51"/>
        <w:jc w:val="both"/>
        <w:rPr>
          <w:rFonts w:ascii="Palatino Linotype" w:hAnsi="Palatino Linotype"/>
          <w:b/>
          <w:sz w:val="28"/>
          <w:szCs w:val="28"/>
        </w:rPr>
      </w:pPr>
    </w:p>
    <w:p w14:paraId="1A3A7A57" w14:textId="744B62ED" w:rsidR="00827658" w:rsidRPr="009A0D0A" w:rsidRDefault="00827658" w:rsidP="00827658">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07416E0" w14:textId="77777777" w:rsidR="00827658" w:rsidRDefault="00827658" w:rsidP="0082765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109E5CDB" w14:textId="77777777" w:rsidR="00827658" w:rsidRPr="002869E1" w:rsidRDefault="00827658" w:rsidP="00827658">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65CE9FE"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5898419"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9D9038"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B285B8"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5C0A15C"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9FB2522"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w:t>
      </w:r>
    </w:p>
    <w:p w14:paraId="22CC539C" w14:textId="77777777" w:rsidR="00827658" w:rsidRPr="006010FE" w:rsidRDefault="00827658" w:rsidP="0082765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13B03B60"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AE29216"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10B4963"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90B03F3" w14:textId="77777777" w:rsidR="00827658" w:rsidRPr="006010FE" w:rsidRDefault="00827658" w:rsidP="00827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A368D4" w14:textId="77777777" w:rsidR="00827658" w:rsidRDefault="00827658" w:rsidP="0082765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5F9680E" w14:textId="77777777" w:rsidR="00827658" w:rsidRDefault="00827658" w:rsidP="00827658">
      <w:pPr>
        <w:spacing w:before="240" w:line="360" w:lineRule="auto"/>
        <w:ind w:left="851" w:right="851"/>
        <w:jc w:val="both"/>
        <w:rPr>
          <w:rFonts w:ascii="Palatino Linotype" w:eastAsia="Times New Roman" w:hAnsi="Palatino Linotype" w:cs="Times New Roman"/>
          <w:b/>
          <w:i/>
          <w:lang w:eastAsia="es-ES"/>
        </w:rPr>
      </w:pPr>
    </w:p>
    <w:p w14:paraId="3C19AF29" w14:textId="77777777" w:rsidR="00827658" w:rsidRPr="006010FE" w:rsidRDefault="00827658" w:rsidP="00827658">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0619C13" w14:textId="77777777" w:rsidR="00827658" w:rsidRDefault="00827658" w:rsidP="00827658">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65B177F" w14:textId="77777777" w:rsidR="00C54D4B" w:rsidRDefault="00C54D4B" w:rsidP="00827658">
      <w:pPr>
        <w:pStyle w:val="Sinespaciado"/>
        <w:spacing w:line="360" w:lineRule="auto"/>
        <w:jc w:val="both"/>
        <w:rPr>
          <w:rFonts w:ascii="Palatino Linotype" w:hAnsi="Palatino Linotype"/>
        </w:rPr>
      </w:pPr>
    </w:p>
    <w:p w14:paraId="28FEF444" w14:textId="2C7D2A68" w:rsidR="00D115C2" w:rsidRDefault="00827658" w:rsidP="00827658">
      <w:pPr>
        <w:pStyle w:val="Sinespaciado"/>
        <w:spacing w:line="360" w:lineRule="auto"/>
        <w:jc w:val="both"/>
        <w:rPr>
          <w:rFonts w:ascii="Palatino Linotype" w:hAnsi="Palatino Linotype"/>
        </w:rPr>
      </w:pPr>
      <w:r>
        <w:rPr>
          <w:rFonts w:ascii="Palatino Linotype" w:hAnsi="Palatino Linotype"/>
        </w:rPr>
        <w:t xml:space="preserve">Ahora bien, en una aproximación inicial, con relación a </w:t>
      </w:r>
      <w:r w:rsidR="009D7F8A">
        <w:rPr>
          <w:rFonts w:ascii="Palatino Linotype" w:hAnsi="Palatino Linotype"/>
        </w:rPr>
        <w:t xml:space="preserve">la solicitud de información </w:t>
      </w:r>
      <w:r w:rsidR="00595992">
        <w:rPr>
          <w:rFonts w:ascii="Palatino Linotype" w:hAnsi="Palatino Linotype"/>
          <w:b/>
          <w:bCs/>
        </w:rPr>
        <w:t xml:space="preserve">00237/INFOEM/IP/2023 </w:t>
      </w:r>
      <w:r w:rsidR="00595992">
        <w:rPr>
          <w:rFonts w:ascii="Palatino Linotype" w:hAnsi="Palatino Linotype"/>
        </w:rPr>
        <w:t>se desprenden las siguientes consideraciones:</w:t>
      </w:r>
    </w:p>
    <w:p w14:paraId="6B273663" w14:textId="77777777" w:rsidR="00595992" w:rsidRDefault="00595992" w:rsidP="00595992">
      <w:pPr>
        <w:pStyle w:val="Prrafodelista"/>
        <w:numPr>
          <w:ilvl w:val="0"/>
          <w:numId w:val="8"/>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 xml:space="preserve">Sujetos Obligados. </w:t>
      </w:r>
    </w:p>
    <w:p w14:paraId="4A605F95" w14:textId="778B8B46" w:rsidR="00654E29" w:rsidRPr="00654E29" w:rsidRDefault="00595992" w:rsidP="00595992">
      <w:pPr>
        <w:pStyle w:val="Prrafodelista"/>
        <w:numPr>
          <w:ilvl w:val="0"/>
          <w:numId w:val="8"/>
        </w:num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rPr>
        <w:t xml:space="preserve">Que fueron formulados </w:t>
      </w:r>
      <w:r>
        <w:rPr>
          <w:rFonts w:ascii="Palatino Linotype" w:hAnsi="Palatino Linotype" w:cs="Arial"/>
          <w:b/>
          <w:bCs/>
        </w:rPr>
        <w:t xml:space="preserve">3 -tres- </w:t>
      </w:r>
      <w:r>
        <w:rPr>
          <w:rFonts w:ascii="Palatino Linotype" w:hAnsi="Palatino Linotype" w:cs="Arial"/>
        </w:rPr>
        <w:t>requerimientos</w:t>
      </w:r>
      <w:r w:rsidR="00654E29">
        <w:rPr>
          <w:rFonts w:ascii="Palatino Linotype" w:hAnsi="Palatino Linotype" w:cs="Arial"/>
        </w:rPr>
        <w:t xml:space="preserve">, destacando que cuando los particulares no identifican de forma precisa el documento requerido bastará con que se remita cualquiera que refleje la información requerida. Al respecto cobra relevancia el criterio emitido por el Órgano Garante Nacional con número </w:t>
      </w:r>
      <w:r w:rsidR="00654E29">
        <w:rPr>
          <w:rFonts w:ascii="Palatino Linotype" w:hAnsi="Palatino Linotype" w:cs="Arial"/>
          <w:b/>
          <w:bCs/>
        </w:rPr>
        <w:t xml:space="preserve">16/17 </w:t>
      </w:r>
      <w:r w:rsidR="00654E29">
        <w:rPr>
          <w:rFonts w:ascii="Palatino Linotype" w:hAnsi="Palatino Linotype" w:cs="Arial"/>
        </w:rPr>
        <w:t>cuyo rubro y texto disponen a la literalidad lo siguiente:</w:t>
      </w:r>
    </w:p>
    <w:p w14:paraId="1A531391" w14:textId="77777777" w:rsidR="00654E29" w:rsidRPr="00AB5B4A" w:rsidRDefault="00654E29" w:rsidP="00654E29">
      <w:pPr>
        <w:pStyle w:val="Citas"/>
        <w:jc w:val="center"/>
        <w:rPr>
          <w:b/>
          <w:bCs/>
          <w:sz w:val="24"/>
          <w:szCs w:val="24"/>
        </w:rPr>
      </w:pPr>
      <w:r w:rsidRPr="00AB5B4A">
        <w:rPr>
          <w:b/>
          <w:bCs/>
          <w:sz w:val="24"/>
          <w:szCs w:val="24"/>
        </w:rPr>
        <w:t>“EXPRESIÓN DOCUMENTAL.</w:t>
      </w:r>
    </w:p>
    <w:p w14:paraId="002259E0" w14:textId="77777777" w:rsidR="00654E29" w:rsidRPr="00AB5B4A" w:rsidRDefault="00654E29" w:rsidP="00654E29">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40DEA2B1" w14:textId="77777777" w:rsidR="00654E29" w:rsidRPr="00AB5B4A" w:rsidRDefault="00654E29" w:rsidP="00654E29">
      <w:pPr>
        <w:pStyle w:val="Citas"/>
        <w:rPr>
          <w:b/>
        </w:rPr>
      </w:pPr>
      <w:r w:rsidRPr="00AB5B4A">
        <w:rPr>
          <w:b/>
        </w:rPr>
        <w:lastRenderedPageBreak/>
        <w:t>Precedentes:</w:t>
      </w:r>
    </w:p>
    <w:p w14:paraId="3814429C" w14:textId="77777777" w:rsidR="00654E29" w:rsidRPr="00AB5B4A" w:rsidRDefault="00654E29" w:rsidP="00654E29">
      <w:pPr>
        <w:pStyle w:val="Citas"/>
        <w:numPr>
          <w:ilvl w:val="0"/>
          <w:numId w:val="11"/>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7C4C2885" w14:textId="77777777" w:rsidR="00654E29" w:rsidRPr="00AB5B4A" w:rsidRDefault="00654E29" w:rsidP="00654E29">
      <w:pPr>
        <w:pStyle w:val="Citas"/>
        <w:numPr>
          <w:ilvl w:val="0"/>
          <w:numId w:val="11"/>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10BB6BF5" w14:textId="77777777" w:rsidR="00654E29" w:rsidRPr="00AB5B4A" w:rsidRDefault="00654E29" w:rsidP="00654E29">
      <w:pPr>
        <w:pStyle w:val="Citas"/>
        <w:numPr>
          <w:ilvl w:val="0"/>
          <w:numId w:val="11"/>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03AD4428" w14:textId="77777777" w:rsidR="00654E29" w:rsidRPr="00654E29" w:rsidRDefault="00654E29" w:rsidP="00654E29">
      <w:pPr>
        <w:pStyle w:val="Prrafodelista"/>
        <w:autoSpaceDE w:val="0"/>
        <w:autoSpaceDN w:val="0"/>
        <w:adjustRightInd w:val="0"/>
        <w:spacing w:before="240" w:line="360" w:lineRule="auto"/>
        <w:ind w:left="720"/>
        <w:jc w:val="both"/>
        <w:rPr>
          <w:rFonts w:ascii="Palatino Linotype" w:hAnsi="Palatino Linotype" w:cs="Arial"/>
          <w:b/>
          <w:bCs/>
          <w:i/>
          <w:iCs/>
          <w:sz w:val="20"/>
          <w:szCs w:val="20"/>
        </w:rPr>
      </w:pPr>
    </w:p>
    <w:p w14:paraId="5314EA53" w14:textId="7C5DD780" w:rsidR="00595992" w:rsidRPr="00C40FB5" w:rsidRDefault="00654E29" w:rsidP="00146409">
      <w:pPr>
        <w:pStyle w:val="Prrafodelista"/>
        <w:numPr>
          <w:ilvl w:val="0"/>
          <w:numId w:val="8"/>
        </w:numPr>
        <w:autoSpaceDE w:val="0"/>
        <w:autoSpaceDN w:val="0"/>
        <w:adjustRightInd w:val="0"/>
        <w:spacing w:before="240" w:line="360" w:lineRule="auto"/>
        <w:jc w:val="both"/>
        <w:rPr>
          <w:rFonts w:ascii="Palatino Linotype" w:hAnsi="Palatino Linotype" w:cs="Arial"/>
          <w:b/>
          <w:bCs/>
          <w:i/>
          <w:iCs/>
          <w:sz w:val="20"/>
          <w:szCs w:val="20"/>
        </w:rPr>
      </w:pPr>
      <w:r w:rsidRPr="00C40FB5">
        <w:rPr>
          <w:rFonts w:ascii="Palatino Linotype" w:hAnsi="Palatino Linotype" w:cs="Arial"/>
        </w:rPr>
        <w:t xml:space="preserve">Que con relación a los </w:t>
      </w:r>
      <w:r w:rsidR="00A54B6B" w:rsidRPr="00C40FB5">
        <w:rPr>
          <w:rFonts w:ascii="Palatino Linotype" w:hAnsi="Palatino Linotype" w:cs="Arial"/>
        </w:rPr>
        <w:t xml:space="preserve">requerimientos identificados con los numerales </w:t>
      </w:r>
      <w:r w:rsidR="00A54B6B" w:rsidRPr="00C40FB5">
        <w:rPr>
          <w:rFonts w:ascii="Palatino Linotype" w:hAnsi="Palatino Linotype" w:cs="Arial"/>
          <w:b/>
          <w:bCs/>
        </w:rPr>
        <w:t xml:space="preserve">1 -uno- </w:t>
      </w:r>
      <w:r w:rsidR="00A54B6B" w:rsidRPr="00C40FB5">
        <w:rPr>
          <w:rFonts w:ascii="Palatino Linotype" w:hAnsi="Palatino Linotype" w:cs="Arial"/>
        </w:rPr>
        <w:t xml:space="preserve">y </w:t>
      </w:r>
      <w:r w:rsidR="00A54B6B" w:rsidRPr="00C40FB5">
        <w:rPr>
          <w:rFonts w:ascii="Palatino Linotype" w:hAnsi="Palatino Linotype" w:cs="Arial"/>
          <w:b/>
          <w:bCs/>
        </w:rPr>
        <w:t xml:space="preserve">2 -dos-, </w:t>
      </w:r>
      <w:r w:rsidR="00C40FB5" w:rsidRPr="00C40FB5">
        <w:rPr>
          <w:rFonts w:ascii="Palatino Linotype" w:hAnsi="Palatino Linotype" w:cs="Arial"/>
        </w:rPr>
        <w:t xml:space="preserve">no fue señalado elemento temporal, debiendo de ser fijado </w:t>
      </w:r>
      <w:r w:rsidR="00595992" w:rsidRPr="00C40FB5">
        <w:rPr>
          <w:rFonts w:ascii="Palatino Linotype" w:hAnsi="Palatino Linotype" w:cs="Arial"/>
        </w:rPr>
        <w:t xml:space="preserve">a la fecha en que se ejerció el derecho de acceso a la información pública, es decir, al veinticuatro de febrero de dos mil veintitrés. </w:t>
      </w:r>
    </w:p>
    <w:p w14:paraId="1490BF12" w14:textId="747DFB8E" w:rsidR="00C40FB5" w:rsidRPr="00C40FB5" w:rsidRDefault="00C40FB5" w:rsidP="00146409">
      <w:pPr>
        <w:pStyle w:val="Prrafodelista"/>
        <w:numPr>
          <w:ilvl w:val="0"/>
          <w:numId w:val="8"/>
        </w:numPr>
        <w:autoSpaceDE w:val="0"/>
        <w:autoSpaceDN w:val="0"/>
        <w:adjustRightInd w:val="0"/>
        <w:spacing w:before="240" w:line="360" w:lineRule="auto"/>
        <w:jc w:val="both"/>
        <w:rPr>
          <w:rFonts w:ascii="Palatino Linotype" w:hAnsi="Palatino Linotype" w:cs="Arial"/>
          <w:b/>
          <w:bCs/>
          <w:i/>
          <w:iCs/>
          <w:sz w:val="20"/>
          <w:szCs w:val="20"/>
        </w:rPr>
      </w:pPr>
      <w:r>
        <w:rPr>
          <w:rFonts w:ascii="Palatino Linotype" w:hAnsi="Palatino Linotype" w:cs="Arial"/>
        </w:rPr>
        <w:t xml:space="preserve">Que con relación al requerimiento identificado con el numeral </w:t>
      </w:r>
      <w:r>
        <w:rPr>
          <w:rFonts w:ascii="Palatino Linotype" w:hAnsi="Palatino Linotype" w:cs="Arial"/>
          <w:b/>
          <w:bCs/>
        </w:rPr>
        <w:t xml:space="preserve">3 -tres- </w:t>
      </w:r>
      <w:r>
        <w:rPr>
          <w:rFonts w:ascii="Palatino Linotype" w:hAnsi="Palatino Linotype" w:cs="Arial"/>
        </w:rPr>
        <w:t xml:space="preserve">fue señalado como temporalidad </w:t>
      </w:r>
      <w:r>
        <w:rPr>
          <w:rFonts w:ascii="Palatino Linotype" w:hAnsi="Palatino Linotype" w:cs="Arial"/>
          <w:i/>
          <w:iCs/>
        </w:rPr>
        <w:t xml:space="preserve">“del 2022 a la fecha”, </w:t>
      </w:r>
      <w:r>
        <w:rPr>
          <w:rFonts w:ascii="Palatino Linotype" w:hAnsi="Palatino Linotype" w:cs="Arial"/>
        </w:rPr>
        <w:t xml:space="preserve">debiendo de ser delimitado </w:t>
      </w:r>
      <w:r>
        <w:rPr>
          <w:rFonts w:ascii="Palatino Linotype" w:hAnsi="Palatino Linotype" w:cs="Arial"/>
        </w:rPr>
        <w:lastRenderedPageBreak/>
        <w:t xml:space="preserve">del uno de enero de dos mil veintidós al veinticuatro de febrero de dos mil veintitrés, ésta última al corresponder a la fecha de la solicitud de información. </w:t>
      </w:r>
    </w:p>
    <w:p w14:paraId="79967C37" w14:textId="1147B701" w:rsidR="00595992" w:rsidRDefault="00595992" w:rsidP="00595992">
      <w:pPr>
        <w:autoSpaceDE w:val="0"/>
        <w:autoSpaceDN w:val="0"/>
        <w:adjustRightInd w:val="0"/>
        <w:spacing w:before="240" w:line="360" w:lineRule="auto"/>
        <w:jc w:val="both"/>
        <w:rPr>
          <w:rFonts w:ascii="Palatino Linotype" w:hAnsi="Palatino Linotype" w:cs="Arial"/>
          <w:b/>
          <w:bCs/>
          <w:i/>
          <w:iCs/>
        </w:rPr>
      </w:pPr>
    </w:p>
    <w:p w14:paraId="59463A5F" w14:textId="77777777" w:rsidR="00595992" w:rsidRPr="0051062B" w:rsidRDefault="00595992" w:rsidP="00595992">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763A3B14" w14:textId="77777777" w:rsidR="00595992" w:rsidRPr="0051062B" w:rsidRDefault="00595992" w:rsidP="00595992">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2F97609" w14:textId="77777777" w:rsidR="00595992" w:rsidRPr="0051062B" w:rsidRDefault="00595992" w:rsidP="00595992">
      <w:pPr>
        <w:pStyle w:val="Citas"/>
        <w:rPr>
          <w:b/>
        </w:rPr>
      </w:pPr>
      <w:r w:rsidRPr="0051062B">
        <w:rPr>
          <w:b/>
        </w:rPr>
        <w:t xml:space="preserve">Artículo 181. … </w:t>
      </w:r>
    </w:p>
    <w:p w14:paraId="27321635" w14:textId="77777777" w:rsidR="00595992" w:rsidRDefault="00595992" w:rsidP="00595992">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75163F2" w14:textId="77777777" w:rsidR="00C40FB5" w:rsidRDefault="00C40FB5" w:rsidP="00595992">
      <w:pPr>
        <w:spacing w:before="240" w:line="360" w:lineRule="auto"/>
        <w:jc w:val="both"/>
        <w:rPr>
          <w:rFonts w:ascii="Palatino Linotype" w:hAnsi="Palatino Linotype"/>
          <w:sz w:val="24"/>
          <w:szCs w:val="24"/>
        </w:rPr>
      </w:pPr>
    </w:p>
    <w:p w14:paraId="2D5DC86D" w14:textId="20285BAB" w:rsidR="00595992" w:rsidRDefault="00595992" w:rsidP="00595992">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sidRPr="00074A76">
        <w:rPr>
          <w:rFonts w:ascii="Palatino Linotype" w:hAnsi="Palatino Linotype"/>
          <w:b/>
          <w:bCs/>
          <w:sz w:val="24"/>
          <w:szCs w:val="24"/>
        </w:rPr>
        <w:t xml:space="preserve">Recurrente, </w:t>
      </w:r>
      <w:r w:rsidRPr="00074A76">
        <w:rPr>
          <w:rFonts w:ascii="Palatino Linotype" w:hAnsi="Palatino Linotype"/>
          <w:sz w:val="24"/>
          <w:szCs w:val="24"/>
        </w:rPr>
        <w:t xml:space="preserve">de manera objetiva se precisa que versa en conocer la siguiente información: </w:t>
      </w:r>
    </w:p>
    <w:p w14:paraId="5497A949" w14:textId="3EE97A1B" w:rsidR="00595992" w:rsidRPr="00595992" w:rsidRDefault="00595992" w:rsidP="00595992">
      <w:pPr>
        <w:pStyle w:val="Prrafodelista"/>
        <w:numPr>
          <w:ilvl w:val="0"/>
          <w:numId w:val="10"/>
        </w:numPr>
        <w:autoSpaceDE w:val="0"/>
        <w:autoSpaceDN w:val="0"/>
        <w:adjustRightInd w:val="0"/>
        <w:spacing w:before="240" w:line="360" w:lineRule="auto"/>
        <w:jc w:val="both"/>
        <w:rPr>
          <w:rFonts w:ascii="Palatino Linotype" w:hAnsi="Palatino Linotype" w:cs="Arial"/>
          <w:b/>
          <w:bCs/>
          <w:i/>
          <w:iCs/>
        </w:rPr>
      </w:pPr>
      <w:bookmarkStart w:id="0" w:name="_Hlk134099949"/>
      <w:r>
        <w:rPr>
          <w:rFonts w:ascii="Palatino Linotype" w:hAnsi="Palatino Linotype" w:cs="Arial"/>
        </w:rPr>
        <w:t xml:space="preserve">El o los documentos donde conste cuantos días hábiles tienen los sujetos obligados para contestar solicitudes de información, al veinticuatro de febrero de dos mil veintitrés. </w:t>
      </w:r>
    </w:p>
    <w:p w14:paraId="3E9DD679" w14:textId="7E1E7C1B" w:rsidR="00595992" w:rsidRPr="00654E29" w:rsidRDefault="00595992" w:rsidP="00595992">
      <w:pPr>
        <w:pStyle w:val="Prrafodelista"/>
        <w:numPr>
          <w:ilvl w:val="0"/>
          <w:numId w:val="10"/>
        </w:numPr>
        <w:autoSpaceDE w:val="0"/>
        <w:autoSpaceDN w:val="0"/>
        <w:adjustRightInd w:val="0"/>
        <w:spacing w:before="240" w:line="360" w:lineRule="auto"/>
        <w:jc w:val="both"/>
        <w:rPr>
          <w:rFonts w:ascii="Palatino Linotype" w:hAnsi="Palatino Linotype" w:cs="Arial"/>
          <w:b/>
          <w:bCs/>
          <w:i/>
          <w:iCs/>
        </w:rPr>
      </w:pPr>
      <w:r>
        <w:rPr>
          <w:rFonts w:ascii="Palatino Linotype" w:hAnsi="Palatino Linotype" w:cs="Arial"/>
        </w:rPr>
        <w:lastRenderedPageBreak/>
        <w:t>El o los documentos donde consten las sanciones derivado de la falta de respuesta a solicitudes de informació</w:t>
      </w:r>
      <w:r w:rsidR="00654E29">
        <w:rPr>
          <w:rFonts w:ascii="Palatino Linotype" w:hAnsi="Palatino Linotype" w:cs="Arial"/>
        </w:rPr>
        <w:t xml:space="preserve">n, al veinticuatro de febrero de dos mil veintitrés. </w:t>
      </w:r>
    </w:p>
    <w:p w14:paraId="020C4DA7" w14:textId="13E3AC8B" w:rsidR="00654E29" w:rsidRPr="00595992" w:rsidRDefault="00654E29" w:rsidP="00595992">
      <w:pPr>
        <w:pStyle w:val="Prrafodelista"/>
        <w:numPr>
          <w:ilvl w:val="0"/>
          <w:numId w:val="10"/>
        </w:numPr>
        <w:autoSpaceDE w:val="0"/>
        <w:autoSpaceDN w:val="0"/>
        <w:adjustRightInd w:val="0"/>
        <w:spacing w:before="240" w:line="360" w:lineRule="auto"/>
        <w:jc w:val="both"/>
        <w:rPr>
          <w:rFonts w:ascii="Palatino Linotype" w:hAnsi="Palatino Linotype" w:cs="Arial"/>
          <w:b/>
          <w:bCs/>
          <w:i/>
          <w:iCs/>
        </w:rPr>
      </w:pPr>
      <w:r>
        <w:rPr>
          <w:rFonts w:ascii="Palatino Linotype" w:hAnsi="Palatino Linotype" w:cs="Arial"/>
        </w:rPr>
        <w:t>El o los documentos donde consten los sujetos obligados sancionados</w:t>
      </w:r>
      <w:r w:rsidR="00C40FB5">
        <w:rPr>
          <w:rFonts w:ascii="Palatino Linotype" w:hAnsi="Palatino Linotype" w:cs="Arial"/>
        </w:rPr>
        <w:t xml:space="preserve">, del periodo comprendido del uno de enero </w:t>
      </w:r>
      <w:r w:rsidR="00C6786D">
        <w:rPr>
          <w:rFonts w:ascii="Palatino Linotype" w:hAnsi="Palatino Linotype" w:cs="Arial"/>
        </w:rPr>
        <w:t xml:space="preserve">de dos mil veintidós </w:t>
      </w:r>
      <w:r w:rsidR="00C40FB5">
        <w:rPr>
          <w:rFonts w:ascii="Palatino Linotype" w:hAnsi="Palatino Linotype" w:cs="Arial"/>
        </w:rPr>
        <w:t xml:space="preserve">al veinticuatro de febrero de dos mil veintitrés. </w:t>
      </w:r>
    </w:p>
    <w:bookmarkEnd w:id="0"/>
    <w:p w14:paraId="53F7A00C" w14:textId="77777777" w:rsidR="00D115C2" w:rsidRDefault="00D115C2" w:rsidP="00827658">
      <w:pPr>
        <w:pStyle w:val="Sinespaciado"/>
        <w:spacing w:line="360" w:lineRule="auto"/>
        <w:jc w:val="both"/>
        <w:rPr>
          <w:rFonts w:ascii="Palatino Linotype" w:hAnsi="Palatino Linotype"/>
        </w:rPr>
      </w:pPr>
    </w:p>
    <w:p w14:paraId="6D00AC1A" w14:textId="343BF374" w:rsidR="00827658" w:rsidRDefault="00827658" w:rsidP="00827658">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w:t>
      </w:r>
      <w:r w:rsidR="00317A78">
        <w:rPr>
          <w:rFonts w:ascii="Palatino Linotype" w:hAnsi="Palatino Linotype" w:cs="Arial"/>
          <w:sz w:val="24"/>
          <w:szCs w:val="24"/>
        </w:rPr>
        <w:t>donde pudiera obrar la información</w:t>
      </w:r>
      <w:r>
        <w:rPr>
          <w:rFonts w:ascii="Palatino Linotype" w:hAnsi="Palatino Linotype" w:cs="Arial"/>
          <w:sz w:val="24"/>
          <w:szCs w:val="24"/>
        </w:rPr>
        <w:t xml:space="preserve">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4DD75DD3" w14:textId="77777777" w:rsidR="00827658" w:rsidRPr="009535E0" w:rsidRDefault="00827658" w:rsidP="00827658">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5A375592" w14:textId="77777777" w:rsidR="00827658" w:rsidRPr="009535E0" w:rsidRDefault="00827658" w:rsidP="0082765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7DAADCA" w14:textId="77777777" w:rsidR="00827658" w:rsidRPr="00C231A5" w:rsidRDefault="00827658" w:rsidP="00827658">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3B49D980" w14:textId="77777777" w:rsidR="00827658" w:rsidRPr="009535E0" w:rsidRDefault="00827658" w:rsidP="00827658">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9535E0">
        <w:rPr>
          <w:rFonts w:ascii="Palatino Linotype" w:hAnsi="Palatino Linotype"/>
          <w:i/>
        </w:rPr>
        <w:lastRenderedPageBreak/>
        <w:t>social, según corresponda, la información, por lo menos, de los temas, documentos y políticas que a continuación se señalan:</w:t>
      </w:r>
    </w:p>
    <w:p w14:paraId="1B29E968" w14:textId="77777777" w:rsidR="00827658" w:rsidRDefault="00827658" w:rsidP="00827658">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1EBEF75" w14:textId="6FDB4F68" w:rsidR="00827658" w:rsidRDefault="00827658" w:rsidP="00827658">
      <w:pPr>
        <w:pStyle w:val="INFOEM"/>
        <w:rPr>
          <w:b/>
        </w:rPr>
      </w:pPr>
      <w:r>
        <w:t xml:space="preserve"> (…)” </w:t>
      </w:r>
      <w:r>
        <w:rPr>
          <w:b/>
        </w:rPr>
        <w:t>[Sic]</w:t>
      </w:r>
    </w:p>
    <w:p w14:paraId="434E2994" w14:textId="62EE2E71" w:rsidR="00827658" w:rsidRDefault="00827658" w:rsidP="00827658">
      <w:pPr>
        <w:pStyle w:val="INFOEM"/>
        <w:ind w:left="0"/>
      </w:pPr>
    </w:p>
    <w:p w14:paraId="289DF6F2" w14:textId="2AAE4285" w:rsidR="00827658" w:rsidRPr="008C2064" w:rsidRDefault="00C6786D" w:rsidP="00827658">
      <w:pPr>
        <w:pStyle w:val="INFOEM"/>
        <w:ind w:left="0"/>
        <w:rPr>
          <w:i w:val="0"/>
          <w:iCs/>
          <w:sz w:val="24"/>
          <w:szCs w:val="24"/>
        </w:rPr>
      </w:pPr>
      <w:r>
        <w:rPr>
          <w:noProof/>
          <w:lang w:eastAsia="es-MX"/>
        </w:rPr>
        <w:drawing>
          <wp:anchor distT="0" distB="0" distL="114300" distR="114300" simplePos="0" relativeHeight="251678720" behindDoc="0" locked="0" layoutInCell="1" allowOverlap="1" wp14:anchorId="7DE5C441" wp14:editId="372A4631">
            <wp:simplePos x="0" y="0"/>
            <wp:positionH relativeFrom="column">
              <wp:posOffset>24485</wp:posOffset>
            </wp:positionH>
            <wp:positionV relativeFrom="paragraph">
              <wp:posOffset>633730</wp:posOffset>
            </wp:positionV>
            <wp:extent cx="5747385" cy="3437890"/>
            <wp:effectExtent l="19050" t="19050" r="24765" b="10160"/>
            <wp:wrapThrough wrapText="bothSides">
              <wp:wrapPolygon edited="0">
                <wp:start x="-72" y="-120"/>
                <wp:lineTo x="-72" y="21544"/>
                <wp:lineTo x="21621" y="21544"/>
                <wp:lineTo x="21621" y="-120"/>
                <wp:lineTo x="-72" y="-120"/>
              </wp:wrapPolygon>
            </wp:wrapThrough>
            <wp:docPr id="1558513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7385" cy="34378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27658">
        <w:rPr>
          <w:i w:val="0"/>
          <w:iCs/>
          <w:sz w:val="24"/>
          <w:szCs w:val="24"/>
        </w:rPr>
        <w:t xml:space="preserve">Sirven de sustento las siguientes imágenes ilustrativas: </w:t>
      </w:r>
    </w:p>
    <w:p w14:paraId="4F177622" w14:textId="363F5B89" w:rsidR="00827658" w:rsidRPr="00B23A37" w:rsidRDefault="00C6786D" w:rsidP="00827658">
      <w:pPr>
        <w:pStyle w:val="INFOEM"/>
        <w:ind w:left="0"/>
        <w:rPr>
          <w:bCs/>
          <w:i w:val="0"/>
          <w:iCs/>
          <w:sz w:val="24"/>
          <w:szCs w:val="24"/>
        </w:rPr>
      </w:pPr>
      <w:r>
        <w:rPr>
          <w:noProof/>
          <w:lang w:eastAsia="es-MX"/>
        </w:rPr>
        <w:lastRenderedPageBreak/>
        <w:drawing>
          <wp:anchor distT="0" distB="0" distL="114300" distR="114300" simplePos="0" relativeHeight="251680768" behindDoc="0" locked="0" layoutInCell="1" allowOverlap="1" wp14:anchorId="34E247BE" wp14:editId="5978EC15">
            <wp:simplePos x="0" y="0"/>
            <wp:positionH relativeFrom="column">
              <wp:posOffset>3082290</wp:posOffset>
            </wp:positionH>
            <wp:positionV relativeFrom="paragraph">
              <wp:posOffset>80645</wp:posOffset>
            </wp:positionV>
            <wp:extent cx="2508885" cy="762000"/>
            <wp:effectExtent l="19050" t="19050" r="24765" b="19050"/>
            <wp:wrapThrough wrapText="bothSides">
              <wp:wrapPolygon edited="0">
                <wp:start x="-164" y="-540"/>
                <wp:lineTo x="-164" y="21600"/>
                <wp:lineTo x="21649" y="21600"/>
                <wp:lineTo x="21649" y="-540"/>
                <wp:lineTo x="-164" y="-540"/>
              </wp:wrapPolygon>
            </wp:wrapThrough>
            <wp:docPr id="1734031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8885" cy="762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79744" behindDoc="0" locked="0" layoutInCell="1" allowOverlap="1" wp14:anchorId="0ED15164" wp14:editId="4780FE5F">
            <wp:simplePos x="0" y="0"/>
            <wp:positionH relativeFrom="column">
              <wp:posOffset>307059</wp:posOffset>
            </wp:positionH>
            <wp:positionV relativeFrom="paragraph">
              <wp:posOffset>80985</wp:posOffset>
            </wp:positionV>
            <wp:extent cx="2508885" cy="762000"/>
            <wp:effectExtent l="19050" t="19050" r="24765" b="19050"/>
            <wp:wrapThrough wrapText="bothSides">
              <wp:wrapPolygon edited="0">
                <wp:start x="-164" y="-540"/>
                <wp:lineTo x="-164" y="21600"/>
                <wp:lineTo x="21649" y="21600"/>
                <wp:lineTo x="21649" y="-540"/>
                <wp:lineTo x="-164" y="-540"/>
              </wp:wrapPolygon>
            </wp:wrapThrough>
            <wp:docPr id="6096877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8885" cy="762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27658">
        <w:rPr>
          <w:b/>
        </w:rPr>
        <w:t xml:space="preserve"> </w:t>
      </w:r>
    </w:p>
    <w:p w14:paraId="14EACDCB" w14:textId="4F7BCA51" w:rsidR="000179C3" w:rsidRDefault="00827658" w:rsidP="00827658">
      <w:pPr>
        <w:pStyle w:val="Sinespaciado"/>
        <w:spacing w:line="360" w:lineRule="auto"/>
        <w:jc w:val="both"/>
        <w:rPr>
          <w:rFonts w:ascii="Palatino Linotype" w:hAnsi="Palatino Linotype"/>
        </w:rPr>
      </w:pPr>
      <w:r>
        <w:rPr>
          <w:rFonts w:ascii="Palatino Linotype" w:hAnsi="Palatino Linotype"/>
        </w:rPr>
        <w:t xml:space="preserve">De lo expuesto con anterioridad, se desprende que </w:t>
      </w:r>
      <w:r>
        <w:rPr>
          <w:rFonts w:ascii="Palatino Linotype" w:hAnsi="Palatino Linotype"/>
          <w:b/>
          <w:bCs/>
        </w:rPr>
        <w:t xml:space="preserve">El Sujeto Obligado </w:t>
      </w:r>
      <w:r>
        <w:rPr>
          <w:rFonts w:ascii="Palatino Linotype" w:hAnsi="Palatino Linotype"/>
        </w:rPr>
        <w:t xml:space="preserve">se auxilia de diversas Direcciones, Subdirecciones, Departamentos y Unidades Administrativas para cumplir con sus fines y objetivos, resultando de nuestro amplio interés la </w:t>
      </w:r>
      <w:r w:rsidR="00C40FB5">
        <w:rPr>
          <w:rFonts w:ascii="Palatino Linotype" w:hAnsi="Palatino Linotype"/>
        </w:rPr>
        <w:t xml:space="preserve">Unidad de Transparencia, así como el Órgano Interno de Control. </w:t>
      </w:r>
      <w:r w:rsidR="00317A78">
        <w:rPr>
          <w:rFonts w:ascii="Palatino Linotype" w:hAnsi="Palatino Linotype"/>
        </w:rPr>
        <w:t xml:space="preserve"> </w:t>
      </w:r>
    </w:p>
    <w:p w14:paraId="6E036D94" w14:textId="77777777" w:rsidR="00C6786D" w:rsidRDefault="00C6786D" w:rsidP="00827658">
      <w:pPr>
        <w:pStyle w:val="Sinespaciado"/>
        <w:spacing w:line="360" w:lineRule="auto"/>
        <w:jc w:val="both"/>
        <w:rPr>
          <w:rFonts w:ascii="Palatino Linotype" w:hAnsi="Palatino Linotype"/>
        </w:rPr>
      </w:pPr>
    </w:p>
    <w:p w14:paraId="298596F7" w14:textId="0A5E8317" w:rsidR="00C40FB5" w:rsidRDefault="000179C3" w:rsidP="00827658">
      <w:pPr>
        <w:pStyle w:val="Sinespaciado"/>
        <w:spacing w:line="360" w:lineRule="auto"/>
        <w:jc w:val="both"/>
        <w:rPr>
          <w:rFonts w:ascii="Palatino Linotype" w:hAnsi="Palatino Linotype"/>
        </w:rPr>
      </w:pPr>
      <w:r w:rsidRPr="00452B82">
        <w:rPr>
          <w:rFonts w:ascii="Palatino Linotype" w:hAnsi="Palatino Linotype"/>
        </w:rPr>
        <w:t xml:space="preserve">En este sentido, a efecto de ilustrar la esfera competencial de las unidades administrativas en cita, resulta </w:t>
      </w:r>
      <w:r w:rsidRPr="00D20A46">
        <w:rPr>
          <w:rFonts w:ascii="Palatino Linotype" w:hAnsi="Palatino Linotype"/>
        </w:rPr>
        <w:t xml:space="preserve">oportuno traer a colación </w:t>
      </w:r>
      <w:r w:rsidR="000A227D" w:rsidRPr="00D20A46">
        <w:rPr>
          <w:rFonts w:ascii="Palatino Linotype" w:hAnsi="Palatino Linotype"/>
        </w:rPr>
        <w:t xml:space="preserve">los artículos </w:t>
      </w:r>
      <w:r w:rsidR="0020641D" w:rsidRPr="00D20A46">
        <w:rPr>
          <w:rFonts w:ascii="Palatino Linotype" w:hAnsi="Palatino Linotype"/>
        </w:rPr>
        <w:t>50, 51, 53 fracciones II, IV y V, 190</w:t>
      </w:r>
      <w:r w:rsidR="008E02A9" w:rsidRPr="00D20A46">
        <w:rPr>
          <w:rFonts w:ascii="Palatino Linotype" w:hAnsi="Palatino Linotype"/>
        </w:rPr>
        <w:t>,</w:t>
      </w:r>
      <w:r w:rsidR="00FD12F4" w:rsidRPr="00D20A46">
        <w:rPr>
          <w:rFonts w:ascii="Palatino Linotype" w:hAnsi="Palatino Linotype"/>
        </w:rPr>
        <w:t xml:space="preserve"> 214, </w:t>
      </w:r>
      <w:r w:rsidR="008175A7" w:rsidRPr="00D20A46">
        <w:rPr>
          <w:rFonts w:ascii="Palatino Linotype" w:hAnsi="Palatino Linotype"/>
        </w:rPr>
        <w:t xml:space="preserve">216, </w:t>
      </w:r>
      <w:r w:rsidR="00FD12F4" w:rsidRPr="00D20A46">
        <w:rPr>
          <w:rFonts w:ascii="Palatino Linotype" w:hAnsi="Palatino Linotype"/>
        </w:rPr>
        <w:t xml:space="preserve">219, </w:t>
      </w:r>
      <w:r w:rsidR="008175A7" w:rsidRPr="00D20A46">
        <w:rPr>
          <w:rFonts w:ascii="Palatino Linotype" w:hAnsi="Palatino Linotype"/>
        </w:rPr>
        <w:t xml:space="preserve">220, </w:t>
      </w:r>
      <w:r w:rsidR="00FD12F4" w:rsidRPr="00D20A46">
        <w:rPr>
          <w:rFonts w:ascii="Palatino Linotype" w:hAnsi="Palatino Linotype"/>
        </w:rPr>
        <w:t xml:space="preserve">222 fracciones I y II, </w:t>
      </w:r>
      <w:r w:rsidR="008E02A9" w:rsidRPr="00D20A46">
        <w:rPr>
          <w:rFonts w:ascii="Palatino Linotype" w:hAnsi="Palatino Linotype"/>
        </w:rPr>
        <w:t xml:space="preserve"> 223</w:t>
      </w:r>
      <w:r w:rsidR="0020641D" w:rsidRPr="00D20A46">
        <w:rPr>
          <w:rFonts w:ascii="Palatino Linotype" w:hAnsi="Palatino Linotype"/>
        </w:rPr>
        <w:t xml:space="preserve"> de la Ley de Transparencia y Acceso a la Información Pública del Estado de México y Municipios, así como </w:t>
      </w:r>
      <w:r w:rsidR="000169FC" w:rsidRPr="00D20A46">
        <w:rPr>
          <w:rFonts w:ascii="Palatino Linotype" w:hAnsi="Palatino Linotype"/>
        </w:rPr>
        <w:t>los artículos 19, fracción XXVII,</w:t>
      </w:r>
      <w:r w:rsidR="0020641D" w:rsidRPr="00D20A46">
        <w:rPr>
          <w:rFonts w:ascii="Palatino Linotype" w:hAnsi="Palatino Linotype"/>
        </w:rPr>
        <w:t xml:space="preserve"> 27, fracción</w:t>
      </w:r>
      <w:r w:rsidR="0020641D">
        <w:rPr>
          <w:rFonts w:ascii="Palatino Linotype" w:hAnsi="Palatino Linotype"/>
        </w:rPr>
        <w:t xml:space="preserve"> XVI del Reglamento Interior del Sujeto Obligado, porciones normativas que disponen a la literalidad lo siguiente:</w:t>
      </w:r>
    </w:p>
    <w:p w14:paraId="14F49C44" w14:textId="35A594DD" w:rsidR="0020641D" w:rsidRPr="0020641D" w:rsidRDefault="0020641D" w:rsidP="0020641D">
      <w:pPr>
        <w:pStyle w:val="Citas"/>
        <w:jc w:val="center"/>
        <w:rPr>
          <w:b/>
          <w:bCs/>
        </w:rPr>
      </w:pPr>
      <w:r w:rsidRPr="0020641D">
        <w:rPr>
          <w:b/>
          <w:bCs/>
        </w:rPr>
        <w:t>LEY DE TRANSPARENCIA Y ACCESO A LA INFORMACIÓN PÚBLICA DEL ESTADO DE MÉXICO Y MUNICIPIOS</w:t>
      </w:r>
    </w:p>
    <w:p w14:paraId="1D351CAC" w14:textId="6C05BB94" w:rsidR="00B04C3E" w:rsidRDefault="0020641D" w:rsidP="00B04C3E">
      <w:pPr>
        <w:pStyle w:val="Citas"/>
      </w:pPr>
      <w:r>
        <w:t>“</w:t>
      </w:r>
      <w:r w:rsidR="00B04C3E">
        <w:t xml:space="preserve">Artículo 50. Los sujetos obligados contarán con un área responsable para la atención de las solicitudes de información, a la que se le denominará Unidad de Transparencia. </w:t>
      </w:r>
    </w:p>
    <w:p w14:paraId="045E9C5B" w14:textId="1A753313" w:rsidR="00C40FB5" w:rsidRDefault="00B04C3E" w:rsidP="00B04C3E">
      <w:pPr>
        <w:pStyle w:val="Citas"/>
      </w:pPr>
      <w:r>
        <w:lastRenderedPageBreak/>
        <w:t>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4D98919" w14:textId="34DDFA10" w:rsidR="00B04C3E" w:rsidRDefault="00B04C3E" w:rsidP="00B04C3E">
      <w:pPr>
        <w:pStyle w:val="Citas"/>
      </w:pPr>
      <w:r>
        <w:t>Artículo 53. Las Unidades de Transparencia tendrán las siguientes funciones:</w:t>
      </w:r>
    </w:p>
    <w:p w14:paraId="043FE72F" w14:textId="6F100DAE" w:rsidR="00B04C3E" w:rsidRDefault="00B04C3E" w:rsidP="00B04C3E">
      <w:pPr>
        <w:pStyle w:val="Citas"/>
      </w:pPr>
      <w:r>
        <w:t>(…)</w:t>
      </w:r>
    </w:p>
    <w:p w14:paraId="24187433" w14:textId="59CE5DAA" w:rsidR="00B04C3E" w:rsidRDefault="00B04C3E" w:rsidP="00B04C3E">
      <w:pPr>
        <w:pStyle w:val="Citas"/>
      </w:pPr>
      <w:r>
        <w:t>II. Recibir, tramitar y dar respuesta a las solicitudes de acceso a la información;</w:t>
      </w:r>
    </w:p>
    <w:p w14:paraId="061A2743" w14:textId="70E58F71" w:rsidR="00B04C3E" w:rsidRDefault="00B04C3E" w:rsidP="00B04C3E">
      <w:pPr>
        <w:pStyle w:val="Citas"/>
      </w:pPr>
      <w:r>
        <w:t>(…)</w:t>
      </w:r>
    </w:p>
    <w:p w14:paraId="7F2EDF2D" w14:textId="77777777" w:rsidR="00B04C3E" w:rsidRDefault="00B04C3E" w:rsidP="00B04C3E">
      <w:pPr>
        <w:pStyle w:val="Citas"/>
      </w:pPr>
      <w:r>
        <w:t xml:space="preserve">IV. Realizar, con efectividad, los trámites internos necesarios para la atención de las solicitudes de acceso a la información; </w:t>
      </w:r>
    </w:p>
    <w:p w14:paraId="3286544C" w14:textId="25065670" w:rsidR="00B04C3E" w:rsidRDefault="00B04C3E" w:rsidP="00B04C3E">
      <w:pPr>
        <w:pStyle w:val="Citas"/>
      </w:pPr>
      <w:r>
        <w:t>V. Entregar, en su caso, a los particulares la información solicitada;</w:t>
      </w:r>
    </w:p>
    <w:p w14:paraId="342C0FD7" w14:textId="404834F5" w:rsidR="00B04C3E" w:rsidRDefault="00B04C3E" w:rsidP="00B04C3E">
      <w:pPr>
        <w:pStyle w:val="Citas"/>
      </w:pPr>
      <w:r>
        <w:t>(…)</w:t>
      </w:r>
    </w:p>
    <w:p w14:paraId="6A9D9466" w14:textId="5C946771" w:rsidR="00B04C3E" w:rsidRPr="00D20A46" w:rsidRDefault="00B04C3E" w:rsidP="00B04C3E">
      <w:pPr>
        <w:pStyle w:val="Citas"/>
      </w:pPr>
      <w: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lastRenderedPageBreak/>
        <w:t xml:space="preserve">procedimiento de responsabilidad respectivo, cuyo resultado deberá de ser informado al </w:t>
      </w:r>
      <w:r w:rsidRPr="00D20A46">
        <w:t>Instituto.</w:t>
      </w:r>
    </w:p>
    <w:p w14:paraId="04C748A5" w14:textId="4B0DCD94" w:rsidR="00FD12F4" w:rsidRPr="00D20A46" w:rsidRDefault="00FD12F4" w:rsidP="00B04C3E">
      <w:pPr>
        <w:pStyle w:val="Citas"/>
      </w:pPr>
      <w:r w:rsidRPr="00D20A46">
        <w:t>Artículo 214. El Instituto podrá imponer al servidor público encargado de cumplir con la resolución, o a los miembros de los sindicatos, partidos políticos o a la persona física o jurídico colectiva responsable, las siguientes medidas de apremio para asegurar el cumplimiento, de sus determinaciones:</w:t>
      </w:r>
    </w:p>
    <w:p w14:paraId="558225DB" w14:textId="77777777" w:rsidR="00FD12F4" w:rsidRPr="00D20A46" w:rsidRDefault="00FD12F4" w:rsidP="00B04C3E">
      <w:pPr>
        <w:pStyle w:val="Citas"/>
      </w:pPr>
      <w:r w:rsidRPr="00D20A46">
        <w:t xml:space="preserve">I. Apercibimiento; </w:t>
      </w:r>
    </w:p>
    <w:p w14:paraId="42C92BCE" w14:textId="77777777" w:rsidR="00FD12F4" w:rsidRPr="00D20A46" w:rsidRDefault="00FD12F4" w:rsidP="00B04C3E">
      <w:pPr>
        <w:pStyle w:val="Citas"/>
      </w:pPr>
      <w:r w:rsidRPr="00D20A46">
        <w:t xml:space="preserve">II. Amonestación pública; y </w:t>
      </w:r>
    </w:p>
    <w:p w14:paraId="7EA8F4EF" w14:textId="77777777" w:rsidR="00FD12F4" w:rsidRPr="00D20A46" w:rsidRDefault="00FD12F4" w:rsidP="00B04C3E">
      <w:pPr>
        <w:pStyle w:val="Citas"/>
      </w:pPr>
      <w:r w:rsidRPr="00D20A46">
        <w:t xml:space="preserve">III. Multa, de ciento cincuenta hasta mil quinientas veces la UMA. </w:t>
      </w:r>
    </w:p>
    <w:p w14:paraId="05153E5F" w14:textId="3AA247CA" w:rsidR="00FD12F4" w:rsidRPr="00D20A46" w:rsidRDefault="00FD12F4" w:rsidP="00B04C3E">
      <w:pPr>
        <w:pStyle w:val="Citas"/>
      </w:pPr>
      <w:r w:rsidRPr="00D20A46">
        <w:t>La multa mínima se impondrá cuando la conducta sea por primera vez y ésta se incrementará en un tanto por cada reincidencia, hasta llegar al límite superior.</w:t>
      </w:r>
    </w:p>
    <w:p w14:paraId="5DD3504D" w14:textId="77777777" w:rsidR="008175A7" w:rsidRPr="00D20A46" w:rsidRDefault="008175A7" w:rsidP="00B04C3E">
      <w:pPr>
        <w:pStyle w:val="Citas"/>
      </w:pPr>
      <w:r w:rsidRPr="00D20A46">
        <w:t xml:space="preserve">Artículo 216. Si a pesar de la ejecución de las medidas de apremio previstas en el artículo anterior no se cumple con la determinación, se requerirá el cumplimiento al superior jerárquico para que en un plazo de cinco días hábiles lo instruya a cumplir sin demora. De persistir el incumplimiento se aplicarán sobre el superior jerárquico las medidas de apremio establecidas en el artículo anterior. </w:t>
      </w:r>
    </w:p>
    <w:p w14:paraId="2E716C77" w14:textId="3BE86765" w:rsidR="008175A7" w:rsidRPr="00D20A46" w:rsidRDefault="008175A7" w:rsidP="00B04C3E">
      <w:pPr>
        <w:pStyle w:val="Citas"/>
      </w:pPr>
      <w:r w:rsidRPr="00D20A46">
        <w:t>Transcurrido el plazo, sin que se haya dado cumplimiento, se determinarán las sanciones que correspondan.</w:t>
      </w:r>
    </w:p>
    <w:p w14:paraId="743CAF11" w14:textId="10B46F6B" w:rsidR="00FD12F4" w:rsidRPr="00D20A46" w:rsidRDefault="00FD12F4" w:rsidP="00B04C3E">
      <w:pPr>
        <w:pStyle w:val="Citas"/>
      </w:pPr>
      <w:r w:rsidRPr="00D20A46">
        <w:t xml:space="preserve">Artículo 219. El Instituto podrá convenir con el Poder Ejecutivo del Estado, que los recursos que se recauden por concepto de multas sean canalizados al Instituto y serán </w:t>
      </w:r>
      <w:r w:rsidRPr="00D20A46">
        <w:lastRenderedPageBreak/>
        <w:t>destinados al cumplimiento de los objetivos de la presente Ley y en términos de las disposiciones jurídicas aplicables.</w:t>
      </w:r>
    </w:p>
    <w:p w14:paraId="7174048C" w14:textId="094B8C99" w:rsidR="008175A7" w:rsidRPr="00D20A46" w:rsidRDefault="008175A7" w:rsidP="00B04C3E">
      <w:pPr>
        <w:pStyle w:val="Citas"/>
        <w:rPr>
          <w:b/>
          <w:bCs/>
          <w:u w:val="single"/>
        </w:rPr>
      </w:pPr>
      <w:r w:rsidRPr="00D20A46">
        <w:rPr>
          <w:b/>
          <w:bCs/>
          <w:u w:val="single"/>
        </w:rPr>
        <w:t>Artículo 220. Los órganos de control de los sujetos obligados deberán informar al Instituto el resultado de los procedimientos que finquen a los servidores públicos, una vez que hubieran quedado en firme sus resoluciones.</w:t>
      </w:r>
    </w:p>
    <w:p w14:paraId="79951FAB" w14:textId="109048E2" w:rsidR="00FD12F4" w:rsidRPr="00D20A46" w:rsidRDefault="00FD12F4" w:rsidP="00B04C3E">
      <w:pPr>
        <w:pStyle w:val="Citas"/>
      </w:pPr>
      <w:r w:rsidRPr="00D20A46">
        <w:t>Artículo 222. Son causas de responsabilidad administrativa de los servidores públicos de los sujetos obligados, por incumplimiento de las obligaciones establecidas en la materia de la presente Ley, las siguientes:</w:t>
      </w:r>
    </w:p>
    <w:p w14:paraId="40FA303C" w14:textId="77777777" w:rsidR="00FD12F4" w:rsidRPr="00D20A46" w:rsidRDefault="00FD12F4" w:rsidP="00FD12F4">
      <w:pPr>
        <w:pStyle w:val="Citas"/>
        <w:rPr>
          <w:b/>
        </w:rPr>
      </w:pPr>
      <w:r w:rsidRPr="00D20A46">
        <w:rPr>
          <w:b/>
        </w:rPr>
        <w:t xml:space="preserve">I. Cualquier acto u </w:t>
      </w:r>
      <w:r w:rsidRPr="00D20A46">
        <w:rPr>
          <w:b/>
          <w:u w:val="single"/>
        </w:rPr>
        <w:t>omisión</w:t>
      </w:r>
      <w:r w:rsidRPr="00D20A46">
        <w:rPr>
          <w:b/>
        </w:rPr>
        <w:t xml:space="preserve"> que provoque la suspensión o deficiencia en la atención de las solicitudes de información;</w:t>
      </w:r>
    </w:p>
    <w:p w14:paraId="0C968E08" w14:textId="702031C9" w:rsidR="00FD12F4" w:rsidRPr="00D20A46" w:rsidRDefault="00FD12F4" w:rsidP="00B04C3E">
      <w:pPr>
        <w:pStyle w:val="Citas"/>
      </w:pPr>
      <w:r w:rsidRPr="00D20A46">
        <w:t>II. La falta de respuesta a las solicitudes de información en los plazos señalados en la normatividad aplicable;</w:t>
      </w:r>
    </w:p>
    <w:p w14:paraId="51A9FF4D" w14:textId="502299A2" w:rsidR="00FD12F4" w:rsidRPr="00D20A46" w:rsidRDefault="00FD12F4" w:rsidP="00B04C3E">
      <w:pPr>
        <w:pStyle w:val="Citas"/>
      </w:pPr>
      <w:r w:rsidRPr="00D20A46">
        <w:t>(…)</w:t>
      </w:r>
    </w:p>
    <w:p w14:paraId="1DD3F5C5" w14:textId="77777777" w:rsidR="008E02A9" w:rsidRDefault="008E02A9" w:rsidP="00B04C3E">
      <w:pPr>
        <w:pStyle w:val="Citas"/>
      </w:pPr>
      <w:r w:rsidRPr="00D20A46">
        <w:t>Artículo 223. El Instituto dará vista a la</w:t>
      </w:r>
      <w:r>
        <w:t xml:space="preserve"> Contraloría Interna y Órgano de Control y Vigilancia en términos de la Ley de Responsabilidades de los Servidores Públicos del Estado y Municipios, para que determine el grado de responsabilidad de quienes incumplan con las obligaciones de la presente Ley. </w:t>
      </w:r>
    </w:p>
    <w:p w14:paraId="72ED89B9" w14:textId="77777777" w:rsidR="008E02A9" w:rsidRDefault="008E02A9" w:rsidP="00B04C3E">
      <w:pPr>
        <w:pStyle w:val="Citas"/>
      </w:pPr>
      <w:r>
        <w:t xml:space="preserve">El Instituto emitirá las resoluciones que impongan sanciones para efectos de registro a la Secretaría de la Contraloría del Gobierno del Estado de México y a las instancias homólogas de los demás sujetos obligados. </w:t>
      </w:r>
    </w:p>
    <w:p w14:paraId="52E157E6" w14:textId="77777777" w:rsidR="008E02A9" w:rsidRDefault="008E02A9" w:rsidP="00B04C3E">
      <w:pPr>
        <w:pStyle w:val="Citas"/>
      </w:pPr>
      <w:r>
        <w:lastRenderedPageBreak/>
        <w:t xml:space="preserve">El Instituto, por acuerdo del Pleno podrá realizar un extrañamiento público al sujeto obligado que actualice alguna de las causas de responsabilidad administrativa, establecidas en esta Ley y en la Ley de Responsabilidades de los Servidores Públicos del Estado y Municipios, sin necesidad de que inicie el procedimiento administrativo disciplinario. </w:t>
      </w:r>
    </w:p>
    <w:p w14:paraId="7E25F69F" w14:textId="1DC96982" w:rsidR="008E02A9" w:rsidRDefault="008E02A9" w:rsidP="00B04C3E">
      <w:pPr>
        <w:pStyle w:val="Citas"/>
      </w:pPr>
      <w:r>
        <w:t>Las sanciones de carácter económico no podrán ser cubiertas con recursos públicos</w:t>
      </w:r>
    </w:p>
    <w:p w14:paraId="1352316F" w14:textId="3DCFB55C" w:rsidR="008E02A9" w:rsidRPr="008E02A9" w:rsidRDefault="008E02A9" w:rsidP="00B04C3E">
      <w:pPr>
        <w:pStyle w:val="Citas"/>
        <w:rPr>
          <w:b/>
          <w:bCs/>
        </w:rPr>
      </w:pPr>
      <w:r w:rsidRPr="008E02A9">
        <w:rPr>
          <w:b/>
          <w:bCs/>
          <w:u w:val="single"/>
        </w:rPr>
        <w:t>Las conductas a que se refiere este artículo serán sancionadas por el Instituto, de conformidad con lo previsto en la Ley de Responsabilidades de los Servidores Públicos del Estado de México y Municipios. En su caso, darán vista a la autoridad competente para que imponga o ejecute la sanción</w:t>
      </w:r>
      <w:r>
        <w:rPr>
          <w:b/>
          <w:bCs/>
          <w:u w:val="single"/>
        </w:rPr>
        <w:t xml:space="preserve">” </w:t>
      </w:r>
      <w:r>
        <w:rPr>
          <w:b/>
          <w:bCs/>
        </w:rPr>
        <w:t>(Sic)</w:t>
      </w:r>
    </w:p>
    <w:p w14:paraId="1B530D3B" w14:textId="77777777" w:rsidR="000169FC" w:rsidRDefault="000169FC" w:rsidP="0020641D">
      <w:pPr>
        <w:pStyle w:val="Citas"/>
        <w:rPr>
          <w:b/>
          <w:bCs/>
        </w:rPr>
      </w:pPr>
    </w:p>
    <w:p w14:paraId="5C51DA0A" w14:textId="1656CF15" w:rsidR="00B04C3E" w:rsidRPr="00D20A46" w:rsidRDefault="0020641D" w:rsidP="0020641D">
      <w:pPr>
        <w:pStyle w:val="Citas"/>
        <w:rPr>
          <w:b/>
          <w:bCs/>
        </w:rPr>
      </w:pPr>
      <w:r w:rsidRPr="0020641D">
        <w:rPr>
          <w:b/>
          <w:bCs/>
        </w:rPr>
        <w:t xml:space="preserve">REGLAMENTO INTERIOR DEL INSTITUTO DE TRANSPARENCIA, ACCESO A </w:t>
      </w:r>
      <w:r w:rsidRPr="00D20A46">
        <w:rPr>
          <w:b/>
          <w:bCs/>
        </w:rPr>
        <w:t>LA INFORMACIÓN PÚBLICA Y PROTECCIÓN DE DATOS PERSONALES DEL ESTADO DE MÉXICO Y MUNICIPIOS</w:t>
      </w:r>
    </w:p>
    <w:p w14:paraId="554D094F" w14:textId="2185DD18" w:rsidR="000169FC" w:rsidRPr="00D20A46" w:rsidRDefault="0020641D" w:rsidP="000169FC">
      <w:pPr>
        <w:pStyle w:val="Citas"/>
      </w:pPr>
      <w:r w:rsidRPr="00D20A46">
        <w:t>“</w:t>
      </w:r>
      <w:r w:rsidR="000169FC" w:rsidRPr="00D20A46">
        <w:t>Artículo 19. Corresponde a la Secretaría Técnica del Pleno ejercer las atribuciones siguientes:</w:t>
      </w:r>
    </w:p>
    <w:p w14:paraId="076B00EE" w14:textId="77777777" w:rsidR="000169FC" w:rsidRPr="00D20A46" w:rsidRDefault="000169FC" w:rsidP="000169FC">
      <w:pPr>
        <w:pStyle w:val="Citas"/>
      </w:pPr>
      <w:r w:rsidRPr="00D20A46">
        <w:t>(…)</w:t>
      </w:r>
    </w:p>
    <w:p w14:paraId="2F0F6D26" w14:textId="0992BEF2" w:rsidR="000169FC" w:rsidRPr="008A46EC" w:rsidRDefault="000169FC" w:rsidP="000169FC">
      <w:pPr>
        <w:pStyle w:val="Citas"/>
        <w:rPr>
          <w:rFonts w:eastAsia="MS Mincho"/>
          <w:b/>
          <w:bCs/>
          <w:sz w:val="24"/>
          <w:szCs w:val="24"/>
          <w:lang w:val="es-ES_tradnl"/>
        </w:rPr>
      </w:pPr>
      <w:r w:rsidRPr="00D20A46">
        <w:t xml:space="preserve">XXVII. Remitir al Órgano Interno de Control de los Sujetos Obligados o, en su caso, a la autoridad que corresponda, el expediente que contenga las presuntas infracciones </w:t>
      </w:r>
      <w:r w:rsidRPr="00D20A46">
        <w:lastRenderedPageBreak/>
        <w:t>cometidas en el marco de la Ley de Transparencia, para la promoción de responsabilidades y sanciones, así como dar seguimiento al resultado de los procedimientos instaurados;</w:t>
      </w:r>
    </w:p>
    <w:p w14:paraId="7F78B88E" w14:textId="3DAB0037" w:rsidR="000169FC" w:rsidRPr="000169FC" w:rsidRDefault="000169FC" w:rsidP="00B04C3E">
      <w:pPr>
        <w:pStyle w:val="Citas"/>
        <w:rPr>
          <w:lang w:val="es-ES_tradnl"/>
        </w:rPr>
      </w:pPr>
      <w:r>
        <w:rPr>
          <w:lang w:val="es-ES_tradnl"/>
        </w:rPr>
        <w:t>(…)</w:t>
      </w:r>
    </w:p>
    <w:p w14:paraId="01A6C70F" w14:textId="65EE3BCB" w:rsidR="00B04C3E" w:rsidRDefault="00DE43DD" w:rsidP="00B04C3E">
      <w:pPr>
        <w:pStyle w:val="Citas"/>
      </w:pPr>
      <w:r>
        <w:t>Artículo 27. El Órgano Interno de Control ejercerá las atribuciones siguientes y se auxiliará de conformidad con la estructura de una autoridad investigadora, y una substanciadora y resolutora:</w:t>
      </w:r>
    </w:p>
    <w:p w14:paraId="4976EF11" w14:textId="59EB57AC" w:rsidR="00DE43DD" w:rsidRDefault="00DE43DD" w:rsidP="00B04C3E">
      <w:pPr>
        <w:pStyle w:val="Citas"/>
      </w:pPr>
      <w:r>
        <w:t>(…)</w:t>
      </w:r>
    </w:p>
    <w:p w14:paraId="7A673CD5" w14:textId="2C159815" w:rsidR="00DE43DD" w:rsidRPr="0020641D" w:rsidRDefault="00DE43DD" w:rsidP="00B04C3E">
      <w:pPr>
        <w:pStyle w:val="Citas"/>
        <w:rPr>
          <w:b/>
          <w:bCs/>
        </w:rPr>
      </w:pPr>
      <w:r>
        <w:t>XVI. Las demás que señale este Reglamento, las disposiciones legales y administrativas aplicables</w:t>
      </w:r>
      <w:r w:rsidR="0020641D">
        <w:t xml:space="preserve">” </w:t>
      </w:r>
      <w:r w:rsidR="0020641D">
        <w:rPr>
          <w:b/>
          <w:bCs/>
        </w:rPr>
        <w:t>(Sic)</w:t>
      </w:r>
    </w:p>
    <w:p w14:paraId="20A79200" w14:textId="77777777" w:rsidR="0020641D" w:rsidRDefault="0020641D" w:rsidP="00B04C3E">
      <w:pPr>
        <w:pStyle w:val="Citas"/>
      </w:pPr>
    </w:p>
    <w:p w14:paraId="63DC2312" w14:textId="03BC04A9" w:rsidR="00DE43DD" w:rsidRPr="0020641D" w:rsidRDefault="0020641D" w:rsidP="0020641D">
      <w:pPr>
        <w:pStyle w:val="Citas"/>
        <w:ind w:left="0" w:right="-18"/>
        <w:rPr>
          <w:i w:val="0"/>
          <w:iCs/>
          <w:sz w:val="24"/>
          <w:szCs w:val="24"/>
        </w:rPr>
      </w:pPr>
      <w:r>
        <w:rPr>
          <w:i w:val="0"/>
          <w:iCs/>
          <w:sz w:val="24"/>
          <w:szCs w:val="24"/>
        </w:rPr>
        <w:t xml:space="preserve">De ahí que deba arribarse a la premisa de que la Unidad de Transparencia tiene competencia para ejecutar numerosas acciones para garantizar el derecho de acceso a la información tales como recibir, tramitar y dar respuesta a las solicitudes de información; realizar el turno de solicitudes de información a las unidades administrativas estimadas competentes; hacer entrega de la información; entre otras. </w:t>
      </w:r>
    </w:p>
    <w:p w14:paraId="30211A49" w14:textId="03610A3C" w:rsidR="008175A7" w:rsidRPr="00D20A46" w:rsidRDefault="0020641D" w:rsidP="00827658">
      <w:pPr>
        <w:pStyle w:val="Sinespaciado"/>
        <w:spacing w:line="360" w:lineRule="auto"/>
        <w:jc w:val="both"/>
        <w:rPr>
          <w:rFonts w:ascii="Palatino Linotype" w:hAnsi="Palatino Linotype"/>
        </w:rPr>
      </w:pPr>
      <w:r>
        <w:rPr>
          <w:rFonts w:ascii="Palatino Linotype" w:hAnsi="Palatino Linotype"/>
        </w:rPr>
        <w:t xml:space="preserve">En contraste, el Órgano Interno de Control da cuenta de manera enunciativa más no limitativa en materia de auditorías; procesos de entrega-recepción; inconformidades; responsabilidades administrativas; así </w:t>
      </w:r>
      <w:r w:rsidRPr="00D20A46">
        <w:rPr>
          <w:rFonts w:ascii="Palatino Linotype" w:hAnsi="Palatino Linotype"/>
        </w:rPr>
        <w:t xml:space="preserve">como otras. </w:t>
      </w:r>
      <w:r w:rsidR="008E02A9" w:rsidRPr="00D20A46">
        <w:rPr>
          <w:rFonts w:ascii="Palatino Linotype" w:hAnsi="Palatino Linotype"/>
        </w:rPr>
        <w:t xml:space="preserve">Precisando </w:t>
      </w:r>
      <w:r w:rsidR="00C6786D" w:rsidRPr="00D20A46">
        <w:rPr>
          <w:rFonts w:ascii="Palatino Linotype" w:hAnsi="Palatino Linotype"/>
        </w:rPr>
        <w:t xml:space="preserve">que </w:t>
      </w:r>
      <w:r w:rsidR="008175A7" w:rsidRPr="00D20A46">
        <w:rPr>
          <w:rFonts w:ascii="Palatino Linotype" w:hAnsi="Palatino Linotype"/>
        </w:rPr>
        <w:t xml:space="preserve">la falta de respuesta a las solicitudes de acceso a la información en los plazos previstos en la norma, se </w:t>
      </w:r>
      <w:r w:rsidR="008175A7" w:rsidRPr="00D20A46">
        <w:rPr>
          <w:rFonts w:ascii="Palatino Linotype" w:hAnsi="Palatino Linotype"/>
        </w:rPr>
        <w:lastRenderedPageBreak/>
        <w:t>traducen en una violación directa al derecho de acceso a la información</w:t>
      </w:r>
      <w:r w:rsidR="000169FC" w:rsidRPr="00D20A46">
        <w:rPr>
          <w:rFonts w:ascii="Palatino Linotype" w:hAnsi="Palatino Linotype"/>
        </w:rPr>
        <w:t xml:space="preserve"> respecto de la cual tiene conocimiento a través de la Secretaría Técnica del Pleno</w:t>
      </w:r>
      <w:r w:rsidR="00B82FB3" w:rsidRPr="00D20A46">
        <w:rPr>
          <w:rFonts w:ascii="Palatino Linotype" w:hAnsi="Palatino Linotype"/>
        </w:rPr>
        <w:t xml:space="preserve">, de conformidad con el reglamento interior vigente. </w:t>
      </w:r>
    </w:p>
    <w:p w14:paraId="2883DD93" w14:textId="77777777" w:rsidR="008175A7" w:rsidRPr="00D20A46" w:rsidRDefault="008175A7" w:rsidP="00827658">
      <w:pPr>
        <w:pStyle w:val="Sinespaciado"/>
        <w:spacing w:line="360" w:lineRule="auto"/>
        <w:jc w:val="both"/>
        <w:rPr>
          <w:rFonts w:ascii="Palatino Linotype" w:hAnsi="Palatino Linotype"/>
        </w:rPr>
      </w:pPr>
    </w:p>
    <w:p w14:paraId="5FD3EDB5" w14:textId="4E5DBABD" w:rsidR="008175A7" w:rsidRPr="00D20A46" w:rsidRDefault="008175A7" w:rsidP="00827658">
      <w:pPr>
        <w:pStyle w:val="Sinespaciado"/>
        <w:spacing w:line="360" w:lineRule="auto"/>
        <w:jc w:val="both"/>
        <w:rPr>
          <w:rFonts w:ascii="Palatino Linotype" w:hAnsi="Palatino Linotype" w:cs="Arial"/>
        </w:rPr>
      </w:pPr>
      <w:r w:rsidRPr="00D20A46">
        <w:rPr>
          <w:rFonts w:ascii="Palatino Linotype" w:hAnsi="Palatino Linotype"/>
        </w:rPr>
        <w:t xml:space="preserve">Asimismo, para vencer la </w:t>
      </w:r>
      <w:r w:rsidRPr="00D20A46">
        <w:rPr>
          <w:rFonts w:ascii="Palatino Linotype" w:hAnsi="Palatino Linotype" w:cs="Arial"/>
        </w:rPr>
        <w:t xml:space="preserve">contumacia de los sujetos obligados y asegurar el cumplimiento de las determinaciones de los recursos de revisión, la esfera competencia de la Contraloría Interna y Órgano de Control y Vigilancia le faculta para imponer diversas medidas de apremio tales como apercibimiento, amonestación o multas, éstas últimas haciéndose efectivas por disposición legal ante la Secretaría de Finanzas del Gobierno del Estado de México, precisando que los recursos recaudados por concepto de multas serán canalizados al Órgano garante.  </w:t>
      </w:r>
    </w:p>
    <w:p w14:paraId="29B1D9D5" w14:textId="77777777" w:rsidR="000169FC" w:rsidRPr="00D20A46" w:rsidRDefault="000169FC" w:rsidP="00827658">
      <w:pPr>
        <w:pStyle w:val="Sinespaciado"/>
        <w:spacing w:line="360" w:lineRule="auto"/>
        <w:jc w:val="both"/>
        <w:rPr>
          <w:rFonts w:ascii="Palatino Linotype" w:hAnsi="Palatino Linotype" w:cs="Arial"/>
        </w:rPr>
      </w:pPr>
    </w:p>
    <w:p w14:paraId="0D8F4920" w14:textId="6C5E92C4" w:rsidR="000169FC" w:rsidRPr="00D20A46" w:rsidRDefault="000169FC" w:rsidP="00827658">
      <w:pPr>
        <w:pStyle w:val="Sinespaciado"/>
        <w:spacing w:line="360" w:lineRule="auto"/>
        <w:jc w:val="both"/>
        <w:rPr>
          <w:rFonts w:ascii="Palatino Linotype" w:hAnsi="Palatino Linotype"/>
        </w:rPr>
      </w:pPr>
      <w:r w:rsidRPr="00D20A46">
        <w:rPr>
          <w:rFonts w:ascii="Palatino Linotype" w:hAnsi="Palatino Linotype" w:cs="Arial"/>
        </w:rPr>
        <w:t xml:space="preserve">Adicionalmente, si a pesar de la ejecución de medidas de apremio no se cumple con la determinación, el Órgano Interno de Control podrá requerir el cumplimiento al superior jerárquico del servidor público habilitado competente. Finalmente, los órganos internos de control deberán informar al instituto el resultado de procedimientos que se finquen a los servidores públicos, una vez que hubieran quedado firmes las resoluciones. </w:t>
      </w:r>
    </w:p>
    <w:p w14:paraId="70AF03DA" w14:textId="77777777" w:rsidR="008175A7" w:rsidRPr="00D20A46" w:rsidRDefault="008175A7" w:rsidP="00827658">
      <w:pPr>
        <w:pStyle w:val="Sinespaciado"/>
        <w:spacing w:line="360" w:lineRule="auto"/>
        <w:jc w:val="both"/>
        <w:rPr>
          <w:rFonts w:ascii="Palatino Linotype" w:hAnsi="Palatino Linotype"/>
        </w:rPr>
      </w:pPr>
    </w:p>
    <w:p w14:paraId="39EBC35F" w14:textId="50B47E6B" w:rsidR="005B577C" w:rsidRDefault="005B577C" w:rsidP="005B577C">
      <w:pPr>
        <w:spacing w:line="360" w:lineRule="auto"/>
        <w:jc w:val="both"/>
        <w:rPr>
          <w:rFonts w:ascii="Palatino Linotype" w:hAnsi="Palatino Linotype" w:cs="Arial"/>
          <w:sz w:val="24"/>
          <w:szCs w:val="24"/>
        </w:rPr>
      </w:pPr>
      <w:r w:rsidRPr="00D20A46">
        <w:rPr>
          <w:rFonts w:ascii="Palatino Linotype" w:hAnsi="Palatino Linotype" w:cs="Arial"/>
          <w:sz w:val="24"/>
          <w:szCs w:val="24"/>
        </w:rPr>
        <w:t>Bajo este contexto, en términos de los numerales 18 y 19 de la Ley de Transparencia local existe obligación de documentar actos de autoridad, así como una presunción</w:t>
      </w:r>
      <w:r>
        <w:rPr>
          <w:rFonts w:ascii="Palatino Linotype" w:hAnsi="Palatino Linotype" w:cs="Arial"/>
          <w:sz w:val="24"/>
          <w:szCs w:val="24"/>
        </w:rPr>
        <w:t xml:space="preserve"> de </w:t>
      </w:r>
      <w:r>
        <w:rPr>
          <w:rFonts w:ascii="Palatino Linotype" w:hAnsi="Palatino Linotype" w:cs="Arial"/>
          <w:sz w:val="24"/>
          <w:szCs w:val="24"/>
        </w:rPr>
        <w:lastRenderedPageBreak/>
        <w:t xml:space="preserve">existencia de la información cuando se refiera a las atribuciones de los sujetos obligados, porciones normativas que disponen a la literalidad lo siguiente: </w:t>
      </w:r>
    </w:p>
    <w:p w14:paraId="24B2D96C" w14:textId="77777777" w:rsidR="005B577C" w:rsidRDefault="005B577C" w:rsidP="005B577C">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7C4BC9C4" w14:textId="77777777" w:rsidR="005B577C" w:rsidRDefault="005B577C" w:rsidP="005B577C">
      <w:pPr>
        <w:pStyle w:val="Citas"/>
      </w:pPr>
      <w:r>
        <w:t xml:space="preserve">Artículo 19. Se presume que la información debe existir si se refiere a las facultades, competencias y funciones que los ordenamientos jurídicos aplicables otorgan a los sujetos obligados. </w:t>
      </w:r>
    </w:p>
    <w:p w14:paraId="028853A0" w14:textId="77777777" w:rsidR="005B577C" w:rsidRDefault="005B577C" w:rsidP="005B577C">
      <w:pPr>
        <w:pStyle w:val="Citas"/>
      </w:pPr>
      <w:r>
        <w:t xml:space="preserve">En los casos en que ciertas facultades, competencias o funciones no se hayan ejercido, se debe motivar la respuesta en función de las causas que motiven tal circunstancia. </w:t>
      </w:r>
    </w:p>
    <w:p w14:paraId="42FCD87F" w14:textId="77777777" w:rsidR="005B577C" w:rsidRPr="00407C65" w:rsidRDefault="005B577C" w:rsidP="005B577C">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1BA61900" w14:textId="2CBBAB7B" w:rsidR="005B577C" w:rsidRDefault="005B577C" w:rsidP="005B577C">
      <w:pPr>
        <w:pStyle w:val="Citas"/>
        <w:ind w:left="0" w:right="72"/>
        <w:rPr>
          <w:i w:val="0"/>
          <w:sz w:val="24"/>
          <w:szCs w:val="24"/>
        </w:rPr>
      </w:pPr>
    </w:p>
    <w:p w14:paraId="1527C043" w14:textId="625CBAFA" w:rsidR="000169FC" w:rsidRPr="00D20A46" w:rsidRDefault="000169FC" w:rsidP="005B577C">
      <w:pPr>
        <w:pStyle w:val="Citas"/>
        <w:ind w:left="0" w:right="72"/>
        <w:rPr>
          <w:i w:val="0"/>
          <w:sz w:val="24"/>
          <w:szCs w:val="24"/>
        </w:rPr>
      </w:pPr>
      <w:r w:rsidRPr="00D20A46">
        <w:rPr>
          <w:i w:val="0"/>
          <w:sz w:val="24"/>
          <w:szCs w:val="24"/>
        </w:rPr>
        <w:t xml:space="preserve">Bajo este contexto, si bien es cierto que la información requerida es susceptible de ser generada, poseída y administrada por </w:t>
      </w:r>
      <w:r w:rsidRPr="00D20A46">
        <w:rPr>
          <w:b/>
          <w:bCs/>
          <w:i w:val="0"/>
          <w:sz w:val="24"/>
          <w:szCs w:val="24"/>
        </w:rPr>
        <w:t xml:space="preserve">El Sujeto Obligado, </w:t>
      </w:r>
      <w:r w:rsidRPr="00D20A46">
        <w:rPr>
          <w:i w:val="0"/>
          <w:sz w:val="24"/>
          <w:szCs w:val="24"/>
        </w:rPr>
        <w:t xml:space="preserve">lo cierto también es que el requerimiento identificado con el numeral 3 -tres- se trata de una cuestión accesoria </w:t>
      </w:r>
      <w:r w:rsidR="00B82FB3" w:rsidRPr="00D20A46">
        <w:rPr>
          <w:i w:val="0"/>
          <w:sz w:val="24"/>
          <w:szCs w:val="24"/>
        </w:rPr>
        <w:t>que se encuentra sujeta a un complejo</w:t>
      </w:r>
      <w:r w:rsidRPr="00D20A46">
        <w:rPr>
          <w:i w:val="0"/>
          <w:sz w:val="24"/>
          <w:szCs w:val="24"/>
        </w:rPr>
        <w:t xml:space="preserve"> entramado de factores tales como falta de </w:t>
      </w:r>
      <w:r w:rsidRPr="00D20A46">
        <w:rPr>
          <w:i w:val="0"/>
          <w:sz w:val="24"/>
          <w:szCs w:val="24"/>
        </w:rPr>
        <w:lastRenderedPageBreak/>
        <w:t>respuesta, imposición de medidas de apremio, contumacia, requerimiento a</w:t>
      </w:r>
      <w:r w:rsidR="00B82FB3" w:rsidRPr="00D20A46">
        <w:rPr>
          <w:i w:val="0"/>
          <w:sz w:val="24"/>
          <w:szCs w:val="24"/>
        </w:rPr>
        <w:t>l</w:t>
      </w:r>
      <w:r w:rsidRPr="00D20A46">
        <w:rPr>
          <w:i w:val="0"/>
          <w:sz w:val="24"/>
          <w:szCs w:val="24"/>
        </w:rPr>
        <w:t xml:space="preserve"> superior jerárquico e incluso </w:t>
      </w:r>
      <w:r w:rsidR="00B82FB3" w:rsidRPr="00D20A46">
        <w:rPr>
          <w:i w:val="0"/>
          <w:sz w:val="24"/>
          <w:szCs w:val="24"/>
        </w:rPr>
        <w:t xml:space="preserve">el desahogo de un </w:t>
      </w:r>
      <w:r w:rsidRPr="00D20A46">
        <w:rPr>
          <w:i w:val="0"/>
          <w:sz w:val="24"/>
          <w:szCs w:val="24"/>
        </w:rPr>
        <w:t xml:space="preserve">procedimiento de responsabilidades.  </w:t>
      </w:r>
    </w:p>
    <w:p w14:paraId="1E7D2C3E" w14:textId="56C6A5CA" w:rsidR="0020641D" w:rsidRDefault="00827658" w:rsidP="00827658">
      <w:pPr>
        <w:spacing w:before="240" w:line="360" w:lineRule="auto"/>
        <w:jc w:val="both"/>
        <w:rPr>
          <w:rFonts w:ascii="Palatino Linotype" w:hAnsi="Palatino Linotype"/>
          <w:sz w:val="24"/>
          <w:szCs w:val="24"/>
        </w:rPr>
      </w:pPr>
      <w:r w:rsidRPr="00D20A46">
        <w:rPr>
          <w:rFonts w:ascii="Palatino Linotype" w:hAnsi="Palatino Linotype"/>
          <w:sz w:val="24"/>
          <w:szCs w:val="24"/>
        </w:rPr>
        <w:t xml:space="preserve">Una vez sentado lo anterior, como se mencionó en el antecedente segundo, </w:t>
      </w:r>
      <w:r w:rsidRPr="00D20A46">
        <w:rPr>
          <w:rFonts w:ascii="Palatino Linotype" w:hAnsi="Palatino Linotype"/>
          <w:b/>
          <w:sz w:val="24"/>
          <w:szCs w:val="24"/>
        </w:rPr>
        <w:t xml:space="preserve">El  Sujeto Obligado </w:t>
      </w:r>
      <w:r w:rsidRPr="00D20A46">
        <w:rPr>
          <w:rFonts w:ascii="Palatino Linotype" w:hAnsi="Palatino Linotype"/>
          <w:sz w:val="24"/>
          <w:szCs w:val="24"/>
        </w:rPr>
        <w:t xml:space="preserve">en fecha </w:t>
      </w:r>
      <w:r w:rsidR="0020641D" w:rsidRPr="00D20A46">
        <w:rPr>
          <w:rFonts w:ascii="Palatino Linotype" w:hAnsi="Palatino Linotype"/>
          <w:b/>
          <w:bCs/>
          <w:sz w:val="24"/>
          <w:szCs w:val="24"/>
        </w:rPr>
        <w:t>veintisiete de marzo de dos mil</w:t>
      </w:r>
      <w:r w:rsidR="0020641D">
        <w:rPr>
          <w:rFonts w:ascii="Palatino Linotype" w:hAnsi="Palatino Linotype"/>
          <w:b/>
          <w:bCs/>
          <w:sz w:val="24"/>
          <w:szCs w:val="24"/>
        </w:rPr>
        <w:t xml:space="preserve"> veintitrés, </w:t>
      </w:r>
      <w:r w:rsidR="0020641D">
        <w:rPr>
          <w:rFonts w:ascii="Palatino Linotype" w:hAnsi="Palatino Linotype"/>
          <w:sz w:val="24"/>
          <w:szCs w:val="24"/>
        </w:rPr>
        <w:t xml:space="preserve">rindió su respuesta a la solicitud de información formulada por el particular, </w:t>
      </w:r>
      <w:r w:rsidR="0007758C">
        <w:rPr>
          <w:rFonts w:ascii="Palatino Linotype" w:hAnsi="Palatino Linotype"/>
          <w:sz w:val="24"/>
          <w:szCs w:val="24"/>
        </w:rPr>
        <w:t>adjuntando para tal efecto lo siguiente:</w:t>
      </w:r>
    </w:p>
    <w:p w14:paraId="26D82FFB" w14:textId="4B3B9766" w:rsidR="001D1F37" w:rsidRPr="001D1F37" w:rsidRDefault="0007758C" w:rsidP="0007758C">
      <w:pPr>
        <w:pStyle w:val="Prrafodelista"/>
        <w:numPr>
          <w:ilvl w:val="0"/>
          <w:numId w:val="12"/>
        </w:numPr>
        <w:spacing w:before="240" w:line="360" w:lineRule="auto"/>
        <w:jc w:val="both"/>
        <w:rPr>
          <w:rFonts w:ascii="Palatino Linotype" w:hAnsi="Palatino Linotype"/>
        </w:rPr>
      </w:pPr>
      <w:r w:rsidRPr="0007758C">
        <w:rPr>
          <w:rFonts w:ascii="Palatino Linotype" w:hAnsi="Palatino Linotype" w:cs="Arial"/>
          <w:b/>
          <w:bCs/>
        </w:rPr>
        <w:t>“RespuestaSolicitud00237UT2023.pdf”</w:t>
      </w:r>
      <w:r w:rsidR="001D1F37">
        <w:rPr>
          <w:rFonts w:ascii="Palatino Linotype" w:hAnsi="Palatino Linotype" w:cs="Arial"/>
          <w:b/>
          <w:bCs/>
        </w:rPr>
        <w:t xml:space="preserve">: </w:t>
      </w:r>
      <w:r w:rsidR="001D1F37">
        <w:rPr>
          <w:rFonts w:ascii="Palatino Linotype" w:hAnsi="Palatino Linotype" w:cs="Arial"/>
        </w:rPr>
        <w:t xml:space="preserve">Oficio número </w:t>
      </w:r>
      <w:r w:rsidR="001D1F37">
        <w:rPr>
          <w:rFonts w:ascii="Palatino Linotype" w:hAnsi="Palatino Linotype" w:cs="Arial"/>
          <w:b/>
          <w:bCs/>
        </w:rPr>
        <w:t xml:space="preserve">INFOEM/UT/200/2023 </w:t>
      </w:r>
      <w:r w:rsidR="001D1F37">
        <w:rPr>
          <w:rFonts w:ascii="Palatino Linotype" w:hAnsi="Palatino Linotype" w:cs="Arial"/>
        </w:rPr>
        <w:t xml:space="preserve">signado por el Titular de la Unidad de Transparencia y dirigido al solicitante de información, de fecha veintisiete de febrero de dos mil veintitrés, en </w:t>
      </w:r>
      <w:r w:rsidR="00C6786D">
        <w:rPr>
          <w:rFonts w:ascii="Palatino Linotype" w:hAnsi="Palatino Linotype" w:cs="Arial"/>
        </w:rPr>
        <w:t>síntesis,</w:t>
      </w:r>
      <w:r w:rsidR="001D1F37">
        <w:rPr>
          <w:rFonts w:ascii="Palatino Linotype" w:hAnsi="Palatino Linotype" w:cs="Arial"/>
        </w:rPr>
        <w:t xml:space="preserve"> expone lo siguiente:</w:t>
      </w:r>
    </w:p>
    <w:p w14:paraId="12477FD2" w14:textId="1F874656" w:rsidR="001D1F37" w:rsidRDefault="001D1F37" w:rsidP="001D1F37">
      <w:pPr>
        <w:pStyle w:val="Prrafodelista"/>
        <w:numPr>
          <w:ilvl w:val="0"/>
          <w:numId w:val="13"/>
        </w:numPr>
        <w:spacing w:before="240" w:line="360" w:lineRule="auto"/>
        <w:jc w:val="both"/>
        <w:rPr>
          <w:rFonts w:ascii="Palatino Linotype" w:hAnsi="Palatino Linotype"/>
        </w:rPr>
      </w:pPr>
      <w:r>
        <w:rPr>
          <w:rFonts w:ascii="Palatino Linotype" w:hAnsi="Palatino Linotype"/>
        </w:rPr>
        <w:t xml:space="preserve">Que en referencia al requerimiento </w:t>
      </w:r>
      <w:r>
        <w:rPr>
          <w:rFonts w:ascii="Palatino Linotype" w:hAnsi="Palatino Linotype"/>
          <w:b/>
          <w:bCs/>
        </w:rPr>
        <w:t xml:space="preserve">1 -uno- (plazo para dar respuesta a solicitudes de información), </w:t>
      </w:r>
      <w:r>
        <w:rPr>
          <w:rFonts w:ascii="Palatino Linotype" w:hAnsi="Palatino Linotype"/>
        </w:rPr>
        <w:t xml:space="preserve">el numeral 163 de la Ley de Transparencia local dispone que las Unidades de Transparencia deberán notificar la respuesta en el menor tiempo posible, y que este no podrá exceder de 15 -quince- días hábiles, y que este plazo puede ampliarse hasta por 7 -siete- días hábiles más siempre y cuando existan razones fundadas y motivadas, el cual deberá de ser aprobado por el Comité de Transparencia. </w:t>
      </w:r>
    </w:p>
    <w:p w14:paraId="23E29F87" w14:textId="670C1DF3" w:rsidR="001D1F37" w:rsidRDefault="001D1F37" w:rsidP="001D1F37">
      <w:pPr>
        <w:pStyle w:val="Prrafodelista"/>
        <w:numPr>
          <w:ilvl w:val="0"/>
          <w:numId w:val="13"/>
        </w:numPr>
        <w:spacing w:before="240" w:line="360" w:lineRule="auto"/>
        <w:jc w:val="both"/>
        <w:rPr>
          <w:rFonts w:ascii="Palatino Linotype" w:hAnsi="Palatino Linotype"/>
        </w:rPr>
      </w:pPr>
      <w:r>
        <w:rPr>
          <w:rFonts w:ascii="Palatino Linotype" w:hAnsi="Palatino Linotype"/>
        </w:rPr>
        <w:t xml:space="preserve">Que en alusión al requerimiento </w:t>
      </w:r>
      <w:r>
        <w:rPr>
          <w:rFonts w:ascii="Palatino Linotype" w:hAnsi="Palatino Linotype"/>
          <w:b/>
          <w:bCs/>
        </w:rPr>
        <w:t xml:space="preserve">2 -dos- (sanciones por falta de respuesta), </w:t>
      </w:r>
      <w:r>
        <w:rPr>
          <w:rFonts w:ascii="Palatino Linotype" w:hAnsi="Palatino Linotype"/>
        </w:rPr>
        <w:t xml:space="preserve">el artículo 222 de la Ley de Transparencia del Estado de </w:t>
      </w:r>
      <w:r>
        <w:rPr>
          <w:rFonts w:ascii="Palatino Linotype" w:hAnsi="Palatino Linotype"/>
        </w:rPr>
        <w:lastRenderedPageBreak/>
        <w:t xml:space="preserve">México señala las causas de responsabilidad administrativa de los servidores públicos, precisando que la fracción segunda engloba la falta de respuesta a solicitudes de información en los </w:t>
      </w:r>
      <w:r w:rsidR="00CE13E2">
        <w:rPr>
          <w:rFonts w:ascii="Palatino Linotype" w:hAnsi="Palatino Linotype"/>
        </w:rPr>
        <w:t>plazos señalados</w:t>
      </w:r>
      <w:r w:rsidR="00D77FBD">
        <w:rPr>
          <w:rFonts w:ascii="Palatino Linotype" w:hAnsi="Palatino Linotype"/>
        </w:rPr>
        <w:t xml:space="preserve">. </w:t>
      </w:r>
    </w:p>
    <w:p w14:paraId="65AE411C" w14:textId="00A7D59A" w:rsidR="00CE13E2" w:rsidRDefault="00CE13E2" w:rsidP="001D1F37">
      <w:pPr>
        <w:pStyle w:val="Prrafodelista"/>
        <w:numPr>
          <w:ilvl w:val="0"/>
          <w:numId w:val="13"/>
        </w:numPr>
        <w:spacing w:before="240" w:line="360" w:lineRule="auto"/>
        <w:jc w:val="both"/>
        <w:rPr>
          <w:rFonts w:ascii="Palatino Linotype" w:hAnsi="Palatino Linotype"/>
        </w:rPr>
      </w:pPr>
      <w:r>
        <w:rPr>
          <w:rFonts w:ascii="Palatino Linotype" w:hAnsi="Palatino Linotype"/>
        </w:rPr>
        <w:t xml:space="preserve">Que en referencia al requerimiento </w:t>
      </w:r>
      <w:r>
        <w:rPr>
          <w:rFonts w:ascii="Palatino Linotype" w:hAnsi="Palatino Linotype"/>
          <w:b/>
          <w:bCs/>
        </w:rPr>
        <w:t xml:space="preserve">3 -tres- (sujetos obligados sancionados), </w:t>
      </w:r>
      <w:r>
        <w:rPr>
          <w:rFonts w:ascii="Palatino Linotype" w:hAnsi="Palatino Linotype"/>
        </w:rPr>
        <w:t xml:space="preserve">adjunta oficio emitido por el titular del órgano interno de control. </w:t>
      </w:r>
    </w:p>
    <w:p w14:paraId="1A14AF9C" w14:textId="77777777" w:rsidR="00CE13E2" w:rsidRPr="001D1F37" w:rsidRDefault="00CE13E2" w:rsidP="00CE13E2">
      <w:pPr>
        <w:pStyle w:val="Prrafodelista"/>
        <w:spacing w:before="240" w:line="360" w:lineRule="auto"/>
        <w:ind w:left="1440"/>
        <w:jc w:val="both"/>
        <w:rPr>
          <w:rFonts w:ascii="Palatino Linotype" w:hAnsi="Palatino Linotype"/>
        </w:rPr>
      </w:pPr>
    </w:p>
    <w:p w14:paraId="147E404B" w14:textId="7ED503D4" w:rsidR="0007758C" w:rsidRPr="00CE13E2" w:rsidRDefault="0007758C" w:rsidP="0007758C">
      <w:pPr>
        <w:pStyle w:val="Prrafodelista"/>
        <w:numPr>
          <w:ilvl w:val="0"/>
          <w:numId w:val="12"/>
        </w:numPr>
        <w:spacing w:before="240" w:line="360" w:lineRule="auto"/>
        <w:jc w:val="both"/>
        <w:rPr>
          <w:rFonts w:ascii="Palatino Linotype" w:hAnsi="Palatino Linotype"/>
        </w:rPr>
      </w:pPr>
      <w:r w:rsidRPr="0007758C">
        <w:rPr>
          <w:rFonts w:ascii="Palatino Linotype" w:hAnsi="Palatino Linotype" w:cs="Arial"/>
          <w:b/>
          <w:bCs/>
        </w:rPr>
        <w:t>“RespuestaResumen00237.pdf”</w:t>
      </w:r>
      <w:r w:rsidR="00CE13E2">
        <w:rPr>
          <w:rFonts w:ascii="Palatino Linotype" w:hAnsi="Palatino Linotype" w:cs="Arial"/>
          <w:b/>
          <w:bCs/>
        </w:rPr>
        <w:t xml:space="preserve">: </w:t>
      </w:r>
      <w:r w:rsidR="00CE13E2">
        <w:rPr>
          <w:rFonts w:ascii="Palatino Linotype" w:hAnsi="Palatino Linotype" w:cs="Arial"/>
        </w:rPr>
        <w:t>Resumen de respuesta a la solicitud de acceso a la información, resulta de nuestro interés la siguiente imagen ilustrativa:</w:t>
      </w:r>
    </w:p>
    <w:p w14:paraId="3651F367" w14:textId="4B45ECAD" w:rsidR="00CE13E2" w:rsidRDefault="00C6786D" w:rsidP="00CE13E2">
      <w:pPr>
        <w:pStyle w:val="Prrafodelista"/>
        <w:spacing w:before="240" w:line="360" w:lineRule="auto"/>
        <w:ind w:left="720"/>
        <w:jc w:val="both"/>
        <w:rPr>
          <w:rFonts w:ascii="Palatino Linotype" w:hAnsi="Palatino Linotype"/>
        </w:rPr>
      </w:pPr>
      <w:r>
        <w:rPr>
          <w:rFonts w:ascii="Palatino Linotype" w:hAnsi="Palatino Linotype"/>
          <w:noProof/>
          <w:lang w:val="es-MX" w:eastAsia="es-MX"/>
        </w:rPr>
        <w:drawing>
          <wp:anchor distT="0" distB="0" distL="114300" distR="114300" simplePos="0" relativeHeight="251682816" behindDoc="0" locked="0" layoutInCell="1" allowOverlap="1" wp14:anchorId="308FBEE9" wp14:editId="1816DB06">
            <wp:simplePos x="0" y="0"/>
            <wp:positionH relativeFrom="column">
              <wp:posOffset>1506855</wp:posOffset>
            </wp:positionH>
            <wp:positionV relativeFrom="paragraph">
              <wp:posOffset>230904</wp:posOffset>
            </wp:positionV>
            <wp:extent cx="3016885" cy="2900680"/>
            <wp:effectExtent l="0" t="0" r="0" b="0"/>
            <wp:wrapThrough wrapText="bothSides">
              <wp:wrapPolygon edited="0">
                <wp:start x="0" y="0"/>
                <wp:lineTo x="0" y="21420"/>
                <wp:lineTo x="21414" y="21420"/>
                <wp:lineTo x="21414" y="0"/>
                <wp:lineTo x="0" y="0"/>
              </wp:wrapPolygon>
            </wp:wrapThrough>
            <wp:docPr id="1521416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6885" cy="2900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1488C8" w14:textId="6CA0E68E" w:rsidR="00CE13E2" w:rsidRDefault="00CE13E2" w:rsidP="00CE13E2">
      <w:pPr>
        <w:pStyle w:val="Prrafodelista"/>
        <w:spacing w:before="240" w:line="360" w:lineRule="auto"/>
        <w:ind w:left="720"/>
        <w:jc w:val="both"/>
        <w:rPr>
          <w:rFonts w:ascii="Palatino Linotype" w:hAnsi="Palatino Linotype"/>
        </w:rPr>
      </w:pPr>
    </w:p>
    <w:p w14:paraId="441B5887" w14:textId="485A4CED" w:rsidR="00CE13E2" w:rsidRDefault="00CE13E2" w:rsidP="00CE13E2">
      <w:pPr>
        <w:pStyle w:val="Prrafodelista"/>
        <w:spacing w:before="240" w:line="360" w:lineRule="auto"/>
        <w:ind w:left="720"/>
        <w:jc w:val="both"/>
        <w:rPr>
          <w:rFonts w:ascii="Palatino Linotype" w:hAnsi="Palatino Linotype"/>
        </w:rPr>
      </w:pPr>
    </w:p>
    <w:p w14:paraId="70DCD414" w14:textId="77777777" w:rsidR="007D63A7" w:rsidRDefault="007D63A7" w:rsidP="00CE13E2">
      <w:pPr>
        <w:pStyle w:val="Prrafodelista"/>
        <w:spacing w:before="240" w:line="360" w:lineRule="auto"/>
        <w:ind w:left="720"/>
        <w:jc w:val="both"/>
        <w:rPr>
          <w:rFonts w:ascii="Palatino Linotype" w:hAnsi="Palatino Linotype"/>
        </w:rPr>
      </w:pPr>
    </w:p>
    <w:p w14:paraId="32F81564" w14:textId="77777777" w:rsidR="007D63A7" w:rsidRDefault="007D63A7" w:rsidP="00CE13E2">
      <w:pPr>
        <w:pStyle w:val="Prrafodelista"/>
        <w:spacing w:before="240" w:line="360" w:lineRule="auto"/>
        <w:ind w:left="720"/>
        <w:jc w:val="both"/>
        <w:rPr>
          <w:rFonts w:ascii="Palatino Linotype" w:hAnsi="Palatino Linotype"/>
        </w:rPr>
      </w:pPr>
    </w:p>
    <w:p w14:paraId="6A99FCAF" w14:textId="77777777" w:rsidR="007D63A7" w:rsidRDefault="007D63A7" w:rsidP="00CE13E2">
      <w:pPr>
        <w:pStyle w:val="Prrafodelista"/>
        <w:spacing w:before="240" w:line="360" w:lineRule="auto"/>
        <w:ind w:left="720"/>
        <w:jc w:val="both"/>
        <w:rPr>
          <w:rFonts w:ascii="Palatino Linotype" w:hAnsi="Palatino Linotype"/>
        </w:rPr>
      </w:pPr>
    </w:p>
    <w:p w14:paraId="2C6C67A9" w14:textId="77777777" w:rsidR="007D63A7" w:rsidRDefault="007D63A7" w:rsidP="00CE13E2">
      <w:pPr>
        <w:pStyle w:val="Prrafodelista"/>
        <w:spacing w:before="240" w:line="360" w:lineRule="auto"/>
        <w:ind w:left="720"/>
        <w:jc w:val="both"/>
        <w:rPr>
          <w:rFonts w:ascii="Palatino Linotype" w:hAnsi="Palatino Linotype"/>
        </w:rPr>
      </w:pPr>
    </w:p>
    <w:p w14:paraId="6559C100" w14:textId="77777777" w:rsidR="007D63A7" w:rsidRDefault="007D63A7" w:rsidP="00CE13E2">
      <w:pPr>
        <w:pStyle w:val="Prrafodelista"/>
        <w:spacing w:before="240" w:line="360" w:lineRule="auto"/>
        <w:ind w:left="720"/>
        <w:jc w:val="both"/>
        <w:rPr>
          <w:rFonts w:ascii="Palatino Linotype" w:hAnsi="Palatino Linotype"/>
        </w:rPr>
      </w:pPr>
    </w:p>
    <w:p w14:paraId="45CEA49F" w14:textId="57F0E293" w:rsidR="0007758C" w:rsidRPr="008E02A9" w:rsidRDefault="0007758C" w:rsidP="0007758C">
      <w:pPr>
        <w:pStyle w:val="Prrafodelista"/>
        <w:numPr>
          <w:ilvl w:val="0"/>
          <w:numId w:val="12"/>
        </w:numPr>
        <w:spacing w:before="240" w:line="360" w:lineRule="auto"/>
        <w:jc w:val="both"/>
        <w:rPr>
          <w:rFonts w:ascii="Palatino Linotype" w:hAnsi="Palatino Linotype"/>
        </w:rPr>
      </w:pPr>
      <w:r w:rsidRPr="0007758C">
        <w:rPr>
          <w:rFonts w:ascii="Palatino Linotype" w:hAnsi="Palatino Linotype" w:cs="Arial"/>
        </w:rPr>
        <w:lastRenderedPageBreak/>
        <w:t xml:space="preserve"> </w:t>
      </w:r>
      <w:r w:rsidRPr="0007758C">
        <w:rPr>
          <w:rFonts w:ascii="Palatino Linotype" w:hAnsi="Palatino Linotype" w:cs="Arial"/>
          <w:b/>
          <w:bCs/>
        </w:rPr>
        <w:t>“RespuestaSolicitud00237OIC.pdf”</w:t>
      </w:r>
      <w:r w:rsidR="007D63A7">
        <w:rPr>
          <w:rFonts w:ascii="Palatino Linotype" w:hAnsi="Palatino Linotype" w:cs="Arial"/>
          <w:b/>
          <w:bCs/>
        </w:rPr>
        <w:t xml:space="preserve">: </w:t>
      </w:r>
      <w:r w:rsidR="007D63A7">
        <w:rPr>
          <w:rFonts w:ascii="Palatino Linotype" w:hAnsi="Palatino Linotype" w:cs="Arial"/>
        </w:rPr>
        <w:t xml:space="preserve">Oficio número </w:t>
      </w:r>
      <w:r w:rsidR="007D63A7">
        <w:rPr>
          <w:rFonts w:ascii="Palatino Linotype" w:hAnsi="Palatino Linotype" w:cs="Arial"/>
          <w:b/>
          <w:bCs/>
        </w:rPr>
        <w:t xml:space="preserve">INFOEM/CI-OCV/0169/2023 </w:t>
      </w:r>
      <w:r w:rsidR="007D63A7">
        <w:rPr>
          <w:rFonts w:ascii="Palatino Linotype" w:hAnsi="Palatino Linotype" w:cs="Arial"/>
        </w:rPr>
        <w:t xml:space="preserve">signado por el Titular del Órgano Interno de Control y dirigido al Titular de la Unidad de Transparencia, de fecha </w:t>
      </w:r>
      <w:r w:rsidR="00D67403">
        <w:rPr>
          <w:rFonts w:ascii="Palatino Linotype" w:hAnsi="Palatino Linotype" w:cs="Arial"/>
        </w:rPr>
        <w:t xml:space="preserve">veintiuno de marzo de dos mil veintitrés, </w:t>
      </w:r>
      <w:r w:rsidR="008E02A9">
        <w:rPr>
          <w:rFonts w:ascii="Palatino Linotype" w:hAnsi="Palatino Linotype" w:cs="Arial"/>
        </w:rPr>
        <w:t xml:space="preserve">con relación al requerimiento </w:t>
      </w:r>
      <w:r w:rsidR="008E02A9">
        <w:rPr>
          <w:rFonts w:ascii="Palatino Linotype" w:hAnsi="Palatino Linotype" w:cs="Arial"/>
          <w:b/>
          <w:bCs/>
        </w:rPr>
        <w:t xml:space="preserve">3 -tres- (sujetos obligados sancionados) </w:t>
      </w:r>
      <w:r w:rsidR="008E02A9">
        <w:rPr>
          <w:rFonts w:ascii="Palatino Linotype" w:hAnsi="Palatino Linotype" w:cs="Arial"/>
        </w:rPr>
        <w:t>resulta de nuestro interés el siguiente extracto:</w:t>
      </w:r>
    </w:p>
    <w:p w14:paraId="27F1EADE" w14:textId="331C55E7" w:rsidR="008E02A9" w:rsidRDefault="008E02A9" w:rsidP="008E02A9">
      <w:pPr>
        <w:pStyle w:val="Prrafodelista"/>
        <w:spacing w:before="240" w:line="360" w:lineRule="auto"/>
        <w:ind w:left="720"/>
        <w:jc w:val="both"/>
        <w:rPr>
          <w:rFonts w:ascii="Palatino Linotype" w:hAnsi="Palatino Linotype" w:cs="Arial"/>
          <w:i/>
          <w:iCs/>
        </w:rPr>
      </w:pPr>
      <w:r>
        <w:rPr>
          <w:rFonts w:ascii="Palatino Linotype" w:hAnsi="Palatino Linotype" w:cs="Arial"/>
          <w:i/>
          <w:iCs/>
        </w:rPr>
        <w:t xml:space="preserve">“Sobre el particular, se informa con fundamento en lo dispuesto en el artículo 12 último párrafo de la Ley de Transparencia local vigente, así como derivado de una búsqueda exhaustiva y razonable </w:t>
      </w:r>
      <w:r w:rsidRPr="00C6786D">
        <w:rPr>
          <w:rFonts w:ascii="Palatino Linotype" w:hAnsi="Palatino Linotype" w:cs="Arial"/>
          <w:b/>
          <w:bCs/>
          <w:i/>
          <w:iCs/>
          <w:u w:val="single"/>
        </w:rPr>
        <w:t xml:space="preserve">en los archivos de este </w:t>
      </w:r>
      <w:r w:rsidR="00C6786D" w:rsidRPr="00C6786D">
        <w:rPr>
          <w:rFonts w:ascii="Palatino Linotype" w:hAnsi="Palatino Linotype" w:cs="Arial"/>
          <w:b/>
          <w:bCs/>
          <w:i/>
          <w:iCs/>
          <w:u w:val="single"/>
        </w:rPr>
        <w:t>Órgano Interno</w:t>
      </w:r>
      <w:r w:rsidRPr="00C6786D">
        <w:rPr>
          <w:rFonts w:ascii="Palatino Linotype" w:hAnsi="Palatino Linotype" w:cs="Arial"/>
          <w:b/>
          <w:bCs/>
          <w:i/>
          <w:iCs/>
          <w:u w:val="single"/>
        </w:rPr>
        <w:t xml:space="preserve"> de Control </w:t>
      </w:r>
      <w:r w:rsidR="001F410E" w:rsidRPr="00C6786D">
        <w:rPr>
          <w:rFonts w:ascii="Palatino Linotype" w:hAnsi="Palatino Linotype" w:cs="Arial"/>
          <w:b/>
          <w:bCs/>
          <w:i/>
          <w:iCs/>
          <w:u w:val="single"/>
        </w:rPr>
        <w:t>que no se tienen sanciones</w:t>
      </w:r>
      <w:r w:rsidR="001F410E">
        <w:rPr>
          <w:rFonts w:ascii="Palatino Linotype" w:hAnsi="Palatino Linotype" w:cs="Arial"/>
          <w:i/>
          <w:iCs/>
        </w:rPr>
        <w:t>, en el sentido de la solicitud de mérito.</w:t>
      </w:r>
    </w:p>
    <w:p w14:paraId="425DFFC2" w14:textId="72DB2965" w:rsidR="001F410E" w:rsidRPr="001F410E" w:rsidRDefault="001F410E" w:rsidP="008E02A9">
      <w:pPr>
        <w:pStyle w:val="Prrafodelista"/>
        <w:spacing w:before="240" w:line="360" w:lineRule="auto"/>
        <w:ind w:left="720"/>
        <w:jc w:val="both"/>
        <w:rPr>
          <w:rFonts w:ascii="Palatino Linotype" w:hAnsi="Palatino Linotype"/>
          <w:b/>
          <w:bCs/>
          <w:i/>
          <w:iCs/>
        </w:rPr>
      </w:pPr>
      <w:r>
        <w:rPr>
          <w:rFonts w:ascii="Palatino Linotype" w:hAnsi="Palatino Linotype" w:cs="Arial"/>
          <w:i/>
          <w:iCs/>
        </w:rPr>
        <w:t xml:space="preserve">En consecuencia, no es posible proporcionar la información requerida por el solicitante, toda vez </w:t>
      </w:r>
      <w:r w:rsidR="00C6786D">
        <w:rPr>
          <w:rFonts w:ascii="Palatino Linotype" w:hAnsi="Palatino Linotype" w:cs="Arial"/>
          <w:i/>
          <w:iCs/>
        </w:rPr>
        <w:t>que,</w:t>
      </w:r>
      <w:r>
        <w:rPr>
          <w:rFonts w:ascii="Palatino Linotype" w:hAnsi="Palatino Linotype" w:cs="Arial"/>
          <w:i/>
          <w:iCs/>
        </w:rPr>
        <w:t xml:space="preserve"> en los archivos de esta Unidad Administrativa, no se cuenta con ella” </w:t>
      </w:r>
      <w:r>
        <w:rPr>
          <w:rFonts w:ascii="Palatino Linotype" w:hAnsi="Palatino Linotype" w:cs="Arial"/>
          <w:b/>
          <w:bCs/>
          <w:i/>
          <w:iCs/>
        </w:rPr>
        <w:t>(Sic)</w:t>
      </w:r>
    </w:p>
    <w:p w14:paraId="7D85027B" w14:textId="77777777" w:rsidR="00C6786D" w:rsidRDefault="00C6786D" w:rsidP="00827658">
      <w:pPr>
        <w:spacing w:before="240" w:line="360" w:lineRule="auto"/>
        <w:jc w:val="both"/>
        <w:rPr>
          <w:rFonts w:ascii="Palatino Linotype" w:hAnsi="Palatino Linotype"/>
          <w:sz w:val="24"/>
          <w:szCs w:val="24"/>
        </w:rPr>
      </w:pPr>
    </w:p>
    <w:p w14:paraId="0B484F93" w14:textId="61185515" w:rsidR="001F410E" w:rsidRDefault="001F410E" w:rsidP="00827658">
      <w:pPr>
        <w:spacing w:before="240" w:line="360" w:lineRule="auto"/>
        <w:jc w:val="both"/>
        <w:rPr>
          <w:rFonts w:ascii="Palatino Linotype" w:hAnsi="Palatino Linotype"/>
          <w:bCs/>
          <w:sz w:val="24"/>
          <w:szCs w:val="24"/>
        </w:rPr>
      </w:pPr>
      <w:r w:rsidRPr="001F410E">
        <w:rPr>
          <w:rFonts w:ascii="Palatino Linotype" w:hAnsi="Palatino Linotype"/>
          <w:sz w:val="24"/>
          <w:szCs w:val="24"/>
        </w:rPr>
        <w:t>Inconforme</w:t>
      </w:r>
      <w:r>
        <w:rPr>
          <w:rFonts w:ascii="Palatino Linotype" w:hAnsi="Palatino Linotype"/>
          <w:sz w:val="24"/>
          <w:szCs w:val="24"/>
        </w:rPr>
        <w:t xml:space="preserve"> </w:t>
      </w:r>
      <w:r w:rsidR="00353254">
        <w:rPr>
          <w:rFonts w:ascii="Palatino Linotype" w:hAnsi="Palatino Linotype"/>
          <w:sz w:val="24"/>
          <w:szCs w:val="24"/>
        </w:rPr>
        <w:t xml:space="preserve">con la respuesta del </w:t>
      </w:r>
      <w:r w:rsidR="00353254">
        <w:rPr>
          <w:rFonts w:ascii="Palatino Linotype" w:hAnsi="Palatino Linotype"/>
          <w:b/>
          <w:bCs/>
          <w:sz w:val="24"/>
          <w:szCs w:val="24"/>
        </w:rPr>
        <w:t xml:space="preserve">Sujeto Obligado, El Recurrente </w:t>
      </w:r>
      <w:r w:rsidR="00353254">
        <w:rPr>
          <w:rFonts w:ascii="Palatino Linotype" w:hAnsi="Palatino Linotype"/>
          <w:bCs/>
          <w:sz w:val="24"/>
          <w:szCs w:val="24"/>
        </w:rPr>
        <w:t>interpuso recurso de revisión en fecha doce de abril, admitiéndose el catorce de abril, ambos de dos mil veintitrés. Señalando como razones o motivos de inconformidad:</w:t>
      </w:r>
    </w:p>
    <w:p w14:paraId="3825C88E" w14:textId="333BB456" w:rsidR="00353254" w:rsidRPr="00353254" w:rsidRDefault="00353254" w:rsidP="00353254">
      <w:pPr>
        <w:pStyle w:val="Citas"/>
        <w:rPr>
          <w:b/>
          <w:bCs/>
          <w:sz w:val="24"/>
          <w:szCs w:val="24"/>
        </w:rPr>
      </w:pPr>
      <w:r>
        <w:t xml:space="preserve">“no hay razones fundadas y motivadas por la declaratoria de inexistencia de la información” </w:t>
      </w:r>
      <w:r>
        <w:rPr>
          <w:b/>
          <w:bCs/>
        </w:rPr>
        <w:t>(Sic)</w:t>
      </w:r>
    </w:p>
    <w:p w14:paraId="32EE876A" w14:textId="77777777" w:rsidR="009B3877" w:rsidRDefault="009B3877" w:rsidP="00827658">
      <w:pPr>
        <w:spacing w:before="240" w:line="360" w:lineRule="auto"/>
        <w:jc w:val="both"/>
        <w:rPr>
          <w:rFonts w:ascii="Palatino Linotype" w:hAnsi="Palatino Linotype" w:cs="Arial"/>
          <w:sz w:val="24"/>
          <w:szCs w:val="24"/>
        </w:rPr>
      </w:pPr>
    </w:p>
    <w:p w14:paraId="3007C9A1" w14:textId="7A8CED54" w:rsidR="00353254" w:rsidRPr="00604859" w:rsidRDefault="00353254" w:rsidP="00353254">
      <w:pPr>
        <w:spacing w:after="0" w:line="360" w:lineRule="auto"/>
        <w:jc w:val="both"/>
        <w:rPr>
          <w:rFonts w:ascii="Palatino Linotype" w:hAnsi="Palatino Linotype" w:cs="Arial"/>
          <w:sz w:val="24"/>
          <w:szCs w:val="24"/>
        </w:rPr>
      </w:pPr>
      <w:r w:rsidRPr="00604859">
        <w:rPr>
          <w:rFonts w:ascii="Palatino Linotype" w:hAnsi="Palatino Linotype" w:cs="Arial"/>
          <w:sz w:val="24"/>
          <w:szCs w:val="24"/>
          <w:lang w:eastAsia="es-MX"/>
        </w:rPr>
        <w:lastRenderedPageBreak/>
        <w:t xml:space="preserve">Bajo estas líneas argumentativas, la parte de la solicitud sobre la </w:t>
      </w:r>
      <w:r w:rsidRPr="00604859">
        <w:rPr>
          <w:rFonts w:ascii="Palatino Linotype" w:hAnsi="Palatino Linotype"/>
          <w:sz w:val="24"/>
          <w:szCs w:val="24"/>
          <w:lang w:eastAsia="es-MX"/>
        </w:rPr>
        <w:t>que no se expresó inconformidad</w:t>
      </w:r>
      <w:r>
        <w:rPr>
          <w:rFonts w:ascii="Palatino Linotype" w:hAnsi="Palatino Linotype"/>
          <w:sz w:val="24"/>
          <w:szCs w:val="24"/>
          <w:lang w:eastAsia="es-MX"/>
        </w:rPr>
        <w:t xml:space="preserve"> -</w:t>
      </w:r>
      <w:r>
        <w:rPr>
          <w:rFonts w:ascii="Palatino Linotype" w:hAnsi="Palatino Linotype"/>
          <w:b/>
          <w:bCs/>
          <w:sz w:val="24"/>
          <w:szCs w:val="24"/>
          <w:lang w:eastAsia="es-MX"/>
        </w:rPr>
        <w:t xml:space="preserve">Requerimientos 1 y 2-, </w:t>
      </w:r>
      <w:r>
        <w:rPr>
          <w:rFonts w:ascii="Palatino Linotype" w:hAnsi="Palatino Linotype"/>
          <w:sz w:val="24"/>
          <w:szCs w:val="24"/>
          <w:lang w:eastAsia="es-MX"/>
        </w:rPr>
        <w:t xml:space="preserve">deben declararse consentidos por el hoy </w:t>
      </w:r>
      <w:r>
        <w:rPr>
          <w:rFonts w:ascii="Palatino Linotype" w:hAnsi="Palatino Linotype"/>
          <w:b/>
          <w:bCs/>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no pueden producirse efectos jurídicos tendentes a revocar, confirmar o modificar la parte de la respuesta con relación a la parte de la solicitud que no fue motivo de disenso ya que se infiere un consentimiento</w:t>
      </w:r>
      <w:r>
        <w:rPr>
          <w:rFonts w:ascii="Palatino Linotype" w:hAnsi="Palatino Linotype" w:cs="Arial"/>
          <w:sz w:val="24"/>
          <w:szCs w:val="24"/>
          <w:lang w:eastAsia="es-MX"/>
        </w:rPr>
        <w:t xml:space="preserve"> del </w:t>
      </w:r>
      <w:r>
        <w:rPr>
          <w:rFonts w:ascii="Palatino Linotype" w:hAnsi="Palatino Linotype" w:cs="Arial"/>
          <w:b/>
          <w:bCs/>
          <w:sz w:val="24"/>
          <w:szCs w:val="24"/>
          <w:lang w:eastAsia="es-MX"/>
        </w:rPr>
        <w:t xml:space="preserve">Recurrente </w:t>
      </w:r>
      <w:r w:rsidRPr="00604859">
        <w:rPr>
          <w:rFonts w:ascii="Palatino Linotype" w:hAnsi="Palatino Linotype" w:cs="Arial"/>
          <w:sz w:val="24"/>
          <w:szCs w:val="24"/>
          <w:lang w:eastAsia="es-MX"/>
        </w:rPr>
        <w:t xml:space="preserve">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35CF053F" w14:textId="77777777" w:rsidR="00353254" w:rsidRPr="001300D8" w:rsidRDefault="00353254" w:rsidP="00353254">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620920F8" w14:textId="77777777" w:rsidR="00353254" w:rsidRPr="001300D8" w:rsidRDefault="00353254" w:rsidP="00353254">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1342B731" w14:textId="77777777" w:rsidR="00353254" w:rsidRPr="001300D8" w:rsidRDefault="00353254" w:rsidP="00353254">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017A9843" w14:textId="77777777" w:rsidR="00353254" w:rsidRPr="001300D8" w:rsidRDefault="00353254" w:rsidP="00353254">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5730046D" w14:textId="77777777" w:rsidR="00353254" w:rsidRPr="001300D8" w:rsidRDefault="00353254" w:rsidP="00353254">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6826AB61" w14:textId="77777777" w:rsidR="00353254" w:rsidRPr="001300D8" w:rsidRDefault="00353254" w:rsidP="00353254">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2E898F1E" w14:textId="77777777" w:rsidR="00353254" w:rsidRPr="001300D8" w:rsidRDefault="00353254" w:rsidP="00353254">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6E44346F" w14:textId="77777777" w:rsidR="00353254" w:rsidRPr="001300D8" w:rsidRDefault="00353254" w:rsidP="00353254">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499C6B8D" w14:textId="77777777" w:rsidR="00353254" w:rsidRPr="001300D8" w:rsidRDefault="00353254" w:rsidP="00353254">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10D6E95A" w14:textId="77777777" w:rsidR="00353254" w:rsidRPr="001300D8" w:rsidRDefault="00353254" w:rsidP="00353254">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lastRenderedPageBreak/>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FC2CF1B" w14:textId="77777777" w:rsidR="00353254" w:rsidRPr="001300D8" w:rsidRDefault="00353254" w:rsidP="00353254">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0F8FF523" w14:textId="77777777" w:rsidR="00353254" w:rsidRPr="001300D8" w:rsidRDefault="00353254" w:rsidP="00353254">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20BBE747" w14:textId="77777777" w:rsidR="00353254" w:rsidRPr="001300D8" w:rsidRDefault="00353254" w:rsidP="00353254">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63A46509" w14:textId="77777777" w:rsidR="00353254" w:rsidRPr="001300D8" w:rsidRDefault="00353254" w:rsidP="00353254">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34C4E6BB" w14:textId="77777777" w:rsidR="00353254" w:rsidRPr="001300D8" w:rsidRDefault="00353254" w:rsidP="00353254">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00D47352" w14:textId="77777777" w:rsidR="00353254" w:rsidRDefault="00353254" w:rsidP="00353254">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lastRenderedPageBreak/>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7158CD07" w14:textId="77777777" w:rsidR="00353254" w:rsidRDefault="00353254" w:rsidP="00353254">
      <w:pPr>
        <w:spacing w:after="0" w:line="360" w:lineRule="auto"/>
        <w:jc w:val="both"/>
        <w:rPr>
          <w:rFonts w:ascii="Palatino Linotype" w:hAnsi="Palatino Linotype" w:cs="Arial"/>
          <w:noProof/>
          <w:color w:val="000000"/>
          <w:sz w:val="24"/>
          <w:lang w:eastAsia="es-MX"/>
        </w:rPr>
      </w:pPr>
    </w:p>
    <w:p w14:paraId="76BE873E" w14:textId="77777777" w:rsidR="00353254" w:rsidRDefault="00353254" w:rsidP="00353254">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06574B17" w14:textId="77777777" w:rsidR="00353254" w:rsidRDefault="00353254" w:rsidP="00353254">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5DE864AE" w14:textId="77777777" w:rsidR="00353254" w:rsidRPr="0071419E" w:rsidRDefault="00353254" w:rsidP="00353254">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376B514F" w14:textId="77777777" w:rsidR="00353254" w:rsidRPr="00D83913" w:rsidRDefault="00353254" w:rsidP="00353254">
      <w:pPr>
        <w:pStyle w:val="Citas"/>
        <w:rPr>
          <w:b/>
          <w:bCs/>
        </w:rPr>
      </w:pPr>
      <w:r w:rsidRPr="00D83913">
        <w:rPr>
          <w:b/>
          <w:bCs/>
        </w:rPr>
        <w:t>Resoluciones</w:t>
      </w:r>
      <w:r>
        <w:rPr>
          <w:b/>
          <w:bCs/>
        </w:rPr>
        <w:t>:</w:t>
      </w:r>
    </w:p>
    <w:p w14:paraId="2B1B2555" w14:textId="77777777" w:rsidR="00353254" w:rsidRPr="00D83913" w:rsidRDefault="00353254" w:rsidP="00353254">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4B73FB5B" w14:textId="77777777" w:rsidR="00353254" w:rsidRPr="009754D6" w:rsidRDefault="00CA7B02" w:rsidP="00353254">
      <w:pPr>
        <w:pStyle w:val="Citas"/>
        <w:rPr>
          <w:sz w:val="20"/>
        </w:rPr>
      </w:pPr>
      <w:hyperlink r:id="rId12" w:history="1">
        <w:r w:rsidR="00353254" w:rsidRPr="009754D6">
          <w:rPr>
            <w:rStyle w:val="Hipervnculo"/>
          </w:rPr>
          <w:t>http://consultas.ifai.org.mx/descargar.php?r=./pdf/resoluciones/2018/&amp;a=RRA%204548.pdf</w:t>
        </w:r>
      </w:hyperlink>
    </w:p>
    <w:p w14:paraId="3B7EA4DB" w14:textId="77777777" w:rsidR="00353254" w:rsidRPr="009754D6" w:rsidRDefault="00353254" w:rsidP="00353254">
      <w:pPr>
        <w:pStyle w:val="Citas"/>
        <w:rPr>
          <w:b/>
        </w:rPr>
      </w:pPr>
      <w:r w:rsidRPr="009754D6">
        <w:rPr>
          <w:b/>
        </w:rPr>
        <w:lastRenderedPageBreak/>
        <w:t xml:space="preserve">RRA 5097/18. </w:t>
      </w:r>
      <w:r w:rsidRPr="009754D6">
        <w:t>Secretaría de Hacienda y Crédito Público. 05 de septiembre de 2018. Por unanimidad. Comisionado Ponente Joel Salas Suárez.</w:t>
      </w:r>
    </w:p>
    <w:p w14:paraId="04873463" w14:textId="77777777" w:rsidR="00353254" w:rsidRPr="009754D6" w:rsidRDefault="00CA7B02" w:rsidP="00353254">
      <w:pPr>
        <w:pStyle w:val="Citas"/>
        <w:rPr>
          <w:sz w:val="20"/>
        </w:rPr>
      </w:pPr>
      <w:hyperlink r:id="rId13" w:history="1">
        <w:r w:rsidR="00353254" w:rsidRPr="009754D6">
          <w:rPr>
            <w:rStyle w:val="Hipervnculo"/>
          </w:rPr>
          <w:t>http://consultas.ifai.org.mx/descargar.php?r=./pdf/resoluciones/2018/&amp;a=RRA%205097.pdf</w:t>
        </w:r>
      </w:hyperlink>
    </w:p>
    <w:p w14:paraId="51F170BD" w14:textId="77777777" w:rsidR="00353254" w:rsidRPr="009754D6" w:rsidRDefault="00353254" w:rsidP="00353254">
      <w:pPr>
        <w:pStyle w:val="Citas"/>
        <w:rPr>
          <w:b/>
        </w:rPr>
      </w:pPr>
      <w:r w:rsidRPr="009754D6">
        <w:rPr>
          <w:b/>
        </w:rPr>
        <w:t xml:space="preserve">RRA 14270/19. </w:t>
      </w:r>
      <w:r w:rsidRPr="009754D6">
        <w:t>Registro Agrario Nacional. 22 de enero de 2020. Por unanimidad. Comisionado Ponente Francisco Javier Acuña Llamas.</w:t>
      </w:r>
    </w:p>
    <w:p w14:paraId="367ED408" w14:textId="77777777" w:rsidR="00353254" w:rsidRPr="009754D6" w:rsidRDefault="00CA7B02" w:rsidP="00353254">
      <w:pPr>
        <w:pStyle w:val="Citas"/>
        <w:rPr>
          <w:rStyle w:val="Hipervnculo"/>
          <w:b/>
          <w:bCs/>
          <w:color w:val="auto"/>
          <w:sz w:val="24"/>
          <w:szCs w:val="24"/>
          <w:u w:val="none"/>
          <w:lang w:val="en-US"/>
        </w:rPr>
      </w:pPr>
      <w:hyperlink r:id="rId14" w:history="1">
        <w:r w:rsidR="00353254" w:rsidRPr="009754D6">
          <w:rPr>
            <w:rStyle w:val="Hipervnculo"/>
            <w:lang w:val="en-US"/>
          </w:rPr>
          <w:t>http://consultas.ifai.org.mx/descargar.php?r=./pdf/resoluciones/2019/&amp;a=RRA%2014270.pdf</w:t>
        </w:r>
      </w:hyperlink>
      <w:proofErr w:type="gramStart"/>
      <w:r w:rsidR="00353254" w:rsidRPr="009754D6">
        <w:rPr>
          <w:rStyle w:val="Hipervnculo"/>
          <w:sz w:val="20"/>
          <w:lang w:val="en-US"/>
        </w:rPr>
        <w:t xml:space="preserve">” </w:t>
      </w:r>
      <w:r w:rsidR="00353254" w:rsidRPr="009754D6">
        <w:rPr>
          <w:rStyle w:val="Hipervnculo"/>
          <w:i w:val="0"/>
          <w:iCs/>
          <w:sz w:val="24"/>
          <w:szCs w:val="24"/>
          <w:u w:val="none"/>
          <w:lang w:val="en-US"/>
        </w:rPr>
        <w:t xml:space="preserve"> </w:t>
      </w:r>
      <w:r w:rsidR="00353254" w:rsidRPr="009754D6">
        <w:rPr>
          <w:rStyle w:val="Hipervnculo"/>
          <w:b/>
          <w:bCs/>
          <w:color w:val="auto"/>
          <w:sz w:val="24"/>
          <w:szCs w:val="24"/>
          <w:u w:val="none"/>
          <w:lang w:val="en-US"/>
        </w:rPr>
        <w:t>[</w:t>
      </w:r>
      <w:proofErr w:type="gramEnd"/>
      <w:r w:rsidR="00353254" w:rsidRPr="009754D6">
        <w:rPr>
          <w:rStyle w:val="Hipervnculo"/>
          <w:b/>
          <w:bCs/>
          <w:color w:val="auto"/>
          <w:sz w:val="24"/>
          <w:szCs w:val="24"/>
          <w:u w:val="none"/>
          <w:lang w:val="en-US"/>
        </w:rPr>
        <w:t xml:space="preserve">Sic] </w:t>
      </w:r>
    </w:p>
    <w:p w14:paraId="6FD100FD" w14:textId="77777777" w:rsidR="00B82FB3" w:rsidRPr="00D20A46" w:rsidRDefault="00B82FB3" w:rsidP="00827658">
      <w:pPr>
        <w:pStyle w:val="infoemcitas"/>
        <w:tabs>
          <w:tab w:val="left" w:pos="7655"/>
        </w:tabs>
        <w:ind w:left="0" w:right="0"/>
        <w:rPr>
          <w:i w:val="0"/>
          <w:sz w:val="24"/>
          <w:szCs w:val="24"/>
          <w:lang w:val="en-US"/>
        </w:rPr>
      </w:pPr>
    </w:p>
    <w:p w14:paraId="38FAAC25" w14:textId="1A7E06A1" w:rsidR="00827658" w:rsidRDefault="00827658" w:rsidP="00827658">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Cs/>
          <w:i w:val="0"/>
          <w:sz w:val="24"/>
          <w:szCs w:val="24"/>
        </w:rPr>
        <w:t>los motivos de inconformidad aducidos por</w:t>
      </w:r>
      <w:r w:rsidRPr="00535EDD">
        <w:rPr>
          <w:rFonts w:cs="Arial"/>
          <w:i w:val="0"/>
          <w:noProof/>
          <w:color w:val="000000"/>
          <w:sz w:val="24"/>
          <w:lang w:eastAsia="es-MX"/>
        </w:rPr>
        <w:t xml:space="preserve"> </w:t>
      </w:r>
      <w:r w:rsidR="001952EB">
        <w:rPr>
          <w:rFonts w:cs="Arial"/>
          <w:b/>
          <w:i w:val="0"/>
          <w:noProof/>
          <w:color w:val="000000"/>
          <w:sz w:val="24"/>
          <w:lang w:eastAsia="es-MX"/>
        </w:rPr>
        <w:t>El</w:t>
      </w:r>
      <w:r w:rsidRPr="00535EDD">
        <w:rPr>
          <w:rFonts w:cs="Arial"/>
          <w:b/>
          <w:i w:val="0"/>
          <w:noProof/>
          <w:color w:val="000000"/>
          <w:sz w:val="24"/>
          <w:lang w:eastAsia="es-MX"/>
        </w:rPr>
        <w:t xml:space="preserve"> Recurrente, </w:t>
      </w:r>
      <w:r>
        <w:rPr>
          <w:rFonts w:cs="Arial"/>
          <w:i w:val="0"/>
          <w:noProof/>
          <w:color w:val="000000"/>
          <w:sz w:val="24"/>
          <w:lang w:eastAsia="es-MX"/>
        </w:rPr>
        <w:t>actualizan</w:t>
      </w:r>
      <w:r w:rsidRPr="00535EDD">
        <w:rPr>
          <w:rFonts w:cs="Arial"/>
          <w:i w:val="0"/>
          <w:noProof/>
          <w:color w:val="000000"/>
          <w:sz w:val="24"/>
          <w:lang w:eastAsia="es-MX"/>
        </w:rPr>
        <w:t xml:space="preserve"> las hipotesis normativas previstas en el artículo 179, fracciones I</w:t>
      </w:r>
      <w:r>
        <w:rPr>
          <w:rFonts w:cs="Arial"/>
          <w:i w:val="0"/>
          <w:noProof/>
          <w:color w:val="000000"/>
          <w:sz w:val="24"/>
          <w:lang w:eastAsia="es-MX"/>
        </w:rPr>
        <w:t xml:space="preserve"> y </w:t>
      </w:r>
      <w:r w:rsidR="00353254">
        <w:rPr>
          <w:rFonts w:cs="Arial"/>
          <w:i w:val="0"/>
          <w:noProof/>
          <w:color w:val="000000"/>
          <w:sz w:val="24"/>
          <w:lang w:eastAsia="es-MX"/>
        </w:rPr>
        <w:t>III</w:t>
      </w:r>
      <w:r>
        <w:rPr>
          <w:rFonts w:cs="Arial"/>
          <w:i w:val="0"/>
          <w:noProof/>
          <w:color w:val="000000"/>
          <w:sz w:val="24"/>
          <w:lang w:eastAsia="es-MX"/>
        </w:rPr>
        <w:t xml:space="preserve"> de la Ley de Transparencia y Acceso a la Información Pública del Estado de Mexico y Municipios, cuyo contenido literal es el siguiente: </w:t>
      </w:r>
    </w:p>
    <w:p w14:paraId="03AAEC99" w14:textId="77777777" w:rsidR="00827658" w:rsidRDefault="00827658" w:rsidP="00827658">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4F43654D" w14:textId="77777777" w:rsidR="00827658" w:rsidRDefault="00827658" w:rsidP="00827658">
      <w:pPr>
        <w:pStyle w:val="Citas"/>
      </w:pPr>
      <w:r>
        <w:t>I. La negativa a la información solicitada;</w:t>
      </w:r>
    </w:p>
    <w:p w14:paraId="67920BE5" w14:textId="77777777" w:rsidR="00827658" w:rsidRDefault="00827658" w:rsidP="00827658">
      <w:pPr>
        <w:pStyle w:val="Citas"/>
      </w:pPr>
      <w:r>
        <w:t>(…)</w:t>
      </w:r>
    </w:p>
    <w:p w14:paraId="4468E6CF" w14:textId="77777777" w:rsidR="00353254" w:rsidRDefault="00353254" w:rsidP="00827658">
      <w:pPr>
        <w:pStyle w:val="Citas"/>
        <w:rPr>
          <w:noProof/>
          <w:color w:val="000000"/>
          <w:sz w:val="24"/>
          <w:lang w:eastAsia="es-MX"/>
        </w:rPr>
      </w:pPr>
      <w:r>
        <w:lastRenderedPageBreak/>
        <w:t>III. La declaración de inexistencia de la información;</w:t>
      </w:r>
      <w:r>
        <w:rPr>
          <w:noProof/>
          <w:color w:val="000000"/>
          <w:sz w:val="24"/>
          <w:lang w:eastAsia="es-MX"/>
        </w:rPr>
        <w:t xml:space="preserve"> </w:t>
      </w:r>
    </w:p>
    <w:p w14:paraId="55593B32" w14:textId="65608F5E" w:rsidR="00827658" w:rsidRPr="005A12AE" w:rsidRDefault="00827658" w:rsidP="00827658">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5B40DB88" w14:textId="77777777" w:rsidR="00827658" w:rsidRDefault="00827658" w:rsidP="00827658">
      <w:pPr>
        <w:spacing w:after="0" w:line="360" w:lineRule="auto"/>
        <w:jc w:val="both"/>
        <w:rPr>
          <w:rFonts w:ascii="Palatino Linotype" w:hAnsi="Palatino Linotype"/>
          <w:sz w:val="24"/>
          <w:szCs w:val="24"/>
        </w:rPr>
      </w:pPr>
    </w:p>
    <w:p w14:paraId="6232DF99" w14:textId="77777777" w:rsidR="00827658" w:rsidRDefault="00827658" w:rsidP="00827658">
      <w:pPr>
        <w:spacing w:after="0" w:line="360" w:lineRule="auto"/>
        <w:jc w:val="both"/>
        <w:rPr>
          <w:rFonts w:ascii="Palatino Linotype" w:hAnsi="Palatino Linotype"/>
          <w:sz w:val="24"/>
          <w:szCs w:val="24"/>
        </w:rPr>
      </w:pPr>
    </w:p>
    <w:p w14:paraId="3F8DA6F1" w14:textId="1958E04B" w:rsidR="00353254" w:rsidRDefault="00827658" w:rsidP="00827658">
      <w:pPr>
        <w:pStyle w:val="Citas"/>
        <w:ind w:left="0" w:right="0"/>
        <w:rPr>
          <w:i w:val="0"/>
          <w:sz w:val="24"/>
          <w:szCs w:val="24"/>
        </w:rPr>
      </w:pPr>
      <w:r>
        <w:rPr>
          <w:i w:val="0"/>
          <w:sz w:val="24"/>
          <w:szCs w:val="24"/>
        </w:rPr>
        <w:t xml:space="preserve">Por otra parte, en etapa de manifestaciones, </w:t>
      </w:r>
      <w:r w:rsidR="00701103">
        <w:rPr>
          <w:b/>
          <w:bCs/>
          <w:i w:val="0"/>
          <w:sz w:val="24"/>
          <w:szCs w:val="24"/>
        </w:rPr>
        <w:t>El Sujeto Obligado</w:t>
      </w:r>
      <w:r w:rsidR="00353254">
        <w:rPr>
          <w:b/>
          <w:bCs/>
          <w:i w:val="0"/>
          <w:sz w:val="24"/>
          <w:szCs w:val="24"/>
        </w:rPr>
        <w:t xml:space="preserve"> </w:t>
      </w:r>
      <w:r w:rsidR="00353254">
        <w:rPr>
          <w:i w:val="0"/>
          <w:sz w:val="24"/>
          <w:szCs w:val="24"/>
        </w:rPr>
        <w:t>rindió su informe justificado en los siguientes términos:</w:t>
      </w:r>
    </w:p>
    <w:p w14:paraId="24691D78" w14:textId="516CAD00" w:rsidR="00353254" w:rsidRPr="00353254" w:rsidRDefault="00353254" w:rsidP="00353254">
      <w:pPr>
        <w:pStyle w:val="Citas"/>
        <w:numPr>
          <w:ilvl w:val="0"/>
          <w:numId w:val="14"/>
        </w:numPr>
        <w:ind w:right="0"/>
        <w:rPr>
          <w:b/>
          <w:bCs/>
          <w:i w:val="0"/>
          <w:sz w:val="24"/>
          <w:szCs w:val="24"/>
        </w:rPr>
      </w:pPr>
      <w:r>
        <w:rPr>
          <w:b/>
          <w:bCs/>
          <w:i w:val="0"/>
          <w:sz w:val="24"/>
          <w:szCs w:val="24"/>
        </w:rPr>
        <w:t xml:space="preserve">“IJ del RR 1890-2023 solicitud 0237-23.pdf”: </w:t>
      </w:r>
      <w:r>
        <w:rPr>
          <w:i w:val="0"/>
          <w:sz w:val="24"/>
          <w:szCs w:val="24"/>
        </w:rPr>
        <w:t xml:space="preserve">Oficio número </w:t>
      </w:r>
      <w:r>
        <w:rPr>
          <w:b/>
          <w:bCs/>
          <w:i w:val="0"/>
          <w:sz w:val="24"/>
          <w:szCs w:val="24"/>
        </w:rPr>
        <w:t xml:space="preserve">INFOEM/CI-OCV/0230/2023 </w:t>
      </w:r>
      <w:r>
        <w:rPr>
          <w:i w:val="0"/>
          <w:sz w:val="24"/>
          <w:szCs w:val="24"/>
        </w:rPr>
        <w:t>signado por el Titular del Órgano Interno de Control y dirigido al Titular de la Unidad de Transparencia, de fecha veinte de abril de dos mil veintitrés, en lo medular expone lo siguiente:</w:t>
      </w:r>
    </w:p>
    <w:p w14:paraId="17F1C78D" w14:textId="031EEE68" w:rsidR="00353254" w:rsidRPr="00353254" w:rsidRDefault="00353254" w:rsidP="00353254">
      <w:pPr>
        <w:pStyle w:val="Citas"/>
        <w:numPr>
          <w:ilvl w:val="0"/>
          <w:numId w:val="15"/>
        </w:numPr>
        <w:ind w:right="0"/>
        <w:rPr>
          <w:b/>
          <w:bCs/>
          <w:i w:val="0"/>
          <w:sz w:val="24"/>
          <w:szCs w:val="24"/>
        </w:rPr>
      </w:pPr>
      <w:r>
        <w:rPr>
          <w:i w:val="0"/>
          <w:sz w:val="24"/>
          <w:szCs w:val="24"/>
        </w:rPr>
        <w:t xml:space="preserve">Que ratifica el pronunciamiento relativo a que después de una búsqueda exhaustiva y razonable en su archivo no fueron localizados sujetos obligados sancionados en el periodo señalado. </w:t>
      </w:r>
    </w:p>
    <w:p w14:paraId="483F4BBB" w14:textId="575A6824" w:rsidR="00353254" w:rsidRPr="00353254" w:rsidRDefault="00353254" w:rsidP="00353254">
      <w:pPr>
        <w:pStyle w:val="Citas"/>
        <w:numPr>
          <w:ilvl w:val="0"/>
          <w:numId w:val="15"/>
        </w:numPr>
        <w:ind w:right="0"/>
        <w:rPr>
          <w:b/>
          <w:bCs/>
          <w:i w:val="0"/>
          <w:sz w:val="24"/>
          <w:szCs w:val="24"/>
        </w:rPr>
      </w:pPr>
      <w:r>
        <w:rPr>
          <w:i w:val="0"/>
          <w:sz w:val="24"/>
          <w:szCs w:val="24"/>
        </w:rPr>
        <w:t xml:space="preserve">Que no existió negativa de entregar información alguna, </w:t>
      </w:r>
      <w:r w:rsidRPr="00353254">
        <w:rPr>
          <w:b/>
          <w:bCs/>
          <w:i w:val="0"/>
          <w:sz w:val="24"/>
          <w:szCs w:val="24"/>
          <w:u w:val="single"/>
        </w:rPr>
        <w:t>toda vez que la misma no fue localizada en los archivos de dicha unidad administrativa.</w:t>
      </w:r>
      <w:r>
        <w:rPr>
          <w:i w:val="0"/>
          <w:sz w:val="24"/>
          <w:szCs w:val="24"/>
        </w:rPr>
        <w:t xml:space="preserve"> </w:t>
      </w:r>
    </w:p>
    <w:p w14:paraId="7791FF2B" w14:textId="01A18FED" w:rsidR="00353254" w:rsidRPr="00D77FBD" w:rsidRDefault="00353254" w:rsidP="00353254">
      <w:pPr>
        <w:pStyle w:val="Citas"/>
        <w:numPr>
          <w:ilvl w:val="0"/>
          <w:numId w:val="14"/>
        </w:numPr>
        <w:ind w:right="0"/>
        <w:rPr>
          <w:b/>
          <w:bCs/>
          <w:i w:val="0"/>
          <w:sz w:val="24"/>
          <w:szCs w:val="24"/>
        </w:rPr>
      </w:pPr>
      <w:r>
        <w:rPr>
          <w:b/>
          <w:bCs/>
          <w:i w:val="0"/>
          <w:sz w:val="24"/>
          <w:szCs w:val="24"/>
        </w:rPr>
        <w:t xml:space="preserve">“Oficio Requerimiento Informe RR 01890-2023 OIC.pdf”: </w:t>
      </w:r>
      <w:r>
        <w:rPr>
          <w:i w:val="0"/>
          <w:sz w:val="24"/>
          <w:szCs w:val="24"/>
        </w:rPr>
        <w:t xml:space="preserve">Oficio número </w:t>
      </w:r>
      <w:r>
        <w:rPr>
          <w:b/>
          <w:bCs/>
          <w:i w:val="0"/>
          <w:sz w:val="24"/>
          <w:szCs w:val="24"/>
        </w:rPr>
        <w:t xml:space="preserve">INFOEM/UT/101/2023 </w:t>
      </w:r>
      <w:r>
        <w:rPr>
          <w:i w:val="0"/>
          <w:sz w:val="24"/>
          <w:szCs w:val="24"/>
        </w:rPr>
        <w:t xml:space="preserve">signado por el Titular de la Unidad de Transparencia y dirigido al Servidor Público Habilitado del Órgano Interno de Control, de fecha </w:t>
      </w:r>
      <w:r>
        <w:rPr>
          <w:i w:val="0"/>
          <w:sz w:val="24"/>
          <w:szCs w:val="24"/>
        </w:rPr>
        <w:lastRenderedPageBreak/>
        <w:t xml:space="preserve">diecisiete de abril de dos mil veintitrés, </w:t>
      </w:r>
      <w:r w:rsidR="00D77FBD">
        <w:rPr>
          <w:i w:val="0"/>
          <w:sz w:val="24"/>
          <w:szCs w:val="24"/>
        </w:rPr>
        <w:t xml:space="preserve">en síntesis, le requiere rendir el informe justificado. </w:t>
      </w:r>
    </w:p>
    <w:p w14:paraId="085FB700" w14:textId="77777777" w:rsidR="00D77FBD" w:rsidRDefault="00D77FBD" w:rsidP="00D77FBD">
      <w:pPr>
        <w:pStyle w:val="Citas"/>
        <w:ind w:left="720" w:right="0"/>
        <w:rPr>
          <w:b/>
          <w:bCs/>
          <w:i w:val="0"/>
          <w:sz w:val="24"/>
          <w:szCs w:val="24"/>
        </w:rPr>
      </w:pPr>
    </w:p>
    <w:p w14:paraId="2C77371A" w14:textId="2098BF04" w:rsidR="00353254" w:rsidRPr="00353254" w:rsidRDefault="00353254" w:rsidP="00353254">
      <w:pPr>
        <w:pStyle w:val="Citas"/>
        <w:numPr>
          <w:ilvl w:val="0"/>
          <w:numId w:val="14"/>
        </w:numPr>
        <w:ind w:right="0"/>
        <w:rPr>
          <w:b/>
          <w:bCs/>
          <w:i w:val="0"/>
          <w:sz w:val="24"/>
          <w:szCs w:val="24"/>
        </w:rPr>
      </w:pPr>
      <w:r>
        <w:rPr>
          <w:b/>
          <w:bCs/>
          <w:i w:val="0"/>
          <w:sz w:val="24"/>
          <w:szCs w:val="24"/>
        </w:rPr>
        <w:t xml:space="preserve">“InformeJustificadoRecurso01890UT_2023.pdf”: </w:t>
      </w:r>
      <w:r w:rsidR="00D77FBD">
        <w:rPr>
          <w:i w:val="0"/>
          <w:sz w:val="24"/>
          <w:szCs w:val="24"/>
        </w:rPr>
        <w:t xml:space="preserve">Oficio número </w:t>
      </w:r>
      <w:r w:rsidR="00D77FBD">
        <w:rPr>
          <w:b/>
          <w:bCs/>
          <w:i w:val="0"/>
          <w:sz w:val="24"/>
          <w:szCs w:val="24"/>
        </w:rPr>
        <w:t xml:space="preserve">INFOEM/UT/299/2023 </w:t>
      </w:r>
      <w:r w:rsidR="00D77FBD">
        <w:rPr>
          <w:i w:val="0"/>
          <w:sz w:val="24"/>
          <w:szCs w:val="24"/>
        </w:rPr>
        <w:t xml:space="preserve">signado por el Titular de la Unidad de Transparencia y dirigido al Comisionado Ponente, de fecha veinticinco de abril de dos mil veintitrés, en síntesis se ratifica la respuesta primigenia. </w:t>
      </w:r>
    </w:p>
    <w:p w14:paraId="575E7441" w14:textId="77777777" w:rsidR="00D77FBD" w:rsidRDefault="00D77FBD" w:rsidP="00827658">
      <w:pPr>
        <w:pStyle w:val="Citas"/>
        <w:ind w:left="0" w:right="0"/>
        <w:rPr>
          <w:i w:val="0"/>
          <w:sz w:val="24"/>
          <w:szCs w:val="24"/>
        </w:rPr>
      </w:pPr>
    </w:p>
    <w:p w14:paraId="5D9EC09F" w14:textId="11F8843A" w:rsidR="00D77FBD" w:rsidRPr="001F410E" w:rsidRDefault="001952EB" w:rsidP="00D77FBD">
      <w:pPr>
        <w:pStyle w:val="Citas"/>
        <w:ind w:left="0" w:right="0"/>
        <w:rPr>
          <w:i w:val="0"/>
          <w:iCs/>
          <w:sz w:val="24"/>
          <w:szCs w:val="24"/>
        </w:rPr>
      </w:pPr>
      <w:r>
        <w:rPr>
          <w:i w:val="0"/>
          <w:sz w:val="24"/>
          <w:szCs w:val="24"/>
        </w:rPr>
        <w:t xml:space="preserve">Luego entonces, </w:t>
      </w:r>
      <w:r w:rsidR="00D77FBD" w:rsidRPr="00D77FBD">
        <w:rPr>
          <w:i w:val="0"/>
          <w:iCs/>
          <w:sz w:val="24"/>
          <w:szCs w:val="24"/>
        </w:rPr>
        <w:t>respeto del plazo para atender las solicitudes de información</w:t>
      </w:r>
      <w:r w:rsidR="00D77FBD">
        <w:rPr>
          <w:i w:val="0"/>
          <w:iCs/>
          <w:sz w:val="24"/>
          <w:szCs w:val="24"/>
        </w:rPr>
        <w:t xml:space="preserve"> </w:t>
      </w:r>
      <w:r w:rsidR="00D77FBD">
        <w:rPr>
          <w:b/>
          <w:bCs/>
          <w:i w:val="0"/>
          <w:iCs/>
          <w:sz w:val="24"/>
          <w:szCs w:val="24"/>
        </w:rPr>
        <w:t>(15 días, con posibilidad de 7 días por prórroga)</w:t>
      </w:r>
      <w:r w:rsidR="00D77FBD" w:rsidRPr="00D77FBD">
        <w:rPr>
          <w:i w:val="0"/>
          <w:iCs/>
          <w:sz w:val="24"/>
          <w:szCs w:val="24"/>
        </w:rPr>
        <w:t xml:space="preserve"> y las sanciones por falta de respuesta</w:t>
      </w:r>
      <w:r w:rsidR="00D77FBD">
        <w:rPr>
          <w:i w:val="0"/>
          <w:iCs/>
          <w:sz w:val="24"/>
          <w:szCs w:val="24"/>
        </w:rPr>
        <w:t xml:space="preserve"> </w:t>
      </w:r>
      <w:r w:rsidR="00D77FBD">
        <w:rPr>
          <w:b/>
          <w:bCs/>
          <w:i w:val="0"/>
          <w:iCs/>
          <w:sz w:val="24"/>
          <w:szCs w:val="24"/>
        </w:rPr>
        <w:t>(responsabilidad administrativa en términos del numeral 222, fracción II de la Ley de Transparencia local)</w:t>
      </w:r>
      <w:r w:rsidR="00D77FBD" w:rsidRPr="00D77FBD">
        <w:rPr>
          <w:i w:val="0"/>
          <w:iCs/>
          <w:sz w:val="24"/>
          <w:szCs w:val="24"/>
        </w:rPr>
        <w:t xml:space="preserve">, no se omite comentar </w:t>
      </w:r>
      <w:r w:rsidR="00D77FBD" w:rsidRPr="00D77FBD">
        <w:rPr>
          <w:i w:val="0"/>
          <w:iCs/>
          <w:color w:val="000000"/>
          <w:sz w:val="24"/>
          <w:szCs w:val="24"/>
        </w:rPr>
        <w:t xml:space="preserve">que, </w:t>
      </w:r>
      <w:r w:rsidR="00D77FBD" w:rsidRPr="001F410E">
        <w:rPr>
          <w:i w:val="0"/>
          <w:iCs/>
          <w:sz w:val="24"/>
          <w:szCs w:val="24"/>
        </w:rPr>
        <w:t xml:space="preserve">al haber existido un pronunciamiento por parte del </w:t>
      </w:r>
      <w:r w:rsidR="00D77FBD" w:rsidRPr="001F410E">
        <w:rPr>
          <w:b/>
          <w:i w:val="0"/>
          <w:iCs/>
          <w:sz w:val="24"/>
          <w:szCs w:val="24"/>
        </w:rPr>
        <w:t>Sujeto Obligado</w:t>
      </w:r>
      <w:r w:rsidR="00D77FBD" w:rsidRPr="001F410E">
        <w:rPr>
          <w:i w:val="0"/>
          <w:iCs/>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2E5079E4" w14:textId="77777777" w:rsidR="00D77FBD" w:rsidRPr="00D12F4B" w:rsidRDefault="00D77FBD" w:rsidP="00D77FBD">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w:t>
      </w:r>
      <w:r w:rsidRPr="00D12F4B">
        <w:rPr>
          <w:rFonts w:ascii="Palatino Linotype" w:hAnsi="Palatino Linotype" w:cs="Arial"/>
          <w:sz w:val="24"/>
          <w:szCs w:val="24"/>
        </w:rPr>
        <w:lastRenderedPageBreak/>
        <w:t xml:space="preserve">Transparencia, Acceso a la Información y Protección de Datos Personales (INAI), el cual refiere: </w:t>
      </w:r>
    </w:p>
    <w:p w14:paraId="6060E968" w14:textId="77777777" w:rsidR="00D77FBD" w:rsidRPr="003A41AE" w:rsidRDefault="00D77FBD" w:rsidP="00D77FBD">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00E722DC" w14:textId="77777777" w:rsidR="00D77FBD" w:rsidRDefault="00D77FBD" w:rsidP="00D77FBD">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3E3110DD" w14:textId="77777777" w:rsidR="00D77FBD" w:rsidRDefault="00D77FBD" w:rsidP="00D77FBD">
      <w:pPr>
        <w:pStyle w:val="Citas"/>
      </w:pPr>
      <w:r w:rsidRPr="00D02076">
        <w:t xml:space="preserve">Expedientes: </w:t>
      </w:r>
    </w:p>
    <w:p w14:paraId="7B60B7F0" w14:textId="77777777" w:rsidR="00D77FBD" w:rsidRDefault="00D77FBD" w:rsidP="00D77FBD">
      <w:pPr>
        <w:pStyle w:val="Citas"/>
        <w:numPr>
          <w:ilvl w:val="0"/>
          <w:numId w:val="1"/>
        </w:numPr>
      </w:pPr>
      <w:r w:rsidRPr="00D02076">
        <w:t xml:space="preserve">2440/07 Comisión Federal de Electricidad - Alonso Lujambio Irazábal </w:t>
      </w:r>
    </w:p>
    <w:p w14:paraId="487D6CB2" w14:textId="77777777" w:rsidR="00D77FBD" w:rsidRDefault="00D77FBD" w:rsidP="00D77FBD">
      <w:pPr>
        <w:pStyle w:val="Citas"/>
        <w:numPr>
          <w:ilvl w:val="0"/>
          <w:numId w:val="1"/>
        </w:numPr>
      </w:pPr>
      <w:r w:rsidRPr="00D02076">
        <w:t xml:space="preserve">0113/09 Instituto de Seguridad y Servicios Sociales de los Trabajadores del Estado – Alonso Lujambio Irazábal </w:t>
      </w:r>
    </w:p>
    <w:p w14:paraId="0EBFC1E8" w14:textId="77777777" w:rsidR="00D77FBD" w:rsidRDefault="00D77FBD" w:rsidP="00D77FBD">
      <w:pPr>
        <w:pStyle w:val="Citas"/>
        <w:numPr>
          <w:ilvl w:val="0"/>
          <w:numId w:val="1"/>
        </w:numPr>
      </w:pPr>
      <w:r w:rsidRPr="00D02076">
        <w:lastRenderedPageBreak/>
        <w:t xml:space="preserve">1624/09 Instituto Nacional para la Educación de los Adultos - María </w:t>
      </w:r>
      <w:proofErr w:type="spellStart"/>
      <w:r w:rsidRPr="00D02076">
        <w:t>Marván</w:t>
      </w:r>
      <w:proofErr w:type="spellEnd"/>
      <w:r w:rsidRPr="00D02076">
        <w:t xml:space="preserve"> Laborde </w:t>
      </w:r>
    </w:p>
    <w:p w14:paraId="6D7EA191" w14:textId="77777777" w:rsidR="00D77FBD" w:rsidRDefault="00D77FBD" w:rsidP="00D77FBD">
      <w:pPr>
        <w:pStyle w:val="Citas"/>
        <w:numPr>
          <w:ilvl w:val="0"/>
          <w:numId w:val="1"/>
        </w:numPr>
      </w:pPr>
      <w:r w:rsidRPr="00D02076">
        <w:t xml:space="preserve">2395/09 Secretaría de Economía - María </w:t>
      </w:r>
      <w:proofErr w:type="spellStart"/>
      <w:r w:rsidRPr="00D02076">
        <w:t>Marván</w:t>
      </w:r>
      <w:proofErr w:type="spellEnd"/>
      <w:r w:rsidRPr="00D02076">
        <w:t xml:space="preserve"> Laborde </w:t>
      </w:r>
    </w:p>
    <w:p w14:paraId="2E093209" w14:textId="77777777" w:rsidR="00D77FBD" w:rsidRPr="00D02076" w:rsidRDefault="00D77FBD" w:rsidP="00D77FBD">
      <w:pPr>
        <w:pStyle w:val="Citas"/>
        <w:numPr>
          <w:ilvl w:val="0"/>
          <w:numId w:val="1"/>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31D14E93" w14:textId="77777777" w:rsidR="00D77FBD" w:rsidRDefault="00D77FBD" w:rsidP="00D77FBD">
      <w:pPr>
        <w:spacing w:before="240" w:line="360" w:lineRule="auto"/>
        <w:jc w:val="both"/>
        <w:rPr>
          <w:rFonts w:ascii="Palatino Linotype" w:hAnsi="Palatino Linotype"/>
          <w:sz w:val="24"/>
          <w:szCs w:val="24"/>
        </w:rPr>
      </w:pPr>
    </w:p>
    <w:p w14:paraId="45C025EF" w14:textId="77777777" w:rsidR="00D77FBD" w:rsidRPr="00CE784A" w:rsidRDefault="00D77FBD" w:rsidP="00D77FBD">
      <w:pPr>
        <w:autoSpaceDE w:val="0"/>
        <w:autoSpaceDN w:val="0"/>
        <w:adjustRightInd w:val="0"/>
        <w:spacing w:before="240" w:line="360" w:lineRule="auto"/>
        <w:jc w:val="both"/>
        <w:rPr>
          <w:rFonts w:ascii="Arial" w:hAnsi="Arial" w:cs="Arial"/>
          <w:color w:val="222222"/>
          <w:sz w:val="24"/>
          <w:szCs w:val="24"/>
          <w:lang w:eastAsia="es-MX"/>
        </w:rPr>
      </w:pPr>
      <w:r>
        <w:rPr>
          <w:rFonts w:ascii="Palatino Linotype" w:hAnsi="Palatino Linotype"/>
          <w:sz w:val="24"/>
          <w:szCs w:val="24"/>
        </w:rPr>
        <w:t xml:space="preserve">Ahora bien, respecto del requerimiento identificado con el numeral </w:t>
      </w:r>
      <w:r>
        <w:rPr>
          <w:rFonts w:ascii="Palatino Linotype" w:hAnsi="Palatino Linotype"/>
          <w:b/>
          <w:bCs/>
          <w:sz w:val="24"/>
          <w:szCs w:val="24"/>
        </w:rPr>
        <w:t xml:space="preserve">3 -tres-, </w:t>
      </w:r>
      <w:r w:rsidRPr="003167F4">
        <w:rPr>
          <w:rFonts w:ascii="Palatino Linotype" w:hAnsi="Palatino Linotype"/>
          <w:sz w:val="24"/>
          <w:szCs w:val="24"/>
        </w:rPr>
        <w:t xml:space="preserve">el Pleno del Órgano Garante local ha sostenido que, </w:t>
      </w:r>
      <w:r w:rsidRPr="00D77FBD">
        <w:rPr>
          <w:rFonts w:ascii="Palatino Linotype" w:hAnsi="Palatino Linotype" w:cs="Arial"/>
          <w:b/>
          <w:bCs/>
          <w:sz w:val="24"/>
          <w:szCs w:val="24"/>
          <w:u w:val="single"/>
        </w:rPr>
        <w:t>ante la presencia de un hecho negativo,</w:t>
      </w:r>
      <w:r w:rsidRPr="00CE784A">
        <w:rPr>
          <w:rFonts w:ascii="Palatino Linotype" w:hAnsi="Palatino Linotype" w:cs="Arial"/>
          <w:sz w:val="24"/>
          <w:szCs w:val="24"/>
        </w:rPr>
        <w:t xml:space="preserve"> </w:t>
      </w:r>
      <w:r w:rsidRPr="00D77FBD">
        <w:rPr>
          <w:rFonts w:ascii="Palatino Linotype" w:hAnsi="Palatino Linotype" w:cs="Arial"/>
          <w:b/>
          <w:bCs/>
          <w:sz w:val="24"/>
          <w:szCs w:val="24"/>
          <w:u w:val="single"/>
        </w:rPr>
        <w:t>resultaría innecesaria una declaratoria de inexistencia</w:t>
      </w:r>
      <w:r w:rsidRPr="00CE784A">
        <w:rPr>
          <w:rFonts w:ascii="Palatino Linotype" w:hAnsi="Palatino Linotype" w:cs="Arial"/>
          <w:sz w:val="24"/>
          <w:szCs w:val="24"/>
        </w:rPr>
        <w:t xml:space="preserve"> en términos de 19, 169 y 170 de la Ley de Transparencia y Acceso a la Información Pública del Estado de México y Municipios, y ante un hecho negativo resulta aplicable la siguiente tesis</w:t>
      </w:r>
      <w:r w:rsidRPr="00CE784A">
        <w:rPr>
          <w:rFonts w:ascii="Palatino Linotype" w:hAnsi="Palatino Linotype" w:cs="Arial"/>
          <w:color w:val="222222"/>
          <w:sz w:val="24"/>
          <w:szCs w:val="24"/>
        </w:rPr>
        <w:t>:</w:t>
      </w:r>
    </w:p>
    <w:p w14:paraId="777C1511" w14:textId="77777777" w:rsidR="00D77FBD" w:rsidRPr="004C117E" w:rsidRDefault="00D77FBD" w:rsidP="00D77FBD">
      <w:pPr>
        <w:pStyle w:val="Prrafodelista"/>
        <w:spacing w:before="240" w:line="360" w:lineRule="auto"/>
        <w:ind w:left="720" w:right="851"/>
        <w:jc w:val="both"/>
        <w:rPr>
          <w:rFonts w:ascii="Arial" w:hAnsi="Arial" w:cs="Arial"/>
          <w:color w:val="222222"/>
        </w:rPr>
      </w:pPr>
      <w:r w:rsidRPr="004C117E">
        <w:rPr>
          <w:rFonts w:ascii="Palatino Linotype" w:hAnsi="Palatino Linotype" w:cs="Arial"/>
          <w:color w:val="222222"/>
        </w:rPr>
        <w:t> </w:t>
      </w:r>
      <w:r w:rsidRPr="004C117E">
        <w:rPr>
          <w:rFonts w:ascii="Palatino Linotype" w:hAnsi="Palatino Linotype" w:cs="Arial"/>
          <w:b/>
          <w:bCs/>
          <w:i/>
          <w:iCs/>
          <w:color w:val="222222"/>
        </w:rPr>
        <w:t>“HECHOS NEGATIVOS, NO SON SUSCEPTIBLES DE DEMOSTRACION.</w:t>
      </w:r>
    </w:p>
    <w:p w14:paraId="6E4125CF" w14:textId="77777777" w:rsidR="00D77FBD" w:rsidRPr="004C117E" w:rsidRDefault="00D77FBD" w:rsidP="00D77FBD">
      <w:pPr>
        <w:pStyle w:val="Prrafodelista"/>
        <w:spacing w:before="240" w:line="360" w:lineRule="auto"/>
        <w:ind w:left="720" w:right="851"/>
        <w:jc w:val="both"/>
        <w:rPr>
          <w:rFonts w:ascii="Palatino Linotype" w:hAnsi="Palatino Linotype" w:cs="Arial"/>
          <w:i/>
          <w:iCs/>
          <w:color w:val="222222"/>
        </w:rPr>
      </w:pPr>
      <w:r w:rsidRPr="004C117E">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4C117E">
        <w:rPr>
          <w:rFonts w:ascii="Palatino Linotype" w:hAnsi="Palatino Linotype" w:cs="Arial"/>
          <w:b/>
          <w:i/>
          <w:iCs/>
          <w:color w:val="222222"/>
        </w:rPr>
        <w:t>[Sic]</w:t>
      </w:r>
    </w:p>
    <w:p w14:paraId="3BF5A648" w14:textId="77777777" w:rsidR="00D77FBD" w:rsidRDefault="00D77FBD" w:rsidP="00827658">
      <w:pPr>
        <w:pStyle w:val="Citas"/>
        <w:ind w:left="0" w:right="0"/>
        <w:rPr>
          <w:i w:val="0"/>
          <w:sz w:val="24"/>
          <w:szCs w:val="24"/>
        </w:rPr>
      </w:pPr>
    </w:p>
    <w:p w14:paraId="251F459F" w14:textId="6BA205F7" w:rsidR="00BD6D34" w:rsidRDefault="00D77FBD" w:rsidP="00827658">
      <w:pPr>
        <w:pStyle w:val="Citas"/>
        <w:ind w:left="0" w:right="0"/>
        <w:rPr>
          <w:i w:val="0"/>
          <w:sz w:val="24"/>
          <w:szCs w:val="24"/>
        </w:rPr>
      </w:pPr>
      <w:r>
        <w:rPr>
          <w:i w:val="0"/>
          <w:sz w:val="24"/>
          <w:szCs w:val="24"/>
        </w:rPr>
        <w:t xml:space="preserve">En efecto, hasta aquí lo expuesto se advierte </w:t>
      </w:r>
      <w:r w:rsidR="00BD6D34">
        <w:rPr>
          <w:i w:val="0"/>
          <w:sz w:val="24"/>
          <w:szCs w:val="24"/>
        </w:rPr>
        <w:t>que,</w:t>
      </w:r>
      <w:r>
        <w:rPr>
          <w:i w:val="0"/>
          <w:sz w:val="24"/>
          <w:szCs w:val="24"/>
        </w:rPr>
        <w:t xml:space="preserve"> </w:t>
      </w:r>
      <w:r w:rsidR="00BD6D34">
        <w:rPr>
          <w:i w:val="0"/>
          <w:sz w:val="24"/>
          <w:szCs w:val="24"/>
        </w:rPr>
        <w:t xml:space="preserve">mediante motivos de inconformidad, </w:t>
      </w:r>
      <w:r w:rsidR="00BD6D34">
        <w:rPr>
          <w:b/>
          <w:bCs/>
          <w:i w:val="0"/>
          <w:sz w:val="24"/>
          <w:szCs w:val="24"/>
        </w:rPr>
        <w:t xml:space="preserve">El Recurrente </w:t>
      </w:r>
      <w:r w:rsidR="00BD6D34">
        <w:rPr>
          <w:i w:val="0"/>
          <w:sz w:val="24"/>
          <w:szCs w:val="24"/>
        </w:rPr>
        <w:t xml:space="preserve">aduce de manera infundada que </w:t>
      </w:r>
      <w:r w:rsidR="00BD6D34">
        <w:rPr>
          <w:b/>
          <w:bCs/>
          <w:i w:val="0"/>
          <w:sz w:val="24"/>
          <w:szCs w:val="24"/>
        </w:rPr>
        <w:t xml:space="preserve">El Sujeto Obligado </w:t>
      </w:r>
      <w:r w:rsidR="00BD6D34">
        <w:rPr>
          <w:i w:val="0"/>
          <w:sz w:val="24"/>
          <w:szCs w:val="24"/>
        </w:rPr>
        <w:t xml:space="preserve">declaró la </w:t>
      </w:r>
      <w:r w:rsidR="00BD6D34">
        <w:rPr>
          <w:i w:val="0"/>
          <w:sz w:val="24"/>
          <w:szCs w:val="24"/>
        </w:rPr>
        <w:lastRenderedPageBreak/>
        <w:t xml:space="preserve">inexistencia de la información, hipótesis fáctica que no se tiene por actualizada, al tomar en consideración que la actuación del </w:t>
      </w:r>
      <w:r w:rsidR="00BD6D34">
        <w:rPr>
          <w:b/>
          <w:bCs/>
          <w:i w:val="0"/>
          <w:sz w:val="24"/>
          <w:szCs w:val="24"/>
        </w:rPr>
        <w:t xml:space="preserve">Sujeto Obligado </w:t>
      </w:r>
      <w:r w:rsidR="00BD6D34">
        <w:rPr>
          <w:i w:val="0"/>
          <w:sz w:val="24"/>
          <w:szCs w:val="24"/>
        </w:rPr>
        <w:t>implica los siguientes presupuestos procesales:</w:t>
      </w:r>
    </w:p>
    <w:p w14:paraId="43220D18" w14:textId="3D1DAFEF" w:rsidR="00BD6D34" w:rsidRDefault="00BD6D34" w:rsidP="00BD6D34">
      <w:pPr>
        <w:pStyle w:val="Citas"/>
        <w:numPr>
          <w:ilvl w:val="0"/>
          <w:numId w:val="16"/>
        </w:numPr>
        <w:ind w:right="0"/>
        <w:rPr>
          <w:i w:val="0"/>
          <w:sz w:val="24"/>
          <w:szCs w:val="24"/>
        </w:rPr>
      </w:pPr>
      <w:r>
        <w:rPr>
          <w:i w:val="0"/>
          <w:sz w:val="24"/>
          <w:szCs w:val="24"/>
        </w:rPr>
        <w:t xml:space="preserve">Que la solicitud de información </w:t>
      </w:r>
      <w:r>
        <w:rPr>
          <w:b/>
          <w:bCs/>
          <w:i w:val="0"/>
          <w:sz w:val="24"/>
          <w:szCs w:val="24"/>
        </w:rPr>
        <w:t xml:space="preserve">00237/INFOEM/IP/RR/2023 </w:t>
      </w:r>
      <w:r>
        <w:rPr>
          <w:i w:val="0"/>
          <w:sz w:val="24"/>
          <w:szCs w:val="24"/>
        </w:rPr>
        <w:t xml:space="preserve">fue turnada a las áreas estimadas competentes. </w:t>
      </w:r>
    </w:p>
    <w:p w14:paraId="2A8C0BB6" w14:textId="602498E8" w:rsidR="00BD6D34" w:rsidRDefault="00BD6D34" w:rsidP="00BD6D34">
      <w:pPr>
        <w:pStyle w:val="Citas"/>
        <w:numPr>
          <w:ilvl w:val="0"/>
          <w:numId w:val="16"/>
        </w:numPr>
        <w:ind w:right="0"/>
        <w:rPr>
          <w:i w:val="0"/>
          <w:sz w:val="24"/>
          <w:szCs w:val="24"/>
        </w:rPr>
      </w:pPr>
      <w:r>
        <w:rPr>
          <w:i w:val="0"/>
          <w:sz w:val="24"/>
          <w:szCs w:val="24"/>
        </w:rPr>
        <w:t xml:space="preserve">Que con relación al requerimiento identificado con el numeral </w:t>
      </w:r>
      <w:r>
        <w:rPr>
          <w:b/>
          <w:bCs/>
          <w:i w:val="0"/>
          <w:sz w:val="24"/>
          <w:szCs w:val="24"/>
        </w:rPr>
        <w:t xml:space="preserve">3 (sujetos obligados sancionados), </w:t>
      </w:r>
      <w:r>
        <w:rPr>
          <w:i w:val="0"/>
          <w:sz w:val="24"/>
          <w:szCs w:val="24"/>
        </w:rPr>
        <w:t xml:space="preserve">el servidor público habilitado manifestó que la información no obra en sus archivos, </w:t>
      </w:r>
      <w:r w:rsidR="00654151">
        <w:rPr>
          <w:i w:val="0"/>
          <w:sz w:val="24"/>
          <w:szCs w:val="24"/>
        </w:rPr>
        <w:t>pronunciamiento que se traduce en que</w:t>
      </w:r>
      <w:r>
        <w:rPr>
          <w:i w:val="0"/>
          <w:sz w:val="24"/>
          <w:szCs w:val="24"/>
        </w:rPr>
        <w:t xml:space="preserve"> ningún </w:t>
      </w:r>
      <w:r>
        <w:rPr>
          <w:b/>
          <w:bCs/>
          <w:i w:val="0"/>
          <w:sz w:val="24"/>
          <w:szCs w:val="24"/>
        </w:rPr>
        <w:t xml:space="preserve">Sujeto Obligado </w:t>
      </w:r>
      <w:r>
        <w:rPr>
          <w:i w:val="0"/>
          <w:sz w:val="24"/>
          <w:szCs w:val="24"/>
        </w:rPr>
        <w:t>ha sido sancionado en la temporalidad señalada por el particular.</w:t>
      </w:r>
    </w:p>
    <w:p w14:paraId="14D413ED" w14:textId="4981261A" w:rsidR="00BD6D34" w:rsidRPr="00654151" w:rsidRDefault="00BD6D34" w:rsidP="00BD6D34">
      <w:pPr>
        <w:pStyle w:val="Citas"/>
        <w:numPr>
          <w:ilvl w:val="0"/>
          <w:numId w:val="16"/>
        </w:numPr>
        <w:ind w:right="0"/>
        <w:rPr>
          <w:i w:val="0"/>
          <w:sz w:val="24"/>
          <w:szCs w:val="24"/>
        </w:rPr>
      </w:pPr>
      <w:r>
        <w:rPr>
          <w:i w:val="0"/>
          <w:sz w:val="24"/>
          <w:szCs w:val="24"/>
        </w:rPr>
        <w:t xml:space="preserve">Que los hechos negativos no son susceptibles de demostración, al tomar en consideración que el derecho de acceso a la información parte de un principio de buena fe de los </w:t>
      </w:r>
      <w:r>
        <w:rPr>
          <w:b/>
          <w:bCs/>
          <w:i w:val="0"/>
          <w:sz w:val="24"/>
          <w:szCs w:val="24"/>
        </w:rPr>
        <w:t>Sujetos Obligados.</w:t>
      </w:r>
    </w:p>
    <w:p w14:paraId="54528E55" w14:textId="5E56714C" w:rsidR="00654151" w:rsidRDefault="00654151" w:rsidP="00BD6D34">
      <w:pPr>
        <w:pStyle w:val="Citas"/>
        <w:numPr>
          <w:ilvl w:val="0"/>
          <w:numId w:val="16"/>
        </w:numPr>
        <w:ind w:right="0"/>
        <w:rPr>
          <w:i w:val="0"/>
          <w:sz w:val="24"/>
          <w:szCs w:val="24"/>
        </w:rPr>
      </w:pPr>
      <w:r>
        <w:rPr>
          <w:i w:val="0"/>
          <w:sz w:val="24"/>
          <w:szCs w:val="24"/>
        </w:rPr>
        <w:t xml:space="preserve">Que conforme a la corriente doctrinal imperante en la materia mediante el criterio </w:t>
      </w:r>
      <w:r>
        <w:rPr>
          <w:b/>
          <w:bCs/>
          <w:i w:val="0"/>
          <w:sz w:val="24"/>
          <w:szCs w:val="24"/>
        </w:rPr>
        <w:t xml:space="preserve">08/19 </w:t>
      </w:r>
      <w:r>
        <w:rPr>
          <w:i w:val="0"/>
          <w:sz w:val="24"/>
          <w:szCs w:val="24"/>
        </w:rPr>
        <w:t xml:space="preserve">de rubro </w:t>
      </w:r>
      <w:r>
        <w:rPr>
          <w:b/>
          <w:bCs/>
          <w:iCs/>
          <w:sz w:val="24"/>
          <w:szCs w:val="24"/>
        </w:rPr>
        <w:t xml:space="preserve">“INEXISTENCIA DE LA INFORMACIÓN. SUPUESTOS PARA EMITIR LA RESOLUCIÓN DE LA” </w:t>
      </w:r>
      <w:r>
        <w:rPr>
          <w:i w:val="0"/>
          <w:sz w:val="24"/>
          <w:szCs w:val="24"/>
        </w:rPr>
        <w:t>existen tres supuestos para declarar inexistencia de la información:</w:t>
      </w:r>
    </w:p>
    <w:p w14:paraId="0EEF3BE6" w14:textId="75637954" w:rsidR="00654151" w:rsidRPr="00654151" w:rsidRDefault="00654151" w:rsidP="00654151">
      <w:pPr>
        <w:pStyle w:val="Citas"/>
        <w:numPr>
          <w:ilvl w:val="0"/>
          <w:numId w:val="17"/>
        </w:numPr>
        <w:ind w:right="0"/>
        <w:rPr>
          <w:i w:val="0"/>
          <w:iCs/>
          <w:sz w:val="24"/>
          <w:szCs w:val="24"/>
        </w:rPr>
      </w:pPr>
      <w:r>
        <w:rPr>
          <w:i w:val="0"/>
          <w:iCs/>
          <w:sz w:val="24"/>
          <w:szCs w:val="24"/>
        </w:rPr>
        <w:t>C</w:t>
      </w:r>
      <w:r w:rsidRPr="00654151">
        <w:rPr>
          <w:i w:val="0"/>
          <w:iCs/>
          <w:sz w:val="24"/>
          <w:szCs w:val="24"/>
        </w:rPr>
        <w:t xml:space="preserve">uando no se generó, poseyó o administró el documento teniendo la obligación conforme a la presunción legal que deriva de las facultades, </w:t>
      </w:r>
      <w:r w:rsidRPr="00654151">
        <w:rPr>
          <w:i w:val="0"/>
          <w:iCs/>
          <w:sz w:val="24"/>
          <w:szCs w:val="24"/>
        </w:rPr>
        <w:lastRenderedPageBreak/>
        <w:t>competencias y atribuciones que los ordenamientos jurídicos aplicables le otorgan;</w:t>
      </w:r>
    </w:p>
    <w:p w14:paraId="3E1AD164" w14:textId="14244281" w:rsidR="00654151" w:rsidRPr="00654151" w:rsidRDefault="00654151" w:rsidP="00654151">
      <w:pPr>
        <w:pStyle w:val="Citas"/>
        <w:numPr>
          <w:ilvl w:val="0"/>
          <w:numId w:val="17"/>
        </w:numPr>
        <w:ind w:right="0"/>
        <w:rPr>
          <w:i w:val="0"/>
          <w:iCs/>
          <w:sz w:val="24"/>
          <w:szCs w:val="24"/>
        </w:rPr>
      </w:pPr>
      <w:r>
        <w:rPr>
          <w:i w:val="0"/>
          <w:iCs/>
          <w:sz w:val="24"/>
          <w:szCs w:val="24"/>
        </w:rPr>
        <w:t>Q</w:t>
      </w:r>
      <w:r w:rsidRPr="00654151">
        <w:rPr>
          <w:i w:val="0"/>
          <w:iCs/>
          <w:sz w:val="24"/>
          <w:szCs w:val="24"/>
        </w:rPr>
        <w:t>ue, habiendo sido generada, poseída o administrada, por algún motivo ya no se cuenta con la información solicitada; o bien,</w:t>
      </w:r>
    </w:p>
    <w:p w14:paraId="58EB7718" w14:textId="0B665D8A" w:rsidR="00654151" w:rsidRPr="00654151" w:rsidRDefault="00654151" w:rsidP="00654151">
      <w:pPr>
        <w:pStyle w:val="Citas"/>
        <w:numPr>
          <w:ilvl w:val="0"/>
          <w:numId w:val="17"/>
        </w:numPr>
        <w:ind w:right="0"/>
        <w:rPr>
          <w:i w:val="0"/>
          <w:iCs/>
          <w:sz w:val="24"/>
          <w:szCs w:val="24"/>
        </w:rPr>
      </w:pPr>
      <w:r>
        <w:rPr>
          <w:i w:val="0"/>
          <w:iCs/>
          <w:sz w:val="24"/>
          <w:szCs w:val="24"/>
        </w:rPr>
        <w:t>C</w:t>
      </w:r>
      <w:r w:rsidRPr="00654151">
        <w:rPr>
          <w:i w:val="0"/>
          <w:iCs/>
          <w:sz w:val="24"/>
          <w:szCs w:val="24"/>
        </w:rPr>
        <w:t>uando el Sujeto Obligado fue omiso en ejercer una facultad, competencia o atribución inexcusable</w:t>
      </w:r>
    </w:p>
    <w:p w14:paraId="1DBCEAC0" w14:textId="2E682A5B" w:rsidR="00654151" w:rsidRPr="00654151" w:rsidRDefault="00654151" w:rsidP="00654151">
      <w:pPr>
        <w:pStyle w:val="Citas"/>
        <w:numPr>
          <w:ilvl w:val="0"/>
          <w:numId w:val="19"/>
        </w:numPr>
        <w:ind w:right="0"/>
        <w:rPr>
          <w:b/>
          <w:bCs/>
          <w:i w:val="0"/>
          <w:sz w:val="24"/>
          <w:szCs w:val="24"/>
        </w:rPr>
      </w:pPr>
      <w:r>
        <w:rPr>
          <w:i w:val="0"/>
          <w:sz w:val="24"/>
          <w:szCs w:val="24"/>
        </w:rPr>
        <w:t xml:space="preserve">Presupuestos previamente referidos que no se tienen por actualizados en el caso en concreto, puesto que la ejecución de dicha atribución reservada al Órgano Interno de Control invariablemente requiere de una omisión por parte de algún </w:t>
      </w:r>
      <w:r>
        <w:rPr>
          <w:b/>
          <w:bCs/>
          <w:i w:val="0"/>
          <w:sz w:val="24"/>
          <w:szCs w:val="24"/>
        </w:rPr>
        <w:t xml:space="preserve">Sujeto Obligado, </w:t>
      </w:r>
      <w:r>
        <w:rPr>
          <w:i w:val="0"/>
          <w:sz w:val="24"/>
          <w:szCs w:val="24"/>
        </w:rPr>
        <w:t xml:space="preserve">la cual no se tiene por actualizada en los parámetros de inicio y conclusión de búsqueda de la información delimitados por el particular. </w:t>
      </w:r>
    </w:p>
    <w:p w14:paraId="6C7F004D" w14:textId="4E6E56EA" w:rsidR="00A444BE" w:rsidRPr="00545F49" w:rsidRDefault="00A444BE">
      <w:pPr>
        <w:pStyle w:val="Citas"/>
        <w:numPr>
          <w:ilvl w:val="0"/>
          <w:numId w:val="7"/>
        </w:numPr>
        <w:tabs>
          <w:tab w:val="left" w:pos="7470"/>
        </w:tabs>
        <w:ind w:right="72"/>
        <w:rPr>
          <w:i w:val="0"/>
          <w:iCs/>
          <w:sz w:val="24"/>
          <w:szCs w:val="24"/>
        </w:rPr>
      </w:pPr>
      <w:r>
        <w:rPr>
          <w:i w:val="0"/>
          <w:iCs/>
          <w:sz w:val="24"/>
          <w:szCs w:val="24"/>
        </w:rPr>
        <w:t xml:space="preserve">Finalmente, se destaca que </w:t>
      </w:r>
      <w:r w:rsidR="00F92F0A">
        <w:rPr>
          <w:i w:val="0"/>
          <w:iCs/>
          <w:sz w:val="24"/>
          <w:szCs w:val="24"/>
        </w:rPr>
        <w:t xml:space="preserve">en términos del numeral 12 de la Ley de Transparencia local, los </w:t>
      </w:r>
      <w:r w:rsidR="00F92F0A">
        <w:rPr>
          <w:b/>
          <w:bCs/>
          <w:i w:val="0"/>
          <w:iCs/>
          <w:sz w:val="24"/>
          <w:szCs w:val="24"/>
        </w:rPr>
        <w:t xml:space="preserve">Sujetos Obligados </w:t>
      </w:r>
      <w:r w:rsidR="00F92F0A">
        <w:rPr>
          <w:i w:val="0"/>
          <w:iCs/>
          <w:sz w:val="24"/>
          <w:szCs w:val="24"/>
        </w:rPr>
        <w:t xml:space="preserve">únicamente se encuentran constreñidos a proporcionar la información en los términos en los que obre en sus archivos, es decir, el derecho de acceso a la información excluye la obligación de generar, documentos, procesar información o incluso generar soportes documentales encauzados a atender la pretensión de los particulares. </w:t>
      </w:r>
      <w:r w:rsidR="00F92F0A" w:rsidRPr="00AA7E8A">
        <w:rPr>
          <w:i w:val="0"/>
          <w:iCs/>
          <w:sz w:val="24"/>
          <w:szCs w:val="24"/>
        </w:rPr>
        <w:t>No obstante, no hay normatividad que prohíba hacerlo de manera oficiosa.</w:t>
      </w:r>
      <w:r w:rsidR="00F92F0A">
        <w:rPr>
          <w:b/>
          <w:bCs/>
          <w:i w:val="0"/>
          <w:iCs/>
          <w:sz w:val="24"/>
          <w:szCs w:val="24"/>
          <w:u w:val="single"/>
        </w:rPr>
        <w:t xml:space="preserve"> </w:t>
      </w:r>
      <w:r w:rsidR="00F92F0A" w:rsidRPr="00F92F0A">
        <w:rPr>
          <w:b/>
          <w:bCs/>
          <w:i w:val="0"/>
          <w:iCs/>
          <w:sz w:val="24"/>
          <w:szCs w:val="24"/>
          <w:u w:val="single"/>
        </w:rPr>
        <w:t xml:space="preserve"> </w:t>
      </w:r>
    </w:p>
    <w:p w14:paraId="5F492D74" w14:textId="77777777" w:rsidR="00C6786D" w:rsidRDefault="00C6786D" w:rsidP="00827658">
      <w:pPr>
        <w:spacing w:line="360" w:lineRule="auto"/>
        <w:contextualSpacing/>
        <w:jc w:val="both"/>
        <w:rPr>
          <w:rFonts w:ascii="Palatino Linotype" w:hAnsi="Palatino Linotype" w:cs="Arial"/>
          <w:noProof/>
          <w:color w:val="000000"/>
          <w:sz w:val="24"/>
          <w:lang w:eastAsia="es-MX"/>
        </w:rPr>
      </w:pPr>
    </w:p>
    <w:p w14:paraId="2D27D88D" w14:textId="72BD328D" w:rsidR="00827658" w:rsidRPr="000F7BB3" w:rsidRDefault="00827658" w:rsidP="00827658">
      <w:pPr>
        <w:spacing w:line="360" w:lineRule="auto"/>
        <w:contextualSpacing/>
        <w:jc w:val="both"/>
        <w:rPr>
          <w:rFonts w:ascii="Palatino Linotype" w:hAnsi="Palatino Linotype" w:cs="Arial"/>
          <w:sz w:val="24"/>
          <w:szCs w:val="24"/>
        </w:rPr>
      </w:pPr>
      <w:r w:rsidRPr="000F7BB3">
        <w:rPr>
          <w:rFonts w:ascii="Palatino Linotype" w:hAnsi="Palatino Linotype" w:cs="Arial"/>
          <w:noProof/>
          <w:color w:val="000000"/>
          <w:sz w:val="24"/>
          <w:lang w:eastAsia="es-MX"/>
        </w:rPr>
        <w:lastRenderedPageBreak/>
        <w:t xml:space="preserve">En virtud de lo anterior, este Órgano Garante arriba a la conclusión de que la respuesta primigenia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se encuentra dotada de los principios de </w:t>
      </w:r>
      <w:r w:rsidRPr="000F7BB3">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6CAB7515" w14:textId="77777777" w:rsidR="00827658" w:rsidRPr="000F7BB3" w:rsidRDefault="00827658" w:rsidP="00827658">
      <w:pPr>
        <w:spacing w:before="240" w:line="360" w:lineRule="auto"/>
        <w:ind w:left="851" w:right="851"/>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08B79AFF" w14:textId="77777777" w:rsidR="00827658" w:rsidRPr="000F7BB3" w:rsidRDefault="00827658" w:rsidP="00827658">
      <w:pPr>
        <w:spacing w:before="240" w:line="360" w:lineRule="auto"/>
        <w:ind w:left="851" w:right="851"/>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6C1DF90" w14:textId="77777777" w:rsidR="00827658" w:rsidRPr="000F7BB3" w:rsidRDefault="00827658">
      <w:pPr>
        <w:pStyle w:val="Prrafodelista"/>
        <w:numPr>
          <w:ilvl w:val="0"/>
          <w:numId w:val="2"/>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56AA5042" w14:textId="77777777" w:rsidR="00827658" w:rsidRPr="000F7BB3" w:rsidRDefault="00827658">
      <w:pPr>
        <w:pStyle w:val="Prrafodelista"/>
        <w:numPr>
          <w:ilvl w:val="0"/>
          <w:numId w:val="2"/>
        </w:numPr>
        <w:spacing w:before="240" w:line="360" w:lineRule="auto"/>
        <w:ind w:right="851"/>
        <w:jc w:val="both"/>
        <w:rPr>
          <w:rFonts w:ascii="Palatino Linotype" w:hAnsi="Palatino Linotype" w:cs="Arial"/>
          <w:i/>
        </w:rPr>
      </w:pPr>
      <w:r w:rsidRPr="000F7BB3">
        <w:rPr>
          <w:rFonts w:ascii="Palatino Linotype" w:hAnsi="Palatino Linotype" w:cs="Arial"/>
          <w:i/>
        </w:rPr>
        <w:lastRenderedPageBreak/>
        <w:t xml:space="preserve">RRA 0100/16. Sindicato Nacional de Trabajadores de la Educación. 13 de julio de 2016. Por unanimidad. Comisionada Ponente Areli Cano Guadiana. </w:t>
      </w:r>
    </w:p>
    <w:p w14:paraId="5ED5CF9D" w14:textId="77777777" w:rsidR="00827658" w:rsidRPr="000F7BB3" w:rsidRDefault="00827658">
      <w:pPr>
        <w:pStyle w:val="Prrafodelista"/>
        <w:numPr>
          <w:ilvl w:val="0"/>
          <w:numId w:val="2"/>
        </w:numPr>
        <w:spacing w:before="240" w:line="360" w:lineRule="auto"/>
        <w:ind w:right="851"/>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Pr>
          <w:rFonts w:ascii="Palatino Linotype" w:hAnsi="Palatino Linotype"/>
          <w:b/>
          <w:i/>
          <w:lang w:val="es-ES_tradnl"/>
        </w:rPr>
        <w:t>(Sic)</w:t>
      </w:r>
    </w:p>
    <w:p w14:paraId="4B8A997E" w14:textId="77777777" w:rsidR="00827658" w:rsidRPr="000F7BB3" w:rsidRDefault="00827658" w:rsidP="00827658">
      <w:pPr>
        <w:spacing w:after="0" w:line="360" w:lineRule="auto"/>
        <w:jc w:val="both"/>
        <w:rPr>
          <w:rFonts w:ascii="Palatino Linotype" w:hAnsi="Palatino Linotype" w:cs="Arial"/>
          <w:noProof/>
          <w:color w:val="000000"/>
          <w:sz w:val="24"/>
          <w:lang w:eastAsia="es-MX"/>
        </w:rPr>
      </w:pPr>
    </w:p>
    <w:p w14:paraId="1F2F605A" w14:textId="77777777" w:rsidR="00827658" w:rsidRDefault="00827658" w:rsidP="00827658">
      <w:pPr>
        <w:spacing w:after="0" w:line="360" w:lineRule="auto"/>
        <w:jc w:val="both"/>
        <w:rPr>
          <w:rFonts w:ascii="Palatino Linotype" w:hAnsi="Palatino Linotype" w:cs="Arial"/>
          <w:noProof/>
          <w:color w:val="000000"/>
          <w:sz w:val="24"/>
          <w:lang w:eastAsia="es-MX"/>
        </w:rPr>
      </w:pPr>
    </w:p>
    <w:p w14:paraId="77900D8C" w14:textId="77777777" w:rsidR="00827658" w:rsidRPr="000F7BB3" w:rsidRDefault="00827658" w:rsidP="00827658">
      <w:pPr>
        <w:spacing w:after="0" w:line="360" w:lineRule="auto"/>
        <w:jc w:val="both"/>
        <w:rPr>
          <w:rFonts w:ascii="Palatino Linotype" w:hAnsi="Palatino Linotype" w:cs="Arial"/>
          <w:b/>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arriba a la conclusión de que la respuesta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colmó el derecho de acceso a la información ejercido por el particular. </w:t>
      </w:r>
    </w:p>
    <w:p w14:paraId="7B60B1BB" w14:textId="77777777" w:rsidR="005C4571" w:rsidRDefault="005C4571" w:rsidP="00827658">
      <w:pPr>
        <w:spacing w:after="0" w:line="360" w:lineRule="auto"/>
        <w:jc w:val="both"/>
        <w:rPr>
          <w:rFonts w:ascii="Palatino Linotype" w:hAnsi="Palatino Linotype"/>
          <w:sz w:val="24"/>
          <w:szCs w:val="24"/>
        </w:rPr>
      </w:pPr>
    </w:p>
    <w:p w14:paraId="391B7E34" w14:textId="1333A737" w:rsidR="00F92F0A" w:rsidRPr="00F92F0A" w:rsidRDefault="00827658" w:rsidP="00827658">
      <w:pPr>
        <w:spacing w:after="0" w:line="360" w:lineRule="auto"/>
        <w:jc w:val="both"/>
        <w:rPr>
          <w:rFonts w:ascii="Palatino Linotype" w:hAnsi="Palatino Linotype"/>
          <w:bCs/>
          <w:sz w:val="24"/>
          <w:szCs w:val="24"/>
        </w:rPr>
      </w:pPr>
      <w:r w:rsidRPr="000F7BB3">
        <w:rPr>
          <w:rFonts w:ascii="Palatino Linotype" w:hAnsi="Palatino Linotype"/>
          <w:sz w:val="24"/>
          <w:szCs w:val="24"/>
        </w:rPr>
        <w:t xml:space="preserve">En mérito de lo expuesto en líneas anteriores, resultan infundados los motivos de inconformidad que arguye </w:t>
      </w:r>
      <w:r w:rsidR="00F92F0A">
        <w:rPr>
          <w:rFonts w:ascii="Palatino Linotype" w:hAnsi="Palatino Linotype"/>
          <w:b/>
          <w:sz w:val="24"/>
          <w:szCs w:val="24"/>
        </w:rPr>
        <w:t>El Recurrente</w:t>
      </w:r>
      <w:r w:rsidRPr="000F7BB3">
        <w:rPr>
          <w:rFonts w:ascii="Palatino Linotype" w:hAnsi="Palatino Linotype"/>
          <w:b/>
          <w:sz w:val="24"/>
          <w:szCs w:val="24"/>
        </w:rPr>
        <w:t xml:space="preserve"> </w:t>
      </w:r>
      <w:r w:rsidRPr="000F7BB3">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0F7BB3">
        <w:rPr>
          <w:rFonts w:ascii="Palatino Linotype" w:hAnsi="Palatino Linotype"/>
          <w:b/>
          <w:sz w:val="24"/>
          <w:szCs w:val="24"/>
        </w:rPr>
        <w:t>CONFIRMA</w:t>
      </w:r>
      <w:r w:rsidR="005C4571">
        <w:rPr>
          <w:rFonts w:ascii="Palatino Linotype" w:hAnsi="Palatino Linotype"/>
          <w:b/>
          <w:sz w:val="24"/>
          <w:szCs w:val="24"/>
        </w:rPr>
        <w:t xml:space="preserve"> </w:t>
      </w:r>
      <w:r w:rsidR="005C4571">
        <w:rPr>
          <w:rFonts w:ascii="Palatino Linotype" w:hAnsi="Palatino Linotype"/>
          <w:bCs/>
          <w:sz w:val="24"/>
          <w:szCs w:val="24"/>
        </w:rPr>
        <w:t xml:space="preserve">la respuesta a la solicitud de información número </w:t>
      </w:r>
      <w:r w:rsidR="00654151">
        <w:rPr>
          <w:rFonts w:ascii="Palatino Linotype" w:hAnsi="Palatino Linotype"/>
          <w:b/>
          <w:sz w:val="24"/>
          <w:szCs w:val="24"/>
        </w:rPr>
        <w:t>00237/INFOEM/IP/2023</w:t>
      </w:r>
      <w:r w:rsidR="00F92F0A">
        <w:rPr>
          <w:rFonts w:ascii="Palatino Linotype" w:hAnsi="Palatino Linotype"/>
          <w:b/>
          <w:sz w:val="24"/>
          <w:szCs w:val="24"/>
        </w:rPr>
        <w:t xml:space="preserve"> </w:t>
      </w:r>
      <w:r w:rsidR="00F92F0A">
        <w:rPr>
          <w:rFonts w:ascii="Palatino Linotype" w:hAnsi="Palatino Linotype"/>
          <w:bCs/>
          <w:sz w:val="24"/>
          <w:szCs w:val="24"/>
        </w:rPr>
        <w:t xml:space="preserve">que ha sido materia del presente fallo. </w:t>
      </w:r>
    </w:p>
    <w:p w14:paraId="6B154152" w14:textId="77777777" w:rsidR="00827658" w:rsidRDefault="00827658" w:rsidP="00827658">
      <w:pPr>
        <w:tabs>
          <w:tab w:val="left" w:pos="709"/>
        </w:tabs>
        <w:spacing w:before="240" w:line="360" w:lineRule="auto"/>
        <w:ind w:right="51"/>
        <w:jc w:val="both"/>
        <w:rPr>
          <w:rFonts w:ascii="Palatino Linotype" w:hAnsi="Palatino Linotype"/>
          <w:sz w:val="24"/>
          <w:szCs w:val="24"/>
        </w:rPr>
      </w:pPr>
      <w:r w:rsidRPr="000F7BB3">
        <w:rPr>
          <w:rFonts w:ascii="Palatino Linotype" w:hAnsi="Palatino Linotype"/>
          <w:sz w:val="24"/>
          <w:szCs w:val="24"/>
        </w:rPr>
        <w:t xml:space="preserve">Por lo antes expuesto y fundado es de resolverse y, </w:t>
      </w:r>
    </w:p>
    <w:p w14:paraId="2977D54F" w14:textId="77777777" w:rsidR="00827658" w:rsidRPr="000F7BB3" w:rsidRDefault="00827658" w:rsidP="00827658">
      <w:pPr>
        <w:tabs>
          <w:tab w:val="left" w:pos="709"/>
        </w:tabs>
        <w:spacing w:before="240" w:line="360" w:lineRule="auto"/>
        <w:ind w:right="51"/>
        <w:jc w:val="both"/>
        <w:rPr>
          <w:rFonts w:ascii="Palatino Linotype" w:hAnsi="Palatino Linotype"/>
          <w:sz w:val="24"/>
          <w:szCs w:val="24"/>
        </w:rPr>
      </w:pPr>
    </w:p>
    <w:p w14:paraId="753F0E8A" w14:textId="77777777" w:rsidR="00827658" w:rsidRPr="000F7BB3" w:rsidRDefault="00827658" w:rsidP="00827658">
      <w:pPr>
        <w:spacing w:before="240" w:line="360" w:lineRule="auto"/>
        <w:jc w:val="center"/>
        <w:rPr>
          <w:rFonts w:ascii="Palatino Linotype" w:eastAsia="Times New Roman" w:hAnsi="Palatino Linotype"/>
          <w:b/>
          <w:bCs/>
          <w:spacing w:val="60"/>
          <w:sz w:val="28"/>
          <w:lang w:val="es-ES_tradnl"/>
        </w:rPr>
      </w:pPr>
      <w:r w:rsidRPr="000F7BB3">
        <w:rPr>
          <w:rFonts w:ascii="Palatino Linotype" w:eastAsia="Times New Roman" w:hAnsi="Palatino Linotype"/>
          <w:b/>
          <w:bCs/>
          <w:spacing w:val="60"/>
          <w:sz w:val="28"/>
          <w:lang w:val="es-ES_tradnl"/>
        </w:rPr>
        <w:lastRenderedPageBreak/>
        <w:t>SE    RESUELVE</w:t>
      </w:r>
    </w:p>
    <w:p w14:paraId="0F1DB1FB" w14:textId="4918EE67" w:rsidR="00827658" w:rsidRDefault="00827658" w:rsidP="00827658">
      <w:pPr>
        <w:spacing w:before="240" w:line="360" w:lineRule="auto"/>
        <w:jc w:val="both"/>
        <w:rPr>
          <w:rFonts w:ascii="Palatino Linotype" w:hAnsi="Palatino Linotype" w:cs="Arial"/>
          <w:sz w:val="24"/>
          <w:szCs w:val="24"/>
        </w:rPr>
      </w:pPr>
      <w:r w:rsidRPr="000F7BB3">
        <w:rPr>
          <w:rFonts w:ascii="Palatino Linotype" w:hAnsi="Palatino Linotype" w:cs="Arial"/>
          <w:b/>
          <w:sz w:val="28"/>
          <w:szCs w:val="28"/>
          <w:lang w:val="es-ES_tradnl"/>
        </w:rPr>
        <w:t>PRIMERO.</w:t>
      </w:r>
      <w:r w:rsidRPr="000F7BB3">
        <w:rPr>
          <w:rFonts w:ascii="Palatino Linotype" w:hAnsi="Palatino Linotype" w:cs="Arial"/>
          <w:lang w:val="es-ES_tradnl"/>
        </w:rPr>
        <w:t xml:space="preserve"> </w:t>
      </w:r>
      <w:r w:rsidRPr="000F7BB3">
        <w:rPr>
          <w:rFonts w:ascii="Palatino Linotype" w:hAnsi="Palatino Linotype" w:cs="Arial"/>
          <w:sz w:val="24"/>
          <w:szCs w:val="24"/>
          <w:lang w:val="es-ES_tradnl"/>
        </w:rPr>
        <w:t xml:space="preserve">Se </w:t>
      </w:r>
      <w:r w:rsidRPr="000F7BB3">
        <w:rPr>
          <w:rFonts w:ascii="Palatino Linotype" w:hAnsi="Palatino Linotype" w:cs="Arial"/>
          <w:b/>
          <w:sz w:val="24"/>
          <w:szCs w:val="24"/>
          <w:lang w:val="es-ES_tradnl"/>
        </w:rPr>
        <w:t>CONFIRMA</w:t>
      </w:r>
      <w:r w:rsidR="005C4571">
        <w:rPr>
          <w:rFonts w:ascii="Palatino Linotype" w:hAnsi="Palatino Linotype" w:cs="Arial"/>
          <w:b/>
          <w:sz w:val="24"/>
          <w:szCs w:val="24"/>
          <w:lang w:val="es-ES_tradnl"/>
        </w:rPr>
        <w:t xml:space="preserve"> </w:t>
      </w:r>
      <w:r w:rsidR="005C4571">
        <w:rPr>
          <w:rFonts w:ascii="Palatino Linotype" w:hAnsi="Palatino Linotype" w:cs="Arial"/>
          <w:bCs/>
          <w:sz w:val="24"/>
          <w:szCs w:val="24"/>
          <w:lang w:val="es-ES_tradnl"/>
        </w:rPr>
        <w:t xml:space="preserve">la respuesta entregada por </w:t>
      </w:r>
      <w:r w:rsidR="005C4571">
        <w:rPr>
          <w:rFonts w:ascii="Palatino Linotype" w:hAnsi="Palatino Linotype" w:cs="Arial"/>
          <w:b/>
          <w:sz w:val="24"/>
          <w:szCs w:val="24"/>
          <w:lang w:val="es-ES_tradnl"/>
        </w:rPr>
        <w:t xml:space="preserve">El Sujeto Obligado </w:t>
      </w:r>
      <w:r w:rsidR="005C4571">
        <w:rPr>
          <w:rFonts w:ascii="Palatino Linotype" w:hAnsi="Palatino Linotype" w:cs="Arial"/>
          <w:bCs/>
          <w:sz w:val="24"/>
          <w:szCs w:val="24"/>
          <w:lang w:val="es-ES_tradnl"/>
        </w:rPr>
        <w:t xml:space="preserve">a la solicitud de información número </w:t>
      </w:r>
      <w:r w:rsidR="00654151">
        <w:rPr>
          <w:rFonts w:ascii="Palatino Linotype" w:hAnsi="Palatino Linotype"/>
          <w:b/>
          <w:sz w:val="24"/>
          <w:szCs w:val="24"/>
        </w:rPr>
        <w:t>00237/INFOEM/IP/2023</w:t>
      </w:r>
      <w:r w:rsidR="005C4571">
        <w:rPr>
          <w:rFonts w:ascii="Palatino Linotype" w:hAnsi="Palatino Linotype" w:cs="Arial"/>
          <w:b/>
          <w:sz w:val="24"/>
          <w:szCs w:val="24"/>
          <w:lang w:val="es-ES_tradnl"/>
        </w:rPr>
        <w:t xml:space="preserve">, </w:t>
      </w:r>
      <w:r w:rsidR="005C4571">
        <w:rPr>
          <w:rFonts w:ascii="Palatino Linotype" w:hAnsi="Palatino Linotype" w:cs="Arial"/>
          <w:bCs/>
          <w:sz w:val="24"/>
          <w:szCs w:val="24"/>
          <w:lang w:val="es-ES_tradnl"/>
        </w:rPr>
        <w:t xml:space="preserve">por resultar infundados los motivos de inconformidad que arguye </w:t>
      </w:r>
      <w:r w:rsidR="00F92F0A">
        <w:rPr>
          <w:rFonts w:ascii="Palatino Linotype" w:hAnsi="Palatino Linotype" w:cs="Arial"/>
          <w:b/>
          <w:sz w:val="24"/>
          <w:szCs w:val="24"/>
          <w:lang w:val="es-ES_tradnl"/>
        </w:rPr>
        <w:t>EL</w:t>
      </w:r>
      <w:r w:rsidR="005C4571">
        <w:rPr>
          <w:rFonts w:ascii="Palatino Linotype" w:hAnsi="Palatino Linotype" w:cs="Arial"/>
          <w:b/>
          <w:sz w:val="24"/>
          <w:szCs w:val="24"/>
          <w:lang w:val="es-ES_tradnl"/>
        </w:rPr>
        <w:t xml:space="preserve"> RECURRENTE, </w:t>
      </w:r>
      <w:r w:rsidR="005C4571">
        <w:rPr>
          <w:rFonts w:ascii="Palatino Linotype" w:hAnsi="Palatino Linotype" w:cs="Arial"/>
          <w:bCs/>
          <w:sz w:val="24"/>
          <w:szCs w:val="24"/>
          <w:lang w:val="es-ES_tradnl"/>
        </w:rPr>
        <w:t xml:space="preserve">en términos del </w:t>
      </w:r>
      <w:r w:rsidRPr="000F7BB3">
        <w:rPr>
          <w:rFonts w:ascii="Palatino Linotype" w:hAnsi="Palatino Linotype" w:cs="Arial"/>
          <w:b/>
          <w:sz w:val="24"/>
          <w:szCs w:val="24"/>
        </w:rPr>
        <w:t>Considerando CUARTO</w:t>
      </w:r>
      <w:r w:rsidRPr="000F7BB3">
        <w:rPr>
          <w:rFonts w:ascii="Palatino Linotype" w:hAnsi="Palatino Linotype" w:cs="Arial"/>
          <w:sz w:val="24"/>
          <w:szCs w:val="24"/>
        </w:rPr>
        <w:t xml:space="preserve"> de la presente resolución.</w:t>
      </w:r>
    </w:p>
    <w:p w14:paraId="19CB3653" w14:textId="77777777" w:rsidR="00F92F0A" w:rsidRDefault="00F92F0A" w:rsidP="00827658">
      <w:pPr>
        <w:spacing w:before="240" w:line="360" w:lineRule="auto"/>
        <w:jc w:val="both"/>
        <w:rPr>
          <w:rFonts w:ascii="Palatino Linotype" w:hAnsi="Palatino Linotype" w:cs="Arial"/>
          <w:sz w:val="24"/>
          <w:szCs w:val="24"/>
        </w:rPr>
      </w:pPr>
    </w:p>
    <w:p w14:paraId="4EF39AED" w14:textId="77777777" w:rsidR="00827658" w:rsidRDefault="00827658" w:rsidP="00827658">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t>SEGUNDO.</w:t>
      </w:r>
      <w:r w:rsidRPr="000F7BB3">
        <w:rPr>
          <w:rFonts w:ascii="Palatino Linotype" w:hAnsi="Palatino Linotype" w:cs="Arial"/>
          <w:b/>
          <w:sz w:val="24"/>
          <w:szCs w:val="24"/>
        </w:rPr>
        <w:t xml:space="preserve"> Notifíquese</w:t>
      </w:r>
      <w:r w:rsidRPr="000F7BB3">
        <w:rPr>
          <w:rFonts w:ascii="Palatino Linotype" w:hAnsi="Palatino Linotype" w:cs="Arial"/>
          <w:b/>
          <w:i/>
          <w:sz w:val="24"/>
          <w:szCs w:val="24"/>
        </w:rPr>
        <w:t xml:space="preserve"> </w:t>
      </w:r>
      <w:r w:rsidRPr="000F7BB3">
        <w:rPr>
          <w:rFonts w:ascii="Palatino Linotype" w:hAnsi="Palatino Linotype" w:cs="Arial"/>
          <w:sz w:val="24"/>
          <w:szCs w:val="24"/>
        </w:rPr>
        <w:t xml:space="preserve">la presente resolución al Titular de la Unidad de Transparencia del </w:t>
      </w:r>
      <w:r w:rsidRPr="000F7BB3">
        <w:rPr>
          <w:rFonts w:ascii="Palatino Linotype" w:hAnsi="Palatino Linotype" w:cs="Arial"/>
          <w:b/>
          <w:sz w:val="24"/>
          <w:szCs w:val="24"/>
        </w:rPr>
        <w:t xml:space="preserve">SUJETO OBLIGADO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728B5362" w14:textId="77777777" w:rsidR="00827658" w:rsidRPr="000F7BB3" w:rsidRDefault="00827658" w:rsidP="00827658">
      <w:pPr>
        <w:autoSpaceDE w:val="0"/>
        <w:autoSpaceDN w:val="0"/>
        <w:adjustRightInd w:val="0"/>
        <w:spacing w:before="240" w:line="360" w:lineRule="auto"/>
        <w:jc w:val="both"/>
        <w:rPr>
          <w:rFonts w:ascii="Palatino Linotype" w:hAnsi="Palatino Linotype" w:cs="Arial"/>
          <w:b/>
          <w:sz w:val="24"/>
          <w:szCs w:val="24"/>
        </w:rPr>
      </w:pPr>
    </w:p>
    <w:p w14:paraId="660AC15F" w14:textId="2D2C7275" w:rsidR="00827658" w:rsidRDefault="00827658" w:rsidP="00827658">
      <w:pPr>
        <w:autoSpaceDE w:val="0"/>
        <w:autoSpaceDN w:val="0"/>
        <w:adjustRightInd w:val="0"/>
        <w:spacing w:before="240" w:line="360" w:lineRule="auto"/>
        <w:jc w:val="both"/>
        <w:rPr>
          <w:rFonts w:ascii="Palatino Linotype" w:hAnsi="Palatino Linotype" w:cs="Arial"/>
          <w:b/>
          <w:sz w:val="24"/>
          <w:szCs w:val="24"/>
        </w:rPr>
      </w:pPr>
      <w:r w:rsidRPr="000F7BB3">
        <w:rPr>
          <w:rFonts w:ascii="Palatino Linotype" w:hAnsi="Palatino Linotype" w:cs="Arial"/>
          <w:b/>
          <w:sz w:val="28"/>
          <w:szCs w:val="28"/>
        </w:rPr>
        <w:t>TERCERO</w:t>
      </w:r>
      <w:r w:rsidRPr="000F7BB3">
        <w:rPr>
          <w:rFonts w:ascii="Palatino Linotype" w:hAnsi="Palatino Linotype" w:cs="Arial"/>
          <w:sz w:val="28"/>
          <w:szCs w:val="28"/>
        </w:rPr>
        <w:t>.</w:t>
      </w:r>
      <w:r w:rsidRPr="000F7BB3">
        <w:rPr>
          <w:rFonts w:ascii="Palatino Linotype" w:hAnsi="Palatino Linotype" w:cs="Arial"/>
          <w:sz w:val="24"/>
          <w:szCs w:val="24"/>
        </w:rPr>
        <w:t xml:space="preserve"> </w:t>
      </w:r>
      <w:r w:rsidRPr="000F7BB3">
        <w:rPr>
          <w:rFonts w:ascii="Palatino Linotype" w:hAnsi="Palatino Linotype" w:cs="Arial"/>
          <w:b/>
          <w:bCs/>
          <w:color w:val="222222"/>
          <w:sz w:val="24"/>
          <w:szCs w:val="24"/>
          <w:shd w:val="clear" w:color="auto" w:fill="FFFFFF"/>
          <w:lang w:val="es-ES"/>
        </w:rPr>
        <w:t>Notifíquese</w:t>
      </w:r>
      <w:r w:rsidRPr="000F7BB3">
        <w:rPr>
          <w:rFonts w:ascii="Palatino Linotype" w:hAnsi="Palatino Linotype" w:cs="Arial"/>
          <w:sz w:val="24"/>
          <w:szCs w:val="24"/>
        </w:rPr>
        <w:t xml:space="preserve"> la presente resolución </w:t>
      </w:r>
      <w:r w:rsidR="00F92F0A">
        <w:rPr>
          <w:rFonts w:ascii="Palatino Linotype" w:hAnsi="Palatino Linotype" w:cs="Arial"/>
          <w:sz w:val="24"/>
          <w:szCs w:val="24"/>
        </w:rPr>
        <w:t>al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 xml:space="preserve">a través del Sistema de Acceso a la Información Mexiquense </w:t>
      </w:r>
      <w:r w:rsidRPr="000F7BB3">
        <w:rPr>
          <w:rFonts w:ascii="Palatino Linotype" w:hAnsi="Palatino Linotype" w:cs="Arial"/>
          <w:b/>
          <w:sz w:val="24"/>
          <w:szCs w:val="24"/>
        </w:rPr>
        <w:t xml:space="preserve">(SAIMEX). </w:t>
      </w:r>
    </w:p>
    <w:p w14:paraId="5EEDAF47" w14:textId="77777777" w:rsidR="005C4571" w:rsidRPr="000F7BB3" w:rsidRDefault="005C4571" w:rsidP="00827658">
      <w:pPr>
        <w:autoSpaceDE w:val="0"/>
        <w:autoSpaceDN w:val="0"/>
        <w:adjustRightInd w:val="0"/>
        <w:spacing w:before="240" w:line="360" w:lineRule="auto"/>
        <w:jc w:val="both"/>
        <w:rPr>
          <w:rFonts w:ascii="Palatino Linotype" w:hAnsi="Palatino Linotype" w:cs="Arial"/>
          <w:b/>
          <w:sz w:val="24"/>
          <w:szCs w:val="24"/>
        </w:rPr>
      </w:pPr>
    </w:p>
    <w:p w14:paraId="45A95392" w14:textId="6EDAFC7D" w:rsidR="00827658" w:rsidRDefault="00827658" w:rsidP="00827658">
      <w:pPr>
        <w:autoSpaceDE w:val="0"/>
        <w:autoSpaceDN w:val="0"/>
        <w:adjustRightInd w:val="0"/>
        <w:spacing w:before="240" w:line="360" w:lineRule="auto"/>
        <w:jc w:val="both"/>
        <w:rPr>
          <w:rFonts w:ascii="Palatino Linotype" w:hAnsi="Palatino Linotype" w:cs="Arial"/>
          <w:sz w:val="24"/>
          <w:szCs w:val="24"/>
        </w:rPr>
      </w:pPr>
      <w:r w:rsidRPr="000F7BB3">
        <w:rPr>
          <w:rFonts w:ascii="Palatino Linotype" w:hAnsi="Palatino Linotype" w:cs="Arial"/>
          <w:b/>
          <w:sz w:val="28"/>
          <w:szCs w:val="28"/>
        </w:rPr>
        <w:t xml:space="preserve">CUARTO. </w:t>
      </w:r>
      <w:r w:rsidRPr="000F7BB3">
        <w:rPr>
          <w:rFonts w:ascii="Palatino Linotype" w:hAnsi="Palatino Linotype" w:cs="Arial"/>
          <w:sz w:val="24"/>
          <w:szCs w:val="24"/>
        </w:rPr>
        <w:t xml:space="preserve">Se hace del conocimiento </w:t>
      </w:r>
      <w:r w:rsidR="00F92F0A">
        <w:rPr>
          <w:rFonts w:ascii="Palatino Linotype" w:hAnsi="Palatino Linotype" w:cs="Arial"/>
          <w:sz w:val="24"/>
          <w:szCs w:val="24"/>
        </w:rPr>
        <w:t>del</w:t>
      </w:r>
      <w:r w:rsidRPr="000F7BB3">
        <w:rPr>
          <w:rFonts w:ascii="Palatino Linotype" w:hAnsi="Palatino Linotype" w:cs="Arial"/>
          <w:b/>
          <w:sz w:val="24"/>
          <w:szCs w:val="24"/>
        </w:rPr>
        <w:t xml:space="preserve"> RECURRENTE </w:t>
      </w:r>
      <w:r w:rsidRPr="000F7BB3">
        <w:rPr>
          <w:rFonts w:ascii="Palatino Linotype" w:hAnsi="Palatino Linotype" w:cs="Arial"/>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4C117E">
        <w:rPr>
          <w:rFonts w:ascii="Palatino Linotype" w:hAnsi="Palatino Linotype" w:cs="Arial"/>
          <w:sz w:val="24"/>
          <w:szCs w:val="24"/>
        </w:rPr>
        <w:t xml:space="preserve"> </w:t>
      </w:r>
    </w:p>
    <w:p w14:paraId="3F032D86" w14:textId="7A0B1285" w:rsidR="00827658" w:rsidRPr="00AA7E8A" w:rsidRDefault="00827658" w:rsidP="00827658">
      <w:pPr>
        <w:pStyle w:val="Prrafodelista"/>
        <w:autoSpaceDE w:val="0"/>
        <w:autoSpaceDN w:val="0"/>
        <w:adjustRightInd w:val="0"/>
        <w:spacing w:before="240" w:after="160" w:line="360" w:lineRule="auto"/>
        <w:ind w:left="0"/>
        <w:jc w:val="both"/>
        <w:rPr>
          <w:rFonts w:ascii="Palatino Linotype" w:hAnsi="Palatino Linotype" w:cs="Arial"/>
        </w:rPr>
      </w:pPr>
      <w:r w:rsidRPr="00AA7E8A">
        <w:rPr>
          <w:rFonts w:ascii="Palatino Linotype" w:hAnsi="Palatino Linotype" w:cs="Arial"/>
        </w:rPr>
        <w:lastRenderedPageBreak/>
        <w:t>ASÍ LO ACORDÓ, POR UNANIMIDAD DE VOTOS, EL PLENO DEL</w:t>
      </w:r>
      <w:r w:rsidRPr="00AA7E8A">
        <w:rPr>
          <w:rFonts w:ascii="Palatino Linotype" w:eastAsia="Arial Unicode MS" w:hAnsi="Palatino Linotype" w:cs="Arial"/>
        </w:rPr>
        <w:t xml:space="preserve"> INSTITUTO DE TRANSPARENCIA, ACCESO A LA INFORMACIÓN PÚBLICA Y PROTECCIÓN DE DATOS PERSONALES DEL ESTADO DE MÉXICO Y MUNICIPIOS</w:t>
      </w:r>
      <w:r w:rsidRPr="00AA7E8A">
        <w:rPr>
          <w:rFonts w:ascii="Palatino Linotype" w:hAnsi="Palatino Linotype" w:cs="Arial"/>
        </w:rPr>
        <w:t xml:space="preserve">, CONFORMADO POR LOS COMISIONADOS </w:t>
      </w:r>
      <w:bookmarkStart w:id="1" w:name="_GoBack"/>
      <w:r w:rsidRPr="00AA7E8A">
        <w:rPr>
          <w:rFonts w:ascii="Palatino Linotype" w:hAnsi="Palatino Linotype" w:cs="Arial"/>
        </w:rPr>
        <w:t>JOSÉ</w:t>
      </w:r>
      <w:bookmarkEnd w:id="1"/>
      <w:r w:rsidRPr="00AA7E8A">
        <w:rPr>
          <w:rFonts w:ascii="Palatino Linotype" w:hAnsi="Palatino Linotype" w:cs="Arial"/>
        </w:rPr>
        <w:t xml:space="preserve"> MARTÍNEZ VILCHIS</w:t>
      </w:r>
      <w:r w:rsidR="00654151" w:rsidRPr="00AA7E8A">
        <w:rPr>
          <w:rFonts w:ascii="Palatino Linotype" w:hAnsi="Palatino Linotype" w:cs="Arial"/>
        </w:rPr>
        <w:t xml:space="preserve">, MARÍA DEL ROSARIO MEJÍA AYALA, SHARON CRISTINA MORALES MARTÍNEZ, LUIS GUSTAVO PARRA NORIEGA Y GUADALUPE RAMÍREZ PEÑA; EN LA DÉCIMA </w:t>
      </w:r>
      <w:r w:rsidR="00654151">
        <w:rPr>
          <w:rFonts w:ascii="Palatino Linotype" w:hAnsi="Palatino Linotype" w:cs="Arial"/>
        </w:rPr>
        <w:t xml:space="preserve">OCTAVA SESIÓN ORDINARIA, CELEBRADA EL DIECISIETE DE MAYO DE DOS MIL VEINTITRÉS, </w:t>
      </w:r>
      <w:r w:rsidR="00654151" w:rsidRPr="00AA7E8A">
        <w:rPr>
          <w:rFonts w:ascii="Palatino Linotype" w:hAnsi="Palatino Linotype" w:cs="Arial"/>
        </w:rPr>
        <w:t xml:space="preserve">ANTE EL  SECRETARIO TÉCNICO DEL PLENO, ALEXIS TAPIA RAMÍREZ. </w:t>
      </w:r>
    </w:p>
    <w:p w14:paraId="77F6438B" w14:textId="12D2AFD3" w:rsidR="00827658" w:rsidRDefault="00827658" w:rsidP="00827658">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D8A31D8" w14:textId="15D272AD" w:rsidR="00827658" w:rsidRDefault="00B82FB3" w:rsidP="00827658">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676672" behindDoc="0" locked="0" layoutInCell="1" allowOverlap="1" wp14:anchorId="4765C85F" wp14:editId="437B603B">
                <wp:simplePos x="0" y="0"/>
                <wp:positionH relativeFrom="column">
                  <wp:posOffset>-75680</wp:posOffset>
                </wp:positionH>
                <wp:positionV relativeFrom="paragraph">
                  <wp:posOffset>69041</wp:posOffset>
                </wp:positionV>
                <wp:extent cx="6142759" cy="3690273"/>
                <wp:effectExtent l="0" t="0" r="29845" b="24765"/>
                <wp:wrapNone/>
                <wp:docPr id="19" name="Straight Connector 19"/>
                <wp:cNvGraphicFramePr/>
                <a:graphic xmlns:a="http://schemas.openxmlformats.org/drawingml/2006/main">
                  <a:graphicData uri="http://schemas.microsoft.com/office/word/2010/wordprocessingShape">
                    <wps:wsp>
                      <wps:cNvCnPr/>
                      <wps:spPr>
                        <a:xfrm>
                          <a:off x="0" y="0"/>
                          <a:ext cx="6142759" cy="36902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139DFC" id="Straight Connector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5.45pt" to="477.7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" strokecolor="#5b9bd5 [3204]" strokeweight=".5pt">
                <v:stroke joinstyle="miter"/>
              </v:line>
            </w:pict>
          </mc:Fallback>
        </mc:AlternateContent>
      </w:r>
    </w:p>
    <w:p w14:paraId="79A6F92B" w14:textId="77777777" w:rsidR="00827658" w:rsidRDefault="00827658" w:rsidP="00827658">
      <w:pPr>
        <w:pStyle w:val="Citas"/>
        <w:ind w:left="0" w:right="0"/>
        <w:rPr>
          <w:i w:val="0"/>
          <w:sz w:val="24"/>
          <w:szCs w:val="24"/>
        </w:rPr>
      </w:pPr>
    </w:p>
    <w:p w14:paraId="15B1CE53" w14:textId="77777777" w:rsidR="00827658" w:rsidRDefault="00827658" w:rsidP="00827658">
      <w:pPr>
        <w:pStyle w:val="Citas"/>
        <w:ind w:left="0" w:right="0"/>
        <w:rPr>
          <w:i w:val="0"/>
          <w:sz w:val="24"/>
          <w:szCs w:val="24"/>
        </w:rPr>
      </w:pPr>
    </w:p>
    <w:p w14:paraId="6145089D" w14:textId="77777777" w:rsidR="00827658" w:rsidRDefault="00827658" w:rsidP="00827658">
      <w:pPr>
        <w:pStyle w:val="Citas"/>
        <w:ind w:left="0" w:right="0"/>
        <w:rPr>
          <w:i w:val="0"/>
          <w:sz w:val="24"/>
          <w:szCs w:val="24"/>
        </w:rPr>
      </w:pPr>
    </w:p>
    <w:p w14:paraId="30684D4C" w14:textId="77777777" w:rsidR="00827658" w:rsidRDefault="00827658" w:rsidP="00827658">
      <w:pPr>
        <w:pStyle w:val="Citas"/>
        <w:ind w:left="0" w:right="0"/>
        <w:rPr>
          <w:i w:val="0"/>
          <w:sz w:val="24"/>
          <w:szCs w:val="24"/>
        </w:rPr>
      </w:pPr>
    </w:p>
    <w:p w14:paraId="2C6A236B" w14:textId="77777777" w:rsidR="00827658" w:rsidRDefault="00827658" w:rsidP="00827658">
      <w:pPr>
        <w:pStyle w:val="Citas"/>
        <w:ind w:left="0" w:right="0"/>
        <w:rPr>
          <w:i w:val="0"/>
          <w:sz w:val="24"/>
          <w:szCs w:val="24"/>
        </w:rPr>
      </w:pPr>
    </w:p>
    <w:p w14:paraId="7EDD8C4B" w14:textId="77777777" w:rsidR="00827658" w:rsidRDefault="00827658" w:rsidP="00827658">
      <w:pPr>
        <w:pStyle w:val="Citas"/>
        <w:ind w:left="0" w:right="0"/>
        <w:rPr>
          <w:i w:val="0"/>
          <w:sz w:val="24"/>
          <w:szCs w:val="24"/>
        </w:rPr>
      </w:pPr>
    </w:p>
    <w:p w14:paraId="145C23F1" w14:textId="77777777" w:rsidR="00827658" w:rsidRDefault="00827658" w:rsidP="00827658">
      <w:pPr>
        <w:pStyle w:val="Citas"/>
        <w:ind w:left="0" w:right="0"/>
        <w:rPr>
          <w:i w:val="0"/>
          <w:sz w:val="24"/>
          <w:szCs w:val="24"/>
        </w:rPr>
      </w:pPr>
    </w:p>
    <w:p w14:paraId="2DDB906C" w14:textId="77777777" w:rsidR="00827658" w:rsidRDefault="00827658" w:rsidP="00827658">
      <w:pPr>
        <w:pStyle w:val="Citas"/>
        <w:ind w:left="0" w:right="0"/>
        <w:rPr>
          <w:i w:val="0"/>
          <w:sz w:val="24"/>
          <w:szCs w:val="24"/>
        </w:rPr>
      </w:pPr>
    </w:p>
    <w:p w14:paraId="5B4037BB" w14:textId="77777777" w:rsidR="00827658" w:rsidRDefault="00827658" w:rsidP="00827658">
      <w:pPr>
        <w:pStyle w:val="Citas"/>
        <w:ind w:left="0" w:right="0"/>
        <w:rPr>
          <w:i w:val="0"/>
          <w:sz w:val="24"/>
          <w:szCs w:val="24"/>
        </w:rPr>
      </w:pPr>
    </w:p>
    <w:p w14:paraId="49A6D920" w14:textId="77777777" w:rsidR="00827658" w:rsidRDefault="00827658" w:rsidP="00827658">
      <w:pPr>
        <w:pStyle w:val="Citas"/>
        <w:ind w:left="0" w:right="0"/>
        <w:rPr>
          <w:i w:val="0"/>
          <w:sz w:val="24"/>
          <w:szCs w:val="24"/>
        </w:rPr>
      </w:pPr>
    </w:p>
    <w:p w14:paraId="20E47273" w14:textId="77777777" w:rsidR="00827658" w:rsidRDefault="00827658" w:rsidP="00827658">
      <w:pPr>
        <w:pStyle w:val="Citas"/>
        <w:ind w:left="0" w:right="0"/>
        <w:rPr>
          <w:i w:val="0"/>
          <w:sz w:val="24"/>
          <w:szCs w:val="24"/>
        </w:rPr>
      </w:pPr>
    </w:p>
    <w:p w14:paraId="770766BD" w14:textId="77777777" w:rsidR="00827658" w:rsidRDefault="00827658" w:rsidP="00827658">
      <w:pPr>
        <w:pStyle w:val="Citas"/>
        <w:ind w:left="0" w:right="0"/>
        <w:rPr>
          <w:i w:val="0"/>
          <w:sz w:val="24"/>
          <w:szCs w:val="24"/>
        </w:rPr>
      </w:pPr>
    </w:p>
    <w:p w14:paraId="71FD4D01" w14:textId="77777777" w:rsidR="00827658" w:rsidRDefault="00827658" w:rsidP="00827658">
      <w:pPr>
        <w:pStyle w:val="Citas"/>
        <w:ind w:left="0" w:right="0"/>
        <w:rPr>
          <w:i w:val="0"/>
          <w:sz w:val="24"/>
          <w:szCs w:val="24"/>
        </w:rPr>
      </w:pPr>
    </w:p>
    <w:p w14:paraId="1D801261" w14:textId="77777777" w:rsidR="00827658" w:rsidRPr="00BA46EE" w:rsidRDefault="00827658" w:rsidP="00827658">
      <w:pPr>
        <w:pStyle w:val="Citas"/>
        <w:ind w:left="0" w:right="0"/>
        <w:rPr>
          <w:i w:val="0"/>
          <w:sz w:val="24"/>
          <w:szCs w:val="24"/>
        </w:rPr>
      </w:pPr>
    </w:p>
    <w:p w14:paraId="023B0088" w14:textId="77777777" w:rsidR="00827658" w:rsidRPr="002929E8" w:rsidRDefault="00827658" w:rsidP="002C498D">
      <w:pPr>
        <w:tabs>
          <w:tab w:val="left" w:pos="709"/>
        </w:tabs>
        <w:spacing w:before="240" w:line="360" w:lineRule="auto"/>
        <w:ind w:right="51"/>
        <w:jc w:val="both"/>
        <w:rPr>
          <w:rFonts w:ascii="Palatino Linotype" w:hAnsi="Palatino Linotype"/>
          <w:b/>
          <w:sz w:val="28"/>
          <w:szCs w:val="28"/>
          <w:lang w:val="es-ES"/>
        </w:rPr>
      </w:pPr>
    </w:p>
    <w:sectPr w:rsidR="00827658" w:rsidRPr="002929E8"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F1238" w14:textId="77777777" w:rsidR="00565597" w:rsidRDefault="00565597" w:rsidP="006168E4">
      <w:pPr>
        <w:spacing w:after="0" w:line="240" w:lineRule="auto"/>
      </w:pPr>
      <w:r>
        <w:separator/>
      </w:r>
    </w:p>
  </w:endnote>
  <w:endnote w:type="continuationSeparator" w:id="0">
    <w:p w14:paraId="179284A3" w14:textId="77777777" w:rsidR="00565597" w:rsidRDefault="0056559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7B02">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A7B02">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7B0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A7B02">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E7F4C" w14:textId="77777777" w:rsidR="00565597" w:rsidRDefault="00565597" w:rsidP="006168E4">
      <w:pPr>
        <w:spacing w:after="0" w:line="240" w:lineRule="auto"/>
      </w:pPr>
      <w:r>
        <w:separator/>
      </w:r>
    </w:p>
  </w:footnote>
  <w:footnote w:type="continuationSeparator" w:id="0">
    <w:p w14:paraId="414E4590" w14:textId="77777777" w:rsidR="00565597" w:rsidRDefault="00565597"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14:paraId="517E4460" w14:textId="77777777" w:rsidTr="00FB4AAD">
      <w:trPr>
        <w:trHeight w:val="227"/>
      </w:trPr>
      <w:tc>
        <w:tcPr>
          <w:tcW w:w="5529" w:type="dxa"/>
          <w:hideMark/>
        </w:tcPr>
        <w:p w14:paraId="03543E6C"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3FB84FCB" w:rsidR="00F00446" w:rsidRPr="00B4142F" w:rsidRDefault="00A354C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D3D36">
            <w:rPr>
              <w:rFonts w:ascii="Palatino Linotype" w:hAnsi="Palatino Linotype" w:cs="Arial"/>
              <w:bCs/>
              <w:sz w:val="24"/>
              <w:lang w:eastAsia="es-MX"/>
            </w:rPr>
            <w:t>1890</w:t>
          </w:r>
          <w:r w:rsidR="00F00446">
            <w:rPr>
              <w:rFonts w:ascii="Palatino Linotype" w:hAnsi="Palatino Linotype" w:cs="Arial"/>
              <w:bCs/>
              <w:sz w:val="24"/>
              <w:lang w:eastAsia="es-MX"/>
            </w:rPr>
            <w:t>/INFOEM/IP/RR/202</w:t>
          </w:r>
          <w:r>
            <w:rPr>
              <w:rFonts w:ascii="Palatino Linotype" w:hAnsi="Palatino Linotype" w:cs="Arial"/>
              <w:bCs/>
              <w:sz w:val="24"/>
              <w:lang w:eastAsia="es-MX"/>
            </w:rPr>
            <w:t>3</w:t>
          </w:r>
        </w:p>
      </w:tc>
    </w:tr>
    <w:tr w:rsidR="00F00446" w14:paraId="76095C04" w14:textId="77777777" w:rsidTr="00FB4AAD">
      <w:trPr>
        <w:trHeight w:val="242"/>
      </w:trPr>
      <w:tc>
        <w:tcPr>
          <w:tcW w:w="5529" w:type="dxa"/>
          <w:hideMark/>
        </w:tcPr>
        <w:p w14:paraId="7411E998"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378819BC" w:rsidR="00F00446" w:rsidRPr="00F06FED" w:rsidRDefault="00DD3D36" w:rsidP="00C25084">
          <w:pPr>
            <w:spacing w:after="120" w:line="256" w:lineRule="auto"/>
            <w:ind w:left="639" w:right="214"/>
            <w:jc w:val="both"/>
            <w:rPr>
              <w:rFonts w:ascii="Palatino Linotype" w:hAnsi="Palatino Linotype" w:cs="Arial"/>
            </w:rPr>
          </w:pPr>
          <w:r>
            <w:rPr>
              <w:rFonts w:ascii="Palatino Linotype" w:hAnsi="Palatino Linotype" w:cs="Arial"/>
            </w:rPr>
            <w:t xml:space="preserve">Instituto de Transparencia, Acceso a la Información Pública y Protección de Datos Personales del Estado de México y Municipios </w:t>
          </w:r>
        </w:p>
      </w:tc>
    </w:tr>
    <w:tr w:rsidR="00F00446" w14:paraId="25C2F847" w14:textId="77777777" w:rsidTr="00FB4AAD">
      <w:trPr>
        <w:trHeight w:val="342"/>
      </w:trPr>
      <w:tc>
        <w:tcPr>
          <w:tcW w:w="5529" w:type="dxa"/>
          <w:hideMark/>
        </w:tcPr>
        <w:p w14:paraId="601C03DB" w14:textId="77777777" w:rsidR="00F00446" w:rsidRDefault="00F0044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F00446" w:rsidRDefault="00F0044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F00446" w:rsidRDefault="00F004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14:paraId="5F229218" w14:textId="77777777" w:rsidTr="00FB4AAD">
      <w:trPr>
        <w:trHeight w:val="227"/>
      </w:trPr>
      <w:tc>
        <w:tcPr>
          <w:tcW w:w="5529" w:type="dxa"/>
          <w:hideMark/>
        </w:tcPr>
        <w:p w14:paraId="0F98063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5344243E" w:rsidR="00F00446" w:rsidRPr="00B4142F" w:rsidRDefault="00A354C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D3D36">
            <w:rPr>
              <w:rFonts w:ascii="Palatino Linotype" w:hAnsi="Palatino Linotype" w:cs="Arial"/>
              <w:bCs/>
              <w:sz w:val="24"/>
              <w:lang w:eastAsia="es-MX"/>
            </w:rPr>
            <w:t>1890</w:t>
          </w:r>
          <w:r w:rsidR="00F00446">
            <w:rPr>
              <w:rFonts w:ascii="Palatino Linotype" w:hAnsi="Palatino Linotype" w:cs="Arial"/>
              <w:bCs/>
              <w:sz w:val="24"/>
              <w:lang w:eastAsia="es-MX"/>
            </w:rPr>
            <w:t>/INFOEM/IP/RR/202</w:t>
          </w:r>
          <w:r>
            <w:rPr>
              <w:rFonts w:ascii="Palatino Linotype" w:hAnsi="Palatino Linotype" w:cs="Arial"/>
              <w:bCs/>
              <w:sz w:val="24"/>
              <w:lang w:eastAsia="es-MX"/>
            </w:rPr>
            <w:t>3</w:t>
          </w:r>
          <w:r w:rsidR="00F00446">
            <w:rPr>
              <w:rFonts w:ascii="Palatino Linotype" w:hAnsi="Palatino Linotype" w:cs="Arial"/>
              <w:bCs/>
              <w:sz w:val="24"/>
              <w:lang w:eastAsia="es-MX"/>
            </w:rPr>
            <w:t xml:space="preserve"> </w:t>
          </w:r>
        </w:p>
      </w:tc>
    </w:tr>
    <w:tr w:rsidR="00F00446" w14:paraId="21AEFFE5" w14:textId="77777777" w:rsidTr="00FB4AAD">
      <w:trPr>
        <w:trHeight w:val="196"/>
      </w:trPr>
      <w:tc>
        <w:tcPr>
          <w:tcW w:w="5529" w:type="dxa"/>
          <w:hideMark/>
        </w:tcPr>
        <w:p w14:paraId="4C4B8912"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32AADEAB" w:rsidR="00F00446" w:rsidRPr="00F06FED" w:rsidRDefault="00F00446" w:rsidP="00CA7B02">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CA7B02">
            <w:rPr>
              <w:rFonts w:ascii="Palatino Linotype" w:hAnsi="Palatino Linotype" w:cs="Arial"/>
            </w:rPr>
            <w:t>XXXXXXXXXXXXXXXX</w:t>
          </w:r>
          <w:r w:rsidR="00DD3D36">
            <w:rPr>
              <w:rFonts w:ascii="Palatino Linotype" w:hAnsi="Palatino Linotype" w:cs="Arial"/>
            </w:rPr>
            <w:t xml:space="preserve"> </w:t>
          </w:r>
        </w:p>
      </w:tc>
    </w:tr>
    <w:tr w:rsidR="00F00446" w14:paraId="219EEEC5" w14:textId="77777777" w:rsidTr="00FB4AAD">
      <w:trPr>
        <w:trHeight w:val="242"/>
      </w:trPr>
      <w:tc>
        <w:tcPr>
          <w:tcW w:w="5529" w:type="dxa"/>
          <w:hideMark/>
        </w:tcPr>
        <w:p w14:paraId="519BB44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5C8748F8" w:rsidR="00F00446" w:rsidRDefault="00DD3D36"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Transparencia, Acceso a la Información Pública y Protección de Datos Personales del Estado de México y Municipios </w:t>
          </w:r>
        </w:p>
      </w:tc>
    </w:tr>
    <w:tr w:rsidR="00F00446" w14:paraId="1DEDAA99" w14:textId="77777777" w:rsidTr="00FB4AAD">
      <w:trPr>
        <w:trHeight w:val="342"/>
      </w:trPr>
      <w:tc>
        <w:tcPr>
          <w:tcW w:w="5529" w:type="dxa"/>
          <w:hideMark/>
        </w:tcPr>
        <w:p w14:paraId="693ABC01" w14:textId="77777777" w:rsidR="00F00446" w:rsidRDefault="00F0044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F00446" w:rsidRDefault="00F0044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33CD2"/>
    <w:multiLevelType w:val="hybridMultilevel"/>
    <w:tmpl w:val="93F4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54F56"/>
    <w:multiLevelType w:val="hybridMultilevel"/>
    <w:tmpl w:val="C8B8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11678"/>
    <w:multiLevelType w:val="hybridMultilevel"/>
    <w:tmpl w:val="3E9EB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E36FD"/>
    <w:multiLevelType w:val="hybridMultilevel"/>
    <w:tmpl w:val="E8BAA626"/>
    <w:lvl w:ilvl="0" w:tplc="B37AEEC0">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C93A95"/>
    <w:multiLevelType w:val="hybridMultilevel"/>
    <w:tmpl w:val="6988042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1DB84F35"/>
    <w:multiLevelType w:val="hybridMultilevel"/>
    <w:tmpl w:val="C826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B37CF"/>
    <w:multiLevelType w:val="hybridMultilevel"/>
    <w:tmpl w:val="7FDE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37211F44"/>
    <w:multiLevelType w:val="hybridMultilevel"/>
    <w:tmpl w:val="3A367BF2"/>
    <w:lvl w:ilvl="0" w:tplc="4D40E5D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C076CA"/>
    <w:multiLevelType w:val="hybridMultilevel"/>
    <w:tmpl w:val="0BD2E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79017C"/>
    <w:multiLevelType w:val="hybridMultilevel"/>
    <w:tmpl w:val="FE6C195E"/>
    <w:lvl w:ilvl="0" w:tplc="AF32B5D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70A91"/>
    <w:multiLevelType w:val="hybridMultilevel"/>
    <w:tmpl w:val="3888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A4DF3"/>
    <w:multiLevelType w:val="hybridMultilevel"/>
    <w:tmpl w:val="941A4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192D25"/>
    <w:multiLevelType w:val="hybridMultilevel"/>
    <w:tmpl w:val="5510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5AB93834"/>
    <w:multiLevelType w:val="hybridMultilevel"/>
    <w:tmpl w:val="E4BCC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D13F4F"/>
    <w:multiLevelType w:val="hybridMultilevel"/>
    <w:tmpl w:val="513CF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8"/>
  </w:num>
  <w:num w:numId="2">
    <w:abstractNumId w:val="15"/>
  </w:num>
  <w:num w:numId="3">
    <w:abstractNumId w:val="5"/>
  </w:num>
  <w:num w:numId="4">
    <w:abstractNumId w:val="4"/>
  </w:num>
  <w:num w:numId="5">
    <w:abstractNumId w:val="8"/>
  </w:num>
  <w:num w:numId="6">
    <w:abstractNumId w:val="17"/>
  </w:num>
  <w:num w:numId="7">
    <w:abstractNumId w:val="0"/>
  </w:num>
  <w:num w:numId="8">
    <w:abstractNumId w:val="1"/>
  </w:num>
  <w:num w:numId="9">
    <w:abstractNumId w:val="9"/>
  </w:num>
  <w:num w:numId="10">
    <w:abstractNumId w:val="11"/>
  </w:num>
  <w:num w:numId="11">
    <w:abstractNumId w:val="7"/>
  </w:num>
  <w:num w:numId="12">
    <w:abstractNumId w:val="2"/>
  </w:num>
  <w:num w:numId="13">
    <w:abstractNumId w:val="10"/>
  </w:num>
  <w:num w:numId="14">
    <w:abstractNumId w:val="13"/>
  </w:num>
  <w:num w:numId="15">
    <w:abstractNumId w:val="16"/>
  </w:num>
  <w:num w:numId="16">
    <w:abstractNumId w:val="14"/>
  </w:num>
  <w:num w:numId="17">
    <w:abstractNumId w:val="3"/>
  </w:num>
  <w:num w:numId="18">
    <w:abstractNumId w:val="12"/>
  </w:num>
  <w:num w:numId="1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69FC"/>
    <w:rsid w:val="000179C3"/>
    <w:rsid w:val="00020A70"/>
    <w:rsid w:val="00022604"/>
    <w:rsid w:val="0002766F"/>
    <w:rsid w:val="000306A7"/>
    <w:rsid w:val="00031C92"/>
    <w:rsid w:val="00032A15"/>
    <w:rsid w:val="000414CE"/>
    <w:rsid w:val="0004199A"/>
    <w:rsid w:val="00045379"/>
    <w:rsid w:val="000461DF"/>
    <w:rsid w:val="00055224"/>
    <w:rsid w:val="0005543E"/>
    <w:rsid w:val="0005622A"/>
    <w:rsid w:val="000567FC"/>
    <w:rsid w:val="00061821"/>
    <w:rsid w:val="000623F9"/>
    <w:rsid w:val="00062482"/>
    <w:rsid w:val="00063A10"/>
    <w:rsid w:val="00063EFB"/>
    <w:rsid w:val="000662F8"/>
    <w:rsid w:val="00073E78"/>
    <w:rsid w:val="0007758C"/>
    <w:rsid w:val="00084B56"/>
    <w:rsid w:val="00090AFC"/>
    <w:rsid w:val="00091552"/>
    <w:rsid w:val="00091C3A"/>
    <w:rsid w:val="000923F5"/>
    <w:rsid w:val="00096307"/>
    <w:rsid w:val="000A038C"/>
    <w:rsid w:val="000A227D"/>
    <w:rsid w:val="000A2D37"/>
    <w:rsid w:val="000A3486"/>
    <w:rsid w:val="000A4DD1"/>
    <w:rsid w:val="000A5544"/>
    <w:rsid w:val="000A70F8"/>
    <w:rsid w:val="000A79DA"/>
    <w:rsid w:val="000B4B51"/>
    <w:rsid w:val="000B7158"/>
    <w:rsid w:val="000C5B8B"/>
    <w:rsid w:val="000C666C"/>
    <w:rsid w:val="000D1B55"/>
    <w:rsid w:val="000D3C75"/>
    <w:rsid w:val="000E09FC"/>
    <w:rsid w:val="000E686B"/>
    <w:rsid w:val="000F3EE7"/>
    <w:rsid w:val="000F68B1"/>
    <w:rsid w:val="000F6F19"/>
    <w:rsid w:val="000F7AC2"/>
    <w:rsid w:val="00102D69"/>
    <w:rsid w:val="00110EDB"/>
    <w:rsid w:val="00111DCD"/>
    <w:rsid w:val="00114CF9"/>
    <w:rsid w:val="001167AA"/>
    <w:rsid w:val="00117157"/>
    <w:rsid w:val="00124855"/>
    <w:rsid w:val="001254F5"/>
    <w:rsid w:val="001336D3"/>
    <w:rsid w:val="00136FAD"/>
    <w:rsid w:val="001434B9"/>
    <w:rsid w:val="00144B4A"/>
    <w:rsid w:val="00146F0A"/>
    <w:rsid w:val="00147B36"/>
    <w:rsid w:val="00150AFD"/>
    <w:rsid w:val="00151A2D"/>
    <w:rsid w:val="00152124"/>
    <w:rsid w:val="00152C2B"/>
    <w:rsid w:val="00165532"/>
    <w:rsid w:val="00172661"/>
    <w:rsid w:val="001742A5"/>
    <w:rsid w:val="00174EE4"/>
    <w:rsid w:val="00175897"/>
    <w:rsid w:val="00175C56"/>
    <w:rsid w:val="00176091"/>
    <w:rsid w:val="00177D2C"/>
    <w:rsid w:val="001804C3"/>
    <w:rsid w:val="00180B9F"/>
    <w:rsid w:val="00181CC5"/>
    <w:rsid w:val="00191926"/>
    <w:rsid w:val="00193784"/>
    <w:rsid w:val="00193FB6"/>
    <w:rsid w:val="001942EE"/>
    <w:rsid w:val="001952EB"/>
    <w:rsid w:val="001A02EC"/>
    <w:rsid w:val="001A0612"/>
    <w:rsid w:val="001A22D7"/>
    <w:rsid w:val="001A577E"/>
    <w:rsid w:val="001A58DE"/>
    <w:rsid w:val="001A7C9B"/>
    <w:rsid w:val="001B05B9"/>
    <w:rsid w:val="001B1519"/>
    <w:rsid w:val="001B3B53"/>
    <w:rsid w:val="001B7B88"/>
    <w:rsid w:val="001C7319"/>
    <w:rsid w:val="001C7D87"/>
    <w:rsid w:val="001D1F37"/>
    <w:rsid w:val="001D3E87"/>
    <w:rsid w:val="001D5F16"/>
    <w:rsid w:val="001D6FAB"/>
    <w:rsid w:val="001D7250"/>
    <w:rsid w:val="001E1D18"/>
    <w:rsid w:val="001F0A4F"/>
    <w:rsid w:val="001F410E"/>
    <w:rsid w:val="001F71ED"/>
    <w:rsid w:val="00203D3A"/>
    <w:rsid w:val="00203FF3"/>
    <w:rsid w:val="002044B4"/>
    <w:rsid w:val="0020491B"/>
    <w:rsid w:val="002056EC"/>
    <w:rsid w:val="0020641D"/>
    <w:rsid w:val="00207086"/>
    <w:rsid w:val="00211D60"/>
    <w:rsid w:val="0021501E"/>
    <w:rsid w:val="00216AFC"/>
    <w:rsid w:val="002173B1"/>
    <w:rsid w:val="002205C0"/>
    <w:rsid w:val="0022494A"/>
    <w:rsid w:val="00225507"/>
    <w:rsid w:val="00226ED0"/>
    <w:rsid w:val="0023373D"/>
    <w:rsid w:val="0023423C"/>
    <w:rsid w:val="0024112D"/>
    <w:rsid w:val="00244177"/>
    <w:rsid w:val="00254477"/>
    <w:rsid w:val="002577FE"/>
    <w:rsid w:val="0025780C"/>
    <w:rsid w:val="00264F52"/>
    <w:rsid w:val="00266AE6"/>
    <w:rsid w:val="002714F3"/>
    <w:rsid w:val="00273D0E"/>
    <w:rsid w:val="00280B8B"/>
    <w:rsid w:val="0028106D"/>
    <w:rsid w:val="002820F1"/>
    <w:rsid w:val="00292350"/>
    <w:rsid w:val="002929E8"/>
    <w:rsid w:val="00297EF9"/>
    <w:rsid w:val="002A12CB"/>
    <w:rsid w:val="002A2034"/>
    <w:rsid w:val="002A24F4"/>
    <w:rsid w:val="002A38BF"/>
    <w:rsid w:val="002A597E"/>
    <w:rsid w:val="002B0FB9"/>
    <w:rsid w:val="002B4382"/>
    <w:rsid w:val="002B5DBD"/>
    <w:rsid w:val="002B72F9"/>
    <w:rsid w:val="002C498D"/>
    <w:rsid w:val="002C4FE1"/>
    <w:rsid w:val="002C72D2"/>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17A78"/>
    <w:rsid w:val="00320A67"/>
    <w:rsid w:val="00322229"/>
    <w:rsid w:val="003272FB"/>
    <w:rsid w:val="00331499"/>
    <w:rsid w:val="0033580E"/>
    <w:rsid w:val="00343D1E"/>
    <w:rsid w:val="00353254"/>
    <w:rsid w:val="00354258"/>
    <w:rsid w:val="00355593"/>
    <w:rsid w:val="00357E0E"/>
    <w:rsid w:val="00357F3D"/>
    <w:rsid w:val="00361B9C"/>
    <w:rsid w:val="003672FB"/>
    <w:rsid w:val="00370797"/>
    <w:rsid w:val="003746C6"/>
    <w:rsid w:val="00375BEA"/>
    <w:rsid w:val="00376CEC"/>
    <w:rsid w:val="00380758"/>
    <w:rsid w:val="003815E5"/>
    <w:rsid w:val="00381E2B"/>
    <w:rsid w:val="0038725E"/>
    <w:rsid w:val="00387929"/>
    <w:rsid w:val="00393D5B"/>
    <w:rsid w:val="0039460D"/>
    <w:rsid w:val="00394A1E"/>
    <w:rsid w:val="003968C7"/>
    <w:rsid w:val="003A2246"/>
    <w:rsid w:val="003A61F9"/>
    <w:rsid w:val="003A6975"/>
    <w:rsid w:val="003B1E88"/>
    <w:rsid w:val="003B3C4C"/>
    <w:rsid w:val="003C5243"/>
    <w:rsid w:val="003C53ED"/>
    <w:rsid w:val="003D0B7E"/>
    <w:rsid w:val="003D4314"/>
    <w:rsid w:val="003D4E0F"/>
    <w:rsid w:val="003E16E1"/>
    <w:rsid w:val="003E1871"/>
    <w:rsid w:val="003E504D"/>
    <w:rsid w:val="003E656A"/>
    <w:rsid w:val="003E6B62"/>
    <w:rsid w:val="003E78B7"/>
    <w:rsid w:val="003F22C5"/>
    <w:rsid w:val="003F3016"/>
    <w:rsid w:val="003F37AF"/>
    <w:rsid w:val="003F5630"/>
    <w:rsid w:val="003F76E5"/>
    <w:rsid w:val="004012CF"/>
    <w:rsid w:val="00402FF3"/>
    <w:rsid w:val="0040673A"/>
    <w:rsid w:val="004069EB"/>
    <w:rsid w:val="00410ACB"/>
    <w:rsid w:val="00412600"/>
    <w:rsid w:val="00415EE8"/>
    <w:rsid w:val="00422E0C"/>
    <w:rsid w:val="00422ED2"/>
    <w:rsid w:val="00423213"/>
    <w:rsid w:val="0042416D"/>
    <w:rsid w:val="00432CE0"/>
    <w:rsid w:val="00436802"/>
    <w:rsid w:val="00442E45"/>
    <w:rsid w:val="00443AD4"/>
    <w:rsid w:val="0044438E"/>
    <w:rsid w:val="00445C0F"/>
    <w:rsid w:val="00451448"/>
    <w:rsid w:val="004516EB"/>
    <w:rsid w:val="004529B6"/>
    <w:rsid w:val="00452B82"/>
    <w:rsid w:val="00453DBD"/>
    <w:rsid w:val="00454CE6"/>
    <w:rsid w:val="00457305"/>
    <w:rsid w:val="00457955"/>
    <w:rsid w:val="00462881"/>
    <w:rsid w:val="004640F2"/>
    <w:rsid w:val="00467337"/>
    <w:rsid w:val="00474B7D"/>
    <w:rsid w:val="00475F48"/>
    <w:rsid w:val="00477CC2"/>
    <w:rsid w:val="00477D47"/>
    <w:rsid w:val="0048180A"/>
    <w:rsid w:val="00481C7A"/>
    <w:rsid w:val="00487DB5"/>
    <w:rsid w:val="004906C8"/>
    <w:rsid w:val="00492BC7"/>
    <w:rsid w:val="004967E2"/>
    <w:rsid w:val="004A2817"/>
    <w:rsid w:val="004A290F"/>
    <w:rsid w:val="004A55D8"/>
    <w:rsid w:val="004A5FFD"/>
    <w:rsid w:val="004A7CE2"/>
    <w:rsid w:val="004B031A"/>
    <w:rsid w:val="004B0328"/>
    <w:rsid w:val="004B234F"/>
    <w:rsid w:val="004B59BB"/>
    <w:rsid w:val="004B5CCC"/>
    <w:rsid w:val="004B7F24"/>
    <w:rsid w:val="004C2845"/>
    <w:rsid w:val="004C7961"/>
    <w:rsid w:val="004D08EB"/>
    <w:rsid w:val="004D54E3"/>
    <w:rsid w:val="004E1477"/>
    <w:rsid w:val="004E1A3D"/>
    <w:rsid w:val="004E2371"/>
    <w:rsid w:val="004E6BE9"/>
    <w:rsid w:val="004E754F"/>
    <w:rsid w:val="004F4F45"/>
    <w:rsid w:val="005001FE"/>
    <w:rsid w:val="005020E9"/>
    <w:rsid w:val="00503655"/>
    <w:rsid w:val="00504BE3"/>
    <w:rsid w:val="00514207"/>
    <w:rsid w:val="005149BE"/>
    <w:rsid w:val="00515090"/>
    <w:rsid w:val="005179E4"/>
    <w:rsid w:val="00521E57"/>
    <w:rsid w:val="005305EA"/>
    <w:rsid w:val="0053652A"/>
    <w:rsid w:val="00536DFF"/>
    <w:rsid w:val="005371E7"/>
    <w:rsid w:val="00537456"/>
    <w:rsid w:val="00537E4B"/>
    <w:rsid w:val="00540538"/>
    <w:rsid w:val="00542664"/>
    <w:rsid w:val="00544CF2"/>
    <w:rsid w:val="00551E8B"/>
    <w:rsid w:val="005520FE"/>
    <w:rsid w:val="0055263C"/>
    <w:rsid w:val="0055472B"/>
    <w:rsid w:val="00555D9A"/>
    <w:rsid w:val="00556513"/>
    <w:rsid w:val="00557F13"/>
    <w:rsid w:val="00562653"/>
    <w:rsid w:val="00565597"/>
    <w:rsid w:val="005662E2"/>
    <w:rsid w:val="0057249B"/>
    <w:rsid w:val="005733EB"/>
    <w:rsid w:val="005734C5"/>
    <w:rsid w:val="00576D51"/>
    <w:rsid w:val="00580802"/>
    <w:rsid w:val="00581A22"/>
    <w:rsid w:val="005860CB"/>
    <w:rsid w:val="00590376"/>
    <w:rsid w:val="00592542"/>
    <w:rsid w:val="00593E91"/>
    <w:rsid w:val="0059442D"/>
    <w:rsid w:val="00594D38"/>
    <w:rsid w:val="00595992"/>
    <w:rsid w:val="005A0B49"/>
    <w:rsid w:val="005A2174"/>
    <w:rsid w:val="005A353A"/>
    <w:rsid w:val="005A6D57"/>
    <w:rsid w:val="005A71FD"/>
    <w:rsid w:val="005B56A9"/>
    <w:rsid w:val="005B577C"/>
    <w:rsid w:val="005B5B70"/>
    <w:rsid w:val="005B5F05"/>
    <w:rsid w:val="005C17BF"/>
    <w:rsid w:val="005C4571"/>
    <w:rsid w:val="005C5E43"/>
    <w:rsid w:val="005C6982"/>
    <w:rsid w:val="005C6B74"/>
    <w:rsid w:val="005C7AEA"/>
    <w:rsid w:val="005D125D"/>
    <w:rsid w:val="005D2B59"/>
    <w:rsid w:val="005D362F"/>
    <w:rsid w:val="005D370F"/>
    <w:rsid w:val="005D44D1"/>
    <w:rsid w:val="005D5EFB"/>
    <w:rsid w:val="005D6EC6"/>
    <w:rsid w:val="005D7204"/>
    <w:rsid w:val="005E265D"/>
    <w:rsid w:val="005E3D7D"/>
    <w:rsid w:val="005E4D7C"/>
    <w:rsid w:val="005F048E"/>
    <w:rsid w:val="005F0631"/>
    <w:rsid w:val="005F11D3"/>
    <w:rsid w:val="005F57F0"/>
    <w:rsid w:val="00601010"/>
    <w:rsid w:val="006028C9"/>
    <w:rsid w:val="00605B10"/>
    <w:rsid w:val="0060721D"/>
    <w:rsid w:val="0061042F"/>
    <w:rsid w:val="00616623"/>
    <w:rsid w:val="006168E4"/>
    <w:rsid w:val="00621F47"/>
    <w:rsid w:val="0062497C"/>
    <w:rsid w:val="00625200"/>
    <w:rsid w:val="006255AA"/>
    <w:rsid w:val="00631806"/>
    <w:rsid w:val="00632225"/>
    <w:rsid w:val="00637512"/>
    <w:rsid w:val="00640EE4"/>
    <w:rsid w:val="006466F5"/>
    <w:rsid w:val="0064671F"/>
    <w:rsid w:val="006476E2"/>
    <w:rsid w:val="00652BC5"/>
    <w:rsid w:val="00654151"/>
    <w:rsid w:val="00654E29"/>
    <w:rsid w:val="00661753"/>
    <w:rsid w:val="0066216F"/>
    <w:rsid w:val="00663DF5"/>
    <w:rsid w:val="006642FF"/>
    <w:rsid w:val="006654F6"/>
    <w:rsid w:val="00675390"/>
    <w:rsid w:val="00676CAA"/>
    <w:rsid w:val="006848B7"/>
    <w:rsid w:val="006868A7"/>
    <w:rsid w:val="006915EA"/>
    <w:rsid w:val="0069482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23FC"/>
    <w:rsid w:val="006D643D"/>
    <w:rsid w:val="006E063C"/>
    <w:rsid w:val="006E3851"/>
    <w:rsid w:val="006F1167"/>
    <w:rsid w:val="006F4044"/>
    <w:rsid w:val="006F46DC"/>
    <w:rsid w:val="00701033"/>
    <w:rsid w:val="00701103"/>
    <w:rsid w:val="00701A3F"/>
    <w:rsid w:val="00712E3A"/>
    <w:rsid w:val="0071487C"/>
    <w:rsid w:val="00721506"/>
    <w:rsid w:val="007216DB"/>
    <w:rsid w:val="007246D3"/>
    <w:rsid w:val="00725F5A"/>
    <w:rsid w:val="007345EA"/>
    <w:rsid w:val="00736825"/>
    <w:rsid w:val="007404D5"/>
    <w:rsid w:val="00744287"/>
    <w:rsid w:val="00744EEF"/>
    <w:rsid w:val="00745D76"/>
    <w:rsid w:val="00747487"/>
    <w:rsid w:val="007505EB"/>
    <w:rsid w:val="00754CAE"/>
    <w:rsid w:val="0075629C"/>
    <w:rsid w:val="00763EE7"/>
    <w:rsid w:val="0076623B"/>
    <w:rsid w:val="00767E4B"/>
    <w:rsid w:val="007718AD"/>
    <w:rsid w:val="007742A7"/>
    <w:rsid w:val="007851D5"/>
    <w:rsid w:val="00787C9F"/>
    <w:rsid w:val="0079486A"/>
    <w:rsid w:val="00794F80"/>
    <w:rsid w:val="007A00E9"/>
    <w:rsid w:val="007A0153"/>
    <w:rsid w:val="007A0454"/>
    <w:rsid w:val="007A0E44"/>
    <w:rsid w:val="007A1C9E"/>
    <w:rsid w:val="007A2404"/>
    <w:rsid w:val="007A4CA1"/>
    <w:rsid w:val="007A5DFD"/>
    <w:rsid w:val="007B0398"/>
    <w:rsid w:val="007B2C77"/>
    <w:rsid w:val="007B2E78"/>
    <w:rsid w:val="007B6549"/>
    <w:rsid w:val="007C2D72"/>
    <w:rsid w:val="007C3F2F"/>
    <w:rsid w:val="007C4AB0"/>
    <w:rsid w:val="007D0776"/>
    <w:rsid w:val="007D1A27"/>
    <w:rsid w:val="007D1B24"/>
    <w:rsid w:val="007D1F15"/>
    <w:rsid w:val="007D25B1"/>
    <w:rsid w:val="007D2878"/>
    <w:rsid w:val="007D55E5"/>
    <w:rsid w:val="007D63A7"/>
    <w:rsid w:val="007E319E"/>
    <w:rsid w:val="007E4FA1"/>
    <w:rsid w:val="007E7B07"/>
    <w:rsid w:val="007E7BAB"/>
    <w:rsid w:val="007E7DCE"/>
    <w:rsid w:val="007E7FA9"/>
    <w:rsid w:val="007F20AC"/>
    <w:rsid w:val="00802C56"/>
    <w:rsid w:val="00807750"/>
    <w:rsid w:val="00807E35"/>
    <w:rsid w:val="00811205"/>
    <w:rsid w:val="00812C48"/>
    <w:rsid w:val="0081369E"/>
    <w:rsid w:val="008146F9"/>
    <w:rsid w:val="008175A7"/>
    <w:rsid w:val="00821AEB"/>
    <w:rsid w:val="00824DCD"/>
    <w:rsid w:val="00825B4E"/>
    <w:rsid w:val="00827658"/>
    <w:rsid w:val="00833A4D"/>
    <w:rsid w:val="00833E8A"/>
    <w:rsid w:val="00836C53"/>
    <w:rsid w:val="00844009"/>
    <w:rsid w:val="00844569"/>
    <w:rsid w:val="00844CDE"/>
    <w:rsid w:val="00845083"/>
    <w:rsid w:val="00847D23"/>
    <w:rsid w:val="008556FF"/>
    <w:rsid w:val="00857106"/>
    <w:rsid w:val="00857765"/>
    <w:rsid w:val="00863327"/>
    <w:rsid w:val="00863A40"/>
    <w:rsid w:val="00866865"/>
    <w:rsid w:val="00867F7E"/>
    <w:rsid w:val="00870F44"/>
    <w:rsid w:val="00872ECB"/>
    <w:rsid w:val="0087456A"/>
    <w:rsid w:val="00880FBC"/>
    <w:rsid w:val="00884054"/>
    <w:rsid w:val="00886782"/>
    <w:rsid w:val="00890B7A"/>
    <w:rsid w:val="00890C62"/>
    <w:rsid w:val="00893088"/>
    <w:rsid w:val="0089437B"/>
    <w:rsid w:val="00894B43"/>
    <w:rsid w:val="00895089"/>
    <w:rsid w:val="008951ED"/>
    <w:rsid w:val="0089761E"/>
    <w:rsid w:val="008977EE"/>
    <w:rsid w:val="008A4DDA"/>
    <w:rsid w:val="008A5928"/>
    <w:rsid w:val="008A75BE"/>
    <w:rsid w:val="008B0D6E"/>
    <w:rsid w:val="008B1AD9"/>
    <w:rsid w:val="008B1D2E"/>
    <w:rsid w:val="008B4DF4"/>
    <w:rsid w:val="008C02D5"/>
    <w:rsid w:val="008C08BE"/>
    <w:rsid w:val="008C229F"/>
    <w:rsid w:val="008C32A8"/>
    <w:rsid w:val="008C3445"/>
    <w:rsid w:val="008C4E94"/>
    <w:rsid w:val="008C55A3"/>
    <w:rsid w:val="008C7368"/>
    <w:rsid w:val="008E02A9"/>
    <w:rsid w:val="008E6375"/>
    <w:rsid w:val="008F17A1"/>
    <w:rsid w:val="008F4C65"/>
    <w:rsid w:val="008F7579"/>
    <w:rsid w:val="009016BD"/>
    <w:rsid w:val="00902944"/>
    <w:rsid w:val="00905422"/>
    <w:rsid w:val="00906BD5"/>
    <w:rsid w:val="009104D1"/>
    <w:rsid w:val="00913133"/>
    <w:rsid w:val="0091475B"/>
    <w:rsid w:val="00921DB9"/>
    <w:rsid w:val="0092403D"/>
    <w:rsid w:val="0093199C"/>
    <w:rsid w:val="009402DB"/>
    <w:rsid w:val="00942857"/>
    <w:rsid w:val="00942E41"/>
    <w:rsid w:val="009440D8"/>
    <w:rsid w:val="009449B8"/>
    <w:rsid w:val="00944DC9"/>
    <w:rsid w:val="009454E7"/>
    <w:rsid w:val="0094603F"/>
    <w:rsid w:val="00952028"/>
    <w:rsid w:val="00957CAC"/>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2977"/>
    <w:rsid w:val="0099557F"/>
    <w:rsid w:val="00997D10"/>
    <w:rsid w:val="009A3511"/>
    <w:rsid w:val="009A686F"/>
    <w:rsid w:val="009A7912"/>
    <w:rsid w:val="009B33A8"/>
    <w:rsid w:val="009B3487"/>
    <w:rsid w:val="009B3877"/>
    <w:rsid w:val="009B3F96"/>
    <w:rsid w:val="009B7C61"/>
    <w:rsid w:val="009C3793"/>
    <w:rsid w:val="009C62BD"/>
    <w:rsid w:val="009D2190"/>
    <w:rsid w:val="009D26AD"/>
    <w:rsid w:val="009D341C"/>
    <w:rsid w:val="009D7F8A"/>
    <w:rsid w:val="009E1411"/>
    <w:rsid w:val="009E19FC"/>
    <w:rsid w:val="009E52F2"/>
    <w:rsid w:val="009E681F"/>
    <w:rsid w:val="009F3C1F"/>
    <w:rsid w:val="009F614E"/>
    <w:rsid w:val="009F762B"/>
    <w:rsid w:val="009F76BA"/>
    <w:rsid w:val="009F7E09"/>
    <w:rsid w:val="00A02047"/>
    <w:rsid w:val="00A035C0"/>
    <w:rsid w:val="00A036BE"/>
    <w:rsid w:val="00A03F2A"/>
    <w:rsid w:val="00A0575E"/>
    <w:rsid w:val="00A12205"/>
    <w:rsid w:val="00A139AF"/>
    <w:rsid w:val="00A17582"/>
    <w:rsid w:val="00A20113"/>
    <w:rsid w:val="00A23765"/>
    <w:rsid w:val="00A3248C"/>
    <w:rsid w:val="00A34361"/>
    <w:rsid w:val="00A354C4"/>
    <w:rsid w:val="00A35685"/>
    <w:rsid w:val="00A358E6"/>
    <w:rsid w:val="00A37095"/>
    <w:rsid w:val="00A37C0F"/>
    <w:rsid w:val="00A422B7"/>
    <w:rsid w:val="00A432DF"/>
    <w:rsid w:val="00A44291"/>
    <w:rsid w:val="00A444BE"/>
    <w:rsid w:val="00A453DC"/>
    <w:rsid w:val="00A47E33"/>
    <w:rsid w:val="00A50182"/>
    <w:rsid w:val="00A51024"/>
    <w:rsid w:val="00A51109"/>
    <w:rsid w:val="00A544DC"/>
    <w:rsid w:val="00A54B6B"/>
    <w:rsid w:val="00A55818"/>
    <w:rsid w:val="00A56556"/>
    <w:rsid w:val="00A60F08"/>
    <w:rsid w:val="00A625E2"/>
    <w:rsid w:val="00A63DC7"/>
    <w:rsid w:val="00A70289"/>
    <w:rsid w:val="00A72105"/>
    <w:rsid w:val="00A72465"/>
    <w:rsid w:val="00A80C92"/>
    <w:rsid w:val="00A82461"/>
    <w:rsid w:val="00A851D8"/>
    <w:rsid w:val="00A870C4"/>
    <w:rsid w:val="00A87326"/>
    <w:rsid w:val="00A953BA"/>
    <w:rsid w:val="00A96F9F"/>
    <w:rsid w:val="00AA061F"/>
    <w:rsid w:val="00AA0848"/>
    <w:rsid w:val="00AA0AAF"/>
    <w:rsid w:val="00AA3104"/>
    <w:rsid w:val="00AA3C06"/>
    <w:rsid w:val="00AA56F6"/>
    <w:rsid w:val="00AA5D62"/>
    <w:rsid w:val="00AA7E8A"/>
    <w:rsid w:val="00AB2BF2"/>
    <w:rsid w:val="00AB3710"/>
    <w:rsid w:val="00AB4B0F"/>
    <w:rsid w:val="00AB6C3B"/>
    <w:rsid w:val="00AB7F4A"/>
    <w:rsid w:val="00AC226E"/>
    <w:rsid w:val="00AC3D45"/>
    <w:rsid w:val="00AC722C"/>
    <w:rsid w:val="00AC7906"/>
    <w:rsid w:val="00AD1291"/>
    <w:rsid w:val="00AD134F"/>
    <w:rsid w:val="00AD3428"/>
    <w:rsid w:val="00AD3AA2"/>
    <w:rsid w:val="00AD4B1A"/>
    <w:rsid w:val="00AD4FDD"/>
    <w:rsid w:val="00AE008F"/>
    <w:rsid w:val="00AF0161"/>
    <w:rsid w:val="00AF2A1F"/>
    <w:rsid w:val="00AF2D9B"/>
    <w:rsid w:val="00B04C3E"/>
    <w:rsid w:val="00B0749B"/>
    <w:rsid w:val="00B10050"/>
    <w:rsid w:val="00B10A1E"/>
    <w:rsid w:val="00B11E08"/>
    <w:rsid w:val="00B14039"/>
    <w:rsid w:val="00B149FA"/>
    <w:rsid w:val="00B22242"/>
    <w:rsid w:val="00B2330D"/>
    <w:rsid w:val="00B23E74"/>
    <w:rsid w:val="00B32CD3"/>
    <w:rsid w:val="00B34CED"/>
    <w:rsid w:val="00B35A93"/>
    <w:rsid w:val="00B3672D"/>
    <w:rsid w:val="00B433C9"/>
    <w:rsid w:val="00B4745C"/>
    <w:rsid w:val="00B52A82"/>
    <w:rsid w:val="00B52D3E"/>
    <w:rsid w:val="00B555AD"/>
    <w:rsid w:val="00B57980"/>
    <w:rsid w:val="00B601D4"/>
    <w:rsid w:val="00B63BC9"/>
    <w:rsid w:val="00B653BB"/>
    <w:rsid w:val="00B66E86"/>
    <w:rsid w:val="00B67A20"/>
    <w:rsid w:val="00B724E8"/>
    <w:rsid w:val="00B741BC"/>
    <w:rsid w:val="00B76471"/>
    <w:rsid w:val="00B82FB3"/>
    <w:rsid w:val="00B87D50"/>
    <w:rsid w:val="00B9223B"/>
    <w:rsid w:val="00B971CA"/>
    <w:rsid w:val="00BA4D1F"/>
    <w:rsid w:val="00BA7AD1"/>
    <w:rsid w:val="00BB2250"/>
    <w:rsid w:val="00BB4A1A"/>
    <w:rsid w:val="00BB721B"/>
    <w:rsid w:val="00BC0FDD"/>
    <w:rsid w:val="00BC22E0"/>
    <w:rsid w:val="00BC2A46"/>
    <w:rsid w:val="00BC3FA4"/>
    <w:rsid w:val="00BD004A"/>
    <w:rsid w:val="00BD352C"/>
    <w:rsid w:val="00BD5023"/>
    <w:rsid w:val="00BD58AB"/>
    <w:rsid w:val="00BD6D34"/>
    <w:rsid w:val="00BE28ED"/>
    <w:rsid w:val="00C008B2"/>
    <w:rsid w:val="00C01F6B"/>
    <w:rsid w:val="00C1184D"/>
    <w:rsid w:val="00C12209"/>
    <w:rsid w:val="00C16DFC"/>
    <w:rsid w:val="00C24A09"/>
    <w:rsid w:val="00C25084"/>
    <w:rsid w:val="00C3096A"/>
    <w:rsid w:val="00C3292A"/>
    <w:rsid w:val="00C357BE"/>
    <w:rsid w:val="00C36ED4"/>
    <w:rsid w:val="00C40FB5"/>
    <w:rsid w:val="00C54D4B"/>
    <w:rsid w:val="00C56C44"/>
    <w:rsid w:val="00C6332C"/>
    <w:rsid w:val="00C6786D"/>
    <w:rsid w:val="00C71CD1"/>
    <w:rsid w:val="00C73143"/>
    <w:rsid w:val="00C77685"/>
    <w:rsid w:val="00C77815"/>
    <w:rsid w:val="00C77977"/>
    <w:rsid w:val="00C77ABA"/>
    <w:rsid w:val="00C85378"/>
    <w:rsid w:val="00C870F5"/>
    <w:rsid w:val="00C909F7"/>
    <w:rsid w:val="00C91B10"/>
    <w:rsid w:val="00C9297C"/>
    <w:rsid w:val="00C9347E"/>
    <w:rsid w:val="00CA5334"/>
    <w:rsid w:val="00CA6FDA"/>
    <w:rsid w:val="00CA7B02"/>
    <w:rsid w:val="00CB3B6F"/>
    <w:rsid w:val="00CB5283"/>
    <w:rsid w:val="00CC0C5F"/>
    <w:rsid w:val="00CC1BC6"/>
    <w:rsid w:val="00CC2F3D"/>
    <w:rsid w:val="00CC5FF3"/>
    <w:rsid w:val="00CC6072"/>
    <w:rsid w:val="00CD365B"/>
    <w:rsid w:val="00CD4BFA"/>
    <w:rsid w:val="00CE0E72"/>
    <w:rsid w:val="00CE13E2"/>
    <w:rsid w:val="00CE2ADF"/>
    <w:rsid w:val="00CE75D3"/>
    <w:rsid w:val="00CF1C84"/>
    <w:rsid w:val="00CF1D7D"/>
    <w:rsid w:val="00CF45D3"/>
    <w:rsid w:val="00CF51F9"/>
    <w:rsid w:val="00CF6B6C"/>
    <w:rsid w:val="00CF7EA2"/>
    <w:rsid w:val="00D02E45"/>
    <w:rsid w:val="00D03E71"/>
    <w:rsid w:val="00D042BB"/>
    <w:rsid w:val="00D068FC"/>
    <w:rsid w:val="00D06CA0"/>
    <w:rsid w:val="00D115BB"/>
    <w:rsid w:val="00D115C2"/>
    <w:rsid w:val="00D11797"/>
    <w:rsid w:val="00D12C68"/>
    <w:rsid w:val="00D134FB"/>
    <w:rsid w:val="00D1648B"/>
    <w:rsid w:val="00D17025"/>
    <w:rsid w:val="00D17789"/>
    <w:rsid w:val="00D20A46"/>
    <w:rsid w:val="00D21565"/>
    <w:rsid w:val="00D22F7D"/>
    <w:rsid w:val="00D25BEE"/>
    <w:rsid w:val="00D2737E"/>
    <w:rsid w:val="00D274A9"/>
    <w:rsid w:val="00D32644"/>
    <w:rsid w:val="00D32BE5"/>
    <w:rsid w:val="00D33619"/>
    <w:rsid w:val="00D4032A"/>
    <w:rsid w:val="00D43422"/>
    <w:rsid w:val="00D449AE"/>
    <w:rsid w:val="00D477C3"/>
    <w:rsid w:val="00D51B89"/>
    <w:rsid w:val="00D52AC7"/>
    <w:rsid w:val="00D54CA9"/>
    <w:rsid w:val="00D54D64"/>
    <w:rsid w:val="00D6340F"/>
    <w:rsid w:val="00D6535E"/>
    <w:rsid w:val="00D654EC"/>
    <w:rsid w:val="00D67403"/>
    <w:rsid w:val="00D72D16"/>
    <w:rsid w:val="00D742B9"/>
    <w:rsid w:val="00D7492C"/>
    <w:rsid w:val="00D77FBD"/>
    <w:rsid w:val="00D8195B"/>
    <w:rsid w:val="00D821F8"/>
    <w:rsid w:val="00D848F9"/>
    <w:rsid w:val="00D84DDC"/>
    <w:rsid w:val="00D85695"/>
    <w:rsid w:val="00D8619F"/>
    <w:rsid w:val="00D86764"/>
    <w:rsid w:val="00DA0DF2"/>
    <w:rsid w:val="00DA41D7"/>
    <w:rsid w:val="00DA494B"/>
    <w:rsid w:val="00DB5C0A"/>
    <w:rsid w:val="00DC2AC2"/>
    <w:rsid w:val="00DD13E2"/>
    <w:rsid w:val="00DD3D36"/>
    <w:rsid w:val="00DE43DD"/>
    <w:rsid w:val="00DE47A1"/>
    <w:rsid w:val="00DE6917"/>
    <w:rsid w:val="00DF003C"/>
    <w:rsid w:val="00DF137F"/>
    <w:rsid w:val="00DF4501"/>
    <w:rsid w:val="00DF5B9E"/>
    <w:rsid w:val="00DF6971"/>
    <w:rsid w:val="00DF78AE"/>
    <w:rsid w:val="00E00E78"/>
    <w:rsid w:val="00E07126"/>
    <w:rsid w:val="00E076C1"/>
    <w:rsid w:val="00E11E2E"/>
    <w:rsid w:val="00E13C83"/>
    <w:rsid w:val="00E15555"/>
    <w:rsid w:val="00E15B7D"/>
    <w:rsid w:val="00E2408E"/>
    <w:rsid w:val="00E276B8"/>
    <w:rsid w:val="00E371EC"/>
    <w:rsid w:val="00E43116"/>
    <w:rsid w:val="00E444DA"/>
    <w:rsid w:val="00E54E8C"/>
    <w:rsid w:val="00E571F8"/>
    <w:rsid w:val="00E572AD"/>
    <w:rsid w:val="00E64F0A"/>
    <w:rsid w:val="00E67668"/>
    <w:rsid w:val="00E70AEE"/>
    <w:rsid w:val="00E7107E"/>
    <w:rsid w:val="00E718B5"/>
    <w:rsid w:val="00E71C93"/>
    <w:rsid w:val="00E72AE3"/>
    <w:rsid w:val="00E73B51"/>
    <w:rsid w:val="00E8151C"/>
    <w:rsid w:val="00E81E9C"/>
    <w:rsid w:val="00E82E15"/>
    <w:rsid w:val="00E936FF"/>
    <w:rsid w:val="00E939C8"/>
    <w:rsid w:val="00E93A33"/>
    <w:rsid w:val="00E93B6B"/>
    <w:rsid w:val="00EA1F89"/>
    <w:rsid w:val="00EB117B"/>
    <w:rsid w:val="00EB2BEB"/>
    <w:rsid w:val="00EB40D6"/>
    <w:rsid w:val="00EB4222"/>
    <w:rsid w:val="00EB5F75"/>
    <w:rsid w:val="00EB6785"/>
    <w:rsid w:val="00EB79CD"/>
    <w:rsid w:val="00EE0F2E"/>
    <w:rsid w:val="00EE2610"/>
    <w:rsid w:val="00EE2A41"/>
    <w:rsid w:val="00EE354B"/>
    <w:rsid w:val="00EE3C1D"/>
    <w:rsid w:val="00EE6EC2"/>
    <w:rsid w:val="00EF09FB"/>
    <w:rsid w:val="00EF102E"/>
    <w:rsid w:val="00EF697A"/>
    <w:rsid w:val="00F00446"/>
    <w:rsid w:val="00F02923"/>
    <w:rsid w:val="00F0351B"/>
    <w:rsid w:val="00F06472"/>
    <w:rsid w:val="00F13254"/>
    <w:rsid w:val="00F1465C"/>
    <w:rsid w:val="00F177B1"/>
    <w:rsid w:val="00F22566"/>
    <w:rsid w:val="00F226DB"/>
    <w:rsid w:val="00F22963"/>
    <w:rsid w:val="00F232C2"/>
    <w:rsid w:val="00F24599"/>
    <w:rsid w:val="00F278FA"/>
    <w:rsid w:val="00F30F82"/>
    <w:rsid w:val="00F367F2"/>
    <w:rsid w:val="00F370A2"/>
    <w:rsid w:val="00F403EA"/>
    <w:rsid w:val="00F42753"/>
    <w:rsid w:val="00F42E10"/>
    <w:rsid w:val="00F44A7B"/>
    <w:rsid w:val="00F44FFA"/>
    <w:rsid w:val="00F45B6F"/>
    <w:rsid w:val="00F510DB"/>
    <w:rsid w:val="00F5724D"/>
    <w:rsid w:val="00F60AB3"/>
    <w:rsid w:val="00F60EDC"/>
    <w:rsid w:val="00F62329"/>
    <w:rsid w:val="00F623C0"/>
    <w:rsid w:val="00F65A74"/>
    <w:rsid w:val="00F727B0"/>
    <w:rsid w:val="00F76A74"/>
    <w:rsid w:val="00F84371"/>
    <w:rsid w:val="00F858D5"/>
    <w:rsid w:val="00F91AEE"/>
    <w:rsid w:val="00F92F0A"/>
    <w:rsid w:val="00FA047C"/>
    <w:rsid w:val="00FA20D3"/>
    <w:rsid w:val="00FA2545"/>
    <w:rsid w:val="00FB3A25"/>
    <w:rsid w:val="00FB4AAD"/>
    <w:rsid w:val="00FB4E3D"/>
    <w:rsid w:val="00FB5F2A"/>
    <w:rsid w:val="00FB6CF8"/>
    <w:rsid w:val="00FC16E9"/>
    <w:rsid w:val="00FC279C"/>
    <w:rsid w:val="00FC45DE"/>
    <w:rsid w:val="00FC48CB"/>
    <w:rsid w:val="00FC4F9B"/>
    <w:rsid w:val="00FC59F0"/>
    <w:rsid w:val="00FD12F4"/>
    <w:rsid w:val="00FD4599"/>
    <w:rsid w:val="00FD4784"/>
    <w:rsid w:val="00FD5270"/>
    <w:rsid w:val="00FD65FE"/>
    <w:rsid w:val="00FD74EB"/>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character" w:styleId="Textodelmarcadordeposicin">
    <w:name w:val="Placeholder Text"/>
    <w:basedOn w:val="Fuentedeprrafopredeter"/>
    <w:uiPriority w:val="99"/>
    <w:semiHidden/>
    <w:rsid w:val="002064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92030495">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045982586">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3429462">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8/&amp;a=RRA%205097.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8/&amp;a=RRA%204548.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9/&amp;a=RRA%201427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C6C13-A353-481A-9B7B-2A9D5944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41</Pages>
  <Words>7223</Words>
  <Characters>39728</Characters>
  <Application>Microsoft Office Word</Application>
  <DocSecurity>0</DocSecurity>
  <Lines>331</Lines>
  <Paragraphs>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2019-11-07T00:56:00Z</cp:lastPrinted>
  <dcterms:created xsi:type="dcterms:W3CDTF">2023-01-24T23:44:00Z</dcterms:created>
  <dcterms:modified xsi:type="dcterms:W3CDTF">2023-06-06T16:43:00Z</dcterms:modified>
</cp:coreProperties>
</file>