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5B9113F"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w:t>
      </w:r>
      <w:r w:rsidR="00005D82">
        <w:rPr>
          <w:rFonts w:ascii="Palatino Linotype" w:hAnsi="Palatino Linotype"/>
        </w:rPr>
        <w:t>celebrada el</w:t>
      </w:r>
      <w:r w:rsidR="004D51E5" w:rsidRPr="00984657">
        <w:rPr>
          <w:rFonts w:ascii="Palatino Linotype" w:hAnsi="Palatino Linotype"/>
        </w:rPr>
        <w:t xml:space="preserve"> </w:t>
      </w:r>
      <w:r w:rsidR="00F21894">
        <w:rPr>
          <w:rFonts w:ascii="Palatino Linotype" w:hAnsi="Palatino Linotype"/>
        </w:rPr>
        <w:t>nueve de febrero</w:t>
      </w:r>
      <w:r w:rsidR="006E115A">
        <w:rPr>
          <w:rFonts w:ascii="Palatino Linotype" w:hAnsi="Palatino Linotype"/>
        </w:rPr>
        <w:t xml:space="preserve"> </w:t>
      </w:r>
      <w:r w:rsidR="00F74502" w:rsidRPr="009D6D10">
        <w:rPr>
          <w:rFonts w:ascii="Palatino Linotype" w:hAnsi="Palatino Linotype"/>
        </w:rPr>
        <w:t xml:space="preserve">dos mil </w:t>
      </w:r>
      <w:r w:rsidR="00BE2996">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29A784D6"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F21894" w:rsidRPr="00F21894">
        <w:rPr>
          <w:rFonts w:ascii="Palatino Linotype" w:hAnsi="Palatino Linotype"/>
          <w:b/>
          <w:lang w:val="es-ES_tradnl"/>
        </w:rPr>
        <w:t>13277/INFOEM/IP/RR/2022</w:t>
      </w:r>
      <w:r w:rsidRPr="00984657">
        <w:rPr>
          <w:rFonts w:ascii="Palatino Linotype" w:hAnsi="Palatino Linotype"/>
        </w:rPr>
        <w:t xml:space="preserve">, </w:t>
      </w:r>
      <w:r w:rsidR="006C52D7" w:rsidRPr="00984657">
        <w:rPr>
          <w:rFonts w:ascii="Palatino Linotype" w:hAnsi="Palatino Linotype"/>
        </w:rPr>
        <w:t>promovi</w:t>
      </w:r>
      <w:r w:rsidR="00B0348F">
        <w:rPr>
          <w:rFonts w:ascii="Palatino Linotype" w:hAnsi="Palatino Linotype"/>
        </w:rPr>
        <w:t xml:space="preserve">do por </w:t>
      </w:r>
      <w:r w:rsidR="00F21894">
        <w:rPr>
          <w:rFonts w:ascii="Palatino Linotype" w:hAnsi="Palatino Linotype"/>
          <w:b/>
          <w:color w:val="000000" w:themeColor="text1"/>
        </w:rPr>
        <w:t>una persona de manera anónima</w:t>
      </w:r>
      <w:r w:rsidR="005C250B" w:rsidRPr="003A0A8D">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F21894">
        <w:rPr>
          <w:rFonts w:ascii="Palatino Linotype" w:hAnsi="Palatino Linotype" w:cs="Arial"/>
          <w:b/>
          <w:color w:val="000000" w:themeColor="text1"/>
          <w:lang w:val="es-ES"/>
        </w:rPr>
        <w:t>EL</w:t>
      </w:r>
      <w:r w:rsidR="00A3621A">
        <w:rPr>
          <w:rFonts w:ascii="Palatino Linotype" w:hAnsi="Palatino Linotype" w:cs="Arial"/>
          <w:b/>
          <w:color w:val="000000" w:themeColor="text1"/>
          <w:lang w:val="es-ES"/>
        </w:rPr>
        <w:t xml:space="preserve"> </w:t>
      </w:r>
      <w:r w:rsidR="005C250B">
        <w:rPr>
          <w:rFonts w:ascii="Palatino Linotype" w:hAnsi="Palatino Linotype" w:cs="Arial"/>
          <w:b/>
          <w:color w:val="000000" w:themeColor="text1"/>
          <w:lang w:val="es-ES"/>
        </w:rPr>
        <w:t>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7159C3">
        <w:rPr>
          <w:rFonts w:ascii="Palatino Linotype" w:hAnsi="Palatino Linotype" w:cs="Arial"/>
          <w:color w:val="000000" w:themeColor="text1"/>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F812E8" w:rsidRPr="00F812E8">
        <w:rPr>
          <w:rFonts w:ascii="Palatino Linotype" w:hAnsi="Palatino Linotype" w:cs="Arial"/>
          <w:b/>
        </w:rPr>
        <w:t>Ayuntamiento de Ixtapaluca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7CB13496" w14:textId="77777777" w:rsidR="003A0A8D" w:rsidRPr="00984657" w:rsidRDefault="003A0A8D"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3EE96DD9" w14:textId="77777777" w:rsidR="003A0A8D" w:rsidRDefault="003A0A8D"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1CB2F136"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F812E8">
        <w:rPr>
          <w:rFonts w:ascii="Palatino Linotype" w:hAnsi="Palatino Linotype"/>
          <w:b/>
          <w:bCs/>
          <w:lang w:val="es-ES"/>
        </w:rPr>
        <w:t xml:space="preserve">siete de noviembre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F21894">
        <w:rPr>
          <w:rFonts w:ascii="Palatino Linotype" w:hAnsi="Palatino Linotype" w:cs="Arial"/>
          <w:b/>
          <w:color w:val="000000" w:themeColor="text1"/>
          <w:lang w:val="es-ES"/>
        </w:rPr>
        <w:t>EL</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F21894" w:rsidRPr="00F21894">
        <w:rPr>
          <w:rFonts w:ascii="Palatino Linotype" w:hAnsi="Palatino Linotype" w:cs="Arial"/>
          <w:b/>
          <w:bCs/>
        </w:rPr>
        <w:t>00182/IXTAPALU/IP/2022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13BC2DF0" w14:textId="3A3BBDA3"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F21894" w:rsidRPr="00F21894">
        <w:rPr>
          <w:rFonts w:ascii="Palatino Linotype" w:hAnsi="Palatino Linotype" w:cs="Arial"/>
          <w:i/>
          <w:sz w:val="22"/>
          <w:szCs w:val="22"/>
        </w:rPr>
        <w:t>Se solicita: 1.- El presupuesto detallado total, destinado por la actual administración municipal, para las fiestas patronales de la presente anualidad. 2.- El monto total que será pagado a los artistas que intervienen en las festividades mencionadas. 3.- La procedencia del recurso que se sirva detallar en los puntos que anteceden.</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39DE4E0E" w14:textId="77777777" w:rsidR="00F812E8" w:rsidRDefault="00F812E8" w:rsidP="0066637D">
      <w:pPr>
        <w:spacing w:line="360" w:lineRule="auto"/>
        <w:jc w:val="both"/>
        <w:rPr>
          <w:rFonts w:ascii="Palatino Linotype" w:hAnsi="Palatino Linotype" w:cs="Arial"/>
          <w:b/>
        </w:rPr>
      </w:pPr>
    </w:p>
    <w:p w14:paraId="33E0243E" w14:textId="716842F5"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w:t>
      </w:r>
      <w:r w:rsidR="00E925ED" w:rsidRPr="00984657">
        <w:rPr>
          <w:rFonts w:ascii="Palatino Linotype" w:hAnsi="Palatino Linotype" w:cs="Arial"/>
        </w:rPr>
        <w:t xml:space="preserve">Vía </w:t>
      </w:r>
      <w:r w:rsidR="00E925ED" w:rsidRPr="00984657">
        <w:rPr>
          <w:rFonts w:ascii="Palatino Linotype" w:hAnsi="Palatino Linotype" w:cs="Arial"/>
          <w:b/>
        </w:rPr>
        <w:t>SAIMEX.</w:t>
      </w:r>
    </w:p>
    <w:p w14:paraId="5E760813" w14:textId="77777777" w:rsidR="00131479" w:rsidRPr="00F812E8" w:rsidRDefault="00131479" w:rsidP="00370E5F">
      <w:pPr>
        <w:spacing w:line="360" w:lineRule="auto"/>
        <w:jc w:val="both"/>
        <w:rPr>
          <w:rFonts w:ascii="Palatino Linotype" w:hAnsi="Palatino Linotype"/>
          <w:b/>
        </w:rPr>
      </w:pPr>
    </w:p>
    <w:p w14:paraId="2BC92DA9" w14:textId="77777777" w:rsidR="00370E5F" w:rsidRPr="00980A79" w:rsidRDefault="00370E5F" w:rsidP="00370E5F">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1EB842F2" w14:textId="16DC6D64" w:rsidR="00370E5F" w:rsidRDefault="00370E5F" w:rsidP="00370E5F">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F21894">
        <w:rPr>
          <w:rFonts w:ascii="Palatino Linotype" w:hAnsi="Palatino Linotype"/>
          <w:b/>
          <w:color w:val="000000" w:themeColor="text1"/>
        </w:rPr>
        <w:t xml:space="preserve">dieciséis de mayo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acceso a la información; tal y como, se aprecia en la imagen siguiente:</w:t>
      </w:r>
    </w:p>
    <w:p w14:paraId="7F0F7195" w14:textId="66A05529" w:rsidR="00370E5F" w:rsidRDefault="00370E5F" w:rsidP="00370E5F">
      <w:pPr>
        <w:spacing w:line="360" w:lineRule="auto"/>
        <w:jc w:val="both"/>
        <w:rPr>
          <w:rFonts w:ascii="Palatino Linotype" w:hAnsi="Palatino Linotype"/>
          <w:color w:val="000000" w:themeColor="text1"/>
        </w:rPr>
      </w:pPr>
    </w:p>
    <w:p w14:paraId="2FEFF5EA" w14:textId="4EB59D8C" w:rsidR="00370E5F" w:rsidRDefault="00F21894" w:rsidP="00370E5F">
      <w:pPr>
        <w:spacing w:line="360" w:lineRule="auto"/>
        <w:jc w:val="both"/>
        <w:rPr>
          <w:rFonts w:ascii="Palatino Linotype" w:hAnsi="Palatino Linotype"/>
          <w:b/>
        </w:rPr>
      </w:pPr>
      <w:r w:rsidRPr="00F21894">
        <w:rPr>
          <w:rFonts w:ascii="Palatino Linotype" w:hAnsi="Palatino Linotype"/>
          <w:b/>
          <w:noProof/>
          <w:lang w:val="es-419" w:eastAsia="es-419"/>
        </w:rPr>
        <w:drawing>
          <wp:inline distT="0" distB="0" distL="0" distR="0" wp14:anchorId="2869DE13" wp14:editId="2FF99325">
            <wp:extent cx="5791835" cy="445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5135"/>
                    </a:xfrm>
                    <a:prstGeom prst="rect">
                      <a:avLst/>
                    </a:prstGeom>
                  </pic:spPr>
                </pic:pic>
              </a:graphicData>
            </a:graphic>
          </wp:inline>
        </w:drawing>
      </w:r>
    </w:p>
    <w:p w14:paraId="43945AB2" w14:textId="77777777" w:rsidR="00370E5F" w:rsidRPr="00503A79" w:rsidRDefault="00370E5F" w:rsidP="00F67B0E">
      <w:pPr>
        <w:spacing w:line="360" w:lineRule="auto"/>
        <w:jc w:val="both"/>
        <w:rPr>
          <w:rFonts w:ascii="Palatino Linotype" w:hAnsi="Palatino Linotype"/>
          <w:b/>
        </w:rPr>
      </w:pPr>
    </w:p>
    <w:p w14:paraId="6A8E91EB" w14:textId="768E7966" w:rsidR="00FA5972" w:rsidRDefault="007159C3"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5378E2">
        <w:rPr>
          <w:rFonts w:ascii="Palatino Linotype" w:hAnsi="Palatino Linotype"/>
          <w:b/>
          <w:sz w:val="28"/>
          <w:szCs w:val="28"/>
        </w:rPr>
        <w:t>I</w:t>
      </w:r>
      <w:r w:rsidR="00A606B9">
        <w:rPr>
          <w:rFonts w:ascii="Palatino Linotype" w:hAnsi="Palatino Linotype"/>
          <w:b/>
          <w:sz w:val="28"/>
          <w:szCs w:val="28"/>
        </w:rPr>
        <w:t>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1ADF9513"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7B8068DC" w14:textId="77777777" w:rsidR="00F812E8" w:rsidRPr="00984657" w:rsidRDefault="00F812E8" w:rsidP="0066637D">
      <w:pPr>
        <w:spacing w:line="360" w:lineRule="auto"/>
        <w:jc w:val="both"/>
        <w:rPr>
          <w:rFonts w:ascii="Palatino Linotype" w:hAnsi="Palatino Linotype" w:cs="Arial"/>
          <w:color w:val="000000" w:themeColor="text1"/>
        </w:rPr>
      </w:pPr>
    </w:p>
    <w:p w14:paraId="5AF077F6" w14:textId="334B5CF7"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5378E2">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82D1A1E" w14:textId="75FFA77B" w:rsidR="00D81356" w:rsidRDefault="00D81356" w:rsidP="00D81356">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F21894">
        <w:rPr>
          <w:rFonts w:ascii="Palatino Linotype" w:hAnsi="Palatino Linotype" w:cs="Arial"/>
          <w:b/>
          <w:color w:val="000000" w:themeColor="text1"/>
        </w:rPr>
        <w:t>doce de agosto</w:t>
      </w:r>
      <w:r>
        <w:rPr>
          <w:rFonts w:ascii="Palatino Linotype" w:hAnsi="Palatino Linotype" w:cs="Arial"/>
          <w:b/>
          <w:color w:val="000000" w:themeColor="text1"/>
        </w:rPr>
        <w:t xml:space="preserve"> </w:t>
      </w:r>
      <w:r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F21894">
        <w:rPr>
          <w:rFonts w:ascii="Palatino Linotype" w:hAnsi="Palatino Linotype" w:cs="Arial"/>
          <w:b/>
          <w:color w:val="000000" w:themeColor="text1"/>
          <w:lang w:val="es-ES"/>
        </w:rPr>
        <w:t>EL</w:t>
      </w:r>
      <w:r>
        <w:rPr>
          <w:rFonts w:ascii="Palatino Linotype" w:hAnsi="Palatino Linotype" w:cs="Arial"/>
          <w:b/>
          <w:color w:val="000000" w:themeColor="text1"/>
          <w:lang w:val="es-ES"/>
        </w:rPr>
        <w:t xml:space="preserve"> RECURRENTE</w:t>
      </w:r>
      <w:r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F21894" w:rsidRPr="00F21894">
        <w:rPr>
          <w:rFonts w:ascii="Palatino Linotype" w:hAnsi="Palatino Linotype" w:cs="Arial"/>
          <w:b/>
          <w:color w:val="000000" w:themeColor="text1"/>
          <w:lang w:val="es-ES"/>
        </w:rPr>
        <w:t>13277/INFOEM/IP/RR/2022</w:t>
      </w:r>
      <w:r w:rsidRPr="00984657">
        <w:rPr>
          <w:rFonts w:ascii="Palatino Linotype" w:hAnsi="Palatino Linotype" w:cs="Arial"/>
          <w:b/>
          <w:color w:val="000000" w:themeColor="text1"/>
        </w:rPr>
        <w:t>,</w:t>
      </w:r>
      <w:r>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Pr>
          <w:rFonts w:ascii="Palatino Linotype" w:hAnsi="Palatino Linotype" w:cs="Arial"/>
          <w:color w:val="000000" w:themeColor="text1"/>
        </w:rPr>
        <w:t>:</w:t>
      </w:r>
    </w:p>
    <w:p w14:paraId="254FEF01" w14:textId="77777777" w:rsidR="00D81356" w:rsidRDefault="00D81356" w:rsidP="00D81356">
      <w:pPr>
        <w:spacing w:line="360" w:lineRule="auto"/>
        <w:jc w:val="both"/>
        <w:rPr>
          <w:rFonts w:ascii="Palatino Linotype" w:hAnsi="Palatino Linotype" w:cs="Arial"/>
          <w:color w:val="000000" w:themeColor="text1"/>
        </w:rPr>
      </w:pPr>
    </w:p>
    <w:p w14:paraId="6AFE2338" w14:textId="77777777" w:rsidR="004B3655" w:rsidRDefault="004B3655" w:rsidP="00D81356">
      <w:pPr>
        <w:spacing w:line="360" w:lineRule="auto"/>
        <w:jc w:val="both"/>
        <w:rPr>
          <w:rFonts w:ascii="Palatino Linotype" w:hAnsi="Palatino Linotype" w:cs="Arial"/>
          <w:b/>
          <w:color w:val="000000" w:themeColor="text1"/>
          <w:lang w:val="es-419"/>
        </w:rPr>
      </w:pPr>
    </w:p>
    <w:p w14:paraId="329A10D5" w14:textId="77777777" w:rsidR="004B3655" w:rsidRDefault="004B3655" w:rsidP="00D81356">
      <w:pPr>
        <w:spacing w:line="360" w:lineRule="auto"/>
        <w:jc w:val="both"/>
        <w:rPr>
          <w:rFonts w:ascii="Palatino Linotype" w:hAnsi="Palatino Linotype" w:cs="Arial"/>
          <w:b/>
          <w:color w:val="000000" w:themeColor="text1"/>
          <w:lang w:val="es-419"/>
        </w:rPr>
      </w:pPr>
    </w:p>
    <w:p w14:paraId="5B848E06" w14:textId="77777777" w:rsidR="004B3655" w:rsidRDefault="004B3655" w:rsidP="00D81356">
      <w:pPr>
        <w:spacing w:line="360" w:lineRule="auto"/>
        <w:jc w:val="both"/>
        <w:rPr>
          <w:rFonts w:ascii="Palatino Linotype" w:hAnsi="Palatino Linotype" w:cs="Arial"/>
          <w:b/>
          <w:color w:val="000000" w:themeColor="text1"/>
          <w:lang w:val="es-419"/>
        </w:rPr>
      </w:pPr>
    </w:p>
    <w:p w14:paraId="0690C7BE" w14:textId="77777777" w:rsidR="00D81356" w:rsidRDefault="00D81356" w:rsidP="00D81356">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lastRenderedPageBreak/>
        <w:t>Acto</w:t>
      </w:r>
      <w:r w:rsidRPr="00FF410E">
        <w:rPr>
          <w:rFonts w:ascii="Palatino Linotype" w:hAnsi="Palatino Linotype" w:cs="Arial"/>
          <w:b/>
          <w:color w:val="000000" w:themeColor="text1"/>
        </w:rPr>
        <w:t xml:space="preserve"> impugnado:</w:t>
      </w:r>
    </w:p>
    <w:p w14:paraId="7B4B7759" w14:textId="23379D6E" w:rsidR="00D81356" w:rsidRDefault="00D81356" w:rsidP="00D81356">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00F812E8" w:rsidRPr="00F812E8">
        <w:rPr>
          <w:rFonts w:ascii="Palatino Linotype" w:hAnsi="Palatino Linotype" w:cs="Arial"/>
          <w:i/>
          <w:color w:val="000000" w:themeColor="text1"/>
          <w:sz w:val="22"/>
          <w:szCs w:val="22"/>
        </w:rPr>
        <w:t>Con fundamento en el artículos 176, 178 y 179 Fracciones I, II, III, IV y V de la Ley de Transparencia y Acceso a la Información Pública del Estado de México y Municipios</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192E7B6F" w14:textId="77777777" w:rsidR="00D81356" w:rsidRDefault="00D81356" w:rsidP="00D81356">
      <w:pPr>
        <w:tabs>
          <w:tab w:val="left" w:pos="851"/>
        </w:tabs>
        <w:ind w:left="851" w:right="901"/>
        <w:jc w:val="both"/>
        <w:rPr>
          <w:rFonts w:ascii="Palatino Linotype" w:hAnsi="Palatino Linotype" w:cs="Arial"/>
          <w:i/>
          <w:color w:val="000000" w:themeColor="text1"/>
          <w:sz w:val="22"/>
          <w:szCs w:val="22"/>
        </w:rPr>
      </w:pPr>
    </w:p>
    <w:p w14:paraId="27420C98" w14:textId="77777777" w:rsidR="00D81356" w:rsidRDefault="00D81356" w:rsidP="00D81356">
      <w:pPr>
        <w:tabs>
          <w:tab w:val="left" w:pos="851"/>
        </w:tabs>
        <w:ind w:left="851" w:right="901"/>
        <w:jc w:val="both"/>
        <w:rPr>
          <w:rFonts w:ascii="Palatino Linotype" w:hAnsi="Palatino Linotype" w:cs="Arial"/>
          <w:i/>
          <w:color w:val="000000" w:themeColor="text1"/>
          <w:sz w:val="22"/>
          <w:szCs w:val="22"/>
        </w:rPr>
      </w:pPr>
    </w:p>
    <w:p w14:paraId="2BE9F0B2" w14:textId="77777777" w:rsidR="00D81356" w:rsidRPr="00FF410E" w:rsidRDefault="00D81356" w:rsidP="00D81356">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67CAFDB1" w14:textId="7EF69803" w:rsidR="00503A79" w:rsidRDefault="00D81356" w:rsidP="00D81356">
      <w:pPr>
        <w:spacing w:line="360" w:lineRule="auto"/>
        <w:ind w:left="85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4B3655" w:rsidRPr="004B3655">
        <w:rPr>
          <w:rFonts w:ascii="Palatino Linotype" w:hAnsi="Palatino Linotype" w:cs="Arial"/>
          <w:i/>
          <w:color w:val="000000" w:themeColor="text1"/>
          <w:sz w:val="22"/>
          <w:szCs w:val="22"/>
        </w:rPr>
        <w:t>A la fecha y después de los pazos establecidos, la solicitud no ha sido atendida.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89E7B38" w14:textId="77777777" w:rsidR="00D81356" w:rsidRDefault="00D81356" w:rsidP="0066637D">
      <w:pPr>
        <w:spacing w:line="360" w:lineRule="auto"/>
        <w:jc w:val="both"/>
        <w:rPr>
          <w:rFonts w:ascii="Palatino Linotype" w:hAnsi="Palatino Linotype" w:cs="Arial"/>
          <w:b/>
          <w:color w:val="000000" w:themeColor="text1"/>
          <w:sz w:val="28"/>
          <w:szCs w:val="28"/>
          <w:lang w:val="es-419"/>
        </w:rPr>
      </w:pPr>
    </w:p>
    <w:p w14:paraId="11CDF804" w14:textId="6D3A2F6B"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2E3A2FA9"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4B3655">
        <w:rPr>
          <w:rFonts w:ascii="Palatino Linotype" w:hAnsi="Palatino Linotype" w:cs="Arial"/>
          <w:b/>
          <w:color w:val="000000" w:themeColor="text1"/>
        </w:rPr>
        <w:t xml:space="preserve">doce de agosto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09432F3A" w14:textId="77777777" w:rsidR="004B3655" w:rsidRDefault="004B3655"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75664E2F"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F20502">
        <w:rPr>
          <w:rFonts w:ascii="Palatino Linotype" w:hAnsi="Palatino Linotype" w:cs="Arial"/>
          <w:b/>
          <w:color w:val="000000" w:themeColor="text1"/>
        </w:rPr>
        <w:t>dieciocho</w:t>
      </w:r>
      <w:bookmarkStart w:id="0" w:name="_GoBack"/>
      <w:bookmarkEnd w:id="0"/>
      <w:r w:rsidR="004B3655">
        <w:rPr>
          <w:rFonts w:ascii="Palatino Linotype" w:hAnsi="Palatino Linotype" w:cs="Arial"/>
          <w:b/>
          <w:color w:val="000000" w:themeColor="text1"/>
        </w:rPr>
        <w:t xml:space="preserve"> de agosto</w:t>
      </w:r>
      <w:r w:rsidR="002D44E4">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 xml:space="preserve">lo que a </w:t>
      </w:r>
      <w:r w:rsidRPr="005C250B">
        <w:rPr>
          <w:rFonts w:ascii="Palatino Linotype" w:hAnsi="Palatino Linotype" w:cs="Arial"/>
          <w:color w:val="000000" w:themeColor="text1"/>
        </w:rPr>
        <w:lastRenderedPageBreak/>
        <w:t>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EF57002" w14:textId="77777777" w:rsidR="00503A79" w:rsidRDefault="00503A79"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7D63185C" w14:textId="2EE2C94A" w:rsidR="0014380B" w:rsidRDefault="0014380B" w:rsidP="0014380B">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w:t>
      </w:r>
      <w:r w:rsidR="00B25A25">
        <w:rPr>
          <w:rFonts w:ascii="Palatino Linotype" w:eastAsia="Arial Unicode MS" w:hAnsi="Palatino Linotype" w:cs="Arial"/>
        </w:rPr>
        <w:t>dentro del término legalmente concedido a</w:t>
      </w:r>
      <w:r w:rsidR="00F812E8">
        <w:rPr>
          <w:rFonts w:ascii="Palatino Linotype" w:eastAsia="Arial Unicode MS" w:hAnsi="Palatino Linotype" w:cs="Arial"/>
        </w:rPr>
        <w:t xml:space="preserve"> </w:t>
      </w:r>
      <w:r w:rsidR="004B3655">
        <w:rPr>
          <w:rFonts w:ascii="Palatino Linotype" w:hAnsi="Palatino Linotype" w:cs="Arial"/>
          <w:b/>
          <w:color w:val="000000" w:themeColor="text1"/>
          <w:lang w:val="es-ES"/>
        </w:rPr>
        <w:t>EL</w:t>
      </w:r>
      <w:r w:rsidR="00B25A25">
        <w:rPr>
          <w:rFonts w:ascii="Palatino Linotype" w:eastAsia="Arial Unicode MS" w:hAnsi="Palatino Linotype" w:cs="Arial"/>
        </w:rPr>
        <w:t xml:space="preserve"> </w:t>
      </w:r>
      <w:r w:rsidR="00B25A25">
        <w:rPr>
          <w:rFonts w:ascii="Palatino Linotype" w:eastAsia="Arial Unicode MS" w:hAnsi="Palatino Linotype" w:cs="Arial"/>
          <w:b/>
        </w:rPr>
        <w:t>RECURRENTE</w:t>
      </w:r>
      <w:r w:rsidR="00B25A25">
        <w:rPr>
          <w:rFonts w:ascii="Palatino Linotype" w:eastAsia="Arial Unicode MS" w:hAnsi="Palatino Linotype" w:cs="Arial"/>
        </w:rPr>
        <w:t>, éste no realizó manifestación alguna, ni presentó pruebas o alegatos, así como tampoco</w:t>
      </w:r>
      <w:r w:rsidR="009E342C">
        <w:rPr>
          <w:rFonts w:ascii="Palatino Linotype" w:eastAsia="Arial Unicode MS" w:hAnsi="Palatino Linotype" w:cs="Arial"/>
        </w:rPr>
        <w:t xml:space="preserve">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w:t>
      </w:r>
      <w:r w:rsidR="00B25A25">
        <w:rPr>
          <w:rFonts w:ascii="Palatino Linotype" w:eastAsia="Arial Unicode MS" w:hAnsi="Palatino Linotype" w:cs="Arial"/>
        </w:rPr>
        <w:t xml:space="preserve">quien </w:t>
      </w:r>
      <w:r w:rsidR="009E342C">
        <w:rPr>
          <w:rFonts w:ascii="Palatino Linotype" w:eastAsia="Arial Unicode MS" w:hAnsi="Palatino Linotype" w:cs="Arial"/>
        </w:rPr>
        <w:t xml:space="preserve">omitió rendir </w:t>
      </w:r>
      <w:r>
        <w:rPr>
          <w:rFonts w:ascii="Palatino Linotype" w:eastAsia="Arial Unicode MS" w:hAnsi="Palatino Linotype" w:cs="Arial"/>
        </w:rPr>
        <w:t>su Informe Justificado, tal y como se aprecia en la siguiente imagen:</w:t>
      </w:r>
    </w:p>
    <w:p w14:paraId="35666055" w14:textId="77777777" w:rsidR="00235FB4" w:rsidRDefault="00235FB4" w:rsidP="0066637D">
      <w:pPr>
        <w:spacing w:line="360" w:lineRule="auto"/>
        <w:jc w:val="both"/>
        <w:rPr>
          <w:rFonts w:ascii="Palatino Linotype" w:eastAsia="Arial Unicode MS" w:hAnsi="Palatino Linotype" w:cs="Arial"/>
        </w:rPr>
      </w:pPr>
    </w:p>
    <w:p w14:paraId="2F194B16" w14:textId="4A853478" w:rsidR="004A0D71" w:rsidRDefault="004B3655" w:rsidP="0066637D">
      <w:pPr>
        <w:spacing w:line="360" w:lineRule="auto"/>
        <w:jc w:val="both"/>
        <w:rPr>
          <w:rFonts w:ascii="Palatino Linotype" w:eastAsia="Arial Unicode MS" w:hAnsi="Palatino Linotype" w:cs="Arial"/>
        </w:rPr>
      </w:pPr>
      <w:r w:rsidRPr="004B3655">
        <w:rPr>
          <w:rFonts w:ascii="Palatino Linotype" w:eastAsia="Arial Unicode MS" w:hAnsi="Palatino Linotype" w:cs="Arial"/>
          <w:noProof/>
          <w:lang w:val="es-419" w:eastAsia="es-419"/>
        </w:rPr>
        <w:drawing>
          <wp:inline distT="0" distB="0" distL="0" distR="0" wp14:anchorId="733ABCBA" wp14:editId="21733357">
            <wp:extent cx="5791835" cy="13112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1275"/>
                    </a:xfrm>
                    <a:prstGeom prst="rect">
                      <a:avLst/>
                    </a:prstGeom>
                  </pic:spPr>
                </pic:pic>
              </a:graphicData>
            </a:graphic>
          </wp:inline>
        </w:drawing>
      </w:r>
    </w:p>
    <w:p w14:paraId="4BDAAA7A" w14:textId="77777777" w:rsidR="003B3736" w:rsidRDefault="003B3736" w:rsidP="0066637D">
      <w:pPr>
        <w:pStyle w:val="Prrafodelista"/>
        <w:spacing w:line="360" w:lineRule="auto"/>
        <w:ind w:left="0"/>
        <w:jc w:val="both"/>
        <w:rPr>
          <w:rFonts w:ascii="Palatino Linotype" w:hAnsi="Palatino Linotype" w:cs="Arial"/>
          <w:b/>
          <w:bCs/>
          <w:lang w:val="es-419"/>
        </w:rPr>
      </w:pPr>
    </w:p>
    <w:p w14:paraId="7754691F" w14:textId="77777777" w:rsidR="004B3655" w:rsidRDefault="004B3655" w:rsidP="004B365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7C51BAF3" w14:textId="56DB3742" w:rsidR="004B3655" w:rsidRDefault="004B3655" w:rsidP="004B3655">
      <w:pPr>
        <w:pStyle w:val="Prrafodelista"/>
        <w:spacing w:before="24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cinco de octubre </w:t>
      </w:r>
      <w:r w:rsidRPr="00BF1E03">
        <w:rPr>
          <w:rFonts w:ascii="Palatino Linotype" w:eastAsia="Palatino Linotype" w:hAnsi="Palatino Linotype" w:cs="Palatino Linotype"/>
          <w:b/>
        </w:rPr>
        <w:t>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67E03AC" w14:textId="77777777" w:rsidR="004B3655" w:rsidRDefault="004B3655" w:rsidP="004B3655">
      <w:pPr>
        <w:spacing w:line="360" w:lineRule="auto"/>
        <w:jc w:val="both"/>
        <w:rPr>
          <w:rFonts w:ascii="Palatino Linotype" w:hAnsi="Palatino Linotype"/>
        </w:rPr>
      </w:pPr>
      <w:r>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5FC005" w14:textId="77777777" w:rsidR="004B3655" w:rsidRDefault="004B3655" w:rsidP="004B3655">
      <w:pPr>
        <w:spacing w:line="360" w:lineRule="auto"/>
        <w:jc w:val="both"/>
        <w:rPr>
          <w:rFonts w:ascii="Palatino Linotype" w:hAnsi="Palatino Linotype"/>
        </w:rPr>
      </w:pPr>
    </w:p>
    <w:p w14:paraId="73562DD2" w14:textId="77777777" w:rsidR="004B3655" w:rsidRDefault="004B3655" w:rsidP="004B3655">
      <w:pPr>
        <w:spacing w:line="360" w:lineRule="auto"/>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28BF5C" w14:textId="77777777" w:rsidR="004B3655" w:rsidRDefault="004B3655" w:rsidP="004B3655">
      <w:pPr>
        <w:spacing w:line="360" w:lineRule="auto"/>
        <w:jc w:val="both"/>
        <w:rPr>
          <w:rFonts w:ascii="Palatino Linotype" w:hAnsi="Palatino Linotype"/>
        </w:rPr>
      </w:pPr>
    </w:p>
    <w:p w14:paraId="5241FFD1" w14:textId="77777777" w:rsidR="004B3655" w:rsidRDefault="004B3655" w:rsidP="004B3655">
      <w:pPr>
        <w:spacing w:line="360" w:lineRule="auto"/>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FFD522" w14:textId="77777777" w:rsidR="004B3655" w:rsidRDefault="004B3655" w:rsidP="004B3655">
      <w:pPr>
        <w:spacing w:line="360" w:lineRule="auto"/>
        <w:jc w:val="both"/>
        <w:rPr>
          <w:rFonts w:ascii="Palatino Linotype" w:hAnsi="Palatino Linotype"/>
        </w:rPr>
      </w:pPr>
    </w:p>
    <w:p w14:paraId="19A05BE3" w14:textId="77777777" w:rsidR="004B3655" w:rsidRDefault="004B3655" w:rsidP="004B3655">
      <w:pPr>
        <w:spacing w:line="360" w:lineRule="auto"/>
        <w:jc w:val="both"/>
        <w:rPr>
          <w:rFonts w:ascii="Palatino Linotype" w:hAnsi="Palatino Linotype"/>
        </w:rPr>
      </w:pPr>
      <w:r>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09806AA" w14:textId="77777777" w:rsidR="004B3655" w:rsidRDefault="004B3655" w:rsidP="004B3655">
      <w:pPr>
        <w:spacing w:line="360" w:lineRule="auto"/>
        <w:jc w:val="both"/>
        <w:rPr>
          <w:rFonts w:ascii="Palatino Linotype" w:hAnsi="Palatino Linotype"/>
        </w:rPr>
      </w:pPr>
      <w:r>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3447B13" w14:textId="77777777" w:rsidR="004B3655" w:rsidRDefault="004B3655" w:rsidP="004B3655">
      <w:pPr>
        <w:spacing w:line="360" w:lineRule="auto"/>
        <w:jc w:val="both"/>
        <w:rPr>
          <w:rFonts w:ascii="Palatino Linotype" w:hAnsi="Palatino Linotype"/>
        </w:rPr>
      </w:pPr>
    </w:p>
    <w:p w14:paraId="25328782" w14:textId="77777777" w:rsidR="004B3655" w:rsidRDefault="004B3655" w:rsidP="004B3655">
      <w:pPr>
        <w:pStyle w:val="Prrafodelista"/>
        <w:numPr>
          <w:ilvl w:val="0"/>
          <w:numId w:val="7"/>
        </w:numPr>
        <w:spacing w:line="360" w:lineRule="auto"/>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1E854698" w14:textId="77777777" w:rsidR="004B3655" w:rsidRDefault="004B3655" w:rsidP="004B3655">
      <w:pPr>
        <w:pStyle w:val="Prrafodelista"/>
        <w:numPr>
          <w:ilvl w:val="0"/>
          <w:numId w:val="7"/>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79F1E9D1" w14:textId="77777777" w:rsidR="004B3655" w:rsidRDefault="004B3655" w:rsidP="004B3655">
      <w:pPr>
        <w:pStyle w:val="Prrafodelista"/>
        <w:numPr>
          <w:ilvl w:val="0"/>
          <w:numId w:val="7"/>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50A3E465" w14:textId="77777777" w:rsidR="004B3655" w:rsidRDefault="004B3655" w:rsidP="004B3655">
      <w:pPr>
        <w:pStyle w:val="Prrafodelista"/>
        <w:numPr>
          <w:ilvl w:val="0"/>
          <w:numId w:val="7"/>
        </w:numPr>
        <w:spacing w:line="360" w:lineRule="auto"/>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3A7DDF11" w14:textId="77777777" w:rsidR="004B3655" w:rsidRDefault="004B3655" w:rsidP="004B3655">
      <w:pPr>
        <w:spacing w:line="360" w:lineRule="auto"/>
        <w:jc w:val="both"/>
        <w:rPr>
          <w:rFonts w:ascii="Palatino Linotype" w:hAnsi="Palatino Linotype"/>
        </w:rPr>
      </w:pPr>
    </w:p>
    <w:p w14:paraId="09E369FE" w14:textId="77777777" w:rsidR="004B3655" w:rsidRDefault="004B3655" w:rsidP="004B3655">
      <w:pPr>
        <w:spacing w:line="360" w:lineRule="auto"/>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65EE71" w14:textId="77777777" w:rsidR="004B3655" w:rsidRDefault="004B3655" w:rsidP="004B3655">
      <w:pPr>
        <w:spacing w:line="360" w:lineRule="auto"/>
        <w:jc w:val="both"/>
        <w:rPr>
          <w:rFonts w:ascii="Palatino Linotype" w:hAnsi="Palatino Linotype"/>
        </w:rPr>
      </w:pPr>
    </w:p>
    <w:p w14:paraId="05795599" w14:textId="77777777" w:rsidR="004B3655" w:rsidRDefault="004B3655" w:rsidP="004B3655">
      <w:pPr>
        <w:spacing w:line="360" w:lineRule="auto"/>
        <w:jc w:val="both"/>
        <w:rPr>
          <w:rFonts w:ascii="Palatino Linotype" w:hAnsi="Palatino Linotype"/>
        </w:rPr>
      </w:pPr>
      <w:r>
        <w:rPr>
          <w:rFonts w:ascii="Palatino Linotype" w:hAnsi="Palatino Linotype"/>
        </w:rPr>
        <w:t>Argumento que encuentra sustento en la jurisprudencia P</w:t>
      </w:r>
      <w:proofErr w:type="gramStart"/>
      <w:r>
        <w:rPr>
          <w:rFonts w:ascii="Palatino Linotype" w:hAnsi="Palatino Linotype"/>
        </w:rPr>
        <w:t>./</w:t>
      </w:r>
      <w:proofErr w:type="gramEnd"/>
      <w:r>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AD57B77" w14:textId="77777777" w:rsidR="004B3655" w:rsidRDefault="004B3655" w:rsidP="004B3655">
      <w:pPr>
        <w:spacing w:line="360" w:lineRule="auto"/>
        <w:jc w:val="both"/>
        <w:rPr>
          <w:rFonts w:ascii="Palatino Linotype" w:hAnsi="Palatino Linotype"/>
        </w:rPr>
      </w:pPr>
      <w:r>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EE5681" w14:textId="77777777" w:rsidR="004B3655" w:rsidRDefault="004B3655" w:rsidP="004B3655">
      <w:pPr>
        <w:spacing w:line="360" w:lineRule="auto"/>
        <w:jc w:val="both"/>
        <w:rPr>
          <w:rFonts w:ascii="Palatino Linotype" w:hAnsi="Palatino Linotype"/>
        </w:rPr>
      </w:pPr>
    </w:p>
    <w:p w14:paraId="74795745" w14:textId="77777777" w:rsidR="004B3655" w:rsidRDefault="004B3655" w:rsidP="004B3655">
      <w:pPr>
        <w:spacing w:line="360" w:lineRule="auto"/>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E15EC0C" w14:textId="77777777" w:rsidR="004B3655" w:rsidRDefault="004B3655" w:rsidP="004B3655">
      <w:pPr>
        <w:spacing w:line="360" w:lineRule="auto"/>
        <w:jc w:val="both"/>
        <w:rPr>
          <w:rFonts w:ascii="Palatino Linotype" w:hAnsi="Palatino Linotype"/>
        </w:rPr>
      </w:pPr>
    </w:p>
    <w:p w14:paraId="5A0D7D79" w14:textId="77777777" w:rsidR="004B3655" w:rsidRDefault="004B3655" w:rsidP="004B3655">
      <w:pPr>
        <w:spacing w:line="360" w:lineRule="auto"/>
        <w:ind w:left="851" w:right="1134"/>
        <w:jc w:val="both"/>
        <w:rPr>
          <w:rFonts w:ascii="Palatino Linotype" w:hAnsi="Palatino Linotype"/>
        </w:rPr>
      </w:pPr>
      <w:r>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2936133" w14:textId="77777777" w:rsidR="004B3655" w:rsidRDefault="004B3655" w:rsidP="004B3655">
      <w:pPr>
        <w:spacing w:line="360" w:lineRule="auto"/>
        <w:ind w:left="851" w:right="1134"/>
        <w:jc w:val="both"/>
        <w:rPr>
          <w:rFonts w:ascii="Palatino Linotype" w:hAnsi="Palatino Linotype"/>
        </w:rPr>
      </w:pPr>
      <w:r>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2F8E2F0" w14:textId="7B04BDFC" w:rsidR="004B3655" w:rsidRDefault="004B3655" w:rsidP="004B3655">
      <w:pPr>
        <w:pStyle w:val="Prrafodelista"/>
        <w:spacing w:line="360" w:lineRule="auto"/>
        <w:ind w:left="0"/>
        <w:jc w:val="both"/>
        <w:rPr>
          <w:rFonts w:ascii="Palatino Linotype" w:hAnsi="Palatino Linotype" w:cs="Arial"/>
          <w:b/>
          <w:bCs/>
          <w:lang w:val="es-419"/>
        </w:rPr>
      </w:pPr>
      <w:r>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01270AA7" w14:textId="77777777" w:rsidR="004B3655" w:rsidRDefault="004B3655" w:rsidP="0066637D">
      <w:pPr>
        <w:pStyle w:val="Prrafodelista"/>
        <w:spacing w:line="360" w:lineRule="auto"/>
        <w:ind w:left="0"/>
        <w:jc w:val="both"/>
        <w:rPr>
          <w:rFonts w:ascii="Palatino Linotype" w:hAnsi="Palatino Linotype" w:cs="Arial"/>
          <w:b/>
          <w:bCs/>
          <w:lang w:val="es-419"/>
        </w:rPr>
      </w:pPr>
    </w:p>
    <w:p w14:paraId="49E94EF4" w14:textId="22B7099F" w:rsidR="00F74A05" w:rsidRPr="00A563E0" w:rsidRDefault="004B3655"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410A5C9D"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2101E">
        <w:rPr>
          <w:rFonts w:ascii="Palatino Linotype" w:hAnsi="Palatino Linotype"/>
          <w:b/>
          <w:bCs/>
          <w:color w:val="000000" w:themeColor="text1"/>
        </w:rPr>
        <w:t>dos</w:t>
      </w:r>
      <w:r w:rsidR="00D81356">
        <w:rPr>
          <w:rFonts w:ascii="Palatino Linotype" w:hAnsi="Palatino Linotype"/>
          <w:b/>
          <w:bCs/>
          <w:color w:val="000000" w:themeColor="text1"/>
        </w:rPr>
        <w:t xml:space="preserve"> de </w:t>
      </w:r>
      <w:r w:rsidR="0012101E">
        <w:rPr>
          <w:rFonts w:ascii="Palatino Linotype" w:hAnsi="Palatino Linotype"/>
          <w:b/>
          <w:bCs/>
          <w:color w:val="000000" w:themeColor="text1"/>
        </w:rPr>
        <w:t>febrero</w:t>
      </w:r>
      <w:r w:rsidR="00D81356">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12101E">
        <w:rPr>
          <w:rFonts w:ascii="Palatino Linotype" w:hAnsi="Palatino Linotype"/>
          <w:b/>
          <w:bCs/>
          <w:color w:val="000000" w:themeColor="text1"/>
        </w:rPr>
        <w:t>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4C6BBABF" w14:textId="77777777" w:rsidR="0012101E" w:rsidRDefault="0012101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7105393C" w14:textId="77777777" w:rsidR="005C11CB" w:rsidRDefault="005C11CB" w:rsidP="0066637D">
      <w:pPr>
        <w:spacing w:line="360" w:lineRule="auto"/>
        <w:ind w:right="50"/>
        <w:jc w:val="both"/>
        <w:rPr>
          <w:rFonts w:ascii="Palatino Linotype" w:hAnsi="Palatino Linotype"/>
          <w:b/>
          <w:color w:val="000000" w:themeColor="text1"/>
        </w:rPr>
      </w:pPr>
    </w:p>
    <w:p w14:paraId="675632C6" w14:textId="77777777" w:rsidR="007A4B1A" w:rsidRDefault="007A4B1A"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w:t>
      </w:r>
      <w:r w:rsidRPr="00984657">
        <w:rPr>
          <w:rFonts w:ascii="Palatino Linotype" w:hAnsi="Palatino Linotype" w:cs="Arial"/>
          <w:color w:val="000000" w:themeColor="text1"/>
        </w:rPr>
        <w:lastRenderedPageBreak/>
        <w:t xml:space="preserve">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63BC45C" w14:textId="77777777" w:rsidR="002D44E4" w:rsidRPr="00D96E69" w:rsidRDefault="002D44E4"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5C241F59" w:rsidR="005B5043" w:rsidRDefault="000171D8" w:rsidP="0066637D">
      <w:pPr>
        <w:spacing w:line="360" w:lineRule="auto"/>
        <w:jc w:val="both"/>
        <w:rPr>
          <w:rFonts w:ascii="Palatino Linotype" w:hAnsi="Palatino Linotype" w:cs="Arial"/>
          <w:color w:val="000000"/>
          <w:lang w:eastAsia="es-MX"/>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B64E9B" w14:textId="77777777" w:rsidR="00D81356" w:rsidRDefault="00D81356" w:rsidP="0066637D">
      <w:pPr>
        <w:spacing w:line="360" w:lineRule="auto"/>
        <w:jc w:val="both"/>
        <w:rPr>
          <w:rFonts w:ascii="Palatino Linotype" w:hAnsi="Palatino Linotype" w:cs="Arial"/>
          <w:color w:val="000000"/>
          <w:lang w:eastAsia="es-MX"/>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D96E69" w:rsidRDefault="005C250B" w:rsidP="005C250B">
      <w:pPr>
        <w:ind w:left="851" w:right="901"/>
        <w:jc w:val="both"/>
        <w:rPr>
          <w:rFonts w:ascii="Palatino Linotype" w:hAnsi="Palatino Linotype" w:cs="Arial"/>
          <w:i/>
          <w:color w:val="000000" w:themeColor="text1"/>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 xml:space="preserve">Información </w:t>
      </w:r>
      <w:r w:rsidR="00D86297">
        <w:rPr>
          <w:rFonts w:ascii="Palatino Linotype" w:hAnsi="Palatino Linotype" w:cs="Arial"/>
          <w:color w:val="000000" w:themeColor="text1"/>
          <w:lang w:val="es-ES"/>
        </w:rPr>
        <w:lastRenderedPageBreak/>
        <w:t>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222DD"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E222DD"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3E8C5B2"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w:t>
      </w:r>
      <w:r>
        <w:rPr>
          <w:rFonts w:ascii="Palatino Linotype" w:hAnsi="Palatino Linotype" w:cs="Arial"/>
          <w:color w:val="000000" w:themeColor="text1"/>
          <w:lang w:val="es-ES"/>
        </w:rPr>
        <w:lastRenderedPageBreak/>
        <w:t>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35952264" w14:textId="77777777" w:rsidR="00D81356" w:rsidRPr="00E222DD" w:rsidRDefault="00D81356"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1D75B0DA" w14:textId="77777777" w:rsidR="0012101E" w:rsidRDefault="0012101E" w:rsidP="0012101E">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70E5B8F" w14:textId="77777777" w:rsidR="0012101E" w:rsidRDefault="0012101E" w:rsidP="0012101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DB57EA" w14:textId="77777777" w:rsidR="0012101E" w:rsidRDefault="0012101E" w:rsidP="0012101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55C8731D" w14:textId="77777777" w:rsidR="0012101E" w:rsidRDefault="0012101E" w:rsidP="0012101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
    <w:p w14:paraId="05F507D7" w14:textId="77777777" w:rsidR="0012101E" w:rsidRDefault="0012101E" w:rsidP="0012101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243A7097" w14:textId="77777777" w:rsidR="0012101E" w:rsidRDefault="0012101E" w:rsidP="0012101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0FE0E25" w14:textId="77777777" w:rsidR="0012101E" w:rsidRPr="0011259E" w:rsidRDefault="0012101E" w:rsidP="0012101E">
      <w:pPr>
        <w:tabs>
          <w:tab w:val="left" w:pos="851"/>
        </w:tabs>
        <w:ind w:right="901"/>
        <w:jc w:val="both"/>
        <w:rPr>
          <w:rFonts w:ascii="Palatino Linotype" w:hAnsi="Palatino Linotype"/>
          <w:i/>
          <w:lang w:val="es-ES"/>
        </w:rPr>
      </w:pPr>
    </w:p>
    <w:p w14:paraId="5D71919C" w14:textId="77777777" w:rsidR="0012101E" w:rsidRDefault="0012101E" w:rsidP="0012101E">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68EBE45D" w14:textId="77777777" w:rsidR="0012101E" w:rsidRPr="0011259E" w:rsidRDefault="0012101E" w:rsidP="0012101E">
      <w:pPr>
        <w:spacing w:line="360" w:lineRule="auto"/>
        <w:jc w:val="both"/>
        <w:rPr>
          <w:rFonts w:ascii="Palatino Linotype" w:hAnsi="Palatino Linotype"/>
          <w:lang w:val="es-ES"/>
        </w:rPr>
      </w:pPr>
    </w:p>
    <w:p w14:paraId="3CA4A3B2" w14:textId="77777777" w:rsidR="0012101E" w:rsidRDefault="0012101E" w:rsidP="0012101E">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328AA53" w14:textId="77777777" w:rsidR="0012101E" w:rsidRPr="0011259E" w:rsidRDefault="0012101E" w:rsidP="0012101E">
      <w:pPr>
        <w:spacing w:line="360" w:lineRule="auto"/>
        <w:jc w:val="both"/>
        <w:rPr>
          <w:rFonts w:ascii="Palatino Linotype" w:hAnsi="Palatino Linotype" w:cs="Arial"/>
          <w:color w:val="000000"/>
          <w:lang w:val="es-ES"/>
        </w:rPr>
      </w:pPr>
    </w:p>
    <w:p w14:paraId="1A1AF0A5" w14:textId="77777777" w:rsidR="0012101E" w:rsidRDefault="0012101E" w:rsidP="0012101E">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68EB027" w14:textId="77777777" w:rsidR="0012101E" w:rsidRDefault="0012101E" w:rsidP="0012101E">
      <w:pPr>
        <w:tabs>
          <w:tab w:val="left" w:pos="851"/>
        </w:tabs>
        <w:ind w:right="901"/>
        <w:jc w:val="both"/>
        <w:rPr>
          <w:rFonts w:ascii="Palatino Linotype" w:hAnsi="Palatino Linotype"/>
          <w:sz w:val="22"/>
          <w:szCs w:val="22"/>
          <w:lang w:val="es-ES"/>
        </w:rPr>
      </w:pPr>
    </w:p>
    <w:p w14:paraId="7B088335" w14:textId="77777777" w:rsidR="0012101E" w:rsidRDefault="0012101E" w:rsidP="0012101E">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del </w:t>
      </w:r>
      <w:r>
        <w:rPr>
          <w:rFonts w:ascii="Palatino Linotype" w:hAnsi="Palatino Linotype" w:cs="Arial"/>
          <w:b/>
          <w:lang w:val="es-ES"/>
        </w:rPr>
        <w:t>RECURRENTE</w:t>
      </w:r>
      <w:r>
        <w:rPr>
          <w:rFonts w:ascii="Palatino Linotype" w:hAnsi="Palatino Linotype"/>
          <w:lang w:val="es-ES"/>
        </w:rPr>
        <w:t xml:space="preserve"> no constituye un 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w:t>
      </w:r>
      <w:r>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109E8D8E" w14:textId="77777777" w:rsidR="0012101E" w:rsidRDefault="0012101E" w:rsidP="0012101E">
      <w:pPr>
        <w:spacing w:line="360" w:lineRule="auto"/>
        <w:jc w:val="both"/>
        <w:rPr>
          <w:rFonts w:ascii="Palatino Linotype" w:hAnsi="Palatino Linotype"/>
          <w:lang w:val="es-ES"/>
        </w:rPr>
      </w:pPr>
    </w:p>
    <w:p w14:paraId="2003C220" w14:textId="2DA93975" w:rsidR="00E222DD" w:rsidRDefault="0012101E" w:rsidP="0012101E">
      <w:pPr>
        <w:spacing w:line="360" w:lineRule="auto"/>
        <w:jc w:val="both"/>
        <w:textAlignment w:val="baseline"/>
        <w:rPr>
          <w:rFonts w:ascii="Palatino Linotype" w:hAnsi="Palatino Linotype"/>
          <w:b/>
          <w:color w:val="000000" w:themeColor="text1"/>
          <w:sz w:val="28"/>
          <w:lang w:eastAsia="es-MX"/>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00E122C" w14:textId="77777777" w:rsidR="0012101E" w:rsidRDefault="0012101E" w:rsidP="0066637D">
      <w:pPr>
        <w:spacing w:line="360" w:lineRule="auto"/>
        <w:jc w:val="both"/>
        <w:textAlignment w:val="baseline"/>
        <w:rPr>
          <w:rFonts w:ascii="Palatino Linotype" w:hAnsi="Palatino Linotype"/>
          <w:b/>
          <w:color w:val="000000" w:themeColor="text1"/>
          <w:sz w:val="28"/>
          <w:lang w:eastAsia="es-MX"/>
        </w:rPr>
      </w:pPr>
    </w:p>
    <w:p w14:paraId="1845814D" w14:textId="18A228CB"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7E022B6"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w:t>
      </w:r>
      <w:r w:rsidRPr="005C250B">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12101E" w:rsidRDefault="00AE51C8" w:rsidP="005C250B">
      <w:pPr>
        <w:jc w:val="both"/>
        <w:rPr>
          <w:rFonts w:ascii="Palatino Linotype" w:hAnsi="Palatino Linotype" w:cs="Arial"/>
          <w:color w:val="000000" w:themeColor="text1"/>
          <w:sz w:val="16"/>
          <w:szCs w:val="16"/>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0A68121E" w:rsidR="005C250B" w:rsidRPr="0012101E" w:rsidRDefault="005C250B" w:rsidP="005C250B">
      <w:pPr>
        <w:jc w:val="both"/>
        <w:rPr>
          <w:rFonts w:ascii="Palatino Linotype" w:hAnsi="Palatino Linotype" w:cs="Arial"/>
          <w:color w:val="000000" w:themeColor="text1"/>
          <w:sz w:val="16"/>
          <w:szCs w:val="16"/>
          <w:lang w:val="es-ES"/>
        </w:rPr>
      </w:pPr>
    </w:p>
    <w:p w14:paraId="0417360B" w14:textId="45AB064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w:t>
      </w:r>
      <w:r w:rsidRPr="005C250B">
        <w:rPr>
          <w:rFonts w:ascii="Palatino Linotype" w:hAnsi="Palatino Linotype" w:cs="Arial"/>
          <w:lang w:val="es-ES"/>
        </w:rPr>
        <w:lastRenderedPageBreak/>
        <w:t xml:space="preserve">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Default="00235FB4" w:rsidP="005C250B">
      <w:pPr>
        <w:spacing w:line="360" w:lineRule="auto"/>
        <w:jc w:val="both"/>
        <w:rPr>
          <w:rFonts w:ascii="Palatino Linotype" w:hAnsi="Palatino Linotype"/>
        </w:rPr>
      </w:pPr>
      <w:r>
        <w:rPr>
          <w:rFonts w:ascii="Palatino Linotype" w:hAnsi="Palatino Linotype"/>
        </w:rPr>
        <w:t>Ya que,</w:t>
      </w:r>
      <w:r w:rsidR="005C250B">
        <w:rPr>
          <w:rFonts w:ascii="Palatino Linotype" w:hAnsi="Palatino Linotype"/>
        </w:rPr>
        <w:t xml:space="preserve"> ante la falta de respuesta a la solicitud, como el envío del Informe Justificado por parte del</w:t>
      </w:r>
      <w:r w:rsidR="005C250B">
        <w:rPr>
          <w:rFonts w:ascii="Palatino Linotype" w:hAnsi="Palatino Linotype"/>
          <w:b/>
        </w:rPr>
        <w:t xml:space="preserve"> SUJETO OBLIGADO</w:t>
      </w:r>
      <w:r w:rsidR="005C250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sidR="005C250B">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0A3FFAE3" w14:textId="083F8551" w:rsidR="00235FB4" w:rsidRDefault="005C250B" w:rsidP="00D81356">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76D58881" w14:textId="77777777" w:rsidR="002D44E4" w:rsidRDefault="002D44E4" w:rsidP="00D81356">
      <w:pPr>
        <w:spacing w:line="360" w:lineRule="auto"/>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62390E" w14:textId="77777777" w:rsidR="00D81356" w:rsidRDefault="00D81356" w:rsidP="005C250B">
      <w:pPr>
        <w:ind w:left="851" w:right="901"/>
        <w:jc w:val="both"/>
        <w:rPr>
          <w:rFonts w:ascii="Palatino Linotype" w:hAnsi="Palatino Linotype" w:cs="Arial"/>
          <w:i/>
          <w:sz w:val="22"/>
          <w:szCs w:val="22"/>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Default="005C250B" w:rsidP="005C250B">
      <w:pPr>
        <w:jc w:val="both"/>
        <w:rPr>
          <w:rFonts w:ascii="Palatino Linotype" w:hAnsi="Palatino Linotype"/>
          <w:sz w:val="22"/>
          <w:szCs w:val="22"/>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sujetos obligados deberán hacer pública toda aquella información relativa a los montos y las personas a quienes entreguen, por cualquier </w:t>
      </w:r>
      <w:r>
        <w:rPr>
          <w:rFonts w:ascii="Palatino Linotype" w:hAnsi="Palatino Linotype" w:cs="Arial"/>
          <w:b/>
          <w:i/>
          <w:sz w:val="22"/>
          <w:szCs w:val="22"/>
        </w:rPr>
        <w:lastRenderedPageBreak/>
        <w:t>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BC4CFFF"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486C5CA7" w14:textId="77777777" w:rsidR="009E342C" w:rsidRDefault="009E342C" w:rsidP="005C250B">
      <w:pPr>
        <w:ind w:left="851" w:right="901"/>
        <w:jc w:val="both"/>
        <w:rPr>
          <w:rFonts w:ascii="Palatino Linotype" w:hAnsi="Palatino Linotype" w:cs="Arial"/>
          <w:i/>
          <w:sz w:val="22"/>
          <w:szCs w:val="22"/>
        </w:rPr>
      </w:pPr>
    </w:p>
    <w:p w14:paraId="526D7C66" w14:textId="77777777" w:rsidR="005C250B" w:rsidRDefault="005C250B" w:rsidP="005C250B">
      <w:pPr>
        <w:autoSpaceDE w:val="0"/>
        <w:autoSpaceDN w:val="0"/>
        <w:adjustRightInd w:val="0"/>
        <w:spacing w:line="360" w:lineRule="auto"/>
        <w:ind w:right="51"/>
        <w:jc w:val="both"/>
        <w:rPr>
          <w:rFonts w:ascii="Palatino Linotype" w:eastAsia="Arial Unicode MS"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1333B231" w14:textId="77777777" w:rsidR="00D81356" w:rsidRDefault="00D81356" w:rsidP="005C250B">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432E6CEA"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67152772" w14:textId="77777777" w:rsidR="00B25A25" w:rsidRDefault="00B25A25"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13E2B34C"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B0519E3" w14:textId="77777777" w:rsidR="003A44CC" w:rsidRDefault="003A44CC" w:rsidP="005C250B">
      <w:pPr>
        <w:tabs>
          <w:tab w:val="left" w:pos="709"/>
        </w:tabs>
        <w:spacing w:line="360" w:lineRule="auto"/>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147CF0D" w14:textId="77777777" w:rsidR="00D81356" w:rsidRDefault="00D81356"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lastRenderedPageBreak/>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7ADF09F9" w14:textId="77777777" w:rsidR="00D81356" w:rsidRDefault="00D81356"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Default="00336D3F" w:rsidP="005C250B">
      <w:pPr>
        <w:ind w:left="851" w:right="901"/>
        <w:jc w:val="both"/>
        <w:rPr>
          <w:rFonts w:ascii="Palatino Linotype" w:hAnsi="Palatino Linotype" w:cs="Arial"/>
          <w:i/>
          <w:sz w:val="22"/>
          <w:szCs w:val="22"/>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261E4AD4" w14:textId="77777777" w:rsidR="008C62D3" w:rsidRDefault="008C62D3" w:rsidP="005C250B">
      <w:pPr>
        <w:widowControl w:val="0"/>
        <w:autoSpaceDE w:val="0"/>
        <w:autoSpaceDN w:val="0"/>
        <w:adjustRightInd w:val="0"/>
        <w:spacing w:line="360" w:lineRule="auto"/>
        <w:jc w:val="both"/>
        <w:rPr>
          <w:rFonts w:ascii="Palatino Linotype" w:eastAsia="Arial Unicode MS" w:hAnsi="Palatino Linotype" w:cs="Arial"/>
        </w:rPr>
      </w:pPr>
    </w:p>
    <w:p w14:paraId="0549ED60" w14:textId="77777777" w:rsidR="008C62D3"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390A5A" w14:textId="77777777" w:rsidR="008C62D3" w:rsidRDefault="008C62D3"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00243CB1"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w:t>
      </w:r>
      <w:r>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Default="005C250B" w:rsidP="005C250B">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7C9A4018" w14:textId="1793E8FF" w:rsidR="008C62D3"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r w:rsidR="008C62D3">
        <w:rPr>
          <w:rFonts w:ascii="Palatino Linotype" w:hAnsi="Palatino Linotype"/>
        </w:rPr>
        <w:t>.</w:t>
      </w:r>
    </w:p>
    <w:p w14:paraId="61370A52" w14:textId="77777777" w:rsidR="008C62D3" w:rsidRDefault="008C62D3" w:rsidP="005C250B">
      <w:pPr>
        <w:spacing w:line="360" w:lineRule="auto"/>
        <w:jc w:val="both"/>
        <w:rPr>
          <w:rFonts w:ascii="Palatino Linotype" w:hAnsi="Palatino Linotype"/>
        </w:rPr>
      </w:pPr>
    </w:p>
    <w:p w14:paraId="7C6AE336" w14:textId="4499DB78"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748A132D"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2532578" w14:textId="77777777" w:rsidR="00D81356" w:rsidRDefault="00D81356" w:rsidP="005C250B">
      <w:pPr>
        <w:autoSpaceDE w:val="0"/>
        <w:autoSpaceDN w:val="0"/>
        <w:adjustRightInd w:val="0"/>
        <w:spacing w:line="360" w:lineRule="auto"/>
        <w:ind w:right="51"/>
        <w:jc w:val="both"/>
        <w:rPr>
          <w:rFonts w:ascii="Palatino Linotype" w:hAnsi="Palatino Linotype" w:cs="Arial"/>
        </w:rPr>
      </w:pPr>
    </w:p>
    <w:p w14:paraId="7B6527CD" w14:textId="1DA05FD7"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Pr>
          <w:rFonts w:ascii="Palatino Linotype" w:hAnsi="Palatino Linotype" w:cs="Arial"/>
        </w:rPr>
        <w:lastRenderedPageBreak/>
        <w:t>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47397E0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8E2BBB7" w14:textId="77777777" w:rsidR="002D44E4" w:rsidRDefault="002D44E4" w:rsidP="005C250B">
      <w:pPr>
        <w:autoSpaceDE w:val="0"/>
        <w:autoSpaceDN w:val="0"/>
        <w:adjustRightInd w:val="0"/>
        <w:spacing w:line="360" w:lineRule="auto"/>
        <w:jc w:val="both"/>
        <w:rPr>
          <w:rFonts w:ascii="Palatino Linotype" w:hAnsi="Palatino Linotype" w:cs="Arial"/>
        </w:rPr>
      </w:pPr>
    </w:p>
    <w:p w14:paraId="3B112C8A" w14:textId="604D8A13"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05E461F" w14:textId="77777777" w:rsidR="008C62D3" w:rsidRDefault="008C62D3"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18D4D3B2"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69D748E"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w:t>
      </w:r>
      <w:r>
        <w:rPr>
          <w:rFonts w:ascii="Palatino Linotype" w:hAnsi="Palatino Linotype"/>
        </w:rPr>
        <w:lastRenderedPageBreak/>
        <w:t xml:space="preserve">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w:t>
      </w:r>
      <w:r>
        <w:rPr>
          <w:rFonts w:ascii="Palatino Linotype" w:eastAsia="Calibri" w:hAnsi="Palatino Linotype" w:cs="Bookman Old Style"/>
          <w:lang w:eastAsia="en-US"/>
        </w:rPr>
        <w:lastRenderedPageBreak/>
        <w:t>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5B60CC31" w14:textId="77777777" w:rsidR="0066439A" w:rsidRDefault="0066439A"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Pr>
          <w:rFonts w:ascii="Palatino Linotype" w:hAnsi="Palatino Linotype"/>
          <w:i/>
          <w:iCs/>
          <w:sz w:val="22"/>
          <w:szCs w:val="22"/>
          <w:lang w:val="es-ES" w:eastAsia="es-MX"/>
        </w:rPr>
        <w:lastRenderedPageBreak/>
        <w:t xml:space="preserve">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4331984F" w14:textId="77777777" w:rsidR="009E342C" w:rsidRDefault="009E342C" w:rsidP="005C250B">
      <w:pPr>
        <w:ind w:left="851" w:right="899"/>
        <w:jc w:val="both"/>
        <w:rPr>
          <w:rFonts w:ascii="Palatino Linotype" w:hAnsi="Palatino Linotype"/>
          <w:sz w:val="22"/>
          <w:szCs w:val="22"/>
          <w:lang w:eastAsia="es-MX"/>
        </w:rPr>
      </w:pPr>
    </w:p>
    <w:p w14:paraId="6F85B0B1" w14:textId="1A3CAE96"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D484940" w14:textId="77777777" w:rsidR="002D44E4" w:rsidRDefault="002D44E4" w:rsidP="0066637D">
      <w:pPr>
        <w:jc w:val="center"/>
        <w:rPr>
          <w:rFonts w:ascii="Palatino Linotype" w:hAnsi="Palatino Linotype"/>
          <w:b/>
          <w:color w:val="000000" w:themeColor="text1"/>
          <w:spacing w:val="60"/>
          <w:sz w:val="28"/>
          <w:szCs w:val="28"/>
        </w:rPr>
      </w:pPr>
    </w:p>
    <w:p w14:paraId="7FD08FB9" w14:textId="15E6C76D"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16AF9A78" w:rsidR="00104977" w:rsidRDefault="00104977" w:rsidP="0066637D">
      <w:pPr>
        <w:jc w:val="center"/>
        <w:rPr>
          <w:rFonts w:ascii="Palatino Linotype" w:hAnsi="Palatino Linotype"/>
          <w:b/>
          <w:color w:val="000000" w:themeColor="text1"/>
          <w:spacing w:val="60"/>
        </w:rPr>
      </w:pPr>
    </w:p>
    <w:p w14:paraId="7F26A344" w14:textId="62A9B2CB"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6FC0A150" w14:textId="77777777" w:rsidR="009E342C" w:rsidRPr="007F3250" w:rsidRDefault="009E342C"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65E8160"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F21894" w:rsidRPr="00F21894">
        <w:rPr>
          <w:rFonts w:ascii="Palatino Linotype" w:hAnsi="Palatino Linotype"/>
          <w:b/>
        </w:rPr>
        <w:t>13277/INFOEM/IP/RR/2022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5BB4D1AD" w14:textId="77777777" w:rsidR="008C62D3" w:rsidRDefault="008C62D3"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w:t>
      </w:r>
      <w:r w:rsidRPr="00984657">
        <w:rPr>
          <w:rFonts w:ascii="Palatino Linotype" w:hAnsi="Palatino Linotype"/>
          <w:lang w:eastAsia="es-MX"/>
        </w:rPr>
        <w:lastRenderedPageBreak/>
        <w:t>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7F325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2C3A2D6F"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6C0767B0" w14:textId="77777777" w:rsidR="000414FC" w:rsidRPr="007F3250" w:rsidRDefault="000414FC"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5CE04E9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4B3655">
        <w:rPr>
          <w:rFonts w:ascii="Palatino Linotype" w:hAnsi="Palatino Linotype" w:cs="Arial"/>
          <w:b/>
          <w:color w:val="000000" w:themeColor="text1"/>
          <w:lang w:val="es-ES"/>
        </w:rPr>
        <w:t>EL</w:t>
      </w:r>
      <w:r w:rsidR="00DB75DC">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21F49C25" w14:textId="77777777" w:rsidR="007F3250" w:rsidRDefault="007F325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1E3CF663"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4B3655">
        <w:rPr>
          <w:rFonts w:ascii="Palatino Linotype" w:hAnsi="Palatino Linotype" w:cs="Arial"/>
          <w:b/>
          <w:color w:val="000000" w:themeColor="text1"/>
          <w:lang w:val="es-ES"/>
        </w:rPr>
        <w:t>EL</w:t>
      </w:r>
      <w:r w:rsidR="00DB75DC" w:rsidRPr="00DB75DC">
        <w:rPr>
          <w:rFonts w:ascii="Palatino Linotype" w:hAnsi="Palatino Linotype"/>
          <w:b/>
          <w:szCs w:val="17"/>
          <w:lang w:eastAsia="es-ES_tradnl"/>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0B195716" w14:textId="77777777" w:rsidR="004A0D71" w:rsidRPr="00984657" w:rsidRDefault="004A0D7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1593222"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21894">
        <w:rPr>
          <w:rFonts w:ascii="Palatino Linotype" w:hAnsi="Palatino Linotype" w:cs="Arial"/>
          <w:color w:val="000000" w:themeColor="text1"/>
        </w:rPr>
        <w:t>QUINTA</w:t>
      </w:r>
      <w:r w:rsidR="005C11CB">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F21894">
        <w:rPr>
          <w:rFonts w:ascii="Palatino Linotype" w:hAnsi="Palatino Linotype" w:cs="Arial"/>
          <w:color w:val="000000" w:themeColor="text1"/>
        </w:rPr>
        <w:t xml:space="preserve">NUEVE DE FEBRERO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 xml:space="preserve">OS MIL </w:t>
      </w:r>
      <w:r w:rsidR="00BE2996">
        <w:rPr>
          <w:rFonts w:ascii="Palatino Linotype" w:hAnsi="Palatino Linotype" w:cs="Arial"/>
          <w:color w:val="000000" w:themeColor="text1"/>
        </w:rPr>
        <w:t>VEINTITRÉS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EFF87" w14:textId="77777777" w:rsidR="003F51C9" w:rsidRDefault="003F51C9" w:rsidP="00C80F8C">
      <w:r>
        <w:separator/>
      </w:r>
    </w:p>
  </w:endnote>
  <w:endnote w:type="continuationSeparator" w:id="0">
    <w:p w14:paraId="1C07BCF0" w14:textId="77777777" w:rsidR="003F51C9" w:rsidRDefault="003F51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2B9ED0"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0502">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050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E7622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050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0502">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ED0E1" w14:textId="77777777" w:rsidR="003F51C9" w:rsidRDefault="003F51C9" w:rsidP="00C80F8C">
      <w:r>
        <w:separator/>
      </w:r>
    </w:p>
  </w:footnote>
  <w:footnote w:type="continuationSeparator" w:id="0">
    <w:p w14:paraId="1DCAEBF1" w14:textId="77777777" w:rsidR="003F51C9" w:rsidRDefault="003F51C9"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3F51C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3F51C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C7674D" w:rsidR="00F74502" w:rsidRPr="00664658" w:rsidRDefault="00F21894" w:rsidP="002C6D7E">
          <w:pPr>
            <w:jc w:val="both"/>
            <w:rPr>
              <w:rFonts w:ascii="Palatino Linotype" w:hAnsi="Palatino Linotype"/>
              <w:b/>
              <w:sz w:val="22"/>
              <w:szCs w:val="22"/>
              <w:lang w:val="es-ES_tradnl"/>
            </w:rPr>
          </w:pPr>
          <w:r w:rsidRPr="00F21894">
            <w:rPr>
              <w:rFonts w:ascii="Palatino Linotype" w:hAnsi="Palatino Linotype"/>
              <w:b/>
              <w:sz w:val="22"/>
              <w:szCs w:val="22"/>
              <w:lang w:val="es-ES_tradnl"/>
            </w:rPr>
            <w:t>13277/INFOEM/IP/RR/2022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2D54D3" w:rsidR="00F74502" w:rsidRPr="00C77536" w:rsidRDefault="00F812E8" w:rsidP="00C77536">
          <w:pPr>
            <w:jc w:val="both"/>
            <w:rPr>
              <w:lang w:val="es-419"/>
            </w:rPr>
          </w:pPr>
          <w:r w:rsidRPr="00F812E8">
            <w:rPr>
              <w:rFonts w:ascii="Palatino Linotype" w:hAnsi="Palatino Linotype"/>
              <w:b/>
              <w:sz w:val="22"/>
              <w:szCs w:val="22"/>
              <w:lang w:val="es-ES_tradnl"/>
            </w:rPr>
            <w:t>Ayuntamiento de Ixtapaluca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3F51C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DAD5EDF" w:rsidR="00F74502" w:rsidRPr="008F2CCC" w:rsidRDefault="00F21894" w:rsidP="008A15DD">
          <w:pPr>
            <w:jc w:val="both"/>
            <w:rPr>
              <w:rFonts w:ascii="Palatino Linotype" w:hAnsi="Palatino Linotype"/>
              <w:b/>
              <w:sz w:val="22"/>
              <w:szCs w:val="22"/>
              <w:lang w:val="es-ES_tradnl"/>
            </w:rPr>
          </w:pPr>
          <w:r w:rsidRPr="00F21894">
            <w:rPr>
              <w:rFonts w:ascii="Palatino Linotype" w:hAnsi="Palatino Linotype"/>
              <w:b/>
              <w:sz w:val="22"/>
              <w:szCs w:val="22"/>
              <w:lang w:val="es-ES_tradnl"/>
            </w:rPr>
            <w:t>13277/INFOEM/IP/RR/2022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17E5A0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1915B4" w:rsidR="00F74502" w:rsidRPr="00F67B0E" w:rsidRDefault="00F812E8" w:rsidP="001F140A">
          <w:pPr>
            <w:jc w:val="both"/>
            <w:rPr>
              <w:lang w:val="es-419"/>
            </w:rPr>
          </w:pPr>
          <w:r w:rsidRPr="00F812E8">
            <w:rPr>
              <w:rFonts w:ascii="Palatino Linotype" w:hAnsi="Palatino Linotype"/>
              <w:b/>
              <w:sz w:val="22"/>
              <w:szCs w:val="22"/>
              <w:lang w:val="es-ES_tradnl"/>
            </w:rPr>
            <w:t>Ayuntamiento de Ixtapaluca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5D82"/>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4FC"/>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B46"/>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48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01E"/>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479"/>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221"/>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7F5"/>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4E4"/>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0E5C"/>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0E5F"/>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1C9"/>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55"/>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8E2"/>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56"/>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3C"/>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39A"/>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15A"/>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D9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1A"/>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250"/>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359"/>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2D3"/>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4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1A"/>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48F"/>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5A25"/>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2996"/>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BD"/>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356"/>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994"/>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BAF"/>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0502"/>
    <w:rsid w:val="00F212DD"/>
    <w:rsid w:val="00F21894"/>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E8"/>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1C19"/>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070053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AB10-5CB0-47A8-9784-428724E3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9317</Words>
  <Characters>51248</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2023-02-10T20:15:00Z</cp:lastPrinted>
  <dcterms:created xsi:type="dcterms:W3CDTF">2023-02-02T20:49:00Z</dcterms:created>
  <dcterms:modified xsi:type="dcterms:W3CDTF">2023-02-21T00:45:00Z</dcterms:modified>
</cp:coreProperties>
</file>