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B1" w:rsidRPr="00DB53F9" w:rsidRDefault="00071DB1" w:rsidP="00071DB1">
      <w:pPr>
        <w:shd w:val="clear" w:color="auto" w:fill="FFFFFF"/>
        <w:spacing w:line="360" w:lineRule="auto"/>
        <w:jc w:val="both"/>
        <w:rPr>
          <w:rFonts w:ascii="Palatino Linotype" w:hAnsi="Palatino Linotype" w:cs="Arial"/>
          <w:color w:val="000000"/>
          <w:lang w:eastAsia="es-MX"/>
        </w:rPr>
      </w:pPr>
      <w:r w:rsidRPr="00DB53F9">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w:t>
      </w:r>
      <w:r w:rsidR="002C5864" w:rsidRPr="00DB53F9">
        <w:rPr>
          <w:rFonts w:ascii="Palatino Linotype" w:hAnsi="Palatino Linotype" w:cs="Arial"/>
          <w:color w:val="000000"/>
          <w:lang w:eastAsia="es-MX"/>
        </w:rPr>
        <w:t>dieciséis de agosto</w:t>
      </w:r>
      <w:r w:rsidRPr="00DB53F9">
        <w:rPr>
          <w:rFonts w:ascii="Palatino Linotype" w:hAnsi="Palatino Linotype" w:cs="Arial"/>
          <w:color w:val="000000"/>
          <w:lang w:eastAsia="es-MX"/>
        </w:rPr>
        <w:t xml:space="preserve"> de dos mil veintitrés.</w:t>
      </w:r>
    </w:p>
    <w:p w:rsidR="00071DB1" w:rsidRPr="00DB53F9" w:rsidRDefault="00071DB1" w:rsidP="00071DB1">
      <w:pPr>
        <w:shd w:val="clear" w:color="auto" w:fill="FFFFFF"/>
        <w:spacing w:line="360" w:lineRule="auto"/>
        <w:jc w:val="both"/>
        <w:rPr>
          <w:rFonts w:ascii="Palatino Linotype" w:hAnsi="Palatino Linotype" w:cs="Arial"/>
          <w:color w:val="000000"/>
          <w:lang w:eastAsia="es-MX"/>
        </w:rPr>
      </w:pPr>
    </w:p>
    <w:p w:rsidR="00071DB1" w:rsidRPr="00DB53F9" w:rsidRDefault="00071DB1" w:rsidP="00071DB1">
      <w:pPr>
        <w:tabs>
          <w:tab w:val="left" w:pos="1701"/>
        </w:tabs>
        <w:spacing w:line="360" w:lineRule="auto"/>
        <w:jc w:val="both"/>
        <w:rPr>
          <w:rFonts w:ascii="Palatino Linotype" w:hAnsi="Palatino Linotype" w:cs="Arial"/>
          <w:b/>
        </w:rPr>
      </w:pPr>
      <w:r w:rsidRPr="00DB53F9">
        <w:rPr>
          <w:rFonts w:ascii="Palatino Linotype" w:hAnsi="Palatino Linotype" w:cs="Arial"/>
          <w:b/>
        </w:rPr>
        <w:t>VISTO</w:t>
      </w:r>
      <w:r w:rsidRPr="00DB53F9">
        <w:rPr>
          <w:rFonts w:ascii="Palatino Linotype" w:hAnsi="Palatino Linotype" w:cs="Arial"/>
        </w:rPr>
        <w:t xml:space="preserve"> </w:t>
      </w:r>
      <w:r w:rsidRPr="00DB53F9">
        <w:rPr>
          <w:rFonts w:ascii="Palatino Linotype" w:hAnsi="Palatino Linotype" w:cs="Arial"/>
          <w:lang w:val="es-419"/>
        </w:rPr>
        <w:t>e</w:t>
      </w:r>
      <w:r w:rsidRPr="00DB53F9">
        <w:rPr>
          <w:rFonts w:ascii="Palatino Linotype" w:hAnsi="Palatino Linotype" w:cs="Arial"/>
        </w:rPr>
        <w:t xml:space="preserve">l expediente electrónico formado con motivo del recurso de revisión con número </w:t>
      </w:r>
      <w:r w:rsidRPr="00DB53F9">
        <w:rPr>
          <w:rFonts w:ascii="Palatino Linotype" w:hAnsi="Palatino Linotype" w:cs="Arial"/>
          <w:b/>
          <w:bCs/>
          <w:lang w:val="es-419" w:eastAsia="es-MX"/>
        </w:rPr>
        <w:t>005</w:t>
      </w:r>
      <w:r w:rsidR="00697144" w:rsidRPr="00DB53F9">
        <w:rPr>
          <w:rFonts w:ascii="Palatino Linotype" w:hAnsi="Palatino Linotype" w:cs="Arial"/>
          <w:b/>
          <w:bCs/>
          <w:lang w:val="es-419" w:eastAsia="es-MX"/>
        </w:rPr>
        <w:t>20</w:t>
      </w:r>
      <w:r w:rsidRPr="00DB53F9">
        <w:rPr>
          <w:rFonts w:ascii="Palatino Linotype" w:hAnsi="Palatino Linotype" w:cs="Arial"/>
          <w:b/>
          <w:bCs/>
          <w:lang w:eastAsia="es-MX"/>
        </w:rPr>
        <w:t>/INFOEM/ICR-</w:t>
      </w:r>
      <w:r w:rsidR="00697144" w:rsidRPr="00DB53F9">
        <w:rPr>
          <w:rFonts w:ascii="Palatino Linotype" w:hAnsi="Palatino Linotype" w:cs="Arial"/>
          <w:b/>
          <w:bCs/>
          <w:lang w:val="es-419" w:eastAsia="es-MX"/>
        </w:rPr>
        <w:t>208</w:t>
      </w:r>
      <w:r w:rsidRPr="00DB53F9">
        <w:rPr>
          <w:rFonts w:ascii="Palatino Linotype" w:hAnsi="Palatino Linotype" w:cs="Arial"/>
          <w:b/>
          <w:bCs/>
          <w:lang w:eastAsia="es-MX"/>
        </w:rPr>
        <w:t>/IP/RR/202</w:t>
      </w:r>
      <w:r w:rsidRPr="00DB53F9">
        <w:rPr>
          <w:rFonts w:ascii="Palatino Linotype" w:hAnsi="Palatino Linotype" w:cs="Arial"/>
          <w:b/>
          <w:bCs/>
          <w:lang w:val="es-419" w:eastAsia="es-MX"/>
        </w:rPr>
        <w:t>3</w:t>
      </w:r>
      <w:r w:rsidRPr="00DB53F9">
        <w:rPr>
          <w:rFonts w:ascii="Palatino Linotype" w:hAnsi="Palatino Linotype" w:cs="Arial"/>
        </w:rPr>
        <w:t xml:space="preserve"> promovido </w:t>
      </w:r>
      <w:r w:rsidRPr="00DB53F9">
        <w:rPr>
          <w:rFonts w:ascii="Palatino Linotype" w:hAnsi="Palatino Linotype" w:cs="Arial"/>
          <w:lang w:val="es-419"/>
        </w:rPr>
        <w:t>un ciudadano que al momento de ingresar su solicitud de información no proporcionó nombre o seudónimo con el cual identificarlo</w:t>
      </w:r>
      <w:r w:rsidRPr="00DB53F9">
        <w:rPr>
          <w:rFonts w:ascii="Palatino Linotype" w:hAnsi="Palatino Linotype"/>
        </w:rPr>
        <w:t xml:space="preserve">, quien en lo sucesivo y para efectos prácticos se le denominara como </w:t>
      </w:r>
      <w:r w:rsidRPr="00DB53F9">
        <w:rPr>
          <w:rFonts w:ascii="Palatino Linotype" w:hAnsi="Palatino Linotype"/>
          <w:b/>
        </w:rPr>
        <w:t>el Recurrente</w:t>
      </w:r>
      <w:r w:rsidRPr="00DB53F9">
        <w:rPr>
          <w:rFonts w:ascii="Palatino Linotype" w:hAnsi="Palatino Linotype" w:cs="Arial"/>
        </w:rPr>
        <w:t xml:space="preserve">, en contra de la falta de respuesta del </w:t>
      </w:r>
      <w:r w:rsidRPr="00DB53F9">
        <w:rPr>
          <w:rFonts w:ascii="Palatino Linotype" w:hAnsi="Palatino Linotype" w:cs="Arial"/>
          <w:b/>
        </w:rPr>
        <w:t xml:space="preserve">Ayuntamiento de </w:t>
      </w:r>
      <w:r w:rsidRPr="00DB53F9">
        <w:rPr>
          <w:rFonts w:ascii="Palatino Linotype" w:hAnsi="Palatino Linotype" w:cs="Arial"/>
          <w:b/>
          <w:lang w:val="es-419"/>
        </w:rPr>
        <w:t>Zinacantepec</w:t>
      </w:r>
      <w:r w:rsidRPr="00DB53F9">
        <w:rPr>
          <w:rFonts w:ascii="Palatino Linotype" w:hAnsi="Palatino Linotype" w:cs="Arial"/>
          <w:b/>
        </w:rPr>
        <w:t xml:space="preserve">, </w:t>
      </w:r>
      <w:r w:rsidRPr="00DB53F9">
        <w:rPr>
          <w:rFonts w:ascii="Palatino Linotype" w:hAnsi="Palatino Linotype" w:cs="Arial"/>
        </w:rPr>
        <w:t>en lo subsecuente</w:t>
      </w:r>
      <w:r w:rsidRPr="00DB53F9">
        <w:rPr>
          <w:rFonts w:ascii="Palatino Linotype" w:hAnsi="Palatino Linotype" w:cs="Arial"/>
          <w:b/>
        </w:rPr>
        <w:t xml:space="preserve"> el Sujeto Obligado, </w:t>
      </w:r>
      <w:r w:rsidRPr="00DB53F9">
        <w:rPr>
          <w:rFonts w:ascii="Palatino Linotype" w:hAnsi="Palatino Linotype" w:cs="Arial"/>
        </w:rPr>
        <w:t>se procede a dictar la presente resolución.</w:t>
      </w:r>
    </w:p>
    <w:p w:rsidR="00071DB1" w:rsidRPr="00DB53F9" w:rsidRDefault="00071DB1" w:rsidP="00071DB1">
      <w:pPr>
        <w:tabs>
          <w:tab w:val="left" w:pos="6960"/>
        </w:tabs>
        <w:spacing w:line="360" w:lineRule="auto"/>
        <w:jc w:val="both"/>
        <w:rPr>
          <w:rFonts w:ascii="Palatino Linotype" w:hAnsi="Palatino Linotype" w:cs="Arial"/>
        </w:rPr>
      </w:pPr>
    </w:p>
    <w:p w:rsidR="00071DB1" w:rsidRPr="00DB53F9" w:rsidRDefault="00071DB1" w:rsidP="00071DB1">
      <w:pPr>
        <w:spacing w:line="360" w:lineRule="auto"/>
        <w:jc w:val="center"/>
        <w:rPr>
          <w:rFonts w:ascii="Palatino Linotype" w:hAnsi="Palatino Linotype" w:cs="Arial"/>
          <w:b/>
        </w:rPr>
      </w:pPr>
      <w:r w:rsidRPr="00DB53F9">
        <w:rPr>
          <w:rFonts w:ascii="Palatino Linotype" w:hAnsi="Palatino Linotype" w:cs="Arial"/>
          <w:b/>
        </w:rPr>
        <w:t>A N T E C E D E N T E S</w:t>
      </w:r>
    </w:p>
    <w:p w:rsidR="00071DB1" w:rsidRPr="00DB53F9" w:rsidRDefault="00071DB1" w:rsidP="00071DB1">
      <w:pPr>
        <w:spacing w:line="360" w:lineRule="auto"/>
        <w:rPr>
          <w:rFonts w:ascii="Palatino Linotype" w:hAnsi="Palatino Linotype" w:cs="Arial"/>
          <w:b/>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rPr>
        <w:t xml:space="preserve">PRIMERO. </w:t>
      </w:r>
      <w:r w:rsidRPr="00DB53F9">
        <w:rPr>
          <w:rFonts w:ascii="Palatino Linotype" w:hAnsi="Palatino Linotype" w:cs="Arial"/>
        </w:rPr>
        <w:t xml:space="preserve">Con fecha </w:t>
      </w:r>
      <w:r w:rsidRPr="00DB53F9">
        <w:rPr>
          <w:rFonts w:ascii="Palatino Linotype" w:hAnsi="Palatino Linotype" w:cs="Arial"/>
          <w:lang w:val="es-419"/>
        </w:rPr>
        <w:t>doce</w:t>
      </w:r>
      <w:r w:rsidRPr="00DB53F9">
        <w:rPr>
          <w:rFonts w:ascii="Palatino Linotype" w:hAnsi="Palatino Linotype" w:cs="Arial"/>
        </w:rPr>
        <w:t xml:space="preserve"> de </w:t>
      </w:r>
      <w:r w:rsidRPr="00DB53F9">
        <w:rPr>
          <w:rFonts w:ascii="Palatino Linotype" w:hAnsi="Palatino Linotype" w:cs="Arial"/>
          <w:lang w:val="es-419"/>
        </w:rPr>
        <w:t>diciembre</w:t>
      </w:r>
      <w:r w:rsidRPr="00DB53F9">
        <w:rPr>
          <w:rFonts w:ascii="Palatino Linotype" w:hAnsi="Palatino Linotype" w:cs="Arial"/>
        </w:rPr>
        <w:t xml:space="preserve"> de dos mil veintidós, </w:t>
      </w:r>
      <w:r w:rsidRPr="00DB53F9">
        <w:rPr>
          <w:rFonts w:ascii="Palatino Linotype" w:hAnsi="Palatino Linotype" w:cs="Arial"/>
          <w:lang w:val="es-419"/>
        </w:rPr>
        <w:t>e</w:t>
      </w:r>
      <w:r w:rsidRPr="00DB53F9">
        <w:rPr>
          <w:rFonts w:ascii="Palatino Linotype" w:hAnsi="Palatino Linotype" w:cs="Arial"/>
        </w:rPr>
        <w:t>l</w:t>
      </w:r>
      <w:r w:rsidRPr="00DB53F9">
        <w:rPr>
          <w:rFonts w:ascii="Palatino Linotype" w:hAnsi="Palatino Linotype" w:cs="Arial"/>
          <w:b/>
        </w:rPr>
        <w:t xml:space="preserve"> Recurrente</w:t>
      </w:r>
      <w:r w:rsidRPr="00DB53F9">
        <w:rPr>
          <w:rFonts w:ascii="Palatino Linotype" w:hAnsi="Palatino Linotype" w:cs="Arial"/>
        </w:rPr>
        <w:t xml:space="preserve"> presentó a través del Sistema de Acceso a la Información Mexiquense, en lo posterior el </w:t>
      </w:r>
      <w:r w:rsidRPr="00DB53F9">
        <w:rPr>
          <w:rFonts w:ascii="Palatino Linotype" w:hAnsi="Palatino Linotype" w:cs="Arial"/>
          <w:b/>
        </w:rPr>
        <w:t>SAIMEX</w:t>
      </w:r>
      <w:r w:rsidRPr="00DB53F9">
        <w:rPr>
          <w:rFonts w:ascii="Palatino Linotype" w:hAnsi="Palatino Linotype" w:cs="Arial"/>
        </w:rPr>
        <w:t xml:space="preserve">, ante </w:t>
      </w:r>
      <w:r w:rsidRPr="00DB53F9">
        <w:rPr>
          <w:rFonts w:ascii="Palatino Linotype" w:hAnsi="Palatino Linotype" w:cs="Arial"/>
          <w:b/>
        </w:rPr>
        <w:t>el Sujeto Obligado</w:t>
      </w:r>
      <w:r w:rsidRPr="00DB53F9">
        <w:rPr>
          <w:rFonts w:ascii="Palatino Linotype" w:hAnsi="Palatino Linotype" w:cs="Arial"/>
        </w:rPr>
        <w:t xml:space="preserve">, </w:t>
      </w:r>
      <w:r w:rsidRPr="00DB53F9">
        <w:rPr>
          <w:rFonts w:ascii="Palatino Linotype" w:hAnsi="Palatino Linotype" w:cs="Arial"/>
          <w:lang w:val="es-419"/>
        </w:rPr>
        <w:t xml:space="preserve">la </w:t>
      </w:r>
      <w:r w:rsidRPr="00DB53F9">
        <w:rPr>
          <w:rFonts w:ascii="Palatino Linotype" w:hAnsi="Palatino Linotype" w:cs="Arial"/>
        </w:rPr>
        <w:t xml:space="preserve">solicitud de acceso a la información pública, registrada bajo </w:t>
      </w:r>
      <w:r w:rsidRPr="00DB53F9">
        <w:rPr>
          <w:rFonts w:ascii="Palatino Linotype" w:hAnsi="Palatino Linotype" w:cs="Arial"/>
          <w:lang w:val="es-419"/>
        </w:rPr>
        <w:t>e</w:t>
      </w:r>
      <w:r w:rsidRPr="00DB53F9">
        <w:rPr>
          <w:rFonts w:ascii="Palatino Linotype" w:hAnsi="Palatino Linotype" w:cs="Arial"/>
        </w:rPr>
        <w:t>l número de expediente</w:t>
      </w:r>
      <w:r w:rsidRPr="00DB53F9">
        <w:rPr>
          <w:rFonts w:ascii="Palatino Linotype" w:hAnsi="Palatino Linotype"/>
        </w:rPr>
        <w:t xml:space="preserve"> </w:t>
      </w:r>
      <w:r w:rsidRPr="00DB53F9">
        <w:rPr>
          <w:rFonts w:ascii="Palatino Linotype" w:hAnsi="Palatino Linotype" w:cs="Arial"/>
          <w:b/>
        </w:rPr>
        <w:t>0</w:t>
      </w:r>
      <w:r w:rsidR="00697144" w:rsidRPr="00DB53F9">
        <w:rPr>
          <w:rFonts w:ascii="Palatino Linotype" w:hAnsi="Palatino Linotype" w:cs="Arial"/>
          <w:b/>
          <w:lang w:val="es-419"/>
        </w:rPr>
        <w:t>1443</w:t>
      </w:r>
      <w:r w:rsidRPr="00DB53F9">
        <w:rPr>
          <w:rFonts w:ascii="Palatino Linotype" w:hAnsi="Palatino Linotype" w:cs="Arial"/>
          <w:b/>
        </w:rPr>
        <w:t>/</w:t>
      </w:r>
      <w:r w:rsidRPr="00DB53F9">
        <w:rPr>
          <w:rFonts w:ascii="Palatino Linotype" w:hAnsi="Palatino Linotype" w:cs="Arial"/>
          <w:b/>
          <w:lang w:val="es-419"/>
        </w:rPr>
        <w:t>ZINACANT</w:t>
      </w:r>
      <w:r w:rsidRPr="00DB53F9">
        <w:rPr>
          <w:rFonts w:ascii="Palatino Linotype" w:hAnsi="Palatino Linotype" w:cs="Arial"/>
          <w:b/>
        </w:rPr>
        <w:t>/IP/2022</w:t>
      </w:r>
      <w:r w:rsidRPr="00DB53F9">
        <w:rPr>
          <w:rFonts w:ascii="Palatino Linotype" w:hAnsi="Palatino Linotype" w:cs="Arial"/>
          <w:lang w:eastAsia="es-MX"/>
        </w:rPr>
        <w:t>,</w:t>
      </w:r>
      <w:r w:rsidRPr="00DB53F9">
        <w:rPr>
          <w:rFonts w:ascii="Palatino Linotype" w:hAnsi="Palatino Linotype" w:cs="Arial"/>
          <w:b/>
          <w:lang w:eastAsia="es-MX"/>
        </w:rPr>
        <w:t xml:space="preserve"> </w:t>
      </w:r>
      <w:r w:rsidRPr="00DB53F9">
        <w:rPr>
          <w:rFonts w:ascii="Palatino Linotype" w:hAnsi="Palatino Linotype" w:cs="Arial"/>
        </w:rPr>
        <w:t>mediante la cual solicitó información en el tenor siguiente:</w:t>
      </w:r>
    </w:p>
    <w:p w:rsidR="00071DB1" w:rsidRPr="00DB53F9" w:rsidRDefault="00071DB1" w:rsidP="00071DB1">
      <w:pPr>
        <w:tabs>
          <w:tab w:val="left" w:pos="5647"/>
        </w:tabs>
        <w:spacing w:line="360" w:lineRule="auto"/>
        <w:ind w:right="850"/>
        <w:jc w:val="both"/>
        <w:rPr>
          <w:rFonts w:ascii="Palatino Linotype" w:hAnsi="Palatino Linotype"/>
        </w:rPr>
      </w:pPr>
    </w:p>
    <w:p w:rsidR="00071DB1" w:rsidRPr="00DB53F9" w:rsidRDefault="00071DB1" w:rsidP="00071DB1">
      <w:pPr>
        <w:tabs>
          <w:tab w:val="left" w:pos="5647"/>
        </w:tabs>
        <w:spacing w:line="360" w:lineRule="auto"/>
        <w:ind w:left="567" w:right="567"/>
        <w:jc w:val="both"/>
        <w:rPr>
          <w:rFonts w:ascii="Palatino Linotype" w:hAnsi="Palatino Linotype"/>
          <w:i/>
          <w:lang w:val="es-ES_tradnl"/>
        </w:rPr>
      </w:pPr>
      <w:r w:rsidRPr="00DB53F9">
        <w:rPr>
          <w:rFonts w:ascii="Palatino Linotype" w:hAnsi="Palatino Linotype"/>
          <w:i/>
          <w:lang w:val="es-ES_tradnl"/>
        </w:rPr>
        <w:t>“</w:t>
      </w:r>
      <w:r w:rsidR="00697144" w:rsidRPr="00DB53F9">
        <w:rPr>
          <w:rFonts w:ascii="Palatino Linotype" w:hAnsi="Palatino Linotype"/>
          <w:i/>
          <w:lang w:val="es-ES_tradnl"/>
        </w:rPr>
        <w:t>SOLICITO LAS FACTURAS DE PAGO DE LA FUENTE DE LA PLAZA CÍVICA, ASÍ COMO LOS PLANOS DEL DISEÑO, LAS REQUISICIONES, EL MONTO TOTAL DEL COSTO Y LOS DOCUMENTOS DE LA PARTICIPACIÓN DE LA LICITACIÓN DE OBRA PÚBLICA</w:t>
      </w:r>
      <w:r w:rsidRPr="00DB53F9">
        <w:rPr>
          <w:rFonts w:ascii="Palatino Linotype" w:hAnsi="Palatino Linotype"/>
          <w:i/>
          <w:lang w:val="es-ES_tradnl"/>
        </w:rPr>
        <w:t>.”</w:t>
      </w:r>
    </w:p>
    <w:p w:rsidR="00071DB1" w:rsidRPr="00DB53F9" w:rsidRDefault="00071DB1" w:rsidP="00071DB1">
      <w:pPr>
        <w:tabs>
          <w:tab w:val="left" w:pos="5647"/>
        </w:tabs>
        <w:spacing w:line="360" w:lineRule="auto"/>
        <w:ind w:right="850"/>
        <w:jc w:val="both"/>
        <w:rPr>
          <w:rFonts w:ascii="Palatino Linotype" w:hAnsi="Palatino Linotype"/>
          <w:lang w:val="es-ES_tradnl"/>
        </w:rPr>
      </w:pPr>
    </w:p>
    <w:p w:rsidR="00071DB1" w:rsidRPr="00DB53F9" w:rsidRDefault="00071DB1" w:rsidP="00071DB1">
      <w:pPr>
        <w:spacing w:line="360" w:lineRule="auto"/>
        <w:jc w:val="both"/>
        <w:rPr>
          <w:rFonts w:ascii="Palatino Linotype" w:hAnsi="Palatino Linotype"/>
          <w:lang w:val="es-ES_tradnl"/>
        </w:rPr>
      </w:pPr>
      <w:r w:rsidRPr="00DB53F9">
        <w:rPr>
          <w:rFonts w:ascii="Palatino Linotype" w:hAnsi="Palatino Linotype"/>
          <w:b/>
          <w:lang w:val="es-ES_tradnl"/>
        </w:rPr>
        <w:lastRenderedPageBreak/>
        <w:t>Modalidad de entrega:</w:t>
      </w:r>
      <w:r w:rsidRPr="00DB53F9">
        <w:rPr>
          <w:rFonts w:ascii="Palatino Linotype" w:hAnsi="Palatino Linotype"/>
          <w:lang w:val="es-ES_tradnl"/>
        </w:rPr>
        <w:t xml:space="preserve"> A través del SAIMEX</w:t>
      </w:r>
    </w:p>
    <w:p w:rsidR="00071DB1" w:rsidRPr="00DB53F9" w:rsidRDefault="00071DB1" w:rsidP="00071DB1">
      <w:pPr>
        <w:spacing w:line="360" w:lineRule="auto"/>
        <w:jc w:val="both"/>
        <w:rPr>
          <w:rFonts w:ascii="Palatino Linotype" w:hAnsi="Palatino Linotype"/>
          <w:lang w:val="es-ES_tradnl"/>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rPr>
        <w:t xml:space="preserve">SEGUNDO. </w:t>
      </w:r>
      <w:r w:rsidRPr="00DB53F9">
        <w:rPr>
          <w:rFonts w:ascii="Palatino Linotype" w:hAnsi="Palatino Linotype" w:cs="Arial"/>
        </w:rPr>
        <w:t xml:space="preserve">En </w:t>
      </w:r>
      <w:r w:rsidRPr="00DB53F9">
        <w:rPr>
          <w:rFonts w:ascii="Palatino Linotype" w:hAnsi="Palatino Linotype" w:cs="Arial"/>
          <w:lang w:val="es-419"/>
        </w:rPr>
        <w:t>e</w:t>
      </w:r>
      <w:r w:rsidRPr="00DB53F9">
        <w:rPr>
          <w:rFonts w:ascii="Palatino Linotype" w:hAnsi="Palatino Linotype" w:cs="Arial"/>
        </w:rPr>
        <w:t xml:space="preserve">l expediente electrónico del SAIMEX, se aprecia que el </w:t>
      </w:r>
      <w:r w:rsidRPr="00DB53F9">
        <w:rPr>
          <w:rFonts w:ascii="Palatino Linotype" w:hAnsi="Palatino Linotype" w:cs="Arial"/>
          <w:b/>
        </w:rPr>
        <w:t>Sujeto Obligado</w:t>
      </w:r>
      <w:r w:rsidRPr="00DB53F9">
        <w:rPr>
          <w:rFonts w:ascii="Palatino Linotype" w:hAnsi="Palatino Linotype" w:cs="Arial"/>
        </w:rPr>
        <w:t xml:space="preserve"> fue omiso en dar respuesta a la solicitud de información presentada por el </w:t>
      </w:r>
      <w:r w:rsidRPr="00DB53F9">
        <w:rPr>
          <w:rFonts w:ascii="Palatino Linotype" w:hAnsi="Palatino Linotype" w:cs="Arial"/>
          <w:b/>
        </w:rPr>
        <w:t>Recurrente</w:t>
      </w:r>
      <w:r w:rsidRPr="00DB53F9">
        <w:rPr>
          <w:rFonts w:ascii="Palatino Linotype" w:hAnsi="Palatino Linotype" w:cs="Arial"/>
        </w:rPr>
        <w:t xml:space="preserve">. Derivado de lo anterior, se constituye la figura de la NEGATIVA FICTA, cuya esencia consiste en atribuir un efecto negativo de la autoridad administrativa frente a las instancias y solicitudes que hagan los particulares. </w:t>
      </w:r>
    </w:p>
    <w:p w:rsidR="00071DB1" w:rsidRPr="00DB53F9" w:rsidRDefault="00071DB1" w:rsidP="00071DB1">
      <w:pPr>
        <w:spacing w:line="360" w:lineRule="auto"/>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rPr>
        <w:t>TERCERO</w:t>
      </w:r>
      <w:r w:rsidRPr="00DB53F9">
        <w:rPr>
          <w:rFonts w:ascii="Palatino Linotype" w:hAnsi="Palatino Linotype" w:cs="Arial"/>
        </w:rPr>
        <w:t xml:space="preserve">. Inconforme ante la falta de respuesta por parte del </w:t>
      </w:r>
      <w:r w:rsidRPr="00DB53F9">
        <w:rPr>
          <w:rFonts w:ascii="Palatino Linotype" w:hAnsi="Palatino Linotype" w:cs="Arial"/>
          <w:b/>
        </w:rPr>
        <w:t>Sujeto Obligado</w:t>
      </w:r>
      <w:r w:rsidRPr="00DB53F9">
        <w:rPr>
          <w:rFonts w:ascii="Palatino Linotype" w:hAnsi="Palatino Linotype" w:cs="Arial"/>
        </w:rPr>
        <w:t xml:space="preserve">, la ahora </w:t>
      </w:r>
      <w:r w:rsidRPr="00DB53F9">
        <w:rPr>
          <w:rFonts w:ascii="Palatino Linotype" w:hAnsi="Palatino Linotype" w:cs="Arial"/>
          <w:b/>
        </w:rPr>
        <w:t>Recurrente</w:t>
      </w:r>
      <w:r w:rsidRPr="00DB53F9">
        <w:rPr>
          <w:rFonts w:ascii="Palatino Linotype" w:hAnsi="Palatino Linotype" w:cs="Arial"/>
        </w:rPr>
        <w:t xml:space="preserve"> en fecha </w:t>
      </w:r>
      <w:r w:rsidRPr="00DB53F9">
        <w:rPr>
          <w:rFonts w:ascii="Palatino Linotype" w:hAnsi="Palatino Linotype" w:cs="Arial"/>
          <w:b/>
          <w:lang w:val="es-419"/>
        </w:rPr>
        <w:t xml:space="preserve">treinta </w:t>
      </w:r>
      <w:r w:rsidRPr="00DB53F9">
        <w:rPr>
          <w:rFonts w:ascii="Palatino Linotype" w:hAnsi="Palatino Linotype" w:cs="Arial"/>
          <w:b/>
        </w:rPr>
        <w:t xml:space="preserve">de </w:t>
      </w:r>
      <w:r w:rsidRPr="00DB53F9">
        <w:rPr>
          <w:rFonts w:ascii="Palatino Linotype" w:hAnsi="Palatino Linotype" w:cs="Arial"/>
          <w:b/>
          <w:lang w:val="es-419"/>
        </w:rPr>
        <w:t>enero</w:t>
      </w:r>
      <w:r w:rsidRPr="00DB53F9">
        <w:rPr>
          <w:rFonts w:ascii="Palatino Linotype" w:hAnsi="Palatino Linotype" w:cs="Arial"/>
          <w:b/>
        </w:rPr>
        <w:t xml:space="preserve"> de dos mil </w:t>
      </w:r>
      <w:r w:rsidRPr="00DB53F9">
        <w:rPr>
          <w:rFonts w:ascii="Palatino Linotype" w:hAnsi="Palatino Linotype" w:cs="Arial"/>
          <w:b/>
          <w:lang w:val="es-419"/>
        </w:rPr>
        <w:t>veintitrés</w:t>
      </w:r>
      <w:r w:rsidRPr="00DB53F9">
        <w:rPr>
          <w:rFonts w:ascii="Palatino Linotype" w:hAnsi="Palatino Linotype" w:cs="Arial"/>
        </w:rPr>
        <w:t>, interpuso recurso de revisión, que fue registrado</w:t>
      </w:r>
      <w:r w:rsidRPr="00DB53F9">
        <w:rPr>
          <w:rFonts w:ascii="Palatino Linotype" w:hAnsi="Palatino Linotype" w:cs="Arial"/>
          <w:b/>
        </w:rPr>
        <w:t xml:space="preserve"> </w:t>
      </w:r>
      <w:r w:rsidRPr="00DB53F9">
        <w:rPr>
          <w:rFonts w:ascii="Palatino Linotype" w:hAnsi="Palatino Linotype" w:cs="Arial"/>
        </w:rPr>
        <w:t xml:space="preserve">en el sistema electrónico con número de expediente </w:t>
      </w:r>
      <w:r w:rsidRPr="00DB53F9">
        <w:rPr>
          <w:rFonts w:ascii="Palatino Linotype" w:hAnsi="Palatino Linotype" w:cs="Arial"/>
          <w:b/>
          <w:bCs/>
          <w:lang w:val="es-419" w:eastAsia="es-MX"/>
        </w:rPr>
        <w:t>00515</w:t>
      </w:r>
      <w:r w:rsidRPr="00DB53F9">
        <w:rPr>
          <w:rFonts w:ascii="Palatino Linotype" w:hAnsi="Palatino Linotype" w:cs="Arial"/>
          <w:b/>
          <w:bCs/>
          <w:lang w:eastAsia="es-MX"/>
        </w:rPr>
        <w:t>/INFOEM/IP/RR/2022</w:t>
      </w:r>
      <w:r w:rsidRPr="00DB53F9">
        <w:rPr>
          <w:rFonts w:ascii="Palatino Linotype" w:hAnsi="Palatino Linotype" w:cs="Arial"/>
        </w:rPr>
        <w:t>, aduciendo lo siguientes:</w:t>
      </w:r>
    </w:p>
    <w:p w:rsidR="00071DB1" w:rsidRPr="00DB53F9" w:rsidRDefault="00071DB1" w:rsidP="00071DB1">
      <w:pPr>
        <w:spacing w:line="360" w:lineRule="auto"/>
        <w:jc w:val="both"/>
        <w:rPr>
          <w:rFonts w:ascii="Palatino Linotype" w:hAnsi="Palatino Linotype" w:cs="Arial"/>
          <w:b/>
        </w:rPr>
      </w:pPr>
    </w:p>
    <w:p w:rsidR="00071DB1" w:rsidRPr="00DB53F9" w:rsidRDefault="00071DB1" w:rsidP="00071DB1">
      <w:pPr>
        <w:pStyle w:val="Prrafodelista"/>
        <w:spacing w:line="360" w:lineRule="auto"/>
        <w:ind w:left="0"/>
        <w:jc w:val="both"/>
        <w:rPr>
          <w:rFonts w:ascii="Palatino Linotype" w:hAnsi="Palatino Linotype" w:cs="Arial"/>
          <w:b/>
        </w:rPr>
      </w:pPr>
      <w:r w:rsidRPr="00DB53F9">
        <w:rPr>
          <w:rFonts w:ascii="Palatino Linotype" w:hAnsi="Palatino Linotype" w:cs="Arial"/>
          <w:b/>
        </w:rPr>
        <w:t>Acto Impugnado:</w:t>
      </w:r>
    </w:p>
    <w:p w:rsidR="00071DB1" w:rsidRPr="00DB53F9" w:rsidRDefault="00071DB1" w:rsidP="00071DB1">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“NO ENTREGA INFORMACIÓN.” (sic)</w:t>
      </w:r>
    </w:p>
    <w:p w:rsidR="00071DB1" w:rsidRPr="00DB53F9" w:rsidRDefault="00071DB1" w:rsidP="00071DB1">
      <w:pPr>
        <w:spacing w:line="360" w:lineRule="auto"/>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cs="Arial"/>
          <w:b/>
        </w:rPr>
      </w:pPr>
      <w:r w:rsidRPr="00DB53F9">
        <w:rPr>
          <w:rFonts w:ascii="Palatino Linotype" w:hAnsi="Palatino Linotype" w:cs="Arial"/>
          <w:b/>
        </w:rPr>
        <w:t>Razones o motivos de inconformidad:</w:t>
      </w:r>
    </w:p>
    <w:p w:rsidR="00071DB1" w:rsidRPr="00DB53F9" w:rsidRDefault="00071DB1" w:rsidP="00071DB1">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“NO ENTREGA INFORMACIÓN.” (sic)</w:t>
      </w:r>
    </w:p>
    <w:p w:rsidR="00071DB1" w:rsidRPr="00DB53F9" w:rsidRDefault="00071DB1" w:rsidP="00071DB1">
      <w:pPr>
        <w:pStyle w:val="Citas"/>
        <w:spacing w:before="0" w:after="0"/>
        <w:ind w:left="0" w:right="72"/>
        <w:rPr>
          <w:i w:val="0"/>
          <w:sz w:val="24"/>
          <w:szCs w:val="24"/>
        </w:rPr>
      </w:pPr>
    </w:p>
    <w:p w:rsidR="00071DB1" w:rsidRPr="00DB53F9" w:rsidRDefault="00071DB1" w:rsidP="00071DB1">
      <w:pPr>
        <w:spacing w:line="360" w:lineRule="auto"/>
        <w:ind w:right="49"/>
        <w:jc w:val="both"/>
        <w:rPr>
          <w:rFonts w:ascii="Palatino Linotype" w:hAnsi="Palatino Linotype" w:cs="Arial"/>
          <w:lang w:val="es-ES_tradnl"/>
        </w:rPr>
      </w:pPr>
      <w:r w:rsidRPr="00DB53F9">
        <w:rPr>
          <w:rFonts w:ascii="Palatino Linotype" w:hAnsi="Palatino Linotype" w:cs="Arial"/>
          <w:b/>
        </w:rPr>
        <w:t xml:space="preserve">CUARTO. </w:t>
      </w:r>
      <w:r w:rsidRPr="00DB53F9">
        <w:rPr>
          <w:rFonts w:ascii="Palatino Linotype" w:hAnsi="Palatino Linotype" w:cs="Arial"/>
        </w:rPr>
        <w:t xml:space="preserve">En fecha </w:t>
      </w:r>
      <w:r w:rsidRPr="00DB53F9">
        <w:rPr>
          <w:rFonts w:ascii="Palatino Linotype" w:hAnsi="Palatino Linotype" w:cs="Arial"/>
          <w:b/>
          <w:lang w:val="es-419"/>
        </w:rPr>
        <w:t xml:space="preserve">treinta </w:t>
      </w:r>
      <w:r w:rsidRPr="00DB53F9">
        <w:rPr>
          <w:rFonts w:ascii="Palatino Linotype" w:hAnsi="Palatino Linotype" w:cs="Arial"/>
          <w:b/>
        </w:rPr>
        <w:t xml:space="preserve">de </w:t>
      </w:r>
      <w:r w:rsidRPr="00DB53F9">
        <w:rPr>
          <w:rFonts w:ascii="Palatino Linotype" w:hAnsi="Palatino Linotype" w:cs="Arial"/>
          <w:b/>
          <w:lang w:val="es-419"/>
        </w:rPr>
        <w:t>enero</w:t>
      </w:r>
      <w:r w:rsidRPr="00DB53F9">
        <w:rPr>
          <w:rFonts w:ascii="Palatino Linotype" w:hAnsi="Palatino Linotype" w:cs="Arial"/>
          <w:b/>
        </w:rPr>
        <w:t xml:space="preserve"> de dos mil </w:t>
      </w:r>
      <w:r w:rsidRPr="00DB53F9">
        <w:rPr>
          <w:rFonts w:ascii="Palatino Linotype" w:hAnsi="Palatino Linotype" w:cs="Arial"/>
          <w:b/>
          <w:lang w:val="es-419"/>
        </w:rPr>
        <w:t>veintitrés</w:t>
      </w:r>
      <w:r w:rsidRPr="00DB53F9">
        <w:rPr>
          <w:rFonts w:ascii="Palatino Linotype" w:hAnsi="Palatino Linotype" w:cs="Arial"/>
        </w:rPr>
        <w:t xml:space="preserve">, el </w:t>
      </w:r>
      <w:r w:rsidRPr="00DB53F9">
        <w:rPr>
          <w:rFonts w:ascii="Palatino Linotype" w:hAnsi="Palatino Linotype" w:cs="Arial"/>
          <w:lang w:val="es-ES_tradnl"/>
        </w:rPr>
        <w:t>recurso de que</w:t>
      </w:r>
      <w:r w:rsidRPr="00DB53F9">
        <w:rPr>
          <w:rFonts w:ascii="Palatino Linotype" w:hAnsi="Palatino Linotype" w:cs="Arial"/>
        </w:rPr>
        <w:t xml:space="preserve"> se trata</w:t>
      </w:r>
      <w:r w:rsidRPr="00DB53F9">
        <w:rPr>
          <w:rFonts w:ascii="Palatino Linotype" w:hAnsi="Palatino Linotype" w:cs="Arial"/>
          <w:lang w:val="es-ES_tradnl"/>
        </w:rPr>
        <w:t xml:space="preserve"> se envió electrónicamente al Instituto de </w:t>
      </w:r>
      <w:r w:rsidRPr="00DB53F9">
        <w:rPr>
          <w:rFonts w:ascii="Palatino Linotype" w:eastAsia="Arial Unicode MS" w:hAnsi="Palatino Linotype" w:cs="Arial"/>
        </w:rPr>
        <w:t>Transparencia</w:t>
      </w:r>
      <w:r w:rsidRPr="00DB53F9">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DB53F9">
        <w:rPr>
          <w:rFonts w:ascii="Palatino Linotype" w:hAnsi="Palatino Linotype"/>
        </w:rPr>
        <w:t xml:space="preserve">Ley de Transparencia y Acceso a la Información Pública del </w:t>
      </w:r>
      <w:r w:rsidRPr="00DB53F9">
        <w:rPr>
          <w:rFonts w:ascii="Palatino Linotype" w:hAnsi="Palatino Linotype"/>
        </w:rPr>
        <w:lastRenderedPageBreak/>
        <w:t>Estado de México y Municipios</w:t>
      </w:r>
      <w:r w:rsidRPr="00DB53F9">
        <w:rPr>
          <w:rFonts w:ascii="Palatino Linotype" w:hAnsi="Palatino Linotype" w:cs="Arial"/>
          <w:lang w:val="es-ES_tradnl"/>
        </w:rPr>
        <w:t>, se turnó a través del</w:t>
      </w:r>
      <w:r w:rsidRPr="00DB53F9">
        <w:rPr>
          <w:rFonts w:ascii="Palatino Linotype" w:eastAsia="Arial Unicode MS" w:hAnsi="Palatino Linotype" w:cs="Arial"/>
          <w:lang w:val="es-ES_tradnl"/>
        </w:rPr>
        <w:t xml:space="preserve"> </w:t>
      </w:r>
      <w:r w:rsidRPr="00DB53F9">
        <w:rPr>
          <w:rFonts w:ascii="Palatino Linotype" w:eastAsia="Arial Unicode MS" w:hAnsi="Palatino Linotype" w:cs="Arial"/>
          <w:b/>
          <w:lang w:val="es-ES_tradnl"/>
        </w:rPr>
        <w:t>SAIMEX</w:t>
      </w:r>
      <w:r w:rsidRPr="00DB53F9">
        <w:rPr>
          <w:rFonts w:ascii="Palatino Linotype" w:hAnsi="Palatino Linotype"/>
        </w:rPr>
        <w:t xml:space="preserve"> al </w:t>
      </w:r>
      <w:r w:rsidRPr="00DB53F9">
        <w:rPr>
          <w:rFonts w:ascii="Palatino Linotype" w:hAnsi="Palatino Linotype" w:cs="Arial"/>
          <w:lang w:val="es-ES_tradnl"/>
        </w:rPr>
        <w:t xml:space="preserve">Comisionado Presidente </w:t>
      </w:r>
      <w:r w:rsidRPr="00DB53F9">
        <w:rPr>
          <w:rFonts w:ascii="Palatino Linotype" w:hAnsi="Palatino Linotype" w:cs="Arial"/>
          <w:b/>
          <w:lang w:val="es-ES_tradnl"/>
        </w:rPr>
        <w:t xml:space="preserve">JOSÉ MARTÍNEZ VILCHIS, </w:t>
      </w:r>
      <w:r w:rsidRPr="00DB53F9">
        <w:rPr>
          <w:rFonts w:ascii="Palatino Linotype" w:hAnsi="Palatino Linotype" w:cs="Arial"/>
          <w:lang w:val="es-ES_tradnl"/>
        </w:rPr>
        <w:t>a efecto de que decretara su admisión o desechamiento.</w:t>
      </w:r>
    </w:p>
    <w:p w:rsidR="00071DB1" w:rsidRPr="00DB53F9" w:rsidRDefault="00071DB1" w:rsidP="00071DB1">
      <w:pPr>
        <w:spacing w:line="360" w:lineRule="auto"/>
        <w:ind w:right="49"/>
        <w:jc w:val="both"/>
        <w:rPr>
          <w:rFonts w:ascii="Palatino Linotype" w:hAnsi="Palatino Linotype" w:cs="Arial"/>
          <w:lang w:val="es-ES_tradnl"/>
        </w:rPr>
      </w:pPr>
    </w:p>
    <w:p w:rsidR="00071DB1" w:rsidRPr="00DB53F9" w:rsidRDefault="00071DB1" w:rsidP="00071DB1">
      <w:pPr>
        <w:spacing w:line="360" w:lineRule="auto"/>
        <w:ind w:right="49"/>
        <w:jc w:val="both"/>
        <w:rPr>
          <w:rFonts w:ascii="Palatino Linotype" w:hAnsi="Palatino Linotype" w:cs="Arial"/>
        </w:rPr>
      </w:pPr>
      <w:r w:rsidRPr="00DB53F9">
        <w:rPr>
          <w:rFonts w:ascii="Palatino Linotype" w:hAnsi="Palatino Linotype" w:cs="Arial"/>
          <w:b/>
          <w:lang w:val="es-ES_tradnl"/>
        </w:rPr>
        <w:t xml:space="preserve">QUINTO. </w:t>
      </w:r>
      <w:r w:rsidRPr="00DB53F9">
        <w:rPr>
          <w:rFonts w:ascii="Palatino Linotype" w:hAnsi="Palatino Linotype" w:cs="Arial"/>
          <w:lang w:val="es-ES_tradnl"/>
        </w:rPr>
        <w:t>E</w:t>
      </w:r>
      <w:r w:rsidRPr="00DB53F9">
        <w:rPr>
          <w:rFonts w:ascii="Palatino Linotype" w:hAnsi="Palatino Linotype" w:cs="Arial"/>
        </w:rPr>
        <w:t xml:space="preserve">n fecha </w:t>
      </w:r>
      <w:r w:rsidRPr="00DB53F9">
        <w:rPr>
          <w:rFonts w:ascii="Palatino Linotype" w:hAnsi="Palatino Linotype" w:cs="Arial"/>
          <w:b/>
          <w:lang w:val="es-419"/>
        </w:rPr>
        <w:t xml:space="preserve">siete </w:t>
      </w:r>
      <w:r w:rsidRPr="00DB53F9">
        <w:rPr>
          <w:rFonts w:ascii="Palatino Linotype" w:hAnsi="Palatino Linotype" w:cs="Arial"/>
          <w:b/>
        </w:rPr>
        <w:t xml:space="preserve">de </w:t>
      </w:r>
      <w:r w:rsidRPr="00DB53F9">
        <w:rPr>
          <w:rFonts w:ascii="Palatino Linotype" w:hAnsi="Palatino Linotype" w:cs="Arial"/>
          <w:b/>
          <w:lang w:val="es-419"/>
        </w:rPr>
        <w:t>febrero</w:t>
      </w:r>
      <w:r w:rsidRPr="00DB53F9">
        <w:rPr>
          <w:rFonts w:ascii="Palatino Linotype" w:hAnsi="Palatino Linotype" w:cs="Arial"/>
          <w:b/>
        </w:rPr>
        <w:t xml:space="preserve"> de dos mil </w:t>
      </w:r>
      <w:r w:rsidRPr="00DB53F9">
        <w:rPr>
          <w:rFonts w:ascii="Palatino Linotype" w:hAnsi="Palatino Linotype" w:cs="Arial"/>
          <w:b/>
          <w:lang w:val="es-419"/>
        </w:rPr>
        <w:t>veintitrés</w:t>
      </w:r>
      <w:r w:rsidRPr="00DB53F9">
        <w:rPr>
          <w:rFonts w:ascii="Palatino Linotype" w:hAnsi="Palatino Linotype" w:cs="Arial"/>
        </w:rPr>
        <w:t xml:space="preserve">, atento a lo dispuesto en el </w:t>
      </w:r>
      <w:r w:rsidRPr="00DB53F9">
        <w:rPr>
          <w:rFonts w:ascii="Palatino Linotype" w:hAnsi="Palatino Linotype" w:cs="Arial"/>
          <w:lang w:val="es-ES_tradnl"/>
        </w:rPr>
        <w:t>artículo</w:t>
      </w:r>
      <w:r w:rsidRPr="00DB53F9">
        <w:rPr>
          <w:rFonts w:ascii="Palatino Linotype" w:hAnsi="Palatino Linotype" w:cs="Arial"/>
        </w:rPr>
        <w:t xml:space="preserve"> 185 fracciones I, II y IV </w:t>
      </w:r>
      <w:r w:rsidRPr="00DB53F9">
        <w:rPr>
          <w:rFonts w:ascii="Palatino Linotype" w:hAnsi="Palatino Linotype" w:cs="Arial"/>
          <w:lang w:val="es-ES_tradnl"/>
        </w:rPr>
        <w:t xml:space="preserve">de la </w:t>
      </w:r>
      <w:r w:rsidRPr="00DB53F9">
        <w:rPr>
          <w:rFonts w:ascii="Palatino Linotype" w:hAnsi="Palatino Linotype"/>
        </w:rPr>
        <w:t xml:space="preserve">Ley de Transparencia y Acceso a la Información Pública del Estado de México y Municipios, </w:t>
      </w:r>
      <w:r w:rsidRPr="00DB53F9">
        <w:rPr>
          <w:rFonts w:ascii="Palatino Linotype" w:hAnsi="Palatino Linotype"/>
          <w:b/>
        </w:rPr>
        <w:t>se a</w:t>
      </w:r>
      <w:r w:rsidRPr="00DB53F9">
        <w:rPr>
          <w:rFonts w:ascii="Palatino Linotype" w:hAnsi="Palatino Linotype" w:cs="Arial"/>
          <w:b/>
        </w:rPr>
        <w:t>cordó la admisión</w:t>
      </w:r>
      <w:r w:rsidRPr="00DB53F9">
        <w:rPr>
          <w:rFonts w:ascii="Palatino Linotype" w:hAnsi="Palatino Linotype" w:cs="Arial"/>
        </w:rPr>
        <w:t xml:space="preserve"> a trámite del referido recurso de revisión, así como la integración del expediente respectivo, que se pus</w:t>
      </w:r>
      <w:r w:rsidRPr="00DB53F9">
        <w:rPr>
          <w:rFonts w:ascii="Palatino Linotype" w:hAnsi="Palatino Linotype" w:cs="Arial"/>
          <w:lang w:val="es-419"/>
        </w:rPr>
        <w:t>o</w:t>
      </w:r>
      <w:r w:rsidRPr="00DB53F9">
        <w:rPr>
          <w:rFonts w:ascii="Palatino Linotype" w:hAnsi="Palatino Linotype" w:cs="Arial"/>
        </w:rPr>
        <w:t xml:space="preserve"> a disposición de las partes, para que en un plazo máximo de siete días hábiles, realizarán manifestaciones y ofrecieran las pruebas y alegatos que a su derecho conviniera o exhibiera el informe justificado, según fuera el caso.</w:t>
      </w:r>
    </w:p>
    <w:p w:rsidR="00071DB1" w:rsidRPr="00DB53F9" w:rsidRDefault="00071DB1" w:rsidP="00071DB1">
      <w:pPr>
        <w:spacing w:line="360" w:lineRule="auto"/>
        <w:ind w:right="49"/>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cs="Arial"/>
          <w:lang w:val="es-419"/>
        </w:rPr>
      </w:pPr>
      <w:r w:rsidRPr="00DB53F9">
        <w:rPr>
          <w:rFonts w:ascii="Palatino Linotype" w:hAnsi="Palatino Linotype" w:cs="Arial"/>
          <w:b/>
          <w:lang w:val="es-ES_tradnl"/>
        </w:rPr>
        <w:t>SEXTO</w:t>
      </w:r>
      <w:r w:rsidRPr="00DB53F9">
        <w:rPr>
          <w:rFonts w:ascii="Palatino Linotype" w:hAnsi="Palatino Linotype" w:cs="Arial"/>
          <w:b/>
        </w:rPr>
        <w:t xml:space="preserve">. </w:t>
      </w:r>
      <w:r w:rsidRPr="00DB53F9">
        <w:rPr>
          <w:rFonts w:ascii="Palatino Linotype" w:hAnsi="Palatino Linotype" w:cs="Arial"/>
        </w:rPr>
        <w:t xml:space="preserve">Una vez abierta la etapa de instrucción, se advierte que el </w:t>
      </w:r>
      <w:r w:rsidRPr="00DB53F9">
        <w:rPr>
          <w:rFonts w:ascii="Palatino Linotype" w:hAnsi="Palatino Linotype" w:cs="Arial"/>
          <w:b/>
        </w:rPr>
        <w:t>Sujeto Obligado</w:t>
      </w:r>
      <w:r w:rsidRPr="00DB53F9">
        <w:rPr>
          <w:rFonts w:ascii="Palatino Linotype" w:hAnsi="Palatino Linotype" w:cs="Arial"/>
        </w:rPr>
        <w:t xml:space="preserve"> </w:t>
      </w:r>
      <w:r w:rsidR="00697144" w:rsidRPr="00DB53F9">
        <w:rPr>
          <w:rFonts w:ascii="Palatino Linotype" w:hAnsi="Palatino Linotype" w:cs="Arial"/>
        </w:rPr>
        <w:t>remitió información</w:t>
      </w:r>
      <w:r w:rsidRPr="00DB53F9">
        <w:rPr>
          <w:rFonts w:ascii="Palatino Linotype" w:hAnsi="Palatino Linotype" w:cs="Arial"/>
        </w:rPr>
        <w:t xml:space="preserve">, </w:t>
      </w:r>
      <w:r w:rsidR="00697144" w:rsidRPr="00DB53F9">
        <w:rPr>
          <w:rFonts w:ascii="Palatino Linotype" w:hAnsi="Palatino Linotype" w:cs="Arial"/>
        </w:rPr>
        <w:t>la cual se puso a la vista del recurrente de forma parcial, pues un archivo electrónico contenía datos susceptibles de clasificarse</w:t>
      </w:r>
      <w:r w:rsidRPr="00DB53F9">
        <w:rPr>
          <w:rFonts w:ascii="Palatino Linotype" w:hAnsi="Palatino Linotype" w:cs="Arial"/>
        </w:rPr>
        <w:t xml:space="preserve">. En lo que corresponde a la Recurrente, </w:t>
      </w:r>
      <w:r w:rsidRPr="00DB53F9">
        <w:rPr>
          <w:rFonts w:ascii="Palatino Linotype" w:hAnsi="Palatino Linotype" w:cs="Arial"/>
          <w:lang w:val="es-419"/>
        </w:rPr>
        <w:t>no realizó manifestaciones que a su derecho convinieran; asimismo</w:t>
      </w:r>
      <w:r w:rsidRPr="00DB53F9">
        <w:rPr>
          <w:rFonts w:ascii="Palatino Linotype" w:hAnsi="Palatino Linotype" w:cs="Arial"/>
        </w:rPr>
        <w:t>, se aprecia que no se llevaron a cabo audiencias durante la sustanciación de los recursos de revisión, lo anterior en términos de los artículos 185 fracciones II y IV, y 195 de la Ley de Transparencia y Acceso a la Información Pública del Estado de México y Municipios, por lo que se decretó</w:t>
      </w:r>
      <w:r w:rsidRPr="00DB53F9">
        <w:rPr>
          <w:rFonts w:ascii="Palatino Linotype" w:hAnsi="Palatino Linotype" w:cs="Arial"/>
          <w:lang w:val="es-419"/>
        </w:rPr>
        <w:t xml:space="preserve"> el cierre de instrucción en fecha </w:t>
      </w:r>
      <w:r w:rsidR="00697144" w:rsidRPr="00DB53F9">
        <w:rPr>
          <w:rFonts w:ascii="Palatino Linotype" w:hAnsi="Palatino Linotype" w:cs="Arial"/>
          <w:b/>
          <w:lang w:val="es-419"/>
        </w:rPr>
        <w:t>veintisiete</w:t>
      </w:r>
      <w:r w:rsidRPr="00DB53F9">
        <w:rPr>
          <w:rFonts w:ascii="Palatino Linotype" w:hAnsi="Palatino Linotype" w:cs="Arial"/>
          <w:b/>
          <w:lang w:val="es-419"/>
        </w:rPr>
        <w:t xml:space="preserve"> de febrero de dos mil veintitrés</w:t>
      </w:r>
      <w:r w:rsidRPr="00DB53F9">
        <w:rPr>
          <w:rFonts w:ascii="Palatino Linotype" w:hAnsi="Palatino Linotype" w:cs="Arial"/>
          <w:lang w:val="es-419"/>
        </w:rPr>
        <w:t>.</w:t>
      </w:r>
    </w:p>
    <w:p w:rsidR="00071DB1" w:rsidRPr="00DB53F9" w:rsidRDefault="00071DB1" w:rsidP="00071DB1">
      <w:pPr>
        <w:spacing w:line="360" w:lineRule="auto"/>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lang w:val="es-419"/>
        </w:rPr>
        <w:t>SÉPTIMO</w:t>
      </w:r>
      <w:r w:rsidRPr="00DB53F9">
        <w:rPr>
          <w:rFonts w:ascii="Palatino Linotype" w:hAnsi="Palatino Linotype" w:cs="Arial"/>
          <w:b/>
        </w:rPr>
        <w:t xml:space="preserve">. </w:t>
      </w:r>
      <w:r w:rsidRPr="00DB53F9">
        <w:rPr>
          <w:rFonts w:ascii="Palatino Linotype" w:hAnsi="Palatino Linotype" w:cs="Arial"/>
        </w:rPr>
        <w:t xml:space="preserve">En fecha </w:t>
      </w:r>
      <w:r w:rsidR="00697144" w:rsidRPr="00DB53F9">
        <w:rPr>
          <w:rFonts w:ascii="Palatino Linotype" w:hAnsi="Palatino Linotype" w:cs="Arial"/>
          <w:b/>
          <w:lang w:val="es-419"/>
        </w:rPr>
        <w:t>veintiuno</w:t>
      </w:r>
      <w:r w:rsidRPr="00DB53F9">
        <w:rPr>
          <w:rFonts w:ascii="Palatino Linotype" w:hAnsi="Palatino Linotype" w:cs="Arial"/>
          <w:b/>
        </w:rPr>
        <w:t xml:space="preserve"> de </w:t>
      </w:r>
      <w:r w:rsidR="00A3490F" w:rsidRPr="00DB53F9">
        <w:rPr>
          <w:rFonts w:ascii="Palatino Linotype" w:hAnsi="Palatino Linotype" w:cs="Arial"/>
          <w:b/>
          <w:lang w:val="es-419"/>
        </w:rPr>
        <w:t>marzo</w:t>
      </w:r>
      <w:r w:rsidRPr="00DB53F9">
        <w:rPr>
          <w:rFonts w:ascii="Palatino Linotype" w:hAnsi="Palatino Linotype" w:cs="Arial"/>
          <w:b/>
        </w:rPr>
        <w:t xml:space="preserve"> de dos mil </w:t>
      </w:r>
      <w:r w:rsidR="00A3490F" w:rsidRPr="00DB53F9">
        <w:rPr>
          <w:rFonts w:ascii="Palatino Linotype" w:hAnsi="Palatino Linotype" w:cs="Arial"/>
          <w:b/>
          <w:lang w:val="es-419"/>
        </w:rPr>
        <w:t>veintitrés</w:t>
      </w:r>
      <w:r w:rsidRPr="00DB53F9">
        <w:rPr>
          <w:rFonts w:ascii="Palatino Linotype" w:hAnsi="Palatino Linotype" w:cs="Arial"/>
        </w:rPr>
        <w:t xml:space="preserve"> se notificó a la parte recurrente la Resolución del Pleno de este Instituto en la cual se le ordenó entregar lo siguiente:</w:t>
      </w:r>
    </w:p>
    <w:p w:rsidR="00071DB1" w:rsidRPr="00DB53F9" w:rsidRDefault="00071DB1" w:rsidP="00071DB1">
      <w:pPr>
        <w:spacing w:line="360" w:lineRule="auto"/>
        <w:jc w:val="both"/>
        <w:rPr>
          <w:rFonts w:ascii="Palatino Linotype" w:hAnsi="Palatino Linotype" w:cs="Arial"/>
        </w:rPr>
      </w:pP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 xml:space="preserve">“PRIMERO. Resultan fundadas las razones o motivos de inconformidad hechos valer por EL RECURRENTE, en términos del Considerando QUINTO de la presente resolución. </w:t>
      </w:r>
    </w:p>
    <w:p w:rsidR="00697144" w:rsidRPr="00DB53F9" w:rsidRDefault="00697144" w:rsidP="00697144">
      <w:pPr>
        <w:spacing w:line="360" w:lineRule="auto"/>
        <w:ind w:left="567" w:right="567"/>
        <w:jc w:val="both"/>
        <w:rPr>
          <w:rFonts w:ascii="Palatino Linotype" w:hAnsi="Palatino Linotype" w:cs="Arial"/>
          <w:i/>
          <w:lang w:val="es-419"/>
        </w:rPr>
      </w:pPr>
    </w:p>
    <w:p w:rsidR="00071DB1"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SEGUNDO. Se ORDENA al Sujeto Obligado, atienda la solicitud de información número 01443/ZINACANT/IP/2022, en términos del Considerando QUINTO de esta resolución, vía Sistema de Acceso a la Información Mexiquense (SAIMEX), en versión pública de ser procedente, de lo siguiente:</w:t>
      </w:r>
    </w:p>
    <w:p w:rsidR="00697144" w:rsidRPr="00DB53F9" w:rsidRDefault="00697144" w:rsidP="00697144">
      <w:pPr>
        <w:spacing w:line="360" w:lineRule="auto"/>
        <w:ind w:left="567" w:right="567"/>
        <w:jc w:val="both"/>
        <w:rPr>
          <w:rFonts w:ascii="Palatino Linotype" w:hAnsi="Palatino Linotype" w:cs="Arial"/>
          <w:i/>
          <w:lang w:val="es-419"/>
        </w:rPr>
      </w:pP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 xml:space="preserve">A.- De las obras de la fuente de la plaza cívica se requiere: </w:t>
      </w: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 xml:space="preserve">1. Las facturas de pago, </w:t>
      </w: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2. Los planos del diseño,</w:t>
      </w: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 xml:space="preserve">3. Las requisiciones, </w:t>
      </w: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 xml:space="preserve">4. El monto total del costo y </w:t>
      </w: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5. Los documentos de la participación de la licitación de obra pública.</w:t>
      </w:r>
    </w:p>
    <w:p w:rsidR="00697144" w:rsidRPr="00DB53F9" w:rsidRDefault="00697144" w:rsidP="00697144">
      <w:pPr>
        <w:spacing w:line="360" w:lineRule="auto"/>
        <w:ind w:left="567" w:right="567"/>
        <w:jc w:val="both"/>
        <w:rPr>
          <w:rFonts w:ascii="Palatino Linotype" w:hAnsi="Palatino Linotype" w:cs="Arial"/>
          <w:i/>
          <w:lang w:val="es-419"/>
        </w:rPr>
      </w:pPr>
    </w:p>
    <w:p w:rsidR="00697144" w:rsidRPr="00DB53F9" w:rsidRDefault="00697144" w:rsidP="00697144">
      <w:pPr>
        <w:spacing w:line="360" w:lineRule="auto"/>
        <w:ind w:left="567" w:right="567"/>
        <w:jc w:val="both"/>
        <w:rPr>
          <w:rFonts w:ascii="Palatino Linotype" w:hAnsi="Palatino Linotype" w:cs="Arial"/>
          <w:i/>
          <w:lang w:val="es-419"/>
        </w:rPr>
      </w:pPr>
      <w:r w:rsidRPr="00DB53F9">
        <w:rPr>
          <w:rFonts w:ascii="Palatino Linotype" w:hAnsi="Palatino Linotype" w:cs="Arial"/>
          <w:i/>
          <w:lang w:val="es-419"/>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697144" w:rsidRPr="00DB53F9" w:rsidRDefault="00697144" w:rsidP="00071DB1">
      <w:pPr>
        <w:spacing w:line="360" w:lineRule="auto"/>
        <w:jc w:val="both"/>
        <w:rPr>
          <w:rFonts w:ascii="Palatino Linotype" w:hAnsi="Palatino Linotype" w:cs="Arial"/>
        </w:rPr>
      </w:pPr>
    </w:p>
    <w:p w:rsidR="00071DB1" w:rsidRPr="00DB53F9" w:rsidRDefault="00B26FA7" w:rsidP="00071DB1">
      <w:pPr>
        <w:spacing w:line="360" w:lineRule="auto"/>
        <w:jc w:val="both"/>
        <w:rPr>
          <w:rFonts w:ascii="Palatino Linotype" w:hAnsi="Palatino Linotype"/>
          <w:lang w:val="es-419"/>
        </w:rPr>
      </w:pPr>
      <w:r w:rsidRPr="00DB53F9">
        <w:rPr>
          <w:rFonts w:ascii="Palatino Linotype" w:hAnsi="Palatino Linotype"/>
          <w:b/>
          <w:lang w:val="es-419"/>
        </w:rPr>
        <w:lastRenderedPageBreak/>
        <w:t>OCTAVO</w:t>
      </w:r>
      <w:r w:rsidR="00071DB1" w:rsidRPr="00DB53F9">
        <w:rPr>
          <w:rFonts w:ascii="Palatino Linotype" w:hAnsi="Palatino Linotype"/>
          <w:b/>
        </w:rPr>
        <w:t xml:space="preserve">. </w:t>
      </w:r>
      <w:r w:rsidR="00071DB1" w:rsidRPr="00DB53F9">
        <w:rPr>
          <w:rFonts w:ascii="Palatino Linotype" w:hAnsi="Palatino Linotype"/>
        </w:rPr>
        <w:t xml:space="preserve">En fecha </w:t>
      </w:r>
      <w:r w:rsidR="00697144" w:rsidRPr="00DB53F9">
        <w:rPr>
          <w:rFonts w:ascii="Palatino Linotype" w:hAnsi="Palatino Linotype"/>
          <w:b/>
          <w:lang w:val="es-419"/>
        </w:rPr>
        <w:t>doce</w:t>
      </w:r>
      <w:r w:rsidR="00071DB1" w:rsidRPr="00DB53F9">
        <w:rPr>
          <w:rFonts w:ascii="Palatino Linotype" w:hAnsi="Palatino Linotype"/>
          <w:b/>
        </w:rPr>
        <w:t xml:space="preserve"> de </w:t>
      </w:r>
      <w:r w:rsidR="00697144" w:rsidRPr="00DB53F9">
        <w:rPr>
          <w:rFonts w:ascii="Palatino Linotype" w:hAnsi="Palatino Linotype"/>
          <w:b/>
          <w:lang w:val="es-419"/>
        </w:rPr>
        <w:t>abril</w:t>
      </w:r>
      <w:r w:rsidR="00071DB1" w:rsidRPr="00DB53F9">
        <w:rPr>
          <w:rFonts w:ascii="Palatino Linotype" w:hAnsi="Palatino Linotype"/>
          <w:b/>
        </w:rPr>
        <w:t xml:space="preserve"> de dos mil </w:t>
      </w:r>
      <w:r w:rsidRPr="00DB53F9">
        <w:rPr>
          <w:rFonts w:ascii="Palatino Linotype" w:hAnsi="Palatino Linotype"/>
          <w:b/>
          <w:lang w:val="es-419"/>
        </w:rPr>
        <w:t xml:space="preserve">veintitrés </w:t>
      </w:r>
      <w:r w:rsidR="00071DB1" w:rsidRPr="00DB53F9">
        <w:rPr>
          <w:rFonts w:ascii="Palatino Linotype" w:hAnsi="Palatino Linotype"/>
        </w:rPr>
        <w:t>se emitió Acuerdo de Incumplimiento ya que</w:t>
      </w:r>
      <w:r w:rsidRPr="00DB53F9">
        <w:rPr>
          <w:rFonts w:ascii="Palatino Linotype" w:hAnsi="Palatino Linotype"/>
          <w:lang w:val="es-419"/>
        </w:rPr>
        <w:t xml:space="preserve"> el sujeto obligado</w:t>
      </w:r>
      <w:r w:rsidR="00071DB1" w:rsidRPr="00DB53F9">
        <w:rPr>
          <w:rFonts w:ascii="Palatino Linotype" w:hAnsi="Palatino Linotype"/>
          <w:lang w:val="es-419"/>
        </w:rPr>
        <w:t xml:space="preserve"> </w:t>
      </w:r>
      <w:r w:rsidR="00746AE8" w:rsidRPr="00DB53F9">
        <w:rPr>
          <w:rFonts w:ascii="Palatino Linotype" w:hAnsi="Palatino Linotype"/>
          <w:lang w:val="es-419"/>
        </w:rPr>
        <w:t>omitió</w:t>
      </w:r>
      <w:r w:rsidR="00071DB1" w:rsidRPr="00DB53F9">
        <w:rPr>
          <w:rFonts w:ascii="Palatino Linotype" w:hAnsi="Palatino Linotype"/>
          <w:lang w:val="es-419"/>
        </w:rPr>
        <w:t xml:space="preserve"> </w:t>
      </w:r>
      <w:r w:rsidR="00746AE8" w:rsidRPr="00DB53F9">
        <w:rPr>
          <w:rFonts w:ascii="Palatino Linotype" w:hAnsi="Palatino Linotype"/>
          <w:lang w:val="es-419"/>
        </w:rPr>
        <w:t>atender</w:t>
      </w:r>
      <w:r w:rsidRPr="00DB53F9">
        <w:rPr>
          <w:rFonts w:ascii="Palatino Linotype" w:hAnsi="Palatino Linotype"/>
          <w:lang w:val="es-419"/>
        </w:rPr>
        <w:t xml:space="preserve"> la resolución del Pleno y por consiguiente la solicitud de </w:t>
      </w:r>
      <w:r w:rsidR="00661751" w:rsidRPr="00DB53F9">
        <w:rPr>
          <w:rFonts w:ascii="Palatino Linotype" w:hAnsi="Palatino Linotype"/>
          <w:lang w:val="es-419"/>
        </w:rPr>
        <w:t>información</w:t>
      </w:r>
      <w:r w:rsidRPr="00DB53F9">
        <w:rPr>
          <w:rFonts w:ascii="Palatino Linotype" w:hAnsi="Palatino Linotype"/>
          <w:lang w:val="es-419"/>
        </w:rPr>
        <w:t xml:space="preserve"> </w:t>
      </w:r>
      <w:r w:rsidR="00661751" w:rsidRPr="00DB53F9">
        <w:rPr>
          <w:rFonts w:ascii="Palatino Linotype" w:hAnsi="Palatino Linotype"/>
          <w:lang w:val="es-419"/>
        </w:rPr>
        <w:t>0144</w:t>
      </w:r>
      <w:r w:rsidR="00697144" w:rsidRPr="00DB53F9">
        <w:rPr>
          <w:rFonts w:ascii="Palatino Linotype" w:hAnsi="Palatino Linotype"/>
          <w:lang w:val="es-419"/>
        </w:rPr>
        <w:t>3</w:t>
      </w:r>
      <w:r w:rsidR="00661751" w:rsidRPr="00DB53F9">
        <w:rPr>
          <w:rFonts w:ascii="Palatino Linotype" w:hAnsi="Palatino Linotype"/>
          <w:lang w:val="es-419"/>
        </w:rPr>
        <w:t>/ZINACANT/IP/2022.</w:t>
      </w:r>
    </w:p>
    <w:p w:rsidR="00071DB1" w:rsidRPr="00DB53F9" w:rsidRDefault="00071DB1" w:rsidP="00071DB1">
      <w:pPr>
        <w:spacing w:line="360" w:lineRule="auto"/>
        <w:jc w:val="both"/>
        <w:rPr>
          <w:rFonts w:ascii="Palatino Linotype" w:hAnsi="Palatino Linotype"/>
        </w:rPr>
      </w:pPr>
    </w:p>
    <w:p w:rsidR="00071DB1" w:rsidRPr="00DB53F9" w:rsidRDefault="00B26FA7" w:rsidP="00071DB1">
      <w:pPr>
        <w:spacing w:line="360" w:lineRule="auto"/>
        <w:jc w:val="both"/>
        <w:rPr>
          <w:rFonts w:ascii="Palatino Linotype" w:hAnsi="Palatino Linotype" w:cs="Arial"/>
          <w:bCs/>
        </w:rPr>
      </w:pPr>
      <w:r w:rsidRPr="00DB53F9">
        <w:rPr>
          <w:rFonts w:ascii="Palatino Linotype" w:hAnsi="Palatino Linotype" w:cs="Arial"/>
          <w:b/>
          <w:lang w:val="es-419"/>
        </w:rPr>
        <w:t>NOVENO</w:t>
      </w:r>
      <w:r w:rsidR="00071DB1" w:rsidRPr="00DB53F9">
        <w:rPr>
          <w:rFonts w:ascii="Palatino Linotype" w:hAnsi="Palatino Linotype" w:cs="Arial"/>
          <w:b/>
        </w:rPr>
        <w:t xml:space="preserve">. </w:t>
      </w:r>
      <w:r w:rsidR="00071DB1" w:rsidRPr="00DB53F9">
        <w:rPr>
          <w:rFonts w:ascii="Palatino Linotype" w:hAnsi="Palatino Linotype" w:cs="Arial"/>
        </w:rPr>
        <w:t xml:space="preserve">Posteriormente en fecha </w:t>
      </w:r>
      <w:r w:rsidR="00697144" w:rsidRPr="00DB53F9">
        <w:rPr>
          <w:rFonts w:ascii="Palatino Linotype" w:hAnsi="Palatino Linotype" w:cs="Arial"/>
          <w:b/>
        </w:rPr>
        <w:t>diecinueve</w:t>
      </w:r>
      <w:r w:rsidR="00071DB1" w:rsidRPr="00DB53F9">
        <w:rPr>
          <w:rFonts w:ascii="Palatino Linotype" w:hAnsi="Palatino Linotype" w:cs="Arial"/>
          <w:b/>
        </w:rPr>
        <w:t xml:space="preserve"> de </w:t>
      </w:r>
      <w:r w:rsidR="008D6D72" w:rsidRPr="00DB53F9">
        <w:rPr>
          <w:rFonts w:ascii="Palatino Linotype" w:hAnsi="Palatino Linotype" w:cs="Arial"/>
          <w:b/>
          <w:lang w:val="es-419"/>
        </w:rPr>
        <w:t>abril</w:t>
      </w:r>
      <w:r w:rsidR="00071DB1" w:rsidRPr="00DB53F9">
        <w:rPr>
          <w:rFonts w:ascii="Palatino Linotype" w:hAnsi="Palatino Linotype" w:cs="Arial"/>
          <w:b/>
        </w:rPr>
        <w:t xml:space="preserve"> de dos mil veintitrés</w:t>
      </w:r>
      <w:r w:rsidR="00071DB1" w:rsidRPr="00DB53F9">
        <w:rPr>
          <w:rFonts w:ascii="Palatino Linotype" w:hAnsi="Palatino Linotype" w:cs="Arial"/>
        </w:rPr>
        <w:t xml:space="preserve"> la parte recurrente interpuso segundo recurso de revisión al que le recayó el número </w:t>
      </w:r>
      <w:r w:rsidR="008D6D72" w:rsidRPr="00DB53F9">
        <w:rPr>
          <w:rFonts w:ascii="Palatino Linotype" w:hAnsi="Palatino Linotype" w:cs="Arial"/>
          <w:b/>
          <w:bCs/>
          <w:lang w:val="es-419"/>
        </w:rPr>
        <w:t>005</w:t>
      </w:r>
      <w:r w:rsidR="00697144" w:rsidRPr="00DB53F9">
        <w:rPr>
          <w:rFonts w:ascii="Palatino Linotype" w:hAnsi="Palatino Linotype" w:cs="Arial"/>
          <w:b/>
          <w:bCs/>
          <w:lang w:val="es-419"/>
        </w:rPr>
        <w:t>20</w:t>
      </w:r>
      <w:r w:rsidR="00071DB1" w:rsidRPr="00DB53F9">
        <w:rPr>
          <w:rFonts w:ascii="Palatino Linotype" w:hAnsi="Palatino Linotype" w:cs="Arial"/>
          <w:b/>
          <w:bCs/>
        </w:rPr>
        <w:t>/INFOEM/ICR-</w:t>
      </w:r>
      <w:r w:rsidR="00697144" w:rsidRPr="00DB53F9">
        <w:rPr>
          <w:rFonts w:ascii="Palatino Linotype" w:hAnsi="Palatino Linotype" w:cs="Arial"/>
          <w:b/>
          <w:bCs/>
          <w:lang w:val="es-419"/>
        </w:rPr>
        <w:t>208</w:t>
      </w:r>
      <w:r w:rsidR="00071DB1" w:rsidRPr="00DB53F9">
        <w:rPr>
          <w:rFonts w:ascii="Palatino Linotype" w:hAnsi="Palatino Linotype" w:cs="Arial"/>
          <w:b/>
          <w:bCs/>
        </w:rPr>
        <w:t>/IP/RR/202</w:t>
      </w:r>
      <w:r w:rsidR="00697144" w:rsidRPr="00DB53F9">
        <w:rPr>
          <w:rFonts w:ascii="Palatino Linotype" w:hAnsi="Palatino Linotype" w:cs="Arial"/>
          <w:b/>
          <w:bCs/>
        </w:rPr>
        <w:t>3</w:t>
      </w:r>
      <w:r w:rsidR="00071DB1" w:rsidRPr="00DB53F9">
        <w:rPr>
          <w:rFonts w:ascii="Palatino Linotype" w:hAnsi="Palatino Linotype" w:cs="Arial"/>
          <w:bCs/>
        </w:rPr>
        <w:t>, aduciendo lo siguiente:</w:t>
      </w:r>
    </w:p>
    <w:p w:rsidR="00071DB1" w:rsidRPr="00DB53F9" w:rsidRDefault="00071DB1" w:rsidP="00071DB1">
      <w:pPr>
        <w:spacing w:line="360" w:lineRule="auto"/>
        <w:jc w:val="both"/>
        <w:rPr>
          <w:rFonts w:ascii="Palatino Linotype" w:hAnsi="Palatino Linotype" w:cs="Arial"/>
          <w:bCs/>
        </w:rPr>
      </w:pPr>
    </w:p>
    <w:p w:rsidR="00071DB1" w:rsidRPr="00DB53F9" w:rsidRDefault="00071DB1" w:rsidP="00071DB1">
      <w:pPr>
        <w:spacing w:line="360" w:lineRule="auto"/>
        <w:jc w:val="both"/>
        <w:rPr>
          <w:rFonts w:ascii="Palatino Linotype" w:hAnsi="Palatino Linotype" w:cs="Arial"/>
          <w:b/>
          <w:bCs/>
        </w:rPr>
      </w:pPr>
      <w:r w:rsidRPr="00DB53F9">
        <w:rPr>
          <w:rFonts w:ascii="Palatino Linotype" w:hAnsi="Palatino Linotype" w:cs="Arial"/>
          <w:b/>
          <w:bCs/>
        </w:rPr>
        <w:t>Acto impugnado:</w:t>
      </w:r>
    </w:p>
    <w:p w:rsidR="00071DB1" w:rsidRPr="00DB53F9" w:rsidRDefault="00071DB1" w:rsidP="00071DB1">
      <w:pPr>
        <w:spacing w:line="360" w:lineRule="auto"/>
        <w:ind w:left="851" w:right="851"/>
        <w:jc w:val="both"/>
        <w:rPr>
          <w:rFonts w:ascii="Palatino Linotype" w:hAnsi="Palatino Linotype" w:cs="Arial"/>
          <w:i/>
        </w:rPr>
      </w:pPr>
      <w:r w:rsidRPr="00DB53F9">
        <w:rPr>
          <w:rFonts w:ascii="Palatino Linotype" w:hAnsi="Palatino Linotype" w:cs="Arial"/>
          <w:i/>
        </w:rPr>
        <w:t>“</w:t>
      </w:r>
      <w:r w:rsidR="008D6D72" w:rsidRPr="00DB53F9">
        <w:rPr>
          <w:rFonts w:ascii="Palatino Linotype" w:hAnsi="Palatino Linotype" w:cs="Arial"/>
          <w:i/>
        </w:rPr>
        <w:t>NO ENTREG</w:t>
      </w:r>
      <w:r w:rsidR="00697144" w:rsidRPr="00DB53F9">
        <w:rPr>
          <w:rFonts w:ascii="Palatino Linotype" w:hAnsi="Palatino Linotype" w:cs="Arial"/>
          <w:i/>
        </w:rPr>
        <w:t>A</w:t>
      </w:r>
      <w:r w:rsidR="008D6D72" w:rsidRPr="00DB53F9">
        <w:rPr>
          <w:rFonts w:ascii="Palatino Linotype" w:hAnsi="Palatino Linotype" w:cs="Arial"/>
          <w:i/>
        </w:rPr>
        <w:t xml:space="preserve"> INFORMACÍON</w:t>
      </w:r>
      <w:r w:rsidRPr="00DB53F9">
        <w:rPr>
          <w:rFonts w:ascii="Palatino Linotype" w:hAnsi="Palatino Linotype" w:cs="Arial"/>
          <w:i/>
        </w:rPr>
        <w:t>.” (sic)</w:t>
      </w:r>
    </w:p>
    <w:p w:rsidR="00071DB1" w:rsidRPr="00DB53F9" w:rsidRDefault="00071DB1" w:rsidP="00071DB1">
      <w:pPr>
        <w:spacing w:line="360" w:lineRule="auto"/>
        <w:jc w:val="both"/>
        <w:rPr>
          <w:rFonts w:ascii="Palatino Linotype" w:hAnsi="Palatino Linotype" w:cs="Arial"/>
          <w:bCs/>
        </w:rPr>
      </w:pPr>
    </w:p>
    <w:p w:rsidR="00071DB1" w:rsidRPr="00DB53F9" w:rsidRDefault="00071DB1" w:rsidP="00071DB1">
      <w:pPr>
        <w:spacing w:line="360" w:lineRule="auto"/>
        <w:jc w:val="both"/>
        <w:rPr>
          <w:rFonts w:ascii="Palatino Linotype" w:hAnsi="Palatino Linotype" w:cs="Arial"/>
          <w:b/>
          <w:bCs/>
        </w:rPr>
      </w:pPr>
      <w:r w:rsidRPr="00DB53F9">
        <w:rPr>
          <w:rFonts w:ascii="Palatino Linotype" w:hAnsi="Palatino Linotype" w:cs="Arial"/>
          <w:b/>
          <w:bCs/>
        </w:rPr>
        <w:t>Razones o motivos de inconformidad:</w:t>
      </w:r>
    </w:p>
    <w:p w:rsidR="008D6D72" w:rsidRPr="00DB53F9" w:rsidRDefault="008D6D72" w:rsidP="008D6D72">
      <w:pPr>
        <w:spacing w:line="360" w:lineRule="auto"/>
        <w:ind w:left="851" w:right="851"/>
        <w:jc w:val="both"/>
        <w:rPr>
          <w:rFonts w:ascii="Palatino Linotype" w:hAnsi="Palatino Linotype" w:cs="Arial"/>
          <w:i/>
        </w:rPr>
      </w:pPr>
      <w:r w:rsidRPr="00DB53F9">
        <w:rPr>
          <w:rFonts w:ascii="Palatino Linotype" w:hAnsi="Palatino Linotype" w:cs="Arial"/>
          <w:i/>
        </w:rPr>
        <w:t>“NO ENTREG</w:t>
      </w:r>
      <w:r w:rsidR="00697144" w:rsidRPr="00DB53F9">
        <w:rPr>
          <w:rFonts w:ascii="Palatino Linotype" w:hAnsi="Palatino Linotype" w:cs="Arial"/>
          <w:i/>
        </w:rPr>
        <w:t>A</w:t>
      </w:r>
      <w:r w:rsidRPr="00DB53F9">
        <w:rPr>
          <w:rFonts w:ascii="Palatino Linotype" w:hAnsi="Palatino Linotype" w:cs="Arial"/>
          <w:i/>
        </w:rPr>
        <w:t xml:space="preserve"> INFORMACÍON.” (sic)</w:t>
      </w:r>
    </w:p>
    <w:p w:rsidR="00071DB1" w:rsidRPr="00DB53F9" w:rsidRDefault="00071DB1" w:rsidP="00071DB1">
      <w:pPr>
        <w:spacing w:line="360" w:lineRule="auto"/>
        <w:jc w:val="both"/>
        <w:rPr>
          <w:rFonts w:ascii="Palatino Linotype" w:hAnsi="Palatino Linotype" w:cs="Arial"/>
          <w:bCs/>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Cs/>
        </w:rPr>
        <w:t xml:space="preserve">Por lo que en esa misma fecha el expediente de mérito se turnó al </w:t>
      </w:r>
      <w:r w:rsidRPr="00DB53F9">
        <w:rPr>
          <w:rFonts w:ascii="Palatino Linotype" w:hAnsi="Palatino Linotype" w:cs="Arial"/>
          <w:b/>
          <w:bCs/>
        </w:rPr>
        <w:t>Comisionado Presidente José Martínez Vilchis</w:t>
      </w:r>
      <w:r w:rsidRPr="00DB53F9">
        <w:rPr>
          <w:rFonts w:ascii="Palatino Linotype" w:hAnsi="Palatino Linotype" w:cs="Arial"/>
          <w:bCs/>
        </w:rPr>
        <w:t>, a efecto de que desechara o admitiera el segundo Recurso de Revisión.</w:t>
      </w:r>
    </w:p>
    <w:p w:rsidR="00071DB1" w:rsidRPr="00DB53F9" w:rsidRDefault="00071DB1" w:rsidP="00071DB1">
      <w:pPr>
        <w:spacing w:line="360" w:lineRule="auto"/>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rPr>
        <w:t xml:space="preserve">DÉCIMO. </w:t>
      </w:r>
      <w:r w:rsidRPr="00DB53F9">
        <w:rPr>
          <w:rFonts w:ascii="Palatino Linotype" w:hAnsi="Palatino Linotype" w:cs="Arial"/>
        </w:rPr>
        <w:t xml:space="preserve">El nuevo medio de impugnación presentado mediante el sistema electrónico, en términos del arábigo 185 fracción I de la Ley de Transparencia y Acceso a la información Pública del Estado de México y Municipios, recayó </w:t>
      </w:r>
      <w:r w:rsidRPr="00DB53F9">
        <w:rPr>
          <w:rFonts w:ascii="Palatino Linotype" w:hAnsi="Palatino Linotype" w:cs="Arial"/>
          <w:b/>
        </w:rPr>
        <w:t>acuerdo de admisión</w:t>
      </w:r>
      <w:r w:rsidRPr="00DB53F9">
        <w:rPr>
          <w:rFonts w:ascii="Palatino Linotype" w:hAnsi="Palatino Linotype" w:cs="Arial"/>
        </w:rPr>
        <w:t xml:space="preserve"> en fecha </w:t>
      </w:r>
      <w:r w:rsidR="00697144" w:rsidRPr="00DB53F9">
        <w:rPr>
          <w:rFonts w:ascii="Palatino Linotype" w:hAnsi="Palatino Linotype" w:cs="Arial"/>
          <w:b/>
          <w:lang w:val="es-419"/>
        </w:rPr>
        <w:t>veintiséis</w:t>
      </w:r>
      <w:r w:rsidR="00F0606E" w:rsidRPr="00DB53F9">
        <w:rPr>
          <w:rFonts w:ascii="Palatino Linotype" w:hAnsi="Palatino Linotype" w:cs="Arial"/>
          <w:b/>
          <w:lang w:val="es-419"/>
        </w:rPr>
        <w:t xml:space="preserve"> </w:t>
      </w:r>
      <w:r w:rsidRPr="00DB53F9">
        <w:rPr>
          <w:rFonts w:ascii="Palatino Linotype" w:hAnsi="Palatino Linotype" w:cs="Arial"/>
          <w:b/>
        </w:rPr>
        <w:t xml:space="preserve">de </w:t>
      </w:r>
      <w:r w:rsidR="00F0606E" w:rsidRPr="00DB53F9">
        <w:rPr>
          <w:rFonts w:ascii="Palatino Linotype" w:hAnsi="Palatino Linotype" w:cs="Arial"/>
          <w:b/>
          <w:lang w:val="es-419"/>
        </w:rPr>
        <w:t>abril</w:t>
      </w:r>
      <w:r w:rsidRPr="00DB53F9">
        <w:rPr>
          <w:rFonts w:ascii="Palatino Linotype" w:hAnsi="Palatino Linotype" w:cs="Arial"/>
          <w:b/>
        </w:rPr>
        <w:t xml:space="preserve"> de dos mil veintitrés</w:t>
      </w:r>
      <w:r w:rsidRPr="00DB53F9">
        <w:rPr>
          <w:rFonts w:ascii="Palatino Linotype" w:hAnsi="Palatino Linotype" w:cs="Arial"/>
        </w:rPr>
        <w:t xml:space="preserve">, determinándose en él, un plazo de siete días para que las partes manifestaran lo que a su derecho corresponda en términos del numeral ya citado. </w:t>
      </w:r>
    </w:p>
    <w:p w:rsidR="00071DB1" w:rsidRPr="00DB53F9" w:rsidRDefault="00071DB1" w:rsidP="00071DB1">
      <w:pPr>
        <w:spacing w:line="360" w:lineRule="auto"/>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rPr>
        <w:t xml:space="preserve">DÉCIMO </w:t>
      </w:r>
      <w:r w:rsidR="00F0606E" w:rsidRPr="00DB53F9">
        <w:rPr>
          <w:rFonts w:ascii="Palatino Linotype" w:hAnsi="Palatino Linotype" w:cs="Arial"/>
          <w:b/>
          <w:lang w:val="es-419"/>
        </w:rPr>
        <w:t>PRIMERO</w:t>
      </w:r>
      <w:r w:rsidRPr="00DB53F9">
        <w:rPr>
          <w:rFonts w:ascii="Palatino Linotype" w:hAnsi="Palatino Linotype" w:cs="Arial"/>
          <w:b/>
        </w:rPr>
        <w:t xml:space="preserve">. </w:t>
      </w:r>
      <w:r w:rsidR="00F0606E" w:rsidRPr="00DB53F9">
        <w:rPr>
          <w:rFonts w:ascii="Palatino Linotype" w:hAnsi="Palatino Linotype" w:cs="Arial"/>
        </w:rPr>
        <w:t xml:space="preserve">Así, una vez transcurrido el término legal, se decretó el cierre de instrucción del recurso de revisión, en fecha </w:t>
      </w:r>
      <w:r w:rsidR="00697144" w:rsidRPr="00DB53F9">
        <w:rPr>
          <w:rFonts w:ascii="Palatino Linotype" w:hAnsi="Palatino Linotype" w:cs="Arial"/>
          <w:b/>
          <w:lang w:val="es-419"/>
        </w:rPr>
        <w:t>once</w:t>
      </w:r>
      <w:r w:rsidR="00F0606E" w:rsidRPr="00DB53F9">
        <w:rPr>
          <w:rFonts w:ascii="Palatino Linotype" w:hAnsi="Palatino Linotype" w:cs="Arial"/>
          <w:b/>
        </w:rPr>
        <w:t xml:space="preserve"> de </w:t>
      </w:r>
      <w:r w:rsidR="00F0606E" w:rsidRPr="00DB53F9">
        <w:rPr>
          <w:rFonts w:ascii="Palatino Linotype" w:hAnsi="Palatino Linotype" w:cs="Arial"/>
          <w:b/>
          <w:lang w:val="es-419"/>
        </w:rPr>
        <w:t>mayo</w:t>
      </w:r>
      <w:r w:rsidR="00F0606E" w:rsidRPr="00DB53F9">
        <w:rPr>
          <w:rFonts w:ascii="Palatino Linotype" w:hAnsi="Palatino Linotype" w:cs="Arial"/>
          <w:b/>
        </w:rPr>
        <w:t xml:space="preserve"> de dos mil veintitrés</w:t>
      </w:r>
      <w:r w:rsidR="00F0606E" w:rsidRPr="00DB53F9">
        <w:rPr>
          <w:rFonts w:ascii="Palatino Linotype" w:hAnsi="Palatino Linotype" w:cs="Arial"/>
        </w:rPr>
        <w:t>, en términos del artículo 185 Fracción VI de la Ley de Transparencia y Acceso a la Información Pública del Estado de México y Municipios.</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lang w:val="es-419"/>
        </w:rPr>
        <w:t xml:space="preserve">DÉCIMO </w:t>
      </w:r>
      <w:r w:rsidR="00F0606E" w:rsidRPr="00DB53F9">
        <w:rPr>
          <w:rFonts w:ascii="Palatino Linotype" w:hAnsi="Palatino Linotype" w:cs="Arial"/>
          <w:b/>
          <w:lang w:val="es-419"/>
        </w:rPr>
        <w:t>SEGUNDO</w:t>
      </w:r>
      <w:r w:rsidR="00B9726D" w:rsidRPr="00DB53F9">
        <w:rPr>
          <w:rFonts w:ascii="Palatino Linotype" w:hAnsi="Palatino Linotype" w:cs="Arial"/>
          <w:b/>
        </w:rPr>
        <w:t>.</w:t>
      </w:r>
      <w:r w:rsidR="00F05BE3" w:rsidRPr="00DB53F9">
        <w:rPr>
          <w:rFonts w:ascii="Palatino Linotype" w:hAnsi="Palatino Linotype" w:cs="Arial"/>
          <w:b/>
        </w:rPr>
        <w:t xml:space="preserve"> </w:t>
      </w:r>
      <w:r w:rsidRPr="00DB53F9">
        <w:rPr>
          <w:rFonts w:ascii="Palatino Linotype" w:hAnsi="Palatino Linotype" w:cs="Arial"/>
        </w:rPr>
        <w:t xml:space="preserve">Posteriormente, en fecha </w:t>
      </w:r>
      <w:r w:rsidR="00697144" w:rsidRPr="00DB53F9">
        <w:rPr>
          <w:rFonts w:ascii="Palatino Linotype" w:hAnsi="Palatino Linotype" w:cs="Arial"/>
          <w:b/>
          <w:lang w:val="es-419"/>
        </w:rPr>
        <w:t>doce</w:t>
      </w:r>
      <w:r w:rsidRPr="00DB53F9">
        <w:rPr>
          <w:rFonts w:ascii="Palatino Linotype" w:hAnsi="Palatino Linotype" w:cs="Arial"/>
          <w:b/>
          <w:lang w:val="es-419"/>
        </w:rPr>
        <w:t xml:space="preserve"> de </w:t>
      </w:r>
      <w:r w:rsidR="00F0606E" w:rsidRPr="00DB53F9">
        <w:rPr>
          <w:rFonts w:ascii="Palatino Linotype" w:hAnsi="Palatino Linotype" w:cs="Arial"/>
          <w:b/>
          <w:lang w:val="es-419"/>
        </w:rPr>
        <w:t>junio</w:t>
      </w:r>
      <w:r w:rsidRPr="00DB53F9">
        <w:rPr>
          <w:rFonts w:ascii="Palatino Linotype" w:hAnsi="Palatino Linotype" w:cs="Arial"/>
          <w:b/>
          <w:lang w:val="es-419"/>
        </w:rPr>
        <w:t xml:space="preserve"> </w:t>
      </w:r>
      <w:r w:rsidRPr="00DB53F9">
        <w:rPr>
          <w:rFonts w:ascii="Palatino Linotype" w:hAnsi="Palatino Linotype" w:cs="Arial"/>
          <w:b/>
        </w:rPr>
        <w:t>del año dos mil veintitrés</w:t>
      </w:r>
      <w:r w:rsidRPr="00DB53F9">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071DB1" w:rsidRPr="00DB53F9" w:rsidRDefault="00071DB1" w:rsidP="00071DB1">
      <w:pPr>
        <w:tabs>
          <w:tab w:val="left" w:pos="5271"/>
        </w:tabs>
        <w:spacing w:line="360" w:lineRule="auto"/>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w:t>
      </w:r>
      <w:r w:rsidRPr="00DB53F9">
        <w:rPr>
          <w:rFonts w:ascii="Palatino Linotype" w:hAnsi="Palatino Linotype"/>
        </w:rPr>
        <w:lastRenderedPageBreak/>
        <w:t>por diversos órganos jurisdiccionales federales, aplicables también en procedimientos análogos, como el que nos ocupa.</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pStyle w:val="Prrafodelista"/>
        <w:numPr>
          <w:ilvl w:val="0"/>
          <w:numId w:val="32"/>
        </w:numPr>
        <w:spacing w:line="360" w:lineRule="auto"/>
        <w:jc w:val="both"/>
        <w:rPr>
          <w:rFonts w:ascii="Palatino Linotype" w:hAnsi="Palatino Linotype"/>
        </w:rPr>
      </w:pPr>
      <w:r w:rsidRPr="00DB53F9">
        <w:rPr>
          <w:rFonts w:ascii="Palatino Linotype" w:hAnsi="Palatino Linotype"/>
          <w:b/>
        </w:rPr>
        <w:t>Complejidad del Asunto:</w:t>
      </w:r>
      <w:r w:rsidRPr="00DB53F9">
        <w:rPr>
          <w:rFonts w:ascii="Palatino Linotype" w:hAnsi="Palatino Linotype"/>
        </w:rPr>
        <w:t xml:space="preserve"> La complejidad de la prueba, la pluralidad de sujetos procesales, el tiempo transcurrido, las características y contexto del recurso. </w:t>
      </w:r>
    </w:p>
    <w:p w:rsidR="00071DB1" w:rsidRPr="00DB53F9" w:rsidRDefault="00071DB1" w:rsidP="00071DB1">
      <w:pPr>
        <w:pStyle w:val="Prrafodelista"/>
        <w:numPr>
          <w:ilvl w:val="0"/>
          <w:numId w:val="32"/>
        </w:numPr>
        <w:spacing w:line="360" w:lineRule="auto"/>
        <w:jc w:val="both"/>
        <w:rPr>
          <w:rFonts w:ascii="Palatino Linotype" w:hAnsi="Palatino Linotype"/>
        </w:rPr>
      </w:pPr>
      <w:r w:rsidRPr="00DB53F9">
        <w:rPr>
          <w:rFonts w:ascii="Palatino Linotype" w:hAnsi="Palatino Linotype"/>
          <w:b/>
        </w:rPr>
        <w:t>Actividad Procesal del interesado.</w:t>
      </w:r>
      <w:r w:rsidRPr="00DB53F9">
        <w:rPr>
          <w:rFonts w:ascii="Palatino Linotype" w:hAnsi="Palatino Linotype"/>
        </w:rPr>
        <w:t xml:space="preserve"> Acciones u omisiones del interesado.</w:t>
      </w:r>
    </w:p>
    <w:p w:rsidR="00071DB1" w:rsidRPr="00DB53F9" w:rsidRDefault="00071DB1" w:rsidP="00071DB1">
      <w:pPr>
        <w:pStyle w:val="Prrafodelista"/>
        <w:numPr>
          <w:ilvl w:val="0"/>
          <w:numId w:val="32"/>
        </w:numPr>
        <w:spacing w:line="360" w:lineRule="auto"/>
        <w:jc w:val="both"/>
        <w:rPr>
          <w:rFonts w:ascii="Palatino Linotype" w:hAnsi="Palatino Linotype"/>
        </w:rPr>
      </w:pPr>
      <w:r w:rsidRPr="00DB53F9">
        <w:rPr>
          <w:rFonts w:ascii="Palatino Linotype" w:hAnsi="Palatino Linotype"/>
          <w:b/>
        </w:rPr>
        <w:t>Conducta de la Autoridad:</w:t>
      </w:r>
      <w:r w:rsidRPr="00DB53F9">
        <w:rPr>
          <w:rFonts w:ascii="Palatino Linotype" w:hAnsi="Palatino Linotype"/>
        </w:rPr>
        <w:t xml:space="preserve"> Las Acciones u omisiones realizadas en el procedimiento. Así como si la autoridad actuó con la debida diligencia.</w:t>
      </w:r>
    </w:p>
    <w:p w:rsidR="00071DB1" w:rsidRPr="00DB53F9" w:rsidRDefault="00071DB1" w:rsidP="00071DB1">
      <w:pPr>
        <w:pStyle w:val="Prrafodelista"/>
        <w:numPr>
          <w:ilvl w:val="0"/>
          <w:numId w:val="32"/>
        </w:numPr>
        <w:spacing w:line="360" w:lineRule="auto"/>
        <w:jc w:val="both"/>
        <w:rPr>
          <w:rFonts w:ascii="Palatino Linotype" w:hAnsi="Palatino Linotype"/>
        </w:rPr>
      </w:pPr>
      <w:r w:rsidRPr="00DB53F9">
        <w:rPr>
          <w:rFonts w:ascii="Palatino Linotype" w:hAnsi="Palatino Linotype"/>
          <w:b/>
        </w:rPr>
        <w:t>La afectación generada en la situación jurídica de la persona involucrada en el proceso:</w:t>
      </w:r>
      <w:r w:rsidRPr="00DB53F9">
        <w:rPr>
          <w:rFonts w:ascii="Palatino Linotype" w:hAnsi="Palatino Linotype"/>
        </w:rPr>
        <w:t xml:space="preserve"> Violación a sus derechos humanos.</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b/>
        </w:rPr>
      </w:pPr>
      <w:r w:rsidRPr="00DB53F9">
        <w:rPr>
          <w:rFonts w:ascii="Palatino Linotype" w:hAnsi="Palatino Linotype"/>
        </w:rPr>
        <w:t xml:space="preserve">Argumento que encuentra sustento en la jurisprudencia P./J. 32/92 emitida por el Pleno de la Suprema Corte de Justicia de la Nación de rubro </w:t>
      </w:r>
      <w:r w:rsidRPr="00DB53F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B53F9">
        <w:rPr>
          <w:rFonts w:ascii="Palatino Linotype" w:hAnsi="Palatino Linotype"/>
        </w:rPr>
        <w:t>, visible en la Gaceta del Seminario Judicial de la Federación con el registro digital 205635.</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both"/>
        <w:rPr>
          <w:rFonts w:ascii="Palatino Linotype" w:hAnsi="Palatino Linotype"/>
        </w:rPr>
      </w:pPr>
      <w:r w:rsidRPr="00DB53F9">
        <w:rPr>
          <w:rFonts w:ascii="Palatino Linotype" w:hAnsi="Palatino Linotype"/>
          <w:i/>
        </w:rPr>
        <w:t>“PLAZO RAZONABLE PARA RESOLVER. DIMENSIÓN Y EFECTOS DE ESTE CONCEPTO CUANDO SE ADUCE EXCESIVA CARGA DE TRABAJO.”</w:t>
      </w:r>
      <w:r w:rsidRPr="00DB53F9">
        <w:rPr>
          <w:rFonts w:ascii="Palatino Linotype" w:hAnsi="Palatino Linotype"/>
        </w:rPr>
        <w:t xml:space="preserve"> consultable en el Seminario Judicial de la Federación y su gaceta, con el registro digital 2002351.</w:t>
      </w:r>
    </w:p>
    <w:p w:rsidR="00071DB1" w:rsidRPr="00DB53F9" w:rsidRDefault="00071DB1" w:rsidP="00071DB1">
      <w:pPr>
        <w:spacing w:line="360" w:lineRule="auto"/>
        <w:jc w:val="both"/>
        <w:rPr>
          <w:rFonts w:ascii="Palatino Linotype" w:hAnsi="Palatino Linotype"/>
          <w:b/>
        </w:rPr>
      </w:pPr>
    </w:p>
    <w:p w:rsidR="00071DB1" w:rsidRPr="00DB53F9" w:rsidRDefault="00071DB1" w:rsidP="00071DB1">
      <w:pPr>
        <w:spacing w:line="360" w:lineRule="auto"/>
        <w:jc w:val="both"/>
        <w:rPr>
          <w:rFonts w:ascii="Palatino Linotype" w:hAnsi="Palatino Linotype"/>
          <w:lang w:val="es-419"/>
        </w:rPr>
      </w:pPr>
      <w:r w:rsidRPr="00DB53F9">
        <w:rPr>
          <w:rFonts w:ascii="Palatino Linotype" w:hAnsi="Palatino Linotype"/>
          <w:i/>
        </w:rPr>
        <w:t>“PLAZO RAZONABLE PARA RESOLVER. CONCEPTO Y ELEMENTOS QUE LO INTEGRAN A LA LUZ DEL DERECHO INTERNACIONAL DE LOS DERECHOS HUMANOS.”</w:t>
      </w:r>
      <w:r w:rsidRPr="00DB53F9">
        <w:rPr>
          <w:rFonts w:ascii="Palatino Linotype" w:hAnsi="Palatino Linotype"/>
        </w:rPr>
        <w:t>, visible en el Seminario Judicial de la Federación y su gaceta, con el registro digital 2002350</w:t>
      </w:r>
      <w:r w:rsidR="00C90855" w:rsidRPr="00DB53F9">
        <w:rPr>
          <w:rFonts w:ascii="Palatino Linotype" w:hAnsi="Palatino Linotype"/>
          <w:lang w:val="es-419"/>
        </w:rPr>
        <w:t xml:space="preserve">, y, </w:t>
      </w:r>
    </w:p>
    <w:p w:rsidR="00071DB1" w:rsidRPr="00DB53F9" w:rsidRDefault="00071DB1" w:rsidP="00071DB1">
      <w:pPr>
        <w:spacing w:line="360" w:lineRule="auto"/>
        <w:jc w:val="both"/>
        <w:rPr>
          <w:rFonts w:ascii="Palatino Linotype" w:hAnsi="Palatino Linotype"/>
        </w:rPr>
      </w:pPr>
    </w:p>
    <w:p w:rsidR="00071DB1" w:rsidRPr="00DB53F9" w:rsidRDefault="00071DB1" w:rsidP="00071DB1">
      <w:pPr>
        <w:spacing w:line="360" w:lineRule="auto"/>
        <w:jc w:val="center"/>
        <w:rPr>
          <w:rFonts w:ascii="Palatino Linotype" w:hAnsi="Palatino Linotype" w:cs="Arial"/>
          <w:b/>
        </w:rPr>
      </w:pPr>
      <w:r w:rsidRPr="00DB53F9">
        <w:rPr>
          <w:rFonts w:ascii="Palatino Linotype" w:hAnsi="Palatino Linotype" w:cs="Arial"/>
          <w:b/>
        </w:rPr>
        <w:t xml:space="preserve">C O N S I D E R A N D O </w:t>
      </w:r>
    </w:p>
    <w:p w:rsidR="00071DB1" w:rsidRPr="00DB53F9" w:rsidRDefault="00071DB1" w:rsidP="00071DB1">
      <w:pPr>
        <w:spacing w:line="360" w:lineRule="auto"/>
        <w:jc w:val="center"/>
        <w:rPr>
          <w:rFonts w:ascii="Palatino Linotype" w:hAnsi="Palatino Linotype" w:cs="Arial"/>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b/>
          <w:sz w:val="28"/>
        </w:rPr>
        <w:t>PRIMERO.</w:t>
      </w:r>
      <w:r w:rsidRPr="00DB53F9">
        <w:rPr>
          <w:rFonts w:ascii="Palatino Linotype" w:hAnsi="Palatino Linotype" w:cs="Arial"/>
          <w:b/>
        </w:rPr>
        <w:t xml:space="preserve"> </w:t>
      </w:r>
      <w:r w:rsidRPr="00DB53F9">
        <w:rPr>
          <w:rFonts w:ascii="Palatino Linotype" w:hAnsi="Palatino Linotype" w:cs="Arial"/>
          <w:b/>
          <w:sz w:val="28"/>
          <w:szCs w:val="28"/>
        </w:rPr>
        <w:t>De la competencia</w:t>
      </w:r>
      <w:r w:rsidRPr="00DB53F9">
        <w:rPr>
          <w:rFonts w:ascii="Palatino Linotype" w:hAnsi="Palatino Linotype" w:cs="Arial"/>
          <w:sz w:val="28"/>
          <w:szCs w:val="28"/>
        </w:rPr>
        <w:t>.</w:t>
      </w:r>
    </w:p>
    <w:p w:rsidR="00417920" w:rsidRPr="00DB53F9" w:rsidRDefault="00417920" w:rsidP="00417920">
      <w:pPr>
        <w:autoSpaceDE w:val="0"/>
        <w:autoSpaceDN w:val="0"/>
        <w:adjustRightInd w:val="0"/>
        <w:spacing w:line="360" w:lineRule="auto"/>
        <w:jc w:val="both"/>
        <w:rPr>
          <w:rFonts w:ascii="Palatino Linotype" w:hAnsi="Palatino Linotype" w:cs="Arial"/>
        </w:rPr>
      </w:pPr>
      <w:r w:rsidRPr="00DB53F9">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w:t>
      </w:r>
      <w:r w:rsidRPr="00DB53F9">
        <w:rPr>
          <w:rFonts w:ascii="Palatino Linotype" w:hAnsi="Palatino Linotype" w:cs="Arial"/>
        </w:rPr>
        <w:lastRenderedPageBreak/>
        <w:t xml:space="preserve">Mexicanos; 5, párrafos trigésimo segundo y trigésimo tercero, fracciones IV y V, de la Constitución Política del Estado Libre y Soberano de México; artículos 1, 2 fracción II, 13, 29, 36 fracciones I y II, </w:t>
      </w:r>
      <w:hyperlink r:id="rId7" w:history="1">
        <w:r w:rsidRPr="00DB53F9">
          <w:rPr>
            <w:rFonts w:ascii="Palatino Linotype" w:hAnsi="Palatino Linotype" w:cs="Arial"/>
          </w:rPr>
          <w:t>176, 178, 179, 181</w:t>
        </w:r>
      </w:hyperlink>
      <w:r w:rsidRPr="00DB53F9">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071DB1" w:rsidRPr="00DB53F9" w:rsidRDefault="00071DB1" w:rsidP="00071DB1">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p>
    <w:p w:rsidR="00071DB1" w:rsidRPr="00DB53F9" w:rsidRDefault="00071DB1" w:rsidP="00071DB1">
      <w:pPr>
        <w:pStyle w:val="Prrafodelista"/>
        <w:autoSpaceDE w:val="0"/>
        <w:autoSpaceDN w:val="0"/>
        <w:adjustRightInd w:val="0"/>
        <w:spacing w:line="360" w:lineRule="auto"/>
        <w:ind w:left="0"/>
        <w:jc w:val="both"/>
        <w:rPr>
          <w:rFonts w:ascii="Palatino Linotype" w:hAnsi="Palatino Linotype" w:cs="Arial"/>
          <w:b/>
        </w:rPr>
      </w:pPr>
    </w:p>
    <w:p w:rsidR="00071DB1" w:rsidRPr="00DB53F9" w:rsidRDefault="009B6469" w:rsidP="00071DB1">
      <w:pPr>
        <w:pStyle w:val="Prrafodelista"/>
        <w:autoSpaceDE w:val="0"/>
        <w:autoSpaceDN w:val="0"/>
        <w:adjustRightInd w:val="0"/>
        <w:spacing w:line="360" w:lineRule="auto"/>
        <w:ind w:left="0"/>
        <w:jc w:val="both"/>
        <w:rPr>
          <w:rFonts w:ascii="Palatino Linotype" w:hAnsi="Palatino Linotype" w:cs="Arial"/>
          <w:b/>
        </w:rPr>
      </w:pPr>
      <w:r w:rsidRPr="00DB53F9">
        <w:rPr>
          <w:rFonts w:ascii="Palatino Linotype" w:hAnsi="Palatino Linotype" w:cs="Arial"/>
          <w:b/>
          <w:sz w:val="28"/>
          <w:lang w:val="es-419"/>
        </w:rPr>
        <w:t>SEGUNDO</w:t>
      </w:r>
      <w:r w:rsidR="00071DB1" w:rsidRPr="00DB53F9">
        <w:rPr>
          <w:rFonts w:ascii="Palatino Linotype" w:hAnsi="Palatino Linotype" w:cs="Arial"/>
          <w:b/>
        </w:rPr>
        <w:t xml:space="preserve">. </w:t>
      </w:r>
      <w:r w:rsidR="00071DB1" w:rsidRPr="00DB53F9">
        <w:rPr>
          <w:rFonts w:ascii="Palatino Linotype" w:hAnsi="Palatino Linotype" w:cs="Arial"/>
          <w:b/>
          <w:sz w:val="28"/>
          <w:szCs w:val="28"/>
        </w:rPr>
        <w:t>Sobre los alcances del recurso de revisión.</w:t>
      </w:r>
      <w:r w:rsidR="00071DB1" w:rsidRPr="00DB53F9">
        <w:rPr>
          <w:rFonts w:ascii="Palatino Linotype" w:hAnsi="Palatino Linotype" w:cs="Arial"/>
          <w:b/>
        </w:rPr>
        <w:t xml:space="preserve"> </w:t>
      </w:r>
    </w:p>
    <w:p w:rsidR="00071DB1" w:rsidRPr="00DB53F9" w:rsidRDefault="00071DB1" w:rsidP="00071DB1">
      <w:pPr>
        <w:pStyle w:val="Prrafodelista"/>
        <w:autoSpaceDE w:val="0"/>
        <w:autoSpaceDN w:val="0"/>
        <w:adjustRightInd w:val="0"/>
        <w:spacing w:line="360" w:lineRule="auto"/>
        <w:ind w:left="0"/>
        <w:jc w:val="both"/>
        <w:rPr>
          <w:rFonts w:ascii="Palatino Linotype" w:hAnsi="Palatino Linotype" w:cs="Arial"/>
        </w:rPr>
      </w:pPr>
      <w:r w:rsidRPr="00DB53F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1DB1" w:rsidRPr="00DB53F9" w:rsidRDefault="00071DB1" w:rsidP="00071DB1">
      <w:pPr>
        <w:pStyle w:val="Prrafodelista"/>
        <w:autoSpaceDE w:val="0"/>
        <w:autoSpaceDN w:val="0"/>
        <w:adjustRightInd w:val="0"/>
        <w:spacing w:line="360" w:lineRule="auto"/>
        <w:ind w:left="0"/>
        <w:jc w:val="both"/>
        <w:rPr>
          <w:rFonts w:ascii="Palatino Linotype" w:hAnsi="Palatino Linotype" w:cs="Arial"/>
        </w:rPr>
      </w:pPr>
    </w:p>
    <w:p w:rsidR="009B6469" w:rsidRPr="00DB53F9" w:rsidRDefault="009B6469" w:rsidP="009B6469">
      <w:pPr>
        <w:pStyle w:val="Prrafodelista"/>
        <w:autoSpaceDE w:val="0"/>
        <w:autoSpaceDN w:val="0"/>
        <w:adjustRightInd w:val="0"/>
        <w:spacing w:line="360" w:lineRule="auto"/>
        <w:ind w:left="0"/>
        <w:jc w:val="both"/>
        <w:rPr>
          <w:rFonts w:ascii="Palatino Linotype" w:hAnsi="Palatino Linotype" w:cs="Arial"/>
          <w:b/>
          <w:sz w:val="28"/>
          <w:lang w:val="es-419"/>
        </w:rPr>
      </w:pPr>
      <w:r w:rsidRPr="00DB53F9">
        <w:rPr>
          <w:rFonts w:ascii="Palatino Linotype" w:hAnsi="Palatino Linotype" w:cs="Arial"/>
          <w:b/>
          <w:sz w:val="28"/>
          <w:lang w:val="es-419"/>
        </w:rPr>
        <w:t xml:space="preserve">TERCERO. </w:t>
      </w:r>
      <w:r w:rsidRPr="00DB53F9">
        <w:rPr>
          <w:rFonts w:ascii="Palatino Linotype" w:hAnsi="Palatino Linotype" w:cs="Arial"/>
          <w:b/>
          <w:sz w:val="28"/>
          <w:szCs w:val="28"/>
        </w:rPr>
        <w:t>Cuestiones de previo y especial pronunciamiento.</w:t>
      </w:r>
    </w:p>
    <w:p w:rsidR="009B6469" w:rsidRPr="00DB53F9" w:rsidRDefault="009B6469" w:rsidP="009B6469">
      <w:pPr>
        <w:autoSpaceDE w:val="0"/>
        <w:autoSpaceDN w:val="0"/>
        <w:adjustRightInd w:val="0"/>
        <w:spacing w:line="360" w:lineRule="auto"/>
        <w:jc w:val="both"/>
        <w:rPr>
          <w:rFonts w:ascii="Palatino Linotype" w:hAnsi="Palatino Linotype" w:cs="Arial"/>
        </w:rPr>
      </w:pPr>
      <w:r w:rsidRPr="00DB53F9">
        <w:rPr>
          <w:rFonts w:ascii="Palatino Linotype" w:hAnsi="Palatino Linotype" w:cs="Arial"/>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w:t>
      </w:r>
      <w:r w:rsidRPr="00DB53F9">
        <w:rPr>
          <w:rFonts w:ascii="Palatino Linotype" w:hAnsi="Palatino Linotype" w:cs="Arial"/>
        </w:rPr>
        <w:lastRenderedPageBreak/>
        <w:t>cuando se hace la impugnación de manera electrónica, ello porque no se advierte nombre o seudónimo con el cual identificarse.</w:t>
      </w:r>
    </w:p>
    <w:p w:rsidR="009B6469" w:rsidRPr="00DB53F9" w:rsidRDefault="009B6469" w:rsidP="009B6469">
      <w:pPr>
        <w:autoSpaceDE w:val="0"/>
        <w:autoSpaceDN w:val="0"/>
        <w:adjustRightInd w:val="0"/>
        <w:spacing w:line="360" w:lineRule="auto"/>
        <w:jc w:val="both"/>
        <w:rPr>
          <w:rFonts w:ascii="Palatino Linotype" w:hAnsi="Palatino Linotype" w:cs="Arial"/>
        </w:rPr>
      </w:pPr>
    </w:p>
    <w:p w:rsidR="009B6469" w:rsidRPr="00DB53F9" w:rsidRDefault="009B6469" w:rsidP="009B6469">
      <w:pPr>
        <w:autoSpaceDE w:val="0"/>
        <w:autoSpaceDN w:val="0"/>
        <w:adjustRightInd w:val="0"/>
        <w:spacing w:line="360" w:lineRule="auto"/>
        <w:jc w:val="both"/>
        <w:rPr>
          <w:rFonts w:ascii="Palatino Linotype" w:hAnsi="Palatino Linotype" w:cs="Arial"/>
        </w:rPr>
      </w:pPr>
      <w:r w:rsidRPr="00DB53F9">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9B6469" w:rsidRPr="00DB53F9" w:rsidRDefault="009B6469" w:rsidP="009B6469">
      <w:pPr>
        <w:autoSpaceDE w:val="0"/>
        <w:autoSpaceDN w:val="0"/>
        <w:adjustRightInd w:val="0"/>
        <w:spacing w:line="360" w:lineRule="auto"/>
        <w:jc w:val="both"/>
        <w:rPr>
          <w:rFonts w:ascii="Palatino Linotype" w:hAnsi="Palatino Linotype" w:cs="Arial"/>
        </w:rPr>
      </w:pPr>
    </w:p>
    <w:p w:rsidR="009B6469" w:rsidRPr="00DB53F9" w:rsidRDefault="009B6469" w:rsidP="009B6469">
      <w:pPr>
        <w:spacing w:line="360" w:lineRule="auto"/>
        <w:ind w:left="851" w:right="851"/>
        <w:jc w:val="both"/>
        <w:rPr>
          <w:rFonts w:ascii="Palatino Linotype" w:hAnsi="Palatino Linotype"/>
          <w:b/>
          <w:i/>
        </w:rPr>
      </w:pPr>
      <w:r w:rsidRPr="00DB53F9">
        <w:rPr>
          <w:rFonts w:ascii="Palatino Linotype" w:hAnsi="Palatino Linotype"/>
          <w:i/>
        </w:rPr>
        <w:t>“</w:t>
      </w:r>
      <w:r w:rsidRPr="00DB53F9">
        <w:rPr>
          <w:rFonts w:ascii="Palatino Linotype" w:hAnsi="Palatino Linotype"/>
          <w:b/>
          <w:i/>
        </w:rPr>
        <w:t xml:space="preserve">Artículo 180. </w:t>
      </w:r>
      <w:r w:rsidRPr="00DB53F9">
        <w:rPr>
          <w:rFonts w:ascii="Palatino Linotype" w:hAnsi="Palatino Linotype"/>
          <w:i/>
        </w:rPr>
        <w:t xml:space="preserve">El </w:t>
      </w:r>
      <w:r w:rsidRPr="00DB53F9">
        <w:rPr>
          <w:rFonts w:ascii="Palatino Linotype" w:hAnsi="Palatino Linotype" w:cs="Arial"/>
          <w:i/>
        </w:rPr>
        <w:t>recurso</w:t>
      </w:r>
      <w:r w:rsidRPr="00DB53F9">
        <w:rPr>
          <w:rFonts w:ascii="Palatino Linotype" w:hAnsi="Palatino Linotype"/>
          <w:i/>
        </w:rPr>
        <w:t xml:space="preserve"> </w:t>
      </w:r>
      <w:r w:rsidRPr="00DB53F9">
        <w:rPr>
          <w:rFonts w:ascii="Palatino Linotype" w:hAnsi="Palatino Linotype" w:cs="Arial"/>
          <w:i/>
        </w:rPr>
        <w:t>de</w:t>
      </w:r>
      <w:r w:rsidRPr="00DB53F9">
        <w:rPr>
          <w:rFonts w:ascii="Palatino Linotype" w:hAnsi="Palatino Linotype"/>
          <w:i/>
        </w:rPr>
        <w:t xml:space="preserve"> revisión contendrá:</w:t>
      </w:r>
      <w:r w:rsidRPr="00DB53F9">
        <w:rPr>
          <w:rFonts w:ascii="Palatino Linotype" w:hAnsi="Palatino Linotype"/>
          <w:b/>
          <w:i/>
        </w:rPr>
        <w:t xml:space="preserve"> </w:t>
      </w:r>
    </w:p>
    <w:p w:rsidR="009B6469" w:rsidRPr="00DB53F9" w:rsidRDefault="009B6469" w:rsidP="009B6469">
      <w:pPr>
        <w:spacing w:line="360" w:lineRule="auto"/>
        <w:ind w:left="851" w:right="851"/>
        <w:jc w:val="both"/>
        <w:rPr>
          <w:rFonts w:ascii="Palatino Linotype" w:hAnsi="Palatino Linotype"/>
          <w:b/>
          <w:i/>
        </w:rPr>
      </w:pPr>
    </w:p>
    <w:p w:rsidR="009B6469" w:rsidRPr="00DB53F9" w:rsidRDefault="009B6469" w:rsidP="009B6469">
      <w:pPr>
        <w:pStyle w:val="Prrafodelista"/>
        <w:numPr>
          <w:ilvl w:val="0"/>
          <w:numId w:val="34"/>
        </w:numPr>
        <w:spacing w:line="360" w:lineRule="auto"/>
        <w:ind w:right="851"/>
        <w:jc w:val="both"/>
        <w:rPr>
          <w:rFonts w:ascii="Palatino Linotype" w:hAnsi="Palatino Linotype"/>
          <w:b/>
          <w:i/>
        </w:rPr>
      </w:pPr>
      <w:r w:rsidRPr="00DB53F9">
        <w:rPr>
          <w:rFonts w:ascii="Palatino Linotype" w:hAnsi="Palatino Linotype"/>
          <w:i/>
        </w:rPr>
        <w:t xml:space="preserve">El sujeto obligado ante </w:t>
      </w:r>
      <w:r w:rsidRPr="00DB53F9">
        <w:rPr>
          <w:rFonts w:ascii="Palatino Linotype" w:hAnsi="Palatino Linotype" w:cs="Arial"/>
          <w:i/>
        </w:rPr>
        <w:t>la</w:t>
      </w:r>
      <w:r w:rsidRPr="00DB53F9">
        <w:rPr>
          <w:rFonts w:ascii="Palatino Linotype" w:hAnsi="Palatino Linotype"/>
          <w:i/>
        </w:rPr>
        <w:t xml:space="preserve"> cual </w:t>
      </w:r>
      <w:r w:rsidRPr="00DB53F9">
        <w:rPr>
          <w:rFonts w:ascii="Palatino Linotype" w:hAnsi="Palatino Linotype" w:cs="Arial"/>
          <w:i/>
        </w:rPr>
        <w:t>se</w:t>
      </w:r>
      <w:r w:rsidRPr="00DB53F9">
        <w:rPr>
          <w:rFonts w:ascii="Palatino Linotype" w:hAnsi="Palatino Linotype"/>
          <w:i/>
        </w:rPr>
        <w:t xml:space="preserve"> presentó la solicitud;</w:t>
      </w:r>
      <w:r w:rsidRPr="00DB53F9">
        <w:rPr>
          <w:rFonts w:ascii="Palatino Linotype" w:hAnsi="Palatino Linotype"/>
          <w:b/>
          <w:i/>
        </w:rPr>
        <w:t xml:space="preserve"> </w:t>
      </w:r>
    </w:p>
    <w:p w:rsidR="009B6469" w:rsidRPr="00DB53F9" w:rsidRDefault="009B6469" w:rsidP="009B6469">
      <w:pPr>
        <w:pStyle w:val="Prrafodelista"/>
        <w:spacing w:line="360" w:lineRule="auto"/>
        <w:ind w:left="1571" w:right="851"/>
        <w:jc w:val="both"/>
        <w:rPr>
          <w:rFonts w:ascii="Palatino Linotype" w:hAnsi="Palatino Linotype"/>
          <w:b/>
          <w:i/>
        </w:rPr>
      </w:pPr>
    </w:p>
    <w:p w:rsidR="009B6469" w:rsidRPr="00DB53F9" w:rsidRDefault="009B6469" w:rsidP="009B6469">
      <w:pPr>
        <w:spacing w:line="360" w:lineRule="auto"/>
        <w:ind w:left="851" w:right="851"/>
        <w:jc w:val="both"/>
        <w:rPr>
          <w:rFonts w:ascii="Palatino Linotype" w:hAnsi="Palatino Linotype"/>
          <w:i/>
        </w:rPr>
      </w:pPr>
      <w:r w:rsidRPr="00DB53F9">
        <w:rPr>
          <w:rFonts w:ascii="Palatino Linotype" w:hAnsi="Palatino Linotype"/>
          <w:b/>
          <w:i/>
        </w:rPr>
        <w:t xml:space="preserve">II. </w:t>
      </w:r>
      <w:r w:rsidRPr="00DB53F9">
        <w:rPr>
          <w:rFonts w:ascii="Palatino Linotype" w:hAnsi="Palatino Linotype"/>
          <w:b/>
          <w:i/>
          <w:u w:val="single"/>
        </w:rPr>
        <w:t xml:space="preserve">El nombre del solicitante </w:t>
      </w:r>
      <w:r w:rsidRPr="00DB53F9">
        <w:rPr>
          <w:rFonts w:ascii="Palatino Linotype" w:hAnsi="Palatino Linotype" w:cs="Arial"/>
          <w:b/>
          <w:i/>
          <w:u w:val="single"/>
        </w:rPr>
        <w:t>que</w:t>
      </w:r>
      <w:r w:rsidRPr="00DB53F9">
        <w:rPr>
          <w:rFonts w:ascii="Palatino Linotype" w:hAnsi="Palatino Linotype"/>
          <w:b/>
          <w:i/>
          <w:u w:val="single"/>
        </w:rPr>
        <w:t xml:space="preserve"> recurre</w:t>
      </w:r>
      <w:r w:rsidRPr="00DB53F9">
        <w:rPr>
          <w:rFonts w:ascii="Palatino Linotype" w:hAnsi="Palatino Linotype"/>
          <w:b/>
          <w:i/>
        </w:rPr>
        <w:t xml:space="preserve"> </w:t>
      </w:r>
      <w:r w:rsidRPr="00DB53F9">
        <w:rPr>
          <w:rFonts w:ascii="Palatino Linotype" w:hAnsi="Palatino Linotype"/>
          <w:i/>
        </w:rPr>
        <w:t>o de su representante y, en su caso, del tercero interesado, así como la dirección o medio que señale para recibir notificaciones</w:t>
      </w:r>
      <w:r w:rsidRPr="00DB53F9">
        <w:rPr>
          <w:rFonts w:ascii="Palatino Linotype" w:hAnsi="Palatino Linotype"/>
          <w:b/>
          <w:i/>
        </w:rPr>
        <w:t>” [Sic]</w:t>
      </w:r>
    </w:p>
    <w:p w:rsidR="009B6469" w:rsidRPr="00DB53F9" w:rsidRDefault="009B6469" w:rsidP="009B6469">
      <w:pPr>
        <w:autoSpaceDE w:val="0"/>
        <w:autoSpaceDN w:val="0"/>
        <w:adjustRightInd w:val="0"/>
        <w:spacing w:line="360" w:lineRule="auto"/>
        <w:jc w:val="both"/>
        <w:rPr>
          <w:rFonts w:ascii="Palatino Linotype" w:hAnsi="Palatino Linotype" w:cs="Arial"/>
        </w:rPr>
      </w:pPr>
    </w:p>
    <w:p w:rsidR="009B6469" w:rsidRPr="00DB53F9" w:rsidRDefault="009B6469" w:rsidP="009B6469">
      <w:pPr>
        <w:autoSpaceDE w:val="0"/>
        <w:autoSpaceDN w:val="0"/>
        <w:adjustRightInd w:val="0"/>
        <w:spacing w:line="360" w:lineRule="auto"/>
        <w:jc w:val="both"/>
        <w:rPr>
          <w:rFonts w:ascii="Palatino Linotype" w:hAnsi="Palatino Linotype" w:cs="Arial"/>
        </w:rPr>
      </w:pPr>
      <w:r w:rsidRPr="00DB53F9">
        <w:rPr>
          <w:rFonts w:ascii="Palatino Linotype" w:hAnsi="Palatino Linotype" w:cs="Arial"/>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9B6469" w:rsidRPr="00DB53F9" w:rsidRDefault="009B6469" w:rsidP="009B6469">
      <w:pPr>
        <w:autoSpaceDE w:val="0"/>
        <w:autoSpaceDN w:val="0"/>
        <w:adjustRightInd w:val="0"/>
        <w:spacing w:line="360" w:lineRule="auto"/>
        <w:jc w:val="both"/>
        <w:rPr>
          <w:rFonts w:ascii="Palatino Linotype" w:hAnsi="Palatino Linotype" w:cs="Arial"/>
        </w:rPr>
      </w:pPr>
    </w:p>
    <w:p w:rsidR="009B6469" w:rsidRPr="00DB53F9" w:rsidRDefault="009B6469" w:rsidP="009B6469">
      <w:pPr>
        <w:autoSpaceDE w:val="0"/>
        <w:autoSpaceDN w:val="0"/>
        <w:adjustRightInd w:val="0"/>
        <w:spacing w:line="360" w:lineRule="auto"/>
        <w:jc w:val="both"/>
        <w:rPr>
          <w:rFonts w:ascii="Palatino Linotype" w:hAnsi="Palatino Linotype" w:cs="Arial"/>
        </w:rPr>
      </w:pPr>
      <w:r w:rsidRPr="00DB53F9">
        <w:rPr>
          <w:rFonts w:ascii="Palatino Linotype" w:hAnsi="Palatino Linotype" w:cs="Arial"/>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9B6469" w:rsidRPr="00DB53F9" w:rsidRDefault="009B6469" w:rsidP="009B6469">
      <w:pPr>
        <w:autoSpaceDE w:val="0"/>
        <w:autoSpaceDN w:val="0"/>
        <w:adjustRightInd w:val="0"/>
        <w:spacing w:line="360" w:lineRule="auto"/>
        <w:jc w:val="both"/>
        <w:rPr>
          <w:rFonts w:ascii="Palatino Linotype" w:hAnsi="Palatino Linotype" w:cs="Arial"/>
        </w:rPr>
      </w:pPr>
    </w:p>
    <w:p w:rsidR="009B6469" w:rsidRPr="00DB53F9" w:rsidRDefault="009B6469" w:rsidP="009B6469">
      <w:pPr>
        <w:pStyle w:val="Prrafodelista"/>
        <w:autoSpaceDE w:val="0"/>
        <w:autoSpaceDN w:val="0"/>
        <w:adjustRightInd w:val="0"/>
        <w:spacing w:line="360" w:lineRule="auto"/>
        <w:ind w:left="0"/>
        <w:jc w:val="both"/>
        <w:rPr>
          <w:rFonts w:ascii="Palatino Linotype" w:hAnsi="Palatino Linotype" w:cs="Arial"/>
        </w:rPr>
      </w:pPr>
      <w:r w:rsidRPr="00DB53F9">
        <w:rPr>
          <w:rFonts w:ascii="Palatino Linotype" w:hAnsi="Palatino Linotype" w:cs="Arial"/>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B6469" w:rsidRPr="00DB53F9" w:rsidRDefault="009B6469" w:rsidP="00071DB1">
      <w:pPr>
        <w:pStyle w:val="Prrafodelista"/>
        <w:autoSpaceDE w:val="0"/>
        <w:autoSpaceDN w:val="0"/>
        <w:adjustRightInd w:val="0"/>
        <w:spacing w:line="360" w:lineRule="auto"/>
        <w:ind w:left="0"/>
        <w:jc w:val="both"/>
        <w:rPr>
          <w:rFonts w:ascii="Palatino Linotype" w:hAnsi="Palatino Linotype" w:cs="Arial"/>
        </w:rPr>
      </w:pPr>
    </w:p>
    <w:p w:rsidR="00071DB1" w:rsidRPr="00DB53F9" w:rsidRDefault="009B6469" w:rsidP="00071DB1">
      <w:pPr>
        <w:autoSpaceDE w:val="0"/>
        <w:autoSpaceDN w:val="0"/>
        <w:adjustRightInd w:val="0"/>
        <w:spacing w:line="360" w:lineRule="auto"/>
        <w:jc w:val="both"/>
        <w:rPr>
          <w:rFonts w:ascii="Palatino Linotype" w:hAnsi="Palatino Linotype" w:cs="Arial"/>
          <w:b/>
          <w:sz w:val="28"/>
        </w:rPr>
      </w:pPr>
      <w:r w:rsidRPr="00DB53F9">
        <w:rPr>
          <w:rFonts w:ascii="Palatino Linotype" w:hAnsi="Palatino Linotype" w:cs="Arial"/>
          <w:b/>
          <w:sz w:val="28"/>
          <w:lang w:val="es-419"/>
        </w:rPr>
        <w:t>CUARTO</w:t>
      </w:r>
      <w:r w:rsidR="00071DB1" w:rsidRPr="00DB53F9">
        <w:rPr>
          <w:rFonts w:ascii="Palatino Linotype" w:hAnsi="Palatino Linotype" w:cs="Arial"/>
          <w:b/>
          <w:sz w:val="28"/>
        </w:rPr>
        <w:t xml:space="preserve">. </w:t>
      </w:r>
      <w:r w:rsidR="00071DB1" w:rsidRPr="00DB53F9">
        <w:rPr>
          <w:rFonts w:ascii="Palatino Linotype" w:eastAsia="Calibri" w:hAnsi="Palatino Linotype" w:cs="Arial"/>
          <w:b/>
          <w:sz w:val="28"/>
        </w:rPr>
        <w:t>Análisis de las causales de sobreseimiento</w:t>
      </w:r>
      <w:r w:rsidR="00071DB1" w:rsidRPr="00DB53F9">
        <w:rPr>
          <w:rFonts w:ascii="Palatino Linotype" w:hAnsi="Palatino Linotype"/>
          <w:b/>
          <w:sz w:val="28"/>
        </w:rPr>
        <w:t>.</w:t>
      </w:r>
    </w:p>
    <w:p w:rsidR="00746AE8" w:rsidRPr="00DB53F9" w:rsidRDefault="00746AE8" w:rsidP="00746AE8">
      <w:pPr>
        <w:spacing w:line="360" w:lineRule="auto"/>
        <w:jc w:val="both"/>
        <w:rPr>
          <w:rFonts w:ascii="Palatino Linotype" w:eastAsia="Calibri" w:hAnsi="Palatino Linotype" w:cs="Arial"/>
          <w:lang w:val="es-ES_tradnl"/>
        </w:rPr>
      </w:pPr>
      <w:r w:rsidRPr="00DB53F9">
        <w:rPr>
          <w:rFonts w:ascii="Palatino Linotype" w:eastAsia="Calibri" w:hAnsi="Palatino Linotype" w:cs="Arial"/>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rsidR="00746AE8" w:rsidRPr="00DB53F9" w:rsidRDefault="00746AE8" w:rsidP="00746AE8">
      <w:pPr>
        <w:spacing w:line="360" w:lineRule="auto"/>
        <w:jc w:val="both"/>
        <w:rPr>
          <w:rFonts w:ascii="Palatino Linotype" w:eastAsia="Calibri" w:hAnsi="Palatino Linotype" w:cs="Arial"/>
          <w:lang w:val="es-ES_tradnl"/>
        </w:rPr>
      </w:pP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lang w:val="es-ES_tradnl"/>
        </w:rPr>
        <w:lastRenderedPageBreak/>
        <w:t>“</w:t>
      </w:r>
      <w:r w:rsidRPr="00DB53F9">
        <w:rPr>
          <w:rFonts w:ascii="Palatino Linotype" w:eastAsia="Calibri" w:hAnsi="Palatino Linotype" w:cs="Arial"/>
          <w:b/>
          <w:i/>
        </w:rPr>
        <w:t xml:space="preserve">Artículo 185. </w:t>
      </w:r>
      <w:r w:rsidRPr="00DB53F9">
        <w:rPr>
          <w:rFonts w:ascii="Palatino Linotype" w:eastAsia="Calibri" w:hAnsi="Palatino Linotype" w:cs="Arial"/>
          <w:i/>
        </w:rPr>
        <w:t xml:space="preserve">El Instituto resolverá el recurso de revisión conforme a lo siguiente: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b/>
          <w:i/>
        </w:rPr>
        <w:t>I.</w:t>
      </w:r>
      <w:r w:rsidRPr="00DB53F9">
        <w:rPr>
          <w:rFonts w:ascii="Palatino Linotype" w:eastAsia="Calibri" w:hAnsi="Palatino Linotype" w:cs="Arial"/>
          <w: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b/>
          <w:i/>
        </w:rPr>
        <w:t>Artículo 179</w:t>
      </w:r>
      <w:r w:rsidRPr="00DB53F9">
        <w:rPr>
          <w:rFonts w:ascii="Palatino Linotype" w:eastAsia="Calibri" w:hAnsi="Palatino Linotype" w:cs="Arial"/>
          <w:i/>
        </w:rPr>
        <w:t xml:space="preserve">. El recurso de revisión es un medio de protección que la Ley otorga a los particulares, para hacer valer su derecho de acceso a la información pública, y procederá en contra de las siguientes causas: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I. La negativa a la información solicitada;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II. La clasificación de la información;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III. La declaración de inexistencia de la información;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IV. La declaración de incompetencia por el sujeto obligado;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V. La entrega de información incompleta;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VI. La entrega de información que no corresponda con lo solicitado;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VII. La falta de respuesta a una solicitud de acceso a la información;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VIII. La notificación, entrega o puesta a disposición de información en una modalidad o formato distinto al solicitado;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IX. La entrega o puesta a disposición de información en un formato incomprensible y/o no accesible para el solicitante;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X. Los costos o tiempos de entrega de la información;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XI. La falta de trámite a una solicitud;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XII. La negativa a permitir la consulta directa de la información;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lastRenderedPageBreak/>
        <w:t xml:space="preserve">XIII. La falta, deficiencia o insuficiencia de la fundamentación y/o motivación en la respuesta; y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i/>
        </w:rPr>
        <w:t xml:space="preserve">XIV. La orientación a un trámite específico. </w:t>
      </w:r>
    </w:p>
    <w:p w:rsidR="00746AE8" w:rsidRPr="00DB53F9" w:rsidRDefault="00746AE8" w:rsidP="00746AE8">
      <w:pPr>
        <w:spacing w:line="360" w:lineRule="auto"/>
        <w:ind w:left="567" w:right="567"/>
        <w:jc w:val="both"/>
        <w:rPr>
          <w:rFonts w:ascii="Palatino Linotype" w:eastAsia="Calibri" w:hAnsi="Palatino Linotype" w:cs="Arial"/>
          <w:i/>
        </w:rPr>
      </w:pPr>
      <w:r w:rsidRPr="00DB53F9">
        <w:rPr>
          <w:rFonts w:ascii="Palatino Linotype" w:eastAsia="Calibri" w:hAnsi="Palatino Linotype" w:cs="Arial"/>
          <w:b/>
          <w:i/>
        </w:rPr>
        <w:t>La respuesta que den</w:t>
      </w:r>
      <w:r w:rsidRPr="00DB53F9">
        <w:rPr>
          <w:rFonts w:ascii="Palatino Linotype" w:eastAsia="Calibri" w:hAnsi="Palatino Linotype" w:cs="Arial"/>
          <w:i/>
        </w:rPr>
        <w:t xml:space="preserve"> los sujetos obligados </w:t>
      </w:r>
      <w:r w:rsidRPr="00DB53F9">
        <w:rPr>
          <w:rFonts w:ascii="Palatino Linotype" w:eastAsia="Calibri" w:hAnsi="Palatino Linotype" w:cs="Arial"/>
          <w:i/>
          <w:u w:val="single"/>
        </w:rPr>
        <w:t>derivada de la resolución a un recurso de revisión que proceda por las causales señaladas en las fracciones IV, VII, IX, X, XI y XII es susceptible de ser impugnada de nueva cuenta, mediante recurso de revisión, ante el Instituto.</w:t>
      </w:r>
    </w:p>
    <w:p w:rsidR="00746AE8" w:rsidRPr="00DB53F9" w:rsidRDefault="00746AE8" w:rsidP="00746AE8">
      <w:pPr>
        <w:spacing w:line="360" w:lineRule="auto"/>
        <w:ind w:left="567" w:right="567"/>
        <w:jc w:val="right"/>
        <w:rPr>
          <w:rFonts w:ascii="Palatino Linotype" w:eastAsia="Calibri" w:hAnsi="Palatino Linotype" w:cs="Arial"/>
        </w:rPr>
      </w:pPr>
      <w:r w:rsidRPr="00DB53F9">
        <w:rPr>
          <w:rFonts w:ascii="Palatino Linotype" w:eastAsia="Calibri" w:hAnsi="Palatino Linotype" w:cs="Arial"/>
        </w:rPr>
        <w:t>(Énfasis añadido)</w:t>
      </w:r>
    </w:p>
    <w:p w:rsidR="00746AE8" w:rsidRPr="00DB53F9" w:rsidRDefault="00746AE8" w:rsidP="00746AE8">
      <w:pPr>
        <w:pStyle w:val="Textoindependiente"/>
        <w:spacing w:after="0" w:line="360" w:lineRule="auto"/>
        <w:jc w:val="both"/>
        <w:rPr>
          <w:rFonts w:ascii="Palatino Linotype" w:hAnsi="Palatino Linotype"/>
        </w:rPr>
      </w:pPr>
    </w:p>
    <w:p w:rsidR="00746AE8" w:rsidRPr="00DB53F9" w:rsidRDefault="00746AE8" w:rsidP="00746AE8">
      <w:pPr>
        <w:pStyle w:val="Textoindependiente"/>
        <w:spacing w:after="0" w:line="360" w:lineRule="auto"/>
        <w:jc w:val="both"/>
        <w:rPr>
          <w:rFonts w:ascii="Palatino Linotype" w:hAnsi="Palatino Linotype"/>
        </w:rPr>
      </w:pPr>
      <w:r w:rsidRPr="00DB53F9">
        <w:rPr>
          <w:rFonts w:ascii="Palatino Linotype" w:hAnsi="Palatino Linotype"/>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DB53F9">
        <w:rPr>
          <w:rFonts w:ascii="Palatino Linotype" w:hAnsi="Palatino Linotype"/>
          <w:b/>
        </w:rPr>
        <w:t>la respuesta</w:t>
      </w:r>
      <w:r w:rsidRPr="00DB53F9">
        <w:rPr>
          <w:rFonts w:ascii="Palatino Linotype" w:hAnsi="Palatino Linotype"/>
        </w:rPr>
        <w:t xml:space="preserve"> proporcionada por el Sujeto Obligado derivada del </w:t>
      </w:r>
      <w:r w:rsidRPr="00DB53F9">
        <w:rPr>
          <w:rFonts w:ascii="Palatino Linotype" w:hAnsi="Palatino Linotype"/>
          <w:b/>
        </w:rPr>
        <w:t>cumplimiento a una resolución.</w:t>
      </w:r>
    </w:p>
    <w:p w:rsidR="00746AE8" w:rsidRPr="00DB53F9" w:rsidRDefault="00746AE8" w:rsidP="00746AE8">
      <w:pPr>
        <w:pStyle w:val="Textoindependiente"/>
        <w:spacing w:after="0" w:line="360" w:lineRule="auto"/>
        <w:jc w:val="both"/>
        <w:rPr>
          <w:rFonts w:ascii="Palatino Linotype" w:hAnsi="Palatino Linotype"/>
        </w:rPr>
      </w:pPr>
    </w:p>
    <w:p w:rsidR="00746AE8" w:rsidRPr="00DB53F9" w:rsidRDefault="00746AE8" w:rsidP="00746AE8">
      <w:pPr>
        <w:pStyle w:val="Textoindependiente"/>
        <w:spacing w:after="0" w:line="360" w:lineRule="auto"/>
        <w:jc w:val="both"/>
        <w:rPr>
          <w:rFonts w:ascii="Palatino Linotype" w:hAnsi="Palatino Linotype"/>
        </w:rPr>
      </w:pPr>
      <w:r w:rsidRPr="00DB53F9">
        <w:rPr>
          <w:rFonts w:ascii="Palatino Linotype" w:hAnsi="Palatino Linotype"/>
        </w:rPr>
        <w:t>Circunstancias que no se actualizan, de conformidad con las consideraciones de hecho y derecho siguientes:</w:t>
      </w:r>
    </w:p>
    <w:p w:rsidR="00746AE8" w:rsidRPr="00DB53F9" w:rsidRDefault="00746AE8" w:rsidP="00746AE8">
      <w:pPr>
        <w:pStyle w:val="Textoindependiente"/>
        <w:spacing w:after="0" w:line="360" w:lineRule="auto"/>
        <w:jc w:val="both"/>
        <w:rPr>
          <w:rFonts w:ascii="Palatino Linotype" w:hAnsi="Palatino Linotype"/>
        </w:rPr>
      </w:pPr>
    </w:p>
    <w:p w:rsidR="00746AE8" w:rsidRPr="00DB53F9" w:rsidRDefault="00746AE8" w:rsidP="00746AE8">
      <w:pPr>
        <w:pStyle w:val="Textoindependiente"/>
        <w:widowControl w:val="0"/>
        <w:numPr>
          <w:ilvl w:val="0"/>
          <w:numId w:val="36"/>
        </w:numPr>
        <w:spacing w:after="0" w:line="360" w:lineRule="auto"/>
        <w:jc w:val="both"/>
        <w:rPr>
          <w:rFonts w:ascii="Palatino Linotype" w:hAnsi="Palatino Linotype"/>
        </w:rPr>
      </w:pPr>
      <w:r w:rsidRPr="00DB53F9">
        <w:rPr>
          <w:rFonts w:ascii="Palatino Linotype" w:hAnsi="Palatino Linotype"/>
        </w:rPr>
        <w:t>Conforme al citado antecedente SÉPTIMO, se acredita la emisión de la resolución al recurso de revisión 005</w:t>
      </w:r>
      <w:r w:rsidR="006D3443" w:rsidRPr="00DB53F9">
        <w:rPr>
          <w:rFonts w:ascii="Palatino Linotype" w:hAnsi="Palatino Linotype"/>
        </w:rPr>
        <w:t>20</w:t>
      </w:r>
      <w:r w:rsidRPr="00DB53F9">
        <w:rPr>
          <w:rFonts w:ascii="Palatino Linotype" w:hAnsi="Palatino Linotype"/>
        </w:rPr>
        <w:t>/INFOEM/IP/RR/2023, al encuadrar en la fracción VII del multicitado artículo 179; y</w:t>
      </w:r>
    </w:p>
    <w:p w:rsidR="00746AE8" w:rsidRPr="00DB53F9" w:rsidRDefault="00746AE8" w:rsidP="00746AE8">
      <w:pPr>
        <w:pStyle w:val="Textoindependiente"/>
        <w:widowControl w:val="0"/>
        <w:numPr>
          <w:ilvl w:val="0"/>
          <w:numId w:val="36"/>
        </w:numPr>
        <w:spacing w:after="0" w:line="360" w:lineRule="auto"/>
        <w:jc w:val="both"/>
        <w:rPr>
          <w:rFonts w:ascii="Palatino Linotype" w:hAnsi="Palatino Linotype"/>
        </w:rPr>
      </w:pPr>
      <w:r w:rsidRPr="00DB53F9">
        <w:rPr>
          <w:rFonts w:ascii="Palatino Linotype" w:hAnsi="Palatino Linotype"/>
        </w:rPr>
        <w:t xml:space="preserve">En el antecedente OCTAVO, se observa </w:t>
      </w:r>
      <w:r w:rsidRPr="00DB53F9">
        <w:rPr>
          <w:rFonts w:ascii="Palatino Linotype" w:hAnsi="Palatino Linotype"/>
          <w:b/>
        </w:rPr>
        <w:t>no existir respuesta</w:t>
      </w:r>
      <w:r w:rsidRPr="00DB53F9">
        <w:rPr>
          <w:rFonts w:ascii="Palatino Linotype" w:hAnsi="Palatino Linotype"/>
        </w:rPr>
        <w:t xml:space="preserve"> o pronunciamiento alguno por parte del Sujeto Obligado, es decir, fue omiso a lo ordenado en la resolución del recurso de revisión 005</w:t>
      </w:r>
      <w:r w:rsidR="006D3443" w:rsidRPr="00DB53F9">
        <w:rPr>
          <w:rFonts w:ascii="Palatino Linotype" w:hAnsi="Palatino Linotype"/>
        </w:rPr>
        <w:t>20</w:t>
      </w:r>
      <w:r w:rsidRPr="00DB53F9">
        <w:rPr>
          <w:rFonts w:ascii="Palatino Linotype" w:hAnsi="Palatino Linotype"/>
        </w:rPr>
        <w:t>/INFOEM/IP/RR/2023.</w:t>
      </w:r>
    </w:p>
    <w:p w:rsidR="00746AE8" w:rsidRPr="00DB53F9" w:rsidRDefault="00746AE8" w:rsidP="00746AE8">
      <w:pPr>
        <w:pStyle w:val="Textoindependiente"/>
        <w:spacing w:after="0" w:line="360" w:lineRule="auto"/>
        <w:jc w:val="both"/>
        <w:rPr>
          <w:rFonts w:ascii="Palatino Linotype" w:hAnsi="Palatino Linotype"/>
        </w:rPr>
      </w:pPr>
    </w:p>
    <w:p w:rsidR="00746AE8" w:rsidRPr="00DB53F9" w:rsidRDefault="00746AE8" w:rsidP="00746AE8">
      <w:pPr>
        <w:pStyle w:val="Textoindependiente"/>
        <w:spacing w:after="0" w:line="360" w:lineRule="auto"/>
        <w:ind w:hanging="1"/>
        <w:jc w:val="both"/>
        <w:rPr>
          <w:rFonts w:ascii="Palatino Linotype" w:hAnsi="Palatino Linotype"/>
        </w:rPr>
      </w:pPr>
      <w:r w:rsidRPr="00DB53F9">
        <w:rPr>
          <w:rFonts w:ascii="Palatino Linotype" w:hAnsi="Palatino Linotype"/>
        </w:rPr>
        <w:t xml:space="preserve">Con base en lo anterior, no se acredita la procedencia de la interposición de segundo recurso de revisión, al </w:t>
      </w:r>
      <w:r w:rsidRPr="00DB53F9">
        <w:rPr>
          <w:rFonts w:ascii="Palatino Linotype" w:hAnsi="Palatino Linotype"/>
          <w:b/>
        </w:rPr>
        <w:t>establecerse de manera clara y precisa como requisito, la existencia de respuesta</w:t>
      </w:r>
      <w:r w:rsidRPr="00DB53F9">
        <w:rPr>
          <w:rFonts w:ascii="Palatino Linotype" w:hAnsi="Palatino Linotype"/>
        </w:rPr>
        <w:t xml:space="preserve"> por parte del Sujeto Obligado, la cual habrá ser objeto de estudio y análisis en el segundo recurso de revisión.</w:t>
      </w:r>
    </w:p>
    <w:p w:rsidR="00746AE8" w:rsidRPr="00DB53F9" w:rsidRDefault="00746AE8" w:rsidP="00746AE8">
      <w:pPr>
        <w:pStyle w:val="Textoindependiente"/>
        <w:spacing w:after="0" w:line="360" w:lineRule="auto"/>
        <w:ind w:hanging="1"/>
        <w:jc w:val="both"/>
        <w:rPr>
          <w:rFonts w:ascii="Palatino Linotype" w:hAnsi="Palatino Linotype"/>
        </w:rPr>
      </w:pPr>
    </w:p>
    <w:p w:rsidR="00746AE8" w:rsidRPr="00DB53F9" w:rsidRDefault="00746AE8" w:rsidP="00746AE8">
      <w:pPr>
        <w:pStyle w:val="Textoindependiente"/>
        <w:spacing w:after="0" w:line="360" w:lineRule="auto"/>
        <w:ind w:hanging="1"/>
        <w:jc w:val="both"/>
        <w:rPr>
          <w:rFonts w:ascii="Palatino Linotype" w:hAnsi="Palatino Linotype"/>
        </w:rPr>
      </w:pPr>
      <w:r w:rsidRPr="00DB53F9">
        <w:rPr>
          <w:rFonts w:ascii="Palatino Linotype" w:hAnsi="Palatino Linotype"/>
        </w:rPr>
        <w:t>Por las razones antes expuestas se actualiza la causa de improcedencia prevista en la fracción III del artículo 191 de la Ley de Transparencia y Acceso a la Información Pública del Estado de México y Municipios, que establece lo siguiente:</w:t>
      </w:r>
    </w:p>
    <w:p w:rsidR="00746AE8" w:rsidRPr="00DB53F9" w:rsidRDefault="00746AE8" w:rsidP="00746AE8">
      <w:pPr>
        <w:pStyle w:val="Textoindependiente"/>
        <w:spacing w:after="0" w:line="360" w:lineRule="auto"/>
        <w:ind w:hanging="1"/>
        <w:jc w:val="both"/>
        <w:rPr>
          <w:rFonts w:ascii="Palatino Linotype" w:hAnsi="Palatino Linotype"/>
        </w:rPr>
      </w:pPr>
    </w:p>
    <w:p w:rsidR="00746AE8" w:rsidRPr="00DB53F9" w:rsidRDefault="00746AE8" w:rsidP="00746AE8">
      <w:pPr>
        <w:pStyle w:val="Textoindependiente"/>
        <w:spacing w:after="0" w:line="360" w:lineRule="auto"/>
        <w:ind w:left="567" w:right="567" w:firstLine="1"/>
        <w:jc w:val="both"/>
        <w:rPr>
          <w:rFonts w:ascii="Palatino Linotype" w:hAnsi="Palatino Linotype"/>
          <w:i/>
        </w:rPr>
      </w:pPr>
      <w:r w:rsidRPr="00DB53F9">
        <w:rPr>
          <w:rFonts w:ascii="Palatino Linotype" w:hAnsi="Palatino Linotype"/>
          <w:b/>
          <w:i/>
        </w:rPr>
        <w:t>Artículo 191</w:t>
      </w:r>
      <w:r w:rsidRPr="00DB53F9">
        <w:rPr>
          <w:rFonts w:ascii="Palatino Linotype" w:hAnsi="Palatino Linotype"/>
          <w:i/>
        </w:rPr>
        <w:t>. El recurso será desechado por improcedente cuando:</w:t>
      </w:r>
    </w:p>
    <w:p w:rsidR="00746AE8" w:rsidRPr="00DB53F9"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i/>
        </w:rPr>
      </w:pPr>
      <w:r w:rsidRPr="00DB53F9">
        <w:rPr>
          <w:rFonts w:ascii="Palatino Linotype" w:hAnsi="Palatino Linotype"/>
          <w:i/>
        </w:rPr>
        <w:t>(…);</w:t>
      </w:r>
    </w:p>
    <w:p w:rsidR="00746AE8" w:rsidRPr="00DB53F9"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i/>
        </w:rPr>
      </w:pPr>
      <w:r w:rsidRPr="00DB53F9">
        <w:rPr>
          <w:rFonts w:ascii="Palatino Linotype" w:hAnsi="Palatino Linotype"/>
          <w:i/>
        </w:rPr>
        <w:t>(…);</w:t>
      </w:r>
    </w:p>
    <w:p w:rsidR="00746AE8" w:rsidRPr="00DB53F9"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b/>
          <w:i/>
        </w:rPr>
      </w:pPr>
      <w:r w:rsidRPr="00DB53F9">
        <w:rPr>
          <w:rFonts w:ascii="Palatino Linotype" w:hAnsi="Palatino Linotype"/>
          <w:b/>
          <w:i/>
        </w:rPr>
        <w:t>No actualice alguno de los supuestos previstos en la presente Ley;</w:t>
      </w:r>
    </w:p>
    <w:p w:rsidR="00746AE8" w:rsidRPr="00DB53F9" w:rsidRDefault="00746AE8" w:rsidP="00746AE8">
      <w:pPr>
        <w:pStyle w:val="Textoindependiente"/>
        <w:spacing w:after="0" w:line="360" w:lineRule="auto"/>
        <w:jc w:val="both"/>
        <w:rPr>
          <w:rFonts w:ascii="Palatino Linotype" w:hAnsi="Palatino Linotype"/>
        </w:rPr>
      </w:pPr>
    </w:p>
    <w:p w:rsidR="00746AE8" w:rsidRPr="00DB53F9" w:rsidRDefault="00746AE8" w:rsidP="00746AE8">
      <w:pPr>
        <w:pStyle w:val="Textoindependiente"/>
        <w:spacing w:after="0" w:line="360" w:lineRule="auto"/>
        <w:ind w:hanging="1"/>
        <w:jc w:val="both"/>
        <w:rPr>
          <w:rFonts w:ascii="Palatino Linotype" w:eastAsia="Calibri" w:hAnsi="Palatino Linotype" w:cs="Arial"/>
        </w:rPr>
      </w:pPr>
      <w:r w:rsidRPr="00DB53F9">
        <w:rPr>
          <w:rFonts w:ascii="Palatino Linotype" w:hAnsi="Palatino Linotype"/>
        </w:rPr>
        <w:t xml:space="preserve">Por lo tanto, dado que el medio de impugnación </w:t>
      </w:r>
      <w:r w:rsidRPr="00DB53F9">
        <w:rPr>
          <w:rFonts w:ascii="Palatino Linotype" w:hAnsi="Palatino Linotype"/>
          <w:b/>
        </w:rPr>
        <w:t>005</w:t>
      </w:r>
      <w:r w:rsidR="006D3443" w:rsidRPr="00DB53F9">
        <w:rPr>
          <w:rFonts w:ascii="Palatino Linotype" w:hAnsi="Palatino Linotype"/>
          <w:b/>
        </w:rPr>
        <w:t>20</w:t>
      </w:r>
      <w:r w:rsidRPr="00DB53F9">
        <w:rPr>
          <w:rFonts w:ascii="Palatino Linotype" w:hAnsi="Palatino Linotype"/>
          <w:b/>
        </w:rPr>
        <w:t>/INFOEM/ICR-</w:t>
      </w:r>
      <w:r w:rsidR="006D3443" w:rsidRPr="00DB53F9">
        <w:rPr>
          <w:rFonts w:ascii="Palatino Linotype" w:hAnsi="Palatino Linotype"/>
          <w:b/>
        </w:rPr>
        <w:t>208</w:t>
      </w:r>
      <w:r w:rsidRPr="00DB53F9">
        <w:rPr>
          <w:rFonts w:ascii="Palatino Linotype" w:hAnsi="Palatino Linotype"/>
          <w:b/>
        </w:rPr>
        <w:t>/IP/RR/2023</w:t>
      </w:r>
      <w:r w:rsidRPr="00DB53F9">
        <w:rPr>
          <w:rFonts w:ascii="Palatino Linotype" w:hAnsi="Palatino Linotype"/>
        </w:rPr>
        <w:t xml:space="preserve">, no actualiza la causal de procedencia establecida en el último párrafo del artículo 179 de la Ley de Transparencia Local, toda vez que, no existe respuesta por parte del Sujeto Obligado en cumplimiento al recurso de revisión número </w:t>
      </w:r>
      <w:r w:rsidRPr="00DB53F9">
        <w:rPr>
          <w:rFonts w:ascii="Palatino Linotype" w:hAnsi="Palatino Linotype"/>
          <w:b/>
          <w:bCs/>
        </w:rPr>
        <w:t>005</w:t>
      </w:r>
      <w:r w:rsidR="006D3443" w:rsidRPr="00DB53F9">
        <w:rPr>
          <w:rFonts w:ascii="Palatino Linotype" w:hAnsi="Palatino Linotype"/>
          <w:b/>
          <w:bCs/>
        </w:rPr>
        <w:t>20</w:t>
      </w:r>
      <w:r w:rsidRPr="00DB53F9">
        <w:rPr>
          <w:rFonts w:ascii="Palatino Linotype" w:hAnsi="Palatino Linotype"/>
          <w:b/>
          <w:bCs/>
        </w:rPr>
        <w:t>/INFOEM/IP/RR/2023</w:t>
      </w:r>
      <w:r w:rsidRPr="00DB53F9">
        <w:rPr>
          <w:rFonts w:ascii="Palatino Linotype" w:hAnsi="Palatino Linotype"/>
        </w:rPr>
        <w:t>, es que se actualiza la causal de desechamiento establecida en el artículo 191, fracción III de la Ley de la materia.</w:t>
      </w:r>
    </w:p>
    <w:p w:rsidR="00746AE8" w:rsidRPr="00DB53F9" w:rsidRDefault="00746AE8" w:rsidP="00746AE8">
      <w:pPr>
        <w:pStyle w:val="Textoindependiente"/>
        <w:spacing w:after="0" w:line="360" w:lineRule="auto"/>
        <w:ind w:hanging="1"/>
        <w:jc w:val="both"/>
        <w:rPr>
          <w:rFonts w:ascii="Palatino Linotype" w:hAnsi="Palatino Linotype"/>
        </w:rPr>
      </w:pPr>
    </w:p>
    <w:p w:rsidR="00071DB1" w:rsidRPr="00DB53F9" w:rsidRDefault="00746AE8" w:rsidP="00746AE8">
      <w:pPr>
        <w:pStyle w:val="Textoindependiente"/>
        <w:spacing w:after="0" w:line="360" w:lineRule="auto"/>
        <w:ind w:hanging="1"/>
        <w:jc w:val="both"/>
        <w:rPr>
          <w:rFonts w:ascii="Palatino Linotype" w:hAnsi="Palatino Linotype" w:cs="Arial"/>
        </w:rPr>
      </w:pPr>
      <w:r w:rsidRPr="00DB53F9">
        <w:rPr>
          <w:rFonts w:ascii="Palatino Linotype" w:hAnsi="Palatino Linotype"/>
        </w:rPr>
        <w:t xml:space="preserve">Ahora bien, </w:t>
      </w:r>
      <w:r w:rsidR="00071DB1" w:rsidRPr="00DB53F9">
        <w:rPr>
          <w:rFonts w:ascii="Palatino Linotype" w:hAnsi="Palatino Linotype" w:cs="Arial"/>
        </w:rPr>
        <w:t>el artículo 192, de la Ley de Transparencia y Acceso a la Información Pública del Estado de México y Municipios, establece:</w:t>
      </w:r>
    </w:p>
    <w:p w:rsidR="00071DB1" w:rsidRPr="00DB53F9" w:rsidRDefault="00071DB1" w:rsidP="00071DB1">
      <w:pPr>
        <w:spacing w:line="276" w:lineRule="auto"/>
        <w:ind w:left="567" w:right="567"/>
        <w:jc w:val="both"/>
        <w:rPr>
          <w:rFonts w:ascii="Palatino Linotype" w:hAnsi="Palatino Linotype" w:cs="Arial"/>
          <w:i/>
        </w:rPr>
      </w:pPr>
    </w:p>
    <w:p w:rsidR="00071DB1" w:rsidRPr="00DB53F9" w:rsidRDefault="00071DB1" w:rsidP="00071DB1">
      <w:pPr>
        <w:spacing w:line="276" w:lineRule="auto"/>
        <w:ind w:left="567" w:right="567"/>
        <w:jc w:val="both"/>
        <w:rPr>
          <w:rFonts w:ascii="Palatino Linotype" w:hAnsi="Palatino Linotype" w:cs="Arial"/>
          <w:i/>
        </w:rPr>
      </w:pPr>
      <w:r w:rsidRPr="00DB53F9">
        <w:rPr>
          <w:rFonts w:ascii="Palatino Linotype" w:hAnsi="Palatino Linotype" w:cs="Arial"/>
          <w:i/>
        </w:rPr>
        <w:t>“</w:t>
      </w:r>
      <w:r w:rsidRPr="00DB53F9">
        <w:rPr>
          <w:rFonts w:ascii="Palatino Linotype" w:hAnsi="Palatino Linotype" w:cs="Arial"/>
          <w:b/>
          <w:i/>
        </w:rPr>
        <w:t>Artículo 192.</w:t>
      </w:r>
      <w:r w:rsidRPr="00DB53F9">
        <w:rPr>
          <w:rFonts w:ascii="Palatino Linotype" w:hAnsi="Palatino Linotype" w:cs="Arial"/>
          <w:i/>
        </w:rPr>
        <w:t xml:space="preserve"> El recurso será sobreseído, en todo o en parte, cuando una vez admitido, se actualicen alguno de los siguientes supuestos:</w:t>
      </w:r>
    </w:p>
    <w:p w:rsidR="00071DB1" w:rsidRPr="00DB53F9" w:rsidRDefault="00071DB1" w:rsidP="00071DB1">
      <w:pPr>
        <w:spacing w:line="276" w:lineRule="auto"/>
        <w:ind w:left="567" w:right="567"/>
        <w:jc w:val="both"/>
        <w:rPr>
          <w:rFonts w:ascii="Palatino Linotype" w:hAnsi="Palatino Linotype" w:cs="Arial"/>
          <w:i/>
        </w:rPr>
      </w:pPr>
      <w:r w:rsidRPr="00DB53F9">
        <w:rPr>
          <w:rFonts w:ascii="Palatino Linotype" w:hAnsi="Palatino Linotype" w:cs="Arial"/>
          <w:i/>
        </w:rPr>
        <w:t>…</w:t>
      </w:r>
    </w:p>
    <w:p w:rsidR="00071DB1" w:rsidRPr="00DB53F9" w:rsidRDefault="00071DB1" w:rsidP="00071DB1">
      <w:pPr>
        <w:spacing w:line="276" w:lineRule="auto"/>
        <w:ind w:left="567" w:right="567"/>
        <w:jc w:val="both"/>
        <w:rPr>
          <w:rFonts w:ascii="Palatino Linotype" w:hAnsi="Palatino Linotype" w:cs="Arial"/>
          <w:i/>
        </w:rPr>
      </w:pPr>
      <w:r w:rsidRPr="00DB53F9">
        <w:rPr>
          <w:rFonts w:ascii="Palatino Linotype" w:hAnsi="Palatino Linotype" w:cs="Arial"/>
          <w:i/>
        </w:rPr>
        <w:t>IV. Admitido el recurso de revisión, aparezca alguna causal de improcedencia en los términos de la presente ley;”</w:t>
      </w:r>
    </w:p>
    <w:p w:rsidR="00071DB1" w:rsidRPr="00DB53F9" w:rsidRDefault="00071DB1" w:rsidP="00071DB1">
      <w:pPr>
        <w:spacing w:line="360" w:lineRule="auto"/>
        <w:jc w:val="both"/>
        <w:rPr>
          <w:rFonts w:ascii="Palatino Linotype" w:hAnsi="Palatino Linotype" w:cs="Arial"/>
        </w:rPr>
      </w:pPr>
    </w:p>
    <w:p w:rsidR="00071DB1" w:rsidRPr="00DB53F9" w:rsidRDefault="00071DB1" w:rsidP="00071DB1">
      <w:pPr>
        <w:spacing w:line="360" w:lineRule="auto"/>
        <w:jc w:val="both"/>
        <w:rPr>
          <w:rFonts w:ascii="Palatino Linotype" w:hAnsi="Palatino Linotype" w:cs="Arial"/>
        </w:rPr>
      </w:pPr>
      <w:r w:rsidRPr="00DB53F9">
        <w:rPr>
          <w:rFonts w:ascii="Palatino Linotype" w:hAnsi="Palatino Linotype" w:cs="Arial"/>
        </w:rPr>
        <w:t xml:space="preserve">Precepto legal que contiene tres elementos normativos: </w:t>
      </w:r>
    </w:p>
    <w:p w:rsidR="00071DB1" w:rsidRPr="00DB53F9" w:rsidRDefault="00071DB1" w:rsidP="00071DB1"/>
    <w:p w:rsidR="00071DB1" w:rsidRPr="00DB53F9" w:rsidRDefault="00071DB1" w:rsidP="00071DB1">
      <w:pPr>
        <w:numPr>
          <w:ilvl w:val="0"/>
          <w:numId w:val="33"/>
        </w:numPr>
        <w:spacing w:after="160" w:line="360" w:lineRule="auto"/>
        <w:jc w:val="both"/>
        <w:rPr>
          <w:rFonts w:ascii="Palatino Linotype" w:hAnsi="Palatino Linotype" w:cs="Arial"/>
        </w:rPr>
      </w:pPr>
      <w:r w:rsidRPr="00DB53F9">
        <w:rPr>
          <w:rFonts w:ascii="Palatino Linotype" w:hAnsi="Palatino Linotype" w:cs="Arial"/>
        </w:rPr>
        <w:t>Admitido el recurso de revisión;</w:t>
      </w:r>
    </w:p>
    <w:p w:rsidR="00071DB1" w:rsidRPr="00DB53F9" w:rsidRDefault="00071DB1" w:rsidP="00071DB1">
      <w:pPr>
        <w:numPr>
          <w:ilvl w:val="0"/>
          <w:numId w:val="33"/>
        </w:numPr>
        <w:spacing w:after="160" w:line="360" w:lineRule="auto"/>
        <w:jc w:val="both"/>
        <w:rPr>
          <w:rFonts w:ascii="Palatino Linotype" w:hAnsi="Palatino Linotype" w:cs="Arial"/>
        </w:rPr>
      </w:pPr>
      <w:r w:rsidRPr="00DB53F9">
        <w:rPr>
          <w:rFonts w:ascii="Palatino Linotype" w:hAnsi="Palatino Linotype" w:cs="Arial"/>
        </w:rPr>
        <w:t>Aparezca alguna causal de improcedencia;</w:t>
      </w:r>
    </w:p>
    <w:p w:rsidR="00071DB1" w:rsidRPr="00DB53F9" w:rsidRDefault="00071DB1" w:rsidP="00071DB1">
      <w:pPr>
        <w:numPr>
          <w:ilvl w:val="0"/>
          <w:numId w:val="33"/>
        </w:numPr>
        <w:spacing w:after="160" w:line="360" w:lineRule="auto"/>
        <w:jc w:val="both"/>
        <w:rPr>
          <w:rFonts w:ascii="Palatino Linotype" w:hAnsi="Palatino Linotype" w:cs="Arial"/>
        </w:rPr>
      </w:pPr>
      <w:r w:rsidRPr="00DB53F9">
        <w:rPr>
          <w:rFonts w:ascii="Palatino Linotype" w:hAnsi="Palatino Linotype" w:cs="Arial"/>
        </w:rPr>
        <w:t>En los términos de la presente ley.</w:t>
      </w:r>
    </w:p>
    <w:p w:rsidR="00071DB1" w:rsidRPr="00DB53F9" w:rsidRDefault="00071DB1" w:rsidP="00071DB1">
      <w:pPr>
        <w:spacing w:line="360" w:lineRule="auto"/>
        <w:jc w:val="both"/>
        <w:rPr>
          <w:rFonts w:ascii="Palatino Linotype" w:hAnsi="Palatino Linotype" w:cs="Aharoni"/>
        </w:rPr>
      </w:pPr>
    </w:p>
    <w:p w:rsidR="00071DB1" w:rsidRPr="00DB53F9" w:rsidRDefault="00071DB1" w:rsidP="00071DB1">
      <w:pPr>
        <w:spacing w:line="360" w:lineRule="auto"/>
        <w:jc w:val="both"/>
        <w:rPr>
          <w:rFonts w:ascii="Palatino Linotype" w:hAnsi="Palatino Linotype" w:cs="Aharoni"/>
        </w:rPr>
      </w:pPr>
      <w:r w:rsidRPr="00DB53F9">
        <w:rPr>
          <w:rFonts w:ascii="Palatino Linotype" w:hAnsi="Palatino Linotype" w:cs="Aharoni"/>
        </w:rPr>
        <w:t>De una interpretación armónica a los supuestos que prevé la Ley precitada, lo anterior se robustece con lo que establece el artículo 191, que estipula:</w:t>
      </w:r>
    </w:p>
    <w:p w:rsidR="00071DB1" w:rsidRPr="00DB53F9" w:rsidRDefault="00071DB1" w:rsidP="00071DB1">
      <w:pPr>
        <w:spacing w:line="360" w:lineRule="auto"/>
        <w:jc w:val="both"/>
        <w:rPr>
          <w:rFonts w:ascii="Palatino Linotype" w:hAnsi="Palatino Linotype" w:cs="Aharoni"/>
        </w:rPr>
      </w:pPr>
    </w:p>
    <w:p w:rsidR="00071DB1" w:rsidRPr="00DB53F9" w:rsidRDefault="00071DB1" w:rsidP="00071DB1">
      <w:pPr>
        <w:spacing w:line="360" w:lineRule="auto"/>
        <w:ind w:left="567" w:right="567"/>
        <w:jc w:val="both"/>
        <w:rPr>
          <w:rFonts w:ascii="Palatino Linotype" w:hAnsi="Palatino Linotype" w:cs="Aharoni"/>
          <w:i/>
        </w:rPr>
      </w:pPr>
      <w:r w:rsidRPr="00DB53F9">
        <w:rPr>
          <w:rFonts w:ascii="Palatino Linotype" w:hAnsi="Palatino Linotype" w:cs="Aharoni"/>
          <w:i/>
        </w:rPr>
        <w:t>“</w:t>
      </w:r>
      <w:r w:rsidRPr="00DB53F9">
        <w:rPr>
          <w:rFonts w:ascii="Palatino Linotype" w:hAnsi="Palatino Linotype" w:cs="Aharoni"/>
          <w:b/>
          <w:i/>
        </w:rPr>
        <w:t>Artículo 191.</w:t>
      </w:r>
      <w:r w:rsidRPr="00DB53F9">
        <w:rPr>
          <w:rFonts w:ascii="Palatino Linotype" w:hAnsi="Palatino Linotype" w:cs="Aharoni"/>
          <w:i/>
        </w:rPr>
        <w:t xml:space="preserve"> El recurso será desechado por improcedente cuando:  </w:t>
      </w:r>
    </w:p>
    <w:p w:rsidR="00071DB1" w:rsidRPr="00DB53F9" w:rsidRDefault="00071DB1" w:rsidP="00071DB1">
      <w:pPr>
        <w:spacing w:line="360" w:lineRule="auto"/>
        <w:ind w:left="567" w:right="567"/>
        <w:jc w:val="both"/>
        <w:rPr>
          <w:rFonts w:ascii="Palatino Linotype" w:hAnsi="Palatino Linotype" w:cs="Aharoni"/>
          <w:i/>
        </w:rPr>
      </w:pPr>
      <w:r w:rsidRPr="00DB53F9">
        <w:rPr>
          <w:rFonts w:ascii="Palatino Linotype" w:hAnsi="Palatino Linotype" w:cs="Aharoni"/>
          <w:i/>
        </w:rPr>
        <w:t xml:space="preserve">I. Sea extemporáneo por haber transcurrido el plazo establecido en la presente Ley, a partir de la respuesta;  </w:t>
      </w:r>
    </w:p>
    <w:p w:rsidR="00071DB1" w:rsidRPr="00DB53F9" w:rsidRDefault="00071DB1" w:rsidP="00071DB1">
      <w:pPr>
        <w:spacing w:line="360" w:lineRule="auto"/>
        <w:ind w:left="567" w:right="567"/>
        <w:jc w:val="both"/>
        <w:rPr>
          <w:rFonts w:ascii="Palatino Linotype" w:hAnsi="Palatino Linotype" w:cs="Aharoni"/>
          <w:i/>
        </w:rPr>
      </w:pPr>
      <w:r w:rsidRPr="00DB53F9">
        <w:rPr>
          <w:rFonts w:ascii="Palatino Linotype" w:hAnsi="Palatino Linotype" w:cs="Aharoni"/>
          <w:i/>
        </w:rPr>
        <w:t xml:space="preserve">II. Se esté tramitando ante el Poder Judicial de la Federación algún recurso o medio de defensa interpuesto por el recurrente;  </w:t>
      </w:r>
    </w:p>
    <w:p w:rsidR="00071DB1" w:rsidRPr="00DB53F9" w:rsidRDefault="00071DB1" w:rsidP="00071DB1">
      <w:pPr>
        <w:spacing w:line="360" w:lineRule="auto"/>
        <w:ind w:left="567" w:right="567"/>
        <w:jc w:val="both"/>
        <w:rPr>
          <w:rFonts w:ascii="Palatino Linotype" w:hAnsi="Palatino Linotype" w:cs="Aharoni"/>
          <w:b/>
          <w:i/>
          <w:u w:val="single"/>
        </w:rPr>
      </w:pPr>
      <w:r w:rsidRPr="00DB53F9">
        <w:rPr>
          <w:rFonts w:ascii="Palatino Linotype" w:hAnsi="Palatino Linotype" w:cs="Aharoni"/>
          <w:b/>
          <w:i/>
          <w:u w:val="single"/>
        </w:rPr>
        <w:t xml:space="preserve">III. No actualice alguno de los supuestos previstos en la presente Ley;  </w:t>
      </w:r>
    </w:p>
    <w:p w:rsidR="00071DB1" w:rsidRPr="00DB53F9" w:rsidRDefault="00071DB1" w:rsidP="00071DB1">
      <w:pPr>
        <w:spacing w:line="360" w:lineRule="auto"/>
        <w:ind w:left="567" w:right="567"/>
        <w:jc w:val="both"/>
        <w:rPr>
          <w:rFonts w:ascii="Palatino Linotype" w:hAnsi="Palatino Linotype" w:cs="Aharoni"/>
          <w:i/>
        </w:rPr>
      </w:pPr>
      <w:r w:rsidRPr="00DB53F9">
        <w:rPr>
          <w:rFonts w:ascii="Palatino Linotype" w:hAnsi="Palatino Linotype" w:cs="Aharoni"/>
          <w:i/>
        </w:rPr>
        <w:t xml:space="preserve">IV. No se haya desahogado la prevención en los términos establecidos en la presente Ley;  </w:t>
      </w:r>
    </w:p>
    <w:p w:rsidR="00071DB1" w:rsidRPr="00DB53F9" w:rsidRDefault="00071DB1" w:rsidP="00071DB1">
      <w:pPr>
        <w:spacing w:line="360" w:lineRule="auto"/>
        <w:ind w:left="567" w:right="567"/>
        <w:jc w:val="both"/>
        <w:rPr>
          <w:rFonts w:ascii="Palatino Linotype" w:hAnsi="Palatino Linotype" w:cs="Aharoni"/>
          <w:i/>
        </w:rPr>
      </w:pPr>
      <w:r w:rsidRPr="00DB53F9">
        <w:rPr>
          <w:rFonts w:ascii="Palatino Linotype" w:hAnsi="Palatino Linotype" w:cs="Aharoni"/>
          <w:i/>
        </w:rPr>
        <w:t xml:space="preserve">V. Se impugne la veracidad de la información proporcionada;  </w:t>
      </w:r>
    </w:p>
    <w:p w:rsidR="00071DB1" w:rsidRPr="00DB53F9" w:rsidRDefault="00071DB1" w:rsidP="00071DB1">
      <w:pPr>
        <w:spacing w:line="360" w:lineRule="auto"/>
        <w:ind w:left="567" w:right="567"/>
        <w:jc w:val="both"/>
        <w:rPr>
          <w:rFonts w:ascii="Palatino Linotype" w:hAnsi="Palatino Linotype" w:cs="Aharoni"/>
          <w:i/>
        </w:rPr>
      </w:pPr>
      <w:r w:rsidRPr="00DB53F9">
        <w:rPr>
          <w:rFonts w:ascii="Palatino Linotype" w:hAnsi="Palatino Linotype" w:cs="Aharoni"/>
          <w:i/>
        </w:rPr>
        <w:t xml:space="preserve">VI. Se trate de una consulta, o trámite en específico; y  </w:t>
      </w:r>
    </w:p>
    <w:p w:rsidR="00071DB1" w:rsidRPr="00DB53F9" w:rsidRDefault="00071DB1" w:rsidP="00071DB1">
      <w:pPr>
        <w:spacing w:line="360" w:lineRule="auto"/>
        <w:ind w:left="567" w:right="567"/>
        <w:jc w:val="both"/>
        <w:rPr>
          <w:rFonts w:ascii="Palatino Linotype" w:hAnsi="Palatino Linotype" w:cs="Aharoni"/>
          <w:i/>
        </w:rPr>
      </w:pPr>
      <w:r w:rsidRPr="00DB53F9">
        <w:rPr>
          <w:rFonts w:ascii="Palatino Linotype" w:hAnsi="Palatino Linotype" w:cs="Aharoni"/>
          <w:i/>
        </w:rPr>
        <w:lastRenderedPageBreak/>
        <w:t>VII. El recurrente amplíe su solicitud en el recurso de revisión, únicamente respecto de los nuevos contenidos.”</w:t>
      </w:r>
    </w:p>
    <w:p w:rsidR="00071DB1" w:rsidRPr="00DB53F9" w:rsidRDefault="00071DB1" w:rsidP="00071DB1">
      <w:pPr>
        <w:spacing w:line="360" w:lineRule="auto"/>
        <w:jc w:val="both"/>
        <w:rPr>
          <w:rFonts w:ascii="Palatino Linotype" w:hAnsi="Palatino Linotype" w:cs="Aharoni"/>
        </w:rPr>
      </w:pPr>
    </w:p>
    <w:p w:rsidR="00071DB1" w:rsidRPr="00DB53F9" w:rsidRDefault="00071DB1" w:rsidP="00071DB1">
      <w:pPr>
        <w:spacing w:line="360" w:lineRule="auto"/>
        <w:jc w:val="both"/>
        <w:rPr>
          <w:rFonts w:ascii="Palatino Linotype" w:hAnsi="Palatino Linotype" w:cs="Aharoni"/>
        </w:rPr>
      </w:pPr>
      <w:r w:rsidRPr="00DB53F9">
        <w:rPr>
          <w:rFonts w:ascii="Palatino Linotype" w:hAnsi="Palatino Linotype" w:cs="Aharoni"/>
        </w:rPr>
        <w:t>En ese sentido es que el presente recurso de revisión actualiza el primer elemento normativo del supuesto previsto en la fracción IV, del artículo 192, de la Ley en la materia, ya que éste fue admitido</w:t>
      </w:r>
      <w:r w:rsidR="005434D4" w:rsidRPr="00DB53F9">
        <w:rPr>
          <w:rFonts w:ascii="Palatino Linotype" w:hAnsi="Palatino Linotype" w:cs="Aharoni"/>
        </w:rPr>
        <w:t>.</w:t>
      </w:r>
    </w:p>
    <w:p w:rsidR="00071DB1" w:rsidRPr="00DB53F9" w:rsidRDefault="00071DB1" w:rsidP="00071DB1">
      <w:pPr>
        <w:spacing w:line="360" w:lineRule="auto"/>
        <w:jc w:val="both"/>
        <w:rPr>
          <w:rFonts w:ascii="Palatino Linotype" w:hAnsi="Palatino Linotype" w:cs="Aharoni"/>
        </w:rPr>
      </w:pPr>
    </w:p>
    <w:p w:rsidR="00071DB1" w:rsidRPr="00DB53F9" w:rsidRDefault="00071DB1" w:rsidP="00654ECF">
      <w:pPr>
        <w:autoSpaceDE w:val="0"/>
        <w:autoSpaceDN w:val="0"/>
        <w:adjustRightInd w:val="0"/>
        <w:spacing w:line="360" w:lineRule="auto"/>
        <w:jc w:val="both"/>
        <w:rPr>
          <w:rFonts w:ascii="Palatino Linotype" w:hAnsi="Palatino Linotype" w:cs="Aharoni"/>
        </w:rPr>
      </w:pPr>
      <w:r w:rsidRPr="00DB53F9">
        <w:rPr>
          <w:rFonts w:ascii="Palatino Linotype" w:hAnsi="Palatino Linotype" w:cs="Aharoni"/>
        </w:rPr>
        <w:t xml:space="preserve">Por lo que hace al segundo elemento normativo consistente en: “2.- </w:t>
      </w:r>
      <w:r w:rsidRPr="00DB53F9">
        <w:rPr>
          <w:rFonts w:ascii="Palatino Linotype" w:hAnsi="Palatino Linotype" w:cs="Aharoni"/>
          <w:i/>
        </w:rPr>
        <w:t>Aparezca alguna causal de improcedencia</w:t>
      </w:r>
      <w:r w:rsidRPr="00DB53F9">
        <w:rPr>
          <w:rFonts w:ascii="Palatino Linotype" w:hAnsi="Palatino Linotype" w:cs="Aharoni"/>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DB53F9">
        <w:rPr>
          <w:rFonts w:ascii="Palatino Linotype" w:hAnsi="Palatino Linotype" w:cs="Aharoni"/>
          <w:b/>
        </w:rPr>
        <w:t>a)</w:t>
      </w:r>
      <w:r w:rsidRPr="00DB53F9">
        <w:rPr>
          <w:rFonts w:ascii="Palatino Linotype" w:hAnsi="Palatino Linotype" w:cs="Aharoni"/>
        </w:rPr>
        <w:t xml:space="preserve"> La existencia de una causal de improcedencia en el expediente, y </w:t>
      </w:r>
      <w:r w:rsidRPr="00DB53F9">
        <w:rPr>
          <w:rFonts w:ascii="Palatino Linotype" w:hAnsi="Palatino Linotype" w:cs="Aharoni"/>
          <w:b/>
        </w:rPr>
        <w:t>b)</w:t>
      </w:r>
      <w:r w:rsidRPr="00DB53F9">
        <w:rPr>
          <w:rFonts w:ascii="Palatino Linotype" w:hAnsi="Palatino Linotype" w:cs="Aharoni"/>
        </w:rPr>
        <w:t xml:space="preserve"> La forma en que la autoridad ha de detectarla, señalarla y valorarla, es decir, a que “</w:t>
      </w:r>
      <w:r w:rsidRPr="00DB53F9">
        <w:rPr>
          <w:rFonts w:ascii="Palatino Linotype" w:hAnsi="Palatino Linotype" w:cs="Aharoni"/>
          <w:i/>
        </w:rPr>
        <w:t>aparezca</w:t>
      </w:r>
      <w:r w:rsidRPr="00DB53F9">
        <w:rPr>
          <w:rFonts w:ascii="Palatino Linotype" w:hAnsi="Palatino Linotype" w:cs="Aharoni"/>
        </w:rPr>
        <w:t>”; ahora bien, por lo que hace al inciso “</w:t>
      </w:r>
      <w:r w:rsidRPr="00DB53F9">
        <w:rPr>
          <w:rFonts w:ascii="Palatino Linotype" w:hAnsi="Palatino Linotype" w:cs="Aharoni"/>
          <w:b/>
        </w:rPr>
        <w:t>a)</w:t>
      </w:r>
      <w:r w:rsidRPr="00DB53F9">
        <w:rPr>
          <w:rFonts w:ascii="Palatino Linotype" w:hAnsi="Palatino Linotype" w:cs="Aharoni"/>
        </w:rPr>
        <w:t xml:space="preserve">”, la Ley en la materia los especifica en el artículo 191 arriba transcrito, en </w:t>
      </w:r>
      <w:r w:rsidR="005434D4" w:rsidRPr="00DB53F9">
        <w:rPr>
          <w:rFonts w:ascii="Palatino Linotype" w:hAnsi="Palatino Linotype" w:cs="Aharoni"/>
        </w:rPr>
        <w:t>su</w:t>
      </w:r>
      <w:r w:rsidRPr="00DB53F9">
        <w:rPr>
          <w:rFonts w:ascii="Palatino Linotype" w:hAnsi="Palatino Linotype" w:cs="Aharoni"/>
        </w:rPr>
        <w:t xml:space="preserve"> fracción I</w:t>
      </w:r>
      <w:r w:rsidR="005434D4" w:rsidRPr="00DB53F9">
        <w:rPr>
          <w:rFonts w:ascii="Palatino Linotype" w:hAnsi="Palatino Linotype" w:cs="Aharoni"/>
        </w:rPr>
        <w:t>II.</w:t>
      </w:r>
    </w:p>
    <w:p w:rsidR="00071DB1" w:rsidRPr="00DB53F9" w:rsidRDefault="00071DB1" w:rsidP="00071DB1">
      <w:pPr>
        <w:autoSpaceDE w:val="0"/>
        <w:autoSpaceDN w:val="0"/>
        <w:adjustRightInd w:val="0"/>
        <w:spacing w:line="360" w:lineRule="auto"/>
        <w:jc w:val="both"/>
        <w:rPr>
          <w:rFonts w:ascii="Palatino Linotype" w:hAnsi="Palatino Linotype" w:cs="Aharoni"/>
        </w:rPr>
      </w:pPr>
    </w:p>
    <w:p w:rsidR="00071DB1" w:rsidRPr="00DB53F9" w:rsidRDefault="00071DB1" w:rsidP="00071DB1">
      <w:pPr>
        <w:autoSpaceDE w:val="0"/>
        <w:autoSpaceDN w:val="0"/>
        <w:adjustRightInd w:val="0"/>
        <w:spacing w:line="360" w:lineRule="auto"/>
        <w:jc w:val="both"/>
        <w:rPr>
          <w:rFonts w:ascii="Palatino Linotype" w:hAnsi="Palatino Linotype" w:cs="Aharoni"/>
        </w:rPr>
      </w:pPr>
      <w:r w:rsidRPr="00DB53F9">
        <w:rPr>
          <w:rFonts w:ascii="Palatino Linotype" w:hAnsi="Palatino Linotype" w:cs="Aharoni"/>
        </w:rPr>
        <w:t xml:space="preserve">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w:t>
      </w:r>
      <w:r w:rsidR="00654ECF" w:rsidRPr="00DB53F9">
        <w:rPr>
          <w:rFonts w:ascii="Palatino Linotype" w:hAnsi="Palatino Linotype" w:cs="Aharoni"/>
        </w:rPr>
        <w:t>II</w:t>
      </w:r>
      <w:r w:rsidRPr="00DB53F9">
        <w:rPr>
          <w:rFonts w:ascii="Palatino Linotype" w:hAnsi="Palatino Linotype" w:cs="Aharoni"/>
        </w:rPr>
        <w:t>I, de la Ley de Transparencia y Acceso a la Información Pública del Estado de México y Municipios; esto es el Recurso se presentó de forma extemporánea por haber transcurrido el plazo de Ley.</w:t>
      </w:r>
    </w:p>
    <w:p w:rsidR="00071DB1" w:rsidRPr="00DB53F9" w:rsidRDefault="00071DB1" w:rsidP="00071DB1">
      <w:pPr>
        <w:autoSpaceDE w:val="0"/>
        <w:autoSpaceDN w:val="0"/>
        <w:adjustRightInd w:val="0"/>
        <w:spacing w:line="360" w:lineRule="auto"/>
        <w:jc w:val="both"/>
        <w:rPr>
          <w:rFonts w:ascii="Palatino Linotype" w:hAnsi="Palatino Linotype" w:cs="Aharoni"/>
        </w:rPr>
      </w:pPr>
    </w:p>
    <w:p w:rsidR="00071DB1" w:rsidRPr="00DB53F9" w:rsidRDefault="00071DB1" w:rsidP="00071DB1">
      <w:pPr>
        <w:spacing w:line="360" w:lineRule="auto"/>
        <w:ind w:right="51"/>
        <w:jc w:val="both"/>
        <w:rPr>
          <w:rFonts w:ascii="Palatino Linotype" w:hAnsi="Palatino Linotype" w:cs="Aharoni"/>
        </w:rPr>
      </w:pPr>
      <w:r w:rsidRPr="00DB53F9">
        <w:rPr>
          <w:rFonts w:ascii="Palatino Linotype" w:hAnsi="Palatino Linotype" w:cs="Aharoni"/>
        </w:rPr>
        <w:lastRenderedPageBreak/>
        <w:t xml:space="preserve">En mérito de lo expuesto en líneas anteriores, con fundamento en el artículo 186, fracción I, de la Ley de Transparencia y Acceso a la Información Pública del Estado de México y Municipios, se </w:t>
      </w:r>
      <w:r w:rsidRPr="00DB53F9">
        <w:rPr>
          <w:rFonts w:ascii="Palatino Linotype" w:hAnsi="Palatino Linotype" w:cs="Aharoni"/>
          <w:b/>
        </w:rPr>
        <w:t>SOBRESEE</w:t>
      </w:r>
      <w:r w:rsidRPr="00DB53F9">
        <w:rPr>
          <w:rFonts w:ascii="Palatino Linotype" w:hAnsi="Palatino Linotype" w:cs="Aharoni"/>
        </w:rPr>
        <w:t xml:space="preserve"> el recurso de revisión </w:t>
      </w:r>
      <w:r w:rsidR="006D3443" w:rsidRPr="00DB53F9">
        <w:rPr>
          <w:rFonts w:ascii="Palatino Linotype" w:hAnsi="Palatino Linotype"/>
          <w:b/>
        </w:rPr>
        <w:t>00520/INFOEM/ICR-208/IP/RR/2023</w:t>
      </w:r>
      <w:r w:rsidRPr="00DB53F9">
        <w:rPr>
          <w:rFonts w:ascii="Palatino Linotype" w:hAnsi="Palatino Linotype" w:cs="Aharoni"/>
        </w:rPr>
        <w:t>, que ha sido materia del presente fallo.</w:t>
      </w:r>
    </w:p>
    <w:p w:rsidR="00071DB1" w:rsidRPr="00DB53F9" w:rsidRDefault="00071DB1" w:rsidP="00071DB1">
      <w:pPr>
        <w:spacing w:line="360" w:lineRule="auto"/>
        <w:ind w:right="51"/>
        <w:jc w:val="both"/>
        <w:rPr>
          <w:rFonts w:ascii="Palatino Linotype" w:hAnsi="Palatino Linotype" w:cs="Aharoni"/>
        </w:rPr>
      </w:pPr>
    </w:p>
    <w:p w:rsidR="00071DB1" w:rsidRPr="00DB53F9" w:rsidRDefault="00071DB1" w:rsidP="00071DB1">
      <w:pPr>
        <w:tabs>
          <w:tab w:val="left" w:pos="709"/>
        </w:tabs>
        <w:spacing w:line="360" w:lineRule="auto"/>
        <w:ind w:right="51"/>
        <w:jc w:val="both"/>
        <w:rPr>
          <w:rFonts w:ascii="Palatino Linotype" w:hAnsi="Palatino Linotype" w:cs="Aharoni"/>
        </w:rPr>
      </w:pPr>
      <w:r w:rsidRPr="00DB53F9">
        <w:rPr>
          <w:rFonts w:ascii="Palatino Linotype" w:hAnsi="Palatino Linotype" w:cs="Aharoni"/>
        </w:rPr>
        <w:t>Por lo antes expuesto y fundado es de resolverse y,</w:t>
      </w:r>
    </w:p>
    <w:p w:rsidR="00071DB1" w:rsidRPr="00DB53F9" w:rsidRDefault="00071DB1" w:rsidP="00071DB1">
      <w:pPr>
        <w:tabs>
          <w:tab w:val="left" w:pos="709"/>
        </w:tabs>
        <w:spacing w:line="360" w:lineRule="auto"/>
        <w:ind w:right="51"/>
        <w:jc w:val="both"/>
        <w:rPr>
          <w:rFonts w:ascii="Palatino Linotype" w:hAnsi="Palatino Linotype" w:cs="Aharoni"/>
        </w:rPr>
      </w:pPr>
    </w:p>
    <w:p w:rsidR="00071DB1" w:rsidRPr="00DB53F9" w:rsidRDefault="00071DB1" w:rsidP="00071DB1">
      <w:pPr>
        <w:spacing w:line="360" w:lineRule="auto"/>
        <w:jc w:val="center"/>
        <w:rPr>
          <w:rFonts w:ascii="Palatino Linotype" w:hAnsi="Palatino Linotype" w:cs="Aharoni"/>
          <w:b/>
          <w:bCs/>
          <w:spacing w:val="60"/>
          <w:lang w:val="es-ES_tradnl"/>
        </w:rPr>
      </w:pPr>
      <w:r w:rsidRPr="00DB53F9">
        <w:rPr>
          <w:rFonts w:ascii="Palatino Linotype" w:hAnsi="Palatino Linotype" w:cs="Aharoni"/>
          <w:b/>
          <w:bCs/>
          <w:spacing w:val="60"/>
          <w:lang w:val="es-ES_tradnl"/>
        </w:rPr>
        <w:t>SE    RESUELVE</w:t>
      </w:r>
    </w:p>
    <w:p w:rsidR="00071DB1" w:rsidRPr="00DB53F9" w:rsidRDefault="00071DB1" w:rsidP="00071DB1">
      <w:pPr>
        <w:pStyle w:val="Sinespaciado"/>
        <w:spacing w:line="360" w:lineRule="auto"/>
        <w:rPr>
          <w:rFonts w:ascii="Palatino Linotype" w:hAnsi="Palatino Linotype" w:cs="Aharoni"/>
        </w:rPr>
      </w:pPr>
    </w:p>
    <w:p w:rsidR="00071DB1" w:rsidRPr="00DB53F9" w:rsidRDefault="00071DB1" w:rsidP="00071DB1">
      <w:pPr>
        <w:spacing w:line="360" w:lineRule="auto"/>
        <w:jc w:val="both"/>
        <w:rPr>
          <w:rFonts w:ascii="Palatino Linotype" w:hAnsi="Palatino Linotype" w:cs="Aharoni"/>
          <w:lang w:val="es-ES_tradnl"/>
        </w:rPr>
      </w:pPr>
      <w:r w:rsidRPr="00DB53F9">
        <w:rPr>
          <w:rFonts w:ascii="Palatino Linotype" w:hAnsi="Palatino Linotype" w:cs="Aharoni"/>
          <w:b/>
        </w:rPr>
        <w:t>PRIMERO.</w:t>
      </w:r>
      <w:r w:rsidRPr="00DB53F9">
        <w:rPr>
          <w:rFonts w:ascii="Palatino Linotype" w:hAnsi="Palatino Linotype" w:cs="Aharoni"/>
        </w:rPr>
        <w:t xml:space="preserve"> Se </w:t>
      </w:r>
      <w:r w:rsidRPr="00DB53F9">
        <w:rPr>
          <w:rFonts w:ascii="Palatino Linotype" w:hAnsi="Palatino Linotype" w:cs="Aharoni"/>
          <w:b/>
        </w:rPr>
        <w:t>SOBRESEE</w:t>
      </w:r>
      <w:r w:rsidRPr="00DB53F9">
        <w:rPr>
          <w:rFonts w:ascii="Palatino Linotype" w:hAnsi="Palatino Linotype" w:cs="Aharoni"/>
        </w:rPr>
        <w:t xml:space="preserve"> el recurso de revisión número </w:t>
      </w:r>
      <w:r w:rsidR="006D3443" w:rsidRPr="00DB53F9">
        <w:rPr>
          <w:rFonts w:ascii="Palatino Linotype" w:hAnsi="Palatino Linotype"/>
          <w:b/>
        </w:rPr>
        <w:t>00520/INFOEM/ICR-208/IP/RR/2023</w:t>
      </w:r>
      <w:r w:rsidRPr="00DB53F9">
        <w:rPr>
          <w:rFonts w:ascii="Palatino Linotype" w:hAnsi="Palatino Linotype" w:cs="Aharoni"/>
        </w:rPr>
        <w:t xml:space="preserve">, por actualizarse la causal de </w:t>
      </w:r>
      <w:r w:rsidR="00654ECF" w:rsidRPr="00DB53F9">
        <w:rPr>
          <w:rFonts w:ascii="Palatino Linotype" w:hAnsi="Palatino Linotype" w:cs="Aharoni"/>
        </w:rPr>
        <w:t>sobreseimiento</w:t>
      </w:r>
      <w:r w:rsidRPr="00DB53F9">
        <w:rPr>
          <w:rFonts w:ascii="Palatino Linotype" w:hAnsi="Palatino Linotype" w:cs="Aharoni"/>
        </w:rPr>
        <w:t xml:space="preserve"> inmersa en el artículo 192, fracción IV</w:t>
      </w:r>
      <w:r w:rsidR="00654ECF" w:rsidRPr="00DB53F9">
        <w:rPr>
          <w:rFonts w:ascii="Palatino Linotype" w:hAnsi="Palatino Linotype" w:cs="Aharoni"/>
        </w:rPr>
        <w:t xml:space="preserve"> </w:t>
      </w:r>
      <w:r w:rsidRPr="00DB53F9">
        <w:rPr>
          <w:rFonts w:ascii="Palatino Linotype" w:hAnsi="Palatino Linotype" w:cs="Aharoni"/>
        </w:rPr>
        <w:t xml:space="preserve">de la Ley de Transparencia y Acceso a la Información Pública del Estado de México y Municipios, en términos del Considerando </w:t>
      </w:r>
      <w:r w:rsidR="00654ECF" w:rsidRPr="00DB53F9">
        <w:rPr>
          <w:rFonts w:ascii="Palatino Linotype" w:hAnsi="Palatino Linotype" w:cs="Aharoni"/>
          <w:b/>
        </w:rPr>
        <w:t>CUARTO</w:t>
      </w:r>
      <w:r w:rsidRPr="00DB53F9">
        <w:rPr>
          <w:rFonts w:ascii="Palatino Linotype" w:hAnsi="Palatino Linotype" w:cs="Aharoni"/>
        </w:rPr>
        <w:t xml:space="preserve"> de la presente resolución.</w:t>
      </w:r>
    </w:p>
    <w:p w:rsidR="00071DB1" w:rsidRPr="00DB53F9" w:rsidRDefault="00071DB1" w:rsidP="00071DB1">
      <w:pPr>
        <w:spacing w:line="360" w:lineRule="auto"/>
        <w:jc w:val="both"/>
        <w:rPr>
          <w:rFonts w:ascii="Palatino Linotype" w:hAnsi="Palatino Linotype" w:cs="Aharoni"/>
          <w:b/>
        </w:rPr>
      </w:pPr>
    </w:p>
    <w:p w:rsidR="00071DB1" w:rsidRPr="00DB53F9" w:rsidRDefault="00071DB1" w:rsidP="00071DB1">
      <w:pPr>
        <w:spacing w:line="360" w:lineRule="auto"/>
        <w:jc w:val="both"/>
        <w:rPr>
          <w:rFonts w:ascii="Palatino Linotype" w:hAnsi="Palatino Linotype" w:cs="Aharoni"/>
        </w:rPr>
      </w:pPr>
      <w:r w:rsidRPr="00DB53F9">
        <w:rPr>
          <w:rFonts w:ascii="Palatino Linotype" w:hAnsi="Palatino Linotype" w:cs="Aharoni"/>
          <w:b/>
        </w:rPr>
        <w:t>SEGUNDO</w:t>
      </w:r>
      <w:r w:rsidRPr="00DB53F9">
        <w:rPr>
          <w:rFonts w:ascii="Palatino Linotype" w:hAnsi="Palatino Linotype" w:cs="Aharoni"/>
        </w:rPr>
        <w:t xml:space="preserve">. </w:t>
      </w:r>
      <w:r w:rsidRPr="00DB53F9">
        <w:rPr>
          <w:rFonts w:ascii="Palatino Linotype" w:hAnsi="Palatino Linotype" w:cs="Aharoni"/>
          <w:b/>
        </w:rPr>
        <w:t>NOTIFÍQUESE</w:t>
      </w:r>
      <w:r w:rsidRPr="00DB53F9">
        <w:rPr>
          <w:rFonts w:ascii="Palatino Linotype" w:hAnsi="Palatino Linotype" w:cs="Aharoni"/>
        </w:rPr>
        <w:t xml:space="preserve"> vía Sistema de Acceso a la Información Mexiquense </w:t>
      </w:r>
      <w:r w:rsidRPr="00DB53F9">
        <w:rPr>
          <w:rFonts w:ascii="Palatino Linotype" w:hAnsi="Palatino Linotype" w:cs="Aharoni"/>
          <w:b/>
        </w:rPr>
        <w:t xml:space="preserve">(SAIMEX) </w:t>
      </w:r>
      <w:r w:rsidRPr="00DB53F9">
        <w:rPr>
          <w:rFonts w:ascii="Palatino Linotype" w:hAnsi="Palatino Linotype" w:cs="Aharoni"/>
        </w:rPr>
        <w:t xml:space="preserve">la presente resolución al Titular de la Unidad de Transparencia del </w:t>
      </w:r>
      <w:r w:rsidRPr="00DB53F9">
        <w:rPr>
          <w:rFonts w:ascii="Palatino Linotype" w:hAnsi="Palatino Linotype" w:cs="Aharoni"/>
          <w:b/>
        </w:rPr>
        <w:t>Sujeto Obligado</w:t>
      </w:r>
      <w:r w:rsidRPr="00DB53F9">
        <w:rPr>
          <w:rFonts w:ascii="Palatino Linotype" w:hAnsi="Palatino Linotype" w:cs="Aharoni"/>
        </w:rPr>
        <w:t>.</w:t>
      </w:r>
    </w:p>
    <w:p w:rsidR="00071DB1" w:rsidRPr="00DB53F9" w:rsidRDefault="00071DB1" w:rsidP="00071DB1">
      <w:pPr>
        <w:spacing w:line="360" w:lineRule="auto"/>
        <w:ind w:right="51"/>
        <w:jc w:val="both"/>
        <w:rPr>
          <w:rFonts w:ascii="Palatino Linotype" w:hAnsi="Palatino Linotype" w:cs="Aharoni"/>
          <w:b/>
        </w:rPr>
      </w:pPr>
    </w:p>
    <w:p w:rsidR="00071DB1" w:rsidRPr="00DB53F9" w:rsidRDefault="00071DB1" w:rsidP="00071DB1">
      <w:pPr>
        <w:spacing w:line="360" w:lineRule="auto"/>
        <w:ind w:right="51"/>
        <w:jc w:val="both"/>
        <w:rPr>
          <w:rFonts w:ascii="Palatino Linotype" w:hAnsi="Palatino Linotype" w:cs="Aharoni"/>
        </w:rPr>
      </w:pPr>
      <w:r w:rsidRPr="00DB53F9">
        <w:rPr>
          <w:rFonts w:ascii="Palatino Linotype" w:hAnsi="Palatino Linotype" w:cs="Aharoni"/>
          <w:b/>
        </w:rPr>
        <w:t>TERCERO</w:t>
      </w:r>
      <w:r w:rsidRPr="00DB53F9">
        <w:rPr>
          <w:rFonts w:ascii="Palatino Linotype" w:hAnsi="Palatino Linotype" w:cs="Aharoni"/>
        </w:rPr>
        <w:t xml:space="preserve">. </w:t>
      </w:r>
      <w:r w:rsidRPr="00DB53F9">
        <w:rPr>
          <w:rFonts w:ascii="Palatino Linotype" w:hAnsi="Palatino Linotype" w:cs="Aharoni"/>
          <w:b/>
        </w:rPr>
        <w:t xml:space="preserve">NOTIFÍQUESE </w:t>
      </w:r>
      <w:r w:rsidRPr="00DB53F9">
        <w:rPr>
          <w:rFonts w:ascii="Palatino Linotype" w:hAnsi="Palatino Linotype" w:cs="Aharoni"/>
        </w:rPr>
        <w:t xml:space="preserve">al </w:t>
      </w:r>
      <w:r w:rsidRPr="00DB53F9">
        <w:rPr>
          <w:rFonts w:ascii="Palatino Linotype" w:hAnsi="Palatino Linotype" w:cs="Aharoni"/>
          <w:b/>
        </w:rPr>
        <w:t>Recurrente</w:t>
      </w:r>
      <w:r w:rsidRPr="00DB53F9">
        <w:rPr>
          <w:rFonts w:ascii="Palatino Linotype" w:hAnsi="Palatino Linotype" w:cs="Aharoni"/>
        </w:rPr>
        <w:t xml:space="preserve"> mediante el vía Sistema de Acceso a la Información Mexiquense </w:t>
      </w:r>
      <w:r w:rsidRPr="00DB53F9">
        <w:rPr>
          <w:rFonts w:ascii="Palatino Linotype" w:hAnsi="Palatino Linotype" w:cs="Aharoni"/>
          <w:b/>
        </w:rPr>
        <w:t>(SAIMEX)</w:t>
      </w:r>
      <w:r w:rsidRPr="00DB53F9">
        <w:rPr>
          <w:rFonts w:ascii="Palatino Linotype" w:hAnsi="Palatino Linotype" w:cs="Aharoni"/>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071DB1" w:rsidRPr="00DB53F9" w:rsidRDefault="00071DB1" w:rsidP="00071DB1">
      <w:pPr>
        <w:spacing w:line="360" w:lineRule="auto"/>
        <w:jc w:val="both"/>
        <w:rPr>
          <w:rFonts w:ascii="Palatino Linotype" w:hAnsi="Palatino Linotype" w:cs="Aharoni"/>
        </w:rPr>
      </w:pPr>
    </w:p>
    <w:p w:rsidR="002C5864" w:rsidRPr="00DB53F9" w:rsidRDefault="00071DB1" w:rsidP="002C5864">
      <w:pPr>
        <w:spacing w:line="360" w:lineRule="auto"/>
        <w:jc w:val="both"/>
        <w:rPr>
          <w:rFonts w:ascii="Palatino Linotype" w:hAnsi="Palatino Linotype" w:cs="Aharoni"/>
          <w:b/>
          <w:lang w:val="es-419"/>
        </w:rPr>
      </w:pPr>
      <w:r w:rsidRPr="00DB53F9">
        <w:rPr>
          <w:rFonts w:ascii="Palatino Linotype" w:hAnsi="Palatino Linotype" w:cs="Aharoni"/>
        </w:rPr>
        <w:lastRenderedPageBreak/>
        <w:t>ASÍ LO RESUELVE, POR UNANIMIDAD DE VOTOS EL PLENO DEL</w:t>
      </w:r>
      <w:r w:rsidRPr="00DB53F9">
        <w:rPr>
          <w:rFonts w:ascii="Palatino Linotype" w:eastAsia="Arial Unicode MS" w:hAnsi="Palatino Linotype" w:cs="Aharoni"/>
        </w:rPr>
        <w:t xml:space="preserve"> INSTITUTO DE TRANSPARENCIA, ACCESO A LA INFORMACIÓN PÚBLICA Y PROTECCIÓN DE DATOS PERSONALES DEL ESTADO DE MÉXICO Y MUNICIPIOS</w:t>
      </w:r>
      <w:r w:rsidRPr="00DB53F9">
        <w:rPr>
          <w:rFonts w:ascii="Palatino Linotype" w:hAnsi="Palatino Linotype" w:cs="Aharoni"/>
        </w:rPr>
        <w:t xml:space="preserve">, CONFORMADO POR LOS COMISIONADOS JOSÉ MARTÍNEZ VILCHIS; MARÍA DEL ROSARIO MEJÍA AYALA; SHARON CRISTINA MORALES MARTÍNEZ; LUIS GUSTAVO PARRA NORIEGA Y GUADALUPE RAMÍREZ PEÑA; </w:t>
      </w:r>
      <w:r w:rsidR="002C5864" w:rsidRPr="00DB53F9">
        <w:rPr>
          <w:rFonts w:ascii="Palatino Linotype" w:hAnsi="Palatino Linotype"/>
        </w:rPr>
        <w:t xml:space="preserve">EN LA </w:t>
      </w:r>
      <w:r w:rsidR="002C5864" w:rsidRPr="00DB53F9">
        <w:rPr>
          <w:rFonts w:ascii="Palatino Linotype" w:hAnsi="Palatino Linotype"/>
          <w:lang w:val="es-419"/>
        </w:rPr>
        <w:t xml:space="preserve">VIGÉSIMA </w:t>
      </w:r>
      <w:r w:rsidR="002C5864" w:rsidRPr="00DB53F9">
        <w:rPr>
          <w:rFonts w:ascii="Palatino Linotype" w:hAnsi="Palatino Linotype"/>
        </w:rPr>
        <w:t xml:space="preserve">NOVENA SESIÓN ORDINARIA CELEBRADA EL </w:t>
      </w:r>
      <w:r w:rsidR="002C5864" w:rsidRPr="00DB53F9">
        <w:rPr>
          <w:rFonts w:ascii="Palatino Linotype" w:eastAsia="Palatino Linotype" w:hAnsi="Palatino Linotype" w:cs="Palatino Linotype"/>
          <w:color w:val="000000"/>
        </w:rPr>
        <w:t xml:space="preserve">DIECISÉIS </w:t>
      </w:r>
      <w:r w:rsidR="002C5864" w:rsidRPr="00DB53F9">
        <w:rPr>
          <w:rFonts w:ascii="Palatino Linotype" w:eastAsia="Palatino Linotype" w:hAnsi="Palatino Linotype" w:cs="Palatino Linotype"/>
          <w:color w:val="000000"/>
          <w:lang w:val="es-419"/>
        </w:rPr>
        <w:t xml:space="preserve">DE </w:t>
      </w:r>
      <w:r w:rsidR="002C5864" w:rsidRPr="00DB53F9">
        <w:rPr>
          <w:rFonts w:ascii="Palatino Linotype" w:eastAsia="Palatino Linotype" w:hAnsi="Palatino Linotype" w:cs="Palatino Linotype"/>
          <w:color w:val="000000"/>
        </w:rPr>
        <w:t>AGOSTO</w:t>
      </w:r>
      <w:r w:rsidR="002C5864" w:rsidRPr="00DB53F9">
        <w:rPr>
          <w:rFonts w:ascii="Palatino Linotype" w:hAnsi="Palatino Linotype"/>
        </w:rPr>
        <w:t xml:space="preserve"> DE DOS MIL </w:t>
      </w:r>
      <w:r w:rsidR="002C5864" w:rsidRPr="00DB53F9">
        <w:rPr>
          <w:rFonts w:ascii="Palatino Linotype" w:hAnsi="Palatino Linotype"/>
          <w:lang w:val="es-419"/>
        </w:rPr>
        <w:t>VEINTITRÉS</w:t>
      </w:r>
      <w:r w:rsidRPr="00DB53F9">
        <w:rPr>
          <w:rFonts w:ascii="Palatino Linotype" w:hAnsi="Palatino Linotype" w:cs="Aharoni"/>
        </w:rPr>
        <w:t>, ANTE EL SECRETARIO TÉCNICO DEL PLENO, ALEXIS TAPIA RAMÍREZ</w:t>
      </w:r>
      <w:r w:rsidRPr="00DB53F9">
        <w:rPr>
          <w:rFonts w:ascii="Palatino Linotype" w:hAnsi="Palatino Linotype" w:cs="Aharoni"/>
          <w:lang w:val="es-419"/>
        </w:rPr>
        <w:t>.----------------</w:t>
      </w:r>
    </w:p>
    <w:p w:rsidR="00071DB1" w:rsidRPr="00DB53F9" w:rsidRDefault="002C5864" w:rsidP="00071DB1">
      <w:pPr>
        <w:spacing w:line="360" w:lineRule="auto"/>
        <w:jc w:val="both"/>
        <w:rPr>
          <w:rFonts w:ascii="Palatino Linotype" w:hAnsi="Palatino Linotype" w:cs="Aharoni"/>
          <w:b/>
          <w:lang w:val="es-419"/>
        </w:rPr>
      </w:pPr>
      <w:r w:rsidRPr="00DB53F9">
        <w:rPr>
          <w:rFonts w:ascii="Palatino Linotype" w:eastAsia="Palatino Linotype" w:hAnsi="Palatino Linotype" w:cs="Palatino Linotype"/>
        </w:rPr>
        <w:t>----------------------------------------------------------------------------------------------------------------------------------------------------------------------------------------------------------------------------------------------------------------------------------------------------------------------------------------------------------------------------------------------------------------------------------------------------------------------------------------------------------------------------------------------------------------------------------------------------------------------------------------------------------------------------------------------------------------------------------------------------------------------------------------------------------------------------------------------------------------------------------------------------------------------------------------------------------------------------------------------------------------------------------------------------------------------------------------------------------------------------------------------------------------------------------------------------------------------------------------------------------------------------------------------------------------------------------------------------------------------------------------------------------------------------------------------------------------------------------------------------------------------------------------------------------------------------------------------------------------------------------------------------------------------------------------------------------------------------------------------------------------------------------------------------------------------------------------------------------------------------------------------------------------------------------------------------------------</w:t>
      </w:r>
    </w:p>
    <w:p w:rsidR="00071DB1" w:rsidRDefault="00071DB1" w:rsidP="00071DB1">
      <w:pPr>
        <w:spacing w:line="360" w:lineRule="auto"/>
        <w:jc w:val="both"/>
        <w:rPr>
          <w:rFonts w:ascii="Palatino Linotype" w:hAnsi="Palatino Linotype" w:cs="Aharoni"/>
          <w:sz w:val="20"/>
          <w:lang w:val="es-419"/>
        </w:rPr>
      </w:pPr>
      <w:r w:rsidRPr="00DB53F9">
        <w:rPr>
          <w:rFonts w:ascii="Palatino Linotype" w:hAnsi="Palatino Linotype" w:cs="Aharoni"/>
          <w:sz w:val="20"/>
          <w:lang w:val="es-419"/>
        </w:rPr>
        <w:t>JMV/CCR/ROA</w:t>
      </w:r>
      <w:bookmarkStart w:id="0" w:name="_GoBack"/>
      <w:bookmarkEnd w:id="0"/>
    </w:p>
    <w:p w:rsidR="00626B38" w:rsidRDefault="00626B3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Pr="00071DB1" w:rsidRDefault="00830198" w:rsidP="00071DB1"/>
    <w:sectPr w:rsidR="00830198" w:rsidRPr="00071DB1" w:rsidSect="00E17364">
      <w:headerReference w:type="default" r:id="rId8"/>
      <w:footerReference w:type="default" r:id="rId9"/>
      <w:headerReference w:type="first" r:id="rId10"/>
      <w:footerReference w:type="first" r:id="rId11"/>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F1" w:rsidRDefault="009617F1" w:rsidP="008D37AC">
      <w:r>
        <w:separator/>
      </w:r>
    </w:p>
  </w:endnote>
  <w:endnote w:type="continuationSeparator" w:id="0">
    <w:p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53F9">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53F9">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53F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53F9">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F1" w:rsidRDefault="009617F1" w:rsidP="008D37AC">
      <w:r>
        <w:separator/>
      </w:r>
    </w:p>
  </w:footnote>
  <w:footnote w:type="continuationSeparator" w:id="0">
    <w:p w:rsidR="009617F1" w:rsidRDefault="009617F1"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6FF6BF1" wp14:editId="0FDCA0D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rsidR="00341BCF" w:rsidRPr="005A5E02" w:rsidRDefault="00254626" w:rsidP="0076108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005</w:t>
          </w:r>
          <w:r w:rsidR="00761082">
            <w:rPr>
              <w:rFonts w:ascii="Palatino Linotype" w:hAnsi="Palatino Linotype"/>
              <w:b/>
              <w:sz w:val="22"/>
              <w:szCs w:val="22"/>
              <w:lang w:val="es-419"/>
            </w:rPr>
            <w:t>20</w:t>
          </w:r>
          <w:r w:rsidRPr="00F0248E">
            <w:rPr>
              <w:rFonts w:ascii="Palatino Linotype" w:hAnsi="Palatino Linotype"/>
              <w:b/>
              <w:sz w:val="22"/>
              <w:szCs w:val="22"/>
              <w:lang w:val="es-ES_tradnl"/>
            </w:rPr>
            <w:t>/INFOEM/ICR-</w:t>
          </w:r>
          <w:r w:rsidR="00761082">
            <w:rPr>
              <w:rFonts w:ascii="Palatino Linotype" w:hAnsi="Palatino Linotype"/>
              <w:b/>
              <w:sz w:val="22"/>
              <w:szCs w:val="22"/>
              <w:lang w:val="es-419"/>
            </w:rPr>
            <w:t>208</w:t>
          </w:r>
          <w:r w:rsidRPr="00F0248E">
            <w:rPr>
              <w:rFonts w:ascii="Palatino Linotype" w:hAnsi="Palatino Linotype"/>
              <w:b/>
              <w:sz w:val="22"/>
              <w:szCs w:val="22"/>
              <w:lang w:val="es-ES_tradnl"/>
            </w:rPr>
            <w:t>/IP/RR/202</w:t>
          </w:r>
          <w:r>
            <w:rPr>
              <w:rFonts w:ascii="Palatino Linotype" w:hAnsi="Palatino Linotype"/>
              <w:b/>
              <w:sz w:val="22"/>
              <w:szCs w:val="22"/>
              <w:lang w:val="es-419"/>
            </w:rPr>
            <w:t>3</w:t>
          </w:r>
          <w:r>
            <w:rPr>
              <w:rFonts w:ascii="Palatino Linotype" w:hAnsi="Palatino Linotype"/>
              <w:b/>
              <w:sz w:val="22"/>
              <w:szCs w:val="22"/>
              <w:lang w:val="es-ES_tradnl"/>
            </w:rPr>
            <w:t>.</w:t>
          </w:r>
        </w:p>
      </w:tc>
    </w:tr>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rsidR="00341BCF" w:rsidRPr="00927A01" w:rsidRDefault="00CD2364" w:rsidP="00254626">
          <w:pPr>
            <w:ind w:left="-45" w:right="176"/>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254626">
            <w:rPr>
              <w:rFonts w:ascii="Palatino Linotype" w:hAnsi="Palatino Linotype"/>
              <w:b/>
              <w:sz w:val="22"/>
              <w:szCs w:val="22"/>
              <w:lang w:val="es-419"/>
            </w:rPr>
            <w:t>Zinacantepec</w:t>
          </w:r>
          <w:r w:rsidRPr="00CD2364">
            <w:rPr>
              <w:rFonts w:ascii="Palatino Linotype" w:hAnsi="Palatino Linotype"/>
              <w:b/>
              <w:sz w:val="22"/>
              <w:szCs w:val="22"/>
              <w:lang w:val="es-ES_tradnl"/>
            </w:rPr>
            <w:t>.</w:t>
          </w:r>
        </w:p>
      </w:tc>
    </w:tr>
    <w:tr w:rsidR="00341BCF" w:rsidRPr="005A5E02" w:rsidTr="00234FE8">
      <w:trPr>
        <w:gridAfter w:val="1"/>
        <w:wAfter w:w="141" w:type="dxa"/>
      </w:trPr>
      <w:tc>
        <w:tcPr>
          <w:tcW w:w="2552"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3119" w:type="dxa"/>
      <w:tblLayout w:type="fixed"/>
      <w:tblLook w:val="04A0" w:firstRow="1" w:lastRow="0" w:firstColumn="1" w:lastColumn="0" w:noHBand="0" w:noVBand="1"/>
    </w:tblPr>
    <w:tblGrid>
      <w:gridCol w:w="2551"/>
      <w:gridCol w:w="3969"/>
    </w:tblGrid>
    <w:tr w:rsidR="00341BCF" w:rsidRPr="005A5E02" w:rsidTr="00F0248E">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969" w:type="dxa"/>
          <w:shd w:val="clear" w:color="auto" w:fill="auto"/>
          <w:vAlign w:val="center"/>
        </w:tcPr>
        <w:p w:rsidR="00341BCF" w:rsidRPr="005A5E02" w:rsidRDefault="00F0248E" w:rsidP="0069714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005</w:t>
          </w:r>
          <w:r w:rsidR="00697144">
            <w:rPr>
              <w:rFonts w:ascii="Palatino Linotype" w:hAnsi="Palatino Linotype"/>
              <w:b/>
              <w:sz w:val="22"/>
              <w:szCs w:val="22"/>
              <w:lang w:val="es-419"/>
            </w:rPr>
            <w:t>20</w:t>
          </w:r>
          <w:r w:rsidRPr="00F0248E">
            <w:rPr>
              <w:rFonts w:ascii="Palatino Linotype" w:hAnsi="Palatino Linotype"/>
              <w:b/>
              <w:sz w:val="22"/>
              <w:szCs w:val="22"/>
              <w:lang w:val="es-ES_tradnl"/>
            </w:rPr>
            <w:t>/INFOEM/ICR-</w:t>
          </w:r>
          <w:r w:rsidR="00697144">
            <w:rPr>
              <w:rFonts w:ascii="Palatino Linotype" w:hAnsi="Palatino Linotype"/>
              <w:b/>
              <w:sz w:val="22"/>
              <w:szCs w:val="22"/>
              <w:lang w:val="es-419"/>
            </w:rPr>
            <w:t>208</w:t>
          </w:r>
          <w:r w:rsidRPr="00F0248E">
            <w:rPr>
              <w:rFonts w:ascii="Palatino Linotype" w:hAnsi="Palatino Linotype"/>
              <w:b/>
              <w:sz w:val="22"/>
              <w:szCs w:val="22"/>
              <w:lang w:val="es-ES_tradnl"/>
            </w:rPr>
            <w:t>/IP/RR/202</w:t>
          </w:r>
          <w:r>
            <w:rPr>
              <w:rFonts w:ascii="Palatino Linotype" w:hAnsi="Palatino Linotype"/>
              <w:b/>
              <w:sz w:val="22"/>
              <w:szCs w:val="22"/>
              <w:lang w:val="es-419"/>
            </w:rPr>
            <w:t>3</w:t>
          </w:r>
          <w:r w:rsidR="00234FE8">
            <w:rPr>
              <w:rFonts w:ascii="Palatino Linotype" w:hAnsi="Palatino Linotype"/>
              <w:b/>
              <w:sz w:val="22"/>
              <w:szCs w:val="22"/>
              <w:lang w:val="es-ES_tradnl"/>
            </w:rPr>
            <w:t>.</w:t>
          </w:r>
        </w:p>
      </w:tc>
    </w:tr>
    <w:tr w:rsidR="00341BCF" w:rsidRPr="005A5E02" w:rsidTr="00F0248E">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969" w:type="dxa"/>
          <w:shd w:val="clear" w:color="auto" w:fill="auto"/>
          <w:vAlign w:val="center"/>
        </w:tcPr>
        <w:p w:rsidR="00341BCF" w:rsidRPr="00683821" w:rsidRDefault="005B6ACE" w:rsidP="0068382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341BCF" w:rsidRPr="005A5E02" w:rsidTr="00F0248E">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969" w:type="dxa"/>
          <w:shd w:val="clear" w:color="auto" w:fill="auto"/>
          <w:vAlign w:val="center"/>
        </w:tcPr>
        <w:p w:rsidR="00341BCF" w:rsidRPr="00CD2364" w:rsidRDefault="00CD2364" w:rsidP="001B03EF">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254626">
            <w:rPr>
              <w:rFonts w:ascii="Palatino Linotype" w:hAnsi="Palatino Linotype"/>
              <w:b/>
              <w:sz w:val="22"/>
              <w:szCs w:val="22"/>
              <w:lang w:val="es-419"/>
            </w:rPr>
            <w:t>Zinacantepec</w:t>
          </w:r>
          <w:r w:rsidR="00341BCF" w:rsidRPr="00CD2364">
            <w:rPr>
              <w:rFonts w:ascii="Palatino Linotype" w:hAnsi="Palatino Linotype"/>
              <w:b/>
              <w:sz w:val="22"/>
              <w:szCs w:val="22"/>
              <w:lang w:val="es-ES_tradnl"/>
            </w:rPr>
            <w:t>.</w:t>
          </w:r>
        </w:p>
      </w:tc>
    </w:tr>
    <w:tr w:rsidR="00341BCF" w:rsidRPr="005A5E02" w:rsidTr="00F0248E">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969" w:type="dxa"/>
          <w:shd w:val="clear" w:color="auto" w:fill="auto"/>
          <w:vAlign w:val="center"/>
        </w:tcPr>
        <w:p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F7060" wp14:editId="7046F6D4">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A5367"/>
    <w:multiLevelType w:val="multilevel"/>
    <w:tmpl w:val="B1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7"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8"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261845"/>
    <w:multiLevelType w:val="hybridMultilevel"/>
    <w:tmpl w:val="C4EC1F3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21545"/>
    <w:multiLevelType w:val="hybridMultilevel"/>
    <w:tmpl w:val="9F8C6A7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0"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21"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2"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6"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9"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31" w15:restartNumberingAfterBreak="0">
    <w:nsid w:val="779B4E0E"/>
    <w:multiLevelType w:val="multilevel"/>
    <w:tmpl w:val="89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0"/>
  </w:num>
  <w:num w:numId="3">
    <w:abstractNumId w:val="29"/>
  </w:num>
  <w:num w:numId="4">
    <w:abstractNumId w:val="25"/>
  </w:num>
  <w:num w:numId="5">
    <w:abstractNumId w:val="3"/>
  </w:num>
  <w:num w:numId="6">
    <w:abstractNumId w:val="15"/>
  </w:num>
  <w:num w:numId="7">
    <w:abstractNumId w:val="27"/>
  </w:num>
  <w:num w:numId="8">
    <w:abstractNumId w:val="2"/>
  </w:num>
  <w:num w:numId="9">
    <w:abstractNumId w:val="30"/>
  </w:num>
  <w:num w:numId="10">
    <w:abstractNumId w:val="19"/>
  </w:num>
  <w:num w:numId="11">
    <w:abstractNumId w:val="28"/>
  </w:num>
  <w:num w:numId="12">
    <w:abstractNumId w:val="24"/>
  </w:num>
  <w:num w:numId="13">
    <w:abstractNumId w:val="33"/>
  </w:num>
  <w:num w:numId="14">
    <w:abstractNumId w:val="16"/>
  </w:num>
  <w:num w:numId="15">
    <w:abstractNumId w:val="26"/>
  </w:num>
  <w:num w:numId="16">
    <w:abstractNumId w:val="20"/>
  </w:num>
  <w:num w:numId="17">
    <w:abstractNumId w:val="12"/>
  </w:num>
  <w:num w:numId="18">
    <w:abstractNumId w:val="13"/>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
  </w:num>
  <w:num w:numId="24">
    <w:abstractNumId w:val="7"/>
  </w:num>
  <w:num w:numId="25">
    <w:abstractNumId w:val="32"/>
  </w:num>
  <w:num w:numId="26">
    <w:abstractNumId w:val="8"/>
  </w:num>
  <w:num w:numId="27">
    <w:abstractNumId w:val="31"/>
  </w:num>
  <w:num w:numId="28">
    <w:abstractNumId w:val="9"/>
  </w:num>
  <w:num w:numId="29">
    <w:abstractNumId w:val="11"/>
  </w:num>
  <w:num w:numId="30">
    <w:abstractNumId w:val="5"/>
  </w:num>
  <w:num w:numId="31">
    <w:abstractNumId w:val="17"/>
  </w:num>
  <w:num w:numId="32">
    <w:abstractNumId w:val="34"/>
  </w:num>
  <w:num w:numId="33">
    <w:abstractNumId w:val="22"/>
  </w:num>
  <w:num w:numId="34">
    <w:abstractNumId w:val="21"/>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36FC"/>
    <w:rsid w:val="00027682"/>
    <w:rsid w:val="0003383F"/>
    <w:rsid w:val="000348F5"/>
    <w:rsid w:val="000509D0"/>
    <w:rsid w:val="00053D82"/>
    <w:rsid w:val="00053F0E"/>
    <w:rsid w:val="00056743"/>
    <w:rsid w:val="0005688B"/>
    <w:rsid w:val="00056A91"/>
    <w:rsid w:val="0006135F"/>
    <w:rsid w:val="000627FE"/>
    <w:rsid w:val="00065602"/>
    <w:rsid w:val="00071B49"/>
    <w:rsid w:val="00071DB1"/>
    <w:rsid w:val="00071DEB"/>
    <w:rsid w:val="00073888"/>
    <w:rsid w:val="00076CB3"/>
    <w:rsid w:val="00080271"/>
    <w:rsid w:val="000878A7"/>
    <w:rsid w:val="000900B3"/>
    <w:rsid w:val="000930E0"/>
    <w:rsid w:val="00094F07"/>
    <w:rsid w:val="00097177"/>
    <w:rsid w:val="000A0112"/>
    <w:rsid w:val="000A1141"/>
    <w:rsid w:val="000B47E0"/>
    <w:rsid w:val="000B4F76"/>
    <w:rsid w:val="000C1DE7"/>
    <w:rsid w:val="000C4046"/>
    <w:rsid w:val="000C630A"/>
    <w:rsid w:val="000D079B"/>
    <w:rsid w:val="000D3390"/>
    <w:rsid w:val="000D3FA9"/>
    <w:rsid w:val="000D4B78"/>
    <w:rsid w:val="000E5B66"/>
    <w:rsid w:val="000F0078"/>
    <w:rsid w:val="000F3897"/>
    <w:rsid w:val="000F5CB5"/>
    <w:rsid w:val="00102BF1"/>
    <w:rsid w:val="001051CF"/>
    <w:rsid w:val="00112D43"/>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926D8"/>
    <w:rsid w:val="00192E16"/>
    <w:rsid w:val="001A10C7"/>
    <w:rsid w:val="001A3768"/>
    <w:rsid w:val="001A38CA"/>
    <w:rsid w:val="001A7492"/>
    <w:rsid w:val="001A7F5D"/>
    <w:rsid w:val="001B03EF"/>
    <w:rsid w:val="001B0A70"/>
    <w:rsid w:val="001B3E6E"/>
    <w:rsid w:val="001C6DE1"/>
    <w:rsid w:val="001D20BC"/>
    <w:rsid w:val="001D3700"/>
    <w:rsid w:val="001E063D"/>
    <w:rsid w:val="001E1E08"/>
    <w:rsid w:val="001E21ED"/>
    <w:rsid w:val="001E2B77"/>
    <w:rsid w:val="001E49C1"/>
    <w:rsid w:val="001E773F"/>
    <w:rsid w:val="001F3F58"/>
    <w:rsid w:val="00204310"/>
    <w:rsid w:val="00207C41"/>
    <w:rsid w:val="00215E3A"/>
    <w:rsid w:val="00215E6D"/>
    <w:rsid w:val="00217607"/>
    <w:rsid w:val="00220C91"/>
    <w:rsid w:val="00233E7C"/>
    <w:rsid w:val="00234FE8"/>
    <w:rsid w:val="00236C10"/>
    <w:rsid w:val="00245B68"/>
    <w:rsid w:val="00246351"/>
    <w:rsid w:val="0025008F"/>
    <w:rsid w:val="00254626"/>
    <w:rsid w:val="00256290"/>
    <w:rsid w:val="0026398C"/>
    <w:rsid w:val="00270626"/>
    <w:rsid w:val="00272CE2"/>
    <w:rsid w:val="00272F6F"/>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5864"/>
    <w:rsid w:val="002C6329"/>
    <w:rsid w:val="002C74DA"/>
    <w:rsid w:val="002D00C1"/>
    <w:rsid w:val="002D0F21"/>
    <w:rsid w:val="002D16C5"/>
    <w:rsid w:val="002D4ED3"/>
    <w:rsid w:val="002D7DC1"/>
    <w:rsid w:val="002E0A62"/>
    <w:rsid w:val="002E2B72"/>
    <w:rsid w:val="002E3A17"/>
    <w:rsid w:val="002F146B"/>
    <w:rsid w:val="002F3358"/>
    <w:rsid w:val="002F3E2A"/>
    <w:rsid w:val="002F413B"/>
    <w:rsid w:val="00300974"/>
    <w:rsid w:val="00310CE4"/>
    <w:rsid w:val="00312A46"/>
    <w:rsid w:val="003139CE"/>
    <w:rsid w:val="00314FF1"/>
    <w:rsid w:val="003151B3"/>
    <w:rsid w:val="00315E75"/>
    <w:rsid w:val="003169D2"/>
    <w:rsid w:val="0032697B"/>
    <w:rsid w:val="00333412"/>
    <w:rsid w:val="00335A3C"/>
    <w:rsid w:val="00336414"/>
    <w:rsid w:val="00336855"/>
    <w:rsid w:val="00336A00"/>
    <w:rsid w:val="00341BCF"/>
    <w:rsid w:val="00345A36"/>
    <w:rsid w:val="00347992"/>
    <w:rsid w:val="0035278C"/>
    <w:rsid w:val="0035363E"/>
    <w:rsid w:val="00354C28"/>
    <w:rsid w:val="00357758"/>
    <w:rsid w:val="0036458E"/>
    <w:rsid w:val="00373BC8"/>
    <w:rsid w:val="00381378"/>
    <w:rsid w:val="0038454C"/>
    <w:rsid w:val="00386083"/>
    <w:rsid w:val="00390815"/>
    <w:rsid w:val="00394397"/>
    <w:rsid w:val="00397A4C"/>
    <w:rsid w:val="00397B78"/>
    <w:rsid w:val="003A095A"/>
    <w:rsid w:val="003A5E72"/>
    <w:rsid w:val="003B0397"/>
    <w:rsid w:val="003B0F55"/>
    <w:rsid w:val="003B49A9"/>
    <w:rsid w:val="003B67B6"/>
    <w:rsid w:val="003B7020"/>
    <w:rsid w:val="003C259E"/>
    <w:rsid w:val="003C493D"/>
    <w:rsid w:val="003C5457"/>
    <w:rsid w:val="003D0670"/>
    <w:rsid w:val="003D0BD5"/>
    <w:rsid w:val="003D1C4D"/>
    <w:rsid w:val="003D755D"/>
    <w:rsid w:val="003E0368"/>
    <w:rsid w:val="003E10E2"/>
    <w:rsid w:val="003E156A"/>
    <w:rsid w:val="003E41E3"/>
    <w:rsid w:val="003E66E0"/>
    <w:rsid w:val="003F0412"/>
    <w:rsid w:val="003F2F1F"/>
    <w:rsid w:val="003F7ED5"/>
    <w:rsid w:val="00400412"/>
    <w:rsid w:val="00400569"/>
    <w:rsid w:val="004067F5"/>
    <w:rsid w:val="00410C49"/>
    <w:rsid w:val="00411805"/>
    <w:rsid w:val="00411C89"/>
    <w:rsid w:val="00413943"/>
    <w:rsid w:val="0041666C"/>
    <w:rsid w:val="00417920"/>
    <w:rsid w:val="00417B89"/>
    <w:rsid w:val="0042178B"/>
    <w:rsid w:val="004255B8"/>
    <w:rsid w:val="004352AC"/>
    <w:rsid w:val="00447157"/>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20A0"/>
    <w:rsid w:val="00495462"/>
    <w:rsid w:val="004A0669"/>
    <w:rsid w:val="004A17A4"/>
    <w:rsid w:val="004A2D1B"/>
    <w:rsid w:val="004A6E8F"/>
    <w:rsid w:val="004A7529"/>
    <w:rsid w:val="004B4BBB"/>
    <w:rsid w:val="004B579E"/>
    <w:rsid w:val="004B64C1"/>
    <w:rsid w:val="004D3DA8"/>
    <w:rsid w:val="004D7ECD"/>
    <w:rsid w:val="004E0FEE"/>
    <w:rsid w:val="004E31FD"/>
    <w:rsid w:val="004E5B6F"/>
    <w:rsid w:val="004E6BB1"/>
    <w:rsid w:val="004F1F8A"/>
    <w:rsid w:val="004F3D0B"/>
    <w:rsid w:val="004F4236"/>
    <w:rsid w:val="004F5E4B"/>
    <w:rsid w:val="00501403"/>
    <w:rsid w:val="00520146"/>
    <w:rsid w:val="005227B9"/>
    <w:rsid w:val="005237AA"/>
    <w:rsid w:val="00526C31"/>
    <w:rsid w:val="005310B4"/>
    <w:rsid w:val="00534C70"/>
    <w:rsid w:val="0054025D"/>
    <w:rsid w:val="005419ED"/>
    <w:rsid w:val="005434D4"/>
    <w:rsid w:val="00543D5C"/>
    <w:rsid w:val="00545E7B"/>
    <w:rsid w:val="00550A18"/>
    <w:rsid w:val="0055189C"/>
    <w:rsid w:val="00551ACB"/>
    <w:rsid w:val="00552BA4"/>
    <w:rsid w:val="00554467"/>
    <w:rsid w:val="00561695"/>
    <w:rsid w:val="00563DD7"/>
    <w:rsid w:val="00565276"/>
    <w:rsid w:val="0056602E"/>
    <w:rsid w:val="0057126B"/>
    <w:rsid w:val="00571CE1"/>
    <w:rsid w:val="005724C3"/>
    <w:rsid w:val="00573692"/>
    <w:rsid w:val="00577DA6"/>
    <w:rsid w:val="005828DB"/>
    <w:rsid w:val="005837BF"/>
    <w:rsid w:val="0058789C"/>
    <w:rsid w:val="00593CD3"/>
    <w:rsid w:val="00595009"/>
    <w:rsid w:val="005A346C"/>
    <w:rsid w:val="005A3AC4"/>
    <w:rsid w:val="005A60EA"/>
    <w:rsid w:val="005A6609"/>
    <w:rsid w:val="005B27BA"/>
    <w:rsid w:val="005B3A42"/>
    <w:rsid w:val="005B3F3D"/>
    <w:rsid w:val="005B6ACE"/>
    <w:rsid w:val="005B6F7E"/>
    <w:rsid w:val="005C00E2"/>
    <w:rsid w:val="005C0377"/>
    <w:rsid w:val="005C095A"/>
    <w:rsid w:val="005C5F56"/>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6B38"/>
    <w:rsid w:val="00627718"/>
    <w:rsid w:val="00627AF7"/>
    <w:rsid w:val="00630DF6"/>
    <w:rsid w:val="0063361F"/>
    <w:rsid w:val="00633A08"/>
    <w:rsid w:val="00633B23"/>
    <w:rsid w:val="0063443A"/>
    <w:rsid w:val="00643AE8"/>
    <w:rsid w:val="00643CA2"/>
    <w:rsid w:val="006469FB"/>
    <w:rsid w:val="00646B0D"/>
    <w:rsid w:val="00654BE8"/>
    <w:rsid w:val="00654ECF"/>
    <w:rsid w:val="00656BF2"/>
    <w:rsid w:val="006577E4"/>
    <w:rsid w:val="00657CF7"/>
    <w:rsid w:val="00661751"/>
    <w:rsid w:val="00661E8A"/>
    <w:rsid w:val="00666B55"/>
    <w:rsid w:val="00670BF0"/>
    <w:rsid w:val="006715ED"/>
    <w:rsid w:val="006805A7"/>
    <w:rsid w:val="00680DE2"/>
    <w:rsid w:val="00683821"/>
    <w:rsid w:val="00683ECB"/>
    <w:rsid w:val="0068409C"/>
    <w:rsid w:val="00686104"/>
    <w:rsid w:val="006861E9"/>
    <w:rsid w:val="00687E40"/>
    <w:rsid w:val="0069044C"/>
    <w:rsid w:val="006910C4"/>
    <w:rsid w:val="00691297"/>
    <w:rsid w:val="006926AF"/>
    <w:rsid w:val="00692956"/>
    <w:rsid w:val="00697144"/>
    <w:rsid w:val="006971E2"/>
    <w:rsid w:val="006A0C62"/>
    <w:rsid w:val="006A4046"/>
    <w:rsid w:val="006A417E"/>
    <w:rsid w:val="006A4909"/>
    <w:rsid w:val="006A6AF6"/>
    <w:rsid w:val="006A6D81"/>
    <w:rsid w:val="006A7192"/>
    <w:rsid w:val="006B0E33"/>
    <w:rsid w:val="006B7BAB"/>
    <w:rsid w:val="006C2043"/>
    <w:rsid w:val="006C2825"/>
    <w:rsid w:val="006C41BB"/>
    <w:rsid w:val="006C62D9"/>
    <w:rsid w:val="006D0422"/>
    <w:rsid w:val="006D1550"/>
    <w:rsid w:val="006D3443"/>
    <w:rsid w:val="006D4BD2"/>
    <w:rsid w:val="006D54B4"/>
    <w:rsid w:val="006E05CE"/>
    <w:rsid w:val="006E2A6A"/>
    <w:rsid w:val="006E2E37"/>
    <w:rsid w:val="006E48D9"/>
    <w:rsid w:val="006E58B7"/>
    <w:rsid w:val="006F0D5D"/>
    <w:rsid w:val="006F50C2"/>
    <w:rsid w:val="006F6C6E"/>
    <w:rsid w:val="006F7213"/>
    <w:rsid w:val="006F7CF1"/>
    <w:rsid w:val="0070296F"/>
    <w:rsid w:val="0070518F"/>
    <w:rsid w:val="007077C4"/>
    <w:rsid w:val="0071080A"/>
    <w:rsid w:val="00711AD7"/>
    <w:rsid w:val="0071263E"/>
    <w:rsid w:val="00712919"/>
    <w:rsid w:val="00713BBA"/>
    <w:rsid w:val="00713E6C"/>
    <w:rsid w:val="007144CD"/>
    <w:rsid w:val="00715BEE"/>
    <w:rsid w:val="00716146"/>
    <w:rsid w:val="00716C48"/>
    <w:rsid w:val="00721DF1"/>
    <w:rsid w:val="007226DC"/>
    <w:rsid w:val="00725DC2"/>
    <w:rsid w:val="00727363"/>
    <w:rsid w:val="00734574"/>
    <w:rsid w:val="007408E1"/>
    <w:rsid w:val="00740D2F"/>
    <w:rsid w:val="007415AE"/>
    <w:rsid w:val="00746AE8"/>
    <w:rsid w:val="00747243"/>
    <w:rsid w:val="00760E68"/>
    <w:rsid w:val="00761082"/>
    <w:rsid w:val="00761CCA"/>
    <w:rsid w:val="00762994"/>
    <w:rsid w:val="0077175F"/>
    <w:rsid w:val="007728D6"/>
    <w:rsid w:val="00781702"/>
    <w:rsid w:val="0078397F"/>
    <w:rsid w:val="00784ED9"/>
    <w:rsid w:val="00786B57"/>
    <w:rsid w:val="00786FE8"/>
    <w:rsid w:val="0078749B"/>
    <w:rsid w:val="0079176A"/>
    <w:rsid w:val="007929B0"/>
    <w:rsid w:val="007937A8"/>
    <w:rsid w:val="00794380"/>
    <w:rsid w:val="007A15CB"/>
    <w:rsid w:val="007A25BA"/>
    <w:rsid w:val="007A5909"/>
    <w:rsid w:val="007A6C23"/>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3D8E"/>
    <w:rsid w:val="00805AFF"/>
    <w:rsid w:val="00811D0B"/>
    <w:rsid w:val="008205FB"/>
    <w:rsid w:val="00821E58"/>
    <w:rsid w:val="00823232"/>
    <w:rsid w:val="008260F5"/>
    <w:rsid w:val="00830198"/>
    <w:rsid w:val="00830CF2"/>
    <w:rsid w:val="00844840"/>
    <w:rsid w:val="00844CC2"/>
    <w:rsid w:val="00850EA4"/>
    <w:rsid w:val="008569FB"/>
    <w:rsid w:val="008571B0"/>
    <w:rsid w:val="0086011B"/>
    <w:rsid w:val="008617A7"/>
    <w:rsid w:val="00863673"/>
    <w:rsid w:val="008653F0"/>
    <w:rsid w:val="00867400"/>
    <w:rsid w:val="008674D2"/>
    <w:rsid w:val="00870ED4"/>
    <w:rsid w:val="00875D7E"/>
    <w:rsid w:val="00877429"/>
    <w:rsid w:val="0088143A"/>
    <w:rsid w:val="00883FA8"/>
    <w:rsid w:val="00886154"/>
    <w:rsid w:val="00890C46"/>
    <w:rsid w:val="008919BE"/>
    <w:rsid w:val="008A52E7"/>
    <w:rsid w:val="008A6280"/>
    <w:rsid w:val="008A7927"/>
    <w:rsid w:val="008A7E45"/>
    <w:rsid w:val="008B32D4"/>
    <w:rsid w:val="008B3D0A"/>
    <w:rsid w:val="008B7F2D"/>
    <w:rsid w:val="008C0219"/>
    <w:rsid w:val="008C05E8"/>
    <w:rsid w:val="008C49B8"/>
    <w:rsid w:val="008D36F4"/>
    <w:rsid w:val="008D37AC"/>
    <w:rsid w:val="008D6D72"/>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355FC"/>
    <w:rsid w:val="009424F3"/>
    <w:rsid w:val="009444C9"/>
    <w:rsid w:val="0095787F"/>
    <w:rsid w:val="009617F1"/>
    <w:rsid w:val="009640E3"/>
    <w:rsid w:val="009731D6"/>
    <w:rsid w:val="00975DD2"/>
    <w:rsid w:val="00975F82"/>
    <w:rsid w:val="009772E2"/>
    <w:rsid w:val="0098131C"/>
    <w:rsid w:val="009835B9"/>
    <w:rsid w:val="0098375F"/>
    <w:rsid w:val="00983871"/>
    <w:rsid w:val="00983C85"/>
    <w:rsid w:val="0098764D"/>
    <w:rsid w:val="0099233F"/>
    <w:rsid w:val="00993C21"/>
    <w:rsid w:val="00997471"/>
    <w:rsid w:val="009A155A"/>
    <w:rsid w:val="009A2010"/>
    <w:rsid w:val="009A6867"/>
    <w:rsid w:val="009B402F"/>
    <w:rsid w:val="009B6469"/>
    <w:rsid w:val="009C2E5D"/>
    <w:rsid w:val="009C54E9"/>
    <w:rsid w:val="009C7DDF"/>
    <w:rsid w:val="009D000B"/>
    <w:rsid w:val="009D280C"/>
    <w:rsid w:val="009D45D6"/>
    <w:rsid w:val="009D6D3E"/>
    <w:rsid w:val="009E11D0"/>
    <w:rsid w:val="009E361C"/>
    <w:rsid w:val="009E7184"/>
    <w:rsid w:val="009E7730"/>
    <w:rsid w:val="009F1D5D"/>
    <w:rsid w:val="009F41ED"/>
    <w:rsid w:val="009F714B"/>
    <w:rsid w:val="00A10074"/>
    <w:rsid w:val="00A10D50"/>
    <w:rsid w:val="00A1450D"/>
    <w:rsid w:val="00A1695E"/>
    <w:rsid w:val="00A22057"/>
    <w:rsid w:val="00A24ED8"/>
    <w:rsid w:val="00A256E9"/>
    <w:rsid w:val="00A3490F"/>
    <w:rsid w:val="00A349FD"/>
    <w:rsid w:val="00A35597"/>
    <w:rsid w:val="00A36C71"/>
    <w:rsid w:val="00A41B8F"/>
    <w:rsid w:val="00A46188"/>
    <w:rsid w:val="00A50B52"/>
    <w:rsid w:val="00A54B19"/>
    <w:rsid w:val="00A56EAE"/>
    <w:rsid w:val="00A603A7"/>
    <w:rsid w:val="00A606F0"/>
    <w:rsid w:val="00A61842"/>
    <w:rsid w:val="00A61A29"/>
    <w:rsid w:val="00A61E0D"/>
    <w:rsid w:val="00A63085"/>
    <w:rsid w:val="00A635E4"/>
    <w:rsid w:val="00A64051"/>
    <w:rsid w:val="00A64D6E"/>
    <w:rsid w:val="00A64E4C"/>
    <w:rsid w:val="00A66033"/>
    <w:rsid w:val="00A668B6"/>
    <w:rsid w:val="00A66C92"/>
    <w:rsid w:val="00A846A4"/>
    <w:rsid w:val="00A877B9"/>
    <w:rsid w:val="00A903B8"/>
    <w:rsid w:val="00A94B32"/>
    <w:rsid w:val="00AA28CB"/>
    <w:rsid w:val="00AB104D"/>
    <w:rsid w:val="00AB241E"/>
    <w:rsid w:val="00AB337A"/>
    <w:rsid w:val="00AB557F"/>
    <w:rsid w:val="00AB636B"/>
    <w:rsid w:val="00AB7B40"/>
    <w:rsid w:val="00AB7CC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26FA7"/>
    <w:rsid w:val="00B332D6"/>
    <w:rsid w:val="00B3461A"/>
    <w:rsid w:val="00B410B3"/>
    <w:rsid w:val="00B41DD7"/>
    <w:rsid w:val="00B43328"/>
    <w:rsid w:val="00B44DBB"/>
    <w:rsid w:val="00B46684"/>
    <w:rsid w:val="00B46CD3"/>
    <w:rsid w:val="00B50EA9"/>
    <w:rsid w:val="00B54B5A"/>
    <w:rsid w:val="00B6366E"/>
    <w:rsid w:val="00B63C6C"/>
    <w:rsid w:val="00B6674B"/>
    <w:rsid w:val="00B760D0"/>
    <w:rsid w:val="00B80665"/>
    <w:rsid w:val="00B84D68"/>
    <w:rsid w:val="00B8506E"/>
    <w:rsid w:val="00B8524B"/>
    <w:rsid w:val="00B90F79"/>
    <w:rsid w:val="00B939C4"/>
    <w:rsid w:val="00B96639"/>
    <w:rsid w:val="00B9726D"/>
    <w:rsid w:val="00B979AD"/>
    <w:rsid w:val="00BA1BBE"/>
    <w:rsid w:val="00BA1C5A"/>
    <w:rsid w:val="00BA2843"/>
    <w:rsid w:val="00BA2AC0"/>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3A81"/>
    <w:rsid w:val="00C1539E"/>
    <w:rsid w:val="00C263C8"/>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75976"/>
    <w:rsid w:val="00C76407"/>
    <w:rsid w:val="00C77576"/>
    <w:rsid w:val="00C80B5E"/>
    <w:rsid w:val="00C84D6F"/>
    <w:rsid w:val="00C877F0"/>
    <w:rsid w:val="00C9080F"/>
    <w:rsid w:val="00C90855"/>
    <w:rsid w:val="00C926EB"/>
    <w:rsid w:val="00C92C97"/>
    <w:rsid w:val="00C93630"/>
    <w:rsid w:val="00C94211"/>
    <w:rsid w:val="00C960F3"/>
    <w:rsid w:val="00CA0269"/>
    <w:rsid w:val="00CA3B7E"/>
    <w:rsid w:val="00CB1CC4"/>
    <w:rsid w:val="00CB7A71"/>
    <w:rsid w:val="00CB7DBF"/>
    <w:rsid w:val="00CC17FB"/>
    <w:rsid w:val="00CC2DB4"/>
    <w:rsid w:val="00CC3449"/>
    <w:rsid w:val="00CC514F"/>
    <w:rsid w:val="00CC6567"/>
    <w:rsid w:val="00CC6FA2"/>
    <w:rsid w:val="00CD2364"/>
    <w:rsid w:val="00CD5ABC"/>
    <w:rsid w:val="00CE0A09"/>
    <w:rsid w:val="00CE47D8"/>
    <w:rsid w:val="00CE6823"/>
    <w:rsid w:val="00CE703E"/>
    <w:rsid w:val="00CE7CD9"/>
    <w:rsid w:val="00CF27E4"/>
    <w:rsid w:val="00D00AC3"/>
    <w:rsid w:val="00D03B7D"/>
    <w:rsid w:val="00D04D01"/>
    <w:rsid w:val="00D102CC"/>
    <w:rsid w:val="00D12FBD"/>
    <w:rsid w:val="00D16A00"/>
    <w:rsid w:val="00D17101"/>
    <w:rsid w:val="00D24508"/>
    <w:rsid w:val="00D246AD"/>
    <w:rsid w:val="00D25189"/>
    <w:rsid w:val="00D2555C"/>
    <w:rsid w:val="00D325E1"/>
    <w:rsid w:val="00D34DD3"/>
    <w:rsid w:val="00D3524B"/>
    <w:rsid w:val="00D457DB"/>
    <w:rsid w:val="00D45B1C"/>
    <w:rsid w:val="00D5414A"/>
    <w:rsid w:val="00D60312"/>
    <w:rsid w:val="00D67030"/>
    <w:rsid w:val="00D67ED5"/>
    <w:rsid w:val="00D73ABB"/>
    <w:rsid w:val="00D82D47"/>
    <w:rsid w:val="00D82DDC"/>
    <w:rsid w:val="00D84616"/>
    <w:rsid w:val="00D87416"/>
    <w:rsid w:val="00D96246"/>
    <w:rsid w:val="00D9737C"/>
    <w:rsid w:val="00D97636"/>
    <w:rsid w:val="00DA5734"/>
    <w:rsid w:val="00DA6BB9"/>
    <w:rsid w:val="00DA74E3"/>
    <w:rsid w:val="00DB0089"/>
    <w:rsid w:val="00DB191E"/>
    <w:rsid w:val="00DB2A45"/>
    <w:rsid w:val="00DB53F9"/>
    <w:rsid w:val="00DB61EF"/>
    <w:rsid w:val="00DC5E59"/>
    <w:rsid w:val="00DD1736"/>
    <w:rsid w:val="00DD6658"/>
    <w:rsid w:val="00DE50B9"/>
    <w:rsid w:val="00DF1CF0"/>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77271"/>
    <w:rsid w:val="00E92C84"/>
    <w:rsid w:val="00E97CD5"/>
    <w:rsid w:val="00EA1761"/>
    <w:rsid w:val="00EA1A9D"/>
    <w:rsid w:val="00EA4657"/>
    <w:rsid w:val="00EA534D"/>
    <w:rsid w:val="00EB107E"/>
    <w:rsid w:val="00EB58E8"/>
    <w:rsid w:val="00EB6661"/>
    <w:rsid w:val="00EB6B52"/>
    <w:rsid w:val="00EC28A2"/>
    <w:rsid w:val="00EC3DD7"/>
    <w:rsid w:val="00EC50CD"/>
    <w:rsid w:val="00EC70E5"/>
    <w:rsid w:val="00ED05B1"/>
    <w:rsid w:val="00ED3292"/>
    <w:rsid w:val="00ED56B1"/>
    <w:rsid w:val="00EE04EE"/>
    <w:rsid w:val="00EF0C55"/>
    <w:rsid w:val="00EF6BD8"/>
    <w:rsid w:val="00EF7B3C"/>
    <w:rsid w:val="00F015EA"/>
    <w:rsid w:val="00F0248E"/>
    <w:rsid w:val="00F05BE3"/>
    <w:rsid w:val="00F0606E"/>
    <w:rsid w:val="00F113CE"/>
    <w:rsid w:val="00F1145E"/>
    <w:rsid w:val="00F12440"/>
    <w:rsid w:val="00F15C63"/>
    <w:rsid w:val="00F201D5"/>
    <w:rsid w:val="00F20271"/>
    <w:rsid w:val="00F23FE5"/>
    <w:rsid w:val="00F26E75"/>
    <w:rsid w:val="00F305D5"/>
    <w:rsid w:val="00F32E9E"/>
    <w:rsid w:val="00F372FD"/>
    <w:rsid w:val="00F41438"/>
    <w:rsid w:val="00F4570E"/>
    <w:rsid w:val="00F45DE9"/>
    <w:rsid w:val="00F46892"/>
    <w:rsid w:val="00F514B5"/>
    <w:rsid w:val="00F6164C"/>
    <w:rsid w:val="00F6211B"/>
    <w:rsid w:val="00F62FFB"/>
    <w:rsid w:val="00F70F27"/>
    <w:rsid w:val="00F7347D"/>
    <w:rsid w:val="00F74A73"/>
    <w:rsid w:val="00F76EAB"/>
    <w:rsid w:val="00F81B89"/>
    <w:rsid w:val="00F82221"/>
    <w:rsid w:val="00F8576F"/>
    <w:rsid w:val="00F87E54"/>
    <w:rsid w:val="00F93957"/>
    <w:rsid w:val="00F974DD"/>
    <w:rsid w:val="00FA141C"/>
    <w:rsid w:val="00FA5F51"/>
    <w:rsid w:val="00FA6699"/>
    <w:rsid w:val="00FB1724"/>
    <w:rsid w:val="00FB3FF8"/>
    <w:rsid w:val="00FB4AE0"/>
    <w:rsid w:val="00FC0103"/>
    <w:rsid w:val="00FC0BF8"/>
    <w:rsid w:val="00FC359D"/>
    <w:rsid w:val="00FC4290"/>
    <w:rsid w:val="00FD4651"/>
    <w:rsid w:val="00FD61A2"/>
    <w:rsid w:val="00FD7B9D"/>
    <w:rsid w:val="00FE006C"/>
    <w:rsid w:val="00FE5E59"/>
    <w:rsid w:val="00FE6197"/>
    <w:rsid w:val="00FE6221"/>
    <w:rsid w:val="00FF3E76"/>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unhideWhenUsed/>
    <w:rsid w:val="006D0422"/>
    <w:pPr>
      <w:spacing w:after="120"/>
    </w:pPr>
  </w:style>
  <w:style w:type="character" w:customStyle="1" w:styleId="TextoindependienteCar">
    <w:name w:val="Texto independiente Car"/>
    <w:basedOn w:val="Fuentedeprrafopredeter"/>
    <w:link w:val="Textoindependiente"/>
    <w:uiPriority w:val="99"/>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D45B1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NormalWeb">
    <w:name w:val="Normal (Web)"/>
    <w:basedOn w:val="Normal"/>
    <w:uiPriority w:val="99"/>
    <w:semiHidden/>
    <w:unhideWhenUsed/>
    <w:rsid w:val="0071080A"/>
    <w:pPr>
      <w:spacing w:before="100" w:beforeAutospacing="1" w:after="100" w:afterAutospacing="1"/>
    </w:pPr>
    <w:rPr>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382753510">
      <w:bodyDiv w:val="1"/>
      <w:marLeft w:val="0"/>
      <w:marRight w:val="0"/>
      <w:marTop w:val="0"/>
      <w:marBottom w:val="0"/>
      <w:divBdr>
        <w:top w:val="none" w:sz="0" w:space="0" w:color="auto"/>
        <w:left w:val="none" w:sz="0" w:space="0" w:color="auto"/>
        <w:bottom w:val="none" w:sz="0" w:space="0" w:color="auto"/>
        <w:right w:val="none" w:sz="0" w:space="0" w:color="auto"/>
      </w:divBdr>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410087335">
      <w:bodyDiv w:val="1"/>
      <w:marLeft w:val="0"/>
      <w:marRight w:val="0"/>
      <w:marTop w:val="0"/>
      <w:marBottom w:val="0"/>
      <w:divBdr>
        <w:top w:val="none" w:sz="0" w:space="0" w:color="auto"/>
        <w:left w:val="none" w:sz="0" w:space="0" w:color="auto"/>
        <w:bottom w:val="none" w:sz="0" w:space="0" w:color="auto"/>
        <w:right w:val="none" w:sz="0" w:space="0" w:color="auto"/>
      </w:divBdr>
    </w:div>
    <w:div w:id="589511782">
      <w:bodyDiv w:val="1"/>
      <w:marLeft w:val="0"/>
      <w:marRight w:val="0"/>
      <w:marTop w:val="0"/>
      <w:marBottom w:val="0"/>
      <w:divBdr>
        <w:top w:val="none" w:sz="0" w:space="0" w:color="auto"/>
        <w:left w:val="none" w:sz="0" w:space="0" w:color="auto"/>
        <w:bottom w:val="none" w:sz="0" w:space="0" w:color="auto"/>
        <w:right w:val="none" w:sz="0" w:space="0" w:color="auto"/>
      </w:divBdr>
    </w:div>
    <w:div w:id="675502539">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837959624">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24610566">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02732656">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6757</TotalTime>
  <Pages>20</Pages>
  <Words>4252</Words>
  <Characters>23391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713</cp:revision>
  <cp:lastPrinted>2019-06-03T21:04:00Z</cp:lastPrinted>
  <dcterms:created xsi:type="dcterms:W3CDTF">2019-04-11T16:06:00Z</dcterms:created>
  <dcterms:modified xsi:type="dcterms:W3CDTF">2023-10-17T18:31:00Z</dcterms:modified>
</cp:coreProperties>
</file>