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426" w:rsidRPr="00312283" w:rsidRDefault="00502C1F">
      <w:pPr>
        <w:spacing w:before="240" w:after="240" w:line="360" w:lineRule="auto"/>
        <w:jc w:val="both"/>
        <w:rPr>
          <w:rFonts w:ascii="Palatino Linotype" w:eastAsia="Palatino Linotype" w:hAnsi="Palatino Linotype" w:cs="Palatino Linotype"/>
        </w:rPr>
      </w:pPr>
      <w:bookmarkStart w:id="0" w:name="_heading=h.3dy6vkm" w:colFirst="0" w:colLast="0"/>
      <w:bookmarkStart w:id="1" w:name="_GoBack"/>
      <w:bookmarkEnd w:id="0"/>
      <w:bookmarkEnd w:id="1"/>
      <w:r w:rsidRPr="0031228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312283">
        <w:rPr>
          <w:rFonts w:ascii="Palatino Linotype" w:eastAsia="Palatino Linotype" w:hAnsi="Palatino Linotype" w:cs="Palatino Linotype"/>
          <w:b/>
        </w:rPr>
        <w:t>quince de noviembre de dos mil veintitrés</w:t>
      </w:r>
      <w:r w:rsidRPr="00312283">
        <w:rPr>
          <w:rFonts w:ascii="Palatino Linotype" w:eastAsia="Palatino Linotype" w:hAnsi="Palatino Linotype" w:cs="Palatino Linotype"/>
        </w:rPr>
        <w:t xml:space="preserve">. </w:t>
      </w:r>
    </w:p>
    <w:p w:rsidR="00E72426" w:rsidRPr="00312283" w:rsidRDefault="00502C1F">
      <w:pPr>
        <w:spacing w:before="240" w:after="24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b/>
        </w:rPr>
        <w:t>Visto</w:t>
      </w:r>
      <w:r w:rsidRPr="00312283">
        <w:rPr>
          <w:rFonts w:ascii="Palatino Linotype" w:eastAsia="Palatino Linotype" w:hAnsi="Palatino Linotype" w:cs="Palatino Linotype"/>
        </w:rPr>
        <w:t xml:space="preserve"> el expediente formado con motivo del recurso de revisión </w:t>
      </w:r>
      <w:r w:rsidRPr="00312283">
        <w:rPr>
          <w:rFonts w:ascii="Palatino Linotype" w:eastAsia="Palatino Linotype" w:hAnsi="Palatino Linotype" w:cs="Palatino Linotype"/>
          <w:b/>
        </w:rPr>
        <w:t>01134/INFOEM/IP/RR/2023</w:t>
      </w:r>
      <w:r w:rsidRPr="00312283">
        <w:rPr>
          <w:rFonts w:ascii="Palatino Linotype" w:eastAsia="Palatino Linotype" w:hAnsi="Palatino Linotype" w:cs="Palatino Linotype"/>
        </w:rPr>
        <w:t>, interpuesto por</w:t>
      </w:r>
      <w:r w:rsidRPr="00312283">
        <w:rPr>
          <w:rFonts w:ascii="Palatino Linotype" w:eastAsia="Palatino Linotype" w:hAnsi="Palatino Linotype" w:cs="Palatino Linotype"/>
          <w:b/>
        </w:rPr>
        <w:t xml:space="preserve"> un particular de manera anónima</w:t>
      </w:r>
      <w:r w:rsidRPr="00312283">
        <w:rPr>
          <w:rFonts w:ascii="Palatino Linotype" w:eastAsia="Palatino Linotype" w:hAnsi="Palatino Linotype" w:cs="Palatino Linotype"/>
        </w:rPr>
        <w:t xml:space="preserve">, en lo sucesivo </w:t>
      </w:r>
      <w:r w:rsidRPr="00312283">
        <w:rPr>
          <w:rFonts w:ascii="Palatino Linotype" w:eastAsia="Palatino Linotype" w:hAnsi="Palatino Linotype" w:cs="Palatino Linotype"/>
          <w:b/>
        </w:rPr>
        <w:t>la</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parte</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Recurrente,</w:t>
      </w:r>
      <w:r w:rsidRPr="00312283">
        <w:rPr>
          <w:rFonts w:ascii="Palatino Linotype" w:eastAsia="Palatino Linotype" w:hAnsi="Palatino Linotype" w:cs="Palatino Linotype"/>
        </w:rPr>
        <w:t xml:space="preserve"> en contra de la respuesta a su solicitud por parte del </w:t>
      </w:r>
      <w:r w:rsidRPr="00312283">
        <w:rPr>
          <w:rFonts w:ascii="Palatino Linotype" w:eastAsia="Palatino Linotype" w:hAnsi="Palatino Linotype" w:cs="Palatino Linotype"/>
          <w:b/>
        </w:rPr>
        <w:t xml:space="preserve">Ayuntamiento de Nicolás Romero, </w:t>
      </w:r>
      <w:r w:rsidRPr="00312283">
        <w:rPr>
          <w:rFonts w:ascii="Palatino Linotype" w:eastAsia="Palatino Linotype" w:hAnsi="Palatino Linotype" w:cs="Palatino Linotype"/>
        </w:rPr>
        <w:t xml:space="preserve">en lo sucesivo el </w:t>
      </w:r>
      <w:r w:rsidRPr="00312283">
        <w:rPr>
          <w:rFonts w:ascii="Palatino Linotype" w:eastAsia="Palatino Linotype" w:hAnsi="Palatino Linotype" w:cs="Palatino Linotype"/>
          <w:b/>
        </w:rPr>
        <w:t xml:space="preserve">Sujeto Obligado, </w:t>
      </w:r>
      <w:r w:rsidRPr="00312283">
        <w:rPr>
          <w:rFonts w:ascii="Palatino Linotype" w:eastAsia="Palatino Linotype" w:hAnsi="Palatino Linotype" w:cs="Palatino Linotype"/>
        </w:rPr>
        <w:t xml:space="preserve">se procede a dictar la presente resolución con base en los siguientes: </w:t>
      </w:r>
    </w:p>
    <w:p w:rsidR="00E72426" w:rsidRPr="00312283" w:rsidRDefault="00502C1F">
      <w:pPr>
        <w:spacing w:before="240" w:after="240" w:line="360" w:lineRule="auto"/>
        <w:jc w:val="center"/>
        <w:rPr>
          <w:rFonts w:ascii="Palatino Linotype" w:eastAsia="Palatino Linotype" w:hAnsi="Palatino Linotype" w:cs="Palatino Linotype"/>
          <w:b/>
        </w:rPr>
      </w:pPr>
      <w:r w:rsidRPr="00312283">
        <w:rPr>
          <w:rFonts w:ascii="Palatino Linotype" w:eastAsia="Palatino Linotype" w:hAnsi="Palatino Linotype" w:cs="Palatino Linotype"/>
          <w:b/>
        </w:rPr>
        <w:t>I. A N T E C E D E N T E S</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1. Solicitud de acceso a la información.</w:t>
      </w:r>
      <w:r w:rsidRPr="00312283">
        <w:rPr>
          <w:rFonts w:ascii="Palatino Linotype" w:eastAsia="Palatino Linotype" w:hAnsi="Palatino Linotype" w:cs="Palatino Linotype"/>
        </w:rPr>
        <w:t xml:space="preserve"> El </w:t>
      </w:r>
      <w:r w:rsidRPr="00312283">
        <w:rPr>
          <w:rFonts w:ascii="Palatino Linotype" w:eastAsia="Palatino Linotype" w:hAnsi="Palatino Linotype" w:cs="Palatino Linotype"/>
          <w:b/>
        </w:rPr>
        <w:t>tres de febrero del dos mil veintitrés,</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 xml:space="preserve">la parte Recurrente </w:t>
      </w:r>
      <w:r w:rsidRPr="00312283">
        <w:rPr>
          <w:rFonts w:ascii="Palatino Linotype" w:eastAsia="Palatino Linotype" w:hAnsi="Palatino Linotype" w:cs="Palatino Linotype"/>
        </w:rPr>
        <w:t xml:space="preserve">presentó, a través del Sistema de Acceso a la Información Mexiquense, en lo subsecuente el </w:t>
      </w:r>
      <w:r w:rsidRPr="00312283">
        <w:rPr>
          <w:rFonts w:ascii="Palatino Linotype" w:eastAsia="Palatino Linotype" w:hAnsi="Palatino Linotype" w:cs="Palatino Linotype"/>
          <w:b/>
        </w:rPr>
        <w:t>SAIMEX,</w:t>
      </w:r>
      <w:r w:rsidRPr="00312283">
        <w:rPr>
          <w:rFonts w:ascii="Palatino Linotype" w:eastAsia="Palatino Linotype" w:hAnsi="Palatino Linotype" w:cs="Palatino Linotype"/>
        </w:rPr>
        <w:t xml:space="preserve"> ante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la solicitud de acceso a la información pública, a la que se le asignó el número</w:t>
      </w:r>
      <w:r w:rsidRPr="00312283">
        <w:rPr>
          <w:rFonts w:ascii="Palatino Linotype" w:eastAsia="Palatino Linotype" w:hAnsi="Palatino Linotype" w:cs="Palatino Linotype"/>
          <w:b/>
        </w:rPr>
        <w:t xml:space="preserve"> 00017/NICOROM/IP/2023, </w:t>
      </w:r>
      <w:r w:rsidRPr="00312283">
        <w:rPr>
          <w:rFonts w:ascii="Palatino Linotype" w:eastAsia="Palatino Linotype" w:hAnsi="Palatino Linotype" w:cs="Palatino Linotype"/>
        </w:rPr>
        <w:t xml:space="preserve">mediante la cual requirió la información siguiente: </w:t>
      </w:r>
    </w:p>
    <w:p w:rsidR="00E72426" w:rsidRPr="00312283" w:rsidRDefault="00502C1F">
      <w:pPr>
        <w:spacing w:before="240"/>
        <w:ind w:left="851" w:right="902"/>
        <w:jc w:val="both"/>
        <w:rPr>
          <w:rFonts w:ascii="Palatino Linotype" w:eastAsia="Palatino Linotype" w:hAnsi="Palatino Linotype" w:cs="Palatino Linotype"/>
          <w:i/>
          <w:sz w:val="22"/>
          <w:szCs w:val="22"/>
        </w:rPr>
      </w:pPr>
      <w:bookmarkStart w:id="2" w:name="_heading=h.gjdgxs" w:colFirst="0" w:colLast="0"/>
      <w:bookmarkEnd w:id="2"/>
      <w:r w:rsidRPr="00312283">
        <w:rPr>
          <w:rFonts w:ascii="Palatino Linotype" w:eastAsia="Palatino Linotype" w:hAnsi="Palatino Linotype" w:cs="Palatino Linotype"/>
          <w:i/>
          <w:sz w:val="22"/>
          <w:szCs w:val="22"/>
        </w:rPr>
        <w:t xml:space="preserve">“solicito </w:t>
      </w:r>
      <w:r w:rsidRPr="00312283">
        <w:rPr>
          <w:rFonts w:ascii="Palatino Linotype" w:eastAsia="Palatino Linotype" w:hAnsi="Palatino Linotype" w:cs="Palatino Linotype"/>
          <w:b/>
          <w:i/>
          <w:sz w:val="22"/>
          <w:szCs w:val="22"/>
          <w:u w:val="single"/>
        </w:rPr>
        <w:t>información sobre los procedimientos administrativos relacionados con los tesoreros municipales</w:t>
      </w:r>
      <w:r w:rsidRPr="00312283">
        <w:rPr>
          <w:rFonts w:ascii="Palatino Linotype" w:eastAsia="Palatino Linotype" w:hAnsi="Palatino Linotype" w:cs="Palatino Linotype"/>
          <w:b/>
          <w:i/>
          <w:sz w:val="22"/>
          <w:szCs w:val="22"/>
        </w:rPr>
        <w:t xml:space="preserve"> de los año 2015 a la fecha</w:t>
      </w:r>
      <w:r w:rsidRPr="00312283">
        <w:rPr>
          <w:rFonts w:ascii="Palatino Linotype" w:eastAsia="Palatino Linotype" w:hAnsi="Palatino Linotype" w:cs="Palatino Linotype"/>
          <w:i/>
          <w:sz w:val="22"/>
          <w:szCs w:val="22"/>
        </w:rPr>
        <w:t>” (Sic) (Énfasis añadido)</w:t>
      </w:r>
    </w:p>
    <w:p w:rsidR="00E72426" w:rsidRPr="00312283" w:rsidRDefault="00502C1F">
      <w:pPr>
        <w:tabs>
          <w:tab w:val="left" w:pos="1080"/>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b/>
      </w: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Modalidad de Entrega:</w:t>
      </w:r>
      <w:r w:rsidRPr="00312283">
        <w:rPr>
          <w:rFonts w:ascii="Palatino Linotype" w:eastAsia="Palatino Linotype" w:hAnsi="Palatino Linotype" w:cs="Palatino Linotype"/>
        </w:rPr>
        <w:t xml:space="preserve"> A través de </w:t>
      </w:r>
      <w:r w:rsidRPr="00312283">
        <w:rPr>
          <w:rFonts w:ascii="Palatino Linotype" w:eastAsia="Palatino Linotype" w:hAnsi="Palatino Linotype" w:cs="Palatino Linotype"/>
          <w:b/>
        </w:rPr>
        <w:t>SAIMEX</w:t>
      </w:r>
      <w:r w:rsidRPr="00312283">
        <w:rPr>
          <w:rFonts w:ascii="Palatino Linotype" w:eastAsia="Palatino Linotype" w:hAnsi="Palatino Linotype" w:cs="Palatino Linotype"/>
        </w:rPr>
        <w:t>.</w:t>
      </w:r>
    </w:p>
    <w:p w:rsidR="00E72426" w:rsidRPr="00312283" w:rsidRDefault="00E72426">
      <w:pPr>
        <w:spacing w:line="360" w:lineRule="auto"/>
        <w:ind w:right="900"/>
        <w:rPr>
          <w:rFonts w:ascii="Palatino Linotype" w:eastAsia="Palatino Linotype" w:hAnsi="Palatino Linotype" w:cs="Palatino Linotype"/>
          <w:sz w:val="22"/>
          <w:szCs w:val="22"/>
        </w:rPr>
      </w:pPr>
    </w:p>
    <w:p w:rsidR="00E72426" w:rsidRPr="00312283" w:rsidRDefault="00502C1F">
      <w:pPr>
        <w:spacing w:after="24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b/>
        </w:rPr>
        <w:lastRenderedPageBreak/>
        <w:t xml:space="preserve">2. Respuesta. </w:t>
      </w:r>
      <w:r w:rsidRPr="00312283">
        <w:rPr>
          <w:rFonts w:ascii="Palatino Linotype" w:eastAsia="Palatino Linotype" w:hAnsi="Palatino Linotype" w:cs="Palatino Linotype"/>
        </w:rPr>
        <w:t xml:space="preserve">El </w:t>
      </w:r>
      <w:r w:rsidRPr="00312283">
        <w:rPr>
          <w:rFonts w:ascii="Palatino Linotype" w:eastAsia="Palatino Linotype" w:hAnsi="Palatino Linotype" w:cs="Palatino Linotype"/>
          <w:b/>
        </w:rPr>
        <w:t>veintitrés de febrero de dos mil veintitrés</w:t>
      </w:r>
      <w:r w:rsidRPr="00312283">
        <w:rPr>
          <w:rFonts w:ascii="Palatino Linotype" w:eastAsia="Palatino Linotype" w:hAnsi="Palatino Linotype" w:cs="Palatino Linotype"/>
        </w:rPr>
        <w:t xml:space="preserve">, el </w:t>
      </w:r>
      <w:r w:rsidRPr="00312283">
        <w:rPr>
          <w:rFonts w:ascii="Palatino Linotype" w:eastAsia="Palatino Linotype" w:hAnsi="Palatino Linotype" w:cs="Palatino Linotype"/>
          <w:b/>
        </w:rPr>
        <w:t xml:space="preserve">Sujeto Obligado </w:t>
      </w:r>
      <w:r w:rsidRPr="00312283">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E72426" w:rsidRPr="00312283" w:rsidRDefault="00502C1F">
      <w:pPr>
        <w:spacing w:before="240" w:after="24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72426" w:rsidRPr="00312283" w:rsidRDefault="00502C1F">
      <w:pPr>
        <w:spacing w:before="240" w:after="240"/>
        <w:ind w:left="567" w:right="902"/>
        <w:jc w:val="both"/>
        <w:rPr>
          <w:rFonts w:ascii="Palatino Linotype" w:eastAsia="Palatino Linotype" w:hAnsi="Palatino Linotype" w:cs="Palatino Linotype"/>
          <w:b/>
          <w:i/>
          <w:sz w:val="22"/>
          <w:szCs w:val="22"/>
          <w:u w:val="single"/>
        </w:rPr>
      </w:pPr>
      <w:r w:rsidRPr="00312283">
        <w:rPr>
          <w:rFonts w:ascii="Palatino Linotype" w:eastAsia="Palatino Linotype" w:hAnsi="Palatino Linotype" w:cs="Palatino Linotype"/>
          <w:b/>
          <w:i/>
          <w:sz w:val="22"/>
          <w:szCs w:val="22"/>
          <w:u w:val="single"/>
        </w:rPr>
        <w:t>Por lo que respecta a su solicitud se informa que este Órgano de Control Interno a atendido en tiempo y forma los procedimientos administrativos relacionados con Tesoreros Municipales desde el año 2015 a la fecha</w:t>
      </w:r>
    </w:p>
    <w:p w:rsidR="00E72426" w:rsidRPr="00312283" w:rsidRDefault="00502C1F">
      <w:pPr>
        <w:spacing w:before="240" w:after="24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ATENTAMENTE</w:t>
      </w:r>
    </w:p>
    <w:p w:rsidR="00E72426" w:rsidRPr="00312283" w:rsidRDefault="00502C1F">
      <w:pPr>
        <w:spacing w:before="240" w:after="24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LIC. ALFONSO HERNANDEZ GASCA” (Sic) (Énfasis añadido)</w:t>
      </w:r>
    </w:p>
    <w:p w:rsidR="00E72426" w:rsidRPr="00312283" w:rsidRDefault="00502C1F">
      <w:pPr>
        <w:spacing w:before="240"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b/>
        </w:rPr>
        <w:t xml:space="preserve">3. Interposición del recurso de revisión. </w:t>
      </w:r>
      <w:r w:rsidRPr="00312283">
        <w:rPr>
          <w:rFonts w:ascii="Palatino Linotype" w:eastAsia="Palatino Linotype" w:hAnsi="Palatino Linotype" w:cs="Palatino Linotype"/>
        </w:rPr>
        <w:t xml:space="preserve">Inconforme con los términos de la respuesta emitida por parte del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el </w:t>
      </w:r>
      <w:r w:rsidRPr="00312283">
        <w:rPr>
          <w:rFonts w:ascii="Palatino Linotype" w:eastAsia="Palatino Linotype" w:hAnsi="Palatino Linotype" w:cs="Palatino Linotype"/>
          <w:b/>
        </w:rPr>
        <w:t>veintisiete de febrero de dos mil veintitrés,</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interpuso el recurso de revisión a través de </w:t>
      </w:r>
      <w:r w:rsidRPr="00312283">
        <w:rPr>
          <w:rFonts w:ascii="Palatino Linotype" w:eastAsia="Palatino Linotype" w:hAnsi="Palatino Linotype" w:cs="Palatino Linotype"/>
          <w:b/>
        </w:rPr>
        <w:t xml:space="preserve">SAIMEX, </w:t>
      </w:r>
      <w:r w:rsidRPr="00312283">
        <w:rPr>
          <w:rFonts w:ascii="Palatino Linotype" w:eastAsia="Palatino Linotype" w:hAnsi="Palatino Linotype" w:cs="Palatino Linotype"/>
        </w:rPr>
        <w:t>en donde se manifestó de la siguiente manera:</w:t>
      </w:r>
    </w:p>
    <w:p w:rsidR="00E72426" w:rsidRPr="00312283" w:rsidRDefault="00502C1F">
      <w:pPr>
        <w:tabs>
          <w:tab w:val="left" w:pos="2745"/>
        </w:tabs>
        <w:spacing w:before="240" w:after="24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b/>
        </w:rPr>
        <w:t xml:space="preserve">a) Acto impugnado: </w:t>
      </w:r>
      <w:r w:rsidRPr="00312283">
        <w:rPr>
          <w:rFonts w:ascii="Palatino Linotype" w:eastAsia="Palatino Linotype" w:hAnsi="Palatino Linotype" w:cs="Palatino Linotype"/>
          <w:b/>
        </w:rPr>
        <w:tab/>
      </w:r>
    </w:p>
    <w:p w:rsidR="00E72426" w:rsidRPr="00312283" w:rsidRDefault="00502C1F">
      <w:pPr>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“No anexa la documentación solicitada” (Sic)</w:t>
      </w:r>
    </w:p>
    <w:p w:rsidR="00E72426" w:rsidRPr="00312283" w:rsidRDefault="00E72426">
      <w:pPr>
        <w:ind w:left="851" w:right="902"/>
        <w:jc w:val="both"/>
        <w:rPr>
          <w:rFonts w:ascii="Palatino Linotype" w:eastAsia="Palatino Linotype" w:hAnsi="Palatino Linotype" w:cs="Palatino Linotype"/>
          <w:i/>
          <w:sz w:val="22"/>
          <w:szCs w:val="22"/>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b) Razones o motivos de inconformidad</w:t>
      </w:r>
      <w:r w:rsidRPr="00312283">
        <w:rPr>
          <w:rFonts w:ascii="Palatino Linotype" w:eastAsia="Palatino Linotype" w:hAnsi="Palatino Linotype" w:cs="Palatino Linotype"/>
        </w:rPr>
        <w:t>:</w:t>
      </w:r>
    </w:p>
    <w:p w:rsidR="00E72426" w:rsidRPr="00312283" w:rsidRDefault="00502C1F">
      <w:pPr>
        <w:ind w:left="567" w:right="902"/>
        <w:jc w:val="both"/>
        <w:rPr>
          <w:rFonts w:ascii="Palatino Linotype" w:eastAsia="Palatino Linotype" w:hAnsi="Palatino Linotype" w:cs="Palatino Linotype"/>
          <w:i/>
          <w:sz w:val="22"/>
          <w:szCs w:val="22"/>
        </w:rPr>
      </w:pPr>
      <w:bookmarkStart w:id="3" w:name="_heading=h.30j0zll" w:colFirst="0" w:colLast="0"/>
      <w:bookmarkEnd w:id="3"/>
      <w:r w:rsidRPr="00312283">
        <w:rPr>
          <w:rFonts w:ascii="Palatino Linotype" w:eastAsia="Palatino Linotype" w:hAnsi="Palatino Linotype" w:cs="Palatino Linotype"/>
          <w:i/>
          <w:sz w:val="22"/>
          <w:szCs w:val="22"/>
        </w:rPr>
        <w:t xml:space="preserve"> “No anexa la documentación solicitada”</w:t>
      </w:r>
      <w:r w:rsidRPr="00312283">
        <w:rPr>
          <w:rFonts w:ascii="Palatino Linotype" w:eastAsia="Palatino Linotype" w:hAnsi="Palatino Linotype" w:cs="Palatino Linotype"/>
          <w:b/>
          <w:i/>
          <w:sz w:val="22"/>
          <w:szCs w:val="22"/>
        </w:rPr>
        <w:t xml:space="preserve"> </w:t>
      </w:r>
      <w:r w:rsidRPr="00312283">
        <w:rPr>
          <w:rFonts w:ascii="Palatino Linotype" w:eastAsia="Palatino Linotype" w:hAnsi="Palatino Linotype" w:cs="Palatino Linotype"/>
          <w:i/>
          <w:sz w:val="22"/>
          <w:szCs w:val="22"/>
        </w:rPr>
        <w:t xml:space="preserve">(Sic) </w:t>
      </w:r>
    </w:p>
    <w:p w:rsidR="00E72426" w:rsidRPr="00312283" w:rsidRDefault="00E72426">
      <w:pPr>
        <w:ind w:left="567" w:right="902"/>
        <w:jc w:val="both"/>
        <w:rPr>
          <w:rFonts w:ascii="Palatino Linotype" w:eastAsia="Palatino Linotype" w:hAnsi="Palatino Linotype" w:cs="Palatino Linotype"/>
          <w:i/>
          <w:sz w:val="22"/>
          <w:szCs w:val="22"/>
        </w:rPr>
      </w:pPr>
    </w:p>
    <w:p w:rsidR="00E72426" w:rsidRPr="00312283" w:rsidRDefault="00E72426">
      <w:pPr>
        <w:ind w:left="851" w:right="902"/>
        <w:jc w:val="both"/>
        <w:rPr>
          <w:rFonts w:ascii="Palatino Linotype" w:eastAsia="Palatino Linotype" w:hAnsi="Palatino Linotype" w:cs="Palatino Linotype"/>
          <w:i/>
          <w:sz w:val="22"/>
          <w:szCs w:val="22"/>
        </w:rPr>
      </w:pPr>
    </w:p>
    <w:p w:rsidR="00E72426" w:rsidRPr="00312283" w:rsidRDefault="00502C1F">
      <w:pPr>
        <w:spacing w:line="360" w:lineRule="auto"/>
        <w:ind w:right="51"/>
        <w:jc w:val="both"/>
        <w:rPr>
          <w:rFonts w:ascii="Palatino Linotype" w:eastAsia="Palatino Linotype" w:hAnsi="Palatino Linotype" w:cs="Palatino Linotype"/>
        </w:rPr>
      </w:pPr>
      <w:r w:rsidRPr="00312283">
        <w:rPr>
          <w:rFonts w:ascii="Palatino Linotype" w:eastAsia="Palatino Linotype" w:hAnsi="Palatino Linotype" w:cs="Palatino Linotype"/>
          <w:b/>
        </w:rPr>
        <w:t xml:space="preserve">4. Turno. </w:t>
      </w:r>
      <w:r w:rsidRPr="0031228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312283">
        <w:rPr>
          <w:rFonts w:ascii="Palatino Linotype" w:eastAsia="Palatino Linotype" w:hAnsi="Palatino Linotype" w:cs="Palatino Linotype"/>
        </w:rPr>
        <w:lastRenderedPageBreak/>
        <w:t xml:space="preserve">Transparencia, Acceso a la Información Pública y Protección de Datos Personales del Estado de México y Municipios, a la </w:t>
      </w:r>
      <w:r w:rsidRPr="00312283">
        <w:rPr>
          <w:rFonts w:ascii="Palatino Linotype" w:eastAsia="Palatino Linotype" w:hAnsi="Palatino Linotype" w:cs="Palatino Linotype"/>
          <w:b/>
        </w:rPr>
        <w:t>Comisionada</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 xml:space="preserve">Guadalupe Ramírez Peña, </w:t>
      </w:r>
      <w:r w:rsidRPr="00312283">
        <w:rPr>
          <w:rFonts w:ascii="Palatino Linotype" w:eastAsia="Palatino Linotype" w:hAnsi="Palatino Linotype" w:cs="Palatino Linotype"/>
        </w:rPr>
        <w:t>a efecto de que analizara sobre su admisión o su desechamiento.</w:t>
      </w:r>
    </w:p>
    <w:p w:rsidR="00E72426" w:rsidRPr="00312283" w:rsidRDefault="00E72426">
      <w:pPr>
        <w:spacing w:line="360" w:lineRule="auto"/>
        <w:ind w:right="51"/>
        <w:jc w:val="both"/>
        <w:rPr>
          <w:rFonts w:ascii="Palatino Linotype" w:eastAsia="Palatino Linotype" w:hAnsi="Palatino Linotype" w:cs="Palatino Linotype"/>
        </w:rPr>
      </w:pPr>
    </w:p>
    <w:p w:rsidR="00E72426" w:rsidRPr="00312283" w:rsidRDefault="00502C1F">
      <w:pPr>
        <w:spacing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5. Admisión del Recurso de Revisión.</w:t>
      </w:r>
      <w:r w:rsidRPr="00312283">
        <w:rPr>
          <w:rFonts w:ascii="Palatino Linotype" w:eastAsia="Palatino Linotype" w:hAnsi="Palatino Linotype" w:cs="Palatino Linotype"/>
        </w:rPr>
        <w:t xml:space="preserve"> El</w:t>
      </w:r>
      <w:r w:rsidRPr="00312283">
        <w:rPr>
          <w:rFonts w:ascii="Palatino Linotype" w:eastAsia="Palatino Linotype" w:hAnsi="Palatino Linotype" w:cs="Palatino Linotype"/>
          <w:b/>
        </w:rPr>
        <w:t xml:space="preserve"> tres de marzo de dos mil veintitrés, </w:t>
      </w:r>
      <w:r w:rsidRPr="0031228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12283">
        <w:rPr>
          <w:rFonts w:ascii="Palatino Linotype" w:eastAsia="Palatino Linotype" w:hAnsi="Palatino Linotype" w:cs="Palatino Linotype"/>
          <w:b/>
        </w:rPr>
        <w:t xml:space="preserve">Sujeto Obligado </w:t>
      </w:r>
      <w:r w:rsidRPr="00312283">
        <w:rPr>
          <w:rFonts w:ascii="Palatino Linotype" w:eastAsia="Palatino Linotype" w:hAnsi="Palatino Linotype" w:cs="Palatino Linotype"/>
        </w:rPr>
        <w:t>presentara su informe justificado.</w:t>
      </w:r>
    </w:p>
    <w:p w:rsidR="00E72426" w:rsidRPr="00312283" w:rsidRDefault="00502C1F">
      <w:pPr>
        <w:spacing w:after="240" w:line="360" w:lineRule="auto"/>
        <w:jc w:val="both"/>
        <w:rPr>
          <w:rFonts w:ascii="Palatino Linotype" w:eastAsia="Palatino Linotype" w:hAnsi="Palatino Linotype" w:cs="Palatino Linotype"/>
        </w:rPr>
      </w:pPr>
      <w:bookmarkStart w:id="4" w:name="_heading=h.2s8eyo1" w:colFirst="0" w:colLast="0"/>
      <w:bookmarkEnd w:id="4"/>
      <w:r w:rsidRPr="00312283">
        <w:rPr>
          <w:rFonts w:ascii="Palatino Linotype" w:eastAsia="Palatino Linotype" w:hAnsi="Palatino Linotype" w:cs="Palatino Linotype"/>
          <w:b/>
        </w:rPr>
        <w:t>6. Manifestaciones</w:t>
      </w:r>
      <w:r w:rsidRPr="00312283">
        <w:rPr>
          <w:rFonts w:ascii="Palatino Linotype" w:eastAsia="Palatino Linotype" w:hAnsi="Palatino Linotype" w:cs="Palatino Linotype"/>
        </w:rPr>
        <w:t xml:space="preserve">. Durante este plazo, se tiene constancia que el </w:t>
      </w:r>
      <w:r w:rsidRPr="00312283">
        <w:rPr>
          <w:rFonts w:ascii="Palatino Linotype" w:eastAsia="Palatino Linotype" w:hAnsi="Palatino Linotype" w:cs="Palatino Linotype"/>
          <w:b/>
        </w:rPr>
        <w:t>once de agosto de dos mil veintitrés</w:t>
      </w:r>
      <w:r w:rsidRPr="00312283">
        <w:rPr>
          <w:rFonts w:ascii="Palatino Linotype" w:eastAsia="Palatino Linotype" w:hAnsi="Palatino Linotype" w:cs="Palatino Linotype"/>
        </w:rPr>
        <w:t xml:space="preserve">,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remitió su informe justificado mediante el archivo electrónico “</w:t>
      </w:r>
      <w:r w:rsidRPr="00312283">
        <w:rPr>
          <w:rFonts w:ascii="Palatino Linotype" w:eastAsia="Palatino Linotype" w:hAnsi="Palatino Linotype" w:cs="Palatino Linotype"/>
          <w:b/>
          <w:i/>
        </w:rPr>
        <w:t xml:space="preserve">informe justificado 01134.pdf”, </w:t>
      </w:r>
      <w:r w:rsidRPr="00312283">
        <w:rPr>
          <w:rFonts w:ascii="Palatino Linotype" w:eastAsia="Palatino Linotype" w:hAnsi="Palatino Linotype" w:cs="Palatino Linotype"/>
        </w:rPr>
        <w:t xml:space="preserve">el cual se compone de dos fojas y medularmente ratifica la respuesta vertida inicialmente; una vez analizada esta documentación, es de señalar que este Organismo Garante determinó ponerla a disposición de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mediante acuerdo signado por la Comisionada Ponente, el </w:t>
      </w:r>
      <w:r w:rsidRPr="00312283">
        <w:rPr>
          <w:rFonts w:ascii="Palatino Linotype" w:eastAsia="Palatino Linotype" w:hAnsi="Palatino Linotype" w:cs="Palatino Linotype"/>
          <w:b/>
        </w:rPr>
        <w:t>treinta de octubre de dos mil veintitrés</w:t>
      </w:r>
      <w:r w:rsidRPr="00312283">
        <w:rPr>
          <w:rFonts w:ascii="Palatino Linotype" w:eastAsia="Palatino Linotype" w:hAnsi="Palatino Linotype" w:cs="Palatino Linotype"/>
        </w:rPr>
        <w:t>. No se omite señalar que la persona solicitante omitió manifestarse durante el plazo establecido para tal efecto.</w:t>
      </w:r>
    </w:p>
    <w:p w:rsidR="00E72426" w:rsidRPr="00312283" w:rsidRDefault="00502C1F">
      <w:pPr>
        <w:spacing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noProof/>
          <w:lang w:val="es-MX"/>
        </w:rPr>
        <w:lastRenderedPageBreak/>
        <w:drawing>
          <wp:inline distT="0" distB="0" distL="0" distR="0">
            <wp:extent cx="5612130" cy="2419985"/>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12130" cy="2419985"/>
                    </a:xfrm>
                    <a:prstGeom prst="rect">
                      <a:avLst/>
                    </a:prstGeom>
                    <a:ln/>
                  </pic:spPr>
                </pic:pic>
              </a:graphicData>
            </a:graphic>
          </wp:inline>
        </w:drawing>
      </w:r>
    </w:p>
    <w:p w:rsidR="00E72426" w:rsidRPr="00312283" w:rsidRDefault="00502C1F">
      <w:pPr>
        <w:widowControl w:val="0"/>
        <w:spacing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7.</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Ampliación del término para resolver</w:t>
      </w:r>
      <w:r w:rsidRPr="00312283">
        <w:rPr>
          <w:rFonts w:ascii="Palatino Linotype" w:eastAsia="Palatino Linotype" w:hAnsi="Palatino Linotype" w:cs="Palatino Linotype"/>
        </w:rPr>
        <w:t xml:space="preserve">. El </w:t>
      </w:r>
      <w:r w:rsidRPr="00312283">
        <w:rPr>
          <w:rFonts w:ascii="Palatino Linotype" w:eastAsia="Palatino Linotype" w:hAnsi="Palatino Linotype" w:cs="Palatino Linotype"/>
          <w:b/>
        </w:rPr>
        <w:t>treinta de octubre del año dos mil veintitrés</w:t>
      </w:r>
      <w:r w:rsidRPr="00312283">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312283">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strike/>
        </w:rPr>
      </w:pPr>
      <w:r w:rsidRPr="0031228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numPr>
          <w:ilvl w:val="0"/>
          <w:numId w:val="2"/>
        </w:numPr>
        <w:spacing w:line="360" w:lineRule="auto"/>
        <w:ind w:left="567" w:right="900" w:hanging="141"/>
        <w:jc w:val="both"/>
        <w:rPr>
          <w:rFonts w:ascii="Palatino Linotype" w:eastAsia="Palatino Linotype" w:hAnsi="Palatino Linotype" w:cs="Palatino Linotype"/>
        </w:rPr>
      </w:pPr>
      <w:r w:rsidRPr="00312283">
        <w:rPr>
          <w:rFonts w:ascii="Palatino Linotype" w:eastAsia="Palatino Linotype" w:hAnsi="Palatino Linotype" w:cs="Palatino Linotype"/>
          <w:b/>
        </w:rPr>
        <w:t>Complejidad del Asunto:</w:t>
      </w:r>
      <w:r w:rsidRPr="0031228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E72426" w:rsidRPr="00312283" w:rsidRDefault="00E72426">
      <w:pPr>
        <w:spacing w:line="360" w:lineRule="auto"/>
        <w:ind w:left="567" w:right="900" w:hanging="141"/>
        <w:jc w:val="both"/>
        <w:rPr>
          <w:rFonts w:ascii="Palatino Linotype" w:eastAsia="Palatino Linotype" w:hAnsi="Palatino Linotype" w:cs="Palatino Linotype"/>
          <w:b/>
        </w:rPr>
      </w:pPr>
    </w:p>
    <w:p w:rsidR="00E72426" w:rsidRPr="00312283" w:rsidRDefault="00502C1F">
      <w:pPr>
        <w:numPr>
          <w:ilvl w:val="0"/>
          <w:numId w:val="2"/>
        </w:numPr>
        <w:spacing w:line="360" w:lineRule="auto"/>
        <w:ind w:left="567" w:right="900" w:hanging="141"/>
        <w:jc w:val="both"/>
        <w:rPr>
          <w:rFonts w:ascii="Palatino Linotype" w:eastAsia="Palatino Linotype" w:hAnsi="Palatino Linotype" w:cs="Palatino Linotype"/>
        </w:rPr>
      </w:pPr>
      <w:r w:rsidRPr="00312283">
        <w:rPr>
          <w:rFonts w:ascii="Palatino Linotype" w:eastAsia="Palatino Linotype" w:hAnsi="Palatino Linotype" w:cs="Palatino Linotype"/>
          <w:b/>
        </w:rPr>
        <w:t>Actividad Procesal del interesado.</w:t>
      </w:r>
      <w:r w:rsidRPr="00312283">
        <w:rPr>
          <w:rFonts w:ascii="Palatino Linotype" w:eastAsia="Palatino Linotype" w:hAnsi="Palatino Linotype" w:cs="Palatino Linotype"/>
        </w:rPr>
        <w:t xml:space="preserve"> Acciones u omisiones del interesado.</w:t>
      </w:r>
    </w:p>
    <w:p w:rsidR="00E72426" w:rsidRPr="00312283" w:rsidRDefault="00E72426">
      <w:pPr>
        <w:spacing w:line="360" w:lineRule="auto"/>
        <w:ind w:left="567" w:right="900" w:hanging="141"/>
        <w:jc w:val="both"/>
        <w:rPr>
          <w:rFonts w:ascii="Palatino Linotype" w:eastAsia="Palatino Linotype" w:hAnsi="Palatino Linotype" w:cs="Palatino Linotype"/>
        </w:rPr>
      </w:pPr>
    </w:p>
    <w:p w:rsidR="00E72426" w:rsidRPr="00312283" w:rsidRDefault="00502C1F">
      <w:pPr>
        <w:numPr>
          <w:ilvl w:val="0"/>
          <w:numId w:val="2"/>
        </w:numPr>
        <w:spacing w:line="360" w:lineRule="auto"/>
        <w:ind w:left="567" w:right="900" w:hanging="141"/>
        <w:jc w:val="both"/>
        <w:rPr>
          <w:rFonts w:ascii="Palatino Linotype" w:eastAsia="Palatino Linotype" w:hAnsi="Palatino Linotype" w:cs="Palatino Linotype"/>
        </w:rPr>
      </w:pPr>
      <w:r w:rsidRPr="00312283">
        <w:rPr>
          <w:rFonts w:ascii="Palatino Linotype" w:eastAsia="Palatino Linotype" w:hAnsi="Palatino Linotype" w:cs="Palatino Linotype"/>
          <w:b/>
        </w:rPr>
        <w:t>Conducta de la Autoridad:</w:t>
      </w:r>
      <w:r w:rsidRPr="00312283">
        <w:rPr>
          <w:rFonts w:ascii="Palatino Linotype" w:eastAsia="Palatino Linotype" w:hAnsi="Palatino Linotype" w:cs="Palatino Linotype"/>
        </w:rPr>
        <w:t xml:space="preserve"> Las Acciones u omisiones realizadas en el procedimiento. Así como si la autoridad actuó con la debida diligencia.</w:t>
      </w:r>
    </w:p>
    <w:p w:rsidR="00E72426" w:rsidRPr="00312283" w:rsidRDefault="00E72426">
      <w:pPr>
        <w:spacing w:line="360" w:lineRule="auto"/>
        <w:ind w:left="567" w:right="900" w:hanging="141"/>
        <w:rPr>
          <w:rFonts w:ascii="Palatino Linotype" w:eastAsia="Palatino Linotype" w:hAnsi="Palatino Linotype" w:cs="Palatino Linotype"/>
        </w:rPr>
      </w:pPr>
    </w:p>
    <w:p w:rsidR="00E72426" w:rsidRPr="00312283" w:rsidRDefault="00502C1F">
      <w:pPr>
        <w:spacing w:line="360" w:lineRule="auto"/>
        <w:ind w:left="567" w:right="900" w:hanging="141"/>
        <w:jc w:val="both"/>
        <w:rPr>
          <w:rFonts w:ascii="Palatino Linotype" w:eastAsia="Palatino Linotype" w:hAnsi="Palatino Linotype" w:cs="Palatino Linotype"/>
        </w:rPr>
      </w:pPr>
      <w:r w:rsidRPr="00312283">
        <w:rPr>
          <w:rFonts w:ascii="Palatino Linotype" w:eastAsia="Palatino Linotype" w:hAnsi="Palatino Linotype" w:cs="Palatino Linotype"/>
          <w:b/>
        </w:rPr>
        <w:t>d) La afectación generada en la situación jurídica de la persona involucrada en el proceso</w:t>
      </w:r>
      <w:r w:rsidRPr="00312283">
        <w:rPr>
          <w:rFonts w:ascii="Palatino Linotype" w:eastAsia="Palatino Linotype" w:hAnsi="Palatino Linotype" w:cs="Palatino Linotype"/>
        </w:rPr>
        <w:t>: Violación a sus derechos humanos.</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1228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12283">
        <w:rPr>
          <w:rFonts w:ascii="Palatino Linotype" w:eastAsia="Palatino Linotype" w:hAnsi="Palatino Linotype" w:cs="Palatino Linotype"/>
        </w:rPr>
        <w:t>, visible en la Gaceta del Seminario Judicial de la Federación con el registro digital 205635.</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i/>
        </w:rPr>
        <w:t>“PLAZO RAZONABLE PARA RESOLVER. DIMENSIÓN Y EFECTOS DE ESTE CONCEPTO CUANDO SE ADUCE EXCESIVA CARGA DE TRABAJO.”</w:t>
      </w:r>
      <w:r w:rsidRPr="00312283">
        <w:rPr>
          <w:rFonts w:ascii="Palatino Linotype" w:eastAsia="Palatino Linotype" w:hAnsi="Palatino Linotype" w:cs="Palatino Linotype"/>
        </w:rPr>
        <w:t xml:space="preserve"> consultable en el Seminario Judicial de la Federación y su gaceta, con el registro digital 2002351.</w:t>
      </w:r>
    </w:p>
    <w:p w:rsidR="00E72426" w:rsidRPr="00312283" w:rsidRDefault="00E72426">
      <w:pPr>
        <w:spacing w:line="360" w:lineRule="auto"/>
        <w:jc w:val="both"/>
        <w:rPr>
          <w:rFonts w:ascii="Palatino Linotype" w:eastAsia="Palatino Linotype" w:hAnsi="Palatino Linotype" w:cs="Palatino Linotype"/>
          <w:b/>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i/>
        </w:rPr>
        <w:t>“PLAZO RAZONABLE PARA RESOLVER. CONCEPTO Y ELEMENTOS QUE LO INTEGRAN A LA LUZ DEL DERECHO INTERNACIONAL DE LOS DERECHOS HUMANOS.”</w:t>
      </w:r>
      <w:r w:rsidRPr="00312283">
        <w:rPr>
          <w:rFonts w:ascii="Palatino Linotype" w:eastAsia="Palatino Linotype" w:hAnsi="Palatino Linotype" w:cs="Palatino Linotype"/>
        </w:rPr>
        <w:t>, visible en el Seminario Judicial de la Federación y su gaceta, con el registro digital 2002350.</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after="24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b/>
        </w:rPr>
        <w:t xml:space="preserve">8. Cierre de instrucción. </w:t>
      </w:r>
      <w:r w:rsidRPr="00312283">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312283">
        <w:rPr>
          <w:rFonts w:ascii="Palatino Linotype" w:eastAsia="Palatino Linotype" w:hAnsi="Palatino Linotype" w:cs="Palatino Linotype"/>
          <w:b/>
        </w:rPr>
        <w:t>seis de noviembre de dos mil veintitrés</w:t>
      </w:r>
      <w:r w:rsidRPr="0031228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E72426" w:rsidRPr="00312283" w:rsidRDefault="00502C1F">
      <w:pPr>
        <w:widowControl w:val="0"/>
        <w:spacing w:line="360" w:lineRule="auto"/>
        <w:jc w:val="center"/>
        <w:rPr>
          <w:rFonts w:ascii="Palatino Linotype" w:eastAsia="Palatino Linotype" w:hAnsi="Palatino Linotype" w:cs="Palatino Linotype"/>
          <w:b/>
        </w:rPr>
      </w:pPr>
      <w:r w:rsidRPr="00312283">
        <w:rPr>
          <w:rFonts w:ascii="Palatino Linotype" w:eastAsia="Palatino Linotype" w:hAnsi="Palatino Linotype" w:cs="Palatino Linotype"/>
          <w:b/>
        </w:rPr>
        <w:t>II. C O N S I D E R A N D O S</w:t>
      </w:r>
    </w:p>
    <w:p w:rsidR="00E72426" w:rsidRPr="00312283" w:rsidRDefault="00E72426">
      <w:pPr>
        <w:widowControl w:val="0"/>
        <w:spacing w:line="360" w:lineRule="auto"/>
        <w:jc w:val="center"/>
        <w:rPr>
          <w:rFonts w:ascii="Palatino Linotype" w:eastAsia="Palatino Linotype" w:hAnsi="Palatino Linotype" w:cs="Palatino Linotype"/>
          <w:b/>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Primero. Competencia.</w:t>
      </w:r>
      <w:r w:rsidRPr="0031228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312283">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rsidR="00E72426" w:rsidRPr="00312283" w:rsidRDefault="00502C1F">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312283">
        <w:rPr>
          <w:rFonts w:ascii="Palatino Linotype" w:eastAsia="Palatino Linotype" w:hAnsi="Palatino Linotype" w:cs="Palatino Linotype"/>
          <w:b/>
        </w:rPr>
        <w:t xml:space="preserve">Segundo. Oportunidad y Procedibilidad del Recurso de Revisión. </w:t>
      </w:r>
      <w:r w:rsidRPr="00312283">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E72426" w:rsidRPr="00312283" w:rsidRDefault="00502C1F">
      <w:pPr>
        <w:pBdr>
          <w:top w:val="nil"/>
          <w:left w:val="nil"/>
          <w:bottom w:val="nil"/>
          <w:right w:val="nil"/>
          <w:between w:val="nil"/>
        </w:pBd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312283">
        <w:rPr>
          <w:rFonts w:ascii="Palatino Linotype" w:eastAsia="Palatino Linotype" w:hAnsi="Palatino Linotype" w:cs="Palatino Linotype"/>
          <w:b/>
        </w:rPr>
        <w:t>el Sujeto Obligado</w:t>
      </w:r>
      <w:r w:rsidRPr="00312283">
        <w:rPr>
          <w:rFonts w:ascii="Palatino Linotype" w:eastAsia="Palatino Linotype" w:hAnsi="Palatino Linotype" w:cs="Palatino Linotype"/>
        </w:rPr>
        <w:t xml:space="preserve"> respondió a la solicitud de información el </w:t>
      </w:r>
      <w:r w:rsidRPr="00312283">
        <w:rPr>
          <w:rFonts w:ascii="Palatino Linotype" w:eastAsia="Palatino Linotype" w:hAnsi="Palatino Linotype" w:cs="Palatino Linotype"/>
          <w:b/>
        </w:rPr>
        <w:t xml:space="preserve">veintitrés de febrero de dos mil veintitrés, </w:t>
      </w:r>
      <w:r w:rsidRPr="00312283">
        <w:rPr>
          <w:rFonts w:ascii="Palatino Linotype" w:eastAsia="Palatino Linotype" w:hAnsi="Palatino Linotype" w:cs="Palatino Linotype"/>
        </w:rPr>
        <w:t xml:space="preserve">mientras que el recurso de revisión se interpuso el </w:t>
      </w:r>
      <w:r w:rsidRPr="00312283">
        <w:rPr>
          <w:rFonts w:ascii="Palatino Linotype" w:eastAsia="Palatino Linotype" w:hAnsi="Palatino Linotype" w:cs="Palatino Linotype"/>
          <w:b/>
        </w:rPr>
        <w:t>veintisiete de febrero de dos mil veintitrés</w:t>
      </w:r>
      <w:r w:rsidRPr="00312283">
        <w:rPr>
          <w:rFonts w:ascii="Palatino Linotype" w:eastAsia="Palatino Linotype" w:hAnsi="Palatino Linotype" w:cs="Palatino Linotype"/>
        </w:rPr>
        <w:t xml:space="preserve">, esto es, el </w:t>
      </w:r>
      <w:r w:rsidRPr="00312283">
        <w:rPr>
          <w:rFonts w:ascii="Palatino Linotype" w:eastAsia="Palatino Linotype" w:hAnsi="Palatino Linotype" w:cs="Palatino Linotype"/>
          <w:b/>
        </w:rPr>
        <w:t xml:space="preserve">segundo día hábil </w:t>
      </w:r>
      <w:r w:rsidRPr="00312283">
        <w:rPr>
          <w:rFonts w:ascii="Palatino Linotype" w:eastAsia="Palatino Linotype" w:hAnsi="Palatino Linotype" w:cs="Palatino Linotype"/>
        </w:rPr>
        <w:t>posterior en que tuvo conocimiento de la respuesta impugnada.</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este sentido, al considerar la fecha en que se formuló la solicitud y la fecha en que respondió a esta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Asimismo, por cuanto hace a la procedibilidad del  recurso de revisión, es de suma importancia señalar que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no señaló nombre con el que pueda ser identificado, tal como se advierte en el detalle de seguimiento del SAIMEX, no obstante lo anterior, no proporcionar el nombre no es motivo para archivar la solicitud de acceso a la información pública como concluida, conforme a lo previsto </w:t>
      </w:r>
      <w:r w:rsidRPr="00312283">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rsidR="00E72426" w:rsidRPr="00312283" w:rsidRDefault="00502C1F">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E72426" w:rsidRPr="00312283" w:rsidRDefault="00502C1F">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w:t>
      </w:r>
      <w:r w:rsidR="00B05DF7" w:rsidRPr="00312283">
        <w:rPr>
          <w:rFonts w:ascii="Palatino Linotype" w:eastAsia="Palatino Linotype" w:hAnsi="Palatino Linotype" w:cs="Palatino Linotype"/>
        </w:rPr>
        <w:t>fracción I</w:t>
      </w:r>
      <w:r w:rsidRPr="00312283">
        <w:rPr>
          <w:rFonts w:ascii="Palatino Linotype" w:eastAsia="Palatino Linotype" w:hAnsi="Palatino Linotype" w:cs="Palatino Linotype"/>
        </w:rPr>
        <w:t xml:space="preserve"> de la Ley de Transparencia y Acceso a la Información Pública del Estado de México y Municipios; que a la letra dice:</w:t>
      </w:r>
    </w:p>
    <w:p w:rsidR="00E72426" w:rsidRPr="00312283" w:rsidRDefault="00502C1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“Artículo 179</w:t>
      </w:r>
      <w:r w:rsidRPr="00312283">
        <w:rPr>
          <w:rFonts w:ascii="Palatino Linotype" w:eastAsia="Palatino Linotype" w:hAnsi="Palatino Linotype" w:cs="Palatino Linotype"/>
          <w:i/>
          <w:sz w:val="22"/>
          <w:szCs w:val="22"/>
        </w:rPr>
        <w:t xml:space="preserve">. </w:t>
      </w:r>
      <w:r w:rsidRPr="00312283">
        <w:rPr>
          <w:rFonts w:ascii="Palatino Linotype" w:eastAsia="Palatino Linotype" w:hAnsi="Palatino Linotype" w:cs="Palatino Linotype"/>
          <w:b/>
          <w:i/>
          <w:sz w:val="22"/>
          <w:szCs w:val="22"/>
        </w:rPr>
        <w:t>El recurso de revisión</w:t>
      </w:r>
      <w:r w:rsidRPr="00312283">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312283">
        <w:rPr>
          <w:rFonts w:ascii="Palatino Linotype" w:eastAsia="Palatino Linotype" w:hAnsi="Palatino Linotype" w:cs="Palatino Linotype"/>
          <w:b/>
          <w:i/>
          <w:sz w:val="22"/>
          <w:szCs w:val="22"/>
        </w:rPr>
        <w:t>, y procederá en contra de las siguientes causas</w:t>
      </w:r>
      <w:r w:rsidRPr="00312283">
        <w:rPr>
          <w:rFonts w:ascii="Palatino Linotype" w:eastAsia="Palatino Linotype" w:hAnsi="Palatino Linotype" w:cs="Palatino Linotype"/>
          <w:i/>
          <w:sz w:val="22"/>
          <w:szCs w:val="22"/>
        </w:rPr>
        <w:t>:</w:t>
      </w:r>
    </w:p>
    <w:p w:rsidR="00E72426" w:rsidRPr="00312283" w:rsidRDefault="00B05DF7" w:rsidP="00B05DF7">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 La negativa a la información solicitada</w:t>
      </w:r>
      <w:r w:rsidR="00502C1F" w:rsidRPr="00312283">
        <w:rPr>
          <w:rFonts w:ascii="Palatino Linotype" w:eastAsia="Palatino Linotype" w:hAnsi="Palatino Linotype" w:cs="Palatino Linotype"/>
          <w:b/>
          <w:i/>
          <w:sz w:val="22"/>
          <w:szCs w:val="22"/>
        </w:rPr>
        <w:t>;</w:t>
      </w:r>
      <w:r w:rsidR="00502C1F" w:rsidRPr="00312283">
        <w:rPr>
          <w:rFonts w:ascii="Palatino Linotype" w:eastAsia="Palatino Linotype" w:hAnsi="Palatino Linotype" w:cs="Palatino Linotype"/>
          <w:i/>
          <w:sz w:val="22"/>
          <w:szCs w:val="22"/>
        </w:rPr>
        <w:t>” (Énfasis añadido)</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 xml:space="preserve">Tercero. Materia de la revisión. </w:t>
      </w:r>
      <w:r w:rsidRPr="0031228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12283">
        <w:rPr>
          <w:rFonts w:ascii="Palatino Linotype" w:eastAsia="Palatino Linotype" w:hAnsi="Palatino Linotype" w:cs="Palatino Linotype"/>
          <w:b/>
        </w:rPr>
        <w:t xml:space="preserve">verificar si la respuesta otorgada por el Sujeto Obligado </w:t>
      </w:r>
      <w:r w:rsidR="007F50C7" w:rsidRPr="00312283">
        <w:rPr>
          <w:rFonts w:ascii="Palatino Linotype" w:eastAsia="Palatino Linotype" w:hAnsi="Palatino Linotype" w:cs="Palatino Linotype"/>
          <w:b/>
        </w:rPr>
        <w:t>es adecuada y suficiente</w:t>
      </w:r>
      <w:r w:rsidRPr="00312283">
        <w:rPr>
          <w:rFonts w:ascii="Palatino Linotype" w:eastAsia="Palatino Linotype" w:hAnsi="Palatino Linotype" w:cs="Palatino Linotype"/>
          <w:b/>
        </w:rPr>
        <w:t xml:space="preserve"> </w:t>
      </w:r>
      <w:r w:rsidRPr="00312283">
        <w:rPr>
          <w:rFonts w:ascii="Palatino Linotype" w:eastAsia="Palatino Linotype" w:hAnsi="Palatino Linotype" w:cs="Palatino Linotype"/>
          <w:b/>
        </w:rPr>
        <w:lastRenderedPageBreak/>
        <w:t xml:space="preserve">para satisfacer el derecho de acceso a la información pública </w:t>
      </w:r>
      <w:r w:rsidRPr="00312283">
        <w:rPr>
          <w:rFonts w:ascii="Palatino Linotype" w:eastAsia="Palatino Linotype" w:hAnsi="Palatino Linotype" w:cs="Palatino Linotype"/>
        </w:rPr>
        <w:t xml:space="preserve">de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o en su defecto, en caso de ser procedente, ordenar la entrega de información oportuna.</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b/>
        </w:rPr>
        <w:t xml:space="preserve">Cuarto. Estudio del asunto. </w:t>
      </w:r>
      <w:r w:rsidRPr="00312283">
        <w:rPr>
          <w:rFonts w:ascii="Palatino Linotype" w:eastAsia="Palatino Linotype" w:hAnsi="Palatino Linotype" w:cs="Palatino Linotype"/>
        </w:rPr>
        <w:t xml:space="preserve">Antes de entrar al análisis de los pronunciamientos del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72426" w:rsidRPr="00312283" w:rsidRDefault="00502C1F">
      <w:pPr>
        <w:pBdr>
          <w:top w:val="nil"/>
          <w:left w:val="nil"/>
          <w:bottom w:val="nil"/>
          <w:right w:val="nil"/>
          <w:between w:val="nil"/>
        </w:pBdr>
        <w:spacing w:before="240" w:after="240"/>
        <w:ind w:left="851" w:right="850"/>
        <w:jc w:val="both"/>
      </w:pPr>
      <w:r w:rsidRPr="0031228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1228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E72426" w:rsidRPr="00312283" w:rsidRDefault="00502C1F">
      <w:pPr>
        <w:pBdr>
          <w:top w:val="nil"/>
          <w:left w:val="nil"/>
          <w:bottom w:val="nil"/>
          <w:right w:val="nil"/>
          <w:between w:val="nil"/>
        </w:pBdr>
        <w:spacing w:before="240" w:after="240"/>
        <w:ind w:left="851" w:right="850"/>
        <w:jc w:val="both"/>
      </w:pPr>
      <w:r w:rsidRPr="0031228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E72426" w:rsidRPr="00312283" w:rsidRDefault="00502C1F">
      <w:pPr>
        <w:pBdr>
          <w:top w:val="nil"/>
          <w:left w:val="nil"/>
          <w:bottom w:val="nil"/>
          <w:right w:val="nil"/>
          <w:between w:val="nil"/>
        </w:pBdr>
        <w:spacing w:before="240" w:after="240"/>
        <w:ind w:left="851" w:right="850"/>
        <w:jc w:val="both"/>
      </w:pPr>
      <w:r w:rsidRPr="0031228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1228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E72426" w:rsidRPr="00312283" w:rsidRDefault="00502C1F">
      <w:pPr>
        <w:pBdr>
          <w:top w:val="nil"/>
          <w:left w:val="nil"/>
          <w:bottom w:val="nil"/>
          <w:right w:val="nil"/>
          <w:between w:val="nil"/>
        </w:pBdr>
        <w:spacing w:before="240" w:after="240"/>
        <w:ind w:left="851" w:right="850"/>
        <w:jc w:val="both"/>
      </w:pPr>
      <w:r w:rsidRPr="00312283">
        <w:rPr>
          <w:rFonts w:ascii="Palatino Linotype" w:eastAsia="Palatino Linotype" w:hAnsi="Palatino Linotype" w:cs="Palatino Linotype"/>
          <w:i/>
          <w:sz w:val="22"/>
          <w:szCs w:val="22"/>
        </w:rPr>
        <w:t>[…]</w:t>
      </w:r>
    </w:p>
    <w:p w:rsidR="00E72426" w:rsidRPr="00312283" w:rsidRDefault="00502C1F">
      <w:pPr>
        <w:pBdr>
          <w:top w:val="nil"/>
          <w:left w:val="nil"/>
          <w:bottom w:val="nil"/>
          <w:right w:val="nil"/>
          <w:between w:val="nil"/>
        </w:pBdr>
        <w:spacing w:before="240" w:after="240"/>
        <w:ind w:left="851" w:right="901"/>
        <w:jc w:val="both"/>
      </w:pPr>
      <w:r w:rsidRPr="00312283">
        <w:rPr>
          <w:rFonts w:ascii="Palatino Linotype" w:eastAsia="Palatino Linotype" w:hAnsi="Palatino Linotype" w:cs="Palatino Linotype"/>
          <w:b/>
          <w:i/>
          <w:sz w:val="22"/>
          <w:szCs w:val="22"/>
        </w:rPr>
        <w:lastRenderedPageBreak/>
        <w:t>“Artículo 6o.</w:t>
      </w:r>
    </w:p>
    <w:p w:rsidR="00E72426" w:rsidRPr="00312283" w:rsidRDefault="00502C1F">
      <w:pPr>
        <w:pBdr>
          <w:top w:val="nil"/>
          <w:left w:val="nil"/>
          <w:bottom w:val="nil"/>
          <w:right w:val="nil"/>
          <w:between w:val="nil"/>
        </w:pBdr>
        <w:spacing w:before="240" w:after="240"/>
        <w:ind w:left="851" w:right="901"/>
        <w:jc w:val="both"/>
      </w:pPr>
      <w:r w:rsidRPr="00312283">
        <w:rPr>
          <w:rFonts w:ascii="Palatino Linotype" w:eastAsia="Palatino Linotype" w:hAnsi="Palatino Linotype" w:cs="Palatino Linotype"/>
          <w:i/>
          <w:sz w:val="22"/>
          <w:szCs w:val="22"/>
        </w:rPr>
        <w:t>[...]</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b/>
          <w:i/>
          <w:sz w:val="22"/>
          <w:szCs w:val="22"/>
        </w:rPr>
        <w:t xml:space="preserve">A. Para el ejercicio del derecho de acceso a la información, la Federación y </w:t>
      </w:r>
      <w:r w:rsidRPr="00312283">
        <w:rPr>
          <w:rFonts w:ascii="Palatino Linotype" w:eastAsia="Palatino Linotype" w:hAnsi="Palatino Linotype" w:cs="Palatino Linotype"/>
          <w:b/>
          <w:i/>
          <w:sz w:val="22"/>
          <w:szCs w:val="22"/>
          <w:u w:val="single"/>
        </w:rPr>
        <w:t>las entidades federativas</w:t>
      </w:r>
      <w:r w:rsidRPr="00312283">
        <w:rPr>
          <w:rFonts w:ascii="Palatino Linotype" w:eastAsia="Palatino Linotype" w:hAnsi="Palatino Linotype" w:cs="Palatino Linotype"/>
          <w:b/>
          <w:i/>
          <w:sz w:val="22"/>
          <w:szCs w:val="22"/>
        </w:rPr>
        <w:t>,</w:t>
      </w:r>
      <w:r w:rsidRPr="00312283">
        <w:rPr>
          <w:rFonts w:ascii="Palatino Linotype" w:eastAsia="Palatino Linotype" w:hAnsi="Palatino Linotype" w:cs="Palatino Linotype"/>
          <w:i/>
          <w:sz w:val="22"/>
          <w:szCs w:val="22"/>
        </w:rPr>
        <w:t xml:space="preserve"> en el ámbito de sus respectivas competencias, se regirán por los siguientes principios y bases:</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i/>
          <w:sz w:val="22"/>
          <w:szCs w:val="22"/>
        </w:rPr>
        <w:t> </w:t>
      </w:r>
      <w:r w:rsidRPr="00312283">
        <w:rPr>
          <w:rFonts w:ascii="Palatino Linotype" w:eastAsia="Palatino Linotype" w:hAnsi="Palatino Linotype" w:cs="Palatino Linotype"/>
          <w:b/>
          <w:i/>
          <w:sz w:val="22"/>
          <w:szCs w:val="22"/>
        </w:rPr>
        <w:t xml:space="preserve">I. </w:t>
      </w:r>
      <w:r w:rsidRPr="0031228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12283">
        <w:rPr>
          <w:rFonts w:ascii="Palatino Linotype" w:eastAsia="Palatino Linotype" w:hAnsi="Palatino Linotype" w:cs="Palatino Linotype"/>
          <w:i/>
          <w:sz w:val="22"/>
          <w:szCs w:val="22"/>
        </w:rPr>
        <w:t xml:space="preserve"> Ejecutivo, Legislativo </w:t>
      </w:r>
      <w:r w:rsidRPr="00312283">
        <w:rPr>
          <w:rFonts w:ascii="Palatino Linotype" w:eastAsia="Palatino Linotype" w:hAnsi="Palatino Linotype" w:cs="Palatino Linotype"/>
          <w:b/>
          <w:i/>
          <w:sz w:val="22"/>
          <w:szCs w:val="22"/>
          <w:u w:val="single"/>
        </w:rPr>
        <w:t>y Judicial</w:t>
      </w:r>
      <w:r w:rsidRPr="0031228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12283">
        <w:rPr>
          <w:rFonts w:ascii="Palatino Linotype" w:eastAsia="Palatino Linotype" w:hAnsi="Palatino Linotype" w:cs="Palatino Linotype"/>
          <w:b/>
          <w:i/>
          <w:sz w:val="22"/>
          <w:szCs w:val="22"/>
        </w:rPr>
        <w:t>es pública y sólo podrá ser reservada temporalmente por razones de interés público y seguridad nacional,</w:t>
      </w:r>
      <w:r w:rsidRPr="0031228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i/>
          <w:sz w:val="22"/>
          <w:szCs w:val="22"/>
        </w:rPr>
        <w:t> </w:t>
      </w:r>
      <w:r w:rsidRPr="0031228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i/>
          <w:sz w:val="22"/>
          <w:szCs w:val="22"/>
        </w:rPr>
        <w:t> </w:t>
      </w:r>
      <w:r w:rsidRPr="00312283">
        <w:rPr>
          <w:rFonts w:ascii="Palatino Linotype" w:eastAsia="Palatino Linotype" w:hAnsi="Palatino Linotype" w:cs="Palatino Linotype"/>
          <w:b/>
          <w:i/>
          <w:sz w:val="22"/>
          <w:szCs w:val="22"/>
        </w:rPr>
        <w:t xml:space="preserve">III. </w:t>
      </w:r>
      <w:r w:rsidRPr="0031228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12283">
        <w:rPr>
          <w:rFonts w:ascii="Palatino Linotype" w:eastAsia="Palatino Linotype" w:hAnsi="Palatino Linotype" w:cs="Palatino Linotype"/>
          <w:i/>
          <w:sz w:val="22"/>
          <w:szCs w:val="22"/>
        </w:rPr>
        <w:t xml:space="preserve"> a sus datos personales o a la rectificación de éstos.</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i/>
          <w:sz w:val="22"/>
          <w:szCs w:val="22"/>
        </w:rPr>
        <w:t> </w:t>
      </w:r>
      <w:r w:rsidRPr="00312283">
        <w:rPr>
          <w:rFonts w:ascii="Palatino Linotype" w:eastAsia="Palatino Linotype" w:hAnsi="Palatino Linotype" w:cs="Palatino Linotype"/>
          <w:b/>
          <w:i/>
          <w:sz w:val="22"/>
          <w:szCs w:val="22"/>
        </w:rPr>
        <w:t xml:space="preserve">IV. </w:t>
      </w:r>
      <w:r w:rsidRPr="0031228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b/>
          <w:i/>
          <w:sz w:val="22"/>
          <w:szCs w:val="22"/>
        </w:rPr>
        <w:t xml:space="preserve">V. </w:t>
      </w:r>
      <w:r w:rsidRPr="0031228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i/>
          <w:sz w:val="22"/>
          <w:szCs w:val="22"/>
        </w:rPr>
        <w:t> </w:t>
      </w:r>
      <w:r w:rsidRPr="00312283">
        <w:rPr>
          <w:rFonts w:ascii="Palatino Linotype" w:eastAsia="Palatino Linotype" w:hAnsi="Palatino Linotype" w:cs="Palatino Linotype"/>
          <w:b/>
          <w:i/>
          <w:sz w:val="22"/>
          <w:szCs w:val="22"/>
        </w:rPr>
        <w:t xml:space="preserve">VI. </w:t>
      </w:r>
      <w:r w:rsidRPr="0031228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E72426" w:rsidRPr="00312283" w:rsidRDefault="00502C1F">
      <w:pPr>
        <w:pBdr>
          <w:top w:val="nil"/>
          <w:left w:val="nil"/>
          <w:bottom w:val="nil"/>
          <w:right w:val="nil"/>
          <w:between w:val="nil"/>
        </w:pBdr>
        <w:spacing w:before="240" w:after="240"/>
        <w:ind w:left="851" w:right="851"/>
        <w:jc w:val="both"/>
      </w:pPr>
      <w:r w:rsidRPr="00312283">
        <w:rPr>
          <w:rFonts w:ascii="Palatino Linotype" w:eastAsia="Palatino Linotype" w:hAnsi="Palatino Linotype" w:cs="Palatino Linotype"/>
          <w:i/>
          <w:sz w:val="22"/>
          <w:szCs w:val="22"/>
        </w:rPr>
        <w:lastRenderedPageBreak/>
        <w:t> </w:t>
      </w:r>
      <w:r w:rsidRPr="00312283">
        <w:rPr>
          <w:rFonts w:ascii="Palatino Linotype" w:eastAsia="Palatino Linotype" w:hAnsi="Palatino Linotype" w:cs="Palatino Linotype"/>
          <w:b/>
          <w:i/>
          <w:sz w:val="22"/>
          <w:szCs w:val="22"/>
        </w:rPr>
        <w:t xml:space="preserve">VII. </w:t>
      </w:r>
      <w:r w:rsidRPr="0031228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72426" w:rsidRPr="00312283" w:rsidRDefault="00502C1F">
      <w:pPr>
        <w:pBdr>
          <w:top w:val="nil"/>
          <w:left w:val="nil"/>
          <w:bottom w:val="nil"/>
          <w:right w:val="nil"/>
          <w:between w:val="nil"/>
        </w:pBdr>
        <w:spacing w:before="240" w:after="240"/>
        <w:ind w:left="709" w:right="760"/>
        <w:jc w:val="both"/>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Artículo 4</w:t>
      </w:r>
      <w:r w:rsidRPr="00312283">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E72426" w:rsidRPr="00312283" w:rsidRDefault="00502C1F">
      <w:pPr>
        <w:pBdr>
          <w:top w:val="nil"/>
          <w:left w:val="nil"/>
          <w:bottom w:val="nil"/>
          <w:right w:val="nil"/>
          <w:between w:val="nil"/>
        </w:pBdr>
        <w:spacing w:before="240" w:after="240"/>
        <w:ind w:left="709" w:right="760"/>
        <w:jc w:val="both"/>
      </w:pPr>
      <w:r w:rsidRPr="0031228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72426" w:rsidRPr="00312283" w:rsidRDefault="00502C1F">
      <w:pPr>
        <w:pBdr>
          <w:top w:val="nil"/>
          <w:left w:val="nil"/>
          <w:bottom w:val="nil"/>
          <w:right w:val="nil"/>
          <w:between w:val="nil"/>
        </w:pBdr>
        <w:spacing w:before="240" w:after="240"/>
        <w:ind w:left="709" w:right="760"/>
        <w:jc w:val="both"/>
      </w:pPr>
      <w:r w:rsidRPr="0031228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E72426" w:rsidRPr="00312283" w:rsidRDefault="00502C1F">
      <w:pPr>
        <w:pBdr>
          <w:top w:val="nil"/>
          <w:left w:val="nil"/>
          <w:bottom w:val="nil"/>
          <w:right w:val="nil"/>
          <w:between w:val="nil"/>
        </w:pBdr>
        <w:spacing w:before="240" w:after="240"/>
        <w:ind w:left="567" w:right="758"/>
        <w:jc w:val="both"/>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Artículo 12</w:t>
      </w:r>
      <w:r w:rsidRPr="00312283">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E72426" w:rsidRPr="00312283" w:rsidRDefault="00502C1F">
      <w:pPr>
        <w:pBdr>
          <w:top w:val="nil"/>
          <w:left w:val="nil"/>
          <w:bottom w:val="nil"/>
          <w:right w:val="nil"/>
          <w:between w:val="nil"/>
        </w:pBdr>
        <w:spacing w:before="240" w:after="240"/>
        <w:ind w:left="567" w:right="758"/>
        <w:jc w:val="both"/>
      </w:pPr>
      <w:r w:rsidRPr="0031228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12283">
        <w:rPr>
          <w:rFonts w:ascii="Palatino Linotype" w:eastAsia="Palatino Linotype" w:hAnsi="Palatino Linotype" w:cs="Palatino Linotype"/>
          <w:b/>
        </w:rPr>
        <w:t xml:space="preserve"> </w:t>
      </w:r>
      <w:r w:rsidRPr="00312283">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12283">
        <w:rPr>
          <w:rFonts w:ascii="Palatino Linotype" w:eastAsia="Palatino Linotype" w:hAnsi="Palatino Linotype" w:cs="Palatino Linotype"/>
          <w:i/>
        </w:rPr>
        <w:t>ad hoc</w:t>
      </w:r>
      <w:r w:rsidRPr="00312283">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b/>
          <w:i/>
          <w:sz w:val="22"/>
          <w:szCs w:val="22"/>
        </w:rPr>
        <w:t>03/17</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b/>
          <w:i/>
          <w:sz w:val="22"/>
          <w:szCs w:val="22"/>
        </w:rPr>
        <w:t>“NO EXISTE OBLIGACIÓN DE ELABORAR DOCUMENTOS AD HOC PARA ATENDER LAS SOLICITUDES DE ACCESO A LA INFORMACIÓN.</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w:t>
      </w:r>
      <w:r w:rsidRPr="00312283">
        <w:rPr>
          <w:rFonts w:ascii="Palatino Linotype" w:eastAsia="Palatino Linotype" w:hAnsi="Palatino Linotype" w:cs="Palatino Linotype"/>
          <w:i/>
          <w:sz w:val="22"/>
          <w:szCs w:val="22"/>
        </w:rPr>
        <w:lastRenderedPageBreak/>
        <w:t>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72426" w:rsidRPr="00312283" w:rsidRDefault="00502C1F">
      <w:pPr>
        <w:pBdr>
          <w:top w:val="nil"/>
          <w:left w:val="nil"/>
          <w:bottom w:val="nil"/>
          <w:right w:val="nil"/>
          <w:between w:val="nil"/>
        </w:pBdr>
        <w:spacing w:before="240" w:after="240" w:line="360" w:lineRule="auto"/>
        <w:ind w:right="49"/>
        <w:jc w:val="both"/>
      </w:pPr>
      <w:r w:rsidRPr="0031228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312283">
        <w:rPr>
          <w:rFonts w:ascii="Palatino Linotype" w:eastAsia="Palatino Linotype" w:hAnsi="Palatino Linotype" w:cs="Palatino Linotype"/>
        </w:rPr>
        <w:lastRenderedPageBreak/>
        <w:t>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 xml:space="preserve">Artículo 3. </w:t>
      </w:r>
      <w:r w:rsidRPr="00312283">
        <w:rPr>
          <w:rFonts w:ascii="Palatino Linotype" w:eastAsia="Palatino Linotype" w:hAnsi="Palatino Linotype" w:cs="Palatino Linotype"/>
          <w:i/>
          <w:sz w:val="22"/>
          <w:szCs w:val="22"/>
        </w:rPr>
        <w:t>Para los efectos de la presente Ley se entenderá por:</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i/>
          <w:sz w:val="22"/>
          <w:szCs w:val="22"/>
        </w:rPr>
        <w:t>…</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b/>
          <w:i/>
          <w:sz w:val="22"/>
          <w:szCs w:val="22"/>
        </w:rPr>
        <w:t>XI. Documento:</w:t>
      </w:r>
      <w:r w:rsidRPr="00312283">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12283">
        <w:rPr>
          <w:rFonts w:ascii="Palatino Linotype" w:eastAsia="Palatino Linotype" w:hAnsi="Palatino Linotype" w:cs="Palatino Linotype"/>
          <w:b/>
          <w:i/>
          <w:sz w:val="22"/>
          <w:szCs w:val="22"/>
        </w:rPr>
        <w:t>…</w:t>
      </w:r>
      <w:r w:rsidRPr="00312283">
        <w:rPr>
          <w:rFonts w:ascii="Palatino Linotype" w:eastAsia="Palatino Linotype" w:hAnsi="Palatino Linotype" w:cs="Palatino Linotype"/>
          <w:i/>
          <w:sz w:val="22"/>
          <w:szCs w:val="22"/>
        </w:rPr>
        <w:t>” (Sic)</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b/>
          <w:sz w:val="22"/>
          <w:szCs w:val="22"/>
        </w:rPr>
        <w:t>“</w:t>
      </w:r>
      <w:r w:rsidRPr="00312283">
        <w:rPr>
          <w:rFonts w:ascii="Palatino Linotype" w:eastAsia="Palatino Linotype" w:hAnsi="Palatino Linotype" w:cs="Palatino Linotype"/>
          <w:b/>
          <w:i/>
          <w:sz w:val="22"/>
          <w:szCs w:val="22"/>
        </w:rPr>
        <w:t>CRITERIO 0002-11</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1228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72426" w:rsidRPr="00312283" w:rsidRDefault="00502C1F">
      <w:pPr>
        <w:pBdr>
          <w:top w:val="nil"/>
          <w:left w:val="nil"/>
          <w:bottom w:val="nil"/>
          <w:right w:val="nil"/>
          <w:between w:val="nil"/>
        </w:pBdr>
        <w:spacing w:before="240" w:after="240"/>
        <w:ind w:left="567" w:right="567"/>
        <w:jc w:val="both"/>
      </w:pPr>
      <w:r w:rsidRPr="00312283">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E72426" w:rsidRPr="00312283" w:rsidRDefault="00502C1F">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E72426" w:rsidRPr="00312283" w:rsidRDefault="00502C1F">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E72426" w:rsidRPr="00312283" w:rsidRDefault="00502C1F">
      <w:pPr>
        <w:pBdr>
          <w:top w:val="nil"/>
          <w:left w:val="nil"/>
          <w:bottom w:val="nil"/>
          <w:right w:val="nil"/>
          <w:between w:val="nil"/>
        </w:pBdr>
        <w:spacing w:before="240" w:after="240"/>
        <w:ind w:left="567" w:right="567" w:hanging="284"/>
        <w:jc w:val="both"/>
      </w:pPr>
      <w:r w:rsidRPr="00312283">
        <w:rPr>
          <w:rFonts w:ascii="Palatino Linotype" w:eastAsia="Palatino Linotype" w:hAnsi="Palatino Linotype" w:cs="Palatino Linotype"/>
          <w:i/>
          <w:sz w:val="22"/>
          <w:szCs w:val="22"/>
        </w:rPr>
        <w:t xml:space="preserve">3. </w:t>
      </w:r>
      <w:r w:rsidRPr="00312283">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E72426" w:rsidRPr="00312283" w:rsidRDefault="00502C1F">
      <w:pPr>
        <w:pBdr>
          <w:top w:val="nil"/>
          <w:left w:val="nil"/>
          <w:bottom w:val="nil"/>
          <w:right w:val="nil"/>
          <w:between w:val="nil"/>
        </w:pBdr>
        <w:spacing w:before="240" w:after="240" w:line="360" w:lineRule="auto"/>
        <w:jc w:val="both"/>
      </w:pPr>
      <w:r w:rsidRPr="00312283">
        <w:rPr>
          <w:rFonts w:ascii="Palatino Linotype" w:eastAsia="Palatino Linotype" w:hAnsi="Palatino Linotype" w:cs="Palatino Linotype"/>
        </w:rPr>
        <w:t xml:space="preserve">De ahí que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E72426" w:rsidRPr="00312283" w:rsidRDefault="00502C1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Ahora bien, para profundizar en el estudio del presente asunto, es conveniente recordar que la parte solicitante requirió al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le proporcionara lo siguiente:</w:t>
      </w:r>
    </w:p>
    <w:p w:rsidR="00E72426" w:rsidRPr="00312283" w:rsidRDefault="00502C1F">
      <w:pPr>
        <w:numPr>
          <w:ilvl w:val="0"/>
          <w:numId w:val="8"/>
        </w:numPr>
        <w:pBdr>
          <w:top w:val="nil"/>
          <w:left w:val="nil"/>
          <w:bottom w:val="nil"/>
          <w:right w:val="nil"/>
          <w:between w:val="nil"/>
        </w:pBdr>
        <w:tabs>
          <w:tab w:val="left" w:pos="7513"/>
        </w:tabs>
        <w:spacing w:line="360" w:lineRule="auto"/>
        <w:ind w:left="567" w:right="900" w:hanging="283"/>
        <w:jc w:val="both"/>
        <w:rPr>
          <w:rFonts w:ascii="Palatino Linotype" w:eastAsia="Palatino Linotype" w:hAnsi="Palatino Linotype" w:cs="Palatino Linotype"/>
          <w:b/>
        </w:rPr>
      </w:pPr>
      <w:r w:rsidRPr="00312283">
        <w:rPr>
          <w:rFonts w:ascii="Palatino Linotype" w:eastAsia="Palatino Linotype" w:hAnsi="Palatino Linotype" w:cs="Palatino Linotype"/>
          <w:b/>
        </w:rPr>
        <w:t>Información sobre los procedimientos administrativos relacionados con los tesoreros municipales del año 2015 a la fecha.</w:t>
      </w:r>
    </w:p>
    <w:p w:rsidR="00E72426" w:rsidRPr="00312283" w:rsidRDefault="00E72426">
      <w:pPr>
        <w:tabs>
          <w:tab w:val="left" w:pos="7513"/>
        </w:tabs>
        <w:spacing w:line="360" w:lineRule="auto"/>
        <w:ind w:right="49"/>
        <w:jc w:val="both"/>
        <w:rPr>
          <w:rFonts w:ascii="Palatino Linotype" w:eastAsia="Palatino Linotype" w:hAnsi="Palatino Linotype" w:cs="Palatino Linotype"/>
          <w:b/>
        </w:rPr>
      </w:pPr>
    </w:p>
    <w:p w:rsidR="00E72426" w:rsidRPr="00312283" w:rsidRDefault="00502C1F">
      <w:pPr>
        <w:tabs>
          <w:tab w:val="left" w:pos="7513"/>
        </w:tabs>
        <w:spacing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 xml:space="preserve">Es de precisar que el </w:t>
      </w:r>
      <w:r w:rsidRPr="00312283">
        <w:rPr>
          <w:rFonts w:ascii="Palatino Linotype" w:eastAsia="Palatino Linotype" w:hAnsi="Palatino Linotype" w:cs="Palatino Linotype"/>
          <w:b/>
        </w:rPr>
        <w:t xml:space="preserve">Sujeto Obligado </w:t>
      </w:r>
      <w:r w:rsidRPr="00312283">
        <w:rPr>
          <w:rFonts w:ascii="Palatino Linotype" w:eastAsia="Palatino Linotype" w:hAnsi="Palatino Linotype" w:cs="Palatino Linotype"/>
        </w:rPr>
        <w:t>turnó el requerimiento a la</w:t>
      </w:r>
      <w:r w:rsidRPr="00312283">
        <w:rPr>
          <w:rFonts w:ascii="Palatino Linotype" w:eastAsia="Palatino Linotype" w:hAnsi="Palatino Linotype" w:cs="Palatino Linotype"/>
          <w:b/>
        </w:rPr>
        <w:t xml:space="preserve"> Contralora Municipal, </w:t>
      </w:r>
      <w:r w:rsidRPr="00312283">
        <w:rPr>
          <w:rFonts w:ascii="Palatino Linotype" w:eastAsia="Palatino Linotype" w:hAnsi="Palatino Linotype" w:cs="Palatino Linotype"/>
        </w:rPr>
        <w:t xml:space="preserve">tal como se desprende de las siguientes capturas de pantalla: </w:t>
      </w:r>
      <w:r w:rsidRPr="00312283">
        <w:rPr>
          <w:noProof/>
          <w:lang w:val="es-MX"/>
        </w:rPr>
        <w:drawing>
          <wp:anchor distT="0" distB="0" distL="114300" distR="114300" simplePos="0" relativeHeight="251658240" behindDoc="0" locked="0" layoutInCell="1" hidden="0" allowOverlap="1">
            <wp:simplePos x="0" y="0"/>
            <wp:positionH relativeFrom="column">
              <wp:posOffset>-470534</wp:posOffset>
            </wp:positionH>
            <wp:positionV relativeFrom="paragraph">
              <wp:posOffset>732790</wp:posOffset>
            </wp:positionV>
            <wp:extent cx="7002145" cy="1343025"/>
            <wp:effectExtent l="0" t="0" r="0" b="0"/>
            <wp:wrapTopAndBottom distT="0" dist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002145" cy="1343025"/>
                    </a:xfrm>
                    <a:prstGeom prst="rect">
                      <a:avLst/>
                    </a:prstGeom>
                    <a:ln/>
                  </pic:spPr>
                </pic:pic>
              </a:graphicData>
            </a:graphic>
          </wp:anchor>
        </w:drawing>
      </w:r>
      <w:r w:rsidRPr="00312283">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990600</wp:posOffset>
                </wp:positionH>
                <wp:positionV relativeFrom="paragraph">
                  <wp:posOffset>927100</wp:posOffset>
                </wp:positionV>
                <wp:extent cx="762000" cy="904875"/>
                <wp:effectExtent l="0" t="0" r="0" b="0"/>
                <wp:wrapNone/>
                <wp:docPr id="63" name="Rectángulo 63"/>
                <wp:cNvGraphicFramePr/>
                <a:graphic xmlns:a="http://schemas.openxmlformats.org/drawingml/2006/main">
                  <a:graphicData uri="http://schemas.microsoft.com/office/word/2010/wordprocessingShape">
                    <wps:wsp>
                      <wps:cNvSpPr/>
                      <wps:spPr>
                        <a:xfrm>
                          <a:off x="4979288" y="3341850"/>
                          <a:ext cx="733425" cy="876300"/>
                        </a:xfrm>
                        <a:prstGeom prst="rect">
                          <a:avLst/>
                        </a:prstGeom>
                        <a:noFill/>
                        <a:ln w="28575" cap="flat" cmpd="sng">
                          <a:solidFill>
                            <a:srgbClr val="002060"/>
                          </a:solidFill>
                          <a:prstDash val="solid"/>
                          <a:round/>
                          <a:headEnd type="none" w="sm" len="sm"/>
                          <a:tailEnd type="none" w="sm" len="sm"/>
                        </a:ln>
                      </wps:spPr>
                      <wps:txbx>
                        <w:txbxContent>
                          <w:p w:rsidR="00502C1F" w:rsidRDefault="00502C1F">
                            <w:pPr>
                              <w:textDirection w:val="btLr"/>
                            </w:pPr>
                          </w:p>
                        </w:txbxContent>
                      </wps:txbx>
                      <wps:bodyPr spcFirstLastPara="1" wrap="square" lIns="91425" tIns="91425" rIns="91425" bIns="91425" anchor="ctr" anchorCtr="0">
                        <a:noAutofit/>
                      </wps:bodyPr>
                    </wps:wsp>
                  </a:graphicData>
                </a:graphic>
              </wp:anchor>
            </w:drawing>
          </mc:Choice>
          <mc:Fallback>
            <w:pict>
              <v:rect id="Rectángulo 63" o:spid="_x0000_s1026" style="position:absolute;left:0;text-align:left;margin-left:78pt;margin-top:73pt;width:60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" filled="f" strokecolor="#002060" strokeweight="2.25pt">
                <v:stroke startarrowwidth="narrow" startarrowlength="short" endarrowwidth="narrow" endarrowlength="short" joinstyle="round"/>
                <v:textbox inset="2.53958mm,2.53958mm,2.53958mm,2.53958mm">
                  <w:txbxContent>
                    <w:p w:rsidR="00502C1F" w:rsidRDefault="00502C1F">
                      <w:pPr>
                        <w:textDirection w:val="btLr"/>
                      </w:pPr>
                    </w:p>
                  </w:txbxContent>
                </v:textbox>
              </v:rect>
            </w:pict>
          </mc:Fallback>
        </mc:AlternateContent>
      </w:r>
    </w:p>
    <w:p w:rsidR="00E72426" w:rsidRPr="00312283" w:rsidRDefault="00E72426">
      <w:pPr>
        <w:tabs>
          <w:tab w:val="left" w:pos="7513"/>
        </w:tabs>
        <w:spacing w:line="360" w:lineRule="auto"/>
        <w:ind w:right="49"/>
        <w:jc w:val="both"/>
        <w:rPr>
          <w:rFonts w:ascii="Palatino Linotype" w:eastAsia="Palatino Linotype" w:hAnsi="Palatino Linotype" w:cs="Palatino Linotype"/>
        </w:rPr>
      </w:pPr>
    </w:p>
    <w:p w:rsidR="00E72426" w:rsidRPr="00312283" w:rsidRDefault="00502C1F">
      <w:pPr>
        <w:tabs>
          <w:tab w:val="left" w:pos="7513"/>
        </w:tabs>
        <w:spacing w:line="360" w:lineRule="auto"/>
        <w:ind w:right="49"/>
        <w:jc w:val="center"/>
        <w:rPr>
          <w:rFonts w:ascii="Palatino Linotype" w:eastAsia="Palatino Linotype" w:hAnsi="Palatino Linotype" w:cs="Palatino Linotype"/>
        </w:rPr>
      </w:pPr>
      <w:r w:rsidRPr="00312283">
        <w:rPr>
          <w:rFonts w:ascii="Palatino Linotype" w:eastAsia="Palatino Linotype" w:hAnsi="Palatino Linotype" w:cs="Palatino Linotype"/>
          <w:noProof/>
          <w:lang w:val="es-MX"/>
        </w:rPr>
        <w:drawing>
          <wp:inline distT="0" distB="0" distL="0" distR="0">
            <wp:extent cx="4600837" cy="2993927"/>
            <wp:effectExtent l="0" t="0" r="0" b="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600837" cy="2993927"/>
                    </a:xfrm>
                    <a:prstGeom prst="rect">
                      <a:avLst/>
                    </a:prstGeom>
                    <a:ln/>
                  </pic:spPr>
                </pic:pic>
              </a:graphicData>
            </a:graphic>
          </wp:inline>
        </w:drawing>
      </w:r>
    </w:p>
    <w:p w:rsidR="00E72426" w:rsidRPr="00312283" w:rsidRDefault="00E72426">
      <w:pPr>
        <w:tabs>
          <w:tab w:val="left" w:pos="7513"/>
        </w:tabs>
        <w:spacing w:line="360" w:lineRule="auto"/>
        <w:ind w:right="49"/>
        <w:jc w:val="both"/>
        <w:rPr>
          <w:rFonts w:ascii="Palatino Linotype" w:eastAsia="Palatino Linotype" w:hAnsi="Palatino Linotype" w:cs="Palatino Linotype"/>
        </w:rPr>
      </w:pPr>
    </w:p>
    <w:p w:rsidR="00E72426" w:rsidRPr="00312283" w:rsidRDefault="00502C1F">
      <w:pPr>
        <w:tabs>
          <w:tab w:val="left" w:pos="7513"/>
        </w:tabs>
        <w:spacing w:line="360" w:lineRule="auto"/>
        <w:ind w:right="49"/>
        <w:jc w:val="both"/>
        <w:rPr>
          <w:rFonts w:ascii="Palatino Linotype" w:eastAsia="Palatino Linotype" w:hAnsi="Palatino Linotype" w:cs="Palatino Linotype"/>
          <w:i/>
        </w:rPr>
      </w:pPr>
      <w:r w:rsidRPr="00312283">
        <w:rPr>
          <w:rFonts w:ascii="Palatino Linotype" w:eastAsia="Palatino Linotype" w:hAnsi="Palatino Linotype" w:cs="Palatino Linotype"/>
        </w:rPr>
        <w:t>En tal sentido, dicha servidora pública habilitada refirió lo siguiente: “…</w:t>
      </w:r>
      <w:r w:rsidRPr="00312283">
        <w:rPr>
          <w:rFonts w:ascii="Palatino Linotype" w:eastAsia="Palatino Linotype" w:hAnsi="Palatino Linotype" w:cs="Palatino Linotype"/>
          <w:i/>
        </w:rPr>
        <w:t>Por lo que respecta a su solicitud se informa que este Órgano de Control Interno a atendido en tiempo y forma los procedimientos administrativos relacionados con Tesoreros Municipales desde el año 2015 a la fecha”</w:t>
      </w:r>
    </w:p>
    <w:p w:rsidR="004A6223" w:rsidRPr="00312283" w:rsidRDefault="004A6223">
      <w:pPr>
        <w:tabs>
          <w:tab w:val="left" w:pos="7513"/>
        </w:tabs>
        <w:spacing w:line="360" w:lineRule="auto"/>
        <w:ind w:right="49"/>
        <w:jc w:val="both"/>
        <w:rPr>
          <w:rFonts w:ascii="Palatino Linotype" w:eastAsia="Palatino Linotype" w:hAnsi="Palatino Linotype" w:cs="Palatino Linotype"/>
          <w:i/>
        </w:rPr>
      </w:pPr>
    </w:p>
    <w:p w:rsidR="00E72426" w:rsidRPr="00312283" w:rsidRDefault="00502C1F">
      <w:pPr>
        <w:spacing w:line="360" w:lineRule="auto"/>
        <w:jc w:val="both"/>
        <w:rPr>
          <w:rFonts w:ascii="Palatino Linotype" w:eastAsia="Palatino Linotype" w:hAnsi="Palatino Linotype" w:cs="Palatino Linotype"/>
          <w:b/>
          <w:i/>
        </w:rPr>
      </w:pPr>
      <w:r w:rsidRPr="00312283">
        <w:rPr>
          <w:rFonts w:ascii="Palatino Linotype" w:eastAsia="Palatino Linotype" w:hAnsi="Palatino Linotype" w:cs="Palatino Linotype"/>
        </w:rPr>
        <w:lastRenderedPageBreak/>
        <w:t xml:space="preserve">En esta tesitura, una vez conocida la respuesta emitida por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al no estar conforme con los términos de la misma, interpuso el recurso de revisión que nos ocupa, donde señaló en su acto impugnado lo siguiente: </w:t>
      </w:r>
      <w:r w:rsidRPr="00312283">
        <w:rPr>
          <w:rFonts w:ascii="Palatino Linotype" w:eastAsia="Palatino Linotype" w:hAnsi="Palatino Linotype" w:cs="Palatino Linotype"/>
          <w:b/>
          <w:i/>
        </w:rPr>
        <w:t xml:space="preserve">“No anexa la documentación solicitada” </w:t>
      </w:r>
      <w:r w:rsidR="004A6223" w:rsidRPr="00312283">
        <w:rPr>
          <w:rFonts w:ascii="Palatino Linotype" w:eastAsia="Palatino Linotype" w:hAnsi="Palatino Linotype" w:cs="Palatino Linotype"/>
          <w:i/>
        </w:rPr>
        <w:t xml:space="preserve">(Sic) (Énfasis añadido); </w:t>
      </w:r>
      <w:r w:rsidRPr="00312283">
        <w:rPr>
          <w:rFonts w:ascii="Palatino Linotype" w:eastAsia="Palatino Linotype" w:hAnsi="Palatino Linotype" w:cs="Palatino Linotype"/>
        </w:rPr>
        <w:t xml:space="preserve">es decir, su inconformidad medularmente versa sobre la </w:t>
      </w:r>
      <w:r w:rsidR="00B05DF7" w:rsidRPr="00312283">
        <w:rPr>
          <w:rFonts w:ascii="Palatino Linotype" w:eastAsia="Palatino Linotype" w:hAnsi="Palatino Linotype" w:cs="Palatino Linotype"/>
        </w:rPr>
        <w:t>negativa a entregar la información solicitada.</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Así las cosas, durante la etapa de manifestaciones, se tiene que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ratificó su respuesta inicial, mientras que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fue omisa en pronunciarse, por lo tanto, se tiene por precluido su derecho para tal efecto.</w:t>
      </w:r>
    </w:p>
    <w:p w:rsidR="00E72426" w:rsidRPr="00312283" w:rsidRDefault="00502C1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Expuestas las posturas de las partes, conviene iniciar el presente estudio señalando que de conformidad con el artículo 103 del Bando Municipal del Ayuntamiento de Nicolás Romero, le corresponde a la Contraloría Municipal, las siguientes atribuciones:</w:t>
      </w:r>
    </w:p>
    <w:p w:rsidR="00E72426" w:rsidRPr="00312283" w:rsidRDefault="00502C1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312283">
        <w:rPr>
          <w:rFonts w:ascii="Palatino Linotype" w:eastAsia="Palatino Linotype" w:hAnsi="Palatino Linotype" w:cs="Palatino Linotype"/>
          <w:i/>
          <w:sz w:val="22"/>
          <w:szCs w:val="22"/>
        </w:rPr>
        <w:t xml:space="preserve">“Artículo 103. La Contraloría Municipal tendrá a su cargo la inspección, vigilancia, supervisión, control y evaluación de las funciones que por competencia realizan las dependencias de la Administración Pública Municipal y los organismos auxiliares descentralizados, desconcentrados y fideicomisos, verificando su debido funcionamiento administrativo acorde a la normatividad, planes y programas establecidos; la fiscalización de los ingresos y ejercicio del gasto público municipal y su congruencia con el presupuesto de egresos, </w:t>
      </w:r>
      <w:r w:rsidRPr="00312283">
        <w:rPr>
          <w:rFonts w:ascii="Palatino Linotype" w:eastAsia="Palatino Linotype" w:hAnsi="Palatino Linotype" w:cs="Palatino Linotype"/>
          <w:b/>
          <w:i/>
          <w:sz w:val="22"/>
          <w:szCs w:val="22"/>
          <w:u w:val="single"/>
        </w:rPr>
        <w:t>así como la ejecución de acciones y procesos que promuevan la transparencia y rendición de cuentas, la prevención, investigación, substanciación, resolución y sanción de las faltas administrativas, sobre presuntos hechos de corrupción, acordes a lo señalado en la Ley de Responsabilidades Administrativas del Estado de México y Municipios.</w:t>
      </w:r>
    </w:p>
    <w:p w:rsidR="00E72426" w:rsidRPr="00312283" w:rsidRDefault="00502C1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Las funciones del Órgano Interno de Control estarán a cargo de un titular denominado Contralor Municipal.” (Énfasis añadido)</w:t>
      </w:r>
    </w:p>
    <w:p w:rsidR="00664605" w:rsidRPr="00312283" w:rsidRDefault="00502C1F">
      <w:pPr>
        <w:spacing w:before="240"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mérito de lo anterior, se tiene que si bien es cierto existe un pronunciamiento en el sentido de que </w:t>
      </w:r>
      <w:r w:rsidRPr="00312283">
        <w:rPr>
          <w:rFonts w:ascii="Palatino Linotype" w:eastAsia="Palatino Linotype" w:hAnsi="Palatino Linotype" w:cs="Palatino Linotype"/>
          <w:i/>
        </w:rPr>
        <w:t xml:space="preserve">“este Órgano de Control Interno a atendido en tiempo y forma los procedimientos administrativos relacionados con Tesoreros Municipales desde el año 2015 a la fecha”, </w:t>
      </w:r>
      <w:r w:rsidRPr="00312283">
        <w:rPr>
          <w:rFonts w:ascii="Palatino Linotype" w:eastAsia="Palatino Linotype" w:hAnsi="Palatino Linotype" w:cs="Palatino Linotype"/>
        </w:rPr>
        <w:t xml:space="preserve">no menos cierto es que no se encuentra impedida a remitir la documentación soporte de su dicho, es decir, aquella en la que se aprecie que se han atendido en tiempo y forma los procedimientos administrativos relacionados con Tesoreros Municipal, toda vez que es la encargada de la investigación, substanciación, resolución y sanción de las faltas administrativas y de aquellos presuntos hechos de corrupción, con lo cual se acredita que dentro de los archivos de la Contraloría Municipal del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deben constar los documentos que contienen los procedimientos administrativos relacionados con los Tesoreros Municipales desde el año 2015 al tres de </w:t>
      </w:r>
      <w:r w:rsidR="00EE4C40" w:rsidRPr="00312283">
        <w:rPr>
          <w:rFonts w:ascii="Palatino Linotype" w:eastAsia="Palatino Linotype" w:hAnsi="Palatino Linotype" w:cs="Palatino Linotype"/>
        </w:rPr>
        <w:t xml:space="preserve">febrero del dos mil veintitrés, siendo estos documentos el acceso a los propios expedientes. </w:t>
      </w:r>
    </w:p>
    <w:p w:rsidR="00664605" w:rsidRPr="00312283" w:rsidRDefault="00664605" w:rsidP="00664605">
      <w:pPr>
        <w:spacing w:before="240"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Ahora bien, atendiendo a la materia de la solicitud, es importante referir. En primer lugar, que la información solicitada se encuentra relacionada con la obligación de transparencia prevista en el artículo 92, fracción XXII de la Ley de Transparencia y Acceso a la Información Pública del Estado de México y Municipios, a saber:</w:t>
      </w:r>
    </w:p>
    <w:p w:rsidR="00664605" w:rsidRPr="00312283" w:rsidRDefault="00664605" w:rsidP="00664605">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64605" w:rsidRPr="00312283" w:rsidRDefault="00664605" w:rsidP="00664605">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w:t>
      </w:r>
    </w:p>
    <w:p w:rsidR="00664605" w:rsidRPr="00312283" w:rsidRDefault="00664605" w:rsidP="00664605">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XXII. El listado de Servidores Públicos con sanciones administrativas definitivas, especificando la causa de sanción y la disposición</w:t>
      </w:r>
      <w:r w:rsidRPr="00312283">
        <w:rPr>
          <w:rFonts w:ascii="Palatino Linotype" w:eastAsia="Palatino Linotype" w:hAnsi="Palatino Linotype" w:cs="Palatino Linotype"/>
          <w:i/>
          <w:sz w:val="22"/>
          <w:szCs w:val="22"/>
        </w:rPr>
        <w:t xml:space="preserve">; </w:t>
      </w:r>
      <w:r w:rsidR="00B05DF7" w:rsidRPr="00312283">
        <w:rPr>
          <w:rFonts w:ascii="Palatino Linotype" w:eastAsia="Palatino Linotype" w:hAnsi="Palatino Linotype" w:cs="Palatino Linotype"/>
          <w:i/>
          <w:sz w:val="22"/>
          <w:szCs w:val="22"/>
        </w:rPr>
        <w:t>(Énfasis añadido)</w:t>
      </w:r>
    </w:p>
    <w:p w:rsidR="00F22D34" w:rsidRPr="00312283" w:rsidRDefault="00F22D34" w:rsidP="00F22D34">
      <w:pPr>
        <w:spacing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No obstante, </w:t>
      </w:r>
      <w:r w:rsidRPr="00312283">
        <w:rPr>
          <w:rFonts w:ascii="Palatino Linotype" w:eastAsia="Palatino Linotype" w:hAnsi="Palatino Linotype" w:cs="Palatino Linotype"/>
          <w:b/>
          <w:u w:val="single"/>
        </w:rPr>
        <w:t>solo pueden ser dadas a conocer las responsabilidades administrativas</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u w:val="single"/>
        </w:rPr>
        <w:t>por faltas graves</w:t>
      </w:r>
      <w:r w:rsidRPr="00312283">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sidRPr="00312283">
        <w:rPr>
          <w:rFonts w:ascii="Palatino Linotype" w:eastAsia="Palatino Linotype" w:hAnsi="Palatino Linotype" w:cs="Palatino Linotype"/>
          <w:b/>
          <w:u w:val="single"/>
        </w:rPr>
        <w:t>las sanciones no graves no serán públicas</w:t>
      </w:r>
      <w:r w:rsidRPr="00312283">
        <w:rPr>
          <w:rFonts w:ascii="Palatino Linotype" w:eastAsia="Palatino Linotype" w:hAnsi="Palatino Linotype" w:cs="Palatino Linotype"/>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rsidR="00F22D34" w:rsidRPr="00312283" w:rsidRDefault="00F22D34" w:rsidP="00F22D34">
      <w:pPr>
        <w:spacing w:before="120" w:after="120"/>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“Artículo 53. Las sanciones impuestas por faltas administrativas graves serán del conocimiento público </w:t>
      </w:r>
      <w:r w:rsidRPr="00312283">
        <w:rPr>
          <w:rFonts w:ascii="Palatino Linotype" w:eastAsia="Palatino Linotype" w:hAnsi="Palatino Linotype" w:cs="Palatino Linotype"/>
          <w:b/>
          <w:i/>
          <w:sz w:val="22"/>
          <w:szCs w:val="22"/>
          <w:u w:val="single"/>
        </w:rPr>
        <w:t>cuando éstas contengan impedimentos o inhabilitaciones</w:t>
      </w:r>
      <w:r w:rsidRPr="00312283">
        <w:rPr>
          <w:rFonts w:ascii="Palatino Linotype" w:eastAsia="Palatino Linotype" w:hAnsi="Palatino Linotype" w:cs="Palatino Linotype"/>
          <w:i/>
          <w:sz w:val="22"/>
          <w:szCs w:val="22"/>
        </w:rPr>
        <w:t xml:space="preserve"> para ser contratados como servidores públicos o como prestadores de servicios o contratistas del sector público, en términos de la Ley de Responsabilidades Administrativas del Estado de México y Municipios.</w:t>
      </w:r>
    </w:p>
    <w:p w:rsidR="00F22D34" w:rsidRPr="00312283" w:rsidRDefault="00F22D34" w:rsidP="00F22D34">
      <w:pPr>
        <w:spacing w:before="120" w:after="120"/>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Los registros de </w:t>
      </w:r>
      <w:r w:rsidRPr="00312283">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312283">
        <w:rPr>
          <w:rFonts w:ascii="Palatino Linotype" w:eastAsia="Palatino Linotype" w:hAnsi="Palatino Linotype" w:cs="Palatino Linotype"/>
          <w:i/>
          <w:sz w:val="22"/>
          <w:szCs w:val="22"/>
        </w:rPr>
        <w:t>”</w:t>
      </w:r>
    </w:p>
    <w:p w:rsidR="00F22D34" w:rsidRPr="00312283" w:rsidRDefault="00F22D34" w:rsidP="00F22D34">
      <w:pPr>
        <w:spacing w:before="240" w:after="240" w:line="360" w:lineRule="auto"/>
        <w:ind w:right="51"/>
        <w:jc w:val="both"/>
        <w:rPr>
          <w:rFonts w:ascii="Palatino Linotype" w:eastAsia="Palatino Linotype" w:hAnsi="Palatino Linotype" w:cs="Palatino Linotype"/>
        </w:rPr>
      </w:pPr>
      <w:r w:rsidRPr="00312283">
        <w:rPr>
          <w:rFonts w:ascii="Palatino Linotype" w:eastAsia="Palatino Linotype" w:hAnsi="Palatino Linotype" w:cs="Palatino Linotype"/>
        </w:rPr>
        <w:t>En ese sentido es importante, referir que la Ley de Responsabilidades Administrativas del Estado de México y Municipios, vigente, señala como faltas administrativas graves y no graves, lo siguiente:</w:t>
      </w:r>
    </w:p>
    <w:p w:rsidR="00E72426" w:rsidRPr="00312283" w:rsidRDefault="00F22D34">
      <w:pPr>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 xml:space="preserve"> </w:t>
      </w:r>
      <w:r w:rsidR="00502C1F" w:rsidRPr="00312283">
        <w:rPr>
          <w:rFonts w:ascii="Palatino Linotype" w:eastAsia="Palatino Linotype" w:hAnsi="Palatino Linotype" w:cs="Palatino Linotype"/>
          <w:i/>
          <w:sz w:val="22"/>
          <w:szCs w:val="22"/>
        </w:rPr>
        <w:t>“Artículo 3. Para los efectos de la presente Ley, se entenderá por:</w:t>
      </w:r>
      <w:r w:rsidR="00502C1F" w:rsidRPr="00312283">
        <w:rPr>
          <w:rFonts w:ascii="Palatino Linotype" w:eastAsia="Palatino Linotype" w:hAnsi="Palatino Linotype" w:cs="Palatino Linotype"/>
          <w:i/>
          <w:sz w:val="22"/>
          <w:szCs w:val="22"/>
        </w:rPr>
        <w:br/>
        <w:t>...</w:t>
      </w:r>
    </w:p>
    <w:p w:rsidR="00E72426" w:rsidRPr="00312283" w:rsidRDefault="00502C1F">
      <w:pPr>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XIII. </w:t>
      </w:r>
      <w:r w:rsidRPr="00312283">
        <w:rPr>
          <w:rFonts w:ascii="Palatino Linotype" w:eastAsia="Palatino Linotype" w:hAnsi="Palatino Linotype" w:cs="Palatino Linotype"/>
          <w:b/>
          <w:i/>
          <w:sz w:val="22"/>
          <w:szCs w:val="22"/>
        </w:rPr>
        <w:t>Falta administrativa no grave</w:t>
      </w:r>
      <w:r w:rsidRPr="00312283">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rsidR="00E72426" w:rsidRPr="00312283" w:rsidRDefault="00502C1F">
      <w:pPr>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XIV. </w:t>
      </w:r>
      <w:r w:rsidRPr="00312283">
        <w:rPr>
          <w:rFonts w:ascii="Palatino Linotype" w:eastAsia="Palatino Linotype" w:hAnsi="Palatino Linotype" w:cs="Palatino Linotype"/>
          <w:b/>
          <w:i/>
          <w:sz w:val="22"/>
          <w:szCs w:val="22"/>
        </w:rPr>
        <w:t>Falta administrativa grave</w:t>
      </w:r>
      <w:r w:rsidRPr="00312283">
        <w:rPr>
          <w:rFonts w:ascii="Palatino Linotype" w:eastAsia="Palatino Linotype" w:hAnsi="Palatino Linotype" w:cs="Palatino Linotype"/>
          <w:i/>
          <w:sz w:val="22"/>
          <w:szCs w:val="22"/>
        </w:rPr>
        <w:t>: A las faltas administrativas de los servidores públicos catalogadas como graves en los términos de la presente Ley, cuya sanción corresponde al Tribunal de Justicia Administrativa del Estado de México</w:t>
      </w:r>
    </w:p>
    <w:p w:rsidR="00E72426" w:rsidRPr="00312283" w:rsidRDefault="00502C1F">
      <w:pPr>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w:t>
      </w:r>
      <w:r w:rsidRPr="00312283">
        <w:rPr>
          <w:rFonts w:ascii="Palatino Linotype" w:eastAsia="Palatino Linotype" w:hAnsi="Palatino Linotype" w:cs="Palatino Linotype"/>
          <w:i/>
          <w:sz w:val="22"/>
          <w:szCs w:val="22"/>
        </w:rPr>
        <w:t>" (Énfasis añadido)</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rsidR="00E72426" w:rsidRPr="00312283" w:rsidRDefault="00502C1F">
      <w:pPr>
        <w:pBdr>
          <w:top w:val="nil"/>
          <w:left w:val="nil"/>
          <w:bottom w:val="nil"/>
          <w:right w:val="nil"/>
          <w:between w:val="nil"/>
        </w:pBdr>
        <w:spacing w:before="120" w:after="120"/>
        <w:ind w:left="567" w:right="900"/>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sz w:val="22"/>
          <w:szCs w:val="22"/>
        </w:rPr>
        <w:t xml:space="preserve">“Artículo 50. Incurre en </w:t>
      </w:r>
      <w:r w:rsidRPr="00312283">
        <w:rPr>
          <w:rFonts w:ascii="Palatino Linotype" w:eastAsia="Palatino Linotype" w:hAnsi="Palatino Linotype" w:cs="Palatino Linotype"/>
          <w:b/>
          <w:i/>
          <w:sz w:val="22"/>
          <w:szCs w:val="22"/>
          <w:u w:val="single"/>
        </w:rPr>
        <w:t>falta administrativa no grave</w:t>
      </w:r>
      <w:r w:rsidRPr="00312283">
        <w:rPr>
          <w:rFonts w:ascii="Palatino Linotype" w:eastAsia="Palatino Linotype" w:hAnsi="Palatino Linotype" w:cs="Palatino Linotype"/>
          <w:b/>
          <w:i/>
          <w:sz w:val="22"/>
          <w:szCs w:val="22"/>
        </w:rPr>
        <w:t>, el servidor público que con sus actos u omisiones, incumpla o transgreda las obligaciones siguientes:</w:t>
      </w:r>
    </w:p>
    <w:p w:rsidR="00E72426" w:rsidRPr="00312283" w:rsidRDefault="00502C1F">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w:t>
      </w:r>
      <w:r w:rsidRPr="00312283">
        <w:rPr>
          <w:rFonts w:ascii="Palatino Linotype" w:eastAsia="Palatino Linotype" w:hAnsi="Palatino Linotype" w:cs="Palatino Linotype"/>
          <w:i/>
          <w:sz w:val="22"/>
          <w:szCs w:val="22"/>
        </w:rPr>
        <w:t xml:space="preserve">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rsidR="00E72426" w:rsidRPr="00312283" w:rsidRDefault="00502C1F" w:rsidP="00B05DF7">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w:t>
      </w:r>
      <w:r w:rsidRPr="00312283">
        <w:rPr>
          <w:rFonts w:ascii="Palatino Linotype" w:eastAsia="Palatino Linotype" w:hAnsi="Palatino Linotype" w:cs="Palatino Linotype"/>
          <w:i/>
          <w:sz w:val="22"/>
          <w:szCs w:val="22"/>
        </w:rPr>
        <w:t xml:space="preserve"> Denunciar los actos u omisiones que en ejercicio de sus funciones llegare a advertir, que puedan constituir faltas administrativas en términos del artículo 95 de la presente Ley. </w:t>
      </w:r>
    </w:p>
    <w:p w:rsidR="00E72426" w:rsidRPr="00312283" w:rsidRDefault="00502C1F" w:rsidP="00B05DF7">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III.</w:t>
      </w:r>
      <w:r w:rsidRPr="00312283">
        <w:rPr>
          <w:rFonts w:ascii="Palatino Linotype" w:eastAsia="Palatino Linotype" w:hAnsi="Palatino Linotype" w:cs="Palatino Linotype"/>
          <w:i/>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rsidR="00E72426" w:rsidRPr="00312283" w:rsidRDefault="00502C1F" w:rsidP="00B05DF7">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IV</w:t>
      </w:r>
      <w:r w:rsidRPr="00312283">
        <w:rPr>
          <w:rFonts w:ascii="Palatino Linotype" w:eastAsia="Palatino Linotype" w:hAnsi="Palatino Linotype" w:cs="Palatino Linotype"/>
          <w:i/>
          <w:sz w:val="22"/>
          <w:szCs w:val="22"/>
        </w:rPr>
        <w:t xml:space="preserve">. Presentar en tiempo y forma la declaración de situación patrimonial y la de intereses que, en su caso, considere se actualice, en los términos establecidos por esta Ley.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lastRenderedPageBreak/>
        <w:t>V</w:t>
      </w:r>
      <w:r w:rsidRPr="00312283">
        <w:rPr>
          <w:rFonts w:ascii="Palatino Linotype" w:eastAsia="Palatino Linotype" w:hAnsi="Palatino Linotype" w:cs="Palatino Linotype"/>
          <w:i/>
          <w:sz w:val="22"/>
          <w:szCs w:val="22"/>
        </w:rPr>
        <w:t xml:space="preserve">. Rendir cuentas sobre el ejercicio de las funciones, en términos de las normas aplicables.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VI</w:t>
      </w:r>
      <w:r w:rsidRPr="00312283">
        <w:rPr>
          <w:rFonts w:ascii="Palatino Linotype" w:eastAsia="Palatino Linotype" w:hAnsi="Palatino Linotype" w:cs="Palatino Linotype"/>
          <w:i/>
          <w:sz w:val="22"/>
          <w:szCs w:val="22"/>
        </w:rPr>
        <w:t xml:space="preserve">. Colaborar en los procedimientos judiciales y administrativos en los que sea parte.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VII</w:t>
      </w:r>
      <w:r w:rsidRPr="00312283">
        <w:rPr>
          <w:rFonts w:ascii="Palatino Linotype" w:eastAsia="Palatino Linotype" w:hAnsi="Palatino Linotype" w:cs="Palatino Linotype"/>
          <w:i/>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VIII</w:t>
      </w:r>
      <w:r w:rsidRPr="00312283">
        <w:rPr>
          <w:rFonts w:ascii="Palatino Linotype" w:eastAsia="Palatino Linotype" w:hAnsi="Palatino Linotype" w:cs="Palatino Linotype"/>
          <w:i/>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IX</w:t>
      </w:r>
      <w:r w:rsidRPr="00312283">
        <w:rPr>
          <w:rFonts w:ascii="Palatino Linotype" w:eastAsia="Palatino Linotype" w:hAnsi="Palatino Linotype" w:cs="Palatino Linotype"/>
          <w:i/>
          <w:sz w:val="22"/>
          <w:szCs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w:t>
      </w:r>
      <w:r w:rsidRPr="00312283">
        <w:rPr>
          <w:rFonts w:ascii="Palatino Linotype" w:eastAsia="Palatino Linotype" w:hAnsi="Palatino Linotype" w:cs="Palatino Linotype"/>
          <w:i/>
          <w:sz w:val="22"/>
          <w:szCs w:val="22"/>
        </w:rPr>
        <w:t xml:space="preserve"> Observar buena conducta en su empleo, cargo o comisión tratando con respeto, diligencia, imparcialidad y rectitud a las personas y servidores públicos con los que tenga relación con motivo de éste.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XI. </w:t>
      </w:r>
      <w:r w:rsidRPr="00312283">
        <w:rPr>
          <w:rFonts w:ascii="Palatino Linotype" w:eastAsia="Palatino Linotype" w:hAnsi="Palatino Linotype" w:cs="Palatino Linotype"/>
          <w:i/>
          <w:sz w:val="22"/>
          <w:szCs w:val="22"/>
        </w:rPr>
        <w:t xml:space="preserve">Observar un trato respetuoso con sus subalternos.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 xml:space="preserve">XII. Supervisar que los servidores públicos sujetos a su dirección, cumplan con las disposiciones de esta Ley.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XIII.</w:t>
      </w:r>
      <w:r w:rsidRPr="00312283">
        <w:rPr>
          <w:rFonts w:ascii="Palatino Linotype" w:eastAsia="Palatino Linotype" w:hAnsi="Palatino Linotype" w:cs="Palatino Linotype"/>
          <w:i/>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XIV.</w:t>
      </w:r>
      <w:r w:rsidRPr="00312283">
        <w:rPr>
          <w:rFonts w:ascii="Palatino Linotype" w:eastAsia="Palatino Linotype" w:hAnsi="Palatino Linotype" w:cs="Palatino Linotype"/>
          <w:i/>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XV.</w:t>
      </w:r>
      <w:r w:rsidRPr="00312283">
        <w:rPr>
          <w:rFonts w:ascii="Palatino Linotype" w:eastAsia="Palatino Linotype" w:hAnsi="Palatino Linotype" w:cs="Palatino Linotype"/>
          <w:i/>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XVI.</w:t>
      </w:r>
      <w:r w:rsidRPr="00312283">
        <w:rPr>
          <w:rFonts w:ascii="Palatino Linotype" w:eastAsia="Palatino Linotype" w:hAnsi="Palatino Linotype" w:cs="Palatino Linotype"/>
          <w:i/>
          <w:sz w:val="22"/>
          <w:szCs w:val="22"/>
        </w:rPr>
        <w:t xml:space="preserve"> Cumplir con las disposiciones en materia de Gobierno Digital que impongan la Ley de la materia, su reglamento y demás disposiciones aplicables.</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XVII.</w:t>
      </w:r>
      <w:r w:rsidRPr="00312283">
        <w:rPr>
          <w:rFonts w:ascii="Palatino Linotype" w:eastAsia="Palatino Linotype" w:hAnsi="Palatino Linotype" w:cs="Palatino Linotype"/>
          <w:i/>
          <w:sz w:val="22"/>
          <w:szCs w:val="22"/>
        </w:rPr>
        <w:t xml:space="preserve"> Utilizar las medidas de seguridad informática y protección de datos e información personal recomendada por las instancias competentes.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XVIII. </w:t>
      </w:r>
      <w:r w:rsidRPr="00312283">
        <w:rPr>
          <w:rFonts w:ascii="Palatino Linotype" w:eastAsia="Palatino Linotype" w:hAnsi="Palatino Linotype" w:cs="Palatino Linotype"/>
          <w:i/>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rsidR="00E72426" w:rsidRPr="00312283" w:rsidRDefault="00502C1F">
      <w:pPr>
        <w:pBdr>
          <w:top w:val="nil"/>
          <w:left w:val="nil"/>
          <w:bottom w:val="nil"/>
          <w:right w:val="nil"/>
          <w:between w:val="nil"/>
        </w:pBdr>
        <w:spacing w:before="120" w:after="120"/>
        <w:ind w:left="993" w:right="1043"/>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XIX.</w:t>
      </w:r>
      <w:r w:rsidRPr="00312283">
        <w:rPr>
          <w:rFonts w:ascii="Palatino Linotype" w:eastAsia="Palatino Linotype" w:hAnsi="Palatino Linotype" w:cs="Palatino Linotype"/>
          <w:i/>
          <w:sz w:val="22"/>
          <w:szCs w:val="22"/>
        </w:rPr>
        <w:t xml:space="preserve"> Las demás que le impongan las leyes, reglamentos o disposiciones administrativas aplicables.”</w:t>
      </w:r>
    </w:p>
    <w:p w:rsidR="00E72426" w:rsidRPr="00312283" w:rsidRDefault="00502C1F">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De la misma manera, el artículo 51 de la Ley de Responsabilidades Administrativas indica que </w:t>
      </w:r>
      <w:r w:rsidRPr="00312283">
        <w:rPr>
          <w:rFonts w:ascii="Palatino Linotype" w:eastAsia="Palatino Linotype" w:hAnsi="Palatino Linotype" w:cs="Palatino Linotype"/>
          <w:b/>
        </w:rPr>
        <w:t xml:space="preserve">también serán consideradas faltas administrativas </w:t>
      </w:r>
      <w:r w:rsidRPr="00312283">
        <w:rPr>
          <w:rFonts w:ascii="Palatino Linotype" w:eastAsia="Palatino Linotype" w:hAnsi="Palatino Linotype" w:cs="Palatino Linotype"/>
          <w:b/>
          <w:u w:val="single"/>
        </w:rPr>
        <w:t>no graves</w:t>
      </w:r>
      <w:r w:rsidRPr="00312283">
        <w:rPr>
          <w:rFonts w:ascii="Palatino Linotype" w:eastAsia="Palatino Linotype" w:hAnsi="Palatino Linotype" w:cs="Palatino Linotype"/>
          <w:b/>
        </w:rPr>
        <w:t>, los daños y perjuicios</w:t>
      </w:r>
      <w:r w:rsidRPr="00312283">
        <w:rPr>
          <w:rFonts w:ascii="Palatino Linotype" w:eastAsia="Palatino Linotype" w:hAnsi="Palatino Linotype" w:cs="Palatino Linotype"/>
        </w:rPr>
        <w:t xml:space="preserve"> que </w:t>
      </w:r>
      <w:r w:rsidRPr="00312283">
        <w:rPr>
          <w:rFonts w:ascii="Palatino Linotype" w:eastAsia="Palatino Linotype" w:hAnsi="Palatino Linotype" w:cs="Palatino Linotype"/>
          <w:b/>
          <w:u w:val="single"/>
        </w:rPr>
        <w:t>de manera culposa o negligente y sin incurrir en alguna de las faltas administrativas graves</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cause un servidor público a la Hacienda Pública o al patrimonio de un ente público</w:t>
      </w:r>
      <w:r w:rsidRPr="00312283">
        <w:rPr>
          <w:rFonts w:ascii="Palatino Linotype" w:eastAsia="Palatino Linotype" w:hAnsi="Palatino Linotype" w:cs="Palatino Linotype"/>
        </w:rPr>
        <w:t xml:space="preserve">, siendo de suma importancia mencionar que la autoridad resolutora podrá abstenerse de imponer la sanción que corresponda </w:t>
      </w:r>
      <w:r w:rsidRPr="00312283">
        <w:rPr>
          <w:rFonts w:ascii="Palatino Linotype" w:eastAsia="Palatino Linotype" w:hAnsi="Palatino Linotype" w:cs="Palatino Linotype"/>
          <w:b/>
        </w:rPr>
        <w:t>cuando el daño o perjuicio</w:t>
      </w:r>
      <w:r w:rsidRPr="00312283">
        <w:rPr>
          <w:rFonts w:ascii="Palatino Linotype" w:eastAsia="Palatino Linotype" w:hAnsi="Palatino Linotype" w:cs="Palatino Linotype"/>
        </w:rPr>
        <w:t xml:space="preserve"> a la Hacienda Pública Estatal o Municipal o al </w:t>
      </w:r>
      <w:r w:rsidRPr="00312283">
        <w:rPr>
          <w:rFonts w:ascii="Palatino Linotype" w:eastAsia="Palatino Linotype" w:hAnsi="Palatino Linotype" w:cs="Palatino Linotype"/>
        </w:rPr>
        <w:lastRenderedPageBreak/>
        <w:t xml:space="preserve">patrimonio de los entes públicos </w:t>
      </w:r>
      <w:r w:rsidRPr="00312283">
        <w:rPr>
          <w:rFonts w:ascii="Palatino Linotype" w:eastAsia="Palatino Linotype" w:hAnsi="Palatino Linotype" w:cs="Palatino Linotype"/>
          <w:b/>
        </w:rPr>
        <w:t>no exceda de dos mil veces el valor diario de la unidad de medida y actualización y el daño haya sido resarcido o recuperado</w:t>
      </w:r>
      <w:r w:rsidRPr="00312283">
        <w:rPr>
          <w:rFonts w:ascii="Palatino Linotype" w:eastAsia="Palatino Linotype" w:hAnsi="Palatino Linotype" w:cs="Palatino Linotype"/>
        </w:rPr>
        <w:t>, tal como se lee en seguida:</w:t>
      </w:r>
    </w:p>
    <w:p w:rsidR="00E72426" w:rsidRPr="00312283" w:rsidRDefault="00502C1F">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Artículo 51.</w:t>
      </w:r>
      <w:r w:rsidRPr="00312283">
        <w:rPr>
          <w:rFonts w:ascii="Palatino Linotype" w:eastAsia="Palatino Linotype" w:hAnsi="Palatino Linotype" w:cs="Palatino Linotype"/>
          <w:i/>
          <w:sz w:val="22"/>
          <w:szCs w:val="22"/>
        </w:rPr>
        <w:t xml:space="preserve"> También se considerará </w:t>
      </w:r>
      <w:r w:rsidRPr="00312283">
        <w:rPr>
          <w:rFonts w:ascii="Palatino Linotype" w:eastAsia="Palatino Linotype" w:hAnsi="Palatino Linotype" w:cs="Palatino Linotype"/>
          <w:b/>
          <w:i/>
          <w:sz w:val="22"/>
          <w:szCs w:val="22"/>
        </w:rPr>
        <w:t>falta administrativa no grave, los daños y perjuicios que, de manera culposa o negligente y sin incurrir en alguna de las faltas administrativas graves</w:t>
      </w:r>
      <w:r w:rsidRPr="00312283">
        <w:rPr>
          <w:rFonts w:ascii="Palatino Linotype" w:eastAsia="Palatino Linotype" w:hAnsi="Palatino Linotype" w:cs="Palatino Linotype"/>
          <w:i/>
          <w:sz w:val="22"/>
          <w:szCs w:val="22"/>
        </w:rPr>
        <w:t xml:space="preserve"> señaladas en el Capítulo siguiente, </w:t>
      </w:r>
      <w:r w:rsidRPr="00312283">
        <w:rPr>
          <w:rFonts w:ascii="Palatino Linotype" w:eastAsia="Palatino Linotype" w:hAnsi="Palatino Linotype" w:cs="Palatino Linotype"/>
          <w:b/>
          <w:i/>
          <w:sz w:val="22"/>
          <w:szCs w:val="22"/>
        </w:rPr>
        <w:t xml:space="preserve">cause un servidor público a la Hacienda Pública o al patrimonio de un ente público. </w:t>
      </w:r>
    </w:p>
    <w:p w:rsidR="00E72426" w:rsidRPr="00312283" w:rsidRDefault="00502C1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Los entes públicos o los particulares que, en términos de este artículo, hayan recibido recursos públicos sin tener derecho a los mismos, deberán reintegrar los mismos a la Hacienda Pública Estatal o Municipal o al patrimonio del ente público afectado en un plazo no mayor a 90 días, contados a partir de la notificación correspondiente por parte del Órgano Superior de Fiscalización o de la autoridad resolutora. </w:t>
      </w:r>
    </w:p>
    <w:p w:rsidR="00E72426" w:rsidRPr="00312283" w:rsidRDefault="00502C1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En caso de no realizar el reintegro de los recursos señalados en el párrafo anterior, éstos serán considerados créditos fiscales, por lo que la Secretaría de Finanzas del Gobierno del Estado de México deberá ejecutar el cobro de los mismos en términos de las disposiciones jurídicas aplicables. </w:t>
      </w:r>
    </w:p>
    <w:p w:rsidR="00E72426" w:rsidRPr="00312283" w:rsidRDefault="00502C1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La </w:t>
      </w:r>
      <w:r w:rsidRPr="00312283">
        <w:rPr>
          <w:rFonts w:ascii="Palatino Linotype" w:eastAsia="Palatino Linotype" w:hAnsi="Palatino Linotype" w:cs="Palatino Linotype"/>
          <w:b/>
          <w:i/>
          <w:sz w:val="22"/>
          <w:szCs w:val="22"/>
        </w:rPr>
        <w:t>autoridad resolutora podrá abstenerse de imponer la sanción que corresponda</w:t>
      </w:r>
      <w:r w:rsidRPr="00312283">
        <w:rPr>
          <w:rFonts w:ascii="Palatino Linotype" w:eastAsia="Palatino Linotype" w:hAnsi="Palatino Linotype" w:cs="Palatino Linotype"/>
          <w:i/>
          <w:sz w:val="22"/>
          <w:szCs w:val="22"/>
        </w:rPr>
        <w:t xml:space="preserve"> conforme al artículo 79 de esta Ley </w:t>
      </w:r>
      <w:r w:rsidRPr="00312283">
        <w:rPr>
          <w:rFonts w:ascii="Palatino Linotype" w:eastAsia="Palatino Linotype" w:hAnsi="Palatino Linotype" w:cs="Palatino Linotype"/>
          <w:b/>
          <w:i/>
          <w:sz w:val="22"/>
          <w:szCs w:val="22"/>
        </w:rPr>
        <w:t>cuando el daño o perjuicio a la Hacienda Pública Estatal o Municipal o al patrimonio de los entes públicos no exceda de dos mil veces el valor diario de la unidad de medida y actualización y el daño haya sido resarcido o recuperado</w:t>
      </w:r>
      <w:r w:rsidRPr="00312283">
        <w:rPr>
          <w:rFonts w:ascii="Palatino Linotype" w:eastAsia="Palatino Linotype" w:hAnsi="Palatino Linotype" w:cs="Palatino Linotype"/>
          <w:i/>
          <w:sz w:val="22"/>
          <w:szCs w:val="22"/>
        </w:rPr>
        <w:t>.”</w:t>
      </w:r>
    </w:p>
    <w:p w:rsidR="00E72426" w:rsidRPr="00312283" w:rsidRDefault="00502C1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otras palabras, </w:t>
      </w:r>
      <w:r w:rsidRPr="00312283">
        <w:rPr>
          <w:rFonts w:ascii="Palatino Linotype" w:eastAsia="Palatino Linotype" w:hAnsi="Palatino Linotype" w:cs="Palatino Linotype"/>
          <w:b/>
        </w:rPr>
        <w:t>los daños y perjuicios que cause un servidor público a la Hacienda Pública o al patrimonio de un ente público</w:t>
      </w:r>
      <w:r w:rsidRPr="00312283">
        <w:rPr>
          <w:rFonts w:ascii="Palatino Linotype" w:eastAsia="Palatino Linotype" w:hAnsi="Palatino Linotype" w:cs="Palatino Linotype"/>
        </w:rPr>
        <w:t>, también</w:t>
      </w:r>
      <w:r w:rsidRPr="00312283">
        <w:rPr>
          <w:rFonts w:ascii="Palatino Linotype" w:eastAsia="Palatino Linotype" w:hAnsi="Palatino Linotype" w:cs="Palatino Linotype"/>
          <w:b/>
        </w:rPr>
        <w:t xml:space="preserve"> podrán ser considerados como una falta </w:t>
      </w:r>
      <w:r w:rsidRPr="00312283">
        <w:rPr>
          <w:rFonts w:ascii="Palatino Linotype" w:eastAsia="Palatino Linotype" w:hAnsi="Palatino Linotype" w:cs="Palatino Linotype"/>
          <w:b/>
          <w:u w:val="single"/>
        </w:rPr>
        <w:t>no grave</w:t>
      </w:r>
      <w:r w:rsidRPr="00312283">
        <w:rPr>
          <w:rFonts w:ascii="Palatino Linotype" w:eastAsia="Palatino Linotype" w:hAnsi="Palatino Linotype" w:cs="Palatino Linotype"/>
        </w:rPr>
        <w:t>, para lo cual se deben actualizar los siguientes supuestos:</w:t>
      </w:r>
    </w:p>
    <w:p w:rsidR="00E72426" w:rsidRPr="00312283" w:rsidRDefault="00502C1F">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rPr>
      </w:pPr>
      <w:r w:rsidRPr="00312283">
        <w:rPr>
          <w:rFonts w:ascii="Palatino Linotype" w:eastAsia="Palatino Linotype" w:hAnsi="Palatino Linotype" w:cs="Palatino Linotype"/>
          <w:sz w:val="22"/>
          <w:szCs w:val="22"/>
        </w:rPr>
        <w:t xml:space="preserve">1. </w:t>
      </w:r>
      <w:r w:rsidRPr="00312283">
        <w:rPr>
          <w:rFonts w:ascii="Palatino Linotype" w:eastAsia="Palatino Linotype" w:hAnsi="Palatino Linotype" w:cs="Palatino Linotype"/>
        </w:rPr>
        <w:t>El daño o perjuicio se hubiera ocasionado de manera culposa o negligente, esto es sin dolo.</w:t>
      </w:r>
    </w:p>
    <w:p w:rsidR="00E72426" w:rsidRPr="00312283" w:rsidRDefault="00502C1F">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2. No debe incurrir en alguna de las faltas administrativas graves.</w:t>
      </w:r>
    </w:p>
    <w:p w:rsidR="00E72426" w:rsidRPr="00312283" w:rsidRDefault="00502C1F">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rPr>
      </w:pPr>
      <w:r w:rsidRPr="00312283">
        <w:rPr>
          <w:rFonts w:ascii="Palatino Linotype" w:eastAsia="Palatino Linotype" w:hAnsi="Palatino Linotype" w:cs="Palatino Linotype"/>
        </w:rPr>
        <w:t>3. No exceda de dos mil veces el valor diario de la unidad de medida y actualización.</w:t>
      </w:r>
    </w:p>
    <w:p w:rsidR="00E72426" w:rsidRPr="00312283" w:rsidRDefault="00502C1F">
      <w:pPr>
        <w:pBdr>
          <w:top w:val="nil"/>
          <w:left w:val="nil"/>
          <w:bottom w:val="nil"/>
          <w:right w:val="nil"/>
          <w:between w:val="nil"/>
        </w:pBdr>
        <w:spacing w:after="240" w:line="360" w:lineRule="auto"/>
        <w:ind w:left="284" w:right="49"/>
        <w:jc w:val="both"/>
        <w:rPr>
          <w:rFonts w:ascii="Palatino Linotype" w:eastAsia="Palatino Linotype" w:hAnsi="Palatino Linotype" w:cs="Palatino Linotype"/>
          <w:sz w:val="22"/>
          <w:szCs w:val="22"/>
        </w:rPr>
      </w:pPr>
      <w:r w:rsidRPr="00312283">
        <w:rPr>
          <w:rFonts w:ascii="Palatino Linotype" w:eastAsia="Palatino Linotype" w:hAnsi="Palatino Linotype" w:cs="Palatino Linotype"/>
        </w:rPr>
        <w:t xml:space="preserve">4. El daño haya sido </w:t>
      </w:r>
      <w:r w:rsidRPr="00312283">
        <w:rPr>
          <w:rFonts w:ascii="Palatino Linotype" w:eastAsia="Palatino Linotype" w:hAnsi="Palatino Linotype" w:cs="Palatino Linotype"/>
          <w:sz w:val="22"/>
          <w:szCs w:val="22"/>
        </w:rPr>
        <w:t>resarcido o recuperado.</w:t>
      </w:r>
    </w:p>
    <w:p w:rsidR="00E72426" w:rsidRPr="00312283" w:rsidRDefault="00502C1F">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caso contrario, los daños o perjuicios </w:t>
      </w:r>
      <w:r w:rsidRPr="00312283">
        <w:rPr>
          <w:rFonts w:ascii="Palatino Linotype" w:eastAsia="Palatino Linotype" w:hAnsi="Palatino Linotype" w:cs="Palatino Linotype"/>
          <w:b/>
        </w:rPr>
        <w:t>se consideraran como faltas graves</w:t>
      </w:r>
      <w:r w:rsidRPr="00312283">
        <w:rPr>
          <w:rFonts w:ascii="Palatino Linotype" w:eastAsia="Palatino Linotype" w:hAnsi="Palatino Linotype" w:cs="Palatino Linotype"/>
        </w:rPr>
        <w:t>.</w:t>
      </w:r>
    </w:p>
    <w:p w:rsidR="00E72426" w:rsidRPr="00312283" w:rsidRDefault="00502C1F">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En cuanto a las faltas administrativas graves, la Ley de Responsabilidades determina que serán consideradas las siguientes:</w:t>
      </w:r>
    </w:p>
    <w:p w:rsidR="00E72426" w:rsidRPr="00312283" w:rsidRDefault="00502C1F">
      <w:pPr>
        <w:pBdr>
          <w:top w:val="nil"/>
          <w:left w:val="nil"/>
          <w:bottom w:val="nil"/>
          <w:right w:val="nil"/>
          <w:between w:val="nil"/>
        </w:pBdr>
        <w:ind w:left="851" w:right="900"/>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sz w:val="22"/>
          <w:szCs w:val="22"/>
        </w:rPr>
        <w:t xml:space="preserve">“Artículo 52. Para efectos de la presente Ley, se consideran </w:t>
      </w:r>
      <w:r w:rsidRPr="00312283">
        <w:rPr>
          <w:rFonts w:ascii="Palatino Linotype" w:eastAsia="Palatino Linotype" w:hAnsi="Palatino Linotype" w:cs="Palatino Linotype"/>
          <w:b/>
          <w:i/>
          <w:sz w:val="22"/>
          <w:szCs w:val="22"/>
          <w:u w:val="single"/>
        </w:rPr>
        <w:t>faltas administrativas graves</w:t>
      </w:r>
      <w:r w:rsidRPr="00312283">
        <w:rPr>
          <w:rFonts w:ascii="Palatino Linotype" w:eastAsia="Palatino Linotype" w:hAnsi="Palatino Linotype" w:cs="Palatino Linotype"/>
          <w:b/>
          <w:i/>
          <w:sz w:val="22"/>
          <w:szCs w:val="22"/>
        </w:rPr>
        <w:t xml:space="preserve"> de los servidores públicos, mediante cualquier acto u omisión, las siguientes: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w:t>
      </w:r>
      <w:r w:rsidRPr="00312283">
        <w:rPr>
          <w:rFonts w:ascii="Palatino Linotype" w:eastAsia="Palatino Linotype" w:hAnsi="Palatino Linotype" w:cs="Palatino Linotype"/>
          <w:i/>
          <w:sz w:val="22"/>
          <w:szCs w:val="22"/>
        </w:rPr>
        <w:t xml:space="preserve"> El cohecho.</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w:t>
      </w:r>
      <w:r w:rsidRPr="00312283">
        <w:rPr>
          <w:rFonts w:ascii="Palatino Linotype" w:eastAsia="Palatino Linotype" w:hAnsi="Palatino Linotype" w:cs="Palatino Linotype"/>
          <w:i/>
          <w:sz w:val="22"/>
          <w:szCs w:val="22"/>
        </w:rPr>
        <w:t xml:space="preserve"> El peculado.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III</w:t>
      </w:r>
      <w:r w:rsidRPr="00312283">
        <w:rPr>
          <w:rFonts w:ascii="Palatino Linotype" w:eastAsia="Palatino Linotype" w:hAnsi="Palatino Linotype" w:cs="Palatino Linotype"/>
          <w:i/>
          <w:sz w:val="22"/>
          <w:szCs w:val="22"/>
        </w:rPr>
        <w:t xml:space="preserve">. El desvío de recursos públicos.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sz w:val="22"/>
          <w:szCs w:val="22"/>
        </w:rPr>
        <w:t>IV</w:t>
      </w:r>
      <w:r w:rsidRPr="00312283">
        <w:rPr>
          <w:rFonts w:ascii="Palatino Linotype" w:eastAsia="Palatino Linotype" w:hAnsi="Palatino Linotype" w:cs="Palatino Linotype"/>
          <w:i/>
          <w:sz w:val="22"/>
          <w:szCs w:val="22"/>
        </w:rPr>
        <w:t>. La utilización indebida de información</w:t>
      </w:r>
      <w:r w:rsidRPr="00312283">
        <w:rPr>
          <w:rFonts w:ascii="Palatino Linotype" w:eastAsia="Palatino Linotype" w:hAnsi="Palatino Linotype" w:cs="Palatino Linotype"/>
          <w:b/>
          <w:i/>
          <w:sz w:val="22"/>
          <w:szCs w:val="22"/>
        </w:rPr>
        <w:t xml:space="preserve">.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V</w:t>
      </w:r>
      <w:r w:rsidRPr="00312283">
        <w:rPr>
          <w:rFonts w:ascii="Palatino Linotype" w:eastAsia="Palatino Linotype" w:hAnsi="Palatino Linotype" w:cs="Palatino Linotype"/>
          <w:i/>
          <w:sz w:val="22"/>
          <w:szCs w:val="22"/>
        </w:rPr>
        <w:t xml:space="preserve">. El abuso de funciones.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VI</w:t>
      </w:r>
      <w:r w:rsidRPr="00312283">
        <w:rPr>
          <w:rFonts w:ascii="Palatino Linotype" w:eastAsia="Palatino Linotype" w:hAnsi="Palatino Linotype" w:cs="Palatino Linotype"/>
          <w:i/>
          <w:sz w:val="22"/>
          <w:szCs w:val="22"/>
        </w:rPr>
        <w:t xml:space="preserve">. Cometer o tolerar conductas de hostigamiento y acoso sexual.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sz w:val="22"/>
          <w:szCs w:val="22"/>
        </w:rPr>
        <w:t>VII.</w:t>
      </w:r>
      <w:r w:rsidRPr="00312283">
        <w:rPr>
          <w:rFonts w:ascii="Palatino Linotype" w:eastAsia="Palatino Linotype" w:hAnsi="Palatino Linotype" w:cs="Palatino Linotype"/>
          <w:i/>
          <w:sz w:val="22"/>
          <w:szCs w:val="22"/>
        </w:rPr>
        <w:t xml:space="preserve"> El actuar bajo conflicto de interés</w:t>
      </w:r>
      <w:r w:rsidRPr="00312283">
        <w:rPr>
          <w:rFonts w:ascii="Palatino Linotype" w:eastAsia="Palatino Linotype" w:hAnsi="Palatino Linotype" w:cs="Palatino Linotype"/>
          <w:b/>
          <w:i/>
          <w:sz w:val="22"/>
          <w:szCs w:val="22"/>
        </w:rPr>
        <w:t xml:space="preserve">.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VIII</w:t>
      </w:r>
      <w:r w:rsidRPr="00312283">
        <w:rPr>
          <w:rFonts w:ascii="Palatino Linotype" w:eastAsia="Palatino Linotype" w:hAnsi="Palatino Linotype" w:cs="Palatino Linotype"/>
          <w:i/>
          <w:sz w:val="22"/>
          <w:szCs w:val="22"/>
        </w:rPr>
        <w:t xml:space="preserve">. La contratación indebida.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IX.</w:t>
      </w:r>
      <w:r w:rsidRPr="00312283">
        <w:rPr>
          <w:rFonts w:ascii="Palatino Linotype" w:eastAsia="Palatino Linotype" w:hAnsi="Palatino Linotype" w:cs="Palatino Linotype"/>
          <w:i/>
          <w:sz w:val="22"/>
          <w:szCs w:val="22"/>
        </w:rPr>
        <w:t xml:space="preserve"> El enriquecimiento oculto u ocultamiento de conflicto de interés.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w:t>
      </w:r>
      <w:r w:rsidRPr="00312283">
        <w:rPr>
          <w:rFonts w:ascii="Palatino Linotype" w:eastAsia="Palatino Linotype" w:hAnsi="Palatino Linotype" w:cs="Palatino Linotype"/>
          <w:i/>
          <w:sz w:val="22"/>
          <w:szCs w:val="22"/>
        </w:rPr>
        <w:t xml:space="preserve">. El tráfico de influencias.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XI.</w:t>
      </w:r>
      <w:r w:rsidRPr="00312283">
        <w:rPr>
          <w:rFonts w:ascii="Palatino Linotype" w:eastAsia="Palatino Linotype" w:hAnsi="Palatino Linotype" w:cs="Palatino Linotype"/>
          <w:i/>
          <w:sz w:val="22"/>
          <w:szCs w:val="22"/>
        </w:rPr>
        <w:t xml:space="preserve"> El encubrimiento.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XII.</w:t>
      </w:r>
      <w:r w:rsidRPr="00312283">
        <w:rPr>
          <w:rFonts w:ascii="Palatino Linotype" w:eastAsia="Palatino Linotype" w:hAnsi="Palatino Linotype" w:cs="Palatino Linotype"/>
          <w:i/>
          <w:sz w:val="22"/>
          <w:szCs w:val="22"/>
        </w:rPr>
        <w:t xml:space="preserve"> El desacato. </w:t>
      </w:r>
    </w:p>
    <w:p w:rsidR="00E72426" w:rsidRPr="00312283" w:rsidRDefault="00502C1F">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XIII.</w:t>
      </w:r>
      <w:r w:rsidRPr="00312283">
        <w:rPr>
          <w:rFonts w:ascii="Palatino Linotype" w:eastAsia="Palatino Linotype" w:hAnsi="Palatino Linotype" w:cs="Palatino Linotype"/>
          <w:i/>
          <w:sz w:val="22"/>
          <w:szCs w:val="22"/>
        </w:rPr>
        <w:t xml:space="preserve"> La obstrucción de la Justicia.”</w:t>
      </w:r>
    </w:p>
    <w:p w:rsidR="00E72426" w:rsidRPr="00312283" w:rsidRDefault="00502C1F">
      <w:pPr>
        <w:tabs>
          <w:tab w:val="left" w:pos="3962"/>
        </w:tabs>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Con lo anterior queda de manifiesto que el </w:t>
      </w:r>
      <w:r w:rsidR="00B05DF7" w:rsidRPr="00312283">
        <w:rPr>
          <w:rFonts w:ascii="Palatino Linotype" w:eastAsia="Palatino Linotype" w:hAnsi="Palatino Linotype" w:cs="Palatino Linotype"/>
          <w:b/>
        </w:rPr>
        <w:t>Sujeto Obligado</w:t>
      </w:r>
      <w:r w:rsidR="00B05DF7"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rPr>
        <w:t>a través de su Contraloría Municipal, es competente para conocer la información de mérito, en caso de haberse generado, sin embargo no debe perderse de vista que la información que se solicita versa</w:t>
      </w:r>
      <w:r w:rsidRPr="00312283">
        <w:rPr>
          <w:rFonts w:ascii="Palatino Linotype" w:eastAsia="Palatino Linotype" w:hAnsi="Palatino Linotype" w:cs="Palatino Linotype"/>
          <w:b/>
        </w:rPr>
        <w:t xml:space="preserve"> </w:t>
      </w:r>
      <w:r w:rsidRPr="00312283">
        <w:rPr>
          <w:rFonts w:ascii="Palatino Linotype" w:eastAsia="Palatino Linotype" w:hAnsi="Palatino Linotype" w:cs="Palatino Linotype"/>
        </w:rPr>
        <w:t>específicamente sobre</w:t>
      </w:r>
      <w:r w:rsidRPr="00312283">
        <w:rPr>
          <w:rFonts w:ascii="Palatino Linotype" w:eastAsia="Palatino Linotype" w:hAnsi="Palatino Linotype" w:cs="Palatino Linotype"/>
          <w:b/>
        </w:rPr>
        <w:t xml:space="preserve"> </w:t>
      </w:r>
      <w:r w:rsidR="0046021A" w:rsidRPr="00312283">
        <w:rPr>
          <w:rFonts w:ascii="Palatino Linotype" w:eastAsia="Palatino Linotype" w:hAnsi="Palatino Linotype" w:cs="Palatino Linotype"/>
          <w:b/>
        </w:rPr>
        <w:t xml:space="preserve">las personas servidoras públicas que </w:t>
      </w:r>
      <w:r w:rsidR="0046021A" w:rsidRPr="00312283">
        <w:rPr>
          <w:rFonts w:ascii="Palatino Linotype" w:eastAsia="Palatino Linotype" w:hAnsi="Palatino Linotype" w:cs="Palatino Linotype"/>
          <w:b/>
        </w:rPr>
        <w:lastRenderedPageBreak/>
        <w:t xml:space="preserve">fungieron como </w:t>
      </w:r>
      <w:r w:rsidRPr="00312283">
        <w:rPr>
          <w:rFonts w:ascii="Palatino Linotype" w:eastAsia="Palatino Linotype" w:hAnsi="Palatino Linotype" w:cs="Palatino Linotype"/>
          <w:b/>
        </w:rPr>
        <w:t>Tesoreros Municipales</w:t>
      </w:r>
      <w:r w:rsidR="0046021A" w:rsidRPr="00312283">
        <w:rPr>
          <w:rFonts w:ascii="Palatino Linotype" w:eastAsia="Palatino Linotype" w:hAnsi="Palatino Linotype" w:cs="Palatino Linotype"/>
          <w:b/>
        </w:rPr>
        <w:t xml:space="preserve"> en determinada temporalidad</w:t>
      </w:r>
      <w:r w:rsidRPr="00312283">
        <w:rPr>
          <w:rFonts w:ascii="Palatino Linotype" w:eastAsia="Palatino Linotype" w:hAnsi="Palatino Linotype" w:cs="Palatino Linotype"/>
          <w:b/>
        </w:rPr>
        <w:t>,</w:t>
      </w:r>
      <w:r w:rsidRPr="00312283">
        <w:rPr>
          <w:rFonts w:ascii="Palatino Linotype" w:eastAsia="Palatino Linotype" w:hAnsi="Palatino Linotype" w:cs="Palatino Linotype"/>
        </w:rPr>
        <w:t xml:space="preserve"> por lo que es necesario analizar si procede entregar el pronunciamiento respecto a la existencia o no de presuntas faltas administrativas, conforme a las siguientes consideraciones:</w:t>
      </w:r>
    </w:p>
    <w:p w:rsidR="00E72426" w:rsidRPr="00312283" w:rsidRDefault="00502C1F">
      <w:pPr>
        <w:tabs>
          <w:tab w:val="left" w:pos="3962"/>
        </w:tabs>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primera instancia, debe tenerse en cuenta que en virtud de que la información materia de la solicitud de información versa específicamente sobre Tesoreros Municipales, se tiene que con su entrega se haría plenamente identificables a los mismos, pues derivado de una búsqueda en el portal de Información Pública de Oficio Mexiquense (IPOMEX), este Organismo Garante localizó que dentro de la temporalidad acotada, los servidores públicos que fungieron como Tesoreros son los siguientes: </w:t>
      </w:r>
    </w:p>
    <w:p w:rsidR="00E72426" w:rsidRPr="00312283" w:rsidRDefault="00502C1F">
      <w:pPr>
        <w:tabs>
          <w:tab w:val="left" w:pos="3962"/>
        </w:tabs>
        <w:spacing w:before="240" w:after="24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b/>
        </w:rPr>
        <w:t>2015: Indicio en un estado financiero del ejercicio fiscal 2015</w:t>
      </w:r>
    </w:p>
    <w:p w:rsidR="00E72426" w:rsidRPr="00312283" w:rsidRDefault="00502C1F">
      <w:pPr>
        <w:tabs>
          <w:tab w:val="left" w:pos="3962"/>
        </w:tabs>
        <w:spacing w:before="240" w:after="240" w:line="360" w:lineRule="auto"/>
        <w:jc w:val="center"/>
        <w:rPr>
          <w:rFonts w:ascii="Palatino Linotype" w:eastAsia="Palatino Linotype" w:hAnsi="Palatino Linotype" w:cs="Palatino Linotype"/>
        </w:rPr>
      </w:pPr>
      <w:r w:rsidRPr="00312283">
        <w:rPr>
          <w:rFonts w:ascii="Palatino Linotype" w:eastAsia="Palatino Linotype" w:hAnsi="Palatino Linotype" w:cs="Palatino Linotype"/>
          <w:noProof/>
          <w:lang w:val="es-MX"/>
        </w:rPr>
        <w:drawing>
          <wp:inline distT="0" distB="0" distL="0" distR="0">
            <wp:extent cx="2943636" cy="2305372"/>
            <wp:effectExtent l="0" t="0" r="0" b="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943636" cy="2305372"/>
                    </a:xfrm>
                    <a:prstGeom prst="rect">
                      <a:avLst/>
                    </a:prstGeom>
                    <a:ln/>
                  </pic:spPr>
                </pic:pic>
              </a:graphicData>
            </a:graphic>
          </wp:inline>
        </w:drawing>
      </w:r>
    </w:p>
    <w:p w:rsidR="00E72426" w:rsidRPr="00312283" w:rsidRDefault="00502C1F">
      <w:pPr>
        <w:spacing w:line="360" w:lineRule="auto"/>
        <w:ind w:right="51"/>
        <w:jc w:val="both"/>
        <w:rPr>
          <w:rFonts w:ascii="Palatino Linotype" w:eastAsia="Palatino Linotype" w:hAnsi="Palatino Linotype" w:cs="Palatino Linotype"/>
        </w:rPr>
      </w:pPr>
      <w:r w:rsidRPr="00312283">
        <w:rPr>
          <w:noProof/>
          <w:lang w:val="es-MX"/>
        </w:rPr>
        <w:lastRenderedPageBreak/>
        <w:drawing>
          <wp:inline distT="0" distB="0" distL="0" distR="0">
            <wp:extent cx="5507000" cy="2239016"/>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4498" t="34122" r="38109" b="22667"/>
                    <a:stretch>
                      <a:fillRect/>
                    </a:stretch>
                  </pic:blipFill>
                  <pic:spPr>
                    <a:xfrm>
                      <a:off x="0" y="0"/>
                      <a:ext cx="5507000" cy="2239016"/>
                    </a:xfrm>
                    <a:prstGeom prst="rect">
                      <a:avLst/>
                    </a:prstGeom>
                    <a:ln/>
                  </pic:spPr>
                </pic:pic>
              </a:graphicData>
            </a:graphic>
          </wp:inline>
        </w:drawing>
      </w:r>
    </w:p>
    <w:p w:rsidR="00E72426" w:rsidRPr="00312283" w:rsidRDefault="00E72426">
      <w:pPr>
        <w:spacing w:line="360" w:lineRule="auto"/>
        <w:ind w:right="51"/>
        <w:jc w:val="both"/>
        <w:rPr>
          <w:rFonts w:ascii="Palatino Linotype" w:eastAsia="Palatino Linotype" w:hAnsi="Palatino Linotype" w:cs="Palatino Linotype"/>
        </w:rPr>
      </w:pPr>
    </w:p>
    <w:p w:rsidR="00E72426" w:rsidRPr="00312283" w:rsidRDefault="00E72426">
      <w:pPr>
        <w:spacing w:line="360" w:lineRule="auto"/>
        <w:ind w:right="51"/>
        <w:jc w:val="both"/>
      </w:pPr>
    </w:p>
    <w:p w:rsidR="00E72426" w:rsidRPr="00312283" w:rsidRDefault="00502C1F">
      <w:pPr>
        <w:spacing w:line="360" w:lineRule="auto"/>
        <w:ind w:right="51"/>
        <w:jc w:val="both"/>
        <w:rPr>
          <w:rFonts w:ascii="Palatino Linotype" w:eastAsia="Palatino Linotype" w:hAnsi="Palatino Linotype" w:cs="Palatino Linotype"/>
        </w:rPr>
      </w:pPr>
      <w:r w:rsidRPr="00312283">
        <w:rPr>
          <w:noProof/>
          <w:lang w:val="es-MX"/>
        </w:rPr>
        <w:drawing>
          <wp:inline distT="0" distB="0" distL="0" distR="0">
            <wp:extent cx="5512689" cy="2782375"/>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0096" t="25947" r="37223" b="12363"/>
                    <a:stretch>
                      <a:fillRect/>
                    </a:stretch>
                  </pic:blipFill>
                  <pic:spPr>
                    <a:xfrm>
                      <a:off x="0" y="0"/>
                      <a:ext cx="5512689" cy="2782375"/>
                    </a:xfrm>
                    <a:prstGeom prst="rect">
                      <a:avLst/>
                    </a:prstGeom>
                    <a:ln/>
                  </pic:spPr>
                </pic:pic>
              </a:graphicData>
            </a:graphic>
          </wp:inline>
        </w:drawing>
      </w:r>
    </w:p>
    <w:p w:rsidR="00E72426" w:rsidRPr="00312283" w:rsidRDefault="00E72426">
      <w:pPr>
        <w:spacing w:line="360" w:lineRule="auto"/>
        <w:ind w:right="51"/>
        <w:jc w:val="both"/>
        <w:rPr>
          <w:rFonts w:ascii="Palatino Linotype" w:eastAsia="Palatino Linotype" w:hAnsi="Palatino Linotype" w:cs="Palatino Linotype"/>
        </w:rPr>
      </w:pPr>
    </w:p>
    <w:p w:rsidR="00E72426" w:rsidRPr="00312283" w:rsidRDefault="00502C1F">
      <w:pPr>
        <w:spacing w:line="360" w:lineRule="auto"/>
        <w:ind w:right="51"/>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En este sentido, se procede al análisis </w:t>
      </w:r>
      <w:r w:rsidRPr="00312283">
        <w:rPr>
          <w:rFonts w:ascii="Palatino Linotype" w:eastAsia="Palatino Linotype" w:hAnsi="Palatino Linotype" w:cs="Palatino Linotype"/>
          <w:b/>
        </w:rPr>
        <w:t>de los supuestos de los procedimientos administrativos en los que procede la entrega de la información:</w:t>
      </w:r>
    </w:p>
    <w:p w:rsidR="00E72426" w:rsidRPr="00312283" w:rsidRDefault="00E72426">
      <w:pPr>
        <w:spacing w:line="360" w:lineRule="auto"/>
        <w:ind w:right="51"/>
        <w:jc w:val="both"/>
        <w:rPr>
          <w:rFonts w:ascii="Palatino Linotype" w:eastAsia="Palatino Linotype" w:hAnsi="Palatino Linotype" w:cs="Palatino Linotype"/>
          <w:b/>
        </w:rPr>
      </w:pPr>
    </w:p>
    <w:p w:rsidR="00E72426" w:rsidRPr="00312283" w:rsidRDefault="00502C1F">
      <w:pPr>
        <w:spacing w:line="360" w:lineRule="auto"/>
        <w:ind w:right="51"/>
        <w:jc w:val="both"/>
        <w:rPr>
          <w:rFonts w:ascii="Palatino Linotype" w:eastAsia="Palatino Linotype" w:hAnsi="Palatino Linotype" w:cs="Palatino Linotype"/>
          <w:b/>
        </w:rPr>
      </w:pPr>
      <w:r w:rsidRPr="00312283">
        <w:rPr>
          <w:rFonts w:ascii="Palatino Linotype" w:eastAsia="Palatino Linotype" w:hAnsi="Palatino Linotype" w:cs="Palatino Linotype"/>
          <w:b/>
        </w:rPr>
        <w:t>Procedimiento de responsabilidad administrativa en trámite</w:t>
      </w:r>
    </w:p>
    <w:p w:rsidR="00E72426" w:rsidRPr="00312283" w:rsidRDefault="00502C1F">
      <w:pPr>
        <w:tabs>
          <w:tab w:val="left" w:pos="3962"/>
        </w:tabs>
        <w:spacing w:line="360" w:lineRule="auto"/>
        <w:jc w:val="both"/>
        <w:rPr>
          <w:rFonts w:ascii="Palatino Linotype" w:eastAsia="Palatino Linotype" w:hAnsi="Palatino Linotype" w:cs="Palatino Linotype"/>
          <w:strike/>
        </w:rPr>
      </w:pPr>
      <w:r w:rsidRPr="00312283">
        <w:rPr>
          <w:rFonts w:ascii="Palatino Linotype" w:eastAsia="Palatino Linotype" w:hAnsi="Palatino Linotype" w:cs="Palatino Linotype"/>
        </w:rPr>
        <w:lastRenderedPageBreak/>
        <w:t xml:space="preserve">En principio es de señalar que de la interpretación de la solicitud de información se advierte que la persona solicitante requiere información de los procedimientos </w:t>
      </w:r>
      <w:r w:rsidR="00B05DF7" w:rsidRPr="00312283">
        <w:rPr>
          <w:rFonts w:ascii="Palatino Linotype" w:eastAsia="Palatino Linotype" w:hAnsi="Palatino Linotype" w:cs="Palatino Linotype"/>
        </w:rPr>
        <w:t>administrativos relacionados con los tesoreros municipales</w:t>
      </w:r>
      <w:r w:rsidRPr="00312283">
        <w:rPr>
          <w:rFonts w:ascii="Palatino Linotype" w:eastAsia="Palatino Linotype" w:hAnsi="Palatino Linotype" w:cs="Palatino Linotype"/>
        </w:rPr>
        <w:t xml:space="preserve">, siendo necesario mencionar que el realizar un pronunciamiento sobre la existencia de un procedimiento de posibles responsabilidades en trámite, podría afectar a los posibles responsables identificados en el presente caso, </w:t>
      </w:r>
      <w:r w:rsidRPr="00312283">
        <w:rPr>
          <w:rFonts w:ascii="Palatino Linotype" w:eastAsia="Palatino Linotype" w:hAnsi="Palatino Linotype" w:cs="Palatino Linotype"/>
          <w:b/>
          <w:u w:val="single"/>
        </w:rPr>
        <w:t xml:space="preserve">ya que se daría a conocer la existencia de una investigación en su contra, lo cual, generaría una percepción negativa de estos, sin que se hubiere probado su responsabilidad o culpabilidad, lo cual dañaría, su honor y su derecho a la presunción inocencia e inclusive su actividad profesional. </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haya quedada acreditada su responsabilidad.</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Respecto del </w:t>
      </w:r>
      <w:r w:rsidRPr="00312283">
        <w:rPr>
          <w:rFonts w:ascii="Palatino Linotype" w:eastAsia="Palatino Linotype" w:hAnsi="Palatino Linotype" w:cs="Palatino Linotype"/>
          <w:b/>
        </w:rPr>
        <w:t>derecho a la privacidad</w:t>
      </w:r>
      <w:r w:rsidRPr="00312283">
        <w:rPr>
          <w:rFonts w:ascii="Palatino Linotype" w:eastAsia="Palatino Linotype" w:hAnsi="Palatino Linotype" w:cs="Palatino Linotype"/>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pPr>
        <w:tabs>
          <w:tab w:val="left" w:pos="3962"/>
        </w:tabs>
        <w:spacing w:line="276" w:lineRule="auto"/>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w:t>
      </w:r>
      <w:r w:rsidRPr="00312283">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312283">
        <w:rPr>
          <w:rFonts w:ascii="Palatino Linotype" w:eastAsia="Palatino Linotype" w:hAnsi="Palatino Linotype" w:cs="Palatino Linotype"/>
          <w:i/>
          <w:sz w:val="22"/>
          <w:szCs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rsidR="00E72426" w:rsidRPr="00312283" w:rsidRDefault="00E72426">
      <w:pPr>
        <w:tabs>
          <w:tab w:val="left" w:pos="3962"/>
        </w:tabs>
        <w:spacing w:line="276" w:lineRule="auto"/>
        <w:ind w:left="851" w:right="902"/>
        <w:jc w:val="both"/>
        <w:rPr>
          <w:rFonts w:ascii="Palatino Linotype" w:eastAsia="Palatino Linotype" w:hAnsi="Palatino Linotype" w:cs="Palatino Linotype"/>
          <w:i/>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Es decir, en el artículo 16, primer párrafo constitucional, se da el reconocimiento de un derecho a la privacidad de las personas que implica no ser sujeto de injerencias arbitrarias, intromisiones o molestias en el ámbito reservado de su vida o intimidad, </w:t>
      </w:r>
      <w:r w:rsidRPr="00312283">
        <w:rPr>
          <w:rFonts w:ascii="Palatino Linotype" w:eastAsia="Palatino Linotype" w:hAnsi="Palatino Linotype" w:cs="Palatino Linotype"/>
        </w:rPr>
        <w:lastRenderedPageBreak/>
        <w:t>ni de ataques a su honra o a su reputación, por lo que toda persona tiene derecho a la protección de la ley contra tales injerencias o ataques.</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Por lo que hace al </w:t>
      </w:r>
      <w:r w:rsidRPr="00312283">
        <w:rPr>
          <w:rFonts w:ascii="Palatino Linotype" w:eastAsia="Palatino Linotype" w:hAnsi="Palatino Linotype" w:cs="Palatino Linotype"/>
          <w:b/>
        </w:rPr>
        <w:t>derecho al honor</w:t>
      </w:r>
      <w:r w:rsidRPr="00312283">
        <w:rPr>
          <w:rFonts w:ascii="Palatino Linotype" w:eastAsia="Palatino Linotype" w:hAnsi="Palatino Linotype" w:cs="Palatino Linotype"/>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rsidP="00633652">
      <w:pPr>
        <w:spacing w:line="276" w:lineRule="auto"/>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“DERECHO FUNDAMENTAL AL HONOR. SU DIMENSIÓN SUBJETIVA Y OBJETIVA. </w:t>
      </w:r>
      <w:r w:rsidRPr="00312283">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312283">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312283">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E72426" w:rsidRPr="00312283" w:rsidRDefault="00E72426">
      <w:pPr>
        <w:spacing w:line="276" w:lineRule="auto"/>
        <w:ind w:left="851" w:right="902"/>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 xml:space="preserve">Como se observa, el honor es el concepto que la persona tiene de sí misma o que los demás se han formado de ella, en virtud de su proceder o de la expresión de su calidad ética y social. </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312283">
        <w:rPr>
          <w:rFonts w:ascii="Palatino Linotype" w:eastAsia="Palatino Linotype" w:hAnsi="Palatino Linotype" w:cs="Palatino Linotype"/>
          <w:b/>
        </w:rPr>
        <w:t>En el aspecto objetivo, el honor es lesionado por todo aquello que afecta a la reputación que la persona merece.</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tabs>
          <w:tab w:val="left" w:pos="7938"/>
        </w:tabs>
        <w:spacing w:line="276" w:lineRule="auto"/>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312283">
        <w:rPr>
          <w:rFonts w:ascii="Palatino Linotype" w:eastAsia="Palatino Linotype" w:hAnsi="Palatino Linotype" w:cs="Palatino Linotype"/>
          <w:i/>
          <w:sz w:val="22"/>
          <w:szCs w:val="22"/>
        </w:rPr>
        <w:t xml:space="preserve">Si </w:t>
      </w:r>
      <w:r w:rsidRPr="00312283">
        <w:rPr>
          <w:rFonts w:ascii="Palatino Linotype" w:eastAsia="Palatino Linotype" w:hAnsi="Palatino Linotype" w:cs="Palatino Linotype"/>
          <w:i/>
          <w:sz w:val="22"/>
          <w:szCs w:val="22"/>
        </w:rPr>
        <w:lastRenderedPageBreak/>
        <w:t>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rsidR="00E72426" w:rsidRPr="00312283" w:rsidRDefault="00E72426">
      <w:pPr>
        <w:tabs>
          <w:tab w:val="left" w:pos="7938"/>
        </w:tabs>
        <w:spacing w:line="276" w:lineRule="auto"/>
        <w:ind w:left="851" w:right="902"/>
        <w:jc w:val="both"/>
        <w:rPr>
          <w:rFonts w:ascii="Palatino Linotype" w:eastAsia="Palatino Linotype" w:hAnsi="Palatino Linotype" w:cs="Palatino Linotype"/>
          <w:b/>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 xml:space="preserve">Tocante a la </w:t>
      </w:r>
      <w:r w:rsidRPr="00312283">
        <w:rPr>
          <w:rFonts w:ascii="Palatino Linotype" w:eastAsia="Palatino Linotype" w:hAnsi="Palatino Linotype" w:cs="Palatino Linotype"/>
          <w:b/>
        </w:rPr>
        <w:t xml:space="preserve">presunción de inocencia, </w:t>
      </w:r>
      <w:r w:rsidRPr="00312283">
        <w:rPr>
          <w:rFonts w:ascii="Palatino Linotype" w:eastAsia="Palatino Linotype" w:hAnsi="Palatino Linotype" w:cs="Palatino Linotype"/>
        </w:rPr>
        <w:t>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rsidR="00E72426" w:rsidRPr="00312283" w:rsidRDefault="00502C1F">
      <w:pPr>
        <w:tabs>
          <w:tab w:val="left" w:pos="3962"/>
        </w:tabs>
        <w:spacing w:line="276" w:lineRule="auto"/>
        <w:ind w:left="992"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PRESUNCIÓN DE INOCENCIA COMO REGLA DE TRATO PROCESAL</w:t>
      </w:r>
      <w:r w:rsidRPr="00312283">
        <w:rPr>
          <w:rFonts w:ascii="Palatino Linotype" w:eastAsia="Palatino Linotype" w:hAnsi="Palatino Linotype" w:cs="Palatino Linotype"/>
          <w:i/>
          <w:sz w:val="22"/>
          <w:szCs w:val="22"/>
        </w:rPr>
        <w:t>.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rsidR="00E72426" w:rsidRPr="00312283" w:rsidRDefault="00E72426">
      <w:pPr>
        <w:tabs>
          <w:tab w:val="left" w:pos="3962"/>
        </w:tabs>
        <w:spacing w:line="276" w:lineRule="auto"/>
        <w:ind w:left="992" w:right="902"/>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De la jurisprudencia transcrita deviene que la presunción de inocencia se traduce en el derecho de toda persona a ser tratado como inocente en tanto no se declare su culpabilidad por virtud de una sentencia condenatoria. Dicha manifestación, </w:t>
      </w:r>
      <w:r w:rsidRPr="00312283">
        <w:rPr>
          <w:rFonts w:ascii="Palatino Linotype" w:eastAsia="Palatino Linotype" w:hAnsi="Palatino Linotype" w:cs="Palatino Linotype"/>
        </w:rPr>
        <w:lastRenderedPageBreak/>
        <w:t>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rsidR="00E72426" w:rsidRPr="00312283" w:rsidRDefault="00E72426">
      <w:pPr>
        <w:tabs>
          <w:tab w:val="left" w:pos="3962"/>
        </w:tabs>
        <w:spacing w:line="360" w:lineRule="auto"/>
        <w:jc w:val="both"/>
        <w:rPr>
          <w:rFonts w:ascii="Palatino Linotype" w:eastAsia="Palatino Linotype" w:hAnsi="Palatino Linotype" w:cs="Palatino Linotype"/>
          <w:sz w:val="22"/>
          <w:szCs w:val="22"/>
        </w:rPr>
      </w:pPr>
    </w:p>
    <w:p w:rsidR="00E72426" w:rsidRPr="00312283" w:rsidRDefault="00502C1F">
      <w:pPr>
        <w:spacing w:line="276" w:lineRule="auto"/>
        <w:ind w:left="851" w:right="113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“PRESUNCIÓN DE INOCENCIA. ALCANCES DE ESE PRINCIPIO CONSTITUCIONAL. </w:t>
      </w:r>
      <w:r w:rsidRPr="00312283">
        <w:rPr>
          <w:rFonts w:ascii="Palatino Linotype" w:eastAsia="Palatino Linotype" w:hAnsi="Palatino Linotype" w:cs="Palatino Linotype"/>
          <w:i/>
          <w:sz w:val="22"/>
          <w:szCs w:val="22"/>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rsidR="00E72426" w:rsidRPr="00312283" w:rsidRDefault="00E72426">
      <w:pPr>
        <w:spacing w:after="120" w:line="259" w:lineRule="auto"/>
        <w:ind w:left="851" w:right="1134"/>
        <w:jc w:val="both"/>
        <w:rPr>
          <w:rFonts w:ascii="Palatino Linotype" w:eastAsia="Palatino Linotype" w:hAnsi="Palatino Linotype" w:cs="Palatino Linotype"/>
          <w:i/>
          <w:sz w:val="22"/>
          <w:szCs w:val="22"/>
        </w:rPr>
      </w:pPr>
    </w:p>
    <w:p w:rsidR="00E72426" w:rsidRPr="00312283" w:rsidRDefault="00502C1F">
      <w:pPr>
        <w:tabs>
          <w:tab w:val="left" w:pos="3962"/>
        </w:tabs>
        <w:spacing w:before="12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Como se observa, el Alto Tribunal sostiene que el principio de presunción de inocencia va más allá del ámbito estrictamente procesal, en aras de proteger la esfera </w:t>
      </w:r>
      <w:r w:rsidRPr="00312283">
        <w:rPr>
          <w:rFonts w:ascii="Palatino Linotype" w:eastAsia="Palatino Linotype" w:hAnsi="Palatino Linotype" w:cs="Palatino Linotype"/>
        </w:rPr>
        <w:lastRenderedPageBreak/>
        <w:t>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rsidR="00E72426" w:rsidRPr="00312283" w:rsidRDefault="00E72426">
      <w:pPr>
        <w:tabs>
          <w:tab w:val="left" w:pos="3962"/>
        </w:tabs>
        <w:spacing w:line="360" w:lineRule="auto"/>
        <w:jc w:val="both"/>
        <w:rPr>
          <w:rFonts w:ascii="Palatino Linotype" w:eastAsia="Palatino Linotype" w:hAnsi="Palatino Linotype" w:cs="Palatino Linotype"/>
        </w:rPr>
      </w:pPr>
    </w:p>
    <w:p w:rsidR="00E72426" w:rsidRPr="00312283" w:rsidRDefault="00502C1F">
      <w:pPr>
        <w:tabs>
          <w:tab w:val="left" w:pos="3962"/>
        </w:tabs>
        <w:spacing w:line="360" w:lineRule="auto"/>
        <w:jc w:val="both"/>
        <w:rPr>
          <w:rFonts w:ascii="Palatino Linotype" w:eastAsia="Palatino Linotype" w:hAnsi="Palatino Linotype" w:cs="Palatino Linotype"/>
          <w:b/>
          <w:u w:val="single"/>
        </w:rPr>
      </w:pPr>
      <w:r w:rsidRPr="00312283">
        <w:rPr>
          <w:rFonts w:ascii="Palatino Linotype" w:eastAsia="Palatino Linotype" w:hAnsi="Palatino Linotype" w:cs="Palatino Linotype"/>
        </w:rPr>
        <w:t xml:space="preserve">Conforme a lo expuesto, </w:t>
      </w:r>
      <w:r w:rsidRPr="00312283">
        <w:rPr>
          <w:rFonts w:ascii="Palatino Linotype" w:eastAsia="Palatino Linotype" w:hAnsi="Palatino Linotype" w:cs="Palatino Linotype"/>
          <w:b/>
          <w:u w:val="single"/>
        </w:rPr>
        <w:t>pronunciarse sobre la existencia de un procedimiento en trámite de probable responsabilidad, generaría un juicio a priori o un juicio negativo en contra de los servidores públicos referidos en la solicitud por parte de la sociedad, sin que se hayan reunido los elementos para establecer si son o no responsables, vulnerando así la protección de su intimidad, su honor, la buena imagen y su Derecho a la presunción de inocencia.</w:t>
      </w:r>
    </w:p>
    <w:p w:rsidR="00E72426" w:rsidRPr="00312283" w:rsidRDefault="00E72426">
      <w:pPr>
        <w:tabs>
          <w:tab w:val="left" w:pos="3962"/>
        </w:tabs>
        <w:spacing w:line="360" w:lineRule="auto"/>
        <w:jc w:val="both"/>
        <w:rPr>
          <w:rFonts w:ascii="Palatino Linotype" w:eastAsia="Palatino Linotype" w:hAnsi="Palatino Linotype" w:cs="Palatino Linotype"/>
          <w:b/>
          <w:u w:val="single"/>
        </w:rPr>
      </w:pPr>
    </w:p>
    <w:p w:rsidR="00E72426" w:rsidRPr="00312283" w:rsidRDefault="00502C1F">
      <w:pPr>
        <w:tabs>
          <w:tab w:val="left" w:pos="3962"/>
        </w:tabs>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Bajo lo previo, se considera que</w:t>
      </w:r>
      <w:r w:rsidRPr="00312283">
        <w:rPr>
          <w:rFonts w:ascii="Palatino Linotype" w:eastAsia="Palatino Linotype" w:hAnsi="Palatino Linotype" w:cs="Palatino Linotype"/>
          <w:b/>
        </w:rPr>
        <w:t xml:space="preserve"> </w:t>
      </w:r>
      <w:r w:rsidRPr="00312283">
        <w:rPr>
          <w:rFonts w:ascii="Palatino Linotype" w:eastAsia="Palatino Linotype" w:hAnsi="Palatino Linotype" w:cs="Palatino Linotype"/>
          <w:b/>
          <w:u w:val="single"/>
        </w:rPr>
        <w:t>el pronunciamiento en sentido afirmativo o negativo, sobre la existencia de algún procedimiento en trámite de responsabilidad por faltas graves o no graves que se hubiera iniciado en contra de la servidor público referida, deberá clasificarse en términos del artículo 143, fracción I, de la Ley de Transparencia y Acceso a la Información Pública del Estado de México y Municipios</w:t>
      </w:r>
      <w:r w:rsidRPr="00312283">
        <w:rPr>
          <w:rFonts w:ascii="Palatino Linotype" w:eastAsia="Palatino Linotype" w:hAnsi="Palatino Linotype" w:cs="Palatino Linotype"/>
          <w:b/>
        </w:rPr>
        <w:t xml:space="preserve">, </w:t>
      </w:r>
      <w:r w:rsidRPr="00312283">
        <w:rPr>
          <w:rFonts w:ascii="Palatino Linotype" w:eastAsia="Palatino Linotype" w:hAnsi="Palatino Linotype" w:cs="Palatino Linotype"/>
        </w:rPr>
        <w:t>que es del tenor literal siguiente:</w:t>
      </w:r>
    </w:p>
    <w:p w:rsidR="00E72426" w:rsidRPr="00312283" w:rsidRDefault="00E72426">
      <w:pPr>
        <w:tabs>
          <w:tab w:val="left" w:pos="3962"/>
        </w:tabs>
        <w:spacing w:line="360" w:lineRule="auto"/>
        <w:jc w:val="both"/>
        <w:rPr>
          <w:rFonts w:ascii="Palatino Linotype" w:eastAsia="Palatino Linotype" w:hAnsi="Palatino Linotype" w:cs="Palatino Linotype"/>
          <w:b/>
          <w:u w:val="single"/>
        </w:rPr>
      </w:pPr>
    </w:p>
    <w:p w:rsidR="00E72426" w:rsidRPr="00312283" w:rsidRDefault="00502C1F">
      <w:pPr>
        <w:tabs>
          <w:tab w:val="left" w:pos="3962"/>
        </w:tabs>
        <w:spacing w:after="120" w:line="259" w:lineRule="auto"/>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Artículo 143</w:t>
      </w:r>
      <w:r w:rsidRPr="0031228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E72426" w:rsidRPr="00312283" w:rsidRDefault="00502C1F">
      <w:pPr>
        <w:tabs>
          <w:tab w:val="left" w:pos="3962"/>
        </w:tabs>
        <w:spacing w:before="120" w:after="120" w:line="259" w:lineRule="auto"/>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w:t>
      </w:r>
      <w:r w:rsidRPr="0031228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E72426" w:rsidRPr="00312283" w:rsidRDefault="00E72426">
      <w:pPr>
        <w:tabs>
          <w:tab w:val="left" w:pos="3962"/>
        </w:tabs>
        <w:spacing w:before="120" w:after="120" w:line="259" w:lineRule="auto"/>
        <w:ind w:left="851" w:right="902"/>
        <w:jc w:val="both"/>
        <w:rPr>
          <w:rFonts w:ascii="Palatino Linotype" w:eastAsia="Palatino Linotype" w:hAnsi="Palatino Linotype" w:cs="Palatino Linotype"/>
          <w:i/>
          <w:sz w:val="22"/>
          <w:szCs w:val="22"/>
        </w:rPr>
      </w:pPr>
    </w:p>
    <w:p w:rsidR="00100EAD" w:rsidRPr="00312283" w:rsidRDefault="00100EAD" w:rsidP="00100EAD">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 xml:space="preserve">No obstante de lo anterior, se estima necesario traer a colación el contenido del artículo 142, fracción IV, de la Ley de Transparencia y Acceso a la Información Pública del Estado de México y Municipios, a saber: </w:t>
      </w:r>
    </w:p>
    <w:p w:rsidR="00E72426" w:rsidRPr="00312283" w:rsidRDefault="00502C1F">
      <w:pPr>
        <w:spacing w:line="276" w:lineRule="auto"/>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“Artículo 142.</w:t>
      </w:r>
      <w:r w:rsidRPr="00312283">
        <w:rPr>
          <w:rFonts w:ascii="Palatino Linotype" w:eastAsia="Palatino Linotype" w:hAnsi="Palatino Linotype" w:cs="Palatino Linotype"/>
          <w:i/>
          <w:sz w:val="22"/>
          <w:szCs w:val="22"/>
        </w:rPr>
        <w:t xml:space="preserve"> </w:t>
      </w:r>
      <w:r w:rsidRPr="00312283">
        <w:rPr>
          <w:rFonts w:ascii="Palatino Linotype" w:eastAsia="Palatino Linotype" w:hAnsi="Palatino Linotype" w:cs="Palatino Linotype"/>
          <w:b/>
          <w:i/>
          <w:sz w:val="22"/>
          <w:szCs w:val="22"/>
        </w:rPr>
        <w:t xml:space="preserve">Bajo ninguna circunstancia podrá invocarse el carácter de reservado </w:t>
      </w:r>
      <w:r w:rsidRPr="00312283">
        <w:rPr>
          <w:rFonts w:ascii="Palatino Linotype" w:eastAsia="Palatino Linotype" w:hAnsi="Palatino Linotype" w:cs="Palatino Linotype"/>
          <w:i/>
          <w:sz w:val="22"/>
          <w:szCs w:val="22"/>
        </w:rPr>
        <w:t xml:space="preserve">cuando: </w:t>
      </w:r>
    </w:p>
    <w:p w:rsidR="00E72426" w:rsidRPr="00312283" w:rsidRDefault="00502C1F">
      <w:pPr>
        <w:spacing w:line="276" w:lineRule="auto"/>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p>
    <w:p w:rsidR="00E72426" w:rsidRPr="00312283" w:rsidRDefault="00502C1F">
      <w:pPr>
        <w:spacing w:line="276" w:lineRule="auto"/>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IV</w:t>
      </w:r>
      <w:r w:rsidRPr="00312283">
        <w:rPr>
          <w:rFonts w:ascii="Palatino Linotype" w:eastAsia="Palatino Linotype" w:hAnsi="Palatino Linotype" w:cs="Palatino Linotype"/>
          <w:i/>
          <w:sz w:val="22"/>
          <w:szCs w:val="22"/>
        </w:rPr>
        <w:t xml:space="preserve">. </w:t>
      </w:r>
      <w:r w:rsidRPr="00312283">
        <w:rPr>
          <w:rFonts w:ascii="Palatino Linotype" w:eastAsia="Palatino Linotype" w:hAnsi="Palatino Linotype" w:cs="Palatino Linotype"/>
          <w:b/>
          <w:i/>
          <w:sz w:val="22"/>
          <w:szCs w:val="22"/>
        </w:rPr>
        <w:t xml:space="preserve">Se trate de información </w:t>
      </w:r>
      <w:r w:rsidRPr="00312283">
        <w:rPr>
          <w:rFonts w:ascii="Palatino Linotype" w:eastAsia="Palatino Linotype" w:hAnsi="Palatino Linotype" w:cs="Palatino Linotype"/>
          <w:b/>
          <w:i/>
          <w:sz w:val="22"/>
          <w:szCs w:val="22"/>
          <w:u w:val="single"/>
        </w:rPr>
        <w:t>relacionada con actos de corrupción</w:t>
      </w:r>
      <w:r w:rsidRPr="00312283">
        <w:rPr>
          <w:rFonts w:ascii="Palatino Linotype" w:eastAsia="Palatino Linotype" w:hAnsi="Palatino Linotype" w:cs="Palatino Linotype"/>
          <w:i/>
          <w:sz w:val="22"/>
          <w:szCs w:val="22"/>
        </w:rPr>
        <w:t xml:space="preserve"> de conformidad con las disposiciones jurídicas aplicables.”</w:t>
      </w:r>
    </w:p>
    <w:p w:rsidR="00E72426" w:rsidRPr="00312283" w:rsidRDefault="00E72426">
      <w:pPr>
        <w:spacing w:line="360" w:lineRule="auto"/>
        <w:ind w:left="1134" w:right="900"/>
        <w:jc w:val="both"/>
        <w:rPr>
          <w:rFonts w:ascii="Palatino Linotype" w:eastAsia="Palatino Linotype" w:hAnsi="Palatino Linotype" w:cs="Palatino Linotype"/>
          <w:i/>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Del precepto citado se desprende que aquella información que se relacione con actos de corrupción, no puede actualizar alguno de los supuestos de clasificación como información reservada establecidos en el artículo 140 de la Ley de Transparencia y Acceso a la Información Pública del Estado de México y Municipios.</w:t>
      </w:r>
    </w:p>
    <w:p w:rsidR="00E72426" w:rsidRPr="00312283" w:rsidRDefault="00E72426">
      <w:pPr>
        <w:spacing w:line="360" w:lineRule="auto"/>
        <w:jc w:val="both"/>
        <w:rPr>
          <w:rFonts w:ascii="Palatino Linotype" w:eastAsia="Palatino Linotype" w:hAnsi="Palatino Linotype" w:cs="Palatino Linotype"/>
          <w:i/>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w:t>
      </w:r>
      <w:r w:rsidRPr="00312283">
        <w:rPr>
          <w:rFonts w:ascii="Palatino Linotype" w:eastAsia="Palatino Linotype" w:hAnsi="Palatino Linotype" w:cs="Palatino Linotype"/>
          <w:b/>
        </w:rPr>
        <w:t>cuando esta se relacione con actos de corrupción,</w:t>
      </w:r>
      <w:r w:rsidRPr="00312283">
        <w:rPr>
          <w:rFonts w:ascii="Palatino Linotype" w:eastAsia="Palatino Linotype" w:hAnsi="Palatino Linotype" w:cs="Palatino Linotype"/>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w:t>
      </w:r>
    </w:p>
    <w:p w:rsidR="00100EAD" w:rsidRPr="00312283" w:rsidRDefault="00100EAD">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Dicho lo anterior, cobra relevancia señalar que México ha participado, firmado y ratificado tres convenciones internacionales de combate contra la corrupción, a saber: la Convención Interamericana contra la Corrupción (OEA 1997), la Convención para Combatir el Cohecho de Servidores Públicos en Transacciones Comerciales Internacionales (OCDE 1999) y la Convención de las Naciones Unidas contra la Corrupción (ONU 2004).</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ese sentido, la Convención Interamericana contra la Corrupción, señala que </w:t>
      </w:r>
      <w:r w:rsidRPr="00312283">
        <w:rPr>
          <w:rFonts w:ascii="Palatino Linotype" w:eastAsia="Palatino Linotype" w:hAnsi="Palatino Linotype" w:cs="Palatino Linotype"/>
          <w:b/>
          <w:u w:val="single"/>
        </w:rPr>
        <w:t>la corrupción socava la legitimidad de las instituciones públicas, atenta contra la sociedad, el orden moral y la justicia, así como contra el desarrollo integral de los pueblos</w:t>
      </w:r>
      <w:r w:rsidRPr="00312283">
        <w:rPr>
          <w:rFonts w:ascii="Palatino Linotype" w:eastAsia="Palatino Linotype" w:hAnsi="Palatino Linotype" w:cs="Palatino Linotype"/>
        </w:rPr>
        <w:t>; asimismo, considera que el combate contra la corrupción fortalece las instituciones democráticas, evita distorsiones de la economía, vicios en la gestión pública y el deterioro de la moral social.</w:t>
      </w:r>
    </w:p>
    <w:p w:rsidR="00E72426" w:rsidRPr="00312283" w:rsidRDefault="00E72426">
      <w:pPr>
        <w:spacing w:line="360" w:lineRule="auto"/>
        <w:jc w:val="both"/>
        <w:rPr>
          <w:rFonts w:ascii="Palatino Linotype" w:eastAsia="Palatino Linotype" w:hAnsi="Palatino Linotype" w:cs="Palatino Linotype"/>
          <w:i/>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En específico, en el artículo VI de dicha Convención se señalan las siguientes conductas como actos de corrupción:</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ind w:left="284"/>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rsidR="00E72426" w:rsidRPr="00312283" w:rsidRDefault="00502C1F">
      <w:pPr>
        <w:spacing w:line="360" w:lineRule="auto"/>
        <w:ind w:left="284"/>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b. El ofrecimiento o el otorgamiento, directa o indirectamente, a un funcionario público o a una persona que ejerza funciones públicas, de cualquier objeto de </w:t>
      </w:r>
      <w:r w:rsidRPr="00312283">
        <w:rPr>
          <w:rFonts w:ascii="Palatino Linotype" w:eastAsia="Palatino Linotype" w:hAnsi="Palatino Linotype" w:cs="Palatino Linotype"/>
        </w:rPr>
        <w:lastRenderedPageBreak/>
        <w:t xml:space="preserve">valor pecuniario u otros beneficios como dádivas, favores, promesas o ventajas para ese funcionario público o para otra persona o entidad a cambio de la realización u omisión de cualquier acto en el ejercicio de sus funciones públicas; </w:t>
      </w:r>
    </w:p>
    <w:p w:rsidR="00E72426" w:rsidRPr="00312283" w:rsidRDefault="00502C1F">
      <w:pPr>
        <w:spacing w:line="360" w:lineRule="auto"/>
        <w:ind w:left="284"/>
        <w:jc w:val="both"/>
        <w:rPr>
          <w:rFonts w:ascii="Palatino Linotype" w:eastAsia="Palatino Linotype" w:hAnsi="Palatino Linotype" w:cs="Palatino Linotype"/>
        </w:rPr>
      </w:pPr>
      <w:r w:rsidRPr="00312283">
        <w:rPr>
          <w:rFonts w:ascii="Palatino Linotype" w:eastAsia="Palatino Linotype" w:hAnsi="Palatino Linotype" w:cs="Palatino Linotype"/>
        </w:rPr>
        <w:t>c. La realización por parte de un funcionario público o una persona que ejerza funciones públicas de cualquier acto u omisión en el ejercicio de sus funciones, con el fin de obtener ilícitamente beneficios para sí mismo o para un tercero;</w:t>
      </w:r>
    </w:p>
    <w:p w:rsidR="00E72426" w:rsidRPr="00312283" w:rsidRDefault="00502C1F">
      <w:pPr>
        <w:spacing w:line="360" w:lineRule="auto"/>
        <w:ind w:left="284"/>
        <w:jc w:val="both"/>
        <w:rPr>
          <w:rFonts w:ascii="Palatino Linotype" w:eastAsia="Palatino Linotype" w:hAnsi="Palatino Linotype" w:cs="Palatino Linotype"/>
        </w:rPr>
      </w:pPr>
      <w:r w:rsidRPr="00312283">
        <w:rPr>
          <w:rFonts w:ascii="Palatino Linotype" w:eastAsia="Palatino Linotype" w:hAnsi="Palatino Linotype" w:cs="Palatino Linotype"/>
        </w:rPr>
        <w:t>d. El aprovechamiento doloso u ocultación de bienes provenientes de cualesquiera de los actos a los que se refiere el presente artículo; y</w:t>
      </w:r>
    </w:p>
    <w:p w:rsidR="00E72426" w:rsidRPr="00312283" w:rsidRDefault="00502C1F">
      <w:pPr>
        <w:spacing w:line="360" w:lineRule="auto"/>
        <w:ind w:left="284"/>
        <w:jc w:val="both"/>
        <w:rPr>
          <w:rFonts w:ascii="Palatino Linotype" w:eastAsia="Palatino Linotype" w:hAnsi="Palatino Linotype" w:cs="Palatino Linotype"/>
        </w:rPr>
      </w:pPr>
      <w:r w:rsidRPr="00312283">
        <w:rPr>
          <w:rFonts w:ascii="Palatino Linotype" w:eastAsia="Palatino Linotype" w:hAnsi="Palatino Linotype" w:cs="Palatino Linotype"/>
        </w:rPr>
        <w:t>e. La participación como autor, coautor, instigador, cómplice, encubridor o en cualquier otra forma en la comisión, tentativa de comisión, asociación o confabulación para la comisión de cualquiera de los actos a los que se refiere el presente artículo.</w:t>
      </w:r>
    </w:p>
    <w:p w:rsidR="00E72426" w:rsidRPr="00312283" w:rsidRDefault="00E72426">
      <w:pPr>
        <w:spacing w:line="360" w:lineRule="auto"/>
        <w:ind w:left="284"/>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En ese orden de ideas, es posible reflexionar que </w:t>
      </w:r>
      <w:r w:rsidRPr="00312283">
        <w:rPr>
          <w:rFonts w:ascii="Palatino Linotype" w:eastAsia="Palatino Linotype" w:hAnsi="Palatino Linotype" w:cs="Palatino Linotype"/>
          <w:b/>
        </w:rPr>
        <w:t>la corrupción no solo es un fenómeno que debilita a las instituciones democráticas y a la gobernabilidad, sino que también, fomenta la impunidad, socava el Estado de derecho y exacerba la desigualdad, además de que afecta a los derechos humanos</w:t>
      </w:r>
      <w:r w:rsidRPr="00312283">
        <w:rPr>
          <w:rFonts w:ascii="Palatino Linotype" w:eastAsia="Palatino Linotype" w:hAnsi="Palatino Linotype" w:cs="Palatino Linotype"/>
        </w:rPr>
        <w:t xml:space="preserve">, por lo que, </w:t>
      </w:r>
      <w:r w:rsidRPr="00312283">
        <w:rPr>
          <w:rFonts w:ascii="Palatino Linotype" w:eastAsia="Palatino Linotype" w:hAnsi="Palatino Linotype" w:cs="Palatino Linotype"/>
          <w:b/>
        </w:rPr>
        <w:t>cobra una relevancia social la rendición de cuentas respecto a información o hechos que estén vinculados o relacionados con actos de corrupción.</w:t>
      </w:r>
    </w:p>
    <w:p w:rsidR="00E72426" w:rsidRPr="00312283" w:rsidRDefault="00E72426">
      <w:pPr>
        <w:spacing w:line="360" w:lineRule="auto"/>
        <w:jc w:val="both"/>
        <w:rPr>
          <w:rFonts w:ascii="Palatino Linotype" w:eastAsia="Palatino Linotype" w:hAnsi="Palatino Linotype" w:cs="Palatino Linotype"/>
          <w:i/>
        </w:rPr>
      </w:pPr>
    </w:p>
    <w:p w:rsidR="00E72426" w:rsidRPr="00312283" w:rsidRDefault="00502C1F">
      <w:pPr>
        <w:spacing w:line="360" w:lineRule="auto"/>
        <w:jc w:val="both"/>
        <w:rPr>
          <w:rFonts w:ascii="Palatino Linotype" w:eastAsia="Palatino Linotype" w:hAnsi="Palatino Linotype" w:cs="Palatino Linotype"/>
          <w:b/>
          <w:u w:val="single"/>
        </w:rPr>
      </w:pPr>
      <w:r w:rsidRPr="00312283">
        <w:rPr>
          <w:rFonts w:ascii="Palatino Linotype" w:eastAsia="Palatino Linotype" w:hAnsi="Palatino Linotype" w:cs="Palatino Linotype"/>
        </w:rPr>
        <w:t xml:space="preserve">Tomando en cuenta lo anterior, y conforme a la definición de servidor público que establece tanto el artículo 108 de nuestra Constitución como el artículo 212 del Código Penal Federal reformado, es posible considerar como </w:t>
      </w:r>
      <w:r w:rsidRPr="00312283">
        <w:rPr>
          <w:rFonts w:ascii="Palatino Linotype" w:eastAsia="Palatino Linotype" w:hAnsi="Palatino Linotype" w:cs="Palatino Linotype"/>
          <w:b/>
          <w:i/>
        </w:rPr>
        <w:t>acto de corrupción</w:t>
      </w:r>
      <w:r w:rsidRPr="00312283">
        <w:rPr>
          <w:rFonts w:ascii="Palatino Linotype" w:eastAsia="Palatino Linotype" w:hAnsi="Palatino Linotype" w:cs="Palatino Linotype"/>
        </w:rPr>
        <w:t xml:space="preserve">, la </w:t>
      </w:r>
      <w:r w:rsidRPr="00312283">
        <w:rPr>
          <w:rFonts w:ascii="Palatino Linotype" w:eastAsia="Palatino Linotype" w:hAnsi="Palatino Linotype" w:cs="Palatino Linotype"/>
          <w:b/>
        </w:rPr>
        <w:t xml:space="preserve">acción u omisión que llevé a cabo una persona que desempeñe un empleo, cargo </w:t>
      </w:r>
      <w:r w:rsidRPr="00312283">
        <w:rPr>
          <w:rFonts w:ascii="Palatino Linotype" w:eastAsia="Palatino Linotype" w:hAnsi="Palatino Linotype" w:cs="Palatino Linotype"/>
          <w:b/>
        </w:rPr>
        <w:lastRenderedPageBreak/>
        <w:t xml:space="preserve">o comisión en las instituciones gubernamentales, así como por particulares con funciones públicas, en la cual, en pleno ejercicio de sus funciones, </w:t>
      </w:r>
      <w:r w:rsidRPr="00312283">
        <w:rPr>
          <w:rFonts w:ascii="Palatino Linotype" w:eastAsia="Palatino Linotype" w:hAnsi="Palatino Linotype" w:cs="Palatino Linotype"/>
          <w:b/>
          <w:u w:val="single"/>
        </w:rPr>
        <w:t>obtenga un beneficio o una ventaja de cualquier naturaleza para sí o un tercero</w:t>
      </w:r>
      <w:r w:rsidRPr="00312283">
        <w:rPr>
          <w:rFonts w:ascii="Palatino Linotype" w:eastAsia="Palatino Linotype" w:hAnsi="Palatino Linotype" w:cs="Palatino Linotype"/>
          <w:b/>
        </w:rPr>
        <w:t xml:space="preserve"> sobre algún hecho que no sea permisible en las normas vigentes, </w:t>
      </w:r>
      <w:r w:rsidRPr="00312283">
        <w:rPr>
          <w:rFonts w:ascii="Palatino Linotype" w:eastAsia="Palatino Linotype" w:hAnsi="Palatino Linotype" w:cs="Palatino Linotype"/>
          <w:b/>
          <w:u w:val="single"/>
        </w:rPr>
        <w:t>o bien, incurra en una conducta catalogada por la Ley como acto de corrupción.</w:t>
      </w:r>
    </w:p>
    <w:p w:rsidR="00E72426" w:rsidRPr="00312283" w:rsidRDefault="00E72426">
      <w:pPr>
        <w:spacing w:line="360" w:lineRule="auto"/>
        <w:jc w:val="both"/>
        <w:rPr>
          <w:rFonts w:ascii="Palatino Linotype" w:eastAsia="Palatino Linotype" w:hAnsi="Palatino Linotype" w:cs="Palatino Linotype"/>
          <w:b/>
          <w:u w:val="singl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Mientras que el Código Penal Federal establece en su Título Decimo “Delitos por hechos de corrupción” a los siguientes: </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Ejercicio ilícito de servicio público (artículo 214)</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Abuso de autoridad (artículo 215)</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Coalición de servidores públicos (artículo 216)</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Uso ilícito de atribuciones y facultades (artículo 217) </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Del pago y recibo indebido de remuneraciones de los servidores públicos (artículo 217 Ter) </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Concusión (artículo 218) </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Intimidación (artículo 219) </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Ejercicio abusivo de funciones (artículo 220) </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Tráfico de Influencia (artículo 221)</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Cohecho (artículo 222)</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Cohecho a servidores públicos extranjeros (artículo 222 bis) </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lastRenderedPageBreak/>
        <w:t xml:space="preserve">Peculado (artículo 223) </w:t>
      </w:r>
    </w:p>
    <w:p w:rsidR="00E72426" w:rsidRPr="00312283" w:rsidRDefault="00502C1F">
      <w:pPr>
        <w:numPr>
          <w:ilvl w:val="0"/>
          <w:numId w:val="3"/>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Enriquecimiento Ilícito (artículo 224)</w:t>
      </w:r>
    </w:p>
    <w:p w:rsidR="00E72426" w:rsidRPr="00312283" w:rsidRDefault="00E72426">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Siendo dicha información de gran trascendencia, ya que al estar involucrados servidores públicos existe una afectación directa al interés público en torno a las atribuciones de los entes públicos, como lo es, de manera enunciativa, más no limitativa, la administración de su patrimonio, la erogación de recursos públicos o la recaudación de contribuciones, derechos, impuestos, etcétera, lo cual afecta no sólo al ente público sino a toda la sociedad en general.</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pBdr>
          <w:top w:val="nil"/>
          <w:left w:val="nil"/>
          <w:bottom w:val="nil"/>
          <w:right w:val="nil"/>
          <w:between w:val="nil"/>
        </w:pBdr>
        <w:spacing w:after="120" w:line="259" w:lineRule="auto"/>
        <w:ind w:left="1134"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“Artículo 3.</w:t>
      </w:r>
      <w:r w:rsidRPr="00312283">
        <w:rPr>
          <w:rFonts w:ascii="Palatino Linotype" w:eastAsia="Palatino Linotype" w:hAnsi="Palatino Linotype" w:cs="Palatino Linotype"/>
          <w:i/>
          <w:sz w:val="22"/>
          <w:szCs w:val="22"/>
        </w:rPr>
        <w:t xml:space="preserve"> Para los efectos de la presente Ley se entenderá por:</w:t>
      </w:r>
    </w:p>
    <w:p w:rsidR="00E72426" w:rsidRPr="00312283" w:rsidRDefault="00502C1F">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p>
    <w:p w:rsidR="00E72426" w:rsidRPr="00312283" w:rsidRDefault="00502C1F">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sz w:val="22"/>
          <w:szCs w:val="22"/>
        </w:rPr>
        <w:t>XXII. Información de interés público:</w:t>
      </w:r>
      <w:r w:rsidRPr="00312283">
        <w:rPr>
          <w:rFonts w:ascii="Palatino Linotype" w:eastAsia="Palatino Linotype" w:hAnsi="Palatino Linotype" w:cs="Palatino Linotype"/>
          <w:i/>
          <w:sz w:val="22"/>
          <w:szCs w:val="22"/>
        </w:rPr>
        <w:t xml:space="preserve"> Se refiere a la información que resulta relevante o beneficiosa para la sociedad y no simplemente de interés </w:t>
      </w:r>
      <w:r w:rsidRPr="00312283">
        <w:rPr>
          <w:rFonts w:ascii="Palatino Linotype" w:eastAsia="Palatino Linotype" w:hAnsi="Palatino Linotype" w:cs="Palatino Linotype"/>
          <w:i/>
          <w:sz w:val="22"/>
          <w:szCs w:val="22"/>
        </w:rPr>
        <w:lastRenderedPageBreak/>
        <w:t>individual, cuya divulgación resulta útil para que el público comprenda las actividades que llevan a cabo los sujetos obligados</w:t>
      </w:r>
    </w:p>
    <w:p w:rsidR="00E72426" w:rsidRPr="00312283" w:rsidRDefault="00502C1F">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i/>
          <w:sz w:val="22"/>
          <w:szCs w:val="22"/>
        </w:rPr>
        <w:t>…</w:t>
      </w:r>
    </w:p>
    <w:p w:rsidR="00E72426" w:rsidRPr="00312283" w:rsidRDefault="00502C1F">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sz w:val="22"/>
          <w:szCs w:val="22"/>
        </w:rPr>
        <w:t>Artículo 9.</w:t>
      </w:r>
      <w:r w:rsidRPr="00312283">
        <w:rPr>
          <w:rFonts w:ascii="Palatino Linotype" w:eastAsia="Palatino Linotype" w:hAnsi="Palatino Linotype" w:cs="Palatino Linotype"/>
          <w:i/>
          <w:sz w:val="22"/>
          <w:szCs w:val="22"/>
        </w:rPr>
        <w:t xml:space="preserve"> El Instituto deberá regir su funcionamiento de acuerdo a los siguientes principios:</w:t>
      </w:r>
    </w:p>
    <w:p w:rsidR="00E72426" w:rsidRPr="00312283" w:rsidRDefault="00502C1F">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p>
    <w:p w:rsidR="00E72426" w:rsidRPr="00312283" w:rsidRDefault="00502C1F">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VII. Máxima Publicidad:</w:t>
      </w:r>
      <w:r w:rsidRPr="00312283">
        <w:rPr>
          <w:rFonts w:ascii="Palatino Linotype" w:eastAsia="Palatino Linotype" w:hAnsi="Palatino Linotype" w:cs="Palatino Linotype"/>
          <w:i/>
          <w:sz w:val="22"/>
          <w:szCs w:val="22"/>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p w:rsidR="00E72426" w:rsidRPr="00312283" w:rsidRDefault="00E72426">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p>
    <w:p w:rsidR="00E72426" w:rsidRPr="00312283" w:rsidRDefault="00502C1F">
      <w:pPr>
        <w:spacing w:before="12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De lo anterior, se colige que, el interés público está relacionado con el principio de máxima publicidad y las excepciones a la clasificación de la información; pues existe un interés general de la sociedad de conocer sobre los posibles actos de corrupción al no ser afectaciones que se dan en lo individual, sino que existe un detrimento en un grupo o en la población en general.</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b/>
          <w:u w:val="single"/>
        </w:rPr>
      </w:pPr>
      <w:r w:rsidRPr="00312283">
        <w:rPr>
          <w:rFonts w:ascii="Palatino Linotype" w:eastAsia="Palatino Linotype" w:hAnsi="Palatino Linotype" w:cs="Palatino Linotype"/>
        </w:rPr>
        <w:t xml:space="preserve">Por tal motivo, se considera para el caso de que existiera algún expediente relacionado con faltas administrativas en trámite, en contra de la servidor públicos referida en la solicitud de acceso a la información pública, y que estén relacionados con alguna excepción de las establecidas en el artículo 142 de la Ley de Transparencia y Acceso a la Información Pública del Estado de México y Municipios, tales como actos de corrupción, se </w:t>
      </w:r>
      <w:r w:rsidRPr="00312283">
        <w:rPr>
          <w:rFonts w:ascii="Palatino Linotype" w:eastAsia="Palatino Linotype" w:hAnsi="Palatino Linotype" w:cs="Palatino Linotype"/>
          <w:b/>
          <w:u w:val="single"/>
        </w:rPr>
        <w:t>deberá entregar el soporte documental correspondiente que dé cuenta de la existencia de dichos procedimientos y el estado que guardan, en versión pública de ser necesario, conforme al considerando quinto del presente fallo.</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360" w:lineRule="auto"/>
        <w:jc w:val="both"/>
        <w:rPr>
          <w:rFonts w:ascii="Palatino Linotype" w:eastAsia="Palatino Linotype" w:hAnsi="Palatino Linotype" w:cs="Palatino Linotype"/>
          <w:b/>
          <w:u w:val="single"/>
        </w:rPr>
      </w:pPr>
      <w:r w:rsidRPr="00312283">
        <w:rPr>
          <w:rFonts w:ascii="Palatino Linotype" w:eastAsia="Palatino Linotype" w:hAnsi="Palatino Linotype" w:cs="Palatino Linotype"/>
        </w:rPr>
        <w:t xml:space="preserve">Siendo importante mencionar que si bien entregar el pronunciamiento respecto a la existencia de un procedimiento de sanción administrativa, podría generar una percepción negativa de éste, ocasionando un perjuicio en su </w:t>
      </w:r>
      <w:r w:rsidRPr="00312283">
        <w:rPr>
          <w:rFonts w:ascii="Palatino Linotype" w:eastAsia="Palatino Linotype" w:hAnsi="Palatino Linotype" w:cs="Palatino Linotype"/>
          <w:b/>
        </w:rPr>
        <w:t xml:space="preserve">honor, intimidad, buena imagen y nombre, así como a su vida privada, </w:t>
      </w:r>
      <w:r w:rsidRPr="00312283">
        <w:rPr>
          <w:rFonts w:ascii="Palatino Linotype" w:eastAsia="Palatino Linotype" w:hAnsi="Palatino Linotype" w:cs="Palatino Linotype"/>
        </w:rPr>
        <w:t xml:space="preserve">también lo es, que </w:t>
      </w:r>
      <w:r w:rsidRPr="00312283">
        <w:rPr>
          <w:rFonts w:ascii="Palatino Linotype" w:eastAsia="Palatino Linotype" w:hAnsi="Palatino Linotype" w:cs="Palatino Linotype"/>
          <w:b/>
          <w:u w:val="single"/>
        </w:rPr>
        <w:t>tratándose de asuntos relacionados con actos de corrupción, se trataría de una falta grave</w:t>
      </w:r>
      <w:r w:rsidRPr="00312283">
        <w:rPr>
          <w:rFonts w:ascii="Palatino Linotype" w:eastAsia="Palatino Linotype" w:hAnsi="Palatino Linotype" w:cs="Palatino Linotype"/>
          <w:b/>
        </w:rPr>
        <w:t xml:space="preserve">, </w:t>
      </w:r>
      <w:r w:rsidRPr="00312283">
        <w:rPr>
          <w:rFonts w:ascii="Palatino Linotype" w:eastAsia="Palatino Linotype" w:hAnsi="Palatino Linotype" w:cs="Palatino Linotype"/>
          <w:b/>
          <w:u w:val="single"/>
        </w:rPr>
        <w:t>por lo que tales prerrogativas quedan supeditadas al interés mayor de conocer tales eventualidades y por lo tanto no procede su clasificación en términos del artículo 143, fracción I de la Ley de la materia.</w:t>
      </w:r>
    </w:p>
    <w:p w:rsidR="00E72426" w:rsidRPr="00312283" w:rsidRDefault="00E72426">
      <w:pPr>
        <w:spacing w:line="360" w:lineRule="auto"/>
        <w:jc w:val="both"/>
        <w:rPr>
          <w:rFonts w:ascii="Palatino Linotype" w:eastAsia="Palatino Linotype" w:hAnsi="Palatino Linotype" w:cs="Palatino Linotype"/>
          <w:b/>
          <w:u w:val="single"/>
        </w:rPr>
      </w:pPr>
    </w:p>
    <w:p w:rsidR="00213440" w:rsidRPr="00312283" w:rsidRDefault="00213440" w:rsidP="00213440">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Aunado a lo anterior, cierto es que toda persona tiene derecho a la presunción de inocencia hasta en tanto se demuestre lo contrario, sin embargo, en el caso de actos de corrupción nos encontramos ante un caso de trascendencia social e interés público, sobreviniendo una colisión entre derechos fundamentales, esto es, por una parte, se busca mantener la secrecía de los nombres de los servidores públicos denunciados, es decir, el nombre de las personas que enfrentan acusaciones sobre esos actos y; por otro, se pretende dar acceso a información que es de interés de los ciudadanos porque versa sobre una afectación económica al erario público.</w:t>
      </w:r>
    </w:p>
    <w:p w:rsidR="00213440" w:rsidRPr="00312283" w:rsidRDefault="00213440" w:rsidP="00213440">
      <w:pPr>
        <w:spacing w:before="240" w:after="240"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rPr>
        <w:t xml:space="preserve">En tal contexto,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RPr="00312283">
        <w:rPr>
          <w:rFonts w:ascii="Palatino Linotype" w:eastAsia="Palatino Linotype" w:hAnsi="Palatino Linotype" w:cs="Palatino Linotype"/>
          <w:b/>
        </w:rPr>
        <w:t xml:space="preserve">existe una preferencia social mayor que trasciende para dar a </w:t>
      </w:r>
      <w:r w:rsidRPr="00312283">
        <w:rPr>
          <w:rFonts w:ascii="Palatino Linotype" w:eastAsia="Palatino Linotype" w:hAnsi="Palatino Linotype" w:cs="Palatino Linotype"/>
          <w:b/>
        </w:rPr>
        <w:lastRenderedPageBreak/>
        <w:t>conocer, precisamente los nombres de los servidores o ex servidores que enfrentan acusaciones sobre este caso, debiendo por tanto darse a conocer dicho dato, en caso de actualizarse la excepción a la excepción, prevista en el artículo 142 dela Ley de la materia, por lo que en el presente caso no se vulneran los derechos de la persona referida, aun cuando es plenamente identificada.</w:t>
      </w:r>
    </w:p>
    <w:p w:rsidR="00213440" w:rsidRPr="00312283" w:rsidRDefault="00213440" w:rsidP="00213440">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 efecto de sustentar lo anterior, es aplicable por analogía la determinación del Instituto Nacional de Transparencia, Acceso a la Información y Protección de Datos Personales, INAI, en la Resolución del Recurso de Revisión de Acceso con número de folio RRA 12225/22, que en su parte conducente, señala lo siguiente:</w:t>
      </w:r>
    </w:p>
    <w:p w:rsidR="00213440" w:rsidRPr="00312283" w:rsidRDefault="00213440" w:rsidP="00213440">
      <w:pPr>
        <w:spacing w:before="120" w:after="120"/>
        <w:ind w:left="426" w:right="47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ANÁLISIS DE INTERÉS PÚBLICO</w:t>
      </w:r>
    </w:p>
    <w:p w:rsidR="00213440" w:rsidRPr="00312283" w:rsidRDefault="00213440" w:rsidP="00213440">
      <w:pPr>
        <w:spacing w:before="120" w:after="120"/>
        <w:ind w:left="426" w:right="47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p>
    <w:p w:rsidR="00213440" w:rsidRPr="00312283" w:rsidRDefault="00213440" w:rsidP="00213440">
      <w:pPr>
        <w:spacing w:before="120" w:after="120"/>
        <w:ind w:left="426" w:right="47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con base en elementos de idoneidad, necesidad y proporcionalidad. Para estos efectos, se entenderá por: </w:t>
      </w:r>
    </w:p>
    <w:p w:rsidR="00213440" w:rsidRPr="00312283" w:rsidRDefault="00213440" w:rsidP="00213440">
      <w:pPr>
        <w:spacing w:before="120" w:after="120"/>
        <w:ind w:left="851" w:right="474"/>
        <w:jc w:val="both"/>
        <w:rPr>
          <w:rFonts w:ascii="Palatino Linotype" w:eastAsia="Palatino Linotype" w:hAnsi="Palatino Linotype" w:cs="Palatino Linotype"/>
          <w:i/>
          <w:sz w:val="22"/>
          <w:szCs w:val="22"/>
        </w:rPr>
      </w:pPr>
      <w:r w:rsidRPr="00312283">
        <w:rPr>
          <w:rFonts w:ascii="Symbol" w:eastAsia="Symbol" w:hAnsi="Symbol" w:cs="Symbol"/>
          <w:i/>
          <w:sz w:val="22"/>
          <w:szCs w:val="22"/>
        </w:rPr>
        <w:t>∙</w:t>
      </w:r>
      <w:r w:rsidRPr="00312283">
        <w:rPr>
          <w:rFonts w:ascii="Palatino Linotype" w:eastAsia="Palatino Linotype" w:hAnsi="Palatino Linotype" w:cs="Palatino Linotype"/>
          <w:i/>
          <w:sz w:val="22"/>
          <w:szCs w:val="22"/>
        </w:rPr>
        <w:t xml:space="preserve"> </w:t>
      </w:r>
      <w:r w:rsidRPr="00312283">
        <w:rPr>
          <w:rFonts w:ascii="Palatino Linotype" w:eastAsia="Palatino Linotype" w:hAnsi="Palatino Linotype" w:cs="Palatino Linotype"/>
          <w:b/>
          <w:i/>
          <w:sz w:val="22"/>
          <w:szCs w:val="22"/>
        </w:rPr>
        <w:t>Idoneidad:</w:t>
      </w:r>
      <w:r w:rsidRPr="00312283">
        <w:rPr>
          <w:rFonts w:ascii="Palatino Linotype" w:eastAsia="Palatino Linotype" w:hAnsi="Palatino Linotype" w:cs="Palatino Linotype"/>
          <w:i/>
          <w:sz w:val="22"/>
          <w:szCs w:val="22"/>
        </w:rPr>
        <w:t xml:space="preserve"> La legitimidad del derecho adoptado como preferente, que sea el adecuado para el logro de un fin constitucionalmente válido o apto para conseguir el fin pretendido; </w:t>
      </w:r>
    </w:p>
    <w:p w:rsidR="00213440" w:rsidRPr="00312283" w:rsidRDefault="00213440" w:rsidP="00213440">
      <w:pPr>
        <w:spacing w:before="120" w:after="120"/>
        <w:ind w:left="851" w:right="474"/>
        <w:jc w:val="both"/>
        <w:rPr>
          <w:rFonts w:ascii="Palatino Linotype" w:eastAsia="Palatino Linotype" w:hAnsi="Palatino Linotype" w:cs="Palatino Linotype"/>
          <w:i/>
          <w:sz w:val="22"/>
          <w:szCs w:val="22"/>
        </w:rPr>
      </w:pPr>
      <w:r w:rsidRPr="00312283">
        <w:rPr>
          <w:rFonts w:ascii="Symbol" w:eastAsia="Symbol" w:hAnsi="Symbol" w:cs="Symbol"/>
          <w:i/>
          <w:sz w:val="22"/>
          <w:szCs w:val="22"/>
        </w:rPr>
        <w:t>∙</w:t>
      </w:r>
      <w:r w:rsidRPr="00312283">
        <w:rPr>
          <w:rFonts w:ascii="Palatino Linotype" w:eastAsia="Palatino Linotype" w:hAnsi="Palatino Linotype" w:cs="Palatino Linotype"/>
          <w:i/>
          <w:sz w:val="22"/>
          <w:szCs w:val="22"/>
        </w:rPr>
        <w:t xml:space="preserve"> </w:t>
      </w:r>
      <w:r w:rsidRPr="00312283">
        <w:rPr>
          <w:rFonts w:ascii="Palatino Linotype" w:eastAsia="Palatino Linotype" w:hAnsi="Palatino Linotype" w:cs="Palatino Linotype"/>
          <w:b/>
          <w:i/>
          <w:sz w:val="22"/>
          <w:szCs w:val="22"/>
        </w:rPr>
        <w:t>Necesidad:</w:t>
      </w:r>
      <w:r w:rsidRPr="00312283">
        <w:rPr>
          <w:rFonts w:ascii="Palatino Linotype" w:eastAsia="Palatino Linotype" w:hAnsi="Palatino Linotype" w:cs="Palatino Linotype"/>
          <w:i/>
          <w:sz w:val="22"/>
          <w:szCs w:val="22"/>
        </w:rPr>
        <w:t xml:space="preserve"> La falta de un medio alternativo menos lesivo a la apertura de la información, para satisfacer el interés público, y </w:t>
      </w:r>
    </w:p>
    <w:p w:rsidR="00213440" w:rsidRPr="00312283" w:rsidRDefault="00213440" w:rsidP="00213440">
      <w:pPr>
        <w:spacing w:before="120" w:after="120"/>
        <w:ind w:left="851" w:right="474"/>
        <w:jc w:val="both"/>
        <w:rPr>
          <w:rFonts w:ascii="Palatino Linotype" w:eastAsia="Palatino Linotype" w:hAnsi="Palatino Linotype" w:cs="Palatino Linotype"/>
          <w:i/>
          <w:sz w:val="22"/>
          <w:szCs w:val="22"/>
        </w:rPr>
      </w:pPr>
      <w:r w:rsidRPr="00312283">
        <w:rPr>
          <w:rFonts w:ascii="Symbol" w:eastAsia="Symbol" w:hAnsi="Symbol" w:cs="Symbol"/>
          <w:i/>
          <w:sz w:val="22"/>
          <w:szCs w:val="22"/>
        </w:rPr>
        <w:t>∙</w:t>
      </w:r>
      <w:r w:rsidRPr="00312283">
        <w:rPr>
          <w:rFonts w:ascii="Palatino Linotype" w:eastAsia="Palatino Linotype" w:hAnsi="Palatino Linotype" w:cs="Palatino Linotype"/>
          <w:i/>
          <w:sz w:val="22"/>
          <w:szCs w:val="22"/>
        </w:rPr>
        <w:t xml:space="preserve"> </w:t>
      </w:r>
      <w:r w:rsidRPr="00312283">
        <w:rPr>
          <w:rFonts w:ascii="Palatino Linotype" w:eastAsia="Palatino Linotype" w:hAnsi="Palatino Linotype" w:cs="Palatino Linotype"/>
          <w:b/>
          <w:i/>
          <w:sz w:val="22"/>
          <w:szCs w:val="22"/>
        </w:rPr>
        <w:t>Proporcionalidad:</w:t>
      </w:r>
      <w:r w:rsidRPr="00312283">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En el mismo sentido, resulta aplicable la tesis I.4o.A.70 K, emitida por Tribunales Colegiados de Circuito, publicada en el Semanario Judicial de la Federación y su Gaceta, Tomo XXIV, página 2346, de agosto de 2006, Novena Época, materia común: </w:t>
      </w:r>
    </w:p>
    <w:p w:rsidR="00213440" w:rsidRPr="00312283" w:rsidRDefault="00213440" w:rsidP="00213440">
      <w:pPr>
        <w:spacing w:before="120" w:after="120"/>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lastRenderedPageBreak/>
        <w:t>“SUSPENSIÓN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subprincipios siguientes: a) idoneidad</w:t>
      </w:r>
      <w:r w:rsidRPr="00312283">
        <w:rPr>
          <w:rFonts w:ascii="Palatino Linotype" w:eastAsia="Palatino Linotype" w:hAnsi="Palatino Linotype" w:cs="Palatino Linotype"/>
          <w:i/>
          <w:sz w:val="22"/>
          <w:szCs w:val="22"/>
        </w:rPr>
        <w:t xml:space="preserve">, la cual es la legitimidad constitucional del principio adoptado como preferente, por resultar ser el adecuado para el logro de un fin constitucionalmente válido o apto para conseguir el objetivo pretendido; </w:t>
      </w:r>
      <w:r w:rsidRPr="00312283">
        <w:rPr>
          <w:rFonts w:ascii="Palatino Linotype" w:eastAsia="Palatino Linotype" w:hAnsi="Palatino Linotype" w:cs="Palatino Linotype"/>
          <w:b/>
          <w:i/>
          <w:sz w:val="22"/>
          <w:szCs w:val="22"/>
        </w:rPr>
        <w:t>b) necesidad</w:t>
      </w:r>
      <w:r w:rsidRPr="00312283">
        <w:rPr>
          <w:rFonts w:ascii="Palatino Linotype" w:eastAsia="Palatino Linotype" w:hAnsi="Palatino Linotype" w:cs="Palatino Linotype"/>
          <w:i/>
          <w:sz w:val="22"/>
          <w:szCs w:val="22"/>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RPr="00312283">
        <w:rPr>
          <w:rFonts w:ascii="Palatino Linotype" w:eastAsia="Palatino Linotype" w:hAnsi="Palatino Linotype" w:cs="Palatino Linotype"/>
          <w:b/>
          <w:i/>
          <w:sz w:val="22"/>
          <w:szCs w:val="22"/>
        </w:rPr>
        <w:t>c) el mandato de proporcionalidad entre medios y fines implica que al elegir entre un perjuicio y un beneficio a favor de dos bienes tutelados, el principio satisfecho o que resulta privilegiado lo sea en mayor proporción que el sacrificado</w:t>
      </w:r>
      <w:r w:rsidRPr="00312283">
        <w:rPr>
          <w:rFonts w:ascii="Palatino Linotype" w:eastAsia="Palatino Linotype" w:hAnsi="Palatino Linotype" w:cs="Palatino Linotype"/>
          <w:i/>
          <w:sz w:val="22"/>
          <w:szCs w:val="22"/>
        </w:rPr>
        <w:t>.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Como se aprecia de la tesis citada, cuando dos derechos fundamentales entran en colisión, el problema se debe resolver atendiendo a las características y naturaleza del caso concreto, conforme al criterio de proporcionalidad, ponderando los elementos o subprincipios de idoneidad, necesidad y proporcionalidad, antes descritos.</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rsidR="00213440" w:rsidRPr="00312283" w:rsidRDefault="00213440" w:rsidP="00213440">
      <w:pPr>
        <w:numPr>
          <w:ilvl w:val="0"/>
          <w:numId w:val="11"/>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u w:val="single"/>
        </w:rPr>
        <w:t>IDONEIDAD</w:t>
      </w:r>
      <w:r w:rsidRPr="00312283">
        <w:rPr>
          <w:rFonts w:ascii="Palatino Linotype" w:eastAsia="Palatino Linotype" w:hAnsi="Palatino Linotype" w:cs="Palatino Linotype"/>
          <w:b/>
          <w:i/>
          <w:sz w:val="22"/>
          <w:szCs w:val="22"/>
        </w:rPr>
        <w:t>.</w:t>
      </w:r>
      <w:r w:rsidRPr="00312283">
        <w:rPr>
          <w:rFonts w:ascii="Palatino Linotype" w:eastAsia="Palatino Linotype" w:hAnsi="Palatino Linotype" w:cs="Palatino Linotype"/>
          <w:i/>
          <w:sz w:val="22"/>
          <w:szCs w:val="22"/>
        </w:rPr>
        <w:t xml:space="preserve"> La legitimidad del derecho adoptado como preferente, que sea el adecuado para el logro de una finalidad constitucionalmente válida o apta para conseguir el fin pretendido.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Conforme a dicho precepto, el Estado Mexicano está constreñido a publicitar sus actos, pues se reconoce el derecho fundamental de los ciudadanos a acceder 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rsidR="00213440" w:rsidRPr="00312283" w:rsidRDefault="00213440" w:rsidP="00213440">
      <w:pPr>
        <w:spacing w:before="120" w:after="120"/>
        <w:ind w:left="851" w:right="476"/>
        <w:jc w:val="both"/>
        <w:rPr>
          <w:rFonts w:ascii="Palatino Linotype" w:eastAsia="Palatino Linotype" w:hAnsi="Palatino Linotype" w:cs="Palatino Linotype"/>
          <w:i/>
          <w:sz w:val="22"/>
          <w:szCs w:val="22"/>
        </w:rPr>
      </w:pPr>
      <w:r w:rsidRPr="00312283">
        <w:rPr>
          <w:rFonts w:ascii="Symbol" w:eastAsia="Symbol" w:hAnsi="Symbol" w:cs="Symbol"/>
          <w:i/>
          <w:sz w:val="22"/>
          <w:szCs w:val="22"/>
        </w:rPr>
        <w:t>∙</w:t>
      </w:r>
      <w:r w:rsidRPr="00312283">
        <w:rPr>
          <w:rFonts w:ascii="Palatino Linotype" w:eastAsia="Palatino Linotype" w:hAnsi="Palatino Linotype" w:cs="Palatino Linotype"/>
          <w:i/>
          <w:sz w:val="22"/>
          <w:szCs w:val="22"/>
        </w:rPr>
        <w:t xml:space="preserve"> En aspecto individual, maximiza el campo de la autonomía personal, posibilita el ejercicio de la libertad de expresión en un contexto diversidad de datos, voces y opiniones. </w:t>
      </w:r>
    </w:p>
    <w:p w:rsidR="00213440" w:rsidRPr="00312283" w:rsidRDefault="00213440" w:rsidP="00213440">
      <w:pPr>
        <w:spacing w:before="120" w:after="120"/>
        <w:ind w:left="851" w:right="476"/>
        <w:jc w:val="both"/>
        <w:rPr>
          <w:rFonts w:ascii="Palatino Linotype" w:eastAsia="Palatino Linotype" w:hAnsi="Palatino Linotype" w:cs="Palatino Linotype"/>
          <w:i/>
          <w:sz w:val="22"/>
          <w:szCs w:val="22"/>
        </w:rPr>
      </w:pPr>
      <w:r w:rsidRPr="00312283">
        <w:rPr>
          <w:rFonts w:ascii="Symbol" w:eastAsia="Symbol" w:hAnsi="Symbol" w:cs="Symbol"/>
          <w:i/>
          <w:sz w:val="22"/>
          <w:szCs w:val="22"/>
        </w:rPr>
        <w:t>∙</w:t>
      </w:r>
      <w:r w:rsidRPr="00312283">
        <w:rPr>
          <w:rFonts w:ascii="Palatino Linotype" w:eastAsia="Palatino Linotype" w:hAnsi="Palatino Linotype" w:cs="Palatino Linotype"/>
          <w:i/>
          <w:sz w:val="22"/>
          <w:szCs w:val="22"/>
        </w:rPr>
        <w:t xml:space="preserve"> Mientras que, en el social, evidencia el valor instrumental de la información no sólo como factor de autorrealización personal, sino como un mecanismo de control institucional, pues se trata de un derecho fundado en la publicidad de los actos de gobierno y la transparencia en el actuar de la administración, conducente y necesaria para la rendición de cuentas.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Al respecto, el interés de conocer los nombres de los servidores públicos que enfrentan acusaciones sobre estos casos evidencia el ejercicio del derecho de acceso a la información, en virtud de que se trata de un caso relacionado con presuntos hechos de corrupción cometidos con recursos públicos. </w:t>
      </w:r>
    </w:p>
    <w:p w:rsidR="00213440" w:rsidRPr="00312283" w:rsidRDefault="00213440" w:rsidP="00213440">
      <w:pPr>
        <w:spacing w:before="120" w:after="120"/>
        <w:ind w:left="425" w:right="476"/>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i/>
          <w:sz w:val="22"/>
          <w:szCs w:val="22"/>
        </w:rPr>
        <w:t xml:space="preserve">En ese orden, </w:t>
      </w:r>
      <w:r w:rsidRPr="00312283">
        <w:rPr>
          <w:rFonts w:ascii="Palatino Linotype" w:eastAsia="Palatino Linotype" w:hAnsi="Palatino Linotype" w:cs="Palatino Linotype"/>
          <w:b/>
          <w:i/>
          <w:sz w:val="22"/>
          <w:szCs w:val="22"/>
        </w:rPr>
        <w:t>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RPr="00312283">
        <w:rPr>
          <w:rFonts w:ascii="Palatino Linotype" w:eastAsia="Palatino Linotype" w:hAnsi="Palatino Linotype" w:cs="Palatino Linotype"/>
          <w:i/>
          <w:sz w:val="22"/>
          <w:szCs w:val="22"/>
        </w:rPr>
        <w:t xml:space="preserve"> federal a través de los recursos públicos destinados al Servicio de Administración Tributaria que dejaron de ingresar con las que </w:t>
      </w:r>
      <w:r w:rsidRPr="00312283">
        <w:rPr>
          <w:rFonts w:ascii="Palatino Linotype" w:eastAsia="Palatino Linotype" w:hAnsi="Palatino Linotype" w:cs="Palatino Linotype"/>
          <w:b/>
          <w:i/>
          <w:sz w:val="22"/>
          <w:szCs w:val="22"/>
        </w:rPr>
        <w:t>se presume obtuvieron un beneficio personal</w:t>
      </w:r>
      <w:r w:rsidRPr="00312283">
        <w:rPr>
          <w:rFonts w:ascii="Palatino Linotype" w:eastAsia="Palatino Linotype" w:hAnsi="Palatino Linotype" w:cs="Palatino Linotype"/>
          <w:i/>
          <w:sz w:val="22"/>
          <w:szCs w:val="22"/>
        </w:rPr>
        <w:t xml:space="preserve">, luego entonces </w:t>
      </w:r>
      <w:r w:rsidRPr="00312283">
        <w:rPr>
          <w:rFonts w:ascii="Palatino Linotype" w:eastAsia="Palatino Linotype" w:hAnsi="Palatino Linotype" w:cs="Palatino Linotype"/>
          <w:b/>
          <w:i/>
          <w:sz w:val="22"/>
          <w:szCs w:val="22"/>
        </w:rPr>
        <w:t xml:space="preserve">existe una preferencia social mayor que trasciende para dar a conocer, </w:t>
      </w:r>
      <w:r w:rsidRPr="00312283">
        <w:rPr>
          <w:rFonts w:ascii="Palatino Linotype" w:eastAsia="Palatino Linotype" w:hAnsi="Palatino Linotype" w:cs="Palatino Linotype"/>
          <w:b/>
          <w:i/>
          <w:sz w:val="22"/>
          <w:szCs w:val="22"/>
        </w:rPr>
        <w:lastRenderedPageBreak/>
        <w:t xml:space="preserve">precisamente los nombres de los servidores que enfrentan acusaciones sobre este caso.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rsidR="00213440" w:rsidRPr="00312283" w:rsidRDefault="00213440" w:rsidP="00213440">
      <w:pPr>
        <w:numPr>
          <w:ilvl w:val="0"/>
          <w:numId w:val="11"/>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u w:val="single"/>
        </w:rPr>
        <w:t>NECESIDAD</w:t>
      </w:r>
      <w:r w:rsidRPr="00312283">
        <w:rPr>
          <w:rFonts w:ascii="Palatino Linotype" w:eastAsia="Palatino Linotype" w:hAnsi="Palatino Linotype" w:cs="Palatino Linotype"/>
          <w:i/>
          <w:sz w:val="22"/>
          <w:szCs w:val="22"/>
        </w:rPr>
        <w:t xml:space="preserve">. La falta de un medio alternativo menos lesivo a la apertura de la información, para satisfacer el interés público.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Esto es, </w:t>
      </w:r>
      <w:r w:rsidRPr="00312283">
        <w:rPr>
          <w:rFonts w:ascii="Palatino Linotype" w:eastAsia="Palatino Linotype" w:hAnsi="Palatino Linotype" w:cs="Palatino Linotype"/>
          <w:b/>
          <w:i/>
          <w:sz w:val="22"/>
          <w:szCs w:val="22"/>
        </w:rPr>
        <w:t>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RPr="00312283">
        <w:rPr>
          <w:rFonts w:ascii="Palatino Linotype" w:eastAsia="Palatino Linotype" w:hAnsi="Palatino Linotype" w:cs="Palatino Linotype"/>
          <w:i/>
          <w:sz w:val="22"/>
          <w:szCs w:val="22"/>
        </w:rPr>
        <w:t xml:space="preserve">, tales como cohecho, peculado y enriquecimiento ilícito, catalogados como actos de corrupción en el Código Penal Federal, así como en la Convención Interamericana contra la Corrupción.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indudablemente repercute en la economía del país, así como el nombre de cualquier otra persona involucrada en los hechos. </w:t>
      </w:r>
    </w:p>
    <w:p w:rsidR="00213440" w:rsidRPr="00312283" w:rsidRDefault="00213440" w:rsidP="00213440">
      <w:pPr>
        <w:spacing w:before="120" w:after="120"/>
        <w:ind w:left="425" w:right="476"/>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Es decir, si se negara el derecho de acceso a los datos peticionados, -en el caso concreto- se impediría que la sociedad tuviera los elementos informativos necesarios para el debido escrutinio del ejercicio de la actividad del sujeto obligado, en cuanto a sus facultades de </w:t>
      </w:r>
      <w:r w:rsidRPr="00312283">
        <w:rPr>
          <w:rFonts w:ascii="Palatino Linotype" w:eastAsia="Palatino Linotype" w:hAnsi="Palatino Linotype" w:cs="Palatino Linotype"/>
          <w:i/>
          <w:sz w:val="22"/>
          <w:szCs w:val="22"/>
        </w:rPr>
        <w:lastRenderedPageBreak/>
        <w:t>investigación, en este caso, respecto de los delitos catalogados como actos de corrupción en el Código Penal Federal.</w:t>
      </w:r>
      <w:r w:rsidRPr="00312283">
        <w:rPr>
          <w:rFonts w:ascii="Palatino Linotype" w:eastAsia="Palatino Linotype" w:hAnsi="Palatino Linotype" w:cs="Palatino Linotype"/>
          <w:b/>
          <w:i/>
          <w:sz w:val="22"/>
          <w:szCs w:val="22"/>
        </w:rPr>
        <w:t xml:space="preserve"> </w:t>
      </w:r>
    </w:p>
    <w:p w:rsidR="00213440" w:rsidRPr="00312283" w:rsidRDefault="00213440" w:rsidP="00213440">
      <w:pPr>
        <w:numPr>
          <w:ilvl w:val="0"/>
          <w:numId w:val="11"/>
        </w:numPr>
        <w:pBdr>
          <w:top w:val="nil"/>
          <w:left w:val="nil"/>
          <w:bottom w:val="nil"/>
          <w:right w:val="nil"/>
          <w:between w:val="nil"/>
        </w:pBdr>
        <w:spacing w:before="120" w:after="120"/>
        <w:ind w:left="425" w:right="476"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u w:val="single"/>
        </w:rPr>
        <w:t>PROPORCIONALIDAD</w:t>
      </w:r>
      <w:r w:rsidRPr="00312283">
        <w:rPr>
          <w:rFonts w:ascii="Palatino Linotype" w:eastAsia="Palatino Linotype" w:hAnsi="Palatino Linotype" w:cs="Palatino Linotype"/>
          <w:i/>
          <w:sz w:val="22"/>
          <w:szCs w:val="22"/>
          <w:u w:val="single"/>
        </w:rPr>
        <w:t>.</w:t>
      </w:r>
      <w:r w:rsidRPr="00312283">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 </w:t>
      </w:r>
    </w:p>
    <w:p w:rsidR="00213440" w:rsidRPr="00312283" w:rsidRDefault="00213440" w:rsidP="00213440">
      <w:pPr>
        <w:spacing w:before="120" w:after="120"/>
        <w:ind w:left="426" w:right="47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Conforme a lo expuesto, </w:t>
      </w:r>
      <w:r w:rsidRPr="00312283">
        <w:rPr>
          <w:rFonts w:ascii="Palatino Linotype" w:eastAsia="Palatino Linotype" w:hAnsi="Palatino Linotype" w:cs="Palatino Linotype"/>
          <w:b/>
          <w:i/>
          <w:sz w:val="22"/>
          <w:szCs w:val="22"/>
        </w:rPr>
        <w:t>si bien se causa un perjuicio a la intimidad, honor, imagen y presunción de inocencia, de los servidores y ex servidores públicos que enfrentan acusaciones sobre diversos casos</w:t>
      </w:r>
      <w:r w:rsidRPr="00312283">
        <w:rPr>
          <w:rFonts w:ascii="Palatino Linotype" w:eastAsia="Palatino Linotype" w:hAnsi="Palatino Linotype" w:cs="Palatino Linotype"/>
          <w:i/>
          <w:sz w:val="22"/>
          <w:szCs w:val="22"/>
        </w:rPr>
        <w:t xml:space="preserve">, lo cierto es que, </w:t>
      </w:r>
      <w:r w:rsidRPr="00312283">
        <w:rPr>
          <w:rFonts w:ascii="Palatino Linotype" w:eastAsia="Palatino Linotype" w:hAnsi="Palatino Linotype" w:cs="Palatino Linotype"/>
          <w:b/>
          <w:i/>
          <w:sz w:val="22"/>
          <w:szCs w:val="22"/>
        </w:rPr>
        <w:t>divulgar sus nombres representa un beneficio mayor para la sociedad puesto que rinde cuentas sobre quiénes están probablemente implicados en conductas relacionadas con hechos de corrupción</w:t>
      </w:r>
      <w:r w:rsidRPr="00312283">
        <w:rPr>
          <w:rFonts w:ascii="Palatino Linotype" w:eastAsia="Palatino Linotype" w:hAnsi="Palatino Linotype" w:cs="Palatino Linotype"/>
          <w:i/>
          <w:sz w:val="22"/>
          <w:szCs w:val="22"/>
        </w:rPr>
        <w:t xml:space="preserve">. </w:t>
      </w:r>
    </w:p>
    <w:p w:rsidR="00213440" w:rsidRPr="00312283" w:rsidRDefault="00213440" w:rsidP="00213440">
      <w:pPr>
        <w:spacing w:before="120" w:after="120"/>
        <w:ind w:left="426" w:right="47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Sumado a lo anterior, debemos recordar que uno de los señalamientos de la Convención Interamericana contra la Corrupción, lo cual ha sido ratificado por México, es que la corrupción atenta contra la sociedad, el orden moral y la justicia. </w:t>
      </w:r>
    </w:p>
    <w:p w:rsidR="00213440" w:rsidRPr="00312283" w:rsidRDefault="00213440" w:rsidP="00213440">
      <w:pPr>
        <w:spacing w:before="120" w:after="120"/>
        <w:ind w:left="426" w:right="47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De manera que, si la Fiscalía General de la República aperturó diversas carpetas de investigación en contra de las personas que posiblemente cometieron actos de corrupción, 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rsidR="00213440" w:rsidRPr="00312283" w:rsidRDefault="00213440" w:rsidP="00213440">
      <w:pPr>
        <w:spacing w:before="120" w:after="120"/>
        <w:ind w:left="426" w:right="474"/>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rsidR="00213440" w:rsidRPr="00312283" w:rsidRDefault="00213440" w:rsidP="00213440">
      <w:pPr>
        <w:spacing w:before="120" w:after="120"/>
        <w:ind w:left="426" w:right="474"/>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i/>
          <w:sz w:val="22"/>
          <w:szCs w:val="22"/>
        </w:rPr>
        <w:t xml:space="preserve">Por tanto, es posible concluir que, en la ponderación realizada, se cumple con los tres elementos para dotarle de preminencia al derecho de acceso a la información, a efecto de poder entregar la información relativa a los servidores o ex servidores denunciados pues con el análisis de interés público </w:t>
      </w:r>
      <w:r w:rsidRPr="00312283">
        <w:rPr>
          <w:rFonts w:ascii="Palatino Linotype" w:eastAsia="Palatino Linotype" w:hAnsi="Palatino Linotype" w:cs="Palatino Linotype"/>
          <w:b/>
          <w:i/>
          <w:sz w:val="22"/>
          <w:szCs w:val="22"/>
        </w:rPr>
        <w:t>no es posible clasificarla en términos del artículo 113, fracción I de la Ley de la materia.”</w:t>
      </w:r>
    </w:p>
    <w:p w:rsidR="00E72426" w:rsidRPr="00312283" w:rsidRDefault="00502C1F">
      <w:pPr>
        <w:numPr>
          <w:ilvl w:val="0"/>
          <w:numId w:val="6"/>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rPr>
      </w:pPr>
      <w:r w:rsidRPr="00312283">
        <w:rPr>
          <w:rFonts w:ascii="Palatino Linotype" w:eastAsia="Palatino Linotype" w:hAnsi="Palatino Linotype" w:cs="Palatino Linotype"/>
          <w:b/>
        </w:rPr>
        <w:t>De los procedimientos sobre faltas administrativas concluidos.</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De la interpretación de la solicitud de información se desprende que la persona solicitante, además desea acceder a la información relacionada con procedimientos por faltas concluidos, en este tenor, como se mencionó en líneas anteriores, solo </w:t>
      </w:r>
      <w:r w:rsidRPr="00312283">
        <w:rPr>
          <w:rFonts w:ascii="Palatino Linotype" w:eastAsia="Palatino Linotype" w:hAnsi="Palatino Linotype" w:cs="Palatino Linotype"/>
        </w:rPr>
        <w:lastRenderedPageBreak/>
        <w:t xml:space="preserve">pueden ser dadas a conocer las responsabilidades administrativas por faltas graves condenatorias, de conformidad con la  Ley del Sistema Anticorrupción del Estado de México y Municipios que establece que </w:t>
      </w:r>
      <w:r w:rsidRPr="00312283">
        <w:rPr>
          <w:rFonts w:ascii="Palatino Linotype" w:eastAsia="Palatino Linotype" w:hAnsi="Palatino Linotype" w:cs="Palatino Linotype"/>
          <w:b/>
          <w:u w:val="single"/>
        </w:rPr>
        <w:t>las sanciones no graves no serán públicas</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u w:val="single"/>
        </w:rPr>
        <w:t>así como las graves absolutorias</w:t>
      </w:r>
      <w:r w:rsidRPr="00312283">
        <w:rPr>
          <w:rFonts w:ascii="Palatino Linotype" w:eastAsia="Palatino Linotype" w:hAnsi="Palatino Linotype" w:cs="Palatino Linotype"/>
        </w:rPr>
        <w:t xml:space="preserve">, en virtud de que dichas faltas, </w:t>
      </w:r>
      <w:r w:rsidRPr="00312283">
        <w:rPr>
          <w:rFonts w:ascii="Palatino Linotype" w:eastAsia="Palatino Linotype" w:hAnsi="Palatino Linotype" w:cs="Palatino Linotype"/>
          <w:b/>
        </w:rPr>
        <w:t xml:space="preserve">no tienen una trascendencia social, </w:t>
      </w:r>
      <w:r w:rsidRPr="00312283">
        <w:rPr>
          <w:rFonts w:ascii="Palatino Linotype" w:eastAsia="Palatino Linotype" w:hAnsi="Palatino Linotype" w:cs="Palatino Linotype"/>
        </w:rPr>
        <w:t>pues no existe un daño externo, sino que únicamente le atañe al servidor público en cuestión.</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 este entendido, es evidente que en caso de existir procedimientos concluidos instaurados en contra de los servidores públicos que se ostentaron como Tesoreros Municipales del Ayuntamiento de Nicolás Romero desde el año 2015 al tres de febrero del dos mil veintitrés, </w:t>
      </w:r>
      <w:r w:rsidRPr="00312283">
        <w:rPr>
          <w:rFonts w:ascii="Palatino Linotype" w:eastAsia="Palatino Linotype" w:hAnsi="Palatino Linotype" w:cs="Palatino Linotype"/>
          <w:b/>
        </w:rPr>
        <w:t>por faltas graves absolutorias</w:t>
      </w:r>
      <w:r w:rsidRPr="00312283">
        <w:rPr>
          <w:rFonts w:ascii="Palatino Linotype" w:eastAsia="Palatino Linotype" w:hAnsi="Palatino Linotype" w:cs="Palatino Linotype"/>
        </w:rPr>
        <w:t xml:space="preserve"> y</w:t>
      </w:r>
      <w:r w:rsidRPr="00312283">
        <w:rPr>
          <w:rFonts w:ascii="Palatino Linotype" w:eastAsia="Palatino Linotype" w:hAnsi="Palatino Linotype" w:cs="Palatino Linotype"/>
          <w:b/>
        </w:rPr>
        <w:t xml:space="preserve"> no graves condenatorias o absolutorias</w:t>
      </w:r>
      <w:r w:rsidRPr="00312283">
        <w:rPr>
          <w:rFonts w:ascii="Palatino Linotype" w:eastAsia="Palatino Linotype" w:hAnsi="Palatino Linotype" w:cs="Palatino Linotype"/>
        </w:rPr>
        <w:t xml:space="preserve">, dicha información tiene el carácter de confidencial, y por tanto debe clasificarse el pronunciamiento en términos del artículo 113, fracción I de la Ley de Transparencia y Acceso a la Información Pública del Estado de México y Municipios. </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No obstante, si los procedimientos </w:t>
      </w:r>
      <w:r w:rsidR="00187233" w:rsidRPr="00312283">
        <w:rPr>
          <w:rFonts w:ascii="Palatino Linotype" w:eastAsia="Palatino Linotype" w:hAnsi="Palatino Linotype" w:cs="Palatino Linotype"/>
        </w:rPr>
        <w:t xml:space="preserve">concluidos </w:t>
      </w:r>
      <w:r w:rsidRPr="00312283">
        <w:rPr>
          <w:rFonts w:ascii="Palatino Linotype" w:eastAsia="Palatino Linotype" w:hAnsi="Palatino Linotype" w:cs="Palatino Linotype"/>
        </w:rPr>
        <w:t xml:space="preserve">se relacionan con faltas administrativas </w:t>
      </w:r>
      <w:r w:rsidRPr="00312283">
        <w:rPr>
          <w:rFonts w:ascii="Palatino Linotype" w:eastAsia="Palatino Linotype" w:hAnsi="Palatino Linotype" w:cs="Palatino Linotype"/>
          <w:b/>
        </w:rPr>
        <w:t>graves condenatorias</w:t>
      </w:r>
      <w:r w:rsidRPr="00312283">
        <w:rPr>
          <w:rFonts w:ascii="Palatino Linotype" w:eastAsia="Palatino Linotype" w:hAnsi="Palatino Linotype" w:cs="Palatino Linotype"/>
        </w:rPr>
        <w:t xml:space="preserve"> y estas han quedado firmes, es decir, que el procedimiento ya no acepta recurso o medio de defensa alguno, es procedente entregar el soporte documental a la parte </w:t>
      </w:r>
      <w:r w:rsidRPr="00312283">
        <w:rPr>
          <w:rFonts w:ascii="Palatino Linotype" w:eastAsia="Palatino Linotype" w:hAnsi="Palatino Linotype" w:cs="Palatino Linotype"/>
          <w:b/>
        </w:rPr>
        <w:t>Recurrente</w:t>
      </w:r>
      <w:r w:rsidRPr="00312283">
        <w:rPr>
          <w:rFonts w:ascii="Palatino Linotype" w:eastAsia="Palatino Linotype" w:hAnsi="Palatino Linotype" w:cs="Palatino Linotype"/>
        </w:rPr>
        <w:t xml:space="preserve"> que dé cuenta de las sanciones impuestas, en versión pública para el caso de que el mismo contenga datos personales susceptibles de protegerse, reiterando que en dicho supuesto, no se vulnera el derecho del servidor público referido, aun cuando este sea plenamente identificable.</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lastRenderedPageBreak/>
        <w:t xml:space="preserve">Lo anterior, ya que como se precisó en párrafos anteriores, proporcionar la información de referencia, garantizaría la rendición de cuentas por parte del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relativo a su actuación, teniendo como consecuencia que los ciudadanos tengan confianza en sus autoridades, al poder conocer información derivada de los procedimientos administrativos que hayan concluido con resolución en donde se determine que un servidor público tuvo responsabilidades graves, relacionadas al ejercicio de las funciones.</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Además, que, con dicha información, se estaría revelando que el desempeño del servidor público, en caso de haber sido sancionado, no fue conforme a derecho.</w:t>
      </w:r>
    </w:p>
    <w:p w:rsidR="00282E66" w:rsidRPr="00312283" w:rsidRDefault="00282E66" w:rsidP="00282E66">
      <w:pPr>
        <w:tabs>
          <w:tab w:val="left" w:pos="3962"/>
        </w:tabs>
        <w:spacing w:before="240" w:after="240" w:line="360" w:lineRule="auto"/>
        <w:ind w:right="51"/>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Conforme a lo expuesto, se concluye que para satisfacer el derecho de acceso a la información de la parte </w:t>
      </w:r>
      <w:r w:rsidRPr="00312283">
        <w:rPr>
          <w:rFonts w:ascii="Palatino Linotype" w:eastAsia="Palatino Linotype" w:hAnsi="Palatino Linotype" w:cs="Palatino Linotype"/>
          <w:b/>
        </w:rPr>
        <w:t>Recurrente</w:t>
      </w:r>
      <w:r w:rsidRPr="00312283">
        <w:rPr>
          <w:rFonts w:ascii="Palatino Linotype" w:eastAsia="Palatino Linotype" w:hAnsi="Palatino Linotype" w:cs="Palatino Linotype"/>
        </w:rPr>
        <w:t xml:space="preserve">,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deberá entregar, respecto a</w:t>
      </w:r>
      <w:r w:rsidR="00502C1F"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rPr>
        <w:t>l</w:t>
      </w:r>
      <w:r w:rsidR="00502C1F" w:rsidRPr="00312283">
        <w:rPr>
          <w:rFonts w:ascii="Palatino Linotype" w:eastAsia="Palatino Linotype" w:hAnsi="Palatino Linotype" w:cs="Palatino Linotype"/>
        </w:rPr>
        <w:t>os</w:t>
      </w:r>
      <w:r w:rsidRPr="00312283">
        <w:rPr>
          <w:rFonts w:ascii="Palatino Linotype" w:eastAsia="Palatino Linotype" w:hAnsi="Palatino Linotype" w:cs="Palatino Linotype"/>
        </w:rPr>
        <w:t xml:space="preserve"> servidor</w:t>
      </w:r>
      <w:r w:rsidR="00502C1F" w:rsidRPr="00312283">
        <w:rPr>
          <w:rFonts w:ascii="Palatino Linotype" w:eastAsia="Palatino Linotype" w:hAnsi="Palatino Linotype" w:cs="Palatino Linotype"/>
        </w:rPr>
        <w:t>es</w:t>
      </w:r>
      <w:r w:rsidRPr="00312283">
        <w:rPr>
          <w:rFonts w:ascii="Palatino Linotype" w:eastAsia="Palatino Linotype" w:hAnsi="Palatino Linotype" w:cs="Palatino Linotype"/>
        </w:rPr>
        <w:t xml:space="preserve"> público</w:t>
      </w:r>
      <w:r w:rsidR="00502C1F" w:rsidRPr="00312283">
        <w:rPr>
          <w:rFonts w:ascii="Palatino Linotype" w:eastAsia="Palatino Linotype" w:hAnsi="Palatino Linotype" w:cs="Palatino Linotype"/>
        </w:rPr>
        <w:t>s</w:t>
      </w:r>
      <w:r w:rsidRPr="00312283">
        <w:rPr>
          <w:rFonts w:ascii="Palatino Linotype" w:eastAsia="Palatino Linotype" w:hAnsi="Palatino Linotype" w:cs="Palatino Linotype"/>
        </w:rPr>
        <w:t xml:space="preserve"> que se ostentaba</w:t>
      </w:r>
      <w:r w:rsidR="00B05DF7" w:rsidRPr="00312283">
        <w:rPr>
          <w:rFonts w:ascii="Palatino Linotype" w:eastAsia="Palatino Linotype" w:hAnsi="Palatino Linotype" w:cs="Palatino Linotype"/>
        </w:rPr>
        <w:t>n</w:t>
      </w:r>
      <w:r w:rsidRPr="00312283">
        <w:rPr>
          <w:rFonts w:ascii="Palatino Linotype" w:eastAsia="Palatino Linotype" w:hAnsi="Palatino Linotype" w:cs="Palatino Linotype"/>
        </w:rPr>
        <w:t xml:space="preserve"> como Tesorero del </w:t>
      </w:r>
      <w:r w:rsidR="00502C1F"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w:t>
      </w:r>
      <w:r w:rsidR="00B05DF7" w:rsidRPr="00312283">
        <w:rPr>
          <w:rFonts w:ascii="Palatino Linotype" w:eastAsia="Palatino Linotype" w:hAnsi="Palatino Linotype" w:cs="Palatino Linotype"/>
        </w:rPr>
        <w:t xml:space="preserve">del 1 de enero del 2015 al 3 de febrero de 2023, </w:t>
      </w:r>
      <w:r w:rsidRPr="00312283">
        <w:rPr>
          <w:rFonts w:ascii="Palatino Linotype" w:eastAsia="Palatino Linotype" w:hAnsi="Palatino Linotype" w:cs="Palatino Linotype"/>
        </w:rPr>
        <w:t>lo siguiente:</w:t>
      </w:r>
    </w:p>
    <w:p w:rsidR="00B05DF7" w:rsidRPr="00312283" w:rsidRDefault="00282E66" w:rsidP="00B05DF7">
      <w:pPr>
        <w:tabs>
          <w:tab w:val="left" w:pos="3962"/>
        </w:tabs>
        <w:spacing w:before="240" w:after="240" w:line="360" w:lineRule="auto"/>
        <w:ind w:left="567" w:right="900"/>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1. El Acuerdo emitido por el Comité de Transparencia, en el que se confirme la clasificación como </w:t>
      </w:r>
      <w:r w:rsidRPr="00312283">
        <w:rPr>
          <w:rFonts w:ascii="Palatino Linotype" w:eastAsia="Palatino Linotype" w:hAnsi="Palatino Linotype" w:cs="Palatino Linotype"/>
          <w:b/>
          <w:u w:val="single"/>
        </w:rPr>
        <w:t>confidencial</w:t>
      </w:r>
      <w:r w:rsidRPr="00312283">
        <w:rPr>
          <w:rFonts w:ascii="Palatino Linotype" w:eastAsia="Palatino Linotype" w:hAnsi="Palatino Linotype" w:cs="Palatino Linotype"/>
        </w:rPr>
        <w:t xml:space="preserve"> del pronunciamiento en sentido afirmativo o negativo, en términos de los artículos 49, fracción II, 132, fracción II, 143, fracción I y 149 de la Ley de Transparencia y Acceso a la Información Pública del Estado de México y Municipios; respecto de los procedimientos por faltas administrativas graves y/o no graves, </w:t>
      </w:r>
      <w:r w:rsidRPr="00312283">
        <w:rPr>
          <w:rFonts w:ascii="Palatino Linotype" w:eastAsia="Palatino Linotype" w:hAnsi="Palatino Linotype" w:cs="Palatino Linotype"/>
          <w:b/>
          <w:u w:val="single"/>
        </w:rPr>
        <w:t>que se encuentren en trámite</w:t>
      </w:r>
      <w:r w:rsidRPr="00312283">
        <w:rPr>
          <w:rFonts w:ascii="Palatino Linotype" w:eastAsia="Palatino Linotype" w:hAnsi="Palatino Linotype" w:cs="Palatino Linotype"/>
        </w:rPr>
        <w:t xml:space="preserve">, así como de los procedimientos </w:t>
      </w:r>
      <w:r w:rsidRPr="00312283">
        <w:rPr>
          <w:rFonts w:ascii="Palatino Linotype" w:eastAsia="Palatino Linotype" w:hAnsi="Palatino Linotype" w:cs="Palatino Linotype"/>
          <w:b/>
          <w:u w:val="single"/>
        </w:rPr>
        <w:t xml:space="preserve">concluidos por faltas administrativas no graves </w:t>
      </w:r>
      <w:r w:rsidRPr="00312283">
        <w:rPr>
          <w:rFonts w:ascii="Palatino Linotype" w:eastAsia="Palatino Linotype" w:hAnsi="Palatino Linotype" w:cs="Palatino Linotype"/>
          <w:b/>
          <w:u w:val="single"/>
        </w:rPr>
        <w:lastRenderedPageBreak/>
        <w:t>condenatorias o absolutorias</w:t>
      </w:r>
      <w:r w:rsidR="00502C1F" w:rsidRPr="00312283">
        <w:rPr>
          <w:rFonts w:ascii="Palatino Linotype" w:eastAsia="Palatino Linotype" w:hAnsi="Palatino Linotype" w:cs="Palatino Linotype"/>
          <w:b/>
          <w:u w:val="single"/>
        </w:rPr>
        <w:t xml:space="preserve"> y graves absolutorios</w:t>
      </w:r>
      <w:r w:rsidRPr="00312283">
        <w:rPr>
          <w:rFonts w:ascii="Palatino Linotype" w:eastAsia="Palatino Linotype" w:hAnsi="Palatino Linotype" w:cs="Palatino Linotype"/>
        </w:rPr>
        <w:t xml:space="preserve">, instaurados, de ser el caso, en su contra, del </w:t>
      </w:r>
      <w:r w:rsidR="00B05DF7" w:rsidRPr="00312283">
        <w:rPr>
          <w:rFonts w:ascii="Palatino Linotype" w:eastAsia="Palatino Linotype" w:hAnsi="Palatino Linotype" w:cs="Palatino Linotype"/>
        </w:rPr>
        <w:t xml:space="preserve">1 de enero del 2015 al 3 de febrero de 2023. </w:t>
      </w:r>
    </w:p>
    <w:p w:rsidR="00B05DF7" w:rsidRPr="00312283" w:rsidRDefault="00282E66" w:rsidP="00B05DF7">
      <w:pPr>
        <w:tabs>
          <w:tab w:val="left" w:pos="3962"/>
        </w:tabs>
        <w:spacing w:before="240" w:after="240" w:line="360" w:lineRule="auto"/>
        <w:ind w:left="426" w:right="900"/>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2. Versión pública del documento que dé cuenta de cuenta de </w:t>
      </w:r>
      <w:r w:rsidRPr="00312283">
        <w:rPr>
          <w:rFonts w:ascii="Palatino Linotype" w:eastAsia="Palatino Linotype" w:hAnsi="Palatino Linotype" w:cs="Palatino Linotype"/>
          <w:b/>
          <w:u w:val="single"/>
        </w:rPr>
        <w:t>los procedimientos administrativos en trámite relacionados con actos de corrupción</w:t>
      </w:r>
      <w:r w:rsidRPr="00312283">
        <w:rPr>
          <w:rFonts w:ascii="Palatino Linotype" w:eastAsia="Palatino Linotype" w:hAnsi="Palatino Linotype" w:cs="Palatino Linotype"/>
        </w:rPr>
        <w:t xml:space="preserve">, de conformidad con el artículo 142 de la Ley de la materia; instaurados, de ser el caso, en su contra, </w:t>
      </w:r>
      <w:r w:rsidR="00B05DF7" w:rsidRPr="00312283">
        <w:rPr>
          <w:rFonts w:ascii="Palatino Linotype" w:eastAsia="Palatino Linotype" w:hAnsi="Palatino Linotype" w:cs="Palatino Linotype"/>
        </w:rPr>
        <w:t xml:space="preserve">del 1 de enero del 2015 al 3 de febrero de 2023. </w:t>
      </w:r>
    </w:p>
    <w:p w:rsidR="00282E66" w:rsidRPr="00312283" w:rsidRDefault="00282E66" w:rsidP="00B05DF7">
      <w:pPr>
        <w:tabs>
          <w:tab w:val="left" w:pos="3962"/>
        </w:tabs>
        <w:spacing w:before="240" w:after="240" w:line="360" w:lineRule="auto"/>
        <w:ind w:left="426" w:right="900"/>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3. Versión pública del documento que dé cuenta de los procedimientos concluidos, por faltas administrativas graves condenatorias, instaurados, de ser el caso, en su contra, </w:t>
      </w:r>
      <w:r w:rsidR="00B05DF7" w:rsidRPr="00312283">
        <w:rPr>
          <w:rFonts w:ascii="Palatino Linotype" w:eastAsia="Palatino Linotype" w:hAnsi="Palatino Linotype" w:cs="Palatino Linotype"/>
        </w:rPr>
        <w:t xml:space="preserve">del 1 de enero del 2015 al 3 de febrero de 2023. </w:t>
      </w:r>
    </w:p>
    <w:p w:rsidR="00282E66" w:rsidRPr="00312283" w:rsidRDefault="00282E66" w:rsidP="00282E66">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Para efectos de lo anterior, no debe pasarse por alto que la obligación de transparencia no implica que los Sujetos Obligados tengan el deber de generar documentos </w:t>
      </w:r>
      <w:r w:rsidRPr="00312283">
        <w:rPr>
          <w:rFonts w:ascii="Palatino Linotype" w:eastAsia="Palatino Linotype" w:hAnsi="Palatino Linotype" w:cs="Palatino Linotype"/>
          <w:i/>
        </w:rPr>
        <w:t>ad hoc</w:t>
      </w:r>
      <w:r w:rsidRPr="00312283">
        <w:rPr>
          <w:rFonts w:ascii="Palatino Linotype" w:eastAsia="Palatino Linotype" w:hAnsi="Palatino Linotype" w:cs="Palatino Linotype"/>
        </w:rPr>
        <w:t>, para satisfacer el derecho de acceso a la información pública, pues solo se encuentran constreñidos a proporcionar la información que se les requiera y que obre en sus archivos en el estado en el que esta se encuentre de conformidad con lo establecido en el artículo 12 de la Ley de la materia y el criterio orientador 03/17 cita</w:t>
      </w:r>
      <w:r w:rsidR="00D65266" w:rsidRPr="00312283">
        <w:rPr>
          <w:rFonts w:ascii="Palatino Linotype" w:eastAsia="Palatino Linotype" w:hAnsi="Palatino Linotype" w:cs="Palatino Linotype"/>
        </w:rPr>
        <w:t>dos con antelación, por lo que</w:t>
      </w:r>
      <w:r w:rsidRPr="00312283">
        <w:rPr>
          <w:rFonts w:ascii="Palatino Linotype" w:eastAsia="Palatino Linotype" w:hAnsi="Palatino Linotype" w:cs="Palatino Linotype"/>
        </w:rPr>
        <w:t xml:space="preserve">, deberá proporcionar soporte documental en donde conste la información que brinde respuesta a la solicitud, así el particular podrá buscar conforme a su interés, conforme a lo establecido en el criterio orientador 16/17, emitido por el Instituto Nacional de Transparencia, Acceso a la Información y Protección de Datos Personales, INAI, establece lo siguiente: </w:t>
      </w:r>
    </w:p>
    <w:p w:rsidR="00282E66" w:rsidRPr="00312283" w:rsidRDefault="00282E66" w:rsidP="00282E66">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312283">
        <w:rPr>
          <w:sz w:val="22"/>
          <w:szCs w:val="22"/>
        </w:rPr>
        <w:lastRenderedPageBreak/>
        <w:t xml:space="preserve"> “</w:t>
      </w:r>
      <w:r w:rsidRPr="00312283">
        <w:rPr>
          <w:rFonts w:ascii="Palatino Linotype" w:eastAsia="Palatino Linotype" w:hAnsi="Palatino Linotype" w:cs="Palatino Linotype"/>
          <w:b/>
          <w:i/>
          <w:sz w:val="22"/>
          <w:szCs w:val="22"/>
        </w:rPr>
        <w:t xml:space="preserve">Expresión documental. </w:t>
      </w:r>
      <w:r w:rsidRPr="00312283">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282E66" w:rsidRPr="00312283" w:rsidRDefault="00282E66" w:rsidP="00282E66">
      <w:pPr>
        <w:tabs>
          <w:tab w:val="left" w:pos="142"/>
          <w:tab w:val="left" w:pos="284"/>
          <w:tab w:val="left" w:pos="426"/>
        </w:tabs>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Debiendo, entregar la información a través de versión pública de ser procedente, asimismo, si lo requerido encuadra en cualquier otro supuesto de los abordados con anterioridad,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deberá estarse a lo señalado en líneas argumentativas anteriores.</w:t>
      </w:r>
    </w:p>
    <w:p w:rsidR="00282E66" w:rsidRPr="00312283" w:rsidRDefault="00282E66" w:rsidP="00282E66">
      <w:pPr>
        <w:spacing w:before="120" w:after="120" w:line="360" w:lineRule="auto"/>
        <w:ind w:right="51"/>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No obstante de lo anterior, para el caso de que no se llegara a localizar información derivado de la búsqueda que se ordena, relacionada con los puntos 2 y </w:t>
      </w:r>
      <w:r w:rsidR="00B05DF7" w:rsidRPr="00312283">
        <w:rPr>
          <w:rFonts w:ascii="Palatino Linotype" w:eastAsia="Palatino Linotype" w:hAnsi="Palatino Linotype" w:cs="Palatino Linotype"/>
        </w:rPr>
        <w:t>3 por</w:t>
      </w:r>
      <w:r w:rsidRPr="00312283">
        <w:rPr>
          <w:rFonts w:ascii="Palatino Linotype" w:eastAsia="Palatino Linotype" w:hAnsi="Palatino Linotype" w:cs="Palatino Linotype"/>
        </w:rPr>
        <w:t xml:space="preserve">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282E66" w:rsidRPr="00312283" w:rsidRDefault="00282E66" w:rsidP="00282E66">
      <w:pPr>
        <w:spacing w:before="120" w:after="120"/>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Artículo 19</w:t>
      </w:r>
      <w:r w:rsidRPr="00312283">
        <w:rPr>
          <w:rFonts w:ascii="Palatino Linotype" w:eastAsia="Palatino Linotype" w:hAnsi="Palatino Linotype" w:cs="Palatino Linotype"/>
          <w:i/>
          <w:sz w:val="22"/>
          <w:szCs w:val="22"/>
        </w:rPr>
        <w:t>…</w:t>
      </w:r>
    </w:p>
    <w:p w:rsidR="00282E66" w:rsidRPr="00312283" w:rsidRDefault="00282E66" w:rsidP="00282E66">
      <w:pPr>
        <w:spacing w:before="120" w:after="120"/>
        <w:ind w:left="851"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282E66" w:rsidRPr="00312283" w:rsidRDefault="00282E66" w:rsidP="00282E66">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w:t>
      </w:r>
      <w:r w:rsidRPr="00312283">
        <w:rPr>
          <w:rFonts w:ascii="Palatino Linotype" w:eastAsia="Palatino Linotype" w:hAnsi="Palatino Linotype" w:cs="Palatino Linotype"/>
        </w:rPr>
        <w:lastRenderedPageBreak/>
        <w:t>estatuido en el artículo 49, fracción XIII</w:t>
      </w:r>
      <w:r w:rsidRPr="00312283">
        <w:rPr>
          <w:rFonts w:ascii="Palatino Linotype" w:eastAsia="Palatino Linotype" w:hAnsi="Palatino Linotype" w:cs="Palatino Linotype"/>
          <w:vertAlign w:val="superscript"/>
        </w:rPr>
        <w:footnoteReference w:id="1"/>
      </w:r>
      <w:r w:rsidRPr="00312283">
        <w:rPr>
          <w:rFonts w:ascii="Palatino Linotype" w:eastAsia="Palatino Linotype" w:hAnsi="Palatino Linotype" w:cs="Palatino Linotype"/>
        </w:rPr>
        <w:t xml:space="preserve"> de la Ley de Transparencia y Acceso a la Información Pública del Estado de México y Municipios.</w:t>
      </w:r>
    </w:p>
    <w:p w:rsidR="00E72426" w:rsidRPr="00312283" w:rsidRDefault="00502C1F">
      <w:pPr>
        <w:spacing w:before="240"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Es por todo lo anterior que esta autoridad estima que las razones o motivos de inconformidad hechos valer por </w:t>
      </w:r>
      <w:r w:rsidRPr="00312283">
        <w:rPr>
          <w:rFonts w:ascii="Palatino Linotype" w:eastAsia="Palatino Linotype" w:hAnsi="Palatino Linotype" w:cs="Palatino Linotype"/>
          <w:b/>
        </w:rPr>
        <w:t>la</w:t>
      </w:r>
      <w:r w:rsidRPr="00312283">
        <w:rPr>
          <w:rFonts w:ascii="Palatino Linotype" w:eastAsia="Palatino Linotype" w:hAnsi="Palatino Linotype" w:cs="Palatino Linotype"/>
        </w:rPr>
        <w:t xml:space="preserve"> parte </w:t>
      </w:r>
      <w:r w:rsidRPr="00312283">
        <w:rPr>
          <w:rFonts w:ascii="Palatino Linotype" w:eastAsia="Palatino Linotype" w:hAnsi="Palatino Linotype" w:cs="Palatino Linotype"/>
          <w:b/>
        </w:rPr>
        <w:t>Recurrente</w:t>
      </w:r>
      <w:r w:rsidRPr="00312283">
        <w:rPr>
          <w:rFonts w:ascii="Palatino Linotype" w:eastAsia="Palatino Linotype" w:hAnsi="Palatino Linotype" w:cs="Palatino Linotype"/>
        </w:rPr>
        <w:t xml:space="preserve"> se estiman fundados; por lo que, lo procedente es </w:t>
      </w:r>
      <w:r w:rsidRPr="00312283">
        <w:rPr>
          <w:rFonts w:ascii="Palatino Linotype" w:eastAsia="Palatino Linotype" w:hAnsi="Palatino Linotype" w:cs="Palatino Linotype"/>
          <w:b/>
        </w:rPr>
        <w:t>REVOCAR</w:t>
      </w:r>
      <w:r w:rsidRPr="00312283">
        <w:rPr>
          <w:rFonts w:ascii="Palatino Linotype" w:eastAsia="Palatino Linotype" w:hAnsi="Palatino Linotype" w:cs="Palatino Linotype"/>
        </w:rPr>
        <w:t xml:space="preserve"> la respuesta del </w:t>
      </w:r>
      <w:r w:rsidRPr="00312283">
        <w:rPr>
          <w:rFonts w:ascii="Palatino Linotype" w:eastAsia="Palatino Linotype" w:hAnsi="Palatino Linotype" w:cs="Palatino Linotype"/>
          <w:b/>
        </w:rPr>
        <w:t xml:space="preserve">Sujeto Obligado y ordenar la entrega </w:t>
      </w:r>
      <w:r w:rsidRPr="00312283">
        <w:rPr>
          <w:rFonts w:ascii="Palatino Linotype" w:eastAsia="Palatino Linotype" w:hAnsi="Palatino Linotype" w:cs="Palatino Linotype"/>
        </w:rPr>
        <w:t>de la documentación solicitada, ello conforme al considerando siguiente.</w:t>
      </w: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 xml:space="preserve">Quinto. Versión Pública. </w:t>
      </w:r>
      <w:r w:rsidRPr="00312283">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E72426" w:rsidRPr="00312283" w:rsidRDefault="00502C1F">
      <w:pPr>
        <w:spacing w:before="240" w:after="240" w:line="360" w:lineRule="auto"/>
        <w:ind w:right="50"/>
        <w:jc w:val="both"/>
        <w:rPr>
          <w:rFonts w:ascii="Palatino Linotype" w:eastAsia="Palatino Linotype" w:hAnsi="Palatino Linotype" w:cs="Palatino Linotype"/>
        </w:rPr>
      </w:pPr>
      <w:r w:rsidRPr="00312283">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r w:rsidRPr="00312283">
        <w:rPr>
          <w:rFonts w:ascii="Palatino Linotype" w:eastAsia="Palatino Linotype" w:hAnsi="Palatino Linotype" w:cs="Palatino Linotype"/>
          <w:b/>
          <w:i/>
          <w:sz w:val="22"/>
          <w:szCs w:val="22"/>
        </w:rPr>
        <w:t>Artículo 3</w:t>
      </w:r>
      <w:r w:rsidRPr="00312283">
        <w:rPr>
          <w:rFonts w:ascii="Palatino Linotype" w:eastAsia="Palatino Linotype" w:hAnsi="Palatino Linotype" w:cs="Palatino Linotype"/>
          <w:i/>
          <w:sz w:val="22"/>
          <w:szCs w:val="22"/>
        </w:rPr>
        <w:t>. Para los efectos de la presente Ley se entenderá por:</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IX. Datos personales:</w:t>
      </w:r>
      <w:r w:rsidRPr="00312283">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XX. Información clasificada</w:t>
      </w:r>
      <w:r w:rsidRPr="00312283">
        <w:rPr>
          <w:rFonts w:ascii="Palatino Linotype" w:eastAsia="Palatino Linotype" w:hAnsi="Palatino Linotype" w:cs="Palatino Linotype"/>
          <w:i/>
          <w:sz w:val="22"/>
          <w:szCs w:val="22"/>
        </w:rPr>
        <w:t>: Aquella considerada por la presente Ley como reservada o confidencial;</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XXI. Información confidencial:</w:t>
      </w:r>
      <w:r w:rsidRPr="0031228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XLV. Versión pública:</w:t>
      </w:r>
      <w:r w:rsidRPr="0031228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Artículo 91. </w:t>
      </w:r>
      <w:r w:rsidRPr="00312283">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Artículo 132. </w:t>
      </w:r>
      <w:r w:rsidRPr="00312283">
        <w:rPr>
          <w:rFonts w:ascii="Palatino Linotype" w:eastAsia="Palatino Linotype" w:hAnsi="Palatino Linotype" w:cs="Palatino Linotype"/>
          <w:i/>
          <w:sz w:val="22"/>
          <w:szCs w:val="22"/>
        </w:rPr>
        <w:t>La clasificación de la información se llevará a cabo en el momento en que:</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w:t>
      </w:r>
      <w:r w:rsidRPr="00312283">
        <w:rPr>
          <w:rFonts w:ascii="Palatino Linotype" w:eastAsia="Palatino Linotype" w:hAnsi="Palatino Linotype" w:cs="Palatino Linotype"/>
          <w:i/>
          <w:sz w:val="22"/>
          <w:szCs w:val="22"/>
        </w:rPr>
        <w:t>. Se reciba una solicitud de acceso a la información;</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w:t>
      </w:r>
      <w:r w:rsidRPr="00312283">
        <w:rPr>
          <w:rFonts w:ascii="Palatino Linotype" w:eastAsia="Palatino Linotype" w:hAnsi="Palatino Linotype" w:cs="Palatino Linotype"/>
          <w:i/>
          <w:sz w:val="22"/>
          <w:szCs w:val="22"/>
        </w:rPr>
        <w:t>. Se determine mediante resolución de autoridad competente; o</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III</w:t>
      </w:r>
      <w:r w:rsidRPr="00312283">
        <w:rPr>
          <w:rFonts w:ascii="Palatino Linotype" w:eastAsia="Palatino Linotype" w:hAnsi="Palatino Linotype" w:cs="Palatino Linotype"/>
          <w:i/>
          <w:sz w:val="22"/>
          <w:szCs w:val="22"/>
        </w:rPr>
        <w:t>. Se generen versiones públicas para dar cumplimiento a las obligaciones de transparencia previstas en esta Ley.</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Artículo 143</w:t>
      </w:r>
      <w:r w:rsidRPr="0031228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w:t>
      </w:r>
      <w:r w:rsidRPr="00312283">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w:t>
      </w:r>
      <w:r w:rsidRPr="00312283">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III</w:t>
      </w:r>
      <w:r w:rsidRPr="00312283">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rsidR="00E72426" w:rsidRPr="00312283" w:rsidRDefault="00502C1F">
      <w:pPr>
        <w:spacing w:before="120" w:after="120"/>
        <w:ind w:left="567" w:right="902"/>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72426" w:rsidRPr="00312283" w:rsidRDefault="00502C1F">
      <w:pPr>
        <w:spacing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siendo estas las siguientes:</w:t>
      </w:r>
    </w:p>
    <w:p w:rsidR="00E72426" w:rsidRPr="00312283" w:rsidRDefault="00E72426">
      <w:pPr>
        <w:spacing w:line="360" w:lineRule="auto"/>
        <w:jc w:val="both"/>
        <w:rPr>
          <w:rFonts w:ascii="Palatino Linotype" w:eastAsia="Palatino Linotype" w:hAnsi="Palatino Linotype" w:cs="Palatino Linotype"/>
        </w:rPr>
      </w:pPr>
    </w:p>
    <w:p w:rsidR="00E72426" w:rsidRPr="00312283" w:rsidRDefault="00502C1F">
      <w:pPr>
        <w:spacing w:line="276" w:lineRule="auto"/>
        <w:ind w:left="567"/>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“CAPÍTULO VIII </w:t>
      </w:r>
    </w:p>
    <w:p w:rsidR="00E72426" w:rsidRPr="00312283" w:rsidRDefault="00502C1F">
      <w:pPr>
        <w:spacing w:line="276" w:lineRule="auto"/>
        <w:ind w:left="567"/>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DE LOS ELEMENTOS PARA LA CLASIFICACIÓN </w:t>
      </w:r>
    </w:p>
    <w:p w:rsidR="00E72426" w:rsidRPr="00312283" w:rsidRDefault="00502C1F">
      <w:pP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Quincuagésimo.</w:t>
      </w:r>
      <w:r w:rsidRPr="00312283">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E72426" w:rsidRPr="00312283" w:rsidRDefault="00502C1F">
      <w:pP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lastRenderedPageBreak/>
        <w:t>Quincuagésimo primero.</w:t>
      </w:r>
      <w:r w:rsidRPr="00312283">
        <w:rPr>
          <w:rFonts w:ascii="Palatino Linotype" w:eastAsia="Palatino Linotype" w:hAnsi="Palatino Linotype" w:cs="Palatino Linotype"/>
          <w:i/>
          <w:sz w:val="22"/>
          <w:szCs w:val="22"/>
        </w:rPr>
        <w:t xml:space="preserve"> Toda acta del Comité de Transparencia deberá contener: </w:t>
      </w:r>
    </w:p>
    <w:p w:rsidR="00E72426" w:rsidRPr="00312283" w:rsidRDefault="00502C1F">
      <w:pPr>
        <w:numPr>
          <w:ilvl w:val="1"/>
          <w:numId w:val="7"/>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El número de sesión y fecha; </w:t>
      </w:r>
    </w:p>
    <w:p w:rsidR="00E72426" w:rsidRPr="00312283" w:rsidRDefault="00502C1F">
      <w:pPr>
        <w:numPr>
          <w:ilvl w:val="1"/>
          <w:numId w:val="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El nombre del área que solicitó la clasificación de información; </w:t>
      </w:r>
    </w:p>
    <w:p w:rsidR="00E72426" w:rsidRPr="00312283" w:rsidRDefault="00502C1F">
      <w:pPr>
        <w:numPr>
          <w:ilvl w:val="1"/>
          <w:numId w:val="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La fundamentación legal y motivación correspondiente; </w:t>
      </w:r>
    </w:p>
    <w:p w:rsidR="00E72426" w:rsidRPr="00312283" w:rsidRDefault="00502C1F">
      <w:pPr>
        <w:numPr>
          <w:ilvl w:val="1"/>
          <w:numId w:val="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La resolución o resoluciones aprobadas; y </w:t>
      </w:r>
    </w:p>
    <w:p w:rsidR="00E72426" w:rsidRPr="00312283" w:rsidRDefault="00502C1F">
      <w:pPr>
        <w:numPr>
          <w:ilvl w:val="1"/>
          <w:numId w:val="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La rúbrica o firma digital de cada integrante del Comité de Transparencia. </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I. Los motivos y razonamientos que sustenten la confirmación o modificación de la prueba de daño;</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II. Descripción de las partes o secciones reservadas, en caso de clasificación parcial; </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III. El periodo por el que mantendrá su clasificación y fecha de expiración; y </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IV. El nombre del titular y área encargada de realizar la versión pública del documento, en su caso. </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Quincuagésimo segundo. </w:t>
      </w:r>
      <w:r w:rsidRPr="00312283">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I. Fijar la fecha en que se elaboró la versión pública y la fecha en la cual el Comité de</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Transparencia confirmó dicha versión;</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III. Señalar las personas o instancias autorizadas a acceder a la información clasificada.</w:t>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312283">
        <w:rPr>
          <w:noProof/>
          <w:lang w:val="es-MX"/>
        </w:rPr>
        <w:drawing>
          <wp:anchor distT="0" distB="0" distL="114300" distR="114300" simplePos="0" relativeHeight="251660288" behindDoc="0" locked="0" layoutInCell="1" hidden="0" allowOverlap="1">
            <wp:simplePos x="0" y="0"/>
            <wp:positionH relativeFrom="column">
              <wp:posOffset>377190</wp:posOffset>
            </wp:positionH>
            <wp:positionV relativeFrom="paragraph">
              <wp:posOffset>798830</wp:posOffset>
            </wp:positionV>
            <wp:extent cx="4568190" cy="330200"/>
            <wp:effectExtent l="0" t="0" r="0" b="0"/>
            <wp:wrapTopAndBottom distT="0" dist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568190" cy="330200"/>
                    </a:xfrm>
                    <a:prstGeom prst="rect">
                      <a:avLst/>
                    </a:prstGeom>
                    <a:ln/>
                  </pic:spPr>
                </pic:pic>
              </a:graphicData>
            </a:graphic>
          </wp:anchor>
        </w:drawing>
      </w: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312283">
        <w:rPr>
          <w:rFonts w:ascii="Palatino Linotype" w:eastAsia="Palatino Linotype" w:hAnsi="Palatino Linotype" w:cs="Palatino Linotype"/>
          <w:b/>
          <w:i/>
          <w:noProof/>
          <w:sz w:val="22"/>
          <w:szCs w:val="22"/>
          <w:lang w:val="es-MX"/>
        </w:rPr>
        <w:drawing>
          <wp:inline distT="0" distB="0" distL="0" distR="0">
            <wp:extent cx="4576404" cy="5139653"/>
            <wp:effectExtent l="0" t="0" r="0" b="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576404" cy="5139653"/>
                    </a:xfrm>
                    <a:prstGeom prst="rect">
                      <a:avLst/>
                    </a:prstGeom>
                    <a:ln/>
                  </pic:spPr>
                </pic:pic>
              </a:graphicData>
            </a:graphic>
          </wp:inline>
        </w:drawing>
      </w:r>
    </w:p>
    <w:p w:rsidR="00E72426" w:rsidRPr="00312283" w:rsidRDefault="00E7242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Quincuagésimo cuarto. </w:t>
      </w:r>
      <w:r w:rsidRPr="00312283">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312283">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rsidR="00E72426" w:rsidRPr="00312283" w:rsidRDefault="00E7242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rsidR="00E72426" w:rsidRPr="00312283" w:rsidRDefault="00502C1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b/>
          <w:i/>
          <w:sz w:val="22"/>
          <w:szCs w:val="22"/>
        </w:rPr>
        <w:t xml:space="preserve">Quincuagésimo quinto. </w:t>
      </w:r>
      <w:r w:rsidRPr="00312283">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72426" w:rsidRPr="00312283" w:rsidRDefault="00502C1F">
      <w:pPr>
        <w:spacing w:before="240" w:after="240" w:line="360" w:lineRule="auto"/>
        <w:ind w:right="49"/>
        <w:jc w:val="both"/>
        <w:rPr>
          <w:rFonts w:ascii="Palatino Linotype" w:eastAsia="Palatino Linotype" w:hAnsi="Palatino Linotype" w:cs="Palatino Linotype"/>
        </w:rPr>
      </w:pPr>
      <w:r w:rsidRPr="00312283">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312283" w:rsidRPr="00312283" w:rsidRDefault="00312283">
      <w:pPr>
        <w:spacing w:before="240" w:after="240" w:line="360" w:lineRule="auto"/>
        <w:ind w:right="49"/>
        <w:jc w:val="both"/>
        <w:rPr>
          <w:rFonts w:ascii="Palatino Linotype" w:eastAsia="Palatino Linotype" w:hAnsi="Palatino Linotype" w:cs="Palatino Linotype"/>
        </w:rPr>
      </w:pPr>
    </w:p>
    <w:p w:rsidR="00E72426" w:rsidRPr="00312283" w:rsidRDefault="00502C1F">
      <w:pPr>
        <w:numPr>
          <w:ilvl w:val="0"/>
          <w:numId w:val="9"/>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312283">
        <w:rPr>
          <w:rFonts w:ascii="Palatino Linotype" w:eastAsia="Palatino Linotype" w:hAnsi="Palatino Linotype" w:cs="Palatino Linotype"/>
          <w:b/>
        </w:rPr>
        <w:lastRenderedPageBreak/>
        <w:t>R E S U E L V E:</w:t>
      </w:r>
    </w:p>
    <w:p w:rsidR="00E72426" w:rsidRPr="00312283" w:rsidRDefault="00502C1F">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312283">
        <w:rPr>
          <w:rFonts w:ascii="Palatino Linotype" w:eastAsia="Palatino Linotype" w:hAnsi="Palatino Linotype" w:cs="Palatino Linotype"/>
          <w:b/>
        </w:rPr>
        <w:t xml:space="preserve">Primero. </w:t>
      </w:r>
      <w:r w:rsidRPr="00312283">
        <w:rPr>
          <w:rFonts w:ascii="Palatino Linotype" w:eastAsia="Palatino Linotype" w:hAnsi="Palatino Linotype" w:cs="Palatino Linotype"/>
        </w:rPr>
        <w:t xml:space="preserve">Resultan </w:t>
      </w:r>
      <w:r w:rsidRPr="00312283">
        <w:rPr>
          <w:rFonts w:ascii="Palatino Linotype" w:eastAsia="Palatino Linotype" w:hAnsi="Palatino Linotype" w:cs="Palatino Linotype"/>
          <w:b/>
        </w:rPr>
        <w:t>fundadas</w:t>
      </w:r>
      <w:r w:rsidRPr="00312283">
        <w:rPr>
          <w:rFonts w:ascii="Palatino Linotype" w:eastAsia="Palatino Linotype" w:hAnsi="Palatino Linotype" w:cs="Palatino Linotype"/>
        </w:rPr>
        <w:t xml:space="preserve"> las razones o motivos de inconformidad hechos valer por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en el recurso de revisión </w:t>
      </w:r>
      <w:r w:rsidRPr="00312283">
        <w:rPr>
          <w:rFonts w:ascii="Palatino Linotype" w:eastAsia="Palatino Linotype" w:hAnsi="Palatino Linotype" w:cs="Palatino Linotype"/>
          <w:b/>
        </w:rPr>
        <w:t>01134/INFOEM/IP/RR/2023</w:t>
      </w:r>
      <w:r w:rsidRPr="00312283">
        <w:rPr>
          <w:rFonts w:ascii="Palatino Linotype" w:eastAsia="Palatino Linotype" w:hAnsi="Palatino Linotype" w:cs="Palatino Linotype"/>
        </w:rPr>
        <w:t xml:space="preserve">; por lo que, en términos del </w:t>
      </w:r>
      <w:r w:rsidRPr="00312283">
        <w:rPr>
          <w:rFonts w:ascii="Palatino Linotype" w:eastAsia="Palatino Linotype" w:hAnsi="Palatino Linotype" w:cs="Palatino Linotype"/>
          <w:b/>
        </w:rPr>
        <w:t>Considerando</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 xml:space="preserve">Cuarto </w:t>
      </w:r>
      <w:r w:rsidRPr="00312283">
        <w:rPr>
          <w:rFonts w:ascii="Palatino Linotype" w:eastAsia="Palatino Linotype" w:hAnsi="Palatino Linotype" w:cs="Palatino Linotype"/>
        </w:rPr>
        <w:t xml:space="preserve">de esta resolución, se </w:t>
      </w:r>
      <w:r w:rsidRPr="00312283">
        <w:rPr>
          <w:rFonts w:ascii="Palatino Linotype" w:eastAsia="Palatino Linotype" w:hAnsi="Palatino Linotype" w:cs="Palatino Linotype"/>
          <w:b/>
        </w:rPr>
        <w:t xml:space="preserve">REVOCA </w:t>
      </w:r>
      <w:r w:rsidRPr="00312283">
        <w:rPr>
          <w:rFonts w:ascii="Palatino Linotype" w:eastAsia="Palatino Linotype" w:hAnsi="Palatino Linotype" w:cs="Palatino Linotype"/>
        </w:rPr>
        <w:t xml:space="preserve">la respuesta emitida por el </w:t>
      </w:r>
      <w:r w:rsidRPr="00312283">
        <w:rPr>
          <w:rFonts w:ascii="Palatino Linotype" w:eastAsia="Palatino Linotype" w:hAnsi="Palatino Linotype" w:cs="Palatino Linotype"/>
          <w:b/>
        </w:rPr>
        <w:t>Sujeto Obligado.</w:t>
      </w:r>
    </w:p>
    <w:p w:rsidR="00E72426" w:rsidRPr="00312283" w:rsidRDefault="00502C1F">
      <w:pPr>
        <w:spacing w:before="240" w:after="240" w:line="360" w:lineRule="auto"/>
        <w:ind w:right="49"/>
        <w:jc w:val="both"/>
        <w:rPr>
          <w:rFonts w:ascii="Palatino Linotype" w:eastAsia="Palatino Linotype" w:hAnsi="Palatino Linotype" w:cs="Palatino Linotype"/>
          <w:b/>
        </w:rPr>
      </w:pPr>
      <w:r w:rsidRPr="00312283">
        <w:rPr>
          <w:rFonts w:ascii="Palatino Linotype" w:eastAsia="Palatino Linotype" w:hAnsi="Palatino Linotype" w:cs="Palatino Linotype"/>
          <w:b/>
        </w:rPr>
        <w:t xml:space="preserve">Segundo. </w:t>
      </w:r>
      <w:r w:rsidRPr="00312283">
        <w:rPr>
          <w:rFonts w:ascii="Palatino Linotype" w:eastAsia="Palatino Linotype" w:hAnsi="Palatino Linotype" w:cs="Palatino Linotype"/>
        </w:rPr>
        <w:t xml:space="preserve">Se </w:t>
      </w:r>
      <w:r w:rsidRPr="00312283">
        <w:rPr>
          <w:rFonts w:ascii="Palatino Linotype" w:eastAsia="Palatino Linotype" w:hAnsi="Palatino Linotype" w:cs="Palatino Linotype"/>
          <w:b/>
        </w:rPr>
        <w:t xml:space="preserve">Ordena </w:t>
      </w:r>
      <w:r w:rsidRPr="00312283">
        <w:rPr>
          <w:rFonts w:ascii="Palatino Linotype" w:eastAsia="Palatino Linotype" w:hAnsi="Palatino Linotype" w:cs="Palatino Linotype"/>
        </w:rPr>
        <w:t xml:space="preserve">al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entregue, a</w:t>
      </w:r>
      <w:r w:rsidRPr="00312283">
        <w:rPr>
          <w:rFonts w:ascii="Palatino Linotype" w:eastAsia="Palatino Linotype" w:hAnsi="Palatino Linotype" w:cs="Palatino Linotype"/>
          <w:b/>
        </w:rPr>
        <w:t xml:space="preserve"> la parte</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Recurrente</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 xml:space="preserve">vía SAIMEX, </w:t>
      </w:r>
      <w:r w:rsidRPr="00312283">
        <w:rPr>
          <w:rFonts w:ascii="Palatino Linotype" w:eastAsia="Palatino Linotype" w:hAnsi="Palatino Linotype" w:cs="Palatino Linotype"/>
        </w:rPr>
        <w:t>en términos de los</w:t>
      </w:r>
      <w:r w:rsidRPr="00312283">
        <w:rPr>
          <w:rFonts w:ascii="Palatino Linotype" w:eastAsia="Palatino Linotype" w:hAnsi="Palatino Linotype" w:cs="Palatino Linotype"/>
          <w:b/>
        </w:rPr>
        <w:t xml:space="preserve"> Considerandos</w:t>
      </w:r>
      <w:r w:rsidRPr="00312283">
        <w:rPr>
          <w:rFonts w:ascii="Palatino Linotype" w:eastAsia="Palatino Linotype" w:hAnsi="Palatino Linotype" w:cs="Palatino Linotype"/>
        </w:rPr>
        <w:t xml:space="preserve"> </w:t>
      </w:r>
      <w:r w:rsidRPr="00312283">
        <w:rPr>
          <w:rFonts w:ascii="Palatino Linotype" w:eastAsia="Palatino Linotype" w:hAnsi="Palatino Linotype" w:cs="Palatino Linotype"/>
          <w:b/>
        </w:rPr>
        <w:t>Cuarto y Quinto, en versión pública de ser procedente, de lo siguiente:</w:t>
      </w:r>
    </w:p>
    <w:p w:rsidR="00E72426" w:rsidRPr="00312283" w:rsidRDefault="00502C1F">
      <w:pPr>
        <w:spacing w:before="240" w:after="240" w:line="360" w:lineRule="auto"/>
        <w:ind w:left="567" w:right="900"/>
        <w:jc w:val="both"/>
        <w:rPr>
          <w:rFonts w:ascii="Palatino Linotype" w:eastAsia="Palatino Linotype" w:hAnsi="Palatino Linotype" w:cs="Palatino Linotype"/>
          <w:b/>
        </w:rPr>
      </w:pPr>
      <w:r w:rsidRPr="00312283">
        <w:rPr>
          <w:rFonts w:ascii="Palatino Linotype" w:eastAsia="Palatino Linotype" w:hAnsi="Palatino Linotype" w:cs="Palatino Linotype"/>
          <w:b/>
        </w:rPr>
        <w:t>De los servidores públicos que se ostentaron como Tesoreros Municipales del 1 de enero del 2015 al 3 de febrero de 2023:</w:t>
      </w:r>
    </w:p>
    <w:p w:rsidR="00315223" w:rsidRPr="00312283" w:rsidRDefault="00502C1F" w:rsidP="00315223">
      <w:pPr>
        <w:numPr>
          <w:ilvl w:val="0"/>
          <w:numId w:val="5"/>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i/>
        </w:rPr>
      </w:pPr>
      <w:r w:rsidRPr="00312283">
        <w:rPr>
          <w:rFonts w:ascii="Palatino Linotype" w:eastAsia="Palatino Linotype" w:hAnsi="Palatino Linotype" w:cs="Palatino Linotype"/>
        </w:rPr>
        <w:t xml:space="preserve">Acuerdo emitido por el Comité de Transparencia, a través del cual se clasifique como confidencial el pronunciamiento en sentido afirmativo o negativo en términos de los artículos 49, fracción II, 132, fracción II, 143, fracción I y 149 de la Ley de Transparencia y Acceso a la Información Pública del Estado de México y Municipios; respecto de los procedimientos administrativos relacionados con los Tesoreros Municipales, </w:t>
      </w:r>
      <w:r w:rsidRPr="00312283">
        <w:rPr>
          <w:rFonts w:ascii="Palatino Linotype" w:eastAsia="Palatino Linotype" w:hAnsi="Palatino Linotype" w:cs="Palatino Linotype"/>
          <w:b/>
          <w:u w:val="single"/>
        </w:rPr>
        <w:t>que se encuentren en trámite, así como de los procedimientos concluidos por faltas administrativas graves absolutorias y por faltas administrativas no graves condenatorias o absolutorias</w:t>
      </w:r>
      <w:r w:rsidRPr="00312283">
        <w:rPr>
          <w:rFonts w:ascii="Palatino Linotype" w:eastAsia="Palatino Linotype" w:hAnsi="Palatino Linotype" w:cs="Palatino Linotype"/>
        </w:rPr>
        <w:t>, instaurados, de ser el caso, en su contra, del primero de enero del año dos mil quince al tres de febrero del dos mil veintitrés.</w:t>
      </w:r>
    </w:p>
    <w:p w:rsidR="00315223" w:rsidRPr="00312283" w:rsidRDefault="00315223" w:rsidP="00315223">
      <w:pPr>
        <w:pBdr>
          <w:top w:val="nil"/>
          <w:left w:val="nil"/>
          <w:bottom w:val="nil"/>
          <w:right w:val="nil"/>
          <w:between w:val="nil"/>
        </w:pBdr>
        <w:spacing w:line="360" w:lineRule="auto"/>
        <w:ind w:left="567" w:right="900"/>
        <w:jc w:val="both"/>
        <w:rPr>
          <w:rFonts w:ascii="Palatino Linotype" w:eastAsia="Palatino Linotype" w:hAnsi="Palatino Linotype" w:cs="Palatino Linotype"/>
          <w:i/>
        </w:rPr>
      </w:pPr>
    </w:p>
    <w:p w:rsidR="00315223" w:rsidRPr="00312283" w:rsidRDefault="00315223" w:rsidP="00315223">
      <w:pPr>
        <w:pBdr>
          <w:top w:val="nil"/>
          <w:left w:val="nil"/>
          <w:bottom w:val="nil"/>
          <w:right w:val="nil"/>
          <w:between w:val="nil"/>
        </w:pBdr>
        <w:spacing w:line="360" w:lineRule="auto"/>
        <w:ind w:left="567" w:right="900"/>
        <w:jc w:val="both"/>
        <w:rPr>
          <w:rFonts w:ascii="Palatino Linotype" w:eastAsia="Palatino Linotype" w:hAnsi="Palatino Linotype" w:cs="Palatino Linotype"/>
          <w:i/>
        </w:rPr>
      </w:pPr>
      <w:r w:rsidRPr="00312283">
        <w:rPr>
          <w:rFonts w:ascii="Palatino Linotype" w:eastAsia="Palatino Linotype" w:hAnsi="Palatino Linotype" w:cs="Palatino Linotype"/>
        </w:rPr>
        <w:lastRenderedPageBreak/>
        <w:t xml:space="preserve">2. Versión pública del documento que dé cuenta de cuenta de </w:t>
      </w:r>
      <w:r w:rsidRPr="00312283">
        <w:rPr>
          <w:rFonts w:ascii="Palatino Linotype" w:eastAsia="Palatino Linotype" w:hAnsi="Palatino Linotype" w:cs="Palatino Linotype"/>
          <w:b/>
          <w:u w:val="single"/>
        </w:rPr>
        <w:t>los procedimientos administrativos en trámite relacionados con actos de corrupción</w:t>
      </w:r>
      <w:r w:rsidRPr="00312283">
        <w:rPr>
          <w:rFonts w:ascii="Palatino Linotype" w:eastAsia="Palatino Linotype" w:hAnsi="Palatino Linotype" w:cs="Palatino Linotype"/>
        </w:rPr>
        <w:t xml:space="preserve">, de conformidad con el artículo 142 de la Ley de la materia; instaurados, de ser el caso, en su contra, del </w:t>
      </w:r>
      <w:r w:rsidR="00D70375" w:rsidRPr="00312283">
        <w:rPr>
          <w:rFonts w:ascii="Palatino Linotype" w:eastAsia="Palatino Linotype" w:hAnsi="Palatino Linotype" w:cs="Palatino Linotype"/>
        </w:rPr>
        <w:t>primero de enero del año dos mil quince al tres de febrero del dos mil veintitrés</w:t>
      </w:r>
      <w:r w:rsidRPr="00312283">
        <w:rPr>
          <w:rFonts w:ascii="Palatino Linotype" w:eastAsia="Palatino Linotype" w:hAnsi="Palatino Linotype" w:cs="Palatino Linotype"/>
        </w:rPr>
        <w:t xml:space="preserve">. </w:t>
      </w:r>
    </w:p>
    <w:p w:rsidR="00315223" w:rsidRPr="00312283" w:rsidRDefault="00315223" w:rsidP="00315223">
      <w:pPr>
        <w:pBdr>
          <w:top w:val="nil"/>
          <w:left w:val="nil"/>
          <w:bottom w:val="nil"/>
          <w:right w:val="nil"/>
          <w:between w:val="nil"/>
        </w:pBdr>
        <w:spacing w:line="360" w:lineRule="auto"/>
        <w:ind w:left="567" w:right="900"/>
        <w:jc w:val="both"/>
        <w:rPr>
          <w:rFonts w:ascii="Palatino Linotype" w:eastAsia="Palatino Linotype" w:hAnsi="Palatino Linotype" w:cs="Palatino Linotype"/>
          <w:i/>
        </w:rPr>
      </w:pPr>
    </w:p>
    <w:p w:rsidR="00315223" w:rsidRPr="00312283" w:rsidRDefault="00315223" w:rsidP="00D70375">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r w:rsidRPr="00312283">
        <w:rPr>
          <w:rFonts w:ascii="Palatino Linotype" w:eastAsia="Palatino Linotype" w:hAnsi="Palatino Linotype" w:cs="Palatino Linotype"/>
        </w:rPr>
        <w:t xml:space="preserve">3. Versión pública del documento que dé cuenta de los procedimientos concluidos, por faltas administrativas graves condenatorias, instaurados, de ser el caso, en su contra, del </w:t>
      </w:r>
      <w:r w:rsidR="00D70375" w:rsidRPr="00312283">
        <w:rPr>
          <w:rFonts w:ascii="Palatino Linotype" w:eastAsia="Palatino Linotype" w:hAnsi="Palatino Linotype" w:cs="Palatino Linotype"/>
        </w:rPr>
        <w:t>primero de enero del año dos mil quince al tres de febrero del dos mil veintitrés</w:t>
      </w:r>
      <w:r w:rsidRPr="00312283">
        <w:rPr>
          <w:rFonts w:ascii="Palatino Linotype" w:eastAsia="Palatino Linotype" w:hAnsi="Palatino Linotype" w:cs="Palatino Linotype"/>
        </w:rPr>
        <w:t xml:space="preserve">. </w:t>
      </w:r>
    </w:p>
    <w:p w:rsidR="00E72426" w:rsidRPr="00312283" w:rsidRDefault="00502C1F">
      <w:pPr>
        <w:pBdr>
          <w:top w:val="nil"/>
          <w:left w:val="nil"/>
          <w:bottom w:val="nil"/>
          <w:right w:val="nil"/>
          <w:between w:val="nil"/>
        </w:pBdr>
        <w:tabs>
          <w:tab w:val="left" w:pos="3962"/>
        </w:tabs>
        <w:spacing w:line="276" w:lineRule="auto"/>
        <w:ind w:left="567" w:right="900"/>
        <w:jc w:val="both"/>
        <w:rPr>
          <w:rFonts w:ascii="Palatino Linotype" w:eastAsia="Palatino Linotype" w:hAnsi="Palatino Linotype" w:cs="Palatino Linotype"/>
          <w:i/>
          <w:sz w:val="22"/>
          <w:szCs w:val="22"/>
        </w:rPr>
      </w:pPr>
      <w:r w:rsidRPr="00312283">
        <w:rPr>
          <w:rFonts w:ascii="Palatino Linotype" w:eastAsia="Palatino Linotype" w:hAnsi="Palatino Linotype" w:cs="Palatino Linotype"/>
          <w:i/>
          <w:sz w:val="22"/>
          <w:szCs w:val="22"/>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Pr="00312283">
        <w:rPr>
          <w:rFonts w:ascii="Palatino Linotype" w:eastAsia="Palatino Linotype" w:hAnsi="Palatino Linotype" w:cs="Palatino Linotype"/>
          <w:b/>
          <w:i/>
          <w:sz w:val="22"/>
          <w:szCs w:val="22"/>
        </w:rPr>
        <w:t>la parte Recurrente</w:t>
      </w:r>
      <w:r w:rsidRPr="00312283">
        <w:rPr>
          <w:rFonts w:ascii="Palatino Linotype" w:eastAsia="Palatino Linotype" w:hAnsi="Palatino Linotype" w:cs="Palatino Linotype"/>
          <w:i/>
          <w:sz w:val="22"/>
          <w:szCs w:val="22"/>
        </w:rPr>
        <w:t>.</w:t>
      </w:r>
    </w:p>
    <w:p w:rsidR="00E72426" w:rsidRPr="00312283" w:rsidRDefault="00E72426">
      <w:pPr>
        <w:pBdr>
          <w:top w:val="nil"/>
          <w:left w:val="nil"/>
          <w:bottom w:val="nil"/>
          <w:right w:val="nil"/>
          <w:between w:val="nil"/>
        </w:pBdr>
        <w:ind w:left="1287" w:hanging="360"/>
      </w:pPr>
    </w:p>
    <w:p w:rsidR="00360335" w:rsidRPr="00312283" w:rsidRDefault="00360335" w:rsidP="00315223">
      <w:pPr>
        <w:spacing w:before="120" w:after="120" w:line="276" w:lineRule="auto"/>
        <w:ind w:left="567" w:right="900"/>
        <w:jc w:val="both"/>
        <w:rPr>
          <w:rFonts w:ascii="Palatino Linotype" w:eastAsia="Palatino Linotype" w:hAnsi="Palatino Linotype" w:cs="Palatino Linotype"/>
          <w:sz w:val="22"/>
          <w:szCs w:val="20"/>
        </w:rPr>
      </w:pPr>
      <w:bookmarkStart w:id="7" w:name="_heading=h.1fob9te" w:colFirst="0" w:colLast="0"/>
      <w:bookmarkEnd w:id="7"/>
      <w:r w:rsidRPr="00312283">
        <w:rPr>
          <w:rFonts w:ascii="Palatino Linotype" w:eastAsia="Palatino Linotype" w:hAnsi="Palatino Linotype" w:cs="Palatino Linotype"/>
          <w:i/>
          <w:sz w:val="22"/>
          <w:szCs w:val="20"/>
        </w:rPr>
        <w:t xml:space="preserve">En el supuesto que la información ordenada en los puntos 2 y 3, no obre en los archivos del </w:t>
      </w:r>
      <w:r w:rsidRPr="00312283">
        <w:rPr>
          <w:rFonts w:ascii="Palatino Linotype" w:eastAsia="Palatino Linotype" w:hAnsi="Palatino Linotype" w:cs="Palatino Linotype"/>
          <w:b/>
          <w:i/>
          <w:sz w:val="22"/>
          <w:szCs w:val="20"/>
        </w:rPr>
        <w:t xml:space="preserve">Sujeto Obligado, </w:t>
      </w:r>
      <w:r w:rsidRPr="00312283">
        <w:rPr>
          <w:rFonts w:ascii="Palatino Linotype" w:eastAsia="Palatino Linotype" w:hAnsi="Palatino Linotype" w:cs="Palatino Linotype"/>
          <w:i/>
          <w:sz w:val="22"/>
          <w:szCs w:val="20"/>
        </w:rPr>
        <w:t xml:space="preserve">por no haberse generado, bastará con que así se haga del conocimiento de </w:t>
      </w:r>
      <w:r w:rsidRPr="00312283">
        <w:rPr>
          <w:rFonts w:ascii="Palatino Linotype" w:eastAsia="Palatino Linotype" w:hAnsi="Palatino Linotype" w:cs="Palatino Linotype"/>
          <w:b/>
          <w:i/>
          <w:sz w:val="22"/>
          <w:szCs w:val="20"/>
        </w:rPr>
        <w:t>la parte</w:t>
      </w:r>
      <w:r w:rsidRPr="00312283">
        <w:rPr>
          <w:rFonts w:ascii="Palatino Linotype" w:eastAsia="Palatino Linotype" w:hAnsi="Palatino Linotype" w:cs="Palatino Linotype"/>
          <w:i/>
          <w:sz w:val="22"/>
          <w:szCs w:val="20"/>
        </w:rPr>
        <w:t xml:space="preserve"> </w:t>
      </w:r>
      <w:r w:rsidRPr="00312283">
        <w:rPr>
          <w:rFonts w:ascii="Palatino Linotype" w:eastAsia="Palatino Linotype" w:hAnsi="Palatino Linotype" w:cs="Palatino Linotype"/>
          <w:b/>
          <w:i/>
          <w:sz w:val="22"/>
          <w:szCs w:val="20"/>
        </w:rPr>
        <w:t>Recurrente</w:t>
      </w:r>
      <w:r w:rsidRPr="00312283">
        <w:rPr>
          <w:rFonts w:ascii="Palatino Linotype" w:eastAsia="Palatino Linotype" w:hAnsi="Palatino Linotype" w:cs="Palatino Linotype"/>
          <w:i/>
          <w:sz w:val="22"/>
          <w:szCs w:val="20"/>
        </w:rPr>
        <w:t>, en términos del artículo 19, párrafo segundo de la Ley de Transparencia y Acceso a la Información Pública del Estado de México y Municipios.</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Tercero</w:t>
      </w:r>
      <w:r w:rsidRPr="00312283">
        <w:rPr>
          <w:rFonts w:ascii="Palatino Linotype" w:eastAsia="Palatino Linotype" w:hAnsi="Palatino Linotype" w:cs="Palatino Linotype"/>
          <w:b/>
          <w:sz w:val="28"/>
          <w:szCs w:val="28"/>
        </w:rPr>
        <w:t xml:space="preserve">.  </w:t>
      </w:r>
      <w:r w:rsidRPr="00312283">
        <w:rPr>
          <w:rFonts w:ascii="Palatino Linotype" w:eastAsia="Palatino Linotype" w:hAnsi="Palatino Linotype" w:cs="Palatino Linotype"/>
          <w:b/>
        </w:rPr>
        <w:t>Notifíquese vía SAIMEX,</w:t>
      </w:r>
      <w:r w:rsidRPr="00312283">
        <w:rPr>
          <w:rFonts w:ascii="Palatino Linotype" w:eastAsia="Palatino Linotype" w:hAnsi="Palatino Linotype" w:cs="Palatino Linotype"/>
          <w:b/>
          <w:sz w:val="28"/>
          <w:szCs w:val="28"/>
        </w:rPr>
        <w:t xml:space="preserve"> </w:t>
      </w:r>
      <w:r w:rsidRPr="00312283">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Pr="00312283">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b/>
        </w:rPr>
        <w:t>Cuarto</w:t>
      </w:r>
      <w:r w:rsidRPr="00312283">
        <w:rPr>
          <w:rFonts w:ascii="Palatino Linotype" w:eastAsia="Palatino Linotype" w:hAnsi="Palatino Linotype" w:cs="Palatino Linotype"/>
          <w:b/>
          <w:sz w:val="28"/>
          <w:szCs w:val="28"/>
        </w:rPr>
        <w:t xml:space="preserve">. </w:t>
      </w:r>
      <w:r w:rsidRPr="0031228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12283">
        <w:rPr>
          <w:rFonts w:ascii="Palatino Linotype" w:eastAsia="Palatino Linotype" w:hAnsi="Palatino Linotype" w:cs="Palatino Linotype"/>
          <w:b/>
        </w:rPr>
        <w:t>Sujeto Obligado</w:t>
      </w:r>
      <w:r w:rsidRPr="00312283">
        <w:rPr>
          <w:rFonts w:ascii="Palatino Linotype" w:eastAsia="Palatino Linotype" w:hAnsi="Palatino Linotype" w:cs="Palatino Linotype"/>
        </w:rPr>
        <w:t xml:space="preserve"> de manera fundada y motivada, podrá solicitar una ampliación de plazo para el cumplimiento de la presente resolución.</w:t>
      </w:r>
    </w:p>
    <w:p w:rsidR="00E72426" w:rsidRPr="00312283" w:rsidRDefault="00502C1F">
      <w:pPr>
        <w:tabs>
          <w:tab w:val="left" w:pos="142"/>
        </w:tabs>
        <w:spacing w:line="360" w:lineRule="auto"/>
        <w:jc w:val="both"/>
        <w:rPr>
          <w:rFonts w:ascii="Palatino Linotype" w:eastAsia="Palatino Linotype" w:hAnsi="Palatino Linotype" w:cs="Palatino Linotype"/>
          <w:b/>
        </w:rPr>
      </w:pPr>
      <w:r w:rsidRPr="00312283">
        <w:rPr>
          <w:rFonts w:ascii="Palatino Linotype" w:eastAsia="Palatino Linotype" w:hAnsi="Palatino Linotype" w:cs="Palatino Linotype"/>
          <w:b/>
        </w:rPr>
        <w:t>Quinto</w:t>
      </w:r>
      <w:r w:rsidRPr="00312283">
        <w:rPr>
          <w:rFonts w:ascii="Palatino Linotype" w:eastAsia="Palatino Linotype" w:hAnsi="Palatino Linotype" w:cs="Palatino Linotype"/>
          <w:b/>
          <w:sz w:val="28"/>
          <w:szCs w:val="28"/>
        </w:rPr>
        <w:t xml:space="preserve">. </w:t>
      </w:r>
      <w:r w:rsidRPr="00312283">
        <w:rPr>
          <w:rFonts w:ascii="Palatino Linotype" w:eastAsia="Palatino Linotype" w:hAnsi="Palatino Linotype" w:cs="Palatino Linotype"/>
          <w:b/>
        </w:rPr>
        <w:t xml:space="preserve">Notifíquese, </w:t>
      </w:r>
      <w:r w:rsidRPr="00312283">
        <w:rPr>
          <w:rFonts w:ascii="Palatino Linotype" w:eastAsia="Palatino Linotype" w:hAnsi="Palatino Linotype" w:cs="Palatino Linotype"/>
        </w:rPr>
        <w:t xml:space="preserve">vía </w:t>
      </w:r>
      <w:r w:rsidRPr="00312283">
        <w:rPr>
          <w:rFonts w:ascii="Palatino Linotype" w:eastAsia="Palatino Linotype" w:hAnsi="Palatino Linotype" w:cs="Palatino Linotype"/>
          <w:b/>
        </w:rPr>
        <w:t>SAIMEX</w:t>
      </w:r>
      <w:r w:rsidRPr="00312283">
        <w:rPr>
          <w:rFonts w:ascii="Palatino Linotype" w:eastAsia="Palatino Linotype" w:hAnsi="Palatino Linotype" w:cs="Palatino Linotype"/>
        </w:rPr>
        <w:t xml:space="preserve">, a </w:t>
      </w:r>
      <w:r w:rsidRPr="00312283">
        <w:rPr>
          <w:rFonts w:ascii="Palatino Linotype" w:eastAsia="Palatino Linotype" w:hAnsi="Palatino Linotype" w:cs="Palatino Linotype"/>
          <w:b/>
        </w:rPr>
        <w:t>la parte Recurrente</w:t>
      </w:r>
      <w:r w:rsidRPr="00312283">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r w:rsidRPr="00312283">
        <w:rPr>
          <w:rFonts w:ascii="Palatino Linotype" w:eastAsia="Palatino Linotype" w:hAnsi="Palatino Linotype" w:cs="Palatino Linotype"/>
          <w:b/>
        </w:rPr>
        <w:t>.</w:t>
      </w:r>
    </w:p>
    <w:p w:rsidR="00312283" w:rsidRPr="00312283" w:rsidRDefault="00312283">
      <w:pPr>
        <w:tabs>
          <w:tab w:val="left" w:pos="142"/>
        </w:tabs>
        <w:spacing w:line="360" w:lineRule="auto"/>
        <w:jc w:val="both"/>
        <w:rPr>
          <w:rFonts w:ascii="Palatino Linotype" w:eastAsia="Palatino Linotype" w:hAnsi="Palatino Linotype" w:cs="Palatino Linotype"/>
        </w:rPr>
      </w:pPr>
    </w:p>
    <w:p w:rsidR="00E72426" w:rsidRPr="00312283" w:rsidRDefault="00502C1F">
      <w:pPr>
        <w:spacing w:before="240" w:after="240" w:line="360" w:lineRule="auto"/>
        <w:jc w:val="both"/>
        <w:rPr>
          <w:rFonts w:ascii="Palatino Linotype" w:eastAsia="Palatino Linotype" w:hAnsi="Palatino Linotype" w:cs="Palatino Linotype"/>
        </w:rPr>
      </w:pPr>
      <w:r w:rsidRPr="00312283">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MEXICO Y MUNICIPIOS, CONFORMADO POR LOS COMISIONADOS JOSÉ MARTÍNEZ VILCHIS</w:t>
      </w:r>
      <w:r w:rsidR="00672A59" w:rsidRPr="00312283">
        <w:rPr>
          <w:rFonts w:ascii="Palatino Linotype" w:eastAsia="Palatino Linotype" w:hAnsi="Palatino Linotype" w:cs="Palatino Linotype"/>
        </w:rPr>
        <w:t xml:space="preserve">; MARÍA DEL ROSARIO MEJÍA AYALA; EMITIENDO VOTO </w:t>
      </w:r>
      <w:r w:rsidR="00672A59" w:rsidRPr="00312283">
        <w:rPr>
          <w:rFonts w:ascii="Palatino Linotype" w:eastAsia="Palatino Linotype" w:hAnsi="Palatino Linotype" w:cs="Palatino Linotype"/>
        </w:rPr>
        <w:lastRenderedPageBreak/>
        <w:t>PARTICULAR;</w:t>
      </w:r>
      <w:r w:rsidRPr="00312283">
        <w:rPr>
          <w:rFonts w:ascii="Palatino Linotype" w:eastAsia="Palatino Linotype" w:hAnsi="Palatino Linotype" w:cs="Palatino Linotype"/>
        </w:rPr>
        <w:t xml:space="preserve"> SHARON CRISTINA MORALES MARTÍNEZ, LUIS GUSTAVO PARRA NORIEGA</w:t>
      </w:r>
      <w:r w:rsidR="00672A59" w:rsidRPr="00312283">
        <w:rPr>
          <w:rFonts w:ascii="Palatino Linotype" w:eastAsia="Palatino Linotype" w:hAnsi="Palatino Linotype" w:cs="Palatino Linotype"/>
        </w:rPr>
        <w:t>; EMITIENDO VOTO PARTICULAR</w:t>
      </w:r>
      <w:r w:rsidRPr="00312283">
        <w:rPr>
          <w:rFonts w:ascii="Palatino Linotype" w:eastAsia="Palatino Linotype" w:hAnsi="Palatino Linotype" w:cs="Palatino Linotype"/>
        </w:rPr>
        <w:t xml:space="preserve"> Y GUADALUPE RAMÍREZ PEÑA; EN LA CUADRAGÉSIMA PRIMERA SESIÓN ORDINARIA CELEBRADA EL QUINCE DE NOVIEMBRE DE DOS MIL VEINTITRÉS, ANTE EL SECRETARIO TÉCNICO DEL PLENO ALEXIS TAPIA RAMÍREZ.</w:t>
      </w:r>
    </w:p>
    <w:p w:rsidR="00E72426" w:rsidRPr="00312283" w:rsidRDefault="00366F9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104243</wp:posOffset>
                </wp:positionV>
                <wp:extent cx="5241615" cy="5177584"/>
                <wp:effectExtent l="0" t="0" r="35560" b="23495"/>
                <wp:wrapNone/>
                <wp:docPr id="1" name="Conector recto 1"/>
                <wp:cNvGraphicFramePr/>
                <a:graphic xmlns:a="http://schemas.openxmlformats.org/drawingml/2006/main">
                  <a:graphicData uri="http://schemas.microsoft.com/office/word/2010/wordprocessingShape">
                    <wps:wsp>
                      <wps:cNvCnPr/>
                      <wps:spPr>
                        <a:xfrm>
                          <a:off x="0" y="0"/>
                          <a:ext cx="5241615" cy="5177584"/>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A61C3" id="Conector recto 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pt" to="412.75pt,4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" strokecolor="black [3213]">
                <w10:wrap anchorx="margin"/>
              </v:line>
            </w:pict>
          </mc:Fallback>
        </mc:AlternateContent>
      </w: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p w:rsidR="00E72426" w:rsidRPr="00312283" w:rsidRDefault="00E72426">
      <w:pPr>
        <w:spacing w:before="240" w:after="240" w:line="360" w:lineRule="auto"/>
        <w:jc w:val="both"/>
        <w:rPr>
          <w:rFonts w:ascii="Palatino Linotype" w:eastAsia="Palatino Linotype" w:hAnsi="Palatino Linotype" w:cs="Palatino Linotype"/>
        </w:rPr>
      </w:pPr>
    </w:p>
    <w:sectPr w:rsidR="00E72426" w:rsidRPr="00312283">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418" w:rsidRDefault="00275418">
      <w:r>
        <w:separator/>
      </w:r>
    </w:p>
  </w:endnote>
  <w:endnote w:type="continuationSeparator" w:id="0">
    <w:p w:rsidR="00275418" w:rsidRDefault="00275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C1F" w:rsidRDefault="00502C1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68C2">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68C2">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rsidR="00502C1F" w:rsidRDefault="00502C1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C1F" w:rsidRDefault="00502C1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68C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68C2">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p>
  <w:p w:rsidR="00502C1F" w:rsidRDefault="00502C1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418" w:rsidRDefault="00275418">
      <w:r>
        <w:separator/>
      </w:r>
    </w:p>
  </w:footnote>
  <w:footnote w:type="continuationSeparator" w:id="0">
    <w:p w:rsidR="00275418" w:rsidRDefault="00275418">
      <w:r>
        <w:continuationSeparator/>
      </w:r>
    </w:p>
  </w:footnote>
  <w:footnote w:id="1">
    <w:p w:rsidR="00502C1F" w:rsidRDefault="00502C1F" w:rsidP="00282E6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502C1F" w:rsidRDefault="00502C1F" w:rsidP="00282E6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C1F" w:rsidRDefault="00502C1F">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-1127122</wp:posOffset>
          </wp:positionH>
          <wp:positionV relativeFrom="paragraph">
            <wp:posOffset>-344802</wp:posOffset>
          </wp:positionV>
          <wp:extent cx="7809865" cy="10165715"/>
          <wp:effectExtent l="0" t="0" r="0" b="0"/>
          <wp:wrapNone/>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502C1F">
      <w:tc>
        <w:tcPr>
          <w:tcW w:w="2489" w:type="dxa"/>
          <w:shd w:val="clear" w:color="auto" w:fill="auto"/>
        </w:tcPr>
        <w:p w:rsidR="00502C1F" w:rsidRDefault="00502C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rsidR="00502C1F" w:rsidRDefault="00502C1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01134/INFOEM/IP/RR/2023</w:t>
          </w:r>
        </w:p>
      </w:tc>
    </w:tr>
    <w:tr w:rsidR="00502C1F">
      <w:trPr>
        <w:trHeight w:val="228"/>
      </w:trPr>
      <w:tc>
        <w:tcPr>
          <w:tcW w:w="2489" w:type="dxa"/>
          <w:shd w:val="clear" w:color="auto" w:fill="auto"/>
          <w:vAlign w:val="center"/>
        </w:tcPr>
        <w:p w:rsidR="00502C1F" w:rsidRDefault="00502C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rsidR="00502C1F" w:rsidRDefault="00502C1F">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502C1F">
      <w:tc>
        <w:tcPr>
          <w:tcW w:w="2489" w:type="dxa"/>
          <w:shd w:val="clear" w:color="auto" w:fill="auto"/>
          <w:vAlign w:val="center"/>
        </w:tcPr>
        <w:p w:rsidR="00502C1F" w:rsidRDefault="00502C1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rsidR="00502C1F" w:rsidRDefault="00502C1F">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02C1F" w:rsidRDefault="00502C1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C1F" w:rsidRDefault="00502C1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-1035684</wp:posOffset>
          </wp:positionH>
          <wp:positionV relativeFrom="paragraph">
            <wp:posOffset>-383539</wp:posOffset>
          </wp:positionV>
          <wp:extent cx="7809865" cy="10165715"/>
          <wp:effectExtent l="0" t="0" r="0" b="0"/>
          <wp:wrapNone/>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520" w:type="dxa"/>
      <w:tblInd w:w="3261" w:type="dxa"/>
      <w:tblLayout w:type="fixed"/>
      <w:tblLook w:val="0400" w:firstRow="0" w:lastRow="0" w:firstColumn="0" w:lastColumn="0" w:noHBand="0" w:noVBand="1"/>
    </w:tblPr>
    <w:tblGrid>
      <w:gridCol w:w="2551"/>
      <w:gridCol w:w="3969"/>
    </w:tblGrid>
    <w:tr w:rsidR="00502C1F">
      <w:tc>
        <w:tcPr>
          <w:tcW w:w="2551" w:type="dxa"/>
          <w:shd w:val="clear" w:color="auto" w:fill="auto"/>
          <w:vAlign w:val="center"/>
        </w:tcPr>
        <w:p w:rsidR="00502C1F" w:rsidRDefault="00502C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502C1F" w:rsidRDefault="00502C1F">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01134/INFOEM/IP/RR/2023</w:t>
          </w:r>
        </w:p>
      </w:tc>
    </w:tr>
    <w:tr w:rsidR="00502C1F">
      <w:trPr>
        <w:trHeight w:val="130"/>
      </w:trPr>
      <w:tc>
        <w:tcPr>
          <w:tcW w:w="2551" w:type="dxa"/>
          <w:shd w:val="clear" w:color="auto" w:fill="auto"/>
          <w:vAlign w:val="center"/>
        </w:tcPr>
        <w:p w:rsidR="00502C1F" w:rsidRDefault="00502C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502C1F" w:rsidRDefault="00502C1F">
          <w:pPr>
            <w:ind w:left="-115" w:right="176"/>
            <w:jc w:val="both"/>
            <w:rPr>
              <w:rFonts w:ascii="Palatino Linotype" w:eastAsia="Palatino Linotype" w:hAnsi="Palatino Linotype" w:cs="Palatino Linotype"/>
              <w:b/>
              <w:sz w:val="22"/>
              <w:szCs w:val="22"/>
            </w:rPr>
          </w:pPr>
        </w:p>
      </w:tc>
    </w:tr>
    <w:tr w:rsidR="00502C1F">
      <w:trPr>
        <w:trHeight w:val="228"/>
      </w:trPr>
      <w:tc>
        <w:tcPr>
          <w:tcW w:w="2551" w:type="dxa"/>
          <w:shd w:val="clear" w:color="auto" w:fill="auto"/>
          <w:vAlign w:val="center"/>
        </w:tcPr>
        <w:p w:rsidR="00502C1F" w:rsidRDefault="00502C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502C1F" w:rsidRDefault="00502C1F">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502C1F">
      <w:tc>
        <w:tcPr>
          <w:tcW w:w="2551" w:type="dxa"/>
          <w:shd w:val="clear" w:color="auto" w:fill="auto"/>
          <w:vAlign w:val="center"/>
        </w:tcPr>
        <w:p w:rsidR="00502C1F" w:rsidRDefault="00502C1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502C1F" w:rsidRDefault="00502C1F">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02C1F" w:rsidRDefault="00502C1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94126"/>
    <w:multiLevelType w:val="multilevel"/>
    <w:tmpl w:val="0BE4A65C"/>
    <w:lvl w:ilvl="0">
      <w:start w:val="1"/>
      <w:numFmt w:val="decimal"/>
      <w:lvlText w:val="%1."/>
      <w:lvlJc w:val="left"/>
      <w:pPr>
        <w:ind w:left="720" w:hanging="360"/>
      </w:pPr>
      <w:rPr>
        <w:rFonts w:ascii="Palatino Linotype" w:eastAsia="Palatino Linotype" w:hAnsi="Palatino Linotype" w:cs="Palatino Linotype"/>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DF54C7"/>
    <w:multiLevelType w:val="multilevel"/>
    <w:tmpl w:val="24423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8B4080"/>
    <w:multiLevelType w:val="multilevel"/>
    <w:tmpl w:val="7FDCB0F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0756815"/>
    <w:multiLevelType w:val="multilevel"/>
    <w:tmpl w:val="5024D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F411F8C"/>
    <w:multiLevelType w:val="multilevel"/>
    <w:tmpl w:val="057CE3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42C49F1"/>
    <w:multiLevelType w:val="multilevel"/>
    <w:tmpl w:val="ECBC7F4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6837B33"/>
    <w:multiLevelType w:val="multilevel"/>
    <w:tmpl w:val="571C38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8BA7437"/>
    <w:multiLevelType w:val="multilevel"/>
    <w:tmpl w:val="7FF6698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C731C7F"/>
    <w:multiLevelType w:val="multilevel"/>
    <w:tmpl w:val="E03AA26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4DEE5B63"/>
    <w:multiLevelType w:val="multilevel"/>
    <w:tmpl w:val="5700FF0C"/>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3FD1D1C"/>
    <w:multiLevelType w:val="multilevel"/>
    <w:tmpl w:val="EA82204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3"/>
  </w:num>
  <w:num w:numId="4">
    <w:abstractNumId w:val="7"/>
  </w:num>
  <w:num w:numId="5">
    <w:abstractNumId w:val="0"/>
  </w:num>
  <w:num w:numId="6">
    <w:abstractNumId w:val="9"/>
  </w:num>
  <w:num w:numId="7">
    <w:abstractNumId w:val="2"/>
  </w:num>
  <w:num w:numId="8">
    <w:abstractNumId w:val="1"/>
  </w:num>
  <w:num w:numId="9">
    <w:abstractNumId w:val="1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426"/>
    <w:rsid w:val="000405C2"/>
    <w:rsid w:val="000F4846"/>
    <w:rsid w:val="00100EAD"/>
    <w:rsid w:val="00110E51"/>
    <w:rsid w:val="00156BED"/>
    <w:rsid w:val="001865DB"/>
    <w:rsid w:val="00187233"/>
    <w:rsid w:val="00213440"/>
    <w:rsid w:val="00275418"/>
    <w:rsid w:val="00282E66"/>
    <w:rsid w:val="00311AB9"/>
    <w:rsid w:val="00312283"/>
    <w:rsid w:val="00315223"/>
    <w:rsid w:val="00360335"/>
    <w:rsid w:val="00366F92"/>
    <w:rsid w:val="0046021A"/>
    <w:rsid w:val="004A11D4"/>
    <w:rsid w:val="004A6223"/>
    <w:rsid w:val="00502C1F"/>
    <w:rsid w:val="006035E1"/>
    <w:rsid w:val="00617460"/>
    <w:rsid w:val="00633652"/>
    <w:rsid w:val="00664605"/>
    <w:rsid w:val="00672A59"/>
    <w:rsid w:val="007F50C7"/>
    <w:rsid w:val="00835FC2"/>
    <w:rsid w:val="008B2818"/>
    <w:rsid w:val="009F68C2"/>
    <w:rsid w:val="00B05DF7"/>
    <w:rsid w:val="00B3489E"/>
    <w:rsid w:val="00BC38F9"/>
    <w:rsid w:val="00D65266"/>
    <w:rsid w:val="00D70375"/>
    <w:rsid w:val="00E72426"/>
    <w:rsid w:val="00EA4EB4"/>
    <w:rsid w:val="00EE4C40"/>
    <w:rsid w:val="00F22D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C7866C-3159-4C63-B2FE-E461E288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9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0"/>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10"/>
    <w:tblPr>
      <w:tblStyleRowBandSize w:val="1"/>
      <w:tblStyleColBandSize w:val="1"/>
      <w:tblCellMar>
        <w:top w:w="0" w:type="dxa"/>
        <w:left w:w="115" w:type="dxa"/>
        <w:bottom w:w="0" w:type="dxa"/>
        <w:right w:w="115" w:type="dxa"/>
      </w:tblCellMar>
    </w:tblPr>
  </w:style>
  <w:style w:type="table" w:customStyle="1" w:styleId="5">
    <w:name w:val="5"/>
    <w:basedOn w:val="TableNormal10"/>
    <w:tblPr>
      <w:tblStyleRowBandSize w:val="1"/>
      <w:tblStyleColBandSize w:val="1"/>
      <w:tblCellMar>
        <w:top w:w="0" w:type="dxa"/>
        <w:left w:w="108" w:type="dxa"/>
        <w:bottom w:w="0" w:type="dxa"/>
        <w:right w:w="108" w:type="dxa"/>
      </w:tblCellMar>
    </w:tbl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5yuzPRx+TTYnwF5PkXUZvSFI3g==">AMUW2mUyZVH6voymT1QbShZsOUI7OnT4IkFcAhOyXX7TuipS0TU1ckkELyBh7xS6SZt6c8JK2CZYqB8D0KgyqXOGwVrvAlfzHRWTtJ+334AlEWuL8T60eWpKP0aBCEuyMGolkT5Y7nS8YfyseiMgeuitEfkZLwOkzj3fsNbslonq8RwmAELwgb3dDWBpZ4dziPsRGxIp3Nr9QAtCJxDp6l4UTNoH5iPEew==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15774</Words>
  <Characters>86758</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2023-11-17T16:40:00Z</cp:lastPrinted>
  <dcterms:created xsi:type="dcterms:W3CDTF">2023-12-05T17:20:00Z</dcterms:created>
  <dcterms:modified xsi:type="dcterms:W3CDTF">2023-12-05T17:20:00Z</dcterms:modified>
</cp:coreProperties>
</file>