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F1A" w:rsidRPr="001B665B" w:rsidRDefault="00335FD2">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sidRPr="001B665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mayo de dos mil veintitrés. </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VISTO</w:t>
      </w:r>
      <w:r w:rsidRPr="001B665B">
        <w:rPr>
          <w:rFonts w:ascii="Palatino Linotype" w:eastAsia="Palatino Linotype" w:hAnsi="Palatino Linotype" w:cs="Palatino Linotype"/>
        </w:rPr>
        <w:t xml:space="preserve"> el expediente formado con motivo del recurso de revisión </w:t>
      </w:r>
      <w:r w:rsidRPr="001B665B">
        <w:rPr>
          <w:rFonts w:ascii="Palatino Linotype" w:eastAsia="Palatino Linotype" w:hAnsi="Palatino Linotype" w:cs="Palatino Linotype"/>
          <w:b/>
        </w:rPr>
        <w:t>16744/INFOEM/IP/RR/2022</w:t>
      </w:r>
      <w:r w:rsidRPr="001B665B">
        <w:rPr>
          <w:rFonts w:ascii="Palatino Linotype" w:eastAsia="Palatino Linotype" w:hAnsi="Palatino Linotype" w:cs="Palatino Linotype"/>
        </w:rPr>
        <w:t>, interpuesto por una persona usuaria del Sistema de Acceso a la Información Mexiquense (SAIMEX) que no proporcionó nombre o seudónimo y quien en lo sucesivo</w:t>
      </w:r>
      <w:r w:rsidRPr="001B665B">
        <w:rPr>
          <w:rFonts w:ascii="Palatino Linotype" w:eastAsia="Palatino Linotype" w:hAnsi="Palatino Linotype" w:cs="Palatino Linotype"/>
          <w:b/>
        </w:rPr>
        <w:t xml:space="preserve"> </w:t>
      </w:r>
      <w:r w:rsidRPr="001B665B">
        <w:rPr>
          <w:rFonts w:ascii="Palatino Linotype" w:eastAsia="Palatino Linotype" w:hAnsi="Palatino Linotype" w:cs="Palatino Linotype"/>
        </w:rPr>
        <w:t xml:space="preserve">será identificado en su calidad de </w:t>
      </w:r>
      <w:r w:rsidRPr="001B665B">
        <w:rPr>
          <w:rFonts w:ascii="Palatino Linotype" w:eastAsia="Palatino Linotype" w:hAnsi="Palatino Linotype" w:cs="Palatino Linotype"/>
          <w:b/>
        </w:rPr>
        <w:t>Recurrente,</w:t>
      </w:r>
      <w:r w:rsidRPr="001B665B">
        <w:rPr>
          <w:rFonts w:ascii="Palatino Linotype" w:eastAsia="Palatino Linotype" w:hAnsi="Palatino Linotype" w:cs="Palatino Linotype"/>
        </w:rPr>
        <w:t xml:space="preserve"> en contra de la respuesta del </w:t>
      </w:r>
      <w:r w:rsidRPr="001B665B">
        <w:rPr>
          <w:rFonts w:ascii="Palatino Linotype" w:eastAsia="Palatino Linotype" w:hAnsi="Palatino Linotype" w:cs="Palatino Linotype"/>
          <w:b/>
        </w:rPr>
        <w:t xml:space="preserve">Ayuntamiento de Zinacantepec, </w:t>
      </w:r>
      <w:r w:rsidRPr="001B665B">
        <w:rPr>
          <w:rFonts w:ascii="Palatino Linotype" w:eastAsia="Palatino Linotype" w:hAnsi="Palatino Linotype" w:cs="Palatino Linotype"/>
        </w:rPr>
        <w:t xml:space="preserve">se procede a dictar la presente resolución con base en los siguientes: </w:t>
      </w:r>
    </w:p>
    <w:p w:rsidR="009A5F1A" w:rsidRPr="001B665B" w:rsidRDefault="00335FD2">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1B665B">
        <w:rPr>
          <w:rFonts w:ascii="Palatino Linotype" w:eastAsia="Palatino Linotype" w:hAnsi="Palatino Linotype" w:cs="Palatino Linotype"/>
          <w:b/>
        </w:rPr>
        <w:t>I. A N T E C E D E N T E S</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1. Solicitud de acceso a la información.</w:t>
      </w:r>
      <w:r w:rsidRPr="001B665B">
        <w:rPr>
          <w:rFonts w:ascii="Palatino Linotype" w:eastAsia="Palatino Linotype" w:hAnsi="Palatino Linotype" w:cs="Palatino Linotype"/>
        </w:rPr>
        <w:t xml:space="preserve"> El </w:t>
      </w:r>
      <w:r w:rsidRPr="001B665B">
        <w:rPr>
          <w:rFonts w:ascii="Palatino Linotype" w:eastAsia="Palatino Linotype" w:hAnsi="Palatino Linotype" w:cs="Palatino Linotype"/>
          <w:b/>
        </w:rPr>
        <w:t>veinte de octubre de dos mil veintidós,</w:t>
      </w:r>
      <w:r w:rsidRPr="001B665B">
        <w:rPr>
          <w:rFonts w:ascii="Palatino Linotype" w:eastAsia="Palatino Linotype" w:hAnsi="Palatino Linotype" w:cs="Palatino Linotype"/>
        </w:rPr>
        <w:t xml:space="preserve"> el </w:t>
      </w:r>
      <w:r w:rsidRPr="001B665B">
        <w:rPr>
          <w:rFonts w:ascii="Palatino Linotype" w:eastAsia="Palatino Linotype" w:hAnsi="Palatino Linotype" w:cs="Palatino Linotype"/>
          <w:b/>
        </w:rPr>
        <w:t xml:space="preserve">Recurrente </w:t>
      </w:r>
      <w:r w:rsidRPr="001B665B">
        <w:rPr>
          <w:rFonts w:ascii="Palatino Linotype" w:eastAsia="Palatino Linotype" w:hAnsi="Palatino Linotype" w:cs="Palatino Linotype"/>
        </w:rPr>
        <w:t>presentó a través del Sistema de Acceso a la Información Mexiquense (</w:t>
      </w:r>
      <w:r w:rsidRPr="001B665B">
        <w:rPr>
          <w:rFonts w:ascii="Palatino Linotype" w:eastAsia="Palatino Linotype" w:hAnsi="Palatino Linotype" w:cs="Palatino Linotype"/>
          <w:b/>
        </w:rPr>
        <w:t>SAIMEX),</w:t>
      </w:r>
      <w:r w:rsidRPr="001B665B">
        <w:rPr>
          <w:rFonts w:ascii="Palatino Linotype" w:eastAsia="Palatino Linotype" w:hAnsi="Palatino Linotype" w:cs="Palatino Linotype"/>
        </w:rPr>
        <w:t xml:space="preserve"> la solicitud de acceso a la información pública registrada con el número </w:t>
      </w:r>
      <w:r w:rsidRPr="001B665B">
        <w:rPr>
          <w:rFonts w:ascii="Palatino Linotype" w:eastAsia="Palatino Linotype" w:hAnsi="Palatino Linotype" w:cs="Palatino Linotype"/>
          <w:b/>
        </w:rPr>
        <w:t xml:space="preserve">01129/ZINACANT/IP/2022, </w:t>
      </w:r>
      <w:r w:rsidRPr="001B665B">
        <w:rPr>
          <w:rFonts w:ascii="Palatino Linotype" w:eastAsia="Palatino Linotype" w:hAnsi="Palatino Linotype" w:cs="Palatino Linotype"/>
        </w:rPr>
        <w:t xml:space="preserve">mediante la cual requirió la información siguiente: </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1B665B">
        <w:rPr>
          <w:rFonts w:ascii="Palatino Linotype" w:eastAsia="Palatino Linotype" w:hAnsi="Palatino Linotype" w:cs="Palatino Linotype"/>
          <w:i/>
          <w:sz w:val="22"/>
          <w:szCs w:val="22"/>
        </w:rPr>
        <w:t>“Se solicita conocer el número y denuncias o reportes realizados por motivo de recolección de basura del 1 al 30 de agosto de 2022.” (Sic)</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Modalidad de Entrega:</w:t>
      </w:r>
      <w:r w:rsidRPr="001B665B">
        <w:rPr>
          <w:rFonts w:ascii="Palatino Linotype" w:eastAsia="Palatino Linotype" w:hAnsi="Palatino Linotype" w:cs="Palatino Linotype"/>
        </w:rPr>
        <w:t xml:space="preserve"> A través del Sistema de Acceso a la Información Mexiquense (SAIMEX).</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2. Solicitud de Aclaración: </w:t>
      </w:r>
      <w:r w:rsidRPr="001B665B">
        <w:rPr>
          <w:rFonts w:ascii="Palatino Linotype" w:eastAsia="Palatino Linotype" w:hAnsi="Palatino Linotype" w:cs="Palatino Linotype"/>
        </w:rPr>
        <w:t xml:space="preserve">El veintisiete de octubre de dos mil veintidós, el </w:t>
      </w:r>
      <w:r w:rsidRPr="001B665B">
        <w:rPr>
          <w:rFonts w:ascii="Palatino Linotype" w:eastAsia="Palatino Linotype" w:hAnsi="Palatino Linotype" w:cs="Palatino Linotype"/>
          <w:b/>
        </w:rPr>
        <w:t xml:space="preserve">Sujeto Obligado </w:t>
      </w:r>
      <w:r w:rsidRPr="001B665B">
        <w:rPr>
          <w:rFonts w:ascii="Palatino Linotype" w:eastAsia="Palatino Linotype" w:hAnsi="Palatino Linotype" w:cs="Palatino Linotype"/>
        </w:rPr>
        <w:t xml:space="preserve">requirió al </w:t>
      </w:r>
      <w:r w:rsidRPr="001B665B">
        <w:rPr>
          <w:rFonts w:ascii="Palatino Linotype" w:eastAsia="Palatino Linotype" w:hAnsi="Palatino Linotype" w:cs="Palatino Linotype"/>
          <w:b/>
        </w:rPr>
        <w:t xml:space="preserve">Recurrente </w:t>
      </w:r>
      <w:r w:rsidRPr="001B665B">
        <w:rPr>
          <w:rFonts w:ascii="Palatino Linotype" w:eastAsia="Palatino Linotype" w:hAnsi="Palatino Linotype" w:cs="Palatino Linotype"/>
        </w:rPr>
        <w:t xml:space="preserve">la aclaración de la solicitud, en los siguientes términos: </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3. </w:t>
      </w:r>
      <w:r w:rsidRPr="001B665B">
        <w:rPr>
          <w:rFonts w:ascii="Palatino Linotype" w:eastAsia="Palatino Linotype" w:hAnsi="Palatino Linotype" w:cs="Palatino Linotype"/>
        </w:rPr>
        <w:t xml:space="preserve">El </w:t>
      </w:r>
      <w:r w:rsidRPr="001B665B">
        <w:rPr>
          <w:rFonts w:ascii="Palatino Linotype" w:eastAsia="Palatino Linotype" w:hAnsi="Palatino Linotype" w:cs="Palatino Linotype"/>
          <w:b/>
        </w:rPr>
        <w:t xml:space="preserve">veintisiete de octubre de dos mil veintidós </w:t>
      </w:r>
      <w:r w:rsidRPr="001B665B">
        <w:rPr>
          <w:rFonts w:ascii="Palatino Linotype" w:eastAsia="Palatino Linotype" w:hAnsi="Palatino Linotype" w:cs="Palatino Linotype"/>
        </w:rPr>
        <w:t xml:space="preserve">el </w:t>
      </w:r>
      <w:r w:rsidRPr="001B665B">
        <w:rPr>
          <w:rFonts w:ascii="Palatino Linotype" w:eastAsia="Palatino Linotype" w:hAnsi="Palatino Linotype" w:cs="Palatino Linotype"/>
          <w:b/>
        </w:rPr>
        <w:t xml:space="preserve">Recurrente </w:t>
      </w:r>
      <w:r w:rsidRPr="001B665B">
        <w:rPr>
          <w:rFonts w:ascii="Palatino Linotype" w:eastAsia="Palatino Linotype" w:hAnsi="Palatino Linotype" w:cs="Palatino Linotype"/>
        </w:rPr>
        <w:t xml:space="preserve">atendió el requerimiento del </w:t>
      </w:r>
      <w:r w:rsidRPr="001B665B">
        <w:rPr>
          <w:rFonts w:ascii="Palatino Linotype" w:eastAsia="Palatino Linotype" w:hAnsi="Palatino Linotype" w:cs="Palatino Linotype"/>
          <w:b/>
        </w:rPr>
        <w:t xml:space="preserve">Sujeto Obligado </w:t>
      </w:r>
      <w:r w:rsidRPr="001B665B">
        <w:rPr>
          <w:rFonts w:ascii="Palatino Linotype" w:eastAsia="Palatino Linotype" w:hAnsi="Palatino Linotype" w:cs="Palatino Linotype"/>
        </w:rPr>
        <w:t xml:space="preserve">y manifestó: </w:t>
      </w:r>
    </w:p>
    <w:p w:rsidR="009A5F1A" w:rsidRPr="001B665B" w:rsidRDefault="00335FD2">
      <w:pPr>
        <w:spacing w:before="240" w:after="240" w:line="360"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“NO ENTIENDO QUE HAY QUE ACLARAR, LA SOLICITUD ES MUY ESPECÍFICA.” (Sic)</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4. Respuesta. </w:t>
      </w:r>
      <w:r w:rsidRPr="001B665B">
        <w:rPr>
          <w:rFonts w:ascii="Palatino Linotype" w:eastAsia="Palatino Linotype" w:hAnsi="Palatino Linotype" w:cs="Palatino Linotype"/>
        </w:rPr>
        <w:t xml:space="preserve"> El </w:t>
      </w:r>
      <w:r w:rsidRPr="001B665B">
        <w:rPr>
          <w:rFonts w:ascii="Palatino Linotype" w:eastAsia="Palatino Linotype" w:hAnsi="Palatino Linotype" w:cs="Palatino Linotype"/>
          <w:b/>
        </w:rPr>
        <w:t>veintidós de noviembre de dos mil veintidós</w:t>
      </w:r>
      <w:r w:rsidRPr="001B665B">
        <w:rPr>
          <w:rFonts w:ascii="Palatino Linotype" w:eastAsia="Palatino Linotype" w:hAnsi="Palatino Linotype" w:cs="Palatino Linotype"/>
        </w:rPr>
        <w:t xml:space="preserve">,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respondió a la solicitud de información en los términos siguientes:</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“Se adjunta la respuesta a la solicitud interpuesta a través de esta plataforma digital</w:t>
      </w:r>
      <w:r w:rsidRPr="001B665B">
        <w:rPr>
          <w:rFonts w:ascii="Palatino Linotype" w:eastAsia="Palatino Linotype" w:hAnsi="Palatino Linotype" w:cs="Palatino Linotype"/>
          <w:b/>
          <w:i/>
          <w:sz w:val="22"/>
          <w:szCs w:val="22"/>
        </w:rPr>
        <w:t>.” (</w:t>
      </w:r>
      <w:r w:rsidRPr="001B665B">
        <w:rPr>
          <w:rFonts w:ascii="Palatino Linotype" w:eastAsia="Palatino Linotype" w:hAnsi="Palatino Linotype" w:cs="Palatino Linotype"/>
          <w:i/>
          <w:sz w:val="22"/>
          <w:szCs w:val="22"/>
        </w:rPr>
        <w:t>Sic)</w:t>
      </w:r>
    </w:p>
    <w:p w:rsidR="009A5F1A" w:rsidRPr="001B665B" w:rsidRDefault="00335FD2">
      <w:pPr>
        <w:spacing w:before="240" w:after="240" w:line="360" w:lineRule="auto"/>
        <w:ind w:right="49"/>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Pronunciamiento al que el </w:t>
      </w:r>
      <w:r w:rsidRPr="001B665B">
        <w:rPr>
          <w:rFonts w:ascii="Palatino Linotype" w:eastAsia="Palatino Linotype" w:hAnsi="Palatino Linotype" w:cs="Palatino Linotype"/>
          <w:b/>
        </w:rPr>
        <w:t xml:space="preserve">Sujeto Obligado </w:t>
      </w:r>
      <w:r w:rsidRPr="001B665B">
        <w:rPr>
          <w:rFonts w:ascii="Palatino Linotype" w:eastAsia="Palatino Linotype" w:hAnsi="Palatino Linotype" w:cs="Palatino Linotype"/>
        </w:rPr>
        <w:t>adjuntó el archivo electrónico identificado como “</w:t>
      </w:r>
      <w:r w:rsidRPr="001B665B">
        <w:rPr>
          <w:rFonts w:ascii="Palatino Linotype" w:eastAsia="Palatino Linotype" w:hAnsi="Palatino Linotype" w:cs="Palatino Linotype"/>
          <w:b/>
          <w:i/>
        </w:rPr>
        <w:t xml:space="preserve">respuesta de solicitud 1129-22.pdf”, </w:t>
      </w:r>
      <w:r w:rsidR="00662434" w:rsidRPr="001B665B">
        <w:rPr>
          <w:rFonts w:ascii="Palatino Linotype" w:eastAsia="Palatino Linotype" w:hAnsi="Palatino Linotype" w:cs="Palatino Linotype"/>
        </w:rPr>
        <w:t>en cual contiene el</w:t>
      </w:r>
      <w:r w:rsidRPr="001B665B">
        <w:rPr>
          <w:rFonts w:ascii="Palatino Linotype" w:eastAsia="Palatino Linotype" w:hAnsi="Palatino Linotype" w:cs="Palatino Linotype"/>
        </w:rPr>
        <w:t xml:space="preserve"> escrito enviado por el Titular de la Unidad de Transparencia en el que medularmente refirió que: </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lastRenderedPageBreak/>
        <w:t xml:space="preserve">“Este Sujeto Obligado al realizar un análisis de su solicitud </w:t>
      </w:r>
      <w:r w:rsidRPr="001B665B">
        <w:rPr>
          <w:rFonts w:ascii="Palatino Linotype" w:eastAsia="Palatino Linotype" w:hAnsi="Palatino Linotype" w:cs="Palatino Linotype"/>
          <w:b/>
          <w:i/>
          <w:sz w:val="22"/>
          <w:szCs w:val="22"/>
          <w:u w:val="single"/>
        </w:rPr>
        <w:t xml:space="preserve">procedió a turnarla al Servidor </w:t>
      </w:r>
      <w:proofErr w:type="spellStart"/>
      <w:r w:rsidRPr="001B665B">
        <w:rPr>
          <w:rFonts w:ascii="Palatino Linotype" w:eastAsia="Palatino Linotype" w:hAnsi="Palatino Linotype" w:cs="Palatino Linotype"/>
          <w:b/>
          <w:i/>
          <w:sz w:val="22"/>
          <w:szCs w:val="22"/>
          <w:u w:val="single"/>
        </w:rPr>
        <w:t>Publico</w:t>
      </w:r>
      <w:proofErr w:type="spellEnd"/>
      <w:r w:rsidRPr="001B665B">
        <w:rPr>
          <w:rFonts w:ascii="Palatino Linotype" w:eastAsia="Palatino Linotype" w:hAnsi="Palatino Linotype" w:cs="Palatino Linotype"/>
          <w:b/>
          <w:i/>
          <w:sz w:val="22"/>
          <w:szCs w:val="22"/>
          <w:u w:val="single"/>
        </w:rPr>
        <w:t xml:space="preserve"> Habilitado </w:t>
      </w:r>
      <w:r w:rsidRPr="001B665B">
        <w:rPr>
          <w:rFonts w:ascii="Palatino Linotype" w:eastAsia="Palatino Linotype" w:hAnsi="Palatino Linotype" w:cs="Palatino Linotype"/>
          <w:i/>
          <w:sz w:val="22"/>
          <w:szCs w:val="22"/>
        </w:rPr>
        <w:t xml:space="preserve">poseedor de la información mismo que nos informa </w:t>
      </w:r>
      <w:r w:rsidRPr="001B665B">
        <w:rPr>
          <w:rFonts w:ascii="Palatino Linotype" w:eastAsia="Palatino Linotype" w:hAnsi="Palatino Linotype" w:cs="Palatino Linotype"/>
          <w:b/>
          <w:i/>
          <w:sz w:val="22"/>
          <w:szCs w:val="22"/>
        </w:rPr>
        <w:t>que durante el periodo comprendido precisamente del día 01 al 30 de agosto de 2022, no se han recibido denuncias o reportes a través de la Contraloría Municipal o bien ante la Autoridad Investigadora</w:t>
      </w:r>
      <w:r w:rsidRPr="001B665B">
        <w:rPr>
          <w:rFonts w:ascii="Palatino Linotype" w:eastAsia="Palatino Linotype" w:hAnsi="Palatino Linotype" w:cs="Palatino Linotype"/>
          <w:i/>
          <w:sz w:val="22"/>
          <w:szCs w:val="22"/>
        </w:rPr>
        <w:t xml:space="preserve">, referentes o inherentes a la prestación del Servicio </w:t>
      </w:r>
      <w:proofErr w:type="spellStart"/>
      <w:r w:rsidRPr="001B665B">
        <w:rPr>
          <w:rFonts w:ascii="Palatino Linotype" w:eastAsia="Palatino Linotype" w:hAnsi="Palatino Linotype" w:cs="Palatino Linotype"/>
          <w:i/>
          <w:sz w:val="22"/>
          <w:szCs w:val="22"/>
        </w:rPr>
        <w:t>Publico</w:t>
      </w:r>
      <w:proofErr w:type="spellEnd"/>
      <w:r w:rsidRPr="001B665B">
        <w:rPr>
          <w:rFonts w:ascii="Palatino Linotype" w:eastAsia="Palatino Linotype" w:hAnsi="Palatino Linotype" w:cs="Palatino Linotype"/>
          <w:i/>
          <w:sz w:val="22"/>
          <w:szCs w:val="22"/>
        </w:rPr>
        <w:t xml:space="preserve"> de Recolección de Residuos Sólidos.” (Sic)</w:t>
      </w:r>
    </w:p>
    <w:p w:rsidR="009A5F1A" w:rsidRPr="001B665B" w:rsidRDefault="00335FD2" w:rsidP="00662434">
      <w:pPr>
        <w:spacing w:before="240" w:after="240" w:line="360" w:lineRule="auto"/>
        <w:ind w:right="49"/>
        <w:jc w:val="both"/>
        <w:rPr>
          <w:rFonts w:ascii="Palatino Linotype" w:eastAsia="Palatino Linotype" w:hAnsi="Palatino Linotype" w:cs="Palatino Linotype"/>
          <w:b/>
          <w:i/>
        </w:rPr>
      </w:pPr>
      <w:r w:rsidRPr="001B665B">
        <w:rPr>
          <w:rFonts w:ascii="Palatino Linotype" w:eastAsia="Palatino Linotype" w:hAnsi="Palatino Linotype" w:cs="Palatino Linotype"/>
          <w:i/>
        </w:rPr>
        <w:t xml:space="preserve"> </w:t>
      </w:r>
      <w:r w:rsidRPr="001B665B">
        <w:rPr>
          <w:rFonts w:ascii="Palatino Linotype" w:eastAsia="Palatino Linotype" w:hAnsi="Palatino Linotype" w:cs="Palatino Linotype"/>
          <w:b/>
        </w:rPr>
        <w:t xml:space="preserve">5. Interposición del recurso de revisión.  </w:t>
      </w:r>
      <w:r w:rsidRPr="001B665B">
        <w:rPr>
          <w:rFonts w:ascii="Palatino Linotype" w:eastAsia="Palatino Linotype" w:hAnsi="Palatino Linotype" w:cs="Palatino Linotype"/>
        </w:rPr>
        <w:t xml:space="preserve">El </w:t>
      </w:r>
      <w:r w:rsidRPr="001B665B">
        <w:rPr>
          <w:rFonts w:ascii="Palatino Linotype" w:eastAsia="Palatino Linotype" w:hAnsi="Palatino Linotype" w:cs="Palatino Linotype"/>
          <w:b/>
        </w:rPr>
        <w:t xml:space="preserve">veintidós de noviembre de dos mil veintidós </w:t>
      </w:r>
      <w:r w:rsidRPr="001B665B">
        <w:rPr>
          <w:rFonts w:ascii="Palatino Linotype" w:eastAsia="Palatino Linotype" w:hAnsi="Palatino Linotype" w:cs="Palatino Linotype"/>
        </w:rPr>
        <w:t xml:space="preserve">la </w:t>
      </w:r>
      <w:r w:rsidRPr="001B665B">
        <w:rPr>
          <w:rFonts w:ascii="Palatino Linotype" w:eastAsia="Palatino Linotype" w:hAnsi="Palatino Linotype" w:cs="Palatino Linotype"/>
          <w:b/>
        </w:rPr>
        <w:t xml:space="preserve">Recurrente </w:t>
      </w:r>
      <w:r w:rsidRPr="001B665B">
        <w:rPr>
          <w:rFonts w:ascii="Palatino Linotype" w:eastAsia="Palatino Linotype" w:hAnsi="Palatino Linotype" w:cs="Palatino Linotype"/>
        </w:rPr>
        <w:t>inconforme con la respuesta, interpuso el recurso de revisión en el que expresó lo siguiente:</w:t>
      </w:r>
    </w:p>
    <w:p w:rsidR="009A5F1A" w:rsidRPr="001B665B" w:rsidRDefault="00335FD2">
      <w:pPr>
        <w:spacing w:before="240" w:after="240" w:line="360" w:lineRule="auto"/>
        <w:ind w:right="49"/>
        <w:jc w:val="both"/>
        <w:rPr>
          <w:rFonts w:ascii="Palatino Linotype" w:eastAsia="Palatino Linotype" w:hAnsi="Palatino Linotype" w:cs="Palatino Linotype"/>
          <w:i/>
          <w:sz w:val="2"/>
          <w:szCs w:val="2"/>
        </w:rPr>
      </w:pPr>
      <w:r w:rsidRPr="001B665B">
        <w:rPr>
          <w:rFonts w:ascii="Palatino Linotype" w:eastAsia="Palatino Linotype" w:hAnsi="Palatino Linotype" w:cs="Palatino Linotype"/>
          <w:b/>
        </w:rPr>
        <w:t xml:space="preserve">Acto impugnado: </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“NO ENTREGA INFORMACIÓN." (Sic)</w:t>
      </w:r>
    </w:p>
    <w:p w:rsidR="009A5F1A" w:rsidRPr="001B665B" w:rsidRDefault="00335FD2">
      <w:pPr>
        <w:spacing w:before="240" w:after="240" w:line="360" w:lineRule="auto"/>
        <w:ind w:right="616"/>
        <w:jc w:val="both"/>
        <w:rPr>
          <w:rFonts w:ascii="Palatino Linotype" w:eastAsia="Palatino Linotype" w:hAnsi="Palatino Linotype" w:cs="Palatino Linotype"/>
          <w:b/>
          <w:sz w:val="22"/>
          <w:szCs w:val="22"/>
        </w:rPr>
      </w:pPr>
      <w:r w:rsidRPr="001B665B">
        <w:rPr>
          <w:rFonts w:ascii="Palatino Linotype" w:eastAsia="Palatino Linotype" w:hAnsi="Palatino Linotype" w:cs="Palatino Linotype"/>
          <w:b/>
        </w:rPr>
        <w:t>Razones o motivos de inconformidad</w:t>
      </w:r>
      <w:r w:rsidRPr="001B665B">
        <w:rPr>
          <w:rFonts w:ascii="Palatino Linotype" w:eastAsia="Palatino Linotype" w:hAnsi="Palatino Linotype" w:cs="Palatino Linotype"/>
          <w:b/>
          <w:sz w:val="22"/>
          <w:szCs w:val="22"/>
        </w:rPr>
        <w:t xml:space="preserve">: </w:t>
      </w:r>
    </w:p>
    <w:p w:rsidR="009A5F1A" w:rsidRPr="001B665B" w:rsidRDefault="00335FD2">
      <w:pPr>
        <w:spacing w:before="240" w:after="240" w:line="276" w:lineRule="auto"/>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“NO ENTREGA INFORMACIÓN. " (Sic)</w:t>
      </w:r>
    </w:p>
    <w:p w:rsidR="009A5F1A" w:rsidRPr="001B665B" w:rsidRDefault="009A5F1A">
      <w:pPr>
        <w:spacing w:before="240" w:after="240" w:line="360" w:lineRule="auto"/>
        <w:jc w:val="both"/>
        <w:rPr>
          <w:rFonts w:ascii="Palatino Linotype" w:eastAsia="Palatino Linotype" w:hAnsi="Palatino Linotype" w:cs="Palatino Linotype"/>
          <w:sz w:val="2"/>
          <w:szCs w:val="2"/>
        </w:rPr>
      </w:pP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6. Turno.</w:t>
      </w:r>
      <w:r w:rsidRPr="001B665B">
        <w:rPr>
          <w:rFonts w:ascii="Palatino Linotype" w:eastAsia="Palatino Linotype" w:hAnsi="Palatino Linotype" w:cs="Palatino Linotype"/>
          <w:b/>
          <w:sz w:val="28"/>
          <w:szCs w:val="28"/>
        </w:rPr>
        <w:t xml:space="preserve"> </w:t>
      </w:r>
      <w:r w:rsidRPr="001B665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B665B">
        <w:rPr>
          <w:rFonts w:ascii="Palatino Linotype" w:eastAsia="Palatino Linotype" w:hAnsi="Palatino Linotype" w:cs="Palatino Linotype"/>
          <w:b/>
        </w:rPr>
        <w:t xml:space="preserve">Guadalupe Ramírez Peña, </w:t>
      </w:r>
      <w:r w:rsidRPr="001B665B">
        <w:rPr>
          <w:rFonts w:ascii="Palatino Linotype" w:eastAsia="Palatino Linotype" w:hAnsi="Palatino Linotype" w:cs="Palatino Linotype"/>
        </w:rPr>
        <w:t xml:space="preserve">a efecto de que analizara sobre su admisión o su </w:t>
      </w:r>
      <w:proofErr w:type="spellStart"/>
      <w:r w:rsidRPr="001B665B">
        <w:rPr>
          <w:rFonts w:ascii="Palatino Linotype" w:eastAsia="Palatino Linotype" w:hAnsi="Palatino Linotype" w:cs="Palatino Linotype"/>
        </w:rPr>
        <w:t>desechamiento</w:t>
      </w:r>
      <w:proofErr w:type="spellEnd"/>
      <w:r w:rsidRPr="001B665B">
        <w:rPr>
          <w:rFonts w:ascii="Palatino Linotype" w:eastAsia="Palatino Linotype" w:hAnsi="Palatino Linotype" w:cs="Palatino Linotype"/>
        </w:rPr>
        <w:t>.</w:t>
      </w:r>
    </w:p>
    <w:p w:rsidR="009A5F1A" w:rsidRPr="001B665B" w:rsidRDefault="00335FD2">
      <w:pPr>
        <w:spacing w:before="240" w:after="240" w:line="360" w:lineRule="auto"/>
        <w:jc w:val="both"/>
        <w:rPr>
          <w:rFonts w:ascii="Palatino Linotype" w:eastAsia="Palatino Linotype" w:hAnsi="Palatino Linotype" w:cs="Palatino Linotype"/>
          <w:b/>
        </w:rPr>
      </w:pPr>
      <w:r w:rsidRPr="001B665B">
        <w:rPr>
          <w:rFonts w:ascii="Palatino Linotype" w:eastAsia="Palatino Linotype" w:hAnsi="Palatino Linotype" w:cs="Palatino Linotype"/>
          <w:b/>
        </w:rPr>
        <w:t>7.</w:t>
      </w:r>
      <w:r w:rsidRPr="001B665B">
        <w:rPr>
          <w:rFonts w:ascii="Palatino Linotype" w:eastAsia="Palatino Linotype" w:hAnsi="Palatino Linotype" w:cs="Palatino Linotype"/>
          <w:b/>
          <w:i/>
        </w:rPr>
        <w:t xml:space="preserve"> </w:t>
      </w:r>
      <w:r w:rsidRPr="001B665B">
        <w:rPr>
          <w:rFonts w:ascii="Palatino Linotype" w:eastAsia="Palatino Linotype" w:hAnsi="Palatino Linotype" w:cs="Palatino Linotype"/>
          <w:b/>
        </w:rPr>
        <w:t>Admisión del Recurso de revisión.</w:t>
      </w:r>
      <w:r w:rsidRPr="001B665B">
        <w:rPr>
          <w:rFonts w:ascii="Palatino Linotype" w:eastAsia="Palatino Linotype" w:hAnsi="Palatino Linotype" w:cs="Palatino Linotype"/>
          <w:sz w:val="28"/>
          <w:szCs w:val="28"/>
        </w:rPr>
        <w:t xml:space="preserve"> El</w:t>
      </w:r>
      <w:r w:rsidRPr="001B665B">
        <w:rPr>
          <w:rFonts w:ascii="Palatino Linotype" w:eastAsia="Palatino Linotype" w:hAnsi="Palatino Linotype" w:cs="Palatino Linotype"/>
          <w:b/>
        </w:rPr>
        <w:t xml:space="preserve"> veinticinco de noviembre de dos mil veintidós, </w:t>
      </w:r>
      <w:r w:rsidRPr="001B665B">
        <w:rPr>
          <w:rFonts w:ascii="Palatino Linotype" w:eastAsia="Palatino Linotype" w:hAnsi="Palatino Linotype" w:cs="Palatino Linotype"/>
        </w:rPr>
        <w:t xml:space="preserve">este Instituto de Transparencia, Acceso a la Información Pública y </w:t>
      </w:r>
      <w:r w:rsidRPr="001B665B">
        <w:rPr>
          <w:rFonts w:ascii="Palatino Linotype" w:eastAsia="Palatino Linotype" w:hAnsi="Palatino Linotype" w:cs="Palatino Linotype"/>
        </w:rPr>
        <w:lastRenderedPageBreak/>
        <w:t xml:space="preserve">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presentara su informe justificado.</w:t>
      </w:r>
    </w:p>
    <w:p w:rsidR="009A5F1A" w:rsidRPr="001B665B" w:rsidRDefault="00335FD2">
      <w:pPr>
        <w:widowControl w:val="0"/>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8. Manifestaciones</w:t>
      </w:r>
      <w:r w:rsidRPr="001B665B">
        <w:rPr>
          <w:rFonts w:ascii="Palatino Linotype" w:eastAsia="Palatino Linotype" w:hAnsi="Palatino Linotype" w:cs="Palatino Linotype"/>
        </w:rPr>
        <w:t xml:space="preserve">. El </w:t>
      </w:r>
      <w:r w:rsidRPr="001B665B">
        <w:rPr>
          <w:rFonts w:ascii="Palatino Linotype" w:eastAsia="Palatino Linotype" w:hAnsi="Palatino Linotype" w:cs="Palatino Linotype"/>
          <w:b/>
        </w:rPr>
        <w:t xml:space="preserve">nueve de enero y el tres </w:t>
      </w:r>
      <w:r w:rsidR="00662434" w:rsidRPr="001B665B">
        <w:rPr>
          <w:rFonts w:ascii="Palatino Linotype" w:eastAsia="Palatino Linotype" w:hAnsi="Palatino Linotype" w:cs="Palatino Linotype"/>
          <w:b/>
        </w:rPr>
        <w:t>de abril de dos mil veintitrés</w:t>
      </w:r>
      <w:r w:rsidRPr="001B665B">
        <w:rPr>
          <w:rFonts w:ascii="Palatino Linotype" w:eastAsia="Palatino Linotype" w:hAnsi="Palatino Linotype" w:cs="Palatino Linotype"/>
          <w:b/>
        </w:rPr>
        <w:t xml:space="preserve">, </w:t>
      </w:r>
      <w:r w:rsidRPr="001B665B">
        <w:rPr>
          <w:rFonts w:ascii="Palatino Linotype" w:eastAsia="Palatino Linotype" w:hAnsi="Palatino Linotype" w:cs="Palatino Linotype"/>
        </w:rPr>
        <w:t xml:space="preserve">el </w:t>
      </w:r>
      <w:r w:rsidRPr="001B665B">
        <w:rPr>
          <w:rFonts w:ascii="Palatino Linotype" w:eastAsia="Palatino Linotype" w:hAnsi="Palatino Linotype" w:cs="Palatino Linotype"/>
          <w:b/>
        </w:rPr>
        <w:t xml:space="preserve">Sujeto Obligado </w:t>
      </w:r>
      <w:r w:rsidRPr="001B665B">
        <w:rPr>
          <w:rFonts w:ascii="Palatino Linotype" w:eastAsia="Palatino Linotype" w:hAnsi="Palatino Linotype" w:cs="Palatino Linotype"/>
        </w:rPr>
        <w:t xml:space="preserve">rindió su informe justificado consistente en los siguientes documentos: </w:t>
      </w:r>
    </w:p>
    <w:p w:rsidR="009A5F1A" w:rsidRPr="001B665B" w:rsidRDefault="00335FD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1B665B">
        <w:rPr>
          <w:rFonts w:ascii="Palatino Linotype" w:eastAsia="Palatino Linotype" w:hAnsi="Palatino Linotype" w:cs="Palatino Linotype"/>
          <w:b/>
          <w:i/>
        </w:rPr>
        <w:t>respuesta de solicitud 1129-221.pdf</w:t>
      </w:r>
      <w:r w:rsidRPr="001B665B">
        <w:rPr>
          <w:b/>
          <w:i/>
        </w:rPr>
        <w:t>:</w:t>
      </w:r>
      <w:r w:rsidRPr="001B665B">
        <w:t xml:space="preserve"> </w:t>
      </w:r>
      <w:r w:rsidRPr="001B665B">
        <w:rPr>
          <w:rFonts w:ascii="Palatino Linotype" w:eastAsia="Palatino Linotype" w:hAnsi="Palatino Linotype" w:cs="Palatino Linotype"/>
        </w:rPr>
        <w:t xml:space="preserve">Contiene el escrito del Titular de la Unidad de Transparencia remitido en respuesta a la solicitud de información. </w:t>
      </w:r>
    </w:p>
    <w:p w:rsidR="009A5F1A" w:rsidRPr="001B665B" w:rsidRDefault="00335FD2">
      <w:pPr>
        <w:numPr>
          <w:ilvl w:val="0"/>
          <w:numId w:val="2"/>
        </w:numPr>
        <w:pBdr>
          <w:top w:val="nil"/>
          <w:left w:val="nil"/>
          <w:bottom w:val="nil"/>
          <w:right w:val="nil"/>
          <w:between w:val="nil"/>
        </w:pBdr>
        <w:spacing w:line="360" w:lineRule="auto"/>
        <w:jc w:val="both"/>
      </w:pPr>
      <w:r w:rsidRPr="001B665B">
        <w:rPr>
          <w:rFonts w:ascii="Palatino Linotype" w:eastAsia="Palatino Linotype" w:hAnsi="Palatino Linotype" w:cs="Palatino Linotype"/>
          <w:b/>
          <w:i/>
        </w:rPr>
        <w:t>20230403152555689.pdf</w:t>
      </w:r>
      <w:r w:rsidRPr="001B665B">
        <w:rPr>
          <w:b/>
          <w:i/>
        </w:rPr>
        <w:t xml:space="preserve">: </w:t>
      </w:r>
      <w:r w:rsidRPr="001B665B">
        <w:rPr>
          <w:rFonts w:ascii="Palatino Linotype" w:eastAsia="Palatino Linotype" w:hAnsi="Palatino Linotype" w:cs="Palatino Linotype"/>
        </w:rPr>
        <w:t xml:space="preserve">Se trata del oficio número ZIN/CM/1427/2022 de fecha veintiséis de octubre de dos mil veintidós suscrito y signado por el Contralor Municipal, por medio del cual informó: </w:t>
      </w:r>
    </w:p>
    <w:p w:rsidR="009A5F1A" w:rsidRPr="001B665B" w:rsidRDefault="009A5F1A">
      <w:pPr>
        <w:pBdr>
          <w:top w:val="nil"/>
          <w:left w:val="nil"/>
          <w:bottom w:val="nil"/>
          <w:right w:val="nil"/>
          <w:between w:val="nil"/>
        </w:pBdr>
        <w:spacing w:line="360" w:lineRule="auto"/>
        <w:ind w:left="720" w:hanging="360"/>
        <w:jc w:val="both"/>
        <w:rPr>
          <w:rFonts w:ascii="Palatino Linotype" w:eastAsia="Palatino Linotype" w:hAnsi="Palatino Linotype" w:cs="Palatino Linotype"/>
          <w:b/>
          <w:i/>
        </w:rPr>
      </w:pPr>
    </w:p>
    <w:p w:rsidR="009A5F1A" w:rsidRPr="001B665B" w:rsidRDefault="00335FD2">
      <w:pPr>
        <w:pBdr>
          <w:top w:val="nil"/>
          <w:left w:val="nil"/>
          <w:bottom w:val="nil"/>
          <w:right w:val="nil"/>
          <w:between w:val="nil"/>
        </w:pBdr>
        <w:spacing w:line="360" w:lineRule="auto"/>
        <w:ind w:left="720" w:hanging="360"/>
        <w:jc w:val="both"/>
      </w:pPr>
      <w:r w:rsidRPr="001B665B">
        <w:rPr>
          <w:rFonts w:ascii="Palatino Linotype" w:eastAsia="Palatino Linotype" w:hAnsi="Palatino Linotype" w:cs="Palatino Linotype"/>
          <w:b/>
          <w:i/>
        </w:rPr>
        <w:t>“…</w:t>
      </w:r>
      <w:r w:rsidRPr="001B665B">
        <w:rPr>
          <w:rFonts w:ascii="Palatino Linotype" w:eastAsia="Palatino Linotype" w:hAnsi="Palatino Linotype" w:cs="Palatino Linotype"/>
          <w:i/>
        </w:rPr>
        <w:t>durante el periodo referido, no han sido recibidas en esta Contraloría Municipal o ante la Autoridad Investigadora, denuncias inherentes a la prestación del servicio público de recolección de residuos sólidos.” (Sic)</w:t>
      </w:r>
      <w:r w:rsidRPr="001B665B">
        <w:rPr>
          <w:rFonts w:ascii="Palatino Linotype" w:eastAsia="Palatino Linotype" w:hAnsi="Palatino Linotype" w:cs="Palatino Linotype"/>
        </w:rPr>
        <w:t xml:space="preserve"> </w:t>
      </w:r>
    </w:p>
    <w:p w:rsidR="009A5F1A" w:rsidRPr="001B665B" w:rsidRDefault="009A5F1A">
      <w:pPr>
        <w:pBdr>
          <w:top w:val="nil"/>
          <w:left w:val="nil"/>
          <w:bottom w:val="nil"/>
          <w:right w:val="nil"/>
          <w:between w:val="nil"/>
        </w:pBdr>
        <w:spacing w:line="360" w:lineRule="auto"/>
        <w:ind w:left="720" w:hanging="360"/>
        <w:jc w:val="both"/>
        <w:rPr>
          <w:rFonts w:ascii="Palatino Linotype" w:eastAsia="Palatino Linotype" w:hAnsi="Palatino Linotype" w:cs="Palatino Linotype"/>
          <w:b/>
          <w:i/>
        </w:rPr>
      </w:pPr>
    </w:p>
    <w:p w:rsidR="009A5F1A" w:rsidRPr="001B665B" w:rsidRDefault="00335FD2">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Documentos que el nueve de mayo de dos mil veintitrés se pusieron a la vista de la </w:t>
      </w:r>
      <w:r w:rsidRPr="001B665B">
        <w:rPr>
          <w:rFonts w:ascii="Palatino Linotype" w:eastAsia="Palatino Linotype" w:hAnsi="Palatino Linotype" w:cs="Palatino Linotype"/>
          <w:b/>
        </w:rPr>
        <w:t xml:space="preserve">Recurrente </w:t>
      </w:r>
      <w:r w:rsidRPr="001B665B">
        <w:rPr>
          <w:rFonts w:ascii="Palatino Linotype" w:eastAsia="Palatino Linotype" w:hAnsi="Palatino Linotype" w:cs="Palatino Linotype"/>
        </w:rPr>
        <w:t xml:space="preserve">para su conocimiento; quien no realizó manifestaciones, no formuló alegatos, ni ofreció algún medio de prueba, tal como se visualiza en la siguiente imagen. </w:t>
      </w:r>
    </w:p>
    <w:p w:rsidR="009A5F1A" w:rsidRPr="001B665B" w:rsidRDefault="00335FD2">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1B665B">
        <w:rPr>
          <w:noProof/>
          <w:lang w:val="es-MX"/>
        </w:rPr>
        <w:lastRenderedPageBreak/>
        <w:drawing>
          <wp:inline distT="0" distB="0" distL="0" distR="0" wp14:anchorId="56C39CB7" wp14:editId="295FFB03">
            <wp:extent cx="5534025" cy="2181225"/>
            <wp:effectExtent l="0" t="0" r="0" 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2234" t="31395" r="23624" b="26946"/>
                    <a:stretch>
                      <a:fillRect/>
                    </a:stretch>
                  </pic:blipFill>
                  <pic:spPr>
                    <a:xfrm>
                      <a:off x="0" y="0"/>
                      <a:ext cx="5534025" cy="2181225"/>
                    </a:xfrm>
                    <a:prstGeom prst="rect">
                      <a:avLst/>
                    </a:prstGeom>
                    <a:ln/>
                  </pic:spPr>
                </pic:pic>
              </a:graphicData>
            </a:graphic>
          </wp:inline>
        </w:drawing>
      </w:r>
    </w:p>
    <w:p w:rsidR="009A5F1A" w:rsidRPr="001B665B" w:rsidRDefault="00335FD2">
      <w:pPr>
        <w:widowControl w:val="0"/>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9.</w:t>
      </w:r>
      <w:r w:rsidRPr="001B665B">
        <w:rPr>
          <w:rFonts w:ascii="Palatino Linotype" w:eastAsia="Palatino Linotype" w:hAnsi="Palatino Linotype" w:cs="Palatino Linotype"/>
        </w:rPr>
        <w:t xml:space="preserve"> </w:t>
      </w:r>
      <w:r w:rsidRPr="001B665B">
        <w:rPr>
          <w:rFonts w:ascii="Palatino Linotype" w:eastAsia="Palatino Linotype" w:hAnsi="Palatino Linotype" w:cs="Palatino Linotype"/>
          <w:b/>
        </w:rPr>
        <w:t xml:space="preserve">Ampliación del plazo para emitir resolución. </w:t>
      </w:r>
      <w:r w:rsidRPr="001B665B">
        <w:rPr>
          <w:rFonts w:ascii="Palatino Linotype" w:eastAsia="Palatino Linotype" w:hAnsi="Palatino Linotype" w:cs="Palatino Linotype"/>
        </w:rPr>
        <w:t xml:space="preserve">El </w:t>
      </w:r>
      <w:r w:rsidRPr="001B665B">
        <w:rPr>
          <w:rFonts w:ascii="Palatino Linotype" w:eastAsia="Palatino Linotype" w:hAnsi="Palatino Linotype" w:cs="Palatino Linotype"/>
          <w:b/>
        </w:rPr>
        <w:t>nueve de mayo de dos mil veintitrés</w:t>
      </w:r>
      <w:r w:rsidRPr="001B665B">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1B665B">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A5F1A" w:rsidRPr="001B665B" w:rsidRDefault="00335FD2">
      <w:pPr>
        <w:spacing w:before="240" w:after="240" w:line="360" w:lineRule="auto"/>
        <w:jc w:val="both"/>
        <w:rPr>
          <w:rFonts w:ascii="Palatino Linotype" w:eastAsia="Palatino Linotype" w:hAnsi="Palatino Linotype" w:cs="Palatino Linotype"/>
          <w:strike/>
        </w:rPr>
      </w:pPr>
      <w:r w:rsidRPr="001B665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A5F1A" w:rsidRPr="001B665B" w:rsidRDefault="00335FD2">
      <w:pPr>
        <w:numPr>
          <w:ilvl w:val="0"/>
          <w:numId w:val="3"/>
        </w:num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9A5F1A" w:rsidRPr="001B665B" w:rsidRDefault="00335FD2">
      <w:pPr>
        <w:numPr>
          <w:ilvl w:val="0"/>
          <w:numId w:val="3"/>
        </w:num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Actividad Procesal del interesado. Acciones u omisiones del interesado.</w:t>
      </w:r>
    </w:p>
    <w:p w:rsidR="009A5F1A" w:rsidRPr="001B665B" w:rsidRDefault="00335FD2">
      <w:pPr>
        <w:numPr>
          <w:ilvl w:val="0"/>
          <w:numId w:val="3"/>
        </w:num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Conducta de la Autoridad: Las Acciones u omisiones realizadas en el procedimiento. Así como si la autoridad actuó con la debida diligencia.</w:t>
      </w:r>
    </w:p>
    <w:p w:rsidR="009A5F1A" w:rsidRPr="001B665B" w:rsidRDefault="00335FD2">
      <w:pPr>
        <w:spacing w:before="240" w:after="240" w:line="360" w:lineRule="auto"/>
        <w:ind w:left="567"/>
        <w:jc w:val="both"/>
        <w:rPr>
          <w:rFonts w:ascii="Palatino Linotype" w:eastAsia="Palatino Linotype" w:hAnsi="Palatino Linotype" w:cs="Palatino Linotype"/>
        </w:rPr>
      </w:pPr>
      <w:r w:rsidRPr="001B665B">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A5F1A" w:rsidRPr="001B665B" w:rsidRDefault="00335FD2">
      <w:pPr>
        <w:spacing w:before="240" w:after="240" w:line="360" w:lineRule="auto"/>
        <w:jc w:val="both"/>
        <w:rPr>
          <w:rFonts w:ascii="Palatino Linotype" w:eastAsia="Palatino Linotype" w:hAnsi="Palatino Linotype" w:cs="Palatino Linotype"/>
          <w:b/>
        </w:rPr>
      </w:pPr>
      <w:r w:rsidRPr="001B665B">
        <w:rPr>
          <w:rFonts w:ascii="Palatino Linotype" w:eastAsia="Palatino Linotype" w:hAnsi="Palatino Linotype" w:cs="Palatino Linotype"/>
        </w:rPr>
        <w:t>Argumento que encuentra sustento en la jurisprudencia P</w:t>
      </w:r>
      <w:proofErr w:type="gramStart"/>
      <w:r w:rsidRPr="001B665B">
        <w:rPr>
          <w:rFonts w:ascii="Palatino Linotype" w:eastAsia="Palatino Linotype" w:hAnsi="Palatino Linotype" w:cs="Palatino Linotype"/>
        </w:rPr>
        <w:t>./</w:t>
      </w:r>
      <w:proofErr w:type="gramEnd"/>
      <w:r w:rsidRPr="001B665B">
        <w:rPr>
          <w:rFonts w:ascii="Palatino Linotype" w:eastAsia="Palatino Linotype" w:hAnsi="Palatino Linotype" w:cs="Palatino Linotype"/>
        </w:rPr>
        <w:t xml:space="preserve">J. 32/92 emitida por el Pleno de la Suprema Corte de Justicia de la Nación de rubro </w:t>
      </w:r>
      <w:r w:rsidRPr="001B665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B665B">
        <w:rPr>
          <w:rFonts w:ascii="Palatino Linotype" w:eastAsia="Palatino Linotype" w:hAnsi="Palatino Linotype" w:cs="Palatino Linotype"/>
        </w:rPr>
        <w:t>, visible en la Gaceta del Seminario Judicial de la Federación con el registro digital 205635.</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B665B">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 </w:t>
      </w:r>
      <w:r w:rsidRPr="001B665B">
        <w:rPr>
          <w:rFonts w:ascii="Palatino Linotype" w:eastAsia="Palatino Linotype" w:hAnsi="Palatino Linotype" w:cs="Palatino Linotype"/>
          <w:i/>
        </w:rPr>
        <w:t>“PLAZO RAZONABLE PARA RESOLVER. DIMENSIÓN Y EFECTOS DE ESTE CONCEPTO CUANDO SE ADUCE EXCESIVA CARGA DE TRABAJO.”</w:t>
      </w:r>
      <w:r w:rsidRPr="001B665B">
        <w:rPr>
          <w:rFonts w:ascii="Palatino Linotype" w:eastAsia="Palatino Linotype" w:hAnsi="Palatino Linotype" w:cs="Palatino Linotype"/>
        </w:rPr>
        <w:t xml:space="preserve"> consultable en el Seminario Judicial de la Federación y su gaceta, con el registro digital 2002351.</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i/>
        </w:rPr>
        <w:t>“PLAZO RAZONABLE PARA RESOLVER. CONCEPTO Y ELEMENTOS QUE LO INTEGRAN A LA LUZ DEL DERECHO INTERNACIONAL DE LOS DERECHOS HUMANOS.”</w:t>
      </w:r>
      <w:r w:rsidRPr="001B665B">
        <w:rPr>
          <w:rFonts w:ascii="Palatino Linotype" w:eastAsia="Palatino Linotype" w:hAnsi="Palatino Linotype" w:cs="Palatino Linotype"/>
        </w:rPr>
        <w:t>, visible en el Seminario Judicial de la Federación y su gaceta, con el registro digital 2002350.</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10. Cierre de instrucción. </w:t>
      </w:r>
      <w:r w:rsidRPr="001B665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B665B">
        <w:rPr>
          <w:rFonts w:ascii="Palatino Linotype" w:eastAsia="Palatino Linotype" w:hAnsi="Palatino Linotype" w:cs="Palatino Linotype"/>
          <w:b/>
        </w:rPr>
        <w:t>quince de mayo de dos mil veintitrés</w:t>
      </w:r>
      <w:r w:rsidRPr="001B665B">
        <w:rPr>
          <w:rFonts w:ascii="Palatino Linotype" w:eastAsia="Palatino Linotype" w:hAnsi="Palatino Linotype" w:cs="Palatino Linotype"/>
        </w:rPr>
        <w:t xml:space="preserve">, la Comisionada Ponente determinó el cierre de instrucción en </w:t>
      </w:r>
      <w:proofErr w:type="spellStart"/>
      <w:r w:rsidRPr="001B665B">
        <w:rPr>
          <w:rFonts w:ascii="Palatino Linotype" w:eastAsia="Palatino Linotype" w:hAnsi="Palatino Linotype" w:cs="Palatino Linotype"/>
        </w:rPr>
        <w:t>téminos</w:t>
      </w:r>
      <w:proofErr w:type="spellEnd"/>
      <w:r w:rsidRPr="001B665B">
        <w:rPr>
          <w:rFonts w:ascii="Palatino Linotype" w:eastAsia="Palatino Linotype" w:hAnsi="Palatino Linotype" w:cs="Palatino Linotype"/>
        </w:rPr>
        <w:t xml:space="preserve"> de la fracción VI del artículo 185 de la Ley de Transparencia y Acceso a la Información Pública del Estado de México y Municipios</w:t>
      </w:r>
    </w:p>
    <w:p w:rsidR="009A5F1A" w:rsidRPr="001B665B" w:rsidRDefault="00335FD2">
      <w:pPr>
        <w:widowControl w:val="0"/>
        <w:spacing w:before="240" w:after="240" w:line="360" w:lineRule="auto"/>
        <w:jc w:val="both"/>
        <w:rPr>
          <w:rFonts w:ascii="Palatino Linotype" w:eastAsia="Palatino Linotype" w:hAnsi="Palatino Linotype" w:cs="Palatino Linotype"/>
          <w:b/>
        </w:rPr>
      </w:pPr>
      <w:r w:rsidRPr="001B665B">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sidRPr="001B665B">
        <w:rPr>
          <w:rFonts w:ascii="Palatino Linotype" w:eastAsia="Palatino Linotype" w:hAnsi="Palatino Linotype" w:cs="Palatino Linotype"/>
          <w:b/>
        </w:rPr>
        <w:t xml:space="preserve"> </w:t>
      </w:r>
    </w:p>
    <w:p w:rsidR="009A5F1A" w:rsidRPr="001B665B" w:rsidRDefault="00335FD2">
      <w:pPr>
        <w:widowControl w:val="0"/>
        <w:spacing w:before="240" w:after="240" w:line="360" w:lineRule="auto"/>
        <w:jc w:val="center"/>
        <w:rPr>
          <w:rFonts w:ascii="Palatino Linotype" w:eastAsia="Palatino Linotype" w:hAnsi="Palatino Linotype" w:cs="Palatino Linotype"/>
          <w:b/>
        </w:rPr>
      </w:pPr>
      <w:r w:rsidRPr="001B665B">
        <w:rPr>
          <w:rFonts w:ascii="Palatino Linotype" w:eastAsia="Palatino Linotype" w:hAnsi="Palatino Linotype" w:cs="Palatino Linotype"/>
          <w:b/>
        </w:rPr>
        <w:t>II. C O N S I D E R A N D O S</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Primero. Competencia.</w:t>
      </w:r>
      <w:r w:rsidRPr="001B665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A5F1A" w:rsidRPr="001B665B" w:rsidRDefault="00335FD2">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1B665B">
        <w:rPr>
          <w:rFonts w:ascii="Palatino Linotype" w:eastAsia="Palatino Linotype" w:hAnsi="Palatino Linotype" w:cs="Palatino Linotype"/>
          <w:b/>
        </w:rPr>
        <w:t xml:space="preserve">Segundo. Oportunidad y </w:t>
      </w:r>
      <w:proofErr w:type="spellStart"/>
      <w:r w:rsidRPr="001B665B">
        <w:rPr>
          <w:rFonts w:ascii="Palatino Linotype" w:eastAsia="Palatino Linotype" w:hAnsi="Palatino Linotype" w:cs="Palatino Linotype"/>
          <w:b/>
        </w:rPr>
        <w:t>Procedibilidad</w:t>
      </w:r>
      <w:proofErr w:type="spellEnd"/>
      <w:r w:rsidRPr="001B665B">
        <w:rPr>
          <w:rFonts w:ascii="Palatino Linotype" w:eastAsia="Palatino Linotype" w:hAnsi="Palatino Linotype" w:cs="Palatino Linotype"/>
          <w:b/>
        </w:rPr>
        <w:t xml:space="preserve"> del Recurso de Revisión</w:t>
      </w:r>
      <w:r w:rsidRPr="001B665B">
        <w:rPr>
          <w:rFonts w:ascii="Palatino Linotype" w:eastAsia="Palatino Linotype" w:hAnsi="Palatino Linotype" w:cs="Palatino Linotype"/>
        </w:rPr>
        <w:t xml:space="preserve">. Previo al estudio del fondo del asunto, se procede a analizar los requisitos de oportunidad y </w:t>
      </w:r>
      <w:proofErr w:type="spellStart"/>
      <w:r w:rsidRPr="001B665B">
        <w:rPr>
          <w:rFonts w:ascii="Palatino Linotype" w:eastAsia="Palatino Linotype" w:hAnsi="Palatino Linotype" w:cs="Palatino Linotype"/>
        </w:rPr>
        <w:t>procedibilidad</w:t>
      </w:r>
      <w:proofErr w:type="spellEnd"/>
      <w:r w:rsidRPr="001B665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9A5F1A" w:rsidRPr="001B665B" w:rsidRDefault="00335FD2">
      <w:pPr>
        <w:spacing w:before="240" w:after="240" w:line="360" w:lineRule="auto"/>
        <w:ind w:right="49"/>
        <w:jc w:val="both"/>
        <w:rPr>
          <w:rFonts w:ascii="Palatino Linotype" w:eastAsia="Palatino Linotype" w:hAnsi="Palatino Linotype" w:cs="Palatino Linotype"/>
        </w:rPr>
      </w:pPr>
      <w:r w:rsidRPr="001B665B">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respondió a la solicitud de información el </w:t>
      </w:r>
      <w:r w:rsidRPr="001B665B">
        <w:rPr>
          <w:rFonts w:ascii="Palatino Linotype" w:eastAsia="Palatino Linotype" w:hAnsi="Palatino Linotype" w:cs="Palatino Linotype"/>
          <w:b/>
        </w:rPr>
        <w:t xml:space="preserve">veintidós de noviembre de dos mil veintidós, </w:t>
      </w:r>
      <w:r w:rsidRPr="001B665B">
        <w:rPr>
          <w:rFonts w:ascii="Palatino Linotype" w:eastAsia="Palatino Linotype" w:hAnsi="Palatino Linotype" w:cs="Palatino Linotype"/>
        </w:rPr>
        <w:t>mientras que el recurso de revisión se interpuso el mismo día en que tuvo conocimiento de la respuesta impugnada.</w:t>
      </w:r>
    </w:p>
    <w:p w:rsidR="009A5F1A" w:rsidRPr="001B665B" w:rsidRDefault="00335FD2">
      <w:pPr>
        <w:pBdr>
          <w:top w:val="nil"/>
          <w:left w:val="nil"/>
          <w:bottom w:val="nil"/>
          <w:right w:val="nil"/>
          <w:between w:val="nil"/>
        </w:pBdr>
        <w:spacing w:before="240" w:after="240" w:line="360" w:lineRule="auto"/>
        <w:jc w:val="both"/>
      </w:pPr>
      <w:r w:rsidRPr="001B665B">
        <w:rPr>
          <w:rFonts w:ascii="Palatino Linotype" w:eastAsia="Palatino Linotype" w:hAnsi="Palatino Linotype" w:cs="Palatino Linotype"/>
        </w:rPr>
        <w:t xml:space="preserve">En ese sentido, al considerar la fecha en que se formuló la solicitud y la fecha en la que respondió a ésta </w:t>
      </w:r>
      <w:r w:rsidRPr="001B665B">
        <w:rPr>
          <w:rFonts w:ascii="Palatino Linotype" w:eastAsia="Palatino Linotype" w:hAnsi="Palatino Linotype" w:cs="Palatino Linotype"/>
          <w:b/>
        </w:rPr>
        <w:t>EL SUJETO OBLIGADO</w:t>
      </w:r>
      <w:r w:rsidRPr="001B665B">
        <w:rPr>
          <w:rFonts w:ascii="Palatino Linotype" w:eastAsia="Palatino Linotype" w:hAnsi="Palatino Linotype" w:cs="Palatino Linotype"/>
        </w:rPr>
        <w:t>; así como, en la que se interpuso el recurso de revisión, éste se encuentra dentro de los márgenes temporales previstos en el citado precepto legal.</w:t>
      </w:r>
    </w:p>
    <w:p w:rsidR="009A5F1A" w:rsidRPr="001B665B" w:rsidRDefault="00335FD2">
      <w:pPr>
        <w:pBdr>
          <w:top w:val="nil"/>
          <w:left w:val="nil"/>
          <w:bottom w:val="nil"/>
          <w:right w:val="nil"/>
          <w:between w:val="nil"/>
        </w:pBdr>
        <w:spacing w:before="240" w:after="240" w:line="360" w:lineRule="auto"/>
        <w:jc w:val="both"/>
      </w:pPr>
      <w:r w:rsidRPr="001B665B">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9A5F1A" w:rsidRPr="001B665B" w:rsidRDefault="00335FD2">
      <w:pPr>
        <w:pBdr>
          <w:top w:val="nil"/>
          <w:left w:val="nil"/>
          <w:bottom w:val="nil"/>
          <w:right w:val="nil"/>
          <w:between w:val="nil"/>
        </w:pBdr>
        <w:spacing w:before="120" w:after="120" w:line="276" w:lineRule="auto"/>
        <w:ind w:left="851" w:right="902"/>
        <w:jc w:val="both"/>
      </w:pPr>
      <w:r w:rsidRPr="001B665B">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1B665B">
        <w:rPr>
          <w:rFonts w:ascii="Palatino Linotype" w:eastAsia="Palatino Linotype" w:hAnsi="Palatino Linotype" w:cs="Palatino Linotype"/>
          <w:i/>
          <w:sz w:val="22"/>
          <w:szCs w:val="22"/>
        </w:rPr>
        <w:t>.</w:t>
      </w:r>
    </w:p>
    <w:p w:rsidR="009A5F1A" w:rsidRPr="001B665B" w:rsidRDefault="00335FD2">
      <w:pPr>
        <w:pBdr>
          <w:top w:val="nil"/>
          <w:left w:val="nil"/>
          <w:bottom w:val="nil"/>
          <w:right w:val="nil"/>
          <w:between w:val="nil"/>
        </w:pBdr>
        <w:spacing w:before="120" w:after="120" w:line="276" w:lineRule="auto"/>
        <w:ind w:left="851" w:right="902"/>
        <w:jc w:val="both"/>
      </w:pPr>
      <w:r w:rsidRPr="001B665B">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Al mismo tiempo, por cuanto hace a la </w:t>
      </w:r>
      <w:proofErr w:type="spellStart"/>
      <w:r w:rsidRPr="001B665B">
        <w:rPr>
          <w:rFonts w:ascii="Palatino Linotype" w:eastAsia="Palatino Linotype" w:hAnsi="Palatino Linotype" w:cs="Palatino Linotype"/>
        </w:rPr>
        <w:t>procedibilidad</w:t>
      </w:r>
      <w:proofErr w:type="spellEnd"/>
      <w:r w:rsidRPr="001B665B">
        <w:rPr>
          <w:rFonts w:ascii="Palatino Linotype" w:eastAsia="Palatino Linotype" w:hAnsi="Palatino Linotype" w:cs="Palatino Linotype"/>
        </w:rPr>
        <w:t xml:space="preserve"> de los recursos de rev</w:t>
      </w:r>
      <w:r w:rsidR="00164DBD" w:rsidRPr="001B665B">
        <w:rPr>
          <w:rFonts w:ascii="Palatino Linotype" w:eastAsia="Palatino Linotype" w:hAnsi="Palatino Linotype" w:cs="Palatino Linotype"/>
        </w:rPr>
        <w:t>isión, es de suma importancia mencionar</w:t>
      </w:r>
      <w:r w:rsidRPr="001B665B">
        <w:rPr>
          <w:rFonts w:ascii="Palatino Linotype" w:eastAsia="Palatino Linotype" w:hAnsi="Palatino Linotype" w:cs="Palatino Linotype"/>
        </w:rPr>
        <w:t xml:space="preserve"> que la parte recurrente no señala nombre </w:t>
      </w:r>
      <w:proofErr w:type="spellStart"/>
      <w:r w:rsidRPr="001B665B">
        <w:rPr>
          <w:rFonts w:ascii="Palatino Linotype" w:eastAsia="Palatino Linotype" w:hAnsi="Palatino Linotype" w:cs="Palatino Linotype"/>
        </w:rPr>
        <w:t>ccomo</w:t>
      </w:r>
      <w:proofErr w:type="spellEnd"/>
      <w:r w:rsidRPr="001B665B">
        <w:rPr>
          <w:rFonts w:ascii="Palatino Linotype" w:eastAsia="Palatino Linotype" w:hAnsi="Palatino Linotype" w:cs="Palatino Linotype"/>
        </w:rPr>
        <w:t xml:space="preserve"> se advierte en el detalle de seguimiento del SAIMEX, no obstante lo anter</w:t>
      </w:r>
      <w:r w:rsidR="00164DBD" w:rsidRPr="001B665B">
        <w:rPr>
          <w:rFonts w:ascii="Palatino Linotype" w:eastAsia="Palatino Linotype" w:hAnsi="Palatino Linotype" w:cs="Palatino Linotype"/>
        </w:rPr>
        <w:t xml:space="preserve">ior, no proporcionar el nombre </w:t>
      </w:r>
      <w:r w:rsidRPr="001B665B">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A5F1A" w:rsidRPr="001B665B" w:rsidRDefault="009A5F1A">
      <w:pPr>
        <w:ind w:left="567" w:right="474"/>
        <w:jc w:val="both"/>
        <w:rPr>
          <w:rFonts w:ascii="Palatino Linotype" w:eastAsia="Palatino Linotype" w:hAnsi="Palatino Linotype" w:cs="Palatino Linotype"/>
          <w:i/>
        </w:rPr>
      </w:pPr>
    </w:p>
    <w:p w:rsidR="009A5F1A" w:rsidRPr="001B665B" w:rsidRDefault="00335FD2">
      <w:pPr>
        <w:spacing w:line="276" w:lineRule="auto"/>
        <w:ind w:left="567"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Las solicitudes anónimas</w:t>
      </w:r>
      <w:r w:rsidRPr="001B665B">
        <w:rPr>
          <w:rFonts w:ascii="Palatino Linotype" w:eastAsia="Palatino Linotype" w:hAnsi="Palatino Linotype" w:cs="Palatino Linotype"/>
          <w:i/>
          <w:sz w:val="22"/>
          <w:szCs w:val="22"/>
        </w:rPr>
        <w:t xml:space="preserve">, con nombre incompleto o seudónimo </w:t>
      </w:r>
      <w:r w:rsidRPr="001B665B">
        <w:rPr>
          <w:rFonts w:ascii="Palatino Linotype" w:eastAsia="Palatino Linotype" w:hAnsi="Palatino Linotype" w:cs="Palatino Linotype"/>
          <w:b/>
          <w:i/>
          <w:sz w:val="22"/>
          <w:szCs w:val="22"/>
        </w:rPr>
        <w:t>serán procedentes para su trámite por parte del sujeto obligado ante quien se presente</w:t>
      </w:r>
      <w:r w:rsidRPr="001B665B">
        <w:rPr>
          <w:rFonts w:ascii="Palatino Linotype" w:eastAsia="Palatino Linotype" w:hAnsi="Palatino Linotype" w:cs="Palatino Linotype"/>
          <w:i/>
          <w:sz w:val="22"/>
          <w:szCs w:val="22"/>
        </w:rPr>
        <w:t>. No podrá requerirse información adicional con motivo del nombre proporcionado por el solicitante."</w:t>
      </w:r>
    </w:p>
    <w:p w:rsidR="009A5F1A" w:rsidRPr="001B665B" w:rsidRDefault="009A5F1A">
      <w:pPr>
        <w:spacing w:line="360" w:lineRule="auto"/>
        <w:jc w:val="both"/>
        <w:rPr>
          <w:i/>
          <w:sz w:val="22"/>
          <w:szCs w:val="22"/>
        </w:rPr>
      </w:pPr>
    </w:p>
    <w:p w:rsidR="009A5F1A" w:rsidRPr="001B665B" w:rsidRDefault="00335FD2">
      <w:pPr>
        <w:spacing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Por ende, por cuanto hace a la </w:t>
      </w:r>
      <w:proofErr w:type="spellStart"/>
      <w:r w:rsidRPr="001B665B">
        <w:rPr>
          <w:rFonts w:ascii="Palatino Linotype" w:eastAsia="Palatino Linotype" w:hAnsi="Palatino Linotype" w:cs="Palatino Linotype"/>
        </w:rPr>
        <w:t>procedibilidad</w:t>
      </w:r>
      <w:proofErr w:type="spellEnd"/>
      <w:r w:rsidRPr="001B665B">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w:t>
      </w:r>
      <w:r w:rsidRPr="001B665B">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rsidR="009A5F1A" w:rsidRPr="001B665B" w:rsidRDefault="00335FD2">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I del ordenamiento legal citado, que a la letra dice: </w:t>
      </w:r>
    </w:p>
    <w:p w:rsidR="009A5F1A" w:rsidRPr="001B665B" w:rsidRDefault="00335FD2">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Artículo 179.</w:t>
      </w:r>
      <w:r w:rsidRPr="001B665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A5F1A" w:rsidRPr="001B665B" w:rsidRDefault="009A5F1A">
      <w:pPr>
        <w:spacing w:before="120" w:after="120"/>
        <w:ind w:left="993" w:right="902"/>
        <w:jc w:val="both"/>
        <w:rPr>
          <w:rFonts w:ascii="Palatino Linotype" w:eastAsia="Palatino Linotype" w:hAnsi="Palatino Linotype" w:cs="Palatino Linotype"/>
          <w:b/>
          <w:i/>
          <w:sz w:val="22"/>
          <w:szCs w:val="22"/>
        </w:rPr>
      </w:pPr>
    </w:p>
    <w:p w:rsidR="00164DBD" w:rsidRPr="001B665B" w:rsidRDefault="00164DBD" w:rsidP="000D79F7">
      <w:pPr>
        <w:pStyle w:val="Prrafodelista"/>
        <w:numPr>
          <w:ilvl w:val="0"/>
          <w:numId w:val="5"/>
        </w:numPr>
        <w:spacing w:before="120" w:after="120"/>
        <w:ind w:right="902"/>
        <w:jc w:val="both"/>
        <w:rPr>
          <w:rFonts w:ascii="Palatino Linotype" w:hAnsi="Palatino Linotype"/>
          <w:i/>
          <w:sz w:val="22"/>
          <w:szCs w:val="22"/>
        </w:rPr>
      </w:pPr>
      <w:r w:rsidRPr="001B665B">
        <w:rPr>
          <w:rFonts w:ascii="Palatino Linotype" w:hAnsi="Palatino Linotype"/>
          <w:i/>
          <w:sz w:val="22"/>
          <w:szCs w:val="22"/>
        </w:rPr>
        <w:t>La negativa a la información solicitada</w:t>
      </w:r>
      <w:r w:rsidR="000D79F7" w:rsidRPr="001B665B">
        <w:rPr>
          <w:rFonts w:ascii="Palatino Linotype" w:hAnsi="Palatino Linotype"/>
          <w:i/>
          <w:sz w:val="22"/>
          <w:szCs w:val="22"/>
        </w:rPr>
        <w:t>;</w:t>
      </w:r>
    </w:p>
    <w:p w:rsidR="000D79F7" w:rsidRPr="001B665B" w:rsidRDefault="000D79F7" w:rsidP="000D79F7">
      <w:pPr>
        <w:spacing w:before="120" w:after="120"/>
        <w:ind w:left="993"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0946BC" w:rsidRPr="001B665B" w:rsidRDefault="000946BC" w:rsidP="000946BC">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Tercero. Materia de la revisión. </w:t>
      </w:r>
      <w:r w:rsidRPr="001B665B">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1B665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B665B">
        <w:rPr>
          <w:rFonts w:ascii="Palatino Linotype" w:eastAsia="Palatino Linotype" w:hAnsi="Palatino Linotype" w:cs="Palatino Linotype"/>
        </w:rPr>
        <w:t xml:space="preserve">del </w:t>
      </w:r>
      <w:r w:rsidRPr="001B665B">
        <w:rPr>
          <w:rFonts w:ascii="Palatino Linotype" w:eastAsia="Palatino Linotype" w:hAnsi="Palatino Linotype" w:cs="Palatino Linotype"/>
          <w:b/>
        </w:rPr>
        <w:t>Recurrente</w:t>
      </w:r>
      <w:r w:rsidRPr="001B665B">
        <w:rPr>
          <w:rFonts w:ascii="Palatino Linotype" w:eastAsia="Palatino Linotype" w:hAnsi="Palatino Linotype" w:cs="Palatino Linotype"/>
        </w:rPr>
        <w:t>, o en su defecto, en caso de ser procedente, ordenar la entrega de información.</w:t>
      </w:r>
    </w:p>
    <w:p w:rsidR="000946BC" w:rsidRPr="001B665B" w:rsidRDefault="000946BC" w:rsidP="000946BC">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Cuarto. Estudio del asunto. </w:t>
      </w:r>
      <w:r w:rsidRPr="001B665B">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sidRPr="001B665B">
        <w:rPr>
          <w:rFonts w:ascii="Palatino Linotype" w:eastAsia="Palatino Linotype" w:hAnsi="Palatino Linotype" w:cs="Palatino Linotype"/>
        </w:rPr>
        <w:lastRenderedPageBreak/>
        <w:t>párrafos primero, segundo y tercero y 6 apartado A fracciones I, II, III, IV, V, VI y VII que a la letra señalan:</w:t>
      </w:r>
    </w:p>
    <w:p w:rsidR="000946BC" w:rsidRPr="001B665B" w:rsidRDefault="000946BC" w:rsidP="000946BC">
      <w:pPr>
        <w:tabs>
          <w:tab w:val="left" w:pos="709"/>
        </w:tabs>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B665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946BC" w:rsidRPr="001B665B" w:rsidRDefault="000946BC" w:rsidP="000946BC">
      <w:pPr>
        <w:tabs>
          <w:tab w:val="left" w:pos="709"/>
        </w:tabs>
        <w:ind w:left="851" w:right="616"/>
        <w:jc w:val="both"/>
        <w:rPr>
          <w:rFonts w:ascii="Palatino Linotype" w:eastAsia="Palatino Linotype" w:hAnsi="Palatino Linotype" w:cs="Palatino Linotype"/>
          <w:b/>
          <w:i/>
          <w:sz w:val="22"/>
          <w:szCs w:val="22"/>
        </w:rPr>
      </w:pPr>
      <w:r w:rsidRPr="001B665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946BC" w:rsidRPr="001B665B" w:rsidRDefault="000946BC" w:rsidP="000946BC">
      <w:pPr>
        <w:tabs>
          <w:tab w:val="left" w:pos="709"/>
        </w:tabs>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B665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946BC" w:rsidRPr="001B665B" w:rsidRDefault="000946BC" w:rsidP="000946BC">
      <w:pPr>
        <w:tabs>
          <w:tab w:val="left" w:pos="709"/>
        </w:tabs>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“Artículo 6o.</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A. Para el ejercicio del derecho de acceso a la información, la Federación y </w:t>
      </w:r>
      <w:r w:rsidRPr="001B665B">
        <w:rPr>
          <w:rFonts w:ascii="Palatino Linotype" w:eastAsia="Palatino Linotype" w:hAnsi="Palatino Linotype" w:cs="Palatino Linotype"/>
          <w:b/>
          <w:i/>
          <w:sz w:val="22"/>
          <w:szCs w:val="22"/>
          <w:u w:val="single"/>
        </w:rPr>
        <w:t>las entidades federativas</w:t>
      </w:r>
      <w:r w:rsidRPr="001B665B">
        <w:rPr>
          <w:rFonts w:ascii="Palatino Linotype" w:eastAsia="Palatino Linotype" w:hAnsi="Palatino Linotype" w:cs="Palatino Linotype"/>
          <w:b/>
          <w:i/>
          <w:sz w:val="22"/>
          <w:szCs w:val="22"/>
        </w:rPr>
        <w:t>,</w:t>
      </w:r>
      <w:r w:rsidRPr="001B665B">
        <w:rPr>
          <w:rFonts w:ascii="Palatino Linotype" w:eastAsia="Palatino Linotype" w:hAnsi="Palatino Linotype" w:cs="Palatino Linotype"/>
          <w:i/>
          <w:sz w:val="22"/>
          <w:szCs w:val="22"/>
        </w:rPr>
        <w:t xml:space="preserve"> en el ámbito de sus respectivas competencias, se regirán por los siguientes principios y bases: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I. </w:t>
      </w:r>
      <w:r w:rsidRPr="001B665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B665B">
        <w:rPr>
          <w:rFonts w:ascii="Palatino Linotype" w:eastAsia="Palatino Linotype" w:hAnsi="Palatino Linotype" w:cs="Palatino Linotype"/>
          <w:i/>
          <w:sz w:val="22"/>
          <w:szCs w:val="22"/>
        </w:rPr>
        <w:t xml:space="preserve"> Ejecutivo, Legislativo </w:t>
      </w:r>
      <w:r w:rsidRPr="001B665B">
        <w:rPr>
          <w:rFonts w:ascii="Palatino Linotype" w:eastAsia="Palatino Linotype" w:hAnsi="Palatino Linotype" w:cs="Palatino Linotype"/>
          <w:b/>
          <w:i/>
          <w:sz w:val="22"/>
          <w:szCs w:val="22"/>
          <w:u w:val="single"/>
        </w:rPr>
        <w:t>y Judicial</w:t>
      </w:r>
      <w:r w:rsidRPr="001B665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B665B">
        <w:rPr>
          <w:rFonts w:ascii="Palatino Linotype" w:eastAsia="Palatino Linotype" w:hAnsi="Palatino Linotype" w:cs="Palatino Linotype"/>
          <w:b/>
          <w:i/>
          <w:sz w:val="22"/>
          <w:szCs w:val="22"/>
        </w:rPr>
        <w:t>es pública y sólo podrá ser reservada temporalmente por razones de interés público y seguridad nacional,</w:t>
      </w:r>
      <w:r w:rsidRPr="001B665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b/>
          <w:i/>
          <w:sz w:val="22"/>
          <w:szCs w:val="22"/>
        </w:rPr>
      </w:pPr>
      <w:r w:rsidRPr="001B665B">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III. </w:t>
      </w:r>
      <w:r w:rsidRPr="001B665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B665B">
        <w:rPr>
          <w:rFonts w:ascii="Palatino Linotype" w:eastAsia="Palatino Linotype" w:hAnsi="Palatino Linotype" w:cs="Palatino Linotype"/>
          <w:i/>
          <w:sz w:val="22"/>
          <w:szCs w:val="22"/>
        </w:rPr>
        <w:t xml:space="preserve"> a sus datos personales o a la rectificación de éstos.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IV. </w:t>
      </w:r>
      <w:r w:rsidRPr="001B665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946BC" w:rsidRPr="001B665B" w:rsidRDefault="000946BC" w:rsidP="000946BC">
      <w:pPr>
        <w:ind w:left="851" w:right="616"/>
        <w:jc w:val="both"/>
        <w:rPr>
          <w:rFonts w:ascii="Palatino Linotype" w:eastAsia="Palatino Linotype" w:hAnsi="Palatino Linotype" w:cs="Palatino Linotype"/>
          <w:i/>
          <w:sz w:val="22"/>
          <w:szCs w:val="22"/>
        </w:rPr>
      </w:pP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V. </w:t>
      </w:r>
      <w:r w:rsidRPr="001B665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VI. </w:t>
      </w:r>
      <w:r w:rsidRPr="001B665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VII. </w:t>
      </w:r>
      <w:r w:rsidRPr="001B665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946BC" w:rsidRPr="001B665B" w:rsidRDefault="000946BC" w:rsidP="000946BC">
      <w:pPr>
        <w:ind w:right="616"/>
        <w:jc w:val="both"/>
        <w:rPr>
          <w:rFonts w:ascii="Palatino Linotype" w:eastAsia="Palatino Linotype" w:hAnsi="Palatino Linotype" w:cs="Palatino Linotype"/>
          <w:i/>
          <w:sz w:val="22"/>
          <w:szCs w:val="22"/>
        </w:rPr>
      </w:pPr>
    </w:p>
    <w:p w:rsidR="000946BC" w:rsidRPr="001B665B" w:rsidRDefault="000946BC" w:rsidP="000946BC">
      <w:pPr>
        <w:tabs>
          <w:tab w:val="left" w:pos="709"/>
        </w:tabs>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946BC" w:rsidRPr="001B665B" w:rsidRDefault="000946BC" w:rsidP="000946BC">
      <w:pPr>
        <w:spacing w:before="12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lastRenderedPageBreak/>
        <w:t xml:space="preserve">En primer lugar, es conveniente analizar si la respuesta del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946BC" w:rsidRPr="001B665B" w:rsidRDefault="000946BC" w:rsidP="000946BC">
      <w:pPr>
        <w:spacing w:before="240"/>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Artículo 4.</w:t>
      </w:r>
      <w:r w:rsidRPr="001B665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B665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B665B">
        <w:rPr>
          <w:rFonts w:ascii="Palatino Linotype" w:eastAsia="Palatino Linotype" w:hAnsi="Palatino Linotype" w:cs="Palatino Linotype"/>
          <w:i/>
          <w:sz w:val="22"/>
          <w:szCs w:val="22"/>
        </w:rPr>
        <w:t>.”(Sic)</w:t>
      </w:r>
    </w:p>
    <w:p w:rsidR="000946BC" w:rsidRPr="001B665B" w:rsidRDefault="000946BC" w:rsidP="000946BC">
      <w:pPr>
        <w:ind w:left="851" w:right="760"/>
        <w:jc w:val="both"/>
        <w:rPr>
          <w:rFonts w:ascii="Palatino Linotype" w:eastAsia="Palatino Linotype" w:hAnsi="Palatino Linotype" w:cs="Palatino Linotype"/>
          <w:i/>
        </w:rPr>
      </w:pPr>
    </w:p>
    <w:p w:rsidR="000946BC" w:rsidRPr="001B665B" w:rsidRDefault="000946BC" w:rsidP="000946BC">
      <w:pP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1B665B">
        <w:rPr>
          <w:rFonts w:ascii="Palatino Linotype" w:eastAsia="Palatino Linotype" w:hAnsi="Palatino Linotype" w:cs="Palatino Linotype"/>
        </w:rPr>
        <w:lastRenderedPageBreak/>
        <w:t>interés del solicitante; como así lo establece el artículo 12 de la Ley de Transparencia y Acceso a la Información Pública del Estado de México y Municipios, el cual a la letra dice:</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Artículo 12.-</w:t>
      </w:r>
      <w:r w:rsidRPr="001B665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B665B">
        <w:rPr>
          <w:rFonts w:ascii="Palatino Linotype" w:eastAsia="Palatino Linotype" w:hAnsi="Palatino Linotype" w:cs="Palatino Linotype"/>
          <w:i/>
          <w:sz w:val="22"/>
          <w:szCs w:val="22"/>
        </w:rPr>
        <w:t xml:space="preserve">. </w:t>
      </w:r>
      <w:r w:rsidRPr="001B665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0946BC" w:rsidRPr="001B665B" w:rsidRDefault="000946BC" w:rsidP="000946BC">
      <w:pPr>
        <w:spacing w:line="360" w:lineRule="auto"/>
        <w:ind w:right="-93"/>
        <w:jc w:val="both"/>
        <w:rPr>
          <w:rFonts w:ascii="Palatino Linotype" w:eastAsia="Palatino Linotype" w:hAnsi="Palatino Linotype" w:cs="Palatino Linotype"/>
        </w:rPr>
      </w:pPr>
    </w:p>
    <w:p w:rsidR="000946BC" w:rsidRPr="001B665B" w:rsidRDefault="000946BC" w:rsidP="000946BC">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0946BC" w:rsidRPr="001B665B" w:rsidRDefault="000946BC" w:rsidP="000946BC">
      <w:pPr>
        <w:spacing w:line="360" w:lineRule="auto"/>
        <w:jc w:val="both"/>
        <w:rPr>
          <w:rFonts w:ascii="Palatino Linotype" w:eastAsia="Palatino Linotype" w:hAnsi="Palatino Linotype" w:cs="Palatino Linotype"/>
        </w:rPr>
      </w:pPr>
    </w:p>
    <w:p w:rsidR="000946BC" w:rsidRPr="001B665B" w:rsidRDefault="000946BC" w:rsidP="000946BC">
      <w:pPr>
        <w:spacing w:line="360" w:lineRule="auto"/>
        <w:ind w:right="49"/>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1B665B">
        <w:rPr>
          <w:rFonts w:ascii="Palatino Linotype" w:eastAsia="Palatino Linotype" w:hAnsi="Palatino Linotype" w:cs="Palatino Linotype"/>
        </w:rPr>
        <w:lastRenderedPageBreak/>
        <w:t>Ley de Transparencia y Acceso a la Información Pública del Estado de México y Municipios.</w:t>
      </w:r>
    </w:p>
    <w:p w:rsidR="000946BC" w:rsidRPr="001B665B" w:rsidRDefault="000946BC" w:rsidP="000946BC">
      <w:pPr>
        <w:spacing w:line="360" w:lineRule="auto"/>
        <w:ind w:right="49"/>
        <w:jc w:val="both"/>
        <w:rPr>
          <w:rFonts w:ascii="Palatino Linotype" w:eastAsia="Palatino Linotype" w:hAnsi="Palatino Linotype" w:cs="Palatino Linotype"/>
        </w:rPr>
      </w:pPr>
    </w:p>
    <w:p w:rsidR="000946BC" w:rsidRPr="001B665B" w:rsidRDefault="000946BC" w:rsidP="000946BC">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Por otra parte, conviene mencionar que la Ley de Transparencia vigente en el Estado de México refiere: </w:t>
      </w:r>
    </w:p>
    <w:p w:rsidR="000946BC" w:rsidRPr="001B665B" w:rsidRDefault="000946BC" w:rsidP="000946BC">
      <w:pPr>
        <w:spacing w:line="360" w:lineRule="auto"/>
        <w:jc w:val="both"/>
        <w:rPr>
          <w:rFonts w:ascii="Palatino Linotype" w:eastAsia="Palatino Linotype" w:hAnsi="Palatino Linotype" w:cs="Palatino Linotype"/>
        </w:rPr>
      </w:pP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Artículo 18.</w:t>
      </w:r>
      <w:r w:rsidRPr="001B665B">
        <w:rPr>
          <w:rFonts w:ascii="Palatino Linotype" w:eastAsia="Palatino Linotype" w:hAnsi="Palatino Linotype" w:cs="Palatino Linotype"/>
          <w:i/>
          <w:sz w:val="22"/>
          <w:szCs w:val="22"/>
        </w:rPr>
        <w:t xml:space="preserve"> </w:t>
      </w:r>
      <w:r w:rsidRPr="001B665B">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B665B">
        <w:rPr>
          <w:rFonts w:ascii="Palatino Linotype" w:eastAsia="Palatino Linotype" w:hAnsi="Palatino Linotype" w:cs="Palatino Linotype"/>
          <w:i/>
          <w:sz w:val="22"/>
          <w:szCs w:val="22"/>
        </w:rPr>
        <w:t xml:space="preserve"> y reutilización de la información que generen.</w:t>
      </w:r>
    </w:p>
    <w:p w:rsidR="000946BC" w:rsidRPr="001B665B" w:rsidRDefault="000946BC" w:rsidP="000946BC">
      <w:pPr>
        <w:ind w:left="851" w:right="616"/>
        <w:jc w:val="both"/>
        <w:rPr>
          <w:rFonts w:ascii="Palatino Linotype" w:eastAsia="Palatino Linotype" w:hAnsi="Palatino Linotype" w:cs="Palatino Linotype"/>
          <w:b/>
          <w:i/>
          <w:sz w:val="22"/>
          <w:szCs w:val="22"/>
        </w:rPr>
      </w:pP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Artículo 19. </w:t>
      </w:r>
      <w:r w:rsidRPr="001B665B">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B665B">
        <w:rPr>
          <w:rFonts w:ascii="Palatino Linotype" w:eastAsia="Palatino Linotype" w:hAnsi="Palatino Linotype" w:cs="Palatino Linotype"/>
          <w:i/>
          <w:sz w:val="22"/>
          <w:szCs w:val="22"/>
        </w:rPr>
        <w:t>.</w:t>
      </w:r>
    </w:p>
    <w:p w:rsidR="000946BC" w:rsidRPr="001B665B" w:rsidRDefault="000946BC" w:rsidP="000946BC">
      <w:pPr>
        <w:ind w:left="851" w:right="616"/>
        <w:jc w:val="both"/>
        <w:rPr>
          <w:rFonts w:ascii="Palatino Linotype" w:eastAsia="Palatino Linotype" w:hAnsi="Palatino Linotype" w:cs="Palatino Linotype"/>
          <w:i/>
          <w:sz w:val="22"/>
          <w:szCs w:val="22"/>
        </w:rPr>
      </w:pP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0946BC" w:rsidRPr="001B665B" w:rsidRDefault="000946BC" w:rsidP="000946BC">
      <w:pPr>
        <w:ind w:left="851" w:right="616"/>
        <w:jc w:val="both"/>
        <w:rPr>
          <w:rFonts w:ascii="Palatino Linotype" w:eastAsia="Palatino Linotype" w:hAnsi="Palatino Linotype" w:cs="Palatino Linotype"/>
          <w:i/>
          <w:sz w:val="22"/>
          <w:szCs w:val="22"/>
        </w:rPr>
      </w:pP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946BC" w:rsidRPr="001B665B" w:rsidRDefault="000946BC" w:rsidP="000946BC">
      <w:pPr>
        <w:ind w:left="851" w:right="851"/>
        <w:jc w:val="both"/>
        <w:rPr>
          <w:rFonts w:ascii="Palatino Linotype" w:eastAsia="Palatino Linotype" w:hAnsi="Palatino Linotype" w:cs="Palatino Linotype"/>
          <w:i/>
          <w:sz w:val="22"/>
          <w:szCs w:val="22"/>
        </w:rPr>
      </w:pPr>
    </w:p>
    <w:p w:rsidR="000946BC" w:rsidRPr="001B665B" w:rsidRDefault="000946BC" w:rsidP="000946BC">
      <w:pPr>
        <w:ind w:left="851" w:right="851"/>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Énfasis añadido.</w:t>
      </w:r>
    </w:p>
    <w:p w:rsidR="000946BC" w:rsidRPr="001B665B" w:rsidRDefault="000946BC" w:rsidP="000946BC">
      <w:pPr>
        <w:spacing w:line="360" w:lineRule="auto"/>
        <w:jc w:val="both"/>
        <w:rPr>
          <w:rFonts w:ascii="Palatino Linotype" w:eastAsia="Palatino Linotype" w:hAnsi="Palatino Linotype" w:cs="Palatino Linotype"/>
        </w:rPr>
      </w:pPr>
    </w:p>
    <w:p w:rsidR="000946BC" w:rsidRPr="001B665B" w:rsidRDefault="000946BC" w:rsidP="000946BC">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sidRPr="001B665B">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rsidR="000946BC" w:rsidRPr="001B665B" w:rsidRDefault="000946BC" w:rsidP="000946BC">
      <w:pPr>
        <w:spacing w:line="360" w:lineRule="auto"/>
        <w:jc w:val="both"/>
        <w:rPr>
          <w:rFonts w:ascii="Palatino Linotype" w:eastAsia="Palatino Linotype" w:hAnsi="Palatino Linotype" w:cs="Palatino Linotype"/>
        </w:rPr>
      </w:pPr>
    </w:p>
    <w:p w:rsidR="000946BC" w:rsidRPr="001B665B" w:rsidRDefault="000946BC" w:rsidP="000946BC">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946BC" w:rsidRPr="001B665B" w:rsidRDefault="000946BC" w:rsidP="000946BC">
      <w:pPr>
        <w:ind w:left="851" w:right="899"/>
        <w:jc w:val="both"/>
        <w:rPr>
          <w:rFonts w:ascii="Palatino Linotype" w:eastAsia="Palatino Linotype" w:hAnsi="Palatino Linotype" w:cs="Palatino Linotype"/>
          <w:i/>
          <w:sz w:val="22"/>
          <w:szCs w:val="22"/>
        </w:rPr>
      </w:pPr>
    </w:p>
    <w:p w:rsidR="000946BC" w:rsidRPr="001B665B" w:rsidRDefault="000946BC" w:rsidP="000946BC">
      <w:pPr>
        <w:ind w:left="851" w:right="899"/>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 xml:space="preserve">Artículo 3. </w:t>
      </w:r>
      <w:r w:rsidRPr="001B665B">
        <w:rPr>
          <w:rFonts w:ascii="Palatino Linotype" w:eastAsia="Palatino Linotype" w:hAnsi="Palatino Linotype" w:cs="Palatino Linotype"/>
          <w:i/>
          <w:sz w:val="22"/>
          <w:szCs w:val="22"/>
        </w:rPr>
        <w:t>Para los efectos de la presente Ley se entenderá por:</w:t>
      </w:r>
    </w:p>
    <w:p w:rsidR="000946BC" w:rsidRPr="001B665B" w:rsidRDefault="000946BC" w:rsidP="000946BC">
      <w:pPr>
        <w:ind w:left="851" w:right="899"/>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XI. Documento:</w:t>
      </w:r>
      <w:r w:rsidRPr="001B665B">
        <w:rPr>
          <w:rFonts w:ascii="Palatino Linotype" w:eastAsia="Palatino Linotype" w:hAnsi="Palatino Linotype" w:cs="Palatino Linotype"/>
          <w:i/>
          <w:sz w:val="22"/>
          <w:szCs w:val="22"/>
        </w:rPr>
        <w:t xml:space="preserve"> Los expedientes, reportes, estudios, actas</w:t>
      </w:r>
      <w:r w:rsidRPr="001B665B">
        <w:rPr>
          <w:rFonts w:ascii="Palatino Linotype" w:eastAsia="Palatino Linotype" w:hAnsi="Palatino Linotype" w:cs="Palatino Linotype"/>
          <w:b/>
          <w:i/>
          <w:sz w:val="22"/>
          <w:szCs w:val="22"/>
        </w:rPr>
        <w:t>,</w:t>
      </w:r>
      <w:r w:rsidRPr="001B665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1B665B">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1B665B">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1B665B">
        <w:rPr>
          <w:rFonts w:ascii="Palatino Linotype" w:eastAsia="Palatino Linotype" w:hAnsi="Palatino Linotype" w:cs="Palatino Linotype"/>
          <w:b/>
          <w:i/>
          <w:sz w:val="22"/>
          <w:szCs w:val="22"/>
          <w:u w:val="single"/>
        </w:rPr>
        <w:t>electrónico, informático</w:t>
      </w:r>
      <w:r w:rsidRPr="001B665B">
        <w:rPr>
          <w:rFonts w:ascii="Palatino Linotype" w:eastAsia="Palatino Linotype" w:hAnsi="Palatino Linotype" w:cs="Palatino Linotype"/>
          <w:i/>
          <w:sz w:val="22"/>
          <w:szCs w:val="22"/>
        </w:rPr>
        <w:t xml:space="preserve"> u holográfico…” (Sic)</w:t>
      </w:r>
    </w:p>
    <w:p w:rsidR="000946BC" w:rsidRPr="001B665B" w:rsidRDefault="000946BC" w:rsidP="000946BC">
      <w:pPr>
        <w:ind w:left="851" w:right="899"/>
        <w:jc w:val="both"/>
        <w:rPr>
          <w:rFonts w:ascii="Palatino Linotype" w:eastAsia="Palatino Linotype" w:hAnsi="Palatino Linotype" w:cs="Palatino Linotype"/>
          <w:sz w:val="22"/>
          <w:szCs w:val="22"/>
        </w:rPr>
      </w:pPr>
    </w:p>
    <w:p w:rsidR="000946BC" w:rsidRPr="001B665B" w:rsidRDefault="000946BC" w:rsidP="000946BC">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1B665B">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0946BC" w:rsidRPr="001B665B" w:rsidRDefault="000946BC" w:rsidP="000946BC">
      <w:pPr>
        <w:ind w:left="851" w:right="899"/>
        <w:jc w:val="both"/>
        <w:rPr>
          <w:rFonts w:ascii="Palatino Linotype" w:eastAsia="Palatino Linotype" w:hAnsi="Palatino Linotype" w:cs="Palatino Linotype"/>
        </w:rPr>
      </w:pPr>
    </w:p>
    <w:p w:rsidR="000946BC" w:rsidRPr="001B665B" w:rsidRDefault="000946BC" w:rsidP="000946BC">
      <w:pPr>
        <w:ind w:left="851" w:right="616"/>
        <w:jc w:val="both"/>
        <w:rPr>
          <w:rFonts w:ascii="Palatino Linotype" w:eastAsia="Palatino Linotype" w:hAnsi="Palatino Linotype" w:cs="Palatino Linotype"/>
          <w:b/>
          <w:i/>
          <w:sz w:val="22"/>
          <w:szCs w:val="22"/>
        </w:rPr>
      </w:pPr>
      <w:r w:rsidRPr="001B665B">
        <w:rPr>
          <w:rFonts w:ascii="Palatino Linotype" w:eastAsia="Palatino Linotype" w:hAnsi="Palatino Linotype" w:cs="Palatino Linotype"/>
          <w:b/>
          <w:sz w:val="22"/>
          <w:szCs w:val="22"/>
        </w:rPr>
        <w:t>“</w:t>
      </w:r>
      <w:r w:rsidRPr="001B665B">
        <w:rPr>
          <w:rFonts w:ascii="Palatino Linotype" w:eastAsia="Palatino Linotype" w:hAnsi="Palatino Linotype" w:cs="Palatino Linotype"/>
          <w:b/>
          <w:i/>
          <w:sz w:val="22"/>
          <w:szCs w:val="22"/>
        </w:rPr>
        <w:t>CRITERIO 0002-11</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B665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946BC" w:rsidRPr="001B665B" w:rsidRDefault="000946BC" w:rsidP="000946BC">
      <w:pPr>
        <w:ind w:left="851" w:right="616"/>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0946BC" w:rsidRPr="001B665B" w:rsidRDefault="000946BC" w:rsidP="000946BC">
      <w:pPr>
        <w:spacing w:before="280" w:after="28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De ahí que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B665B">
        <w:rPr>
          <w:rFonts w:ascii="Palatino Linotype" w:eastAsia="Palatino Linotype" w:hAnsi="Palatino Linotype" w:cs="Palatino Linotype"/>
          <w:vertAlign w:val="superscript"/>
        </w:rPr>
        <w:footnoteReference w:id="1"/>
      </w:r>
      <w:r w:rsidRPr="001B665B">
        <w:rPr>
          <w:rFonts w:ascii="Palatino Linotype" w:eastAsia="Palatino Linotype" w:hAnsi="Palatino Linotype" w:cs="Palatino Linotype"/>
        </w:rPr>
        <w:t xml:space="preserve">, así como de interés público, es decir, aquella que </w:t>
      </w:r>
      <w:r w:rsidRPr="001B665B">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1B665B">
        <w:rPr>
          <w:rFonts w:ascii="Palatino Linotype" w:eastAsia="Palatino Linotype" w:hAnsi="Palatino Linotype" w:cs="Palatino Linotype"/>
          <w:vertAlign w:val="superscript"/>
        </w:rPr>
        <w:footnoteReference w:id="2"/>
      </w:r>
      <w:r w:rsidRPr="001B665B">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0946BC" w:rsidRPr="001B665B" w:rsidRDefault="000946BC" w:rsidP="000946BC">
      <w:pPr>
        <w:spacing w:before="280" w:after="28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Bajo ese contexto, es conveniente reiterar que el entonces solicitante requirió, la siguiente información: </w:t>
      </w:r>
    </w:p>
    <w:p w:rsidR="009A5F1A" w:rsidRPr="001B665B" w:rsidRDefault="00335FD2">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El número de denuncias o reportes realizados por motivo de la recolección de basura del uno al treinta de agosto de dos mil veintidós. </w:t>
      </w:r>
    </w:p>
    <w:p w:rsidR="009A5F1A" w:rsidRPr="001B665B" w:rsidRDefault="00335FD2">
      <w:pPr>
        <w:spacing w:before="240" w:after="240" w:line="360" w:lineRule="auto"/>
        <w:ind w:right="51"/>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Por su parte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emitió su respuesta e informó que, al realizar el análisis de la solicitud, se turnó al Servidor Público Habilitado de la Contraloría Municipal, quien manifestó que no se han recibido denuncias o reportes referentes o inherentes a la prestación del servicio público de recolección de residuos sólidos.</w:t>
      </w:r>
    </w:p>
    <w:p w:rsidR="009A5F1A" w:rsidRPr="001B665B" w:rsidRDefault="00335FD2">
      <w:pPr>
        <w:spacing w:before="240" w:after="240" w:line="360" w:lineRule="auto"/>
        <w:jc w:val="both"/>
        <w:rPr>
          <w:rFonts w:ascii="Palatino Linotype" w:eastAsia="Palatino Linotype" w:hAnsi="Palatino Linotype" w:cs="Palatino Linotype"/>
          <w:i/>
        </w:rPr>
      </w:pPr>
      <w:r w:rsidRPr="001B665B">
        <w:rPr>
          <w:rFonts w:ascii="Palatino Linotype" w:eastAsia="Palatino Linotype" w:hAnsi="Palatino Linotype" w:cs="Palatino Linotype"/>
        </w:rPr>
        <w:t xml:space="preserve">Inconforme con la respuesta, el </w:t>
      </w:r>
      <w:r w:rsidRPr="001B665B">
        <w:rPr>
          <w:rFonts w:ascii="Palatino Linotype" w:eastAsia="Palatino Linotype" w:hAnsi="Palatino Linotype" w:cs="Palatino Linotype"/>
          <w:b/>
        </w:rPr>
        <w:t>Recurrente</w:t>
      </w:r>
      <w:r w:rsidRPr="001B665B">
        <w:rPr>
          <w:rFonts w:ascii="Palatino Linotype" w:eastAsia="Palatino Linotype" w:hAnsi="Palatino Linotype" w:cs="Palatino Linotype"/>
        </w:rPr>
        <w:t xml:space="preserve"> interpuso el Recurso de Revisión, en el que señaló en sus motivos de inconformidad que: </w:t>
      </w:r>
      <w:r w:rsidRPr="001B665B">
        <w:rPr>
          <w:rFonts w:ascii="Palatino Linotype" w:eastAsia="Palatino Linotype" w:hAnsi="Palatino Linotype" w:cs="Palatino Linotype"/>
          <w:i/>
        </w:rPr>
        <w:t xml:space="preserve">“NO ENTREGA INFORMACIÓN." </w:t>
      </w:r>
    </w:p>
    <w:p w:rsidR="009A5F1A" w:rsidRPr="001B665B" w:rsidRDefault="00335FD2">
      <w:pPr>
        <w:spacing w:before="240" w:after="240" w:line="360" w:lineRule="auto"/>
        <w:jc w:val="both"/>
      </w:pPr>
      <w:r w:rsidRPr="001B665B">
        <w:rPr>
          <w:rFonts w:ascii="Palatino Linotype" w:eastAsia="Palatino Linotype" w:hAnsi="Palatino Linotype" w:cs="Palatino Linotype"/>
        </w:rPr>
        <w:t xml:space="preserve">Una vez notificado el recurso de revisión al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rindió su informe justificado mediante el cual, además de ratificar la respuesta inicial,  remitió el oficio </w:t>
      </w:r>
      <w:r w:rsidRPr="001B665B">
        <w:rPr>
          <w:rFonts w:ascii="Palatino Linotype" w:eastAsia="Palatino Linotype" w:hAnsi="Palatino Linotype" w:cs="Palatino Linotype"/>
        </w:rPr>
        <w:lastRenderedPageBreak/>
        <w:t xml:space="preserve">número ZIN/CM/1427/2022 suscrito y signado por el Contralor Municipal, por medio del cual informó que: </w:t>
      </w:r>
    </w:p>
    <w:p w:rsidR="009A5F1A" w:rsidRPr="001B665B" w:rsidRDefault="00335FD2">
      <w:pPr>
        <w:pBdr>
          <w:top w:val="nil"/>
          <w:left w:val="nil"/>
          <w:bottom w:val="nil"/>
          <w:right w:val="nil"/>
          <w:between w:val="nil"/>
        </w:pBdr>
        <w:spacing w:line="360" w:lineRule="auto"/>
        <w:ind w:left="720" w:hanging="360"/>
        <w:jc w:val="both"/>
      </w:pPr>
      <w:r w:rsidRPr="001B665B">
        <w:rPr>
          <w:rFonts w:ascii="Palatino Linotype" w:eastAsia="Palatino Linotype" w:hAnsi="Palatino Linotype" w:cs="Palatino Linotype"/>
          <w:b/>
          <w:i/>
        </w:rPr>
        <w:t>“…</w:t>
      </w:r>
      <w:r w:rsidRPr="001B665B">
        <w:rPr>
          <w:rFonts w:ascii="Palatino Linotype" w:eastAsia="Palatino Linotype" w:hAnsi="Palatino Linotype" w:cs="Palatino Linotype"/>
          <w:i/>
        </w:rPr>
        <w:t>durante el periodo referido, no han sido recibidas en esta Contraloría Municipal o ante la Autoridad Investigadora, denuncias inherentes a la prestación del servicio público de recolección de residuos sólidos.” (Sic)</w:t>
      </w:r>
      <w:r w:rsidRPr="001B665B">
        <w:rPr>
          <w:rFonts w:ascii="Palatino Linotype" w:eastAsia="Palatino Linotype" w:hAnsi="Palatino Linotype" w:cs="Palatino Linotype"/>
        </w:rPr>
        <w:t xml:space="preserve"> </w:t>
      </w:r>
    </w:p>
    <w:p w:rsidR="009A5F1A" w:rsidRPr="001B665B" w:rsidRDefault="009A5F1A">
      <w:pPr>
        <w:spacing w:line="360" w:lineRule="auto"/>
        <w:jc w:val="both"/>
        <w:rPr>
          <w:rFonts w:ascii="Palatino Linotype" w:eastAsia="Palatino Linotype" w:hAnsi="Palatino Linotype" w:cs="Palatino Linotype"/>
        </w:rPr>
      </w:pPr>
    </w:p>
    <w:p w:rsidR="009A5F1A" w:rsidRPr="001B665B" w:rsidRDefault="00335FD2">
      <w:pPr>
        <w:spacing w:after="16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En este sentido, cabe reiterar que de las constancias que integran el expediente electrónico del Recurso de Revisión que se resuelve, se advierte que el Titular de la Unidad de Transparencia del Ayuntamiento de Zinacantepec, respondió a la solicitud de información, haciendo referencia al pronunciamiento emitido por el Servidor Público Habilitado de la Contraloría Municipal en el oficio ZIN/CM/1427/2022; documento remitido en informe justificado y que para mayor referencia se inserta en el presente.  </w:t>
      </w:r>
    </w:p>
    <w:p w:rsidR="009A5F1A" w:rsidRPr="001B665B" w:rsidRDefault="009A5F1A">
      <w:pPr>
        <w:spacing w:after="160" w:line="360" w:lineRule="auto"/>
        <w:jc w:val="center"/>
        <w:rPr>
          <w:rFonts w:ascii="Palatino Linotype" w:eastAsia="Palatino Linotype" w:hAnsi="Palatino Linotype" w:cs="Palatino Linotype"/>
        </w:rPr>
      </w:pPr>
    </w:p>
    <w:p w:rsidR="009A5F1A" w:rsidRPr="001B665B" w:rsidRDefault="00335FD2">
      <w:pPr>
        <w:spacing w:after="160" w:line="360" w:lineRule="auto"/>
        <w:jc w:val="center"/>
        <w:rPr>
          <w:rFonts w:ascii="Palatino Linotype" w:eastAsia="Palatino Linotype" w:hAnsi="Palatino Linotype" w:cs="Palatino Linotype"/>
        </w:rPr>
      </w:pPr>
      <w:r w:rsidRPr="001B665B">
        <w:rPr>
          <w:noProof/>
          <w:lang w:val="es-MX"/>
        </w:rPr>
        <w:lastRenderedPageBreak/>
        <w:drawing>
          <wp:inline distT="0" distB="0" distL="0" distR="0" wp14:anchorId="622D7675" wp14:editId="05265494">
            <wp:extent cx="5524500" cy="6686550"/>
            <wp:effectExtent l="12700" t="12700" r="12700" b="12700"/>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622" t="18112" r="33808" b="10343"/>
                    <a:stretch>
                      <a:fillRect/>
                    </a:stretch>
                  </pic:blipFill>
                  <pic:spPr>
                    <a:xfrm>
                      <a:off x="0" y="0"/>
                      <a:ext cx="5524500" cy="6686550"/>
                    </a:xfrm>
                    <a:prstGeom prst="rect">
                      <a:avLst/>
                    </a:prstGeom>
                    <a:ln w="12700">
                      <a:solidFill>
                        <a:srgbClr val="000000"/>
                      </a:solidFill>
                      <a:prstDash val="solid"/>
                    </a:ln>
                  </pic:spPr>
                </pic:pic>
              </a:graphicData>
            </a:graphic>
          </wp:inline>
        </w:drawing>
      </w:r>
      <w:r w:rsidRPr="001B665B">
        <w:rPr>
          <w:noProof/>
          <w:lang w:val="es-MX"/>
        </w:rPr>
        <mc:AlternateContent>
          <mc:Choice Requires="wpg">
            <w:drawing>
              <wp:anchor distT="0" distB="0" distL="114300" distR="114300" simplePos="0" relativeHeight="251658240" behindDoc="0" locked="0" layoutInCell="1" hidden="0" allowOverlap="1" wp14:anchorId="2A875EB9" wp14:editId="2649B873">
                <wp:simplePos x="0" y="0"/>
                <wp:positionH relativeFrom="column">
                  <wp:posOffset>-2400299</wp:posOffset>
                </wp:positionH>
                <wp:positionV relativeFrom="paragraph">
                  <wp:posOffset>215900</wp:posOffset>
                </wp:positionV>
                <wp:extent cx="501650" cy="71119"/>
                <wp:effectExtent l="0" t="0" r="0" b="0"/>
                <wp:wrapNone/>
                <wp:docPr id="82" name="Conector recto de flecha 82"/>
                <wp:cNvGraphicFramePr/>
                <a:graphic xmlns:a="http://schemas.openxmlformats.org/drawingml/2006/main">
                  <a:graphicData uri="http://schemas.microsoft.com/office/word/2010/wordprocessingShape">
                    <wps:wsp>
                      <wps:cNvCnPr/>
                      <wps:spPr>
                        <a:xfrm flipH="1">
                          <a:off x="5107875" y="3757141"/>
                          <a:ext cx="476250" cy="45719"/>
                        </a:xfrm>
                        <a:prstGeom prst="straightConnector1">
                          <a:avLst/>
                        </a:prstGeom>
                        <a:noFill/>
                        <a:ln w="12700" cap="flat" cmpd="sng">
                          <a:solidFill>
                            <a:srgbClr val="C00000"/>
                          </a:solidFill>
                          <a:prstDash val="solid"/>
                          <a:miter lim="800000"/>
                          <a:headEnd type="none" w="sm" len="sm"/>
                          <a:tailEnd type="triangle" w="med" len="med"/>
                        </a:ln>
                      </wps:spPr>
                      <wps:bodyPr/>
                    </wps:wsp>
                  </a:graphicData>
                </a:graphic>
              </wp:anchor>
            </w:drawing>
          </mc:Choice>
          <mc:Fallback xmlns:cx="http://schemas.microsoft.com/office/drawing/2014/chartex"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-2400299</wp:posOffset>
                </wp:positionH>
                <wp:positionV relativeFrom="paragraph">
                  <wp:posOffset>215900</wp:posOffset>
                </wp:positionV>
                <wp:extent cx="501650" cy="71119"/>
                <wp:effectExtent b="0" l="0" r="0" t="0"/>
                <wp:wrapNone/>
                <wp:docPr id="8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01650" cy="71119"/>
                        </a:xfrm>
                        <a:prstGeom prst="rect"/>
                        <a:ln/>
                      </pic:spPr>
                    </pic:pic>
                  </a:graphicData>
                </a:graphic>
              </wp:anchor>
            </w:drawing>
          </mc:Fallback>
        </mc:AlternateContent>
      </w:r>
      <w:r w:rsidRPr="001B665B">
        <w:rPr>
          <w:noProof/>
          <w:lang w:val="es-MX"/>
        </w:rPr>
        <mc:AlternateContent>
          <mc:Choice Requires="wps">
            <w:drawing>
              <wp:anchor distT="0" distB="0" distL="114300" distR="114300" simplePos="0" relativeHeight="251659264" behindDoc="0" locked="0" layoutInCell="1" hidden="0" allowOverlap="1" wp14:anchorId="7535D410" wp14:editId="2D15642C">
                <wp:simplePos x="0" y="0"/>
                <wp:positionH relativeFrom="column">
                  <wp:posOffset>228600</wp:posOffset>
                </wp:positionH>
                <wp:positionV relativeFrom="paragraph">
                  <wp:posOffset>3873500</wp:posOffset>
                </wp:positionV>
                <wp:extent cx="5133975" cy="657225"/>
                <wp:effectExtent l="0" t="0" r="0" b="0"/>
                <wp:wrapNone/>
                <wp:docPr id="83" name="Rectángulo 83"/>
                <wp:cNvGraphicFramePr/>
                <a:graphic xmlns:a="http://schemas.openxmlformats.org/drawingml/2006/main">
                  <a:graphicData uri="http://schemas.microsoft.com/office/word/2010/wordprocessingShape">
                    <wps:wsp>
                      <wps:cNvSpPr/>
                      <wps:spPr>
                        <a:xfrm>
                          <a:off x="2783775" y="3456150"/>
                          <a:ext cx="5124450" cy="647700"/>
                        </a:xfrm>
                        <a:prstGeom prst="rect">
                          <a:avLst/>
                        </a:prstGeom>
                        <a:noFill/>
                        <a:ln w="9525" cap="flat" cmpd="sng">
                          <a:solidFill>
                            <a:srgbClr val="FF0000"/>
                          </a:solidFill>
                          <a:prstDash val="solid"/>
                          <a:round/>
                          <a:headEnd type="none" w="sm" len="sm"/>
                          <a:tailEnd type="none" w="sm" len="sm"/>
                        </a:ln>
                      </wps:spPr>
                      <wps:txbx>
                        <w:txbxContent>
                          <w:p w:rsidR="009A5F1A" w:rsidRDefault="009A5F1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id="Rectángulo 83" o:spid="_x0000_s1026" style="position:absolute;left:0;text-align:left;margin-left:18pt;margin-top:305pt;width:404.2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5KELgIAAEEEAAAOAAAAZHJzL2Uyb0RvYy54bWysU9uO0zAQfUfiHyy/0yS9b9V0hbYUIa3Y&#10;ioUPmDpOYsk3bLdJP4dv4ccYO2Vb4AEJkQdnxj6eOXM8s77vlSQn7rwwuqTFKKeEa2YqoZuSfvm8&#10;e7OkxAfQFUijeUnP3NP7zetX686u+Ni0RlbcEQyi/aqzJW1DsKss86zlCvzIWK7xsDZOQUDXNVnl&#10;oMPoSmbjPJ9nnXGVdYZx73F3OxzSTYpf15yFp7r2PBBZUuQW0urSeohrtlnDqnFgW8EuNOAfWCgQ&#10;GpO+hNpCAHJ04o9QSjBnvKnDiBmVmboWjKcasJoi/62a5xYsT7WgON6+yOT/X1j28bR3RFQlXU4o&#10;0aDwjT6hat+/6eYoDcFdlKizfoXIZ7t3F8+jGevta6fiHyshfUnHi+VksZhRci7pZDqbF7OLxLwP&#10;hCFgVoynU9wkDBHz6WKRJ0B2jWSdD++5USQaJXVIJikLp0cfMDtCf0JiYm12Qsr0jFKTrqR3szHm&#10;Z4DNVEsIaCqL5XndpDDeSFHFK/Gyd83hQTpyAmyP3S7HL5aLKX6BxXxb8O2AS0dD4zhz1FXK3XKo&#10;3umKhLNFBTX2Oo1kvKJEcpwMNBIugJB/xyEBqZFH1H1QOlqhP/QYJJoHU53x3bxlO4HkHsGHPTjs&#10;3ALTYjdjwq9HcEhCftDYLnfFNKoSbh136xxuHdCsNTgkLDhKBuchpKEZFH97DKYW6TGuZC50sU+T&#10;gJeZioNw6yfUdfI3PwAAAP//AwBQSwMEFAAGAAgAAAAhACli6ifhAAAACgEAAA8AAABkcnMvZG93&#10;bnJldi54bWxMj8FKw0AQhu+C77CM4M1uYtM0pNkUEYrUg2DsweM2O01Cs7Mhu2nTt3c86W2G+fnm&#10;+4vtbHtxwdF3jhTEiwgEUu1MR42Cw9fuKQPhgyaje0eo4IYetuX9XaFz4670iZcqNIIh5HOtoA1h&#10;yKX0dYtW+4UbkPh2cqPVgdexkWbUV4bbXj5HUSqt7og/tHrA1xbrczVZBetzllXJ20fc777XyYHS&#10;/fR+2yv1+DC/bEAEnMNfGH71WR1Kdjq6iYwXvYJlylWCgjSOeOBAliQrEEemx8sVyLKQ/yuUPwAA&#10;AP//AwBQSwECLQAUAAYACAAAACEAtoM4kv4AAADhAQAAEwAAAAAAAAAAAAAAAAAAAAAAW0NvbnRl&#10;bnRfVHlwZXNdLnhtbFBLAQItABQABgAIAAAAIQA4/SH/1gAAAJQBAAALAAAAAAAAAAAAAAAAAC8B&#10;AABfcmVscy8ucmVsc1BLAQItABQABgAIAAAAIQAIr5KELgIAAEEEAAAOAAAAAAAAAAAAAAAAAC4C&#10;AABkcnMvZTJvRG9jLnhtbFBLAQItABQABgAIAAAAIQApYuon4QAAAAoBAAAPAAAAAAAAAAAAAAAA&#10;AIgEAABkcnMvZG93bnJldi54bWxQSwUGAAAAAAQABADzAAAAlgUAAAAA&#10;" filled="f" strokecolor="red">
                <v:stroke startarrowwidth="narrow" startarrowlength="short" endarrowwidth="narrow" endarrowlength="short" joinstyle="round"/>
                <v:textbox inset="2.53958mm,2.53958mm,2.53958mm,2.53958mm">
                  <w:txbxContent>
                    <w:p w:rsidR="009A5F1A" w:rsidRDefault="009A5F1A">
                      <w:pPr>
                        <w:textDirection w:val="btLr"/>
                      </w:pPr>
                    </w:p>
                  </w:txbxContent>
                </v:textbox>
              </v:rect>
            </w:pict>
          </mc:Fallback>
        </mc:AlternateContent>
      </w:r>
    </w:p>
    <w:p w:rsidR="00164DBD" w:rsidRPr="001B665B" w:rsidRDefault="00164DBD">
      <w:pPr>
        <w:spacing w:after="160" w:line="360" w:lineRule="auto"/>
        <w:jc w:val="both"/>
        <w:rPr>
          <w:rFonts w:ascii="Palatino Linotype" w:eastAsia="Palatino Linotype" w:hAnsi="Palatino Linotype" w:cs="Palatino Linotype"/>
          <w:b/>
        </w:rPr>
      </w:pPr>
    </w:p>
    <w:p w:rsidR="005A1F3A" w:rsidRPr="001B665B" w:rsidRDefault="005A1F3A" w:rsidP="005A1F3A">
      <w:pPr>
        <w:spacing w:after="240" w:line="360" w:lineRule="auto"/>
        <w:jc w:val="both"/>
        <w:rPr>
          <w:rFonts w:ascii="Palatino Linotype" w:eastAsia="Calibri" w:hAnsi="Palatino Linotype"/>
          <w:bCs/>
          <w:lang w:val="es-MX" w:eastAsia="en-US"/>
        </w:rPr>
      </w:pPr>
      <w:r w:rsidRPr="001B665B">
        <w:rPr>
          <w:rFonts w:ascii="Palatino Linotype" w:eastAsia="Calibri" w:hAnsi="Palatino Linotype"/>
          <w:bCs/>
          <w:lang w:val="es-MX" w:eastAsia="en-US"/>
        </w:rPr>
        <w:lastRenderedPageBreak/>
        <w:t>Señalado lo anterior</w:t>
      </w:r>
      <w:r w:rsidRPr="001B665B">
        <w:rPr>
          <w:rFonts w:ascii="Palatino Linotype" w:hAnsi="Palatino Linotype" w:cs="Arial"/>
        </w:rPr>
        <w:t xml:space="preserve">,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1B665B">
        <w:rPr>
          <w:rFonts w:ascii="Palatino Linotype" w:hAnsi="Palatino Linotype" w:cs="Arial"/>
          <w:b/>
          <w:bCs/>
        </w:rPr>
        <w:t>tramitar ante las Áreas poseedoras de la información lo que se solicita</w:t>
      </w:r>
      <w:r w:rsidRPr="001B665B">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5A1F3A" w:rsidRPr="001B665B" w:rsidRDefault="005A1F3A" w:rsidP="005A1F3A">
      <w:pPr>
        <w:tabs>
          <w:tab w:val="left" w:pos="709"/>
        </w:tabs>
        <w:ind w:left="851" w:right="760"/>
        <w:jc w:val="both"/>
        <w:rPr>
          <w:rFonts w:ascii="Palatino Linotype" w:hAnsi="Palatino Linotype" w:cs="Arial"/>
          <w:i/>
          <w:sz w:val="20"/>
          <w:szCs w:val="20"/>
        </w:rPr>
      </w:pPr>
    </w:p>
    <w:p w:rsidR="005A1F3A" w:rsidRPr="001B665B" w:rsidRDefault="005A1F3A" w:rsidP="005A1F3A">
      <w:pPr>
        <w:tabs>
          <w:tab w:val="left" w:pos="709"/>
        </w:tabs>
        <w:ind w:left="851" w:right="760"/>
        <w:jc w:val="center"/>
        <w:rPr>
          <w:rFonts w:ascii="Palatino Linotype" w:hAnsi="Palatino Linotype" w:cs="Arial"/>
          <w:b/>
          <w:i/>
          <w:sz w:val="20"/>
          <w:szCs w:val="20"/>
        </w:rPr>
      </w:pPr>
      <w:r w:rsidRPr="001B665B">
        <w:rPr>
          <w:rFonts w:ascii="Palatino Linotype" w:hAnsi="Palatino Linotype" w:cs="Arial"/>
          <w:b/>
        </w:rPr>
        <w:t>Ley de Transparencia y Acceso a la Información Pública del Estado de México y Municipios</w:t>
      </w:r>
    </w:p>
    <w:p w:rsidR="005A1F3A" w:rsidRPr="001B665B" w:rsidRDefault="005A1F3A" w:rsidP="005A1F3A">
      <w:pPr>
        <w:tabs>
          <w:tab w:val="left" w:pos="709"/>
        </w:tabs>
        <w:ind w:left="851" w:right="760"/>
        <w:jc w:val="both"/>
        <w:rPr>
          <w:rFonts w:ascii="Palatino Linotype" w:hAnsi="Palatino Linotype" w:cs="Arial"/>
          <w:i/>
          <w:sz w:val="20"/>
          <w:szCs w:val="20"/>
        </w:rPr>
      </w:pP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 xml:space="preserve">“Artículo 50. Los sujetos obligados contarán con un área responsable para la atención de las solicitudes de información, a la que se le denominará Unidad de Transparencia. </w:t>
      </w:r>
    </w:p>
    <w:p w:rsidR="005A1F3A" w:rsidRPr="001B665B" w:rsidRDefault="005A1F3A" w:rsidP="005A1F3A">
      <w:pPr>
        <w:tabs>
          <w:tab w:val="left" w:pos="709"/>
        </w:tabs>
        <w:ind w:left="851" w:right="760"/>
        <w:jc w:val="both"/>
        <w:rPr>
          <w:rFonts w:ascii="Palatino Linotype" w:hAnsi="Palatino Linotype" w:cs="Arial"/>
          <w:i/>
          <w:sz w:val="22"/>
          <w:szCs w:val="22"/>
        </w:rPr>
      </w:pP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 xml:space="preserve">Artículo 51. Los sujetos obligados designaran a un responsable para atender la Unidad de Transparencia, quien fungirá como enlace entre éstos y los solicitantes. </w:t>
      </w:r>
      <w:r w:rsidRPr="001B665B">
        <w:rPr>
          <w:rFonts w:ascii="Palatino Linotype" w:hAnsi="Palatino Linotype" w:cs="Arial"/>
          <w:b/>
          <w:i/>
          <w:sz w:val="22"/>
          <w:szCs w:val="22"/>
          <w:u w:val="single"/>
        </w:rPr>
        <w:t>Dicha Unidad será la encargada de tramitar internamente la solicitud de información</w:t>
      </w:r>
      <w:r w:rsidRPr="001B665B">
        <w:rPr>
          <w:rFonts w:ascii="Palatino Linotype" w:hAnsi="Palatino Linotype" w:cs="Arial"/>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Artículo 53. Las Unidades de Transparencia tendrán las siguientes funciones:</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 xml:space="preserve">II. Recibir, tramitar y dar respuesta a las solicitudes de acceso a la información; </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w:t>
      </w:r>
    </w:p>
    <w:p w:rsidR="005A1F3A" w:rsidRPr="001B665B" w:rsidRDefault="005A1F3A" w:rsidP="005A1F3A">
      <w:pPr>
        <w:tabs>
          <w:tab w:val="left" w:pos="709"/>
        </w:tabs>
        <w:ind w:left="851" w:right="760"/>
        <w:jc w:val="both"/>
        <w:rPr>
          <w:rFonts w:ascii="Palatino Linotype" w:hAnsi="Palatino Linotype" w:cs="Arial"/>
          <w:b/>
          <w:i/>
          <w:sz w:val="22"/>
          <w:szCs w:val="22"/>
          <w:u w:val="single"/>
        </w:rPr>
      </w:pPr>
      <w:r w:rsidRPr="001B665B">
        <w:rPr>
          <w:rFonts w:ascii="Palatino Linotype" w:hAnsi="Palatino Linotype" w:cs="Arial"/>
          <w:b/>
          <w:i/>
          <w:sz w:val="22"/>
          <w:szCs w:val="22"/>
          <w:u w:val="single"/>
        </w:rPr>
        <w:t xml:space="preserve">IV. Realizar, con efectividad, los trámites internos necesarios para la atención de las solicitudes de acceso a la información; </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lastRenderedPageBreak/>
        <w:t xml:space="preserve">V. Entregar, en su caso, a los particulares la información solicitada; </w:t>
      </w:r>
    </w:p>
    <w:p w:rsidR="005A1F3A" w:rsidRPr="001B665B" w:rsidRDefault="005A1F3A" w:rsidP="005A1F3A">
      <w:pPr>
        <w:tabs>
          <w:tab w:val="left" w:pos="709"/>
        </w:tabs>
        <w:ind w:left="851" w:right="760"/>
        <w:jc w:val="both"/>
        <w:rPr>
          <w:rFonts w:ascii="Palatino Linotype" w:hAnsi="Palatino Linotype" w:cs="Arial"/>
          <w:i/>
          <w:sz w:val="22"/>
          <w:szCs w:val="22"/>
        </w:rPr>
      </w:pPr>
      <w:r w:rsidRPr="001B665B">
        <w:rPr>
          <w:rFonts w:ascii="Palatino Linotype" w:hAnsi="Palatino Linotype" w:cs="Arial"/>
          <w:i/>
          <w:sz w:val="22"/>
          <w:szCs w:val="22"/>
        </w:rPr>
        <w:t>VI. Efectuar las notificaciones a los solicitantes;”</w:t>
      </w:r>
    </w:p>
    <w:p w:rsidR="005A1F3A" w:rsidRPr="001B665B" w:rsidRDefault="005A1F3A" w:rsidP="005A1F3A">
      <w:pPr>
        <w:spacing w:line="360" w:lineRule="auto"/>
        <w:jc w:val="both"/>
        <w:rPr>
          <w:rFonts w:ascii="Palatino Linotype" w:eastAsia="Calibri" w:hAnsi="Palatino Linotype"/>
          <w:sz w:val="22"/>
          <w:szCs w:val="22"/>
          <w:lang w:val="es-MX" w:eastAsia="en-US"/>
        </w:rPr>
      </w:pPr>
    </w:p>
    <w:p w:rsidR="005A1F3A" w:rsidRPr="001B665B" w:rsidRDefault="005A1F3A" w:rsidP="005A1F3A">
      <w:pPr>
        <w:autoSpaceDE w:val="0"/>
        <w:autoSpaceDN w:val="0"/>
        <w:adjustRightInd w:val="0"/>
        <w:spacing w:line="360" w:lineRule="auto"/>
        <w:jc w:val="both"/>
        <w:rPr>
          <w:rFonts w:ascii="Palatino Linotype" w:eastAsia="Calibri" w:hAnsi="Palatino Linotype" w:cs="Arial"/>
          <w:lang w:val="es-MX" w:eastAsia="en-US"/>
        </w:rPr>
      </w:pPr>
      <w:r w:rsidRPr="001B665B">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1B665B">
        <w:rPr>
          <w:rFonts w:ascii="Palatino Linotype" w:eastAsia="Calibri" w:hAnsi="Palatino Linotype" w:cs="Arial"/>
          <w:b/>
          <w:lang w:val="es-MX" w:eastAsia="en-US"/>
        </w:rPr>
        <w:t>Sujeto Obligado</w:t>
      </w:r>
      <w:r w:rsidRPr="001B665B">
        <w:rPr>
          <w:rFonts w:ascii="Palatino Linotype" w:eastAsia="Calibri" w:hAnsi="Palatino Linotype" w:cs="Arial"/>
          <w:lang w:val="es-MX" w:eastAsia="en-US"/>
        </w:rPr>
        <w:t xml:space="preserve">, lo cierto es que también tienen diversas Unidades Administrativas y cada área cuenta con un </w:t>
      </w:r>
      <w:r w:rsidRPr="001B665B">
        <w:rPr>
          <w:rFonts w:ascii="Palatino Linotype" w:eastAsia="Calibri" w:hAnsi="Palatino Linotype" w:cs="Arial"/>
          <w:b/>
          <w:lang w:val="es-MX" w:eastAsia="en-US"/>
        </w:rPr>
        <w:t>Servidor Público Habilitado</w:t>
      </w:r>
      <w:r w:rsidRPr="001B665B">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5A1F3A" w:rsidRPr="001B665B" w:rsidRDefault="005A1F3A" w:rsidP="005A1F3A">
      <w:pPr>
        <w:rPr>
          <w:lang w:val="es-MX"/>
        </w:rPr>
      </w:pP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b/>
          <w:i/>
          <w:sz w:val="22"/>
          <w:lang w:val="es-MX" w:eastAsia="en-US"/>
        </w:rPr>
        <w:t>Artículo 3.</w:t>
      </w:r>
      <w:r w:rsidRPr="001B665B">
        <w:rPr>
          <w:rFonts w:ascii="Palatino Linotype" w:eastAsia="Calibri" w:hAnsi="Palatino Linotype" w:cs="Arial"/>
          <w:i/>
          <w:sz w:val="22"/>
          <w:lang w:val="es-MX" w:eastAsia="en-US"/>
        </w:rPr>
        <w:t xml:space="preserve"> Para los efectos de la presente Ley se entenderá por:</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b/>
          <w:i/>
          <w:sz w:val="22"/>
          <w:lang w:val="es-MX" w:eastAsia="en-US"/>
        </w:rPr>
        <w:t xml:space="preserve">XXXIX. Servidor público habilitado: </w:t>
      </w:r>
      <w:r w:rsidRPr="001B665B">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w:t>
      </w:r>
    </w:p>
    <w:p w:rsidR="005A1F3A" w:rsidRPr="001B665B" w:rsidRDefault="005A1F3A" w:rsidP="005A1F3A">
      <w:pPr>
        <w:rPr>
          <w:lang w:val="es-MX"/>
        </w:rPr>
      </w:pP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b/>
          <w:i/>
          <w:sz w:val="22"/>
          <w:lang w:val="es-MX" w:eastAsia="en-US"/>
        </w:rPr>
        <w:t>Artículo 58.</w:t>
      </w:r>
      <w:r w:rsidRPr="001B665B">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b/>
          <w:i/>
          <w:sz w:val="22"/>
          <w:lang w:val="es-MX" w:eastAsia="en-US"/>
        </w:rPr>
        <w:t>Artículo 59.</w:t>
      </w:r>
      <w:r w:rsidRPr="001B665B">
        <w:rPr>
          <w:rFonts w:ascii="Palatino Linotype" w:eastAsia="Calibri" w:hAnsi="Palatino Linotype" w:cs="Arial"/>
          <w:i/>
          <w:sz w:val="22"/>
          <w:lang w:val="es-MX" w:eastAsia="en-US"/>
        </w:rPr>
        <w:t xml:space="preserve"> </w:t>
      </w:r>
      <w:r w:rsidRPr="001B665B">
        <w:rPr>
          <w:rFonts w:ascii="Palatino Linotype" w:eastAsia="Calibri" w:hAnsi="Palatino Linotype" w:cs="Arial"/>
          <w:b/>
          <w:i/>
          <w:sz w:val="22"/>
          <w:u w:val="single"/>
          <w:lang w:val="es-MX" w:eastAsia="en-US"/>
        </w:rPr>
        <w:t>Los servidores públicos habilitados</w:t>
      </w:r>
      <w:r w:rsidRPr="001B665B">
        <w:rPr>
          <w:rFonts w:ascii="Palatino Linotype" w:eastAsia="Calibri" w:hAnsi="Palatino Linotype" w:cs="Arial"/>
          <w:i/>
          <w:sz w:val="22"/>
          <w:lang w:val="es-MX" w:eastAsia="en-US"/>
        </w:rPr>
        <w:t xml:space="preserve"> tendrán las funciones siguientes:</w:t>
      </w:r>
    </w:p>
    <w:p w:rsidR="005A1F3A" w:rsidRPr="001B665B" w:rsidRDefault="005A1F3A" w:rsidP="005A1F3A">
      <w:pPr>
        <w:rPr>
          <w:lang w:val="es-MX"/>
        </w:rPr>
      </w:pP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 xml:space="preserve">I. </w:t>
      </w:r>
      <w:r w:rsidRPr="001B665B">
        <w:rPr>
          <w:rFonts w:ascii="Palatino Linotype" w:eastAsia="Calibri" w:hAnsi="Palatino Linotype" w:cs="Arial"/>
          <w:b/>
          <w:i/>
          <w:sz w:val="22"/>
          <w:u w:val="single"/>
          <w:lang w:val="es-MX" w:eastAsia="en-US"/>
        </w:rPr>
        <w:t>Localizar la información que le solicite la Unidad de Transparencia</w:t>
      </w:r>
      <w:r w:rsidRPr="001B665B">
        <w:rPr>
          <w:rFonts w:ascii="Palatino Linotype" w:eastAsia="Calibri" w:hAnsi="Palatino Linotype" w:cs="Arial"/>
          <w:i/>
          <w:sz w:val="22"/>
          <w:lang w:val="es-MX" w:eastAsia="en-US"/>
        </w:rPr>
        <w:t>;</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lastRenderedPageBreak/>
        <w:t xml:space="preserve">II. </w:t>
      </w:r>
      <w:r w:rsidRPr="001B665B">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1B665B">
        <w:rPr>
          <w:rFonts w:ascii="Palatino Linotype" w:eastAsia="Calibri" w:hAnsi="Palatino Linotype" w:cs="Arial"/>
          <w:i/>
          <w:sz w:val="22"/>
          <w:lang w:val="es-MX" w:eastAsia="en-US"/>
        </w:rPr>
        <w:t>;</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III. Apoyar a la Unidad de Transparencia en lo que esta le solicite para el cumplimiento de sus funciones;</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IV. Proporcionar a la Unidad de Transparencia, las modificaciones a la información pública de oficio que obre en su poder;</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rsidR="005A1F3A" w:rsidRPr="001B665B" w:rsidRDefault="005A1F3A" w:rsidP="005A1F3A">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B665B">
        <w:rPr>
          <w:rFonts w:ascii="Palatino Linotype" w:eastAsia="Calibri" w:hAnsi="Palatino Linotype" w:cs="Arial"/>
          <w:i/>
          <w:sz w:val="22"/>
          <w:lang w:val="es-MX" w:eastAsia="en-US"/>
        </w:rPr>
        <w:t>VII. Dar cuenta a la Unidad de Transparencia del vencimiento de los plazos de reserva.</w:t>
      </w:r>
    </w:p>
    <w:p w:rsidR="00E01B6A" w:rsidRPr="001B665B" w:rsidRDefault="0035502D" w:rsidP="005A1F3A">
      <w:pPr>
        <w:spacing w:before="240" w:after="240" w:line="360" w:lineRule="auto"/>
        <w:jc w:val="both"/>
        <w:rPr>
          <w:rFonts w:ascii="Palatino Linotype" w:hAnsi="Palatino Linotype"/>
          <w:szCs w:val="22"/>
          <w:lang w:val="es-MX"/>
        </w:rPr>
      </w:pPr>
      <w:r w:rsidRPr="001B665B">
        <w:rPr>
          <w:rFonts w:ascii="Palatino Linotype" w:hAnsi="Palatino Linotype"/>
          <w:szCs w:val="22"/>
          <w:lang w:val="es-MX"/>
        </w:rPr>
        <w:t xml:space="preserve">Es así que, en el asunto que nos ocupa analizar, si bien es cierto que se pronunció una de las áreas competentes para generar, administrar o poseer la información pública solicitada; también lo es, que de las constancias que integran el expediente electrónico no se advierte que se la solicitud de información se haya turnado al Servidor Público Habilitado </w:t>
      </w:r>
      <w:r w:rsidR="005457F9" w:rsidRPr="001B665B">
        <w:rPr>
          <w:rFonts w:ascii="Palatino Linotype" w:hAnsi="Palatino Linotype"/>
          <w:szCs w:val="22"/>
          <w:lang w:val="es-MX"/>
        </w:rPr>
        <w:t xml:space="preserve">de la </w:t>
      </w:r>
      <w:r w:rsidR="00005846" w:rsidRPr="001B665B">
        <w:rPr>
          <w:rFonts w:ascii="Palatino Linotype" w:hAnsi="Palatino Linotype"/>
          <w:szCs w:val="22"/>
          <w:lang w:val="es-MX"/>
        </w:rPr>
        <w:t>Dirección de Servicios Públicos que de conformidad con lo dispuesto en el artículo 21, fracción I</w:t>
      </w:r>
      <w:r w:rsidR="003C22E6" w:rsidRPr="001B665B">
        <w:rPr>
          <w:rFonts w:ascii="Palatino Linotype" w:hAnsi="Palatino Linotype"/>
          <w:szCs w:val="22"/>
          <w:lang w:val="es-MX"/>
        </w:rPr>
        <w:t>, numeral 10</w:t>
      </w:r>
      <w:r w:rsidR="00005846" w:rsidRPr="001B665B">
        <w:rPr>
          <w:rFonts w:ascii="Palatino Linotype" w:hAnsi="Palatino Linotype"/>
          <w:szCs w:val="22"/>
          <w:lang w:val="es-MX"/>
        </w:rPr>
        <w:t xml:space="preserve"> del Bando Municipal de Zinacantepec de 2022 establece: </w:t>
      </w:r>
    </w:p>
    <w:p w:rsidR="00005846" w:rsidRPr="001B665B" w:rsidRDefault="003C22E6" w:rsidP="003C22E6">
      <w:pPr>
        <w:spacing w:before="240" w:after="240" w:line="276" w:lineRule="auto"/>
        <w:ind w:left="851" w:right="758"/>
        <w:jc w:val="both"/>
        <w:rPr>
          <w:rFonts w:ascii="Palatino Linotype" w:hAnsi="Palatino Linotype"/>
          <w:i/>
          <w:sz w:val="22"/>
          <w:szCs w:val="22"/>
        </w:rPr>
      </w:pPr>
      <w:r w:rsidRPr="001B665B">
        <w:rPr>
          <w:rFonts w:ascii="Palatino Linotype" w:hAnsi="Palatino Linotype"/>
          <w:i/>
          <w:sz w:val="22"/>
          <w:szCs w:val="22"/>
        </w:rPr>
        <w:t>“</w:t>
      </w:r>
      <w:r w:rsidRPr="001B665B">
        <w:rPr>
          <w:rFonts w:ascii="Palatino Linotype" w:hAnsi="Palatino Linotype"/>
          <w:b/>
          <w:i/>
          <w:sz w:val="22"/>
          <w:szCs w:val="22"/>
        </w:rPr>
        <w:t>Artículo 21.</w:t>
      </w:r>
      <w:r w:rsidRPr="001B665B">
        <w:rPr>
          <w:rFonts w:ascii="Palatino Linotype" w:hAnsi="Palatino Linotype"/>
          <w:i/>
          <w:sz w:val="22"/>
          <w:szCs w:val="22"/>
        </w:rPr>
        <w:t xml:space="preserve"> El Presidente Municipal para el ejercicio de sus funciones, se auxiliará de las siguientes Unidades Administrativas:</w:t>
      </w:r>
    </w:p>
    <w:p w:rsidR="003C22E6" w:rsidRPr="001B665B" w:rsidRDefault="003C22E6" w:rsidP="003C22E6">
      <w:pPr>
        <w:pStyle w:val="Prrafodelista"/>
        <w:numPr>
          <w:ilvl w:val="0"/>
          <w:numId w:val="6"/>
        </w:numPr>
        <w:spacing w:before="240" w:after="240" w:line="276" w:lineRule="auto"/>
        <w:ind w:left="851" w:right="758" w:firstLine="0"/>
        <w:jc w:val="both"/>
        <w:rPr>
          <w:rFonts w:ascii="Palatino Linotype" w:hAnsi="Palatino Linotype"/>
          <w:b/>
          <w:i/>
          <w:sz w:val="22"/>
          <w:szCs w:val="22"/>
        </w:rPr>
      </w:pPr>
      <w:r w:rsidRPr="001B665B">
        <w:rPr>
          <w:rFonts w:ascii="Palatino Linotype" w:hAnsi="Palatino Linotype"/>
          <w:b/>
          <w:i/>
          <w:sz w:val="22"/>
          <w:szCs w:val="22"/>
        </w:rPr>
        <w:t>DEPENDENCIAS ADMINISTRATIVAS:</w:t>
      </w:r>
    </w:p>
    <w:p w:rsidR="003C22E6" w:rsidRPr="001B665B" w:rsidRDefault="003C22E6" w:rsidP="003C22E6">
      <w:pPr>
        <w:pStyle w:val="Prrafodelista"/>
        <w:spacing w:before="240" w:after="240" w:line="276" w:lineRule="auto"/>
        <w:ind w:left="851" w:right="758"/>
        <w:jc w:val="both"/>
        <w:rPr>
          <w:rFonts w:ascii="Palatino Linotype" w:hAnsi="Palatino Linotype"/>
          <w:i/>
          <w:sz w:val="22"/>
          <w:szCs w:val="22"/>
        </w:rPr>
      </w:pPr>
      <w:r w:rsidRPr="001B665B">
        <w:rPr>
          <w:rFonts w:ascii="Palatino Linotype" w:hAnsi="Palatino Linotype"/>
          <w:i/>
          <w:sz w:val="22"/>
          <w:szCs w:val="22"/>
        </w:rPr>
        <w:t xml:space="preserve">10. </w:t>
      </w:r>
      <w:r w:rsidRPr="001B665B">
        <w:rPr>
          <w:rFonts w:ascii="Palatino Linotype" w:hAnsi="Palatino Linotype"/>
          <w:b/>
          <w:i/>
          <w:sz w:val="22"/>
          <w:szCs w:val="22"/>
          <w:u w:val="single"/>
        </w:rPr>
        <w:t>Dirección de Servicios Públicos</w:t>
      </w:r>
      <w:r w:rsidRPr="001B665B">
        <w:rPr>
          <w:rFonts w:ascii="Palatino Linotype" w:hAnsi="Palatino Linotype"/>
          <w:i/>
          <w:sz w:val="22"/>
          <w:szCs w:val="22"/>
        </w:rPr>
        <w:t>.</w:t>
      </w:r>
    </w:p>
    <w:p w:rsidR="00955F3D" w:rsidRPr="001B665B" w:rsidRDefault="00955F3D" w:rsidP="003C22E6">
      <w:pPr>
        <w:pStyle w:val="Prrafodelista"/>
        <w:spacing w:before="240" w:after="240" w:line="276" w:lineRule="auto"/>
        <w:ind w:left="851" w:right="758"/>
        <w:jc w:val="both"/>
        <w:rPr>
          <w:rFonts w:ascii="Palatino Linotype" w:hAnsi="Palatino Linotype"/>
          <w:i/>
          <w:sz w:val="22"/>
          <w:szCs w:val="22"/>
          <w:lang w:val="es-MX"/>
        </w:rPr>
      </w:pPr>
      <w:r w:rsidRPr="001B665B">
        <w:rPr>
          <w:rFonts w:ascii="Palatino Linotype" w:hAnsi="Palatino Linotype"/>
          <w:i/>
          <w:sz w:val="22"/>
          <w:szCs w:val="22"/>
        </w:rPr>
        <w:t>…”</w:t>
      </w:r>
    </w:p>
    <w:p w:rsidR="00005846" w:rsidRPr="001B665B" w:rsidRDefault="00C1762C" w:rsidP="005A1F3A">
      <w:pPr>
        <w:spacing w:before="240" w:after="240" w:line="360" w:lineRule="auto"/>
        <w:jc w:val="both"/>
        <w:rPr>
          <w:rFonts w:ascii="Palatino Linotype" w:hAnsi="Palatino Linotype"/>
          <w:szCs w:val="22"/>
          <w:lang w:val="es-MX"/>
        </w:rPr>
      </w:pPr>
      <w:r w:rsidRPr="001B665B">
        <w:rPr>
          <w:rFonts w:ascii="Palatino Linotype" w:hAnsi="Palatino Linotype"/>
          <w:szCs w:val="22"/>
          <w:lang w:val="es-MX"/>
        </w:rPr>
        <w:t xml:space="preserve">Es de señalar que el Reglamento de Recolección y Limpia de Zinacantepec, cuyo propósito fundamental es regular la prestación de los servicios públicos de limpia, </w:t>
      </w:r>
      <w:r w:rsidRPr="001B665B">
        <w:rPr>
          <w:rFonts w:ascii="Palatino Linotype" w:hAnsi="Palatino Linotype"/>
          <w:szCs w:val="22"/>
          <w:lang w:val="es-MX"/>
        </w:rPr>
        <w:lastRenderedPageBreak/>
        <w:t xml:space="preserve">recolección, traslado y disposición de residuos no peligrosos, </w:t>
      </w:r>
      <w:r w:rsidR="000812B9" w:rsidRPr="001B665B">
        <w:rPr>
          <w:rFonts w:ascii="Palatino Linotype" w:hAnsi="Palatino Linotype"/>
          <w:szCs w:val="22"/>
          <w:lang w:val="es-MX"/>
        </w:rPr>
        <w:t xml:space="preserve">en su artículo 36 establece: </w:t>
      </w:r>
    </w:p>
    <w:p w:rsidR="000812B9" w:rsidRPr="001B665B" w:rsidRDefault="000812B9" w:rsidP="00257BD1">
      <w:pPr>
        <w:spacing w:before="240" w:after="240" w:line="276" w:lineRule="auto"/>
        <w:ind w:left="851" w:right="616"/>
        <w:jc w:val="both"/>
        <w:rPr>
          <w:rFonts w:ascii="Palatino Linotype" w:hAnsi="Palatino Linotype"/>
          <w:i/>
          <w:sz w:val="22"/>
          <w:szCs w:val="22"/>
          <w:lang w:val="es-MX"/>
        </w:rPr>
      </w:pPr>
      <w:r w:rsidRPr="001B665B">
        <w:rPr>
          <w:rFonts w:ascii="Palatino Linotype" w:hAnsi="Palatino Linotype"/>
          <w:i/>
          <w:sz w:val="22"/>
          <w:szCs w:val="22"/>
          <w:lang w:val="es-MX"/>
        </w:rPr>
        <w:t xml:space="preserve">ARTÍCULO 36.- </w:t>
      </w:r>
      <w:r w:rsidRPr="001B665B">
        <w:rPr>
          <w:rFonts w:ascii="Palatino Linotype" w:hAnsi="Palatino Linotype"/>
          <w:b/>
          <w:i/>
          <w:sz w:val="22"/>
          <w:szCs w:val="22"/>
          <w:u w:val="single"/>
          <w:lang w:val="es-MX"/>
        </w:rPr>
        <w:t>Cualquier persona puede denunciar ante la autoridad</w:t>
      </w:r>
      <w:r w:rsidRPr="001B665B">
        <w:rPr>
          <w:rFonts w:ascii="Palatino Linotype" w:hAnsi="Palatino Linotype"/>
          <w:i/>
          <w:sz w:val="22"/>
          <w:szCs w:val="22"/>
          <w:lang w:val="es-MX"/>
        </w:rPr>
        <w:t xml:space="preserve">, </w:t>
      </w:r>
      <w:r w:rsidRPr="001B665B">
        <w:rPr>
          <w:rFonts w:ascii="Palatino Linotype" w:hAnsi="Palatino Linotype"/>
          <w:b/>
          <w:i/>
          <w:sz w:val="22"/>
          <w:szCs w:val="22"/>
          <w:u w:val="single"/>
          <w:lang w:val="es-MX"/>
        </w:rPr>
        <w:t>por conducto de la Dirección de Servicios</w:t>
      </w:r>
      <w:r w:rsidR="00257BD1" w:rsidRPr="001B665B">
        <w:rPr>
          <w:rFonts w:ascii="Palatino Linotype" w:hAnsi="Palatino Linotype"/>
          <w:b/>
          <w:i/>
          <w:sz w:val="22"/>
          <w:szCs w:val="22"/>
          <w:u w:val="single"/>
          <w:lang w:val="es-MX"/>
        </w:rPr>
        <w:t xml:space="preserve"> </w:t>
      </w:r>
      <w:r w:rsidRPr="001B665B">
        <w:rPr>
          <w:rFonts w:ascii="Palatino Linotype" w:hAnsi="Palatino Linotype"/>
          <w:b/>
          <w:i/>
          <w:sz w:val="22"/>
          <w:szCs w:val="22"/>
          <w:u w:val="single"/>
          <w:lang w:val="es-MX"/>
        </w:rPr>
        <w:t>Públicos Municipale</w:t>
      </w:r>
      <w:r w:rsidRPr="001B665B">
        <w:rPr>
          <w:rFonts w:ascii="Palatino Linotype" w:hAnsi="Palatino Linotype"/>
          <w:i/>
          <w:sz w:val="22"/>
          <w:szCs w:val="22"/>
          <w:lang w:val="es-MX"/>
        </w:rPr>
        <w:t>s, los casos de infracción al presente Reglamento.</w:t>
      </w:r>
    </w:p>
    <w:p w:rsidR="005A1F3A" w:rsidRPr="001B665B" w:rsidRDefault="00641632" w:rsidP="005A1F3A">
      <w:pPr>
        <w:spacing w:before="240" w:after="240" w:line="360" w:lineRule="auto"/>
        <w:jc w:val="both"/>
        <w:rPr>
          <w:rFonts w:ascii="Palatino Linotype" w:hAnsi="Palatino Linotype"/>
          <w:szCs w:val="22"/>
          <w:lang w:val="es-MX"/>
        </w:rPr>
      </w:pPr>
      <w:r w:rsidRPr="001B665B">
        <w:rPr>
          <w:rFonts w:ascii="Palatino Linotype" w:hAnsi="Palatino Linotype"/>
          <w:szCs w:val="22"/>
          <w:lang w:val="es-MX"/>
        </w:rPr>
        <w:t xml:space="preserve">Es así que, del ordenamiento previamente citado, se tiene que la Dirección de Servicios Públicos es el área que de  manera enunciativa más no limitativa cuenta </w:t>
      </w:r>
      <w:proofErr w:type="spellStart"/>
      <w:r w:rsidRPr="001B665B">
        <w:rPr>
          <w:rFonts w:ascii="Palatino Linotype" w:hAnsi="Palatino Linotype"/>
          <w:szCs w:val="22"/>
          <w:lang w:val="es-MX"/>
        </w:rPr>
        <w:t>co</w:t>
      </w:r>
      <w:proofErr w:type="spellEnd"/>
      <w:r w:rsidRPr="001B665B">
        <w:rPr>
          <w:rFonts w:ascii="Palatino Linotype" w:hAnsi="Palatino Linotype"/>
          <w:szCs w:val="22"/>
          <w:lang w:val="es-MX"/>
        </w:rPr>
        <w:t xml:space="preserve"> atribuciones para generar, administrar o poseer la información púbica solicitada; por lo que en el presente asunto, </w:t>
      </w:r>
      <w:r w:rsidR="005A1F3A" w:rsidRPr="001B665B">
        <w:rPr>
          <w:rFonts w:ascii="Palatino Linotype" w:hAnsi="Palatino Linotype"/>
          <w:szCs w:val="22"/>
          <w:lang w:val="es-MX"/>
        </w:rPr>
        <w:t>no se cumplió con lo que para tal efecto, dispone el artículo 162 de la Ley de Transparencia y Acceso a la Información Pública del Estado de México y Municipios, que índica:</w:t>
      </w:r>
    </w:p>
    <w:p w:rsidR="005A1F3A" w:rsidRPr="001B665B" w:rsidRDefault="005A1F3A" w:rsidP="005A1F3A">
      <w:pPr>
        <w:rPr>
          <w:lang w:val="es-MX"/>
        </w:rPr>
      </w:pPr>
    </w:p>
    <w:p w:rsidR="005A1F3A" w:rsidRPr="001B665B" w:rsidRDefault="005A1F3A" w:rsidP="00641632">
      <w:pPr>
        <w:spacing w:line="276" w:lineRule="auto"/>
        <w:ind w:left="567"/>
        <w:jc w:val="both"/>
        <w:rPr>
          <w:rFonts w:ascii="Palatino Linotype" w:hAnsi="Palatino Linotype"/>
          <w:i/>
          <w:sz w:val="22"/>
          <w:szCs w:val="20"/>
          <w:lang w:val="es-MX"/>
        </w:rPr>
      </w:pPr>
      <w:r w:rsidRPr="001B665B">
        <w:rPr>
          <w:rFonts w:ascii="Palatino Linotype" w:hAnsi="Palatino Linotype"/>
          <w:i/>
          <w:sz w:val="22"/>
          <w:szCs w:val="20"/>
          <w:lang w:val="es-MX"/>
        </w:rPr>
        <w:t>“</w:t>
      </w:r>
      <w:r w:rsidRPr="001B665B">
        <w:rPr>
          <w:rFonts w:ascii="Palatino Linotype" w:hAnsi="Palatino Linotype"/>
          <w:b/>
          <w:bCs/>
          <w:i/>
          <w:sz w:val="22"/>
          <w:szCs w:val="20"/>
          <w:lang w:val="es-MX"/>
        </w:rPr>
        <w:t xml:space="preserve">Artículo 162. </w:t>
      </w:r>
      <w:r w:rsidRPr="001B665B">
        <w:rPr>
          <w:rFonts w:ascii="Palatino Linotype" w:hAnsi="Palatino Linotype"/>
          <w:i/>
          <w:sz w:val="22"/>
          <w:szCs w:val="20"/>
          <w:u w:val="single"/>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B665B">
        <w:rPr>
          <w:rFonts w:ascii="Palatino Linotype" w:hAnsi="Palatino Linotype"/>
          <w:i/>
          <w:sz w:val="22"/>
          <w:szCs w:val="20"/>
          <w:lang w:val="es-MX"/>
        </w:rPr>
        <w:t>”</w:t>
      </w:r>
    </w:p>
    <w:p w:rsidR="005A1F3A" w:rsidRPr="001B665B" w:rsidRDefault="005A1F3A" w:rsidP="005A1F3A">
      <w:pPr>
        <w:spacing w:before="240" w:after="240" w:line="256" w:lineRule="auto"/>
        <w:ind w:left="567"/>
        <w:jc w:val="right"/>
        <w:rPr>
          <w:rFonts w:ascii="Palatino Linotype" w:hAnsi="Palatino Linotype"/>
          <w:b/>
          <w:i/>
          <w:sz w:val="20"/>
          <w:szCs w:val="20"/>
          <w:lang w:val="es-MX"/>
        </w:rPr>
      </w:pPr>
      <w:r w:rsidRPr="001B665B">
        <w:rPr>
          <w:rFonts w:ascii="Palatino Linotype" w:hAnsi="Palatino Linotype"/>
          <w:b/>
          <w:i/>
          <w:sz w:val="20"/>
          <w:szCs w:val="20"/>
          <w:lang w:val="es-MX"/>
        </w:rPr>
        <w:t xml:space="preserve"> [Énfasis añadido]</w:t>
      </w:r>
    </w:p>
    <w:p w:rsidR="005A1F3A" w:rsidRPr="001B665B" w:rsidRDefault="005A1F3A" w:rsidP="005A1F3A">
      <w:pPr>
        <w:spacing w:after="160" w:line="256" w:lineRule="auto"/>
        <w:rPr>
          <w:rFonts w:ascii="Calibri" w:eastAsia="Calibri" w:hAnsi="Calibri"/>
          <w:sz w:val="22"/>
          <w:szCs w:val="22"/>
          <w:lang w:val="es-MX" w:eastAsia="en-US"/>
        </w:rPr>
      </w:pPr>
    </w:p>
    <w:p w:rsidR="005A1F3A" w:rsidRPr="001B665B" w:rsidRDefault="005A1F3A" w:rsidP="005A1F3A">
      <w:pPr>
        <w:spacing w:line="360" w:lineRule="auto"/>
        <w:jc w:val="both"/>
        <w:rPr>
          <w:rFonts w:ascii="Palatino Linotype" w:eastAsia="Calibri" w:hAnsi="Palatino Linotype" w:cs="Arial"/>
          <w:bCs/>
          <w:lang w:val="es-MX" w:eastAsia="en-US"/>
        </w:rPr>
      </w:pPr>
      <w:r w:rsidRPr="001B665B">
        <w:rPr>
          <w:rFonts w:ascii="Palatino Linotype" w:eastAsia="Calibri" w:hAnsi="Palatino Linotype" w:cs="Arial"/>
          <w:bCs/>
          <w:lang w:val="es-MX" w:eastAsia="en-US"/>
        </w:rPr>
        <w:t xml:space="preserve">Por lo que una vez hecha la búsqueda exhaustiva y razonable de la información en todas y cada una de las áreas que pudieran poseer la información, deberá informar al </w:t>
      </w:r>
      <w:r w:rsidRPr="001B665B">
        <w:rPr>
          <w:rFonts w:ascii="Palatino Linotype" w:eastAsia="Calibri" w:hAnsi="Palatino Linotype" w:cs="Arial"/>
          <w:b/>
          <w:bCs/>
          <w:lang w:val="es-MX" w:eastAsia="en-US"/>
        </w:rPr>
        <w:t xml:space="preserve">Recurrente </w:t>
      </w:r>
      <w:r w:rsidRPr="001B665B">
        <w:rPr>
          <w:rFonts w:ascii="Palatino Linotype" w:eastAsia="Calibri" w:hAnsi="Palatino Linotype" w:cs="Arial"/>
          <w:bCs/>
          <w:lang w:val="es-MX" w:eastAsia="en-US"/>
        </w:rPr>
        <w:t>el resultado de la misma, junto con las constancias que acrediten la búsqueda precisada.</w:t>
      </w:r>
    </w:p>
    <w:p w:rsidR="005A1F3A" w:rsidRPr="001B665B" w:rsidRDefault="005A1F3A" w:rsidP="005A1F3A">
      <w:pPr>
        <w:spacing w:line="360" w:lineRule="auto"/>
        <w:jc w:val="both"/>
        <w:rPr>
          <w:rFonts w:ascii="Palatino Linotype" w:eastAsia="Calibri" w:hAnsi="Palatino Linotype" w:cs="Arial"/>
          <w:bCs/>
          <w:lang w:val="es-MX" w:eastAsia="en-US"/>
        </w:rPr>
      </w:pPr>
    </w:p>
    <w:p w:rsidR="00962A8E" w:rsidRPr="001B665B" w:rsidRDefault="005A1F3A" w:rsidP="005A1F3A">
      <w:pPr>
        <w:tabs>
          <w:tab w:val="left" w:pos="7938"/>
        </w:tabs>
        <w:spacing w:line="360" w:lineRule="auto"/>
        <w:jc w:val="both"/>
        <w:rPr>
          <w:rFonts w:ascii="Palatino Linotype" w:hAnsi="Palatino Linotype" w:cs="Arial"/>
        </w:rPr>
      </w:pPr>
      <w:r w:rsidRPr="001B665B">
        <w:rPr>
          <w:rFonts w:ascii="Palatino Linotype" w:hAnsi="Palatino Linotype" w:cs="Arial"/>
        </w:rPr>
        <w:lastRenderedPageBreak/>
        <w:t>Lo anterior es así ya que derivado de la solicitud de información (en la que se resuelve), se aprecia en el sistema SAIMEX, que la Titular de la Unidad de Transparencia del Sujeto Obligado, no tramitó ante</w:t>
      </w:r>
      <w:r w:rsidR="00962A8E" w:rsidRPr="001B665B">
        <w:rPr>
          <w:rFonts w:ascii="Palatino Linotype" w:hAnsi="Palatino Linotype" w:cs="Arial"/>
        </w:rPr>
        <w:t xml:space="preserve"> todas</w:t>
      </w:r>
      <w:r w:rsidRPr="001B665B">
        <w:rPr>
          <w:rFonts w:ascii="Palatino Linotype" w:hAnsi="Palatino Linotype" w:cs="Arial"/>
        </w:rPr>
        <w:t xml:space="preserve"> las instancias del Municipio, que pudieran tener lo solicitado (derivado de sus funciones) </w:t>
      </w:r>
      <w:r w:rsidR="00962A8E" w:rsidRPr="001B665B">
        <w:rPr>
          <w:rFonts w:ascii="Palatino Linotype" w:hAnsi="Palatino Linotype" w:cs="Arial"/>
        </w:rPr>
        <w:t>lo requerido por el particular.</w:t>
      </w:r>
    </w:p>
    <w:p w:rsidR="00962A8E" w:rsidRPr="001B665B" w:rsidRDefault="00962A8E" w:rsidP="005A1F3A">
      <w:pPr>
        <w:tabs>
          <w:tab w:val="left" w:pos="7938"/>
        </w:tabs>
        <w:spacing w:line="360" w:lineRule="auto"/>
        <w:jc w:val="both"/>
        <w:rPr>
          <w:rFonts w:ascii="Palatino Linotype" w:hAnsi="Palatino Linotype" w:cs="Arial"/>
        </w:rPr>
      </w:pPr>
    </w:p>
    <w:p w:rsidR="005A1F3A" w:rsidRPr="001B665B" w:rsidRDefault="005A1F3A" w:rsidP="005A1F3A">
      <w:pPr>
        <w:tabs>
          <w:tab w:val="left" w:pos="7938"/>
        </w:tabs>
        <w:spacing w:line="360" w:lineRule="auto"/>
        <w:jc w:val="both"/>
        <w:rPr>
          <w:rFonts w:ascii="Palatino Linotype" w:hAnsi="Palatino Linotype" w:cs="Arial"/>
        </w:rPr>
      </w:pPr>
      <w:r w:rsidRPr="001B665B">
        <w:rPr>
          <w:rFonts w:ascii="Palatino Linotype" w:hAnsi="Palatino Linotype" w:cs="Arial"/>
        </w:rPr>
        <w:t xml:space="preserve">Por ello es que se reitera, que la Titular de la Unidad de Transparencia debió llevar a cabo los pasos que le conmina sus funciones, de acuerdo con la Ley de Transparencia y Acceso a la Información Pública del Estado de México y Municipios, es decir, solicitar la información a </w:t>
      </w:r>
      <w:r w:rsidR="00C74F68" w:rsidRPr="001B665B">
        <w:rPr>
          <w:rFonts w:ascii="Palatino Linotype" w:hAnsi="Palatino Linotype" w:cs="Arial"/>
        </w:rPr>
        <w:t xml:space="preserve">todas </w:t>
      </w:r>
      <w:r w:rsidRPr="001B665B">
        <w:rPr>
          <w:rFonts w:ascii="Palatino Linotype" w:hAnsi="Palatino Linotype" w:cs="Arial"/>
        </w:rPr>
        <w:t>las unidades administrativas que por obligación le corresponden dar atención a la misma.</w:t>
      </w:r>
    </w:p>
    <w:p w:rsidR="005A1F3A" w:rsidRPr="001B665B" w:rsidRDefault="005A1F3A" w:rsidP="005A1F3A">
      <w:pPr>
        <w:spacing w:line="360" w:lineRule="auto"/>
        <w:jc w:val="both"/>
        <w:rPr>
          <w:rFonts w:ascii="Palatino Linotype" w:eastAsia="Calibri" w:hAnsi="Palatino Linotype"/>
          <w:sz w:val="22"/>
          <w:szCs w:val="22"/>
          <w:lang w:val="es-MX" w:eastAsia="en-US"/>
        </w:rPr>
      </w:pPr>
    </w:p>
    <w:p w:rsidR="005A1F3A" w:rsidRPr="001B665B" w:rsidRDefault="005A1F3A" w:rsidP="005A1F3A">
      <w:pPr>
        <w:spacing w:line="360" w:lineRule="auto"/>
        <w:jc w:val="both"/>
        <w:rPr>
          <w:rFonts w:ascii="Palatino Linotype" w:eastAsia="Calibri" w:hAnsi="Palatino Linotype"/>
          <w:lang w:val="es-MX" w:eastAsia="en-US"/>
        </w:rPr>
      </w:pPr>
      <w:r w:rsidRPr="001B665B">
        <w:rPr>
          <w:rFonts w:ascii="Palatino Linotype" w:eastAsia="Calibri" w:hAnsi="Palatino Linotype"/>
          <w:sz w:val="22"/>
          <w:szCs w:val="22"/>
          <w:lang w:val="es-MX" w:eastAsia="en-US"/>
        </w:rPr>
        <w:t>E</w:t>
      </w:r>
      <w:r w:rsidRPr="001B665B">
        <w:rPr>
          <w:rFonts w:ascii="Palatino Linotype" w:eastAsia="Calibri" w:hAnsi="Palatino Linotype"/>
          <w:lang w:val="es-MX" w:eastAsia="en-US"/>
        </w:rPr>
        <w:t xml:space="preserve">s así como podemos concluir que las solicitudes de información, deben ser remitidas a las áreas competentes de contar con la información y derivado a que no giro los requerimientos a las diferentes áreas con la que cuenta el Sujeto Obligado, es necesario se realice el procedimiento correspondiente a fin de localizar </w:t>
      </w:r>
      <w:r w:rsidR="00316019" w:rsidRPr="001B665B">
        <w:rPr>
          <w:rFonts w:ascii="Palatino Linotype" w:eastAsia="Calibri" w:hAnsi="Palatino Linotype"/>
          <w:lang w:val="es-MX" w:eastAsia="en-US"/>
        </w:rPr>
        <w:t>y entregar, de ser procedente en versión pública, el documento donde conste, el número de denuncias o reporte realizados por motivo de recolección de basura del uno al treinta de agosto de dos mil veintidós</w:t>
      </w:r>
      <w:r w:rsidR="00AA31F2" w:rsidRPr="001B665B">
        <w:rPr>
          <w:rFonts w:ascii="Palatino Linotype" w:eastAsia="Calibri" w:hAnsi="Palatino Linotype"/>
          <w:lang w:val="es-MX" w:eastAsia="en-US"/>
        </w:rPr>
        <w:t xml:space="preserve">; en términos del siguiente Considerando. </w:t>
      </w:r>
    </w:p>
    <w:p w:rsidR="0043505B" w:rsidRPr="001B665B" w:rsidRDefault="0043505B" w:rsidP="005A1F3A">
      <w:pPr>
        <w:spacing w:line="360" w:lineRule="auto"/>
        <w:jc w:val="both"/>
        <w:rPr>
          <w:rFonts w:ascii="Palatino Linotype" w:eastAsia="Calibri" w:hAnsi="Palatino Linotype"/>
          <w:lang w:val="es-MX" w:eastAsia="en-US"/>
        </w:rPr>
      </w:pPr>
    </w:p>
    <w:p w:rsidR="0043505B" w:rsidRPr="001B665B" w:rsidRDefault="0043505B" w:rsidP="0043505B">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Sin embargo, si derivado de la búsqueda que se ordena no se llegara a localizar información, por no haberse generado, bastará con que así se haga del conocimiento de la persona solicitante para tener por colmado su derecho de acceso a la </w:t>
      </w:r>
      <w:r w:rsidRPr="001B665B">
        <w:rPr>
          <w:rFonts w:ascii="Palatino Linotype" w:eastAsia="Palatino Linotype" w:hAnsi="Palatino Linotype" w:cs="Palatino Linotype"/>
        </w:rPr>
        <w:lastRenderedPageBreak/>
        <w:t>información, atendiendo las formalidades que establece el artículo 19, párrafo segundo de la Ley de Transparencia y Acceso a la Información Pública del Estado de México y Municipios, que es del tenor literal siguiente:</w:t>
      </w:r>
    </w:p>
    <w:p w:rsidR="0043505B" w:rsidRPr="001B665B" w:rsidRDefault="0043505B" w:rsidP="0043505B">
      <w:pPr>
        <w:spacing w:line="360" w:lineRule="auto"/>
        <w:jc w:val="both"/>
        <w:rPr>
          <w:rFonts w:ascii="Palatino Linotype" w:eastAsia="Palatino Linotype" w:hAnsi="Palatino Linotype" w:cs="Palatino Linotype"/>
        </w:rPr>
      </w:pPr>
    </w:p>
    <w:p w:rsidR="0043505B" w:rsidRPr="001B665B" w:rsidRDefault="0043505B" w:rsidP="0043505B">
      <w:pPr>
        <w:spacing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i/>
        </w:rPr>
        <w:t>“</w:t>
      </w:r>
      <w:r w:rsidRPr="001B665B">
        <w:rPr>
          <w:rFonts w:ascii="Palatino Linotype" w:eastAsia="Palatino Linotype" w:hAnsi="Palatino Linotype" w:cs="Palatino Linotype"/>
          <w:b/>
          <w:i/>
        </w:rPr>
        <w:t>Artículo 19</w:t>
      </w:r>
      <w:r w:rsidRPr="001B665B">
        <w:rPr>
          <w:rFonts w:ascii="Palatino Linotype" w:eastAsia="Palatino Linotype" w:hAnsi="Palatino Linotype" w:cs="Palatino Linotype"/>
          <w:i/>
        </w:rPr>
        <w:t>…</w:t>
      </w:r>
    </w:p>
    <w:p w:rsidR="0043505B" w:rsidRPr="001B665B" w:rsidRDefault="0043505B" w:rsidP="0043505B">
      <w:pPr>
        <w:spacing w:before="120"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43505B" w:rsidRPr="001B665B" w:rsidRDefault="0043505B" w:rsidP="005A1F3A">
      <w:pPr>
        <w:spacing w:line="360" w:lineRule="auto"/>
        <w:jc w:val="both"/>
        <w:rPr>
          <w:rFonts w:ascii="Palatino Linotype" w:eastAsia="Calibri" w:hAnsi="Palatino Linotype" w:cs="Arial"/>
          <w:lang w:val="es-MX" w:eastAsia="en-US"/>
        </w:rPr>
      </w:pPr>
    </w:p>
    <w:p w:rsidR="005A1F3A" w:rsidRPr="001B665B" w:rsidRDefault="005A1F3A" w:rsidP="005A1F3A">
      <w:pPr>
        <w:spacing w:line="360" w:lineRule="auto"/>
        <w:ind w:right="-91"/>
        <w:jc w:val="both"/>
        <w:rPr>
          <w:rFonts w:ascii="Palatino Linotype" w:eastAsia="Palatino Linotype" w:hAnsi="Palatino Linotype" w:cs="Palatino Linotype"/>
        </w:rPr>
      </w:pPr>
      <w:r w:rsidRPr="001B665B">
        <w:rPr>
          <w:rFonts w:ascii="Palatino Linotype" w:eastAsia="Palatino Linotype" w:hAnsi="Palatino Linotype" w:cs="Palatino Linotype"/>
          <w:b/>
        </w:rPr>
        <w:t>Quinto. Versión Pública.</w:t>
      </w:r>
      <w:r w:rsidRPr="001B665B">
        <w:rPr>
          <w:rFonts w:ascii="Palatino Linotype" w:eastAsia="Palatino Linotype" w:hAnsi="Palatino Linotype" w:cs="Palatino Linotype"/>
          <w:b/>
          <w:sz w:val="28"/>
          <w:szCs w:val="28"/>
        </w:rPr>
        <w:t xml:space="preserve"> </w:t>
      </w:r>
      <w:r w:rsidRPr="001B665B">
        <w:rPr>
          <w:rFonts w:ascii="Palatino Linotype" w:eastAsia="Palatino Linotype" w:hAnsi="Palatino Linotype" w:cs="Palatino Linotype"/>
        </w:rPr>
        <w:t xml:space="preserve">Finalmente, debe señalarse que de ser el caso en que los documentos que vayan a ser entregados por el sujeto obligado, para dar cumplimiento a la presente resolución, contengan datos que deban ser clasificados, el </w:t>
      </w:r>
      <w:r w:rsidRPr="001B665B">
        <w:rPr>
          <w:rFonts w:ascii="Palatino Linotype" w:eastAsia="Palatino Linotype" w:hAnsi="Palatino Linotype" w:cs="Palatino Linotype"/>
          <w:b/>
        </w:rPr>
        <w:t xml:space="preserve">SUJETO OBLIGADO </w:t>
      </w:r>
      <w:r w:rsidRPr="001B665B">
        <w:rPr>
          <w:rFonts w:ascii="Palatino Linotype" w:eastAsia="Palatino Linotype" w:hAnsi="Palatino Linotype" w:cs="Palatino Linotype"/>
        </w:rPr>
        <w:t>deberá hacer la elaboración de la versión pública de tales documentos a fin de satisfacer el derecho de acceso a la información pública del recurrente sin menoscabo al derecho a la protección de los datos personales de terceros.</w:t>
      </w:r>
    </w:p>
    <w:p w:rsidR="005A1F3A" w:rsidRPr="001B665B" w:rsidRDefault="005A1F3A" w:rsidP="005A1F3A">
      <w:pPr>
        <w:tabs>
          <w:tab w:val="left" w:pos="2265"/>
        </w:tabs>
        <w:spacing w:line="360" w:lineRule="auto"/>
        <w:ind w:right="-91"/>
        <w:jc w:val="both"/>
        <w:rPr>
          <w:rFonts w:ascii="Palatino Linotype" w:eastAsia="Palatino Linotype" w:hAnsi="Palatino Linotype" w:cs="Palatino Linotype"/>
        </w:rPr>
      </w:pPr>
      <w:r w:rsidRPr="001B665B">
        <w:rPr>
          <w:rFonts w:ascii="Palatino Linotype" w:eastAsia="Palatino Linotype" w:hAnsi="Palatino Linotype" w:cs="Palatino Linotype"/>
        </w:rPr>
        <w:tab/>
      </w:r>
    </w:p>
    <w:p w:rsidR="005A1F3A" w:rsidRPr="001B665B" w:rsidRDefault="005A1F3A" w:rsidP="005A1F3A">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1B665B">
        <w:rPr>
          <w:rFonts w:ascii="Palatino Linotype" w:eastAsia="Palatino Linotype" w:hAnsi="Palatino Linotype" w:cs="Palatino Linotype"/>
        </w:rPr>
        <w:t>fracción</w:t>
      </w:r>
      <w:proofErr w:type="gramEnd"/>
      <w:r w:rsidRPr="001B665B">
        <w:rPr>
          <w:rFonts w:ascii="Palatino Linotype" w:eastAsia="Palatino Linotype" w:hAnsi="Palatino Linotype" w:cs="Palatino Linotype"/>
        </w:rPr>
        <w:t xml:space="preserve"> I de la Ley de Transparencia y Acceso a la Información Pública del Estado de México y Municipios que establecen:</w:t>
      </w:r>
    </w:p>
    <w:p w:rsidR="005A1F3A" w:rsidRPr="001B665B" w:rsidRDefault="005A1F3A" w:rsidP="005A1F3A">
      <w:pPr>
        <w:spacing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r w:rsidRPr="001B665B">
        <w:rPr>
          <w:rFonts w:ascii="Palatino Linotype" w:eastAsia="Palatino Linotype" w:hAnsi="Palatino Linotype" w:cs="Palatino Linotype"/>
          <w:b/>
          <w:i/>
          <w:sz w:val="22"/>
          <w:szCs w:val="22"/>
        </w:rPr>
        <w:t>Artículo 3</w:t>
      </w:r>
      <w:r w:rsidRPr="001B665B">
        <w:rPr>
          <w:rFonts w:ascii="Palatino Linotype" w:eastAsia="Palatino Linotype" w:hAnsi="Palatino Linotype" w:cs="Palatino Linotype"/>
          <w:i/>
          <w:sz w:val="22"/>
          <w:szCs w:val="22"/>
        </w:rPr>
        <w:t>. Para los efectos de la presente Ley se entenderá por:</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lastRenderedPageBreak/>
        <w:t>IX. Datos personales</w:t>
      </w:r>
      <w:r w:rsidRPr="001B665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XX. Información clasificada</w:t>
      </w:r>
      <w:r w:rsidRPr="001B665B">
        <w:rPr>
          <w:rFonts w:ascii="Palatino Linotype" w:eastAsia="Palatino Linotype" w:hAnsi="Palatino Linotype" w:cs="Palatino Linotype"/>
          <w:i/>
          <w:sz w:val="22"/>
          <w:szCs w:val="22"/>
        </w:rPr>
        <w:t>: Aquella considerada por la presente Ley como reservada o confidencial;</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 xml:space="preserve">XXI. Información confidencial: </w:t>
      </w:r>
      <w:r w:rsidRPr="001B665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XLV. Versión pública:</w:t>
      </w:r>
      <w:r w:rsidRPr="001B665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Artículo 91.</w:t>
      </w:r>
      <w:r w:rsidRPr="001B665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Artículo 132.</w:t>
      </w:r>
      <w:r w:rsidRPr="001B665B">
        <w:rPr>
          <w:rFonts w:ascii="Palatino Linotype" w:eastAsia="Palatino Linotype" w:hAnsi="Palatino Linotype" w:cs="Palatino Linotype"/>
          <w:i/>
          <w:sz w:val="22"/>
          <w:szCs w:val="22"/>
        </w:rPr>
        <w:t xml:space="preserve"> La clasificación de la información se llevará a cabo en el momento en que:</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w:t>
      </w:r>
      <w:r w:rsidRPr="001B665B">
        <w:rPr>
          <w:rFonts w:ascii="Palatino Linotype" w:eastAsia="Palatino Linotype" w:hAnsi="Palatino Linotype" w:cs="Palatino Linotype"/>
          <w:i/>
          <w:sz w:val="22"/>
          <w:szCs w:val="22"/>
        </w:rPr>
        <w:t>. Se reciba una solicitud de acceso a la información;</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II.</w:t>
      </w:r>
      <w:r w:rsidRPr="001B665B">
        <w:rPr>
          <w:rFonts w:ascii="Palatino Linotype" w:eastAsia="Palatino Linotype" w:hAnsi="Palatino Linotype" w:cs="Palatino Linotype"/>
          <w:i/>
          <w:sz w:val="22"/>
          <w:szCs w:val="22"/>
        </w:rPr>
        <w:t xml:space="preserve"> Se determine mediante resolución de autoridad competente; o</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III.</w:t>
      </w:r>
      <w:r w:rsidRPr="001B665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Artículo 143</w:t>
      </w:r>
      <w:r w:rsidRPr="001B665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w:t>
      </w:r>
      <w:r w:rsidRPr="001B665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1B665B">
        <w:rPr>
          <w:rFonts w:ascii="Palatino Linotype" w:eastAsia="Palatino Linotype" w:hAnsi="Palatino Linotype" w:cs="Palatino Linotype"/>
          <w:i/>
          <w:sz w:val="22"/>
          <w:szCs w:val="22"/>
        </w:rPr>
        <w:t>jurídico</w:t>
      </w:r>
      <w:proofErr w:type="gramEnd"/>
      <w:r w:rsidRPr="001B665B">
        <w:rPr>
          <w:rFonts w:ascii="Palatino Linotype" w:eastAsia="Palatino Linotype" w:hAnsi="Palatino Linotype" w:cs="Palatino Linotype"/>
          <w:i/>
          <w:sz w:val="22"/>
          <w:szCs w:val="22"/>
        </w:rPr>
        <w:t xml:space="preserve"> colectiva identificada o identificable;</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II.</w:t>
      </w:r>
      <w:r w:rsidRPr="001B665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A1F3A" w:rsidRPr="001B665B" w:rsidRDefault="005A1F3A" w:rsidP="005A1F3A">
      <w:pPr>
        <w:spacing w:before="120" w:after="120"/>
        <w:ind w:left="1134"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b/>
          <w:i/>
          <w:sz w:val="22"/>
          <w:szCs w:val="22"/>
        </w:rPr>
        <w:t>III.</w:t>
      </w:r>
      <w:r w:rsidRPr="001B665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5A1F3A" w:rsidRPr="001B665B" w:rsidRDefault="005A1F3A" w:rsidP="005A1F3A">
      <w:pPr>
        <w:spacing w:before="120" w:after="120"/>
        <w:ind w:left="851" w:right="902"/>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A1F3A" w:rsidRPr="001B665B" w:rsidRDefault="005A1F3A" w:rsidP="005A1F3A">
      <w:pPr>
        <w:spacing w:before="12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A1F3A" w:rsidRPr="001B665B" w:rsidRDefault="005A1F3A" w:rsidP="005A1F3A">
      <w:pPr>
        <w:spacing w:line="360" w:lineRule="auto"/>
        <w:jc w:val="both"/>
        <w:rPr>
          <w:rFonts w:ascii="Palatino Linotype" w:eastAsia="Palatino Linotype" w:hAnsi="Palatino Linotype" w:cs="Palatino Linotype"/>
        </w:rPr>
      </w:pPr>
    </w:p>
    <w:p w:rsidR="005A1F3A" w:rsidRPr="001B665B" w:rsidRDefault="005A1F3A" w:rsidP="005A1F3A">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5A1F3A" w:rsidRPr="001B665B" w:rsidRDefault="005A1F3A" w:rsidP="005A1F3A">
      <w:pPr>
        <w:spacing w:line="360" w:lineRule="auto"/>
        <w:jc w:val="both"/>
        <w:rPr>
          <w:rFonts w:ascii="Palatino Linotype" w:eastAsia="Palatino Linotype" w:hAnsi="Palatino Linotype" w:cs="Palatino Linotype"/>
        </w:rPr>
      </w:pPr>
    </w:p>
    <w:p w:rsidR="005A1F3A" w:rsidRPr="001B665B" w:rsidRDefault="005A1F3A" w:rsidP="005A1F3A">
      <w:pPr>
        <w:spacing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t>“Quincuagésimo sexto</w:t>
      </w:r>
      <w:r w:rsidRPr="001B665B">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A1F3A" w:rsidRPr="001B665B" w:rsidRDefault="005A1F3A" w:rsidP="005A1F3A">
      <w:pPr>
        <w:spacing w:before="120"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t>Quincuagésimo séptimo</w:t>
      </w:r>
      <w:r w:rsidRPr="001B665B">
        <w:rPr>
          <w:rFonts w:ascii="Palatino Linotype" w:eastAsia="Palatino Linotype" w:hAnsi="Palatino Linotype" w:cs="Palatino Linotype"/>
          <w:i/>
        </w:rPr>
        <w:t xml:space="preserve">. Se considera, en principio, como información pública y no podrá omitirse de las versiones públicas la siguiente: </w:t>
      </w:r>
    </w:p>
    <w:p w:rsidR="005A1F3A" w:rsidRPr="001B665B" w:rsidRDefault="005A1F3A" w:rsidP="005A1F3A">
      <w:pPr>
        <w:spacing w:before="120" w:after="120"/>
        <w:ind w:left="1134"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t>I.</w:t>
      </w:r>
      <w:r w:rsidRPr="001B665B">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5A1F3A" w:rsidRPr="001B665B" w:rsidRDefault="005A1F3A" w:rsidP="005A1F3A">
      <w:pPr>
        <w:spacing w:before="120" w:after="120"/>
        <w:ind w:left="1134"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lastRenderedPageBreak/>
        <w:t>II.</w:t>
      </w:r>
      <w:r w:rsidRPr="001B665B">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5A1F3A" w:rsidRPr="001B665B" w:rsidRDefault="005A1F3A" w:rsidP="005A1F3A">
      <w:pPr>
        <w:spacing w:before="120" w:after="120"/>
        <w:ind w:left="1134"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t>III.</w:t>
      </w:r>
      <w:r w:rsidRPr="001B665B">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5A1F3A" w:rsidRPr="001B665B" w:rsidRDefault="005A1F3A" w:rsidP="005A1F3A">
      <w:pPr>
        <w:spacing w:before="120"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5A1F3A" w:rsidRPr="001B665B" w:rsidRDefault="005A1F3A" w:rsidP="005A1F3A">
      <w:pPr>
        <w:spacing w:before="120" w:after="120"/>
        <w:ind w:left="851" w:right="902"/>
        <w:jc w:val="both"/>
        <w:rPr>
          <w:rFonts w:ascii="Palatino Linotype" w:eastAsia="Palatino Linotype" w:hAnsi="Palatino Linotype" w:cs="Palatino Linotype"/>
          <w:i/>
        </w:rPr>
      </w:pPr>
      <w:r w:rsidRPr="001B665B">
        <w:rPr>
          <w:rFonts w:ascii="Palatino Linotype" w:eastAsia="Palatino Linotype" w:hAnsi="Palatino Linotype" w:cs="Palatino Linotype"/>
          <w:b/>
          <w:i/>
        </w:rPr>
        <w:t>Quincuagésimo octavo</w:t>
      </w:r>
      <w:r w:rsidRPr="001B665B">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5A1F3A" w:rsidRPr="001B665B" w:rsidRDefault="005A1F3A" w:rsidP="005A1F3A">
      <w:pPr>
        <w:spacing w:before="12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A1F3A" w:rsidRPr="001B665B" w:rsidRDefault="005A1F3A" w:rsidP="005A1F3A">
      <w:pPr>
        <w:spacing w:line="360" w:lineRule="auto"/>
        <w:jc w:val="both"/>
        <w:rPr>
          <w:rFonts w:ascii="Palatino Linotype" w:eastAsia="Palatino Linotype" w:hAnsi="Palatino Linotype" w:cs="Palatino Linotype"/>
        </w:rPr>
      </w:pPr>
    </w:p>
    <w:p w:rsidR="005A1F3A" w:rsidRPr="001B665B" w:rsidRDefault="005A1F3A" w:rsidP="005A1F3A">
      <w:pPr>
        <w:spacing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7"/>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1B665B" w:rsidRPr="001B665B" w:rsidTr="005F478E">
        <w:tc>
          <w:tcPr>
            <w:tcW w:w="4414" w:type="dxa"/>
            <w:gridSpan w:val="2"/>
          </w:tcPr>
          <w:p w:rsidR="005A1F3A" w:rsidRPr="001B665B" w:rsidRDefault="005A1F3A" w:rsidP="005F478E">
            <w:pPr>
              <w:jc w:val="center"/>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lastRenderedPageBreak/>
              <w:t>Parcial</w:t>
            </w:r>
          </w:p>
        </w:tc>
        <w:tc>
          <w:tcPr>
            <w:tcW w:w="4414" w:type="dxa"/>
            <w:gridSpan w:val="2"/>
          </w:tcPr>
          <w:p w:rsidR="005A1F3A" w:rsidRPr="001B665B" w:rsidRDefault="005A1F3A" w:rsidP="005F478E">
            <w:pPr>
              <w:jc w:val="center"/>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Total</w:t>
            </w:r>
          </w:p>
        </w:tc>
      </w:tr>
      <w:tr w:rsidR="001B665B" w:rsidRPr="001B665B" w:rsidTr="005F478E">
        <w:tc>
          <w:tcPr>
            <w:tcW w:w="993" w:type="dxa"/>
          </w:tcPr>
          <w:p w:rsidR="005A1F3A" w:rsidRPr="001B665B" w:rsidRDefault="005A1F3A" w:rsidP="005F478E">
            <w:pPr>
              <w:jc w:val="center"/>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Concepto</w:t>
            </w:r>
          </w:p>
        </w:tc>
        <w:tc>
          <w:tcPr>
            <w:tcW w:w="3421" w:type="dxa"/>
          </w:tcPr>
          <w:p w:rsidR="005A1F3A" w:rsidRPr="001B665B" w:rsidRDefault="005A1F3A" w:rsidP="005F478E">
            <w:pPr>
              <w:jc w:val="center"/>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Dónde</w:t>
            </w:r>
          </w:p>
        </w:tc>
        <w:tc>
          <w:tcPr>
            <w:tcW w:w="968" w:type="dxa"/>
          </w:tcPr>
          <w:p w:rsidR="005A1F3A" w:rsidRPr="001B665B" w:rsidRDefault="005A1F3A" w:rsidP="005F478E">
            <w:pPr>
              <w:jc w:val="center"/>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Concepto</w:t>
            </w:r>
          </w:p>
        </w:tc>
        <w:tc>
          <w:tcPr>
            <w:tcW w:w="3446" w:type="dxa"/>
          </w:tcPr>
          <w:p w:rsidR="005A1F3A" w:rsidRPr="001B665B" w:rsidRDefault="005A1F3A" w:rsidP="005F478E">
            <w:pPr>
              <w:jc w:val="center"/>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Dónde</w:t>
            </w:r>
          </w:p>
        </w:tc>
      </w:tr>
      <w:tr w:rsidR="001B665B" w:rsidRPr="001B665B" w:rsidTr="005F478E">
        <w:tc>
          <w:tcPr>
            <w:tcW w:w="8828" w:type="dxa"/>
            <w:gridSpan w:val="4"/>
          </w:tcPr>
          <w:p w:rsidR="005A1F3A" w:rsidRPr="001B665B" w:rsidRDefault="005A1F3A" w:rsidP="005F478E">
            <w:pPr>
              <w:jc w:val="center"/>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Sello oficial o logotipo del sujeto obligado</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Fecha de clasificación</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Fecha de clasificación</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Área</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área del cual es titular quien clasifica.</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Área</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área de la cual es el titular quien clasifica.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Información reservada</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1B665B">
              <w:rPr>
                <w:rFonts w:ascii="Palatino Linotype" w:eastAsia="Palatino Linotype" w:hAnsi="Palatino Linotype" w:cs="Palatino Linotype"/>
                <w:sz w:val="12"/>
                <w:szCs w:val="12"/>
              </w:rPr>
              <w:t>anotarán</w:t>
            </w:r>
            <w:proofErr w:type="gramEnd"/>
            <w:r w:rsidRPr="001B665B">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Reservado</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Leyenda de información RESERVADA.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Fundamento legal</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Periodo de reserva</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Ampliación del periodo de reserva</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Fundamento legal</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Confidencial</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Ampliación del periodo de reserva</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Fundamento legal</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Confidencial</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Leyenda de información CONFIDENCIAL.</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del titular del área</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autógrafa de quien clasifica.</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Fundamento legal</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Fecha de desclasificación</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anotará la fecha en que se desclasifica el documento.</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Rúbrica del titular del área</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autógrafa de quien clasifica.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y cargo del servidor público</w:t>
            </w: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autógrafa de quien desclasifica.</w:t>
            </w: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Fecha de desclasificación</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Se anotará la fecha en que se desclasifica.</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Partes o secciones reservadas o confidenciales</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 xml:space="preserve">En caso que una vez desclasificado el expediente, </w:t>
            </w:r>
            <w:proofErr w:type="spellStart"/>
            <w:r w:rsidRPr="001B665B">
              <w:rPr>
                <w:rFonts w:ascii="Palatino Linotype" w:eastAsia="Palatino Linotype" w:hAnsi="Palatino Linotype" w:cs="Palatino Linotype"/>
                <w:sz w:val="12"/>
                <w:szCs w:val="12"/>
              </w:rPr>
              <w:t>subsistanpartes</w:t>
            </w:r>
            <w:proofErr w:type="spellEnd"/>
            <w:r w:rsidRPr="001B665B">
              <w:rPr>
                <w:rFonts w:ascii="Palatino Linotype" w:eastAsia="Palatino Linotype" w:hAnsi="Palatino Linotype" w:cs="Palatino Linotype"/>
                <w:sz w:val="12"/>
                <w:szCs w:val="12"/>
              </w:rPr>
              <w:t xml:space="preserve"> o secciones del mismo reservadas o confidenciales, se señalará este hecho.</w:t>
            </w:r>
          </w:p>
        </w:tc>
      </w:tr>
      <w:tr w:rsidR="001B665B" w:rsidRPr="001B665B" w:rsidTr="005F478E">
        <w:tc>
          <w:tcPr>
            <w:tcW w:w="993" w:type="dxa"/>
          </w:tcPr>
          <w:p w:rsidR="005A1F3A" w:rsidRPr="001B665B" w:rsidRDefault="005A1F3A" w:rsidP="005F478E">
            <w:pPr>
              <w:jc w:val="both"/>
              <w:rPr>
                <w:rFonts w:ascii="Palatino Linotype" w:eastAsia="Palatino Linotype" w:hAnsi="Palatino Linotype" w:cs="Palatino Linotype"/>
                <w:sz w:val="12"/>
                <w:szCs w:val="12"/>
              </w:rPr>
            </w:pPr>
          </w:p>
        </w:tc>
        <w:tc>
          <w:tcPr>
            <w:tcW w:w="3421" w:type="dxa"/>
          </w:tcPr>
          <w:p w:rsidR="005A1F3A" w:rsidRPr="001B665B" w:rsidRDefault="005A1F3A" w:rsidP="005F478E">
            <w:pPr>
              <w:jc w:val="both"/>
              <w:rPr>
                <w:rFonts w:ascii="Palatino Linotype" w:eastAsia="Palatino Linotype" w:hAnsi="Palatino Linotype" w:cs="Palatino Linotype"/>
                <w:sz w:val="12"/>
                <w:szCs w:val="12"/>
              </w:rPr>
            </w:pPr>
          </w:p>
        </w:tc>
        <w:tc>
          <w:tcPr>
            <w:tcW w:w="968" w:type="dxa"/>
          </w:tcPr>
          <w:p w:rsidR="005A1F3A" w:rsidRPr="001B665B" w:rsidRDefault="005A1F3A" w:rsidP="005F478E">
            <w:pPr>
              <w:jc w:val="both"/>
              <w:rPr>
                <w:rFonts w:ascii="Palatino Linotype" w:eastAsia="Palatino Linotype" w:hAnsi="Palatino Linotype" w:cs="Palatino Linotype"/>
                <w:b/>
                <w:sz w:val="12"/>
                <w:szCs w:val="12"/>
              </w:rPr>
            </w:pPr>
            <w:r w:rsidRPr="001B665B">
              <w:rPr>
                <w:rFonts w:ascii="Palatino Linotype" w:eastAsia="Palatino Linotype" w:hAnsi="Palatino Linotype" w:cs="Palatino Linotype"/>
                <w:b/>
                <w:sz w:val="12"/>
                <w:szCs w:val="12"/>
              </w:rPr>
              <w:t>Rúbrica y cargo del servidor público</w:t>
            </w:r>
          </w:p>
        </w:tc>
        <w:tc>
          <w:tcPr>
            <w:tcW w:w="3446" w:type="dxa"/>
          </w:tcPr>
          <w:p w:rsidR="005A1F3A" w:rsidRPr="001B665B" w:rsidRDefault="005A1F3A" w:rsidP="005F478E">
            <w:pPr>
              <w:jc w:val="both"/>
              <w:rPr>
                <w:rFonts w:ascii="Palatino Linotype" w:eastAsia="Palatino Linotype" w:hAnsi="Palatino Linotype" w:cs="Palatino Linotype"/>
                <w:sz w:val="12"/>
                <w:szCs w:val="12"/>
              </w:rPr>
            </w:pPr>
            <w:r w:rsidRPr="001B665B">
              <w:rPr>
                <w:rFonts w:ascii="Palatino Linotype" w:eastAsia="Palatino Linotype" w:hAnsi="Palatino Linotype" w:cs="Palatino Linotype"/>
                <w:sz w:val="12"/>
                <w:szCs w:val="12"/>
              </w:rPr>
              <w:t>Rúbrica autógrafa de quien desclasifica.</w:t>
            </w:r>
          </w:p>
        </w:tc>
      </w:tr>
    </w:tbl>
    <w:p w:rsidR="005A1F3A" w:rsidRPr="001B665B" w:rsidRDefault="005A1F3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9A5F1A" w:rsidRPr="001B665B" w:rsidRDefault="00335FD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A5F1A" w:rsidRPr="001B665B" w:rsidRDefault="00335FD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B665B">
        <w:rPr>
          <w:rFonts w:ascii="Palatino Linotype" w:eastAsia="Palatino Linotype" w:hAnsi="Palatino Linotype" w:cs="Palatino Linotype"/>
          <w:b/>
        </w:rPr>
        <w:lastRenderedPageBreak/>
        <w:t>III. R E S U E L V E:</w:t>
      </w:r>
    </w:p>
    <w:p w:rsidR="00AA31F2" w:rsidRPr="001B665B" w:rsidRDefault="00AA31F2" w:rsidP="00AA31F2">
      <w:pPr>
        <w:spacing w:line="360" w:lineRule="auto"/>
        <w:jc w:val="both"/>
        <w:rPr>
          <w:rFonts w:ascii="Palatino Linotype" w:eastAsia="Palatino Linotype" w:hAnsi="Palatino Linotype" w:cs="Palatino Linotype"/>
        </w:rPr>
      </w:pPr>
      <w:bookmarkStart w:id="5" w:name="_heading=h.3dy6vkm" w:colFirst="0" w:colLast="0"/>
      <w:bookmarkStart w:id="6" w:name="_heading=h.30j0zll" w:colFirst="0" w:colLast="0"/>
      <w:bookmarkEnd w:id="5"/>
      <w:bookmarkEnd w:id="6"/>
      <w:r w:rsidRPr="001B665B">
        <w:rPr>
          <w:rFonts w:ascii="Palatino Linotype" w:eastAsia="Palatino Linotype" w:hAnsi="Palatino Linotype" w:cs="Palatino Linotype"/>
          <w:b/>
        </w:rPr>
        <w:t xml:space="preserve">Primero. </w:t>
      </w:r>
      <w:r w:rsidRPr="001B665B">
        <w:rPr>
          <w:rFonts w:ascii="Palatino Linotype" w:eastAsia="Palatino Linotype" w:hAnsi="Palatino Linotype" w:cs="Palatino Linotype"/>
        </w:rPr>
        <w:t xml:space="preserve">Resultan parcialmente fundados los motivos de inconformidad hechos valer por el </w:t>
      </w:r>
      <w:r w:rsidRPr="001B665B">
        <w:rPr>
          <w:rFonts w:ascii="Palatino Linotype" w:eastAsia="Palatino Linotype" w:hAnsi="Palatino Linotype" w:cs="Palatino Linotype"/>
          <w:b/>
        </w:rPr>
        <w:t>Recurrente</w:t>
      </w:r>
      <w:r w:rsidRPr="001B665B">
        <w:rPr>
          <w:rFonts w:ascii="Palatino Linotype" w:eastAsia="Palatino Linotype" w:hAnsi="Palatino Linotype" w:cs="Palatino Linotype"/>
        </w:rPr>
        <w:t xml:space="preserve"> en el Recurso de Revisión </w:t>
      </w:r>
      <w:r w:rsidRPr="001B665B">
        <w:rPr>
          <w:rFonts w:ascii="Palatino Linotype" w:eastAsia="Palatino Linotype" w:hAnsi="Palatino Linotype" w:cs="Palatino Linotype"/>
          <w:b/>
        </w:rPr>
        <w:t>1</w:t>
      </w:r>
      <w:r w:rsidR="000D272C" w:rsidRPr="001B665B">
        <w:rPr>
          <w:rFonts w:ascii="Palatino Linotype" w:eastAsia="Palatino Linotype" w:hAnsi="Palatino Linotype" w:cs="Palatino Linotype"/>
          <w:b/>
        </w:rPr>
        <w:t>6744</w:t>
      </w:r>
      <w:r w:rsidRPr="001B665B">
        <w:rPr>
          <w:rFonts w:ascii="Palatino Linotype" w:eastAsia="Palatino Linotype" w:hAnsi="Palatino Linotype" w:cs="Palatino Linotype"/>
          <w:b/>
        </w:rPr>
        <w:t xml:space="preserve">/INFOEM/IP/RR/2022, </w:t>
      </w:r>
      <w:r w:rsidRPr="001B665B">
        <w:rPr>
          <w:rFonts w:ascii="Palatino Linotype" w:eastAsia="Palatino Linotype" w:hAnsi="Palatino Linotype" w:cs="Palatino Linotype"/>
        </w:rPr>
        <w:t xml:space="preserve">por lo que, en términos del considerando </w:t>
      </w:r>
      <w:r w:rsidRPr="001B665B">
        <w:rPr>
          <w:rFonts w:ascii="Palatino Linotype" w:eastAsia="Palatino Linotype" w:hAnsi="Palatino Linotype" w:cs="Palatino Linotype"/>
          <w:b/>
        </w:rPr>
        <w:t xml:space="preserve">Cuarto </w:t>
      </w:r>
      <w:r w:rsidRPr="001B665B">
        <w:rPr>
          <w:rFonts w:ascii="Palatino Linotype" w:eastAsia="Palatino Linotype" w:hAnsi="Palatino Linotype" w:cs="Palatino Linotype"/>
        </w:rPr>
        <w:t xml:space="preserve">de esta resolución, se </w:t>
      </w:r>
      <w:r w:rsidR="000D272C" w:rsidRPr="001B665B">
        <w:rPr>
          <w:rFonts w:ascii="Palatino Linotype" w:eastAsia="Palatino Linotype" w:hAnsi="Palatino Linotype" w:cs="Palatino Linotype"/>
          <w:b/>
        </w:rPr>
        <w:t>Modifica</w:t>
      </w:r>
      <w:r w:rsidRPr="001B665B">
        <w:rPr>
          <w:rFonts w:ascii="Palatino Linotype" w:eastAsia="Palatino Linotype" w:hAnsi="Palatino Linotype" w:cs="Palatino Linotype"/>
          <w:b/>
        </w:rPr>
        <w:t xml:space="preserve"> </w:t>
      </w:r>
      <w:r w:rsidRPr="001B665B">
        <w:rPr>
          <w:rFonts w:ascii="Palatino Linotype" w:eastAsia="Palatino Linotype" w:hAnsi="Palatino Linotype" w:cs="Palatino Linotype"/>
        </w:rPr>
        <w:t xml:space="preserve">la respuesta emitida por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w:t>
      </w:r>
    </w:p>
    <w:p w:rsidR="00AA31F2" w:rsidRPr="001B665B" w:rsidRDefault="00AA31F2" w:rsidP="00AA31F2">
      <w:pPr>
        <w:spacing w:line="360" w:lineRule="auto"/>
        <w:jc w:val="both"/>
        <w:rPr>
          <w:rFonts w:ascii="Palatino Linotype" w:eastAsia="Palatino Linotype" w:hAnsi="Palatino Linotype" w:cs="Palatino Linotype"/>
        </w:rPr>
      </w:pPr>
    </w:p>
    <w:p w:rsidR="00AA31F2" w:rsidRPr="001B665B" w:rsidRDefault="00AA31F2" w:rsidP="00AA31F2">
      <w:pPr>
        <w:spacing w:line="360" w:lineRule="auto"/>
        <w:jc w:val="both"/>
        <w:rPr>
          <w:rFonts w:ascii="Palatino Linotype" w:eastAsia="Palatino Linotype" w:hAnsi="Palatino Linotype" w:cs="Palatino Linotype"/>
        </w:rPr>
      </w:pPr>
      <w:bookmarkStart w:id="7" w:name="_heading=h.kelgs2428oa6" w:colFirst="0" w:colLast="0"/>
      <w:bookmarkEnd w:id="7"/>
      <w:r w:rsidRPr="001B665B">
        <w:rPr>
          <w:rFonts w:ascii="Palatino Linotype" w:eastAsia="Palatino Linotype" w:hAnsi="Palatino Linotype" w:cs="Palatino Linotype"/>
          <w:b/>
        </w:rPr>
        <w:t xml:space="preserve">Segundo. </w:t>
      </w:r>
      <w:r w:rsidRPr="001B665B">
        <w:rPr>
          <w:rFonts w:ascii="Palatino Linotype" w:eastAsia="Palatino Linotype" w:hAnsi="Palatino Linotype" w:cs="Palatino Linotype"/>
        </w:rPr>
        <w:t>Se</w:t>
      </w:r>
      <w:r w:rsidRPr="001B665B">
        <w:rPr>
          <w:rFonts w:ascii="Palatino Linotype" w:eastAsia="Palatino Linotype" w:hAnsi="Palatino Linotype" w:cs="Palatino Linotype"/>
          <w:b/>
        </w:rPr>
        <w:t xml:space="preserve"> Ordena </w:t>
      </w:r>
      <w:r w:rsidRPr="001B665B">
        <w:rPr>
          <w:rFonts w:ascii="Palatino Linotype" w:eastAsia="Palatino Linotype" w:hAnsi="Palatino Linotype" w:cs="Palatino Linotype"/>
        </w:rPr>
        <w:t xml:space="preserve">al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en términos de los Considerandos </w:t>
      </w:r>
      <w:r w:rsidRPr="001B665B">
        <w:rPr>
          <w:rFonts w:ascii="Palatino Linotype" w:eastAsia="Palatino Linotype" w:hAnsi="Palatino Linotype" w:cs="Palatino Linotype"/>
          <w:b/>
        </w:rPr>
        <w:t xml:space="preserve">Cuarto y Quinto </w:t>
      </w:r>
      <w:r w:rsidRPr="001B665B">
        <w:rPr>
          <w:rFonts w:ascii="Palatino Linotype" w:eastAsia="Palatino Linotype" w:hAnsi="Palatino Linotype" w:cs="Palatino Linotype"/>
        </w:rPr>
        <w:t xml:space="preserve">de esta resolución, haga entrega previa búsqueda exhaustiva y razonable, vía </w:t>
      </w:r>
      <w:proofErr w:type="spellStart"/>
      <w:r w:rsidRPr="001B665B">
        <w:rPr>
          <w:rFonts w:ascii="Palatino Linotype" w:eastAsia="Palatino Linotype" w:hAnsi="Palatino Linotype" w:cs="Palatino Linotype"/>
          <w:b/>
        </w:rPr>
        <w:t>Saimex</w:t>
      </w:r>
      <w:proofErr w:type="spellEnd"/>
      <w:r w:rsidRPr="001B665B">
        <w:rPr>
          <w:rFonts w:ascii="Palatino Linotype" w:eastAsia="Palatino Linotype" w:hAnsi="Palatino Linotype" w:cs="Palatino Linotype"/>
        </w:rPr>
        <w:t xml:space="preserve">, </w:t>
      </w:r>
      <w:r w:rsidR="000D272C" w:rsidRPr="001B665B">
        <w:rPr>
          <w:rFonts w:ascii="Palatino Linotype" w:eastAsia="Palatino Linotype" w:hAnsi="Palatino Linotype" w:cs="Palatino Linotype"/>
        </w:rPr>
        <w:t xml:space="preserve">de ser procedente </w:t>
      </w:r>
      <w:r w:rsidRPr="001B665B">
        <w:rPr>
          <w:rFonts w:ascii="Palatino Linotype" w:eastAsia="Palatino Linotype" w:hAnsi="Palatino Linotype" w:cs="Palatino Linotype"/>
        </w:rPr>
        <w:t>en versión pública el soporte documental en el que conste lo siguiente:</w:t>
      </w:r>
    </w:p>
    <w:p w:rsidR="00AA31F2" w:rsidRPr="001B665B" w:rsidRDefault="00AA31F2" w:rsidP="008E4194">
      <w:pPr>
        <w:spacing w:before="280" w:after="280" w:line="276" w:lineRule="auto"/>
        <w:ind w:left="567"/>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 xml:space="preserve">1. </w:t>
      </w:r>
      <w:r w:rsidR="000D272C" w:rsidRPr="001B665B">
        <w:rPr>
          <w:rFonts w:ascii="Palatino Linotype" w:eastAsia="Palatino Linotype" w:hAnsi="Palatino Linotype" w:cs="Palatino Linotype"/>
          <w:i/>
          <w:sz w:val="22"/>
          <w:szCs w:val="22"/>
        </w:rPr>
        <w:t xml:space="preserve">El número de denuncias o reportes realizados por motivo de la recolección de basura del uno al treinta de agosto de dos mil veintidós. </w:t>
      </w:r>
    </w:p>
    <w:p w:rsidR="00AA31F2" w:rsidRPr="001B665B" w:rsidRDefault="00AA31F2" w:rsidP="008E4194">
      <w:pPr>
        <w:pBdr>
          <w:top w:val="nil"/>
          <w:left w:val="nil"/>
          <w:bottom w:val="nil"/>
          <w:right w:val="nil"/>
          <w:between w:val="nil"/>
        </w:pBdr>
        <w:spacing w:before="240" w:line="360" w:lineRule="auto"/>
        <w:ind w:left="567"/>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AA31F2" w:rsidRPr="001B665B" w:rsidRDefault="00AA31F2" w:rsidP="008E4194">
      <w:pPr>
        <w:pBdr>
          <w:top w:val="nil"/>
          <w:left w:val="nil"/>
          <w:bottom w:val="nil"/>
          <w:right w:val="nil"/>
          <w:between w:val="nil"/>
        </w:pBdr>
        <w:spacing w:before="240" w:line="360" w:lineRule="auto"/>
        <w:ind w:left="567"/>
        <w:jc w:val="both"/>
        <w:rPr>
          <w:rFonts w:ascii="Palatino Linotype" w:eastAsia="Palatino Linotype" w:hAnsi="Palatino Linotype" w:cs="Palatino Linotype"/>
          <w:i/>
          <w:sz w:val="22"/>
          <w:szCs w:val="22"/>
        </w:rPr>
      </w:pPr>
      <w:r w:rsidRPr="001B665B">
        <w:rPr>
          <w:rFonts w:ascii="Palatino Linotype" w:eastAsia="Palatino Linotype" w:hAnsi="Palatino Linotype" w:cs="Palatino Linotype"/>
          <w:i/>
          <w:sz w:val="22"/>
          <w:szCs w:val="22"/>
        </w:rPr>
        <w:t>En el supuesto que la información ordenada no obre en los archivos del Sujeto Obligado por no haberse generado,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rsidR="00AA31F2" w:rsidRPr="001B665B" w:rsidRDefault="00AA31F2" w:rsidP="00AA31F2">
      <w:pPr>
        <w:spacing w:line="360" w:lineRule="auto"/>
        <w:ind w:right="51"/>
        <w:jc w:val="both"/>
        <w:rPr>
          <w:rFonts w:ascii="Palatino Linotype" w:eastAsia="Palatino Linotype" w:hAnsi="Palatino Linotype" w:cs="Palatino Linotype"/>
          <w:b/>
        </w:rPr>
      </w:pPr>
    </w:p>
    <w:p w:rsidR="00AA31F2" w:rsidRPr="001B665B" w:rsidRDefault="00AA31F2" w:rsidP="00AA31F2">
      <w:pPr>
        <w:spacing w:line="360" w:lineRule="auto"/>
        <w:jc w:val="both"/>
      </w:pPr>
      <w:r w:rsidRPr="001B665B">
        <w:rPr>
          <w:rFonts w:ascii="Palatino Linotype" w:eastAsia="Palatino Linotype" w:hAnsi="Palatino Linotype" w:cs="Palatino Linotype"/>
          <w:b/>
        </w:rPr>
        <w:lastRenderedPageBreak/>
        <w:t xml:space="preserve">Tercero. Notifíquese vía </w:t>
      </w:r>
      <w:proofErr w:type="spellStart"/>
      <w:r w:rsidRPr="001B665B">
        <w:rPr>
          <w:rFonts w:ascii="Palatino Linotype" w:eastAsia="Palatino Linotype" w:hAnsi="Palatino Linotype" w:cs="Palatino Linotype"/>
          <w:b/>
        </w:rPr>
        <w:t>Saimex</w:t>
      </w:r>
      <w:proofErr w:type="spellEnd"/>
      <w:r w:rsidRPr="001B665B">
        <w:rPr>
          <w:rFonts w:ascii="Palatino Linotype" w:eastAsia="Palatino Linotype" w:hAnsi="Palatino Linotype" w:cs="Palatino Linotype"/>
          <w:b/>
        </w:rPr>
        <w:t>,</w:t>
      </w:r>
      <w:r w:rsidRPr="001B665B">
        <w:rPr>
          <w:rFonts w:ascii="Palatino Linotype" w:eastAsia="Palatino Linotype" w:hAnsi="Palatino Linotype" w:cs="Palatino Linotype"/>
          <w:b/>
          <w:i/>
        </w:rPr>
        <w:t xml:space="preserve"> </w:t>
      </w:r>
      <w:r w:rsidRPr="001B665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1B665B">
        <w:t>.</w:t>
      </w:r>
    </w:p>
    <w:p w:rsidR="00AA31F2" w:rsidRPr="001B665B" w:rsidRDefault="00AA31F2" w:rsidP="00AA31F2">
      <w:pPr>
        <w:spacing w:line="360" w:lineRule="auto"/>
        <w:ind w:right="51"/>
        <w:jc w:val="both"/>
        <w:rPr>
          <w:rFonts w:ascii="Palatino Linotype" w:eastAsia="Palatino Linotype" w:hAnsi="Palatino Linotype" w:cs="Palatino Linotype"/>
        </w:rPr>
      </w:pPr>
    </w:p>
    <w:p w:rsidR="00AA31F2" w:rsidRPr="001B665B" w:rsidRDefault="00AA31F2" w:rsidP="00AA31F2">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 xml:space="preserve">Cuarto. </w:t>
      </w:r>
      <w:r w:rsidRPr="001B665B">
        <w:rPr>
          <w:rFonts w:ascii="Palatino Linotype" w:eastAsia="Palatino Linotype" w:hAnsi="Palatino Linotype" w:cs="Palatino Linotype"/>
        </w:rPr>
        <w:t xml:space="preserve">Notifíquese, vía </w:t>
      </w:r>
      <w:proofErr w:type="spellStart"/>
      <w:r w:rsidRPr="001B665B">
        <w:rPr>
          <w:rFonts w:ascii="Palatino Linotype" w:eastAsia="Palatino Linotype" w:hAnsi="Palatino Linotype" w:cs="Palatino Linotype"/>
          <w:b/>
        </w:rPr>
        <w:t>Saimex</w:t>
      </w:r>
      <w:proofErr w:type="spellEnd"/>
      <w:r w:rsidRPr="001B665B">
        <w:rPr>
          <w:rFonts w:ascii="Palatino Linotype" w:eastAsia="Palatino Linotype" w:hAnsi="Palatino Linotype" w:cs="Palatino Linotype"/>
        </w:rPr>
        <w:t xml:space="preserve">, al </w:t>
      </w:r>
      <w:r w:rsidRPr="001B665B">
        <w:rPr>
          <w:rFonts w:ascii="Palatino Linotype" w:eastAsia="Palatino Linotype" w:hAnsi="Palatino Linotype" w:cs="Palatino Linotype"/>
          <w:b/>
        </w:rPr>
        <w:t>Recurrente</w:t>
      </w:r>
      <w:r w:rsidRPr="001B665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A31F2" w:rsidRPr="001B665B" w:rsidRDefault="00AA31F2" w:rsidP="00AA31F2">
      <w:pPr>
        <w:spacing w:line="360" w:lineRule="auto"/>
        <w:jc w:val="both"/>
        <w:rPr>
          <w:rFonts w:ascii="Palatino Linotype" w:eastAsia="Palatino Linotype" w:hAnsi="Palatino Linotype" w:cs="Palatino Linotype"/>
        </w:rPr>
      </w:pPr>
    </w:p>
    <w:p w:rsidR="00AA31F2" w:rsidRPr="001B665B" w:rsidRDefault="00AA31F2" w:rsidP="00AA31F2">
      <w:pPr>
        <w:spacing w:line="360" w:lineRule="auto"/>
        <w:jc w:val="both"/>
        <w:rPr>
          <w:rFonts w:ascii="Palatino Linotype" w:eastAsia="Palatino Linotype" w:hAnsi="Palatino Linotype" w:cs="Palatino Linotype"/>
        </w:rPr>
      </w:pPr>
      <w:r w:rsidRPr="001B665B">
        <w:rPr>
          <w:rFonts w:ascii="Palatino Linotype" w:eastAsia="Palatino Linotype" w:hAnsi="Palatino Linotype" w:cs="Palatino Linotype"/>
          <w:b/>
        </w:rPr>
        <w:t>Quinto.</w:t>
      </w:r>
      <w:r w:rsidRPr="001B665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1B665B">
        <w:rPr>
          <w:rFonts w:ascii="Palatino Linotype" w:eastAsia="Palatino Linotype" w:hAnsi="Palatino Linotype" w:cs="Palatino Linotype"/>
          <w:b/>
        </w:rPr>
        <w:t>Sujeto Obligado</w:t>
      </w:r>
      <w:r w:rsidRPr="001B665B">
        <w:rPr>
          <w:rFonts w:ascii="Palatino Linotype" w:eastAsia="Palatino Linotype" w:hAnsi="Palatino Linotype" w:cs="Palatino Linotype"/>
        </w:rPr>
        <w:t xml:space="preserve"> de manera fundada y motivada, podrá solicitar una ampliación de plazo para el cumplimiento de la presente resolución.</w:t>
      </w:r>
    </w:p>
    <w:p w:rsidR="008E4194" w:rsidRPr="001B665B" w:rsidRDefault="008E4194" w:rsidP="00AA31F2">
      <w:pPr>
        <w:spacing w:line="360" w:lineRule="auto"/>
        <w:jc w:val="both"/>
        <w:rPr>
          <w:rFonts w:ascii="Palatino Linotype" w:eastAsia="Palatino Linotype" w:hAnsi="Palatino Linotype" w:cs="Palatino Linotype"/>
        </w:rPr>
      </w:pPr>
    </w:p>
    <w:p w:rsidR="009A5F1A" w:rsidRPr="001B665B" w:rsidRDefault="00335FD2">
      <w:pPr>
        <w:spacing w:before="240" w:after="240" w:line="360" w:lineRule="auto"/>
        <w:jc w:val="both"/>
        <w:rPr>
          <w:rFonts w:ascii="Palatino Linotype" w:eastAsia="Palatino Linotype" w:hAnsi="Palatino Linotype" w:cs="Palatino Linotype"/>
          <w:sz w:val="20"/>
          <w:szCs w:val="20"/>
        </w:rPr>
      </w:pPr>
      <w:r w:rsidRPr="001B665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rsidR="009A5F1A" w:rsidRPr="001B665B" w:rsidRDefault="0009348A">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60288" behindDoc="0" locked="0" layoutInCell="1" allowOverlap="1">
                <wp:simplePos x="0" y="0"/>
                <wp:positionH relativeFrom="column">
                  <wp:posOffset>344628</wp:posOffset>
                </wp:positionH>
                <wp:positionV relativeFrom="paragraph">
                  <wp:posOffset>127870</wp:posOffset>
                </wp:positionV>
                <wp:extent cx="5039832" cy="4019107"/>
                <wp:effectExtent l="0" t="0" r="27940" b="19685"/>
                <wp:wrapNone/>
                <wp:docPr id="1" name="Conector recto 1"/>
                <wp:cNvGraphicFramePr/>
                <a:graphic xmlns:a="http://schemas.openxmlformats.org/drawingml/2006/main">
                  <a:graphicData uri="http://schemas.microsoft.com/office/word/2010/wordprocessingShape">
                    <wps:wsp>
                      <wps:cNvCnPr/>
                      <wps:spPr>
                        <a:xfrm>
                          <a:off x="0" y="0"/>
                          <a:ext cx="5039832" cy="401910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9820747"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15pt,10.05pt" to="4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4VugEAAMUDAAAOAAAAZHJzL2Uyb0RvYy54bWysU01v1DAQvSPxHyzf2SRbKG202R62gguC&#10;FYUf4DrjjSV/aWw22X/P2ElTBEgIxMWO7fdm5r2Z7O4ma9gZMGrvOt5sas7ASd9rd+r41y/vXt1w&#10;FpNwvTDeQccvEPnd/uWL3Rha2PrBmx6QURAX2zF0fEgptFUV5QBWxI0P4OhRebQi0RFPVY9ipOjW&#10;VNu6vq5Gj31ALyFGur2fH/m+xFcKZPqkVITETMeptlRWLOtjXqv9TrQnFGHQcilD/EMVVmhHSddQ&#10;9yIJ9g31L6GsluijV2kjva28UlpC0UBqmvonNQ+DCFC0kDkxrDbF/xdWfjwfkemeeseZE5ZadKBG&#10;yeSRYd5Ykz0aQ2wJenBHXE4xHDELnhTavJMUNhVfL6uvMCUm6fJNfXV7c7XlTNLb67q5beq3OWr1&#10;TA8Y03vwluWPjhvtsnDRivOHmGboE4R4uZy5gPKVLgYy2LjPoEgMpWwKu4wRHAyys6ABEFKCS9dL&#10;6oLONKWNWYn1n4kLPlOhjNjfkFdGyexdWslWO4+/y56m0gNyS834Jwdm3dmCR99fSmuKNTQrxdxl&#10;rvMw/ngu9Oe/b/8dAAD//wMAUEsDBBQABgAIAAAAIQD+NMVR3gAAAAkBAAAPAAAAZHJzL2Rvd25y&#10;ZXYueG1sTI/LTsMwFET3SPyDdZHYUbuPVFGIU6EiEDvUgljfxm6c1o8Qu0ng67msYDma0cyZcjM5&#10;ywbdxzZ4CfOZAKZ9HVTrGwnvb093ObCY0Cu0wWsJXzrCprq+KrFQYfQ7PexTw6jExwIlmJS6gvNY&#10;G+0wzkKnPXnH0DtMJPuGqx5HKneWL4RYc4etpwWDnd4aXZ/3FyeB78z3I9/i6TMbX55x+hiO3L5K&#10;eXszPdwDS3pKf2H4xSd0qIjpEC5eRWYlZKslJSUsxBwY+fkqp28HCetsKYBXJf//oPoBAAD//wMA&#10;UEsBAi0AFAAGAAgAAAAhALaDOJL+AAAA4QEAABMAAAAAAAAAAAAAAAAAAAAAAFtDb250ZW50X1R5&#10;cGVzXS54bWxQSwECLQAUAAYACAAAACEAOP0h/9YAAACUAQAACwAAAAAAAAAAAAAAAAAvAQAAX3Jl&#10;bHMvLnJlbHNQSwECLQAUAAYACAAAACEAdIoOFboBAADFAwAADgAAAAAAAAAAAAAAAAAuAgAAZHJz&#10;L2Uyb0RvYy54bWxQSwECLQAUAAYACAAAACEA/jTFUd4AAAAJAQAADwAAAAAAAAAAAAAAAAAUBAAA&#10;ZHJzL2Rvd25yZXYueG1sUEsFBgAAAAAEAAQA8wAAAB8FAAAAAA==&#10;" strokecolor="#f68c36 [3049]"/>
            </w:pict>
          </mc:Fallback>
        </mc:AlternateContent>
      </w: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p w:rsidR="009A5F1A" w:rsidRPr="001B665B" w:rsidRDefault="009A5F1A">
      <w:pPr>
        <w:spacing w:before="240" w:after="240"/>
        <w:jc w:val="both"/>
        <w:rPr>
          <w:rFonts w:ascii="Palatino Linotype" w:eastAsia="Palatino Linotype" w:hAnsi="Palatino Linotype" w:cs="Palatino Linotype"/>
          <w:sz w:val="20"/>
          <w:szCs w:val="20"/>
        </w:rPr>
      </w:pPr>
    </w:p>
    <w:sectPr w:rsidR="009A5F1A" w:rsidRPr="001B665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A6" w:rsidRDefault="00D379A6">
      <w:r>
        <w:separator/>
      </w:r>
    </w:p>
  </w:endnote>
  <w:endnote w:type="continuationSeparator" w:id="0">
    <w:p w:rsidR="00D379A6" w:rsidRDefault="00D3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1A" w:rsidRDefault="00335F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5520">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552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9A5F1A" w:rsidRDefault="009A5F1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1A" w:rsidRDefault="00335F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55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552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9A5F1A" w:rsidRDefault="009A5F1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A6" w:rsidRDefault="00D379A6">
      <w:r>
        <w:separator/>
      </w:r>
    </w:p>
  </w:footnote>
  <w:footnote w:type="continuationSeparator" w:id="0">
    <w:p w:rsidR="00D379A6" w:rsidRDefault="00D379A6">
      <w:r>
        <w:continuationSeparator/>
      </w:r>
    </w:p>
  </w:footnote>
  <w:footnote w:id="1">
    <w:p w:rsidR="000946BC" w:rsidRDefault="000946BC" w:rsidP="000946B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0946BC" w:rsidRDefault="000946BC" w:rsidP="000946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1A" w:rsidRDefault="00335FD2">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-1080126</wp:posOffset>
          </wp:positionH>
          <wp:positionV relativeFrom="paragraph">
            <wp:posOffset>-396393</wp:posOffset>
          </wp:positionV>
          <wp:extent cx="7809865" cy="1016571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528" w:type="dxa"/>
      <w:tblInd w:w="3261" w:type="dxa"/>
      <w:tblLayout w:type="fixed"/>
      <w:tblLook w:val="0400" w:firstRow="0" w:lastRow="0" w:firstColumn="0" w:lastColumn="0" w:noHBand="0" w:noVBand="1"/>
    </w:tblPr>
    <w:tblGrid>
      <w:gridCol w:w="2126"/>
      <w:gridCol w:w="3402"/>
    </w:tblGrid>
    <w:tr w:rsidR="009A5F1A">
      <w:tc>
        <w:tcPr>
          <w:tcW w:w="2126" w:type="dxa"/>
          <w:shd w:val="clear" w:color="auto" w:fill="auto"/>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9A5F1A" w:rsidRDefault="00335FD2">
          <w:pPr>
            <w:ind w:right="175"/>
            <w:jc w:val="both"/>
            <w:rPr>
              <w:rFonts w:ascii="Palatino Linotype" w:eastAsia="Palatino Linotype" w:hAnsi="Palatino Linotype" w:cs="Palatino Linotype"/>
              <w:b/>
            </w:rPr>
          </w:pPr>
          <w:r>
            <w:rPr>
              <w:rFonts w:ascii="Palatino Linotype" w:eastAsia="Palatino Linotype" w:hAnsi="Palatino Linotype" w:cs="Palatino Linotype"/>
              <w:b/>
            </w:rPr>
            <w:t>16744/INFOEM/IP/RR/2022</w:t>
          </w:r>
        </w:p>
      </w:tc>
    </w:tr>
    <w:tr w:rsidR="009A5F1A">
      <w:trPr>
        <w:trHeight w:val="228"/>
      </w:trPr>
      <w:tc>
        <w:tcPr>
          <w:tcW w:w="2126" w:type="dxa"/>
          <w:shd w:val="clear" w:color="auto" w:fill="auto"/>
          <w:vAlign w:val="center"/>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9A5F1A" w:rsidRDefault="00335FD2">
          <w:pPr>
            <w:ind w:left="-45"/>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9A5F1A">
      <w:trPr>
        <w:trHeight w:val="311"/>
      </w:trPr>
      <w:tc>
        <w:tcPr>
          <w:tcW w:w="2126" w:type="dxa"/>
          <w:shd w:val="clear" w:color="auto" w:fill="auto"/>
          <w:vAlign w:val="center"/>
        </w:tcPr>
        <w:p w:rsidR="009A5F1A" w:rsidRDefault="00335FD2">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9A5F1A" w:rsidRDefault="00335FD2">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9A5F1A" w:rsidRDefault="00335FD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1A" w:rsidRDefault="00335FD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-699132</wp:posOffset>
          </wp:positionH>
          <wp:positionV relativeFrom="paragraph">
            <wp:posOffset>-644522</wp:posOffset>
          </wp:positionV>
          <wp:extent cx="7809865" cy="1016571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095" w:type="dxa"/>
      <w:tblInd w:w="2762" w:type="dxa"/>
      <w:tblLayout w:type="fixed"/>
      <w:tblLook w:val="0400" w:firstRow="0" w:lastRow="0" w:firstColumn="0" w:lastColumn="0" w:noHBand="0" w:noVBand="1"/>
    </w:tblPr>
    <w:tblGrid>
      <w:gridCol w:w="2551"/>
      <w:gridCol w:w="3544"/>
    </w:tblGrid>
    <w:tr w:rsidR="009A5F1A">
      <w:tc>
        <w:tcPr>
          <w:tcW w:w="2551" w:type="dxa"/>
          <w:shd w:val="clear" w:color="auto" w:fill="auto"/>
          <w:vAlign w:val="center"/>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9A5F1A" w:rsidRDefault="00335FD2">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16744/INFOEM/IP/RR/2022</w:t>
          </w:r>
        </w:p>
      </w:tc>
    </w:tr>
    <w:tr w:rsidR="009A5F1A">
      <w:trPr>
        <w:trHeight w:val="130"/>
      </w:trPr>
      <w:tc>
        <w:tcPr>
          <w:tcW w:w="2551" w:type="dxa"/>
          <w:shd w:val="clear" w:color="auto" w:fill="auto"/>
          <w:vAlign w:val="center"/>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9A5F1A" w:rsidRDefault="009A5F1A">
          <w:pPr>
            <w:jc w:val="both"/>
            <w:rPr>
              <w:rFonts w:ascii="Palatino Linotype" w:eastAsia="Palatino Linotype" w:hAnsi="Palatino Linotype" w:cs="Palatino Linotype"/>
              <w:b/>
            </w:rPr>
          </w:pPr>
        </w:p>
      </w:tc>
    </w:tr>
    <w:tr w:rsidR="009A5F1A">
      <w:trPr>
        <w:trHeight w:val="228"/>
      </w:trPr>
      <w:tc>
        <w:tcPr>
          <w:tcW w:w="2551" w:type="dxa"/>
          <w:shd w:val="clear" w:color="auto" w:fill="auto"/>
          <w:vAlign w:val="center"/>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9A5F1A" w:rsidRDefault="00335FD2">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9A5F1A">
      <w:tc>
        <w:tcPr>
          <w:tcW w:w="2551" w:type="dxa"/>
          <w:shd w:val="clear" w:color="auto" w:fill="auto"/>
          <w:vAlign w:val="center"/>
        </w:tcPr>
        <w:p w:rsidR="009A5F1A" w:rsidRDefault="00335FD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9A5F1A" w:rsidRDefault="00335FD2">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9A5F1A" w:rsidRDefault="009A5F1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483"/>
    <w:multiLevelType w:val="multilevel"/>
    <w:tmpl w:val="81980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304415"/>
    <w:multiLevelType w:val="hybridMultilevel"/>
    <w:tmpl w:val="9646842C"/>
    <w:lvl w:ilvl="0" w:tplc="9CE0DB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D6621"/>
    <w:multiLevelType w:val="multilevel"/>
    <w:tmpl w:val="984AC62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773573A"/>
    <w:multiLevelType w:val="hybridMultilevel"/>
    <w:tmpl w:val="078A979C"/>
    <w:lvl w:ilvl="0" w:tplc="7FD460A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47FB1C30"/>
    <w:multiLevelType w:val="multilevel"/>
    <w:tmpl w:val="06F8D7D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674A4B3F"/>
    <w:multiLevelType w:val="multilevel"/>
    <w:tmpl w:val="DD1E797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A"/>
    <w:rsid w:val="00005846"/>
    <w:rsid w:val="000812B9"/>
    <w:rsid w:val="0009348A"/>
    <w:rsid w:val="000946BC"/>
    <w:rsid w:val="000D272C"/>
    <w:rsid w:val="000D79F7"/>
    <w:rsid w:val="00164DBD"/>
    <w:rsid w:val="001B665B"/>
    <w:rsid w:val="001F040F"/>
    <w:rsid w:val="00257BD1"/>
    <w:rsid w:val="002B03AE"/>
    <w:rsid w:val="002E4B84"/>
    <w:rsid w:val="00316019"/>
    <w:rsid w:val="00335FD2"/>
    <w:rsid w:val="0035502D"/>
    <w:rsid w:val="003B6C25"/>
    <w:rsid w:val="003C22E6"/>
    <w:rsid w:val="003C5868"/>
    <w:rsid w:val="003F70A4"/>
    <w:rsid w:val="00413BA1"/>
    <w:rsid w:val="0043505B"/>
    <w:rsid w:val="00443EDC"/>
    <w:rsid w:val="004E67E1"/>
    <w:rsid w:val="005457F9"/>
    <w:rsid w:val="005A1F3A"/>
    <w:rsid w:val="00626626"/>
    <w:rsid w:val="00634522"/>
    <w:rsid w:val="00641632"/>
    <w:rsid w:val="00662434"/>
    <w:rsid w:val="006B438E"/>
    <w:rsid w:val="00777E8F"/>
    <w:rsid w:val="008A6395"/>
    <w:rsid w:val="008E4194"/>
    <w:rsid w:val="009155E6"/>
    <w:rsid w:val="00953016"/>
    <w:rsid w:val="00955F3D"/>
    <w:rsid w:val="00962A8E"/>
    <w:rsid w:val="009A5F1A"/>
    <w:rsid w:val="009B162E"/>
    <w:rsid w:val="009B38F9"/>
    <w:rsid w:val="00AA31F2"/>
    <w:rsid w:val="00BE5520"/>
    <w:rsid w:val="00C1762C"/>
    <w:rsid w:val="00C74F68"/>
    <w:rsid w:val="00D379A6"/>
    <w:rsid w:val="00E01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9B8DF-5679-4D6F-AA79-5195DC16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0"/>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0"/>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4"/>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4"/>
    <w:tblPr>
      <w:tblStyleRowBandSize w:val="1"/>
      <w:tblStyleColBandSize w:val="1"/>
      <w:tblCellMar>
        <w:top w:w="0" w:type="dxa"/>
        <w:left w:w="70" w:type="dxa"/>
        <w:bottom w:w="0" w:type="dxa"/>
        <w:right w:w="70" w:type="dxa"/>
      </w:tblCellMar>
    </w:tblPr>
  </w:style>
  <w:style w:type="table" w:customStyle="1" w:styleId="a2">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3"/>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3"/>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4"/>
      </w:numPr>
      <w:contextualSpacing/>
    </w:pPr>
  </w:style>
  <w:style w:type="table" w:customStyle="1" w:styleId="a6">
    <w:basedOn w:val="TableNormal2"/>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7">
    <w:basedOn w:val="TableNormal2"/>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b">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c">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D6b+z5zUCBvpkEf91raXIpXCQ==">AMUW2mV6Je1jySgHDiUK67zxO6Ef/56jjPDMm2EzJ5dCWZKMnJdQ9ilkHaRsaSWeM1+XZO7p+bDv7W1NpWYBFUqcQwSgIAKwRokLk9GOWIFjWL94O7PYzz8PJEWbNQKgqax9JhBx/olYrCYtB0zJbo6TTJSKX09eGoeNlynbBthMQVh/HCTPFM20USq9l2TQ2RcMP47u61M1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8327</Words>
  <Characters>45801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2023-05-19T17:49:00Z</cp:lastPrinted>
  <dcterms:created xsi:type="dcterms:W3CDTF">2023-05-24T16:45:00Z</dcterms:created>
  <dcterms:modified xsi:type="dcterms:W3CDTF">2023-05-24T16:45:00Z</dcterms:modified>
</cp:coreProperties>
</file>