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EC1" w:rsidRPr="005E00FF" w:rsidRDefault="00753EC1" w:rsidP="00753EC1">
      <w:pPr>
        <w:tabs>
          <w:tab w:val="left" w:pos="0"/>
        </w:tabs>
        <w:spacing w:before="240" w:after="240" w:line="360" w:lineRule="auto"/>
        <w:jc w:val="both"/>
        <w:rPr>
          <w:rFonts w:ascii="Palatino Linotype" w:hAnsi="Palatino Linotype"/>
        </w:rPr>
      </w:pPr>
      <w:r w:rsidRPr="005E00F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26937" w:rsidRPr="005E00FF">
        <w:rPr>
          <w:rFonts w:ascii="Palatino Linotype" w:hAnsi="Palatino Linotype"/>
        </w:rPr>
        <w:t>uno (01) de febrero de dos mil veintitrés</w:t>
      </w:r>
      <w:r w:rsidRPr="005E00FF">
        <w:rPr>
          <w:rFonts w:ascii="Palatino Linotype" w:hAnsi="Palatino Linotype"/>
        </w:rPr>
        <w:t xml:space="preserve">. </w:t>
      </w:r>
    </w:p>
    <w:p w:rsidR="00753EC1" w:rsidRPr="005E00FF" w:rsidRDefault="00753EC1" w:rsidP="00753EC1">
      <w:pPr>
        <w:spacing w:before="240" w:after="240" w:line="360" w:lineRule="auto"/>
        <w:jc w:val="both"/>
        <w:rPr>
          <w:rFonts w:ascii="Palatino Linotype" w:hAnsi="Palatino Linotype"/>
        </w:rPr>
      </w:pPr>
      <w:r w:rsidRPr="005E00FF">
        <w:rPr>
          <w:rFonts w:ascii="Palatino Linotype" w:hAnsi="Palatino Linotype"/>
          <w:b/>
        </w:rPr>
        <w:t>VISTO</w:t>
      </w:r>
      <w:r w:rsidRPr="005E00FF">
        <w:rPr>
          <w:rFonts w:ascii="Palatino Linotype" w:hAnsi="Palatino Linotype"/>
        </w:rPr>
        <w:t xml:space="preserve"> el expediente electrónico formado con motivo del recurso de revisión </w:t>
      </w:r>
      <w:r w:rsidR="00826937" w:rsidRPr="005E00FF">
        <w:rPr>
          <w:rFonts w:ascii="Palatino Linotype" w:hAnsi="Palatino Linotype" w:cs="Arial"/>
          <w:b/>
          <w:bCs/>
        </w:rPr>
        <w:t>16793</w:t>
      </w:r>
      <w:r w:rsidRPr="005E00FF">
        <w:rPr>
          <w:rFonts w:ascii="Palatino Linotype" w:hAnsi="Palatino Linotype" w:cs="Arial"/>
          <w:b/>
          <w:bCs/>
        </w:rPr>
        <w:t xml:space="preserve">/INFOEM/IP/RR/2022, </w:t>
      </w:r>
      <w:r w:rsidRPr="005E00FF">
        <w:rPr>
          <w:rFonts w:ascii="Palatino Linotype" w:hAnsi="Palatino Linotype"/>
        </w:rPr>
        <w:t xml:space="preserve">promovido por </w:t>
      </w:r>
      <w:r w:rsidR="0001212E" w:rsidRPr="005E00FF">
        <w:rPr>
          <w:rFonts w:ascii="Palatino Linotype" w:hAnsi="Palatino Linotype"/>
          <w:b/>
          <w:bCs/>
        </w:rPr>
        <w:t>XXXXXXXXXXX</w:t>
      </w:r>
      <w:r w:rsidRPr="005E00FF">
        <w:rPr>
          <w:rFonts w:ascii="Palatino Linotype" w:hAnsi="Palatino Linotype"/>
        </w:rPr>
        <w:t xml:space="preserve">, quien en lo sucesivo se le identificara como </w:t>
      </w:r>
      <w:r w:rsidRPr="005E00FF">
        <w:rPr>
          <w:rFonts w:ascii="Palatino Linotype" w:hAnsi="Palatino Linotype"/>
          <w:b/>
        </w:rPr>
        <w:t>RECURRENTE</w:t>
      </w:r>
      <w:r w:rsidRPr="005E00FF">
        <w:rPr>
          <w:rFonts w:ascii="Palatino Linotype" w:hAnsi="Palatino Linotype"/>
        </w:rPr>
        <w:t>, en contra de la</w:t>
      </w:r>
      <w:r w:rsidRPr="005E00FF">
        <w:rPr>
          <w:rFonts w:ascii="Palatino Linotype" w:hAnsi="Palatino Linotype" w:cs="Arial"/>
        </w:rPr>
        <w:t xml:space="preserve"> respuesta del  </w:t>
      </w:r>
      <w:r w:rsidR="00826937" w:rsidRPr="005E00FF">
        <w:rPr>
          <w:rFonts w:ascii="Palatino Linotype" w:eastAsia="Calibri" w:hAnsi="Palatino Linotype" w:cs="Tahoma"/>
          <w:b/>
          <w:bCs/>
          <w:lang w:eastAsia="en-US"/>
        </w:rPr>
        <w:t>Ayuntamiento de Toluca</w:t>
      </w:r>
      <w:r w:rsidRPr="005E00FF">
        <w:rPr>
          <w:rFonts w:ascii="Palatino Linotype" w:hAnsi="Palatino Linotype" w:cs="Arial"/>
          <w:b/>
        </w:rPr>
        <w:t xml:space="preserve">, </w:t>
      </w:r>
      <w:r w:rsidRPr="005E00FF">
        <w:rPr>
          <w:rFonts w:ascii="Palatino Linotype" w:hAnsi="Palatino Linotype"/>
        </w:rPr>
        <w:t>en lo sucesivo el</w:t>
      </w:r>
      <w:r w:rsidRPr="005E00FF">
        <w:rPr>
          <w:rFonts w:ascii="Palatino Linotype" w:hAnsi="Palatino Linotype"/>
          <w:b/>
        </w:rPr>
        <w:t xml:space="preserve"> SUJETO OBLIGADO, </w:t>
      </w:r>
      <w:r w:rsidRPr="005E00FF">
        <w:rPr>
          <w:rFonts w:ascii="Palatino Linotype" w:hAnsi="Palatino Linotype"/>
        </w:rPr>
        <w:t xml:space="preserve">se procede a dictar la presente resolución, con base en los siguientes: </w:t>
      </w:r>
    </w:p>
    <w:p w:rsidR="00753EC1" w:rsidRPr="005E00FF" w:rsidRDefault="00753EC1" w:rsidP="00753EC1">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5E00FF">
        <w:rPr>
          <w:rFonts w:ascii="Palatino Linotype" w:hAnsi="Palatino Linotype"/>
          <w:b/>
          <w:lang w:eastAsia="en-US"/>
        </w:rPr>
        <w:t>ANTECEDENTES</w:t>
      </w:r>
      <w:bookmarkEnd w:id="0"/>
      <w:bookmarkEnd w:id="1"/>
      <w:bookmarkEnd w:id="2"/>
      <w:bookmarkEnd w:id="3"/>
    </w:p>
    <w:p w:rsidR="00753EC1" w:rsidRPr="005E00FF" w:rsidRDefault="00753EC1" w:rsidP="00753EC1">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5E00FF">
        <w:rPr>
          <w:rFonts w:ascii="Palatino Linotype" w:eastAsia="Calibri" w:hAnsi="Palatino Linotype" w:cs="Arial"/>
          <w:lang w:val="es-ES"/>
        </w:rPr>
        <w:t xml:space="preserve">El </w:t>
      </w:r>
      <w:r w:rsidR="00826937" w:rsidRPr="005E00FF">
        <w:rPr>
          <w:rFonts w:ascii="Palatino Linotype" w:eastAsia="Calibri" w:hAnsi="Palatino Linotype" w:cs="Arial"/>
          <w:lang w:val="es-ES"/>
        </w:rPr>
        <w:t>dieciocho (18) de octubre</w:t>
      </w:r>
      <w:r w:rsidRPr="005E00FF">
        <w:rPr>
          <w:rFonts w:ascii="Palatino Linotype" w:eastAsia="Calibri" w:hAnsi="Palatino Linotype" w:cs="Arial"/>
          <w:lang w:val="es-ES"/>
        </w:rPr>
        <w:t xml:space="preserve">  de dos mil veintidós,</w:t>
      </w:r>
      <w:r w:rsidRPr="005E00FF">
        <w:rPr>
          <w:rFonts w:ascii="Palatino Linotype" w:eastAsia="Calibri" w:hAnsi="Palatino Linotype"/>
          <w:lang w:val="es-ES"/>
        </w:rPr>
        <w:t xml:space="preserve"> </w:t>
      </w:r>
      <w:r w:rsidRPr="005E00FF">
        <w:rPr>
          <w:rFonts w:ascii="Palatino Linotype" w:hAnsi="Palatino Linotype"/>
        </w:rPr>
        <w:t>el</w:t>
      </w:r>
      <w:r w:rsidRPr="005E00FF">
        <w:rPr>
          <w:rFonts w:ascii="Palatino Linotype" w:hAnsi="Palatino Linotype"/>
          <w:b/>
        </w:rPr>
        <w:t xml:space="preserve"> </w:t>
      </w:r>
      <w:r w:rsidRPr="005E00FF">
        <w:rPr>
          <w:rFonts w:ascii="Palatino Linotype" w:hAnsi="Palatino Linotype"/>
        </w:rPr>
        <w:t>solicitante</w:t>
      </w:r>
      <w:r w:rsidRPr="005E00FF">
        <w:rPr>
          <w:rFonts w:ascii="Palatino Linotype" w:hAnsi="Palatino Linotype"/>
          <w:b/>
        </w:rPr>
        <w:t xml:space="preserve">  </w:t>
      </w:r>
      <w:r w:rsidRPr="005E00FF">
        <w:rPr>
          <w:rFonts w:ascii="Palatino Linotype" w:hAnsi="Palatino Linotype"/>
        </w:rPr>
        <w:t>presentó</w:t>
      </w:r>
      <w:r w:rsidRPr="005E00FF">
        <w:rPr>
          <w:rFonts w:ascii="Palatino Linotype" w:hAnsi="Palatino Linotype"/>
          <w:b/>
        </w:rPr>
        <w:t xml:space="preserve"> </w:t>
      </w:r>
      <w:r w:rsidRPr="005E00FF">
        <w:rPr>
          <w:rFonts w:ascii="Palatino Linotype" w:eastAsia="Calibri" w:hAnsi="Palatino Linotype" w:cs="Arial"/>
          <w:lang w:val="es-ES"/>
        </w:rPr>
        <w:t xml:space="preserve">ante el </w:t>
      </w:r>
      <w:r w:rsidRPr="005E00FF">
        <w:rPr>
          <w:rFonts w:ascii="Palatino Linotype" w:eastAsia="Calibri" w:hAnsi="Palatino Linotype" w:cs="Arial"/>
          <w:b/>
          <w:lang w:val="es-ES"/>
        </w:rPr>
        <w:t>SUJETO OBLIGADO,</w:t>
      </w:r>
      <w:r w:rsidRPr="005E00FF">
        <w:rPr>
          <w:rFonts w:ascii="Palatino Linotype" w:eastAsia="Calibri" w:hAnsi="Palatino Linotype" w:cs="Arial"/>
        </w:rPr>
        <w:t xml:space="preserve"> a través de la Plataforma digital Sistema de Acceso a la Información Mexiquense (SAIMEX),</w:t>
      </w:r>
      <w:r w:rsidRPr="005E00FF">
        <w:rPr>
          <w:rFonts w:ascii="Palatino Linotype" w:eastAsia="Calibri" w:hAnsi="Palatino Linotype" w:cs="Arial"/>
          <w:lang w:val="es-ES"/>
        </w:rPr>
        <w:t xml:space="preserve"> la solicitud de información pública registrada con el número </w:t>
      </w:r>
      <w:r w:rsidRPr="005E00FF">
        <w:rPr>
          <w:rFonts w:ascii="Palatino Linotype" w:hAnsi="Palatino Linotype"/>
          <w:b/>
          <w:bCs/>
        </w:rPr>
        <w:t> </w:t>
      </w:r>
      <w:r w:rsidR="00826937" w:rsidRPr="005E00FF">
        <w:rPr>
          <w:rFonts w:ascii="Palatino Linotype" w:hAnsi="Palatino Linotype"/>
          <w:b/>
          <w:bCs/>
        </w:rPr>
        <w:t>02199/TOLUCA/IP/2022</w:t>
      </w:r>
      <w:r w:rsidRPr="005E00FF">
        <w:rPr>
          <w:rFonts w:ascii="Palatino Linotype" w:eastAsia="Calibri" w:hAnsi="Palatino Linotype" w:cs="Arial"/>
          <w:lang w:val="es-ES"/>
        </w:rPr>
        <w:t>, mediante la cual se solicitó:</w:t>
      </w:r>
    </w:p>
    <w:p w:rsidR="00753EC1" w:rsidRPr="005E00FF" w:rsidRDefault="00753EC1" w:rsidP="00753EC1">
      <w:pPr>
        <w:tabs>
          <w:tab w:val="left" w:pos="0"/>
        </w:tabs>
        <w:spacing w:before="240" w:after="240" w:line="360" w:lineRule="auto"/>
        <w:ind w:left="360"/>
        <w:contextualSpacing/>
        <w:jc w:val="both"/>
        <w:rPr>
          <w:rFonts w:ascii="Palatino Linotype" w:eastAsia="Calibri" w:hAnsi="Palatino Linotype" w:cs="Arial"/>
          <w:lang w:val="es-ES"/>
        </w:rPr>
      </w:pPr>
    </w:p>
    <w:p w:rsidR="00753EC1" w:rsidRPr="005E00FF" w:rsidRDefault="00753EC1" w:rsidP="00753EC1">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5E00FF">
        <w:rPr>
          <w:rFonts w:ascii="Palatino Linotype" w:hAnsi="Palatino Linotype" w:cs="Arial"/>
          <w:i/>
          <w:sz w:val="22"/>
          <w:szCs w:val="22"/>
          <w:lang w:val="es-ES"/>
        </w:rPr>
        <w:t>“</w:t>
      </w:r>
      <w:r w:rsidR="00826937" w:rsidRPr="005E00FF">
        <w:rPr>
          <w:rFonts w:ascii="Palatino Linotype" w:hAnsi="Palatino Linotype"/>
          <w:i/>
          <w:color w:val="000000"/>
          <w:sz w:val="22"/>
          <w:szCs w:val="22"/>
        </w:rPr>
        <w:t>Solicito información sobre en que va consistir el Sistema de Perspectiva de Género</w:t>
      </w:r>
      <w:r w:rsidRPr="005E00FF">
        <w:rPr>
          <w:rFonts w:ascii="Palatino Linotype" w:hAnsi="Palatino Linotype"/>
          <w:i/>
          <w:color w:val="000000"/>
          <w:sz w:val="22"/>
          <w:szCs w:val="22"/>
        </w:rPr>
        <w:t>.</w:t>
      </w:r>
      <w:r w:rsidRPr="005E00FF">
        <w:rPr>
          <w:rFonts w:ascii="Palatino Linotype" w:hAnsi="Palatino Linotype" w:cs="Arial"/>
          <w:i/>
          <w:sz w:val="22"/>
          <w:szCs w:val="22"/>
          <w:lang w:val="es-ES"/>
        </w:rPr>
        <w:t>” (Sic)</w:t>
      </w:r>
    </w:p>
    <w:p w:rsidR="00753EC1" w:rsidRPr="005E00FF" w:rsidRDefault="00753EC1" w:rsidP="00753EC1">
      <w:pPr>
        <w:pStyle w:val="Prrafodelista"/>
        <w:numPr>
          <w:ilvl w:val="0"/>
          <w:numId w:val="1"/>
        </w:numPr>
        <w:spacing w:before="240" w:after="240" w:line="360" w:lineRule="auto"/>
        <w:ind w:left="0" w:firstLine="0"/>
        <w:jc w:val="both"/>
        <w:rPr>
          <w:rFonts w:ascii="Palatino Linotype" w:hAnsi="Palatino Linotype" w:cs="Arial"/>
          <w:i/>
          <w:sz w:val="24"/>
        </w:rPr>
      </w:pPr>
      <w:r w:rsidRPr="005E00FF">
        <w:rPr>
          <w:rFonts w:ascii="Palatino Linotype" w:hAnsi="Palatino Linotype" w:cs="Arial"/>
          <w:sz w:val="24"/>
        </w:rPr>
        <w:t>Se hace constar que se señaló como modalidad de entrega de la información a través del Sistema de Acceso a la Información Mexiquense (SAIMEX).</w:t>
      </w:r>
      <w:r w:rsidRPr="005E00FF">
        <w:rPr>
          <w:rFonts w:ascii="Palatino Linotype" w:hAnsi="Palatino Linotype" w:cs="Arial"/>
          <w:b/>
          <w:sz w:val="24"/>
        </w:rPr>
        <w:t xml:space="preserve">  </w:t>
      </w:r>
    </w:p>
    <w:p w:rsidR="00753EC1" w:rsidRPr="005E00FF" w:rsidRDefault="00753EC1" w:rsidP="00753EC1">
      <w:pPr>
        <w:pStyle w:val="Prrafodelista"/>
        <w:spacing w:before="240" w:after="240" w:line="360" w:lineRule="auto"/>
        <w:ind w:left="0"/>
        <w:jc w:val="both"/>
        <w:rPr>
          <w:rFonts w:ascii="Palatino Linotype" w:hAnsi="Palatino Linotype" w:cs="Arial"/>
          <w:i/>
          <w:sz w:val="24"/>
        </w:rPr>
      </w:pPr>
    </w:p>
    <w:p w:rsidR="00753EC1" w:rsidRPr="005E00FF" w:rsidRDefault="00753EC1" w:rsidP="00753EC1">
      <w:pPr>
        <w:pStyle w:val="Prrafodelista"/>
        <w:numPr>
          <w:ilvl w:val="0"/>
          <w:numId w:val="1"/>
        </w:numPr>
        <w:spacing w:before="240" w:after="240" w:line="360" w:lineRule="auto"/>
        <w:ind w:left="0" w:firstLine="0"/>
        <w:jc w:val="both"/>
        <w:rPr>
          <w:rFonts w:ascii="Palatino Linotype" w:hAnsi="Palatino Linotype" w:cs="Arial"/>
          <w:i/>
          <w:sz w:val="24"/>
        </w:rPr>
      </w:pPr>
      <w:r w:rsidRPr="005E00FF">
        <w:rPr>
          <w:rFonts w:ascii="Palatino Linotype" w:hAnsi="Palatino Linotype" w:cs="Arial"/>
          <w:sz w:val="24"/>
        </w:rPr>
        <w:t xml:space="preserve">El </w:t>
      </w:r>
      <w:r w:rsidR="00826937" w:rsidRPr="005E00FF">
        <w:rPr>
          <w:rFonts w:ascii="Palatino Linotype" w:hAnsi="Palatino Linotype" w:cs="Arial"/>
          <w:sz w:val="24"/>
        </w:rPr>
        <w:t xml:space="preserve">diecinueve (19) de octubre </w:t>
      </w:r>
      <w:r w:rsidRPr="005E00FF">
        <w:rPr>
          <w:rFonts w:ascii="Palatino Linotype" w:hAnsi="Palatino Linotype" w:cs="Arial"/>
          <w:sz w:val="24"/>
        </w:rPr>
        <w:t xml:space="preserve"> de dos mil veintidós, se </w:t>
      </w:r>
      <w:r w:rsidR="00826937" w:rsidRPr="005E00FF">
        <w:rPr>
          <w:rFonts w:ascii="Palatino Linotype" w:hAnsi="Palatino Linotype" w:cs="Arial"/>
          <w:sz w:val="24"/>
        </w:rPr>
        <w:t>realizaron dos requerimientos a los servidores públicos habilitados</w:t>
      </w:r>
      <w:r w:rsidRPr="005E00FF">
        <w:rPr>
          <w:rFonts w:ascii="Palatino Linotype" w:hAnsi="Palatino Linotype" w:cs="Arial"/>
          <w:sz w:val="24"/>
        </w:rPr>
        <w:t>.</w:t>
      </w:r>
    </w:p>
    <w:p w:rsidR="00753EC1" w:rsidRPr="005E00FF" w:rsidRDefault="00753EC1" w:rsidP="00753EC1">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5E00FF">
        <w:rPr>
          <w:rFonts w:ascii="Palatino Linotype" w:eastAsia="Calibri" w:hAnsi="Palatino Linotype" w:cs="Arial"/>
          <w:lang w:val="es-AR"/>
        </w:rPr>
        <w:t>El</w:t>
      </w:r>
      <w:r w:rsidRPr="005E00FF">
        <w:rPr>
          <w:rFonts w:ascii="Palatino Linotype" w:hAnsi="Palatino Linotype" w:cs="Arial"/>
          <w:lang w:val="es-ES"/>
        </w:rPr>
        <w:t xml:space="preserve"> </w:t>
      </w:r>
      <w:r w:rsidR="00826937" w:rsidRPr="005E00FF">
        <w:rPr>
          <w:rFonts w:ascii="Palatino Linotype" w:hAnsi="Palatino Linotype" w:cs="Arial"/>
          <w:lang w:val="es-ES"/>
        </w:rPr>
        <w:t>nueve (09) de noviembre</w:t>
      </w:r>
      <w:r w:rsidRPr="005E00FF">
        <w:rPr>
          <w:rFonts w:ascii="Palatino Linotype" w:hAnsi="Palatino Linotype" w:cs="Arial"/>
          <w:lang w:val="es-ES"/>
        </w:rPr>
        <w:t xml:space="preserve"> de dos mil veintidós, el </w:t>
      </w:r>
      <w:r w:rsidRPr="005E00FF">
        <w:rPr>
          <w:rFonts w:ascii="Palatino Linotype" w:hAnsi="Palatino Linotype" w:cs="Arial"/>
          <w:b/>
          <w:lang w:val="es-ES"/>
        </w:rPr>
        <w:t xml:space="preserve">SUJETO OBLIGADO </w:t>
      </w:r>
      <w:bookmarkStart w:id="4" w:name="_Toc472500652"/>
      <w:bookmarkStart w:id="5" w:name="_Toc472427085"/>
      <w:bookmarkStart w:id="6" w:name="_Toc462307683"/>
      <w:r w:rsidRPr="005E00FF">
        <w:rPr>
          <w:rFonts w:ascii="Palatino Linotype" w:hAnsi="Palatino Linotype" w:cs="Arial"/>
          <w:lang w:val="es-ES"/>
        </w:rPr>
        <w:t>dio respuesta a la solicitud en el siguiente sentido:</w:t>
      </w:r>
    </w:p>
    <w:p w:rsidR="00753EC1" w:rsidRPr="005E00FF" w:rsidRDefault="00753EC1" w:rsidP="00753EC1">
      <w:pPr>
        <w:tabs>
          <w:tab w:val="left" w:pos="0"/>
        </w:tabs>
        <w:spacing w:before="240" w:after="240" w:line="360" w:lineRule="auto"/>
        <w:ind w:right="34"/>
        <w:contextualSpacing/>
        <w:jc w:val="both"/>
        <w:rPr>
          <w:rFonts w:ascii="Palatino Linotype" w:hAnsi="Palatino Linotype" w:cs="Arial"/>
          <w:b/>
          <w:sz w:val="22"/>
          <w:lang w:val="es-ES"/>
        </w:rPr>
      </w:pPr>
    </w:p>
    <w:tbl>
      <w:tblPr>
        <w:tblW w:w="6954" w:type="dxa"/>
        <w:jc w:val="center"/>
        <w:tblCellSpacing w:w="0" w:type="dxa"/>
        <w:tblCellMar>
          <w:left w:w="0" w:type="dxa"/>
          <w:right w:w="0" w:type="dxa"/>
        </w:tblCellMar>
        <w:tblLook w:val="04A0" w:firstRow="1" w:lastRow="0" w:firstColumn="1" w:lastColumn="0" w:noHBand="0" w:noVBand="1"/>
      </w:tblPr>
      <w:tblGrid>
        <w:gridCol w:w="6954"/>
      </w:tblGrid>
      <w:tr w:rsidR="00826937" w:rsidRPr="005E00FF" w:rsidTr="00826937">
        <w:trPr>
          <w:trHeight w:val="318"/>
          <w:tblCellSpacing w:w="0" w:type="dxa"/>
          <w:jc w:val="center"/>
        </w:trPr>
        <w:tc>
          <w:tcPr>
            <w:tcW w:w="0" w:type="auto"/>
            <w:vAlign w:val="center"/>
            <w:hideMark/>
          </w:tcPr>
          <w:p w:rsidR="00826937" w:rsidRPr="005E00FF" w:rsidRDefault="00826937" w:rsidP="00826937">
            <w:pPr>
              <w:jc w:val="right"/>
              <w:rPr>
                <w:rFonts w:ascii="Palatino Linotype" w:hAnsi="Palatino Linotype"/>
                <w:i/>
                <w:sz w:val="22"/>
              </w:rPr>
            </w:pPr>
            <w:r w:rsidRPr="005E00FF">
              <w:rPr>
                <w:rFonts w:ascii="Palatino Linotype" w:hAnsi="Palatino Linotype"/>
                <w:i/>
                <w:sz w:val="22"/>
                <w:szCs w:val="18"/>
              </w:rPr>
              <w:t>“Toluca, México a 09 de Noviembre de 2022</w:t>
            </w:r>
          </w:p>
        </w:tc>
      </w:tr>
      <w:tr w:rsidR="00826937" w:rsidRPr="005E00FF" w:rsidTr="00826937">
        <w:trPr>
          <w:trHeight w:val="318"/>
          <w:tblCellSpacing w:w="0" w:type="dxa"/>
          <w:jc w:val="center"/>
        </w:trPr>
        <w:tc>
          <w:tcPr>
            <w:tcW w:w="0" w:type="auto"/>
            <w:vAlign w:val="center"/>
            <w:hideMark/>
          </w:tcPr>
          <w:p w:rsidR="00826937" w:rsidRPr="005E00FF" w:rsidRDefault="00826937" w:rsidP="00826937">
            <w:pPr>
              <w:jc w:val="right"/>
              <w:rPr>
                <w:rFonts w:ascii="Palatino Linotype" w:hAnsi="Palatino Linotype"/>
                <w:i/>
                <w:sz w:val="22"/>
              </w:rPr>
            </w:pPr>
            <w:r w:rsidRPr="005E00FF">
              <w:rPr>
                <w:rFonts w:ascii="Palatino Linotype" w:hAnsi="Palatino Linotype"/>
                <w:i/>
                <w:sz w:val="22"/>
                <w:szCs w:val="18"/>
              </w:rPr>
              <w:t>Nombre del solicitante: C. Solicitante</w:t>
            </w:r>
          </w:p>
        </w:tc>
      </w:tr>
      <w:tr w:rsidR="00826937" w:rsidRPr="005E00FF" w:rsidTr="00826937">
        <w:trPr>
          <w:trHeight w:val="318"/>
          <w:tblCellSpacing w:w="0" w:type="dxa"/>
          <w:jc w:val="center"/>
        </w:trPr>
        <w:tc>
          <w:tcPr>
            <w:tcW w:w="0" w:type="auto"/>
            <w:vAlign w:val="center"/>
            <w:hideMark/>
          </w:tcPr>
          <w:p w:rsidR="00826937" w:rsidRPr="005E00FF" w:rsidRDefault="00826937" w:rsidP="00826937">
            <w:pPr>
              <w:jc w:val="right"/>
              <w:rPr>
                <w:rFonts w:ascii="Palatino Linotype" w:hAnsi="Palatino Linotype"/>
                <w:i/>
                <w:sz w:val="22"/>
              </w:rPr>
            </w:pPr>
            <w:r w:rsidRPr="005E00FF">
              <w:rPr>
                <w:rFonts w:ascii="Palatino Linotype" w:hAnsi="Palatino Linotype"/>
                <w:i/>
                <w:sz w:val="22"/>
                <w:szCs w:val="18"/>
              </w:rPr>
              <w:t>Folio de la solicitud: 02199/TOLUCA/IP/2022</w:t>
            </w:r>
          </w:p>
        </w:tc>
      </w:tr>
      <w:tr w:rsidR="00826937" w:rsidRPr="005E00FF" w:rsidTr="00826937">
        <w:trPr>
          <w:trHeight w:val="477"/>
          <w:tblCellSpacing w:w="0" w:type="dxa"/>
          <w:jc w:val="center"/>
        </w:trPr>
        <w:tc>
          <w:tcPr>
            <w:tcW w:w="0" w:type="auto"/>
            <w:vAlign w:val="center"/>
            <w:hideMark/>
          </w:tcPr>
          <w:p w:rsidR="00826937" w:rsidRPr="005E00FF" w:rsidRDefault="00826937" w:rsidP="00826937">
            <w:pPr>
              <w:jc w:val="right"/>
              <w:rPr>
                <w:rFonts w:ascii="Palatino Linotype" w:hAnsi="Palatino Linotype"/>
                <w:i/>
                <w:sz w:val="22"/>
              </w:rPr>
            </w:pPr>
          </w:p>
        </w:tc>
      </w:tr>
      <w:tr w:rsidR="00826937" w:rsidRPr="005E00FF" w:rsidTr="00826937">
        <w:trPr>
          <w:trHeight w:val="159"/>
          <w:tblCellSpacing w:w="0" w:type="dxa"/>
          <w:jc w:val="center"/>
        </w:trPr>
        <w:tc>
          <w:tcPr>
            <w:tcW w:w="0" w:type="auto"/>
            <w:vAlign w:val="center"/>
            <w:hideMark/>
          </w:tcPr>
          <w:p w:rsidR="00826937" w:rsidRPr="005E00FF" w:rsidRDefault="00826937" w:rsidP="00826937">
            <w:pPr>
              <w:rPr>
                <w:rFonts w:ascii="Palatino Linotype" w:hAnsi="Palatino Linotype"/>
                <w:i/>
                <w:sz w:val="22"/>
              </w:rPr>
            </w:pPr>
            <w:r w:rsidRPr="005E00FF">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26937" w:rsidRPr="005E00FF" w:rsidTr="00826937">
        <w:trPr>
          <w:trHeight w:val="398"/>
          <w:tblCellSpacing w:w="0" w:type="dxa"/>
          <w:jc w:val="center"/>
        </w:trPr>
        <w:tc>
          <w:tcPr>
            <w:tcW w:w="0" w:type="auto"/>
            <w:vAlign w:val="center"/>
            <w:hideMark/>
          </w:tcPr>
          <w:p w:rsidR="00826937" w:rsidRPr="005E00FF" w:rsidRDefault="00826937" w:rsidP="00826937">
            <w:pPr>
              <w:rPr>
                <w:rFonts w:ascii="Palatino Linotype" w:hAnsi="Palatino Linotype"/>
                <w:i/>
                <w:sz w:val="22"/>
              </w:rPr>
            </w:pPr>
          </w:p>
        </w:tc>
      </w:tr>
      <w:tr w:rsidR="00826937" w:rsidRPr="005E00FF" w:rsidTr="00826937">
        <w:trPr>
          <w:trHeight w:val="159"/>
          <w:tblCellSpacing w:w="0" w:type="dxa"/>
          <w:jc w:val="center"/>
        </w:trPr>
        <w:tc>
          <w:tcPr>
            <w:tcW w:w="0" w:type="auto"/>
            <w:vAlign w:val="center"/>
            <w:hideMark/>
          </w:tcPr>
          <w:p w:rsidR="00826937" w:rsidRPr="005E00FF" w:rsidRDefault="00826937" w:rsidP="00826937">
            <w:pPr>
              <w:rPr>
                <w:rFonts w:ascii="Palatino Linotype" w:hAnsi="Palatino Linotype"/>
                <w:i/>
                <w:sz w:val="22"/>
              </w:rPr>
            </w:pPr>
            <w:r w:rsidRPr="005E00FF">
              <w:rPr>
                <w:rFonts w:ascii="Palatino Linotype" w:hAnsi="Palatino Linotype"/>
                <w:i/>
                <w:sz w:val="22"/>
                <w:szCs w:val="18"/>
              </w:rPr>
              <w:t>En atención a la solicitud con folio 02199/TOLUCA/IP/2022, me permito adjuntar al presente la respuesta correspondiente. Sin más por el momento, reciba un saludo.</w:t>
            </w:r>
          </w:p>
        </w:tc>
      </w:tr>
      <w:tr w:rsidR="00826937" w:rsidRPr="005E00FF" w:rsidTr="00826937">
        <w:trPr>
          <w:trHeight w:val="398"/>
          <w:tblCellSpacing w:w="0" w:type="dxa"/>
          <w:jc w:val="center"/>
        </w:trPr>
        <w:tc>
          <w:tcPr>
            <w:tcW w:w="0" w:type="auto"/>
            <w:vAlign w:val="center"/>
            <w:hideMark/>
          </w:tcPr>
          <w:p w:rsidR="00826937" w:rsidRPr="005E00FF" w:rsidRDefault="00826937" w:rsidP="00826937">
            <w:pPr>
              <w:rPr>
                <w:rFonts w:ascii="Palatino Linotype" w:hAnsi="Palatino Linotype"/>
                <w:i/>
                <w:sz w:val="22"/>
              </w:rPr>
            </w:pPr>
          </w:p>
        </w:tc>
      </w:tr>
      <w:tr w:rsidR="00826937" w:rsidRPr="005E00FF" w:rsidTr="00826937">
        <w:trPr>
          <w:trHeight w:val="159"/>
          <w:tblCellSpacing w:w="0" w:type="dxa"/>
          <w:jc w:val="center"/>
        </w:trPr>
        <w:tc>
          <w:tcPr>
            <w:tcW w:w="0" w:type="auto"/>
            <w:vAlign w:val="center"/>
            <w:hideMark/>
          </w:tcPr>
          <w:p w:rsidR="00826937" w:rsidRPr="005E00FF" w:rsidRDefault="00826937" w:rsidP="00826937">
            <w:pPr>
              <w:jc w:val="center"/>
              <w:rPr>
                <w:rFonts w:ascii="Palatino Linotype" w:hAnsi="Palatino Linotype"/>
                <w:i/>
                <w:sz w:val="22"/>
                <w:szCs w:val="20"/>
              </w:rPr>
            </w:pPr>
          </w:p>
        </w:tc>
      </w:tr>
      <w:tr w:rsidR="00826937" w:rsidRPr="005E00FF" w:rsidTr="00826937">
        <w:trPr>
          <w:trHeight w:val="159"/>
          <w:tblCellSpacing w:w="0" w:type="dxa"/>
          <w:jc w:val="center"/>
        </w:trPr>
        <w:tc>
          <w:tcPr>
            <w:tcW w:w="0" w:type="auto"/>
            <w:vAlign w:val="center"/>
            <w:hideMark/>
          </w:tcPr>
          <w:p w:rsidR="00826937" w:rsidRPr="005E00FF" w:rsidRDefault="00826937" w:rsidP="00826937">
            <w:pPr>
              <w:rPr>
                <w:rFonts w:ascii="Palatino Linotype" w:hAnsi="Palatino Linotype"/>
                <w:i/>
                <w:sz w:val="22"/>
                <w:szCs w:val="20"/>
              </w:rPr>
            </w:pPr>
          </w:p>
        </w:tc>
      </w:tr>
      <w:tr w:rsidR="00826937" w:rsidRPr="005E00FF" w:rsidTr="00826937">
        <w:trPr>
          <w:trHeight w:val="159"/>
          <w:tblCellSpacing w:w="0" w:type="dxa"/>
          <w:jc w:val="center"/>
        </w:trPr>
        <w:tc>
          <w:tcPr>
            <w:tcW w:w="0" w:type="auto"/>
            <w:vAlign w:val="center"/>
            <w:hideMark/>
          </w:tcPr>
          <w:p w:rsidR="00826937" w:rsidRPr="005E00FF" w:rsidRDefault="00826937" w:rsidP="00826937">
            <w:pPr>
              <w:rPr>
                <w:rFonts w:ascii="Palatino Linotype" w:hAnsi="Palatino Linotype"/>
                <w:i/>
                <w:sz w:val="22"/>
              </w:rPr>
            </w:pPr>
            <w:r w:rsidRPr="005E00FF">
              <w:rPr>
                <w:rFonts w:ascii="Palatino Linotype" w:hAnsi="Palatino Linotype"/>
                <w:i/>
                <w:sz w:val="22"/>
                <w:szCs w:val="18"/>
              </w:rPr>
              <w:t>ATENTAMENTE</w:t>
            </w:r>
          </w:p>
        </w:tc>
      </w:tr>
      <w:tr w:rsidR="00826937" w:rsidRPr="005E00FF" w:rsidTr="00826937">
        <w:trPr>
          <w:trHeight w:val="238"/>
          <w:tblCellSpacing w:w="0" w:type="dxa"/>
          <w:jc w:val="center"/>
        </w:trPr>
        <w:tc>
          <w:tcPr>
            <w:tcW w:w="0" w:type="auto"/>
            <w:vAlign w:val="center"/>
            <w:hideMark/>
          </w:tcPr>
          <w:p w:rsidR="00826937" w:rsidRPr="005E00FF" w:rsidRDefault="00826937" w:rsidP="00826937">
            <w:pPr>
              <w:rPr>
                <w:rFonts w:ascii="Palatino Linotype" w:hAnsi="Palatino Linotype"/>
                <w:i/>
                <w:sz w:val="22"/>
              </w:rPr>
            </w:pPr>
          </w:p>
        </w:tc>
      </w:tr>
      <w:tr w:rsidR="00826937" w:rsidRPr="005E00FF" w:rsidTr="00826937">
        <w:trPr>
          <w:trHeight w:val="159"/>
          <w:tblCellSpacing w:w="0" w:type="dxa"/>
          <w:jc w:val="center"/>
        </w:trPr>
        <w:tc>
          <w:tcPr>
            <w:tcW w:w="0" w:type="auto"/>
            <w:vAlign w:val="center"/>
            <w:hideMark/>
          </w:tcPr>
          <w:p w:rsidR="00826937" w:rsidRPr="005E00FF" w:rsidRDefault="00826937" w:rsidP="00826937">
            <w:pPr>
              <w:rPr>
                <w:rFonts w:ascii="Palatino Linotype" w:hAnsi="Palatino Linotype"/>
                <w:i/>
                <w:sz w:val="22"/>
              </w:rPr>
            </w:pPr>
            <w:r w:rsidRPr="005E00FF">
              <w:rPr>
                <w:rFonts w:ascii="Palatino Linotype" w:hAnsi="Palatino Linotype"/>
                <w:i/>
                <w:sz w:val="22"/>
                <w:szCs w:val="18"/>
              </w:rPr>
              <w:t>Lic. Norma Sofía Pérez Martínez”</w:t>
            </w:r>
          </w:p>
        </w:tc>
      </w:tr>
    </w:tbl>
    <w:p w:rsidR="00753EC1" w:rsidRPr="005E00FF" w:rsidRDefault="00753EC1" w:rsidP="00753EC1">
      <w:pPr>
        <w:tabs>
          <w:tab w:val="left" w:pos="0"/>
        </w:tabs>
        <w:spacing w:before="240" w:after="240" w:line="360" w:lineRule="auto"/>
        <w:ind w:right="34"/>
        <w:jc w:val="both"/>
        <w:rPr>
          <w:rFonts w:ascii="Palatino Linotype" w:hAnsi="Palatino Linotype" w:cs="Arial"/>
          <w:szCs w:val="22"/>
          <w:lang w:val="es-ES"/>
        </w:rPr>
      </w:pPr>
    </w:p>
    <w:p w:rsidR="00753EC1" w:rsidRPr="005E00FF" w:rsidRDefault="00753EC1" w:rsidP="00C737C6">
      <w:pPr>
        <w:pStyle w:val="Prrafodelista"/>
        <w:numPr>
          <w:ilvl w:val="0"/>
          <w:numId w:val="5"/>
        </w:numPr>
        <w:spacing w:line="360" w:lineRule="auto"/>
        <w:jc w:val="both"/>
        <w:rPr>
          <w:rFonts w:ascii="Palatino Linotype" w:hAnsi="Palatino Linotype" w:cs="Arial"/>
          <w:sz w:val="24"/>
          <w:szCs w:val="22"/>
          <w:lang w:val="es-ES"/>
        </w:rPr>
      </w:pPr>
      <w:r w:rsidRPr="005E00FF">
        <w:rPr>
          <w:rFonts w:ascii="Palatino Linotype" w:hAnsi="Palatino Linotype" w:cs="Arial"/>
          <w:sz w:val="24"/>
          <w:szCs w:val="22"/>
          <w:lang w:val="es-ES"/>
        </w:rPr>
        <w:t xml:space="preserve">A la respuesta se adjuntó el archivo </w:t>
      </w:r>
      <w:hyperlink r:id="rId7" w:tgtFrame="_blank" w:history="1">
        <w:r w:rsidR="00826937" w:rsidRPr="005E00FF">
          <w:rPr>
            <w:rStyle w:val="Hipervnculo"/>
            <w:rFonts w:ascii="Palatino Linotype" w:eastAsiaTheme="majorEastAsia" w:hAnsi="Palatino Linotype" w:cs="Arial"/>
            <w:b/>
            <w:bCs/>
            <w:color w:val="auto"/>
            <w:sz w:val="24"/>
            <w:szCs w:val="22"/>
          </w:rPr>
          <w:t>Respuesta 2199.pdf</w:t>
        </w:r>
      </w:hyperlink>
      <w:r w:rsidRPr="005E00FF">
        <w:rPr>
          <w:rFonts w:ascii="Palatino Linotype" w:hAnsi="Palatino Linotype"/>
          <w:sz w:val="24"/>
          <w:szCs w:val="22"/>
        </w:rPr>
        <w:t xml:space="preserve"> </w:t>
      </w:r>
      <w:r w:rsidRPr="005E00FF">
        <w:rPr>
          <w:rFonts w:ascii="Palatino Linotype" w:hAnsi="Palatino Linotype" w:cs="Arial"/>
          <w:sz w:val="24"/>
          <w:szCs w:val="22"/>
          <w:lang w:val="es-ES"/>
        </w:rPr>
        <w:t>que se describe a continuación:</w:t>
      </w:r>
      <w:r w:rsidR="00826937" w:rsidRPr="005E00FF">
        <w:rPr>
          <w:rFonts w:ascii="Palatino Linotype" w:hAnsi="Palatino Linotype" w:cs="Arial"/>
          <w:sz w:val="24"/>
          <w:szCs w:val="22"/>
          <w:lang w:val="es-ES"/>
        </w:rPr>
        <w:t xml:space="preserve"> oficio de respuesta a la solicitud de información suscrito por el Titular de la Unidad de Transparencia mediante el cual refirió </w:t>
      </w:r>
      <w:r w:rsidR="00826937" w:rsidRPr="005E00FF">
        <w:rPr>
          <w:rFonts w:ascii="Palatino Linotype" w:hAnsi="Palatino Linotype" w:cs="Arial"/>
          <w:i/>
          <w:sz w:val="24"/>
          <w:szCs w:val="22"/>
          <w:lang w:val="es-ES"/>
        </w:rPr>
        <w:t xml:space="preserve">“…informó a la que suscribe que después de realizar una búsqueda exhaustiva y razonable de la información dentro de sus archivos, advierte que el Sistema de Perspectiva de Género del Municipio de Toluca </w:t>
      </w:r>
      <w:r w:rsidR="00C737C6" w:rsidRPr="005E00FF">
        <w:rPr>
          <w:rFonts w:ascii="Palatino Linotype" w:hAnsi="Palatino Linotype" w:cs="Arial"/>
          <w:i/>
          <w:sz w:val="24"/>
          <w:szCs w:val="22"/>
          <w:lang w:val="es-ES"/>
        </w:rPr>
        <w:t>es un mecanismo de participación interinstitucional que tiene como objetivo diseñar e instrumentar acciones coordinadas que permitan atender las distintas formas de violencia que viven las mujeres, adolescentes y niñas del municipio de Toluca.”</w:t>
      </w:r>
    </w:p>
    <w:p w:rsidR="00753EC1" w:rsidRPr="005E00FF" w:rsidRDefault="00753EC1" w:rsidP="00753EC1">
      <w:pPr>
        <w:pStyle w:val="Prrafodelista"/>
        <w:rPr>
          <w:rFonts w:ascii="Palatino Linotype" w:hAnsi="Palatino Linotype" w:cs="Arial"/>
          <w:szCs w:val="22"/>
          <w:lang w:val="es-ES"/>
        </w:rPr>
      </w:pPr>
    </w:p>
    <w:p w:rsidR="00753EC1" w:rsidRPr="005E00FF" w:rsidRDefault="00753EC1" w:rsidP="00753EC1">
      <w:pPr>
        <w:pStyle w:val="Prrafodelista"/>
        <w:tabs>
          <w:tab w:val="left" w:pos="0"/>
        </w:tabs>
        <w:spacing w:before="240" w:after="240" w:line="360" w:lineRule="auto"/>
        <w:ind w:right="34"/>
        <w:jc w:val="both"/>
        <w:rPr>
          <w:rFonts w:ascii="Palatino Linotype" w:hAnsi="Palatino Linotype" w:cs="Arial"/>
          <w:szCs w:val="22"/>
          <w:lang w:val="es-ES"/>
        </w:rPr>
      </w:pPr>
    </w:p>
    <w:p w:rsidR="00753EC1" w:rsidRPr="005E00FF" w:rsidRDefault="00753EC1" w:rsidP="00753EC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5E00FF">
        <w:rPr>
          <w:rFonts w:ascii="Palatino Linotype" w:hAnsi="Palatino Linotype" w:cs="Arial"/>
          <w:sz w:val="24"/>
          <w:lang w:val="es-ES"/>
        </w:rPr>
        <w:t xml:space="preserve">En lo sucesivo el </w:t>
      </w:r>
      <w:r w:rsidR="00C737C6" w:rsidRPr="005E00FF">
        <w:rPr>
          <w:rFonts w:ascii="Palatino Linotype" w:hAnsi="Palatino Linotype" w:cs="Arial"/>
          <w:sz w:val="24"/>
          <w:lang w:val="es-ES"/>
        </w:rPr>
        <w:t>veintidós (22) de noviembre</w:t>
      </w:r>
      <w:r w:rsidRPr="005E00FF">
        <w:rPr>
          <w:rFonts w:ascii="Palatino Linotype" w:hAnsi="Palatino Linotype" w:cs="Arial"/>
          <w:sz w:val="24"/>
          <w:lang w:val="es-ES"/>
        </w:rPr>
        <w:t xml:space="preserve">  de dos mil veintidós</w:t>
      </w:r>
      <w:r w:rsidRPr="005E00FF">
        <w:rPr>
          <w:rFonts w:ascii="Palatino Linotype" w:hAnsi="Palatino Linotype" w:cs="Arial"/>
          <w:b/>
          <w:sz w:val="24"/>
          <w:lang w:val="es-ES"/>
        </w:rPr>
        <w:t>,</w:t>
      </w:r>
      <w:r w:rsidRPr="005E00FF">
        <w:rPr>
          <w:rFonts w:ascii="Palatino Linotype" w:hAnsi="Palatino Linotype" w:cs="Arial"/>
          <w:sz w:val="24"/>
          <w:lang w:val="es-ES"/>
        </w:rPr>
        <w:t xml:space="preserve"> </w:t>
      </w:r>
      <w:r w:rsidRPr="005E00FF">
        <w:rPr>
          <w:rFonts w:ascii="Palatino Linotype" w:hAnsi="Palatino Linotype" w:cs="Arial"/>
          <w:b/>
          <w:sz w:val="24"/>
          <w:lang w:val="es-ES"/>
        </w:rPr>
        <w:t xml:space="preserve"> </w:t>
      </w:r>
      <w:r w:rsidRPr="005E00FF">
        <w:rPr>
          <w:rFonts w:ascii="Palatino Linotype" w:hAnsi="Palatino Linotype" w:cs="Arial"/>
          <w:sz w:val="24"/>
          <w:lang w:val="es-ES"/>
        </w:rPr>
        <w:t>el solicitante interpuso el recurso de revisión, señalando como:</w:t>
      </w:r>
    </w:p>
    <w:bookmarkEnd w:id="4"/>
    <w:bookmarkEnd w:id="5"/>
    <w:bookmarkEnd w:id="6"/>
    <w:p w:rsidR="00753EC1" w:rsidRPr="005E00FF" w:rsidRDefault="00753EC1" w:rsidP="00753EC1">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5E00FF">
        <w:rPr>
          <w:rFonts w:ascii="Palatino Linotype" w:eastAsia="Calibri" w:hAnsi="Palatino Linotype" w:cs="Arial"/>
          <w:b/>
          <w:lang w:val="es-ES"/>
        </w:rPr>
        <w:t>Acto impugnado:</w:t>
      </w:r>
      <w:r w:rsidRPr="005E00FF">
        <w:rPr>
          <w:rFonts w:ascii="Palatino Linotype" w:eastAsia="Calibri" w:hAnsi="Palatino Linotype" w:cs="Arial"/>
          <w:i/>
          <w:lang w:val="es-ES"/>
        </w:rPr>
        <w:t xml:space="preserve"> </w:t>
      </w:r>
      <w:r w:rsidRPr="005E00FF">
        <w:rPr>
          <w:rFonts w:ascii="Palatino Linotype" w:eastAsia="Calibri" w:hAnsi="Palatino Linotype" w:cs="Arial"/>
          <w:sz w:val="22"/>
          <w:szCs w:val="22"/>
          <w:lang w:val="es-ES"/>
        </w:rPr>
        <w:t>“</w:t>
      </w:r>
      <w:r w:rsidR="00C737C6" w:rsidRPr="005E00FF">
        <w:rPr>
          <w:rFonts w:ascii="Palatino Linotype" w:hAnsi="Palatino Linotype"/>
          <w:i/>
          <w:color w:val="000000"/>
          <w:sz w:val="22"/>
          <w:szCs w:val="22"/>
        </w:rPr>
        <w:t>LA RESPUESTA QUE FUE ENTREGADA DE MANERA INCOMPLETA POR LA UNIDAD DE TRANSPARENCIA</w:t>
      </w:r>
      <w:r w:rsidRPr="005E00FF">
        <w:rPr>
          <w:rFonts w:ascii="Palatino Linotype" w:hAnsi="Palatino Linotype"/>
          <w:i/>
          <w:color w:val="000000"/>
          <w:sz w:val="22"/>
          <w:szCs w:val="22"/>
        </w:rPr>
        <w:t>”</w:t>
      </w:r>
      <w:r w:rsidRPr="005E00FF">
        <w:rPr>
          <w:rFonts w:ascii="Palatino Linotype" w:eastAsia="Calibri" w:hAnsi="Palatino Linotype" w:cs="Arial"/>
          <w:i/>
          <w:lang w:val="es-ES"/>
        </w:rPr>
        <w:t xml:space="preserve"> (Sic) </w:t>
      </w:r>
    </w:p>
    <w:p w:rsidR="00753EC1" w:rsidRPr="005E00FF" w:rsidRDefault="00753EC1" w:rsidP="00753EC1">
      <w:pPr>
        <w:tabs>
          <w:tab w:val="left" w:pos="0"/>
        </w:tabs>
        <w:spacing w:before="240" w:after="240" w:line="360" w:lineRule="auto"/>
        <w:ind w:left="567" w:hanging="141"/>
        <w:contextualSpacing/>
        <w:rPr>
          <w:rFonts w:ascii="Palatino Linotype" w:eastAsia="Calibri" w:hAnsi="Palatino Linotype" w:cs="Arial"/>
          <w:i/>
          <w:lang w:val="es-ES"/>
        </w:rPr>
      </w:pPr>
    </w:p>
    <w:p w:rsidR="00753EC1" w:rsidRPr="005E00FF" w:rsidRDefault="00753EC1" w:rsidP="00753EC1">
      <w:pPr>
        <w:tabs>
          <w:tab w:val="left" w:pos="851"/>
        </w:tabs>
        <w:spacing w:before="240" w:after="240" w:line="360" w:lineRule="auto"/>
        <w:ind w:left="851" w:right="567"/>
        <w:contextualSpacing/>
        <w:jc w:val="both"/>
        <w:rPr>
          <w:rFonts w:ascii="Palatino Linotype" w:eastAsia="MS Mincho" w:hAnsi="Palatino Linotype"/>
          <w:i/>
          <w:sz w:val="22"/>
          <w:szCs w:val="22"/>
        </w:rPr>
      </w:pPr>
      <w:r w:rsidRPr="005E00FF">
        <w:rPr>
          <w:rFonts w:ascii="Palatino Linotype" w:eastAsia="MS Gothic" w:hAnsi="Palatino Linotype"/>
          <w:b/>
          <w:lang w:val="es-ES"/>
        </w:rPr>
        <w:t>Razones o Motivos de inconformidad</w:t>
      </w:r>
      <w:r w:rsidRPr="005E00FF">
        <w:rPr>
          <w:rFonts w:ascii="Palatino Linotype" w:eastAsia="MS Mincho" w:hAnsi="Palatino Linotype"/>
          <w:i/>
        </w:rPr>
        <w:t xml:space="preserve">: </w:t>
      </w:r>
      <w:r w:rsidRPr="005E00FF">
        <w:rPr>
          <w:rFonts w:ascii="Palatino Linotype" w:eastAsia="MS Mincho" w:hAnsi="Palatino Linotype"/>
          <w:i/>
          <w:sz w:val="22"/>
          <w:szCs w:val="22"/>
        </w:rPr>
        <w:t>“</w:t>
      </w:r>
      <w:r w:rsidR="00C737C6" w:rsidRPr="005E00FF">
        <w:rPr>
          <w:rFonts w:ascii="Palatino Linotype" w:hAnsi="Palatino Linotype"/>
          <w:i/>
          <w:color w:val="000000"/>
          <w:sz w:val="22"/>
          <w:szCs w:val="22"/>
        </w:rPr>
        <w:t>LA RESPUESTA QUE FUE ENTREGADA DE MANERA INCOMPLETA POR LA UNIDAD DE TRANSPARENCIA</w:t>
      </w:r>
      <w:r w:rsidRPr="005E00FF">
        <w:rPr>
          <w:rFonts w:ascii="Palatino Linotype" w:eastAsia="MS Mincho" w:hAnsi="Palatino Linotype"/>
          <w:i/>
          <w:sz w:val="22"/>
          <w:szCs w:val="22"/>
        </w:rPr>
        <w:t>” (Sic)</w:t>
      </w:r>
    </w:p>
    <w:p w:rsidR="00753EC1" w:rsidRPr="005E00FF" w:rsidRDefault="00753EC1" w:rsidP="00753EC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rsidR="00753EC1" w:rsidRPr="005E00FF" w:rsidRDefault="00753EC1" w:rsidP="00753EC1">
      <w:pPr>
        <w:numPr>
          <w:ilvl w:val="0"/>
          <w:numId w:val="1"/>
        </w:numPr>
        <w:spacing w:before="240" w:after="240" w:line="360" w:lineRule="auto"/>
        <w:ind w:left="0" w:firstLine="0"/>
        <w:contextualSpacing/>
        <w:jc w:val="both"/>
        <w:rPr>
          <w:rFonts w:ascii="Palatino Linotype" w:eastAsia="MS Mincho" w:hAnsi="Palatino Linotype"/>
          <w:i/>
          <w:color w:val="000000"/>
        </w:rPr>
      </w:pPr>
      <w:r w:rsidRPr="005E00FF">
        <w:rPr>
          <w:rFonts w:ascii="Palatino Linotype" w:hAnsi="Palatino Linotype" w:cs="Arial"/>
          <w:lang w:val="es-ES"/>
        </w:rPr>
        <w:t xml:space="preserve">Se registró el recurso de revisión bajo el número de expediente </w:t>
      </w:r>
      <w:r w:rsidRPr="005E00FF">
        <w:rPr>
          <w:rFonts w:ascii="Palatino Linotype" w:eastAsia="MS Mincho" w:hAnsi="Palatino Linotype" w:cs="Arial"/>
          <w:bCs/>
        </w:rPr>
        <w:t xml:space="preserve">al rubro indicado, asimismo con fundamento en lo dispuesto por el </w:t>
      </w:r>
      <w:r w:rsidRPr="005E00FF">
        <w:rPr>
          <w:rFonts w:ascii="Palatino Linotype" w:eastAsia="Calibri" w:hAnsi="Palatino Linotype" w:cs="Arial"/>
          <w:lang w:val="es-ES"/>
        </w:rPr>
        <w:t xml:space="preserve">artículo 185 fracción I de la Ley de Transparencia y Acceso a la Información Pública del Estado de México y Municipios </w:t>
      </w:r>
      <w:r w:rsidRPr="005E00FF">
        <w:rPr>
          <w:rFonts w:ascii="Palatino Linotype" w:hAnsi="Palatino Linotype" w:cs="Arial"/>
          <w:lang w:val="es-ES"/>
        </w:rPr>
        <w:t xml:space="preserve">se turnó a la </w:t>
      </w:r>
      <w:r w:rsidRPr="005E00FF">
        <w:rPr>
          <w:rFonts w:ascii="Palatino Linotype" w:hAnsi="Palatino Linotype" w:cs="Arial"/>
          <w:b/>
          <w:lang w:val="es-ES"/>
        </w:rPr>
        <w:t>Comisionada María del Rosario Mejía Ayala</w:t>
      </w:r>
      <w:r w:rsidRPr="005E00FF">
        <w:rPr>
          <w:rFonts w:ascii="Palatino Linotype" w:hAnsi="Palatino Linotype" w:cs="Arial"/>
          <w:lang w:val="es-ES"/>
        </w:rPr>
        <w:t xml:space="preserve"> con el objeto de </w:t>
      </w:r>
      <w:r w:rsidRPr="005E00FF">
        <w:rPr>
          <w:rFonts w:ascii="Palatino Linotype" w:hAnsi="Palatino Linotype" w:cs="Arial"/>
        </w:rPr>
        <w:t>su análisis.</w:t>
      </w:r>
    </w:p>
    <w:p w:rsidR="00753EC1" w:rsidRPr="005E00FF" w:rsidRDefault="00753EC1" w:rsidP="00753EC1">
      <w:pPr>
        <w:spacing w:before="240" w:after="240" w:line="360" w:lineRule="auto"/>
        <w:contextualSpacing/>
        <w:jc w:val="both"/>
        <w:rPr>
          <w:rFonts w:ascii="Palatino Linotype" w:eastAsia="MS Mincho" w:hAnsi="Palatino Linotype"/>
          <w:i/>
          <w:color w:val="000000"/>
        </w:rPr>
      </w:pPr>
    </w:p>
    <w:p w:rsidR="00753EC1" w:rsidRPr="005E00FF" w:rsidRDefault="00753EC1" w:rsidP="00753EC1">
      <w:pPr>
        <w:numPr>
          <w:ilvl w:val="0"/>
          <w:numId w:val="1"/>
        </w:numPr>
        <w:spacing w:before="240" w:after="240" w:line="360" w:lineRule="auto"/>
        <w:ind w:left="0" w:firstLine="0"/>
        <w:contextualSpacing/>
        <w:jc w:val="both"/>
        <w:rPr>
          <w:rFonts w:ascii="Palatino Linotype" w:eastAsia="MS Mincho" w:hAnsi="Palatino Linotype"/>
          <w:i/>
          <w:color w:val="000000"/>
        </w:rPr>
      </w:pPr>
      <w:r w:rsidRPr="005E00FF">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C737C6" w:rsidRPr="005E00FF">
        <w:rPr>
          <w:rFonts w:ascii="Palatino Linotype" w:eastAsia="Calibri" w:hAnsi="Palatino Linotype" w:cs="Arial"/>
          <w:lang w:val="es-ES"/>
        </w:rPr>
        <w:t>veintidós (22) de noviembre</w:t>
      </w:r>
      <w:r w:rsidRPr="005E00FF">
        <w:rPr>
          <w:rFonts w:ascii="Palatino Linotype" w:eastAsia="Calibri" w:hAnsi="Palatino Linotype" w:cs="Arial"/>
          <w:lang w:val="es-ES"/>
        </w:rPr>
        <w:t xml:space="preserve"> de dos mil veintidós, puso a disposición de las partes el expediente electrónico </w:t>
      </w:r>
      <w:r w:rsidRPr="005E00FF">
        <w:rPr>
          <w:rFonts w:ascii="Palatino Linotype" w:eastAsia="Calibri" w:hAnsi="Palatino Linotype" w:cs="Arial"/>
        </w:rPr>
        <w:t xml:space="preserve">vía </w:t>
      </w:r>
      <w:r w:rsidRPr="005E00FF">
        <w:rPr>
          <w:rFonts w:ascii="Palatino Linotype" w:eastAsia="Calibri" w:hAnsi="Palatino Linotype" w:cs="Arial"/>
          <w:lang w:val="es-ES"/>
        </w:rPr>
        <w:t xml:space="preserve">Sistema de Acceso a la Información Mexiquense </w:t>
      </w:r>
      <w:r w:rsidRPr="005E00FF">
        <w:rPr>
          <w:rFonts w:ascii="Palatino Linotype" w:eastAsia="Calibri" w:hAnsi="Palatino Linotype" w:cs="Arial"/>
          <w:b/>
          <w:lang w:val="es-ES"/>
        </w:rPr>
        <w:t xml:space="preserve">(SAIMEX) </w:t>
      </w:r>
      <w:r w:rsidRPr="005E00FF">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5E00FF">
        <w:rPr>
          <w:rFonts w:ascii="Palatino Linotype" w:eastAsia="Calibri" w:hAnsi="Palatino Linotype" w:cs="Arial"/>
          <w:b/>
          <w:lang w:val="es-ES"/>
        </w:rPr>
        <w:t>SUJETO OBLIGADO</w:t>
      </w:r>
      <w:r w:rsidRPr="005E00FF">
        <w:rPr>
          <w:rFonts w:ascii="Palatino Linotype" w:eastAsia="Calibri" w:hAnsi="Palatino Linotype" w:cs="Arial"/>
          <w:lang w:val="es-ES"/>
        </w:rPr>
        <w:t xml:space="preserve"> presentara el Informe Justificado procedente.  </w:t>
      </w:r>
    </w:p>
    <w:p w:rsidR="00753EC1" w:rsidRPr="005E00FF" w:rsidRDefault="00753EC1" w:rsidP="00753EC1">
      <w:pPr>
        <w:spacing w:before="240" w:after="240" w:line="360" w:lineRule="auto"/>
        <w:contextualSpacing/>
        <w:jc w:val="both"/>
        <w:rPr>
          <w:rFonts w:ascii="Palatino Linotype" w:eastAsia="MS Mincho" w:hAnsi="Palatino Linotype"/>
          <w:i/>
          <w:color w:val="000000"/>
        </w:rPr>
      </w:pPr>
    </w:p>
    <w:p w:rsidR="00753EC1" w:rsidRPr="005E00FF" w:rsidRDefault="00753EC1" w:rsidP="00753EC1">
      <w:pPr>
        <w:numPr>
          <w:ilvl w:val="0"/>
          <w:numId w:val="1"/>
        </w:numPr>
        <w:spacing w:before="240" w:after="240" w:line="360" w:lineRule="auto"/>
        <w:ind w:left="0" w:firstLine="0"/>
        <w:contextualSpacing/>
        <w:jc w:val="both"/>
        <w:rPr>
          <w:rFonts w:ascii="Palatino Linotype" w:eastAsia="MS Mincho" w:hAnsi="Palatino Linotype"/>
          <w:i/>
          <w:color w:val="000000"/>
        </w:rPr>
      </w:pPr>
      <w:r w:rsidRPr="005E00FF">
        <w:rPr>
          <w:rFonts w:ascii="Palatino Linotype" w:eastAsia="Calibri" w:hAnsi="Palatino Linotype" w:cs="Arial"/>
          <w:lang w:val="es-ES"/>
        </w:rPr>
        <w:lastRenderedPageBreak/>
        <w:t>De las constancias que obran en el expediente electrónico SAIMEX, se advierte que el particular no realizó manifestaciones, ni ofreció pruebas o alegatos que a su derecho conviniera; po</w:t>
      </w:r>
      <w:r w:rsidR="00C737C6" w:rsidRPr="005E00FF">
        <w:rPr>
          <w:rFonts w:ascii="Palatino Linotype" w:eastAsia="Calibri" w:hAnsi="Palatino Linotype" w:cs="Arial"/>
          <w:lang w:val="es-ES"/>
        </w:rPr>
        <w:t>r su parte el Sujeto Obligado</w:t>
      </w:r>
      <w:r w:rsidRPr="005E00FF">
        <w:rPr>
          <w:rFonts w:ascii="Palatino Linotype" w:eastAsia="Calibri" w:hAnsi="Palatino Linotype" w:cs="Arial"/>
          <w:lang w:val="es-ES"/>
        </w:rPr>
        <w:t xml:space="preserve"> remitió informe justificado</w:t>
      </w:r>
      <w:r w:rsidR="00C737C6" w:rsidRPr="005E00FF">
        <w:rPr>
          <w:rFonts w:ascii="Palatino Linotype" w:eastAsia="Calibri" w:hAnsi="Palatino Linotype" w:cs="Arial"/>
          <w:lang w:val="es-ES"/>
        </w:rPr>
        <w:t xml:space="preserve"> el siete (07) de diciembre de dos mil veintidós, mismo que fue notificado el veinticinco (25) de enero de dos mil veintitrés, y que consta del archivo que se describe a continuación:</w:t>
      </w:r>
    </w:p>
    <w:p w:rsidR="00C737C6" w:rsidRPr="005E00FF" w:rsidRDefault="00C737C6" w:rsidP="00C737C6">
      <w:pPr>
        <w:spacing w:before="240" w:after="240" w:line="360" w:lineRule="auto"/>
        <w:contextualSpacing/>
        <w:jc w:val="both"/>
        <w:rPr>
          <w:rFonts w:ascii="Palatino Linotype" w:eastAsia="MS Mincho" w:hAnsi="Palatino Linotype"/>
          <w:i/>
          <w:color w:val="000000"/>
          <w:sz w:val="22"/>
        </w:rPr>
      </w:pPr>
    </w:p>
    <w:p w:rsidR="00C737C6" w:rsidRPr="005E00FF" w:rsidRDefault="0031298E" w:rsidP="00C737C6">
      <w:pPr>
        <w:pStyle w:val="Prrafodelista"/>
        <w:numPr>
          <w:ilvl w:val="0"/>
          <w:numId w:val="5"/>
        </w:numPr>
        <w:spacing w:before="240" w:after="240" w:line="360" w:lineRule="auto"/>
        <w:jc w:val="both"/>
        <w:rPr>
          <w:rFonts w:ascii="Palatino Linotype" w:eastAsia="MS Mincho" w:hAnsi="Palatino Linotype"/>
          <w:i/>
          <w:sz w:val="24"/>
        </w:rPr>
      </w:pPr>
      <w:hyperlink r:id="rId8" w:history="1">
        <w:r w:rsidR="00C737C6" w:rsidRPr="005E00FF">
          <w:rPr>
            <w:rStyle w:val="Hipervnculo"/>
            <w:rFonts w:ascii="Palatino Linotype" w:eastAsiaTheme="majorEastAsia" w:hAnsi="Palatino Linotype" w:cs="Arial"/>
            <w:b/>
            <w:bCs/>
            <w:color w:val="auto"/>
            <w:sz w:val="24"/>
          </w:rPr>
          <w:t>RR 16793.pdf</w:t>
        </w:r>
      </w:hyperlink>
      <w:r w:rsidR="00C737C6" w:rsidRPr="005E00FF">
        <w:rPr>
          <w:rFonts w:ascii="Palatino Linotype" w:hAnsi="Palatino Linotype"/>
          <w:sz w:val="24"/>
        </w:rPr>
        <w:t xml:space="preserve">: oficio 2010A4000/UT/RR/0768/2022 de fecha siete de diciembre de dos mil veintidós, suscrito por el Titular de la Unidad de Transparencia a través del que confirmo la respuesta. </w:t>
      </w:r>
    </w:p>
    <w:p w:rsidR="00753EC1" w:rsidRPr="005E00FF" w:rsidRDefault="00753EC1" w:rsidP="00753EC1">
      <w:pPr>
        <w:spacing w:before="240" w:after="240" w:line="360" w:lineRule="auto"/>
        <w:contextualSpacing/>
        <w:jc w:val="both"/>
        <w:rPr>
          <w:rFonts w:ascii="Palatino Linotype" w:eastAsia="MS Mincho" w:hAnsi="Palatino Linotype"/>
          <w:i/>
          <w:color w:val="000000"/>
        </w:rPr>
      </w:pPr>
    </w:p>
    <w:p w:rsidR="00DC3B80" w:rsidRPr="005E00FF" w:rsidRDefault="00DC3B80" w:rsidP="00DC3B80">
      <w:pPr>
        <w:numPr>
          <w:ilvl w:val="0"/>
          <w:numId w:val="1"/>
        </w:numPr>
        <w:spacing w:before="240" w:after="240" w:line="360" w:lineRule="auto"/>
        <w:ind w:left="0" w:firstLine="0"/>
        <w:contextualSpacing/>
        <w:jc w:val="both"/>
        <w:rPr>
          <w:rFonts w:ascii="Palatino Linotype" w:eastAsia="MS Mincho" w:hAnsi="Palatino Linotype"/>
          <w:b/>
        </w:rPr>
      </w:pPr>
      <w:r w:rsidRPr="005E00FF">
        <w:rPr>
          <w:rFonts w:ascii="Palatino Linotype" w:eastAsia="MS Mincho" w:hAnsi="Palatino Linotype" w:cs="Arial"/>
        </w:rPr>
        <w:t xml:space="preserve">El veintiséis (26) de enero de dos mil veintitrés, se notificó el acuerdo mediante el cual aprobó la ampliación del plazo para emitir resolución. </w:t>
      </w:r>
    </w:p>
    <w:p w:rsidR="00DC3B80" w:rsidRPr="005E00FF" w:rsidRDefault="00DC3B80" w:rsidP="00DC3B80">
      <w:pPr>
        <w:spacing w:before="240" w:after="240" w:line="360" w:lineRule="auto"/>
        <w:contextualSpacing/>
        <w:jc w:val="both"/>
        <w:rPr>
          <w:rFonts w:ascii="Palatino Linotype" w:eastAsia="MS Mincho" w:hAnsi="Palatino Linotype"/>
          <w:b/>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 xml:space="preserve">Por ello, es menester precisar que si bien se ha excedido el plazo para resolver el presente medio de impugnación, de conformidad con la ley de la materia, dicha </w:t>
      </w:r>
      <w:r w:rsidRPr="005E00FF">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DC3B80" w:rsidRPr="005E00FF" w:rsidRDefault="00DC3B80" w:rsidP="00DC3B80">
      <w:pPr>
        <w:spacing w:line="360" w:lineRule="auto"/>
        <w:rPr>
          <w:rFonts w:ascii="Palatino Linotype" w:hAnsi="Palatino Linotype"/>
        </w:rPr>
      </w:pPr>
    </w:p>
    <w:p w:rsidR="00DC3B80" w:rsidRPr="005E00FF" w:rsidRDefault="00DC3B80" w:rsidP="00DC3B80">
      <w:pPr>
        <w:pStyle w:val="Prrafodelista"/>
        <w:numPr>
          <w:ilvl w:val="0"/>
          <w:numId w:val="3"/>
        </w:numPr>
        <w:spacing w:line="360" w:lineRule="auto"/>
        <w:jc w:val="both"/>
        <w:rPr>
          <w:rFonts w:ascii="Palatino Linotype" w:hAnsi="Palatino Linotype"/>
          <w:sz w:val="24"/>
        </w:rPr>
      </w:pPr>
      <w:r w:rsidRPr="005E00FF">
        <w:rPr>
          <w:rFonts w:ascii="Palatino Linotype" w:hAnsi="Palatino Linotype"/>
          <w:sz w:val="24"/>
        </w:rPr>
        <w:t xml:space="preserve">Complejidad del Asunto: La complejidad de la prueba, la pluralidad de sujetos procesales, el tiempo transcurrido, las características y contexto del recurso. </w:t>
      </w:r>
    </w:p>
    <w:p w:rsidR="00DC3B80" w:rsidRPr="005E00FF" w:rsidRDefault="00DC3B80" w:rsidP="00DC3B80">
      <w:pPr>
        <w:pStyle w:val="Prrafodelista"/>
        <w:spacing w:line="360" w:lineRule="auto"/>
        <w:ind w:left="927"/>
        <w:jc w:val="both"/>
        <w:rPr>
          <w:rFonts w:ascii="Palatino Linotype" w:hAnsi="Palatino Linotype"/>
          <w:sz w:val="24"/>
        </w:rPr>
      </w:pPr>
    </w:p>
    <w:p w:rsidR="00DC3B80" w:rsidRPr="005E00FF" w:rsidRDefault="00DC3B80" w:rsidP="00DC3B80">
      <w:pPr>
        <w:pStyle w:val="Prrafodelista"/>
        <w:numPr>
          <w:ilvl w:val="0"/>
          <w:numId w:val="3"/>
        </w:numPr>
        <w:spacing w:line="360" w:lineRule="auto"/>
        <w:jc w:val="both"/>
        <w:rPr>
          <w:rFonts w:ascii="Palatino Linotype" w:hAnsi="Palatino Linotype"/>
          <w:sz w:val="24"/>
        </w:rPr>
      </w:pPr>
      <w:r w:rsidRPr="005E00FF">
        <w:rPr>
          <w:rFonts w:ascii="Palatino Linotype" w:hAnsi="Palatino Linotype"/>
          <w:sz w:val="24"/>
        </w:rPr>
        <w:t>Actividad Procesal del interesado. Acciones u omisiones del interesado.</w:t>
      </w:r>
    </w:p>
    <w:p w:rsidR="00DC3B80" w:rsidRPr="005E00FF" w:rsidRDefault="00DC3B80" w:rsidP="00DC3B80">
      <w:pPr>
        <w:spacing w:line="360" w:lineRule="auto"/>
        <w:jc w:val="both"/>
        <w:rPr>
          <w:rFonts w:ascii="Palatino Linotype" w:hAnsi="Palatino Linotype"/>
        </w:rPr>
      </w:pPr>
    </w:p>
    <w:p w:rsidR="00DC3B80" w:rsidRPr="005E00FF" w:rsidRDefault="00DC3B80" w:rsidP="00DC3B80">
      <w:pPr>
        <w:pStyle w:val="Prrafodelista"/>
        <w:numPr>
          <w:ilvl w:val="0"/>
          <w:numId w:val="3"/>
        </w:numPr>
        <w:spacing w:line="360" w:lineRule="auto"/>
        <w:jc w:val="both"/>
        <w:rPr>
          <w:rFonts w:ascii="Palatino Linotype" w:hAnsi="Palatino Linotype"/>
          <w:sz w:val="24"/>
        </w:rPr>
      </w:pPr>
      <w:r w:rsidRPr="005E00FF">
        <w:rPr>
          <w:rFonts w:ascii="Palatino Linotype" w:hAnsi="Palatino Linotype"/>
          <w:sz w:val="24"/>
        </w:rPr>
        <w:lastRenderedPageBreak/>
        <w:t>Conducta de la Autoridad: Las Acciones u omisiones realizadas en el procedimiento. Así como si la autoridad actuó con la debida diligencia.</w:t>
      </w:r>
    </w:p>
    <w:p w:rsidR="00DC3B80" w:rsidRPr="005E00FF" w:rsidRDefault="00DC3B80" w:rsidP="00DC3B80">
      <w:pPr>
        <w:pStyle w:val="Prrafodelista"/>
        <w:spacing w:line="360" w:lineRule="auto"/>
        <w:rPr>
          <w:rFonts w:ascii="Palatino Linotype" w:hAnsi="Palatino Linotype"/>
          <w:sz w:val="24"/>
        </w:rPr>
      </w:pPr>
    </w:p>
    <w:p w:rsidR="00DC3B80" w:rsidRPr="005E00FF" w:rsidRDefault="00DC3B80" w:rsidP="00DC3B80">
      <w:pPr>
        <w:spacing w:line="360" w:lineRule="auto"/>
        <w:ind w:left="567"/>
        <w:jc w:val="both"/>
        <w:rPr>
          <w:rFonts w:ascii="Palatino Linotype" w:hAnsi="Palatino Linotype"/>
        </w:rPr>
      </w:pPr>
      <w:r w:rsidRPr="005E00FF">
        <w:rPr>
          <w:rFonts w:ascii="Palatino Linotype" w:hAnsi="Palatino Linotype"/>
        </w:rPr>
        <w:t>d) La afectación generada en la situación jurídica de la persona involucrada en el proceso: Violación a sus derechos humanos.</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C3B80" w:rsidRPr="005E00FF" w:rsidRDefault="00DC3B80" w:rsidP="00DC3B80">
      <w:pPr>
        <w:spacing w:line="360" w:lineRule="auto"/>
        <w:contextualSpacing/>
        <w:jc w:val="both"/>
        <w:rPr>
          <w:rFonts w:ascii="Palatino Linotype" w:eastAsia="MS Mincho" w:hAnsi="Palatino Linotype"/>
          <w:b/>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 xml:space="preserve">Argumento que encuentra sustento en la jurisprudencia P./J. 32/92 emitida por el Pleno de la Suprema Corte de Justicia de la Nación de rubro </w:t>
      </w:r>
      <w:r w:rsidRPr="005E00FF">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5E00FF">
        <w:rPr>
          <w:rFonts w:ascii="Palatino Linotype" w:hAnsi="Palatino Linotype"/>
        </w:rPr>
        <w:t>, visible en la Gaceta del Seminario Judicial de la Federación con el registro digital 205635.</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5E00FF">
        <w:rPr>
          <w:rFonts w:ascii="Palatino Linotype"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DC3B80" w:rsidRPr="005E00FF" w:rsidRDefault="00DC3B80" w:rsidP="00DC3B80">
      <w:pPr>
        <w:spacing w:line="360" w:lineRule="auto"/>
        <w:rPr>
          <w:rFonts w:ascii="Palatino Linotype" w:hAnsi="Palatino Linotype"/>
        </w:rPr>
      </w:pPr>
    </w:p>
    <w:p w:rsidR="00DC3B80" w:rsidRPr="005E00FF" w:rsidRDefault="00DC3B80" w:rsidP="00DC3B80">
      <w:pPr>
        <w:numPr>
          <w:ilvl w:val="0"/>
          <w:numId w:val="1"/>
        </w:numPr>
        <w:spacing w:line="360" w:lineRule="auto"/>
        <w:ind w:left="0" w:firstLine="0"/>
        <w:contextualSpacing/>
        <w:jc w:val="both"/>
        <w:rPr>
          <w:rFonts w:ascii="Palatino Linotype" w:eastAsia="MS Mincho" w:hAnsi="Palatino Linotype"/>
          <w:b/>
        </w:rPr>
      </w:pPr>
      <w:r w:rsidRPr="005E00FF">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DC3B80" w:rsidRPr="005E00FF" w:rsidRDefault="00DC3B80" w:rsidP="00DC3B80">
      <w:pPr>
        <w:spacing w:line="360" w:lineRule="auto"/>
        <w:jc w:val="both"/>
        <w:rPr>
          <w:rFonts w:ascii="Palatino Linotype" w:hAnsi="Palatino Linotype"/>
        </w:rPr>
      </w:pPr>
    </w:p>
    <w:p w:rsidR="00DC3B80" w:rsidRPr="005E00FF" w:rsidRDefault="00DC3B80" w:rsidP="00DC3B80">
      <w:pPr>
        <w:spacing w:line="360" w:lineRule="auto"/>
        <w:ind w:left="851" w:right="822"/>
        <w:jc w:val="both"/>
        <w:rPr>
          <w:rFonts w:ascii="Palatino Linotype" w:hAnsi="Palatino Linotype"/>
        </w:rPr>
      </w:pPr>
      <w:r w:rsidRPr="005E00FF">
        <w:rPr>
          <w:rFonts w:ascii="Palatino Linotype" w:hAnsi="Palatino Linotype"/>
        </w:rPr>
        <w:t xml:space="preserve"> </w:t>
      </w:r>
      <w:r w:rsidRPr="005E00FF">
        <w:rPr>
          <w:rFonts w:ascii="Palatino Linotype" w:hAnsi="Palatino Linotype"/>
          <w:i/>
        </w:rPr>
        <w:t>“PLAZO RAZONABLE PARA RESOLVER. DIMENSIÓN Y EFECTOS DE ESTE CONCEPTO CUANDO SE ADUCE EXCESIVA CARGA DE TRABAJO.”</w:t>
      </w:r>
      <w:r w:rsidRPr="005E00FF">
        <w:rPr>
          <w:rFonts w:ascii="Palatino Linotype" w:hAnsi="Palatino Linotype"/>
        </w:rPr>
        <w:t xml:space="preserve"> consultable en el Seminario Judicial de la Federación y su gaceta, con el registro digital 2002351.</w:t>
      </w:r>
    </w:p>
    <w:p w:rsidR="00DC3B80" w:rsidRPr="005E00FF" w:rsidRDefault="00DC3B80" w:rsidP="00DC3B80">
      <w:pPr>
        <w:spacing w:line="360" w:lineRule="auto"/>
        <w:ind w:left="851" w:right="822"/>
        <w:jc w:val="both"/>
        <w:rPr>
          <w:rFonts w:ascii="Palatino Linotype" w:hAnsi="Palatino Linotype"/>
          <w:b/>
        </w:rPr>
      </w:pPr>
    </w:p>
    <w:p w:rsidR="00DC3B80" w:rsidRPr="005E00FF" w:rsidRDefault="00DC3B80" w:rsidP="00DC3B80">
      <w:pPr>
        <w:spacing w:line="360" w:lineRule="auto"/>
        <w:ind w:left="851" w:right="822"/>
        <w:jc w:val="both"/>
        <w:rPr>
          <w:rFonts w:ascii="Palatino Linotype" w:hAnsi="Palatino Linotype"/>
        </w:rPr>
      </w:pPr>
      <w:r w:rsidRPr="005E00FF">
        <w:rPr>
          <w:rFonts w:ascii="Palatino Linotype" w:hAnsi="Palatino Linotype"/>
          <w:i/>
        </w:rPr>
        <w:t>“PLAZO RAZONABLE PARA RESOLVER. CONCEPTO Y ELEMENTOS QUE LO INTEGRAN A LA LUZ DEL DERECHO INTERNACIONAL DE LOS DERECHOS HUMANOS.”</w:t>
      </w:r>
      <w:r w:rsidRPr="005E00FF">
        <w:rPr>
          <w:rFonts w:ascii="Palatino Linotype" w:hAnsi="Palatino Linotype"/>
        </w:rPr>
        <w:t>, visible en el Seminario Judicial de la Federación y su gaceta, con el registro digital 2002350.</w:t>
      </w:r>
    </w:p>
    <w:p w:rsidR="00DC3B80" w:rsidRPr="005E00FF" w:rsidRDefault="00DC3B80" w:rsidP="00DC3B80">
      <w:pPr>
        <w:spacing w:line="360" w:lineRule="auto"/>
        <w:ind w:right="822"/>
        <w:jc w:val="both"/>
        <w:rPr>
          <w:rFonts w:ascii="Palatino Linotype" w:hAnsi="Palatino Linotype"/>
          <w:i/>
        </w:rPr>
      </w:pPr>
    </w:p>
    <w:p w:rsidR="00DC3B80" w:rsidRPr="005E00FF" w:rsidRDefault="00DC3B80" w:rsidP="00DC3B80">
      <w:pPr>
        <w:pStyle w:val="Prrafodelista"/>
        <w:numPr>
          <w:ilvl w:val="0"/>
          <w:numId w:val="1"/>
        </w:numPr>
        <w:spacing w:line="360" w:lineRule="auto"/>
        <w:ind w:left="0" w:right="113" w:firstLine="0"/>
        <w:jc w:val="both"/>
        <w:rPr>
          <w:rFonts w:ascii="Palatino Linotype" w:hAnsi="Palatino Linotype"/>
          <w:sz w:val="24"/>
        </w:rPr>
      </w:pPr>
      <w:r w:rsidRPr="005E00FF">
        <w:rPr>
          <w:rFonts w:ascii="Palatino Linotype" w:hAnsi="Palatino Linotype"/>
          <w:sz w:val="24"/>
        </w:rPr>
        <w:lastRenderedPageBreak/>
        <w:t xml:space="preserve">Por ello, este Organismo Garante comprometido con la tutela de los derechos humanos confiados, señala que este exceso de plazo legal para resolver el presente asunto, resulta de carácter excepcional. </w:t>
      </w:r>
    </w:p>
    <w:p w:rsidR="00753EC1" w:rsidRPr="005E00FF" w:rsidRDefault="00753EC1" w:rsidP="00753EC1">
      <w:pPr>
        <w:numPr>
          <w:ilvl w:val="0"/>
          <w:numId w:val="1"/>
        </w:numPr>
        <w:spacing w:before="240" w:after="240" w:line="360" w:lineRule="auto"/>
        <w:ind w:left="0" w:firstLine="0"/>
        <w:contextualSpacing/>
        <w:jc w:val="both"/>
        <w:rPr>
          <w:rFonts w:ascii="Palatino Linotype" w:eastAsia="MS Mincho" w:hAnsi="Palatino Linotype"/>
          <w:b/>
        </w:rPr>
      </w:pPr>
      <w:r w:rsidRPr="005E00FF">
        <w:rPr>
          <w:rFonts w:ascii="Palatino Linotype" w:eastAsia="MS Mincho" w:hAnsi="Palatino Linotype"/>
        </w:rPr>
        <w:t>La Comisionada Ponente decretó el cierre de instrucción</w:t>
      </w:r>
      <w:r w:rsidRPr="005E00FF">
        <w:rPr>
          <w:rFonts w:ascii="Palatino Linotype" w:eastAsia="MS Mincho" w:hAnsi="Palatino Linotype" w:cs="Arial"/>
        </w:rPr>
        <w:t xml:space="preserve"> </w:t>
      </w:r>
      <w:r w:rsidRPr="005E00FF">
        <w:rPr>
          <w:rFonts w:ascii="Palatino Linotype" w:eastAsia="MS Mincho" w:hAnsi="Palatino Linotype"/>
        </w:rPr>
        <w:t xml:space="preserve">mediante acuerdo de fecha </w:t>
      </w:r>
      <w:r w:rsidR="00DC3B80" w:rsidRPr="005E00FF">
        <w:rPr>
          <w:rFonts w:ascii="Palatino Linotype" w:eastAsia="MS Mincho" w:hAnsi="Palatino Linotype"/>
        </w:rPr>
        <w:t xml:space="preserve">treinta y uno (31) de enero de dos mil veintitrés. </w:t>
      </w:r>
      <w:r w:rsidRPr="005E00FF">
        <w:rPr>
          <w:rFonts w:ascii="Palatino Linotype" w:eastAsia="MS Mincho" w:hAnsi="Palatino Linotype"/>
        </w:rPr>
        <w:t xml:space="preserve"> </w:t>
      </w:r>
    </w:p>
    <w:p w:rsidR="00753EC1" w:rsidRPr="005E00FF" w:rsidRDefault="00753EC1" w:rsidP="00753EC1">
      <w:pPr>
        <w:spacing w:before="240" w:after="240" w:line="360" w:lineRule="auto"/>
        <w:contextualSpacing/>
        <w:jc w:val="both"/>
        <w:rPr>
          <w:rFonts w:ascii="Palatino Linotype" w:eastAsia="MS Mincho" w:hAnsi="Palatino Linotype"/>
          <w:b/>
        </w:rPr>
      </w:pPr>
    </w:p>
    <w:p w:rsidR="00753EC1" w:rsidRPr="005E00FF" w:rsidRDefault="00753EC1" w:rsidP="00753EC1">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5E00FF">
        <w:rPr>
          <w:rFonts w:ascii="Palatino Linotype" w:eastAsia="MS Gothic" w:hAnsi="Palatino Linotype"/>
          <w:b/>
          <w:lang w:eastAsia="en-US"/>
        </w:rPr>
        <w:t>CONSIDERANDO</w:t>
      </w:r>
      <w:bookmarkEnd w:id="7"/>
      <w:bookmarkEnd w:id="8"/>
      <w:bookmarkEnd w:id="9"/>
    </w:p>
    <w:p w:rsidR="00753EC1" w:rsidRPr="005E00FF" w:rsidRDefault="00753EC1" w:rsidP="00753EC1">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5E00FF">
        <w:rPr>
          <w:rFonts w:ascii="Palatino Linotype" w:eastAsia="MS Gothic" w:hAnsi="Palatino Linotype"/>
          <w:b/>
          <w:lang w:eastAsia="en-US"/>
        </w:rPr>
        <w:t>PRIMERO. De la competencia</w:t>
      </w:r>
      <w:bookmarkEnd w:id="10"/>
      <w:bookmarkEnd w:id="11"/>
      <w:r w:rsidRPr="005E00FF">
        <w:rPr>
          <w:rFonts w:ascii="Palatino Linotype" w:eastAsia="MS Gothic" w:hAnsi="Palatino Linotype"/>
          <w:b/>
          <w:lang w:eastAsia="en-US"/>
        </w:rPr>
        <w:t>.</w:t>
      </w:r>
      <w:bookmarkEnd w:id="12"/>
    </w:p>
    <w:p w:rsidR="00753EC1" w:rsidRPr="005E00FF" w:rsidRDefault="00753EC1" w:rsidP="00753EC1">
      <w:pPr>
        <w:numPr>
          <w:ilvl w:val="0"/>
          <w:numId w:val="1"/>
        </w:numPr>
        <w:spacing w:before="240" w:after="240" w:line="360" w:lineRule="auto"/>
        <w:ind w:left="0" w:firstLine="0"/>
        <w:jc w:val="both"/>
        <w:rPr>
          <w:rFonts w:ascii="Palatino Linotype" w:eastAsia="Calibri" w:hAnsi="Palatino Linotype"/>
          <w:b/>
          <w:lang w:val="es-ES"/>
        </w:rPr>
      </w:pPr>
      <w:r w:rsidRPr="005E00FF">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5E00FF">
        <w:rPr>
          <w:rFonts w:ascii="Palatino Linotype" w:eastAsia="Calibri" w:hAnsi="Palatino Linotype"/>
          <w:b/>
          <w:lang w:val="es-ES"/>
        </w:rPr>
        <w:t>Constitución Política de los Estados Unidos Mexicanos</w:t>
      </w:r>
      <w:r w:rsidRPr="005E00FF">
        <w:rPr>
          <w:rFonts w:ascii="Palatino Linotype" w:eastAsia="Calibri" w:hAnsi="Palatino Linotype"/>
          <w:lang w:val="es-ES"/>
        </w:rPr>
        <w:t xml:space="preserve">; 5, párrafos trigésimo, trigésimo primero y trigésimo segundo, fracciones IV y V, de la </w:t>
      </w:r>
      <w:r w:rsidRPr="005E00FF">
        <w:rPr>
          <w:rFonts w:ascii="Palatino Linotype" w:eastAsia="Calibri" w:hAnsi="Palatino Linotype"/>
          <w:b/>
          <w:lang w:val="es-ES"/>
        </w:rPr>
        <w:t>Constitución Política del Estado Libre y Soberano de México</w:t>
      </w:r>
      <w:r w:rsidRPr="005E00FF">
        <w:rPr>
          <w:rFonts w:ascii="Palatino Linotype" w:eastAsia="Calibri" w:hAnsi="Palatino Linotype"/>
          <w:lang w:val="es-ES"/>
        </w:rPr>
        <w:t xml:space="preserve">; artículos 1, 2 fracción II, 13, 29, 36 fracciones I y II, 176, 178, 179, 181 párrafo tercero y 185 de la </w:t>
      </w:r>
      <w:r w:rsidRPr="005E00FF">
        <w:rPr>
          <w:rFonts w:ascii="Palatino Linotype" w:eastAsia="Calibri" w:hAnsi="Palatino Linotype"/>
          <w:b/>
          <w:lang w:val="es-ES"/>
        </w:rPr>
        <w:t>Ley de Transparencia y Acceso a la Información Pública del Estado de México y Municipios</w:t>
      </w:r>
      <w:r w:rsidRPr="005E00FF">
        <w:rPr>
          <w:rFonts w:ascii="Palatino Linotype" w:eastAsia="Calibri" w:hAnsi="Palatino Linotype"/>
          <w:lang w:val="es-ES"/>
        </w:rPr>
        <w:t xml:space="preserve">; y 10, 7, 9 fracciones I y XXIV, y 11 del </w:t>
      </w:r>
      <w:r w:rsidRPr="005E00FF">
        <w:rPr>
          <w:rFonts w:ascii="Palatino Linotype" w:eastAsia="Calibri" w:hAnsi="Palatino Linotype"/>
          <w:b/>
          <w:lang w:val="es-ES"/>
        </w:rPr>
        <w:t>Reglamento Interior del Instituto de Transparencia, Acceso a la Información Pública y Protección de Datos Personales del Estado de México y Municipios.</w:t>
      </w:r>
    </w:p>
    <w:p w:rsidR="00753EC1" w:rsidRPr="005E00FF" w:rsidRDefault="00753EC1" w:rsidP="00753EC1">
      <w:pPr>
        <w:keepNext/>
        <w:keepLines/>
        <w:spacing w:before="240" w:after="240"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5E00FF">
        <w:rPr>
          <w:rFonts w:ascii="Palatino Linotype" w:eastAsia="MS Gothic" w:hAnsi="Palatino Linotype"/>
          <w:b/>
          <w:lang w:eastAsia="en-US"/>
        </w:rPr>
        <w:t>SEGUNDO. De la oportunidad y procedencia.</w:t>
      </w:r>
      <w:bookmarkEnd w:id="13"/>
      <w:bookmarkEnd w:id="14"/>
      <w:bookmarkEnd w:id="15"/>
    </w:p>
    <w:p w:rsidR="00753EC1" w:rsidRPr="005E00FF" w:rsidRDefault="00753EC1" w:rsidP="00753EC1">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5E00FF">
        <w:rPr>
          <w:rFonts w:ascii="Palatino Linotype" w:eastAsia="Calibri" w:hAnsi="Palatino Linotype" w:cs="Arial"/>
          <w:lang w:val="es-ES_tradnl" w:eastAsia="es-ES"/>
        </w:rPr>
        <w:t xml:space="preserve">El medio de impugnación fue presentado a través del </w:t>
      </w:r>
      <w:r w:rsidRPr="005E00FF">
        <w:rPr>
          <w:rFonts w:ascii="Palatino Linotype" w:eastAsia="Calibri" w:hAnsi="Palatino Linotype" w:cs="Arial"/>
          <w:b/>
          <w:lang w:val="es-ES_tradnl" w:eastAsia="es-ES"/>
        </w:rPr>
        <w:t>SAIMEX,</w:t>
      </w:r>
      <w:r w:rsidRPr="005E00FF">
        <w:rPr>
          <w:rFonts w:ascii="Palatino Linotype" w:eastAsia="Calibri" w:hAnsi="Palatino Linotype" w:cs="Arial"/>
          <w:lang w:val="es-ES_tradnl" w:eastAsia="es-ES"/>
        </w:rPr>
        <w:t xml:space="preserve"> en el formato previamente aprobado para tal efecto y dentro del plazo legal de quince días hábiles </w:t>
      </w:r>
      <w:r w:rsidRPr="005E00FF">
        <w:rPr>
          <w:rFonts w:ascii="Palatino Linotype" w:eastAsia="Calibri" w:hAnsi="Palatino Linotype" w:cs="Arial"/>
          <w:lang w:val="es-ES_tradnl" w:eastAsia="es-ES"/>
        </w:rPr>
        <w:lastRenderedPageBreak/>
        <w:t xml:space="preserve">otorgados; para el caso en particular es de señalar que el </w:t>
      </w:r>
      <w:r w:rsidRPr="005E00FF">
        <w:rPr>
          <w:rFonts w:ascii="Palatino Linotype" w:eastAsia="Calibri" w:hAnsi="Palatino Linotype" w:cs="Arial"/>
          <w:b/>
          <w:lang w:val="es-ES_tradnl" w:eastAsia="es-ES"/>
        </w:rPr>
        <w:t>SUJETO OBLIGADO</w:t>
      </w:r>
      <w:r w:rsidRPr="005E00FF">
        <w:rPr>
          <w:rFonts w:ascii="Palatino Linotype" w:eastAsia="Calibri" w:hAnsi="Palatino Linotype" w:cs="Arial"/>
          <w:lang w:val="es-ES_tradnl" w:eastAsia="es-ES"/>
        </w:rPr>
        <w:t xml:space="preserve"> entregó respu</w:t>
      </w:r>
      <w:r w:rsidR="00DC3B80" w:rsidRPr="005E00FF">
        <w:rPr>
          <w:rFonts w:ascii="Palatino Linotype" w:eastAsia="Calibri" w:hAnsi="Palatino Linotype" w:cs="Arial"/>
          <w:lang w:val="es-ES_tradnl" w:eastAsia="es-ES"/>
        </w:rPr>
        <w:t>esta el día nueve (09) de noviembre</w:t>
      </w:r>
      <w:r w:rsidRPr="005E00FF">
        <w:rPr>
          <w:rFonts w:ascii="Palatino Linotype" w:eastAsia="Calibri" w:hAnsi="Palatino Linotype" w:cs="Arial"/>
          <w:lang w:val="es-ES_tradnl" w:eastAsia="es-ES"/>
        </w:rPr>
        <w:t xml:space="preserve"> de dos mil veintidós, </w:t>
      </w:r>
      <w:r w:rsidRPr="005E00FF">
        <w:rPr>
          <w:rFonts w:ascii="Palatino Linotype" w:eastAsiaTheme="minorEastAsia" w:hAnsi="Palatino Linotype" w:cs="Arial"/>
          <w:lang w:val="es-ES_tradnl" w:eastAsia="es-ES"/>
        </w:rPr>
        <w:t xml:space="preserve">de tal forma que el plazo para interponer el recurso transcurrió del día </w:t>
      </w:r>
      <w:r w:rsidR="00DC3B80" w:rsidRPr="005E00FF">
        <w:rPr>
          <w:rFonts w:ascii="Palatino Linotype" w:eastAsiaTheme="minorEastAsia" w:hAnsi="Palatino Linotype" w:cs="Arial"/>
          <w:lang w:val="es-ES_tradnl" w:eastAsia="es-ES"/>
        </w:rPr>
        <w:t>diez (10) de noviembre al uno (01) de diciembre de</w:t>
      </w:r>
      <w:r w:rsidRPr="005E00FF">
        <w:rPr>
          <w:rFonts w:ascii="Palatino Linotype" w:eastAsiaTheme="minorEastAsia" w:hAnsi="Palatino Linotype" w:cs="Arial"/>
          <w:lang w:val="es-ES_tradnl" w:eastAsia="es-ES"/>
        </w:rPr>
        <w:t xml:space="preserve"> dos mil veintidós; en consecuencia, si el particular p</w:t>
      </w:r>
      <w:r w:rsidR="00DC3B80" w:rsidRPr="005E00FF">
        <w:rPr>
          <w:rFonts w:ascii="Palatino Linotype" w:eastAsiaTheme="minorEastAsia" w:hAnsi="Palatino Linotype" w:cs="Arial"/>
          <w:lang w:val="es-ES_tradnl" w:eastAsia="es-ES"/>
        </w:rPr>
        <w:t>resentó su inconformidad el día veintidós (22) de noviembre</w:t>
      </w:r>
      <w:r w:rsidRPr="005E00FF">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5E00FF">
        <w:rPr>
          <w:rFonts w:ascii="Palatino Linotype" w:eastAsiaTheme="minorEastAsia" w:hAnsi="Palatino Linotype" w:cs="Arial"/>
          <w:b/>
          <w:lang w:val="es-ES_tradnl" w:eastAsia="es-ES"/>
        </w:rPr>
        <w:t xml:space="preserve">Ley de Transparencia y Acceso a la Información Pública del Estado de México y Municipios </w:t>
      </w:r>
      <w:r w:rsidRPr="005E00FF">
        <w:rPr>
          <w:rFonts w:ascii="Palatino Linotype" w:eastAsiaTheme="minorEastAsia" w:hAnsi="Palatino Linotype" w:cs="Arial"/>
          <w:lang w:val="es-ES_tradnl" w:eastAsia="es-ES"/>
        </w:rPr>
        <w:t xml:space="preserve">vigente. </w:t>
      </w:r>
    </w:p>
    <w:p w:rsidR="00753EC1" w:rsidRPr="005E00FF" w:rsidRDefault="00753EC1" w:rsidP="00753EC1">
      <w:pPr>
        <w:spacing w:before="240" w:after="240" w:line="360" w:lineRule="auto"/>
        <w:ind w:right="48"/>
        <w:contextualSpacing/>
        <w:jc w:val="both"/>
        <w:rPr>
          <w:rFonts w:ascii="Palatino Linotype" w:eastAsiaTheme="minorEastAsia" w:hAnsi="Palatino Linotype"/>
          <w:lang w:val="es-ES_tradnl" w:eastAsia="es-ES"/>
        </w:rPr>
      </w:pP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Calibri" w:hAnsi="Palatino Linotype" w:cs="Arial"/>
          <w:b/>
        </w:rPr>
      </w:pPr>
      <w:r w:rsidRPr="005E00FF">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753EC1" w:rsidRPr="005E00FF" w:rsidRDefault="00753EC1" w:rsidP="00753EC1">
      <w:pPr>
        <w:rPr>
          <w:rFonts w:ascii="Palatino Linotype" w:eastAsia="Calibri" w:hAnsi="Palatino Linotype" w:cs="Arial"/>
          <w:b/>
        </w:rPr>
      </w:pPr>
    </w:p>
    <w:p w:rsidR="00753EC1" w:rsidRPr="005E00FF" w:rsidRDefault="00DC3B80" w:rsidP="00753EC1">
      <w:pPr>
        <w:keepNext/>
        <w:keepLines/>
        <w:spacing w:before="240" w:after="240" w:line="360" w:lineRule="auto"/>
        <w:ind w:right="48"/>
        <w:outlineLvl w:val="0"/>
        <w:rPr>
          <w:rFonts w:ascii="Palatino Linotype" w:eastAsia="MS Gothic" w:hAnsi="Palatino Linotype"/>
          <w:b/>
        </w:rPr>
      </w:pPr>
      <w:bookmarkStart w:id="16" w:name="_Toc65713731"/>
      <w:bookmarkStart w:id="17" w:name="_Toc94119614"/>
      <w:r w:rsidRPr="005E00FF">
        <w:rPr>
          <w:rFonts w:ascii="Palatino Linotype" w:eastAsia="MS Mincho" w:hAnsi="Palatino Linotype" w:cstheme="majorBidi"/>
          <w:b/>
          <w:lang w:val="es-ES_tradnl" w:eastAsia="es-ES"/>
        </w:rPr>
        <w:t>TERCER</w:t>
      </w:r>
      <w:r w:rsidR="00753EC1" w:rsidRPr="005E00FF">
        <w:rPr>
          <w:rFonts w:ascii="Palatino Linotype" w:eastAsia="MS Mincho" w:hAnsi="Palatino Linotype" w:cstheme="majorBidi"/>
          <w:b/>
          <w:lang w:val="es-ES_tradnl" w:eastAsia="es-ES"/>
        </w:rPr>
        <w:t>O. Planteamiento de la Litis</w:t>
      </w:r>
      <w:r w:rsidR="00753EC1" w:rsidRPr="005E00FF">
        <w:rPr>
          <w:rFonts w:ascii="Palatino Linotype" w:eastAsia="MS Gothic" w:hAnsi="Palatino Linotype"/>
          <w:b/>
        </w:rPr>
        <w:t>.</w:t>
      </w:r>
      <w:bookmarkEnd w:id="16"/>
      <w:bookmarkEnd w:id="17"/>
    </w:p>
    <w:p w:rsidR="00DA40BD" w:rsidRPr="005E00FF" w:rsidRDefault="00753EC1" w:rsidP="00DA40BD">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E00FF">
        <w:rPr>
          <w:rFonts w:ascii="Palatino Linotype" w:hAnsi="Palatino Linotype" w:cs="Arial"/>
          <w:color w:val="000000" w:themeColor="text1"/>
          <w:sz w:val="24"/>
        </w:rPr>
        <w:t xml:space="preserve">El particular solicitó </w:t>
      </w:r>
      <w:r w:rsidR="00DA40BD" w:rsidRPr="005E00FF">
        <w:rPr>
          <w:rFonts w:ascii="Palatino Linotype" w:eastAsia="MS Mincho" w:hAnsi="Palatino Linotype" w:cs="Arial"/>
          <w:sz w:val="24"/>
          <w:lang w:val="es-ES_tradnl" w:eastAsia="es-ES"/>
        </w:rPr>
        <w:t xml:space="preserve">saber en qué va consistir el sistema de perspectiva de género. </w:t>
      </w:r>
    </w:p>
    <w:p w:rsidR="00DA40BD" w:rsidRPr="005E00FF" w:rsidRDefault="00DA40BD" w:rsidP="00DA40BD">
      <w:pPr>
        <w:pStyle w:val="Prrafodelista"/>
        <w:spacing w:before="240" w:after="240" w:line="360" w:lineRule="auto"/>
        <w:ind w:left="0" w:right="48"/>
        <w:jc w:val="both"/>
        <w:rPr>
          <w:rFonts w:ascii="Palatino Linotype" w:eastAsia="MS Mincho" w:hAnsi="Palatino Linotype" w:cs="Arial"/>
          <w:i/>
          <w:sz w:val="24"/>
          <w:lang w:val="es-ES_tradnl" w:eastAsia="es-ES"/>
        </w:rPr>
      </w:pPr>
    </w:p>
    <w:p w:rsidR="00DA40BD" w:rsidRPr="005E00FF" w:rsidRDefault="00753EC1" w:rsidP="00DA40BD">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E00FF">
        <w:rPr>
          <w:rFonts w:ascii="Palatino Linotype" w:hAnsi="Palatino Linotype"/>
          <w:iCs/>
          <w:color w:val="000000"/>
          <w:sz w:val="24"/>
        </w:rPr>
        <w:t xml:space="preserve">En respuesta, el SUJETO OBLIGADO manifestó </w:t>
      </w:r>
      <w:r w:rsidR="00DA40BD" w:rsidRPr="005E00FF">
        <w:rPr>
          <w:rFonts w:ascii="Palatino Linotype" w:hAnsi="Palatino Linotype"/>
          <w:iCs/>
          <w:color w:val="000000"/>
          <w:sz w:val="24"/>
        </w:rPr>
        <w:t>“…</w:t>
      </w:r>
      <w:r w:rsidR="00DA40BD" w:rsidRPr="005E00FF">
        <w:rPr>
          <w:rFonts w:ascii="Palatino Linotype" w:hAnsi="Palatino Linotype" w:cs="Arial"/>
          <w:i/>
          <w:sz w:val="24"/>
          <w:szCs w:val="22"/>
          <w:lang w:val="es-ES"/>
        </w:rPr>
        <w:t>el Sistema de Perspectiva de Género del Municipio de Toluca es un mecanismo de participación interinstitucional que tiene como objetivo diseñar e instrumentar acciones coordinadas que permitan atender las distintas formas de violencia que viven las mujeres, adolescentes y niñas del municipio de Toluca.”</w:t>
      </w:r>
    </w:p>
    <w:p w:rsidR="00753EC1" w:rsidRPr="005E00FF" w:rsidRDefault="00753EC1" w:rsidP="00DA40BD">
      <w:pPr>
        <w:pStyle w:val="Prrafodelista"/>
        <w:spacing w:line="360" w:lineRule="auto"/>
        <w:ind w:left="0"/>
        <w:jc w:val="both"/>
        <w:rPr>
          <w:rFonts w:ascii="Palatino Linotype" w:hAnsi="Palatino Linotype" w:cs="Arial"/>
          <w:sz w:val="24"/>
          <w:lang w:val="es-ES"/>
        </w:rPr>
      </w:pPr>
    </w:p>
    <w:p w:rsidR="00753EC1" w:rsidRPr="005E00FF" w:rsidRDefault="00753EC1" w:rsidP="00753EC1">
      <w:pPr>
        <w:pStyle w:val="Prrafodelista"/>
        <w:numPr>
          <w:ilvl w:val="0"/>
          <w:numId w:val="1"/>
        </w:numPr>
        <w:spacing w:line="360" w:lineRule="auto"/>
        <w:ind w:left="0" w:firstLine="0"/>
        <w:jc w:val="both"/>
        <w:rPr>
          <w:rFonts w:ascii="Palatino Linotype" w:hAnsi="Palatino Linotype" w:cs="Arial"/>
          <w:sz w:val="24"/>
          <w:lang w:val="es-ES"/>
        </w:rPr>
      </w:pPr>
      <w:r w:rsidRPr="005E00FF">
        <w:rPr>
          <w:rFonts w:ascii="Palatino Linotype" w:eastAsiaTheme="majorEastAsia" w:hAnsi="Palatino Linotype" w:cs="Arial"/>
          <w:bCs/>
          <w:sz w:val="24"/>
        </w:rPr>
        <w:lastRenderedPageBreak/>
        <w:t xml:space="preserve">Derivado de la respuesta, el particular interpuso recurso de revisión mediante el que señaló como motivos de inconformidad </w:t>
      </w:r>
      <w:r w:rsidR="00DA40BD" w:rsidRPr="005E00FF">
        <w:rPr>
          <w:rFonts w:ascii="Palatino Linotype" w:eastAsiaTheme="majorEastAsia" w:hAnsi="Palatino Linotype" w:cs="Arial"/>
          <w:bCs/>
          <w:sz w:val="24"/>
        </w:rPr>
        <w:t xml:space="preserve">la entrega de información incompleta. </w:t>
      </w:r>
    </w:p>
    <w:p w:rsidR="00753EC1" w:rsidRPr="005E00FF" w:rsidRDefault="00753EC1" w:rsidP="00753EC1">
      <w:pPr>
        <w:pStyle w:val="Prrafodelista"/>
        <w:rPr>
          <w:rFonts w:ascii="Palatino Linotype" w:eastAsia="MS Gothic" w:hAnsi="Palatino Linotype"/>
          <w:sz w:val="24"/>
        </w:rPr>
      </w:pPr>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E00FF">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5E00FF">
        <w:rPr>
          <w:rFonts w:ascii="Palatino Linotype" w:hAnsi="Palatino Linotype"/>
          <w:sz w:val="24"/>
        </w:rPr>
        <w:t>en el artículo 179, fracción I</w:t>
      </w:r>
      <w:r w:rsidR="00DA40BD" w:rsidRPr="005E00FF">
        <w:rPr>
          <w:rFonts w:ascii="Palatino Linotype" w:hAnsi="Palatino Linotype"/>
          <w:sz w:val="24"/>
        </w:rPr>
        <w:t xml:space="preserve"> y V</w:t>
      </w:r>
      <w:r w:rsidRPr="005E00FF">
        <w:rPr>
          <w:rFonts w:ascii="Palatino Linotype" w:hAnsi="Palatino Linotype"/>
          <w:sz w:val="24"/>
        </w:rPr>
        <w:t xml:space="preserve"> de la Ley de Transparencia y Acceso a la Información Pública del Estado de México y Municipios; que establec</w:t>
      </w:r>
      <w:r w:rsidR="00DA40BD" w:rsidRPr="005E00FF">
        <w:rPr>
          <w:rFonts w:ascii="Palatino Linotype" w:hAnsi="Palatino Linotype"/>
          <w:sz w:val="24"/>
        </w:rPr>
        <w:t xml:space="preserve">e la negativa de la información y la entrega de información incompleta. </w:t>
      </w:r>
    </w:p>
    <w:p w:rsidR="00753EC1" w:rsidRPr="005E00FF" w:rsidRDefault="00DC3B80" w:rsidP="00753EC1">
      <w:pPr>
        <w:pStyle w:val="Ttulo1"/>
        <w:spacing w:before="0" w:after="240" w:line="360" w:lineRule="auto"/>
        <w:rPr>
          <w:rFonts w:ascii="Palatino Linotype" w:eastAsia="MS Gothic" w:hAnsi="Palatino Linotype"/>
          <w:b/>
          <w:color w:val="auto"/>
          <w:sz w:val="24"/>
          <w:szCs w:val="24"/>
          <w:lang w:val="es-ES_tradnl"/>
        </w:rPr>
      </w:pPr>
      <w:bookmarkStart w:id="18" w:name="_Toc65713733"/>
      <w:bookmarkStart w:id="19" w:name="_Toc94119615"/>
      <w:r w:rsidRPr="005E00FF">
        <w:rPr>
          <w:rFonts w:ascii="Palatino Linotype" w:eastAsia="MS Gothic" w:hAnsi="Palatino Linotype"/>
          <w:b/>
          <w:color w:val="auto"/>
          <w:sz w:val="24"/>
          <w:szCs w:val="24"/>
          <w:lang w:val="es-ES_tradnl"/>
        </w:rPr>
        <w:t>CUARTO</w:t>
      </w:r>
      <w:r w:rsidR="00753EC1" w:rsidRPr="005E00FF">
        <w:rPr>
          <w:rFonts w:ascii="Palatino Linotype" w:eastAsia="MS Gothic" w:hAnsi="Palatino Linotype"/>
          <w:b/>
          <w:color w:val="auto"/>
          <w:sz w:val="24"/>
          <w:szCs w:val="24"/>
          <w:lang w:val="es-ES_tradnl"/>
        </w:rPr>
        <w:t>. Del estudio y resolución del recurso de revisión.</w:t>
      </w:r>
      <w:bookmarkEnd w:id="18"/>
      <w:bookmarkEnd w:id="19"/>
    </w:p>
    <w:p w:rsidR="00753EC1" w:rsidRPr="005E00FF" w:rsidRDefault="00753EC1" w:rsidP="00753EC1">
      <w:pPr>
        <w:pStyle w:val="Ttulo1"/>
        <w:spacing w:before="0" w:after="240" w:line="360" w:lineRule="auto"/>
        <w:rPr>
          <w:rFonts w:ascii="Palatino Linotype" w:eastAsia="MS Gothic" w:hAnsi="Palatino Linotype"/>
          <w:b/>
          <w:color w:val="auto"/>
          <w:sz w:val="24"/>
          <w:lang w:val="es-ES_tradnl" w:eastAsia="es-ES"/>
        </w:rPr>
      </w:pPr>
      <w:bookmarkStart w:id="20" w:name="_Toc498528948"/>
      <w:bookmarkStart w:id="21" w:name="_Toc71234379"/>
      <w:bookmarkStart w:id="22" w:name="_Toc71239557"/>
      <w:bookmarkStart w:id="23" w:name="_Toc80812776"/>
      <w:bookmarkStart w:id="24" w:name="_Toc83301639"/>
      <w:bookmarkStart w:id="25" w:name="_Toc94119616"/>
      <w:r w:rsidRPr="005E00FF">
        <w:rPr>
          <w:rFonts w:ascii="Palatino Linotype" w:eastAsia="MS Gothic" w:hAnsi="Palatino Linotype"/>
          <w:b/>
          <w:color w:val="auto"/>
          <w:sz w:val="24"/>
          <w:lang w:val="es-ES_tradnl" w:eastAsia="es-ES"/>
        </w:rPr>
        <w:t>I. De</w:t>
      </w:r>
      <w:bookmarkEnd w:id="20"/>
      <w:r w:rsidRPr="005E00FF">
        <w:rPr>
          <w:rFonts w:ascii="Palatino Linotype" w:eastAsia="MS Gothic" w:hAnsi="Palatino Linotype"/>
          <w:b/>
          <w:color w:val="auto"/>
          <w:sz w:val="24"/>
          <w:lang w:val="es-ES_tradnl" w:eastAsia="es-ES"/>
        </w:rPr>
        <w:t>l derecho de acceso a la información.</w:t>
      </w:r>
      <w:bookmarkEnd w:id="21"/>
      <w:bookmarkEnd w:id="22"/>
      <w:bookmarkEnd w:id="23"/>
      <w:bookmarkEnd w:id="24"/>
      <w:bookmarkEnd w:id="25"/>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5E00FF">
        <w:rPr>
          <w:rFonts w:ascii="Palatino Linotype" w:eastAsiaTheme="minorEastAsia" w:hAnsi="Palatino Linotype"/>
          <w:lang w:val="es-ES_tradnl" w:eastAsia="es-ES"/>
        </w:rPr>
        <w:t>E</w:t>
      </w:r>
      <w:r w:rsidRPr="005E00FF">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5E00FF">
        <w:rPr>
          <w:rFonts w:ascii="Palatino Linotype" w:hAnsi="Palatino Linotype" w:cs="Arial"/>
          <w:color w:val="000000"/>
          <w:lang w:val="es-ES_tradnl" w:eastAsia="es-ES"/>
        </w:rPr>
        <w:t xml:space="preserve">. </w:t>
      </w: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hAnsi="Palatino Linotype"/>
          <w:lang w:val="es-ES_tradnl" w:eastAsia="es-ES"/>
        </w:rPr>
        <w:t xml:space="preserve">Definiendo el Derecho de Acceso a la Información Pública como: </w:t>
      </w:r>
      <w:r w:rsidRPr="005E00FF">
        <w:rPr>
          <w:rFonts w:ascii="Palatino Linotype" w:eastAsiaTheme="minorEastAsia" w:hAnsi="Palatino Linotype"/>
          <w:i/>
          <w:color w:val="000000"/>
          <w:lang w:val="es-ES_tradnl" w:eastAsia="es-ES"/>
        </w:rPr>
        <w:t>La igualdad de oportunidades para recibir, buscar e impartir información</w:t>
      </w:r>
      <w:r w:rsidRPr="005E00FF">
        <w:rPr>
          <w:rFonts w:ascii="Palatino Linotype" w:eastAsiaTheme="minorEastAsia" w:hAnsi="Palatino Linotype"/>
          <w:i/>
          <w:vertAlign w:val="superscript"/>
          <w:lang w:val="es-ES_tradnl" w:eastAsia="es-ES"/>
        </w:rPr>
        <w:footnoteReference w:id="1"/>
      </w:r>
      <w:r w:rsidRPr="005E00FF">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E00FF">
        <w:rPr>
          <w:rFonts w:ascii="Palatino Linotype" w:eastAsiaTheme="minorEastAsia" w:hAnsi="Palatino Linotype"/>
          <w:i/>
          <w:vertAlign w:val="superscript"/>
          <w:lang w:val="es-ES_tradnl" w:eastAsia="es-ES"/>
        </w:rPr>
        <w:footnoteReference w:id="2"/>
      </w:r>
      <w:r w:rsidRPr="005E00FF">
        <w:rPr>
          <w:rFonts w:ascii="Palatino Linotype" w:eastAsiaTheme="minorEastAsia" w:hAnsi="Palatino Linotype"/>
          <w:color w:val="000000"/>
          <w:lang w:val="es-ES_tradnl" w:eastAsia="es-ES"/>
        </w:rPr>
        <w:t>que se constituye como una herramienta fundamental para ejercer</w:t>
      </w:r>
      <w:r w:rsidRPr="005E00FF">
        <w:rPr>
          <w:rFonts w:ascii="Palatino Linotype" w:eastAsiaTheme="minorEastAsia" w:hAnsi="Palatino Linotype"/>
          <w:i/>
          <w:color w:val="000000"/>
          <w:lang w:val="es-ES_tradnl" w:eastAsia="es-ES"/>
        </w:rPr>
        <w:t xml:space="preserve"> el control democrático de las gestiones estatales, de forma tal que </w:t>
      </w:r>
      <w:r w:rsidRPr="005E00FF">
        <w:rPr>
          <w:rFonts w:ascii="Palatino Linotype" w:eastAsiaTheme="minorEastAsia" w:hAnsi="Palatino Linotype"/>
          <w:i/>
          <w:color w:val="000000"/>
          <w:lang w:val="es-ES_tradnl" w:eastAsia="es-ES"/>
        </w:rPr>
        <w:lastRenderedPageBreak/>
        <w:t>puedan cuestionar, indagar y considerar si se está dando un adecuado cumplimiento a las funciones públicas,</w:t>
      </w:r>
      <w:r w:rsidRPr="005E00FF">
        <w:rPr>
          <w:rFonts w:ascii="Palatino Linotype" w:eastAsiaTheme="minorEastAsia" w:hAnsi="Palatino Linotype"/>
          <w:i/>
          <w:vertAlign w:val="superscript"/>
          <w:lang w:val="es-ES_tradnl" w:eastAsia="es-ES"/>
        </w:rPr>
        <w:footnoteReference w:id="3"/>
      </w:r>
      <w:r w:rsidRPr="005E00FF">
        <w:rPr>
          <w:rFonts w:ascii="Palatino Linotype" w:eastAsiaTheme="minorEastAsia" w:hAnsi="Palatino Linotype"/>
          <w:color w:val="000000"/>
          <w:lang w:val="es-ES_tradnl" w:eastAsia="es-ES"/>
        </w:rPr>
        <w:t>fomentando</w:t>
      </w:r>
      <w:r w:rsidRPr="005E00FF">
        <w:rPr>
          <w:rFonts w:ascii="Palatino Linotype" w:eastAsiaTheme="minorEastAsia" w:hAnsi="Palatino Linotype"/>
          <w:i/>
          <w:color w:val="000000"/>
          <w:lang w:val="es-ES_tradnl" w:eastAsia="es-ES"/>
        </w:rPr>
        <w:t xml:space="preserve"> la transparencia de las actividades estatales y </w:t>
      </w:r>
      <w:r w:rsidRPr="005E00FF">
        <w:rPr>
          <w:rFonts w:ascii="Palatino Linotype" w:eastAsiaTheme="minorEastAsia" w:hAnsi="Palatino Linotype"/>
          <w:color w:val="000000"/>
          <w:lang w:val="es-ES_tradnl" w:eastAsia="es-ES"/>
        </w:rPr>
        <w:t>promoviendo</w:t>
      </w:r>
      <w:r w:rsidRPr="005E00FF">
        <w:rPr>
          <w:rFonts w:ascii="Palatino Linotype" w:eastAsiaTheme="minorEastAsia" w:hAnsi="Palatino Linotype"/>
          <w:i/>
          <w:color w:val="000000"/>
          <w:lang w:val="es-ES_tradnl" w:eastAsia="es-ES"/>
        </w:rPr>
        <w:t xml:space="preserve"> la responsabilidad de los funcionarios sobre su gestión pública,</w:t>
      </w:r>
      <w:r w:rsidRPr="005E00FF">
        <w:rPr>
          <w:rFonts w:ascii="Palatino Linotype" w:eastAsiaTheme="minorEastAsia" w:hAnsi="Palatino Linotype"/>
          <w:i/>
          <w:vertAlign w:val="superscript"/>
          <w:lang w:val="es-ES_tradnl" w:eastAsia="es-ES"/>
        </w:rPr>
        <w:footnoteReference w:id="4"/>
      </w:r>
      <w:r w:rsidRPr="005E00FF">
        <w:rPr>
          <w:rFonts w:ascii="Palatino Linotype" w:eastAsiaTheme="minorEastAsia" w:hAnsi="Palatino Linotype"/>
          <w:color w:val="000000"/>
          <w:lang w:val="es-ES_tradnl" w:eastAsia="es-ES"/>
        </w:rPr>
        <w:t>que permite</w:t>
      </w:r>
      <w:r w:rsidRPr="005E00FF">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753EC1" w:rsidRPr="005E00FF" w:rsidRDefault="00753EC1" w:rsidP="00753EC1">
      <w:pPr>
        <w:spacing w:before="240" w:after="240"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753EC1" w:rsidRPr="005E00FF" w:rsidRDefault="00753EC1" w:rsidP="00753EC1">
      <w:pPr>
        <w:spacing w:before="240" w:after="240" w:line="360" w:lineRule="auto"/>
        <w:ind w:right="49"/>
        <w:contextualSpacing/>
        <w:jc w:val="both"/>
        <w:rPr>
          <w:rFonts w:ascii="Palatino Linotype" w:hAnsi="Palatino Linotype"/>
          <w:lang w:val="es-ES_tradnl" w:eastAsia="es-ES"/>
        </w:rPr>
      </w:pPr>
    </w:p>
    <w:p w:rsidR="00753EC1" w:rsidRPr="005E00FF" w:rsidRDefault="00753EC1" w:rsidP="00753EC1">
      <w:pPr>
        <w:spacing w:before="240" w:after="240" w:line="360" w:lineRule="auto"/>
        <w:ind w:left="567" w:right="567"/>
        <w:contextualSpacing/>
        <w:jc w:val="both"/>
        <w:rPr>
          <w:rFonts w:ascii="Palatino Linotype" w:hAnsi="Palatino Linotype"/>
          <w:i/>
          <w:sz w:val="22"/>
          <w:lang w:val="es-ES_tradnl" w:eastAsia="es-ES"/>
        </w:rPr>
      </w:pPr>
      <w:r w:rsidRPr="005E00FF">
        <w:rPr>
          <w:rFonts w:ascii="Palatino Linotype" w:hAnsi="Palatino Linotype"/>
          <w:i/>
          <w:sz w:val="22"/>
          <w:lang w:val="es-ES_tradnl" w:eastAsia="es-ES"/>
        </w:rPr>
        <w:t>“</w:t>
      </w:r>
      <w:r w:rsidRPr="005E00FF">
        <w:rPr>
          <w:rFonts w:ascii="Palatino Linotype" w:hAnsi="Palatino Linotype"/>
          <w:b/>
          <w:i/>
          <w:sz w:val="22"/>
          <w:lang w:val="es-ES_tradnl" w:eastAsia="es-ES"/>
        </w:rPr>
        <w:t>Artículo 1.-</w:t>
      </w:r>
      <w:r w:rsidRPr="005E00FF">
        <w:rPr>
          <w:rFonts w:ascii="Palatino Linotype" w:hAnsi="Palatino Linotype"/>
          <w:i/>
          <w:sz w:val="22"/>
          <w:lang w:val="es-ES_tradnl" w:eastAsia="es-ES"/>
        </w:rPr>
        <w:t xml:space="preserve"> </w:t>
      </w:r>
    </w:p>
    <w:p w:rsidR="00753EC1" w:rsidRPr="005E00FF" w:rsidRDefault="00753EC1" w:rsidP="00753EC1">
      <w:pPr>
        <w:spacing w:before="240" w:after="240" w:line="360" w:lineRule="auto"/>
        <w:ind w:left="567" w:right="567"/>
        <w:contextualSpacing/>
        <w:jc w:val="both"/>
        <w:rPr>
          <w:rFonts w:ascii="Palatino Linotype" w:hAnsi="Palatino Linotype"/>
          <w:i/>
          <w:sz w:val="22"/>
          <w:lang w:val="es-ES_tradnl" w:eastAsia="es-ES"/>
        </w:rPr>
      </w:pPr>
      <w:r w:rsidRPr="005E00FF">
        <w:rPr>
          <w:rFonts w:ascii="Palatino Linotype" w:hAnsi="Palatino Linotype"/>
          <w:i/>
          <w:sz w:val="22"/>
          <w:lang w:val="es-ES_tradnl" w:eastAsia="es-ES"/>
        </w:rPr>
        <w:t>(…)</w:t>
      </w:r>
    </w:p>
    <w:p w:rsidR="00753EC1" w:rsidRPr="005E00FF" w:rsidRDefault="00753EC1" w:rsidP="00753EC1">
      <w:pPr>
        <w:spacing w:before="240" w:after="240" w:line="360" w:lineRule="auto"/>
        <w:ind w:left="567" w:right="567"/>
        <w:contextualSpacing/>
        <w:jc w:val="both"/>
        <w:rPr>
          <w:rFonts w:ascii="Palatino Linotype" w:hAnsi="Palatino Linotype"/>
          <w:i/>
          <w:sz w:val="22"/>
        </w:rPr>
      </w:pPr>
      <w:r w:rsidRPr="005E00FF">
        <w:rPr>
          <w:rFonts w:ascii="Palatino Linotype" w:hAnsi="Palatino Linotype"/>
          <w:i/>
          <w:sz w:val="22"/>
          <w:lang w:val="es-ES_tradnl" w:eastAsia="es-ES"/>
        </w:rPr>
        <w:t>Todas las</w:t>
      </w:r>
      <w:r w:rsidRPr="005E00FF">
        <w:rPr>
          <w:rFonts w:ascii="Palatino Linotype" w:hAnsi="Palatino Linotype"/>
          <w:sz w:val="22"/>
          <w:lang w:val="es-ES_tradnl" w:eastAsia="es-ES"/>
        </w:rPr>
        <w:t xml:space="preserve"> </w:t>
      </w:r>
      <w:r w:rsidRPr="005E00FF">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53EC1" w:rsidRPr="005E00FF" w:rsidRDefault="00753EC1" w:rsidP="00753EC1">
      <w:pPr>
        <w:spacing w:before="240" w:after="240" w:line="360" w:lineRule="auto"/>
        <w:ind w:left="567" w:right="567"/>
        <w:contextualSpacing/>
        <w:jc w:val="both"/>
        <w:rPr>
          <w:rFonts w:ascii="Palatino Linotype" w:hAnsi="Palatino Linotype"/>
          <w:sz w:val="22"/>
          <w:lang w:val="es-ES_tradnl" w:eastAsia="es-ES"/>
        </w:rPr>
      </w:pPr>
      <w:r w:rsidRPr="005E00FF">
        <w:rPr>
          <w:rFonts w:ascii="Palatino Linotype" w:hAnsi="Palatino Linotype"/>
          <w:i/>
          <w:sz w:val="22"/>
        </w:rPr>
        <w:t>(…)</w:t>
      </w:r>
      <w:r w:rsidRPr="005E00FF">
        <w:rPr>
          <w:rFonts w:ascii="Palatino Linotype" w:hAnsi="Palatino Linotype"/>
          <w:sz w:val="22"/>
          <w:lang w:val="es-ES_tradnl" w:eastAsia="es-ES"/>
        </w:rPr>
        <w:t>”.</w:t>
      </w:r>
    </w:p>
    <w:p w:rsidR="00753EC1" w:rsidRPr="005E00FF" w:rsidRDefault="00753EC1" w:rsidP="00753EC1">
      <w:pPr>
        <w:spacing w:before="240" w:after="240" w:line="360" w:lineRule="auto"/>
        <w:ind w:left="567" w:right="567"/>
        <w:contextualSpacing/>
        <w:jc w:val="both"/>
        <w:rPr>
          <w:rFonts w:ascii="Palatino Linotype" w:hAnsi="Palatino Linotype"/>
          <w:b/>
          <w:sz w:val="22"/>
          <w:lang w:val="es-ES_tradnl" w:eastAsia="es-ES"/>
        </w:rPr>
      </w:pPr>
      <w:r w:rsidRPr="005E00FF">
        <w:rPr>
          <w:rFonts w:ascii="Palatino Linotype" w:hAnsi="Palatino Linotype"/>
          <w:b/>
          <w:i/>
          <w:sz w:val="22"/>
        </w:rPr>
        <w:t>(Énfasis Añadido)</w:t>
      </w:r>
    </w:p>
    <w:p w:rsidR="00753EC1" w:rsidRPr="005E00FF" w:rsidRDefault="00753EC1" w:rsidP="00753EC1">
      <w:pPr>
        <w:spacing w:before="240" w:after="240"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5E00FF">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753EC1" w:rsidRPr="005E00FF" w:rsidRDefault="00753EC1" w:rsidP="00753EC1">
      <w:pPr>
        <w:spacing w:before="240" w:after="240"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eastAsiaTheme="minorEastAsia" w:hAnsi="Palatino Linotype"/>
          <w:lang w:val="es-ES_tradnl" w:eastAsia="es-ES"/>
        </w:rPr>
        <w:t xml:space="preserve">Así, conforme a la Constitución Política de las Estado Unidos Mexicanos </w:t>
      </w:r>
      <w:r w:rsidRPr="005E00FF">
        <w:rPr>
          <w:rFonts w:ascii="Palatino Linotype" w:eastAsia="Calibri" w:hAnsi="Palatino Linotype"/>
          <w:lang w:val="es-ES_tradnl" w:eastAsia="es-ES"/>
        </w:rPr>
        <w:t>y la Constitución Política del Estado Libre y Soberano de México respectivamente</w:t>
      </w:r>
      <w:r w:rsidRPr="005E00FF">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753EC1" w:rsidRPr="005E00FF" w:rsidRDefault="00753EC1" w:rsidP="00753EC1">
      <w:pPr>
        <w:spacing w:before="240" w:after="240"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spacing w:before="240" w:after="240" w:line="360" w:lineRule="auto"/>
        <w:ind w:left="567" w:right="567"/>
        <w:jc w:val="center"/>
        <w:rPr>
          <w:rFonts w:ascii="Palatino Linotype" w:eastAsiaTheme="minorEastAsia" w:hAnsi="Palatino Linotype" w:cs="Arial"/>
          <w:b/>
          <w:bCs/>
          <w:i/>
          <w:sz w:val="22"/>
          <w:lang w:val="es-ES_tradnl" w:eastAsia="es-ES"/>
        </w:rPr>
      </w:pPr>
      <w:r w:rsidRPr="005E00FF">
        <w:rPr>
          <w:rFonts w:ascii="Palatino Linotype" w:eastAsiaTheme="minorEastAsia" w:hAnsi="Palatino Linotype" w:cs="Arial"/>
          <w:b/>
          <w:bCs/>
          <w:i/>
          <w:sz w:val="22"/>
          <w:lang w:val="es-ES_tradnl" w:eastAsia="es-ES"/>
        </w:rPr>
        <w:t>Constitución Política de los Estados Unidos Mexicanos</w:t>
      </w:r>
    </w:p>
    <w:p w:rsidR="00753EC1" w:rsidRPr="005E00FF" w:rsidRDefault="00753EC1" w:rsidP="00753EC1">
      <w:pPr>
        <w:spacing w:before="240" w:after="240" w:line="360" w:lineRule="auto"/>
        <w:ind w:left="567" w:right="567"/>
        <w:jc w:val="both"/>
        <w:rPr>
          <w:rFonts w:ascii="Palatino Linotype" w:eastAsiaTheme="minorEastAsia" w:hAnsi="Palatino Linotype" w:cs="Arial"/>
          <w:b/>
          <w:bCs/>
          <w:i/>
          <w:sz w:val="22"/>
          <w:lang w:val="es-ES_tradnl" w:eastAsia="es-ES"/>
        </w:rPr>
      </w:pPr>
      <w:r w:rsidRPr="005E00FF">
        <w:rPr>
          <w:rFonts w:ascii="Palatino Linotype" w:eastAsiaTheme="minorEastAsia" w:hAnsi="Palatino Linotype" w:cs="Arial"/>
          <w:b/>
          <w:bCs/>
          <w:i/>
          <w:sz w:val="22"/>
          <w:lang w:val="es-ES_tradnl" w:eastAsia="es-ES"/>
        </w:rPr>
        <w:t>“Artículo 6.</w:t>
      </w:r>
      <w:r w:rsidRPr="005E00FF">
        <w:rPr>
          <w:rFonts w:ascii="Palatino Linotype" w:eastAsiaTheme="minorEastAsia" w:hAnsi="Palatino Linotype" w:cs="Arial"/>
          <w:bCs/>
          <w:i/>
          <w:sz w:val="22"/>
          <w:lang w:val="es-ES_tradnl" w:eastAsia="es-ES"/>
        </w:rPr>
        <w:t xml:space="preserve"> …</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Cs/>
          <w:i/>
          <w:sz w:val="22"/>
          <w:lang w:val="es-ES_tradnl" w:eastAsia="es-ES"/>
        </w:rPr>
        <w:t>…</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Cs/>
          <w:i/>
          <w:sz w:val="22"/>
          <w:lang w:val="es-ES_tradnl" w:eastAsia="es-ES"/>
        </w:rPr>
        <w:t>Para efectos de lo dispuesto en el presente artículo se observará lo siguiente:</w:t>
      </w:r>
    </w:p>
    <w:p w:rsidR="00753EC1" w:rsidRPr="005E00FF" w:rsidRDefault="00753EC1" w:rsidP="00753EC1">
      <w:pPr>
        <w:spacing w:before="240" w:after="240" w:line="360" w:lineRule="auto"/>
        <w:ind w:left="567" w:right="567"/>
        <w:jc w:val="both"/>
        <w:rPr>
          <w:rFonts w:ascii="Palatino Linotype" w:eastAsiaTheme="minorEastAsia" w:hAnsi="Palatino Linotype" w:cs="Arial"/>
          <w:b/>
          <w:bCs/>
          <w:i/>
          <w:sz w:val="22"/>
          <w:lang w:val="es-ES_tradnl" w:eastAsia="es-ES"/>
        </w:rPr>
      </w:pPr>
      <w:r w:rsidRPr="005E00FF">
        <w:rPr>
          <w:rFonts w:ascii="Palatino Linotype" w:eastAsiaTheme="minorEastAsia" w:hAnsi="Palatino Linotype" w:cs="Arial"/>
          <w:b/>
          <w:bCs/>
          <w:i/>
          <w:sz w:val="22"/>
          <w:lang w:val="es-ES_tradnl" w:eastAsia="es-ES"/>
        </w:rPr>
        <w:t>A</w:t>
      </w:r>
      <w:r w:rsidRPr="005E00FF">
        <w:rPr>
          <w:rFonts w:ascii="Palatino Linotype" w:eastAsiaTheme="minorEastAsia" w:hAnsi="Palatino Linotype" w:cs="Arial"/>
          <w:bCs/>
          <w:i/>
          <w:sz w:val="22"/>
          <w:lang w:val="es-ES_tradnl" w:eastAsia="es-ES"/>
        </w:rPr>
        <w:t xml:space="preserve">. </w:t>
      </w:r>
      <w:r w:rsidRPr="005E00FF">
        <w:rPr>
          <w:rFonts w:ascii="Palatino Linotype" w:eastAsiaTheme="minorEastAsia" w:hAnsi="Palatino Linotype" w:cs="Arial"/>
          <w:b/>
          <w:bCs/>
          <w:i/>
          <w:sz w:val="22"/>
          <w:lang w:val="es-ES_tradnl" w:eastAsia="es-ES"/>
        </w:rPr>
        <w:t>Para el ejercicio del derecho de acceso a la información</w:t>
      </w:r>
      <w:r w:rsidRPr="005E00FF">
        <w:rPr>
          <w:rFonts w:ascii="Palatino Linotype" w:eastAsiaTheme="minorEastAsia" w:hAnsi="Palatino Linotype" w:cs="Arial"/>
          <w:bCs/>
          <w:i/>
          <w:sz w:val="22"/>
          <w:lang w:val="es-ES_tradnl" w:eastAsia="es-ES"/>
        </w:rPr>
        <w:t xml:space="preserve">, la Federación y </w:t>
      </w:r>
      <w:r w:rsidRPr="005E00FF">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753EC1" w:rsidRPr="005E00FF" w:rsidRDefault="00753EC1" w:rsidP="00753EC1">
      <w:pPr>
        <w:spacing w:before="240" w:after="240" w:line="360" w:lineRule="auto"/>
        <w:ind w:left="567" w:right="567"/>
        <w:jc w:val="both"/>
        <w:rPr>
          <w:rFonts w:ascii="Palatino Linotype" w:eastAsiaTheme="minorEastAsia" w:hAnsi="Palatino Linotype" w:cs="Arial"/>
          <w:b/>
          <w:bCs/>
          <w:i/>
          <w:sz w:val="22"/>
          <w:lang w:val="es-ES_tradnl" w:eastAsia="es-ES"/>
        </w:rPr>
      </w:pP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
          <w:bCs/>
          <w:i/>
          <w:sz w:val="22"/>
          <w:lang w:val="es-ES_tradnl" w:eastAsia="es-ES"/>
        </w:rPr>
        <w:t xml:space="preserve">I. </w:t>
      </w:r>
      <w:r w:rsidRPr="005E00FF">
        <w:rPr>
          <w:rFonts w:ascii="Palatino Linotype" w:eastAsiaTheme="minorEastAsia" w:hAnsi="Palatino Linotype" w:cs="Arial"/>
          <w:b/>
          <w:bCs/>
          <w:i/>
          <w:sz w:val="22"/>
          <w:lang w:val="es-ES_tradnl" w:eastAsia="es-ES"/>
        </w:rPr>
        <w:tab/>
        <w:t>Toda la información en posesión de cualquier</w:t>
      </w:r>
      <w:r w:rsidRPr="005E00FF">
        <w:rPr>
          <w:rFonts w:ascii="Palatino Linotype" w:eastAsiaTheme="minorEastAsia" w:hAnsi="Palatino Linotype" w:cs="Arial"/>
          <w:bCs/>
          <w:i/>
          <w:sz w:val="22"/>
          <w:lang w:val="es-ES_tradnl" w:eastAsia="es-ES"/>
        </w:rPr>
        <w:t xml:space="preserve"> </w:t>
      </w:r>
      <w:r w:rsidRPr="005E00FF">
        <w:rPr>
          <w:rFonts w:ascii="Palatino Linotype" w:eastAsiaTheme="minorEastAsia" w:hAnsi="Palatino Linotype" w:cs="Arial"/>
          <w:b/>
          <w:bCs/>
          <w:i/>
          <w:sz w:val="22"/>
          <w:lang w:val="es-ES_tradnl" w:eastAsia="es-ES"/>
        </w:rPr>
        <w:t>autoridad</w:t>
      </w:r>
      <w:r w:rsidRPr="005E00FF">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E00FF">
        <w:rPr>
          <w:rFonts w:ascii="Palatino Linotype" w:eastAsiaTheme="minorEastAsia" w:hAnsi="Palatino Linotype" w:cs="Arial"/>
          <w:b/>
          <w:bCs/>
          <w:i/>
          <w:sz w:val="22"/>
          <w:lang w:val="es-ES_tradnl" w:eastAsia="es-ES"/>
        </w:rPr>
        <w:t>municipal</w:t>
      </w:r>
      <w:r w:rsidRPr="005E00FF">
        <w:rPr>
          <w:rFonts w:ascii="Palatino Linotype" w:eastAsiaTheme="minorEastAsia" w:hAnsi="Palatino Linotype" w:cs="Arial"/>
          <w:bCs/>
          <w:i/>
          <w:sz w:val="22"/>
          <w:lang w:val="es-ES_tradnl" w:eastAsia="es-ES"/>
        </w:rPr>
        <w:t xml:space="preserve">, </w:t>
      </w:r>
      <w:r w:rsidRPr="005E00FF">
        <w:rPr>
          <w:rFonts w:ascii="Palatino Linotype" w:eastAsiaTheme="minorEastAsia" w:hAnsi="Palatino Linotype" w:cs="Arial"/>
          <w:b/>
          <w:bCs/>
          <w:i/>
          <w:sz w:val="22"/>
          <w:lang w:val="es-ES_tradnl" w:eastAsia="es-ES"/>
        </w:rPr>
        <w:t>es pública</w:t>
      </w:r>
      <w:r w:rsidRPr="005E00FF">
        <w:rPr>
          <w:rFonts w:ascii="Palatino Linotype" w:eastAsiaTheme="minorEastAsia" w:hAnsi="Palatino Linotype" w:cs="Arial"/>
          <w:bCs/>
          <w:i/>
          <w:sz w:val="22"/>
          <w:lang w:val="es-ES_tradnl" w:eastAsia="es-ES"/>
        </w:rPr>
        <w:t xml:space="preserve"> y sólo podrá ser reservada temporalmente por </w:t>
      </w:r>
      <w:r w:rsidRPr="005E00FF">
        <w:rPr>
          <w:rFonts w:ascii="Palatino Linotype" w:eastAsiaTheme="minorEastAsia" w:hAnsi="Palatino Linotype" w:cs="Arial"/>
          <w:bCs/>
          <w:i/>
          <w:sz w:val="22"/>
          <w:lang w:val="es-ES_tradnl" w:eastAsia="es-ES"/>
        </w:rPr>
        <w:lastRenderedPageBreak/>
        <w:t xml:space="preserve">razones de interés público y seguridad nacional, en los términos que fijen las leyes. </w:t>
      </w:r>
      <w:r w:rsidRPr="005E00FF">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5E00F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53EC1" w:rsidRPr="005E00FF" w:rsidRDefault="00753EC1" w:rsidP="00753EC1">
      <w:pPr>
        <w:pStyle w:val="Prrafodelista"/>
        <w:tabs>
          <w:tab w:val="left" w:pos="567"/>
        </w:tabs>
        <w:spacing w:before="240" w:after="240" w:line="360" w:lineRule="auto"/>
        <w:ind w:left="567" w:right="567"/>
        <w:jc w:val="both"/>
        <w:rPr>
          <w:rFonts w:ascii="Palatino Linotype" w:hAnsi="Palatino Linotype" w:cs="Arial"/>
          <w:b/>
          <w:bCs/>
          <w:i/>
        </w:rPr>
      </w:pPr>
      <w:r w:rsidRPr="005E00FF">
        <w:rPr>
          <w:rFonts w:ascii="Palatino Linotype" w:hAnsi="Palatino Linotype" w:cs="Arial"/>
          <w:b/>
          <w:bCs/>
          <w:i/>
        </w:rPr>
        <w:t>(Énfasis añadido)</w:t>
      </w:r>
    </w:p>
    <w:p w:rsidR="00753EC1" w:rsidRPr="005E00FF" w:rsidRDefault="00753EC1" w:rsidP="00753EC1">
      <w:pPr>
        <w:pStyle w:val="Prrafodelista"/>
        <w:tabs>
          <w:tab w:val="left" w:pos="567"/>
        </w:tabs>
        <w:spacing w:before="240" w:after="240" w:line="360" w:lineRule="auto"/>
        <w:ind w:left="567" w:right="567"/>
        <w:jc w:val="both"/>
        <w:rPr>
          <w:rFonts w:ascii="Palatino Linotype" w:hAnsi="Palatino Linotype" w:cs="Arial"/>
          <w:b/>
          <w:bCs/>
          <w:i/>
        </w:rPr>
      </w:pPr>
    </w:p>
    <w:p w:rsidR="00753EC1" w:rsidRPr="005E00FF" w:rsidRDefault="00753EC1" w:rsidP="00753EC1">
      <w:pPr>
        <w:spacing w:before="240" w:after="240" w:line="360" w:lineRule="auto"/>
        <w:ind w:left="567" w:right="567"/>
        <w:jc w:val="center"/>
        <w:rPr>
          <w:rFonts w:ascii="Palatino Linotype" w:eastAsiaTheme="minorEastAsia" w:hAnsi="Palatino Linotype" w:cs="Arial"/>
          <w:b/>
          <w:bCs/>
          <w:i/>
          <w:sz w:val="22"/>
          <w:lang w:val="es-ES_tradnl" w:eastAsia="es-ES"/>
        </w:rPr>
      </w:pPr>
      <w:r w:rsidRPr="005E00FF">
        <w:rPr>
          <w:rFonts w:ascii="Palatino Linotype" w:eastAsiaTheme="minorEastAsia" w:hAnsi="Palatino Linotype" w:cs="Arial"/>
          <w:b/>
          <w:bCs/>
          <w:i/>
          <w:sz w:val="22"/>
          <w:lang w:val="es-ES_tradnl" w:eastAsia="es-ES"/>
        </w:rPr>
        <w:t>Constitución Política del Estado Libre y Soberano de México</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
          <w:bCs/>
          <w:i/>
          <w:sz w:val="22"/>
          <w:lang w:val="es-ES_tradnl" w:eastAsia="es-ES"/>
        </w:rPr>
        <w:t>“Artículo 5</w:t>
      </w:r>
      <w:r w:rsidRPr="005E00FF">
        <w:rPr>
          <w:rFonts w:ascii="Palatino Linotype" w:eastAsiaTheme="minorEastAsia" w:hAnsi="Palatino Linotype" w:cs="Arial"/>
          <w:bCs/>
          <w:i/>
          <w:sz w:val="22"/>
          <w:lang w:val="es-ES_tradnl" w:eastAsia="es-ES"/>
        </w:rPr>
        <w:t>.- …</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Cs/>
          <w:i/>
          <w:sz w:val="22"/>
          <w:lang w:val="es-ES_tradnl" w:eastAsia="es-ES"/>
        </w:rPr>
        <w:t>…</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5E00FF">
        <w:rPr>
          <w:rFonts w:ascii="Palatino Linotype" w:eastAsiaTheme="minorEastAsia" w:hAnsi="Palatino Linotype" w:cs="Arial"/>
          <w:bCs/>
          <w:i/>
          <w:sz w:val="22"/>
          <w:lang w:val="es-ES_tradnl" w:eastAsia="es-ES"/>
        </w:rPr>
        <w:t>.</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
          <w:bCs/>
          <w:i/>
          <w:sz w:val="22"/>
          <w:lang w:val="es-ES_tradnl" w:eastAsia="es-ES"/>
        </w:rPr>
        <w:t>Este derecho se regirá por los principios y bases siguientes</w:t>
      </w:r>
      <w:r w:rsidRPr="005E00FF">
        <w:rPr>
          <w:rFonts w:ascii="Palatino Linotype" w:eastAsiaTheme="minorEastAsia" w:hAnsi="Palatino Linotype" w:cs="Arial"/>
          <w:bCs/>
          <w:i/>
          <w:sz w:val="22"/>
          <w:lang w:val="es-ES_tradnl" w:eastAsia="es-ES"/>
        </w:rPr>
        <w:t>:</w:t>
      </w:r>
    </w:p>
    <w:p w:rsidR="00753EC1" w:rsidRPr="005E00FF" w:rsidRDefault="00753EC1" w:rsidP="00753EC1">
      <w:pPr>
        <w:spacing w:before="240" w:after="240" w:line="360" w:lineRule="auto"/>
        <w:ind w:left="567" w:right="567"/>
        <w:jc w:val="both"/>
        <w:rPr>
          <w:rFonts w:ascii="Palatino Linotype" w:eastAsiaTheme="minorEastAsia" w:hAnsi="Palatino Linotype" w:cs="Arial"/>
          <w:bCs/>
          <w:i/>
          <w:sz w:val="22"/>
          <w:lang w:val="es-ES_tradnl" w:eastAsia="es-ES"/>
        </w:rPr>
      </w:pPr>
      <w:r w:rsidRPr="005E00FF">
        <w:rPr>
          <w:rFonts w:ascii="Palatino Linotype" w:eastAsiaTheme="minorEastAsia" w:hAnsi="Palatino Linotype" w:cs="Arial"/>
          <w:b/>
          <w:bCs/>
          <w:i/>
          <w:sz w:val="22"/>
          <w:lang w:val="es-ES_tradnl" w:eastAsia="es-ES"/>
        </w:rPr>
        <w:t>I. Toda la información en posesión de cualquier autoridad, entidad, órgano y organismos de los</w:t>
      </w:r>
      <w:r w:rsidRPr="005E00FF">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5E00FF">
        <w:rPr>
          <w:rFonts w:ascii="Palatino Linotype" w:eastAsiaTheme="minorEastAsia" w:hAnsi="Palatino Linotype" w:cs="Arial"/>
          <w:b/>
          <w:bCs/>
          <w:i/>
          <w:sz w:val="22"/>
          <w:lang w:val="es-ES_tradnl" w:eastAsia="es-ES"/>
        </w:rPr>
        <w:t>municipales</w:t>
      </w:r>
      <w:r w:rsidRPr="005E00FF">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w:t>
      </w:r>
      <w:r w:rsidRPr="005E00FF">
        <w:rPr>
          <w:rFonts w:ascii="Palatino Linotype" w:eastAsiaTheme="minorEastAsia" w:hAnsi="Palatino Linotype" w:cs="Arial"/>
          <w:bCs/>
          <w:i/>
          <w:sz w:val="22"/>
          <w:lang w:val="es-ES_tradnl" w:eastAsia="es-ES"/>
        </w:rPr>
        <w:lastRenderedPageBreak/>
        <w:t xml:space="preserve">o realice actos de autoridad en el ámbito estatal y municipal, </w:t>
      </w:r>
      <w:r w:rsidRPr="005E00FF">
        <w:rPr>
          <w:rFonts w:ascii="Palatino Linotype" w:eastAsiaTheme="minorEastAsia" w:hAnsi="Palatino Linotype" w:cs="Arial"/>
          <w:b/>
          <w:bCs/>
          <w:i/>
          <w:sz w:val="22"/>
          <w:lang w:val="es-ES_tradnl" w:eastAsia="es-ES"/>
        </w:rPr>
        <w:t>es pública</w:t>
      </w:r>
      <w:r w:rsidRPr="005E00FF">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5E00FF">
        <w:rPr>
          <w:rFonts w:ascii="Palatino Linotype" w:eastAsiaTheme="minorEastAsia" w:hAnsi="Palatino Linotype" w:cs="Arial"/>
          <w:b/>
          <w:bCs/>
          <w:i/>
          <w:sz w:val="22"/>
          <w:lang w:val="es-ES_tradnl" w:eastAsia="es-ES"/>
        </w:rPr>
        <w:t>En la interpretación de este derecho deberá prevalecer el principio de máxima publicidad</w:t>
      </w:r>
      <w:r w:rsidRPr="005E00FF">
        <w:rPr>
          <w:rFonts w:ascii="Palatino Linotype" w:eastAsiaTheme="minorEastAsia" w:hAnsi="Palatino Linotype" w:cs="Arial"/>
          <w:bCs/>
          <w:i/>
          <w:sz w:val="22"/>
          <w:lang w:val="es-ES_tradnl" w:eastAsia="es-ES"/>
        </w:rPr>
        <w:t xml:space="preserve">. </w:t>
      </w:r>
      <w:r w:rsidRPr="005E00FF">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5E00FF">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753EC1" w:rsidRPr="005E00FF" w:rsidRDefault="00753EC1" w:rsidP="00753EC1">
      <w:pPr>
        <w:pStyle w:val="Prrafodelista"/>
        <w:tabs>
          <w:tab w:val="left" w:pos="567"/>
        </w:tabs>
        <w:spacing w:before="240" w:after="240" w:line="360" w:lineRule="auto"/>
        <w:ind w:left="567" w:right="567"/>
        <w:jc w:val="both"/>
        <w:rPr>
          <w:rFonts w:ascii="Palatino Linotype" w:hAnsi="Palatino Linotype" w:cs="Arial"/>
          <w:b/>
          <w:bCs/>
          <w:i/>
        </w:rPr>
      </w:pPr>
      <w:r w:rsidRPr="005E00FF">
        <w:rPr>
          <w:rFonts w:ascii="Palatino Linotype" w:hAnsi="Palatino Linotype" w:cs="Arial"/>
          <w:b/>
          <w:bCs/>
          <w:i/>
        </w:rPr>
        <w:t>(Énfasis añadido)</w:t>
      </w: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5E00FF">
        <w:rPr>
          <w:rFonts w:ascii="Palatino Linotype" w:eastAsiaTheme="minorEastAsia" w:hAnsi="Palatino Linotype" w:cs="Arial"/>
          <w:i/>
          <w:lang w:val="es-ES_tradnl" w:eastAsia="es-ES"/>
        </w:rPr>
        <w:t>por los principios de simplicidad, rapidez gratuidad del procedimiento, auxilio y orientación a los particulares</w:t>
      </w:r>
      <w:r w:rsidRPr="005E00FF">
        <w:rPr>
          <w:rFonts w:ascii="Palatino Linotype" w:eastAsiaTheme="minorEastAsia" w:hAnsi="Palatino Linotype" w:cs="Arial"/>
          <w:lang w:val="es-ES_tradnl" w:eastAsia="es-ES"/>
        </w:rPr>
        <w:t>, contemplando el derecho de las personas con discapacidad y hablantes de lengua indígena.</w:t>
      </w:r>
    </w:p>
    <w:p w:rsidR="00753EC1" w:rsidRPr="005E00FF" w:rsidRDefault="00753EC1" w:rsidP="00753EC1">
      <w:pPr>
        <w:spacing w:before="240" w:after="240"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5E00FF">
        <w:rPr>
          <w:rFonts w:ascii="Palatino Linotype" w:eastAsiaTheme="minorEastAsia" w:hAnsi="Palatino Linotype" w:cs="Arial"/>
          <w:i/>
          <w:lang w:val="es-ES_tradnl" w:eastAsia="es-ES"/>
        </w:rPr>
        <w:t>solicitudes de acceso a la información</w:t>
      </w:r>
      <w:r w:rsidRPr="005E00FF">
        <w:rPr>
          <w:rFonts w:ascii="Palatino Linotype" w:eastAsiaTheme="minorEastAsia" w:hAnsi="Palatino Linotype" w:cs="Arial"/>
          <w:lang w:val="es-ES_tradnl" w:eastAsia="es-ES"/>
        </w:rPr>
        <w:t>.</w:t>
      </w:r>
    </w:p>
    <w:p w:rsidR="00753EC1" w:rsidRPr="005E00FF" w:rsidRDefault="00753EC1" w:rsidP="00753EC1">
      <w:pPr>
        <w:spacing w:before="240" w:after="240"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5E00FF">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6" w:name="_Toc80812777"/>
    </w:p>
    <w:p w:rsidR="00753EC1" w:rsidRPr="005E00FF" w:rsidRDefault="00753EC1" w:rsidP="00753EC1">
      <w:pPr>
        <w:spacing w:line="360" w:lineRule="auto"/>
        <w:ind w:right="49"/>
        <w:contextualSpacing/>
        <w:jc w:val="both"/>
        <w:rPr>
          <w:rFonts w:ascii="Palatino Linotype" w:eastAsiaTheme="minorEastAsia" w:hAnsi="Palatino Linotype"/>
          <w:lang w:val="es-ES_tradnl" w:eastAsia="es-ES"/>
        </w:rPr>
      </w:pPr>
    </w:p>
    <w:p w:rsidR="00753EC1" w:rsidRPr="005E00FF" w:rsidRDefault="00753EC1" w:rsidP="00753EC1">
      <w:pPr>
        <w:pStyle w:val="Ttulo1"/>
        <w:spacing w:before="0" w:after="240" w:line="360" w:lineRule="auto"/>
        <w:rPr>
          <w:rFonts w:ascii="Palatino Linotype" w:hAnsi="Palatino Linotype"/>
          <w:b/>
          <w:color w:val="auto"/>
          <w:sz w:val="24"/>
          <w:szCs w:val="24"/>
        </w:rPr>
      </w:pPr>
      <w:bookmarkStart w:id="27" w:name="_Toc83301641"/>
      <w:bookmarkStart w:id="28" w:name="_Toc94119617"/>
      <w:r w:rsidRPr="005E00FF">
        <w:rPr>
          <w:rFonts w:ascii="Palatino Linotype" w:hAnsi="Palatino Linotype"/>
          <w:b/>
          <w:color w:val="auto"/>
          <w:sz w:val="24"/>
          <w:szCs w:val="24"/>
        </w:rPr>
        <w:lastRenderedPageBreak/>
        <w:t>II. De la información solicitada</w:t>
      </w:r>
      <w:bookmarkEnd w:id="26"/>
      <w:bookmarkEnd w:id="27"/>
      <w:r w:rsidRPr="005E00FF">
        <w:rPr>
          <w:rFonts w:ascii="Palatino Linotype" w:hAnsi="Palatino Linotype"/>
          <w:b/>
          <w:color w:val="auto"/>
          <w:sz w:val="24"/>
          <w:szCs w:val="24"/>
        </w:rPr>
        <w:t xml:space="preserve"> y la respuesta del Sujeto Obligado</w:t>
      </w:r>
      <w:bookmarkEnd w:id="28"/>
    </w:p>
    <w:p w:rsidR="00DA40BD" w:rsidRPr="005E00FF" w:rsidRDefault="00DA40BD" w:rsidP="00DA40BD">
      <w:pPr>
        <w:pStyle w:val="Prrafodelista"/>
        <w:numPr>
          <w:ilvl w:val="0"/>
          <w:numId w:val="1"/>
        </w:numPr>
        <w:spacing w:line="360" w:lineRule="auto"/>
        <w:ind w:left="0" w:firstLine="0"/>
        <w:jc w:val="both"/>
        <w:rPr>
          <w:rFonts w:ascii="Palatino Linotype" w:hAnsi="Palatino Linotype" w:cs="Arial"/>
          <w:sz w:val="24"/>
          <w:lang w:val="es-ES" w:eastAsia="es-ES"/>
        </w:rPr>
      </w:pPr>
      <w:r w:rsidRPr="005E00FF">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DA40BD" w:rsidRPr="005E00FF" w:rsidRDefault="00DA40BD" w:rsidP="00DA40BD">
      <w:pPr>
        <w:pStyle w:val="Prrafodelista"/>
        <w:spacing w:line="360" w:lineRule="auto"/>
        <w:ind w:left="0"/>
        <w:jc w:val="both"/>
        <w:rPr>
          <w:rFonts w:ascii="Palatino Linotype" w:hAnsi="Palatino Linotype" w:cs="Arial"/>
          <w:sz w:val="24"/>
          <w:lang w:val="es-ES" w:eastAsia="es-ES"/>
        </w:rPr>
      </w:pPr>
    </w:p>
    <w:p w:rsidR="00DA40BD" w:rsidRPr="005E00FF" w:rsidRDefault="00DA40BD" w:rsidP="00DA40BD">
      <w:pPr>
        <w:pStyle w:val="Prrafodelista"/>
        <w:numPr>
          <w:ilvl w:val="0"/>
          <w:numId w:val="1"/>
        </w:numPr>
        <w:spacing w:line="360" w:lineRule="auto"/>
        <w:ind w:left="0" w:firstLine="0"/>
        <w:jc w:val="both"/>
        <w:rPr>
          <w:rFonts w:ascii="Palatino Linotype" w:hAnsi="Palatino Linotype" w:cs="Arial"/>
          <w:sz w:val="24"/>
          <w:lang w:val="es-ES" w:eastAsia="es-ES"/>
        </w:rPr>
      </w:pPr>
      <w:r w:rsidRPr="005E00FF">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DA40BD" w:rsidRPr="005E00FF" w:rsidRDefault="00DA40BD" w:rsidP="00DA40BD">
      <w:pPr>
        <w:pStyle w:val="Prrafodelista"/>
        <w:spacing w:line="360" w:lineRule="auto"/>
        <w:ind w:left="0"/>
        <w:jc w:val="both"/>
        <w:rPr>
          <w:rFonts w:ascii="Palatino Linotype" w:hAnsi="Palatino Linotype" w:cs="Arial"/>
          <w:sz w:val="24"/>
          <w:lang w:val="es-ES" w:eastAsia="es-ES"/>
        </w:rPr>
      </w:pPr>
    </w:p>
    <w:p w:rsidR="00DA40BD" w:rsidRPr="005E00FF" w:rsidRDefault="00DA40BD" w:rsidP="00DA40BD">
      <w:pPr>
        <w:pStyle w:val="Prrafodelista"/>
        <w:numPr>
          <w:ilvl w:val="0"/>
          <w:numId w:val="1"/>
        </w:numPr>
        <w:spacing w:line="360" w:lineRule="auto"/>
        <w:ind w:left="0" w:firstLine="0"/>
        <w:jc w:val="both"/>
        <w:rPr>
          <w:rFonts w:ascii="Palatino Linotype" w:hAnsi="Palatino Linotype" w:cs="Arial"/>
          <w:sz w:val="24"/>
          <w:lang w:val="es-ES" w:eastAsia="es-ES"/>
        </w:rPr>
      </w:pPr>
      <w:r w:rsidRPr="005E00FF">
        <w:rPr>
          <w:rFonts w:ascii="Palatino Linotype" w:eastAsia="Calibri" w:hAnsi="Palatino Linotype" w:cs="Tahoma"/>
          <w:bCs/>
          <w:sz w:val="24"/>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00DA40BD" w:rsidRPr="005E00FF" w:rsidRDefault="00DA40BD" w:rsidP="00DA40BD">
      <w:pPr>
        <w:pStyle w:val="Prrafodelista"/>
        <w:spacing w:line="360" w:lineRule="auto"/>
        <w:ind w:left="0"/>
        <w:jc w:val="both"/>
        <w:rPr>
          <w:rFonts w:ascii="Palatino Linotype" w:hAnsi="Palatino Linotype" w:cs="Arial"/>
          <w:sz w:val="24"/>
          <w:lang w:val="es-ES" w:eastAsia="es-ES"/>
        </w:rPr>
      </w:pPr>
    </w:p>
    <w:p w:rsidR="000966C9" w:rsidRPr="005E00FF" w:rsidRDefault="00DA40BD" w:rsidP="000966C9">
      <w:pPr>
        <w:pStyle w:val="Prrafodelista"/>
        <w:numPr>
          <w:ilvl w:val="0"/>
          <w:numId w:val="1"/>
        </w:numPr>
        <w:spacing w:line="360" w:lineRule="auto"/>
        <w:ind w:left="0" w:firstLine="0"/>
        <w:jc w:val="both"/>
        <w:rPr>
          <w:rFonts w:ascii="Palatino Linotype" w:hAnsi="Palatino Linotype" w:cs="Arial"/>
          <w:sz w:val="24"/>
          <w:lang w:val="es-ES" w:eastAsia="es-ES"/>
        </w:rPr>
      </w:pPr>
      <w:r w:rsidRPr="005E00FF">
        <w:rPr>
          <w:rFonts w:ascii="Palatino Linotype" w:eastAsia="Calibri" w:hAnsi="Palatino Linotype" w:cs="Tahoma"/>
          <w:bCs/>
          <w:sz w:val="24"/>
          <w:lang w:eastAsia="en-US"/>
        </w:rPr>
        <w:t xml:space="preserve">Asimismo, el artículo 24 de la Ley de la materia, dispone que los Sujetos Obligados sólo proporcionarán la información pública que generen, administren o posean en el ejercicio de sus atribuciones; por consiguiente, la información pública se </w:t>
      </w:r>
      <w:r w:rsidRPr="005E00FF">
        <w:rPr>
          <w:rFonts w:ascii="Palatino Linotype" w:eastAsia="Calibri" w:hAnsi="Palatino Linotype" w:cs="Tahoma"/>
          <w:bCs/>
          <w:sz w:val="24"/>
          <w:lang w:eastAsia="en-US"/>
        </w:rPr>
        <w:lastRenderedPageBreak/>
        <w:t>encuentra a disposición de cualquier persona, lo que implica que es deber de los sujetos obligados, garantizar el derecho de acceso a la información pública.</w:t>
      </w:r>
    </w:p>
    <w:p w:rsidR="00026026" w:rsidRPr="005E00FF" w:rsidRDefault="00026026" w:rsidP="00026026">
      <w:pPr>
        <w:pStyle w:val="Prrafodelista"/>
        <w:rPr>
          <w:rFonts w:ascii="Palatino Linotype" w:hAnsi="Palatino Linotype" w:cs="Arial"/>
          <w:sz w:val="24"/>
          <w:lang w:val="es-ES" w:eastAsia="es-ES"/>
        </w:rPr>
      </w:pPr>
    </w:p>
    <w:p w:rsidR="00026026" w:rsidRPr="005E00FF" w:rsidRDefault="00026026" w:rsidP="00026026">
      <w:pPr>
        <w:pStyle w:val="Prrafodelista"/>
        <w:numPr>
          <w:ilvl w:val="0"/>
          <w:numId w:val="1"/>
        </w:numPr>
        <w:spacing w:before="240" w:after="240" w:line="360" w:lineRule="auto"/>
        <w:ind w:left="0" w:right="48" w:firstLine="0"/>
        <w:jc w:val="both"/>
        <w:rPr>
          <w:rFonts w:ascii="Palatino Linotype" w:eastAsia="MS Mincho" w:hAnsi="Palatino Linotype" w:cs="Arial"/>
          <w:i/>
          <w:sz w:val="24"/>
          <w:lang w:val="es-ES_tradnl" w:eastAsia="es-ES"/>
        </w:rPr>
      </w:pPr>
      <w:r w:rsidRPr="005E00FF">
        <w:rPr>
          <w:rFonts w:ascii="Palatino Linotype" w:hAnsi="Palatino Linotype" w:cs="Arial"/>
          <w:sz w:val="24"/>
          <w:lang w:val="es-ES" w:eastAsia="es-ES"/>
        </w:rPr>
        <w:t xml:space="preserve">Consecuentemente, en necesario recordar que el particular solicitó </w:t>
      </w:r>
      <w:r w:rsidRPr="005E00FF">
        <w:rPr>
          <w:rFonts w:ascii="Palatino Linotype" w:eastAsia="MS Mincho" w:hAnsi="Palatino Linotype" w:cs="Arial"/>
          <w:sz w:val="24"/>
          <w:lang w:val="es-ES_tradnl" w:eastAsia="es-ES"/>
        </w:rPr>
        <w:t xml:space="preserve">saber en qué va consistir el sistema de perspectiva de género. </w:t>
      </w:r>
      <w:r w:rsidRPr="005E00FF">
        <w:rPr>
          <w:rFonts w:ascii="Palatino Linotype" w:hAnsi="Palatino Linotype"/>
          <w:iCs/>
          <w:color w:val="000000"/>
          <w:sz w:val="24"/>
        </w:rPr>
        <w:t>En respuesta, el SUJETO OBLIGADO manifestó “…</w:t>
      </w:r>
      <w:r w:rsidRPr="005E00FF">
        <w:rPr>
          <w:rFonts w:ascii="Palatino Linotype" w:hAnsi="Palatino Linotype" w:cs="Arial"/>
          <w:i/>
          <w:sz w:val="24"/>
          <w:szCs w:val="22"/>
          <w:lang w:val="es-ES"/>
        </w:rPr>
        <w:t>el Sistema de Perspectiva de Género del Municipio de Toluca es un mecanismo de participación interinstitucional que tiene como objetivo diseñar e instrumentar acciones coordinadas que permitan atender las distintas formas de violencia que viven las mujeres, adolescentes y niñas del municipio de Toluca.”</w:t>
      </w:r>
    </w:p>
    <w:p w:rsidR="000966C9" w:rsidRPr="005E00FF" w:rsidRDefault="000966C9" w:rsidP="000966C9">
      <w:pPr>
        <w:pStyle w:val="Prrafodelista"/>
        <w:rPr>
          <w:rFonts w:ascii="Palatino Linotype" w:hAnsi="Palatino Linotype" w:cs="Arial"/>
          <w:sz w:val="24"/>
          <w:lang w:val="es-ES" w:eastAsia="es-ES"/>
        </w:rPr>
      </w:pPr>
    </w:p>
    <w:p w:rsidR="000966C9" w:rsidRPr="005E00FF" w:rsidRDefault="00557078" w:rsidP="000966C9">
      <w:pPr>
        <w:pStyle w:val="Prrafodelista"/>
        <w:numPr>
          <w:ilvl w:val="0"/>
          <w:numId w:val="1"/>
        </w:numPr>
        <w:spacing w:line="360" w:lineRule="auto"/>
        <w:ind w:left="0" w:firstLine="0"/>
        <w:jc w:val="both"/>
        <w:rPr>
          <w:rFonts w:ascii="Palatino Linotype" w:hAnsi="Palatino Linotype" w:cs="Arial"/>
          <w:sz w:val="24"/>
          <w:lang w:val="es-ES" w:eastAsia="es-ES"/>
        </w:rPr>
      </w:pPr>
      <w:r w:rsidRPr="005E00FF">
        <w:rPr>
          <w:rFonts w:ascii="Palatino Linotype" w:hAnsi="Palatino Linotype" w:cs="Arial"/>
          <w:sz w:val="24"/>
          <w:lang w:val="es-ES" w:eastAsia="es-ES"/>
        </w:rPr>
        <w:t xml:space="preserve">Ahora bien, </w:t>
      </w:r>
      <w:r w:rsidR="000966C9" w:rsidRPr="005E00FF">
        <w:rPr>
          <w:rFonts w:ascii="Palatino Linotype" w:eastAsia="MS Mincho" w:hAnsi="Palatino Linotype"/>
          <w:sz w:val="24"/>
          <w:lang w:val="es-ES" w:eastAsia="es-ES"/>
        </w:rPr>
        <w:t>es necesario traer a contexto el artículo 162 de la Ley de Transparencia y Acceso a la Información Pública del Estado de México y sus Municipios que establece:</w:t>
      </w:r>
    </w:p>
    <w:p w:rsidR="000966C9" w:rsidRPr="005E00FF" w:rsidRDefault="000966C9" w:rsidP="000966C9">
      <w:pPr>
        <w:spacing w:line="360" w:lineRule="auto"/>
        <w:jc w:val="both"/>
        <w:rPr>
          <w:rFonts w:ascii="Palatino Linotype" w:eastAsia="MS Mincho" w:hAnsi="Palatino Linotype"/>
          <w:lang w:val="es-ES" w:eastAsia="es-ES"/>
        </w:rPr>
      </w:pP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0966C9" w:rsidRPr="005E00FF" w:rsidRDefault="000966C9" w:rsidP="000966C9">
      <w:pPr>
        <w:spacing w:line="360" w:lineRule="auto"/>
        <w:ind w:left="851" w:right="851"/>
        <w:jc w:val="both"/>
        <w:rPr>
          <w:rFonts w:ascii="Palatino Linotype" w:eastAsia="MS Mincho" w:hAnsi="Palatino Linotype"/>
          <w:i/>
          <w:lang w:val="es-ES" w:eastAsia="es-ES"/>
        </w:rPr>
      </w:pPr>
    </w:p>
    <w:p w:rsidR="000966C9" w:rsidRPr="005E00FF" w:rsidRDefault="000966C9" w:rsidP="000966C9">
      <w:pPr>
        <w:numPr>
          <w:ilvl w:val="0"/>
          <w:numId w:val="1"/>
        </w:numPr>
        <w:spacing w:line="360" w:lineRule="auto"/>
        <w:ind w:left="0" w:firstLine="0"/>
        <w:jc w:val="both"/>
        <w:rPr>
          <w:rFonts w:ascii="Palatino Linotype" w:eastAsia="MS Mincho" w:hAnsi="Palatino Linotype"/>
          <w:lang w:val="es-ES" w:eastAsia="es-ES"/>
        </w:rPr>
      </w:pPr>
      <w:r w:rsidRPr="005E00FF">
        <w:rPr>
          <w:rFonts w:ascii="Palatino Linotype" w:eastAsia="MS Mincho" w:hAnsi="Palatino Linotype"/>
          <w:lang w:val="es-ES" w:eastAsia="es-ES"/>
        </w:rPr>
        <w:t>En este orden de ideas, el artículo 3 fracción XXXIX de la Ley de Transparencia y Acceso a la Información Pública del Estado de México y sus Municipios define al servidor público habilitado como la persona encargada dentro de las diversas unidades administrativas o áreas del sujeto obligado, de apoyar,</w:t>
      </w:r>
      <w:r w:rsidRPr="005E00FF">
        <w:rPr>
          <w:rFonts w:ascii="Palatino Linotype" w:hAnsi="Palatino Linotype"/>
        </w:rPr>
        <w:t xml:space="preserve"> gestionar y entregar la información o datos personales que se ubiquen en la misma, a sus respectivas </w:t>
      </w:r>
      <w:r w:rsidRPr="005E00FF">
        <w:rPr>
          <w:rFonts w:ascii="Palatino Linotype" w:hAnsi="Palatino Linotype"/>
        </w:rPr>
        <w:lastRenderedPageBreak/>
        <w:t>unidades de transparencia; respecto de las solicitudes presentadas y aportar en primera instancia el fundamento y motivación de la clasificación de la información; así también la  Ley referida estable en sus artículo 59 las funciones del servidor público habilitado:</w:t>
      </w:r>
    </w:p>
    <w:p w:rsidR="000966C9" w:rsidRPr="005E00FF" w:rsidRDefault="000966C9" w:rsidP="000966C9">
      <w:pPr>
        <w:spacing w:line="360" w:lineRule="auto"/>
        <w:jc w:val="both"/>
        <w:rPr>
          <w:rFonts w:ascii="Palatino Linotype" w:eastAsia="MS Mincho" w:hAnsi="Palatino Linotype"/>
          <w:lang w:val="es-ES" w:eastAsia="es-ES"/>
        </w:rPr>
      </w:pP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w:t>
      </w:r>
      <w:r w:rsidRPr="005E00FF">
        <w:rPr>
          <w:rFonts w:ascii="Palatino Linotype" w:hAnsi="Palatino Linotype"/>
          <w:b/>
          <w:i/>
        </w:rPr>
        <w:t>Artículo 59</w:t>
      </w:r>
      <w:r w:rsidRPr="005E00FF">
        <w:rPr>
          <w:rFonts w:ascii="Palatino Linotype" w:hAnsi="Palatino Linotype"/>
          <w:i/>
        </w:rPr>
        <w:t xml:space="preserve">. Los servidores públicos habilitados tendrán las funciones siguientes: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 xml:space="preserve">I. Localizar la información que le solicite la Unidad de Transparencia;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 xml:space="preserve">II. Proporcionar la información que obre en los archivos y que le sea solicitada por la Unidad de Transparencia;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 xml:space="preserve">III. Apoyar a la Unidad de Transparencia en lo que esta le solicite para el cumplimiento de sus funciones;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 xml:space="preserve">IV. Proporcionar a la Unidad de Transparencia, las modificaciones a la información pública de oficio que obre en su poder;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 xml:space="preserve">V. Integrar y presentar al responsable de la Unidad de Transparencia la propuesta de clasificación de información, la cual tendrá los fundamentos y argumentos en que se basa dicha propuesta;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 xml:space="preserve">VI. Verificar, una vez analizado el contenido de la información, que no se encuentre en los supuestos de información clasificada; y </w:t>
      </w:r>
    </w:p>
    <w:p w:rsidR="000966C9" w:rsidRPr="005E00FF" w:rsidRDefault="000966C9" w:rsidP="000966C9">
      <w:pPr>
        <w:spacing w:line="360" w:lineRule="auto"/>
        <w:ind w:left="851" w:right="851"/>
        <w:jc w:val="both"/>
        <w:rPr>
          <w:rFonts w:ascii="Palatino Linotype" w:hAnsi="Palatino Linotype"/>
          <w:i/>
        </w:rPr>
      </w:pPr>
      <w:r w:rsidRPr="005E00FF">
        <w:rPr>
          <w:rFonts w:ascii="Palatino Linotype" w:hAnsi="Palatino Linotype"/>
          <w:i/>
        </w:rPr>
        <w:t>VII. Dar cuenta a la Unidad de Transparencia del vencimiento de los plazos de reserva.”</w:t>
      </w:r>
    </w:p>
    <w:p w:rsidR="000966C9" w:rsidRPr="005E00FF" w:rsidRDefault="000966C9" w:rsidP="000966C9">
      <w:pPr>
        <w:spacing w:line="360" w:lineRule="auto"/>
        <w:ind w:left="851" w:right="851"/>
        <w:jc w:val="both"/>
        <w:rPr>
          <w:rFonts w:ascii="Palatino Linotype" w:hAnsi="Palatino Linotype"/>
          <w:i/>
        </w:rPr>
      </w:pPr>
    </w:p>
    <w:p w:rsidR="00557078" w:rsidRPr="005E00FF" w:rsidRDefault="000966C9" w:rsidP="00557078">
      <w:pPr>
        <w:pStyle w:val="Prrafodelista"/>
        <w:numPr>
          <w:ilvl w:val="0"/>
          <w:numId w:val="1"/>
        </w:numPr>
        <w:spacing w:line="360" w:lineRule="auto"/>
        <w:ind w:left="0" w:firstLine="0"/>
        <w:jc w:val="both"/>
        <w:rPr>
          <w:rFonts w:ascii="Palatino Linotype" w:hAnsi="Palatino Linotype" w:cs="Arial"/>
          <w:sz w:val="24"/>
          <w:lang w:val="es-ES" w:eastAsia="es-ES"/>
        </w:rPr>
      </w:pPr>
      <w:r w:rsidRPr="005E00FF">
        <w:rPr>
          <w:rFonts w:ascii="Palatino Linotype" w:hAnsi="Palatino Linotype" w:cs="Arial"/>
          <w:sz w:val="24"/>
          <w:lang w:val="es-ES" w:eastAsia="es-ES"/>
        </w:rPr>
        <w:t xml:space="preserve">Como se advierte en los preceptos legales señalados, las unidades de transparencia deben turnar las solicitudes a los servidores públicos habilitados que de acuerdo a sus atribuciones puedan generar, poseer o administrar la información </w:t>
      </w:r>
      <w:r w:rsidRPr="005E00FF">
        <w:rPr>
          <w:rFonts w:ascii="Palatino Linotype" w:hAnsi="Palatino Linotype" w:cs="Arial"/>
          <w:sz w:val="24"/>
          <w:lang w:val="es-ES" w:eastAsia="es-ES"/>
        </w:rPr>
        <w:lastRenderedPageBreak/>
        <w:t>solicitada, situación que ocurrió en el presente caso</w:t>
      </w:r>
      <w:r w:rsidR="00DF7124" w:rsidRPr="005E00FF">
        <w:rPr>
          <w:rFonts w:ascii="Palatino Linotype" w:hAnsi="Palatino Linotype" w:cs="Arial"/>
          <w:sz w:val="24"/>
          <w:lang w:val="es-ES" w:eastAsia="es-ES"/>
        </w:rPr>
        <w:t>, pues de las constancias que obran en el expediente electrónica SAIMEX, se advierte que se realizaron los requerimientos a los servidores públicos habilitados:</w:t>
      </w:r>
    </w:p>
    <w:p w:rsidR="00DF7124" w:rsidRPr="005E00FF" w:rsidRDefault="00DF7124" w:rsidP="00DF7124">
      <w:pPr>
        <w:pStyle w:val="Prrafodelista"/>
        <w:spacing w:line="360" w:lineRule="auto"/>
        <w:ind w:left="0"/>
        <w:jc w:val="both"/>
        <w:rPr>
          <w:rFonts w:ascii="Palatino Linotype" w:hAnsi="Palatino Linotype" w:cs="Arial"/>
          <w:sz w:val="24"/>
          <w:lang w:val="es-ES" w:eastAsia="es-ES"/>
        </w:rPr>
      </w:pPr>
    </w:p>
    <w:p w:rsidR="00DF7124" w:rsidRPr="005E00FF" w:rsidRDefault="00DF7124" w:rsidP="00DF7124">
      <w:pPr>
        <w:pStyle w:val="Prrafodelista"/>
        <w:spacing w:line="360" w:lineRule="auto"/>
        <w:ind w:left="0"/>
        <w:jc w:val="center"/>
        <w:rPr>
          <w:rFonts w:ascii="Palatino Linotype" w:hAnsi="Palatino Linotype" w:cs="Arial"/>
          <w:sz w:val="24"/>
          <w:lang w:val="es-ES" w:eastAsia="es-ES"/>
        </w:rPr>
      </w:pPr>
      <w:r w:rsidRPr="005E00FF">
        <w:rPr>
          <w:noProof/>
        </w:rPr>
        <w:drawing>
          <wp:inline distT="0" distB="0" distL="0" distR="0" wp14:anchorId="5B469300" wp14:editId="33466E11">
            <wp:extent cx="5309870" cy="1312433"/>
            <wp:effectExtent l="0" t="0" r="508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3487" t="28318" r="13082" b="44695"/>
                    <a:stretch/>
                  </pic:blipFill>
                  <pic:spPr bwMode="auto">
                    <a:xfrm>
                      <a:off x="0" y="0"/>
                      <a:ext cx="5402844" cy="1335413"/>
                    </a:xfrm>
                    <a:prstGeom prst="rect">
                      <a:avLst/>
                    </a:prstGeom>
                    <a:ln>
                      <a:noFill/>
                    </a:ln>
                    <a:extLst>
                      <a:ext uri="{53640926-AAD7-44D8-BBD7-CCE9431645EC}">
                        <a14:shadowObscured xmlns:a14="http://schemas.microsoft.com/office/drawing/2010/main"/>
                      </a:ext>
                    </a:extLst>
                  </pic:spPr>
                </pic:pic>
              </a:graphicData>
            </a:graphic>
          </wp:inline>
        </w:drawing>
      </w:r>
    </w:p>
    <w:p w:rsidR="00557078" w:rsidRPr="005E00FF" w:rsidRDefault="00557078" w:rsidP="00DF7124">
      <w:pPr>
        <w:rPr>
          <w:rFonts w:ascii="Palatino Linotype" w:eastAsia="Calibri" w:hAnsi="Palatino Linotype" w:cs="Arial"/>
        </w:rPr>
      </w:pPr>
    </w:p>
    <w:p w:rsidR="00557078" w:rsidRPr="005E00FF" w:rsidRDefault="00026026" w:rsidP="00753EC1">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E00FF">
        <w:rPr>
          <w:rFonts w:ascii="Palatino Linotype" w:eastAsia="MS Mincho" w:hAnsi="Palatino Linotype" w:cs="Arial"/>
          <w:sz w:val="24"/>
          <w:lang w:val="es-ES_tradnl" w:eastAsia="es-ES"/>
        </w:rPr>
        <w:t>A</w:t>
      </w:r>
      <w:r w:rsidR="00E312CE" w:rsidRPr="005E00FF">
        <w:rPr>
          <w:rFonts w:ascii="Palatino Linotype" w:eastAsia="MS Mincho" w:hAnsi="Palatino Linotype" w:cs="Arial"/>
          <w:sz w:val="24"/>
          <w:lang w:val="es-ES_tradnl" w:eastAsia="es-ES"/>
        </w:rPr>
        <w:t xml:space="preserve">hora bien, podemos advertir que, de acuerdo al oficio de remitido por el sujeto obligado, la respuesta fue emitida por el Instituto Municipal de la Mujer de Toluca, quien de acuerdo a la </w:t>
      </w:r>
      <w:r w:rsidR="00E312CE" w:rsidRPr="005E00FF">
        <w:rPr>
          <w:rFonts w:ascii="Palatino Linotype" w:hAnsi="Palatino Linotype"/>
          <w:sz w:val="24"/>
        </w:rPr>
        <w:t xml:space="preserve">Ley que crea el Organismo Público Descentralizado denominado Instituto Municipal de la Mujer de Toluca, </w:t>
      </w:r>
      <w:r w:rsidR="00DA5838" w:rsidRPr="005E00FF">
        <w:rPr>
          <w:rFonts w:ascii="Palatino Linotype" w:hAnsi="Palatino Linotype"/>
          <w:sz w:val="24"/>
        </w:rPr>
        <w:t>tiene por objeto:</w:t>
      </w:r>
    </w:p>
    <w:p w:rsidR="00E312CE" w:rsidRPr="005E00FF" w:rsidRDefault="00E312CE" w:rsidP="00E312CE">
      <w:pPr>
        <w:pStyle w:val="Prrafodelista"/>
        <w:spacing w:before="240" w:after="240" w:line="360" w:lineRule="auto"/>
        <w:ind w:left="0" w:right="48"/>
        <w:jc w:val="both"/>
        <w:rPr>
          <w:rFonts w:ascii="Palatino Linotype" w:eastAsia="MS Mincho" w:hAnsi="Palatino Linotype" w:cs="Arial"/>
          <w:sz w:val="24"/>
          <w:lang w:val="es-ES_tradnl" w:eastAsia="es-ES"/>
        </w:rPr>
      </w:pP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ARTÍCULO 3.- El Instituto tiene por objeto: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I. Impulsar y apoyar la ejecución de las políticas, estrategias y acciones, dirigidas al desarrollo de las mujeres del municipio, a fin de lograr su plena participación en los ámbitos económico, político, social, cultural, laboral y educativo, para mejorar su condición social en un marco de equidad entre los géneros: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II. Promover la perspectiva de género con transversalidad mediante la participación de las mujeres en la toma de decisiones respecto del diseño de los planes y los programas de gobierno municipal;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III. Asegurar que la planeación presupuestal incorpore la perspectiva de género, con acciones afirmativas que apoyen la transversalidad y prevea el cumplimiento de los programas, proyectos y acciones para la igualdad entre mujeres y hombres;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lastRenderedPageBreak/>
        <w:t xml:space="preserve">IV. Gestionar ante las autoridades en materia de salud del ámbito Federal y Estatal la prevención y atención del cáncer de mama y cáncer cervicouterino para las mujeres y niñas del municipio.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V. Celebrar convenios que coadyuven al logro de sus objetivos;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VI. Fortalecer la capacidad productiva de la mujer; </w:t>
      </w:r>
    </w:p>
    <w:p w:rsidR="002670E1"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 xml:space="preserve">VII. Diseñar programas que promuevan la igualdad de derechos; y </w:t>
      </w:r>
    </w:p>
    <w:p w:rsidR="00E312CE" w:rsidRPr="005E00FF" w:rsidRDefault="00E312CE"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VIII. Coadyuvar en el combate y eliminación de todas las formas de violencia contra las mujeres.</w:t>
      </w:r>
    </w:p>
    <w:p w:rsidR="00DA5838" w:rsidRPr="005E00FF" w:rsidRDefault="00DA5838" w:rsidP="002670E1">
      <w:pPr>
        <w:pStyle w:val="Prrafodelista"/>
        <w:spacing w:before="240" w:after="240" w:line="360" w:lineRule="auto"/>
        <w:ind w:left="851" w:right="822"/>
        <w:jc w:val="both"/>
        <w:rPr>
          <w:rFonts w:ascii="Palatino Linotype" w:hAnsi="Palatino Linotype"/>
          <w:i/>
        </w:rPr>
      </w:pPr>
      <w:r w:rsidRPr="005E00FF">
        <w:rPr>
          <w:rFonts w:ascii="Palatino Linotype" w:hAnsi="Palatino Linotype"/>
          <w:i/>
        </w:rPr>
        <w:t>IX. Coordinarse con las diversas dependencias de la administración municipal, a fin de no entrar en duplicidades y garantizar la concreta aplicación de los recursos presupuestales.</w:t>
      </w:r>
    </w:p>
    <w:p w:rsidR="002670E1" w:rsidRPr="005E00FF" w:rsidRDefault="002670E1" w:rsidP="002670E1">
      <w:pPr>
        <w:pStyle w:val="Prrafodelista"/>
        <w:spacing w:before="240" w:after="240" w:line="360" w:lineRule="auto"/>
        <w:ind w:left="851" w:right="822"/>
        <w:jc w:val="both"/>
        <w:rPr>
          <w:rFonts w:ascii="Palatino Linotype" w:eastAsia="MS Mincho" w:hAnsi="Palatino Linotype" w:cs="Arial"/>
          <w:i/>
          <w:sz w:val="24"/>
          <w:lang w:val="es-ES_tradnl" w:eastAsia="es-ES"/>
        </w:rPr>
      </w:pPr>
    </w:p>
    <w:p w:rsidR="00753EC1" w:rsidRPr="005E00FF" w:rsidRDefault="002670E1" w:rsidP="002670E1">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E00FF">
        <w:rPr>
          <w:rFonts w:ascii="Palatino Linotype" w:eastAsia="MS Mincho" w:hAnsi="Palatino Linotype" w:cs="Arial"/>
          <w:sz w:val="24"/>
          <w:lang w:val="es-ES_tradnl" w:eastAsia="es-ES"/>
        </w:rPr>
        <w:t xml:space="preserve">Es así que el Instituto Municipal de la Mujer tiene atribuciones para generar, poseer y administrar la información solicitada, por lo tanto, la información remitida en respuesta colma con la solicitud de información del particular; aunado a que </w:t>
      </w:r>
      <w:r w:rsidR="00753EC1" w:rsidRPr="005E00FF">
        <w:rPr>
          <w:rFonts w:ascii="Palatino Linotype" w:eastAsia="MS Mincho" w:hAnsi="Palatino Linotype" w:cs="Arial"/>
          <w:sz w:val="24"/>
          <w:lang w:val="es-ES_tradnl" w:eastAsia="es-ES"/>
        </w:rPr>
        <w:t>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753EC1" w:rsidRPr="005E00FF" w:rsidRDefault="00753EC1" w:rsidP="00753EC1">
      <w:pPr>
        <w:pStyle w:val="Prrafodelista"/>
        <w:spacing w:before="240" w:after="240" w:line="360" w:lineRule="auto"/>
        <w:ind w:left="0" w:right="48"/>
        <w:jc w:val="both"/>
        <w:rPr>
          <w:rFonts w:ascii="Palatino Linotype" w:eastAsia="MS Mincho" w:hAnsi="Palatino Linotype" w:cs="Arial"/>
          <w:sz w:val="24"/>
          <w:lang w:val="es-ES_tradnl" w:eastAsia="es-ES"/>
        </w:rPr>
      </w:pPr>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E00FF">
        <w:rPr>
          <w:rFonts w:ascii="Palatino Linotype" w:eastAsia="MS Mincho" w:hAnsi="Palatino Linotype" w:cs="Arial"/>
          <w:sz w:val="24"/>
          <w:lang w:val="es-ES_tradnl" w:eastAsia="es-ES"/>
        </w:rPr>
        <w:t>Sirviendo de apoyo a lo anterior por analogía, el criterio 31-10 emitido por el ahora Instituto Nacional de Transparencia, Acceso a la Información y Protección de Datos Personales, que a la letra dice:</w:t>
      </w:r>
    </w:p>
    <w:p w:rsidR="00753EC1" w:rsidRPr="005E00FF" w:rsidRDefault="00753EC1" w:rsidP="00753EC1">
      <w:pPr>
        <w:pStyle w:val="Prrafodelista"/>
        <w:spacing w:before="240" w:after="240" w:line="360" w:lineRule="auto"/>
        <w:ind w:left="360" w:right="48"/>
        <w:jc w:val="both"/>
        <w:rPr>
          <w:rFonts w:ascii="Palatino Linotype" w:eastAsia="MS Mincho" w:hAnsi="Palatino Linotype" w:cs="Arial"/>
          <w:sz w:val="24"/>
          <w:lang w:val="es-ES_tradnl" w:eastAsia="es-ES"/>
        </w:rPr>
      </w:pPr>
    </w:p>
    <w:p w:rsidR="00753EC1" w:rsidRPr="005E00FF" w:rsidRDefault="00753EC1" w:rsidP="00753EC1">
      <w:pPr>
        <w:pStyle w:val="Prrafodelista"/>
        <w:spacing w:before="240" w:after="240" w:line="360" w:lineRule="auto"/>
        <w:ind w:left="851" w:right="822"/>
        <w:jc w:val="both"/>
        <w:rPr>
          <w:rFonts w:ascii="Palatino Linotype" w:eastAsia="MS Mincho" w:hAnsi="Palatino Linotype" w:cs="Arial"/>
          <w:i/>
          <w:lang w:val="es-ES_tradnl" w:eastAsia="es-ES"/>
        </w:rPr>
      </w:pPr>
      <w:r w:rsidRPr="005E00FF">
        <w:rPr>
          <w:rFonts w:ascii="Palatino Linotype" w:eastAsia="MS Mincho" w:hAnsi="Palatino Linotype" w:cs="Arial"/>
          <w:i/>
          <w:lang w:val="es-ES_tradnl" w:eastAsia="es-ES"/>
        </w:rPr>
        <w:lastRenderedPageBreak/>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670E1" w:rsidRPr="005E00FF" w:rsidRDefault="002670E1" w:rsidP="00753EC1">
      <w:pPr>
        <w:pStyle w:val="Prrafodelista"/>
        <w:spacing w:before="240" w:after="240" w:line="360" w:lineRule="auto"/>
        <w:ind w:left="851" w:right="822"/>
        <w:jc w:val="both"/>
        <w:rPr>
          <w:rFonts w:ascii="Palatino Linotype" w:eastAsia="MS Mincho" w:hAnsi="Palatino Linotype" w:cs="Arial"/>
          <w:i/>
          <w:lang w:val="es-ES_tradnl" w:eastAsia="es-ES"/>
        </w:rPr>
      </w:pPr>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E00FF">
        <w:rPr>
          <w:rFonts w:ascii="Palatino Linotype" w:eastAsia="MS Mincho" w:hAnsi="Palatino Linotype" w:cs="Arial"/>
          <w:sz w:val="24"/>
          <w:lang w:val="es-ES_tradnl" w:eastAsia="es-ES"/>
        </w:rPr>
        <w:t>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53EC1" w:rsidRPr="005E00FF" w:rsidRDefault="00753EC1" w:rsidP="00753EC1">
      <w:pPr>
        <w:pStyle w:val="Prrafodelista"/>
        <w:tabs>
          <w:tab w:val="left" w:pos="1710"/>
        </w:tabs>
        <w:spacing w:before="240" w:after="240" w:line="360" w:lineRule="auto"/>
        <w:ind w:left="0" w:right="48"/>
        <w:jc w:val="both"/>
        <w:rPr>
          <w:rFonts w:ascii="Palatino Linotype" w:eastAsia="MS Mincho" w:hAnsi="Palatino Linotype" w:cs="Arial"/>
          <w:sz w:val="24"/>
          <w:lang w:val="es-ES_tradnl" w:eastAsia="es-ES"/>
        </w:rPr>
      </w:pPr>
      <w:r w:rsidRPr="005E00FF">
        <w:rPr>
          <w:rFonts w:ascii="Palatino Linotype" w:eastAsia="MS Mincho" w:hAnsi="Palatino Linotype" w:cs="Arial"/>
          <w:sz w:val="24"/>
          <w:lang w:val="es-ES_tradnl" w:eastAsia="es-ES"/>
        </w:rPr>
        <w:tab/>
      </w:r>
    </w:p>
    <w:p w:rsidR="00753EC1" w:rsidRPr="005E00FF" w:rsidRDefault="00753EC1" w:rsidP="00753EC1">
      <w:pPr>
        <w:pStyle w:val="Prrafodelista"/>
        <w:spacing w:before="240" w:after="240" w:line="360" w:lineRule="auto"/>
        <w:ind w:left="851" w:right="822"/>
        <w:jc w:val="both"/>
        <w:rPr>
          <w:rFonts w:ascii="Palatino Linotype" w:eastAsia="MS Mincho" w:hAnsi="Palatino Linotype" w:cs="Arial"/>
          <w:i/>
          <w:lang w:val="es-ES_tradnl" w:eastAsia="es-ES"/>
        </w:rPr>
      </w:pPr>
      <w:r w:rsidRPr="005E00FF">
        <w:rPr>
          <w:rFonts w:ascii="Palatino Linotype" w:eastAsia="MS Mincho" w:hAnsi="Palatino Linotype" w:cs="Arial"/>
          <w:i/>
          <w:lang w:val="es-ES_tradnl" w:eastAsia="es-ES"/>
        </w:rPr>
        <w:t xml:space="preserve">Artículo 3.- La información pública generada, administrada o en posesión de los Sujetos Obligados en ejercicio de sus atribuciones, será accesible de manera permanente a cualquier persona, privilegiando el principio de máxima publicidad de </w:t>
      </w:r>
      <w:r w:rsidRPr="005E00FF">
        <w:rPr>
          <w:rFonts w:ascii="Palatino Linotype" w:eastAsia="MS Mincho" w:hAnsi="Palatino Linotype" w:cs="Arial"/>
          <w:i/>
          <w:lang w:val="es-ES_tradnl" w:eastAsia="es-ES"/>
        </w:rPr>
        <w:lastRenderedPageBreak/>
        <w:t>la información. Los Sujetos Obligados deben poner en práctica, políticas y programas de acceso a la información que se apeguen a criterios de publicidad, veracidad, oportunidad, precisión y suficiencia en beneficio de los solicitantes.</w:t>
      </w:r>
    </w:p>
    <w:p w:rsidR="00753EC1" w:rsidRPr="005E00FF" w:rsidRDefault="00753EC1" w:rsidP="00753EC1">
      <w:pPr>
        <w:pStyle w:val="Prrafodelista"/>
        <w:spacing w:before="240" w:after="240" w:line="360" w:lineRule="auto"/>
        <w:ind w:left="0" w:right="48"/>
        <w:jc w:val="both"/>
        <w:rPr>
          <w:rFonts w:ascii="Palatino Linotype" w:eastAsia="MS Mincho" w:hAnsi="Palatino Linotype" w:cs="Arial"/>
          <w:sz w:val="24"/>
          <w:lang w:val="es-ES_tradnl" w:eastAsia="es-ES"/>
        </w:rPr>
      </w:pPr>
    </w:p>
    <w:p w:rsidR="00753EC1" w:rsidRPr="005E00FF" w:rsidRDefault="00753EC1" w:rsidP="002670E1">
      <w:pPr>
        <w:pStyle w:val="Prrafodelista"/>
        <w:numPr>
          <w:ilvl w:val="0"/>
          <w:numId w:val="1"/>
        </w:numPr>
        <w:spacing w:before="240" w:after="240" w:line="360" w:lineRule="auto"/>
        <w:ind w:left="0" w:right="48" w:firstLine="0"/>
        <w:jc w:val="both"/>
        <w:rPr>
          <w:rFonts w:ascii="Palatino Linotype" w:eastAsia="MS Mincho" w:hAnsi="Palatino Linotype" w:cs="Arial"/>
          <w:sz w:val="24"/>
          <w:lang w:val="es-ES_tradnl" w:eastAsia="es-ES"/>
        </w:rPr>
      </w:pPr>
      <w:r w:rsidRPr="005E00FF">
        <w:rPr>
          <w:rFonts w:ascii="Palatino Linotype" w:eastAsia="MS Mincho" w:hAnsi="Palatino Linotype" w:cs="Arial"/>
          <w:sz w:val="24"/>
          <w:lang w:val="es-ES_tradnl" w:eastAsia="es-ES"/>
        </w:rPr>
        <w:t>Numerales que compelen al SUJETO OBLIGADO a apegarse en todo momento a los criterios ya expuestos, impidiendo a este Órgano Colegiado cuestionar la veracidad de la información.</w:t>
      </w:r>
    </w:p>
    <w:p w:rsidR="002670E1" w:rsidRPr="005E00FF" w:rsidRDefault="002670E1" w:rsidP="002670E1">
      <w:pPr>
        <w:pStyle w:val="Prrafodelista"/>
        <w:spacing w:before="240" w:after="240" w:line="360" w:lineRule="auto"/>
        <w:ind w:left="0" w:right="48"/>
        <w:jc w:val="both"/>
        <w:rPr>
          <w:rFonts w:ascii="Palatino Linotype" w:eastAsia="MS Mincho" w:hAnsi="Palatino Linotype" w:cs="Arial"/>
          <w:sz w:val="24"/>
          <w:lang w:val="es-ES_tradnl" w:eastAsia="es-ES"/>
        </w:rPr>
      </w:pPr>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5E00FF">
        <w:rPr>
          <w:rFonts w:ascii="Palatino Linotype" w:hAnsi="Palatino Linotype" w:cs="Arial"/>
          <w:sz w:val="24"/>
        </w:rPr>
        <w:t xml:space="preserve">Por lo anteriormente expuesto, resulta evidente que el </w:t>
      </w:r>
      <w:r w:rsidRPr="005E00FF">
        <w:rPr>
          <w:rFonts w:ascii="Palatino Linotype" w:hAnsi="Palatino Linotype" w:cs="Arial"/>
          <w:b/>
          <w:sz w:val="24"/>
        </w:rPr>
        <w:t>SUJETO OBLIGADO</w:t>
      </w:r>
      <w:r w:rsidRPr="005E00FF">
        <w:rPr>
          <w:rFonts w:ascii="Palatino Linotype" w:hAnsi="Palatino Linotype" w:cs="Arial"/>
          <w:sz w:val="24"/>
        </w:rPr>
        <w:t xml:space="preserve"> proporcionó respuesta a la solicitud de información que le fue presentada. </w:t>
      </w:r>
      <w:r w:rsidRPr="005E00FF">
        <w:rPr>
          <w:rFonts w:ascii="Palatino Linotype" w:hAnsi="Palatino Linotype" w:cs="Arial"/>
          <w:color w:val="000000"/>
          <w:sz w:val="24"/>
          <w:lang w:val="es-ES"/>
        </w:rPr>
        <w:t>En esta tesitura se entiende que no se vulneró el derecho de acceso a la información del recurrente ya que a través dela entrega de los documentos se colmó con el requerimiento del particular.</w:t>
      </w:r>
    </w:p>
    <w:p w:rsidR="00753EC1" w:rsidRPr="005E00FF" w:rsidRDefault="00753EC1" w:rsidP="00753EC1">
      <w:pPr>
        <w:pStyle w:val="Prrafodelista"/>
        <w:rPr>
          <w:rFonts w:ascii="Palatino Linotype" w:hAnsi="Palatino Linotype" w:cs="Arial"/>
          <w:sz w:val="24"/>
          <w:lang w:val="es-ES"/>
        </w:rPr>
      </w:pPr>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5E00FF">
        <w:rPr>
          <w:rFonts w:ascii="Palatino Linotype" w:hAnsi="Palatino Linotype" w:cs="Arial"/>
          <w:sz w:val="24"/>
          <w:lang w:val="es-ES"/>
        </w:rPr>
        <w:t xml:space="preserve">De lo anterior, resultan infundadas las razones o motivos de </w:t>
      </w:r>
      <w:r w:rsidRPr="005E00FF">
        <w:rPr>
          <w:rFonts w:ascii="Palatino Linotype" w:hAnsi="Palatino Linotype" w:cs="Arial"/>
          <w:sz w:val="24"/>
        </w:rPr>
        <w:t>inconformidad hechos valer por el</w:t>
      </w:r>
      <w:r w:rsidRPr="005E00FF">
        <w:rPr>
          <w:rFonts w:ascii="Palatino Linotype" w:hAnsi="Palatino Linotype"/>
          <w:sz w:val="24"/>
        </w:rPr>
        <w:t xml:space="preserve"> </w:t>
      </w:r>
      <w:r w:rsidRPr="005E00FF">
        <w:rPr>
          <w:rFonts w:ascii="Palatino Linotype" w:hAnsi="Palatino Linotype"/>
          <w:b/>
          <w:sz w:val="24"/>
        </w:rPr>
        <w:t>RECURRENTE y</w:t>
      </w:r>
      <w:r w:rsidRPr="005E00FF">
        <w:rPr>
          <w:rFonts w:ascii="Palatino Linotype" w:eastAsiaTheme="minorEastAsia" w:hAnsi="Palatino Linotype" w:cs="Arial"/>
          <w:sz w:val="24"/>
          <w:lang w:val="es-ES_tradnl" w:eastAsia="es-ES"/>
        </w:rPr>
        <w:t xml:space="preserve"> en términos del artículo 186 fracción II este Pleno determina </w:t>
      </w:r>
      <w:r w:rsidRPr="005E00FF">
        <w:rPr>
          <w:rFonts w:ascii="Palatino Linotype" w:eastAsiaTheme="minorEastAsia" w:hAnsi="Palatino Linotype" w:cs="Arial"/>
          <w:b/>
          <w:sz w:val="24"/>
          <w:lang w:val="es-ES_tradnl" w:eastAsia="es-ES"/>
        </w:rPr>
        <w:t>CONFIRMAR</w:t>
      </w:r>
      <w:r w:rsidRPr="005E00FF">
        <w:rPr>
          <w:rFonts w:ascii="Palatino Linotype" w:eastAsiaTheme="minorEastAsia" w:hAnsi="Palatino Linotype" w:cs="Arial"/>
          <w:sz w:val="24"/>
          <w:lang w:val="es-ES_tradnl" w:eastAsia="es-ES"/>
        </w:rPr>
        <w:t xml:space="preserve"> la respuesta del presente recurso de revisión, toda vez que no hubo afectación al derecho de acceso a la información pública establecido constitucionalmente a favor del particular.</w:t>
      </w:r>
    </w:p>
    <w:p w:rsidR="00753EC1" w:rsidRPr="005E00FF" w:rsidRDefault="00753EC1" w:rsidP="00753EC1">
      <w:pPr>
        <w:pStyle w:val="Prrafodelista"/>
        <w:rPr>
          <w:rFonts w:ascii="Palatino Linotype" w:eastAsia="MS Mincho" w:hAnsi="Palatino Linotype"/>
          <w:sz w:val="24"/>
          <w:lang w:val="es-ES_tradnl" w:eastAsia="es-ES"/>
        </w:rPr>
      </w:pPr>
    </w:p>
    <w:p w:rsidR="00753EC1" w:rsidRPr="005E00FF" w:rsidRDefault="00753EC1" w:rsidP="00753EC1">
      <w:pPr>
        <w:pStyle w:val="Prrafodelista"/>
        <w:numPr>
          <w:ilvl w:val="0"/>
          <w:numId w:val="1"/>
        </w:numPr>
        <w:spacing w:before="240" w:after="240" w:line="360" w:lineRule="auto"/>
        <w:ind w:left="0" w:right="48" w:firstLine="0"/>
        <w:jc w:val="both"/>
        <w:rPr>
          <w:rFonts w:ascii="Palatino Linotype" w:eastAsia="MS Mincho" w:hAnsi="Palatino Linotype" w:cs="Arial"/>
          <w:sz w:val="32"/>
          <w:lang w:eastAsia="es-ES"/>
        </w:rPr>
      </w:pPr>
      <w:r w:rsidRPr="005E00FF">
        <w:rPr>
          <w:rFonts w:ascii="Palatino Linotype" w:eastAsia="MS Mincho" w:hAnsi="Palatino Linotype"/>
          <w:sz w:val="24"/>
          <w:lang w:val="es-ES_tradnl" w:eastAsia="es-ES"/>
        </w:rPr>
        <w:t xml:space="preserve">Por lo </w:t>
      </w:r>
      <w:r w:rsidRPr="005E00FF">
        <w:rPr>
          <w:rFonts w:ascii="Palatino Linotype" w:eastAsia="MS Mincho" w:hAnsi="Palatino Linotype"/>
          <w:color w:val="000000"/>
          <w:sz w:val="24"/>
          <w:lang w:val="es-ES_tradnl" w:eastAsia="es-ES"/>
        </w:rPr>
        <w:t>anteriormente</w:t>
      </w:r>
      <w:r w:rsidRPr="005E00FF">
        <w:rPr>
          <w:rFonts w:ascii="Palatino Linotype" w:eastAsia="MS Mincho" w:hAnsi="Palatino Linotype"/>
          <w:sz w:val="24"/>
          <w:lang w:val="es-ES_tradnl" w:eastAsia="es-ES"/>
        </w:rPr>
        <w:t xml:space="preserve"> expuesto y fundado este </w:t>
      </w:r>
      <w:r w:rsidRPr="005E00FF">
        <w:rPr>
          <w:rFonts w:ascii="Palatino Linotype" w:eastAsia="MS Mincho" w:hAnsi="Palatino Linotype"/>
          <w:b/>
          <w:sz w:val="24"/>
          <w:lang w:val="es-ES_tradnl" w:eastAsia="es-ES"/>
        </w:rPr>
        <w:t>ÓRGANO GARANTE</w:t>
      </w:r>
      <w:r w:rsidRPr="005E00FF">
        <w:rPr>
          <w:rFonts w:ascii="Palatino Linotype" w:eastAsia="MS Mincho" w:hAnsi="Palatino Linotype"/>
          <w:sz w:val="24"/>
          <w:lang w:val="es-ES_tradnl" w:eastAsia="es-ES"/>
        </w:rPr>
        <w:t xml:space="preserve"> emite los siguientes</w:t>
      </w:r>
      <w:bookmarkStart w:id="29" w:name="_Toc454968928"/>
      <w:bookmarkStart w:id="30" w:name="_Toc455743517"/>
      <w:bookmarkStart w:id="31" w:name="_Toc458016386"/>
      <w:bookmarkStart w:id="32" w:name="_Toc461555893"/>
      <w:bookmarkStart w:id="33" w:name="_Toc462307690"/>
      <w:bookmarkStart w:id="34" w:name="_Toc475005143"/>
      <w:bookmarkStart w:id="35" w:name="_Toc499659080"/>
      <w:r w:rsidRPr="005E00FF">
        <w:rPr>
          <w:rFonts w:ascii="Palatino Linotype" w:eastAsia="Calibri" w:hAnsi="Palatino Linotype" w:cs="Arial"/>
          <w:sz w:val="24"/>
        </w:rPr>
        <w:t>:</w:t>
      </w:r>
    </w:p>
    <w:p w:rsidR="00753EC1" w:rsidRPr="005E00FF" w:rsidRDefault="00753EC1" w:rsidP="00753EC1">
      <w:pPr>
        <w:keepNext/>
        <w:keepLines/>
        <w:tabs>
          <w:tab w:val="left" w:pos="3043"/>
          <w:tab w:val="center" w:pos="4490"/>
        </w:tabs>
        <w:spacing w:line="360" w:lineRule="auto"/>
        <w:ind w:right="-142"/>
        <w:outlineLvl w:val="0"/>
        <w:rPr>
          <w:rFonts w:ascii="Palatino Linotype" w:eastAsia="Calibri" w:hAnsi="Palatino Linotype" w:cstheme="majorBidi"/>
          <w:b/>
          <w:lang w:val="es-ES" w:eastAsia="es-ES"/>
        </w:rPr>
      </w:pPr>
      <w:bookmarkStart w:id="36" w:name="_Toc447183492"/>
      <w:bookmarkStart w:id="37" w:name="_Toc450120667"/>
      <w:bookmarkStart w:id="38" w:name="_Toc461555895"/>
      <w:bookmarkEnd w:id="29"/>
      <w:bookmarkEnd w:id="30"/>
      <w:bookmarkEnd w:id="31"/>
      <w:bookmarkEnd w:id="32"/>
      <w:bookmarkEnd w:id="33"/>
      <w:bookmarkEnd w:id="34"/>
      <w:bookmarkEnd w:id="35"/>
      <w:r w:rsidRPr="005E00FF">
        <w:rPr>
          <w:rFonts w:ascii="Palatino Linotype" w:eastAsia="Calibri" w:hAnsi="Palatino Linotype" w:cstheme="majorBidi"/>
          <w:b/>
          <w:lang w:val="es-ES" w:eastAsia="es-ES"/>
        </w:rPr>
        <w:tab/>
      </w:r>
      <w:bookmarkStart w:id="39" w:name="_Toc33024851"/>
      <w:r w:rsidRPr="005E00FF">
        <w:rPr>
          <w:rFonts w:ascii="Palatino Linotype" w:eastAsia="Calibri" w:hAnsi="Palatino Linotype" w:cstheme="majorBidi"/>
          <w:b/>
          <w:lang w:val="es-ES" w:eastAsia="es-ES"/>
        </w:rPr>
        <w:t>R E S O L U T I V O S</w:t>
      </w:r>
      <w:bookmarkEnd w:id="36"/>
      <w:bookmarkEnd w:id="37"/>
      <w:bookmarkEnd w:id="38"/>
      <w:bookmarkEnd w:id="39"/>
      <w:r w:rsidRPr="005E00FF">
        <w:rPr>
          <w:rFonts w:ascii="Palatino Linotype" w:eastAsia="Calibri" w:hAnsi="Palatino Linotype" w:cstheme="majorBidi"/>
          <w:b/>
          <w:lang w:val="es-ES" w:eastAsia="es-ES"/>
        </w:rPr>
        <w:t xml:space="preserve"> </w:t>
      </w:r>
    </w:p>
    <w:p w:rsidR="00753EC1" w:rsidRPr="005E00FF" w:rsidRDefault="00753EC1" w:rsidP="00753EC1">
      <w:pPr>
        <w:shd w:val="clear" w:color="auto" w:fill="FFFFFF"/>
        <w:spacing w:line="360" w:lineRule="auto"/>
        <w:jc w:val="both"/>
        <w:rPr>
          <w:rFonts w:ascii="Palatino Linotype" w:eastAsia="MS Mincho" w:hAnsi="Palatino Linotype"/>
          <w:lang w:val="es-ES" w:eastAsia="es-ES"/>
        </w:rPr>
      </w:pPr>
    </w:p>
    <w:p w:rsidR="00753EC1" w:rsidRPr="005E00FF" w:rsidRDefault="00753EC1" w:rsidP="00753EC1">
      <w:pPr>
        <w:spacing w:line="360" w:lineRule="auto"/>
        <w:jc w:val="both"/>
        <w:rPr>
          <w:rFonts w:ascii="Palatino Linotype" w:eastAsiaTheme="minorEastAsia" w:hAnsi="Palatino Linotype" w:cs="Arial"/>
          <w:bCs/>
          <w:lang w:val="es-ES_tradnl" w:eastAsia="es-ES"/>
        </w:rPr>
      </w:pPr>
      <w:r w:rsidRPr="005E00FF">
        <w:rPr>
          <w:rFonts w:ascii="Palatino Linotype" w:hAnsi="Palatino Linotype" w:cs="Arial"/>
          <w:b/>
          <w:lang w:val="es-ES_tradnl" w:eastAsia="es-ES"/>
        </w:rPr>
        <w:lastRenderedPageBreak/>
        <w:t xml:space="preserve">PRIMERO. </w:t>
      </w:r>
      <w:r w:rsidRPr="005E00FF">
        <w:rPr>
          <w:rFonts w:ascii="Palatino Linotype" w:hAnsi="Palatino Linotype" w:cs="Arial"/>
          <w:lang w:val="es-ES_tradnl" w:eastAsia="es-ES"/>
        </w:rPr>
        <w:t>Resultan infundadas las</w:t>
      </w:r>
      <w:r w:rsidRPr="005E00FF">
        <w:rPr>
          <w:rFonts w:ascii="Palatino Linotype" w:hAnsi="Palatino Linotype" w:cs="Arial"/>
          <w:b/>
          <w:lang w:val="es-ES_tradnl" w:eastAsia="es-ES"/>
        </w:rPr>
        <w:t xml:space="preserve"> </w:t>
      </w:r>
      <w:r w:rsidRPr="005E00FF">
        <w:rPr>
          <w:rFonts w:ascii="Palatino Linotype" w:hAnsi="Palatino Linotype" w:cs="Arial"/>
          <w:lang w:val="es-ES" w:eastAsia="es-ES"/>
        </w:rPr>
        <w:t xml:space="preserve">razones o motivos de inconformidad hechos valer </w:t>
      </w:r>
      <w:r w:rsidRPr="005E00FF">
        <w:rPr>
          <w:rFonts w:ascii="Palatino Linotype" w:eastAsia="Calibri" w:hAnsi="Palatino Linotype" w:cs="Arial"/>
          <w:lang w:val="es-ES" w:eastAsia="es-ES"/>
        </w:rPr>
        <w:t xml:space="preserve">en el recurso de revisión </w:t>
      </w:r>
      <w:r w:rsidR="002670E1" w:rsidRPr="005E00FF">
        <w:rPr>
          <w:rFonts w:ascii="Palatino Linotype" w:eastAsiaTheme="minorEastAsia" w:hAnsi="Palatino Linotype" w:cs="Arial"/>
          <w:b/>
          <w:bCs/>
          <w:lang w:val="es-ES_tradnl" w:eastAsia="es-ES"/>
        </w:rPr>
        <w:t>16793/INFOEM/IP/RR/2022</w:t>
      </w:r>
      <w:r w:rsidRPr="005E00FF">
        <w:rPr>
          <w:rFonts w:ascii="Palatino Linotype" w:eastAsiaTheme="minorEastAsia" w:hAnsi="Palatino Linotype" w:cs="Arial"/>
          <w:b/>
          <w:bCs/>
          <w:lang w:val="es-ES_tradnl" w:eastAsia="es-ES"/>
        </w:rPr>
        <w:t xml:space="preserve">, </w:t>
      </w:r>
      <w:r w:rsidRPr="005E00FF">
        <w:rPr>
          <w:rFonts w:ascii="Palatino Linotype" w:eastAsiaTheme="minorEastAsia" w:hAnsi="Palatino Linotype" w:cs="Arial"/>
          <w:bCs/>
          <w:lang w:val="es-ES_tradnl" w:eastAsia="es-ES"/>
        </w:rPr>
        <w:t xml:space="preserve">en términos del </w:t>
      </w:r>
      <w:r w:rsidRPr="005E00FF">
        <w:rPr>
          <w:rFonts w:ascii="Palatino Linotype" w:eastAsiaTheme="minorEastAsia" w:hAnsi="Palatino Linotype" w:cs="Arial"/>
          <w:b/>
          <w:bCs/>
          <w:lang w:val="es-ES_tradnl" w:eastAsia="es-ES"/>
        </w:rPr>
        <w:t>Considerando</w:t>
      </w:r>
      <w:r w:rsidRPr="005E00FF">
        <w:rPr>
          <w:rFonts w:ascii="Palatino Linotype" w:eastAsiaTheme="minorEastAsia" w:hAnsi="Palatino Linotype" w:cs="Arial"/>
          <w:bCs/>
          <w:lang w:val="es-ES_tradnl" w:eastAsia="es-ES"/>
        </w:rPr>
        <w:t xml:space="preserve"> </w:t>
      </w:r>
      <w:r w:rsidR="00C37AA2" w:rsidRPr="005E00FF">
        <w:rPr>
          <w:rFonts w:ascii="Palatino Linotype" w:eastAsiaTheme="minorEastAsia" w:hAnsi="Palatino Linotype" w:cs="Arial"/>
          <w:b/>
          <w:bCs/>
          <w:lang w:val="es-ES_tradnl" w:eastAsia="es-ES"/>
        </w:rPr>
        <w:t>CUARTO</w:t>
      </w:r>
      <w:r w:rsidRPr="005E00FF">
        <w:rPr>
          <w:rFonts w:ascii="Palatino Linotype" w:eastAsiaTheme="minorEastAsia" w:hAnsi="Palatino Linotype" w:cs="Arial"/>
          <w:bCs/>
          <w:lang w:val="es-ES_tradnl" w:eastAsia="es-ES"/>
        </w:rPr>
        <w:t xml:space="preserve"> de la presente resolución.</w:t>
      </w:r>
    </w:p>
    <w:p w:rsidR="00753EC1" w:rsidRPr="005E00FF" w:rsidRDefault="00753EC1" w:rsidP="00753EC1">
      <w:pPr>
        <w:spacing w:line="360" w:lineRule="auto"/>
        <w:jc w:val="both"/>
        <w:rPr>
          <w:rFonts w:ascii="Palatino Linotype" w:hAnsi="Palatino Linotype"/>
          <w:lang w:val="es-ES_tradnl" w:eastAsia="es-ES"/>
        </w:rPr>
      </w:pPr>
    </w:p>
    <w:p w:rsidR="00753EC1" w:rsidRPr="005E00FF" w:rsidRDefault="00753EC1" w:rsidP="00753EC1">
      <w:pPr>
        <w:spacing w:line="360" w:lineRule="auto"/>
        <w:jc w:val="both"/>
        <w:rPr>
          <w:rFonts w:ascii="Palatino Linotype" w:eastAsia="Calibri" w:hAnsi="Palatino Linotype" w:cs="Arial"/>
          <w:lang w:val="es-ES" w:eastAsia="es-ES"/>
        </w:rPr>
      </w:pPr>
      <w:r w:rsidRPr="005E00FF">
        <w:rPr>
          <w:rFonts w:ascii="Palatino Linotype" w:eastAsiaTheme="minorEastAsia" w:hAnsi="Palatino Linotype"/>
          <w:b/>
          <w:lang w:val="es-ES_tradnl" w:eastAsia="es-ES"/>
        </w:rPr>
        <w:t>SEGUNDO.</w:t>
      </w:r>
      <w:r w:rsidRPr="005E00FF">
        <w:rPr>
          <w:rFonts w:ascii="Palatino Linotype" w:eastAsiaTheme="majorEastAsia" w:hAnsi="Palatino Linotype" w:cstheme="majorBidi"/>
          <w:b/>
          <w:color w:val="2E74B5" w:themeColor="accent1" w:themeShade="BF"/>
          <w:sz w:val="26"/>
          <w:szCs w:val="26"/>
          <w:lang w:val="es-ES_tradnl" w:eastAsia="es-ES"/>
        </w:rPr>
        <w:t xml:space="preserve"> </w:t>
      </w:r>
      <w:r w:rsidRPr="005E00FF">
        <w:rPr>
          <w:rFonts w:ascii="Palatino Linotype" w:eastAsia="Calibri" w:hAnsi="Palatino Linotype" w:cs="Arial"/>
          <w:lang w:val="es-ES" w:eastAsia="es-ES"/>
        </w:rPr>
        <w:t>Se</w:t>
      </w:r>
      <w:r w:rsidRPr="005E00FF">
        <w:rPr>
          <w:rFonts w:ascii="Palatino Linotype" w:eastAsia="Calibri" w:hAnsi="Palatino Linotype" w:cs="Arial"/>
          <w:b/>
          <w:lang w:val="es-ES" w:eastAsia="es-ES"/>
        </w:rPr>
        <w:t xml:space="preserve"> CONFIRMA </w:t>
      </w:r>
      <w:r w:rsidRPr="005E00FF">
        <w:rPr>
          <w:rFonts w:ascii="Palatino Linotype" w:eastAsia="Calibri" w:hAnsi="Palatino Linotype" w:cs="Arial"/>
          <w:lang w:val="es-ES" w:eastAsia="es-ES"/>
        </w:rPr>
        <w:t xml:space="preserve">la respuesta emitida por la </w:t>
      </w:r>
      <w:r w:rsidR="002670E1" w:rsidRPr="005E00FF">
        <w:rPr>
          <w:rFonts w:ascii="Palatino Linotype" w:eastAsiaTheme="minorEastAsia" w:hAnsi="Palatino Linotype" w:cs="Arial"/>
          <w:b/>
          <w:lang w:val="es-ES_tradnl" w:eastAsia="es-ES"/>
        </w:rPr>
        <w:t>Ayuntamiento de Toluca</w:t>
      </w:r>
      <w:r w:rsidRPr="005E00FF">
        <w:rPr>
          <w:rFonts w:ascii="Palatino Linotype" w:eastAsiaTheme="minorEastAsia" w:hAnsi="Palatino Linotype" w:cs="Arial"/>
          <w:b/>
          <w:lang w:val="es-ES_tradnl" w:eastAsia="es-ES"/>
        </w:rPr>
        <w:t xml:space="preserve"> </w:t>
      </w:r>
      <w:r w:rsidRPr="005E00FF">
        <w:rPr>
          <w:rFonts w:ascii="Palatino Linotype" w:eastAsia="Calibri" w:hAnsi="Palatino Linotype" w:cs="Arial"/>
          <w:lang w:val="es-ES" w:eastAsia="es-ES"/>
        </w:rPr>
        <w:t xml:space="preserve">a la solicitud </w:t>
      </w:r>
      <w:r w:rsidR="002670E1" w:rsidRPr="005E00FF">
        <w:rPr>
          <w:rFonts w:ascii="Palatino Linotype" w:hAnsi="Palatino Linotype"/>
          <w:b/>
          <w:bCs/>
        </w:rPr>
        <w:t>02199/TOLUCA/IP/2022</w:t>
      </w:r>
      <w:r w:rsidRPr="005E00FF">
        <w:rPr>
          <w:rFonts w:ascii="Palatino Linotype" w:eastAsia="Calibri" w:hAnsi="Palatino Linotype" w:cs="Arial"/>
          <w:b/>
          <w:lang w:val="es-ES" w:eastAsia="es-ES"/>
        </w:rPr>
        <w:t>.</w:t>
      </w:r>
      <w:r w:rsidRPr="005E00FF">
        <w:rPr>
          <w:rFonts w:ascii="Palatino Linotype" w:eastAsia="Calibri" w:hAnsi="Palatino Linotype" w:cs="Arial"/>
          <w:lang w:val="es-ES" w:eastAsia="es-ES"/>
        </w:rPr>
        <w:t xml:space="preserve"> </w:t>
      </w:r>
    </w:p>
    <w:p w:rsidR="00753EC1" w:rsidRPr="005E00FF" w:rsidRDefault="00753EC1" w:rsidP="00753EC1">
      <w:pPr>
        <w:spacing w:line="360" w:lineRule="auto"/>
        <w:jc w:val="both"/>
        <w:rPr>
          <w:rFonts w:ascii="Palatino Linotype" w:eastAsia="Calibri" w:hAnsi="Palatino Linotype" w:cs="Arial"/>
          <w:lang w:val="es-ES" w:eastAsia="es-ES"/>
        </w:rPr>
      </w:pPr>
    </w:p>
    <w:p w:rsidR="00753EC1" w:rsidRPr="005E00FF" w:rsidRDefault="00753EC1" w:rsidP="00753EC1">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5E00FF">
        <w:rPr>
          <w:rFonts w:ascii="Palatino Linotype" w:eastAsia="Palatino Linotype" w:hAnsi="Palatino Linotype" w:cs="Palatino Linotype"/>
          <w:b/>
          <w:lang w:val="es-ES_tradnl" w:eastAsia="es-ES"/>
        </w:rPr>
        <w:t xml:space="preserve">TERCERO. REMÍTASE, </w:t>
      </w:r>
      <w:r w:rsidRPr="005E00FF">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5E00FF">
        <w:rPr>
          <w:rFonts w:ascii="Palatino Linotype" w:eastAsia="Palatino Linotype" w:hAnsi="Palatino Linotype" w:cs="Palatino Linotype"/>
          <w:b/>
          <w:lang w:val="es-ES_tradnl" w:eastAsia="es-ES"/>
        </w:rPr>
        <w:t>SUJETO OBLIGADO.</w:t>
      </w:r>
    </w:p>
    <w:p w:rsidR="00753EC1" w:rsidRPr="005E00FF" w:rsidRDefault="00753EC1" w:rsidP="00753EC1">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rsidR="00753EC1" w:rsidRPr="005E00FF" w:rsidRDefault="00753EC1" w:rsidP="00753EC1">
      <w:pPr>
        <w:shd w:val="clear" w:color="auto" w:fill="FFFFFF"/>
        <w:spacing w:line="360" w:lineRule="auto"/>
        <w:jc w:val="both"/>
        <w:rPr>
          <w:rFonts w:ascii="Palatino Linotype" w:eastAsiaTheme="minorEastAsia" w:hAnsi="Palatino Linotype"/>
          <w:lang w:val="es-ES_tradnl" w:eastAsia="es-ES"/>
        </w:rPr>
      </w:pPr>
      <w:r w:rsidRPr="005E00FF">
        <w:rPr>
          <w:rFonts w:ascii="Palatino Linotype" w:hAnsi="Palatino Linotype" w:cs="Arial"/>
          <w:b/>
          <w:lang w:val="es-ES_tradnl" w:eastAsia="es-ES"/>
        </w:rPr>
        <w:t xml:space="preserve">CUARTO. </w:t>
      </w:r>
      <w:r w:rsidRPr="005E00FF">
        <w:rPr>
          <w:rFonts w:ascii="Palatino Linotype" w:hAnsi="Palatino Linotype"/>
          <w:b/>
          <w:bCs/>
          <w:lang w:val="es-ES" w:eastAsia="es-ES"/>
        </w:rPr>
        <w:t>Notifíquese a</w:t>
      </w:r>
      <w:r w:rsidRPr="005E00FF">
        <w:rPr>
          <w:rFonts w:ascii="Palatino Linotype" w:eastAsiaTheme="minorEastAsia" w:hAnsi="Palatino Linotype"/>
          <w:b/>
          <w:lang w:val="es-ES_tradnl" w:eastAsia="es-ES"/>
        </w:rPr>
        <w:t xml:space="preserve">l RECURRENTE </w:t>
      </w:r>
      <w:r w:rsidRPr="005E00FF">
        <w:rPr>
          <w:rFonts w:ascii="Palatino Linotype" w:eastAsiaTheme="minorEastAsia" w:hAnsi="Palatino Linotype"/>
          <w:lang w:val="es-ES_tradnl" w:eastAsia="es-ES"/>
        </w:rPr>
        <w:t>la presente resolución.</w:t>
      </w:r>
    </w:p>
    <w:p w:rsidR="00753EC1" w:rsidRPr="005E00FF" w:rsidRDefault="00753EC1" w:rsidP="00753EC1">
      <w:pPr>
        <w:shd w:val="clear" w:color="auto" w:fill="FFFFFF"/>
        <w:spacing w:line="360" w:lineRule="auto"/>
        <w:jc w:val="both"/>
        <w:rPr>
          <w:rFonts w:ascii="Palatino Linotype" w:eastAsiaTheme="minorEastAsia" w:hAnsi="Palatino Linotype"/>
          <w:lang w:val="es-ES_tradnl" w:eastAsia="es-ES"/>
        </w:rPr>
      </w:pPr>
    </w:p>
    <w:p w:rsidR="00753EC1" w:rsidRPr="005E00FF" w:rsidRDefault="00753EC1" w:rsidP="00753EC1">
      <w:pPr>
        <w:spacing w:line="360" w:lineRule="auto"/>
        <w:jc w:val="both"/>
        <w:rPr>
          <w:rFonts w:ascii="Palatino Linotype" w:eastAsia="MS Mincho" w:hAnsi="Palatino Linotype"/>
          <w:lang w:val="es-ES" w:eastAsia="es-ES"/>
        </w:rPr>
      </w:pPr>
      <w:r w:rsidRPr="005E00FF">
        <w:rPr>
          <w:rFonts w:ascii="Palatino Linotype" w:eastAsia="MS Mincho" w:hAnsi="Palatino Linotype"/>
          <w:b/>
          <w:lang w:eastAsia="es-ES"/>
        </w:rPr>
        <w:t>QUINTO.</w:t>
      </w:r>
      <w:r w:rsidRPr="005E00FF">
        <w:rPr>
          <w:rFonts w:ascii="Palatino Linotype" w:eastAsia="MS Mincho" w:hAnsi="Palatino Linotype"/>
          <w:lang w:eastAsia="es-ES"/>
        </w:rPr>
        <w:t xml:space="preserve"> </w:t>
      </w:r>
      <w:r w:rsidRPr="005E00FF">
        <w:rPr>
          <w:rFonts w:ascii="Palatino Linotype" w:eastAsia="MS Mincho" w:hAnsi="Palatino Linotype"/>
          <w:lang w:val="es-ES" w:eastAsia="es-ES"/>
        </w:rPr>
        <w:t xml:space="preserve">Se hace del conocimiento del </w:t>
      </w:r>
      <w:r w:rsidRPr="005E00FF">
        <w:rPr>
          <w:rFonts w:ascii="Palatino Linotype" w:eastAsiaTheme="minorEastAsia" w:hAnsi="Palatino Linotype"/>
          <w:b/>
          <w:lang w:val="es-ES_tradnl" w:eastAsia="es-ES"/>
        </w:rPr>
        <w:t xml:space="preserve">RECURRENTE </w:t>
      </w:r>
      <w:r w:rsidRPr="005E00F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E00FF">
        <w:rPr>
          <w:rFonts w:ascii="Palatino Linotype" w:eastAsia="MS Mincho" w:hAnsi="Palatino Linotype"/>
          <w:bCs/>
          <w:lang w:val="es-ES" w:eastAsia="es-ES"/>
        </w:rPr>
        <w:t>vía juicio de amparo</w:t>
      </w:r>
      <w:r w:rsidRPr="005E00FF">
        <w:rPr>
          <w:rFonts w:ascii="Palatino Linotype" w:eastAsia="MS Mincho" w:hAnsi="Palatino Linotype"/>
          <w:lang w:val="es-ES" w:eastAsia="es-ES"/>
        </w:rPr>
        <w:t> en los términos de las leyes aplicables.</w:t>
      </w:r>
    </w:p>
    <w:p w:rsidR="00881400" w:rsidRDefault="00881400" w:rsidP="00881400">
      <w:pPr>
        <w:spacing w:before="240" w:after="240" w:line="360" w:lineRule="auto"/>
        <w:jc w:val="both"/>
        <w:rPr>
          <w:rFonts w:ascii="Palatino Linotype" w:hAnsi="Palatino Linotype"/>
        </w:rPr>
      </w:pPr>
      <w:r w:rsidRPr="005E00F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w:t>
      </w:r>
      <w:r w:rsidRPr="005E00FF">
        <w:rPr>
          <w:rFonts w:ascii="Palatino Linotype" w:hAnsi="Palatino Linotype"/>
        </w:rPr>
        <w:lastRenderedPageBreak/>
        <w:t>SESIÓN ORDINARIA CELEBRADA EL PRIMERO (01) DE FEBRERO DE DOS MIL VEINTITRÉS, ANTE EL SECRETARIO TÉCNICO DEL PLENO ALEXIS TAPIA RAMÍREZ.</w:t>
      </w:r>
      <w:bookmarkStart w:id="40" w:name="_GoBack"/>
      <w:bookmarkEnd w:id="40"/>
      <w:r w:rsidRPr="00624AAD">
        <w:rPr>
          <w:rFonts w:ascii="Palatino Linotype" w:hAnsi="Palatino Linotype"/>
        </w:rPr>
        <w:t xml:space="preserve"> </w:t>
      </w:r>
    </w:p>
    <w:p w:rsidR="00753EC1" w:rsidRPr="00730D0C" w:rsidRDefault="00753EC1" w:rsidP="00753EC1">
      <w:pPr>
        <w:spacing w:before="240" w:after="240" w:line="360" w:lineRule="auto"/>
        <w:jc w:val="both"/>
        <w:rPr>
          <w:rFonts w:ascii="Palatino Linotype" w:hAnsi="Palatino Linotype" w:cs="Arial"/>
        </w:rPr>
      </w:pPr>
    </w:p>
    <w:p w:rsidR="00753EC1" w:rsidRPr="00730D0C" w:rsidRDefault="00753EC1" w:rsidP="00753EC1">
      <w:pPr>
        <w:spacing w:before="240" w:after="240" w:line="360" w:lineRule="auto"/>
        <w:jc w:val="both"/>
        <w:rPr>
          <w:rFonts w:ascii="Palatino Linotype" w:hAnsi="Palatino Linotype" w:cs="Arial"/>
        </w:rPr>
      </w:pPr>
    </w:p>
    <w:p w:rsidR="00753EC1" w:rsidRPr="00730D0C" w:rsidRDefault="00753EC1" w:rsidP="00753EC1">
      <w:pPr>
        <w:spacing w:before="240" w:after="240" w:line="360" w:lineRule="auto"/>
        <w:rPr>
          <w:rFonts w:ascii="Palatino Linotype" w:hAnsi="Palatino Linotype"/>
        </w:rPr>
      </w:pPr>
    </w:p>
    <w:p w:rsidR="00753EC1" w:rsidRPr="00730D0C" w:rsidRDefault="00753EC1" w:rsidP="00753EC1">
      <w:pPr>
        <w:spacing w:before="240" w:after="240" w:line="360" w:lineRule="auto"/>
        <w:rPr>
          <w:rFonts w:ascii="Palatino Linotype" w:hAnsi="Palatino Linotype"/>
        </w:rPr>
      </w:pPr>
    </w:p>
    <w:p w:rsidR="00753EC1" w:rsidRPr="00730D0C" w:rsidRDefault="00753EC1" w:rsidP="00753EC1">
      <w:pPr>
        <w:spacing w:before="240" w:after="240" w:line="360" w:lineRule="auto"/>
        <w:rPr>
          <w:rFonts w:ascii="Palatino Linotype" w:hAnsi="Palatino Linotype"/>
        </w:rPr>
      </w:pPr>
    </w:p>
    <w:p w:rsidR="00753EC1" w:rsidRPr="00730D0C" w:rsidRDefault="00753EC1" w:rsidP="00753EC1">
      <w:pPr>
        <w:spacing w:before="240" w:after="240" w:line="360" w:lineRule="auto"/>
        <w:rPr>
          <w:rFonts w:ascii="Palatino Linotype" w:hAnsi="Palatino Linotype"/>
        </w:rPr>
      </w:pPr>
    </w:p>
    <w:p w:rsidR="00753EC1" w:rsidRPr="00730D0C" w:rsidRDefault="00753EC1" w:rsidP="00753EC1">
      <w:pPr>
        <w:spacing w:before="240" w:after="240" w:line="360" w:lineRule="auto"/>
        <w:rPr>
          <w:rFonts w:ascii="Palatino Linotype" w:hAnsi="Palatino Linotype"/>
        </w:rPr>
      </w:pPr>
    </w:p>
    <w:p w:rsidR="00753EC1" w:rsidRDefault="00753EC1" w:rsidP="00753EC1"/>
    <w:p w:rsidR="00753EC1" w:rsidRDefault="00753EC1" w:rsidP="00753EC1"/>
    <w:p w:rsidR="00753EC1" w:rsidRDefault="00753EC1" w:rsidP="00753EC1"/>
    <w:p w:rsidR="00753EC1" w:rsidRDefault="00753EC1" w:rsidP="00753EC1"/>
    <w:p w:rsidR="00753EC1" w:rsidRDefault="00753EC1" w:rsidP="00753EC1"/>
    <w:p w:rsidR="00753EC1" w:rsidRDefault="00753EC1" w:rsidP="00753EC1"/>
    <w:p w:rsidR="00753EC1" w:rsidRDefault="00753EC1" w:rsidP="00753EC1"/>
    <w:p w:rsidR="00753EC1" w:rsidRDefault="00753EC1" w:rsidP="00753EC1"/>
    <w:p w:rsidR="000F5268" w:rsidRDefault="000F5268"/>
    <w:sectPr w:rsidR="000F5268" w:rsidSect="00987183">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98E" w:rsidRDefault="0031298E" w:rsidP="00753EC1">
      <w:r>
        <w:separator/>
      </w:r>
    </w:p>
  </w:endnote>
  <w:endnote w:type="continuationSeparator" w:id="0">
    <w:p w:rsidR="0031298E" w:rsidRDefault="0031298E" w:rsidP="0075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3D31D0">
    <w:pPr>
      <w:pStyle w:val="Piedepgina"/>
      <w:jc w:val="right"/>
    </w:pPr>
    <w:r>
      <w:rPr>
        <w:lang w:val="es-ES"/>
      </w:rPr>
      <w:t xml:space="preserve">Página </w:t>
    </w:r>
    <w:r>
      <w:rPr>
        <w:b/>
        <w:bCs/>
      </w:rPr>
      <w:fldChar w:fldCharType="begin"/>
    </w:r>
    <w:r>
      <w:rPr>
        <w:b/>
        <w:bCs/>
      </w:rPr>
      <w:instrText>PAGE</w:instrText>
    </w:r>
    <w:r>
      <w:rPr>
        <w:b/>
        <w:bCs/>
      </w:rPr>
      <w:fldChar w:fldCharType="separate"/>
    </w:r>
    <w:r w:rsidR="005E00FF">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00FF">
      <w:rPr>
        <w:b/>
        <w:bCs/>
        <w:noProof/>
      </w:rPr>
      <w:t>23</w:t>
    </w:r>
    <w:r>
      <w:rPr>
        <w:b/>
        <w:bCs/>
      </w:rPr>
      <w:fldChar w:fldCharType="end"/>
    </w:r>
  </w:p>
  <w:p w:rsidR="00987183" w:rsidRDefault="003129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3D31D0">
    <w:pPr>
      <w:pStyle w:val="Piedepgina"/>
      <w:jc w:val="right"/>
    </w:pPr>
    <w:r>
      <w:rPr>
        <w:lang w:val="es-ES"/>
      </w:rPr>
      <w:t xml:space="preserve">Página </w:t>
    </w:r>
    <w:r>
      <w:rPr>
        <w:b/>
        <w:bCs/>
      </w:rPr>
      <w:fldChar w:fldCharType="begin"/>
    </w:r>
    <w:r>
      <w:rPr>
        <w:b/>
        <w:bCs/>
      </w:rPr>
      <w:instrText>PAGE</w:instrText>
    </w:r>
    <w:r>
      <w:rPr>
        <w:b/>
        <w:bCs/>
      </w:rPr>
      <w:fldChar w:fldCharType="separate"/>
    </w:r>
    <w:r w:rsidR="005E00FF">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E00FF">
      <w:rPr>
        <w:b/>
        <w:bCs/>
        <w:noProof/>
      </w:rPr>
      <w:t>23</w:t>
    </w:r>
    <w:r>
      <w:rPr>
        <w:b/>
        <w:bCs/>
      </w:rPr>
      <w:fldChar w:fldCharType="end"/>
    </w:r>
  </w:p>
  <w:p w:rsidR="00987183" w:rsidRDefault="003129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98E" w:rsidRDefault="0031298E" w:rsidP="00753EC1">
      <w:r>
        <w:separator/>
      </w:r>
    </w:p>
  </w:footnote>
  <w:footnote w:type="continuationSeparator" w:id="0">
    <w:p w:rsidR="0031298E" w:rsidRDefault="0031298E" w:rsidP="00753EC1">
      <w:r>
        <w:continuationSeparator/>
      </w:r>
    </w:p>
  </w:footnote>
  <w:footnote w:id="1">
    <w:p w:rsidR="00753EC1" w:rsidRDefault="00753EC1" w:rsidP="00753EC1">
      <w:pPr>
        <w:pStyle w:val="Textonotapie"/>
      </w:pPr>
      <w:r>
        <w:rPr>
          <w:rStyle w:val="Refdenotaalpie"/>
        </w:rPr>
        <w:footnoteRef/>
      </w:r>
      <w:r>
        <w:t xml:space="preserve"> Convención Americana sobre Derechos Humanos. Artículo 13.</w:t>
      </w:r>
    </w:p>
  </w:footnote>
  <w:footnote w:id="2">
    <w:p w:rsidR="00753EC1" w:rsidRDefault="00753EC1" w:rsidP="00753EC1">
      <w:pPr>
        <w:pStyle w:val="Textonotapie"/>
      </w:pPr>
      <w:r>
        <w:rPr>
          <w:rStyle w:val="Refdenotaalpie"/>
        </w:rPr>
        <w:footnoteRef/>
      </w:r>
      <w:r>
        <w:t xml:space="preserve"> Constitución Política de los Estados Unidos Mexicanos. Artículo sexto, sección A, fracción I.</w:t>
      </w:r>
    </w:p>
  </w:footnote>
  <w:footnote w:id="3">
    <w:p w:rsidR="00753EC1" w:rsidRDefault="00753EC1" w:rsidP="00753E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53EC1" w:rsidRDefault="00753EC1" w:rsidP="00753EC1">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183" w:rsidRDefault="0031298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87183" w:rsidRPr="005C106F" w:rsidTr="00987183">
      <w:trPr>
        <w:trHeight w:val="1435"/>
      </w:trPr>
      <w:tc>
        <w:tcPr>
          <w:tcW w:w="2268" w:type="dxa"/>
          <w:shd w:val="clear" w:color="auto" w:fill="auto"/>
        </w:tcPr>
        <w:p w:rsidR="00987183" w:rsidRPr="005C106F" w:rsidRDefault="0031298E" w:rsidP="00987183">
          <w:pPr>
            <w:tabs>
              <w:tab w:val="right" w:pos="4273"/>
            </w:tabs>
            <w:rPr>
              <w:rFonts w:ascii="Garamond" w:eastAsia="Calibri" w:hAnsi="Garamond"/>
              <w:sz w:val="16"/>
              <w:szCs w:val="16"/>
              <w:lang w:eastAsia="en-US"/>
            </w:rPr>
          </w:pPr>
        </w:p>
      </w:tc>
      <w:tc>
        <w:tcPr>
          <w:tcW w:w="6946" w:type="dxa"/>
          <w:shd w:val="clear" w:color="auto" w:fill="auto"/>
        </w:tcPr>
        <w:p w:rsidR="00987183" w:rsidRDefault="0031298E" w:rsidP="00987183"/>
        <w:tbl>
          <w:tblPr>
            <w:tblW w:w="6662" w:type="dxa"/>
            <w:tblInd w:w="40" w:type="dxa"/>
            <w:tblLayout w:type="fixed"/>
            <w:tblLook w:val="0420" w:firstRow="1" w:lastRow="0" w:firstColumn="0" w:lastColumn="0" w:noHBand="0" w:noVBand="1"/>
          </w:tblPr>
          <w:tblGrid>
            <w:gridCol w:w="2551"/>
            <w:gridCol w:w="4111"/>
          </w:tblGrid>
          <w:tr w:rsidR="00987183" w:rsidTr="00987183">
            <w:trPr>
              <w:trHeight w:val="150"/>
            </w:trPr>
            <w:tc>
              <w:tcPr>
                <w:tcW w:w="2551" w:type="dxa"/>
                <w:shd w:val="clear" w:color="auto" w:fill="auto"/>
              </w:tcPr>
              <w:p w:rsidR="00987183" w:rsidRPr="00020E73" w:rsidRDefault="003D31D0"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87183" w:rsidRPr="00020E73" w:rsidRDefault="00826937" w:rsidP="00987183">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16793</w:t>
                </w:r>
                <w:r w:rsidR="003D31D0">
                  <w:rPr>
                    <w:rFonts w:ascii="Palatino Linotype" w:eastAsia="Calibri" w:hAnsi="Palatino Linotype" w:cs="Tahoma"/>
                    <w:bCs/>
                    <w:sz w:val="22"/>
                    <w:szCs w:val="22"/>
                    <w:lang w:eastAsia="en-US"/>
                  </w:rPr>
                  <w:t>/INFOEM/IP/RR/2022</w:t>
                </w:r>
              </w:p>
            </w:tc>
          </w:tr>
          <w:tr w:rsidR="00987183" w:rsidTr="00987183">
            <w:trPr>
              <w:trHeight w:val="295"/>
            </w:trPr>
            <w:tc>
              <w:tcPr>
                <w:tcW w:w="2551" w:type="dxa"/>
                <w:shd w:val="clear" w:color="auto" w:fill="auto"/>
              </w:tcPr>
              <w:p w:rsidR="00987183" w:rsidRPr="00020E73" w:rsidRDefault="003D31D0" w:rsidP="00987183">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87183" w:rsidRPr="00020E73" w:rsidRDefault="00826937" w:rsidP="00D409EF">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bCs/>
                    <w:sz w:val="22"/>
                    <w:szCs w:val="22"/>
                    <w:lang w:eastAsia="en-US"/>
                  </w:rPr>
                  <w:t>Ayuntamiento de Toluca</w:t>
                </w:r>
              </w:p>
            </w:tc>
          </w:tr>
          <w:tr w:rsidR="00987183" w:rsidTr="00987183">
            <w:trPr>
              <w:trHeight w:val="295"/>
            </w:trPr>
            <w:tc>
              <w:tcPr>
                <w:tcW w:w="2551" w:type="dxa"/>
                <w:shd w:val="clear" w:color="auto" w:fill="auto"/>
              </w:tcPr>
              <w:p w:rsidR="00987183" w:rsidRPr="00020E73" w:rsidRDefault="003D31D0" w:rsidP="00987183">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87183" w:rsidRPr="00020E73" w:rsidRDefault="003D31D0" w:rsidP="00987183">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31298E" w:rsidP="00987183">
                <w:pPr>
                  <w:tabs>
                    <w:tab w:val="right" w:pos="8838"/>
                  </w:tabs>
                  <w:ind w:left="-108" w:right="171"/>
                  <w:jc w:val="both"/>
                  <w:rPr>
                    <w:rFonts w:ascii="Palatino Linotype" w:eastAsia="Calibri" w:hAnsi="Palatino Linotype" w:cs="Tahoma"/>
                    <w:b/>
                    <w:sz w:val="22"/>
                    <w:szCs w:val="22"/>
                    <w:lang w:val="es-ES" w:eastAsia="en-US"/>
                  </w:rPr>
                </w:pPr>
              </w:p>
            </w:tc>
          </w:tr>
        </w:tbl>
        <w:p w:rsidR="00987183" w:rsidRPr="005C106F" w:rsidRDefault="0031298E" w:rsidP="00987183">
          <w:pPr>
            <w:tabs>
              <w:tab w:val="right" w:pos="8838"/>
            </w:tabs>
            <w:ind w:left="-28"/>
            <w:jc w:val="both"/>
            <w:rPr>
              <w:rFonts w:ascii="Arial" w:eastAsia="Calibri" w:hAnsi="Arial" w:cs="Arial"/>
              <w:b/>
              <w:sz w:val="22"/>
              <w:szCs w:val="22"/>
              <w:lang w:eastAsia="en-US"/>
            </w:rPr>
          </w:pPr>
        </w:p>
      </w:tc>
    </w:tr>
  </w:tbl>
  <w:p w:rsidR="00987183" w:rsidRPr="00443C6B" w:rsidRDefault="0031298E" w:rsidP="00987183">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87183" w:rsidRPr="00330DA7" w:rsidTr="00987183">
      <w:trPr>
        <w:trHeight w:val="1435"/>
      </w:trPr>
      <w:tc>
        <w:tcPr>
          <w:tcW w:w="2268" w:type="dxa"/>
          <w:shd w:val="clear" w:color="auto" w:fill="auto"/>
        </w:tcPr>
        <w:p w:rsidR="00987183" w:rsidRPr="00330DA7" w:rsidRDefault="0031298E" w:rsidP="00987183">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87183" w:rsidRPr="00330DA7" w:rsidTr="00987183">
            <w:trPr>
              <w:trHeight w:val="144"/>
            </w:trPr>
            <w:tc>
              <w:tcPr>
                <w:tcW w:w="2444" w:type="dxa"/>
                <w:shd w:val="clear" w:color="auto" w:fill="auto"/>
              </w:tcPr>
              <w:p w:rsidR="00987183" w:rsidRPr="00020E73" w:rsidRDefault="003D31D0" w:rsidP="00987183">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87183" w:rsidRPr="00020E73" w:rsidRDefault="00826937" w:rsidP="00987183">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16793</w:t>
                </w:r>
                <w:r w:rsidR="003D31D0">
                  <w:rPr>
                    <w:rFonts w:ascii="Palatino Linotype" w:eastAsia="Calibri" w:hAnsi="Palatino Linotype" w:cs="Tahoma"/>
                    <w:sz w:val="22"/>
                    <w:szCs w:val="22"/>
                    <w:lang w:eastAsia="en-US"/>
                  </w:rPr>
                  <w:t>/INFOEM/IP/RR/2022</w:t>
                </w:r>
                <w:r w:rsidR="003D31D0">
                  <w:rPr>
                    <w:rFonts w:ascii="Palatino Linotype" w:eastAsia="Calibri" w:hAnsi="Palatino Linotype" w:cs="Tahoma"/>
                    <w:b/>
                    <w:bCs/>
                    <w:sz w:val="22"/>
                    <w:szCs w:val="22"/>
                    <w:lang w:eastAsia="en-US"/>
                  </w:rPr>
                  <w:t xml:space="preserve"> </w:t>
                </w:r>
              </w:p>
            </w:tc>
          </w:tr>
          <w:tr w:rsidR="00987183" w:rsidRPr="00330DA7" w:rsidTr="00987183">
            <w:trPr>
              <w:trHeight w:val="144"/>
            </w:trPr>
            <w:tc>
              <w:tcPr>
                <w:tcW w:w="2444" w:type="dxa"/>
                <w:shd w:val="clear" w:color="auto" w:fill="auto"/>
              </w:tcPr>
              <w:p w:rsidR="00987183" w:rsidRPr="00020E73" w:rsidRDefault="003D31D0"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87183" w:rsidRPr="00826937" w:rsidRDefault="0001212E" w:rsidP="00987183">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XXXXXXXXXXXX</w:t>
                </w:r>
              </w:p>
            </w:tc>
          </w:tr>
          <w:tr w:rsidR="00987183" w:rsidRPr="00330DA7" w:rsidTr="00987183">
            <w:trPr>
              <w:trHeight w:val="283"/>
            </w:trPr>
            <w:tc>
              <w:tcPr>
                <w:tcW w:w="2444" w:type="dxa"/>
                <w:shd w:val="clear" w:color="auto" w:fill="auto"/>
              </w:tcPr>
              <w:p w:rsidR="00987183" w:rsidRPr="00020E73" w:rsidRDefault="003D31D0" w:rsidP="00987183">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87183" w:rsidRPr="00CA188D" w:rsidRDefault="00826937" w:rsidP="00987183">
                <w:pPr>
                  <w:tabs>
                    <w:tab w:val="left" w:pos="2834"/>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Toluca</w:t>
                </w:r>
              </w:p>
            </w:tc>
          </w:tr>
          <w:tr w:rsidR="00987183" w:rsidRPr="00330DA7" w:rsidTr="00987183">
            <w:trPr>
              <w:trHeight w:val="283"/>
            </w:trPr>
            <w:tc>
              <w:tcPr>
                <w:tcW w:w="2444" w:type="dxa"/>
                <w:shd w:val="clear" w:color="auto" w:fill="auto"/>
              </w:tcPr>
              <w:p w:rsidR="00987183" w:rsidRPr="00020E73" w:rsidRDefault="003D31D0" w:rsidP="00987183">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87183" w:rsidRPr="00020E73" w:rsidRDefault="003D31D0" w:rsidP="00987183">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987183" w:rsidRPr="00020E73" w:rsidRDefault="0031298E" w:rsidP="00987183">
                <w:pPr>
                  <w:tabs>
                    <w:tab w:val="right" w:pos="8838"/>
                  </w:tabs>
                  <w:ind w:left="-74" w:right="-105"/>
                  <w:jc w:val="both"/>
                  <w:rPr>
                    <w:rFonts w:ascii="Palatino Linotype" w:eastAsia="Calibri" w:hAnsi="Palatino Linotype" w:cs="Tahoma"/>
                    <w:b/>
                    <w:sz w:val="22"/>
                    <w:szCs w:val="22"/>
                    <w:lang w:val="es-ES" w:eastAsia="en-US"/>
                  </w:rPr>
                </w:pPr>
              </w:p>
            </w:tc>
          </w:tr>
        </w:tbl>
        <w:p w:rsidR="00987183" w:rsidRPr="00330DA7" w:rsidRDefault="0031298E" w:rsidP="00987183">
          <w:pPr>
            <w:tabs>
              <w:tab w:val="right" w:pos="8838"/>
            </w:tabs>
            <w:ind w:left="-28"/>
            <w:jc w:val="both"/>
            <w:rPr>
              <w:rFonts w:ascii="Arial" w:eastAsia="Calibri" w:hAnsi="Arial" w:cs="Arial"/>
              <w:b/>
              <w:sz w:val="22"/>
              <w:szCs w:val="22"/>
              <w:lang w:eastAsia="en-US"/>
            </w:rPr>
          </w:pPr>
        </w:p>
      </w:tc>
    </w:tr>
  </w:tbl>
  <w:p w:rsidR="00987183" w:rsidRPr="00827FA0" w:rsidRDefault="0031298E" w:rsidP="00987183">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12DA7DBA"/>
    <w:lvl w:ilvl="0" w:tplc="DAC43DB0">
      <w:start w:val="1"/>
      <w:numFmt w:val="decimal"/>
      <w:lvlText w:val="%1."/>
      <w:lvlJc w:val="left"/>
      <w:pPr>
        <w:ind w:left="360" w:hanging="360"/>
      </w:pPr>
      <w:rPr>
        <w:rFonts w:eastAsia="Calibri"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5A3C91"/>
    <w:multiLevelType w:val="hybridMultilevel"/>
    <w:tmpl w:val="7786C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5A33A9"/>
    <w:multiLevelType w:val="hybridMultilevel"/>
    <w:tmpl w:val="B12A09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8ED35F4"/>
    <w:multiLevelType w:val="hybridMultilevel"/>
    <w:tmpl w:val="43DA80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2B190D"/>
    <w:multiLevelType w:val="hybridMultilevel"/>
    <w:tmpl w:val="45403DC8"/>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C1"/>
    <w:rsid w:val="0001212E"/>
    <w:rsid w:val="00026026"/>
    <w:rsid w:val="000966C9"/>
    <w:rsid w:val="000F5268"/>
    <w:rsid w:val="002670E1"/>
    <w:rsid w:val="0031298E"/>
    <w:rsid w:val="003D31D0"/>
    <w:rsid w:val="00557078"/>
    <w:rsid w:val="005E00FF"/>
    <w:rsid w:val="00753EC1"/>
    <w:rsid w:val="007939FD"/>
    <w:rsid w:val="007E7AA1"/>
    <w:rsid w:val="00826937"/>
    <w:rsid w:val="00881400"/>
    <w:rsid w:val="00C37AA2"/>
    <w:rsid w:val="00C737C6"/>
    <w:rsid w:val="00DA40BD"/>
    <w:rsid w:val="00DA5838"/>
    <w:rsid w:val="00DC3B80"/>
    <w:rsid w:val="00DF7124"/>
    <w:rsid w:val="00E312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DAABE3F-4272-40A4-B0BF-47925C5FD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C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753E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3EC1"/>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753EC1"/>
    <w:pPr>
      <w:tabs>
        <w:tab w:val="center" w:pos="4419"/>
        <w:tab w:val="right" w:pos="8838"/>
      </w:tabs>
    </w:pPr>
  </w:style>
  <w:style w:type="character" w:customStyle="1" w:styleId="EncabezadoCar">
    <w:name w:val="Encabezado Car"/>
    <w:basedOn w:val="Fuentedeprrafopredeter"/>
    <w:link w:val="Encabezado"/>
    <w:uiPriority w:val="99"/>
    <w:rsid w:val="00753EC1"/>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53EC1"/>
    <w:pPr>
      <w:tabs>
        <w:tab w:val="center" w:pos="4419"/>
        <w:tab w:val="right" w:pos="8838"/>
      </w:tabs>
    </w:pPr>
  </w:style>
  <w:style w:type="character" w:customStyle="1" w:styleId="PiedepginaCar">
    <w:name w:val="Pie de página Car"/>
    <w:basedOn w:val="Fuentedeprrafopredeter"/>
    <w:link w:val="Piedepgina"/>
    <w:uiPriority w:val="99"/>
    <w:rsid w:val="00753EC1"/>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53E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53EC1"/>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53EC1"/>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53E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53E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53EC1"/>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753EC1"/>
    <w:rPr>
      <w:rFonts w:ascii="Times New Roman" w:eastAsia="Times New Roman" w:hAnsi="Times New Roman" w:cs="Times New Roman"/>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57936.pag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aimex.org.mx/saimex/solicitud/downloadAttach/1629797.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23</Pages>
  <Words>4867</Words>
  <Characters>26774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dcterms:created xsi:type="dcterms:W3CDTF">2023-01-26T01:58:00Z</dcterms:created>
  <dcterms:modified xsi:type="dcterms:W3CDTF">2023-03-07T19:41:00Z</dcterms:modified>
</cp:coreProperties>
</file>