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A1B6B" w14:textId="77777777" w:rsidR="00E35DF9" w:rsidRPr="002244FC" w:rsidRDefault="00E35DF9" w:rsidP="00147516">
      <w:pPr>
        <w:spacing w:line="360" w:lineRule="auto"/>
        <w:contextualSpacing/>
        <w:jc w:val="both"/>
        <w:rPr>
          <w:rFonts w:ascii="Palatino Linotype" w:hAnsi="Palatino Linotype" w:cs="Tahoma"/>
          <w:bCs/>
          <w:sz w:val="22"/>
          <w:szCs w:val="22"/>
        </w:rPr>
      </w:pPr>
      <w:bookmarkStart w:id="0" w:name="_Hlk76457302"/>
      <w:r w:rsidRPr="002244FC">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72D4F" w:rsidRPr="002244FC">
        <w:rPr>
          <w:rFonts w:ascii="Palatino Linotype" w:hAnsi="Palatino Linotype" w:cs="Tahoma"/>
          <w:bCs/>
          <w:sz w:val="22"/>
          <w:szCs w:val="22"/>
        </w:rPr>
        <w:t xml:space="preserve">diecisiete de mayo </w:t>
      </w:r>
      <w:r w:rsidR="008453FA" w:rsidRPr="002244FC">
        <w:rPr>
          <w:rFonts w:ascii="Palatino Linotype" w:hAnsi="Palatino Linotype" w:cs="Tahoma"/>
          <w:bCs/>
          <w:sz w:val="22"/>
          <w:szCs w:val="22"/>
        </w:rPr>
        <w:t>de dos mil veintitrés</w:t>
      </w:r>
      <w:r w:rsidRPr="002244FC">
        <w:rPr>
          <w:rFonts w:ascii="Palatino Linotype" w:hAnsi="Palatino Linotype" w:cs="Tahoma"/>
          <w:bCs/>
          <w:sz w:val="22"/>
          <w:szCs w:val="22"/>
        </w:rPr>
        <w:t>.</w:t>
      </w:r>
    </w:p>
    <w:p w14:paraId="229A9FF4" w14:textId="77777777" w:rsidR="00E35DF9" w:rsidRPr="002244FC" w:rsidRDefault="00E35DF9" w:rsidP="00147516">
      <w:pPr>
        <w:spacing w:line="360" w:lineRule="auto"/>
        <w:contextualSpacing/>
        <w:rPr>
          <w:rFonts w:ascii="Palatino Linotype" w:hAnsi="Palatino Linotype" w:cs="Tahoma"/>
          <w:bCs/>
          <w:sz w:val="22"/>
          <w:szCs w:val="22"/>
        </w:rPr>
      </w:pPr>
    </w:p>
    <w:p w14:paraId="20F72371" w14:textId="77777777" w:rsidR="00E35DF9" w:rsidRPr="002244FC" w:rsidRDefault="00E35DF9" w:rsidP="00147516">
      <w:pPr>
        <w:spacing w:line="360" w:lineRule="auto"/>
        <w:contextualSpacing/>
        <w:jc w:val="both"/>
        <w:rPr>
          <w:rFonts w:ascii="Palatino Linotype" w:hAnsi="Palatino Linotype" w:cs="Tahoma"/>
          <w:bCs/>
          <w:sz w:val="22"/>
          <w:szCs w:val="22"/>
        </w:rPr>
      </w:pPr>
      <w:r w:rsidRPr="002244FC">
        <w:rPr>
          <w:rFonts w:ascii="Palatino Linotype" w:hAnsi="Palatino Linotype" w:cs="Tahoma"/>
          <w:b/>
          <w:bCs/>
          <w:color w:val="0D0D0D" w:themeColor="text1" w:themeTint="F2"/>
          <w:sz w:val="22"/>
          <w:szCs w:val="22"/>
        </w:rPr>
        <w:t xml:space="preserve">VISTO </w:t>
      </w:r>
      <w:r w:rsidR="00D0542E" w:rsidRPr="002244FC">
        <w:rPr>
          <w:rFonts w:ascii="Palatino Linotype" w:hAnsi="Palatino Linotype" w:cs="Tahoma"/>
          <w:bCs/>
          <w:color w:val="0D0D0D" w:themeColor="text1" w:themeTint="F2"/>
          <w:sz w:val="22"/>
          <w:szCs w:val="22"/>
        </w:rPr>
        <w:t>el expediente</w:t>
      </w:r>
      <w:r w:rsidRPr="002244FC">
        <w:rPr>
          <w:rFonts w:ascii="Palatino Linotype" w:hAnsi="Palatino Linotype" w:cs="Tahoma"/>
          <w:bCs/>
          <w:color w:val="0D0D0D" w:themeColor="text1" w:themeTint="F2"/>
          <w:sz w:val="22"/>
          <w:szCs w:val="22"/>
        </w:rPr>
        <w:t xml:space="preserve"> conformado con motivo de</w:t>
      </w:r>
      <w:r w:rsidR="00E30210" w:rsidRPr="002244FC">
        <w:rPr>
          <w:rFonts w:ascii="Palatino Linotype" w:hAnsi="Palatino Linotype" w:cs="Tahoma"/>
          <w:bCs/>
          <w:color w:val="0D0D0D" w:themeColor="text1" w:themeTint="F2"/>
          <w:sz w:val="22"/>
          <w:szCs w:val="22"/>
        </w:rPr>
        <w:t>l</w:t>
      </w:r>
      <w:r w:rsidRPr="002244FC">
        <w:rPr>
          <w:rFonts w:ascii="Palatino Linotype" w:hAnsi="Palatino Linotype" w:cs="Tahoma"/>
          <w:bCs/>
          <w:color w:val="0D0D0D" w:themeColor="text1" w:themeTint="F2"/>
          <w:sz w:val="22"/>
          <w:szCs w:val="22"/>
        </w:rPr>
        <w:t xml:space="preserve"> Recurso de Revisión</w:t>
      </w:r>
      <w:r w:rsidR="0089175F" w:rsidRPr="002244FC">
        <w:rPr>
          <w:rFonts w:ascii="Palatino Linotype" w:hAnsi="Palatino Linotype" w:cs="Tahoma"/>
          <w:bCs/>
          <w:color w:val="0D0D0D" w:themeColor="text1" w:themeTint="F2"/>
          <w:sz w:val="22"/>
          <w:szCs w:val="22"/>
        </w:rPr>
        <w:t xml:space="preserve"> </w:t>
      </w:r>
      <w:r w:rsidR="00472D4F" w:rsidRPr="002244FC">
        <w:rPr>
          <w:rFonts w:ascii="Palatino Linotype" w:hAnsi="Palatino Linotype" w:cs="Tahoma"/>
          <w:b/>
          <w:bCs/>
          <w:color w:val="0D0D0D" w:themeColor="text1" w:themeTint="F2"/>
          <w:sz w:val="22"/>
          <w:szCs w:val="22"/>
        </w:rPr>
        <w:t>01041</w:t>
      </w:r>
      <w:r w:rsidR="0089175F" w:rsidRPr="002244FC">
        <w:rPr>
          <w:rFonts w:ascii="Palatino Linotype" w:hAnsi="Palatino Linotype" w:cs="Tahoma"/>
          <w:b/>
          <w:bCs/>
          <w:color w:val="0D0D0D" w:themeColor="text1" w:themeTint="F2"/>
          <w:sz w:val="22"/>
          <w:szCs w:val="22"/>
        </w:rPr>
        <w:t>/INFOEM/IP/RR/202</w:t>
      </w:r>
      <w:r w:rsidR="00B51AEA" w:rsidRPr="002244FC">
        <w:rPr>
          <w:rFonts w:ascii="Palatino Linotype" w:hAnsi="Palatino Linotype" w:cs="Tahoma"/>
          <w:b/>
          <w:bCs/>
          <w:color w:val="0D0D0D" w:themeColor="text1" w:themeTint="F2"/>
          <w:sz w:val="22"/>
          <w:szCs w:val="22"/>
        </w:rPr>
        <w:t>3</w:t>
      </w:r>
      <w:r w:rsidR="0089175F" w:rsidRPr="002244FC">
        <w:rPr>
          <w:rFonts w:ascii="Palatino Linotype" w:hAnsi="Palatino Linotype" w:cs="Tahoma"/>
          <w:b/>
          <w:bCs/>
          <w:color w:val="0D0D0D" w:themeColor="text1" w:themeTint="F2"/>
          <w:sz w:val="22"/>
          <w:szCs w:val="22"/>
        </w:rPr>
        <w:t>,</w:t>
      </w:r>
      <w:r w:rsidRPr="002244FC">
        <w:rPr>
          <w:rFonts w:ascii="Palatino Linotype" w:hAnsi="Palatino Linotype" w:cs="Tahoma"/>
          <w:bCs/>
          <w:color w:val="0D0D0D" w:themeColor="text1" w:themeTint="F2"/>
          <w:sz w:val="22"/>
          <w:szCs w:val="22"/>
        </w:rPr>
        <w:t xml:space="preserve"> interpuesto</w:t>
      </w:r>
      <w:r w:rsidR="00C74F5F" w:rsidRPr="002244FC">
        <w:rPr>
          <w:rFonts w:ascii="Palatino Linotype" w:hAnsi="Palatino Linotype" w:cs="Tahoma"/>
          <w:color w:val="0D0D0D" w:themeColor="text1" w:themeTint="F2"/>
          <w:sz w:val="22"/>
          <w:szCs w:val="22"/>
        </w:rPr>
        <w:t xml:space="preserve"> </w:t>
      </w:r>
      <w:r w:rsidR="007E4927" w:rsidRPr="002244FC">
        <w:rPr>
          <w:rFonts w:ascii="Palatino Linotype" w:hAnsi="Palatino Linotype" w:cs="Tahoma"/>
          <w:bCs/>
          <w:color w:val="0D0D0D" w:themeColor="text1" w:themeTint="F2"/>
          <w:sz w:val="22"/>
          <w:szCs w:val="22"/>
        </w:rPr>
        <w:t>por</w:t>
      </w:r>
      <w:r w:rsidR="00383BDB" w:rsidRPr="002244FC">
        <w:rPr>
          <w:rFonts w:ascii="Palatino Linotype" w:hAnsi="Palatino Linotype" w:cs="Tahoma"/>
          <w:bCs/>
          <w:color w:val="0D0D0D" w:themeColor="text1" w:themeTint="F2"/>
          <w:sz w:val="22"/>
          <w:szCs w:val="22"/>
        </w:rPr>
        <w:t xml:space="preserve"> </w:t>
      </w:r>
      <w:r w:rsidR="00472D4F" w:rsidRPr="002244FC">
        <w:rPr>
          <w:rFonts w:ascii="Palatino Linotype" w:hAnsi="Palatino Linotype" w:cs="Tahoma"/>
          <w:color w:val="0D0D0D" w:themeColor="text1" w:themeTint="F2"/>
          <w:sz w:val="22"/>
          <w:szCs w:val="22"/>
        </w:rPr>
        <w:t>un</w:t>
      </w:r>
      <w:r w:rsidR="00FA7166" w:rsidRPr="002244FC">
        <w:rPr>
          <w:rFonts w:ascii="Palatino Linotype" w:hAnsi="Palatino Linotype" w:cs="Tahoma"/>
          <w:bCs/>
          <w:color w:val="0D0D0D" w:themeColor="text1" w:themeTint="F2"/>
          <w:sz w:val="22"/>
          <w:szCs w:val="22"/>
        </w:rPr>
        <w:t xml:space="preserve"> </w:t>
      </w:r>
      <w:r w:rsidRPr="002244FC">
        <w:rPr>
          <w:rFonts w:ascii="Palatino Linotype" w:hAnsi="Palatino Linotype" w:cs="Tahoma"/>
          <w:bCs/>
          <w:color w:val="0D0D0D" w:themeColor="text1" w:themeTint="F2"/>
          <w:sz w:val="22"/>
          <w:szCs w:val="22"/>
        </w:rPr>
        <w:t>Recurrente o Particular, en contra de la respuesta del Sujeto Obligado</w:t>
      </w:r>
      <w:r w:rsidRPr="002244FC">
        <w:rPr>
          <w:rFonts w:ascii="Palatino Linotype" w:hAnsi="Palatino Linotype"/>
          <w:sz w:val="22"/>
          <w:szCs w:val="22"/>
        </w:rPr>
        <w:t xml:space="preserve"> </w:t>
      </w:r>
      <w:r w:rsidR="00472D4F" w:rsidRPr="002244FC">
        <w:rPr>
          <w:rFonts w:ascii="Palatino Linotype" w:eastAsia="Calibri" w:hAnsi="Palatino Linotype" w:cs="Tahoma"/>
          <w:b/>
          <w:bCs/>
          <w:sz w:val="22"/>
          <w:szCs w:val="22"/>
          <w:lang w:eastAsia="en-US"/>
        </w:rPr>
        <w:t>Secretaría de Movilidad</w:t>
      </w:r>
      <w:r w:rsidRPr="002244FC">
        <w:rPr>
          <w:rFonts w:ascii="Palatino Linotype" w:hAnsi="Palatino Linotype" w:cs="Tahoma"/>
          <w:b/>
          <w:color w:val="0D0D0D" w:themeColor="text1" w:themeTint="F2"/>
          <w:sz w:val="22"/>
          <w:szCs w:val="22"/>
        </w:rPr>
        <w:t xml:space="preserve">, </w:t>
      </w:r>
      <w:r w:rsidRPr="002244FC">
        <w:rPr>
          <w:rFonts w:ascii="Palatino Linotype" w:hAnsi="Palatino Linotype" w:cs="Tahoma"/>
          <w:bCs/>
          <w:color w:val="0D0D0D" w:themeColor="text1" w:themeTint="F2"/>
          <w:sz w:val="22"/>
          <w:szCs w:val="22"/>
        </w:rPr>
        <w:t>se emite la presente Resolución, con base en los Antecedentes y C</w:t>
      </w:r>
      <w:r w:rsidRPr="002244FC">
        <w:rPr>
          <w:rFonts w:ascii="Palatino Linotype" w:hAnsi="Palatino Linotype" w:cs="Tahoma"/>
          <w:bCs/>
          <w:sz w:val="22"/>
          <w:szCs w:val="22"/>
        </w:rPr>
        <w:t>onsiderandos que a continuación se exponen:</w:t>
      </w:r>
    </w:p>
    <w:p w14:paraId="44176AAF" w14:textId="77777777" w:rsidR="00E35DF9" w:rsidRPr="002244FC" w:rsidRDefault="00E35DF9" w:rsidP="00147516">
      <w:pPr>
        <w:spacing w:line="360" w:lineRule="auto"/>
        <w:contextualSpacing/>
        <w:jc w:val="both"/>
        <w:rPr>
          <w:rFonts w:ascii="Palatino Linotype" w:hAnsi="Palatino Linotype" w:cs="Tahoma"/>
          <w:b/>
          <w:color w:val="0D0D0D" w:themeColor="text1" w:themeTint="F2"/>
          <w:sz w:val="18"/>
          <w:szCs w:val="22"/>
        </w:rPr>
      </w:pPr>
    </w:p>
    <w:p w14:paraId="5164A419" w14:textId="77777777" w:rsidR="00E35DF9" w:rsidRPr="002244FC" w:rsidRDefault="00E35DF9" w:rsidP="00147516">
      <w:pPr>
        <w:tabs>
          <w:tab w:val="center" w:pos="4522"/>
          <w:tab w:val="left" w:pos="7245"/>
        </w:tabs>
        <w:spacing w:line="360" w:lineRule="auto"/>
        <w:contextualSpacing/>
        <w:jc w:val="center"/>
        <w:rPr>
          <w:rFonts w:ascii="Palatino Linotype" w:hAnsi="Palatino Linotype" w:cs="Tahoma"/>
          <w:b/>
          <w:sz w:val="22"/>
          <w:szCs w:val="22"/>
        </w:rPr>
      </w:pPr>
      <w:r w:rsidRPr="002244FC">
        <w:rPr>
          <w:rFonts w:ascii="Palatino Linotype" w:hAnsi="Palatino Linotype" w:cs="Tahoma"/>
          <w:b/>
          <w:sz w:val="22"/>
          <w:szCs w:val="22"/>
        </w:rPr>
        <w:t>A N T E C E D E N T E S</w:t>
      </w:r>
    </w:p>
    <w:p w14:paraId="1CF83BD6" w14:textId="77777777" w:rsidR="00E35DF9" w:rsidRPr="002244FC" w:rsidRDefault="00E35DF9" w:rsidP="00147516">
      <w:pPr>
        <w:tabs>
          <w:tab w:val="center" w:pos="4522"/>
          <w:tab w:val="left" w:pos="7245"/>
        </w:tabs>
        <w:spacing w:line="360" w:lineRule="auto"/>
        <w:contextualSpacing/>
        <w:jc w:val="center"/>
        <w:rPr>
          <w:rFonts w:ascii="Palatino Linotype" w:hAnsi="Palatino Linotype" w:cs="Tahoma"/>
          <w:b/>
          <w:sz w:val="22"/>
          <w:szCs w:val="22"/>
        </w:rPr>
      </w:pPr>
    </w:p>
    <w:p w14:paraId="7A1C31AB" w14:textId="77777777" w:rsidR="00E35DF9" w:rsidRPr="002244FC" w:rsidRDefault="00E35DF9" w:rsidP="00147516">
      <w:pPr>
        <w:pStyle w:val="Prrafodelista"/>
        <w:tabs>
          <w:tab w:val="left" w:pos="567"/>
        </w:tabs>
        <w:spacing w:line="360" w:lineRule="auto"/>
        <w:ind w:left="0"/>
        <w:jc w:val="both"/>
        <w:rPr>
          <w:rFonts w:ascii="Palatino Linotype" w:hAnsi="Palatino Linotype" w:cs="Tahoma"/>
          <w:b/>
          <w:szCs w:val="22"/>
        </w:rPr>
      </w:pPr>
      <w:r w:rsidRPr="002244FC">
        <w:rPr>
          <w:rFonts w:ascii="Palatino Linotype" w:hAnsi="Palatino Linotype" w:cs="Tahoma"/>
          <w:b/>
          <w:szCs w:val="22"/>
        </w:rPr>
        <w:t xml:space="preserve">I. Presentación de la solicitud de información. </w:t>
      </w:r>
    </w:p>
    <w:p w14:paraId="26AA5E6A" w14:textId="77777777" w:rsidR="00E35DF9" w:rsidRPr="002244FC" w:rsidRDefault="00E35DF9" w:rsidP="00147516">
      <w:pPr>
        <w:pStyle w:val="Prrafodelista"/>
        <w:tabs>
          <w:tab w:val="left" w:pos="567"/>
        </w:tabs>
        <w:spacing w:line="360" w:lineRule="auto"/>
        <w:ind w:left="0"/>
        <w:jc w:val="both"/>
        <w:rPr>
          <w:rFonts w:ascii="Palatino Linotype" w:hAnsi="Palatino Linotype" w:cs="Tahoma"/>
          <w:b/>
          <w:sz w:val="18"/>
          <w:szCs w:val="22"/>
        </w:rPr>
      </w:pPr>
    </w:p>
    <w:p w14:paraId="70F4D48F" w14:textId="77777777" w:rsidR="00E35DF9" w:rsidRPr="002244FC" w:rsidRDefault="00E35DF9" w:rsidP="00147516">
      <w:pPr>
        <w:tabs>
          <w:tab w:val="left" w:pos="567"/>
        </w:tabs>
        <w:spacing w:line="360" w:lineRule="auto"/>
        <w:contextualSpacing/>
        <w:jc w:val="both"/>
        <w:rPr>
          <w:rFonts w:ascii="Palatino Linotype" w:hAnsi="Palatino Linotype" w:cs="Tahoma"/>
          <w:sz w:val="22"/>
          <w:szCs w:val="22"/>
        </w:rPr>
      </w:pPr>
      <w:r w:rsidRPr="002244FC">
        <w:rPr>
          <w:rFonts w:ascii="Palatino Linotype" w:hAnsi="Palatino Linotype" w:cs="Tahoma"/>
          <w:sz w:val="22"/>
          <w:szCs w:val="22"/>
        </w:rPr>
        <w:t xml:space="preserve">Con fecha </w:t>
      </w:r>
      <w:r w:rsidR="00472D4F" w:rsidRPr="002244FC">
        <w:rPr>
          <w:rFonts w:ascii="Palatino Linotype" w:hAnsi="Palatino Linotype" w:cs="Tahoma"/>
          <w:sz w:val="22"/>
          <w:szCs w:val="22"/>
        </w:rPr>
        <w:t xml:space="preserve">dieciséis </w:t>
      </w:r>
      <w:r w:rsidR="00C53C3A" w:rsidRPr="002244FC">
        <w:rPr>
          <w:rFonts w:ascii="Palatino Linotype" w:hAnsi="Palatino Linotype" w:cs="Tahoma"/>
          <w:sz w:val="22"/>
          <w:szCs w:val="22"/>
        </w:rPr>
        <w:t xml:space="preserve">de enero </w:t>
      </w:r>
      <w:r w:rsidR="008436E1" w:rsidRPr="002244FC">
        <w:rPr>
          <w:rFonts w:ascii="Palatino Linotype" w:hAnsi="Palatino Linotype" w:cs="Tahoma"/>
          <w:sz w:val="22"/>
          <w:szCs w:val="22"/>
        </w:rPr>
        <w:t>de dos mil veinti</w:t>
      </w:r>
      <w:r w:rsidR="00C53C3A" w:rsidRPr="002244FC">
        <w:rPr>
          <w:rFonts w:ascii="Palatino Linotype" w:hAnsi="Palatino Linotype" w:cs="Tahoma"/>
          <w:sz w:val="22"/>
          <w:szCs w:val="22"/>
        </w:rPr>
        <w:t>trés</w:t>
      </w:r>
      <w:r w:rsidRPr="002244FC">
        <w:rPr>
          <w:rFonts w:ascii="Palatino Linotype" w:hAnsi="Palatino Linotype" w:cs="Tahoma"/>
          <w:sz w:val="22"/>
          <w:szCs w:val="22"/>
        </w:rPr>
        <w:t>, el Particular presentó solicitud de acceso a la i</w:t>
      </w:r>
      <w:r w:rsidR="009D6672" w:rsidRPr="002244FC">
        <w:rPr>
          <w:rFonts w:ascii="Palatino Linotype" w:hAnsi="Palatino Linotype" w:cs="Tahoma"/>
          <w:sz w:val="22"/>
          <w:szCs w:val="22"/>
        </w:rPr>
        <w:t>nformación pública, a través del Sistema de Acceso a la Información Mexiquense (SAIMEX)</w:t>
      </w:r>
      <w:r w:rsidRPr="002244FC">
        <w:rPr>
          <w:rFonts w:ascii="Palatino Linotype" w:hAnsi="Palatino Linotype" w:cs="Tahoma"/>
          <w:sz w:val="22"/>
          <w:szCs w:val="22"/>
        </w:rPr>
        <w:t xml:space="preserve">, ante </w:t>
      </w:r>
      <w:r w:rsidR="00472D4F" w:rsidRPr="002244FC">
        <w:rPr>
          <w:rFonts w:ascii="Palatino Linotype" w:hAnsi="Palatino Linotype" w:cs="Tahoma"/>
          <w:sz w:val="22"/>
          <w:szCs w:val="22"/>
        </w:rPr>
        <w:t>la</w:t>
      </w:r>
      <w:r w:rsidRPr="002244FC">
        <w:rPr>
          <w:rFonts w:ascii="Palatino Linotype" w:hAnsi="Palatino Linotype" w:cs="Tahoma"/>
          <w:sz w:val="22"/>
          <w:szCs w:val="22"/>
        </w:rPr>
        <w:t xml:space="preserve"> </w:t>
      </w:r>
      <w:r w:rsidR="00472D4F" w:rsidRPr="002244FC">
        <w:rPr>
          <w:rFonts w:ascii="Palatino Linotype" w:hAnsi="Palatino Linotype" w:cs="Tahoma"/>
          <w:b/>
          <w:bCs/>
          <w:sz w:val="22"/>
          <w:szCs w:val="22"/>
        </w:rPr>
        <w:t>Secretaría de Movilidad</w:t>
      </w:r>
      <w:r w:rsidRPr="002244FC">
        <w:rPr>
          <w:rFonts w:ascii="Palatino Linotype" w:hAnsi="Palatino Linotype" w:cs="Tahoma"/>
          <w:sz w:val="22"/>
          <w:szCs w:val="22"/>
        </w:rPr>
        <w:t xml:space="preserve">, </w:t>
      </w:r>
      <w:r w:rsidR="003A12F1" w:rsidRPr="002244FC">
        <w:rPr>
          <w:rFonts w:ascii="Palatino Linotype" w:hAnsi="Palatino Linotype" w:cs="Tahoma"/>
          <w:sz w:val="22"/>
          <w:szCs w:val="22"/>
        </w:rPr>
        <w:t xml:space="preserve">misma que fue registrada con el número de folio </w:t>
      </w:r>
      <w:r w:rsidR="005C40A1" w:rsidRPr="002244FC">
        <w:rPr>
          <w:rFonts w:ascii="Palatino Linotype" w:hAnsi="Palatino Linotype" w:cs="Tahoma"/>
          <w:b/>
          <w:bCs/>
          <w:sz w:val="22"/>
          <w:szCs w:val="22"/>
        </w:rPr>
        <w:t xml:space="preserve"> </w:t>
      </w:r>
      <w:r w:rsidR="00472D4F" w:rsidRPr="002244FC">
        <w:rPr>
          <w:rFonts w:ascii="Palatino Linotype" w:hAnsi="Palatino Linotype" w:cs="Tahoma"/>
          <w:b/>
          <w:bCs/>
          <w:sz w:val="22"/>
          <w:szCs w:val="22"/>
        </w:rPr>
        <w:t>00029/SMOV/IP/2023</w:t>
      </w:r>
      <w:r w:rsidR="003A12F1" w:rsidRPr="002244FC">
        <w:rPr>
          <w:rFonts w:ascii="Palatino Linotype" w:hAnsi="Palatino Linotype" w:cs="Tahoma"/>
          <w:b/>
          <w:bCs/>
          <w:sz w:val="22"/>
          <w:szCs w:val="22"/>
        </w:rPr>
        <w:t xml:space="preserve">, </w:t>
      </w:r>
      <w:r w:rsidRPr="002244FC">
        <w:rPr>
          <w:rFonts w:ascii="Palatino Linotype" w:hAnsi="Palatino Linotype" w:cs="Tahoma"/>
          <w:sz w:val="22"/>
          <w:szCs w:val="22"/>
        </w:rPr>
        <w:t xml:space="preserve">mediante </w:t>
      </w:r>
      <w:r w:rsidR="0074594A" w:rsidRPr="002244FC">
        <w:rPr>
          <w:rFonts w:ascii="Palatino Linotype" w:hAnsi="Palatino Linotype" w:cs="Tahoma"/>
          <w:sz w:val="22"/>
          <w:szCs w:val="22"/>
        </w:rPr>
        <w:t>l</w:t>
      </w:r>
      <w:r w:rsidR="00B50512" w:rsidRPr="002244FC">
        <w:rPr>
          <w:rFonts w:ascii="Palatino Linotype" w:hAnsi="Palatino Linotype" w:cs="Tahoma"/>
          <w:sz w:val="22"/>
          <w:szCs w:val="22"/>
        </w:rPr>
        <w:t>a</w:t>
      </w:r>
      <w:r w:rsidRPr="002244FC">
        <w:rPr>
          <w:rFonts w:ascii="Palatino Linotype" w:hAnsi="Palatino Linotype" w:cs="Tahoma"/>
          <w:sz w:val="22"/>
          <w:szCs w:val="22"/>
        </w:rPr>
        <w:t xml:space="preserve"> cual requirió lo siguiente: </w:t>
      </w:r>
    </w:p>
    <w:p w14:paraId="7B8B59CC" w14:textId="77777777" w:rsidR="00D807FB" w:rsidRPr="002244FC" w:rsidRDefault="00D807FB" w:rsidP="00147516">
      <w:pPr>
        <w:tabs>
          <w:tab w:val="left" w:pos="567"/>
        </w:tabs>
        <w:spacing w:line="360" w:lineRule="auto"/>
        <w:contextualSpacing/>
        <w:jc w:val="both"/>
        <w:rPr>
          <w:rFonts w:ascii="Palatino Linotype" w:hAnsi="Palatino Linotype" w:cs="Tahoma"/>
          <w:sz w:val="22"/>
        </w:rPr>
      </w:pPr>
    </w:p>
    <w:p w14:paraId="2C00DE06" w14:textId="77777777" w:rsidR="00D807FB" w:rsidRPr="002244FC" w:rsidRDefault="00D807FB" w:rsidP="00147516">
      <w:pPr>
        <w:tabs>
          <w:tab w:val="left" w:pos="567"/>
        </w:tabs>
        <w:spacing w:line="360" w:lineRule="auto"/>
        <w:ind w:left="567" w:right="539"/>
        <w:contextualSpacing/>
        <w:jc w:val="both"/>
        <w:rPr>
          <w:rFonts w:ascii="Palatino Linotype" w:hAnsi="Palatino Linotype" w:cs="Tahoma"/>
          <w:b/>
          <w:bCs/>
          <w:sz w:val="22"/>
          <w:szCs w:val="22"/>
        </w:rPr>
      </w:pPr>
      <w:r w:rsidRPr="002244FC">
        <w:rPr>
          <w:rFonts w:ascii="Palatino Linotype" w:hAnsi="Palatino Linotype" w:cs="Tahoma"/>
          <w:b/>
          <w:bCs/>
        </w:rPr>
        <w:t>DESCRIPCIÓN CLARA Y PRECISA DE LA INFORMACIÓN SOLICITADA</w:t>
      </w:r>
      <w:r w:rsidRPr="002244FC">
        <w:rPr>
          <w:rFonts w:ascii="Palatino Linotype" w:hAnsi="Palatino Linotype" w:cs="Tahoma"/>
          <w:b/>
          <w:bCs/>
          <w:sz w:val="22"/>
          <w:szCs w:val="22"/>
        </w:rPr>
        <w:t>:</w:t>
      </w:r>
    </w:p>
    <w:p w14:paraId="385249D9" w14:textId="77777777" w:rsidR="000F2B83" w:rsidRPr="002244FC" w:rsidRDefault="009D6672" w:rsidP="00A660D1">
      <w:pPr>
        <w:pStyle w:val="Prrafodelista"/>
        <w:tabs>
          <w:tab w:val="left" w:pos="567"/>
        </w:tabs>
        <w:spacing w:line="360" w:lineRule="auto"/>
        <w:ind w:left="567" w:right="539"/>
        <w:jc w:val="both"/>
        <w:rPr>
          <w:rFonts w:ascii="Palatino Linotype" w:hAnsi="Palatino Linotype"/>
          <w:i/>
          <w:iCs/>
          <w:color w:val="000000"/>
          <w:sz w:val="20"/>
          <w:szCs w:val="20"/>
        </w:rPr>
      </w:pPr>
      <w:r w:rsidRPr="002244FC">
        <w:rPr>
          <w:rFonts w:ascii="Palatino Linotype" w:hAnsi="Palatino Linotype"/>
          <w:i/>
          <w:iCs/>
          <w:color w:val="000000"/>
          <w:sz w:val="20"/>
          <w:szCs w:val="20"/>
        </w:rPr>
        <w:t>“</w:t>
      </w:r>
      <w:r w:rsidR="00472D4F" w:rsidRPr="002244FC">
        <w:rPr>
          <w:rFonts w:ascii="Palatino Linotype" w:hAnsi="Palatino Linotype"/>
          <w:i/>
          <w:iCs/>
          <w:color w:val="000000"/>
          <w:sz w:val="20"/>
          <w:szCs w:val="20"/>
        </w:rPr>
        <w:t>Con fundamento en el 129, 130, 131, 132, 133 y demás aplicables de la Ley General de Transparencia y Acceso a la Información Pública, así como la Federal, se solicita todas las normas técnicas vigente en materia de transporte público y movilidad.</w:t>
      </w:r>
      <w:r w:rsidR="00B50512" w:rsidRPr="002244FC">
        <w:rPr>
          <w:rFonts w:ascii="Palatino Linotype" w:hAnsi="Palatino Linotype"/>
          <w:i/>
          <w:iCs/>
          <w:color w:val="000000"/>
          <w:sz w:val="20"/>
          <w:szCs w:val="20"/>
        </w:rPr>
        <w:t>"</w:t>
      </w:r>
    </w:p>
    <w:p w14:paraId="47E7D01D" w14:textId="77777777" w:rsidR="007E4927" w:rsidRPr="002244FC" w:rsidRDefault="007E4927" w:rsidP="00147516">
      <w:pPr>
        <w:pStyle w:val="Prrafodelista"/>
        <w:tabs>
          <w:tab w:val="left" w:pos="567"/>
        </w:tabs>
        <w:spacing w:line="360" w:lineRule="auto"/>
        <w:ind w:left="567" w:right="539"/>
        <w:jc w:val="both"/>
        <w:rPr>
          <w:rFonts w:ascii="Palatino Linotype" w:hAnsi="Palatino Linotype"/>
          <w:i/>
          <w:iCs/>
          <w:color w:val="000000"/>
          <w:sz w:val="20"/>
          <w:szCs w:val="20"/>
        </w:rPr>
      </w:pPr>
    </w:p>
    <w:p w14:paraId="2327D0EA" w14:textId="77777777" w:rsidR="00E35DF9" w:rsidRPr="002244FC" w:rsidRDefault="00E35DF9" w:rsidP="00147516">
      <w:pPr>
        <w:pStyle w:val="Prrafodelista"/>
        <w:tabs>
          <w:tab w:val="left" w:pos="567"/>
        </w:tabs>
        <w:spacing w:line="360" w:lineRule="auto"/>
        <w:ind w:left="567" w:right="539"/>
        <w:jc w:val="both"/>
        <w:rPr>
          <w:rFonts w:ascii="Palatino Linotype" w:hAnsi="Palatino Linotype" w:cs="Tahoma"/>
          <w:b/>
          <w:sz w:val="20"/>
          <w:szCs w:val="22"/>
        </w:rPr>
      </w:pPr>
      <w:r w:rsidRPr="002244FC">
        <w:rPr>
          <w:rFonts w:ascii="Palatino Linotype" w:hAnsi="Palatino Linotype" w:cs="Tahoma"/>
          <w:b/>
          <w:sz w:val="20"/>
          <w:szCs w:val="22"/>
        </w:rPr>
        <w:t>MODALIDAD DE ENTREGA</w:t>
      </w:r>
    </w:p>
    <w:p w14:paraId="49865575" w14:textId="77777777" w:rsidR="00E35DF9" w:rsidRPr="002244FC" w:rsidRDefault="007E4927" w:rsidP="00147516">
      <w:pPr>
        <w:pStyle w:val="Prrafodelista"/>
        <w:tabs>
          <w:tab w:val="left" w:pos="567"/>
        </w:tabs>
        <w:spacing w:line="360" w:lineRule="auto"/>
        <w:ind w:left="567" w:right="539"/>
        <w:jc w:val="both"/>
        <w:rPr>
          <w:rFonts w:ascii="Palatino Linotype" w:hAnsi="Palatino Linotype" w:cs="Tahoma"/>
          <w:i/>
          <w:sz w:val="20"/>
          <w:szCs w:val="22"/>
        </w:rPr>
      </w:pPr>
      <w:r w:rsidRPr="002244FC">
        <w:rPr>
          <w:rFonts w:ascii="Palatino Linotype" w:hAnsi="Palatino Linotype" w:cs="Tahoma"/>
          <w:i/>
          <w:sz w:val="20"/>
          <w:szCs w:val="22"/>
        </w:rPr>
        <w:t>“</w:t>
      </w:r>
      <w:r w:rsidR="009D6672" w:rsidRPr="002244FC">
        <w:rPr>
          <w:rFonts w:ascii="Palatino Linotype" w:hAnsi="Palatino Linotype" w:cs="Tahoma"/>
          <w:i/>
          <w:sz w:val="20"/>
          <w:szCs w:val="22"/>
        </w:rPr>
        <w:t>A través del SAIMEX</w:t>
      </w:r>
      <w:r w:rsidRPr="002244FC">
        <w:rPr>
          <w:rFonts w:ascii="Palatino Linotype" w:hAnsi="Palatino Linotype" w:cs="Tahoma"/>
          <w:i/>
          <w:sz w:val="20"/>
          <w:szCs w:val="22"/>
        </w:rPr>
        <w:t>”</w:t>
      </w:r>
    </w:p>
    <w:p w14:paraId="4189490A" w14:textId="77777777" w:rsidR="00C53C3A" w:rsidRPr="002244FC" w:rsidRDefault="00C53C3A" w:rsidP="00147516">
      <w:pPr>
        <w:pStyle w:val="Prrafodelista"/>
        <w:tabs>
          <w:tab w:val="left" w:pos="567"/>
        </w:tabs>
        <w:spacing w:line="360" w:lineRule="auto"/>
        <w:ind w:left="0"/>
        <w:jc w:val="both"/>
        <w:rPr>
          <w:rFonts w:ascii="Palatino Linotype" w:hAnsi="Palatino Linotype" w:cs="Tahoma"/>
          <w:b/>
          <w:szCs w:val="20"/>
        </w:rPr>
      </w:pPr>
    </w:p>
    <w:p w14:paraId="4AC3CED0" w14:textId="77777777" w:rsidR="00681D84" w:rsidRPr="002244FC" w:rsidRDefault="00A01EB6" w:rsidP="00147516">
      <w:pPr>
        <w:pStyle w:val="Prrafodelista"/>
        <w:tabs>
          <w:tab w:val="left" w:pos="567"/>
        </w:tabs>
        <w:spacing w:line="360" w:lineRule="auto"/>
        <w:ind w:left="0"/>
        <w:jc w:val="both"/>
        <w:rPr>
          <w:rFonts w:ascii="Palatino Linotype" w:hAnsi="Palatino Linotype" w:cs="Tahoma"/>
          <w:b/>
          <w:szCs w:val="22"/>
        </w:rPr>
      </w:pPr>
      <w:r w:rsidRPr="002244FC">
        <w:rPr>
          <w:rFonts w:ascii="Palatino Linotype" w:hAnsi="Palatino Linotype" w:cs="Tahoma"/>
          <w:b/>
          <w:szCs w:val="20"/>
        </w:rPr>
        <w:t>II</w:t>
      </w:r>
      <w:r w:rsidR="00681D84" w:rsidRPr="002244FC">
        <w:rPr>
          <w:rFonts w:ascii="Palatino Linotype" w:hAnsi="Palatino Linotype" w:cs="Tahoma"/>
          <w:b/>
          <w:szCs w:val="22"/>
        </w:rPr>
        <w:t>.</w:t>
      </w:r>
      <w:r w:rsidR="002A74AD" w:rsidRPr="002244FC">
        <w:rPr>
          <w:rFonts w:ascii="Palatino Linotype" w:hAnsi="Palatino Linotype" w:cs="Tahoma"/>
          <w:b/>
          <w:szCs w:val="22"/>
        </w:rPr>
        <w:t xml:space="preserve"> </w:t>
      </w:r>
      <w:r w:rsidR="00681D84" w:rsidRPr="002244FC">
        <w:rPr>
          <w:rFonts w:ascii="Palatino Linotype" w:hAnsi="Palatino Linotype" w:cs="Tahoma"/>
          <w:b/>
          <w:szCs w:val="22"/>
        </w:rPr>
        <w:t>Respuesta del Sujeto Obligado.</w:t>
      </w:r>
    </w:p>
    <w:p w14:paraId="54E1D4A8" w14:textId="77777777" w:rsidR="00E0128F" w:rsidRPr="002244FC" w:rsidRDefault="00E0128F" w:rsidP="00147516">
      <w:pPr>
        <w:pStyle w:val="Prrafodelista"/>
        <w:tabs>
          <w:tab w:val="left" w:pos="567"/>
        </w:tabs>
        <w:spacing w:line="360" w:lineRule="auto"/>
        <w:ind w:left="0"/>
        <w:jc w:val="both"/>
        <w:rPr>
          <w:rFonts w:ascii="Palatino Linotype" w:hAnsi="Palatino Linotype" w:cs="Tahoma"/>
          <w:b/>
          <w:sz w:val="20"/>
          <w:szCs w:val="22"/>
        </w:rPr>
      </w:pPr>
    </w:p>
    <w:p w14:paraId="76A81BBA" w14:textId="77777777" w:rsidR="00D61A90" w:rsidRPr="002244FC" w:rsidRDefault="00681D84" w:rsidP="00147516">
      <w:pPr>
        <w:autoSpaceDE w:val="0"/>
        <w:autoSpaceDN w:val="0"/>
        <w:adjustRightInd w:val="0"/>
        <w:spacing w:line="360" w:lineRule="auto"/>
        <w:contextualSpacing/>
        <w:jc w:val="both"/>
        <w:rPr>
          <w:rFonts w:ascii="Palatino Linotype" w:hAnsi="Palatino Linotype" w:cs="Tahoma"/>
          <w:sz w:val="22"/>
          <w:szCs w:val="22"/>
        </w:rPr>
      </w:pPr>
      <w:r w:rsidRPr="002244FC">
        <w:rPr>
          <w:rFonts w:ascii="Palatino Linotype" w:hAnsi="Palatino Linotype" w:cs="Tahoma"/>
          <w:sz w:val="22"/>
          <w:szCs w:val="22"/>
        </w:rPr>
        <w:lastRenderedPageBreak/>
        <w:t xml:space="preserve">Con fecha </w:t>
      </w:r>
      <w:r w:rsidR="00C53C3A" w:rsidRPr="002244FC">
        <w:rPr>
          <w:rFonts w:ascii="Palatino Linotype" w:hAnsi="Palatino Linotype" w:cs="Tahoma"/>
          <w:sz w:val="22"/>
          <w:szCs w:val="22"/>
        </w:rPr>
        <w:t xml:space="preserve">tres de febrero </w:t>
      </w:r>
      <w:r w:rsidR="00B71F2C" w:rsidRPr="002244FC">
        <w:rPr>
          <w:rFonts w:ascii="Palatino Linotype" w:hAnsi="Palatino Linotype" w:cs="Tahoma"/>
          <w:sz w:val="22"/>
          <w:szCs w:val="22"/>
        </w:rPr>
        <w:t>de dos mil veinti</w:t>
      </w:r>
      <w:r w:rsidR="00B51AEA" w:rsidRPr="002244FC">
        <w:rPr>
          <w:rFonts w:ascii="Palatino Linotype" w:hAnsi="Palatino Linotype" w:cs="Tahoma"/>
          <w:sz w:val="22"/>
          <w:szCs w:val="22"/>
        </w:rPr>
        <w:t>trés</w:t>
      </w:r>
      <w:r w:rsidRPr="002244FC">
        <w:rPr>
          <w:rFonts w:ascii="Palatino Linotype" w:hAnsi="Palatino Linotype" w:cs="Tahoma"/>
          <w:sz w:val="22"/>
          <w:szCs w:val="22"/>
        </w:rPr>
        <w:t xml:space="preserve">, </w:t>
      </w:r>
      <w:r w:rsidR="00D74B06" w:rsidRPr="002244FC">
        <w:rPr>
          <w:rFonts w:ascii="Palatino Linotype" w:hAnsi="Palatino Linotype" w:cs="Tahoma"/>
          <w:sz w:val="22"/>
          <w:szCs w:val="22"/>
        </w:rPr>
        <w:t xml:space="preserve">el Sujeto Obligado </w:t>
      </w:r>
      <w:r w:rsidR="008453FA" w:rsidRPr="002244FC">
        <w:rPr>
          <w:rFonts w:ascii="Palatino Linotype" w:hAnsi="Palatino Linotype" w:cs="Tahoma"/>
          <w:sz w:val="22"/>
          <w:szCs w:val="22"/>
        </w:rPr>
        <w:t xml:space="preserve">otorgó respuesta a través del Sistema de Acceso a la Información Mexiquense (SAIMEX) en </w:t>
      </w:r>
      <w:r w:rsidR="006E14D7" w:rsidRPr="002244FC">
        <w:rPr>
          <w:rFonts w:ascii="Palatino Linotype" w:hAnsi="Palatino Linotype" w:cs="Tahoma"/>
          <w:sz w:val="22"/>
          <w:szCs w:val="22"/>
        </w:rPr>
        <w:t>la que adjuntó</w:t>
      </w:r>
      <w:r w:rsidR="00B51AEA" w:rsidRPr="002244FC">
        <w:rPr>
          <w:rFonts w:ascii="Palatino Linotype" w:hAnsi="Palatino Linotype" w:cs="Tahoma"/>
          <w:sz w:val="22"/>
          <w:szCs w:val="22"/>
        </w:rPr>
        <w:t xml:space="preserve"> </w:t>
      </w:r>
      <w:r w:rsidR="00D61A90" w:rsidRPr="002244FC">
        <w:rPr>
          <w:rFonts w:ascii="Palatino Linotype" w:hAnsi="Palatino Linotype" w:cs="Tahoma"/>
          <w:sz w:val="22"/>
          <w:szCs w:val="22"/>
        </w:rPr>
        <w:t>los siguientes archivos:</w:t>
      </w:r>
    </w:p>
    <w:p w14:paraId="5FFFBD4D" w14:textId="77777777" w:rsidR="00000F70" w:rsidRPr="002244FC" w:rsidRDefault="00000F70" w:rsidP="00147516">
      <w:pPr>
        <w:autoSpaceDE w:val="0"/>
        <w:autoSpaceDN w:val="0"/>
        <w:adjustRightInd w:val="0"/>
        <w:spacing w:line="360" w:lineRule="auto"/>
        <w:contextualSpacing/>
        <w:jc w:val="both"/>
        <w:rPr>
          <w:rFonts w:ascii="Palatino Linotype" w:hAnsi="Palatino Linotype" w:cs="Tahoma"/>
          <w:sz w:val="22"/>
          <w:szCs w:val="22"/>
        </w:rPr>
      </w:pPr>
    </w:p>
    <w:p w14:paraId="2A3CA196" w14:textId="77777777" w:rsidR="00472D4F" w:rsidRPr="002244FC" w:rsidRDefault="00472D4F" w:rsidP="00E37F28">
      <w:pPr>
        <w:pStyle w:val="Prrafodelista"/>
        <w:numPr>
          <w:ilvl w:val="0"/>
          <w:numId w:val="34"/>
        </w:numPr>
        <w:autoSpaceDE w:val="0"/>
        <w:autoSpaceDN w:val="0"/>
        <w:adjustRightInd w:val="0"/>
        <w:spacing w:line="360" w:lineRule="auto"/>
        <w:jc w:val="both"/>
        <w:rPr>
          <w:rFonts w:ascii="Palatino Linotype" w:hAnsi="Palatino Linotype" w:cs="Tahoma"/>
          <w:szCs w:val="22"/>
        </w:rPr>
      </w:pPr>
      <w:r w:rsidRPr="002244FC">
        <w:rPr>
          <w:rFonts w:ascii="Palatino Linotype" w:hAnsi="Palatino Linotype" w:cs="Tahoma"/>
          <w:b/>
          <w:i/>
          <w:szCs w:val="22"/>
        </w:rPr>
        <w:t>Respuesta Solicitud 00029.pdf:</w:t>
      </w:r>
      <w:r w:rsidRPr="002244FC">
        <w:rPr>
          <w:rFonts w:ascii="Palatino Linotype" w:hAnsi="Palatino Linotype" w:cs="Tahoma"/>
          <w:szCs w:val="22"/>
        </w:rPr>
        <w:t xml:space="preserve"> El archivo contiene un oficio suscrito por el Titular de la Unidad de Transparencia en el que manifestó lo siguiente:</w:t>
      </w:r>
    </w:p>
    <w:p w14:paraId="730FCA6F" w14:textId="77777777" w:rsidR="00472D4F" w:rsidRPr="002244FC" w:rsidRDefault="00472D4F" w:rsidP="00472D4F">
      <w:pPr>
        <w:autoSpaceDE w:val="0"/>
        <w:autoSpaceDN w:val="0"/>
        <w:adjustRightInd w:val="0"/>
        <w:spacing w:line="360" w:lineRule="auto"/>
        <w:contextualSpacing/>
        <w:jc w:val="both"/>
        <w:rPr>
          <w:rFonts w:ascii="Palatino Linotype" w:hAnsi="Palatino Linotype" w:cs="Tahoma"/>
          <w:sz w:val="22"/>
          <w:szCs w:val="22"/>
        </w:rPr>
      </w:pPr>
    </w:p>
    <w:p w14:paraId="3FD60773"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 se hace de su apreciable conocimiento que, mediante comunicados electrónicos remitidos por la dirección General de Asuntos Jurídicos e Igualdad de género, así como del Instituto de Transporte del Estado de México, como áreas competentes para atender el requerimiento de información que nos ocupa, informaron de manera íntegra lo siguiente:</w:t>
      </w:r>
    </w:p>
    <w:p w14:paraId="10E89BD3"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p>
    <w:p w14:paraId="46AEA759"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b/>
          <w:i/>
          <w:szCs w:val="22"/>
          <w:u w:val="single"/>
        </w:rPr>
      </w:pPr>
      <w:r w:rsidRPr="002244FC">
        <w:rPr>
          <w:rFonts w:ascii="Palatino Linotype" w:hAnsi="Palatino Linotype" w:cs="Tahoma"/>
          <w:b/>
          <w:i/>
          <w:szCs w:val="22"/>
          <w:u w:val="single"/>
        </w:rPr>
        <w:t>Dirección General de asuntos Jurídicos e Igualdad de Género</w:t>
      </w:r>
    </w:p>
    <w:p w14:paraId="3556D5ED"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b/>
          <w:i/>
          <w:szCs w:val="22"/>
          <w:u w:val="single"/>
        </w:rPr>
      </w:pPr>
    </w:p>
    <w:p w14:paraId="5F59C1B5"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“A través del presente en atención a la Solicitud identificada con Número de folio (…) ingresada a través del Sistema de acceso a la Información Mexiquense, se adjunta las las normas técnicas vigentes solicitadas y el oficio DGAJ_DC/220000060/0055/2023 suscrito por el director consultivo…</w:t>
      </w:r>
    </w:p>
    <w:p w14:paraId="11692A14"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p>
    <w:p w14:paraId="0A7FF545" w14:textId="0AD6CAAB"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b/>
          <w:i/>
          <w:szCs w:val="22"/>
          <w:u w:val="single"/>
        </w:rPr>
      </w:pPr>
      <w:r w:rsidRPr="002244FC">
        <w:rPr>
          <w:rFonts w:ascii="Palatino Linotype" w:hAnsi="Palatino Linotype" w:cs="Tahoma"/>
          <w:b/>
          <w:i/>
          <w:szCs w:val="22"/>
          <w:u w:val="single"/>
        </w:rPr>
        <w:t>Instituto de</w:t>
      </w:r>
      <w:r w:rsidR="004F0488" w:rsidRPr="002244FC">
        <w:rPr>
          <w:rFonts w:ascii="Palatino Linotype" w:hAnsi="Palatino Linotype" w:cs="Tahoma"/>
          <w:b/>
          <w:i/>
          <w:szCs w:val="22"/>
          <w:u w:val="single"/>
        </w:rPr>
        <w:t>l</w:t>
      </w:r>
      <w:r w:rsidRPr="002244FC">
        <w:rPr>
          <w:rFonts w:ascii="Palatino Linotype" w:hAnsi="Palatino Linotype" w:cs="Tahoma"/>
          <w:b/>
          <w:i/>
          <w:szCs w:val="22"/>
          <w:u w:val="single"/>
        </w:rPr>
        <w:t xml:space="preserve"> Transporte</w:t>
      </w:r>
    </w:p>
    <w:p w14:paraId="69F10DCA"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 me permito dar respuesta en los siguientes términos:</w:t>
      </w:r>
    </w:p>
    <w:p w14:paraId="5FAAE149"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p>
    <w:p w14:paraId="3991A4BB" w14:textId="77777777" w:rsidR="00472D4F" w:rsidRPr="002244FC" w:rsidRDefault="00472D4F" w:rsidP="00472D4F">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 xml:space="preserve">1.- Normas publicadas: R: Al respecto, anexo al presente la liga de la normateca interna de la Secretaría de Movilidad en la cual se encuentran las Normas Técnicas vigentes publicadas, </w:t>
      </w:r>
      <w:hyperlink r:id="rId8" w:history="1">
        <w:r w:rsidRPr="002244FC">
          <w:rPr>
            <w:rStyle w:val="Hipervnculo"/>
            <w:rFonts w:ascii="Palatino Linotype" w:hAnsi="Palatino Linotype" w:cs="Tahoma"/>
            <w:i/>
            <w:szCs w:val="22"/>
          </w:rPr>
          <w:t>https://smovilidad.edomex.gob.mx/sites/smovilidad.edomex.gob.mx/files/files/pdf/NORMATECA%20INTERNA_2020.pdf</w:t>
        </w:r>
      </w:hyperlink>
      <w:r w:rsidRPr="002244FC">
        <w:rPr>
          <w:rFonts w:ascii="Palatino Linotype" w:hAnsi="Palatino Linotype" w:cs="Tahoma"/>
          <w:i/>
          <w:szCs w:val="22"/>
        </w:rPr>
        <w:t xml:space="preserve">  adicionalmente y para su prontas referencia </w:t>
      </w:r>
      <w:r w:rsidR="006C0DEA" w:rsidRPr="002244FC">
        <w:rPr>
          <w:rFonts w:ascii="Palatino Linotype" w:hAnsi="Palatino Linotype" w:cs="Tahoma"/>
          <w:i/>
          <w:szCs w:val="22"/>
        </w:rPr>
        <w:t>anexo en PDF las normas en comento</w:t>
      </w:r>
    </w:p>
    <w:p w14:paraId="23697366" w14:textId="77777777" w:rsidR="006C0DEA" w:rsidRPr="002244FC" w:rsidRDefault="006C0DEA" w:rsidP="00472D4F">
      <w:pPr>
        <w:autoSpaceDE w:val="0"/>
        <w:autoSpaceDN w:val="0"/>
        <w:adjustRightInd w:val="0"/>
        <w:spacing w:line="360" w:lineRule="auto"/>
        <w:ind w:left="567" w:right="539"/>
        <w:contextualSpacing/>
        <w:jc w:val="both"/>
        <w:rPr>
          <w:rFonts w:ascii="Palatino Linotype" w:hAnsi="Palatino Linotype" w:cs="Tahoma"/>
          <w:i/>
          <w:szCs w:val="22"/>
        </w:rPr>
      </w:pPr>
    </w:p>
    <w:p w14:paraId="1F7CE540" w14:textId="6D29C51B"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lastRenderedPageBreak/>
        <w:t>ACUERDO DEL SECRETARIO DE TRASNPORTE POR, EL QUE SE PUBLICA LA NORMA TÉCNICA DE VEHÍCULOS ADAPTADOS PARA PRESTAR LOS SERVICIOS DE ARRASTRE SALVAMENTO, GUARDA Y CUSTODIA Y DEPOSITO DE VEHÍCULOS, ASÍ COMO COBREO DE SERVICIOS. Publicada en la Gaceta de Gobierno en Toluca de Lerdo, México el 25 de marzo de 2010. Creo que fue otra fecha</w:t>
      </w:r>
    </w:p>
    <w:p w14:paraId="0D639D75" w14:textId="77777777"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POR EL QUE SE PUBLICA LA ACTUALIZACION DE LA NORMA TECNICA DE VEHICULOS ADAPTADOS PARA PRESTAR LOS SERVICIOS AUXILIARES DE ARRASTRE, TRASLADO, SALVAMENTO, GUARDA, CUSTODIA Y DEPOSITO DE VEHICULOS, ASI COMO COBRO DE SERVICIOS. Publicada en gaceta de Gobierno en Toluca de Lerdo, México el lunes 15 de abril de 2013</w:t>
      </w:r>
    </w:p>
    <w:p w14:paraId="23963CC7" w14:textId="77777777"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DEL SECRETARIO DE TRANSPORTE POR EL QUE SE MODIFICAN LAS TARIFAS MÁXIMAS PARA LA PRESTACIÓN DEL SERVICIO PÚBLICO DE TRANSPORTE, EN LAS MODALIDADES DE COLECTIVO Y MIXTO. Publicado en gaceta ed gobierno en Toluca de Lerdo, México el 6 de mayo de 2013</w:t>
      </w:r>
    </w:p>
    <w:p w14:paraId="6E026608" w14:textId="77777777"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DEL SECRETARIO DE TRANSPORTE POR EL QUE SE DA A CONOCER LA NORMA TÉCNICA DE LOS SERVICIOS DE TAXI SEGURO Y TAXI ROSA CON ENLACE A UN CENTRO DE MONITOREO CON EL SERVICIO DE ATENCIÓN A LLAMADAS DE EMERGENCIA 0-6-6- Publicada en gaceta de Gobierno en Toluca de Lerdo, México el 14 de abril de 2014.</w:t>
      </w:r>
    </w:p>
    <w:p w14:paraId="46106E21" w14:textId="7BBCB671"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POR EL QUE SE EXPIDEN Y SEÑALAN LOS ELEMENTOS DE IDENTIFICACIÓN DE LOS VEHÍCULOS DESTINADOS A CONCESIONES Y PERMISOS RELACION</w:t>
      </w:r>
      <w:r w:rsidR="004F0488" w:rsidRPr="002244FC">
        <w:rPr>
          <w:rFonts w:ascii="Palatino Linotype" w:hAnsi="Palatino Linotype" w:cs="Tahoma"/>
          <w:i/>
          <w:szCs w:val="22"/>
        </w:rPr>
        <w:t>A</w:t>
      </w:r>
      <w:r w:rsidRPr="002244FC">
        <w:rPr>
          <w:rFonts w:ascii="Palatino Linotype" w:hAnsi="Palatino Linotype" w:cs="Tahoma"/>
          <w:i/>
          <w:szCs w:val="22"/>
        </w:rPr>
        <w:t xml:space="preserve">DOS CON EL SERVICIO PÚBLICO DE TRANSPORTE SEGURO PARA LAS MODALIDADES DE COLECTIVO, </w:t>
      </w:r>
      <w:r w:rsidRPr="002244FC">
        <w:rPr>
          <w:rFonts w:ascii="Palatino Linotype" w:hAnsi="Palatino Linotype" w:cs="Tahoma"/>
          <w:i/>
          <w:szCs w:val="22"/>
        </w:rPr>
        <w:lastRenderedPageBreak/>
        <w:t>AUTOMÓVIL DE ALQUILER Y TAXI ROSA EN EL ESTADO DE MÉXICO. Publicada en gaceta de Gobierno en Toluca de Lerdo, México el 14 de abril de 2014.</w:t>
      </w:r>
    </w:p>
    <w:p w14:paraId="49FBBE09" w14:textId="77777777"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DEL SECRETARIO DE MOVILIDAD POR EL QUE SE MODIFICAN LAS TARIFAS MÁXIMAS PARA LA PRESTACIÓN DEL SERVICIO PÚBLICO DE TRANSPORTE EN LA MODALIDAD DE COLECTIVO Y MIXTO. Publicada en gaceta de Gobierno en Toluca de Lerdo, México el viernes 8 de septiembre de 2017.</w:t>
      </w:r>
    </w:p>
    <w:p w14:paraId="3C585443" w14:textId="29698ED4" w:rsidR="006C0DEA" w:rsidRPr="002244FC" w:rsidRDefault="006C0DEA" w:rsidP="00F1269B">
      <w:pPr>
        <w:pStyle w:val="Prrafodelista"/>
        <w:numPr>
          <w:ilvl w:val="0"/>
          <w:numId w:val="33"/>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DEL SECRETARO DE MOVILIDAD POR EL QUE SE AUTORIZA POR TIEMPO DETERMINADO LA CULMINACIÓN DE LOS TRÁMITES DE OTORGAMIENTO DE CONCESIONES, AUTORIZACIONES DE BASE, TERMINALES, DERROTEROS, LANZADERAS, ALARGAMIENTS Y MODIFICACIONES DE DERROTEROS QUE SE HAYAN INICIADO Y NO CONCLUIDO, ASI MISMO RESPECTO DE LAS CONCESIONES VENCIDAS QUE NO FUERON PRORROGADAS EN TIEMPO Y FORMA. Publicada en gaceta de Gobierno en Toluca de Lerdo, México el martes 20 de marzo de 2018.</w:t>
      </w:r>
    </w:p>
    <w:p w14:paraId="1A3BCE2A" w14:textId="77777777" w:rsidR="006C0DEA" w:rsidRPr="002244FC" w:rsidRDefault="00F1269B" w:rsidP="00F1269B">
      <w:pPr>
        <w:pStyle w:val="Prrafodelista"/>
        <w:numPr>
          <w:ilvl w:val="0"/>
          <w:numId w:val="32"/>
        </w:numPr>
        <w:autoSpaceDE w:val="0"/>
        <w:autoSpaceDN w:val="0"/>
        <w:adjustRightInd w:val="0"/>
        <w:spacing w:line="360" w:lineRule="auto"/>
        <w:ind w:left="993" w:right="539"/>
        <w:jc w:val="both"/>
        <w:rPr>
          <w:rFonts w:ascii="Palatino Linotype" w:hAnsi="Palatino Linotype" w:cs="Tahoma"/>
          <w:i/>
          <w:szCs w:val="22"/>
        </w:rPr>
      </w:pPr>
      <w:r w:rsidRPr="002244FC">
        <w:rPr>
          <w:rFonts w:ascii="Palatino Linotype" w:hAnsi="Palatino Linotype" w:cs="Tahoma"/>
          <w:i/>
          <w:szCs w:val="22"/>
        </w:rPr>
        <w:t>ACUERDO DEL SECRETARIO DE MOVILIDAD POR EL QUE SE AUTORIZA LA MODIFICACIÓN A LAS TARIFAS MÁXIMAS PARA LA PRESTACIÓN DEL SERVICIO PÚBLICO DE TRANSPORTE EN LA MODALIDAD DE COLECTIVO Y MIXTO. Publicada en gaceta de Gobierno en Toluca de Lerdo, México el jueves 19 de diciembre de 2019. Sin más por el momento, me reitero a sus apreciables órdenes.</w:t>
      </w:r>
    </w:p>
    <w:p w14:paraId="3557FBC3" w14:textId="77777777" w:rsidR="00472D4F" w:rsidRPr="002244FC" w:rsidRDefault="00472D4F" w:rsidP="00472D4F">
      <w:pPr>
        <w:autoSpaceDE w:val="0"/>
        <w:autoSpaceDN w:val="0"/>
        <w:adjustRightInd w:val="0"/>
        <w:spacing w:line="360" w:lineRule="auto"/>
        <w:contextualSpacing/>
        <w:jc w:val="both"/>
        <w:rPr>
          <w:rFonts w:ascii="Palatino Linotype" w:hAnsi="Palatino Linotype" w:cs="Tahoma"/>
          <w:sz w:val="22"/>
          <w:szCs w:val="22"/>
        </w:rPr>
      </w:pPr>
    </w:p>
    <w:p w14:paraId="0B623B3D" w14:textId="77777777" w:rsidR="00472D4F" w:rsidRPr="002244FC" w:rsidRDefault="00472D4F" w:rsidP="00E37F28">
      <w:pPr>
        <w:pStyle w:val="Prrafodelista"/>
        <w:numPr>
          <w:ilvl w:val="0"/>
          <w:numId w:val="34"/>
        </w:numPr>
        <w:autoSpaceDE w:val="0"/>
        <w:autoSpaceDN w:val="0"/>
        <w:adjustRightInd w:val="0"/>
        <w:spacing w:line="360" w:lineRule="auto"/>
        <w:jc w:val="both"/>
        <w:rPr>
          <w:rFonts w:ascii="Palatino Linotype" w:hAnsi="Palatino Linotype" w:cs="Tahoma"/>
          <w:szCs w:val="22"/>
        </w:rPr>
      </w:pPr>
      <w:r w:rsidRPr="002244FC">
        <w:rPr>
          <w:rFonts w:ascii="Palatino Linotype" w:hAnsi="Palatino Linotype" w:cs="Tahoma"/>
          <w:b/>
          <w:i/>
          <w:szCs w:val="22"/>
        </w:rPr>
        <w:t>Anexos Solic 00029.zip</w:t>
      </w:r>
      <w:r w:rsidR="00F1269B" w:rsidRPr="002244FC">
        <w:rPr>
          <w:rFonts w:ascii="Palatino Linotype" w:hAnsi="Palatino Linotype" w:cs="Tahoma"/>
          <w:b/>
          <w:i/>
          <w:szCs w:val="22"/>
        </w:rPr>
        <w:t xml:space="preserve">: </w:t>
      </w:r>
      <w:r w:rsidR="00F1269B" w:rsidRPr="002244FC">
        <w:rPr>
          <w:rFonts w:ascii="Palatino Linotype" w:hAnsi="Palatino Linotype" w:cs="Tahoma"/>
          <w:szCs w:val="22"/>
        </w:rPr>
        <w:t>El archivo contiene dos carpetas con los siguientes diferentes archivos:</w:t>
      </w:r>
    </w:p>
    <w:p w14:paraId="52874D01" w14:textId="77777777" w:rsidR="00F1269B" w:rsidRPr="002244FC" w:rsidRDefault="00F1269B" w:rsidP="00472D4F">
      <w:pPr>
        <w:autoSpaceDE w:val="0"/>
        <w:autoSpaceDN w:val="0"/>
        <w:adjustRightInd w:val="0"/>
        <w:spacing w:line="360" w:lineRule="auto"/>
        <w:contextualSpacing/>
        <w:jc w:val="both"/>
        <w:rPr>
          <w:rFonts w:ascii="Palatino Linotype" w:hAnsi="Palatino Linotype" w:cs="Tahoma"/>
          <w:sz w:val="22"/>
          <w:szCs w:val="22"/>
        </w:rPr>
      </w:pPr>
    </w:p>
    <w:p w14:paraId="2BA201E5" w14:textId="77777777" w:rsidR="00F1269B" w:rsidRPr="002244FC" w:rsidRDefault="00A21DF4" w:rsidP="00E37F28">
      <w:pPr>
        <w:pStyle w:val="Prrafodelista"/>
        <w:numPr>
          <w:ilvl w:val="0"/>
          <w:numId w:val="35"/>
        </w:numPr>
        <w:autoSpaceDE w:val="0"/>
        <w:autoSpaceDN w:val="0"/>
        <w:adjustRightInd w:val="0"/>
        <w:spacing w:line="360" w:lineRule="auto"/>
        <w:jc w:val="both"/>
        <w:rPr>
          <w:rFonts w:ascii="Palatino Linotype" w:hAnsi="Palatino Linotype" w:cs="Tahoma"/>
          <w:szCs w:val="22"/>
        </w:rPr>
      </w:pPr>
      <w:r w:rsidRPr="002244FC">
        <w:rPr>
          <w:rFonts w:ascii="Palatino Linotype" w:hAnsi="Palatino Linotype" w:cs="Tahoma"/>
          <w:szCs w:val="22"/>
        </w:rPr>
        <w:lastRenderedPageBreak/>
        <w:t xml:space="preserve">Carpeta </w:t>
      </w:r>
      <w:r w:rsidRPr="002244FC">
        <w:rPr>
          <w:rFonts w:ascii="Palatino Linotype" w:hAnsi="Palatino Linotype" w:cs="Tahoma"/>
          <w:i/>
          <w:szCs w:val="22"/>
        </w:rPr>
        <w:t>DGAJeIG</w:t>
      </w:r>
      <w:r w:rsidRPr="002244FC">
        <w:rPr>
          <w:rFonts w:ascii="Palatino Linotype" w:hAnsi="Palatino Linotype" w:cs="Tahoma"/>
          <w:szCs w:val="22"/>
        </w:rPr>
        <w:t>, contiene los siguientes archivos:</w:t>
      </w:r>
      <w:r w:rsidRPr="002244FC">
        <w:rPr>
          <w:rFonts w:ascii="Palatino Linotype" w:hAnsi="Palatino Linotype" w:cs="Tahoma"/>
          <w:b/>
          <w:szCs w:val="22"/>
        </w:rPr>
        <w:t xml:space="preserve"> </w:t>
      </w:r>
      <w:r w:rsidR="00F1269B" w:rsidRPr="002244FC">
        <w:rPr>
          <w:rFonts w:ascii="Palatino Linotype" w:hAnsi="Palatino Linotype" w:cs="Tahoma"/>
          <w:b/>
          <w:i/>
          <w:szCs w:val="22"/>
        </w:rPr>
        <w:t xml:space="preserve">RESPUESTA SAIMEX 00029 (1).pdf: </w:t>
      </w:r>
      <w:r w:rsidR="00F1269B" w:rsidRPr="002244FC">
        <w:rPr>
          <w:rFonts w:ascii="Palatino Linotype" w:hAnsi="Palatino Linotype" w:cs="Tahoma"/>
          <w:szCs w:val="22"/>
        </w:rPr>
        <w:t xml:space="preserve">El archivo corresponde a un oficio suscrito por el </w:t>
      </w:r>
      <w:r w:rsidRPr="002244FC">
        <w:rPr>
          <w:rFonts w:ascii="Palatino Linotype" w:hAnsi="Palatino Linotype" w:cs="Tahoma"/>
          <w:szCs w:val="22"/>
        </w:rPr>
        <w:t xml:space="preserve">Director </w:t>
      </w:r>
      <w:r w:rsidR="00F1269B" w:rsidRPr="002244FC">
        <w:rPr>
          <w:rFonts w:ascii="Palatino Linotype" w:hAnsi="Palatino Linotype" w:cs="Tahoma"/>
          <w:szCs w:val="22"/>
        </w:rPr>
        <w:t>Consultivo en el que señaló lo siguiente:</w:t>
      </w:r>
    </w:p>
    <w:p w14:paraId="012F8291" w14:textId="77777777" w:rsidR="00F1269B" w:rsidRPr="002244FC" w:rsidRDefault="00F1269B"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16B09606" w14:textId="77777777" w:rsidR="00F1269B" w:rsidRPr="002244FC" w:rsidRDefault="00F1269B"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 esta Unidad Administrativa con la finalidad de no coartar el derecho al acceso a la información por conducto del presente brinda respuesta a lo solicitado así como los links donde puede acceder a las normas para facilitar su consulta:</w:t>
      </w:r>
    </w:p>
    <w:p w14:paraId="0F781124" w14:textId="77777777" w:rsidR="00F1269B" w:rsidRPr="002244FC" w:rsidRDefault="00F1269B"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0C365076" w14:textId="77777777" w:rsidR="00F1269B" w:rsidRPr="002244FC" w:rsidRDefault="00F1269B"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1. Norma Técnica para la operación del servicio de transporte escolar, de personal y turismo</w:t>
      </w:r>
    </w:p>
    <w:p w14:paraId="1AB96772" w14:textId="58C896FE" w:rsidR="00F1269B"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9" w:history="1">
        <w:r w:rsidR="00550C96" w:rsidRPr="002244FC">
          <w:rPr>
            <w:rStyle w:val="Hipervnculo"/>
            <w:rFonts w:ascii="Palatino Linotype" w:hAnsi="Palatino Linotype" w:cs="Tahoma"/>
            <w:i/>
            <w:szCs w:val="22"/>
          </w:rPr>
          <w:t>https://legislacion.edomex.gob.mx/sites/legislacion.edomex.gob.mx/files/files/pdf/gct/2011/may133.PDF</w:t>
        </w:r>
      </w:hyperlink>
      <w:r w:rsidR="00550C96" w:rsidRPr="002244FC">
        <w:rPr>
          <w:rFonts w:ascii="Palatino Linotype" w:hAnsi="Palatino Linotype" w:cs="Tahoma"/>
          <w:i/>
          <w:szCs w:val="22"/>
        </w:rPr>
        <w:t xml:space="preserve"> </w:t>
      </w:r>
    </w:p>
    <w:p w14:paraId="55C22E75" w14:textId="77777777" w:rsidR="00F1269B" w:rsidRPr="002244FC" w:rsidRDefault="00F1269B"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157D1CE1"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2. Norma Técnica de vehículos adaptados para prestar los servicios auxiliares de arrastre, traslado, salvamento, guarda, custodia y depósito de vehículos, así como cobro de servicios.</w:t>
      </w:r>
    </w:p>
    <w:p w14:paraId="7BC9A1C7" w14:textId="77777777" w:rsidR="00220C1C"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0" w:history="1">
        <w:r w:rsidR="00220C1C" w:rsidRPr="002244FC">
          <w:rPr>
            <w:rStyle w:val="Hipervnculo"/>
            <w:rFonts w:ascii="Palatino Linotype" w:hAnsi="Palatino Linotype" w:cs="Tahoma"/>
            <w:i/>
            <w:szCs w:val="22"/>
          </w:rPr>
          <w:t>https://legislacion.edomex.gob.mx/sites/legislacion.edomex.gob.mx/files/files/vigentes/abr153.PDF</w:t>
        </w:r>
      </w:hyperlink>
      <w:r w:rsidR="00220C1C" w:rsidRPr="002244FC">
        <w:rPr>
          <w:rFonts w:ascii="Palatino Linotype" w:hAnsi="Palatino Linotype" w:cs="Tahoma"/>
          <w:i/>
          <w:szCs w:val="22"/>
        </w:rPr>
        <w:t xml:space="preserve"> </w:t>
      </w:r>
    </w:p>
    <w:p w14:paraId="0150386C" w14:textId="77777777" w:rsidR="00472D4F" w:rsidRPr="002244FC" w:rsidRDefault="00472D4F"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7D9134B6"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 xml:space="preserve">3. Norma Técnica para la sustitución, expedición, renovación y duplicado de licencias para conducir vehículos automotores afectos al servicio de pasajeros en su modalidad de colectivo, masivo, individual, especializado, mixto, de carga y de servicios a la comunidad </w:t>
      </w:r>
    </w:p>
    <w:p w14:paraId="46A03423" w14:textId="77777777" w:rsidR="00220C1C"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1" w:history="1">
        <w:r w:rsidR="00220C1C" w:rsidRPr="002244FC">
          <w:rPr>
            <w:rStyle w:val="Hipervnculo"/>
            <w:rFonts w:ascii="Palatino Linotype" w:hAnsi="Palatino Linotype" w:cs="Tahoma"/>
            <w:i/>
            <w:szCs w:val="22"/>
          </w:rPr>
          <w:t>https://legislacion.edomex.gob.mx/sites/legislacion.edomex.gob.mx/files/files/pdf/gct/2015/sep173.pdf</w:t>
        </w:r>
      </w:hyperlink>
      <w:r w:rsidR="00220C1C" w:rsidRPr="002244FC">
        <w:rPr>
          <w:rFonts w:ascii="Palatino Linotype" w:hAnsi="Palatino Linotype" w:cs="Tahoma"/>
          <w:i/>
          <w:szCs w:val="22"/>
        </w:rPr>
        <w:t xml:space="preserve"> </w:t>
      </w:r>
    </w:p>
    <w:p w14:paraId="0AFCF810"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25C52D05"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4. Norma técnica de capacitación y certificación permanente de los operadores del servicio público de transporte de forma presencial o en línea</w:t>
      </w:r>
    </w:p>
    <w:p w14:paraId="185CDCEE" w14:textId="77777777" w:rsidR="00220C1C"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2" w:history="1">
        <w:r w:rsidR="00220C1C" w:rsidRPr="002244FC">
          <w:rPr>
            <w:rStyle w:val="Hipervnculo"/>
            <w:rFonts w:ascii="Palatino Linotype" w:hAnsi="Palatino Linotype" w:cs="Tahoma"/>
            <w:i/>
            <w:szCs w:val="22"/>
          </w:rPr>
          <w:t>https://legislacion.edomex.gob.mx/sites/legislacion.edomex.gob.mx/files/files/pdf/gct/2017/jul121.pdf</w:t>
        </w:r>
      </w:hyperlink>
      <w:r w:rsidR="00220C1C" w:rsidRPr="002244FC">
        <w:rPr>
          <w:rFonts w:ascii="Palatino Linotype" w:hAnsi="Palatino Linotype" w:cs="Tahoma"/>
          <w:i/>
          <w:szCs w:val="22"/>
        </w:rPr>
        <w:t xml:space="preserve"> </w:t>
      </w:r>
    </w:p>
    <w:p w14:paraId="3D944E35"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7D89267C"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5. Norma Técnica  que fija y actualiza las bases para determinar las tarifas del servicio público de transporte en sus diversas modalidades.</w:t>
      </w:r>
    </w:p>
    <w:p w14:paraId="11965E15" w14:textId="77777777" w:rsidR="00220C1C"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3" w:history="1">
        <w:r w:rsidR="00220C1C" w:rsidRPr="002244FC">
          <w:rPr>
            <w:rStyle w:val="Hipervnculo"/>
            <w:rFonts w:ascii="Palatino Linotype" w:hAnsi="Palatino Linotype" w:cs="Tahoma"/>
            <w:i/>
            <w:szCs w:val="22"/>
          </w:rPr>
          <w:t>https://legislacion.edomex.gob.mx/sites/legislacion.edomex.gob.mx/files/files/pdf/gct/2017/sep083.pdf</w:t>
        </w:r>
      </w:hyperlink>
      <w:r w:rsidR="00220C1C" w:rsidRPr="002244FC">
        <w:rPr>
          <w:rFonts w:ascii="Palatino Linotype" w:hAnsi="Palatino Linotype" w:cs="Tahoma"/>
          <w:i/>
          <w:szCs w:val="22"/>
        </w:rPr>
        <w:t xml:space="preserve"> </w:t>
      </w:r>
    </w:p>
    <w:p w14:paraId="50A408FF"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3FF9EF69" w14:textId="77777777" w:rsidR="00220C1C" w:rsidRPr="002244FC" w:rsidRDefault="00220C1C"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 xml:space="preserve">6. Norma Técnica del servicio público de transporte en la modalidad de discrecional de pasaje individual, en vehículos de propulsión no mecánica denominado Ecobicitaxi </w:t>
      </w:r>
    </w:p>
    <w:p w14:paraId="726261A3" w14:textId="77777777" w:rsidR="00220C1C"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4" w:history="1">
        <w:r w:rsidR="00220C1C" w:rsidRPr="002244FC">
          <w:rPr>
            <w:rStyle w:val="Hipervnculo"/>
            <w:rFonts w:ascii="Palatino Linotype" w:hAnsi="Palatino Linotype" w:cs="Tahoma"/>
            <w:i/>
            <w:szCs w:val="22"/>
          </w:rPr>
          <w:t>https://legislacion.edomex.gob.mx/sites/legislacion.edomex.gob.mx/files/files/pdf/gct/2019/may021.pdf</w:t>
        </w:r>
      </w:hyperlink>
      <w:r w:rsidR="00220C1C" w:rsidRPr="002244FC">
        <w:rPr>
          <w:rFonts w:ascii="Palatino Linotype" w:hAnsi="Palatino Linotype" w:cs="Tahoma"/>
          <w:i/>
          <w:szCs w:val="22"/>
        </w:rPr>
        <w:t xml:space="preserve"> </w:t>
      </w:r>
    </w:p>
    <w:p w14:paraId="4348A9E5"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55AA7D72"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7. Norma Técnica del Sistema de Video Vigilancia, Geolocalización y Botones de Pánico en el Transporte público en la modalidad de colectivo, con enlace remoto al sistema de atención de llamadas de emergencia 0-6-6</w:t>
      </w:r>
    </w:p>
    <w:p w14:paraId="089B74A8" w14:textId="77777777" w:rsidR="00C723CE"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5" w:history="1">
        <w:r w:rsidR="00C723CE" w:rsidRPr="002244FC">
          <w:rPr>
            <w:rStyle w:val="Hipervnculo"/>
            <w:rFonts w:ascii="Palatino Linotype" w:hAnsi="Palatino Linotype" w:cs="Tahoma"/>
            <w:i/>
            <w:szCs w:val="22"/>
          </w:rPr>
          <w:t>https://legislacion.edomex.gob.mx/sites/legislacion.edomex.gob.mx/files/files/vigentes/jul196.PDF</w:t>
        </w:r>
      </w:hyperlink>
      <w:r w:rsidR="00C723CE" w:rsidRPr="002244FC">
        <w:rPr>
          <w:rFonts w:ascii="Palatino Linotype" w:hAnsi="Palatino Linotype" w:cs="Tahoma"/>
          <w:i/>
          <w:szCs w:val="22"/>
        </w:rPr>
        <w:t xml:space="preserve"> </w:t>
      </w:r>
    </w:p>
    <w:p w14:paraId="4ED6F645"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27B29979"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8. Norma Técnica en materia de plataformas centralizadas electrónica, sitios virtuales y/o aplicaciones móviles para la contratación del servicio público de transporte en su modalidad denominados taxis</w:t>
      </w:r>
    </w:p>
    <w:p w14:paraId="09B679B9" w14:textId="77777777" w:rsidR="00C723CE"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6" w:history="1">
        <w:r w:rsidR="00C723CE" w:rsidRPr="002244FC">
          <w:rPr>
            <w:rStyle w:val="Hipervnculo"/>
            <w:rFonts w:ascii="Palatino Linotype" w:hAnsi="Palatino Linotype" w:cs="Tahoma"/>
            <w:i/>
            <w:szCs w:val="22"/>
          </w:rPr>
          <w:t>https://legislacion.edomex.gob.mx/sites/legislacion.edomex.gob.mx/files/files/pdf/gct/2015/sep243.pdf</w:t>
        </w:r>
      </w:hyperlink>
      <w:r w:rsidR="00C723CE" w:rsidRPr="002244FC">
        <w:rPr>
          <w:rFonts w:ascii="Palatino Linotype" w:hAnsi="Palatino Linotype" w:cs="Tahoma"/>
          <w:i/>
          <w:szCs w:val="22"/>
        </w:rPr>
        <w:t xml:space="preserve"> </w:t>
      </w:r>
    </w:p>
    <w:p w14:paraId="38685B9D"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p>
    <w:p w14:paraId="168F72B9"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9. Norma técnica aplicable a vehículos adaptados para prestar los servicios auxiliares de arrastre, salvamento, guarda, custodia y depósito de vehículos en el Estado de México.</w:t>
      </w:r>
    </w:p>
    <w:p w14:paraId="1830F123" w14:textId="77777777" w:rsidR="00C723CE" w:rsidRPr="002244FC" w:rsidRDefault="002244FC" w:rsidP="00220C1C">
      <w:pPr>
        <w:autoSpaceDE w:val="0"/>
        <w:autoSpaceDN w:val="0"/>
        <w:adjustRightInd w:val="0"/>
        <w:spacing w:line="360" w:lineRule="auto"/>
        <w:ind w:left="567" w:right="539"/>
        <w:contextualSpacing/>
        <w:jc w:val="both"/>
        <w:rPr>
          <w:rFonts w:ascii="Palatino Linotype" w:hAnsi="Palatino Linotype" w:cs="Tahoma"/>
          <w:i/>
          <w:szCs w:val="22"/>
        </w:rPr>
      </w:pPr>
      <w:hyperlink r:id="rId17" w:history="1">
        <w:r w:rsidR="00C723CE" w:rsidRPr="002244FC">
          <w:rPr>
            <w:rStyle w:val="Hipervnculo"/>
            <w:rFonts w:ascii="Palatino Linotype" w:hAnsi="Palatino Linotype" w:cs="Tahoma"/>
            <w:i/>
            <w:szCs w:val="22"/>
          </w:rPr>
          <w:t>https://legislacion.edomex.gob.mx/sites/legislacion.edomex.gob.mx/files/files/pdf/gct/2022/agosto/ago031/ago031f.pdf</w:t>
        </w:r>
      </w:hyperlink>
      <w:r w:rsidR="00C723CE" w:rsidRPr="002244FC">
        <w:rPr>
          <w:rFonts w:ascii="Palatino Linotype" w:hAnsi="Palatino Linotype" w:cs="Tahoma"/>
          <w:i/>
          <w:szCs w:val="22"/>
        </w:rPr>
        <w:t xml:space="preserve"> </w:t>
      </w:r>
    </w:p>
    <w:p w14:paraId="289F7B99" w14:textId="77777777" w:rsidR="00C723CE" w:rsidRPr="002244FC" w:rsidRDefault="00C723CE" w:rsidP="00220C1C">
      <w:pPr>
        <w:autoSpaceDE w:val="0"/>
        <w:autoSpaceDN w:val="0"/>
        <w:adjustRightInd w:val="0"/>
        <w:spacing w:line="360" w:lineRule="auto"/>
        <w:ind w:left="567" w:right="539"/>
        <w:contextualSpacing/>
        <w:jc w:val="both"/>
        <w:rPr>
          <w:rFonts w:ascii="Palatino Linotype" w:hAnsi="Palatino Linotype" w:cs="Tahoma"/>
          <w:i/>
          <w:szCs w:val="22"/>
        </w:rPr>
      </w:pPr>
      <w:r w:rsidRPr="002244FC">
        <w:rPr>
          <w:rFonts w:ascii="Palatino Linotype" w:hAnsi="Palatino Linotype" w:cs="Tahoma"/>
          <w:i/>
          <w:szCs w:val="22"/>
        </w:rPr>
        <w:t>...”</w:t>
      </w:r>
    </w:p>
    <w:p w14:paraId="095552AF" w14:textId="77777777" w:rsidR="00220C1C" w:rsidRPr="002244FC" w:rsidRDefault="00220C1C" w:rsidP="00472D4F">
      <w:pPr>
        <w:autoSpaceDE w:val="0"/>
        <w:autoSpaceDN w:val="0"/>
        <w:adjustRightInd w:val="0"/>
        <w:spacing w:line="360" w:lineRule="auto"/>
        <w:contextualSpacing/>
        <w:jc w:val="both"/>
        <w:rPr>
          <w:rFonts w:ascii="Palatino Linotype" w:hAnsi="Palatino Linotype" w:cs="Tahoma"/>
          <w:sz w:val="22"/>
          <w:szCs w:val="22"/>
        </w:rPr>
      </w:pPr>
    </w:p>
    <w:p w14:paraId="2951BC99" w14:textId="68AEF658"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szCs w:val="22"/>
        </w:rPr>
      </w:pPr>
      <w:r w:rsidRPr="002244FC">
        <w:rPr>
          <w:rFonts w:ascii="Palatino Linotype" w:hAnsi="Palatino Linotype" w:cs="Tahoma"/>
          <w:b/>
          <w:i/>
          <w:szCs w:val="22"/>
        </w:rPr>
        <w:t>ANEXO 01.PDF</w:t>
      </w:r>
      <w:r w:rsidRPr="002244FC">
        <w:rPr>
          <w:rFonts w:ascii="Palatino Linotype" w:hAnsi="Palatino Linotype" w:cs="Tahoma"/>
          <w:szCs w:val="22"/>
        </w:rPr>
        <w:t xml:space="preserve">: ACUERDO POR. EL QUE SE PUBLICA LA NORMA 'TECNICA PARA LA OPERACION </w:t>
      </w:r>
      <w:r w:rsidR="00FD2B89" w:rsidRPr="002244FC">
        <w:rPr>
          <w:rFonts w:ascii="Palatino Linotype" w:hAnsi="Palatino Linotype" w:cs="Tahoma"/>
          <w:szCs w:val="22"/>
        </w:rPr>
        <w:t>D</w:t>
      </w:r>
      <w:r w:rsidRPr="002244FC">
        <w:rPr>
          <w:rFonts w:ascii="Palatino Linotype" w:hAnsi="Palatino Linotype" w:cs="Tahoma"/>
          <w:szCs w:val="22"/>
        </w:rPr>
        <w:t>EL SERVICIO DE TRANSPORTE ESCOLAR, DE PERSONAL Y TURISMO.</w:t>
      </w:r>
    </w:p>
    <w:p w14:paraId="3FBCF5D3" w14:textId="77777777"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lastRenderedPageBreak/>
        <w:t xml:space="preserve">ANEXO 02.PDF: </w:t>
      </w:r>
      <w:r w:rsidRPr="002244FC">
        <w:rPr>
          <w:rFonts w:ascii="Palatino Linotype" w:hAnsi="Palatino Linotype" w:cs="Tahoma"/>
          <w:i/>
          <w:szCs w:val="22"/>
        </w:rPr>
        <w:t>ACUERDO POR EL QUE SE PUBLICA LA ACTUALIZACION DE LA NORMA TECNICA DE VEHICULOS ADAPTADOS PARA PRESTAR LOS SERVICIOS AUXILIARES DE ARRASTRE, TRASLADO, SALVAMENTO, GUARDA, CUSTODIA Y DEPOSITO DE VEHICULOS, ASI COMO COBRO DE SERVICIOS.</w:t>
      </w:r>
    </w:p>
    <w:p w14:paraId="4F2F7AFD" w14:textId="77777777"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ANEXO 03 (1).pdf:</w:t>
      </w:r>
      <w:r w:rsidRPr="002244FC">
        <w:rPr>
          <w:rFonts w:ascii="Palatino Linotype" w:hAnsi="Palatino Linotype" w:cs="Tahoma"/>
          <w:i/>
          <w:szCs w:val="22"/>
        </w:rPr>
        <w:t xml:space="preserve"> ACUERDO POR EL QUE SE PUBLICA LA NORMA TÉCNICA PARA LA SUSTITUCIÓN, EXPEDICIÓN, RENOVACIÓN Y DUPLICADO DE LICENCIAS PARA CONDUCIR VEHÍCULOS AUTOMOTORES AFECTOS AL SERVICIO DE PASAJEROS EN SU MODALIDAD DE COLECTIVO, MASIVO, INDIVIDUAL, ESPECIALIZADO, MIXTO, DE CARGA Y DE SERVICIOS A LA COMUNIDAD.</w:t>
      </w:r>
    </w:p>
    <w:p w14:paraId="6B8E25DB" w14:textId="77777777"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 xml:space="preserve">ANEXO 04.pdf: </w:t>
      </w:r>
      <w:r w:rsidRPr="002244FC">
        <w:rPr>
          <w:rFonts w:ascii="Palatino Linotype" w:hAnsi="Palatino Linotype" w:cs="Tahoma"/>
          <w:i/>
          <w:szCs w:val="22"/>
        </w:rPr>
        <w:t>ACUERDO DEL SECRETARIO DE MOVILIDAD POR EL QUE SE PUBLICA LA NORMA TÉCNICA DE CAPACITACIÓN Y CERTIFICACIÓN PERMANENTE DE LOS OPERADORES DEL SERVICIO PÚBLICO DE TRANSPORTE DE FORMA PRESENCIAL O EN LÍNEA</w:t>
      </w:r>
    </w:p>
    <w:p w14:paraId="474F3C9E" w14:textId="77777777"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 xml:space="preserve">ANEXO 05.pdf: </w:t>
      </w:r>
      <w:r w:rsidRPr="002244FC">
        <w:rPr>
          <w:rFonts w:ascii="Palatino Linotype" w:hAnsi="Palatino Linotype" w:cs="Tahoma"/>
          <w:i/>
          <w:szCs w:val="22"/>
        </w:rPr>
        <w:t>ACUERDO DEL SECRETARIO DE MOVILIDAD POR EL QUE SE PUBLICA LA NORMA TÉCNICA QUE FIJA Y ACTUALIZA LAS BASES PARA DETERMINAR LAS TARIFAS DEL SERVICIO PÚBLICO DE TRANSPORTE EN SUS DIVERSAS MODALIDADES</w:t>
      </w:r>
    </w:p>
    <w:p w14:paraId="45D54F31" w14:textId="77777777"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ANEXO 06 (1).pdf</w:t>
      </w:r>
      <w:r w:rsidRPr="002244FC">
        <w:rPr>
          <w:rFonts w:ascii="Palatino Linotype" w:hAnsi="Palatino Linotype" w:cs="Tahoma"/>
          <w:i/>
          <w:szCs w:val="22"/>
        </w:rPr>
        <w:t>: ACUERDO DEL SECRETARIO DE MOVILIDAD DEL ESTADO DE MÉXICO QUE ESTABLECE LA NORMA TÉCNICA DEL SERVICIO PÚBLICO DE TRANSPORTE EN LA MODALIDAD DE DISCRECIONAL DE PASAJE INDIVIDUAL, EN VEHÍCULO DE PROPULSIÓN NO MECÁNICA DENOMINADO ECOBICITAXI</w:t>
      </w:r>
    </w:p>
    <w:p w14:paraId="234BE3D1" w14:textId="77777777" w:rsidR="00C723CE" w:rsidRPr="002244FC" w:rsidRDefault="00C723CE" w:rsidP="00C723CE">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ANEXO 07 (2).PDF</w:t>
      </w:r>
      <w:r w:rsidRPr="002244FC">
        <w:rPr>
          <w:rFonts w:ascii="Palatino Linotype" w:hAnsi="Palatino Linotype" w:cs="Tahoma"/>
          <w:i/>
          <w:szCs w:val="22"/>
        </w:rPr>
        <w:t xml:space="preserve">: </w:t>
      </w:r>
      <w:r w:rsidR="00A21DF4" w:rsidRPr="002244FC">
        <w:rPr>
          <w:rFonts w:ascii="Palatino Linotype" w:hAnsi="Palatino Linotype" w:cs="Tahoma"/>
          <w:i/>
          <w:szCs w:val="22"/>
        </w:rPr>
        <w:t>A</w:t>
      </w:r>
      <w:r w:rsidRPr="002244FC">
        <w:rPr>
          <w:rFonts w:ascii="Palatino Linotype" w:hAnsi="Palatino Linotype" w:cs="Tahoma"/>
          <w:i/>
          <w:szCs w:val="22"/>
        </w:rPr>
        <w:t xml:space="preserve">CUERDO DEL SECRETARIO DE TRANSPORTE POR EL QUE SE DA A CONOCER LA NORMA TECNICA DEL SISTEMA DE VIDEO VIGILANCIA, GEOLOCALIZACION Y BOTONES DE PANICO EN EL </w:t>
      </w:r>
      <w:r w:rsidRPr="002244FC">
        <w:rPr>
          <w:rFonts w:ascii="Palatino Linotype" w:hAnsi="Palatino Linotype" w:cs="Tahoma"/>
          <w:i/>
          <w:szCs w:val="22"/>
        </w:rPr>
        <w:lastRenderedPageBreak/>
        <w:t>TRANSPORTE PUBLICO EN LA MODALIDAD DE COLECTIVO, CON ENLACE REMOTO AL SISTEMA DE ATENCION DE LLAMADAS DE EMERGENCIAS 0-6-6.</w:t>
      </w:r>
    </w:p>
    <w:p w14:paraId="316F9AAC" w14:textId="77777777" w:rsidR="00C723CE"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ANEXO 08 (1).pdf:</w:t>
      </w:r>
      <w:r w:rsidRPr="002244FC">
        <w:rPr>
          <w:rFonts w:ascii="Palatino Linotype" w:hAnsi="Palatino Linotype" w:cs="Tahoma"/>
          <w:i/>
          <w:szCs w:val="22"/>
        </w:rPr>
        <w:t xml:space="preserve"> ACUERDO POR EL QUE SE PUBLICA LA NORMA TÉCNICA EN MATERIA DE PLATAFORMAS CENTRALIZADAS ELECTRÓNICAS, SITIOS VIRTUALES Y/O APLICACIONES MÓVILES PARA LA CONTRATACIÓN DEL SERVICIO PÚBLICO DE TRANSPORTE EN SU MODALIDAD INDIVIDUAL DENOMINADOS TAXIS.</w:t>
      </w:r>
    </w:p>
    <w:p w14:paraId="218D98D8"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ANEXO 09.pdf</w:t>
      </w:r>
      <w:r w:rsidRPr="002244FC">
        <w:rPr>
          <w:rFonts w:ascii="Palatino Linotype" w:hAnsi="Palatino Linotype" w:cs="Tahoma"/>
          <w:i/>
          <w:szCs w:val="22"/>
        </w:rPr>
        <w:t>: NORMA TÉCNICA APLICABLE A VEHÍCULOS ADAPTADOS PARA PRESTAR LOS SERVICIOS AUXILIARES DE ARRASTRE, SALVAMENTO, GUARDA, CUSTODIA Y DEPÓSITO DE VEHÍCULOS EN EL ESTADO DE MÉXICO.</w:t>
      </w:r>
    </w:p>
    <w:p w14:paraId="502D6092" w14:textId="77777777" w:rsidR="00C723CE" w:rsidRPr="002244FC" w:rsidRDefault="00C723CE" w:rsidP="00472D4F">
      <w:pPr>
        <w:autoSpaceDE w:val="0"/>
        <w:autoSpaceDN w:val="0"/>
        <w:adjustRightInd w:val="0"/>
        <w:spacing w:line="360" w:lineRule="auto"/>
        <w:contextualSpacing/>
        <w:jc w:val="both"/>
        <w:rPr>
          <w:rFonts w:ascii="Palatino Linotype" w:hAnsi="Palatino Linotype" w:cs="Tahoma"/>
          <w:sz w:val="22"/>
          <w:szCs w:val="22"/>
        </w:rPr>
      </w:pPr>
    </w:p>
    <w:p w14:paraId="77DEB387" w14:textId="77777777" w:rsidR="00C723CE" w:rsidRPr="002244FC" w:rsidRDefault="00A21DF4" w:rsidP="00E37F28">
      <w:pPr>
        <w:pStyle w:val="Prrafodelista"/>
        <w:numPr>
          <w:ilvl w:val="0"/>
          <w:numId w:val="35"/>
        </w:numPr>
        <w:autoSpaceDE w:val="0"/>
        <w:autoSpaceDN w:val="0"/>
        <w:adjustRightInd w:val="0"/>
        <w:spacing w:line="360" w:lineRule="auto"/>
        <w:jc w:val="both"/>
        <w:rPr>
          <w:rFonts w:ascii="Palatino Linotype" w:hAnsi="Palatino Linotype" w:cs="Tahoma"/>
          <w:szCs w:val="22"/>
        </w:rPr>
      </w:pPr>
      <w:r w:rsidRPr="002244FC">
        <w:rPr>
          <w:rFonts w:ascii="Palatino Linotype" w:hAnsi="Palatino Linotype" w:cs="Tahoma"/>
          <w:szCs w:val="22"/>
        </w:rPr>
        <w:t xml:space="preserve">Carpeta </w:t>
      </w:r>
      <w:r w:rsidRPr="002244FC">
        <w:rPr>
          <w:rFonts w:ascii="Palatino Linotype" w:hAnsi="Palatino Linotype" w:cs="Tahoma"/>
          <w:i/>
          <w:szCs w:val="22"/>
        </w:rPr>
        <w:t>ITEM</w:t>
      </w:r>
      <w:r w:rsidRPr="002244FC">
        <w:rPr>
          <w:rFonts w:ascii="Palatino Linotype" w:hAnsi="Palatino Linotype" w:cs="Tahoma"/>
          <w:szCs w:val="22"/>
        </w:rPr>
        <w:t>, contiene los siguientes archivos:</w:t>
      </w:r>
    </w:p>
    <w:p w14:paraId="359A30DD"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 xml:space="preserve">GACETA DE TARIFAS  16 MAYO 2013 (1).PDF: </w:t>
      </w:r>
      <w:r w:rsidRPr="002244FC">
        <w:rPr>
          <w:rFonts w:ascii="Palatino Linotype" w:hAnsi="Palatino Linotype" w:cs="Tahoma"/>
          <w:i/>
          <w:szCs w:val="22"/>
        </w:rPr>
        <w:t>ACUERDO DEL SECRETARIO DE TRANSPORTE POR EL QUE SE MODIFICAN LAS TARIFAS MAXIMAS PARA LA PRESTACION DEL SERVICIO PUBLICO DE TRANSPORTE, EN LAS MODALIDADES DE COLECTIVO Y MIXTO.</w:t>
      </w:r>
    </w:p>
    <w:p w14:paraId="77515AA2"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GACETA DE TARIFAS DE 8 DE SEPTIEMBRE DE 2017 (1).pdf</w:t>
      </w:r>
      <w:r w:rsidRPr="002244FC">
        <w:rPr>
          <w:rFonts w:ascii="Palatino Linotype" w:hAnsi="Palatino Linotype" w:cs="Tahoma"/>
          <w:i/>
          <w:szCs w:val="22"/>
        </w:rPr>
        <w:t>: ACUERDO DEL SECRETARIO DE MOVILIDAD POR EL QUE SE MODIFICAN LAS TARIFAS MÁXIMAS PARA LA PRESTACIÓN DEL SERVICIO PÚBLICO DE TRANSPORTE, EN LA MODALIDAD DE COLECTIVO Y MIXTO.</w:t>
      </w:r>
    </w:p>
    <w:p w14:paraId="070EFC94"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GACETA DE TARIFAS DE 19 DE DICIEMBRE DE 2019 (1).pdf</w:t>
      </w:r>
      <w:r w:rsidRPr="002244FC">
        <w:rPr>
          <w:rFonts w:ascii="Palatino Linotype" w:hAnsi="Palatino Linotype" w:cs="Tahoma"/>
          <w:i/>
          <w:szCs w:val="22"/>
        </w:rPr>
        <w:t>:</w:t>
      </w:r>
      <w:r w:rsidRPr="002244FC">
        <w:rPr>
          <w:rFonts w:ascii="Palatino Linotype" w:hAnsi="Palatino Linotype"/>
          <w:sz w:val="20"/>
          <w:szCs w:val="20"/>
        </w:rPr>
        <w:t xml:space="preserve"> </w:t>
      </w:r>
      <w:r w:rsidRPr="002244FC">
        <w:rPr>
          <w:rFonts w:ascii="Palatino Linotype" w:hAnsi="Palatino Linotype" w:cs="Tahoma"/>
          <w:i/>
          <w:szCs w:val="22"/>
        </w:rPr>
        <w:t>ACUERDO DEL SECRETARIO DE MOVILIDAD POR EL QUE SE PUBLICA LA NORMA TÉCNICA QUE ACTUALIZA Y FIJA LAS BASES PARA DETERMINAR LAS TARIFAS DEL SERVICIO PÚBLICO DE TRANSPORTE EN SUS DIVERSAS MODALIDADES Y DE LOS SERVICIOS AUXILIARES.</w:t>
      </w:r>
    </w:p>
    <w:p w14:paraId="64FC79D4"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lastRenderedPageBreak/>
        <w:t>GACETA DE TARIFAS DE 19 DE DICIEMBRE DE 2019 JULIO.pdf</w:t>
      </w:r>
      <w:r w:rsidRPr="002244FC">
        <w:rPr>
          <w:rFonts w:ascii="Palatino Linotype" w:hAnsi="Palatino Linotype" w:cs="Tahoma"/>
          <w:i/>
          <w:szCs w:val="22"/>
        </w:rPr>
        <w:t>: ACUERDO DEL SECRETARIO DE MOVILIDAD POR EL QUE SE AUTORIZA LA MODIFICACIÓN A LAS TARIFAS MÁXIMAS PARA LA PRESTACIÓN DEL SERVICIO PÚBLICO DE TRANSPORTE, EN LA MODALIDAD DE COLECTIVO Y MIXTO.</w:t>
      </w:r>
    </w:p>
    <w:p w14:paraId="44DA9F78" w14:textId="6A033F96"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NORMA TECNICA GRUAS 2010.PDF</w:t>
      </w:r>
      <w:r w:rsidRPr="002244FC">
        <w:rPr>
          <w:rFonts w:ascii="Palatino Linotype" w:hAnsi="Palatino Linotype" w:cs="Tahoma"/>
          <w:i/>
          <w:szCs w:val="22"/>
        </w:rPr>
        <w:t>: ACUERDO DEL SECRETARIO DE TRANSPORTE POR EL QUE SE PUBLICA LA NORMA TECNICA DE VEHICULOS ADAPTADOS PARA PRESTAR LOS SERVICIOS DE ARR</w:t>
      </w:r>
      <w:r w:rsidR="00175D4A" w:rsidRPr="002244FC">
        <w:rPr>
          <w:rFonts w:ascii="Palatino Linotype" w:hAnsi="Palatino Linotype" w:cs="Tahoma"/>
          <w:i/>
          <w:szCs w:val="22"/>
        </w:rPr>
        <w:t>A</w:t>
      </w:r>
      <w:r w:rsidRPr="002244FC">
        <w:rPr>
          <w:rFonts w:ascii="Palatino Linotype" w:hAnsi="Palatino Linotype" w:cs="Tahoma"/>
          <w:i/>
          <w:szCs w:val="22"/>
        </w:rPr>
        <w:t>STRE, SALVAMENTO, GUARDA, CUSTODIA Y DEPOSITO DE VEHICULOS, ASÍ COMO COBRO DE SERVICIOS.</w:t>
      </w:r>
    </w:p>
    <w:p w14:paraId="12249630"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NORMA TECNICA GRUAS 2013 (1).PDF</w:t>
      </w:r>
      <w:r w:rsidRPr="002244FC">
        <w:rPr>
          <w:rFonts w:ascii="Palatino Linotype" w:hAnsi="Palatino Linotype" w:cs="Tahoma"/>
          <w:i/>
          <w:szCs w:val="22"/>
        </w:rPr>
        <w:t>: ACUERDO POR EL QUE SE PUBLICA LA ACTUALIZACION DE LA NORMA TECNICA DE VEHICULOS ADAPTADOS PARA PRESTAR LOS SERVICIOS AUXILIARES DE ARRASTRE, TRASLADO, SALVAMENTO, GUARDA, CUSTODIA Y DEPOSITO DE VEHICULOS, ASI COMO COBRO DE SERVICIOS.</w:t>
      </w:r>
    </w:p>
    <w:p w14:paraId="20A26FE1"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NORMA TECNICA TAXIS 2004.pdf</w:t>
      </w:r>
      <w:r w:rsidRPr="002244FC">
        <w:rPr>
          <w:rFonts w:ascii="Palatino Linotype" w:hAnsi="Palatino Linotype" w:cs="Tahoma"/>
          <w:i/>
          <w:szCs w:val="22"/>
        </w:rPr>
        <w:t>: ACUERDO DEL SECRETARIO DE TRASNPORTE, POR EL QUE SE MODIFICAN LAS TARIFAS MAXIMAS PARA LA PRESTACIÓN DEL SERVICIO PÚBLICO DEL TRANSPORTE</w:t>
      </w:r>
    </w:p>
    <w:p w14:paraId="12AAC64F"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NORMATECA INTERNA_2020.pdf</w:t>
      </w:r>
      <w:r w:rsidRPr="002244FC">
        <w:rPr>
          <w:rFonts w:ascii="Palatino Linotype" w:hAnsi="Palatino Linotype" w:cs="Tahoma"/>
          <w:i/>
          <w:szCs w:val="22"/>
        </w:rPr>
        <w:t>: NORMATECA INTERNA</w:t>
      </w:r>
    </w:p>
    <w:p w14:paraId="3C8687B0" w14:textId="77777777" w:rsidR="00A21DF4" w:rsidRPr="002244FC" w:rsidRDefault="00A21DF4" w:rsidP="00A21DF4">
      <w:pPr>
        <w:pStyle w:val="Prrafodelista"/>
        <w:numPr>
          <w:ilvl w:val="0"/>
          <w:numId w:val="32"/>
        </w:numPr>
        <w:autoSpaceDE w:val="0"/>
        <w:autoSpaceDN w:val="0"/>
        <w:adjustRightInd w:val="0"/>
        <w:spacing w:line="360" w:lineRule="auto"/>
        <w:jc w:val="both"/>
        <w:rPr>
          <w:rFonts w:ascii="Palatino Linotype" w:hAnsi="Palatino Linotype" w:cs="Tahoma"/>
          <w:i/>
          <w:szCs w:val="22"/>
        </w:rPr>
      </w:pPr>
      <w:r w:rsidRPr="002244FC">
        <w:rPr>
          <w:rFonts w:ascii="Palatino Linotype" w:hAnsi="Palatino Linotype" w:cs="Tahoma"/>
          <w:b/>
          <w:i/>
          <w:szCs w:val="22"/>
        </w:rPr>
        <w:t>NORMATECA-TAXI ROSA 2014.PDF</w:t>
      </w:r>
      <w:r w:rsidRPr="002244FC">
        <w:rPr>
          <w:rFonts w:ascii="Palatino Linotype" w:hAnsi="Palatino Linotype" w:cs="Tahoma"/>
          <w:i/>
          <w:szCs w:val="22"/>
        </w:rPr>
        <w:t>: ACUERDO DEL SECRETARIO DE TRANSPORTE POR EL QUE SE DA A CONOCER LA NORMA TÉCNICA DE LOS SERVICIOS DE TAXI SEGURO Y TAXI ROSA CON ENLACE A UN CENTRO DE MONITOREO CON EL SERVICIO DE ATENCIÓN A LLAMADAS DE EMERGENCIA 0-6-6.</w:t>
      </w:r>
      <w:r w:rsidR="00AB3027" w:rsidRPr="002244FC">
        <w:rPr>
          <w:rFonts w:ascii="Palatino Linotype" w:hAnsi="Palatino Linotype" w:cs="Tahoma"/>
          <w:i/>
          <w:szCs w:val="22"/>
        </w:rPr>
        <w:t xml:space="preserve"> Y ACUERDO POR EL QUE SE EXPIDEN Y SEÑALAN LOS ELEMENTOS DE IDENTIFICACIÓN DE LOS VEHÍCULOS DESTINADOS A CONCESIONES Y PERMISOS RELACIONADOS CON EL SERVICIO PÚBLICO DE TRANSPORTE SEGURO PARA LAS MODALIDADES DE </w:t>
      </w:r>
      <w:r w:rsidR="00AB3027" w:rsidRPr="002244FC">
        <w:rPr>
          <w:rFonts w:ascii="Palatino Linotype" w:hAnsi="Palatino Linotype" w:cs="Tahoma"/>
          <w:i/>
          <w:szCs w:val="22"/>
        </w:rPr>
        <w:lastRenderedPageBreak/>
        <w:t>COLECTIVO, AUTÓMOVIL DE ALQUILER Y TAXI ROSA EN EL ESTADO DE MÉXICO.</w:t>
      </w:r>
    </w:p>
    <w:p w14:paraId="10102D41" w14:textId="77777777" w:rsidR="008453FA" w:rsidRPr="002244FC" w:rsidRDefault="008453FA" w:rsidP="00147516">
      <w:pPr>
        <w:autoSpaceDE w:val="0"/>
        <w:autoSpaceDN w:val="0"/>
        <w:adjustRightInd w:val="0"/>
        <w:spacing w:line="360" w:lineRule="auto"/>
        <w:contextualSpacing/>
        <w:jc w:val="both"/>
        <w:rPr>
          <w:rFonts w:ascii="Palatino Linotype" w:hAnsi="Palatino Linotype" w:cs="Tahoma"/>
          <w:sz w:val="22"/>
          <w:szCs w:val="22"/>
        </w:rPr>
      </w:pPr>
    </w:p>
    <w:bookmarkEnd w:id="0"/>
    <w:p w14:paraId="57A4C092" w14:textId="77777777" w:rsidR="001A412B" w:rsidRPr="002244FC" w:rsidRDefault="007812D1" w:rsidP="00147516">
      <w:pPr>
        <w:autoSpaceDE w:val="0"/>
        <w:autoSpaceDN w:val="0"/>
        <w:adjustRightInd w:val="0"/>
        <w:spacing w:line="360" w:lineRule="auto"/>
        <w:contextualSpacing/>
        <w:jc w:val="both"/>
        <w:rPr>
          <w:rFonts w:ascii="Palatino Linotype" w:hAnsi="Palatino Linotype" w:cs="Tahoma"/>
          <w:b/>
          <w:sz w:val="22"/>
          <w:szCs w:val="22"/>
        </w:rPr>
      </w:pPr>
      <w:r w:rsidRPr="002244FC">
        <w:rPr>
          <w:rFonts w:ascii="Palatino Linotype" w:hAnsi="Palatino Linotype" w:cs="Tahoma"/>
          <w:b/>
          <w:sz w:val="22"/>
          <w:szCs w:val="22"/>
        </w:rPr>
        <w:t>III</w:t>
      </w:r>
      <w:r w:rsidR="009A7587" w:rsidRPr="002244FC">
        <w:rPr>
          <w:rFonts w:ascii="Palatino Linotype" w:hAnsi="Palatino Linotype" w:cs="Tahoma"/>
          <w:b/>
          <w:sz w:val="22"/>
          <w:szCs w:val="22"/>
        </w:rPr>
        <w:t xml:space="preserve">. Interposición del Recurso de Revisión. </w:t>
      </w:r>
    </w:p>
    <w:p w14:paraId="667C9673" w14:textId="77777777" w:rsidR="00F87649" w:rsidRPr="002244FC" w:rsidRDefault="00F87649" w:rsidP="00147516">
      <w:pPr>
        <w:autoSpaceDE w:val="0"/>
        <w:autoSpaceDN w:val="0"/>
        <w:adjustRightInd w:val="0"/>
        <w:spacing w:line="360" w:lineRule="auto"/>
        <w:contextualSpacing/>
        <w:jc w:val="both"/>
        <w:rPr>
          <w:rFonts w:ascii="Palatino Linotype" w:hAnsi="Palatino Linotype" w:cs="Tahoma"/>
          <w:b/>
          <w:sz w:val="18"/>
          <w:szCs w:val="22"/>
        </w:rPr>
      </w:pPr>
    </w:p>
    <w:p w14:paraId="54A4ABD1" w14:textId="77777777" w:rsidR="009A7587" w:rsidRPr="002244FC" w:rsidRDefault="009A7587" w:rsidP="00147516">
      <w:pPr>
        <w:tabs>
          <w:tab w:val="left" w:pos="3122"/>
        </w:tabs>
        <w:spacing w:line="360" w:lineRule="auto"/>
        <w:contextualSpacing/>
        <w:jc w:val="both"/>
        <w:rPr>
          <w:rFonts w:ascii="Palatino Linotype" w:hAnsi="Palatino Linotype" w:cs="Tahoma"/>
          <w:sz w:val="22"/>
          <w:szCs w:val="22"/>
        </w:rPr>
      </w:pPr>
      <w:r w:rsidRPr="002244FC">
        <w:rPr>
          <w:rFonts w:ascii="Palatino Linotype" w:hAnsi="Palatino Linotype" w:cs="Tahoma"/>
          <w:sz w:val="22"/>
          <w:szCs w:val="22"/>
        </w:rPr>
        <w:t>Con fecha</w:t>
      </w:r>
      <w:r w:rsidR="00E13C8C" w:rsidRPr="002244FC">
        <w:rPr>
          <w:rFonts w:ascii="Palatino Linotype" w:hAnsi="Palatino Linotype" w:cs="Tahoma"/>
          <w:sz w:val="22"/>
          <w:szCs w:val="22"/>
        </w:rPr>
        <w:t xml:space="preserve"> </w:t>
      </w:r>
      <w:r w:rsidR="00894326" w:rsidRPr="002244FC">
        <w:rPr>
          <w:rFonts w:ascii="Palatino Linotype" w:hAnsi="Palatino Linotype" w:cs="Tahoma"/>
          <w:sz w:val="22"/>
          <w:szCs w:val="22"/>
        </w:rPr>
        <w:t xml:space="preserve">veintidós de febrero </w:t>
      </w:r>
      <w:r w:rsidR="00B267E1" w:rsidRPr="002244FC">
        <w:rPr>
          <w:rFonts w:ascii="Palatino Linotype" w:hAnsi="Palatino Linotype" w:cs="Tahoma"/>
          <w:sz w:val="22"/>
          <w:szCs w:val="22"/>
        </w:rPr>
        <w:t>de dos mil veinti</w:t>
      </w:r>
      <w:r w:rsidR="00B51AEA" w:rsidRPr="002244FC">
        <w:rPr>
          <w:rFonts w:ascii="Palatino Linotype" w:hAnsi="Palatino Linotype" w:cs="Tahoma"/>
          <w:sz w:val="22"/>
          <w:szCs w:val="22"/>
        </w:rPr>
        <w:t>trés</w:t>
      </w:r>
      <w:r w:rsidRPr="002244FC">
        <w:rPr>
          <w:rFonts w:ascii="Palatino Linotype" w:hAnsi="Palatino Linotype" w:cs="Tahoma"/>
          <w:sz w:val="22"/>
          <w:szCs w:val="22"/>
        </w:rPr>
        <w:t xml:space="preserve">, a través del </w:t>
      </w:r>
      <w:r w:rsidRPr="002244FC">
        <w:rPr>
          <w:rFonts w:ascii="Palatino Linotype" w:hAnsi="Palatino Linotype" w:cs="Tahoma"/>
          <w:sz w:val="22"/>
          <w:szCs w:val="22"/>
          <w:lang w:val="es-ES"/>
        </w:rPr>
        <w:t>Sistema de Acceso a la Información Mexiquense (SAIMEX)</w:t>
      </w:r>
      <w:r w:rsidR="00A048C7" w:rsidRPr="002244FC">
        <w:rPr>
          <w:rFonts w:ascii="Palatino Linotype" w:hAnsi="Palatino Linotype" w:cs="Tahoma"/>
          <w:sz w:val="22"/>
          <w:szCs w:val="22"/>
        </w:rPr>
        <w:t>, se interpus</w:t>
      </w:r>
      <w:r w:rsidR="003C3E71" w:rsidRPr="002244FC">
        <w:rPr>
          <w:rFonts w:ascii="Palatino Linotype" w:hAnsi="Palatino Linotype" w:cs="Tahoma"/>
          <w:sz w:val="22"/>
          <w:szCs w:val="22"/>
        </w:rPr>
        <w:t>o</w:t>
      </w:r>
      <w:r w:rsidR="00A048C7" w:rsidRPr="002244FC">
        <w:rPr>
          <w:rFonts w:ascii="Palatino Linotype" w:hAnsi="Palatino Linotype" w:cs="Tahoma"/>
          <w:sz w:val="22"/>
          <w:szCs w:val="22"/>
        </w:rPr>
        <w:t xml:space="preserve"> </w:t>
      </w:r>
      <w:r w:rsidR="003C3E71" w:rsidRPr="002244FC">
        <w:rPr>
          <w:rFonts w:ascii="Palatino Linotype" w:hAnsi="Palatino Linotype" w:cs="Tahoma"/>
          <w:sz w:val="22"/>
          <w:szCs w:val="22"/>
        </w:rPr>
        <w:t>el</w:t>
      </w:r>
      <w:r w:rsidRPr="002244FC">
        <w:rPr>
          <w:rFonts w:ascii="Palatino Linotype" w:hAnsi="Palatino Linotype" w:cs="Tahoma"/>
          <w:sz w:val="22"/>
          <w:szCs w:val="22"/>
        </w:rPr>
        <w:t xml:space="preserve"> presente Recurso de Revisión por</w:t>
      </w:r>
      <w:r w:rsidR="008E6658" w:rsidRPr="002244FC">
        <w:rPr>
          <w:rFonts w:ascii="Palatino Linotype" w:hAnsi="Palatino Linotype" w:cs="Tahoma"/>
          <w:sz w:val="22"/>
          <w:szCs w:val="22"/>
        </w:rPr>
        <w:t xml:space="preserve"> </w:t>
      </w:r>
      <w:r w:rsidR="0035716C" w:rsidRPr="002244FC">
        <w:rPr>
          <w:rFonts w:ascii="Palatino Linotype" w:hAnsi="Palatino Linotype" w:cs="Tahoma"/>
          <w:sz w:val="22"/>
          <w:szCs w:val="22"/>
        </w:rPr>
        <w:t xml:space="preserve">el </w:t>
      </w:r>
      <w:r w:rsidRPr="002244FC">
        <w:rPr>
          <w:rFonts w:ascii="Palatino Linotype" w:hAnsi="Palatino Linotype" w:cs="Tahoma"/>
          <w:sz w:val="22"/>
          <w:szCs w:val="22"/>
        </w:rPr>
        <w:t xml:space="preserve">Recurrente, en contra de </w:t>
      </w:r>
      <w:r w:rsidR="00655265" w:rsidRPr="002244FC">
        <w:rPr>
          <w:rFonts w:ascii="Palatino Linotype" w:hAnsi="Palatino Linotype" w:cs="Tahoma"/>
          <w:sz w:val="22"/>
          <w:szCs w:val="22"/>
        </w:rPr>
        <w:t>la respuesta emitida</w:t>
      </w:r>
      <w:r w:rsidRPr="002244FC">
        <w:rPr>
          <w:rFonts w:ascii="Palatino Linotype" w:hAnsi="Palatino Linotype" w:cs="Tahoma"/>
          <w:sz w:val="22"/>
          <w:szCs w:val="22"/>
        </w:rPr>
        <w:t xml:space="preserve"> por el Sujeto Obligado a </w:t>
      </w:r>
      <w:r w:rsidR="00655265" w:rsidRPr="002244FC">
        <w:rPr>
          <w:rFonts w:ascii="Palatino Linotype" w:hAnsi="Palatino Linotype" w:cs="Tahoma"/>
          <w:sz w:val="22"/>
          <w:szCs w:val="22"/>
        </w:rPr>
        <w:t>la solicitud</w:t>
      </w:r>
      <w:r w:rsidRPr="002244FC">
        <w:rPr>
          <w:rFonts w:ascii="Palatino Linotype" w:hAnsi="Palatino Linotype" w:cs="Tahoma"/>
          <w:sz w:val="22"/>
          <w:szCs w:val="22"/>
        </w:rPr>
        <w:t xml:space="preserve"> de información, en los siguientes términos:</w:t>
      </w:r>
    </w:p>
    <w:p w14:paraId="4C605C4C" w14:textId="77777777" w:rsidR="00AB6595" w:rsidRPr="002244FC" w:rsidRDefault="00AB6595" w:rsidP="00147516">
      <w:pPr>
        <w:tabs>
          <w:tab w:val="left" w:pos="3122"/>
        </w:tabs>
        <w:spacing w:line="360" w:lineRule="auto"/>
        <w:contextualSpacing/>
        <w:jc w:val="both"/>
        <w:rPr>
          <w:rFonts w:ascii="Palatino Linotype" w:hAnsi="Palatino Linotype" w:cs="Tahoma"/>
          <w:sz w:val="22"/>
          <w:szCs w:val="22"/>
        </w:rPr>
      </w:pPr>
    </w:p>
    <w:p w14:paraId="27C1B49D" w14:textId="77777777" w:rsidR="00D5699B" w:rsidRPr="002244FC" w:rsidRDefault="00D5699B" w:rsidP="00147516">
      <w:pPr>
        <w:spacing w:line="360" w:lineRule="auto"/>
        <w:ind w:left="567" w:right="539"/>
        <w:contextualSpacing/>
        <w:jc w:val="both"/>
        <w:rPr>
          <w:rFonts w:ascii="Palatino Linotype" w:hAnsi="Palatino Linotype" w:cs="Tahoma"/>
          <w:b/>
          <w:bCs/>
          <w:szCs w:val="22"/>
        </w:rPr>
      </w:pPr>
      <w:r w:rsidRPr="002244FC">
        <w:rPr>
          <w:rFonts w:ascii="Palatino Linotype" w:hAnsi="Palatino Linotype" w:cs="Tahoma"/>
          <w:b/>
          <w:bCs/>
          <w:szCs w:val="22"/>
        </w:rPr>
        <w:t>ACTO IMPUGNADO:</w:t>
      </w:r>
    </w:p>
    <w:p w14:paraId="4D3ABF2E" w14:textId="77777777" w:rsidR="003D1770" w:rsidRPr="002244FC" w:rsidRDefault="007E4927" w:rsidP="00147516">
      <w:pPr>
        <w:spacing w:line="360" w:lineRule="auto"/>
        <w:ind w:left="567" w:right="539"/>
        <w:contextualSpacing/>
        <w:jc w:val="both"/>
        <w:rPr>
          <w:rFonts w:ascii="Palatino Linotype" w:hAnsi="Palatino Linotype" w:cs="Tahoma"/>
          <w:bCs/>
          <w:szCs w:val="22"/>
        </w:rPr>
      </w:pPr>
      <w:r w:rsidRPr="002244FC">
        <w:rPr>
          <w:rFonts w:ascii="Palatino Linotype" w:hAnsi="Palatino Linotype" w:cs="Tahoma"/>
          <w:bCs/>
          <w:i/>
          <w:szCs w:val="22"/>
        </w:rPr>
        <w:t>“</w:t>
      </w:r>
      <w:r w:rsidR="00AB3027" w:rsidRPr="002244FC">
        <w:rPr>
          <w:rFonts w:ascii="Palatino Linotype" w:hAnsi="Palatino Linotype" w:cs="Tahoma"/>
          <w:bCs/>
          <w:i/>
          <w:szCs w:val="22"/>
        </w:rPr>
        <w:t xml:space="preserve">No entrega la normatividad vigentes </w:t>
      </w:r>
      <w:r w:rsidR="00E55401" w:rsidRPr="002244FC">
        <w:rPr>
          <w:rFonts w:ascii="Palatino Linotype" w:hAnsi="Palatino Linotype" w:cs="Tahoma"/>
          <w:bCs/>
          <w:i/>
          <w:szCs w:val="22"/>
        </w:rPr>
        <w:t>"</w:t>
      </w:r>
      <w:r w:rsidR="00253937" w:rsidRPr="002244FC">
        <w:rPr>
          <w:rFonts w:ascii="Palatino Linotype" w:hAnsi="Palatino Linotype" w:cs="Tahoma"/>
          <w:bCs/>
          <w:i/>
          <w:szCs w:val="22"/>
        </w:rPr>
        <w:t xml:space="preserve"> (Sic)</w:t>
      </w:r>
    </w:p>
    <w:p w14:paraId="61C520E0" w14:textId="77777777" w:rsidR="007E4927" w:rsidRPr="002244FC" w:rsidRDefault="007E4927" w:rsidP="00147516">
      <w:pPr>
        <w:spacing w:line="360" w:lineRule="auto"/>
        <w:ind w:left="567" w:right="539"/>
        <w:contextualSpacing/>
        <w:jc w:val="both"/>
        <w:rPr>
          <w:rFonts w:ascii="Palatino Linotype" w:hAnsi="Palatino Linotype" w:cs="Tahoma"/>
          <w:bCs/>
          <w:i/>
          <w:szCs w:val="22"/>
        </w:rPr>
      </w:pPr>
    </w:p>
    <w:p w14:paraId="628B110F" w14:textId="77777777" w:rsidR="00D5699B" w:rsidRPr="002244FC" w:rsidRDefault="00D5699B" w:rsidP="00147516">
      <w:pPr>
        <w:spacing w:line="360" w:lineRule="auto"/>
        <w:ind w:left="567" w:right="539"/>
        <w:contextualSpacing/>
        <w:jc w:val="both"/>
        <w:rPr>
          <w:rFonts w:ascii="Palatino Linotype" w:hAnsi="Palatino Linotype" w:cs="Tahoma"/>
          <w:b/>
          <w:szCs w:val="22"/>
        </w:rPr>
      </w:pPr>
      <w:r w:rsidRPr="002244FC">
        <w:rPr>
          <w:rFonts w:ascii="Palatino Linotype" w:hAnsi="Palatino Linotype" w:cs="Tahoma"/>
          <w:b/>
          <w:szCs w:val="22"/>
        </w:rPr>
        <w:t>RAZONES O MOTIVOS DE LA INCONFORMIDAD.</w:t>
      </w:r>
    </w:p>
    <w:p w14:paraId="0C1A4492" w14:textId="77777777" w:rsidR="00D5699B" w:rsidRPr="002244FC" w:rsidRDefault="007E4927" w:rsidP="00147516">
      <w:pPr>
        <w:spacing w:line="360" w:lineRule="auto"/>
        <w:ind w:left="567" w:right="539"/>
        <w:contextualSpacing/>
        <w:jc w:val="both"/>
        <w:rPr>
          <w:rFonts w:ascii="Palatino Linotype" w:hAnsi="Palatino Linotype" w:cs="Tahoma"/>
          <w:i/>
          <w:iCs/>
        </w:rPr>
      </w:pPr>
      <w:r w:rsidRPr="002244FC">
        <w:rPr>
          <w:rFonts w:ascii="Palatino Linotype" w:hAnsi="Palatino Linotype" w:cs="Tahoma"/>
          <w:i/>
          <w:iCs/>
        </w:rPr>
        <w:t>“</w:t>
      </w:r>
      <w:r w:rsidR="00AB3027" w:rsidRPr="002244FC">
        <w:rPr>
          <w:rFonts w:ascii="Palatino Linotype" w:hAnsi="Palatino Linotype" w:cs="Tahoma"/>
          <w:i/>
          <w:iCs/>
        </w:rPr>
        <w:t>no entrega la información de la normatividad ni los documentos que demuestren los datos proporcionados,</w:t>
      </w:r>
      <w:r w:rsidR="00DF3BE8" w:rsidRPr="002244FC">
        <w:rPr>
          <w:rFonts w:ascii="Palatino Linotype" w:hAnsi="Palatino Linotype" w:cs="Tahoma"/>
          <w:i/>
          <w:iCs/>
        </w:rPr>
        <w:t>”</w:t>
      </w:r>
      <w:r w:rsidR="000C2529" w:rsidRPr="002244FC">
        <w:rPr>
          <w:rFonts w:ascii="Palatino Linotype" w:hAnsi="Palatino Linotype" w:cs="Tahoma"/>
          <w:i/>
          <w:iCs/>
        </w:rPr>
        <w:t xml:space="preserve"> </w:t>
      </w:r>
      <w:r w:rsidR="00040101" w:rsidRPr="002244FC">
        <w:rPr>
          <w:rFonts w:ascii="Palatino Linotype" w:hAnsi="Palatino Linotype" w:cs="Tahoma"/>
          <w:i/>
          <w:iCs/>
        </w:rPr>
        <w:t>(Sic)</w:t>
      </w:r>
    </w:p>
    <w:p w14:paraId="66C53987" w14:textId="77777777" w:rsidR="00B51AEA" w:rsidRPr="002244FC" w:rsidRDefault="00B51AEA" w:rsidP="00147516">
      <w:pPr>
        <w:spacing w:line="360" w:lineRule="auto"/>
        <w:contextualSpacing/>
        <w:jc w:val="both"/>
        <w:rPr>
          <w:rFonts w:ascii="Palatino Linotype" w:hAnsi="Palatino Linotype" w:cs="Tahoma"/>
          <w:bCs/>
          <w:sz w:val="22"/>
          <w:szCs w:val="22"/>
        </w:rPr>
      </w:pPr>
    </w:p>
    <w:p w14:paraId="373CDB7E" w14:textId="77777777" w:rsidR="009A7587" w:rsidRPr="002244FC" w:rsidRDefault="005319DA" w:rsidP="00147516">
      <w:pPr>
        <w:spacing w:line="360" w:lineRule="auto"/>
        <w:contextualSpacing/>
        <w:jc w:val="both"/>
        <w:rPr>
          <w:rFonts w:ascii="Palatino Linotype" w:eastAsia="Batang" w:hAnsi="Palatino Linotype" w:cs="Tahoma"/>
          <w:b/>
          <w:bCs/>
          <w:sz w:val="22"/>
          <w:szCs w:val="22"/>
        </w:rPr>
      </w:pPr>
      <w:r w:rsidRPr="002244FC">
        <w:rPr>
          <w:rFonts w:ascii="Palatino Linotype" w:hAnsi="Palatino Linotype" w:cs="Tahoma"/>
          <w:b/>
          <w:sz w:val="22"/>
          <w:szCs w:val="22"/>
        </w:rPr>
        <w:t>I</w:t>
      </w:r>
      <w:r w:rsidR="00FF1049" w:rsidRPr="002244FC">
        <w:rPr>
          <w:rFonts w:ascii="Palatino Linotype" w:hAnsi="Palatino Linotype" w:cs="Tahoma"/>
          <w:b/>
          <w:sz w:val="22"/>
          <w:szCs w:val="22"/>
        </w:rPr>
        <w:t>V</w:t>
      </w:r>
      <w:r w:rsidR="009A7587" w:rsidRPr="002244FC">
        <w:rPr>
          <w:rFonts w:ascii="Palatino Linotype" w:hAnsi="Palatino Linotype" w:cs="Tahoma"/>
          <w:b/>
          <w:sz w:val="22"/>
          <w:szCs w:val="22"/>
        </w:rPr>
        <w:t xml:space="preserve">. </w:t>
      </w:r>
      <w:r w:rsidR="009A7587" w:rsidRPr="002244FC">
        <w:rPr>
          <w:rFonts w:ascii="Palatino Linotype" w:eastAsia="Batang" w:hAnsi="Palatino Linotype" w:cs="Tahoma"/>
          <w:b/>
          <w:bCs/>
          <w:sz w:val="22"/>
          <w:szCs w:val="22"/>
        </w:rPr>
        <w:t xml:space="preserve">Trámite del </w:t>
      </w:r>
      <w:r w:rsidR="009A7587" w:rsidRPr="002244FC">
        <w:rPr>
          <w:rFonts w:ascii="Palatino Linotype" w:hAnsi="Palatino Linotype" w:cs="Tahoma"/>
          <w:b/>
          <w:sz w:val="22"/>
          <w:szCs w:val="22"/>
        </w:rPr>
        <w:t xml:space="preserve">Recurso de Revisión </w:t>
      </w:r>
      <w:r w:rsidR="009A7587" w:rsidRPr="002244FC">
        <w:rPr>
          <w:rFonts w:ascii="Palatino Linotype" w:eastAsia="Batang" w:hAnsi="Palatino Linotype" w:cs="Tahoma"/>
          <w:b/>
          <w:bCs/>
          <w:sz w:val="22"/>
          <w:szCs w:val="22"/>
        </w:rPr>
        <w:t>ante el Instituto.</w:t>
      </w:r>
    </w:p>
    <w:p w14:paraId="34BD3662" w14:textId="77777777" w:rsidR="007E4927" w:rsidRPr="002244FC" w:rsidRDefault="007E4927" w:rsidP="00147516">
      <w:pPr>
        <w:spacing w:line="360" w:lineRule="auto"/>
        <w:contextualSpacing/>
        <w:jc w:val="both"/>
        <w:rPr>
          <w:rFonts w:ascii="Palatino Linotype" w:eastAsia="Batang" w:hAnsi="Palatino Linotype" w:cs="Tahoma"/>
          <w:b/>
          <w:bCs/>
          <w:sz w:val="22"/>
          <w:szCs w:val="22"/>
        </w:rPr>
      </w:pPr>
    </w:p>
    <w:p w14:paraId="59DC1DA0" w14:textId="77777777" w:rsidR="00C950E3" w:rsidRPr="002244FC" w:rsidRDefault="009A7587" w:rsidP="00147516">
      <w:pPr>
        <w:spacing w:line="360" w:lineRule="auto"/>
        <w:contextualSpacing/>
        <w:jc w:val="both"/>
        <w:rPr>
          <w:rFonts w:ascii="Palatino Linotype" w:eastAsia="Batang" w:hAnsi="Palatino Linotype" w:cs="Tahoma"/>
          <w:bCs/>
          <w:sz w:val="22"/>
          <w:szCs w:val="22"/>
        </w:rPr>
      </w:pPr>
      <w:r w:rsidRPr="002244FC">
        <w:rPr>
          <w:rFonts w:ascii="Palatino Linotype" w:eastAsia="Batang" w:hAnsi="Palatino Linotype" w:cs="Tahoma"/>
          <w:b/>
          <w:bCs/>
          <w:sz w:val="22"/>
          <w:szCs w:val="22"/>
        </w:rPr>
        <w:t xml:space="preserve">a) Turno del </w:t>
      </w:r>
      <w:r w:rsidRPr="002244FC">
        <w:rPr>
          <w:rFonts w:ascii="Palatino Linotype" w:hAnsi="Palatino Linotype" w:cs="Tahoma"/>
          <w:b/>
          <w:sz w:val="22"/>
          <w:szCs w:val="22"/>
        </w:rPr>
        <w:t>Recurso de Revisión</w:t>
      </w:r>
      <w:r w:rsidRPr="002244FC">
        <w:rPr>
          <w:rFonts w:ascii="Palatino Linotype" w:eastAsia="Batang" w:hAnsi="Palatino Linotype" w:cs="Tahoma"/>
          <w:b/>
          <w:bCs/>
          <w:sz w:val="22"/>
          <w:szCs w:val="22"/>
        </w:rPr>
        <w:t xml:space="preserve">. </w:t>
      </w:r>
      <w:r w:rsidR="00A06844" w:rsidRPr="002244FC">
        <w:rPr>
          <w:rFonts w:ascii="Palatino Linotype" w:eastAsia="Batang" w:hAnsi="Palatino Linotype" w:cs="Tahoma"/>
          <w:bCs/>
          <w:sz w:val="22"/>
          <w:szCs w:val="22"/>
        </w:rPr>
        <w:t xml:space="preserve">El </w:t>
      </w:r>
      <w:r w:rsidR="00416C17" w:rsidRPr="002244FC">
        <w:rPr>
          <w:rFonts w:ascii="Palatino Linotype" w:hAnsi="Palatino Linotype" w:cs="Tahoma"/>
          <w:sz w:val="22"/>
          <w:szCs w:val="22"/>
        </w:rPr>
        <w:t xml:space="preserve">veintidós de febrero </w:t>
      </w:r>
      <w:r w:rsidR="00B51AEA" w:rsidRPr="002244FC">
        <w:rPr>
          <w:rFonts w:ascii="Palatino Linotype" w:hAnsi="Palatino Linotype" w:cs="Tahoma"/>
          <w:sz w:val="22"/>
          <w:szCs w:val="22"/>
        </w:rPr>
        <w:t>de dos mil veintitrés</w:t>
      </w:r>
      <w:r w:rsidR="00A06844" w:rsidRPr="002244FC">
        <w:rPr>
          <w:rFonts w:ascii="Palatino Linotype" w:eastAsia="Batang" w:hAnsi="Palatino Linotype" w:cs="Tahoma"/>
          <w:bCs/>
          <w:sz w:val="22"/>
          <w:szCs w:val="22"/>
        </w:rPr>
        <w:t xml:space="preserve">, </w:t>
      </w:r>
      <w:r w:rsidR="00D5699B" w:rsidRPr="002244FC">
        <w:rPr>
          <w:rFonts w:ascii="Palatino Linotype" w:eastAsia="Batang" w:hAnsi="Palatino Linotype" w:cs="Tahoma"/>
          <w:bCs/>
          <w:sz w:val="22"/>
          <w:szCs w:val="22"/>
        </w:rPr>
        <w:t xml:space="preserve">el Sistema de Acceso a la Información Mexiquense (SAIMEX), asignó el número de expediente </w:t>
      </w:r>
      <w:r w:rsidR="00416C17" w:rsidRPr="002244FC">
        <w:rPr>
          <w:rFonts w:ascii="Palatino Linotype" w:eastAsia="Batang" w:hAnsi="Palatino Linotype" w:cs="Tahoma"/>
          <w:b/>
          <w:bCs/>
          <w:sz w:val="22"/>
          <w:szCs w:val="22"/>
        </w:rPr>
        <w:t>010</w:t>
      </w:r>
      <w:r w:rsidR="00AB3027" w:rsidRPr="002244FC">
        <w:rPr>
          <w:rFonts w:ascii="Palatino Linotype" w:eastAsia="Batang" w:hAnsi="Palatino Linotype" w:cs="Tahoma"/>
          <w:b/>
          <w:bCs/>
          <w:sz w:val="22"/>
          <w:szCs w:val="22"/>
        </w:rPr>
        <w:t>41</w:t>
      </w:r>
      <w:r w:rsidR="00D5699B" w:rsidRPr="002244FC">
        <w:rPr>
          <w:rFonts w:ascii="Palatino Linotype" w:eastAsia="Batang" w:hAnsi="Palatino Linotype" w:cs="Tahoma"/>
          <w:b/>
          <w:bCs/>
          <w:sz w:val="22"/>
          <w:szCs w:val="22"/>
        </w:rPr>
        <w:t>/INFOEM/IP/RR/202</w:t>
      </w:r>
      <w:r w:rsidR="005C3B27" w:rsidRPr="002244FC">
        <w:rPr>
          <w:rFonts w:ascii="Palatino Linotype" w:eastAsia="Batang" w:hAnsi="Palatino Linotype" w:cs="Tahoma"/>
          <w:b/>
          <w:bCs/>
          <w:sz w:val="22"/>
          <w:szCs w:val="22"/>
        </w:rPr>
        <w:t>3</w:t>
      </w:r>
      <w:r w:rsidR="00D5699B" w:rsidRPr="002244FC">
        <w:rPr>
          <w:rFonts w:ascii="Palatino Linotype" w:eastAsia="Batang" w:hAnsi="Palatino Linotype" w:cs="Tahoma"/>
          <w:bCs/>
          <w:sz w:val="22"/>
          <w:szCs w:val="22"/>
        </w:rPr>
        <w:t xml:space="preserve">, al medio de impugnación que nos ocupa, con base en el sistema aprobado por el Pleno de este Órgano Garante y lo turnó al </w:t>
      </w:r>
      <w:r w:rsidR="00D5699B" w:rsidRPr="002244FC">
        <w:rPr>
          <w:rFonts w:ascii="Palatino Linotype" w:eastAsia="Batang" w:hAnsi="Palatino Linotype" w:cs="Tahoma"/>
          <w:b/>
          <w:bCs/>
          <w:sz w:val="22"/>
          <w:szCs w:val="22"/>
        </w:rPr>
        <w:t>Comisionado Ponente Luis Gustavo Parra Noriega</w:t>
      </w:r>
      <w:r w:rsidR="00D5699B" w:rsidRPr="002244FC">
        <w:rPr>
          <w:rFonts w:ascii="Palatino Linotype" w:eastAsia="Batang" w:hAnsi="Palatino Linotype" w:cs="Tahoma"/>
          <w:bCs/>
          <w:sz w:val="22"/>
          <w:szCs w:val="22"/>
        </w:rPr>
        <w:t>, para los efectos del artículo 185, fracción I de la Ley de Transparencia y Acceso a la Información Pública del Estado de México y Municipios.</w:t>
      </w:r>
    </w:p>
    <w:p w14:paraId="6C695CA9" w14:textId="77777777" w:rsidR="00D5699B" w:rsidRPr="002244FC" w:rsidRDefault="00D5699B" w:rsidP="00147516">
      <w:pPr>
        <w:spacing w:line="360" w:lineRule="auto"/>
        <w:contextualSpacing/>
        <w:jc w:val="both"/>
        <w:rPr>
          <w:rFonts w:ascii="Palatino Linotype" w:eastAsia="Batang" w:hAnsi="Palatino Linotype" w:cs="Tahoma"/>
          <w:b/>
          <w:bCs/>
          <w:sz w:val="22"/>
          <w:szCs w:val="22"/>
        </w:rPr>
      </w:pPr>
    </w:p>
    <w:p w14:paraId="2114C1EC" w14:textId="77777777" w:rsidR="00253937" w:rsidRPr="002244FC" w:rsidRDefault="009A7587" w:rsidP="00147516">
      <w:pPr>
        <w:spacing w:line="360" w:lineRule="auto"/>
        <w:contextualSpacing/>
        <w:jc w:val="both"/>
        <w:rPr>
          <w:rFonts w:ascii="Palatino Linotype" w:hAnsi="Palatino Linotype" w:cs="Tahoma"/>
          <w:bCs/>
          <w:sz w:val="22"/>
          <w:szCs w:val="22"/>
          <w:lang w:val="es-ES_tradnl"/>
        </w:rPr>
      </w:pPr>
      <w:r w:rsidRPr="002244FC">
        <w:rPr>
          <w:rFonts w:ascii="Palatino Linotype" w:eastAsia="Batang" w:hAnsi="Palatino Linotype" w:cs="Tahoma"/>
          <w:b/>
          <w:bCs/>
          <w:sz w:val="22"/>
          <w:szCs w:val="22"/>
        </w:rPr>
        <w:t xml:space="preserve">b) Admisión del </w:t>
      </w:r>
      <w:r w:rsidRPr="002244FC">
        <w:rPr>
          <w:rFonts w:ascii="Palatino Linotype" w:hAnsi="Palatino Linotype" w:cs="Tahoma"/>
          <w:b/>
          <w:sz w:val="22"/>
          <w:szCs w:val="22"/>
        </w:rPr>
        <w:t>Recurso de Revisión</w:t>
      </w:r>
      <w:r w:rsidRPr="002244FC">
        <w:rPr>
          <w:rFonts w:ascii="Palatino Linotype" w:eastAsia="Batang" w:hAnsi="Palatino Linotype" w:cs="Tahoma"/>
          <w:b/>
          <w:bCs/>
          <w:sz w:val="22"/>
          <w:szCs w:val="22"/>
          <w:lang w:val="es-ES_tradnl"/>
        </w:rPr>
        <w:t xml:space="preserve">. </w:t>
      </w:r>
      <w:r w:rsidRPr="002244FC">
        <w:rPr>
          <w:rFonts w:ascii="Palatino Linotype" w:hAnsi="Palatino Linotype" w:cs="Tahoma"/>
          <w:bCs/>
          <w:sz w:val="22"/>
          <w:szCs w:val="22"/>
        </w:rPr>
        <w:t>El</w:t>
      </w:r>
      <w:r w:rsidR="00EB3A2C" w:rsidRPr="002244FC">
        <w:rPr>
          <w:rFonts w:ascii="Palatino Linotype" w:hAnsi="Palatino Linotype" w:cs="Tahoma"/>
          <w:bCs/>
          <w:sz w:val="22"/>
          <w:szCs w:val="22"/>
        </w:rPr>
        <w:t xml:space="preserve"> </w:t>
      </w:r>
      <w:r w:rsidR="00B51AEA" w:rsidRPr="002244FC">
        <w:rPr>
          <w:rFonts w:ascii="Palatino Linotype" w:hAnsi="Palatino Linotype" w:cs="Tahoma"/>
          <w:bCs/>
          <w:sz w:val="22"/>
          <w:szCs w:val="22"/>
        </w:rPr>
        <w:t>veintisiete</w:t>
      </w:r>
      <w:r w:rsidR="00697AD7" w:rsidRPr="002244FC">
        <w:rPr>
          <w:rFonts w:ascii="Palatino Linotype" w:hAnsi="Palatino Linotype" w:cs="Tahoma"/>
          <w:bCs/>
          <w:sz w:val="22"/>
          <w:szCs w:val="22"/>
        </w:rPr>
        <w:t xml:space="preserve"> de </w:t>
      </w:r>
      <w:r w:rsidR="00416C17" w:rsidRPr="002244FC">
        <w:rPr>
          <w:rFonts w:ascii="Palatino Linotype" w:hAnsi="Palatino Linotype" w:cs="Tahoma"/>
          <w:bCs/>
          <w:sz w:val="22"/>
          <w:szCs w:val="22"/>
        </w:rPr>
        <w:t>febrero</w:t>
      </w:r>
      <w:r w:rsidR="00697AD7" w:rsidRPr="002244FC">
        <w:rPr>
          <w:rFonts w:ascii="Palatino Linotype" w:hAnsi="Palatino Linotype" w:cs="Tahoma"/>
          <w:bCs/>
          <w:sz w:val="22"/>
          <w:szCs w:val="22"/>
        </w:rPr>
        <w:t xml:space="preserve"> de dos mil veintitrés</w:t>
      </w:r>
      <w:r w:rsidRPr="002244FC">
        <w:rPr>
          <w:rFonts w:ascii="Palatino Linotype" w:hAnsi="Palatino Linotype" w:cs="Tahoma"/>
          <w:bCs/>
          <w:sz w:val="22"/>
          <w:szCs w:val="22"/>
        </w:rPr>
        <w:t xml:space="preserve">, </w:t>
      </w:r>
      <w:r w:rsidR="001F787A" w:rsidRPr="002244FC">
        <w:rPr>
          <w:rFonts w:ascii="Palatino Linotype" w:hAnsi="Palatino Linotype" w:cs="Tahoma"/>
          <w:bCs/>
          <w:sz w:val="22"/>
          <w:szCs w:val="22"/>
        </w:rPr>
        <w:t xml:space="preserve">se acordó la admisión del </w:t>
      </w:r>
      <w:r w:rsidR="001F787A" w:rsidRPr="002244FC">
        <w:rPr>
          <w:rFonts w:ascii="Palatino Linotype" w:hAnsi="Palatino Linotype" w:cs="Tahoma"/>
          <w:bCs/>
          <w:sz w:val="22"/>
          <w:szCs w:val="22"/>
          <w:lang w:val="es-ES_tradnl"/>
        </w:rPr>
        <w:t xml:space="preserve">Recurso de Revisión interpuesto por el Recurrente en contra del </w:t>
      </w:r>
      <w:r w:rsidR="001F787A" w:rsidRPr="002244FC">
        <w:rPr>
          <w:rFonts w:ascii="Palatino Linotype" w:hAnsi="Palatino Linotype" w:cs="Tahoma"/>
          <w:b/>
          <w:bCs/>
          <w:sz w:val="22"/>
          <w:szCs w:val="22"/>
          <w:lang w:val="es-ES_tradnl"/>
        </w:rPr>
        <w:t xml:space="preserve">Sujeto </w:t>
      </w:r>
      <w:r w:rsidR="001F787A" w:rsidRPr="002244FC">
        <w:rPr>
          <w:rFonts w:ascii="Palatino Linotype" w:hAnsi="Palatino Linotype" w:cs="Tahoma"/>
          <w:b/>
          <w:bCs/>
          <w:sz w:val="22"/>
          <w:szCs w:val="22"/>
          <w:lang w:val="es-ES_tradnl"/>
        </w:rPr>
        <w:lastRenderedPageBreak/>
        <w:t>Obligado</w:t>
      </w:r>
      <w:r w:rsidR="001F787A" w:rsidRPr="002244FC">
        <w:rPr>
          <w:rFonts w:ascii="Palatino Linotype" w:hAnsi="Palatino Linotype" w:cs="Tahoma"/>
          <w:bCs/>
          <w:sz w:val="22"/>
          <w:szCs w:val="22"/>
          <w:lang w:val="es-ES_tradnl"/>
        </w:rPr>
        <w:t>, en términos del artículo 185, fracciones I, II y IV de la Ley de Transparencia y Acceso a la Información Pública del Estado de México y Municipios, el cual fue notificad</w:t>
      </w:r>
      <w:r w:rsidR="000C6179" w:rsidRPr="002244FC">
        <w:rPr>
          <w:rFonts w:ascii="Palatino Linotype" w:hAnsi="Palatino Linotype" w:cs="Tahoma"/>
          <w:bCs/>
          <w:sz w:val="22"/>
          <w:szCs w:val="22"/>
          <w:lang w:val="es-ES_tradnl"/>
        </w:rPr>
        <w:t>o a las partes el mismo día</w:t>
      </w:r>
      <w:r w:rsidR="001F787A" w:rsidRPr="002244FC">
        <w:rPr>
          <w:rFonts w:ascii="Palatino Linotype" w:hAnsi="Palatino Linotype" w:cs="Tahoma"/>
          <w:bCs/>
          <w:sz w:val="22"/>
          <w:szCs w:val="22"/>
          <w:lang w:val="es-ES_tradnl"/>
        </w:rPr>
        <w:t xml:space="preserve"> a través del Sistema de Acceso a la Información Mexiquense (SAIMEX), en el que se les otorgó un plazo de siete días hábiles posteriores a la misma, para que manifestaran lo que a su derecho conviniera y formularan alegatos.</w:t>
      </w:r>
    </w:p>
    <w:p w14:paraId="34603E65" w14:textId="77777777" w:rsidR="00253937" w:rsidRPr="002244FC" w:rsidRDefault="00253937" w:rsidP="00147516">
      <w:pPr>
        <w:spacing w:line="360" w:lineRule="auto"/>
        <w:contextualSpacing/>
        <w:jc w:val="both"/>
        <w:rPr>
          <w:rFonts w:ascii="Palatino Linotype" w:hAnsi="Palatino Linotype" w:cs="Tahoma"/>
          <w:bCs/>
          <w:sz w:val="22"/>
          <w:szCs w:val="22"/>
          <w:lang w:val="es-ES_tradnl"/>
        </w:rPr>
      </w:pPr>
    </w:p>
    <w:p w14:paraId="6B46835A"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
          <w:bCs/>
          <w:sz w:val="22"/>
          <w:szCs w:val="22"/>
          <w:lang w:val="es-ES_tradnl"/>
        </w:rPr>
        <w:t>c) Informe Justificado.</w:t>
      </w:r>
      <w:r w:rsidRPr="002244FC">
        <w:rPr>
          <w:rFonts w:ascii="Palatino Linotype" w:eastAsia="Batang" w:hAnsi="Palatino Linotype" w:cs="Tahoma"/>
          <w:bCs/>
          <w:sz w:val="22"/>
          <w:szCs w:val="22"/>
          <w:lang w:val="es-ES_tradnl"/>
        </w:rPr>
        <w:t xml:space="preserve"> El diez de marzo de dos mil veintitrés, a través del Sistema de Acceso a la Información Mexiquense (SAIMEX), se recibió en este Instituto el informe justificado por parte del Sujeto Obligado en el cual </w:t>
      </w:r>
      <w:r w:rsidR="005872C7" w:rsidRPr="002244FC">
        <w:rPr>
          <w:rFonts w:ascii="Palatino Linotype" w:eastAsia="Batang" w:hAnsi="Palatino Linotype" w:cs="Tahoma"/>
          <w:bCs/>
          <w:sz w:val="22"/>
          <w:szCs w:val="22"/>
          <w:lang w:val="es-ES_tradnl"/>
        </w:rPr>
        <w:t>ratificó su respuesta como se muestra a continuación:</w:t>
      </w:r>
      <w:r w:rsidRPr="002244FC">
        <w:rPr>
          <w:rFonts w:ascii="Palatino Linotype" w:eastAsia="Batang" w:hAnsi="Palatino Linotype" w:cs="Tahoma"/>
          <w:bCs/>
          <w:sz w:val="22"/>
          <w:szCs w:val="22"/>
          <w:lang w:val="es-ES_tradnl"/>
        </w:rPr>
        <w:t xml:space="preserve"> </w:t>
      </w:r>
    </w:p>
    <w:p w14:paraId="0B2A0BA9"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670DFE86" w14:textId="77777777" w:rsidR="00247EAA" w:rsidRPr="002244FC" w:rsidRDefault="00247EAA" w:rsidP="00247EAA">
      <w:pPr>
        <w:spacing w:line="360" w:lineRule="auto"/>
        <w:ind w:left="567" w:right="539"/>
        <w:jc w:val="both"/>
        <w:rPr>
          <w:rFonts w:ascii="Palatino Linotype" w:eastAsia="Batang" w:hAnsi="Palatino Linotype" w:cs="Tahoma"/>
          <w:bCs/>
          <w:i/>
          <w:iCs/>
          <w:lang w:val="es-ES_tradnl"/>
        </w:rPr>
      </w:pPr>
      <w:r w:rsidRPr="002244FC">
        <w:rPr>
          <w:rFonts w:ascii="Palatino Linotype" w:eastAsia="Batang" w:hAnsi="Palatino Linotype" w:cs="Tahoma"/>
          <w:bCs/>
          <w:i/>
          <w:iCs/>
          <w:lang w:val="es-ES_tradnl"/>
        </w:rPr>
        <w:t>“…</w:t>
      </w:r>
    </w:p>
    <w:p w14:paraId="1EEA5A5C" w14:textId="77777777" w:rsidR="006A03B4" w:rsidRPr="002244FC" w:rsidRDefault="006A03B4" w:rsidP="00247EAA">
      <w:pPr>
        <w:spacing w:line="360" w:lineRule="auto"/>
        <w:ind w:left="567" w:right="539"/>
        <w:jc w:val="both"/>
        <w:rPr>
          <w:rFonts w:ascii="Palatino Linotype" w:eastAsia="Batang" w:hAnsi="Palatino Linotype" w:cs="Tahoma"/>
          <w:bCs/>
          <w:i/>
          <w:iCs/>
          <w:lang w:val="es-ES_tradnl"/>
        </w:rPr>
      </w:pPr>
      <w:r w:rsidRPr="002244FC">
        <w:rPr>
          <w:rFonts w:ascii="Palatino Linotype" w:eastAsia="Batang" w:hAnsi="Palatino Linotype" w:cs="Tahoma"/>
          <w:bCs/>
          <w:i/>
          <w:iCs/>
          <w:lang w:val="es-ES_tradnl"/>
        </w:rPr>
        <w:t>Es importante destacar que en ningún momento se niega el derecho de acceso a la información del (la) hoy recurrente, tomando en consideración que, desde el pronunciamiento otorgado por este Sujeto Obligado a la solicitud primigenia, se remitió la documentación con la que se da respuesta a la misma.</w:t>
      </w:r>
    </w:p>
    <w:p w14:paraId="1F9942AE" w14:textId="77777777" w:rsidR="006A03B4" w:rsidRPr="002244FC" w:rsidRDefault="006A03B4" w:rsidP="00247EAA">
      <w:pPr>
        <w:spacing w:line="360" w:lineRule="auto"/>
        <w:ind w:left="567" w:right="539"/>
        <w:jc w:val="both"/>
        <w:rPr>
          <w:rFonts w:ascii="Palatino Linotype" w:eastAsia="Batang" w:hAnsi="Palatino Linotype" w:cs="Tahoma"/>
          <w:bCs/>
          <w:i/>
          <w:iCs/>
          <w:lang w:val="es-ES_tradnl"/>
        </w:rPr>
      </w:pPr>
    </w:p>
    <w:p w14:paraId="559FDD15" w14:textId="77777777" w:rsidR="006A03B4" w:rsidRPr="002244FC" w:rsidRDefault="006A03B4" w:rsidP="00247EAA">
      <w:pPr>
        <w:spacing w:line="360" w:lineRule="auto"/>
        <w:ind w:left="567" w:right="539"/>
        <w:jc w:val="both"/>
        <w:rPr>
          <w:rFonts w:ascii="Palatino Linotype" w:eastAsia="Batang" w:hAnsi="Palatino Linotype" w:cs="Tahoma"/>
          <w:bCs/>
          <w:i/>
          <w:iCs/>
          <w:lang w:val="es-ES_tradnl"/>
        </w:rPr>
      </w:pPr>
      <w:r w:rsidRPr="002244FC">
        <w:rPr>
          <w:rFonts w:ascii="Palatino Linotype" w:eastAsia="Batang" w:hAnsi="Palatino Linotype" w:cs="Tahoma"/>
          <w:bCs/>
          <w:i/>
          <w:iCs/>
          <w:lang w:val="es-ES_tradnl"/>
        </w:rPr>
        <w:t>Para tal efecto, con la finalidad de atender el presente ocurso, los Servidores Públicos Habilitados de las unidades administrativas que a continuación se indican, como áreas competentes para responder el requerimiento de información, mediante los oficios que se detallan (anexos al presente de manera íntegra para su pronta referencia), emitieron sus pronunciamientos al respecto:</w:t>
      </w:r>
    </w:p>
    <w:p w14:paraId="70F16098" w14:textId="77777777" w:rsidR="006A03B4" w:rsidRPr="002244FC" w:rsidRDefault="006A03B4" w:rsidP="00247EAA">
      <w:pPr>
        <w:spacing w:line="360" w:lineRule="auto"/>
        <w:ind w:left="567" w:right="539"/>
        <w:jc w:val="both"/>
        <w:rPr>
          <w:rFonts w:ascii="Palatino Linotype" w:eastAsia="Batang" w:hAnsi="Palatino Linotype" w:cs="Tahoma"/>
          <w:bCs/>
          <w:i/>
          <w:iCs/>
          <w:lang w:val="es-ES_tradnl"/>
        </w:rPr>
      </w:pPr>
      <w:r w:rsidRPr="002244FC">
        <w:rPr>
          <w:rFonts w:ascii="Palatino Linotype" w:eastAsia="Batang" w:hAnsi="Palatino Linotype" w:cs="Tahoma"/>
          <w:bCs/>
          <w:i/>
          <w:iCs/>
          <w:lang w:val="es-ES_tradnl"/>
        </w:rPr>
        <w:t>…</w:t>
      </w:r>
    </w:p>
    <w:p w14:paraId="77138B9F" w14:textId="77777777" w:rsidR="00247EAA" w:rsidRPr="002244FC" w:rsidRDefault="006A03B4" w:rsidP="00247EAA">
      <w:pPr>
        <w:spacing w:line="360" w:lineRule="auto"/>
        <w:ind w:left="567" w:right="539"/>
        <w:jc w:val="both"/>
        <w:rPr>
          <w:rFonts w:ascii="Palatino Linotype" w:eastAsia="Batang" w:hAnsi="Palatino Linotype" w:cs="Tahoma"/>
          <w:bCs/>
          <w:i/>
          <w:iCs/>
          <w:lang w:val="es-ES_tradnl"/>
        </w:rPr>
      </w:pPr>
      <w:r w:rsidRPr="002244FC">
        <w:rPr>
          <w:rFonts w:ascii="Palatino Linotype" w:eastAsia="Batang" w:hAnsi="Palatino Linotype" w:cs="Tahoma"/>
          <w:bCs/>
          <w:i/>
          <w:iCs/>
          <w:lang w:val="es-ES_tradnl"/>
        </w:rPr>
        <w:t>Por tal motivo, tomando en consideración lo expuesto se puede aseverar que las argumentaciones realizadas por el hoy recurrente para la interposición  del presente ocurso, carecen de congruencia, resultando infundados los actos impugnados…</w:t>
      </w:r>
      <w:r w:rsidR="00247EAA" w:rsidRPr="002244FC">
        <w:rPr>
          <w:rFonts w:ascii="Palatino Linotype" w:eastAsia="Batang" w:hAnsi="Palatino Linotype" w:cs="Tahoma"/>
          <w:bCs/>
          <w:i/>
          <w:iCs/>
          <w:lang w:val="es-ES_tradnl"/>
        </w:rPr>
        <w:t>”</w:t>
      </w:r>
    </w:p>
    <w:p w14:paraId="43E03BE3"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0C664750"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El </w:t>
      </w:r>
      <w:r w:rsidR="003576A7" w:rsidRPr="002244FC">
        <w:rPr>
          <w:rFonts w:ascii="Palatino Linotype" w:eastAsia="Batang" w:hAnsi="Palatino Linotype" w:cs="Tahoma"/>
          <w:bCs/>
          <w:sz w:val="22"/>
          <w:szCs w:val="22"/>
          <w:lang w:val="es-ES_tradnl"/>
        </w:rPr>
        <w:t xml:space="preserve">sujeto Obligado, también adjuntó </w:t>
      </w:r>
      <w:r w:rsidRPr="002244FC">
        <w:rPr>
          <w:rFonts w:ascii="Palatino Linotype" w:eastAsia="Batang" w:hAnsi="Palatino Linotype" w:cs="Tahoma"/>
          <w:bCs/>
          <w:sz w:val="22"/>
          <w:szCs w:val="22"/>
          <w:lang w:val="es-ES_tradnl"/>
        </w:rPr>
        <w:t>los oficios mencionados en la respuesta arriba transcrita.</w:t>
      </w:r>
    </w:p>
    <w:p w14:paraId="4ACA855A"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566ABDDD" w14:textId="77777777" w:rsidR="00247EAA" w:rsidRPr="002244FC" w:rsidRDefault="00247EAA" w:rsidP="00247EAA">
      <w:pPr>
        <w:spacing w:line="360" w:lineRule="auto"/>
        <w:jc w:val="both"/>
        <w:rPr>
          <w:rFonts w:ascii="Palatino Linotype" w:hAnsi="Palatino Linotype" w:cs="Tahoma"/>
          <w:bCs/>
          <w:iCs/>
          <w:sz w:val="22"/>
          <w:szCs w:val="22"/>
        </w:rPr>
      </w:pPr>
      <w:r w:rsidRPr="002244FC">
        <w:rPr>
          <w:rFonts w:ascii="Palatino Linotype" w:eastAsia="Batang" w:hAnsi="Palatino Linotype" w:cs="Tahoma"/>
          <w:b/>
          <w:sz w:val="22"/>
          <w:szCs w:val="22"/>
          <w:lang w:val="es-ES_tradnl"/>
        </w:rPr>
        <w:lastRenderedPageBreak/>
        <w:t xml:space="preserve">d) Vista del Informe Justificado. </w:t>
      </w:r>
      <w:r w:rsidRPr="002244FC">
        <w:rPr>
          <w:rFonts w:ascii="Palatino Linotype" w:eastAsia="Batang" w:hAnsi="Palatino Linotype" w:cs="Tahoma"/>
          <w:bCs/>
          <w:sz w:val="22"/>
          <w:szCs w:val="22"/>
          <w:lang w:val="es-ES_tradnl"/>
        </w:rPr>
        <w:t>El dieciséis de marzo de dos mil veintitrés</w:t>
      </w:r>
      <w:r w:rsidRPr="002244FC">
        <w:rPr>
          <w:rFonts w:ascii="Palatino Linotype" w:hAnsi="Palatino Linotype" w:cs="Tahoma"/>
          <w:sz w:val="22"/>
          <w:szCs w:val="22"/>
        </w:rPr>
        <w:t>, se dictó acuerdo mediante el cual se puso a la vista del Particular, el Informe Justificado, el cual le fue notificado, en esa misma fecha, a través del Sistema de Acceso a la Información Mexiquense (SAIMEX). No obstante, lo anterior</w:t>
      </w:r>
      <w:r w:rsidRPr="002244FC">
        <w:rPr>
          <w:rFonts w:ascii="Palatino Linotype" w:hAnsi="Palatino Linotype" w:cs="Tahoma"/>
          <w:bCs/>
          <w:iCs/>
          <w:sz w:val="22"/>
          <w:szCs w:val="22"/>
          <w:lang w:val="es-ES_tradnl"/>
        </w:rPr>
        <w:t>, el Recurrente omitió realizar manifestación alguna que a su derecho conviniera y asistiera</w:t>
      </w:r>
      <w:r w:rsidRPr="002244FC">
        <w:rPr>
          <w:rFonts w:ascii="Palatino Linotype" w:hAnsi="Palatino Linotype" w:cs="Tahoma"/>
          <w:bCs/>
          <w:iCs/>
          <w:sz w:val="22"/>
          <w:szCs w:val="22"/>
        </w:rPr>
        <w:t>.</w:t>
      </w:r>
    </w:p>
    <w:p w14:paraId="58029DE7" w14:textId="77777777" w:rsidR="00247EAA" w:rsidRPr="002244FC" w:rsidRDefault="00247EAA" w:rsidP="00247EAA">
      <w:pPr>
        <w:spacing w:line="360" w:lineRule="auto"/>
        <w:jc w:val="both"/>
        <w:rPr>
          <w:rFonts w:ascii="Palatino Linotype" w:hAnsi="Palatino Linotype" w:cs="Tahoma"/>
          <w:sz w:val="22"/>
          <w:szCs w:val="22"/>
        </w:rPr>
      </w:pPr>
    </w:p>
    <w:p w14:paraId="77707FDB" w14:textId="77777777" w:rsidR="00247EAA" w:rsidRPr="002244FC" w:rsidRDefault="00247EAA" w:rsidP="00247EAA">
      <w:pPr>
        <w:spacing w:line="360" w:lineRule="auto"/>
        <w:jc w:val="both"/>
        <w:rPr>
          <w:rFonts w:ascii="Palatino Linotype" w:hAnsi="Palatino Linotype" w:cs="Tahoma"/>
          <w:sz w:val="22"/>
          <w:szCs w:val="24"/>
        </w:rPr>
      </w:pPr>
      <w:r w:rsidRPr="002244FC">
        <w:rPr>
          <w:rFonts w:ascii="Palatino Linotype" w:hAnsi="Palatino Linotype" w:cs="Tahoma"/>
          <w:b/>
          <w:sz w:val="22"/>
          <w:szCs w:val="22"/>
        </w:rPr>
        <w:t xml:space="preserve">e) </w:t>
      </w:r>
      <w:r w:rsidRPr="002244FC">
        <w:rPr>
          <w:rFonts w:ascii="Palatino Linotype" w:hAnsi="Palatino Linotype" w:cs="Tahoma"/>
          <w:b/>
          <w:bCs/>
          <w:sz w:val="22"/>
          <w:szCs w:val="24"/>
        </w:rPr>
        <w:t xml:space="preserve">Ampliación del plazo para resolver: </w:t>
      </w:r>
      <w:r w:rsidRPr="002244FC">
        <w:rPr>
          <w:rFonts w:ascii="Palatino Linotype" w:hAnsi="Palatino Linotype" w:cs="Tahoma"/>
          <w:sz w:val="22"/>
          <w:szCs w:val="24"/>
        </w:rPr>
        <w:t>El ocho de mayo de dos mil veintitrés, el Comisionado Ponente, con fundamento en lo dispuesto por el artículo 181, párrafo tercero, de la Ley de Transparencia y Acceso a la Información Pública del Estado de México y Municipios, acordó ampliar el plazo para resolver el Recurso de Revisión que nos ocupa; acto que fue notificado a las partes, mediante el Sistema de Acceso a la Información Mexiquense (SAIMEX).</w:t>
      </w:r>
    </w:p>
    <w:p w14:paraId="31E5E5B4" w14:textId="77777777" w:rsidR="00247EAA" w:rsidRPr="002244FC" w:rsidRDefault="00247EAA" w:rsidP="00247EAA">
      <w:pPr>
        <w:widowControl w:val="0"/>
        <w:spacing w:line="360" w:lineRule="auto"/>
        <w:jc w:val="both"/>
        <w:rPr>
          <w:rFonts w:ascii="Palatino Linotype" w:hAnsi="Palatino Linotype" w:cs="Tahoma"/>
          <w:sz w:val="16"/>
          <w:szCs w:val="22"/>
        </w:rPr>
      </w:pPr>
    </w:p>
    <w:p w14:paraId="5BA9E8A8"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04F4CB3"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1D3E3670"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6BB1E22"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037FE814"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CF70621"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0BB3090B"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E6E916F"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22CE3022"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Por ello, excepcionalmente, si un asunto es resuelto con posterioridad a los plazos señalados por la norma debe analizarse la razonabilidad del tiempo necesario para su resolución, atentos a los siguientes criterios:  </w:t>
      </w:r>
    </w:p>
    <w:p w14:paraId="5B1955E7"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760158AE"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a) Complejidad del asunto: La complejidad de la prueba, la pluralidad de sujetos procesales, el tiempo transcurrido, las características y contexto del recurso.</w:t>
      </w:r>
    </w:p>
    <w:p w14:paraId="2CB3FC47"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b) Actividad Procesal del interesado: Acciones u omisiones del interesado.</w:t>
      </w:r>
    </w:p>
    <w:p w14:paraId="0FE20D62"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c) Conducta de la Autoridad: Las Acciones u omisiones realizadas en el procedimiento. Así como si la autoridad actuó con la debida diligencia.</w:t>
      </w:r>
    </w:p>
    <w:p w14:paraId="6E28170E"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d) La afectación generada en la situación jurídica de la persona involucrada en el proceso: Violación a sus derechos humanos.</w:t>
      </w:r>
    </w:p>
    <w:p w14:paraId="1309659B"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6A8BA5FA"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6B4A48"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510D5331"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073D70FF"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 </w:t>
      </w:r>
    </w:p>
    <w:p w14:paraId="5B249338"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530A81B"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56ADE8B4"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Al respecto, también son de considerar los criterios sostenidos por el Cuarto Tribunal Colegiado en Materia Administrativa del Primer Circuito, cuyos rubros y datos de identificación son los siguientes:</w:t>
      </w:r>
    </w:p>
    <w:p w14:paraId="68C51383"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6B8A656C"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“PLAZO RAZONABLE PARA RESOLVER. DIMENSIÓN Y EFECTOS DE ESTE CONCEPTO CUANDO SE ADUCE EXCESIVA CARGA DE TRABAJO.” consultable en el Seminario Judicial de la Federación y su gaceta, con el registro digital 2002351.</w:t>
      </w:r>
    </w:p>
    <w:p w14:paraId="3761E276"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41399705"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 xml:space="preserve">“PLAZO RAZONABLE PARA RESOLVER. CONCEPTO Y ELEMENTOS QUE LO INTEGRAN A LA LUZ DEL DERECHO INTERNACIONAL DE LOS DERECHOS </w:t>
      </w:r>
      <w:r w:rsidRPr="002244FC">
        <w:rPr>
          <w:rFonts w:ascii="Palatino Linotype" w:eastAsia="Batang" w:hAnsi="Palatino Linotype" w:cs="Tahoma"/>
          <w:bCs/>
          <w:sz w:val="22"/>
          <w:szCs w:val="22"/>
          <w:lang w:val="es-ES_tradnl"/>
        </w:rPr>
        <w:lastRenderedPageBreak/>
        <w:t>HUMANOS.”, visible en el Seminario Judicial de la Federación y su gaceta, con el registro digital 2002350.</w:t>
      </w:r>
    </w:p>
    <w:p w14:paraId="59635F99"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p>
    <w:p w14:paraId="5457670B" w14:textId="77777777" w:rsidR="00247EAA" w:rsidRPr="002244FC" w:rsidRDefault="00247EAA" w:rsidP="00247EAA">
      <w:pPr>
        <w:spacing w:line="360" w:lineRule="auto"/>
        <w:jc w:val="both"/>
        <w:rPr>
          <w:rFonts w:ascii="Palatino Linotype" w:eastAsia="Batang" w:hAnsi="Palatino Linotype" w:cs="Tahoma"/>
          <w:bCs/>
          <w:sz w:val="22"/>
          <w:szCs w:val="22"/>
          <w:lang w:val="es-ES_tradnl"/>
        </w:rPr>
      </w:pPr>
      <w:r w:rsidRPr="002244FC">
        <w:rPr>
          <w:rFonts w:ascii="Palatino Linotype" w:eastAsia="Batang" w:hAnsi="Palatino Linotype" w:cs="Tahoma"/>
          <w:bCs/>
          <w:sz w:val="22"/>
          <w:szCs w:val="22"/>
          <w:lang w:val="es-ES_tradnl"/>
        </w:rPr>
        <w:t>Por ello, este organismo garante comprometido con la tutela de los derechos humanos confiados, señala que este exceso del plazo legal para resolver el presente asunto, resulta de carácter excepcional.</w:t>
      </w:r>
    </w:p>
    <w:p w14:paraId="3818F181" w14:textId="77777777" w:rsidR="001D1C9C" w:rsidRPr="002244FC" w:rsidRDefault="001D1C9C" w:rsidP="001D1C9C">
      <w:pPr>
        <w:spacing w:line="360" w:lineRule="auto"/>
        <w:jc w:val="both"/>
        <w:rPr>
          <w:rFonts w:ascii="Palatino Linotype" w:hAnsi="Palatino Linotype" w:cs="Tahoma"/>
          <w:sz w:val="22"/>
          <w:szCs w:val="22"/>
        </w:rPr>
      </w:pPr>
    </w:p>
    <w:p w14:paraId="2FF5B9E8" w14:textId="77777777" w:rsidR="00ED5DF5" w:rsidRPr="002244FC" w:rsidRDefault="00247EAA" w:rsidP="00147516">
      <w:pPr>
        <w:spacing w:line="360" w:lineRule="auto"/>
        <w:jc w:val="both"/>
        <w:rPr>
          <w:rFonts w:ascii="Palatino Linotype" w:hAnsi="Palatino Linotype" w:cs="Tahoma"/>
          <w:sz w:val="22"/>
          <w:szCs w:val="22"/>
        </w:rPr>
      </w:pPr>
      <w:r w:rsidRPr="002244FC">
        <w:rPr>
          <w:rFonts w:ascii="Palatino Linotype" w:eastAsia="Batang" w:hAnsi="Palatino Linotype" w:cs="Tahoma"/>
          <w:b/>
          <w:bCs/>
          <w:sz w:val="22"/>
          <w:szCs w:val="22"/>
          <w:lang w:val="es-ES_tradnl"/>
        </w:rPr>
        <w:t>f</w:t>
      </w:r>
      <w:r w:rsidR="00C3485C" w:rsidRPr="002244FC">
        <w:rPr>
          <w:rFonts w:ascii="Palatino Linotype" w:eastAsia="Batang" w:hAnsi="Palatino Linotype" w:cs="Tahoma"/>
          <w:b/>
          <w:bCs/>
          <w:sz w:val="22"/>
          <w:szCs w:val="22"/>
          <w:lang w:val="es-ES_tradnl"/>
        </w:rPr>
        <w:t xml:space="preserve">) </w:t>
      </w:r>
      <w:r w:rsidR="00ED5DF5" w:rsidRPr="002244FC">
        <w:rPr>
          <w:rFonts w:ascii="Palatino Linotype" w:hAnsi="Palatino Linotype" w:cs="Tahoma"/>
          <w:b/>
          <w:bCs/>
          <w:sz w:val="22"/>
          <w:szCs w:val="22"/>
        </w:rPr>
        <w:t xml:space="preserve">Cierre de instrucción. </w:t>
      </w:r>
      <w:r w:rsidR="00ED5DF5" w:rsidRPr="002244FC">
        <w:rPr>
          <w:rFonts w:ascii="Palatino Linotype" w:hAnsi="Palatino Linotype" w:cs="Tahoma"/>
          <w:sz w:val="22"/>
          <w:szCs w:val="22"/>
        </w:rPr>
        <w:t>El</w:t>
      </w:r>
      <w:r w:rsidR="000F437A" w:rsidRPr="002244FC">
        <w:rPr>
          <w:rFonts w:ascii="Palatino Linotype" w:hAnsi="Palatino Linotype" w:cs="Tahoma"/>
          <w:sz w:val="22"/>
          <w:szCs w:val="22"/>
        </w:rPr>
        <w:t xml:space="preserve"> </w:t>
      </w:r>
      <w:r w:rsidRPr="002244FC">
        <w:rPr>
          <w:rFonts w:ascii="Palatino Linotype" w:hAnsi="Palatino Linotype" w:cs="Tahoma"/>
          <w:sz w:val="22"/>
          <w:szCs w:val="22"/>
        </w:rPr>
        <w:t xml:space="preserve">doce de mayo </w:t>
      </w:r>
      <w:r w:rsidR="00E95147" w:rsidRPr="002244FC">
        <w:rPr>
          <w:rFonts w:ascii="Palatino Linotype" w:hAnsi="Palatino Linotype" w:cs="Tahoma"/>
          <w:sz w:val="22"/>
          <w:szCs w:val="22"/>
        </w:rPr>
        <w:t>de dos mil veintitrés</w:t>
      </w:r>
      <w:r w:rsidR="00ED5DF5" w:rsidRPr="002244F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w:t>
      </w:r>
      <w:r w:rsidR="000F437A" w:rsidRPr="002244FC">
        <w:rPr>
          <w:rFonts w:ascii="Palatino Linotype" w:hAnsi="Palatino Linotype" w:cs="Tahoma"/>
          <w:sz w:val="22"/>
          <w:szCs w:val="22"/>
        </w:rPr>
        <w:t>el mismo día</w:t>
      </w:r>
      <w:r w:rsidR="00ED5DF5" w:rsidRPr="002244FC">
        <w:rPr>
          <w:rFonts w:ascii="Palatino Linotype" w:hAnsi="Palatino Linotype" w:cs="Tahoma"/>
          <w:sz w:val="22"/>
          <w:szCs w:val="22"/>
        </w:rPr>
        <w:t xml:space="preserve">, a través del </w:t>
      </w:r>
      <w:r w:rsidR="00ED5DF5" w:rsidRPr="002244FC">
        <w:rPr>
          <w:rFonts w:ascii="Palatino Linotype" w:hAnsi="Palatino Linotype" w:cs="Tahoma"/>
          <w:sz w:val="22"/>
          <w:szCs w:val="22"/>
          <w:lang w:val="es-ES"/>
        </w:rPr>
        <w:t>Sistema de Acceso a la Información Mexiquense (SAIMEX)</w:t>
      </w:r>
      <w:r w:rsidR="00ED5DF5" w:rsidRPr="002244FC">
        <w:rPr>
          <w:rFonts w:ascii="Palatino Linotype" w:hAnsi="Palatino Linotype" w:cs="Tahoma"/>
          <w:sz w:val="22"/>
          <w:szCs w:val="22"/>
        </w:rPr>
        <w:t>.</w:t>
      </w:r>
    </w:p>
    <w:p w14:paraId="00E9BD2C" w14:textId="77777777" w:rsidR="00CE5228" w:rsidRPr="002244FC" w:rsidRDefault="00CE5228" w:rsidP="00147516">
      <w:pPr>
        <w:spacing w:line="360" w:lineRule="auto"/>
        <w:contextualSpacing/>
        <w:jc w:val="both"/>
        <w:rPr>
          <w:rFonts w:ascii="Palatino Linotype" w:hAnsi="Palatino Linotype" w:cs="Tahoma"/>
          <w:color w:val="000000"/>
          <w:sz w:val="22"/>
          <w:szCs w:val="22"/>
        </w:rPr>
      </w:pPr>
    </w:p>
    <w:p w14:paraId="220AE3D4" w14:textId="77777777" w:rsidR="004F2D88" w:rsidRPr="002244FC" w:rsidRDefault="004F2D88" w:rsidP="00147516">
      <w:pPr>
        <w:spacing w:line="360" w:lineRule="auto"/>
        <w:contextualSpacing/>
        <w:jc w:val="both"/>
        <w:rPr>
          <w:rFonts w:ascii="Palatino Linotype" w:hAnsi="Palatino Linotype" w:cs="Tahoma"/>
          <w:color w:val="000000"/>
          <w:sz w:val="22"/>
          <w:szCs w:val="22"/>
        </w:rPr>
      </w:pPr>
      <w:r w:rsidRPr="002244FC">
        <w:rPr>
          <w:rFonts w:ascii="Palatino Linotype" w:hAnsi="Palatino Linotype" w:cs="Tahoma"/>
          <w:color w:val="000000"/>
          <w:sz w:val="22"/>
          <w:szCs w:val="22"/>
        </w:rPr>
        <w:t xml:space="preserve">En </w:t>
      </w:r>
      <w:r w:rsidR="00367F82" w:rsidRPr="002244FC">
        <w:rPr>
          <w:rFonts w:ascii="Palatino Linotype" w:hAnsi="Palatino Linotype" w:cs="Tahoma"/>
          <w:color w:val="000000"/>
          <w:sz w:val="22"/>
          <w:szCs w:val="22"/>
        </w:rPr>
        <w:t>razón de que fue debidamente su</w:t>
      </w:r>
      <w:r w:rsidRPr="002244FC">
        <w:rPr>
          <w:rFonts w:ascii="Palatino Linotype" w:hAnsi="Palatino Linotype" w:cs="Tahoma"/>
          <w:color w:val="000000"/>
          <w:sz w:val="22"/>
          <w:szCs w:val="22"/>
        </w:rPr>
        <w:t xml:space="preserve">stanciado el expediente </w:t>
      </w:r>
      <w:r w:rsidR="00367F82" w:rsidRPr="002244FC">
        <w:rPr>
          <w:rFonts w:ascii="Palatino Linotype" w:hAnsi="Palatino Linotype" w:cs="Tahoma"/>
          <w:color w:val="000000"/>
          <w:sz w:val="22"/>
          <w:szCs w:val="22"/>
        </w:rPr>
        <w:t xml:space="preserve">electrónico </w:t>
      </w:r>
      <w:r w:rsidRPr="002244FC">
        <w:rPr>
          <w:rFonts w:ascii="Palatino Linotype" w:hAnsi="Palatino Linotype" w:cs="Tahoma"/>
          <w:color w:val="000000"/>
          <w:sz w:val="22"/>
          <w:szCs w:val="22"/>
        </w:rPr>
        <w:t>y no exist</w:t>
      </w:r>
      <w:r w:rsidR="00367F82" w:rsidRPr="002244FC">
        <w:rPr>
          <w:rFonts w:ascii="Palatino Linotype" w:hAnsi="Palatino Linotype" w:cs="Tahoma"/>
          <w:color w:val="000000"/>
          <w:sz w:val="22"/>
          <w:szCs w:val="22"/>
        </w:rPr>
        <w:t>e</w:t>
      </w:r>
      <w:r w:rsidRPr="002244FC">
        <w:rPr>
          <w:rFonts w:ascii="Palatino Linotype" w:hAnsi="Palatino Linotype" w:cs="Tahoma"/>
          <w:color w:val="000000"/>
          <w:sz w:val="22"/>
          <w:szCs w:val="22"/>
        </w:rPr>
        <w:t xml:space="preserve"> dilige</w:t>
      </w:r>
      <w:r w:rsidR="00367F82" w:rsidRPr="002244FC">
        <w:rPr>
          <w:rFonts w:ascii="Palatino Linotype" w:hAnsi="Palatino Linotype" w:cs="Tahoma"/>
          <w:color w:val="000000"/>
          <w:sz w:val="22"/>
          <w:szCs w:val="22"/>
        </w:rPr>
        <w:t xml:space="preserve">ncia pendiente de desahogo, se </w:t>
      </w:r>
      <w:r w:rsidRPr="002244FC">
        <w:rPr>
          <w:rFonts w:ascii="Palatino Linotype" w:hAnsi="Palatino Linotype" w:cs="Tahoma"/>
          <w:color w:val="000000"/>
          <w:sz w:val="22"/>
          <w:szCs w:val="22"/>
        </w:rPr>
        <w:t>emit</w:t>
      </w:r>
      <w:r w:rsidR="00367F82" w:rsidRPr="002244FC">
        <w:rPr>
          <w:rFonts w:ascii="Palatino Linotype" w:hAnsi="Palatino Linotype" w:cs="Tahoma"/>
          <w:color w:val="000000"/>
          <w:sz w:val="22"/>
          <w:szCs w:val="22"/>
        </w:rPr>
        <w:t>e</w:t>
      </w:r>
      <w:r w:rsidRPr="002244FC">
        <w:rPr>
          <w:rFonts w:ascii="Palatino Linotype" w:hAnsi="Palatino Linotype" w:cs="Tahoma"/>
          <w:color w:val="000000"/>
          <w:sz w:val="22"/>
          <w:szCs w:val="22"/>
        </w:rPr>
        <w:t xml:space="preserve"> la resolución que conforme a Derecho proceda, de acuerdo a l</w:t>
      </w:r>
      <w:r w:rsidR="009A620E" w:rsidRPr="002244FC">
        <w:rPr>
          <w:rFonts w:ascii="Palatino Linotype" w:hAnsi="Palatino Linotype" w:cs="Tahoma"/>
          <w:color w:val="000000"/>
          <w:sz w:val="22"/>
          <w:szCs w:val="22"/>
        </w:rPr>
        <w:t>o</w:t>
      </w:r>
      <w:r w:rsidRPr="002244FC">
        <w:rPr>
          <w:rFonts w:ascii="Palatino Linotype" w:hAnsi="Palatino Linotype" w:cs="Tahoma"/>
          <w:color w:val="000000"/>
          <w:sz w:val="22"/>
          <w:szCs w:val="22"/>
        </w:rPr>
        <w:t xml:space="preserve">s siguientes: </w:t>
      </w:r>
    </w:p>
    <w:p w14:paraId="16D30141" w14:textId="77777777" w:rsidR="001C0C73" w:rsidRPr="002244FC" w:rsidRDefault="001C0C73" w:rsidP="00147516">
      <w:pPr>
        <w:spacing w:line="360" w:lineRule="auto"/>
        <w:contextualSpacing/>
        <w:jc w:val="both"/>
        <w:rPr>
          <w:rFonts w:ascii="Palatino Linotype" w:hAnsi="Palatino Linotype" w:cs="Tahoma"/>
          <w:color w:val="000000"/>
          <w:sz w:val="10"/>
          <w:szCs w:val="10"/>
        </w:rPr>
      </w:pPr>
    </w:p>
    <w:p w14:paraId="37E3D34C" w14:textId="77777777" w:rsidR="00EA4E4A" w:rsidRPr="002244FC" w:rsidRDefault="00EA4E4A" w:rsidP="00147516">
      <w:pPr>
        <w:spacing w:line="360" w:lineRule="auto"/>
        <w:contextualSpacing/>
        <w:jc w:val="center"/>
        <w:rPr>
          <w:rFonts w:ascii="Palatino Linotype" w:hAnsi="Palatino Linotype" w:cs="Tahoma"/>
          <w:b/>
          <w:sz w:val="22"/>
          <w:szCs w:val="22"/>
        </w:rPr>
      </w:pPr>
      <w:r w:rsidRPr="002244FC">
        <w:rPr>
          <w:rFonts w:ascii="Palatino Linotype" w:hAnsi="Palatino Linotype" w:cs="Tahoma"/>
          <w:b/>
          <w:sz w:val="22"/>
          <w:szCs w:val="22"/>
        </w:rPr>
        <w:t>C O N S I D E R A N D O S</w:t>
      </w:r>
    </w:p>
    <w:p w14:paraId="3A2DE10A" w14:textId="77777777" w:rsidR="00EA4E4A" w:rsidRPr="002244FC" w:rsidRDefault="00EA4E4A" w:rsidP="00147516">
      <w:pPr>
        <w:spacing w:line="360" w:lineRule="auto"/>
        <w:contextualSpacing/>
        <w:jc w:val="center"/>
        <w:rPr>
          <w:rFonts w:ascii="Palatino Linotype" w:hAnsi="Palatino Linotype" w:cs="Tahoma"/>
          <w:b/>
          <w:sz w:val="22"/>
          <w:szCs w:val="22"/>
        </w:rPr>
      </w:pPr>
    </w:p>
    <w:p w14:paraId="0D1F174D" w14:textId="77777777" w:rsidR="00EA4E4A" w:rsidRPr="002244FC" w:rsidRDefault="00EA4E4A" w:rsidP="00147516">
      <w:pPr>
        <w:autoSpaceDE w:val="0"/>
        <w:autoSpaceDN w:val="0"/>
        <w:adjustRightInd w:val="0"/>
        <w:spacing w:line="360" w:lineRule="auto"/>
        <w:contextualSpacing/>
        <w:jc w:val="both"/>
        <w:rPr>
          <w:rFonts w:ascii="Palatino Linotype" w:hAnsi="Palatino Linotype" w:cs="Tahoma"/>
          <w:b/>
          <w:sz w:val="22"/>
          <w:szCs w:val="22"/>
        </w:rPr>
      </w:pPr>
      <w:r w:rsidRPr="002244FC">
        <w:rPr>
          <w:rFonts w:ascii="Palatino Linotype" w:eastAsia="Calibri" w:hAnsi="Palatino Linotype" w:cs="Tahoma"/>
          <w:b/>
          <w:color w:val="000000"/>
          <w:sz w:val="22"/>
          <w:szCs w:val="22"/>
          <w:lang w:eastAsia="es-MX"/>
        </w:rPr>
        <w:t>PRIMERO</w:t>
      </w:r>
      <w:r w:rsidRPr="002244FC">
        <w:rPr>
          <w:rFonts w:ascii="Palatino Linotype" w:eastAsia="Calibri" w:hAnsi="Palatino Linotype" w:cs="Tahoma"/>
          <w:color w:val="000000"/>
          <w:sz w:val="22"/>
          <w:szCs w:val="22"/>
          <w:lang w:eastAsia="es-MX"/>
        </w:rPr>
        <w:t xml:space="preserve">. </w:t>
      </w:r>
      <w:r w:rsidRPr="002244FC">
        <w:rPr>
          <w:rFonts w:ascii="Palatino Linotype" w:hAnsi="Palatino Linotype" w:cs="Tahoma"/>
          <w:b/>
          <w:sz w:val="22"/>
          <w:szCs w:val="22"/>
        </w:rPr>
        <w:t>Competencia.</w:t>
      </w:r>
    </w:p>
    <w:p w14:paraId="7CCD9034" w14:textId="77777777" w:rsidR="00EA4E4A" w:rsidRPr="002244FC" w:rsidRDefault="00EA4E4A" w:rsidP="00147516">
      <w:pPr>
        <w:autoSpaceDE w:val="0"/>
        <w:autoSpaceDN w:val="0"/>
        <w:adjustRightInd w:val="0"/>
        <w:spacing w:line="360" w:lineRule="auto"/>
        <w:contextualSpacing/>
        <w:jc w:val="both"/>
        <w:rPr>
          <w:rFonts w:ascii="Palatino Linotype" w:hAnsi="Palatino Linotype" w:cs="Tahoma"/>
          <w:b/>
          <w:sz w:val="22"/>
          <w:szCs w:val="22"/>
        </w:rPr>
      </w:pPr>
    </w:p>
    <w:p w14:paraId="752213AC" w14:textId="77777777" w:rsidR="00CE0B4C" w:rsidRPr="002244FC" w:rsidRDefault="00CE0B4C" w:rsidP="00147516">
      <w:pPr>
        <w:spacing w:line="360" w:lineRule="auto"/>
        <w:jc w:val="both"/>
        <w:rPr>
          <w:rFonts w:ascii="Palatino Linotype" w:hAnsi="Palatino Linotype" w:cs="Tahoma"/>
          <w:sz w:val="22"/>
          <w:szCs w:val="22"/>
          <w:shd w:val="clear" w:color="auto" w:fill="FFFFFF"/>
        </w:rPr>
      </w:pPr>
      <w:r w:rsidRPr="002244FC">
        <w:rPr>
          <w:rFonts w:ascii="Palatino Linotype" w:eastAsia="Calibri" w:hAnsi="Palatino Linotype" w:cs="Tahoma"/>
          <w:color w:val="000000"/>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w:t>
      </w:r>
      <w:r w:rsidRPr="002244FC">
        <w:rPr>
          <w:rFonts w:ascii="Palatino Linotype" w:eastAsia="Calibri" w:hAnsi="Palatino Linotype" w:cs="Tahoma"/>
          <w:color w:val="000000"/>
          <w:sz w:val="22"/>
          <w:szCs w:val="22"/>
          <w:lang w:eastAsia="es-MX"/>
        </w:rPr>
        <w:lastRenderedPageBreak/>
        <w:t>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244FC">
        <w:rPr>
          <w:rFonts w:ascii="Palatino Linotype" w:eastAsia="Calibri" w:hAnsi="Palatino Linotype"/>
          <w:color w:val="000000"/>
          <w:lang w:eastAsia="es-MX"/>
        </w:rPr>
        <w:t xml:space="preserve"> 7°, </w:t>
      </w:r>
      <w:r w:rsidRPr="002244FC">
        <w:rPr>
          <w:rFonts w:ascii="Palatino Linotype" w:eastAsia="Calibri" w:hAnsi="Palatino Linotype" w:cs="Tahoma"/>
          <w:color w:val="000000"/>
          <w:sz w:val="22"/>
          <w:szCs w:val="22"/>
          <w:lang w:eastAsia="es-MX"/>
        </w:rPr>
        <w:t>9°, fracciones I y XXIV y 11 del Reglamento Interior del Instituto de Transparencia, Acceso a la Información</w:t>
      </w:r>
      <w:r w:rsidRPr="002244FC">
        <w:rPr>
          <w:rFonts w:ascii="Palatino Linotype" w:hAnsi="Palatino Linotype" w:cs="Tahoma"/>
          <w:sz w:val="22"/>
          <w:szCs w:val="22"/>
          <w:shd w:val="clear" w:color="auto" w:fill="FFFFFF"/>
        </w:rPr>
        <w:t xml:space="preserve"> Pública y Protección de Datos Personales del Estado de México y Municipios.</w:t>
      </w:r>
    </w:p>
    <w:p w14:paraId="3759A632" w14:textId="77777777" w:rsidR="00EA4E4A" w:rsidRPr="002244FC" w:rsidRDefault="00EA4E4A" w:rsidP="00147516">
      <w:pPr>
        <w:spacing w:line="360" w:lineRule="auto"/>
        <w:contextualSpacing/>
        <w:jc w:val="both"/>
        <w:rPr>
          <w:rFonts w:ascii="Palatino Linotype" w:hAnsi="Palatino Linotype" w:cs="Tahoma"/>
          <w:sz w:val="22"/>
          <w:szCs w:val="22"/>
          <w:shd w:val="clear" w:color="auto" w:fill="FFFFFF"/>
        </w:rPr>
      </w:pPr>
    </w:p>
    <w:p w14:paraId="0549979F" w14:textId="77777777" w:rsidR="00CE0B4C" w:rsidRPr="002244FC"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244FC">
        <w:rPr>
          <w:rFonts w:ascii="Palatino Linotype" w:eastAsia="Calibri" w:hAnsi="Palatino Linotype" w:cs="Tahoma"/>
          <w:b/>
          <w:color w:val="000000"/>
          <w:sz w:val="22"/>
          <w:szCs w:val="22"/>
          <w:lang w:eastAsia="es-MX"/>
        </w:rPr>
        <w:t>SEGUNDO</w:t>
      </w:r>
      <w:r w:rsidRPr="002244FC">
        <w:rPr>
          <w:rFonts w:ascii="Palatino Linotype" w:eastAsia="Calibri" w:hAnsi="Palatino Linotype" w:cs="Tahoma"/>
          <w:color w:val="000000"/>
          <w:sz w:val="22"/>
          <w:szCs w:val="22"/>
          <w:lang w:eastAsia="es-MX"/>
        </w:rPr>
        <w:t xml:space="preserve">. </w:t>
      </w:r>
      <w:r w:rsidRPr="002244FC">
        <w:rPr>
          <w:rFonts w:ascii="Palatino Linotype" w:eastAsia="Calibri" w:hAnsi="Palatino Linotype" w:cs="Tahoma"/>
          <w:b/>
          <w:color w:val="000000"/>
          <w:sz w:val="22"/>
          <w:szCs w:val="22"/>
          <w:lang w:eastAsia="es-MX"/>
        </w:rPr>
        <w:t>Causales de improcedencia y sobreseimiento.</w:t>
      </w:r>
      <w:r w:rsidRPr="002244FC">
        <w:rPr>
          <w:rFonts w:ascii="Palatino Linotype" w:eastAsia="Calibri" w:hAnsi="Palatino Linotype" w:cs="Tahoma"/>
          <w:color w:val="000000"/>
          <w:sz w:val="22"/>
          <w:szCs w:val="22"/>
          <w:lang w:eastAsia="es-MX"/>
        </w:rPr>
        <w:t xml:space="preserve"> </w:t>
      </w:r>
    </w:p>
    <w:p w14:paraId="734A5EDD" w14:textId="77777777" w:rsidR="00566562" w:rsidRPr="002244FC" w:rsidRDefault="00566562"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072635A8" w14:textId="77777777" w:rsidR="00CE0B4C" w:rsidRPr="002244FC"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244FC">
        <w:rPr>
          <w:rFonts w:ascii="Palatino Linotype" w:eastAsia="Calibri" w:hAnsi="Palatino Linotype" w:cs="Tahoma"/>
          <w:color w:val="000000"/>
          <w:sz w:val="22"/>
          <w:szCs w:val="22"/>
          <w:lang w:eastAsia="es-MX"/>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FE51AC3" w14:textId="77777777" w:rsidR="00CE0B4C" w:rsidRPr="002244FC"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73409589" w14:textId="77777777" w:rsidR="00CE0B4C" w:rsidRPr="002244FC" w:rsidRDefault="00CE0B4C" w:rsidP="00147516">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2244FC">
        <w:rPr>
          <w:rFonts w:ascii="Palatino Linotype" w:eastAsia="Calibri" w:hAnsi="Palatino Linotype" w:cs="Tahoma"/>
          <w:color w:val="000000"/>
          <w:sz w:val="22"/>
          <w:szCs w:val="22"/>
          <w:lang w:eastAsia="es-MX"/>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0FB59BCA" w14:textId="77777777" w:rsidR="00CE0B4C" w:rsidRPr="002244FC" w:rsidRDefault="00CE0B4C" w:rsidP="00147516">
      <w:pPr>
        <w:spacing w:line="360" w:lineRule="auto"/>
        <w:jc w:val="both"/>
        <w:rPr>
          <w:rFonts w:ascii="Palatino Linotype" w:eastAsia="Calibri" w:hAnsi="Palatino Linotype" w:cs="Tahoma"/>
          <w:b/>
          <w:sz w:val="22"/>
          <w:szCs w:val="22"/>
          <w:lang w:eastAsia="es-ES_tradnl"/>
        </w:rPr>
      </w:pPr>
    </w:p>
    <w:p w14:paraId="452640F7" w14:textId="77777777" w:rsidR="00CE0B4C" w:rsidRPr="002244FC" w:rsidRDefault="00CE0B4C" w:rsidP="00147516">
      <w:pPr>
        <w:spacing w:line="360" w:lineRule="auto"/>
        <w:jc w:val="both"/>
        <w:rPr>
          <w:rFonts w:ascii="Palatino Linotype" w:eastAsia="Calibri" w:hAnsi="Palatino Linotype" w:cs="Tahoma"/>
          <w:b/>
          <w:sz w:val="22"/>
          <w:szCs w:val="22"/>
          <w:lang w:eastAsia="es-ES_tradnl"/>
        </w:rPr>
      </w:pPr>
      <w:r w:rsidRPr="002244FC">
        <w:rPr>
          <w:rFonts w:ascii="Palatino Linotype" w:eastAsia="Calibri" w:hAnsi="Palatino Linotype" w:cs="Tahoma"/>
          <w:b/>
          <w:sz w:val="22"/>
          <w:szCs w:val="22"/>
          <w:lang w:eastAsia="es-ES_tradnl"/>
        </w:rPr>
        <w:lastRenderedPageBreak/>
        <w:t>Causales de sobreseimiento.</w:t>
      </w:r>
    </w:p>
    <w:p w14:paraId="6797207D" w14:textId="77777777" w:rsidR="00CE0B4C" w:rsidRPr="002244FC" w:rsidRDefault="00CE0B4C" w:rsidP="00147516">
      <w:pPr>
        <w:spacing w:line="360" w:lineRule="auto"/>
        <w:jc w:val="both"/>
        <w:rPr>
          <w:rFonts w:ascii="Palatino Linotype" w:eastAsia="Calibri" w:hAnsi="Palatino Linotype" w:cs="Tahoma"/>
          <w:sz w:val="22"/>
          <w:szCs w:val="22"/>
          <w:lang w:eastAsia="es-ES_tradnl"/>
        </w:rPr>
      </w:pPr>
    </w:p>
    <w:p w14:paraId="2BC656AB" w14:textId="77777777" w:rsidR="00CE0B4C" w:rsidRPr="002244FC" w:rsidRDefault="00CE0B4C" w:rsidP="00147516">
      <w:pPr>
        <w:spacing w:line="360" w:lineRule="auto"/>
        <w:jc w:val="both"/>
        <w:rPr>
          <w:rFonts w:ascii="Palatino Linotype" w:eastAsia="Calibri" w:hAnsi="Palatino Linotype" w:cs="Tahoma"/>
          <w:sz w:val="22"/>
          <w:szCs w:val="22"/>
          <w:lang w:eastAsia="es-ES_tradnl"/>
        </w:rPr>
      </w:pPr>
      <w:r w:rsidRPr="002244FC">
        <w:rPr>
          <w:rFonts w:ascii="Palatino Linotype" w:eastAsia="Calibri" w:hAnsi="Palatino Linotype" w:cs="Tahoma"/>
          <w:sz w:val="22"/>
          <w:szCs w:val="22"/>
          <w:lang w:eastAsia="es-ES_tradnl"/>
        </w:rPr>
        <w:t>Por lo que hace a las causales de sobreseimiento, del análisis realizado por este Instituto, se advierte que</w:t>
      </w:r>
      <w:r w:rsidRPr="002244FC">
        <w:rPr>
          <w:rFonts w:ascii="Palatino Linotype" w:eastAsia="Calibri" w:hAnsi="Palatino Linotype" w:cs="Tahoma"/>
          <w:b/>
          <w:sz w:val="22"/>
          <w:szCs w:val="22"/>
          <w:lang w:eastAsia="es-ES_tradnl"/>
        </w:rPr>
        <w:t xml:space="preserve"> no se actualiza ninguna de las previstas por el artículo 192 de la Ley de Transparencia y Acceso a la Información Pública del Estado de México y Municipios; </w:t>
      </w:r>
      <w:r w:rsidRPr="002244FC">
        <w:rPr>
          <w:rFonts w:ascii="Palatino Linotype" w:hAnsi="Palatino Linotype" w:cs="Tahoma"/>
          <w:sz w:val="22"/>
          <w:szCs w:val="22"/>
        </w:rPr>
        <w:t xml:space="preserve">lo anterior, en virtud de que no existe constancia en el expediente en que se actúa, de que la recurrente se hubiera desistido del recurso, hubiera fallecido, que sobreviniera alguna causal de improcedencia, que el Sujeto Obligado hubiese modificado o revocado el acto impugnado, o bien que el recurso de revisión hubiera quedado sin materia. </w:t>
      </w:r>
      <w:r w:rsidRPr="002244FC">
        <w:rPr>
          <w:rFonts w:ascii="Palatino Linotype" w:eastAsia="Calibri" w:hAnsi="Palatino Linotype" w:cs="Tahoma"/>
          <w:bCs/>
          <w:sz w:val="22"/>
          <w:szCs w:val="22"/>
          <w:lang w:eastAsia="es-ES_tradnl"/>
        </w:rPr>
        <w:t xml:space="preserve">Por tales motivos, </w:t>
      </w:r>
      <w:r w:rsidRPr="002244FC">
        <w:rPr>
          <w:rFonts w:ascii="Palatino Linotype" w:eastAsia="Calibri" w:hAnsi="Palatino Linotype" w:cs="Tahoma"/>
          <w:sz w:val="22"/>
          <w:szCs w:val="22"/>
          <w:lang w:eastAsia="es-ES_tradnl"/>
        </w:rPr>
        <w:t xml:space="preserve">se considera procedente entrar al fondo del presente asunto. </w:t>
      </w:r>
    </w:p>
    <w:p w14:paraId="72F7B03D" w14:textId="77777777" w:rsidR="00566562" w:rsidRPr="002244FC" w:rsidRDefault="00566562" w:rsidP="00147516">
      <w:pPr>
        <w:spacing w:line="360" w:lineRule="auto"/>
        <w:jc w:val="both"/>
        <w:rPr>
          <w:rFonts w:ascii="Palatino Linotype" w:eastAsia="Calibri" w:hAnsi="Palatino Linotype" w:cs="Tahoma"/>
          <w:sz w:val="22"/>
          <w:szCs w:val="22"/>
          <w:lang w:eastAsia="es-ES_tradnl"/>
        </w:rPr>
      </w:pPr>
    </w:p>
    <w:p w14:paraId="2331175D" w14:textId="77777777" w:rsidR="00CE0B4C" w:rsidRPr="002244FC"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r w:rsidRPr="002244FC">
        <w:rPr>
          <w:rFonts w:ascii="Palatino Linotype" w:eastAsia="Calibri" w:hAnsi="Palatino Linotype" w:cs="Tahoma"/>
          <w:b/>
          <w:iCs/>
          <w:sz w:val="22"/>
          <w:szCs w:val="22"/>
          <w:lang w:val="es-ES" w:eastAsia="es-ES_tradnl"/>
        </w:rPr>
        <w:t xml:space="preserve">TERCERO. Determinación de la Controversia. </w:t>
      </w:r>
    </w:p>
    <w:p w14:paraId="2D5A005C" w14:textId="77777777" w:rsidR="00CE0B4C" w:rsidRPr="002244FC"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70CC9E63" w14:textId="77777777" w:rsidR="00344569" w:rsidRPr="002244FC" w:rsidRDefault="00CE0B4C" w:rsidP="002A21FD">
      <w:pPr>
        <w:tabs>
          <w:tab w:val="left" w:pos="4962"/>
        </w:tabs>
        <w:spacing w:line="360" w:lineRule="auto"/>
        <w:jc w:val="both"/>
        <w:rPr>
          <w:rFonts w:ascii="Palatino Linotype" w:eastAsia="Calibri" w:hAnsi="Palatino Linotype" w:cs="Tahoma"/>
          <w:iCs/>
          <w:szCs w:val="22"/>
          <w:lang w:val="es-ES" w:eastAsia="es-ES_tradnl"/>
        </w:rPr>
      </w:pPr>
      <w:r w:rsidRPr="002244FC">
        <w:rPr>
          <w:rFonts w:ascii="Palatino Linotype" w:eastAsia="Calibri" w:hAnsi="Palatino Linotype" w:cs="Tahoma"/>
          <w:iCs/>
          <w:sz w:val="22"/>
          <w:szCs w:val="22"/>
          <w:lang w:val="es-ES" w:eastAsia="es-ES_tradnl"/>
        </w:rPr>
        <w:t xml:space="preserve">Una vez realizado el estudio de las constancias que integran el expediente en que se actúa, se desprende que el </w:t>
      </w:r>
      <w:r w:rsidR="00F805F6" w:rsidRPr="002244FC">
        <w:rPr>
          <w:rFonts w:ascii="Palatino Linotype" w:eastAsia="Calibri" w:hAnsi="Palatino Linotype" w:cs="Tahoma"/>
          <w:iCs/>
          <w:sz w:val="22"/>
          <w:szCs w:val="22"/>
          <w:lang w:val="es-ES" w:eastAsia="es-ES_tradnl"/>
        </w:rPr>
        <w:t xml:space="preserve">Particular </w:t>
      </w:r>
      <w:r w:rsidRPr="002244FC">
        <w:rPr>
          <w:rFonts w:ascii="Palatino Linotype" w:eastAsia="Calibri" w:hAnsi="Palatino Linotype" w:cs="Tahoma"/>
          <w:iCs/>
          <w:sz w:val="22"/>
          <w:szCs w:val="22"/>
          <w:lang w:val="es-ES" w:eastAsia="es-ES_tradnl"/>
        </w:rPr>
        <w:t>solicitó a</w:t>
      </w:r>
      <w:r w:rsidR="003576A7" w:rsidRPr="002244FC">
        <w:rPr>
          <w:rFonts w:ascii="Palatino Linotype" w:eastAsia="Calibri" w:hAnsi="Palatino Linotype" w:cs="Tahoma"/>
          <w:iCs/>
          <w:sz w:val="22"/>
          <w:szCs w:val="22"/>
          <w:lang w:val="es-ES" w:eastAsia="es-ES_tradnl"/>
        </w:rPr>
        <w:t xml:space="preserve"> </w:t>
      </w:r>
      <w:r w:rsidR="00005668" w:rsidRPr="002244FC">
        <w:rPr>
          <w:rFonts w:ascii="Palatino Linotype" w:eastAsia="Calibri" w:hAnsi="Palatino Linotype" w:cs="Tahoma"/>
          <w:iCs/>
          <w:sz w:val="22"/>
          <w:szCs w:val="22"/>
          <w:lang w:val="es-ES" w:eastAsia="es-ES_tradnl"/>
        </w:rPr>
        <w:t>l</w:t>
      </w:r>
      <w:r w:rsidR="003576A7" w:rsidRPr="002244FC">
        <w:rPr>
          <w:rFonts w:ascii="Palatino Linotype" w:eastAsia="Calibri" w:hAnsi="Palatino Linotype" w:cs="Tahoma"/>
          <w:iCs/>
          <w:sz w:val="22"/>
          <w:szCs w:val="22"/>
          <w:lang w:val="es-ES" w:eastAsia="es-ES_tradnl"/>
        </w:rPr>
        <w:t>a</w:t>
      </w:r>
      <w:r w:rsidR="00F805F6" w:rsidRPr="002244FC">
        <w:rPr>
          <w:rFonts w:ascii="Palatino Linotype" w:eastAsia="Calibri" w:hAnsi="Palatino Linotype" w:cs="Tahoma"/>
          <w:iCs/>
          <w:sz w:val="22"/>
          <w:szCs w:val="22"/>
          <w:lang w:val="es-ES" w:eastAsia="es-ES_tradnl"/>
        </w:rPr>
        <w:t xml:space="preserve"> </w:t>
      </w:r>
      <w:r w:rsidR="00472D4F" w:rsidRPr="002244FC">
        <w:rPr>
          <w:rFonts w:ascii="Palatino Linotype" w:eastAsia="Calibri" w:hAnsi="Palatino Linotype" w:cs="Tahoma"/>
          <w:iCs/>
          <w:sz w:val="22"/>
          <w:szCs w:val="22"/>
          <w:lang w:val="es-ES" w:eastAsia="es-ES_tradnl"/>
        </w:rPr>
        <w:t>Secretaría de Movilidad</w:t>
      </w:r>
      <w:r w:rsidRPr="002244FC">
        <w:rPr>
          <w:rFonts w:ascii="Palatino Linotype" w:eastAsia="Calibri" w:hAnsi="Palatino Linotype" w:cs="Tahoma"/>
          <w:iCs/>
          <w:sz w:val="22"/>
          <w:szCs w:val="22"/>
          <w:lang w:val="es-ES" w:eastAsia="es-ES_tradnl"/>
        </w:rPr>
        <w:t>,</w:t>
      </w:r>
      <w:r w:rsidR="000C471D" w:rsidRPr="002244FC">
        <w:rPr>
          <w:rFonts w:ascii="Palatino Linotype" w:eastAsia="Calibri" w:hAnsi="Palatino Linotype" w:cs="Tahoma"/>
          <w:iCs/>
          <w:sz w:val="22"/>
          <w:szCs w:val="22"/>
          <w:lang w:val="es-ES" w:eastAsia="es-ES_tradnl"/>
        </w:rPr>
        <w:t xml:space="preserve"> </w:t>
      </w:r>
      <w:r w:rsidR="002A21FD" w:rsidRPr="002244FC">
        <w:rPr>
          <w:rFonts w:ascii="Palatino Linotype" w:eastAsia="Calibri" w:hAnsi="Palatino Linotype" w:cs="Tahoma"/>
          <w:iCs/>
          <w:sz w:val="22"/>
          <w:szCs w:val="22"/>
          <w:lang w:val="es-ES" w:eastAsia="es-ES_tradnl"/>
        </w:rPr>
        <w:t xml:space="preserve">las normas técnicas vigente en materia de transporte público y movilidad. </w:t>
      </w:r>
    </w:p>
    <w:p w14:paraId="74E53B6A" w14:textId="77777777" w:rsidR="0004574F" w:rsidRPr="002244FC" w:rsidRDefault="0004574F" w:rsidP="004E0AA4">
      <w:pPr>
        <w:tabs>
          <w:tab w:val="left" w:pos="4962"/>
        </w:tabs>
        <w:spacing w:line="360" w:lineRule="auto"/>
        <w:jc w:val="both"/>
        <w:rPr>
          <w:rFonts w:ascii="Palatino Linotype" w:eastAsia="Calibri" w:hAnsi="Palatino Linotype" w:cs="Tahoma"/>
          <w:iCs/>
          <w:sz w:val="22"/>
          <w:szCs w:val="22"/>
          <w:lang w:val="es-ES" w:eastAsia="es-ES_tradnl"/>
        </w:rPr>
      </w:pPr>
    </w:p>
    <w:p w14:paraId="192550AA" w14:textId="77777777" w:rsidR="00A511BB" w:rsidRPr="002244FC" w:rsidRDefault="00993BF4" w:rsidP="00A511BB">
      <w:pPr>
        <w:tabs>
          <w:tab w:val="left" w:pos="4962"/>
        </w:tabs>
        <w:spacing w:line="360" w:lineRule="auto"/>
        <w:jc w:val="both"/>
        <w:rPr>
          <w:rFonts w:ascii="Palatino Linotype" w:eastAsia="Calibri" w:hAnsi="Palatino Linotype" w:cs="Tahoma"/>
          <w:iCs/>
          <w:sz w:val="22"/>
          <w:szCs w:val="22"/>
          <w:lang w:val="es-ES" w:eastAsia="es-ES_tradnl"/>
        </w:rPr>
      </w:pPr>
      <w:r w:rsidRPr="002244FC">
        <w:rPr>
          <w:rFonts w:ascii="Palatino Linotype" w:eastAsia="Calibri" w:hAnsi="Palatino Linotype" w:cs="Tahoma"/>
          <w:iCs/>
          <w:sz w:val="22"/>
          <w:szCs w:val="22"/>
          <w:lang w:val="es-ES" w:eastAsia="es-ES_tradnl"/>
        </w:rPr>
        <w:t>E</w:t>
      </w:r>
      <w:r w:rsidR="0044640B" w:rsidRPr="002244FC">
        <w:rPr>
          <w:rFonts w:ascii="Palatino Linotype" w:eastAsia="Calibri" w:hAnsi="Palatino Linotype" w:cs="Tahoma"/>
          <w:iCs/>
          <w:sz w:val="22"/>
          <w:szCs w:val="22"/>
          <w:lang w:val="es-ES" w:eastAsia="es-ES_tradnl"/>
        </w:rPr>
        <w:t>n respuesta</w:t>
      </w:r>
      <w:r w:rsidR="007F34CB" w:rsidRPr="002244FC">
        <w:rPr>
          <w:rFonts w:ascii="Palatino Linotype" w:eastAsia="Calibri" w:hAnsi="Palatino Linotype" w:cs="Tahoma"/>
          <w:iCs/>
          <w:sz w:val="22"/>
          <w:szCs w:val="22"/>
          <w:lang w:val="es-ES" w:eastAsia="es-ES_tradnl"/>
        </w:rPr>
        <w:t>,</w:t>
      </w:r>
      <w:r w:rsidR="0044640B" w:rsidRPr="002244FC">
        <w:rPr>
          <w:rFonts w:ascii="Palatino Linotype" w:eastAsia="Calibri" w:hAnsi="Palatino Linotype" w:cs="Tahoma"/>
          <w:iCs/>
          <w:sz w:val="22"/>
          <w:szCs w:val="22"/>
          <w:lang w:val="es-ES" w:eastAsia="es-ES_tradnl"/>
        </w:rPr>
        <w:t xml:space="preserve"> el Sujeto Obligado</w:t>
      </w:r>
      <w:r w:rsidR="0066371D" w:rsidRPr="002244FC">
        <w:rPr>
          <w:rFonts w:ascii="Palatino Linotype" w:eastAsia="Calibri" w:hAnsi="Palatino Linotype" w:cs="Tahoma"/>
          <w:iCs/>
          <w:sz w:val="22"/>
          <w:szCs w:val="22"/>
          <w:lang w:val="es-ES" w:eastAsia="es-ES_tradnl"/>
        </w:rPr>
        <w:t xml:space="preserve"> </w:t>
      </w:r>
      <w:r w:rsidR="00344569" w:rsidRPr="002244FC">
        <w:rPr>
          <w:rFonts w:ascii="Palatino Linotype" w:eastAsia="Calibri" w:hAnsi="Palatino Linotype" w:cs="Tahoma"/>
          <w:iCs/>
          <w:sz w:val="22"/>
          <w:szCs w:val="22"/>
          <w:lang w:val="es-ES" w:eastAsia="es-ES_tradnl"/>
        </w:rPr>
        <w:t>proporcionó diversa información</w:t>
      </w:r>
      <w:r w:rsidR="002A21FD" w:rsidRPr="002244FC">
        <w:rPr>
          <w:rFonts w:ascii="Palatino Linotype" w:eastAsia="Calibri" w:hAnsi="Palatino Linotype" w:cs="Tahoma"/>
          <w:iCs/>
          <w:sz w:val="22"/>
          <w:szCs w:val="22"/>
          <w:lang w:val="es-ES" w:eastAsia="es-ES_tradnl"/>
        </w:rPr>
        <w:t xml:space="preserve"> tanto en ligas electrónicas como en archivos pdf.</w:t>
      </w:r>
      <w:r w:rsidR="005638D9" w:rsidRPr="002244FC">
        <w:rPr>
          <w:rFonts w:ascii="Palatino Linotype" w:eastAsia="Calibri" w:hAnsi="Palatino Linotype" w:cs="Tahoma"/>
          <w:iCs/>
          <w:sz w:val="22"/>
          <w:szCs w:val="22"/>
          <w:lang w:val="es-ES" w:eastAsia="es-ES_tradnl"/>
        </w:rPr>
        <w:t xml:space="preserve">, </w:t>
      </w:r>
      <w:r w:rsidR="0004574F" w:rsidRPr="002244FC">
        <w:rPr>
          <w:rFonts w:ascii="Palatino Linotype" w:eastAsia="Calibri" w:hAnsi="Palatino Linotype" w:cs="Tahoma"/>
          <w:iCs/>
          <w:sz w:val="22"/>
          <w:szCs w:val="22"/>
          <w:lang w:val="es-ES" w:eastAsia="es-ES_tradnl"/>
        </w:rPr>
        <w:t xml:space="preserve">derivado de ello </w:t>
      </w:r>
      <w:r w:rsidR="005638D9" w:rsidRPr="002244FC">
        <w:rPr>
          <w:rFonts w:ascii="Palatino Linotype" w:eastAsia="Calibri" w:hAnsi="Palatino Linotype" w:cs="Tahoma"/>
          <w:iCs/>
          <w:sz w:val="22"/>
          <w:szCs w:val="22"/>
          <w:lang w:val="es-ES" w:eastAsia="es-ES_tradnl"/>
        </w:rPr>
        <w:t xml:space="preserve">el Particular </w:t>
      </w:r>
      <w:r w:rsidR="00002CF8" w:rsidRPr="002244FC">
        <w:rPr>
          <w:rFonts w:ascii="Palatino Linotype" w:eastAsia="Calibri" w:hAnsi="Palatino Linotype" w:cs="Tahoma"/>
          <w:iCs/>
          <w:sz w:val="22"/>
          <w:szCs w:val="22"/>
          <w:lang w:val="es-ES" w:eastAsia="es-ES_tradnl"/>
        </w:rPr>
        <w:t>se inconformó</w:t>
      </w:r>
      <w:r w:rsidR="00AB2EDE" w:rsidRPr="002244FC">
        <w:rPr>
          <w:rFonts w:ascii="Palatino Linotype" w:eastAsia="Calibri" w:hAnsi="Palatino Linotype" w:cs="Tahoma"/>
          <w:iCs/>
          <w:sz w:val="22"/>
          <w:szCs w:val="22"/>
          <w:lang w:val="es-ES" w:eastAsia="es-ES_tradnl"/>
        </w:rPr>
        <w:t xml:space="preserve"> </w:t>
      </w:r>
      <w:r w:rsidR="002A21FD" w:rsidRPr="002244FC">
        <w:rPr>
          <w:rFonts w:ascii="Palatino Linotype" w:eastAsia="Calibri" w:hAnsi="Palatino Linotype" w:cs="Tahoma"/>
          <w:iCs/>
          <w:sz w:val="22"/>
          <w:szCs w:val="22"/>
          <w:lang w:val="es-ES" w:eastAsia="es-ES_tradnl"/>
        </w:rPr>
        <w:t>al señalar que la información no era vigente y se encontraba incompleta</w:t>
      </w:r>
      <w:r w:rsidR="00E63111" w:rsidRPr="002244FC">
        <w:rPr>
          <w:rFonts w:ascii="Palatino Linotype" w:eastAsia="Calibri" w:hAnsi="Palatino Linotype" w:cs="Tahoma"/>
          <w:iCs/>
          <w:sz w:val="22"/>
          <w:szCs w:val="22"/>
          <w:lang w:val="es-ES" w:eastAsia="es-ES_tradnl"/>
        </w:rPr>
        <w:t xml:space="preserve">, </w:t>
      </w:r>
      <w:r w:rsidR="00120425" w:rsidRPr="002244FC">
        <w:rPr>
          <w:rFonts w:ascii="Palatino Linotype" w:eastAsia="Calibri" w:hAnsi="Palatino Linotype" w:cs="Tahoma"/>
          <w:bCs/>
          <w:sz w:val="22"/>
          <w:szCs w:val="22"/>
          <w:lang w:val="es-ES_tradnl" w:eastAsia="en-US"/>
        </w:rPr>
        <w:t xml:space="preserve">así </w:t>
      </w:r>
      <w:r w:rsidR="00A511BB" w:rsidRPr="002244FC">
        <w:rPr>
          <w:rFonts w:ascii="Palatino Linotype" w:eastAsia="Calibri" w:hAnsi="Palatino Linotype" w:cs="Tahoma"/>
          <w:color w:val="000000"/>
          <w:sz w:val="22"/>
          <w:szCs w:val="22"/>
        </w:rPr>
        <w:t xml:space="preserve">en el asunto que nos ocupa se actualiza la causal de procedencia señalada en el </w:t>
      </w:r>
      <w:r w:rsidR="00A511BB" w:rsidRPr="002244FC">
        <w:rPr>
          <w:rFonts w:ascii="Palatino Linotype" w:eastAsia="Calibri" w:hAnsi="Palatino Linotype" w:cs="Tahoma"/>
          <w:sz w:val="22"/>
          <w:szCs w:val="22"/>
        </w:rPr>
        <w:t xml:space="preserve">artículo 179, </w:t>
      </w:r>
      <w:r w:rsidR="005638D9" w:rsidRPr="002244FC">
        <w:rPr>
          <w:rFonts w:ascii="Palatino Linotype" w:eastAsia="Calibri" w:hAnsi="Palatino Linotype" w:cs="Tahoma"/>
          <w:sz w:val="22"/>
          <w:szCs w:val="22"/>
        </w:rPr>
        <w:t xml:space="preserve">fracción </w:t>
      </w:r>
      <w:r w:rsidR="00AA7BD4" w:rsidRPr="002244FC">
        <w:rPr>
          <w:rFonts w:ascii="Palatino Linotype" w:eastAsia="Calibri" w:hAnsi="Palatino Linotype" w:cs="Tahoma"/>
          <w:sz w:val="22"/>
          <w:szCs w:val="22"/>
        </w:rPr>
        <w:t>V</w:t>
      </w:r>
      <w:r w:rsidR="00E52703" w:rsidRPr="002244FC">
        <w:rPr>
          <w:rFonts w:ascii="Palatino Linotype" w:eastAsia="Calibri" w:hAnsi="Palatino Linotype" w:cs="Tahoma"/>
          <w:sz w:val="22"/>
          <w:szCs w:val="22"/>
        </w:rPr>
        <w:t>,</w:t>
      </w:r>
      <w:r w:rsidR="00A511BB" w:rsidRPr="002244FC">
        <w:rPr>
          <w:rFonts w:ascii="Palatino Linotype" w:eastAsia="Calibri" w:hAnsi="Palatino Linotype" w:cs="Tahoma"/>
          <w:sz w:val="22"/>
          <w:szCs w:val="22"/>
        </w:rPr>
        <w:t xml:space="preserve"> de la Ley de la materia</w:t>
      </w:r>
      <w:r w:rsidR="00A511BB" w:rsidRPr="002244FC">
        <w:rPr>
          <w:rFonts w:ascii="Palatino Linotype" w:eastAsia="Calibri" w:hAnsi="Palatino Linotype" w:cs="Tahoma"/>
          <w:bCs/>
          <w:sz w:val="22"/>
          <w:szCs w:val="22"/>
        </w:rPr>
        <w:t>.</w:t>
      </w:r>
    </w:p>
    <w:p w14:paraId="479446AD" w14:textId="77777777" w:rsidR="00CE0B4C" w:rsidRPr="002244FC" w:rsidRDefault="00CE0B4C" w:rsidP="00147516">
      <w:pPr>
        <w:tabs>
          <w:tab w:val="left" w:pos="4962"/>
        </w:tabs>
        <w:spacing w:line="360" w:lineRule="auto"/>
        <w:jc w:val="both"/>
        <w:rPr>
          <w:rFonts w:ascii="Palatino Linotype" w:eastAsia="Calibri" w:hAnsi="Palatino Linotype" w:cs="Tahoma"/>
          <w:b/>
          <w:iCs/>
          <w:sz w:val="22"/>
          <w:szCs w:val="22"/>
          <w:lang w:val="es-ES" w:eastAsia="es-ES_tradnl"/>
        </w:rPr>
      </w:pPr>
    </w:p>
    <w:p w14:paraId="1E68282D" w14:textId="77777777" w:rsidR="00CE0B4C" w:rsidRPr="002244FC" w:rsidRDefault="00CE0B4C" w:rsidP="00147516">
      <w:pPr>
        <w:tabs>
          <w:tab w:val="left" w:pos="4962"/>
        </w:tabs>
        <w:spacing w:line="360" w:lineRule="auto"/>
        <w:jc w:val="both"/>
        <w:rPr>
          <w:rFonts w:ascii="Palatino Linotype" w:eastAsia="Calibri" w:hAnsi="Palatino Linotype" w:cs="Tahoma"/>
          <w:iCs/>
          <w:sz w:val="22"/>
          <w:szCs w:val="22"/>
          <w:lang w:eastAsia="es-ES_tradnl"/>
        </w:rPr>
      </w:pPr>
      <w:r w:rsidRPr="002244FC">
        <w:rPr>
          <w:rFonts w:ascii="Palatino Linotype" w:eastAsia="Calibri" w:hAnsi="Palatino Linotype" w:cs="Tahoma"/>
          <w:iCs/>
          <w:sz w:val="22"/>
          <w:szCs w:val="22"/>
          <w:lang w:eastAsia="es-ES_tradnl"/>
        </w:rPr>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1CDA0B36" w14:textId="77777777" w:rsidR="00CE0B4C" w:rsidRPr="002244FC" w:rsidRDefault="00CE0B4C" w:rsidP="00147516">
      <w:pPr>
        <w:tabs>
          <w:tab w:val="left" w:pos="4962"/>
        </w:tabs>
        <w:spacing w:line="360" w:lineRule="auto"/>
        <w:jc w:val="both"/>
        <w:rPr>
          <w:rFonts w:ascii="Palatino Linotype" w:eastAsia="Calibri" w:hAnsi="Palatino Linotype" w:cs="Tahoma"/>
          <w:iCs/>
          <w:sz w:val="22"/>
          <w:szCs w:val="22"/>
          <w:lang w:eastAsia="es-ES_tradnl"/>
        </w:rPr>
      </w:pPr>
    </w:p>
    <w:p w14:paraId="73ECC751" w14:textId="77777777" w:rsidR="00CE0B4C" w:rsidRPr="002244FC" w:rsidRDefault="00CE0B4C" w:rsidP="00147516">
      <w:pPr>
        <w:spacing w:line="360" w:lineRule="auto"/>
        <w:ind w:right="-93"/>
        <w:jc w:val="both"/>
        <w:rPr>
          <w:rFonts w:ascii="Palatino Linotype" w:hAnsi="Palatino Linotype" w:cs="Tahoma"/>
          <w:b/>
          <w:sz w:val="22"/>
          <w:szCs w:val="22"/>
        </w:rPr>
      </w:pPr>
      <w:r w:rsidRPr="002244FC">
        <w:rPr>
          <w:rFonts w:ascii="Palatino Linotype" w:hAnsi="Palatino Linotype" w:cs="Tahoma"/>
          <w:b/>
          <w:sz w:val="22"/>
          <w:szCs w:val="22"/>
          <w:lang w:val="es-ES"/>
        </w:rPr>
        <w:t xml:space="preserve">CUARTO. </w:t>
      </w:r>
      <w:r w:rsidRPr="002244FC">
        <w:rPr>
          <w:rFonts w:ascii="Palatino Linotype" w:hAnsi="Palatino Linotype" w:cs="Tahoma"/>
          <w:b/>
          <w:sz w:val="22"/>
          <w:szCs w:val="22"/>
        </w:rPr>
        <w:t>Marco normativo aplicable en materia de transparencia y acceso a la información pública.</w:t>
      </w:r>
    </w:p>
    <w:p w14:paraId="5DA7712D" w14:textId="77777777" w:rsidR="00CE0B4C" w:rsidRPr="002244FC" w:rsidRDefault="00CE0B4C" w:rsidP="00147516">
      <w:pPr>
        <w:spacing w:line="360" w:lineRule="auto"/>
        <w:contextualSpacing/>
        <w:jc w:val="both"/>
        <w:rPr>
          <w:rFonts w:ascii="Palatino Linotype" w:hAnsi="Palatino Linotype" w:cs="Tahoma"/>
          <w:sz w:val="22"/>
          <w:szCs w:val="22"/>
        </w:rPr>
      </w:pPr>
    </w:p>
    <w:p w14:paraId="7BADA3D6" w14:textId="77777777" w:rsidR="00CE0B4C" w:rsidRPr="002244FC" w:rsidRDefault="00CE0B4C" w:rsidP="00147516">
      <w:pPr>
        <w:widowControl w:val="0"/>
        <w:spacing w:line="360" w:lineRule="auto"/>
        <w:contextualSpacing/>
        <w:jc w:val="both"/>
        <w:rPr>
          <w:rFonts w:ascii="Palatino Linotype" w:hAnsi="Palatino Linotype" w:cs="Tahoma"/>
          <w:sz w:val="22"/>
          <w:szCs w:val="22"/>
        </w:rPr>
      </w:pPr>
      <w:r w:rsidRPr="002244FC">
        <w:rPr>
          <w:rFonts w:ascii="Palatino Linotype" w:hAnsi="Palatino Linotype" w:cs="Tahoma"/>
          <w:sz w:val="22"/>
          <w:szCs w:val="22"/>
        </w:rPr>
        <w:t xml:space="preserve">El artículo 6°, Apartado A), fracción I de la Constitución Política de los Estados Unidos Mexicanos, establece que toda la información en posesión de cualquier </w:t>
      </w:r>
      <w:r w:rsidR="005A1884" w:rsidRPr="002244FC">
        <w:rPr>
          <w:rFonts w:ascii="Palatino Linotype" w:hAnsi="Palatino Linotype" w:cs="Tahoma"/>
          <w:sz w:val="22"/>
          <w:szCs w:val="22"/>
        </w:rPr>
        <w:t>autoridad</w:t>
      </w:r>
      <w:r w:rsidRPr="002244FC">
        <w:rPr>
          <w:rFonts w:ascii="Palatino Linotype" w:hAnsi="Palatino Linotype" w:cs="Tahoma"/>
          <w:sz w:val="22"/>
          <w:szCs w:val="22"/>
        </w:rPr>
        <w:t xml:space="preserve"> es pública y sólo podrá ser reservada temporalmente por razones de interés público.</w:t>
      </w:r>
    </w:p>
    <w:p w14:paraId="4F733670" w14:textId="77777777" w:rsidR="00CE0B4C" w:rsidRPr="002244FC" w:rsidRDefault="00CE0B4C" w:rsidP="00147516">
      <w:pPr>
        <w:spacing w:line="360" w:lineRule="auto"/>
        <w:contextualSpacing/>
        <w:jc w:val="both"/>
        <w:rPr>
          <w:rFonts w:ascii="Palatino Linotype" w:hAnsi="Palatino Linotype" w:cs="Tahoma"/>
          <w:sz w:val="22"/>
          <w:szCs w:val="22"/>
        </w:rPr>
      </w:pPr>
    </w:p>
    <w:p w14:paraId="11FC3D88"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14D151E4" w14:textId="77777777" w:rsidR="00CE0B4C" w:rsidRPr="002244FC" w:rsidRDefault="00CE0B4C" w:rsidP="00147516">
      <w:pPr>
        <w:spacing w:line="360" w:lineRule="auto"/>
        <w:jc w:val="both"/>
        <w:rPr>
          <w:rFonts w:ascii="Palatino Linotype" w:hAnsi="Palatino Linotype" w:cs="Tahoma"/>
          <w:sz w:val="22"/>
          <w:szCs w:val="22"/>
        </w:rPr>
      </w:pPr>
    </w:p>
    <w:p w14:paraId="3D3F563E"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41DC6E20" w14:textId="77777777" w:rsidR="00CE0B4C" w:rsidRPr="002244FC" w:rsidRDefault="00CE0B4C" w:rsidP="00147516">
      <w:pPr>
        <w:spacing w:line="360" w:lineRule="auto"/>
        <w:jc w:val="both"/>
        <w:rPr>
          <w:rFonts w:ascii="Palatino Linotype" w:hAnsi="Palatino Linotype" w:cs="Tahoma"/>
          <w:sz w:val="22"/>
          <w:szCs w:val="22"/>
        </w:rPr>
      </w:pPr>
    </w:p>
    <w:p w14:paraId="4079A727"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En materia local, el artículo 5°, fracción I</w:t>
      </w:r>
      <w:r w:rsidR="00002CF8" w:rsidRPr="002244FC">
        <w:rPr>
          <w:rFonts w:ascii="Palatino Linotype" w:hAnsi="Palatino Linotype" w:cs="Tahoma"/>
          <w:sz w:val="22"/>
          <w:szCs w:val="22"/>
        </w:rPr>
        <w:t>,</w:t>
      </w:r>
      <w:r w:rsidRPr="002244FC">
        <w:rPr>
          <w:rFonts w:ascii="Palatino Linotype" w:hAnsi="Palatino Linotype" w:cs="Tahoma"/>
          <w:sz w:val="22"/>
          <w:szCs w:val="22"/>
        </w:rPr>
        <w:t xml:space="preserve">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60E61BB" w14:textId="77777777" w:rsidR="00CE0B4C" w:rsidRPr="002244FC" w:rsidRDefault="00CE0B4C" w:rsidP="00147516">
      <w:pPr>
        <w:spacing w:line="360" w:lineRule="auto"/>
        <w:jc w:val="both"/>
        <w:rPr>
          <w:rFonts w:ascii="Palatino Linotype" w:hAnsi="Palatino Linotype" w:cs="Tahoma"/>
          <w:sz w:val="22"/>
          <w:szCs w:val="22"/>
        </w:rPr>
      </w:pPr>
    </w:p>
    <w:p w14:paraId="40C7FF40"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53981C8E" w14:textId="77777777" w:rsidR="00CE0B4C" w:rsidRPr="002244FC" w:rsidRDefault="00CE0B4C" w:rsidP="00147516">
      <w:pPr>
        <w:spacing w:line="360" w:lineRule="auto"/>
        <w:jc w:val="both"/>
        <w:rPr>
          <w:rFonts w:ascii="Palatino Linotype" w:hAnsi="Palatino Linotype" w:cs="Tahoma"/>
          <w:sz w:val="22"/>
          <w:szCs w:val="22"/>
        </w:rPr>
      </w:pPr>
    </w:p>
    <w:p w14:paraId="0D8C596B"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El artículo 12, que, quienes generen, recopilen, administren, manejen, procesen, archiven o conserven información pública serán responsables de la misma.</w:t>
      </w:r>
    </w:p>
    <w:p w14:paraId="5C4F0B93" w14:textId="77777777" w:rsidR="00EF5683" w:rsidRPr="002244FC" w:rsidRDefault="00EF5683" w:rsidP="00147516">
      <w:pPr>
        <w:spacing w:line="360" w:lineRule="auto"/>
        <w:jc w:val="both"/>
        <w:rPr>
          <w:rFonts w:ascii="Palatino Linotype" w:hAnsi="Palatino Linotype" w:cs="Tahoma"/>
          <w:sz w:val="22"/>
          <w:szCs w:val="22"/>
        </w:rPr>
      </w:pPr>
    </w:p>
    <w:p w14:paraId="5F7BFEF6"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2F1072C" w14:textId="77777777" w:rsidR="00CE0B4C" w:rsidRPr="002244FC" w:rsidRDefault="00CE0B4C" w:rsidP="00147516">
      <w:pPr>
        <w:spacing w:line="360" w:lineRule="auto"/>
        <w:jc w:val="both"/>
        <w:rPr>
          <w:rFonts w:ascii="Palatino Linotype" w:hAnsi="Palatino Linotype" w:cs="Tahoma"/>
          <w:sz w:val="22"/>
          <w:szCs w:val="22"/>
        </w:rPr>
      </w:pPr>
    </w:p>
    <w:p w14:paraId="63ACFAB9"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7E1B7FF1" w14:textId="77777777" w:rsidR="00553D1F" w:rsidRPr="002244FC" w:rsidRDefault="00553D1F" w:rsidP="00147516">
      <w:pPr>
        <w:spacing w:line="360" w:lineRule="auto"/>
        <w:ind w:right="-93"/>
        <w:jc w:val="both"/>
        <w:rPr>
          <w:rFonts w:ascii="Palatino Linotype" w:hAnsi="Palatino Linotype" w:cs="Tahoma"/>
          <w:b/>
          <w:sz w:val="22"/>
          <w:szCs w:val="22"/>
          <w:lang w:val="es-ES"/>
        </w:rPr>
      </w:pPr>
    </w:p>
    <w:p w14:paraId="0008409C" w14:textId="77777777" w:rsidR="00CE0B4C" w:rsidRPr="002244FC" w:rsidRDefault="00CE0B4C" w:rsidP="00147516">
      <w:pPr>
        <w:spacing w:line="360" w:lineRule="auto"/>
        <w:ind w:right="-93"/>
        <w:jc w:val="both"/>
        <w:rPr>
          <w:rFonts w:ascii="Palatino Linotype" w:hAnsi="Palatino Linotype" w:cs="Tahoma"/>
          <w:b/>
          <w:sz w:val="22"/>
          <w:szCs w:val="22"/>
          <w:lang w:val="es-ES"/>
        </w:rPr>
      </w:pPr>
      <w:r w:rsidRPr="002244FC">
        <w:rPr>
          <w:rFonts w:ascii="Palatino Linotype" w:hAnsi="Palatino Linotype" w:cs="Tahoma"/>
          <w:b/>
          <w:sz w:val="22"/>
          <w:szCs w:val="22"/>
          <w:lang w:val="es-ES"/>
        </w:rPr>
        <w:t>QUINTO. Estudio de Fondo.</w:t>
      </w:r>
    </w:p>
    <w:p w14:paraId="57A33E1E" w14:textId="77777777" w:rsidR="00040101" w:rsidRPr="002244FC" w:rsidRDefault="00040101" w:rsidP="00147516">
      <w:pPr>
        <w:spacing w:line="360" w:lineRule="auto"/>
        <w:ind w:right="-93"/>
        <w:jc w:val="both"/>
        <w:rPr>
          <w:rFonts w:ascii="Palatino Linotype" w:hAnsi="Palatino Linotype" w:cs="Tahoma"/>
          <w:b/>
          <w:sz w:val="22"/>
          <w:szCs w:val="22"/>
          <w:lang w:val="es-ES"/>
        </w:rPr>
      </w:pPr>
    </w:p>
    <w:p w14:paraId="2C92ED80" w14:textId="77777777" w:rsidR="00CE0B4C" w:rsidRPr="002244FC" w:rsidRDefault="00CE0B4C" w:rsidP="00147516">
      <w:pPr>
        <w:spacing w:line="360" w:lineRule="auto"/>
        <w:jc w:val="both"/>
        <w:rPr>
          <w:rFonts w:ascii="Palatino Linotype" w:hAnsi="Palatino Linotype" w:cs="Tahoma"/>
          <w:sz w:val="22"/>
          <w:szCs w:val="22"/>
        </w:rPr>
      </w:pPr>
      <w:r w:rsidRPr="002244FC">
        <w:rPr>
          <w:rFonts w:ascii="Palatino Linotype" w:hAnsi="Palatino Linotype" w:cs="Tahoma"/>
          <w:sz w:val="22"/>
          <w:szCs w:val="22"/>
        </w:rPr>
        <w:t>Una vez determinada la vía sobre la que versará el presente Recurso y previa revisión del expediente electrónico formado en el Sistema de Acceso a la Información Mexiquense (SAIMEX), con motivo de la solicitud de información y del Recurso a que da origen, es conveniente analizar si la respuesta del Sujeto Obligado cumple con los requisitos y procedimientos del derecho de acceso a la información pública.</w:t>
      </w:r>
    </w:p>
    <w:p w14:paraId="1BAE1E7F" w14:textId="77777777" w:rsidR="00CE0B4C" w:rsidRPr="002244FC" w:rsidRDefault="00CE0B4C" w:rsidP="00147516">
      <w:pPr>
        <w:spacing w:line="360" w:lineRule="auto"/>
        <w:jc w:val="both"/>
        <w:rPr>
          <w:rFonts w:ascii="Palatino Linotype" w:hAnsi="Palatino Linotype" w:cs="Tahoma"/>
          <w:sz w:val="22"/>
          <w:szCs w:val="22"/>
        </w:rPr>
      </w:pPr>
    </w:p>
    <w:p w14:paraId="01D49D32" w14:textId="77777777" w:rsidR="00CE0B4C" w:rsidRPr="002244FC" w:rsidRDefault="00CE0B4C" w:rsidP="00147516">
      <w:pPr>
        <w:spacing w:line="360" w:lineRule="auto"/>
        <w:ind w:right="-93"/>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 xml:space="preserve">En ese orden de ideas, es importante señalar que, el artículo 4°, párrafo segundo de la Ley de Transparencia y Acceso a la Información Pública del Estado de México y Municipios, señala que toda la información generada, obtenida, adquirida, transformada, administrada o en posesión de los sujetos obligados es pública y accesible de manera permanente a cualquier </w:t>
      </w:r>
      <w:r w:rsidRPr="002244FC">
        <w:rPr>
          <w:rFonts w:ascii="Palatino Linotype" w:eastAsia="Calibri" w:hAnsi="Palatino Linotype" w:cs="Tahoma"/>
          <w:bCs/>
          <w:sz w:val="22"/>
          <w:szCs w:val="22"/>
          <w:lang w:eastAsia="en-US"/>
        </w:rPr>
        <w:lastRenderedPageBreak/>
        <w:t xml:space="preserve">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549F3D56" w14:textId="77777777" w:rsidR="00CE0B4C" w:rsidRPr="002244FC" w:rsidRDefault="00CE0B4C" w:rsidP="00147516">
      <w:pPr>
        <w:spacing w:line="360" w:lineRule="auto"/>
        <w:ind w:right="-93"/>
        <w:jc w:val="both"/>
        <w:rPr>
          <w:rFonts w:ascii="Palatino Linotype" w:eastAsia="Calibri" w:hAnsi="Palatino Linotype" w:cs="Tahoma"/>
          <w:bCs/>
          <w:sz w:val="22"/>
          <w:szCs w:val="22"/>
          <w:lang w:eastAsia="en-US"/>
        </w:rPr>
      </w:pPr>
    </w:p>
    <w:p w14:paraId="7C00F298" w14:textId="77777777" w:rsidR="00CE0B4C" w:rsidRPr="002244FC" w:rsidRDefault="00CE0B4C" w:rsidP="00147516">
      <w:pPr>
        <w:spacing w:line="360" w:lineRule="auto"/>
        <w:ind w:right="-93"/>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De lo anterior, se deduce que la información generada, obtenida, adquirida, transmitida, administrada o en posesión de los Sujetos Obligados, será accesible a cualquier persona, privilegiando el principio de máxima publicidad de la información.</w:t>
      </w:r>
    </w:p>
    <w:p w14:paraId="4B67A6B5" w14:textId="77777777" w:rsidR="00CE0B4C" w:rsidRPr="002244FC" w:rsidRDefault="00CE0B4C" w:rsidP="00147516">
      <w:pPr>
        <w:spacing w:line="360" w:lineRule="auto"/>
        <w:ind w:right="-93"/>
        <w:jc w:val="both"/>
        <w:rPr>
          <w:rFonts w:ascii="Palatino Linotype" w:eastAsia="Calibri" w:hAnsi="Palatino Linotype" w:cs="Tahoma"/>
          <w:bCs/>
          <w:sz w:val="22"/>
          <w:szCs w:val="22"/>
          <w:lang w:eastAsia="en-US"/>
        </w:rPr>
      </w:pPr>
    </w:p>
    <w:p w14:paraId="62734066" w14:textId="77777777" w:rsidR="00CE0B4C" w:rsidRPr="002244FC" w:rsidRDefault="00CE0B4C" w:rsidP="00147516">
      <w:pPr>
        <w:spacing w:line="360" w:lineRule="auto"/>
        <w:ind w:right="-93"/>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 xml:space="preserve">En síntesis, el derecho de acceso a la información pública se satisface en aquellos casos en que se entregue el soporte documental en que conste la información pública, sin la necesidad de elaborar documentos </w:t>
      </w:r>
      <w:r w:rsidRPr="002244FC">
        <w:rPr>
          <w:rFonts w:ascii="Palatino Linotype" w:eastAsia="Calibri" w:hAnsi="Palatino Linotype" w:cs="Tahoma"/>
          <w:bCs/>
          <w:i/>
          <w:sz w:val="22"/>
          <w:szCs w:val="22"/>
          <w:lang w:eastAsia="en-US"/>
        </w:rPr>
        <w:t>ad hoc</w:t>
      </w:r>
      <w:r w:rsidRPr="002244FC">
        <w:rPr>
          <w:rFonts w:ascii="Palatino Linotype" w:eastAsia="Calibri" w:hAnsi="Palatino Linotype" w:cs="Tahoma"/>
          <w:bCs/>
          <w:sz w:val="22"/>
          <w:szCs w:val="22"/>
          <w:lang w:eastAsia="en-US"/>
        </w:rPr>
        <w:t>; lo cual, toma sustento en el artículo 160 de la Ley de Transparencia y Acceso a la Información Pública del Estado de México y Municipios, el cual refiere que los sujetos obligados deberán entregar la información que obre en sus archivos.</w:t>
      </w:r>
    </w:p>
    <w:p w14:paraId="7A7A704D" w14:textId="77777777" w:rsidR="00553D1F" w:rsidRPr="002244FC" w:rsidRDefault="00553D1F" w:rsidP="00147516">
      <w:pPr>
        <w:spacing w:line="360" w:lineRule="auto"/>
        <w:ind w:right="-93"/>
        <w:jc w:val="both"/>
        <w:rPr>
          <w:rFonts w:ascii="Palatino Linotype" w:eastAsia="Calibri" w:hAnsi="Palatino Linotype" w:cs="Tahoma"/>
          <w:bCs/>
          <w:sz w:val="22"/>
          <w:szCs w:val="22"/>
          <w:lang w:eastAsia="en-US"/>
        </w:rPr>
      </w:pPr>
    </w:p>
    <w:p w14:paraId="463345B7" w14:textId="77777777" w:rsidR="00CE0B4C" w:rsidRPr="002244FC" w:rsidRDefault="00CE0B4C" w:rsidP="00147516">
      <w:pPr>
        <w:spacing w:line="360" w:lineRule="auto"/>
        <w:ind w:right="-93"/>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064E2E" w14:textId="77777777" w:rsidR="002649C4" w:rsidRPr="002244FC" w:rsidRDefault="002649C4" w:rsidP="002649C4">
      <w:pPr>
        <w:spacing w:line="360" w:lineRule="auto"/>
        <w:jc w:val="both"/>
        <w:rPr>
          <w:rFonts w:ascii="Palatino Linotype" w:eastAsia="Calibri" w:hAnsi="Palatino Linotype" w:cs="Tahoma"/>
          <w:iCs/>
          <w:sz w:val="22"/>
          <w:szCs w:val="22"/>
          <w:lang w:val="es-ES" w:eastAsia="es-ES_tradnl"/>
        </w:rPr>
      </w:pPr>
    </w:p>
    <w:p w14:paraId="64F2063D" w14:textId="77777777" w:rsidR="00690B14" w:rsidRPr="002244FC" w:rsidRDefault="00690B14" w:rsidP="00690B14">
      <w:pPr>
        <w:spacing w:line="360" w:lineRule="auto"/>
        <w:jc w:val="both"/>
        <w:rPr>
          <w:rFonts w:ascii="Palatino Linotype" w:eastAsia="Calibri" w:hAnsi="Palatino Linotype" w:cs="Tahoma"/>
          <w:iCs/>
          <w:sz w:val="22"/>
          <w:szCs w:val="22"/>
          <w:lang w:val="es-ES" w:eastAsia="es-ES_tradnl"/>
        </w:rPr>
      </w:pPr>
      <w:r w:rsidRPr="002244FC">
        <w:rPr>
          <w:rFonts w:ascii="Palatino Linotype" w:eastAsia="Calibri" w:hAnsi="Palatino Linotype" w:cs="Tahoma"/>
          <w:iCs/>
          <w:sz w:val="22"/>
          <w:szCs w:val="22"/>
          <w:lang w:val="es-ES" w:eastAsia="es-ES_tradnl"/>
        </w:rPr>
        <w:t xml:space="preserve">Establecido lo anterior, es preciso señalar que, todos los actos que realicen los sujetos obligados deben estar documentados y, bajo el más alto estándar de transparencia deberán poner toda la información que se encuentre en su posesión, a disposición de los particulares que la soliciten, resulta necesario referir que, el artículo 6° apartado A fracción I, de la Constitución Política de los Estados Unidos Mexicanos, artículo 5 fracción I de la Constitución </w:t>
      </w:r>
      <w:r w:rsidRPr="002244FC">
        <w:rPr>
          <w:rFonts w:ascii="Palatino Linotype" w:eastAsia="Calibri" w:hAnsi="Palatino Linotype" w:cs="Tahoma"/>
          <w:iCs/>
          <w:sz w:val="22"/>
          <w:szCs w:val="22"/>
          <w:lang w:val="es-ES" w:eastAsia="es-ES_tradnl"/>
        </w:rPr>
        <w:lastRenderedPageBreak/>
        <w:t>Política del Estado Libre y Soberano de México y el artículo 18 de la Ley de Transparencia y Acceso a la Información Pública del Estado de México y Municipios, guardan una estrecha relación, puesto que los ordenamientos citados concurren refiriendo que los Sujetos Obligados deberán documentar todo acto que se derive del ejercicio de sus facultades, competencias o funciones, considerando desde su origen la eventual publicidad y reutilización de la información que generen, posean o administren.</w:t>
      </w:r>
    </w:p>
    <w:p w14:paraId="33E62F99" w14:textId="77777777" w:rsidR="00690B14" w:rsidRPr="002244FC" w:rsidRDefault="00690B14" w:rsidP="00690B14">
      <w:pPr>
        <w:spacing w:line="360" w:lineRule="auto"/>
        <w:jc w:val="both"/>
        <w:rPr>
          <w:rFonts w:ascii="Palatino Linotype" w:eastAsia="Calibri" w:hAnsi="Palatino Linotype" w:cs="Tahoma"/>
          <w:iCs/>
          <w:sz w:val="22"/>
          <w:szCs w:val="22"/>
          <w:lang w:val="es-ES" w:eastAsia="es-ES_tradnl"/>
        </w:rPr>
      </w:pPr>
    </w:p>
    <w:p w14:paraId="20BCC777" w14:textId="77777777" w:rsidR="00690B14" w:rsidRPr="002244FC" w:rsidRDefault="00690B14" w:rsidP="00690B14">
      <w:pPr>
        <w:spacing w:line="360" w:lineRule="auto"/>
        <w:jc w:val="both"/>
        <w:rPr>
          <w:rFonts w:ascii="Palatino Linotype" w:eastAsia="Calibri" w:hAnsi="Palatino Linotype" w:cs="Tahoma"/>
          <w:iCs/>
          <w:sz w:val="22"/>
          <w:szCs w:val="22"/>
          <w:lang w:val="es-ES" w:eastAsia="es-ES_tradnl"/>
        </w:rPr>
      </w:pPr>
      <w:r w:rsidRPr="002244FC">
        <w:rPr>
          <w:rFonts w:ascii="Palatino Linotype" w:eastAsia="Calibri" w:hAnsi="Palatino Linotype" w:cs="Tahoma"/>
          <w:iCs/>
          <w:sz w:val="22"/>
          <w:szCs w:val="22"/>
          <w:lang w:val="es-ES" w:eastAsia="es-ES_tradnl"/>
        </w:rPr>
        <w:t>Además, debemos tomar en cuenta los artículos 4 y 12, de la Ley de Transparencia y Acceso a la Información Pública del Estado de México y Municipios, de los que se desprende que los sujetos obligados  tienen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instituciones.</w:t>
      </w:r>
    </w:p>
    <w:p w14:paraId="0CD185DB" w14:textId="310B9B09" w:rsidR="00175D4A" w:rsidRPr="002244FC" w:rsidRDefault="00690B14" w:rsidP="00690B14">
      <w:pPr>
        <w:spacing w:line="360" w:lineRule="auto"/>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 xml:space="preserve">Ahora bien, de las constancias que obran en el Sistema de Acceso a la Información Mexiquense (SAIMEX) se desprende que el Particular solicitó </w:t>
      </w:r>
      <w:r w:rsidR="00175D4A" w:rsidRPr="002244FC">
        <w:rPr>
          <w:rFonts w:ascii="Palatino Linotype" w:eastAsia="Calibri" w:hAnsi="Palatino Linotype" w:cs="Tahoma"/>
          <w:bCs/>
          <w:sz w:val="22"/>
          <w:szCs w:val="22"/>
          <w:lang w:eastAsia="en-US"/>
        </w:rPr>
        <w:t>las normas técnicas vigente</w:t>
      </w:r>
      <w:r w:rsidR="00437DBF" w:rsidRPr="002244FC">
        <w:rPr>
          <w:rFonts w:ascii="Palatino Linotype" w:eastAsia="Calibri" w:hAnsi="Palatino Linotype" w:cs="Tahoma"/>
          <w:bCs/>
          <w:sz w:val="22"/>
          <w:szCs w:val="22"/>
          <w:lang w:eastAsia="en-US"/>
        </w:rPr>
        <w:t>s</w:t>
      </w:r>
      <w:r w:rsidR="00175D4A" w:rsidRPr="002244FC">
        <w:rPr>
          <w:rFonts w:ascii="Palatino Linotype" w:eastAsia="Calibri" w:hAnsi="Palatino Linotype" w:cs="Tahoma"/>
          <w:bCs/>
          <w:sz w:val="22"/>
          <w:szCs w:val="22"/>
          <w:lang w:eastAsia="en-US"/>
        </w:rPr>
        <w:t xml:space="preserve"> en materia de transporte público y movilidad</w:t>
      </w:r>
      <w:r w:rsidR="00550C96" w:rsidRPr="002244FC">
        <w:rPr>
          <w:rFonts w:ascii="Palatino Linotype" w:eastAsia="Calibri" w:hAnsi="Palatino Linotype" w:cs="Tahoma"/>
          <w:bCs/>
          <w:sz w:val="22"/>
          <w:szCs w:val="22"/>
          <w:lang w:eastAsia="en-US"/>
        </w:rPr>
        <w:t>,</w:t>
      </w:r>
      <w:r w:rsidR="00175D4A" w:rsidRPr="002244FC">
        <w:rPr>
          <w:rFonts w:ascii="Palatino Linotype" w:eastAsia="Calibri" w:hAnsi="Palatino Linotype" w:cs="Tahoma"/>
          <w:bCs/>
          <w:sz w:val="22"/>
          <w:szCs w:val="22"/>
          <w:lang w:eastAsia="en-US"/>
        </w:rPr>
        <w:t xml:space="preserve"> a lo que el </w:t>
      </w:r>
      <w:r w:rsidR="00550C96" w:rsidRPr="002244FC">
        <w:rPr>
          <w:rFonts w:ascii="Palatino Linotype" w:eastAsia="Calibri" w:hAnsi="Palatino Linotype" w:cs="Tahoma"/>
          <w:bCs/>
          <w:sz w:val="22"/>
          <w:szCs w:val="22"/>
          <w:lang w:eastAsia="en-US"/>
        </w:rPr>
        <w:t xml:space="preserve">Sujeto </w:t>
      </w:r>
      <w:r w:rsidR="00175D4A" w:rsidRPr="002244FC">
        <w:rPr>
          <w:rFonts w:ascii="Palatino Linotype" w:eastAsia="Calibri" w:hAnsi="Palatino Linotype" w:cs="Tahoma"/>
          <w:bCs/>
          <w:sz w:val="22"/>
          <w:szCs w:val="22"/>
          <w:lang w:eastAsia="en-US"/>
        </w:rPr>
        <w:t xml:space="preserve">Obligado proporcionó </w:t>
      </w:r>
      <w:r w:rsidR="00550C96" w:rsidRPr="002244FC">
        <w:rPr>
          <w:rFonts w:ascii="Palatino Linotype" w:eastAsia="Calibri" w:hAnsi="Palatino Linotype" w:cs="Tahoma"/>
          <w:bCs/>
          <w:sz w:val="22"/>
          <w:szCs w:val="22"/>
          <w:lang w:eastAsia="en-US"/>
        </w:rPr>
        <w:t>las siguientes normas:</w:t>
      </w:r>
    </w:p>
    <w:p w14:paraId="5D423A90" w14:textId="77777777" w:rsidR="00550C96" w:rsidRPr="002244FC" w:rsidRDefault="00550C96" w:rsidP="00690B14">
      <w:pPr>
        <w:spacing w:line="360" w:lineRule="auto"/>
        <w:jc w:val="both"/>
        <w:rPr>
          <w:rFonts w:ascii="Palatino Linotype" w:eastAsia="Calibri" w:hAnsi="Palatino Linotype" w:cs="Tahoma"/>
          <w:bCs/>
          <w:sz w:val="22"/>
          <w:szCs w:val="22"/>
          <w:lang w:eastAsia="en-US"/>
        </w:rPr>
      </w:pPr>
    </w:p>
    <w:p w14:paraId="0C83C647" w14:textId="67AC6F99"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para la operación del servicio de transporte escolar, de personal y turismo</w:t>
      </w:r>
    </w:p>
    <w:p w14:paraId="432E1690" w14:textId="5DA8472A"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de vehículos adaptados para prestar los servicios auxiliares de arrastre, traslado, salvamento, guarda, custodia y depósito de vehículos, así como cobro de servicios.</w:t>
      </w:r>
    </w:p>
    <w:p w14:paraId="4102B51A" w14:textId="0B07BE7F"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 xml:space="preserve">Norma Técnica para la sustitución, expedición, renovación y duplicado de licencias para conducir vehículos automotores afectos al servicio de pasajeros en su modalidad </w:t>
      </w:r>
      <w:r w:rsidRPr="002244FC">
        <w:rPr>
          <w:rFonts w:ascii="Palatino Linotype" w:eastAsia="Calibri" w:hAnsi="Palatino Linotype" w:cs="Tahoma"/>
          <w:bCs/>
          <w:szCs w:val="22"/>
          <w:lang w:eastAsia="en-US"/>
        </w:rPr>
        <w:lastRenderedPageBreak/>
        <w:t>de colectivo, masivo, individual, especializado, mixto, de carga y de servicios a la comunidad</w:t>
      </w:r>
    </w:p>
    <w:p w14:paraId="4323D10C" w14:textId="772D0A28"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de capacitación y certificación permanente de los operadores del servicio público de transporte de forma presencial o en línea</w:t>
      </w:r>
    </w:p>
    <w:p w14:paraId="15EBAAB4" w14:textId="08661A6C"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que fija y actualiza las bases para determinar las tarifas del servicio público de transporte en sus diversas modalidades.</w:t>
      </w:r>
    </w:p>
    <w:p w14:paraId="64598FF1" w14:textId="73DD35CE"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del servicio público de transporte en la modalidad de discrecional de pasaje individual, en vehículos de propulsión no mecánica denominado Ecobicitaxi</w:t>
      </w:r>
    </w:p>
    <w:p w14:paraId="0059D871" w14:textId="6ED4D97A"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del Sistema de Video Vigilancia, Geolocalización y Botones de Pánico en el Transporte público en la modalidad de colectivo, con enlace remoto al sistema de atención de llamadas de emergencia 0-6-6</w:t>
      </w:r>
    </w:p>
    <w:p w14:paraId="76A7FFFF" w14:textId="1CC5918F"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en materia de plataformas centralizadas electrónica, sitios virtuales y/o aplicaciones móviles para la contratación del servicio público de transporte en su modalidad denominados taxis</w:t>
      </w:r>
    </w:p>
    <w:p w14:paraId="626DE859" w14:textId="5CDDE727" w:rsidR="00550C96" w:rsidRPr="002244FC" w:rsidRDefault="00550C96" w:rsidP="00550C96">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aplicable a vehículos adaptados para prestar los servicios auxiliares de arrastre, salvamento, guarda, custodia y depósito de vehículos en el Estado de México.</w:t>
      </w:r>
    </w:p>
    <w:p w14:paraId="46BE61F8" w14:textId="77777777" w:rsidR="00CE33A0" w:rsidRPr="002244FC" w:rsidRDefault="00FD2B89" w:rsidP="006A2741">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de vehículos adaptados para prestar los servicios auxiliares de arrastre, traslado, salvamento, guarda, custodia y depósito de vehículos, así como cobro de servicios.</w:t>
      </w:r>
    </w:p>
    <w:p w14:paraId="18743E12" w14:textId="334A5C29" w:rsidR="00CE33A0" w:rsidRPr="002244FC" w:rsidRDefault="00CE33A0" w:rsidP="006A2741">
      <w:pPr>
        <w:pStyle w:val="Prrafodelista"/>
        <w:numPr>
          <w:ilvl w:val="0"/>
          <w:numId w:val="36"/>
        </w:numPr>
        <w:spacing w:line="360" w:lineRule="auto"/>
        <w:jc w:val="both"/>
        <w:rPr>
          <w:rFonts w:ascii="Palatino Linotype" w:eastAsia="Calibri" w:hAnsi="Palatino Linotype" w:cs="Tahoma"/>
          <w:bCs/>
          <w:szCs w:val="22"/>
          <w:lang w:eastAsia="en-US"/>
        </w:rPr>
      </w:pPr>
      <w:r w:rsidRPr="002244FC">
        <w:rPr>
          <w:rFonts w:ascii="Palatino Linotype" w:eastAsia="Calibri" w:hAnsi="Palatino Linotype" w:cs="Tahoma"/>
          <w:bCs/>
          <w:szCs w:val="22"/>
          <w:lang w:eastAsia="en-US"/>
        </w:rPr>
        <w:t>Norma técnica que actualiza y fija las bases para determinar las tarifas del servicio público de transporte en sus diversas modalidades y de los servicios auxiliares.</w:t>
      </w:r>
    </w:p>
    <w:p w14:paraId="771F6D38" w14:textId="77777777" w:rsidR="00CE33A0" w:rsidRPr="002244FC" w:rsidRDefault="00CE33A0" w:rsidP="00CE33A0">
      <w:pPr>
        <w:pStyle w:val="Prrafodelista"/>
        <w:spacing w:line="360" w:lineRule="auto"/>
        <w:jc w:val="both"/>
        <w:rPr>
          <w:rFonts w:ascii="Palatino Linotype" w:eastAsia="Calibri" w:hAnsi="Palatino Linotype" w:cs="Tahoma"/>
          <w:bCs/>
          <w:szCs w:val="22"/>
          <w:lang w:eastAsia="en-US"/>
        </w:rPr>
      </w:pPr>
    </w:p>
    <w:p w14:paraId="7438E957" w14:textId="2BDA3A00" w:rsidR="00550C96" w:rsidRPr="002244FC" w:rsidRDefault="00CE33A0" w:rsidP="00690B14">
      <w:pPr>
        <w:spacing w:line="360" w:lineRule="auto"/>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Aunado a lo anterior, proporcionó algunas ligas electrónicas en donde se pueden consultar, así como documentos en pdf,</w:t>
      </w:r>
      <w:r w:rsidR="00EC609F" w:rsidRPr="002244FC">
        <w:rPr>
          <w:rFonts w:ascii="Palatino Linotype" w:eastAsia="Calibri" w:hAnsi="Palatino Linotype" w:cs="Tahoma"/>
          <w:bCs/>
          <w:sz w:val="22"/>
          <w:szCs w:val="22"/>
          <w:lang w:eastAsia="en-US"/>
        </w:rPr>
        <w:t xml:space="preserve"> de igual forma adjuntó la liga electrónica </w:t>
      </w:r>
      <w:hyperlink r:id="rId18" w:history="1">
        <w:r w:rsidR="00EC609F" w:rsidRPr="002244FC">
          <w:rPr>
            <w:rStyle w:val="Hipervnculo"/>
            <w:rFonts w:ascii="Palatino Linotype" w:eastAsia="Calibri" w:hAnsi="Palatino Linotype" w:cs="Tahoma"/>
            <w:bCs/>
            <w:sz w:val="22"/>
            <w:szCs w:val="22"/>
            <w:lang w:eastAsia="en-US"/>
          </w:rPr>
          <w:t>https://legislacion.edomex.gob.mx/sites/legislacion.edomex.gob.mx/files/files/pdf/gct/2011/may133.PDF</w:t>
        </w:r>
      </w:hyperlink>
      <w:r w:rsidR="00EC609F" w:rsidRPr="002244FC">
        <w:rPr>
          <w:rFonts w:ascii="Palatino Linotype" w:eastAsia="Calibri" w:hAnsi="Palatino Linotype" w:cs="Tahoma"/>
          <w:bCs/>
          <w:sz w:val="22"/>
          <w:szCs w:val="22"/>
          <w:lang w:eastAsia="en-US"/>
        </w:rPr>
        <w:t xml:space="preserve"> en donde puede ser consultada la normateca interna</w:t>
      </w:r>
      <w:r w:rsidR="00834313" w:rsidRPr="002244FC">
        <w:rPr>
          <w:rFonts w:ascii="Palatino Linotype" w:eastAsia="Calibri" w:hAnsi="Palatino Linotype" w:cs="Tahoma"/>
          <w:bCs/>
          <w:sz w:val="22"/>
          <w:szCs w:val="22"/>
          <w:lang w:eastAsia="en-US"/>
        </w:rPr>
        <w:t xml:space="preserve"> de la Secretaría de Movilidad,</w:t>
      </w:r>
      <w:r w:rsidR="00EC609F" w:rsidRPr="002244FC">
        <w:rPr>
          <w:rFonts w:ascii="Palatino Linotype" w:eastAsia="Calibri" w:hAnsi="Palatino Linotype" w:cs="Tahoma"/>
          <w:bCs/>
          <w:sz w:val="22"/>
          <w:szCs w:val="22"/>
          <w:lang w:eastAsia="en-US"/>
        </w:rPr>
        <w:t xml:space="preserve"> la cual </w:t>
      </w:r>
      <w:r w:rsidR="006D7CFB" w:rsidRPr="002244FC">
        <w:rPr>
          <w:rFonts w:ascii="Palatino Linotype" w:eastAsia="Calibri" w:hAnsi="Palatino Linotype" w:cs="Tahoma"/>
          <w:bCs/>
          <w:sz w:val="22"/>
          <w:szCs w:val="22"/>
          <w:lang w:eastAsia="en-US"/>
        </w:rPr>
        <w:t xml:space="preserve">contiene </w:t>
      </w:r>
      <w:r w:rsidR="00EC609F" w:rsidRPr="002244FC">
        <w:rPr>
          <w:rFonts w:ascii="Palatino Linotype" w:eastAsia="Calibri" w:hAnsi="Palatino Linotype" w:cs="Tahoma"/>
          <w:bCs/>
          <w:sz w:val="22"/>
          <w:szCs w:val="22"/>
          <w:lang w:eastAsia="en-US"/>
        </w:rPr>
        <w:t>lo siguiente:</w:t>
      </w:r>
    </w:p>
    <w:p w14:paraId="13833319" w14:textId="4949D717" w:rsidR="006D7CFB" w:rsidRPr="002244FC" w:rsidRDefault="006D7CFB" w:rsidP="00437DBF">
      <w:pPr>
        <w:spacing w:line="360" w:lineRule="auto"/>
        <w:jc w:val="center"/>
        <w:rPr>
          <w:rFonts w:ascii="Palatino Linotype" w:eastAsia="Calibri" w:hAnsi="Palatino Linotype" w:cs="Tahoma"/>
          <w:bCs/>
          <w:sz w:val="22"/>
          <w:szCs w:val="22"/>
          <w:lang w:eastAsia="en-US"/>
        </w:rPr>
      </w:pPr>
      <w:r w:rsidRPr="002244FC">
        <w:rPr>
          <w:rFonts w:ascii="Palatino Linotype" w:hAnsi="Palatino Linotype"/>
          <w:noProof/>
          <w:lang w:eastAsia="es-MX"/>
        </w:rPr>
        <w:lastRenderedPageBreak/>
        <w:drawing>
          <wp:inline distT="0" distB="0" distL="0" distR="0" wp14:anchorId="18D4F632" wp14:editId="3DAD0490">
            <wp:extent cx="5023333" cy="962660"/>
            <wp:effectExtent l="0" t="0" r="635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58" t="14448" r="50741" b="69334"/>
                    <a:stretch/>
                  </pic:blipFill>
                  <pic:spPr bwMode="auto">
                    <a:xfrm>
                      <a:off x="0" y="0"/>
                      <a:ext cx="5079084" cy="973344"/>
                    </a:xfrm>
                    <a:prstGeom prst="rect">
                      <a:avLst/>
                    </a:prstGeom>
                    <a:ln>
                      <a:noFill/>
                    </a:ln>
                    <a:extLst>
                      <a:ext uri="{53640926-AAD7-44D8-BBD7-CCE9431645EC}">
                        <a14:shadowObscured xmlns:a14="http://schemas.microsoft.com/office/drawing/2010/main"/>
                      </a:ext>
                    </a:extLst>
                  </pic:spPr>
                </pic:pic>
              </a:graphicData>
            </a:graphic>
          </wp:inline>
        </w:drawing>
      </w:r>
    </w:p>
    <w:p w14:paraId="30CD68B2" w14:textId="473B1F07" w:rsidR="006D7CFB" w:rsidRPr="002244FC" w:rsidRDefault="006D7CFB" w:rsidP="00690B14">
      <w:pPr>
        <w:spacing w:line="360" w:lineRule="auto"/>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w:t>
      </w:r>
    </w:p>
    <w:p w14:paraId="4A552E14" w14:textId="6DEFE205" w:rsidR="00EC609F" w:rsidRPr="002244FC" w:rsidRDefault="00EC609F" w:rsidP="00437DBF">
      <w:pPr>
        <w:spacing w:line="360" w:lineRule="auto"/>
        <w:jc w:val="center"/>
        <w:rPr>
          <w:rFonts w:ascii="Palatino Linotype" w:eastAsia="Calibri" w:hAnsi="Palatino Linotype" w:cs="Tahoma"/>
          <w:bCs/>
          <w:sz w:val="22"/>
          <w:szCs w:val="22"/>
          <w:lang w:eastAsia="en-US"/>
        </w:rPr>
      </w:pPr>
      <w:r w:rsidRPr="002244FC">
        <w:rPr>
          <w:rFonts w:ascii="Palatino Linotype" w:hAnsi="Palatino Linotype"/>
          <w:noProof/>
          <w:lang w:eastAsia="es-MX"/>
        </w:rPr>
        <w:drawing>
          <wp:inline distT="0" distB="0" distL="0" distR="0" wp14:anchorId="65D89986" wp14:editId="10DE388B">
            <wp:extent cx="4227972" cy="27305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148" t="17208" r="32796" b="45987"/>
                    <a:stretch/>
                  </pic:blipFill>
                  <pic:spPr bwMode="auto">
                    <a:xfrm>
                      <a:off x="0" y="0"/>
                      <a:ext cx="4253923" cy="2747260"/>
                    </a:xfrm>
                    <a:prstGeom prst="rect">
                      <a:avLst/>
                    </a:prstGeom>
                    <a:ln>
                      <a:noFill/>
                    </a:ln>
                    <a:extLst>
                      <a:ext uri="{53640926-AAD7-44D8-BBD7-CCE9431645EC}">
                        <a14:shadowObscured xmlns:a14="http://schemas.microsoft.com/office/drawing/2010/main"/>
                      </a:ext>
                    </a:extLst>
                  </pic:spPr>
                </pic:pic>
              </a:graphicData>
            </a:graphic>
          </wp:inline>
        </w:drawing>
      </w:r>
    </w:p>
    <w:p w14:paraId="26BED9B9" w14:textId="4107BBAD" w:rsidR="00834313" w:rsidRPr="002244FC" w:rsidRDefault="00834313" w:rsidP="00690B14">
      <w:pPr>
        <w:spacing w:line="360" w:lineRule="auto"/>
        <w:jc w:val="both"/>
        <w:rPr>
          <w:rFonts w:ascii="Palatino Linotype" w:eastAsia="Calibri" w:hAnsi="Palatino Linotype" w:cs="Tahoma"/>
          <w:bCs/>
          <w:sz w:val="22"/>
          <w:szCs w:val="22"/>
          <w:lang w:eastAsia="en-US"/>
        </w:rPr>
      </w:pPr>
      <w:r w:rsidRPr="002244FC">
        <w:rPr>
          <w:rFonts w:ascii="Palatino Linotype" w:eastAsia="Calibri" w:hAnsi="Palatino Linotype" w:cs="Tahoma"/>
          <w:bCs/>
          <w:sz w:val="22"/>
          <w:szCs w:val="22"/>
          <w:lang w:eastAsia="en-US"/>
        </w:rPr>
        <w:t>…</w:t>
      </w:r>
    </w:p>
    <w:p w14:paraId="3DF764A9" w14:textId="422238F8" w:rsidR="00EC609F" w:rsidRPr="002244FC" w:rsidRDefault="00EC609F" w:rsidP="00EC609F">
      <w:pPr>
        <w:spacing w:line="360" w:lineRule="auto"/>
        <w:jc w:val="both"/>
        <w:rPr>
          <w:rFonts w:ascii="Palatino Linotype" w:hAnsi="Palatino Linotype" w:cs="Tahoma"/>
          <w:sz w:val="22"/>
          <w:szCs w:val="22"/>
          <w:lang w:val="es-ES"/>
        </w:rPr>
      </w:pPr>
      <w:r w:rsidRPr="002244FC">
        <w:rPr>
          <w:rFonts w:ascii="Palatino Linotype" w:eastAsia="Calibri" w:hAnsi="Palatino Linotype" w:cs="Tahoma"/>
          <w:bCs/>
          <w:sz w:val="22"/>
          <w:szCs w:val="22"/>
          <w:lang w:val="es-ES" w:eastAsia="en-US"/>
        </w:rPr>
        <w:t xml:space="preserve">Aunado a lo anterior, es necesario señalar que la información requerida por el Particular </w:t>
      </w:r>
      <w:r w:rsidRPr="002244FC">
        <w:rPr>
          <w:rFonts w:ascii="Palatino Linotype" w:hAnsi="Palatino Linotype" w:cs="Tahoma"/>
          <w:sz w:val="22"/>
          <w:szCs w:val="22"/>
          <w:lang w:val="es-ES"/>
        </w:rPr>
        <w:t>se trata de información pública, que se encuentran dentro de las obligaciones de transparencia comunes del Sujeto Obligado, de acuerdo a lo señalado en el artículo 92, fracción I, de la Ley de Transparencia y Acceso a la Información Pública del Estado de México y Municipios, que se transcribe a continuación:</w:t>
      </w:r>
    </w:p>
    <w:p w14:paraId="56DD6DE7" w14:textId="77777777" w:rsidR="00EC609F" w:rsidRPr="002244FC" w:rsidRDefault="00EC609F" w:rsidP="00EC609F">
      <w:pPr>
        <w:spacing w:line="360" w:lineRule="auto"/>
        <w:ind w:left="567" w:right="539"/>
        <w:jc w:val="both"/>
        <w:rPr>
          <w:rFonts w:ascii="Palatino Linotype" w:hAnsi="Palatino Linotype" w:cs="Tahoma"/>
          <w:i/>
          <w:szCs w:val="22"/>
          <w:lang w:val="es-ES"/>
        </w:rPr>
      </w:pPr>
    </w:p>
    <w:p w14:paraId="07CE0DD7" w14:textId="77777777" w:rsidR="00EC609F" w:rsidRPr="002244FC" w:rsidRDefault="00EC609F" w:rsidP="00EC609F">
      <w:pPr>
        <w:spacing w:line="360" w:lineRule="auto"/>
        <w:ind w:left="567" w:right="539"/>
        <w:jc w:val="both"/>
        <w:rPr>
          <w:rFonts w:ascii="Palatino Linotype" w:hAnsi="Palatino Linotype" w:cs="Tahoma"/>
          <w:bCs/>
          <w:i/>
          <w:szCs w:val="22"/>
        </w:rPr>
      </w:pPr>
      <w:r w:rsidRPr="002244FC">
        <w:rPr>
          <w:rFonts w:ascii="Palatino Linotype" w:hAnsi="Palatino Linotype" w:cs="Tahoma"/>
          <w:b/>
          <w:i/>
          <w:szCs w:val="22"/>
        </w:rPr>
        <w:t xml:space="preserve">Artículo 92. </w:t>
      </w:r>
      <w:r w:rsidRPr="002244FC">
        <w:rPr>
          <w:rFonts w:ascii="Palatino Linotype" w:hAnsi="Palatino Linotype" w:cs="Tahoma"/>
          <w:bCs/>
          <w:i/>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6F59932" w14:textId="77777777" w:rsidR="00EC609F" w:rsidRPr="002244FC" w:rsidRDefault="00EC609F" w:rsidP="00EC609F">
      <w:pPr>
        <w:spacing w:line="360" w:lineRule="auto"/>
        <w:ind w:left="567" w:right="539"/>
        <w:jc w:val="both"/>
        <w:rPr>
          <w:rFonts w:ascii="Palatino Linotype" w:hAnsi="Palatino Linotype" w:cs="Tahoma"/>
          <w:bCs/>
          <w:i/>
          <w:szCs w:val="22"/>
        </w:rPr>
      </w:pPr>
    </w:p>
    <w:p w14:paraId="1702CD76" w14:textId="77777777" w:rsidR="00EC609F" w:rsidRPr="002244FC" w:rsidRDefault="00EC609F" w:rsidP="00EC609F">
      <w:pPr>
        <w:spacing w:line="360" w:lineRule="auto"/>
        <w:ind w:left="567" w:right="539"/>
        <w:jc w:val="both"/>
        <w:rPr>
          <w:rFonts w:ascii="Palatino Linotype" w:hAnsi="Palatino Linotype" w:cs="Tahoma"/>
          <w:bCs/>
          <w:i/>
          <w:szCs w:val="22"/>
        </w:rPr>
      </w:pPr>
      <w:r w:rsidRPr="002244FC">
        <w:rPr>
          <w:rFonts w:ascii="Palatino Linotype" w:hAnsi="Palatino Linotype" w:cs="Tahoma"/>
          <w:bCs/>
          <w:i/>
          <w:szCs w:val="22"/>
        </w:rPr>
        <w:lastRenderedPageBreak/>
        <w:t>I. El marco normativo aplicable al sujeto obligado, en el que deberá incluirse leyes, códigos, reglamentos, decretos de creación, acuerdos, convenios, manuales de organización y procedimientos, reglas de operación, criterios, políticas, entre otros;</w:t>
      </w:r>
    </w:p>
    <w:p w14:paraId="6190E77B" w14:textId="77777777" w:rsidR="00EC609F" w:rsidRPr="002244FC" w:rsidRDefault="00EC609F" w:rsidP="00EC609F">
      <w:pPr>
        <w:spacing w:line="360" w:lineRule="auto"/>
        <w:ind w:left="567" w:right="539"/>
        <w:jc w:val="both"/>
        <w:rPr>
          <w:rFonts w:ascii="Palatino Linotype" w:eastAsia="Calibri" w:hAnsi="Palatino Linotype" w:cs="Tahoma"/>
          <w:bCs/>
          <w:sz w:val="22"/>
          <w:szCs w:val="22"/>
          <w:lang w:eastAsia="en-US"/>
        </w:rPr>
      </w:pPr>
      <w:r w:rsidRPr="002244FC">
        <w:rPr>
          <w:rFonts w:ascii="Palatino Linotype" w:hAnsi="Palatino Linotype" w:cs="Tahoma"/>
          <w:bCs/>
          <w:i/>
          <w:szCs w:val="22"/>
        </w:rPr>
        <w:t>II a LII…</w:t>
      </w:r>
    </w:p>
    <w:p w14:paraId="0F0D3BB1" w14:textId="77777777" w:rsidR="00EC609F" w:rsidRPr="002244FC" w:rsidRDefault="00EC609F" w:rsidP="00EC609F">
      <w:pPr>
        <w:spacing w:line="360" w:lineRule="auto"/>
        <w:jc w:val="both"/>
        <w:rPr>
          <w:rFonts w:ascii="Palatino Linotype" w:eastAsia="Calibri" w:hAnsi="Palatino Linotype" w:cs="Tahoma"/>
          <w:bCs/>
          <w:sz w:val="22"/>
          <w:szCs w:val="22"/>
          <w:lang w:val="es-ES" w:eastAsia="en-US"/>
        </w:rPr>
      </w:pPr>
    </w:p>
    <w:p w14:paraId="09BF30DC" w14:textId="08337EB3" w:rsidR="00EC609F" w:rsidRPr="002244FC" w:rsidRDefault="00EC609F" w:rsidP="00EC609F">
      <w:pPr>
        <w:spacing w:line="360" w:lineRule="auto"/>
        <w:jc w:val="both"/>
        <w:rPr>
          <w:rFonts w:ascii="Palatino Linotype" w:hAnsi="Palatino Linotype" w:cs="Tahoma"/>
          <w:sz w:val="22"/>
          <w:szCs w:val="22"/>
          <w:lang w:val="es-ES"/>
        </w:rPr>
      </w:pPr>
      <w:r w:rsidRPr="002244FC">
        <w:rPr>
          <w:rFonts w:ascii="Palatino Linotype" w:hAnsi="Palatino Linotype" w:cs="Tahoma"/>
          <w:sz w:val="22"/>
          <w:szCs w:val="22"/>
          <w:lang w:val="es-ES"/>
        </w:rPr>
        <w:t>Por lo señalado, se consultó el Portal de Información Pública de Oficio Mexiquense (IPOMEX) del Sujeto Obligado en el que se pudieron localizar</w:t>
      </w:r>
      <w:r w:rsidR="00834313" w:rsidRPr="002244FC">
        <w:rPr>
          <w:rFonts w:ascii="Palatino Linotype" w:hAnsi="Palatino Linotype" w:cs="Tahoma"/>
          <w:sz w:val="22"/>
          <w:szCs w:val="22"/>
          <w:lang w:val="es-ES"/>
        </w:rPr>
        <w:t>, entre otros,</w:t>
      </w:r>
      <w:r w:rsidRPr="002244FC">
        <w:rPr>
          <w:rFonts w:ascii="Palatino Linotype" w:hAnsi="Palatino Linotype" w:cs="Tahoma"/>
          <w:sz w:val="22"/>
          <w:szCs w:val="22"/>
          <w:lang w:val="es-ES"/>
        </w:rPr>
        <w:t xml:space="preserve"> los siguientes acuerdos:</w:t>
      </w:r>
    </w:p>
    <w:p w14:paraId="4062E14C" w14:textId="6C7E5429" w:rsidR="00EC609F" w:rsidRPr="002244FC" w:rsidRDefault="00EC609F" w:rsidP="00EC609F">
      <w:pPr>
        <w:spacing w:line="360" w:lineRule="auto"/>
        <w:jc w:val="center"/>
        <w:rPr>
          <w:rFonts w:ascii="Palatino Linotype" w:hAnsi="Palatino Linotype" w:cs="Tahoma"/>
          <w:sz w:val="22"/>
          <w:szCs w:val="22"/>
          <w:lang w:val="es-ES"/>
        </w:rPr>
      </w:pPr>
      <w:r w:rsidRPr="002244FC">
        <w:rPr>
          <w:rFonts w:ascii="Palatino Linotype" w:hAnsi="Palatino Linotype"/>
          <w:noProof/>
          <w:lang w:eastAsia="es-MX"/>
        </w:rPr>
        <w:drawing>
          <wp:inline distT="0" distB="0" distL="0" distR="0" wp14:anchorId="2833D5C3" wp14:editId="2229DDD4">
            <wp:extent cx="3876843" cy="25400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141" t="39808" r="66000" b="26577"/>
                    <a:stretch/>
                  </pic:blipFill>
                  <pic:spPr bwMode="auto">
                    <a:xfrm>
                      <a:off x="0" y="0"/>
                      <a:ext cx="3908134" cy="2560501"/>
                    </a:xfrm>
                    <a:prstGeom prst="rect">
                      <a:avLst/>
                    </a:prstGeom>
                    <a:ln>
                      <a:noFill/>
                    </a:ln>
                    <a:extLst>
                      <a:ext uri="{53640926-AAD7-44D8-BBD7-CCE9431645EC}">
                        <a14:shadowObscured xmlns:a14="http://schemas.microsoft.com/office/drawing/2010/main"/>
                      </a:ext>
                    </a:extLst>
                  </pic:spPr>
                </pic:pic>
              </a:graphicData>
            </a:graphic>
          </wp:inline>
        </w:drawing>
      </w:r>
    </w:p>
    <w:p w14:paraId="456F9DB5" w14:textId="5F869E05" w:rsidR="00EC609F" w:rsidRPr="002244FC" w:rsidRDefault="00EC609F" w:rsidP="00EC609F">
      <w:pPr>
        <w:spacing w:line="360" w:lineRule="auto"/>
        <w:jc w:val="center"/>
        <w:rPr>
          <w:rFonts w:ascii="Palatino Linotype" w:hAnsi="Palatino Linotype" w:cs="Tahoma"/>
          <w:sz w:val="22"/>
          <w:szCs w:val="22"/>
          <w:lang w:val="es-ES"/>
        </w:rPr>
      </w:pPr>
      <w:r w:rsidRPr="002244FC">
        <w:rPr>
          <w:rFonts w:ascii="Palatino Linotype" w:hAnsi="Palatino Linotype"/>
          <w:noProof/>
          <w:lang w:eastAsia="es-MX"/>
        </w:rPr>
        <w:drawing>
          <wp:inline distT="0" distB="0" distL="0" distR="0" wp14:anchorId="17F93E8B" wp14:editId="38E95A82">
            <wp:extent cx="4064000" cy="24848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975" t="38923" r="66000" b="29526"/>
                    <a:stretch/>
                  </pic:blipFill>
                  <pic:spPr bwMode="auto">
                    <a:xfrm>
                      <a:off x="0" y="0"/>
                      <a:ext cx="4076255" cy="2492339"/>
                    </a:xfrm>
                    <a:prstGeom prst="rect">
                      <a:avLst/>
                    </a:prstGeom>
                    <a:ln>
                      <a:noFill/>
                    </a:ln>
                    <a:extLst>
                      <a:ext uri="{53640926-AAD7-44D8-BBD7-CCE9431645EC}">
                        <a14:shadowObscured xmlns:a14="http://schemas.microsoft.com/office/drawing/2010/main"/>
                      </a:ext>
                    </a:extLst>
                  </pic:spPr>
                </pic:pic>
              </a:graphicData>
            </a:graphic>
          </wp:inline>
        </w:drawing>
      </w:r>
    </w:p>
    <w:p w14:paraId="4A691E73" w14:textId="15ED54E4" w:rsidR="00EC609F" w:rsidRPr="002244FC" w:rsidRDefault="00EC609F" w:rsidP="00EC609F">
      <w:pPr>
        <w:spacing w:line="360" w:lineRule="auto"/>
        <w:jc w:val="center"/>
        <w:rPr>
          <w:rFonts w:ascii="Palatino Linotype" w:hAnsi="Palatino Linotype" w:cs="Tahoma"/>
          <w:sz w:val="22"/>
          <w:szCs w:val="22"/>
          <w:lang w:val="es-ES"/>
        </w:rPr>
      </w:pPr>
      <w:r w:rsidRPr="002244FC">
        <w:rPr>
          <w:rFonts w:ascii="Palatino Linotype" w:hAnsi="Palatino Linotype"/>
          <w:noProof/>
          <w:lang w:eastAsia="es-MX"/>
        </w:rPr>
        <w:lastRenderedPageBreak/>
        <w:drawing>
          <wp:inline distT="0" distB="0" distL="0" distR="0" wp14:anchorId="4CDE7B54" wp14:editId="56396627">
            <wp:extent cx="3976075" cy="4895399"/>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07" t="23000" r="66000" b="14193"/>
                    <a:stretch/>
                  </pic:blipFill>
                  <pic:spPr bwMode="auto">
                    <a:xfrm>
                      <a:off x="0" y="0"/>
                      <a:ext cx="4004298" cy="4930148"/>
                    </a:xfrm>
                    <a:prstGeom prst="rect">
                      <a:avLst/>
                    </a:prstGeom>
                    <a:ln>
                      <a:noFill/>
                    </a:ln>
                    <a:extLst>
                      <a:ext uri="{53640926-AAD7-44D8-BBD7-CCE9431645EC}">
                        <a14:shadowObscured xmlns:a14="http://schemas.microsoft.com/office/drawing/2010/main"/>
                      </a:ext>
                    </a:extLst>
                  </pic:spPr>
                </pic:pic>
              </a:graphicData>
            </a:graphic>
          </wp:inline>
        </w:drawing>
      </w:r>
    </w:p>
    <w:p w14:paraId="759DA345" w14:textId="2C3558C3" w:rsidR="00EC609F" w:rsidRPr="002244FC" w:rsidRDefault="00EC609F" w:rsidP="00EC609F">
      <w:pPr>
        <w:spacing w:line="360" w:lineRule="auto"/>
        <w:jc w:val="both"/>
        <w:rPr>
          <w:rFonts w:ascii="Palatino Linotype" w:hAnsi="Palatino Linotype" w:cs="Tahoma"/>
          <w:sz w:val="22"/>
          <w:szCs w:val="22"/>
          <w:lang w:val="es-ES"/>
        </w:rPr>
      </w:pPr>
      <w:r w:rsidRPr="002244FC">
        <w:rPr>
          <w:rFonts w:ascii="Palatino Linotype" w:hAnsi="Palatino Linotype" w:cs="Tahoma"/>
          <w:sz w:val="22"/>
          <w:szCs w:val="22"/>
          <w:lang w:val="es-ES"/>
        </w:rPr>
        <w:t xml:space="preserve">De las imágenes insertadas, se desprende que el </w:t>
      </w:r>
      <w:r w:rsidR="006D7CFB" w:rsidRPr="002244FC">
        <w:rPr>
          <w:rFonts w:ascii="Palatino Linotype" w:hAnsi="Palatino Linotype" w:cs="Tahoma"/>
          <w:sz w:val="22"/>
          <w:szCs w:val="22"/>
          <w:lang w:val="es-ES"/>
        </w:rPr>
        <w:t xml:space="preserve">Sujeto </w:t>
      </w:r>
      <w:r w:rsidRPr="002244FC">
        <w:rPr>
          <w:rFonts w:ascii="Palatino Linotype" w:hAnsi="Palatino Linotype" w:cs="Tahoma"/>
          <w:sz w:val="22"/>
          <w:szCs w:val="22"/>
          <w:lang w:val="es-ES"/>
        </w:rPr>
        <w:t xml:space="preserve">Obligado tiene actualizado su Portal de IPOMEX al año dos mil veintitrés con las normas proporcionadas en respuesta, </w:t>
      </w:r>
      <w:r w:rsidR="006D7CFB" w:rsidRPr="002244FC">
        <w:rPr>
          <w:rFonts w:ascii="Palatino Linotype" w:hAnsi="Palatino Linotype" w:cs="Tahoma"/>
          <w:sz w:val="22"/>
          <w:szCs w:val="22"/>
          <w:lang w:val="es-ES"/>
        </w:rPr>
        <w:t>además se localizó la página oficial de la cual se puede obtener la normatividad de la Secretaría de Movilidad, en la que se obtiene la liga ya proporcionada y plasmada en párrafos anteriores como se muestra a continuación:</w:t>
      </w:r>
    </w:p>
    <w:p w14:paraId="77EDF4FE" w14:textId="77777777" w:rsidR="006D7CFB" w:rsidRPr="002244FC" w:rsidRDefault="006D7CFB" w:rsidP="00EC609F">
      <w:pPr>
        <w:spacing w:line="360" w:lineRule="auto"/>
        <w:jc w:val="both"/>
        <w:rPr>
          <w:rFonts w:ascii="Palatino Linotype" w:hAnsi="Palatino Linotype" w:cs="Tahoma"/>
          <w:sz w:val="22"/>
          <w:szCs w:val="22"/>
          <w:lang w:val="es-ES"/>
        </w:rPr>
      </w:pPr>
    </w:p>
    <w:p w14:paraId="3F1F2FAE" w14:textId="5E7B6C0D" w:rsidR="00EC609F" w:rsidRPr="002244FC" w:rsidRDefault="006D7CFB" w:rsidP="006D7CFB">
      <w:pPr>
        <w:spacing w:line="360" w:lineRule="auto"/>
        <w:jc w:val="center"/>
        <w:rPr>
          <w:rFonts w:ascii="Palatino Linotype" w:hAnsi="Palatino Linotype" w:cs="Tahoma"/>
          <w:sz w:val="22"/>
          <w:szCs w:val="22"/>
          <w:lang w:val="es-ES"/>
        </w:rPr>
      </w:pPr>
      <w:r w:rsidRPr="002244FC">
        <w:rPr>
          <w:rFonts w:ascii="Palatino Linotype" w:hAnsi="Palatino Linotype"/>
          <w:noProof/>
          <w:lang w:eastAsia="es-MX"/>
        </w:rPr>
        <w:lastRenderedPageBreak/>
        <w:drawing>
          <wp:inline distT="0" distB="0" distL="0" distR="0" wp14:anchorId="3FED1573" wp14:editId="7E163499">
            <wp:extent cx="5219700" cy="40581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073" t="6489" r="20555" b="10063"/>
                    <a:stretch/>
                  </pic:blipFill>
                  <pic:spPr bwMode="auto">
                    <a:xfrm>
                      <a:off x="0" y="0"/>
                      <a:ext cx="5224572" cy="4061960"/>
                    </a:xfrm>
                    <a:prstGeom prst="rect">
                      <a:avLst/>
                    </a:prstGeom>
                    <a:ln>
                      <a:noFill/>
                    </a:ln>
                    <a:extLst>
                      <a:ext uri="{53640926-AAD7-44D8-BBD7-CCE9431645EC}">
                        <a14:shadowObscured xmlns:a14="http://schemas.microsoft.com/office/drawing/2010/main"/>
                      </a:ext>
                    </a:extLst>
                  </pic:spPr>
                </pic:pic>
              </a:graphicData>
            </a:graphic>
          </wp:inline>
        </w:drawing>
      </w:r>
    </w:p>
    <w:p w14:paraId="419185CF" w14:textId="77777777" w:rsidR="006D7CFB" w:rsidRPr="002244FC" w:rsidRDefault="006D7CFB" w:rsidP="00EC609F">
      <w:pPr>
        <w:spacing w:line="360" w:lineRule="auto"/>
        <w:jc w:val="both"/>
        <w:rPr>
          <w:rFonts w:ascii="Palatino Linotype" w:hAnsi="Palatino Linotype" w:cs="Tahoma"/>
          <w:sz w:val="22"/>
          <w:szCs w:val="22"/>
          <w:lang w:val="es-ES"/>
        </w:rPr>
      </w:pPr>
    </w:p>
    <w:p w14:paraId="41F55D4F" w14:textId="3A905040" w:rsidR="006D7CFB" w:rsidRPr="002244FC" w:rsidRDefault="006D7CFB" w:rsidP="006D7CFB">
      <w:pPr>
        <w:spacing w:line="360" w:lineRule="auto"/>
        <w:jc w:val="both"/>
        <w:rPr>
          <w:rFonts w:ascii="Palatino Linotype" w:hAnsi="Palatino Linotype" w:cs="Tahoma"/>
          <w:sz w:val="22"/>
          <w:szCs w:val="24"/>
        </w:rPr>
      </w:pPr>
      <w:r w:rsidRPr="002244FC">
        <w:rPr>
          <w:rFonts w:ascii="Palatino Linotype" w:eastAsia="Calibri" w:hAnsi="Palatino Linotype" w:cs="Tahoma"/>
          <w:sz w:val="22"/>
          <w:szCs w:val="22"/>
          <w:lang w:eastAsia="es-ES_tradnl"/>
        </w:rPr>
        <w:t xml:space="preserve">Posteriormente, el Particular como razones o motivos de inconformidad manifestó que no se le entregaba la normatividad vigente, sin embargo, como ya se analizó la información se encuentra vigente incluso en el Portal de Información Pública de Oficio Mexiquense y respecto de que no se le entregó soporte, se le hizo entrega de las </w:t>
      </w:r>
      <w:r w:rsidR="00834313" w:rsidRPr="002244FC">
        <w:rPr>
          <w:rFonts w:ascii="Palatino Linotype" w:eastAsia="Calibri" w:hAnsi="Palatino Linotype" w:cs="Tahoma"/>
          <w:sz w:val="22"/>
          <w:szCs w:val="22"/>
          <w:lang w:eastAsia="es-ES_tradnl"/>
        </w:rPr>
        <w:t>l</w:t>
      </w:r>
      <w:r w:rsidRPr="002244FC">
        <w:rPr>
          <w:rFonts w:ascii="Palatino Linotype" w:eastAsia="Calibri" w:hAnsi="Palatino Linotype" w:cs="Tahoma"/>
          <w:sz w:val="22"/>
          <w:szCs w:val="22"/>
          <w:lang w:eastAsia="es-ES_tradnl"/>
        </w:rPr>
        <w:t>igas electrónicas en donde consta la información así como de diferentes archivos que contienen las normas mencionadas por la Secretaría de Movilidad</w:t>
      </w:r>
      <w:r w:rsidRPr="002244FC">
        <w:rPr>
          <w:rFonts w:ascii="Palatino Linotype" w:hAnsi="Palatino Linotype" w:cs="Tahoma"/>
          <w:sz w:val="22"/>
          <w:szCs w:val="22"/>
        </w:rPr>
        <w:t xml:space="preserve">, </w:t>
      </w:r>
      <w:r w:rsidRPr="002244FC">
        <w:rPr>
          <w:rFonts w:ascii="Palatino Linotype" w:eastAsia="Calibri" w:hAnsi="Palatino Linotype" w:cs="Tahoma"/>
          <w:iCs/>
          <w:sz w:val="22"/>
          <w:szCs w:val="22"/>
          <w:lang w:eastAsia="es-ES_tradnl"/>
        </w:rPr>
        <w:t xml:space="preserve">así </w:t>
      </w:r>
      <w:r w:rsidRPr="002244FC">
        <w:rPr>
          <w:rFonts w:ascii="Palatino Linotype" w:eastAsia="Calibri" w:hAnsi="Palatino Linotype" w:cs="Tahoma"/>
          <w:iCs/>
          <w:sz w:val="22"/>
          <w:szCs w:val="22"/>
          <w:lang w:val="es-ES" w:eastAsia="es-ES_tradnl"/>
        </w:rPr>
        <w:t>sobre la información proporcionada por el Sujeto Obligado</w:t>
      </w:r>
      <w:r w:rsidRPr="002244FC">
        <w:rPr>
          <w:rFonts w:ascii="Palatino Linotype" w:eastAsia="Calibri" w:hAnsi="Palatino Linotype" w:cs="Tahoma"/>
          <w:iCs/>
          <w:sz w:val="22"/>
          <w:szCs w:val="22"/>
          <w:lang w:eastAsia="es-ES_tradnl"/>
        </w:rPr>
        <w:t>,</w:t>
      </w:r>
      <w:r w:rsidRPr="002244FC">
        <w:rPr>
          <w:rFonts w:ascii="Palatino Linotype" w:eastAsia="Calibri" w:hAnsi="Palatino Linotype" w:cs="Tahoma"/>
          <w:iCs/>
          <w:sz w:val="22"/>
          <w:szCs w:val="22"/>
          <w:lang w:val="es-ES" w:eastAsia="es-ES_tradnl"/>
        </w:rPr>
        <w:t xml:space="preserve"> </w:t>
      </w:r>
      <w:r w:rsidRPr="002244FC">
        <w:rPr>
          <w:rFonts w:ascii="Palatino Linotype" w:hAnsi="Palatino Linotype" w:cs="Tahoma"/>
          <w:sz w:val="22"/>
          <w:szCs w:val="24"/>
        </w:rPr>
        <w:t xml:space="preserve">este Órgano Garante no está facultado para manifestarse sobre la veracidad de lo afirmado pues no existe precepto legal alguno en la Ley de la materia que lo faculte para ello, situación que se robustece con lo plasmado en el criterio 31-10 emitido por el entonces Instituto Federal de Acceso a la Información y Protección de Datos (IFAI) ahora Instituto Nacional de </w:t>
      </w:r>
      <w:r w:rsidRPr="002244FC">
        <w:rPr>
          <w:rFonts w:ascii="Palatino Linotype" w:hAnsi="Palatino Linotype" w:cs="Tahoma"/>
          <w:sz w:val="22"/>
          <w:szCs w:val="24"/>
        </w:rPr>
        <w:lastRenderedPageBreak/>
        <w:t xml:space="preserve">Transparencia, Acceso a la Información, y Protección de Datos Personales (INAI), que lleva por rubro y texto los siguientes: </w:t>
      </w:r>
    </w:p>
    <w:p w14:paraId="7D097929" w14:textId="77777777" w:rsidR="006D7CFB" w:rsidRPr="002244FC" w:rsidRDefault="006D7CFB" w:rsidP="006D7CFB">
      <w:pPr>
        <w:spacing w:line="360" w:lineRule="auto"/>
        <w:jc w:val="both"/>
        <w:rPr>
          <w:rFonts w:ascii="Palatino Linotype" w:hAnsi="Palatino Linotype" w:cs="Tahoma"/>
          <w:sz w:val="22"/>
          <w:szCs w:val="24"/>
        </w:rPr>
      </w:pPr>
    </w:p>
    <w:p w14:paraId="6F7A1573" w14:textId="77777777" w:rsidR="006D7CFB" w:rsidRPr="002244FC" w:rsidRDefault="006D7CFB" w:rsidP="006D7CFB">
      <w:pPr>
        <w:spacing w:line="360" w:lineRule="auto"/>
        <w:ind w:left="567" w:right="539"/>
        <w:jc w:val="both"/>
        <w:rPr>
          <w:rFonts w:ascii="Palatino Linotype" w:hAnsi="Palatino Linotype" w:cs="Tahoma"/>
          <w:i/>
          <w:szCs w:val="24"/>
        </w:rPr>
      </w:pPr>
      <w:r w:rsidRPr="002244FC">
        <w:rPr>
          <w:rFonts w:ascii="Palatino Linotype" w:hAnsi="Palatino Linotype" w:cs="Tahoma"/>
          <w:b/>
          <w:i/>
          <w:szCs w:val="24"/>
        </w:rPr>
        <w:t>“El Instituto Federal de Acceso a la Información y Protección de Datos no cuenta con facultades para pronunciarse respecto de la veracidad de los documentos proporcionados por los sujetos obligados.</w:t>
      </w:r>
      <w:r w:rsidRPr="002244FC">
        <w:rPr>
          <w:rFonts w:ascii="Palatino Linotype" w:hAnsi="Palatino Linotype" w:cs="Tahoma"/>
          <w:i/>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995CAD9" w14:textId="77777777" w:rsidR="006D7CFB" w:rsidRPr="002244FC" w:rsidRDefault="006D7CFB" w:rsidP="006D7CFB">
      <w:pPr>
        <w:spacing w:line="360" w:lineRule="auto"/>
        <w:jc w:val="both"/>
        <w:rPr>
          <w:rFonts w:ascii="Palatino Linotype" w:eastAsia="Calibri" w:hAnsi="Palatino Linotype" w:cs="Tahoma"/>
          <w:sz w:val="22"/>
          <w:szCs w:val="22"/>
          <w:lang w:eastAsia="es-ES_tradnl"/>
        </w:rPr>
      </w:pPr>
    </w:p>
    <w:p w14:paraId="4293BA3A" w14:textId="32F666BF" w:rsidR="006D7CFB" w:rsidRPr="002244FC" w:rsidRDefault="006D7CFB" w:rsidP="006D7CFB">
      <w:pPr>
        <w:spacing w:line="360" w:lineRule="auto"/>
        <w:jc w:val="both"/>
        <w:rPr>
          <w:rFonts w:ascii="Palatino Linotype" w:hAnsi="Palatino Linotype" w:cs="Tahoma"/>
          <w:sz w:val="22"/>
          <w:szCs w:val="22"/>
        </w:rPr>
      </w:pPr>
      <w:r w:rsidRPr="002244FC">
        <w:rPr>
          <w:rFonts w:ascii="Palatino Linotype" w:hAnsi="Palatino Linotype" w:cs="Tahoma"/>
          <w:sz w:val="22"/>
          <w:szCs w:val="22"/>
          <w:lang w:val="es-ES"/>
        </w:rPr>
        <w:t>De lo anterior, se concluye que los sujetos obligados únicamente proporcionan los documentos que den cuenta de la información solicitada, como obren en sus archivos, sin tener que elaborarlos a las necesidades del Recurrente, d</w:t>
      </w:r>
      <w:r w:rsidRPr="002244FC">
        <w:rPr>
          <w:rFonts w:ascii="Palatino Linotype" w:hAnsi="Palatino Linotype" w:cs="Tahoma"/>
          <w:sz w:val="22"/>
          <w:szCs w:val="22"/>
        </w:rPr>
        <w:t xml:space="preserve">e tal suerte, se advierte que además el Sujeto Obligado siguió el procedimiento establecido en el artículo 160 </w:t>
      </w:r>
      <w:r w:rsidR="004F0488" w:rsidRPr="002244FC">
        <w:rPr>
          <w:rFonts w:ascii="Palatino Linotype" w:hAnsi="Palatino Linotype" w:cs="Tahoma"/>
          <w:sz w:val="22"/>
          <w:szCs w:val="22"/>
        </w:rPr>
        <w:t xml:space="preserve">y 162 </w:t>
      </w:r>
      <w:r w:rsidRPr="002244FC">
        <w:rPr>
          <w:rFonts w:ascii="Palatino Linotype" w:hAnsi="Palatino Linotype" w:cs="Tahoma"/>
          <w:sz w:val="22"/>
          <w:szCs w:val="22"/>
        </w:rPr>
        <w:t>de la Ley de Transparencia y Acceso a la Información Pública del Estado de México y Municipios, el cual dispone que los sujetos obligados deben otorgar acceso a los documentos que obren en sus archivos</w:t>
      </w:r>
      <w:r w:rsidR="004F0488" w:rsidRPr="002244FC">
        <w:rPr>
          <w:rFonts w:ascii="Palatino Linotype" w:hAnsi="Palatino Linotype" w:cs="Tahoma"/>
          <w:sz w:val="22"/>
          <w:szCs w:val="22"/>
        </w:rPr>
        <w:t xml:space="preserve"> y turnar las solicitudes a todas las áreas competentes que puedan contar con la información y</w:t>
      </w:r>
      <w:r w:rsidR="00834313" w:rsidRPr="002244FC">
        <w:rPr>
          <w:rFonts w:ascii="Palatino Linotype" w:hAnsi="Palatino Linotype" w:cs="Tahoma"/>
          <w:sz w:val="22"/>
          <w:szCs w:val="22"/>
        </w:rPr>
        <w:t>a</w:t>
      </w:r>
      <w:r w:rsidR="004F0488" w:rsidRPr="002244FC">
        <w:rPr>
          <w:rFonts w:ascii="Palatino Linotype" w:hAnsi="Palatino Linotype" w:cs="Tahoma"/>
          <w:sz w:val="22"/>
          <w:szCs w:val="22"/>
        </w:rPr>
        <w:t xml:space="preserve"> que según el Manual General de Organización de la Secretaría de Movilidad identifica con la clave 22000006000000L a la Dirección General de Asuntos Jurídicos e Igualdad de Género que tiene como una parte de su objetivo recopilar, interpretar y difundir el marco jurídico de actuación de la Secretaría y dentro de una de sus funciones </w:t>
      </w:r>
      <w:r w:rsidR="00437DBF" w:rsidRPr="002244FC">
        <w:rPr>
          <w:rFonts w:ascii="Palatino Linotype" w:hAnsi="Palatino Linotype" w:cs="Tahoma"/>
          <w:sz w:val="22"/>
          <w:szCs w:val="22"/>
        </w:rPr>
        <w:t>está</w:t>
      </w:r>
      <w:r w:rsidR="004F0488" w:rsidRPr="002244FC">
        <w:rPr>
          <w:rFonts w:ascii="Palatino Linotype" w:hAnsi="Palatino Linotype" w:cs="Tahoma"/>
          <w:sz w:val="22"/>
          <w:szCs w:val="22"/>
        </w:rPr>
        <w:t xml:space="preserve"> la de revisar y en su caso, formular proyectos de iniciativas de ley, decretos, reglamentos, acuerdos, convenios </w:t>
      </w:r>
      <w:r w:rsidR="004F0488" w:rsidRPr="002244FC">
        <w:rPr>
          <w:rFonts w:ascii="Palatino Linotype" w:hAnsi="Palatino Linotype" w:cs="Tahoma"/>
          <w:sz w:val="22"/>
          <w:szCs w:val="22"/>
        </w:rPr>
        <w:lastRenderedPageBreak/>
        <w:t>y demás instrumentos legales que se requieran en asuntos competencia de la Secretaría de Movilidad, sus unidades administrativas y órgano desconcentrado</w:t>
      </w:r>
      <w:r w:rsidR="00834313" w:rsidRPr="002244FC">
        <w:rPr>
          <w:rFonts w:ascii="Palatino Linotype" w:hAnsi="Palatino Linotype" w:cs="Tahoma"/>
          <w:sz w:val="22"/>
          <w:szCs w:val="22"/>
        </w:rPr>
        <w:t>, de igual forma el Reglamento Interno del Instituto del Transporte del Estado de México, en su artículo 18 identifica a la Subdirección de Planeación e Igualdad de Género, (unidad a la que también fue turnada la solicitud) en su artículo 18, fracción I, señala que le corresponde elaborar los proyectos de planes y programas en materia de movilidad fomentando la seguridad vial, accesibilidad, eficiencia, sostenibilidad, calidad, inclusión, igualdad, disponibilidad, sustentabilidad, progresividad, equidad de género, protección a grupos vulnerables y el uso de tecnologías limpias por lo que se advierte se turnó a las áreas competentes que pudieran haber contado con la información, por lo que se confirma la respuesta proporcionada.</w:t>
      </w:r>
    </w:p>
    <w:p w14:paraId="385C2347" w14:textId="77777777" w:rsidR="006D7CFB" w:rsidRPr="002244FC" w:rsidRDefault="006D7CFB" w:rsidP="006D7CFB">
      <w:pPr>
        <w:spacing w:line="360" w:lineRule="auto"/>
        <w:jc w:val="both"/>
        <w:rPr>
          <w:rFonts w:ascii="Palatino Linotype" w:eastAsia="Calibri" w:hAnsi="Palatino Linotype" w:cs="Tahoma"/>
          <w:iCs/>
          <w:sz w:val="22"/>
          <w:szCs w:val="22"/>
          <w:lang w:eastAsia="es-ES_tradnl"/>
        </w:rPr>
      </w:pPr>
    </w:p>
    <w:p w14:paraId="41C23D53" w14:textId="77777777" w:rsidR="006D7CFB" w:rsidRPr="002244FC" w:rsidRDefault="006D7CFB" w:rsidP="006D7CFB">
      <w:pPr>
        <w:spacing w:line="360" w:lineRule="auto"/>
        <w:ind w:right="-93"/>
        <w:jc w:val="both"/>
        <w:rPr>
          <w:rFonts w:ascii="Palatino Linotype" w:hAnsi="Palatino Linotype" w:cs="Tahoma"/>
          <w:b/>
          <w:sz w:val="22"/>
          <w:szCs w:val="22"/>
        </w:rPr>
      </w:pPr>
      <w:r w:rsidRPr="002244FC">
        <w:rPr>
          <w:rFonts w:ascii="Palatino Linotype" w:hAnsi="Palatino Linotype" w:cs="Tahoma"/>
          <w:b/>
          <w:sz w:val="22"/>
          <w:szCs w:val="22"/>
        </w:rPr>
        <w:t xml:space="preserve">SEXTO. Decisión. </w:t>
      </w:r>
    </w:p>
    <w:p w14:paraId="53B76D85" w14:textId="77777777" w:rsidR="006D7CFB" w:rsidRPr="002244FC" w:rsidRDefault="006D7CFB" w:rsidP="006D7CFB">
      <w:pPr>
        <w:spacing w:line="360" w:lineRule="auto"/>
        <w:jc w:val="both"/>
        <w:rPr>
          <w:rFonts w:ascii="Palatino Linotype" w:hAnsi="Palatino Linotype" w:cs="Tahoma"/>
          <w:sz w:val="22"/>
          <w:szCs w:val="22"/>
        </w:rPr>
      </w:pPr>
    </w:p>
    <w:p w14:paraId="3EF17563" w14:textId="77777777" w:rsidR="006D7CFB" w:rsidRPr="002244FC" w:rsidRDefault="006D7CFB" w:rsidP="006D7CFB">
      <w:pPr>
        <w:spacing w:line="360" w:lineRule="auto"/>
        <w:jc w:val="both"/>
        <w:rPr>
          <w:rFonts w:ascii="Palatino Linotype" w:hAnsi="Palatino Linotype" w:cs="Tahoma"/>
          <w:sz w:val="22"/>
          <w:szCs w:val="22"/>
        </w:rPr>
      </w:pPr>
      <w:r w:rsidRPr="002244FC">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2244FC">
        <w:rPr>
          <w:rFonts w:ascii="Palatino Linotype" w:hAnsi="Palatino Linotype" w:cs="Tahoma"/>
          <w:b/>
          <w:sz w:val="22"/>
          <w:szCs w:val="22"/>
        </w:rPr>
        <w:t xml:space="preserve">CONFIRMAR </w:t>
      </w:r>
      <w:r w:rsidRPr="002244FC">
        <w:rPr>
          <w:rFonts w:ascii="Palatino Linotype" w:hAnsi="Palatino Linotype" w:cs="Tahoma"/>
          <w:sz w:val="22"/>
          <w:szCs w:val="22"/>
        </w:rPr>
        <w:t xml:space="preserve">la respuesta otorgada por el Sujeto Obligado. </w:t>
      </w:r>
    </w:p>
    <w:p w14:paraId="50312A49" w14:textId="77777777" w:rsidR="006D7CFB" w:rsidRPr="002244FC" w:rsidRDefault="006D7CFB" w:rsidP="006D7CFB">
      <w:pPr>
        <w:spacing w:line="360" w:lineRule="auto"/>
        <w:ind w:right="-93"/>
        <w:jc w:val="both"/>
        <w:rPr>
          <w:rFonts w:ascii="Palatino Linotype" w:eastAsia="Palatino Linotype" w:hAnsi="Palatino Linotype" w:cs="Palatino Linotype"/>
          <w:sz w:val="22"/>
          <w:szCs w:val="22"/>
        </w:rPr>
      </w:pPr>
    </w:p>
    <w:p w14:paraId="09300BC3" w14:textId="77777777" w:rsidR="006D7CFB" w:rsidRPr="002244FC" w:rsidRDefault="006D7CFB" w:rsidP="006D7CFB">
      <w:pPr>
        <w:spacing w:line="360" w:lineRule="auto"/>
        <w:contextualSpacing/>
        <w:jc w:val="both"/>
        <w:rPr>
          <w:rFonts w:ascii="Palatino Linotype" w:eastAsia="Calibri" w:hAnsi="Palatino Linotype" w:cs="Tahoma"/>
          <w:b/>
          <w:bCs/>
          <w:iCs/>
          <w:sz w:val="22"/>
          <w:szCs w:val="22"/>
          <w:u w:val="single"/>
          <w:lang w:val="es-ES" w:eastAsia="es-ES_tradnl"/>
        </w:rPr>
      </w:pPr>
      <w:r w:rsidRPr="002244FC">
        <w:rPr>
          <w:rFonts w:ascii="Palatino Linotype" w:eastAsia="Calibri" w:hAnsi="Palatino Linotype" w:cs="Tahoma"/>
          <w:b/>
          <w:bCs/>
          <w:iCs/>
          <w:sz w:val="22"/>
          <w:szCs w:val="22"/>
          <w:u w:val="single"/>
          <w:lang w:val="es-ES" w:eastAsia="es-ES_tradnl"/>
        </w:rPr>
        <w:t>Términos de la Resolución para el Recurrente:</w:t>
      </w:r>
    </w:p>
    <w:p w14:paraId="133FF822" w14:textId="77777777" w:rsidR="006D7CFB" w:rsidRPr="002244FC" w:rsidRDefault="006D7CFB" w:rsidP="006D7CFB">
      <w:pPr>
        <w:spacing w:line="360" w:lineRule="auto"/>
        <w:contextualSpacing/>
        <w:jc w:val="both"/>
        <w:rPr>
          <w:rFonts w:ascii="Palatino Linotype" w:eastAsia="Calibri" w:hAnsi="Palatino Linotype" w:cs="Tahoma"/>
          <w:iCs/>
          <w:sz w:val="22"/>
          <w:szCs w:val="22"/>
          <w:lang w:val="es-ES" w:eastAsia="es-ES_tradnl"/>
        </w:rPr>
      </w:pPr>
    </w:p>
    <w:p w14:paraId="181EDDFC" w14:textId="77777777" w:rsidR="006D7CFB" w:rsidRPr="002244FC" w:rsidRDefault="006D7CFB" w:rsidP="006D7CFB">
      <w:pPr>
        <w:spacing w:line="360" w:lineRule="auto"/>
        <w:contextualSpacing/>
        <w:jc w:val="both"/>
        <w:rPr>
          <w:rFonts w:ascii="Palatino Linotype" w:eastAsia="Calibri" w:hAnsi="Palatino Linotype" w:cs="Tahoma"/>
          <w:iCs/>
          <w:sz w:val="22"/>
          <w:szCs w:val="22"/>
          <w:lang w:val="es-ES" w:eastAsia="es-ES_tradnl"/>
        </w:rPr>
      </w:pPr>
      <w:r w:rsidRPr="002244FC">
        <w:rPr>
          <w:rFonts w:ascii="Palatino Linotype" w:eastAsia="Calibri" w:hAnsi="Palatino Linotype" w:cs="Tahoma"/>
          <w:iCs/>
          <w:sz w:val="22"/>
          <w:szCs w:val="22"/>
          <w:lang w:val="es-ES" w:eastAsia="es-ES_tradnl"/>
        </w:rPr>
        <w:t xml:space="preserve">Este Instituto Garante, determinó </w:t>
      </w:r>
      <w:r w:rsidRPr="002244FC">
        <w:rPr>
          <w:rFonts w:ascii="Palatino Linotype" w:eastAsia="Calibri" w:hAnsi="Palatino Linotype" w:cs="Tahoma"/>
          <w:b/>
          <w:iCs/>
          <w:sz w:val="22"/>
          <w:szCs w:val="22"/>
          <w:lang w:val="es-ES" w:eastAsia="es-ES_tradnl"/>
        </w:rPr>
        <w:t>confirmar</w:t>
      </w:r>
      <w:r w:rsidRPr="002244FC">
        <w:rPr>
          <w:rFonts w:ascii="Palatino Linotype" w:eastAsia="Calibri" w:hAnsi="Palatino Linotype" w:cs="Tahoma"/>
          <w:iCs/>
          <w:sz w:val="22"/>
          <w:szCs w:val="22"/>
          <w:lang w:val="es-ES" w:eastAsia="es-ES_tradnl"/>
        </w:rPr>
        <w:t xml:space="preserve"> la respuesta que le entregó el Sujeto Obligado a su solicitud de acceso, toda vez que le proporcionó todos los documentos con los que cuenta. La labor del Instituto de Transparencia Acceso a la Información Pública y Protección de Datos Personales del Estado de México y Municipios, es apoyar a la población para acceder a la información pública y garantizar la protección de sus datos personales. </w:t>
      </w:r>
    </w:p>
    <w:p w14:paraId="7336D7C6" w14:textId="77777777" w:rsidR="006D7CFB" w:rsidRPr="002244FC" w:rsidRDefault="006D7CFB" w:rsidP="006D7CFB">
      <w:pPr>
        <w:spacing w:line="360" w:lineRule="auto"/>
        <w:contextualSpacing/>
        <w:jc w:val="both"/>
        <w:rPr>
          <w:rFonts w:ascii="Palatino Linotype" w:eastAsia="Calibri" w:hAnsi="Palatino Linotype" w:cs="Tahoma"/>
          <w:iCs/>
          <w:sz w:val="22"/>
          <w:szCs w:val="22"/>
          <w:lang w:val="es-ES" w:eastAsia="es-ES_tradnl"/>
        </w:rPr>
      </w:pPr>
    </w:p>
    <w:p w14:paraId="1A00AEDC" w14:textId="77777777" w:rsidR="006D7CFB" w:rsidRPr="002244FC" w:rsidRDefault="006D7CFB" w:rsidP="006D7CFB">
      <w:pPr>
        <w:spacing w:line="360" w:lineRule="auto"/>
        <w:contextualSpacing/>
        <w:jc w:val="both"/>
        <w:rPr>
          <w:rFonts w:ascii="Palatino Linotype" w:eastAsia="Calibri" w:hAnsi="Palatino Linotype" w:cs="Tahoma"/>
          <w:bCs/>
          <w:sz w:val="22"/>
          <w:lang w:eastAsia="en-US"/>
        </w:rPr>
      </w:pPr>
      <w:r w:rsidRPr="002244FC">
        <w:rPr>
          <w:rFonts w:ascii="Palatino Linotype" w:eastAsia="Calibri" w:hAnsi="Palatino Linotype" w:cs="Tahoma"/>
          <w:bCs/>
          <w:sz w:val="22"/>
          <w:lang w:eastAsia="en-US"/>
        </w:rPr>
        <w:t>Por lo expuesto y fundado, este Pleno:</w:t>
      </w:r>
    </w:p>
    <w:p w14:paraId="2740DF00" w14:textId="77777777" w:rsidR="006D7CFB" w:rsidRPr="002244FC" w:rsidRDefault="006D7CFB" w:rsidP="006D7CFB">
      <w:pPr>
        <w:spacing w:line="360" w:lineRule="auto"/>
        <w:ind w:right="-91"/>
        <w:jc w:val="center"/>
        <w:rPr>
          <w:rFonts w:ascii="Palatino Linotype" w:eastAsia="Calibri" w:hAnsi="Palatino Linotype" w:cs="Tahoma"/>
          <w:b/>
          <w:bCs/>
          <w:sz w:val="22"/>
          <w:szCs w:val="22"/>
          <w:lang w:eastAsia="en-US"/>
        </w:rPr>
      </w:pPr>
    </w:p>
    <w:p w14:paraId="7EB7DBDD" w14:textId="77777777" w:rsidR="006D7CFB" w:rsidRPr="002244FC" w:rsidRDefault="006D7CFB" w:rsidP="006D7CFB">
      <w:pPr>
        <w:spacing w:line="360" w:lineRule="auto"/>
        <w:ind w:right="-91"/>
        <w:jc w:val="center"/>
        <w:rPr>
          <w:rFonts w:ascii="Palatino Linotype" w:eastAsia="Calibri" w:hAnsi="Palatino Linotype" w:cs="Tahoma"/>
          <w:b/>
          <w:bCs/>
          <w:sz w:val="22"/>
          <w:szCs w:val="22"/>
          <w:lang w:eastAsia="en-US"/>
        </w:rPr>
      </w:pPr>
      <w:r w:rsidRPr="002244FC">
        <w:rPr>
          <w:rFonts w:ascii="Palatino Linotype" w:eastAsia="Calibri" w:hAnsi="Palatino Linotype" w:cs="Tahoma"/>
          <w:b/>
          <w:bCs/>
          <w:sz w:val="22"/>
          <w:szCs w:val="22"/>
          <w:lang w:eastAsia="en-US"/>
        </w:rPr>
        <w:lastRenderedPageBreak/>
        <w:t>R E S U E L V E</w:t>
      </w:r>
    </w:p>
    <w:p w14:paraId="6E7A9775" w14:textId="77777777" w:rsidR="006D7CFB" w:rsidRPr="002244FC" w:rsidRDefault="006D7CFB" w:rsidP="006D7CFB">
      <w:pPr>
        <w:spacing w:line="360" w:lineRule="auto"/>
        <w:jc w:val="center"/>
        <w:rPr>
          <w:rFonts w:ascii="Palatino Linotype" w:hAnsi="Palatino Linotype" w:cs="Tahoma"/>
          <w:b/>
          <w:bCs/>
          <w:sz w:val="22"/>
          <w:szCs w:val="22"/>
        </w:rPr>
      </w:pPr>
    </w:p>
    <w:p w14:paraId="70114C2D" w14:textId="1C6016D6" w:rsidR="006D7CFB" w:rsidRPr="002244FC" w:rsidRDefault="006D7CFB" w:rsidP="006D7CFB">
      <w:pPr>
        <w:spacing w:line="360" w:lineRule="auto"/>
        <w:contextualSpacing/>
        <w:jc w:val="both"/>
        <w:rPr>
          <w:rFonts w:ascii="Palatino Linotype" w:eastAsia="Calibri" w:hAnsi="Palatino Linotype" w:cs="Tahoma"/>
          <w:bCs/>
          <w:iCs/>
          <w:sz w:val="22"/>
          <w:szCs w:val="22"/>
          <w:lang w:eastAsia="en-US"/>
        </w:rPr>
      </w:pPr>
      <w:r w:rsidRPr="002244FC">
        <w:rPr>
          <w:rFonts w:ascii="Palatino Linotype" w:eastAsia="Calibri" w:hAnsi="Palatino Linotype" w:cs="Tahoma"/>
          <w:b/>
          <w:bCs/>
          <w:iCs/>
          <w:sz w:val="22"/>
          <w:szCs w:val="22"/>
          <w:lang w:eastAsia="en-US"/>
        </w:rPr>
        <w:t xml:space="preserve">PRIMERO. </w:t>
      </w:r>
      <w:r w:rsidRPr="002244FC">
        <w:rPr>
          <w:rFonts w:ascii="Palatino Linotype" w:eastAsia="Calibri" w:hAnsi="Palatino Linotype" w:cs="Tahoma"/>
          <w:bCs/>
          <w:iCs/>
          <w:sz w:val="22"/>
          <w:szCs w:val="22"/>
          <w:lang w:eastAsia="en-US"/>
        </w:rPr>
        <w:t xml:space="preserve">Se </w:t>
      </w:r>
      <w:r w:rsidRPr="002244FC">
        <w:rPr>
          <w:rFonts w:ascii="Palatino Linotype" w:eastAsia="Calibri" w:hAnsi="Palatino Linotype" w:cs="Tahoma"/>
          <w:b/>
          <w:bCs/>
          <w:iCs/>
          <w:sz w:val="22"/>
          <w:szCs w:val="22"/>
          <w:lang w:eastAsia="en-US"/>
        </w:rPr>
        <w:t>CONFIRMA</w:t>
      </w:r>
      <w:r w:rsidRPr="002244FC">
        <w:rPr>
          <w:rFonts w:ascii="Palatino Linotype" w:eastAsia="Calibri" w:hAnsi="Palatino Linotype" w:cs="Tahoma"/>
          <w:bCs/>
          <w:iCs/>
          <w:sz w:val="22"/>
          <w:szCs w:val="22"/>
          <w:lang w:eastAsia="en-US"/>
        </w:rPr>
        <w:t xml:space="preserve"> la respuesta del Sujeto Obligado</w:t>
      </w:r>
      <w:r w:rsidRPr="002244FC">
        <w:rPr>
          <w:rFonts w:ascii="Palatino Linotype" w:eastAsia="Calibri" w:hAnsi="Palatino Linotype" w:cs="Tahoma"/>
          <w:b/>
          <w:bCs/>
          <w:iCs/>
          <w:sz w:val="22"/>
          <w:szCs w:val="22"/>
          <w:lang w:eastAsia="en-US"/>
        </w:rPr>
        <w:t xml:space="preserve"> </w:t>
      </w:r>
      <w:r w:rsidRPr="002244FC">
        <w:rPr>
          <w:rFonts w:ascii="Palatino Linotype" w:eastAsia="Calibri" w:hAnsi="Palatino Linotype" w:cs="Tahoma"/>
          <w:bCs/>
          <w:iCs/>
          <w:sz w:val="22"/>
          <w:szCs w:val="22"/>
          <w:lang w:eastAsia="en-US"/>
        </w:rPr>
        <w:t xml:space="preserve">a la solicitud de información </w:t>
      </w:r>
      <w:r w:rsidR="008C1157" w:rsidRPr="002244FC">
        <w:rPr>
          <w:rFonts w:ascii="Palatino Linotype" w:hAnsi="Palatino Linotype" w:cs="Tahoma"/>
          <w:b/>
          <w:bCs/>
          <w:sz w:val="22"/>
          <w:szCs w:val="22"/>
        </w:rPr>
        <w:t>00029/SMOV/IP/2023</w:t>
      </w:r>
      <w:r w:rsidRPr="002244FC">
        <w:rPr>
          <w:rFonts w:ascii="Palatino Linotype" w:eastAsia="Calibri" w:hAnsi="Palatino Linotype"/>
          <w:color w:val="000000"/>
          <w:sz w:val="22"/>
          <w:szCs w:val="22"/>
        </w:rPr>
        <w:t>,</w:t>
      </w:r>
      <w:r w:rsidRPr="002244FC">
        <w:rPr>
          <w:rFonts w:ascii="Palatino Linotype" w:eastAsia="Calibri" w:hAnsi="Palatino Linotype" w:cs="Tahoma"/>
          <w:b/>
          <w:bCs/>
          <w:iCs/>
          <w:sz w:val="22"/>
          <w:szCs w:val="22"/>
          <w:lang w:eastAsia="en-US"/>
        </w:rPr>
        <w:t xml:space="preserve"> </w:t>
      </w:r>
      <w:r w:rsidRPr="002244FC">
        <w:rPr>
          <w:rFonts w:ascii="Palatino Linotype" w:eastAsia="Calibri" w:hAnsi="Palatino Linotype" w:cs="Tahoma"/>
          <w:bCs/>
          <w:iCs/>
          <w:sz w:val="22"/>
          <w:szCs w:val="22"/>
          <w:lang w:eastAsia="en-US"/>
        </w:rPr>
        <w:t xml:space="preserve">por resultar infundadas las razones o motivos de inconformidad hechos valer por la Recurrente en el Recurso de Revisión </w:t>
      </w:r>
      <w:r w:rsidR="008C1157" w:rsidRPr="002244FC">
        <w:rPr>
          <w:rFonts w:ascii="Palatino Linotype" w:eastAsia="Calibri" w:hAnsi="Palatino Linotype" w:cs="Tahoma"/>
          <w:b/>
          <w:bCs/>
          <w:iCs/>
          <w:sz w:val="22"/>
          <w:szCs w:val="22"/>
          <w:lang w:eastAsia="en-US"/>
        </w:rPr>
        <w:t>01041</w:t>
      </w:r>
      <w:r w:rsidRPr="002244FC">
        <w:rPr>
          <w:rFonts w:ascii="Palatino Linotype" w:eastAsia="Calibri" w:hAnsi="Palatino Linotype" w:cs="Tahoma"/>
          <w:b/>
          <w:bCs/>
          <w:iCs/>
          <w:sz w:val="22"/>
          <w:szCs w:val="22"/>
          <w:lang w:eastAsia="en-US"/>
        </w:rPr>
        <w:t>/INFOEM/IP/RR/202</w:t>
      </w:r>
      <w:r w:rsidR="008C1157" w:rsidRPr="002244FC">
        <w:rPr>
          <w:rFonts w:ascii="Palatino Linotype" w:eastAsia="Calibri" w:hAnsi="Palatino Linotype" w:cs="Tahoma"/>
          <w:b/>
          <w:bCs/>
          <w:iCs/>
          <w:sz w:val="22"/>
          <w:szCs w:val="22"/>
          <w:lang w:eastAsia="en-US"/>
        </w:rPr>
        <w:t>3</w:t>
      </w:r>
      <w:r w:rsidRPr="002244FC">
        <w:rPr>
          <w:rFonts w:ascii="Palatino Linotype" w:eastAsia="Calibri" w:hAnsi="Palatino Linotype" w:cs="Tahoma"/>
          <w:bCs/>
          <w:iCs/>
          <w:sz w:val="22"/>
          <w:szCs w:val="22"/>
          <w:lang w:eastAsia="en-US"/>
        </w:rPr>
        <w:t>, en términos de los Considerandos QUINTO y SEXTO</w:t>
      </w:r>
      <w:r w:rsidRPr="002244FC">
        <w:rPr>
          <w:rFonts w:ascii="Palatino Linotype" w:eastAsia="Calibri" w:hAnsi="Palatino Linotype" w:cs="Tahoma"/>
          <w:b/>
          <w:bCs/>
          <w:iCs/>
          <w:sz w:val="22"/>
          <w:szCs w:val="22"/>
          <w:lang w:eastAsia="en-US"/>
        </w:rPr>
        <w:t xml:space="preserve"> </w:t>
      </w:r>
      <w:r w:rsidRPr="002244FC">
        <w:rPr>
          <w:rFonts w:ascii="Palatino Linotype" w:eastAsia="Calibri" w:hAnsi="Palatino Linotype" w:cs="Tahoma"/>
          <w:bCs/>
          <w:iCs/>
          <w:sz w:val="22"/>
          <w:szCs w:val="22"/>
          <w:lang w:eastAsia="en-US"/>
        </w:rPr>
        <w:t xml:space="preserve">de esta Resolución.  </w:t>
      </w:r>
    </w:p>
    <w:p w14:paraId="62A4511B" w14:textId="77777777" w:rsidR="006D7CFB" w:rsidRPr="002244FC" w:rsidRDefault="006D7CFB" w:rsidP="006D7CFB">
      <w:pPr>
        <w:spacing w:line="360" w:lineRule="auto"/>
        <w:contextualSpacing/>
        <w:jc w:val="both"/>
        <w:rPr>
          <w:rFonts w:ascii="Palatino Linotype" w:eastAsia="Calibri" w:hAnsi="Palatino Linotype" w:cs="Tahoma"/>
          <w:bCs/>
          <w:iCs/>
          <w:sz w:val="22"/>
          <w:szCs w:val="22"/>
          <w:lang w:eastAsia="en-US"/>
        </w:rPr>
      </w:pPr>
    </w:p>
    <w:p w14:paraId="54C87543" w14:textId="77777777" w:rsidR="006D7CFB" w:rsidRPr="002244FC" w:rsidRDefault="006D7CFB" w:rsidP="006D7CFB">
      <w:pPr>
        <w:spacing w:line="360" w:lineRule="auto"/>
        <w:contextualSpacing/>
        <w:jc w:val="both"/>
        <w:rPr>
          <w:rFonts w:ascii="Palatino Linotype" w:eastAsia="Calibri" w:hAnsi="Palatino Linotype" w:cs="Tahoma"/>
          <w:bCs/>
          <w:i/>
          <w:iCs/>
          <w:sz w:val="22"/>
          <w:szCs w:val="22"/>
          <w:lang w:eastAsia="en-US"/>
        </w:rPr>
      </w:pPr>
      <w:r w:rsidRPr="002244FC">
        <w:rPr>
          <w:rFonts w:ascii="Palatino Linotype" w:eastAsia="Calibri" w:hAnsi="Palatino Linotype" w:cs="Tahoma"/>
          <w:b/>
          <w:bCs/>
          <w:iCs/>
          <w:sz w:val="22"/>
          <w:szCs w:val="22"/>
          <w:lang w:eastAsia="en-US"/>
        </w:rPr>
        <w:t xml:space="preserve">SEGUNDO. NOTIFÍQUESE </w:t>
      </w:r>
      <w:r w:rsidRPr="002244FC">
        <w:rPr>
          <w:rFonts w:ascii="Palatino Linotype" w:eastAsia="Calibri" w:hAnsi="Palatino Linotype" w:cs="Tahoma"/>
          <w:bCs/>
          <w:iCs/>
          <w:sz w:val="22"/>
          <w:szCs w:val="22"/>
          <w:lang w:eastAsia="en-US"/>
        </w:rPr>
        <w:t>la presente resolución al Titular de la Unidad de Transparencia del Sujeto Obligado.</w:t>
      </w:r>
    </w:p>
    <w:p w14:paraId="2947803B" w14:textId="77777777" w:rsidR="006D7CFB" w:rsidRPr="002244FC" w:rsidRDefault="006D7CFB" w:rsidP="006D7CFB">
      <w:pPr>
        <w:spacing w:line="360" w:lineRule="auto"/>
        <w:contextualSpacing/>
        <w:jc w:val="both"/>
        <w:rPr>
          <w:rFonts w:ascii="Palatino Linotype" w:eastAsia="Calibri" w:hAnsi="Palatino Linotype" w:cs="Tahoma"/>
          <w:bCs/>
          <w:iCs/>
          <w:sz w:val="22"/>
          <w:szCs w:val="22"/>
          <w:lang w:eastAsia="en-US"/>
        </w:rPr>
      </w:pPr>
    </w:p>
    <w:p w14:paraId="370F18B2" w14:textId="77777777" w:rsidR="006D7CFB" w:rsidRPr="002244FC" w:rsidRDefault="006D7CFB" w:rsidP="006D7CFB">
      <w:pPr>
        <w:spacing w:line="360" w:lineRule="auto"/>
        <w:contextualSpacing/>
        <w:jc w:val="both"/>
        <w:rPr>
          <w:rFonts w:ascii="Palatino Linotype" w:eastAsia="Calibri" w:hAnsi="Palatino Linotype" w:cs="Tahoma"/>
          <w:bCs/>
          <w:iCs/>
          <w:sz w:val="22"/>
          <w:szCs w:val="22"/>
          <w:lang w:eastAsia="en-US"/>
        </w:rPr>
      </w:pPr>
      <w:r w:rsidRPr="002244FC">
        <w:rPr>
          <w:rFonts w:ascii="Palatino Linotype" w:eastAsia="Calibri" w:hAnsi="Palatino Linotype" w:cs="Tahoma"/>
          <w:b/>
          <w:bCs/>
          <w:iCs/>
          <w:sz w:val="22"/>
          <w:szCs w:val="22"/>
          <w:lang w:eastAsia="en-US"/>
        </w:rPr>
        <w:t>TERCERO. NOTIFÍQUESE</w:t>
      </w:r>
      <w:r w:rsidRPr="002244FC">
        <w:rPr>
          <w:rFonts w:ascii="Palatino Linotype" w:eastAsia="Calibri" w:hAnsi="Palatino Linotype" w:cs="Tahoma"/>
          <w:bCs/>
          <w:iCs/>
          <w:sz w:val="22"/>
          <w:szCs w:val="22"/>
          <w:lang w:eastAsia="en-US"/>
        </w:rPr>
        <w:t xml:space="preserve"> al Recurrente la presente Resolución, 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3FABF24" w14:textId="77777777" w:rsidR="006D7CFB" w:rsidRPr="002244FC" w:rsidRDefault="006D7CFB" w:rsidP="00EC609F">
      <w:pPr>
        <w:spacing w:line="360" w:lineRule="auto"/>
        <w:jc w:val="both"/>
        <w:rPr>
          <w:rFonts w:ascii="Palatino Linotype" w:hAnsi="Palatino Linotype" w:cs="Tahoma"/>
          <w:sz w:val="22"/>
          <w:szCs w:val="22"/>
          <w:lang w:val="es-ES"/>
        </w:rPr>
      </w:pPr>
    </w:p>
    <w:p w14:paraId="02FDD9E7" w14:textId="173EBD90" w:rsidR="00803E3D" w:rsidRPr="00437DBF" w:rsidRDefault="00803E3D" w:rsidP="00803E3D">
      <w:pPr>
        <w:spacing w:line="360" w:lineRule="auto"/>
        <w:contextualSpacing/>
        <w:jc w:val="both"/>
        <w:rPr>
          <w:rFonts w:ascii="Palatino Linotype" w:hAnsi="Palatino Linotype" w:cs="Tahoma"/>
          <w:sz w:val="22"/>
          <w:szCs w:val="22"/>
        </w:rPr>
      </w:pPr>
      <w:r w:rsidRPr="002244FC">
        <w:rPr>
          <w:rFonts w:ascii="Palatino Linotype" w:hAnsi="Palatino Linotype" w:cs="Tahoma"/>
          <w:sz w:val="22"/>
          <w:szCs w:val="22"/>
          <w:lang w:eastAsia="es-MX"/>
        </w:rPr>
        <w:t xml:space="preserve">ASÍ LO RESUELVE, POR </w:t>
      </w:r>
      <w:r w:rsidRPr="002244FC">
        <w:rPr>
          <w:rFonts w:ascii="Palatino Linotype" w:hAnsi="Palatino Linotype" w:cs="Tahoma"/>
          <w:b/>
          <w:sz w:val="22"/>
          <w:szCs w:val="22"/>
          <w:lang w:eastAsia="es-MX"/>
        </w:rPr>
        <w:t>UNANIMIDAD</w:t>
      </w:r>
      <w:r w:rsidRPr="002244FC">
        <w:rPr>
          <w:rFonts w:ascii="Palatino Linotype" w:hAnsi="Palatino Linotype" w:cs="Tahoma"/>
          <w:sz w:val="22"/>
          <w:szCs w:val="22"/>
          <w:lang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bookmarkStart w:id="1" w:name="_Hlk134618234"/>
      <w:r w:rsidR="00CF7F3E" w:rsidRPr="002244FC">
        <w:rPr>
          <w:rFonts w:ascii="Palatino Linotype" w:hAnsi="Palatino Linotype" w:cs="Tahoma"/>
          <w:sz w:val="22"/>
          <w:szCs w:val="22"/>
          <w:lang w:eastAsia="es-MX"/>
        </w:rPr>
        <w:t>DÉCIMA</w:t>
      </w:r>
      <w:r w:rsidR="00B11E66" w:rsidRPr="002244FC">
        <w:rPr>
          <w:rFonts w:ascii="Palatino Linotype" w:hAnsi="Palatino Linotype" w:cs="Tahoma"/>
          <w:sz w:val="22"/>
          <w:szCs w:val="22"/>
          <w:lang w:eastAsia="es-MX"/>
        </w:rPr>
        <w:t xml:space="preserve"> </w:t>
      </w:r>
      <w:r w:rsidR="00E937F5" w:rsidRPr="002244FC">
        <w:rPr>
          <w:rFonts w:ascii="Palatino Linotype" w:hAnsi="Palatino Linotype" w:cs="Tahoma"/>
          <w:sz w:val="22"/>
          <w:szCs w:val="22"/>
          <w:lang w:eastAsia="es-MX"/>
        </w:rPr>
        <w:t>OCTAVA</w:t>
      </w:r>
      <w:r w:rsidR="00CF7F3E" w:rsidRPr="002244FC">
        <w:rPr>
          <w:rFonts w:ascii="Palatino Linotype" w:hAnsi="Palatino Linotype" w:cs="Tahoma"/>
          <w:sz w:val="22"/>
          <w:szCs w:val="22"/>
          <w:lang w:eastAsia="es-MX"/>
        </w:rPr>
        <w:t xml:space="preserve"> </w:t>
      </w:r>
      <w:r w:rsidRPr="002244FC">
        <w:rPr>
          <w:rFonts w:ascii="Palatino Linotype" w:hAnsi="Palatino Linotype" w:cs="Tahoma"/>
          <w:sz w:val="22"/>
          <w:szCs w:val="22"/>
          <w:lang w:eastAsia="es-MX"/>
        </w:rPr>
        <w:t xml:space="preserve">SESIÓN ORDINARIA, CELEBRADA EL </w:t>
      </w:r>
      <w:r w:rsidR="00E937F5" w:rsidRPr="002244FC">
        <w:rPr>
          <w:rFonts w:ascii="Palatino Linotype" w:hAnsi="Palatino Linotype" w:cs="Tahoma"/>
          <w:sz w:val="22"/>
          <w:szCs w:val="22"/>
          <w:lang w:eastAsia="es-MX"/>
        </w:rPr>
        <w:t xml:space="preserve">DIECISIETE DE MAYO </w:t>
      </w:r>
      <w:bookmarkEnd w:id="1"/>
      <w:r w:rsidR="00B73D51" w:rsidRPr="002244FC">
        <w:rPr>
          <w:rFonts w:ascii="Palatino Linotype" w:hAnsi="Palatino Linotype" w:cs="Tahoma"/>
          <w:sz w:val="22"/>
          <w:szCs w:val="22"/>
          <w:lang w:eastAsia="es-MX"/>
        </w:rPr>
        <w:t>DE DOS MIL VEINTITRÉS</w:t>
      </w:r>
      <w:r w:rsidRPr="002244FC">
        <w:rPr>
          <w:rFonts w:ascii="Palatino Linotype" w:hAnsi="Palatino Linotype" w:cs="Tahoma"/>
          <w:sz w:val="22"/>
          <w:szCs w:val="22"/>
          <w:lang w:eastAsia="es-MX"/>
        </w:rPr>
        <w:t>, ANTE EL SECRETARIO TÉCNICO DEL PLENO, ALEXIS TAPIA RAMÍREZ.</w:t>
      </w:r>
    </w:p>
    <w:p w14:paraId="104D124D" w14:textId="3B208567" w:rsidR="00CE7659" w:rsidRDefault="00CE7659">
      <w:pPr>
        <w:spacing w:after="160" w:line="259" w:lineRule="auto"/>
        <w:rPr>
          <w:rFonts w:ascii="Palatino Linotype" w:hAnsi="Palatino Linotype" w:cs="Tahoma"/>
          <w:sz w:val="22"/>
          <w:szCs w:val="22"/>
        </w:rPr>
      </w:pPr>
      <w:r>
        <w:rPr>
          <w:rFonts w:ascii="Palatino Linotype" w:hAnsi="Palatino Linotype" w:cs="Tahoma"/>
          <w:sz w:val="22"/>
          <w:szCs w:val="22"/>
        </w:rPr>
        <w:br w:type="page"/>
      </w:r>
    </w:p>
    <w:p w14:paraId="69AA820E" w14:textId="77777777" w:rsidR="003A1DF0" w:rsidRPr="00437DBF" w:rsidRDefault="003A1DF0" w:rsidP="00147516">
      <w:pPr>
        <w:spacing w:line="360" w:lineRule="auto"/>
        <w:contextualSpacing/>
        <w:jc w:val="both"/>
        <w:rPr>
          <w:rFonts w:ascii="Palatino Linotype" w:hAnsi="Palatino Linotype" w:cs="Tahoma"/>
          <w:sz w:val="22"/>
          <w:szCs w:val="22"/>
        </w:rPr>
      </w:pPr>
    </w:p>
    <w:sectPr w:rsidR="003A1DF0" w:rsidRPr="00437DBF" w:rsidSect="0003481C">
      <w:headerReference w:type="even" r:id="rId25"/>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2B234" w14:textId="77777777" w:rsidR="003D5C27" w:rsidRDefault="003D5C27" w:rsidP="00B31222">
      <w:r>
        <w:separator/>
      </w:r>
    </w:p>
  </w:endnote>
  <w:endnote w:type="continuationSeparator" w:id="0">
    <w:p w14:paraId="3B5B5A18" w14:textId="77777777" w:rsidR="003D5C27" w:rsidRDefault="003D5C27" w:rsidP="00B31222">
      <w:r>
        <w:continuationSeparator/>
      </w:r>
    </w:p>
  </w:endnote>
  <w:endnote w:type="continuationNotice" w:id="1">
    <w:p w14:paraId="12DD1781" w14:textId="77777777" w:rsidR="003D5C27" w:rsidRDefault="003D5C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64165309" w14:textId="77777777" w:rsidR="00F1269B" w:rsidRDefault="00F1269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7DBF">
              <w:rPr>
                <w:b/>
                <w:bCs/>
                <w:noProof/>
              </w:rPr>
              <w:t>30</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7DBF">
              <w:rPr>
                <w:b/>
                <w:bCs/>
                <w:noProof/>
              </w:rPr>
              <w:t>30</w:t>
            </w:r>
            <w:r>
              <w:rPr>
                <w:b/>
                <w:bCs/>
                <w:sz w:val="24"/>
                <w:szCs w:val="24"/>
              </w:rPr>
              <w:fldChar w:fldCharType="end"/>
            </w:r>
          </w:p>
        </w:sdtContent>
      </w:sdt>
    </w:sdtContent>
  </w:sdt>
  <w:p w14:paraId="477C6725" w14:textId="77777777" w:rsidR="00F1269B" w:rsidRDefault="00F126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48CDA49C" w14:textId="77777777" w:rsidR="00F1269B" w:rsidRDefault="00F1269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7DBF">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7DBF">
              <w:rPr>
                <w:b/>
                <w:bCs/>
                <w:noProof/>
              </w:rPr>
              <w:t>30</w:t>
            </w:r>
            <w:r>
              <w:rPr>
                <w:b/>
                <w:bCs/>
                <w:sz w:val="24"/>
                <w:szCs w:val="24"/>
              </w:rPr>
              <w:fldChar w:fldCharType="end"/>
            </w:r>
          </w:p>
        </w:sdtContent>
      </w:sdt>
    </w:sdtContent>
  </w:sdt>
  <w:p w14:paraId="1430C48D" w14:textId="77777777" w:rsidR="00F1269B" w:rsidRDefault="00F126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B1782" w14:textId="77777777" w:rsidR="003D5C27" w:rsidRDefault="003D5C27" w:rsidP="00B31222">
      <w:r>
        <w:separator/>
      </w:r>
    </w:p>
  </w:footnote>
  <w:footnote w:type="continuationSeparator" w:id="0">
    <w:p w14:paraId="68BF54FA" w14:textId="77777777" w:rsidR="003D5C27" w:rsidRDefault="003D5C27" w:rsidP="00B31222">
      <w:r>
        <w:continuationSeparator/>
      </w:r>
    </w:p>
  </w:footnote>
  <w:footnote w:type="continuationNotice" w:id="1">
    <w:p w14:paraId="1FF1A46A" w14:textId="77777777" w:rsidR="003D5C27" w:rsidRDefault="003D5C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A0F91" w14:textId="77777777" w:rsidR="00F1269B" w:rsidRDefault="002244FC">
    <w:pPr>
      <w:pStyle w:val="Encabezado"/>
    </w:pPr>
    <w:r>
      <w:rPr>
        <w:noProof/>
        <w:lang w:eastAsia="es-MX"/>
      </w:rPr>
      <w:pict w14:anchorId="3E3BE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7708001" o:spid="_x0000_s2050" type="#_x0000_t75" style="position:absolute;margin-left:0;margin-top:0;width:663.5pt;height:12in;z-index:-251657728;mso-position-horizontal:center;mso-position-horizontal-relative:margin;mso-position-vertical:center;mso-position-vertical-relative:margin" o:allowincell="f">
          <v:imagedata r:id="rId1" o:title="WhatsApp Image 2020-08-13 at 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F1269B" w:rsidRPr="005C106F" w14:paraId="71ED4790" w14:textId="77777777" w:rsidTr="00202DB8">
      <w:trPr>
        <w:trHeight w:val="1435"/>
      </w:trPr>
      <w:tc>
        <w:tcPr>
          <w:tcW w:w="2835" w:type="dxa"/>
          <w:shd w:val="clear" w:color="auto" w:fill="auto"/>
        </w:tcPr>
        <w:p w14:paraId="719B79B0" w14:textId="77777777" w:rsidR="00F1269B" w:rsidRPr="005C106F" w:rsidRDefault="00F1269B" w:rsidP="00EF4A64">
          <w:pPr>
            <w:tabs>
              <w:tab w:val="right" w:pos="4273"/>
            </w:tabs>
            <w:rPr>
              <w:rFonts w:ascii="Garamond" w:eastAsia="Calibri" w:hAnsi="Garamond"/>
              <w:sz w:val="16"/>
              <w:szCs w:val="16"/>
              <w:lang w:eastAsia="en-US"/>
            </w:rPr>
          </w:pPr>
          <w:r>
            <w:rPr>
              <w:rFonts w:ascii="Garamond" w:eastAsia="Calibri" w:hAnsi="Garamond"/>
              <w:noProof/>
              <w:sz w:val="16"/>
              <w:szCs w:val="16"/>
              <w:lang w:eastAsia="es-MX"/>
            </w:rPr>
            <w:drawing>
              <wp:anchor distT="0" distB="0" distL="114300" distR="114300" simplePos="0" relativeHeight="251656704" behindDoc="1" locked="0" layoutInCell="0" allowOverlap="1" wp14:anchorId="1C17E6D3" wp14:editId="5BFEDC01">
                <wp:simplePos x="0" y="0"/>
                <wp:positionH relativeFrom="page">
                  <wp:posOffset>-1005205</wp:posOffset>
                </wp:positionH>
                <wp:positionV relativeFrom="margin">
                  <wp:posOffset>-514350</wp:posOffset>
                </wp:positionV>
                <wp:extent cx="8426450" cy="10972800"/>
                <wp:effectExtent l="0" t="0" r="0" b="0"/>
                <wp:wrapNone/>
                <wp:docPr id="10" name="Imagen 10"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p w14:paraId="74983B36" w14:textId="77777777" w:rsidR="00F1269B" w:rsidRDefault="00F1269B" w:rsidP="005743D2"/>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F1269B" w14:paraId="757BE8E8" w14:textId="77777777" w:rsidTr="00DF3BE8">
            <w:trPr>
              <w:trHeight w:val="144"/>
            </w:trPr>
            <w:tc>
              <w:tcPr>
                <w:tcW w:w="2589" w:type="dxa"/>
              </w:tcPr>
              <w:p w14:paraId="0F248493" w14:textId="77777777" w:rsidR="00F1269B" w:rsidRPr="00431A70" w:rsidRDefault="00F1269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06FEBBEB" w14:textId="77777777" w:rsidR="00F1269B" w:rsidRPr="00431A70" w:rsidRDefault="00F1269B" w:rsidP="00472D4F">
                <w:pPr>
                  <w:tabs>
                    <w:tab w:val="right" w:pos="8838"/>
                  </w:tabs>
                  <w:ind w:left="-106"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01041</w:t>
                </w:r>
                <w:r w:rsidRPr="001A412B">
                  <w:rPr>
                    <w:rFonts w:ascii="Palatino Linotype" w:eastAsia="Calibri" w:hAnsi="Palatino Linotype" w:cs="Tahoma"/>
                    <w:b/>
                    <w:bCs/>
                    <w:sz w:val="22"/>
                    <w:szCs w:val="22"/>
                    <w:lang w:val="es-MX" w:eastAsia="en-US"/>
                  </w:rPr>
                  <w:t>/INFOEM/IP/RR/202</w:t>
                </w:r>
                <w:r>
                  <w:rPr>
                    <w:rFonts w:ascii="Palatino Linotype" w:eastAsia="Calibri" w:hAnsi="Palatino Linotype" w:cs="Tahoma"/>
                    <w:b/>
                    <w:bCs/>
                    <w:sz w:val="22"/>
                    <w:szCs w:val="22"/>
                    <w:lang w:val="es-MX" w:eastAsia="en-US"/>
                  </w:rPr>
                  <w:t>3</w:t>
                </w:r>
              </w:p>
            </w:tc>
          </w:tr>
          <w:tr w:rsidR="00F1269B" w14:paraId="3492DD77" w14:textId="77777777" w:rsidTr="00DF3BE8">
            <w:trPr>
              <w:trHeight w:val="283"/>
            </w:trPr>
            <w:tc>
              <w:tcPr>
                <w:tcW w:w="2589" w:type="dxa"/>
              </w:tcPr>
              <w:p w14:paraId="2DA2F183" w14:textId="77777777" w:rsidR="00F1269B" w:rsidRPr="00431A70" w:rsidRDefault="00F1269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5F17F159" w14:textId="77777777" w:rsidR="00F1269B" w:rsidRPr="005F13CF" w:rsidRDefault="00F1269B" w:rsidP="0031023E">
                <w:pPr>
                  <w:tabs>
                    <w:tab w:val="left" w:pos="2834"/>
                    <w:tab w:val="right" w:pos="8838"/>
                  </w:tabs>
                  <w:ind w:left="-106" w:right="171"/>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Secretaría de Movilidad</w:t>
                </w:r>
              </w:p>
            </w:tc>
          </w:tr>
          <w:tr w:rsidR="00F1269B" w14:paraId="099454DB" w14:textId="77777777" w:rsidTr="00DF3BE8">
            <w:trPr>
              <w:trHeight w:val="283"/>
            </w:trPr>
            <w:tc>
              <w:tcPr>
                <w:tcW w:w="2589" w:type="dxa"/>
              </w:tcPr>
              <w:p w14:paraId="0146FAEC" w14:textId="77777777" w:rsidR="00F1269B" w:rsidRPr="00431A70" w:rsidRDefault="00F1269B" w:rsidP="00E43A0F">
                <w:pPr>
                  <w:tabs>
                    <w:tab w:val="right" w:pos="8838"/>
                  </w:tabs>
                  <w:ind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1B14D74D" w14:textId="77777777" w:rsidR="00F1269B" w:rsidRPr="00431A70" w:rsidRDefault="00F1269B" w:rsidP="005F13CF">
                <w:pPr>
                  <w:tabs>
                    <w:tab w:val="right" w:pos="8838"/>
                  </w:tabs>
                  <w:ind w:left="-106" w:right="171"/>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A881729" w14:textId="77777777" w:rsidR="00F1269B" w:rsidRPr="005C106F" w:rsidRDefault="00F1269B" w:rsidP="005743D2">
          <w:pPr>
            <w:tabs>
              <w:tab w:val="right" w:pos="8838"/>
            </w:tabs>
            <w:ind w:left="-28"/>
            <w:jc w:val="both"/>
            <w:rPr>
              <w:rFonts w:ascii="Arial" w:eastAsia="Calibri" w:hAnsi="Arial" w:cs="Arial"/>
              <w:b/>
              <w:sz w:val="22"/>
              <w:szCs w:val="22"/>
              <w:lang w:eastAsia="en-US"/>
            </w:rPr>
          </w:pPr>
        </w:p>
      </w:tc>
    </w:tr>
  </w:tbl>
  <w:p w14:paraId="36DF4255" w14:textId="77777777" w:rsidR="00F1269B" w:rsidRPr="00A25151" w:rsidRDefault="00F1269B" w:rsidP="00EF4A64">
    <w:pPr>
      <w:pStyle w:val="Encabezado"/>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68" w:type="dxa"/>
      <w:tblLayout w:type="fixed"/>
      <w:tblLook w:val="04A0" w:firstRow="1" w:lastRow="0" w:firstColumn="1" w:lastColumn="0" w:noHBand="0" w:noVBand="1"/>
    </w:tblPr>
    <w:tblGrid>
      <w:gridCol w:w="2835"/>
      <w:gridCol w:w="6733"/>
    </w:tblGrid>
    <w:tr w:rsidR="00F1269B" w:rsidRPr="00330DA7" w14:paraId="722121C7" w14:textId="77777777" w:rsidTr="003B165A">
      <w:trPr>
        <w:trHeight w:val="1435"/>
      </w:trPr>
      <w:tc>
        <w:tcPr>
          <w:tcW w:w="2835" w:type="dxa"/>
          <w:shd w:val="clear" w:color="auto" w:fill="auto"/>
        </w:tcPr>
        <w:p w14:paraId="7FBDF1D4" w14:textId="77777777" w:rsidR="00F1269B" w:rsidRPr="00330DA7" w:rsidRDefault="00F1269B" w:rsidP="00F805F6">
          <w:pPr>
            <w:tabs>
              <w:tab w:val="right" w:pos="4273"/>
            </w:tabs>
            <w:rPr>
              <w:rFonts w:ascii="Garamond" w:eastAsia="Calibri" w:hAnsi="Garamond"/>
              <w:sz w:val="22"/>
              <w:szCs w:val="22"/>
              <w:lang w:eastAsia="en-US"/>
            </w:rPr>
          </w:pPr>
          <w:r>
            <w:rPr>
              <w:rFonts w:ascii="Garamond" w:eastAsia="Calibri" w:hAnsi="Garamond"/>
              <w:noProof/>
              <w:sz w:val="22"/>
              <w:szCs w:val="22"/>
              <w:lang w:eastAsia="es-MX"/>
            </w:rPr>
            <w:drawing>
              <wp:anchor distT="0" distB="0" distL="114300" distR="114300" simplePos="0" relativeHeight="251657728" behindDoc="1" locked="0" layoutInCell="0" allowOverlap="1" wp14:anchorId="5B4B0AC6" wp14:editId="68E923CC">
                <wp:simplePos x="0" y="0"/>
                <wp:positionH relativeFrom="page">
                  <wp:posOffset>-1071880</wp:posOffset>
                </wp:positionH>
                <wp:positionV relativeFrom="page">
                  <wp:posOffset>-450215</wp:posOffset>
                </wp:positionV>
                <wp:extent cx="8426450" cy="10972800"/>
                <wp:effectExtent l="0" t="0" r="0" b="0"/>
                <wp:wrapNone/>
                <wp:docPr id="11" name="Imagen 11" descr="WhatsApp Image 2020-08-13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0-08-13 at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tc>
      <w:tc>
        <w:tcPr>
          <w:tcW w:w="6733" w:type="dxa"/>
          <w:shd w:val="clear" w:color="auto" w:fill="auto"/>
        </w:tcPr>
        <w:tbl>
          <w:tblPr>
            <w:tblStyle w:val="Tablaconcuadrcula"/>
            <w:tblW w:w="6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89"/>
            <w:gridCol w:w="3543"/>
          </w:tblGrid>
          <w:tr w:rsidR="00F1269B" w:rsidRPr="00431A70" w14:paraId="6E372A63" w14:textId="77777777" w:rsidTr="00DF3BE8">
            <w:trPr>
              <w:trHeight w:val="144"/>
            </w:trPr>
            <w:tc>
              <w:tcPr>
                <w:tcW w:w="2589" w:type="dxa"/>
              </w:tcPr>
              <w:p w14:paraId="34F3616E" w14:textId="77777777" w:rsidR="00F1269B" w:rsidRPr="00431A70" w:rsidRDefault="00F1269B" w:rsidP="00844CB5">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Recurso de Revisión:</w:t>
                </w:r>
              </w:p>
            </w:tc>
            <w:tc>
              <w:tcPr>
                <w:tcW w:w="3543" w:type="dxa"/>
              </w:tcPr>
              <w:p w14:paraId="77ED85E9" w14:textId="77777777" w:rsidR="00F1269B" w:rsidRPr="00431A70" w:rsidRDefault="00F1269B" w:rsidP="00472D4F">
                <w:pPr>
                  <w:tabs>
                    <w:tab w:val="right" w:pos="8838"/>
                  </w:tabs>
                  <w:ind w:left="-106"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val="es-MX" w:eastAsia="en-US"/>
                  </w:rPr>
                  <w:t xml:space="preserve">01041/INFOEM/IP/RR/2023 </w:t>
                </w:r>
              </w:p>
            </w:tc>
          </w:tr>
          <w:tr w:rsidR="00F1269B" w:rsidRPr="00286D0C" w14:paraId="7FF8A33E" w14:textId="77777777" w:rsidTr="00DF3BE8">
            <w:trPr>
              <w:trHeight w:val="144"/>
            </w:trPr>
            <w:tc>
              <w:tcPr>
                <w:tcW w:w="2589" w:type="dxa"/>
              </w:tcPr>
              <w:p w14:paraId="556203C9" w14:textId="77777777" w:rsidR="00F1269B" w:rsidRPr="00431A70" w:rsidRDefault="00F1269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Recurrente:</w:t>
                </w:r>
              </w:p>
            </w:tc>
            <w:tc>
              <w:tcPr>
                <w:tcW w:w="3543" w:type="dxa"/>
              </w:tcPr>
              <w:p w14:paraId="2C381E8C" w14:textId="77777777" w:rsidR="00F1269B" w:rsidRPr="00286D0C" w:rsidRDefault="00F1269B" w:rsidP="005F13CF">
                <w:pPr>
                  <w:tabs>
                    <w:tab w:val="left" w:pos="3122"/>
                    <w:tab w:val="right" w:pos="8838"/>
                  </w:tabs>
                  <w:ind w:left="-106" w:right="-105"/>
                  <w:jc w:val="both"/>
                  <w:rPr>
                    <w:rFonts w:ascii="Palatino Linotype" w:eastAsia="Calibri" w:hAnsi="Palatino Linotype" w:cs="Tahoma"/>
                    <w:bCs/>
                    <w:sz w:val="22"/>
                    <w:szCs w:val="22"/>
                    <w:lang w:eastAsia="en-US"/>
                  </w:rPr>
                </w:pPr>
              </w:p>
            </w:tc>
          </w:tr>
          <w:tr w:rsidR="00F1269B" w:rsidRPr="00431A70" w14:paraId="65228980" w14:textId="77777777" w:rsidTr="00DF3BE8">
            <w:trPr>
              <w:trHeight w:val="283"/>
            </w:trPr>
            <w:tc>
              <w:tcPr>
                <w:tcW w:w="2589" w:type="dxa"/>
              </w:tcPr>
              <w:p w14:paraId="009B7F2F" w14:textId="77777777" w:rsidR="00F1269B" w:rsidRPr="00431A70" w:rsidRDefault="00F1269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Sujeto Obligado:</w:t>
                </w:r>
              </w:p>
            </w:tc>
            <w:tc>
              <w:tcPr>
                <w:tcW w:w="3543" w:type="dxa"/>
              </w:tcPr>
              <w:p w14:paraId="686AD2B6" w14:textId="77777777" w:rsidR="00F1269B" w:rsidRPr="005F13CF" w:rsidRDefault="00F1269B" w:rsidP="0031023E">
                <w:pPr>
                  <w:tabs>
                    <w:tab w:val="left" w:pos="2834"/>
                    <w:tab w:val="right" w:pos="8838"/>
                  </w:tabs>
                  <w:ind w:left="-106"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Secretaría de Movilidad</w:t>
                </w:r>
              </w:p>
            </w:tc>
          </w:tr>
          <w:tr w:rsidR="00F1269B" w:rsidRPr="00431A70" w14:paraId="5824E418" w14:textId="77777777" w:rsidTr="00DF3BE8">
            <w:trPr>
              <w:trHeight w:val="283"/>
            </w:trPr>
            <w:tc>
              <w:tcPr>
                <w:tcW w:w="2589" w:type="dxa"/>
              </w:tcPr>
              <w:p w14:paraId="7901E2B1" w14:textId="77777777" w:rsidR="00F1269B" w:rsidRPr="00431A70" w:rsidRDefault="00F1269B" w:rsidP="009A7587">
                <w:pPr>
                  <w:tabs>
                    <w:tab w:val="right" w:pos="8838"/>
                  </w:tabs>
                  <w:ind w:left="-74" w:right="-105"/>
                  <w:rPr>
                    <w:rFonts w:ascii="Palatino Linotype" w:eastAsia="Calibri" w:hAnsi="Palatino Linotype" w:cs="Tahoma"/>
                    <w:b/>
                    <w:sz w:val="22"/>
                    <w:szCs w:val="22"/>
                    <w:lang w:eastAsia="en-US"/>
                  </w:rPr>
                </w:pPr>
                <w:r w:rsidRPr="00431A70">
                  <w:rPr>
                    <w:rFonts w:ascii="Palatino Linotype" w:eastAsia="Calibri" w:hAnsi="Palatino Linotype" w:cs="Tahoma"/>
                    <w:b/>
                    <w:sz w:val="22"/>
                    <w:szCs w:val="22"/>
                    <w:lang w:eastAsia="en-US"/>
                  </w:rPr>
                  <w:t>Comisionado Ponente:</w:t>
                </w:r>
              </w:p>
            </w:tc>
            <w:tc>
              <w:tcPr>
                <w:tcW w:w="3543" w:type="dxa"/>
              </w:tcPr>
              <w:p w14:paraId="58628F6B" w14:textId="77777777" w:rsidR="00F1269B" w:rsidRPr="00431A70" w:rsidRDefault="00F1269B" w:rsidP="005F13CF">
                <w:pPr>
                  <w:tabs>
                    <w:tab w:val="right" w:pos="8838"/>
                  </w:tabs>
                  <w:ind w:left="-106" w:right="-105"/>
                  <w:jc w:val="both"/>
                  <w:rPr>
                    <w:rFonts w:ascii="Palatino Linotype" w:eastAsia="Calibri" w:hAnsi="Palatino Linotype" w:cs="Tahoma"/>
                    <w:b/>
                    <w:sz w:val="22"/>
                    <w:szCs w:val="22"/>
                    <w:lang w:eastAsia="en-US"/>
                  </w:rPr>
                </w:pPr>
                <w:r w:rsidRPr="00431A70">
                  <w:rPr>
                    <w:rFonts w:ascii="Palatino Linotype" w:eastAsia="Calibri" w:hAnsi="Palatino Linotype" w:cs="Tahoma"/>
                    <w:sz w:val="22"/>
                    <w:szCs w:val="22"/>
                    <w:lang w:eastAsia="en-US"/>
                  </w:rPr>
                  <w:t>Luis Gustavo Parra Noriega</w:t>
                </w:r>
              </w:p>
            </w:tc>
          </w:tr>
        </w:tbl>
        <w:p w14:paraId="1A4F5FF6" w14:textId="77777777" w:rsidR="00F1269B" w:rsidRPr="00330DA7" w:rsidRDefault="00F1269B" w:rsidP="00DB7E5F">
          <w:pPr>
            <w:tabs>
              <w:tab w:val="right" w:pos="8838"/>
            </w:tabs>
            <w:ind w:left="-28"/>
            <w:jc w:val="both"/>
            <w:rPr>
              <w:rFonts w:ascii="Arial" w:eastAsia="Calibri" w:hAnsi="Arial" w:cs="Arial"/>
              <w:b/>
              <w:sz w:val="22"/>
              <w:szCs w:val="22"/>
              <w:lang w:eastAsia="en-US"/>
            </w:rPr>
          </w:pPr>
        </w:p>
      </w:tc>
    </w:tr>
  </w:tbl>
  <w:p w14:paraId="7C19BF15" w14:textId="77777777" w:rsidR="00F1269B" w:rsidRPr="00330DA7" w:rsidRDefault="00F1269B" w:rsidP="00B727C5">
    <w:pPr>
      <w:pStyle w:val="Encabezado"/>
      <w:rPr>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1560"/>
        </w:tabs>
        <w:ind w:left="1560" w:hanging="360"/>
      </w:pPr>
      <w:rPr>
        <w:rFonts w:ascii="Symbol" w:hAnsi="Symbol" w:hint="default"/>
      </w:rPr>
    </w:lvl>
  </w:abstractNum>
  <w:abstractNum w:abstractNumId="1"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B138A0"/>
    <w:multiLevelType w:val="hybridMultilevel"/>
    <w:tmpl w:val="28DE3B0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09470C43"/>
    <w:multiLevelType w:val="hybridMultilevel"/>
    <w:tmpl w:val="D5E2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B6C09"/>
    <w:multiLevelType w:val="hybridMultilevel"/>
    <w:tmpl w:val="20501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4E0461"/>
    <w:multiLevelType w:val="hybridMultilevel"/>
    <w:tmpl w:val="74183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E60D4E"/>
    <w:multiLevelType w:val="hybridMultilevel"/>
    <w:tmpl w:val="3690C0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CC235D"/>
    <w:multiLevelType w:val="hybridMultilevel"/>
    <w:tmpl w:val="9C388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0C43F5"/>
    <w:multiLevelType w:val="hybridMultilevel"/>
    <w:tmpl w:val="B68E089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621EE4"/>
    <w:multiLevelType w:val="hybridMultilevel"/>
    <w:tmpl w:val="E81E6D1C"/>
    <w:lvl w:ilvl="0" w:tplc="30D85BAE">
      <w:start w:val="1"/>
      <w:numFmt w:val="decimal"/>
      <w:lvlText w:val="%1)"/>
      <w:lvlJc w:val="left"/>
      <w:pPr>
        <w:ind w:left="720" w:hanging="360"/>
      </w:pPr>
      <w:rPr>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19230407"/>
    <w:multiLevelType w:val="hybridMultilevel"/>
    <w:tmpl w:val="6798C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1339B5"/>
    <w:multiLevelType w:val="hybridMultilevel"/>
    <w:tmpl w:val="2B500EC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6D56F42"/>
    <w:multiLevelType w:val="hybridMultilevel"/>
    <w:tmpl w:val="FFA87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6340D7"/>
    <w:multiLevelType w:val="hybridMultilevel"/>
    <w:tmpl w:val="9E5A5C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2F31292A"/>
    <w:multiLevelType w:val="hybridMultilevel"/>
    <w:tmpl w:val="C8480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110D4F"/>
    <w:multiLevelType w:val="hybridMultilevel"/>
    <w:tmpl w:val="C79C1E3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37F60587"/>
    <w:multiLevelType w:val="hybridMultilevel"/>
    <w:tmpl w:val="9A809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2404F5"/>
    <w:multiLevelType w:val="hybridMultilevel"/>
    <w:tmpl w:val="6DA49F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65C69E4"/>
    <w:multiLevelType w:val="hybridMultilevel"/>
    <w:tmpl w:val="26527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7548EC"/>
    <w:multiLevelType w:val="hybridMultilevel"/>
    <w:tmpl w:val="9A34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EDD4CAE"/>
    <w:multiLevelType w:val="hybridMultilevel"/>
    <w:tmpl w:val="EFF40530"/>
    <w:lvl w:ilvl="0" w:tplc="932C81D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A13F1D"/>
    <w:multiLevelType w:val="hybridMultilevel"/>
    <w:tmpl w:val="214818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C848B3"/>
    <w:multiLevelType w:val="hybridMultilevel"/>
    <w:tmpl w:val="FAB48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C0D1D37"/>
    <w:multiLevelType w:val="hybridMultilevel"/>
    <w:tmpl w:val="1CB0D6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13863C7"/>
    <w:multiLevelType w:val="hybridMultilevel"/>
    <w:tmpl w:val="FAB489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DED7307"/>
    <w:multiLevelType w:val="hybridMultilevel"/>
    <w:tmpl w:val="58FAFD70"/>
    <w:lvl w:ilvl="0" w:tplc="694A926A">
      <w:start w:val="1"/>
      <w:numFmt w:val="decimal"/>
      <w:lvlText w:val="%1."/>
      <w:lvlJc w:val="left"/>
      <w:pPr>
        <w:tabs>
          <w:tab w:val="num" w:pos="720"/>
        </w:tabs>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0"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4273B9"/>
    <w:multiLevelType w:val="hybridMultilevel"/>
    <w:tmpl w:val="868C50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362560"/>
    <w:multiLevelType w:val="hybridMultilevel"/>
    <w:tmpl w:val="05C4AF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490726"/>
    <w:multiLevelType w:val="hybridMultilevel"/>
    <w:tmpl w:val="E43C6C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6960745">
    <w:abstractNumId w:val="0"/>
  </w:num>
  <w:num w:numId="2" w16cid:durableId="41251788">
    <w:abstractNumId w:val="27"/>
  </w:num>
  <w:num w:numId="3" w16cid:durableId="1105029697">
    <w:abstractNumId w:val="3"/>
  </w:num>
  <w:num w:numId="4" w16cid:durableId="3115674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3674350">
    <w:abstractNumId w:val="5"/>
  </w:num>
  <w:num w:numId="6" w16cid:durableId="1572812430">
    <w:abstractNumId w:val="16"/>
  </w:num>
  <w:num w:numId="7" w16cid:durableId="720253798">
    <w:abstractNumId w:val="31"/>
  </w:num>
  <w:num w:numId="8" w16cid:durableId="325784400">
    <w:abstractNumId w:val="23"/>
  </w:num>
  <w:num w:numId="9" w16cid:durableId="1301882492">
    <w:abstractNumId w:val="17"/>
  </w:num>
  <w:num w:numId="10" w16cid:durableId="1713504832">
    <w:abstractNumId w:val="33"/>
  </w:num>
  <w:num w:numId="11" w16cid:durableId="1723291747">
    <w:abstractNumId w:val="22"/>
  </w:num>
  <w:num w:numId="12" w16cid:durableId="1939285601">
    <w:abstractNumId w:val="24"/>
  </w:num>
  <w:num w:numId="13" w16cid:durableId="1856847687">
    <w:abstractNumId w:val="4"/>
  </w:num>
  <w:num w:numId="14" w16cid:durableId="851724144">
    <w:abstractNumId w:val="35"/>
  </w:num>
  <w:num w:numId="15" w16cid:durableId="55115807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5343596">
    <w:abstractNumId w:val="19"/>
  </w:num>
  <w:num w:numId="17" w16cid:durableId="1578830792">
    <w:abstractNumId w:val="1"/>
  </w:num>
  <w:num w:numId="18" w16cid:durableId="47727201">
    <w:abstractNumId w:val="11"/>
  </w:num>
  <w:num w:numId="19" w16cid:durableId="1355183768">
    <w:abstractNumId w:val="15"/>
  </w:num>
  <w:num w:numId="20" w16cid:durableId="249192994">
    <w:abstractNumId w:val="9"/>
    <w:lvlOverride w:ilvl="0">
      <w:startOverride w:val="1"/>
    </w:lvlOverride>
    <w:lvlOverride w:ilvl="1"/>
    <w:lvlOverride w:ilvl="2"/>
    <w:lvlOverride w:ilvl="3"/>
    <w:lvlOverride w:ilvl="4"/>
    <w:lvlOverride w:ilvl="5"/>
    <w:lvlOverride w:ilvl="6"/>
    <w:lvlOverride w:ilvl="7"/>
    <w:lvlOverride w:ilvl="8"/>
  </w:num>
  <w:num w:numId="21" w16cid:durableId="2126073951">
    <w:abstractNumId w:val="30"/>
  </w:num>
  <w:num w:numId="22" w16cid:durableId="1373001408">
    <w:abstractNumId w:val="34"/>
  </w:num>
  <w:num w:numId="23" w16cid:durableId="774058170">
    <w:abstractNumId w:val="8"/>
  </w:num>
  <w:num w:numId="24" w16cid:durableId="1819036807">
    <w:abstractNumId w:val="10"/>
  </w:num>
  <w:num w:numId="25" w16cid:durableId="1215310298">
    <w:abstractNumId w:val="7"/>
  </w:num>
  <w:num w:numId="26" w16cid:durableId="1438595136">
    <w:abstractNumId w:val="13"/>
  </w:num>
  <w:num w:numId="27" w16cid:durableId="2080974976">
    <w:abstractNumId w:val="32"/>
  </w:num>
  <w:num w:numId="28" w16cid:durableId="1897625313">
    <w:abstractNumId w:val="6"/>
  </w:num>
  <w:num w:numId="29" w16cid:durableId="1211068082">
    <w:abstractNumId w:val="28"/>
  </w:num>
  <w:num w:numId="30" w16cid:durableId="806358003">
    <w:abstractNumId w:val="14"/>
  </w:num>
  <w:num w:numId="31" w16cid:durableId="1511724133">
    <w:abstractNumId w:val="26"/>
  </w:num>
  <w:num w:numId="32" w16cid:durableId="1204249211">
    <w:abstractNumId w:val="18"/>
  </w:num>
  <w:num w:numId="33" w16cid:durableId="331838267">
    <w:abstractNumId w:val="2"/>
  </w:num>
  <w:num w:numId="34" w16cid:durableId="1375886803">
    <w:abstractNumId w:val="20"/>
  </w:num>
  <w:num w:numId="35" w16cid:durableId="799567737">
    <w:abstractNumId w:val="25"/>
  </w:num>
  <w:num w:numId="36" w16cid:durableId="26029354">
    <w:abstractNumId w:val="2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91"/>
    <w:rsid w:val="00000F3F"/>
    <w:rsid w:val="00000F70"/>
    <w:rsid w:val="0000156C"/>
    <w:rsid w:val="000027EB"/>
    <w:rsid w:val="00002CF8"/>
    <w:rsid w:val="0000339F"/>
    <w:rsid w:val="00003AAE"/>
    <w:rsid w:val="00004263"/>
    <w:rsid w:val="0000485A"/>
    <w:rsid w:val="00005668"/>
    <w:rsid w:val="00006091"/>
    <w:rsid w:val="00006543"/>
    <w:rsid w:val="00006DC5"/>
    <w:rsid w:val="00007C72"/>
    <w:rsid w:val="00010426"/>
    <w:rsid w:val="000106AE"/>
    <w:rsid w:val="00013291"/>
    <w:rsid w:val="00013861"/>
    <w:rsid w:val="00013A19"/>
    <w:rsid w:val="00013C8D"/>
    <w:rsid w:val="0001402B"/>
    <w:rsid w:val="00014465"/>
    <w:rsid w:val="00014BC5"/>
    <w:rsid w:val="00015D5C"/>
    <w:rsid w:val="00016A4A"/>
    <w:rsid w:val="00017858"/>
    <w:rsid w:val="00017D26"/>
    <w:rsid w:val="00020799"/>
    <w:rsid w:val="00020818"/>
    <w:rsid w:val="00020AA1"/>
    <w:rsid w:val="00020C07"/>
    <w:rsid w:val="000212E5"/>
    <w:rsid w:val="00021C64"/>
    <w:rsid w:val="0002227D"/>
    <w:rsid w:val="00023351"/>
    <w:rsid w:val="000241C5"/>
    <w:rsid w:val="00024362"/>
    <w:rsid w:val="0002439E"/>
    <w:rsid w:val="0002467B"/>
    <w:rsid w:val="0002481A"/>
    <w:rsid w:val="0002483C"/>
    <w:rsid w:val="00024A48"/>
    <w:rsid w:val="00024C42"/>
    <w:rsid w:val="00024D74"/>
    <w:rsid w:val="000259E6"/>
    <w:rsid w:val="00025D40"/>
    <w:rsid w:val="00025F5D"/>
    <w:rsid w:val="00027B6E"/>
    <w:rsid w:val="000300BE"/>
    <w:rsid w:val="0003037C"/>
    <w:rsid w:val="0003089C"/>
    <w:rsid w:val="00030E29"/>
    <w:rsid w:val="00030EDA"/>
    <w:rsid w:val="000313A7"/>
    <w:rsid w:val="00031EB2"/>
    <w:rsid w:val="00032F5B"/>
    <w:rsid w:val="00033086"/>
    <w:rsid w:val="0003481C"/>
    <w:rsid w:val="00034E9D"/>
    <w:rsid w:val="00035F9E"/>
    <w:rsid w:val="000373BC"/>
    <w:rsid w:val="000378BC"/>
    <w:rsid w:val="00037B34"/>
    <w:rsid w:val="00037F4B"/>
    <w:rsid w:val="00040101"/>
    <w:rsid w:val="000415F1"/>
    <w:rsid w:val="00043009"/>
    <w:rsid w:val="00043C4B"/>
    <w:rsid w:val="000452B7"/>
    <w:rsid w:val="00045736"/>
    <w:rsid w:val="0004574F"/>
    <w:rsid w:val="0004646B"/>
    <w:rsid w:val="000467AD"/>
    <w:rsid w:val="0004735D"/>
    <w:rsid w:val="00047C1B"/>
    <w:rsid w:val="00051243"/>
    <w:rsid w:val="00051E32"/>
    <w:rsid w:val="000523BB"/>
    <w:rsid w:val="000528E6"/>
    <w:rsid w:val="00053784"/>
    <w:rsid w:val="00053EEF"/>
    <w:rsid w:val="0005422F"/>
    <w:rsid w:val="00055361"/>
    <w:rsid w:val="00056A85"/>
    <w:rsid w:val="00057250"/>
    <w:rsid w:val="0006017B"/>
    <w:rsid w:val="00060BE1"/>
    <w:rsid w:val="00061F79"/>
    <w:rsid w:val="000620E1"/>
    <w:rsid w:val="00062B8B"/>
    <w:rsid w:val="00063514"/>
    <w:rsid w:val="000640BD"/>
    <w:rsid w:val="00064855"/>
    <w:rsid w:val="000648B3"/>
    <w:rsid w:val="0006654C"/>
    <w:rsid w:val="000666FD"/>
    <w:rsid w:val="000672AA"/>
    <w:rsid w:val="00070738"/>
    <w:rsid w:val="00071A4A"/>
    <w:rsid w:val="0007204D"/>
    <w:rsid w:val="00072AD9"/>
    <w:rsid w:val="00072E52"/>
    <w:rsid w:val="00073C50"/>
    <w:rsid w:val="000749A5"/>
    <w:rsid w:val="00075542"/>
    <w:rsid w:val="000758B2"/>
    <w:rsid w:val="00075C83"/>
    <w:rsid w:val="000765EA"/>
    <w:rsid w:val="00076C7C"/>
    <w:rsid w:val="000778B2"/>
    <w:rsid w:val="000805CC"/>
    <w:rsid w:val="000813B0"/>
    <w:rsid w:val="0008148B"/>
    <w:rsid w:val="00081756"/>
    <w:rsid w:val="00081C1C"/>
    <w:rsid w:val="000851BA"/>
    <w:rsid w:val="00086A01"/>
    <w:rsid w:val="0008787B"/>
    <w:rsid w:val="0009087C"/>
    <w:rsid w:val="000910AA"/>
    <w:rsid w:val="00091672"/>
    <w:rsid w:val="00091759"/>
    <w:rsid w:val="00092475"/>
    <w:rsid w:val="0009263F"/>
    <w:rsid w:val="00092AD0"/>
    <w:rsid w:val="000939AD"/>
    <w:rsid w:val="000943DD"/>
    <w:rsid w:val="00096500"/>
    <w:rsid w:val="00097211"/>
    <w:rsid w:val="00097806"/>
    <w:rsid w:val="000A001B"/>
    <w:rsid w:val="000A0518"/>
    <w:rsid w:val="000A0861"/>
    <w:rsid w:val="000A1342"/>
    <w:rsid w:val="000A20A4"/>
    <w:rsid w:val="000A275D"/>
    <w:rsid w:val="000A3AEE"/>
    <w:rsid w:val="000A5058"/>
    <w:rsid w:val="000A5BA8"/>
    <w:rsid w:val="000A7211"/>
    <w:rsid w:val="000B0C2B"/>
    <w:rsid w:val="000B1059"/>
    <w:rsid w:val="000B1D37"/>
    <w:rsid w:val="000B2318"/>
    <w:rsid w:val="000B24EE"/>
    <w:rsid w:val="000B254D"/>
    <w:rsid w:val="000B2C93"/>
    <w:rsid w:val="000B36DD"/>
    <w:rsid w:val="000B4248"/>
    <w:rsid w:val="000B51D7"/>
    <w:rsid w:val="000B5711"/>
    <w:rsid w:val="000B5B9F"/>
    <w:rsid w:val="000B5E8D"/>
    <w:rsid w:val="000B6020"/>
    <w:rsid w:val="000C0396"/>
    <w:rsid w:val="000C04EA"/>
    <w:rsid w:val="000C055A"/>
    <w:rsid w:val="000C2283"/>
    <w:rsid w:val="000C2529"/>
    <w:rsid w:val="000C27CA"/>
    <w:rsid w:val="000C3B64"/>
    <w:rsid w:val="000C3F1A"/>
    <w:rsid w:val="000C471D"/>
    <w:rsid w:val="000C4BA4"/>
    <w:rsid w:val="000C59CB"/>
    <w:rsid w:val="000C60A2"/>
    <w:rsid w:val="000C6179"/>
    <w:rsid w:val="000C77BB"/>
    <w:rsid w:val="000C7B74"/>
    <w:rsid w:val="000D0B08"/>
    <w:rsid w:val="000D1DDF"/>
    <w:rsid w:val="000D1F49"/>
    <w:rsid w:val="000D2535"/>
    <w:rsid w:val="000D2646"/>
    <w:rsid w:val="000D2A27"/>
    <w:rsid w:val="000D300A"/>
    <w:rsid w:val="000D3B88"/>
    <w:rsid w:val="000D3EFB"/>
    <w:rsid w:val="000D62E2"/>
    <w:rsid w:val="000D62EF"/>
    <w:rsid w:val="000D6304"/>
    <w:rsid w:val="000E0BEA"/>
    <w:rsid w:val="000E189E"/>
    <w:rsid w:val="000E2884"/>
    <w:rsid w:val="000E50C3"/>
    <w:rsid w:val="000E54A2"/>
    <w:rsid w:val="000E6517"/>
    <w:rsid w:val="000E7527"/>
    <w:rsid w:val="000E7E79"/>
    <w:rsid w:val="000F019D"/>
    <w:rsid w:val="000F02BE"/>
    <w:rsid w:val="000F1AF4"/>
    <w:rsid w:val="000F24C8"/>
    <w:rsid w:val="000F2B83"/>
    <w:rsid w:val="000F2EBF"/>
    <w:rsid w:val="000F3B9F"/>
    <w:rsid w:val="000F3D6D"/>
    <w:rsid w:val="000F3DA0"/>
    <w:rsid w:val="000F4178"/>
    <w:rsid w:val="000F4183"/>
    <w:rsid w:val="000F437A"/>
    <w:rsid w:val="000F4876"/>
    <w:rsid w:val="000F555D"/>
    <w:rsid w:val="000F5B40"/>
    <w:rsid w:val="000F6336"/>
    <w:rsid w:val="000F661E"/>
    <w:rsid w:val="000F6834"/>
    <w:rsid w:val="000F75DE"/>
    <w:rsid w:val="000F76AB"/>
    <w:rsid w:val="000F7A45"/>
    <w:rsid w:val="000F7FD8"/>
    <w:rsid w:val="001004F1"/>
    <w:rsid w:val="00100BAC"/>
    <w:rsid w:val="001017B7"/>
    <w:rsid w:val="001034C6"/>
    <w:rsid w:val="00103855"/>
    <w:rsid w:val="001049B0"/>
    <w:rsid w:val="00104ADB"/>
    <w:rsid w:val="001057BC"/>
    <w:rsid w:val="00107D2F"/>
    <w:rsid w:val="00110E1B"/>
    <w:rsid w:val="00111385"/>
    <w:rsid w:val="00111825"/>
    <w:rsid w:val="00111AE8"/>
    <w:rsid w:val="00111EFD"/>
    <w:rsid w:val="001133D5"/>
    <w:rsid w:val="00114068"/>
    <w:rsid w:val="001141F0"/>
    <w:rsid w:val="001147DC"/>
    <w:rsid w:val="00114967"/>
    <w:rsid w:val="001150E9"/>
    <w:rsid w:val="0011605B"/>
    <w:rsid w:val="001166C8"/>
    <w:rsid w:val="001171BD"/>
    <w:rsid w:val="00117CD7"/>
    <w:rsid w:val="00117FA6"/>
    <w:rsid w:val="00120425"/>
    <w:rsid w:val="0012216D"/>
    <w:rsid w:val="001221B8"/>
    <w:rsid w:val="001227A5"/>
    <w:rsid w:val="0012668C"/>
    <w:rsid w:val="00126A21"/>
    <w:rsid w:val="00126F68"/>
    <w:rsid w:val="001270CA"/>
    <w:rsid w:val="00127546"/>
    <w:rsid w:val="00127757"/>
    <w:rsid w:val="001279BF"/>
    <w:rsid w:val="00127B6A"/>
    <w:rsid w:val="00130B72"/>
    <w:rsid w:val="00130C11"/>
    <w:rsid w:val="00132A80"/>
    <w:rsid w:val="00132F95"/>
    <w:rsid w:val="00133222"/>
    <w:rsid w:val="00133B0C"/>
    <w:rsid w:val="00133BBB"/>
    <w:rsid w:val="0013420A"/>
    <w:rsid w:val="00134409"/>
    <w:rsid w:val="001346BA"/>
    <w:rsid w:val="00135955"/>
    <w:rsid w:val="00136051"/>
    <w:rsid w:val="00136073"/>
    <w:rsid w:val="0013647C"/>
    <w:rsid w:val="0013791C"/>
    <w:rsid w:val="00137B8F"/>
    <w:rsid w:val="0014037C"/>
    <w:rsid w:val="00141895"/>
    <w:rsid w:val="00141CDA"/>
    <w:rsid w:val="00142312"/>
    <w:rsid w:val="0014307A"/>
    <w:rsid w:val="00144363"/>
    <w:rsid w:val="00144D0B"/>
    <w:rsid w:val="00144FA7"/>
    <w:rsid w:val="001460EE"/>
    <w:rsid w:val="0014682A"/>
    <w:rsid w:val="00147516"/>
    <w:rsid w:val="00147566"/>
    <w:rsid w:val="00147666"/>
    <w:rsid w:val="00147887"/>
    <w:rsid w:val="00147D17"/>
    <w:rsid w:val="001507DF"/>
    <w:rsid w:val="00150E21"/>
    <w:rsid w:val="00151053"/>
    <w:rsid w:val="0015192B"/>
    <w:rsid w:val="00151FBB"/>
    <w:rsid w:val="00151FBC"/>
    <w:rsid w:val="001534EA"/>
    <w:rsid w:val="0015381E"/>
    <w:rsid w:val="0015530E"/>
    <w:rsid w:val="00155B1A"/>
    <w:rsid w:val="00155F96"/>
    <w:rsid w:val="00155FE6"/>
    <w:rsid w:val="00156408"/>
    <w:rsid w:val="00156A6B"/>
    <w:rsid w:val="0015731F"/>
    <w:rsid w:val="001606D4"/>
    <w:rsid w:val="00160E54"/>
    <w:rsid w:val="00161DF9"/>
    <w:rsid w:val="00162383"/>
    <w:rsid w:val="00162A24"/>
    <w:rsid w:val="00162CCE"/>
    <w:rsid w:val="00163387"/>
    <w:rsid w:val="00163BAA"/>
    <w:rsid w:val="001646D2"/>
    <w:rsid w:val="00165010"/>
    <w:rsid w:val="00165891"/>
    <w:rsid w:val="0016712E"/>
    <w:rsid w:val="00167136"/>
    <w:rsid w:val="00170545"/>
    <w:rsid w:val="00171ADD"/>
    <w:rsid w:val="001728F3"/>
    <w:rsid w:val="00172F78"/>
    <w:rsid w:val="00173533"/>
    <w:rsid w:val="00173548"/>
    <w:rsid w:val="00174390"/>
    <w:rsid w:val="0017459B"/>
    <w:rsid w:val="00175A0D"/>
    <w:rsid w:val="00175CEB"/>
    <w:rsid w:val="00175D4A"/>
    <w:rsid w:val="00175E61"/>
    <w:rsid w:val="00176367"/>
    <w:rsid w:val="00177532"/>
    <w:rsid w:val="00177BFC"/>
    <w:rsid w:val="00177C07"/>
    <w:rsid w:val="00180208"/>
    <w:rsid w:val="00180365"/>
    <w:rsid w:val="00180DE9"/>
    <w:rsid w:val="001821D9"/>
    <w:rsid w:val="001824D6"/>
    <w:rsid w:val="00182D6C"/>
    <w:rsid w:val="00182DCE"/>
    <w:rsid w:val="00182F0F"/>
    <w:rsid w:val="001832D9"/>
    <w:rsid w:val="00183664"/>
    <w:rsid w:val="00183D24"/>
    <w:rsid w:val="00183F63"/>
    <w:rsid w:val="001851A6"/>
    <w:rsid w:val="00186AC2"/>
    <w:rsid w:val="00187211"/>
    <w:rsid w:val="001872B5"/>
    <w:rsid w:val="001875A7"/>
    <w:rsid w:val="001879E1"/>
    <w:rsid w:val="0019031A"/>
    <w:rsid w:val="00190E90"/>
    <w:rsid w:val="00190F5F"/>
    <w:rsid w:val="0019295F"/>
    <w:rsid w:val="0019389B"/>
    <w:rsid w:val="00196522"/>
    <w:rsid w:val="001A1B94"/>
    <w:rsid w:val="001A22F5"/>
    <w:rsid w:val="001A372F"/>
    <w:rsid w:val="001A3887"/>
    <w:rsid w:val="001A3AF1"/>
    <w:rsid w:val="001A412B"/>
    <w:rsid w:val="001A4B83"/>
    <w:rsid w:val="001A4BBA"/>
    <w:rsid w:val="001A4BBC"/>
    <w:rsid w:val="001A5BDB"/>
    <w:rsid w:val="001A5DF5"/>
    <w:rsid w:val="001A7153"/>
    <w:rsid w:val="001A769E"/>
    <w:rsid w:val="001A7FD2"/>
    <w:rsid w:val="001B04B4"/>
    <w:rsid w:val="001B0D53"/>
    <w:rsid w:val="001B107D"/>
    <w:rsid w:val="001B1997"/>
    <w:rsid w:val="001B2CD9"/>
    <w:rsid w:val="001B2EA3"/>
    <w:rsid w:val="001B32BB"/>
    <w:rsid w:val="001B38FF"/>
    <w:rsid w:val="001B4549"/>
    <w:rsid w:val="001B62A0"/>
    <w:rsid w:val="001B6C10"/>
    <w:rsid w:val="001C0C73"/>
    <w:rsid w:val="001C1705"/>
    <w:rsid w:val="001C17B0"/>
    <w:rsid w:val="001C182B"/>
    <w:rsid w:val="001C1CFF"/>
    <w:rsid w:val="001C1F74"/>
    <w:rsid w:val="001C282F"/>
    <w:rsid w:val="001C33B3"/>
    <w:rsid w:val="001C45E3"/>
    <w:rsid w:val="001C67BD"/>
    <w:rsid w:val="001C7DDF"/>
    <w:rsid w:val="001D0086"/>
    <w:rsid w:val="001D0094"/>
    <w:rsid w:val="001D0B58"/>
    <w:rsid w:val="001D1C9C"/>
    <w:rsid w:val="001D3086"/>
    <w:rsid w:val="001D3CA3"/>
    <w:rsid w:val="001D3E97"/>
    <w:rsid w:val="001D5A6D"/>
    <w:rsid w:val="001D67AC"/>
    <w:rsid w:val="001D7012"/>
    <w:rsid w:val="001D733A"/>
    <w:rsid w:val="001D7530"/>
    <w:rsid w:val="001D7974"/>
    <w:rsid w:val="001D7BD2"/>
    <w:rsid w:val="001E04FC"/>
    <w:rsid w:val="001E05F1"/>
    <w:rsid w:val="001E0C19"/>
    <w:rsid w:val="001E211D"/>
    <w:rsid w:val="001E22BA"/>
    <w:rsid w:val="001E293E"/>
    <w:rsid w:val="001E2A4D"/>
    <w:rsid w:val="001E331E"/>
    <w:rsid w:val="001E3322"/>
    <w:rsid w:val="001E343E"/>
    <w:rsid w:val="001E4C89"/>
    <w:rsid w:val="001E53C2"/>
    <w:rsid w:val="001E548E"/>
    <w:rsid w:val="001E6342"/>
    <w:rsid w:val="001E6357"/>
    <w:rsid w:val="001E66F6"/>
    <w:rsid w:val="001E6816"/>
    <w:rsid w:val="001E6FC5"/>
    <w:rsid w:val="001E745E"/>
    <w:rsid w:val="001F0C4E"/>
    <w:rsid w:val="001F0E9C"/>
    <w:rsid w:val="001F0EB8"/>
    <w:rsid w:val="001F0F7D"/>
    <w:rsid w:val="001F1540"/>
    <w:rsid w:val="001F18F9"/>
    <w:rsid w:val="001F1A77"/>
    <w:rsid w:val="001F2C2A"/>
    <w:rsid w:val="001F30C3"/>
    <w:rsid w:val="001F3351"/>
    <w:rsid w:val="001F5C7C"/>
    <w:rsid w:val="001F5D3A"/>
    <w:rsid w:val="001F652C"/>
    <w:rsid w:val="001F787A"/>
    <w:rsid w:val="001F78D9"/>
    <w:rsid w:val="0020024D"/>
    <w:rsid w:val="00200E50"/>
    <w:rsid w:val="002020FA"/>
    <w:rsid w:val="00202DB8"/>
    <w:rsid w:val="00203950"/>
    <w:rsid w:val="002051ED"/>
    <w:rsid w:val="002060B4"/>
    <w:rsid w:val="002066D0"/>
    <w:rsid w:val="00206EC9"/>
    <w:rsid w:val="002072EE"/>
    <w:rsid w:val="00207736"/>
    <w:rsid w:val="002079D3"/>
    <w:rsid w:val="00207D7C"/>
    <w:rsid w:val="00207F5A"/>
    <w:rsid w:val="0021049B"/>
    <w:rsid w:val="00210546"/>
    <w:rsid w:val="002108B0"/>
    <w:rsid w:val="00210A50"/>
    <w:rsid w:val="002121D1"/>
    <w:rsid w:val="00212460"/>
    <w:rsid w:val="00215D0D"/>
    <w:rsid w:val="002161C6"/>
    <w:rsid w:val="00217AEF"/>
    <w:rsid w:val="00220C1C"/>
    <w:rsid w:val="00221EC9"/>
    <w:rsid w:val="00221F64"/>
    <w:rsid w:val="0022258F"/>
    <w:rsid w:val="00222731"/>
    <w:rsid w:val="00223317"/>
    <w:rsid w:val="00223601"/>
    <w:rsid w:val="00223C6D"/>
    <w:rsid w:val="00223ECD"/>
    <w:rsid w:val="002241A6"/>
    <w:rsid w:val="002241E8"/>
    <w:rsid w:val="002244FC"/>
    <w:rsid w:val="00224774"/>
    <w:rsid w:val="002247B0"/>
    <w:rsid w:val="00224F7A"/>
    <w:rsid w:val="00225152"/>
    <w:rsid w:val="002253A6"/>
    <w:rsid w:val="00225403"/>
    <w:rsid w:val="002257BF"/>
    <w:rsid w:val="00230629"/>
    <w:rsid w:val="00230E81"/>
    <w:rsid w:val="0023183A"/>
    <w:rsid w:val="00232251"/>
    <w:rsid w:val="00232673"/>
    <w:rsid w:val="00232700"/>
    <w:rsid w:val="00232E8C"/>
    <w:rsid w:val="002343FF"/>
    <w:rsid w:val="0023568B"/>
    <w:rsid w:val="00235F93"/>
    <w:rsid w:val="00236653"/>
    <w:rsid w:val="00236863"/>
    <w:rsid w:val="00237C1F"/>
    <w:rsid w:val="00237D0D"/>
    <w:rsid w:val="00240363"/>
    <w:rsid w:val="00241116"/>
    <w:rsid w:val="002433A4"/>
    <w:rsid w:val="002435DC"/>
    <w:rsid w:val="002447B2"/>
    <w:rsid w:val="00244ABB"/>
    <w:rsid w:val="00245F9F"/>
    <w:rsid w:val="00246501"/>
    <w:rsid w:val="00246E9B"/>
    <w:rsid w:val="00247B17"/>
    <w:rsid w:val="00247CFF"/>
    <w:rsid w:val="00247D21"/>
    <w:rsid w:val="00247EAA"/>
    <w:rsid w:val="00250389"/>
    <w:rsid w:val="00251FF7"/>
    <w:rsid w:val="002520B1"/>
    <w:rsid w:val="00252669"/>
    <w:rsid w:val="00252BD8"/>
    <w:rsid w:val="00252F10"/>
    <w:rsid w:val="00253937"/>
    <w:rsid w:val="00254209"/>
    <w:rsid w:val="00254288"/>
    <w:rsid w:val="0025469C"/>
    <w:rsid w:val="00255921"/>
    <w:rsid w:val="00257541"/>
    <w:rsid w:val="00257932"/>
    <w:rsid w:val="002579CE"/>
    <w:rsid w:val="00260BF5"/>
    <w:rsid w:val="00260FEC"/>
    <w:rsid w:val="0026108A"/>
    <w:rsid w:val="00261DD6"/>
    <w:rsid w:val="00262408"/>
    <w:rsid w:val="00263DDD"/>
    <w:rsid w:val="00263FE3"/>
    <w:rsid w:val="002649C4"/>
    <w:rsid w:val="002657E2"/>
    <w:rsid w:val="002661B2"/>
    <w:rsid w:val="002669E5"/>
    <w:rsid w:val="002671C8"/>
    <w:rsid w:val="002672CF"/>
    <w:rsid w:val="00271E0B"/>
    <w:rsid w:val="002727CC"/>
    <w:rsid w:val="00272ADB"/>
    <w:rsid w:val="00272F63"/>
    <w:rsid w:val="00273679"/>
    <w:rsid w:val="00274E6F"/>
    <w:rsid w:val="00275C84"/>
    <w:rsid w:val="00275CC4"/>
    <w:rsid w:val="00276009"/>
    <w:rsid w:val="00276A4C"/>
    <w:rsid w:val="00277B53"/>
    <w:rsid w:val="00280D8C"/>
    <w:rsid w:val="00280DC2"/>
    <w:rsid w:val="00281A35"/>
    <w:rsid w:val="00281AD9"/>
    <w:rsid w:val="002825EB"/>
    <w:rsid w:val="00283068"/>
    <w:rsid w:val="00284486"/>
    <w:rsid w:val="00285118"/>
    <w:rsid w:val="00285644"/>
    <w:rsid w:val="0028581E"/>
    <w:rsid w:val="0028601B"/>
    <w:rsid w:val="002862DB"/>
    <w:rsid w:val="0028682F"/>
    <w:rsid w:val="00286D0C"/>
    <w:rsid w:val="00287034"/>
    <w:rsid w:val="00291EFE"/>
    <w:rsid w:val="002922A1"/>
    <w:rsid w:val="00292319"/>
    <w:rsid w:val="002933B7"/>
    <w:rsid w:val="00293491"/>
    <w:rsid w:val="002942AB"/>
    <w:rsid w:val="00295F53"/>
    <w:rsid w:val="002A093E"/>
    <w:rsid w:val="002A0FB8"/>
    <w:rsid w:val="002A116B"/>
    <w:rsid w:val="002A169A"/>
    <w:rsid w:val="002A1B97"/>
    <w:rsid w:val="002A21FD"/>
    <w:rsid w:val="002A2EA3"/>
    <w:rsid w:val="002A415C"/>
    <w:rsid w:val="002A57D2"/>
    <w:rsid w:val="002A6193"/>
    <w:rsid w:val="002A66CD"/>
    <w:rsid w:val="002A6901"/>
    <w:rsid w:val="002A6E2B"/>
    <w:rsid w:val="002A717C"/>
    <w:rsid w:val="002A74AD"/>
    <w:rsid w:val="002A7BD4"/>
    <w:rsid w:val="002A7F32"/>
    <w:rsid w:val="002B1EE1"/>
    <w:rsid w:val="002B20A1"/>
    <w:rsid w:val="002B21A5"/>
    <w:rsid w:val="002B226E"/>
    <w:rsid w:val="002B3285"/>
    <w:rsid w:val="002B46D4"/>
    <w:rsid w:val="002B4C49"/>
    <w:rsid w:val="002B54CF"/>
    <w:rsid w:val="002B57F5"/>
    <w:rsid w:val="002B5BE0"/>
    <w:rsid w:val="002B70C7"/>
    <w:rsid w:val="002C06E4"/>
    <w:rsid w:val="002C1F2C"/>
    <w:rsid w:val="002C284D"/>
    <w:rsid w:val="002C3F5F"/>
    <w:rsid w:val="002C4046"/>
    <w:rsid w:val="002C431E"/>
    <w:rsid w:val="002C458A"/>
    <w:rsid w:val="002C46EE"/>
    <w:rsid w:val="002C483C"/>
    <w:rsid w:val="002C63FA"/>
    <w:rsid w:val="002C6BDE"/>
    <w:rsid w:val="002C70D8"/>
    <w:rsid w:val="002C7D95"/>
    <w:rsid w:val="002D1BE4"/>
    <w:rsid w:val="002D1D6C"/>
    <w:rsid w:val="002D33B0"/>
    <w:rsid w:val="002D3962"/>
    <w:rsid w:val="002D438B"/>
    <w:rsid w:val="002D4C3D"/>
    <w:rsid w:val="002D6323"/>
    <w:rsid w:val="002E074E"/>
    <w:rsid w:val="002E1218"/>
    <w:rsid w:val="002E1C48"/>
    <w:rsid w:val="002E2418"/>
    <w:rsid w:val="002E2DDD"/>
    <w:rsid w:val="002E3755"/>
    <w:rsid w:val="002E3FCF"/>
    <w:rsid w:val="002E4059"/>
    <w:rsid w:val="002E5015"/>
    <w:rsid w:val="002E5739"/>
    <w:rsid w:val="002E6FFD"/>
    <w:rsid w:val="002E7343"/>
    <w:rsid w:val="002E7ACF"/>
    <w:rsid w:val="002F072D"/>
    <w:rsid w:val="002F0C1A"/>
    <w:rsid w:val="002F0CE9"/>
    <w:rsid w:val="002F1E5A"/>
    <w:rsid w:val="002F3BD0"/>
    <w:rsid w:val="002F58D8"/>
    <w:rsid w:val="002F63C1"/>
    <w:rsid w:val="002F7857"/>
    <w:rsid w:val="0030032A"/>
    <w:rsid w:val="003007FA"/>
    <w:rsid w:val="00300A0B"/>
    <w:rsid w:val="0030100F"/>
    <w:rsid w:val="00301D5F"/>
    <w:rsid w:val="00301F46"/>
    <w:rsid w:val="00302D4B"/>
    <w:rsid w:val="00303776"/>
    <w:rsid w:val="00303CAD"/>
    <w:rsid w:val="00303E71"/>
    <w:rsid w:val="00304310"/>
    <w:rsid w:val="00304687"/>
    <w:rsid w:val="00304E7C"/>
    <w:rsid w:val="00306418"/>
    <w:rsid w:val="003100F3"/>
    <w:rsid w:val="0031023E"/>
    <w:rsid w:val="00310C11"/>
    <w:rsid w:val="00311D8B"/>
    <w:rsid w:val="00311DCB"/>
    <w:rsid w:val="0031243F"/>
    <w:rsid w:val="00312456"/>
    <w:rsid w:val="0031313F"/>
    <w:rsid w:val="00316600"/>
    <w:rsid w:val="00317214"/>
    <w:rsid w:val="003172EC"/>
    <w:rsid w:val="00320253"/>
    <w:rsid w:val="00320B79"/>
    <w:rsid w:val="00320FC1"/>
    <w:rsid w:val="0032150B"/>
    <w:rsid w:val="0032170B"/>
    <w:rsid w:val="00322C74"/>
    <w:rsid w:val="00323325"/>
    <w:rsid w:val="0032377D"/>
    <w:rsid w:val="00323EA6"/>
    <w:rsid w:val="003243B0"/>
    <w:rsid w:val="003243D4"/>
    <w:rsid w:val="00324C7C"/>
    <w:rsid w:val="00325EC0"/>
    <w:rsid w:val="00326A83"/>
    <w:rsid w:val="00326EA2"/>
    <w:rsid w:val="00330729"/>
    <w:rsid w:val="00330822"/>
    <w:rsid w:val="00330D7B"/>
    <w:rsid w:val="00330DA7"/>
    <w:rsid w:val="003323E7"/>
    <w:rsid w:val="00332724"/>
    <w:rsid w:val="003340EC"/>
    <w:rsid w:val="0033421F"/>
    <w:rsid w:val="00334225"/>
    <w:rsid w:val="00334528"/>
    <w:rsid w:val="003350FF"/>
    <w:rsid w:val="00335DC9"/>
    <w:rsid w:val="003363F6"/>
    <w:rsid w:val="00337053"/>
    <w:rsid w:val="0034057C"/>
    <w:rsid w:val="0034141F"/>
    <w:rsid w:val="003416A5"/>
    <w:rsid w:val="003416E2"/>
    <w:rsid w:val="003417A1"/>
    <w:rsid w:val="00341E21"/>
    <w:rsid w:val="00341E6C"/>
    <w:rsid w:val="00343B91"/>
    <w:rsid w:val="00343DCE"/>
    <w:rsid w:val="00344569"/>
    <w:rsid w:val="00344743"/>
    <w:rsid w:val="00350142"/>
    <w:rsid w:val="00350672"/>
    <w:rsid w:val="0035070B"/>
    <w:rsid w:val="00350D3D"/>
    <w:rsid w:val="00351247"/>
    <w:rsid w:val="00353B6D"/>
    <w:rsid w:val="003541D8"/>
    <w:rsid w:val="00354920"/>
    <w:rsid w:val="00355456"/>
    <w:rsid w:val="00355DC6"/>
    <w:rsid w:val="00356A4E"/>
    <w:rsid w:val="00356F72"/>
    <w:rsid w:val="0035716C"/>
    <w:rsid w:val="003576A7"/>
    <w:rsid w:val="00357700"/>
    <w:rsid w:val="003604D7"/>
    <w:rsid w:val="00361176"/>
    <w:rsid w:val="003613DA"/>
    <w:rsid w:val="0036164E"/>
    <w:rsid w:val="003622C8"/>
    <w:rsid w:val="0036351E"/>
    <w:rsid w:val="00363615"/>
    <w:rsid w:val="00364521"/>
    <w:rsid w:val="00364D22"/>
    <w:rsid w:val="00365026"/>
    <w:rsid w:val="00366C8C"/>
    <w:rsid w:val="0036780A"/>
    <w:rsid w:val="00367F82"/>
    <w:rsid w:val="00370CB0"/>
    <w:rsid w:val="0037163B"/>
    <w:rsid w:val="00371916"/>
    <w:rsid w:val="00372803"/>
    <w:rsid w:val="00373387"/>
    <w:rsid w:val="003749EC"/>
    <w:rsid w:val="00374AC2"/>
    <w:rsid w:val="003756AF"/>
    <w:rsid w:val="00375815"/>
    <w:rsid w:val="00375832"/>
    <w:rsid w:val="00375FCD"/>
    <w:rsid w:val="003777EE"/>
    <w:rsid w:val="00377848"/>
    <w:rsid w:val="00377EFD"/>
    <w:rsid w:val="00380441"/>
    <w:rsid w:val="00381176"/>
    <w:rsid w:val="00381447"/>
    <w:rsid w:val="00381EE0"/>
    <w:rsid w:val="00382696"/>
    <w:rsid w:val="0038358D"/>
    <w:rsid w:val="00383BDB"/>
    <w:rsid w:val="0038438A"/>
    <w:rsid w:val="00384393"/>
    <w:rsid w:val="003864D2"/>
    <w:rsid w:val="00386AFB"/>
    <w:rsid w:val="00386FAA"/>
    <w:rsid w:val="00390249"/>
    <w:rsid w:val="003905C8"/>
    <w:rsid w:val="00390BF8"/>
    <w:rsid w:val="0039109D"/>
    <w:rsid w:val="0039165C"/>
    <w:rsid w:val="00391E2E"/>
    <w:rsid w:val="003925E2"/>
    <w:rsid w:val="00392877"/>
    <w:rsid w:val="00392E12"/>
    <w:rsid w:val="00393668"/>
    <w:rsid w:val="00393685"/>
    <w:rsid w:val="00393EB2"/>
    <w:rsid w:val="00394461"/>
    <w:rsid w:val="003948EA"/>
    <w:rsid w:val="00394CA8"/>
    <w:rsid w:val="00394D7E"/>
    <w:rsid w:val="003956E9"/>
    <w:rsid w:val="003965EC"/>
    <w:rsid w:val="00396BA0"/>
    <w:rsid w:val="00396BE3"/>
    <w:rsid w:val="00397A62"/>
    <w:rsid w:val="003A0E17"/>
    <w:rsid w:val="003A123E"/>
    <w:rsid w:val="003A12F1"/>
    <w:rsid w:val="003A1986"/>
    <w:rsid w:val="003A1DF0"/>
    <w:rsid w:val="003A24F5"/>
    <w:rsid w:val="003A2BE3"/>
    <w:rsid w:val="003A357E"/>
    <w:rsid w:val="003A39A8"/>
    <w:rsid w:val="003A3F24"/>
    <w:rsid w:val="003A40EC"/>
    <w:rsid w:val="003A64F4"/>
    <w:rsid w:val="003A6E62"/>
    <w:rsid w:val="003A6FD1"/>
    <w:rsid w:val="003A78B5"/>
    <w:rsid w:val="003A78F9"/>
    <w:rsid w:val="003A7BE8"/>
    <w:rsid w:val="003A7C85"/>
    <w:rsid w:val="003A7E83"/>
    <w:rsid w:val="003A7FBE"/>
    <w:rsid w:val="003B0104"/>
    <w:rsid w:val="003B03A1"/>
    <w:rsid w:val="003B0D09"/>
    <w:rsid w:val="003B12E6"/>
    <w:rsid w:val="003B165A"/>
    <w:rsid w:val="003B1A7B"/>
    <w:rsid w:val="003B2140"/>
    <w:rsid w:val="003B3AB4"/>
    <w:rsid w:val="003B45E3"/>
    <w:rsid w:val="003B4ABD"/>
    <w:rsid w:val="003B504B"/>
    <w:rsid w:val="003B571C"/>
    <w:rsid w:val="003B5AD4"/>
    <w:rsid w:val="003B5C01"/>
    <w:rsid w:val="003B5D10"/>
    <w:rsid w:val="003B5D41"/>
    <w:rsid w:val="003B643A"/>
    <w:rsid w:val="003B6BEF"/>
    <w:rsid w:val="003C01B9"/>
    <w:rsid w:val="003C0AFA"/>
    <w:rsid w:val="003C0CA6"/>
    <w:rsid w:val="003C1B21"/>
    <w:rsid w:val="003C28B8"/>
    <w:rsid w:val="003C3BD5"/>
    <w:rsid w:val="003C3E71"/>
    <w:rsid w:val="003C4519"/>
    <w:rsid w:val="003C5C01"/>
    <w:rsid w:val="003C6934"/>
    <w:rsid w:val="003C7FD0"/>
    <w:rsid w:val="003D0268"/>
    <w:rsid w:val="003D11DD"/>
    <w:rsid w:val="003D1770"/>
    <w:rsid w:val="003D1A43"/>
    <w:rsid w:val="003D1A64"/>
    <w:rsid w:val="003D1AEC"/>
    <w:rsid w:val="003D1DB6"/>
    <w:rsid w:val="003D4123"/>
    <w:rsid w:val="003D58C8"/>
    <w:rsid w:val="003D5C08"/>
    <w:rsid w:val="003D5C27"/>
    <w:rsid w:val="003D5FF4"/>
    <w:rsid w:val="003D624F"/>
    <w:rsid w:val="003D63DA"/>
    <w:rsid w:val="003D63F9"/>
    <w:rsid w:val="003D7252"/>
    <w:rsid w:val="003D75E8"/>
    <w:rsid w:val="003D769B"/>
    <w:rsid w:val="003D76DE"/>
    <w:rsid w:val="003D7C4D"/>
    <w:rsid w:val="003E0B96"/>
    <w:rsid w:val="003E1982"/>
    <w:rsid w:val="003E26E3"/>
    <w:rsid w:val="003E3072"/>
    <w:rsid w:val="003E31E5"/>
    <w:rsid w:val="003E32ED"/>
    <w:rsid w:val="003E3A39"/>
    <w:rsid w:val="003E3DF8"/>
    <w:rsid w:val="003E58C9"/>
    <w:rsid w:val="003E58D5"/>
    <w:rsid w:val="003E5F91"/>
    <w:rsid w:val="003E601D"/>
    <w:rsid w:val="003E6061"/>
    <w:rsid w:val="003E68B5"/>
    <w:rsid w:val="003E77B5"/>
    <w:rsid w:val="003F0DFC"/>
    <w:rsid w:val="003F0E6C"/>
    <w:rsid w:val="003F12B4"/>
    <w:rsid w:val="003F25D4"/>
    <w:rsid w:val="003F3157"/>
    <w:rsid w:val="003F3C2B"/>
    <w:rsid w:val="003F3DEE"/>
    <w:rsid w:val="003F405A"/>
    <w:rsid w:val="003F57CA"/>
    <w:rsid w:val="003F650B"/>
    <w:rsid w:val="003F6EF0"/>
    <w:rsid w:val="004004E9"/>
    <w:rsid w:val="0040115B"/>
    <w:rsid w:val="00402B25"/>
    <w:rsid w:val="004052C5"/>
    <w:rsid w:val="004059FB"/>
    <w:rsid w:val="00406B7F"/>
    <w:rsid w:val="00406BFE"/>
    <w:rsid w:val="004074B3"/>
    <w:rsid w:val="00407A93"/>
    <w:rsid w:val="004100AA"/>
    <w:rsid w:val="00410CD2"/>
    <w:rsid w:val="00411961"/>
    <w:rsid w:val="00412203"/>
    <w:rsid w:val="0041222F"/>
    <w:rsid w:val="004128F6"/>
    <w:rsid w:val="00413718"/>
    <w:rsid w:val="004137A4"/>
    <w:rsid w:val="00413C18"/>
    <w:rsid w:val="00413C24"/>
    <w:rsid w:val="00414BF2"/>
    <w:rsid w:val="00414F9B"/>
    <w:rsid w:val="0041591A"/>
    <w:rsid w:val="00416C17"/>
    <w:rsid w:val="00417DE3"/>
    <w:rsid w:val="00417F91"/>
    <w:rsid w:val="00420B07"/>
    <w:rsid w:val="00420CCC"/>
    <w:rsid w:val="00420E30"/>
    <w:rsid w:val="00421B36"/>
    <w:rsid w:val="00421D3F"/>
    <w:rsid w:val="0042247C"/>
    <w:rsid w:val="00422869"/>
    <w:rsid w:val="00423D2F"/>
    <w:rsid w:val="00423F48"/>
    <w:rsid w:val="004250D2"/>
    <w:rsid w:val="00426448"/>
    <w:rsid w:val="00426613"/>
    <w:rsid w:val="00427408"/>
    <w:rsid w:val="00427457"/>
    <w:rsid w:val="00431A70"/>
    <w:rsid w:val="004321C5"/>
    <w:rsid w:val="0043257A"/>
    <w:rsid w:val="004327EE"/>
    <w:rsid w:val="00432F20"/>
    <w:rsid w:val="004339FC"/>
    <w:rsid w:val="00434202"/>
    <w:rsid w:val="00436305"/>
    <w:rsid w:val="00436FD3"/>
    <w:rsid w:val="00437B95"/>
    <w:rsid w:val="00437DBF"/>
    <w:rsid w:val="004406CF"/>
    <w:rsid w:val="00441804"/>
    <w:rsid w:val="004435B4"/>
    <w:rsid w:val="00443C24"/>
    <w:rsid w:val="00444D0E"/>
    <w:rsid w:val="0044550A"/>
    <w:rsid w:val="0044640B"/>
    <w:rsid w:val="004464AF"/>
    <w:rsid w:val="00447C98"/>
    <w:rsid w:val="00447F7D"/>
    <w:rsid w:val="004506B1"/>
    <w:rsid w:val="004506BF"/>
    <w:rsid w:val="004524C9"/>
    <w:rsid w:val="00452945"/>
    <w:rsid w:val="00452EF4"/>
    <w:rsid w:val="0045371C"/>
    <w:rsid w:val="00453729"/>
    <w:rsid w:val="0045411C"/>
    <w:rsid w:val="004544CD"/>
    <w:rsid w:val="00454DE4"/>
    <w:rsid w:val="00455993"/>
    <w:rsid w:val="00460032"/>
    <w:rsid w:val="0046048A"/>
    <w:rsid w:val="00461E53"/>
    <w:rsid w:val="00463F50"/>
    <w:rsid w:val="0046548F"/>
    <w:rsid w:val="00465497"/>
    <w:rsid w:val="00466346"/>
    <w:rsid w:val="00466C2C"/>
    <w:rsid w:val="00467498"/>
    <w:rsid w:val="004675F7"/>
    <w:rsid w:val="004676FF"/>
    <w:rsid w:val="004702B0"/>
    <w:rsid w:val="00472D4F"/>
    <w:rsid w:val="00473F72"/>
    <w:rsid w:val="004751D6"/>
    <w:rsid w:val="00475E6B"/>
    <w:rsid w:val="0047608E"/>
    <w:rsid w:val="004763B0"/>
    <w:rsid w:val="004769EB"/>
    <w:rsid w:val="00476A1A"/>
    <w:rsid w:val="00476EE9"/>
    <w:rsid w:val="00477546"/>
    <w:rsid w:val="00477667"/>
    <w:rsid w:val="00477AD3"/>
    <w:rsid w:val="00477DBA"/>
    <w:rsid w:val="00477E20"/>
    <w:rsid w:val="00480034"/>
    <w:rsid w:val="004809DC"/>
    <w:rsid w:val="00480A77"/>
    <w:rsid w:val="00480BB8"/>
    <w:rsid w:val="00481492"/>
    <w:rsid w:val="00481AC6"/>
    <w:rsid w:val="00481D51"/>
    <w:rsid w:val="0048519E"/>
    <w:rsid w:val="00485EC7"/>
    <w:rsid w:val="004860BD"/>
    <w:rsid w:val="00487430"/>
    <w:rsid w:val="00487710"/>
    <w:rsid w:val="0049115D"/>
    <w:rsid w:val="00491430"/>
    <w:rsid w:val="00491A4E"/>
    <w:rsid w:val="004922A7"/>
    <w:rsid w:val="00492FAB"/>
    <w:rsid w:val="0049514C"/>
    <w:rsid w:val="00495D70"/>
    <w:rsid w:val="004960B3"/>
    <w:rsid w:val="004962E4"/>
    <w:rsid w:val="00496DAA"/>
    <w:rsid w:val="00497150"/>
    <w:rsid w:val="00497BA6"/>
    <w:rsid w:val="004A0079"/>
    <w:rsid w:val="004A0337"/>
    <w:rsid w:val="004A0A7B"/>
    <w:rsid w:val="004A0BB0"/>
    <w:rsid w:val="004A1745"/>
    <w:rsid w:val="004A1B57"/>
    <w:rsid w:val="004A1C04"/>
    <w:rsid w:val="004A1FC1"/>
    <w:rsid w:val="004A260B"/>
    <w:rsid w:val="004A267C"/>
    <w:rsid w:val="004A26CD"/>
    <w:rsid w:val="004A2C97"/>
    <w:rsid w:val="004A2CF1"/>
    <w:rsid w:val="004A3584"/>
    <w:rsid w:val="004A3752"/>
    <w:rsid w:val="004A3891"/>
    <w:rsid w:val="004A40EF"/>
    <w:rsid w:val="004A466C"/>
    <w:rsid w:val="004A5097"/>
    <w:rsid w:val="004A5121"/>
    <w:rsid w:val="004A577A"/>
    <w:rsid w:val="004A5780"/>
    <w:rsid w:val="004A6AE8"/>
    <w:rsid w:val="004A6ECB"/>
    <w:rsid w:val="004A7990"/>
    <w:rsid w:val="004B1796"/>
    <w:rsid w:val="004B1DA9"/>
    <w:rsid w:val="004B2A07"/>
    <w:rsid w:val="004B2FD6"/>
    <w:rsid w:val="004B3992"/>
    <w:rsid w:val="004B3F2D"/>
    <w:rsid w:val="004B4E57"/>
    <w:rsid w:val="004B591D"/>
    <w:rsid w:val="004B5A60"/>
    <w:rsid w:val="004B7542"/>
    <w:rsid w:val="004B769A"/>
    <w:rsid w:val="004B7DB2"/>
    <w:rsid w:val="004B7E7A"/>
    <w:rsid w:val="004C14AC"/>
    <w:rsid w:val="004C17E0"/>
    <w:rsid w:val="004C30D4"/>
    <w:rsid w:val="004C36F9"/>
    <w:rsid w:val="004C4ACC"/>
    <w:rsid w:val="004C4E69"/>
    <w:rsid w:val="004C51C1"/>
    <w:rsid w:val="004C6F68"/>
    <w:rsid w:val="004C78C8"/>
    <w:rsid w:val="004C7E83"/>
    <w:rsid w:val="004D01DA"/>
    <w:rsid w:val="004D0E1D"/>
    <w:rsid w:val="004D151D"/>
    <w:rsid w:val="004D18DE"/>
    <w:rsid w:val="004D19CC"/>
    <w:rsid w:val="004D2B43"/>
    <w:rsid w:val="004D3573"/>
    <w:rsid w:val="004D42A5"/>
    <w:rsid w:val="004D583C"/>
    <w:rsid w:val="004D5DB3"/>
    <w:rsid w:val="004D6AAE"/>
    <w:rsid w:val="004E019E"/>
    <w:rsid w:val="004E0AA4"/>
    <w:rsid w:val="004E0D17"/>
    <w:rsid w:val="004E24D4"/>
    <w:rsid w:val="004E2B43"/>
    <w:rsid w:val="004E2CEB"/>
    <w:rsid w:val="004E345F"/>
    <w:rsid w:val="004E3BBA"/>
    <w:rsid w:val="004E401B"/>
    <w:rsid w:val="004E41C7"/>
    <w:rsid w:val="004E43D5"/>
    <w:rsid w:val="004E446D"/>
    <w:rsid w:val="004E5BB8"/>
    <w:rsid w:val="004E660C"/>
    <w:rsid w:val="004E747A"/>
    <w:rsid w:val="004E7603"/>
    <w:rsid w:val="004E7759"/>
    <w:rsid w:val="004E7842"/>
    <w:rsid w:val="004E7C22"/>
    <w:rsid w:val="004E7DB7"/>
    <w:rsid w:val="004F0223"/>
    <w:rsid w:val="004F0488"/>
    <w:rsid w:val="004F0E3C"/>
    <w:rsid w:val="004F26C4"/>
    <w:rsid w:val="004F2C69"/>
    <w:rsid w:val="004F2D88"/>
    <w:rsid w:val="004F2F70"/>
    <w:rsid w:val="004F3134"/>
    <w:rsid w:val="004F3156"/>
    <w:rsid w:val="004F3D21"/>
    <w:rsid w:val="004F4D64"/>
    <w:rsid w:val="004F582B"/>
    <w:rsid w:val="004F60EF"/>
    <w:rsid w:val="004F637B"/>
    <w:rsid w:val="004F6532"/>
    <w:rsid w:val="004F67C2"/>
    <w:rsid w:val="004F6E78"/>
    <w:rsid w:val="00501150"/>
    <w:rsid w:val="00501276"/>
    <w:rsid w:val="005014BB"/>
    <w:rsid w:val="00501A0B"/>
    <w:rsid w:val="00502502"/>
    <w:rsid w:val="005028CC"/>
    <w:rsid w:val="005036C3"/>
    <w:rsid w:val="005070C3"/>
    <w:rsid w:val="00510D32"/>
    <w:rsid w:val="00510E39"/>
    <w:rsid w:val="00511BC6"/>
    <w:rsid w:val="00511FA0"/>
    <w:rsid w:val="0051276F"/>
    <w:rsid w:val="005130AC"/>
    <w:rsid w:val="00517427"/>
    <w:rsid w:val="00520C2F"/>
    <w:rsid w:val="00521A73"/>
    <w:rsid w:val="005220BE"/>
    <w:rsid w:val="005223C0"/>
    <w:rsid w:val="005235B0"/>
    <w:rsid w:val="00523D57"/>
    <w:rsid w:val="00524076"/>
    <w:rsid w:val="0052421B"/>
    <w:rsid w:val="005242AD"/>
    <w:rsid w:val="0052622D"/>
    <w:rsid w:val="00526575"/>
    <w:rsid w:val="0052716F"/>
    <w:rsid w:val="00527DAD"/>
    <w:rsid w:val="005308B8"/>
    <w:rsid w:val="00530F7C"/>
    <w:rsid w:val="005319DA"/>
    <w:rsid w:val="00532035"/>
    <w:rsid w:val="005336C5"/>
    <w:rsid w:val="00533B79"/>
    <w:rsid w:val="00533C44"/>
    <w:rsid w:val="00533FD4"/>
    <w:rsid w:val="00534258"/>
    <w:rsid w:val="0053462F"/>
    <w:rsid w:val="0053527A"/>
    <w:rsid w:val="00535C1C"/>
    <w:rsid w:val="00536006"/>
    <w:rsid w:val="005366E5"/>
    <w:rsid w:val="00536B36"/>
    <w:rsid w:val="00537E75"/>
    <w:rsid w:val="00540E5A"/>
    <w:rsid w:val="005423DD"/>
    <w:rsid w:val="00542B7D"/>
    <w:rsid w:val="00542D5F"/>
    <w:rsid w:val="005435DE"/>
    <w:rsid w:val="00543AD3"/>
    <w:rsid w:val="005441AD"/>
    <w:rsid w:val="00544B35"/>
    <w:rsid w:val="00544C28"/>
    <w:rsid w:val="00545B62"/>
    <w:rsid w:val="005462BA"/>
    <w:rsid w:val="00546769"/>
    <w:rsid w:val="00546BAE"/>
    <w:rsid w:val="00546C4E"/>
    <w:rsid w:val="0054704A"/>
    <w:rsid w:val="005475F1"/>
    <w:rsid w:val="00547CB7"/>
    <w:rsid w:val="00547D7E"/>
    <w:rsid w:val="00550418"/>
    <w:rsid w:val="005504F6"/>
    <w:rsid w:val="00550C0B"/>
    <w:rsid w:val="00550C96"/>
    <w:rsid w:val="00552EBD"/>
    <w:rsid w:val="00553061"/>
    <w:rsid w:val="00553827"/>
    <w:rsid w:val="00553A6B"/>
    <w:rsid w:val="00553D1F"/>
    <w:rsid w:val="005544AF"/>
    <w:rsid w:val="00555F71"/>
    <w:rsid w:val="00557D01"/>
    <w:rsid w:val="00560495"/>
    <w:rsid w:val="00560FD1"/>
    <w:rsid w:val="005614EF"/>
    <w:rsid w:val="005638D9"/>
    <w:rsid w:val="00563BEB"/>
    <w:rsid w:val="005651B9"/>
    <w:rsid w:val="00565223"/>
    <w:rsid w:val="0056535E"/>
    <w:rsid w:val="00565EE6"/>
    <w:rsid w:val="00566562"/>
    <w:rsid w:val="00566696"/>
    <w:rsid w:val="00566849"/>
    <w:rsid w:val="0056798A"/>
    <w:rsid w:val="00567E79"/>
    <w:rsid w:val="0057089E"/>
    <w:rsid w:val="00570981"/>
    <w:rsid w:val="00571C37"/>
    <w:rsid w:val="0057292B"/>
    <w:rsid w:val="005732E7"/>
    <w:rsid w:val="005734F4"/>
    <w:rsid w:val="005740F6"/>
    <w:rsid w:val="005743D2"/>
    <w:rsid w:val="005746D4"/>
    <w:rsid w:val="00574C83"/>
    <w:rsid w:val="00575905"/>
    <w:rsid w:val="00576FAF"/>
    <w:rsid w:val="00576FDA"/>
    <w:rsid w:val="00577825"/>
    <w:rsid w:val="005802BD"/>
    <w:rsid w:val="00580BBC"/>
    <w:rsid w:val="005818E7"/>
    <w:rsid w:val="0058220D"/>
    <w:rsid w:val="00583228"/>
    <w:rsid w:val="00583A2A"/>
    <w:rsid w:val="0058487B"/>
    <w:rsid w:val="00584915"/>
    <w:rsid w:val="00585B48"/>
    <w:rsid w:val="00585BFC"/>
    <w:rsid w:val="005864DC"/>
    <w:rsid w:val="00586FA8"/>
    <w:rsid w:val="00586FDF"/>
    <w:rsid w:val="005872C7"/>
    <w:rsid w:val="00587F23"/>
    <w:rsid w:val="00590A85"/>
    <w:rsid w:val="005912F7"/>
    <w:rsid w:val="00591E3A"/>
    <w:rsid w:val="00592510"/>
    <w:rsid w:val="00593411"/>
    <w:rsid w:val="00593CB4"/>
    <w:rsid w:val="00593E68"/>
    <w:rsid w:val="0059433D"/>
    <w:rsid w:val="005A04BD"/>
    <w:rsid w:val="005A16B3"/>
    <w:rsid w:val="005A1884"/>
    <w:rsid w:val="005A52AC"/>
    <w:rsid w:val="005A62BE"/>
    <w:rsid w:val="005A6C82"/>
    <w:rsid w:val="005A738C"/>
    <w:rsid w:val="005B02DF"/>
    <w:rsid w:val="005B08E6"/>
    <w:rsid w:val="005B0D7C"/>
    <w:rsid w:val="005B0E86"/>
    <w:rsid w:val="005B2B96"/>
    <w:rsid w:val="005B5416"/>
    <w:rsid w:val="005B5CB1"/>
    <w:rsid w:val="005B5D03"/>
    <w:rsid w:val="005B6854"/>
    <w:rsid w:val="005C04CB"/>
    <w:rsid w:val="005C0E92"/>
    <w:rsid w:val="005C1800"/>
    <w:rsid w:val="005C1943"/>
    <w:rsid w:val="005C2BEF"/>
    <w:rsid w:val="005C3570"/>
    <w:rsid w:val="005C37A0"/>
    <w:rsid w:val="005C3B27"/>
    <w:rsid w:val="005C4034"/>
    <w:rsid w:val="005C40A1"/>
    <w:rsid w:val="005C483A"/>
    <w:rsid w:val="005C48AE"/>
    <w:rsid w:val="005C491D"/>
    <w:rsid w:val="005C4955"/>
    <w:rsid w:val="005C4DA8"/>
    <w:rsid w:val="005C4E98"/>
    <w:rsid w:val="005C5721"/>
    <w:rsid w:val="005C5BF9"/>
    <w:rsid w:val="005C5F0C"/>
    <w:rsid w:val="005C651C"/>
    <w:rsid w:val="005C656A"/>
    <w:rsid w:val="005D0941"/>
    <w:rsid w:val="005D1427"/>
    <w:rsid w:val="005D22D3"/>
    <w:rsid w:val="005D26B8"/>
    <w:rsid w:val="005D285E"/>
    <w:rsid w:val="005D364D"/>
    <w:rsid w:val="005D3841"/>
    <w:rsid w:val="005D457F"/>
    <w:rsid w:val="005D49C8"/>
    <w:rsid w:val="005D5607"/>
    <w:rsid w:val="005D5B86"/>
    <w:rsid w:val="005D6A2B"/>
    <w:rsid w:val="005D6AD9"/>
    <w:rsid w:val="005E1099"/>
    <w:rsid w:val="005E15D1"/>
    <w:rsid w:val="005E1BC2"/>
    <w:rsid w:val="005E1EE5"/>
    <w:rsid w:val="005E2F72"/>
    <w:rsid w:val="005E32ED"/>
    <w:rsid w:val="005E37E9"/>
    <w:rsid w:val="005E4B75"/>
    <w:rsid w:val="005E4BAF"/>
    <w:rsid w:val="005E6CA4"/>
    <w:rsid w:val="005E6E23"/>
    <w:rsid w:val="005E7994"/>
    <w:rsid w:val="005F03DB"/>
    <w:rsid w:val="005F0F0A"/>
    <w:rsid w:val="005F13CF"/>
    <w:rsid w:val="005F220F"/>
    <w:rsid w:val="005F2E78"/>
    <w:rsid w:val="005F3BF5"/>
    <w:rsid w:val="005F48F1"/>
    <w:rsid w:val="005F52F4"/>
    <w:rsid w:val="005F7BA4"/>
    <w:rsid w:val="00600280"/>
    <w:rsid w:val="0060111D"/>
    <w:rsid w:val="00601E59"/>
    <w:rsid w:val="00602657"/>
    <w:rsid w:val="00602736"/>
    <w:rsid w:val="0060381C"/>
    <w:rsid w:val="00603A46"/>
    <w:rsid w:val="006045FD"/>
    <w:rsid w:val="00605E6E"/>
    <w:rsid w:val="00606194"/>
    <w:rsid w:val="00607826"/>
    <w:rsid w:val="0061051A"/>
    <w:rsid w:val="00610656"/>
    <w:rsid w:val="00610DF8"/>
    <w:rsid w:val="0061115C"/>
    <w:rsid w:val="00611A49"/>
    <w:rsid w:val="00611ADB"/>
    <w:rsid w:val="00613017"/>
    <w:rsid w:val="00613A54"/>
    <w:rsid w:val="00614619"/>
    <w:rsid w:val="006157C9"/>
    <w:rsid w:val="00616189"/>
    <w:rsid w:val="0062078C"/>
    <w:rsid w:val="00620E8F"/>
    <w:rsid w:val="00621760"/>
    <w:rsid w:val="006217BB"/>
    <w:rsid w:val="00625134"/>
    <w:rsid w:val="00625ADA"/>
    <w:rsid w:val="00625BD5"/>
    <w:rsid w:val="00625DFB"/>
    <w:rsid w:val="006277B7"/>
    <w:rsid w:val="00627FA4"/>
    <w:rsid w:val="00630617"/>
    <w:rsid w:val="00632E54"/>
    <w:rsid w:val="00633619"/>
    <w:rsid w:val="00633635"/>
    <w:rsid w:val="00633BA6"/>
    <w:rsid w:val="00634436"/>
    <w:rsid w:val="00634D1A"/>
    <w:rsid w:val="00635173"/>
    <w:rsid w:val="00635CA0"/>
    <w:rsid w:val="00635DD5"/>
    <w:rsid w:val="00636904"/>
    <w:rsid w:val="00636D9C"/>
    <w:rsid w:val="00637179"/>
    <w:rsid w:val="00637EC0"/>
    <w:rsid w:val="0064182B"/>
    <w:rsid w:val="006418ED"/>
    <w:rsid w:val="0064229C"/>
    <w:rsid w:val="00642B13"/>
    <w:rsid w:val="0064309D"/>
    <w:rsid w:val="006431FF"/>
    <w:rsid w:val="00644B26"/>
    <w:rsid w:val="00645F7D"/>
    <w:rsid w:val="00645F85"/>
    <w:rsid w:val="00646100"/>
    <w:rsid w:val="00646C1B"/>
    <w:rsid w:val="006476CA"/>
    <w:rsid w:val="00650554"/>
    <w:rsid w:val="00650BF8"/>
    <w:rsid w:val="0065303D"/>
    <w:rsid w:val="00654AF0"/>
    <w:rsid w:val="00655265"/>
    <w:rsid w:val="006552AE"/>
    <w:rsid w:val="00655773"/>
    <w:rsid w:val="00655DD0"/>
    <w:rsid w:val="006563CA"/>
    <w:rsid w:val="00656730"/>
    <w:rsid w:val="006578FC"/>
    <w:rsid w:val="006607B1"/>
    <w:rsid w:val="006608AB"/>
    <w:rsid w:val="006609AC"/>
    <w:rsid w:val="006611C7"/>
    <w:rsid w:val="0066144D"/>
    <w:rsid w:val="006615D6"/>
    <w:rsid w:val="0066170D"/>
    <w:rsid w:val="00661857"/>
    <w:rsid w:val="00661AD1"/>
    <w:rsid w:val="006620DA"/>
    <w:rsid w:val="0066371D"/>
    <w:rsid w:val="006637A2"/>
    <w:rsid w:val="00663A6B"/>
    <w:rsid w:val="00664587"/>
    <w:rsid w:val="006646D0"/>
    <w:rsid w:val="00664B6D"/>
    <w:rsid w:val="00665955"/>
    <w:rsid w:val="00666F25"/>
    <w:rsid w:val="00667045"/>
    <w:rsid w:val="00667C1C"/>
    <w:rsid w:val="0067001F"/>
    <w:rsid w:val="006702FA"/>
    <w:rsid w:val="00670A43"/>
    <w:rsid w:val="00671AE7"/>
    <w:rsid w:val="0067227D"/>
    <w:rsid w:val="00673DD4"/>
    <w:rsid w:val="00674AEB"/>
    <w:rsid w:val="006755B4"/>
    <w:rsid w:val="00675FFF"/>
    <w:rsid w:val="006760F3"/>
    <w:rsid w:val="0067655A"/>
    <w:rsid w:val="00676907"/>
    <w:rsid w:val="0067744D"/>
    <w:rsid w:val="006775EF"/>
    <w:rsid w:val="00677A5D"/>
    <w:rsid w:val="00677F62"/>
    <w:rsid w:val="0068028B"/>
    <w:rsid w:val="00680A15"/>
    <w:rsid w:val="00681732"/>
    <w:rsid w:val="00681D84"/>
    <w:rsid w:val="006828D8"/>
    <w:rsid w:val="0068455C"/>
    <w:rsid w:val="006845C0"/>
    <w:rsid w:val="00684600"/>
    <w:rsid w:val="00684887"/>
    <w:rsid w:val="00684E76"/>
    <w:rsid w:val="00685898"/>
    <w:rsid w:val="00685D11"/>
    <w:rsid w:val="006867FA"/>
    <w:rsid w:val="006907C6"/>
    <w:rsid w:val="00690B13"/>
    <w:rsid w:val="00690B14"/>
    <w:rsid w:val="00690EE9"/>
    <w:rsid w:val="00690F20"/>
    <w:rsid w:val="00693C8E"/>
    <w:rsid w:val="00693E63"/>
    <w:rsid w:val="00694912"/>
    <w:rsid w:val="00694A75"/>
    <w:rsid w:val="006969BA"/>
    <w:rsid w:val="00696DD6"/>
    <w:rsid w:val="006975FA"/>
    <w:rsid w:val="00697AD7"/>
    <w:rsid w:val="00697E11"/>
    <w:rsid w:val="00697F3E"/>
    <w:rsid w:val="00697FF1"/>
    <w:rsid w:val="006A026A"/>
    <w:rsid w:val="006A03B4"/>
    <w:rsid w:val="006A0425"/>
    <w:rsid w:val="006A09CB"/>
    <w:rsid w:val="006A0EB1"/>
    <w:rsid w:val="006A1CFF"/>
    <w:rsid w:val="006A1D62"/>
    <w:rsid w:val="006A2363"/>
    <w:rsid w:val="006A43A7"/>
    <w:rsid w:val="006A4EAE"/>
    <w:rsid w:val="006A52CC"/>
    <w:rsid w:val="006A56C3"/>
    <w:rsid w:val="006A67AA"/>
    <w:rsid w:val="006A6B88"/>
    <w:rsid w:val="006A6D7F"/>
    <w:rsid w:val="006B0298"/>
    <w:rsid w:val="006B0962"/>
    <w:rsid w:val="006B0D07"/>
    <w:rsid w:val="006B0E83"/>
    <w:rsid w:val="006B180E"/>
    <w:rsid w:val="006B385B"/>
    <w:rsid w:val="006B4562"/>
    <w:rsid w:val="006B5493"/>
    <w:rsid w:val="006B6FED"/>
    <w:rsid w:val="006B72F6"/>
    <w:rsid w:val="006B77E2"/>
    <w:rsid w:val="006C005A"/>
    <w:rsid w:val="006C0DEA"/>
    <w:rsid w:val="006C10C0"/>
    <w:rsid w:val="006C1B1D"/>
    <w:rsid w:val="006C2508"/>
    <w:rsid w:val="006C2D0D"/>
    <w:rsid w:val="006C2D71"/>
    <w:rsid w:val="006C2F3E"/>
    <w:rsid w:val="006C32BB"/>
    <w:rsid w:val="006C3747"/>
    <w:rsid w:val="006C3761"/>
    <w:rsid w:val="006C3FEB"/>
    <w:rsid w:val="006C4E8F"/>
    <w:rsid w:val="006C5817"/>
    <w:rsid w:val="006C5AE1"/>
    <w:rsid w:val="006C6180"/>
    <w:rsid w:val="006C6FE3"/>
    <w:rsid w:val="006C7416"/>
    <w:rsid w:val="006C7760"/>
    <w:rsid w:val="006C7EEA"/>
    <w:rsid w:val="006D084C"/>
    <w:rsid w:val="006D0CF8"/>
    <w:rsid w:val="006D1B66"/>
    <w:rsid w:val="006D1CE0"/>
    <w:rsid w:val="006D233A"/>
    <w:rsid w:val="006D2764"/>
    <w:rsid w:val="006D3202"/>
    <w:rsid w:val="006D326E"/>
    <w:rsid w:val="006D4FC4"/>
    <w:rsid w:val="006D522C"/>
    <w:rsid w:val="006D559B"/>
    <w:rsid w:val="006D56AA"/>
    <w:rsid w:val="006D6A65"/>
    <w:rsid w:val="006D7795"/>
    <w:rsid w:val="006D7ACB"/>
    <w:rsid w:val="006D7CFB"/>
    <w:rsid w:val="006D7D14"/>
    <w:rsid w:val="006E00EF"/>
    <w:rsid w:val="006E06BB"/>
    <w:rsid w:val="006E14D7"/>
    <w:rsid w:val="006E1A7A"/>
    <w:rsid w:val="006E4723"/>
    <w:rsid w:val="006E716F"/>
    <w:rsid w:val="006E7DA9"/>
    <w:rsid w:val="006E7DEE"/>
    <w:rsid w:val="006F01E7"/>
    <w:rsid w:val="006F0FD7"/>
    <w:rsid w:val="006F13AF"/>
    <w:rsid w:val="006F1F3A"/>
    <w:rsid w:val="006F2104"/>
    <w:rsid w:val="006F6CA7"/>
    <w:rsid w:val="006F7EB8"/>
    <w:rsid w:val="007007DA"/>
    <w:rsid w:val="00700825"/>
    <w:rsid w:val="0070094A"/>
    <w:rsid w:val="00701DE4"/>
    <w:rsid w:val="00702DD7"/>
    <w:rsid w:val="00704085"/>
    <w:rsid w:val="00704138"/>
    <w:rsid w:val="00704305"/>
    <w:rsid w:val="007043CB"/>
    <w:rsid w:val="0070476D"/>
    <w:rsid w:val="007047D3"/>
    <w:rsid w:val="00704B24"/>
    <w:rsid w:val="00705663"/>
    <w:rsid w:val="00705C40"/>
    <w:rsid w:val="00710855"/>
    <w:rsid w:val="0071087E"/>
    <w:rsid w:val="00711EF8"/>
    <w:rsid w:val="00712750"/>
    <w:rsid w:val="00713A8D"/>
    <w:rsid w:val="00713EB7"/>
    <w:rsid w:val="00713EC3"/>
    <w:rsid w:val="007143A9"/>
    <w:rsid w:val="007145CD"/>
    <w:rsid w:val="007147C2"/>
    <w:rsid w:val="0071508D"/>
    <w:rsid w:val="0071622D"/>
    <w:rsid w:val="007169A8"/>
    <w:rsid w:val="00716C32"/>
    <w:rsid w:val="00721648"/>
    <w:rsid w:val="00721B25"/>
    <w:rsid w:val="007229A1"/>
    <w:rsid w:val="00722F18"/>
    <w:rsid w:val="007235AA"/>
    <w:rsid w:val="00724BD3"/>
    <w:rsid w:val="00725E35"/>
    <w:rsid w:val="00730D13"/>
    <w:rsid w:val="00730D35"/>
    <w:rsid w:val="007312DB"/>
    <w:rsid w:val="00731461"/>
    <w:rsid w:val="00731D11"/>
    <w:rsid w:val="00732289"/>
    <w:rsid w:val="00733CE0"/>
    <w:rsid w:val="007343FD"/>
    <w:rsid w:val="00734FB9"/>
    <w:rsid w:val="007355EC"/>
    <w:rsid w:val="00735843"/>
    <w:rsid w:val="00735915"/>
    <w:rsid w:val="00735C21"/>
    <w:rsid w:val="00735FE4"/>
    <w:rsid w:val="0073614A"/>
    <w:rsid w:val="00736FF2"/>
    <w:rsid w:val="00737D63"/>
    <w:rsid w:val="00740478"/>
    <w:rsid w:val="00740C8C"/>
    <w:rsid w:val="00741745"/>
    <w:rsid w:val="00741AC4"/>
    <w:rsid w:val="007429E1"/>
    <w:rsid w:val="00742CA5"/>
    <w:rsid w:val="00743CA7"/>
    <w:rsid w:val="0074489F"/>
    <w:rsid w:val="0074594A"/>
    <w:rsid w:val="00746642"/>
    <w:rsid w:val="00747181"/>
    <w:rsid w:val="0075065B"/>
    <w:rsid w:val="007513F0"/>
    <w:rsid w:val="007515BC"/>
    <w:rsid w:val="00751953"/>
    <w:rsid w:val="00752606"/>
    <w:rsid w:val="007533B0"/>
    <w:rsid w:val="00753CF0"/>
    <w:rsid w:val="0075402E"/>
    <w:rsid w:val="007561A3"/>
    <w:rsid w:val="00756CA2"/>
    <w:rsid w:val="00756D31"/>
    <w:rsid w:val="00756D3D"/>
    <w:rsid w:val="007573B2"/>
    <w:rsid w:val="007574BB"/>
    <w:rsid w:val="0075764C"/>
    <w:rsid w:val="00757CFF"/>
    <w:rsid w:val="00760712"/>
    <w:rsid w:val="00761D17"/>
    <w:rsid w:val="00762198"/>
    <w:rsid w:val="007625A2"/>
    <w:rsid w:val="007628DA"/>
    <w:rsid w:val="00762E28"/>
    <w:rsid w:val="00763CE8"/>
    <w:rsid w:val="007648CF"/>
    <w:rsid w:val="00765BD5"/>
    <w:rsid w:val="00765E07"/>
    <w:rsid w:val="007660BA"/>
    <w:rsid w:val="0076703C"/>
    <w:rsid w:val="00767C15"/>
    <w:rsid w:val="00770792"/>
    <w:rsid w:val="00770FB7"/>
    <w:rsid w:val="007733A0"/>
    <w:rsid w:val="007737B5"/>
    <w:rsid w:val="00773A22"/>
    <w:rsid w:val="00774B5C"/>
    <w:rsid w:val="00774FFE"/>
    <w:rsid w:val="00775638"/>
    <w:rsid w:val="00775677"/>
    <w:rsid w:val="0077599A"/>
    <w:rsid w:val="00775B6D"/>
    <w:rsid w:val="00776648"/>
    <w:rsid w:val="00776811"/>
    <w:rsid w:val="0077724D"/>
    <w:rsid w:val="00777353"/>
    <w:rsid w:val="00777ABC"/>
    <w:rsid w:val="00777C4E"/>
    <w:rsid w:val="007804C8"/>
    <w:rsid w:val="00780571"/>
    <w:rsid w:val="0078080D"/>
    <w:rsid w:val="00780CD6"/>
    <w:rsid w:val="007812D1"/>
    <w:rsid w:val="00781A64"/>
    <w:rsid w:val="00782EA4"/>
    <w:rsid w:val="00784834"/>
    <w:rsid w:val="00785461"/>
    <w:rsid w:val="00785A0A"/>
    <w:rsid w:val="00785DC5"/>
    <w:rsid w:val="0078639C"/>
    <w:rsid w:val="00786B36"/>
    <w:rsid w:val="00786F25"/>
    <w:rsid w:val="00786FF3"/>
    <w:rsid w:val="0078758E"/>
    <w:rsid w:val="007875F5"/>
    <w:rsid w:val="007876CF"/>
    <w:rsid w:val="00787B77"/>
    <w:rsid w:val="00790309"/>
    <w:rsid w:val="007929AE"/>
    <w:rsid w:val="00793090"/>
    <w:rsid w:val="00793B8B"/>
    <w:rsid w:val="007948A8"/>
    <w:rsid w:val="007958AC"/>
    <w:rsid w:val="00795CBE"/>
    <w:rsid w:val="00796484"/>
    <w:rsid w:val="007967B8"/>
    <w:rsid w:val="00796F2A"/>
    <w:rsid w:val="00797A1E"/>
    <w:rsid w:val="007A0176"/>
    <w:rsid w:val="007A0F2A"/>
    <w:rsid w:val="007A0FF8"/>
    <w:rsid w:val="007A1632"/>
    <w:rsid w:val="007A198B"/>
    <w:rsid w:val="007A1E47"/>
    <w:rsid w:val="007A2086"/>
    <w:rsid w:val="007A249F"/>
    <w:rsid w:val="007A24FC"/>
    <w:rsid w:val="007A2F67"/>
    <w:rsid w:val="007A3918"/>
    <w:rsid w:val="007A3B65"/>
    <w:rsid w:val="007A409E"/>
    <w:rsid w:val="007A4296"/>
    <w:rsid w:val="007A43AB"/>
    <w:rsid w:val="007A5398"/>
    <w:rsid w:val="007A5C59"/>
    <w:rsid w:val="007B00A0"/>
    <w:rsid w:val="007B0C10"/>
    <w:rsid w:val="007B0E89"/>
    <w:rsid w:val="007B2C38"/>
    <w:rsid w:val="007B2E54"/>
    <w:rsid w:val="007B31B9"/>
    <w:rsid w:val="007B38DE"/>
    <w:rsid w:val="007B56A8"/>
    <w:rsid w:val="007B7498"/>
    <w:rsid w:val="007B77DC"/>
    <w:rsid w:val="007B7AEE"/>
    <w:rsid w:val="007C02F6"/>
    <w:rsid w:val="007C0D24"/>
    <w:rsid w:val="007C3E2E"/>
    <w:rsid w:val="007C5C9B"/>
    <w:rsid w:val="007C6C24"/>
    <w:rsid w:val="007C71CF"/>
    <w:rsid w:val="007C7EB6"/>
    <w:rsid w:val="007D03CB"/>
    <w:rsid w:val="007D12D8"/>
    <w:rsid w:val="007D1667"/>
    <w:rsid w:val="007D1BCD"/>
    <w:rsid w:val="007D2BE6"/>
    <w:rsid w:val="007D2F75"/>
    <w:rsid w:val="007D48A3"/>
    <w:rsid w:val="007D4F74"/>
    <w:rsid w:val="007D5BF3"/>
    <w:rsid w:val="007D5BF9"/>
    <w:rsid w:val="007D710E"/>
    <w:rsid w:val="007D7215"/>
    <w:rsid w:val="007D7E3A"/>
    <w:rsid w:val="007E05D3"/>
    <w:rsid w:val="007E1177"/>
    <w:rsid w:val="007E1A0F"/>
    <w:rsid w:val="007E22E7"/>
    <w:rsid w:val="007E2467"/>
    <w:rsid w:val="007E2893"/>
    <w:rsid w:val="007E2C7F"/>
    <w:rsid w:val="007E3AF4"/>
    <w:rsid w:val="007E4232"/>
    <w:rsid w:val="007E4478"/>
    <w:rsid w:val="007E4927"/>
    <w:rsid w:val="007E4ED9"/>
    <w:rsid w:val="007E5C53"/>
    <w:rsid w:val="007E5C74"/>
    <w:rsid w:val="007E6649"/>
    <w:rsid w:val="007E69BB"/>
    <w:rsid w:val="007E6AB8"/>
    <w:rsid w:val="007E70B9"/>
    <w:rsid w:val="007E70FD"/>
    <w:rsid w:val="007E728E"/>
    <w:rsid w:val="007E7E96"/>
    <w:rsid w:val="007F08FC"/>
    <w:rsid w:val="007F19DA"/>
    <w:rsid w:val="007F2109"/>
    <w:rsid w:val="007F21C5"/>
    <w:rsid w:val="007F26EE"/>
    <w:rsid w:val="007F34CB"/>
    <w:rsid w:val="007F3889"/>
    <w:rsid w:val="007F3A61"/>
    <w:rsid w:val="007F3EF1"/>
    <w:rsid w:val="007F4EB7"/>
    <w:rsid w:val="007F70A0"/>
    <w:rsid w:val="007F77C3"/>
    <w:rsid w:val="0080056E"/>
    <w:rsid w:val="00801457"/>
    <w:rsid w:val="00801BCE"/>
    <w:rsid w:val="00801E7D"/>
    <w:rsid w:val="00802515"/>
    <w:rsid w:val="0080254F"/>
    <w:rsid w:val="0080373C"/>
    <w:rsid w:val="00803E3D"/>
    <w:rsid w:val="00807232"/>
    <w:rsid w:val="00807627"/>
    <w:rsid w:val="00807636"/>
    <w:rsid w:val="00807982"/>
    <w:rsid w:val="00807B88"/>
    <w:rsid w:val="00811CA6"/>
    <w:rsid w:val="00811FE9"/>
    <w:rsid w:val="0081283F"/>
    <w:rsid w:val="00812A28"/>
    <w:rsid w:val="00812C0C"/>
    <w:rsid w:val="0081376F"/>
    <w:rsid w:val="00813AD9"/>
    <w:rsid w:val="0081480A"/>
    <w:rsid w:val="00815998"/>
    <w:rsid w:val="00815D79"/>
    <w:rsid w:val="00816051"/>
    <w:rsid w:val="00816C59"/>
    <w:rsid w:val="0081793A"/>
    <w:rsid w:val="00817F96"/>
    <w:rsid w:val="008202EB"/>
    <w:rsid w:val="008202EE"/>
    <w:rsid w:val="0082060B"/>
    <w:rsid w:val="008209BE"/>
    <w:rsid w:val="00820F86"/>
    <w:rsid w:val="008216D3"/>
    <w:rsid w:val="00821D62"/>
    <w:rsid w:val="008221B0"/>
    <w:rsid w:val="008231C8"/>
    <w:rsid w:val="008242C5"/>
    <w:rsid w:val="0082496F"/>
    <w:rsid w:val="00825F1D"/>
    <w:rsid w:val="008267E8"/>
    <w:rsid w:val="00826BB6"/>
    <w:rsid w:val="0082778C"/>
    <w:rsid w:val="00827F88"/>
    <w:rsid w:val="008310F6"/>
    <w:rsid w:val="008315CE"/>
    <w:rsid w:val="00831AA8"/>
    <w:rsid w:val="008336A5"/>
    <w:rsid w:val="00834313"/>
    <w:rsid w:val="0083454E"/>
    <w:rsid w:val="00834C4C"/>
    <w:rsid w:val="00835107"/>
    <w:rsid w:val="00835474"/>
    <w:rsid w:val="00836653"/>
    <w:rsid w:val="008373C0"/>
    <w:rsid w:val="00837A48"/>
    <w:rsid w:val="00837E18"/>
    <w:rsid w:val="008402A5"/>
    <w:rsid w:val="0084052B"/>
    <w:rsid w:val="008407B9"/>
    <w:rsid w:val="0084105A"/>
    <w:rsid w:val="0084145F"/>
    <w:rsid w:val="00841DA2"/>
    <w:rsid w:val="008429DF"/>
    <w:rsid w:val="008436E1"/>
    <w:rsid w:val="00843CB5"/>
    <w:rsid w:val="00844963"/>
    <w:rsid w:val="00844CB5"/>
    <w:rsid w:val="008453FA"/>
    <w:rsid w:val="008458F6"/>
    <w:rsid w:val="00845AED"/>
    <w:rsid w:val="00845D98"/>
    <w:rsid w:val="008465D3"/>
    <w:rsid w:val="008466E5"/>
    <w:rsid w:val="0084708E"/>
    <w:rsid w:val="00847973"/>
    <w:rsid w:val="00851AE4"/>
    <w:rsid w:val="00851E86"/>
    <w:rsid w:val="00851ED8"/>
    <w:rsid w:val="008525AB"/>
    <w:rsid w:val="00852B41"/>
    <w:rsid w:val="00854971"/>
    <w:rsid w:val="008549BA"/>
    <w:rsid w:val="00854A6C"/>
    <w:rsid w:val="00855019"/>
    <w:rsid w:val="008554B6"/>
    <w:rsid w:val="0085598D"/>
    <w:rsid w:val="00857B6B"/>
    <w:rsid w:val="008604BD"/>
    <w:rsid w:val="008605C1"/>
    <w:rsid w:val="00860E4C"/>
    <w:rsid w:val="008612BE"/>
    <w:rsid w:val="00862771"/>
    <w:rsid w:val="00865800"/>
    <w:rsid w:val="0086682F"/>
    <w:rsid w:val="00867687"/>
    <w:rsid w:val="008704DF"/>
    <w:rsid w:val="00870622"/>
    <w:rsid w:val="008706E3"/>
    <w:rsid w:val="008715CB"/>
    <w:rsid w:val="00874300"/>
    <w:rsid w:val="00874748"/>
    <w:rsid w:val="00874894"/>
    <w:rsid w:val="00875DB0"/>
    <w:rsid w:val="00876057"/>
    <w:rsid w:val="00876F54"/>
    <w:rsid w:val="00877292"/>
    <w:rsid w:val="0087754A"/>
    <w:rsid w:val="0087766C"/>
    <w:rsid w:val="00880552"/>
    <w:rsid w:val="008814A6"/>
    <w:rsid w:val="00882595"/>
    <w:rsid w:val="0088336E"/>
    <w:rsid w:val="008839DA"/>
    <w:rsid w:val="00884EE8"/>
    <w:rsid w:val="00885168"/>
    <w:rsid w:val="008868FF"/>
    <w:rsid w:val="00890C12"/>
    <w:rsid w:val="008915DD"/>
    <w:rsid w:val="0089173B"/>
    <w:rsid w:val="0089175F"/>
    <w:rsid w:val="00891E76"/>
    <w:rsid w:val="0089220F"/>
    <w:rsid w:val="00892B57"/>
    <w:rsid w:val="008935AA"/>
    <w:rsid w:val="008939CF"/>
    <w:rsid w:val="00893D5A"/>
    <w:rsid w:val="00894326"/>
    <w:rsid w:val="00894DF3"/>
    <w:rsid w:val="008963F0"/>
    <w:rsid w:val="0089708C"/>
    <w:rsid w:val="00897444"/>
    <w:rsid w:val="008A01F7"/>
    <w:rsid w:val="008A03A5"/>
    <w:rsid w:val="008A0DF3"/>
    <w:rsid w:val="008A10D3"/>
    <w:rsid w:val="008A1B76"/>
    <w:rsid w:val="008A24AE"/>
    <w:rsid w:val="008A282C"/>
    <w:rsid w:val="008A3808"/>
    <w:rsid w:val="008A4138"/>
    <w:rsid w:val="008A5D96"/>
    <w:rsid w:val="008A5F7E"/>
    <w:rsid w:val="008A6178"/>
    <w:rsid w:val="008A61E2"/>
    <w:rsid w:val="008A73EF"/>
    <w:rsid w:val="008B00A4"/>
    <w:rsid w:val="008B1C74"/>
    <w:rsid w:val="008B28D1"/>
    <w:rsid w:val="008B440B"/>
    <w:rsid w:val="008B5AB3"/>
    <w:rsid w:val="008B5E49"/>
    <w:rsid w:val="008B6848"/>
    <w:rsid w:val="008B75B8"/>
    <w:rsid w:val="008C0024"/>
    <w:rsid w:val="008C1157"/>
    <w:rsid w:val="008C1393"/>
    <w:rsid w:val="008C15FF"/>
    <w:rsid w:val="008C2FA1"/>
    <w:rsid w:val="008C58DF"/>
    <w:rsid w:val="008C5AE6"/>
    <w:rsid w:val="008C62AB"/>
    <w:rsid w:val="008C6C63"/>
    <w:rsid w:val="008C796D"/>
    <w:rsid w:val="008C7A97"/>
    <w:rsid w:val="008D0157"/>
    <w:rsid w:val="008D098D"/>
    <w:rsid w:val="008D1369"/>
    <w:rsid w:val="008D2028"/>
    <w:rsid w:val="008D2C4C"/>
    <w:rsid w:val="008D2E01"/>
    <w:rsid w:val="008D38A3"/>
    <w:rsid w:val="008D3A3F"/>
    <w:rsid w:val="008D3CAF"/>
    <w:rsid w:val="008D44D9"/>
    <w:rsid w:val="008D4C39"/>
    <w:rsid w:val="008D654B"/>
    <w:rsid w:val="008D6B34"/>
    <w:rsid w:val="008D6F2C"/>
    <w:rsid w:val="008D7E0D"/>
    <w:rsid w:val="008D7EDB"/>
    <w:rsid w:val="008E0B2F"/>
    <w:rsid w:val="008E1829"/>
    <w:rsid w:val="008E1856"/>
    <w:rsid w:val="008E1949"/>
    <w:rsid w:val="008E1A61"/>
    <w:rsid w:val="008E2327"/>
    <w:rsid w:val="008E2C9C"/>
    <w:rsid w:val="008E2D66"/>
    <w:rsid w:val="008E3507"/>
    <w:rsid w:val="008E3EFA"/>
    <w:rsid w:val="008E431C"/>
    <w:rsid w:val="008E4A6D"/>
    <w:rsid w:val="008E4FAD"/>
    <w:rsid w:val="008E5077"/>
    <w:rsid w:val="008E5F0E"/>
    <w:rsid w:val="008E64F0"/>
    <w:rsid w:val="008E6658"/>
    <w:rsid w:val="008E6FF3"/>
    <w:rsid w:val="008E767B"/>
    <w:rsid w:val="008E7B05"/>
    <w:rsid w:val="008E7EB3"/>
    <w:rsid w:val="008F13A5"/>
    <w:rsid w:val="008F18ED"/>
    <w:rsid w:val="008F2631"/>
    <w:rsid w:val="008F452A"/>
    <w:rsid w:val="008F46C2"/>
    <w:rsid w:val="008F5C6C"/>
    <w:rsid w:val="008F6CE5"/>
    <w:rsid w:val="008F7068"/>
    <w:rsid w:val="008F77BF"/>
    <w:rsid w:val="008F7852"/>
    <w:rsid w:val="00901CD4"/>
    <w:rsid w:val="0090360E"/>
    <w:rsid w:val="00903D37"/>
    <w:rsid w:val="0090582F"/>
    <w:rsid w:val="009079CA"/>
    <w:rsid w:val="009079ED"/>
    <w:rsid w:val="0091000D"/>
    <w:rsid w:val="0091055D"/>
    <w:rsid w:val="00910953"/>
    <w:rsid w:val="00911631"/>
    <w:rsid w:val="00911A5C"/>
    <w:rsid w:val="009125AE"/>
    <w:rsid w:val="009125C5"/>
    <w:rsid w:val="00914408"/>
    <w:rsid w:val="00914C61"/>
    <w:rsid w:val="00915AB6"/>
    <w:rsid w:val="00915DB9"/>
    <w:rsid w:val="009161CB"/>
    <w:rsid w:val="009165F0"/>
    <w:rsid w:val="00916E90"/>
    <w:rsid w:val="00917D6F"/>
    <w:rsid w:val="0092073B"/>
    <w:rsid w:val="00921B1A"/>
    <w:rsid w:val="00921B7F"/>
    <w:rsid w:val="00921DDA"/>
    <w:rsid w:val="00922DE1"/>
    <w:rsid w:val="00922E4B"/>
    <w:rsid w:val="00924B6C"/>
    <w:rsid w:val="00924D2B"/>
    <w:rsid w:val="00924E02"/>
    <w:rsid w:val="00925183"/>
    <w:rsid w:val="00925DF8"/>
    <w:rsid w:val="0092600D"/>
    <w:rsid w:val="00926885"/>
    <w:rsid w:val="009273F7"/>
    <w:rsid w:val="00930345"/>
    <w:rsid w:val="0093039D"/>
    <w:rsid w:val="009318E8"/>
    <w:rsid w:val="00931E4F"/>
    <w:rsid w:val="00932A0C"/>
    <w:rsid w:val="0093364D"/>
    <w:rsid w:val="00933664"/>
    <w:rsid w:val="00933BE4"/>
    <w:rsid w:val="00934048"/>
    <w:rsid w:val="00935B2E"/>
    <w:rsid w:val="00936574"/>
    <w:rsid w:val="00937EE1"/>
    <w:rsid w:val="0094041C"/>
    <w:rsid w:val="0094101E"/>
    <w:rsid w:val="00941720"/>
    <w:rsid w:val="00941C5E"/>
    <w:rsid w:val="009439D3"/>
    <w:rsid w:val="00943BCE"/>
    <w:rsid w:val="009451DC"/>
    <w:rsid w:val="009466BE"/>
    <w:rsid w:val="009503FE"/>
    <w:rsid w:val="009508A0"/>
    <w:rsid w:val="00950A17"/>
    <w:rsid w:val="00952615"/>
    <w:rsid w:val="009535BD"/>
    <w:rsid w:val="00953D8B"/>
    <w:rsid w:val="00953FF0"/>
    <w:rsid w:val="00954502"/>
    <w:rsid w:val="0095506D"/>
    <w:rsid w:val="009553A4"/>
    <w:rsid w:val="00955A98"/>
    <w:rsid w:val="00955DA9"/>
    <w:rsid w:val="009576B2"/>
    <w:rsid w:val="00960346"/>
    <w:rsid w:val="00960F05"/>
    <w:rsid w:val="00961724"/>
    <w:rsid w:val="009617D3"/>
    <w:rsid w:val="009626F7"/>
    <w:rsid w:val="0096463B"/>
    <w:rsid w:val="00967035"/>
    <w:rsid w:val="00967869"/>
    <w:rsid w:val="0096796E"/>
    <w:rsid w:val="009702DB"/>
    <w:rsid w:val="00970BEB"/>
    <w:rsid w:val="0097149A"/>
    <w:rsid w:val="00971F54"/>
    <w:rsid w:val="009721A0"/>
    <w:rsid w:val="009725C5"/>
    <w:rsid w:val="00972AEA"/>
    <w:rsid w:val="00972B4E"/>
    <w:rsid w:val="0097393A"/>
    <w:rsid w:val="009739F3"/>
    <w:rsid w:val="00973E34"/>
    <w:rsid w:val="00973F40"/>
    <w:rsid w:val="00974529"/>
    <w:rsid w:val="00974C1A"/>
    <w:rsid w:val="00975F0E"/>
    <w:rsid w:val="00980900"/>
    <w:rsid w:val="00982BC9"/>
    <w:rsid w:val="009830F7"/>
    <w:rsid w:val="00983EDC"/>
    <w:rsid w:val="00983EED"/>
    <w:rsid w:val="009849EF"/>
    <w:rsid w:val="00984A3A"/>
    <w:rsid w:val="00984BC7"/>
    <w:rsid w:val="00985967"/>
    <w:rsid w:val="00986DB7"/>
    <w:rsid w:val="00987D23"/>
    <w:rsid w:val="009905A5"/>
    <w:rsid w:val="009912C8"/>
    <w:rsid w:val="009912E0"/>
    <w:rsid w:val="00992750"/>
    <w:rsid w:val="009934CF"/>
    <w:rsid w:val="00993BF4"/>
    <w:rsid w:val="009940FC"/>
    <w:rsid w:val="00994396"/>
    <w:rsid w:val="00994B03"/>
    <w:rsid w:val="00994FB1"/>
    <w:rsid w:val="00995A6A"/>
    <w:rsid w:val="00995D84"/>
    <w:rsid w:val="009971AA"/>
    <w:rsid w:val="00997908"/>
    <w:rsid w:val="009A0D75"/>
    <w:rsid w:val="009A1234"/>
    <w:rsid w:val="009A306D"/>
    <w:rsid w:val="009A347A"/>
    <w:rsid w:val="009A3661"/>
    <w:rsid w:val="009A5A3D"/>
    <w:rsid w:val="009A620E"/>
    <w:rsid w:val="009A7587"/>
    <w:rsid w:val="009B0214"/>
    <w:rsid w:val="009B02EF"/>
    <w:rsid w:val="009B0A91"/>
    <w:rsid w:val="009B19CD"/>
    <w:rsid w:val="009B5EC9"/>
    <w:rsid w:val="009B6316"/>
    <w:rsid w:val="009B6452"/>
    <w:rsid w:val="009B6A6F"/>
    <w:rsid w:val="009B736C"/>
    <w:rsid w:val="009C01A6"/>
    <w:rsid w:val="009C0EAC"/>
    <w:rsid w:val="009C1AFE"/>
    <w:rsid w:val="009C1F30"/>
    <w:rsid w:val="009C246A"/>
    <w:rsid w:val="009C3E33"/>
    <w:rsid w:val="009C54A0"/>
    <w:rsid w:val="009C5C6C"/>
    <w:rsid w:val="009C5F24"/>
    <w:rsid w:val="009C6C53"/>
    <w:rsid w:val="009C7F99"/>
    <w:rsid w:val="009D048B"/>
    <w:rsid w:val="009D0A63"/>
    <w:rsid w:val="009D1B5D"/>
    <w:rsid w:val="009D27C3"/>
    <w:rsid w:val="009D28FA"/>
    <w:rsid w:val="009D4200"/>
    <w:rsid w:val="009D43FE"/>
    <w:rsid w:val="009D53FD"/>
    <w:rsid w:val="009D5C19"/>
    <w:rsid w:val="009D6672"/>
    <w:rsid w:val="009D69C6"/>
    <w:rsid w:val="009D6F70"/>
    <w:rsid w:val="009D7501"/>
    <w:rsid w:val="009D7975"/>
    <w:rsid w:val="009E10E1"/>
    <w:rsid w:val="009E3966"/>
    <w:rsid w:val="009E3C52"/>
    <w:rsid w:val="009E4361"/>
    <w:rsid w:val="009E4852"/>
    <w:rsid w:val="009E5419"/>
    <w:rsid w:val="009E5A6E"/>
    <w:rsid w:val="009E619C"/>
    <w:rsid w:val="009E6500"/>
    <w:rsid w:val="009E6692"/>
    <w:rsid w:val="009E6AC4"/>
    <w:rsid w:val="009E70E7"/>
    <w:rsid w:val="009E7122"/>
    <w:rsid w:val="009E7784"/>
    <w:rsid w:val="009E7DB9"/>
    <w:rsid w:val="009F1E38"/>
    <w:rsid w:val="009F25A8"/>
    <w:rsid w:val="009F34D3"/>
    <w:rsid w:val="009F3CA9"/>
    <w:rsid w:val="009F4353"/>
    <w:rsid w:val="009F46DC"/>
    <w:rsid w:val="009F508F"/>
    <w:rsid w:val="009F6006"/>
    <w:rsid w:val="009F65AF"/>
    <w:rsid w:val="009F72A8"/>
    <w:rsid w:val="009F754F"/>
    <w:rsid w:val="009F7D54"/>
    <w:rsid w:val="00A00109"/>
    <w:rsid w:val="00A01B9B"/>
    <w:rsid w:val="00A01BE4"/>
    <w:rsid w:val="00A01C00"/>
    <w:rsid w:val="00A01EB6"/>
    <w:rsid w:val="00A01ED1"/>
    <w:rsid w:val="00A02488"/>
    <w:rsid w:val="00A02AB3"/>
    <w:rsid w:val="00A034EF"/>
    <w:rsid w:val="00A03A1B"/>
    <w:rsid w:val="00A048C7"/>
    <w:rsid w:val="00A0598E"/>
    <w:rsid w:val="00A05E08"/>
    <w:rsid w:val="00A063A6"/>
    <w:rsid w:val="00A06844"/>
    <w:rsid w:val="00A06A2C"/>
    <w:rsid w:val="00A06CC5"/>
    <w:rsid w:val="00A07909"/>
    <w:rsid w:val="00A0791C"/>
    <w:rsid w:val="00A079D8"/>
    <w:rsid w:val="00A1047D"/>
    <w:rsid w:val="00A117D8"/>
    <w:rsid w:val="00A11B56"/>
    <w:rsid w:val="00A11CAD"/>
    <w:rsid w:val="00A121AB"/>
    <w:rsid w:val="00A13DF7"/>
    <w:rsid w:val="00A14807"/>
    <w:rsid w:val="00A15263"/>
    <w:rsid w:val="00A155CD"/>
    <w:rsid w:val="00A15BF1"/>
    <w:rsid w:val="00A1620D"/>
    <w:rsid w:val="00A166AF"/>
    <w:rsid w:val="00A16AC0"/>
    <w:rsid w:val="00A16DC1"/>
    <w:rsid w:val="00A171AC"/>
    <w:rsid w:val="00A21DF4"/>
    <w:rsid w:val="00A224E5"/>
    <w:rsid w:val="00A231CF"/>
    <w:rsid w:val="00A23D31"/>
    <w:rsid w:val="00A240A7"/>
    <w:rsid w:val="00A24AF6"/>
    <w:rsid w:val="00A24C9B"/>
    <w:rsid w:val="00A25151"/>
    <w:rsid w:val="00A26554"/>
    <w:rsid w:val="00A26ECD"/>
    <w:rsid w:val="00A27BA0"/>
    <w:rsid w:val="00A27D2B"/>
    <w:rsid w:val="00A301A7"/>
    <w:rsid w:val="00A30C34"/>
    <w:rsid w:val="00A30C4E"/>
    <w:rsid w:val="00A30CA8"/>
    <w:rsid w:val="00A30FD3"/>
    <w:rsid w:val="00A31582"/>
    <w:rsid w:val="00A315DF"/>
    <w:rsid w:val="00A32453"/>
    <w:rsid w:val="00A32564"/>
    <w:rsid w:val="00A33A8D"/>
    <w:rsid w:val="00A34223"/>
    <w:rsid w:val="00A34F11"/>
    <w:rsid w:val="00A3509C"/>
    <w:rsid w:val="00A352DA"/>
    <w:rsid w:val="00A35E2F"/>
    <w:rsid w:val="00A36013"/>
    <w:rsid w:val="00A36159"/>
    <w:rsid w:val="00A36FB5"/>
    <w:rsid w:val="00A37891"/>
    <w:rsid w:val="00A40A51"/>
    <w:rsid w:val="00A415BA"/>
    <w:rsid w:val="00A419A8"/>
    <w:rsid w:val="00A42041"/>
    <w:rsid w:val="00A4230D"/>
    <w:rsid w:val="00A4432A"/>
    <w:rsid w:val="00A4594F"/>
    <w:rsid w:val="00A45F38"/>
    <w:rsid w:val="00A47916"/>
    <w:rsid w:val="00A47C18"/>
    <w:rsid w:val="00A50123"/>
    <w:rsid w:val="00A50298"/>
    <w:rsid w:val="00A50838"/>
    <w:rsid w:val="00A50EC5"/>
    <w:rsid w:val="00A511BB"/>
    <w:rsid w:val="00A535E4"/>
    <w:rsid w:val="00A536DA"/>
    <w:rsid w:val="00A5370C"/>
    <w:rsid w:val="00A5406C"/>
    <w:rsid w:val="00A54801"/>
    <w:rsid w:val="00A556AA"/>
    <w:rsid w:val="00A5596D"/>
    <w:rsid w:val="00A56ACD"/>
    <w:rsid w:val="00A56F1F"/>
    <w:rsid w:val="00A56F39"/>
    <w:rsid w:val="00A571CD"/>
    <w:rsid w:val="00A57C3D"/>
    <w:rsid w:val="00A57D17"/>
    <w:rsid w:val="00A617D1"/>
    <w:rsid w:val="00A640F1"/>
    <w:rsid w:val="00A64F4B"/>
    <w:rsid w:val="00A650C6"/>
    <w:rsid w:val="00A660D1"/>
    <w:rsid w:val="00A66829"/>
    <w:rsid w:val="00A6697B"/>
    <w:rsid w:val="00A71251"/>
    <w:rsid w:val="00A719AA"/>
    <w:rsid w:val="00A731B5"/>
    <w:rsid w:val="00A73DE3"/>
    <w:rsid w:val="00A73E67"/>
    <w:rsid w:val="00A747F9"/>
    <w:rsid w:val="00A74C2D"/>
    <w:rsid w:val="00A76217"/>
    <w:rsid w:val="00A76595"/>
    <w:rsid w:val="00A766B1"/>
    <w:rsid w:val="00A76B34"/>
    <w:rsid w:val="00A779A5"/>
    <w:rsid w:val="00A8051E"/>
    <w:rsid w:val="00A805D0"/>
    <w:rsid w:val="00A8238F"/>
    <w:rsid w:val="00A83487"/>
    <w:rsid w:val="00A83582"/>
    <w:rsid w:val="00A83DD8"/>
    <w:rsid w:val="00A84A8E"/>
    <w:rsid w:val="00A84BEF"/>
    <w:rsid w:val="00A854FF"/>
    <w:rsid w:val="00A85A76"/>
    <w:rsid w:val="00A85EC8"/>
    <w:rsid w:val="00A86E30"/>
    <w:rsid w:val="00A87035"/>
    <w:rsid w:val="00A87307"/>
    <w:rsid w:val="00A8745D"/>
    <w:rsid w:val="00A8767A"/>
    <w:rsid w:val="00A879F7"/>
    <w:rsid w:val="00A9011C"/>
    <w:rsid w:val="00A908DA"/>
    <w:rsid w:val="00A90F9B"/>
    <w:rsid w:val="00A9135D"/>
    <w:rsid w:val="00A917E6"/>
    <w:rsid w:val="00A92694"/>
    <w:rsid w:val="00A93072"/>
    <w:rsid w:val="00A94938"/>
    <w:rsid w:val="00A95838"/>
    <w:rsid w:val="00A9629C"/>
    <w:rsid w:val="00A96A29"/>
    <w:rsid w:val="00A97219"/>
    <w:rsid w:val="00A97515"/>
    <w:rsid w:val="00AA07B1"/>
    <w:rsid w:val="00AA193D"/>
    <w:rsid w:val="00AA2289"/>
    <w:rsid w:val="00AA35D5"/>
    <w:rsid w:val="00AA417B"/>
    <w:rsid w:val="00AA49FF"/>
    <w:rsid w:val="00AA4A1F"/>
    <w:rsid w:val="00AA505C"/>
    <w:rsid w:val="00AA533F"/>
    <w:rsid w:val="00AA59B2"/>
    <w:rsid w:val="00AA5A86"/>
    <w:rsid w:val="00AA5C7C"/>
    <w:rsid w:val="00AA639B"/>
    <w:rsid w:val="00AA6EFD"/>
    <w:rsid w:val="00AA7BD4"/>
    <w:rsid w:val="00AA7F48"/>
    <w:rsid w:val="00AB010D"/>
    <w:rsid w:val="00AB0749"/>
    <w:rsid w:val="00AB2617"/>
    <w:rsid w:val="00AB2C53"/>
    <w:rsid w:val="00AB2EDE"/>
    <w:rsid w:val="00AB3027"/>
    <w:rsid w:val="00AB37BE"/>
    <w:rsid w:val="00AB5936"/>
    <w:rsid w:val="00AB6595"/>
    <w:rsid w:val="00AB76D8"/>
    <w:rsid w:val="00AB7760"/>
    <w:rsid w:val="00AB7E6A"/>
    <w:rsid w:val="00AC193A"/>
    <w:rsid w:val="00AC1B50"/>
    <w:rsid w:val="00AC1B61"/>
    <w:rsid w:val="00AC28E0"/>
    <w:rsid w:val="00AC2C6E"/>
    <w:rsid w:val="00AC3A3F"/>
    <w:rsid w:val="00AC41CA"/>
    <w:rsid w:val="00AC5363"/>
    <w:rsid w:val="00AC5EE6"/>
    <w:rsid w:val="00AC6B75"/>
    <w:rsid w:val="00AC6C2F"/>
    <w:rsid w:val="00AC706C"/>
    <w:rsid w:val="00AD0D24"/>
    <w:rsid w:val="00AD0DE0"/>
    <w:rsid w:val="00AD1480"/>
    <w:rsid w:val="00AD1923"/>
    <w:rsid w:val="00AD2611"/>
    <w:rsid w:val="00AD285F"/>
    <w:rsid w:val="00AD368D"/>
    <w:rsid w:val="00AD3AC5"/>
    <w:rsid w:val="00AD3D57"/>
    <w:rsid w:val="00AD497C"/>
    <w:rsid w:val="00AD4AD2"/>
    <w:rsid w:val="00AD50F9"/>
    <w:rsid w:val="00AD55E6"/>
    <w:rsid w:val="00AE0890"/>
    <w:rsid w:val="00AE0B4B"/>
    <w:rsid w:val="00AE156A"/>
    <w:rsid w:val="00AE1872"/>
    <w:rsid w:val="00AE19C0"/>
    <w:rsid w:val="00AE1B90"/>
    <w:rsid w:val="00AE3252"/>
    <w:rsid w:val="00AE47BF"/>
    <w:rsid w:val="00AE489D"/>
    <w:rsid w:val="00AE4A34"/>
    <w:rsid w:val="00AE552E"/>
    <w:rsid w:val="00AE56A2"/>
    <w:rsid w:val="00AE5737"/>
    <w:rsid w:val="00AE57A9"/>
    <w:rsid w:val="00AE6A7D"/>
    <w:rsid w:val="00AE6CA9"/>
    <w:rsid w:val="00AE79E1"/>
    <w:rsid w:val="00AF0861"/>
    <w:rsid w:val="00AF0A77"/>
    <w:rsid w:val="00AF15CB"/>
    <w:rsid w:val="00AF17E9"/>
    <w:rsid w:val="00AF1992"/>
    <w:rsid w:val="00AF3305"/>
    <w:rsid w:val="00AF4424"/>
    <w:rsid w:val="00AF4610"/>
    <w:rsid w:val="00AF4C29"/>
    <w:rsid w:val="00AF4EED"/>
    <w:rsid w:val="00AF6432"/>
    <w:rsid w:val="00AF6DED"/>
    <w:rsid w:val="00AF753C"/>
    <w:rsid w:val="00AF79BD"/>
    <w:rsid w:val="00B00F3C"/>
    <w:rsid w:val="00B01191"/>
    <w:rsid w:val="00B01762"/>
    <w:rsid w:val="00B01B16"/>
    <w:rsid w:val="00B01D0C"/>
    <w:rsid w:val="00B029B1"/>
    <w:rsid w:val="00B02C78"/>
    <w:rsid w:val="00B03811"/>
    <w:rsid w:val="00B039E1"/>
    <w:rsid w:val="00B03B83"/>
    <w:rsid w:val="00B04D4C"/>
    <w:rsid w:val="00B04D63"/>
    <w:rsid w:val="00B04FDF"/>
    <w:rsid w:val="00B0597E"/>
    <w:rsid w:val="00B05E74"/>
    <w:rsid w:val="00B07F12"/>
    <w:rsid w:val="00B07FE3"/>
    <w:rsid w:val="00B10BAE"/>
    <w:rsid w:val="00B11CB3"/>
    <w:rsid w:val="00B11E66"/>
    <w:rsid w:val="00B12451"/>
    <w:rsid w:val="00B12A0A"/>
    <w:rsid w:val="00B14154"/>
    <w:rsid w:val="00B1415B"/>
    <w:rsid w:val="00B150A3"/>
    <w:rsid w:val="00B15278"/>
    <w:rsid w:val="00B164F6"/>
    <w:rsid w:val="00B16E71"/>
    <w:rsid w:val="00B222A2"/>
    <w:rsid w:val="00B233F4"/>
    <w:rsid w:val="00B234EC"/>
    <w:rsid w:val="00B267E1"/>
    <w:rsid w:val="00B274AE"/>
    <w:rsid w:val="00B274BF"/>
    <w:rsid w:val="00B304B7"/>
    <w:rsid w:val="00B31222"/>
    <w:rsid w:val="00B31516"/>
    <w:rsid w:val="00B318C9"/>
    <w:rsid w:val="00B31FDB"/>
    <w:rsid w:val="00B33EEF"/>
    <w:rsid w:val="00B348F1"/>
    <w:rsid w:val="00B416D0"/>
    <w:rsid w:val="00B41D89"/>
    <w:rsid w:val="00B42C7F"/>
    <w:rsid w:val="00B42E81"/>
    <w:rsid w:val="00B4329D"/>
    <w:rsid w:val="00B457EF"/>
    <w:rsid w:val="00B45BEE"/>
    <w:rsid w:val="00B46A26"/>
    <w:rsid w:val="00B46C8E"/>
    <w:rsid w:val="00B50512"/>
    <w:rsid w:val="00B50F74"/>
    <w:rsid w:val="00B51A2F"/>
    <w:rsid w:val="00B51AEA"/>
    <w:rsid w:val="00B520F9"/>
    <w:rsid w:val="00B52812"/>
    <w:rsid w:val="00B537CE"/>
    <w:rsid w:val="00B53891"/>
    <w:rsid w:val="00B541CB"/>
    <w:rsid w:val="00B5423C"/>
    <w:rsid w:val="00B5495A"/>
    <w:rsid w:val="00B54AAB"/>
    <w:rsid w:val="00B553BA"/>
    <w:rsid w:val="00B55A03"/>
    <w:rsid w:val="00B57560"/>
    <w:rsid w:val="00B57690"/>
    <w:rsid w:val="00B577A3"/>
    <w:rsid w:val="00B6144B"/>
    <w:rsid w:val="00B61577"/>
    <w:rsid w:val="00B6170F"/>
    <w:rsid w:val="00B625C9"/>
    <w:rsid w:val="00B63796"/>
    <w:rsid w:val="00B64641"/>
    <w:rsid w:val="00B648F6"/>
    <w:rsid w:val="00B66A77"/>
    <w:rsid w:val="00B675DD"/>
    <w:rsid w:val="00B704AA"/>
    <w:rsid w:val="00B70B2A"/>
    <w:rsid w:val="00B71F2C"/>
    <w:rsid w:val="00B7262F"/>
    <w:rsid w:val="00B726C3"/>
    <w:rsid w:val="00B727C5"/>
    <w:rsid w:val="00B73031"/>
    <w:rsid w:val="00B73CF6"/>
    <w:rsid w:val="00B73D51"/>
    <w:rsid w:val="00B73FD4"/>
    <w:rsid w:val="00B74128"/>
    <w:rsid w:val="00B743FD"/>
    <w:rsid w:val="00B74DCE"/>
    <w:rsid w:val="00B74FC5"/>
    <w:rsid w:val="00B75A6C"/>
    <w:rsid w:val="00B7684C"/>
    <w:rsid w:val="00B77614"/>
    <w:rsid w:val="00B8029A"/>
    <w:rsid w:val="00B80DB5"/>
    <w:rsid w:val="00B827B3"/>
    <w:rsid w:val="00B82F2D"/>
    <w:rsid w:val="00B83E2A"/>
    <w:rsid w:val="00B83E38"/>
    <w:rsid w:val="00B84273"/>
    <w:rsid w:val="00B84E0E"/>
    <w:rsid w:val="00B85781"/>
    <w:rsid w:val="00B85DF3"/>
    <w:rsid w:val="00B861AD"/>
    <w:rsid w:val="00B8690B"/>
    <w:rsid w:val="00B86C19"/>
    <w:rsid w:val="00B8730C"/>
    <w:rsid w:val="00B878CC"/>
    <w:rsid w:val="00B912E7"/>
    <w:rsid w:val="00B91367"/>
    <w:rsid w:val="00B913FB"/>
    <w:rsid w:val="00B923C1"/>
    <w:rsid w:val="00B924EF"/>
    <w:rsid w:val="00B92EDF"/>
    <w:rsid w:val="00B9332A"/>
    <w:rsid w:val="00B93510"/>
    <w:rsid w:val="00B93640"/>
    <w:rsid w:val="00B93E33"/>
    <w:rsid w:val="00B93FFB"/>
    <w:rsid w:val="00B94C63"/>
    <w:rsid w:val="00B94C73"/>
    <w:rsid w:val="00B954F3"/>
    <w:rsid w:val="00B95BCD"/>
    <w:rsid w:val="00B95CDC"/>
    <w:rsid w:val="00B95CE5"/>
    <w:rsid w:val="00B96107"/>
    <w:rsid w:val="00BA064F"/>
    <w:rsid w:val="00BA0D0B"/>
    <w:rsid w:val="00BA14FC"/>
    <w:rsid w:val="00BA1EE5"/>
    <w:rsid w:val="00BA3D3F"/>
    <w:rsid w:val="00BA4C61"/>
    <w:rsid w:val="00BA4CE5"/>
    <w:rsid w:val="00BA5DF2"/>
    <w:rsid w:val="00BA7E4A"/>
    <w:rsid w:val="00BB1236"/>
    <w:rsid w:val="00BB1A27"/>
    <w:rsid w:val="00BB375D"/>
    <w:rsid w:val="00BB4277"/>
    <w:rsid w:val="00BB49A0"/>
    <w:rsid w:val="00BB515F"/>
    <w:rsid w:val="00BB532B"/>
    <w:rsid w:val="00BC0924"/>
    <w:rsid w:val="00BC0C50"/>
    <w:rsid w:val="00BC11E0"/>
    <w:rsid w:val="00BC1FA5"/>
    <w:rsid w:val="00BC2598"/>
    <w:rsid w:val="00BC299D"/>
    <w:rsid w:val="00BC2C0C"/>
    <w:rsid w:val="00BC3B70"/>
    <w:rsid w:val="00BC4AE9"/>
    <w:rsid w:val="00BC6E7C"/>
    <w:rsid w:val="00BC7182"/>
    <w:rsid w:val="00BC732A"/>
    <w:rsid w:val="00BC7398"/>
    <w:rsid w:val="00BC7458"/>
    <w:rsid w:val="00BC758B"/>
    <w:rsid w:val="00BC79AA"/>
    <w:rsid w:val="00BC79C3"/>
    <w:rsid w:val="00BC7D51"/>
    <w:rsid w:val="00BD1045"/>
    <w:rsid w:val="00BD2183"/>
    <w:rsid w:val="00BD2EAC"/>
    <w:rsid w:val="00BD3421"/>
    <w:rsid w:val="00BD4BB3"/>
    <w:rsid w:val="00BD4EAE"/>
    <w:rsid w:val="00BD50FE"/>
    <w:rsid w:val="00BD5C33"/>
    <w:rsid w:val="00BD6804"/>
    <w:rsid w:val="00BD7F11"/>
    <w:rsid w:val="00BE17C6"/>
    <w:rsid w:val="00BE2498"/>
    <w:rsid w:val="00BE2BD3"/>
    <w:rsid w:val="00BE2E7C"/>
    <w:rsid w:val="00BE4843"/>
    <w:rsid w:val="00BE4865"/>
    <w:rsid w:val="00BE50F9"/>
    <w:rsid w:val="00BE5241"/>
    <w:rsid w:val="00BE5595"/>
    <w:rsid w:val="00BE6035"/>
    <w:rsid w:val="00BE675A"/>
    <w:rsid w:val="00BE69BF"/>
    <w:rsid w:val="00BE725A"/>
    <w:rsid w:val="00BE7263"/>
    <w:rsid w:val="00BE73C1"/>
    <w:rsid w:val="00BE7430"/>
    <w:rsid w:val="00BE7B48"/>
    <w:rsid w:val="00BF0B5F"/>
    <w:rsid w:val="00BF3269"/>
    <w:rsid w:val="00BF3381"/>
    <w:rsid w:val="00BF667D"/>
    <w:rsid w:val="00BF68BB"/>
    <w:rsid w:val="00BF69D9"/>
    <w:rsid w:val="00BF6E25"/>
    <w:rsid w:val="00BF706E"/>
    <w:rsid w:val="00BF773F"/>
    <w:rsid w:val="00BF7E94"/>
    <w:rsid w:val="00C0169B"/>
    <w:rsid w:val="00C02357"/>
    <w:rsid w:val="00C03070"/>
    <w:rsid w:val="00C06B11"/>
    <w:rsid w:val="00C06BCB"/>
    <w:rsid w:val="00C100E3"/>
    <w:rsid w:val="00C10FCF"/>
    <w:rsid w:val="00C11870"/>
    <w:rsid w:val="00C12810"/>
    <w:rsid w:val="00C12D84"/>
    <w:rsid w:val="00C13B88"/>
    <w:rsid w:val="00C1483A"/>
    <w:rsid w:val="00C14CF4"/>
    <w:rsid w:val="00C15B35"/>
    <w:rsid w:val="00C16B4B"/>
    <w:rsid w:val="00C1729D"/>
    <w:rsid w:val="00C17427"/>
    <w:rsid w:val="00C1797D"/>
    <w:rsid w:val="00C20C00"/>
    <w:rsid w:val="00C20C5A"/>
    <w:rsid w:val="00C210FD"/>
    <w:rsid w:val="00C2141B"/>
    <w:rsid w:val="00C2165D"/>
    <w:rsid w:val="00C22901"/>
    <w:rsid w:val="00C22969"/>
    <w:rsid w:val="00C22C44"/>
    <w:rsid w:val="00C22E49"/>
    <w:rsid w:val="00C2404F"/>
    <w:rsid w:val="00C24F30"/>
    <w:rsid w:val="00C25238"/>
    <w:rsid w:val="00C260FA"/>
    <w:rsid w:val="00C2682F"/>
    <w:rsid w:val="00C26853"/>
    <w:rsid w:val="00C2770D"/>
    <w:rsid w:val="00C305F2"/>
    <w:rsid w:val="00C318DD"/>
    <w:rsid w:val="00C31F8B"/>
    <w:rsid w:val="00C3253F"/>
    <w:rsid w:val="00C3345C"/>
    <w:rsid w:val="00C33886"/>
    <w:rsid w:val="00C3485C"/>
    <w:rsid w:val="00C35376"/>
    <w:rsid w:val="00C3583A"/>
    <w:rsid w:val="00C35A5E"/>
    <w:rsid w:val="00C364D0"/>
    <w:rsid w:val="00C36C23"/>
    <w:rsid w:val="00C37A5F"/>
    <w:rsid w:val="00C407E5"/>
    <w:rsid w:val="00C40B65"/>
    <w:rsid w:val="00C4265A"/>
    <w:rsid w:val="00C42DAC"/>
    <w:rsid w:val="00C4342B"/>
    <w:rsid w:val="00C44C5C"/>
    <w:rsid w:val="00C44C87"/>
    <w:rsid w:val="00C45345"/>
    <w:rsid w:val="00C45818"/>
    <w:rsid w:val="00C459A9"/>
    <w:rsid w:val="00C46EF4"/>
    <w:rsid w:val="00C47763"/>
    <w:rsid w:val="00C477E7"/>
    <w:rsid w:val="00C47A0A"/>
    <w:rsid w:val="00C502A5"/>
    <w:rsid w:val="00C503A6"/>
    <w:rsid w:val="00C5063C"/>
    <w:rsid w:val="00C51CD8"/>
    <w:rsid w:val="00C521F7"/>
    <w:rsid w:val="00C526DE"/>
    <w:rsid w:val="00C53008"/>
    <w:rsid w:val="00C53C3A"/>
    <w:rsid w:val="00C55151"/>
    <w:rsid w:val="00C554F7"/>
    <w:rsid w:val="00C5575D"/>
    <w:rsid w:val="00C558FF"/>
    <w:rsid w:val="00C55D26"/>
    <w:rsid w:val="00C560FA"/>
    <w:rsid w:val="00C56772"/>
    <w:rsid w:val="00C576D2"/>
    <w:rsid w:val="00C577C1"/>
    <w:rsid w:val="00C57FF9"/>
    <w:rsid w:val="00C6103F"/>
    <w:rsid w:val="00C612FD"/>
    <w:rsid w:val="00C62023"/>
    <w:rsid w:val="00C620F7"/>
    <w:rsid w:val="00C62348"/>
    <w:rsid w:val="00C62CA9"/>
    <w:rsid w:val="00C64434"/>
    <w:rsid w:val="00C648C4"/>
    <w:rsid w:val="00C64A51"/>
    <w:rsid w:val="00C64B27"/>
    <w:rsid w:val="00C65531"/>
    <w:rsid w:val="00C655F2"/>
    <w:rsid w:val="00C65C4D"/>
    <w:rsid w:val="00C67C44"/>
    <w:rsid w:val="00C7063C"/>
    <w:rsid w:val="00C70670"/>
    <w:rsid w:val="00C723CE"/>
    <w:rsid w:val="00C72589"/>
    <w:rsid w:val="00C73C57"/>
    <w:rsid w:val="00C741B2"/>
    <w:rsid w:val="00C746D9"/>
    <w:rsid w:val="00C74D43"/>
    <w:rsid w:val="00C74F53"/>
    <w:rsid w:val="00C74F5F"/>
    <w:rsid w:val="00C75CA7"/>
    <w:rsid w:val="00C763EE"/>
    <w:rsid w:val="00C7683D"/>
    <w:rsid w:val="00C76A6F"/>
    <w:rsid w:val="00C76EE0"/>
    <w:rsid w:val="00C77E7E"/>
    <w:rsid w:val="00C80361"/>
    <w:rsid w:val="00C819AE"/>
    <w:rsid w:val="00C81FBD"/>
    <w:rsid w:val="00C82A8F"/>
    <w:rsid w:val="00C82FB9"/>
    <w:rsid w:val="00C84AAD"/>
    <w:rsid w:val="00C85C96"/>
    <w:rsid w:val="00C860AE"/>
    <w:rsid w:val="00C86432"/>
    <w:rsid w:val="00C86FC6"/>
    <w:rsid w:val="00C87C17"/>
    <w:rsid w:val="00C901BB"/>
    <w:rsid w:val="00C90C46"/>
    <w:rsid w:val="00C90CD3"/>
    <w:rsid w:val="00C90EFD"/>
    <w:rsid w:val="00C91B62"/>
    <w:rsid w:val="00C92552"/>
    <w:rsid w:val="00C92916"/>
    <w:rsid w:val="00C92C27"/>
    <w:rsid w:val="00C93F1B"/>
    <w:rsid w:val="00C9454B"/>
    <w:rsid w:val="00C950E3"/>
    <w:rsid w:val="00C953F1"/>
    <w:rsid w:val="00C955F1"/>
    <w:rsid w:val="00C963DF"/>
    <w:rsid w:val="00C96DFE"/>
    <w:rsid w:val="00C96FE8"/>
    <w:rsid w:val="00C97151"/>
    <w:rsid w:val="00C9737D"/>
    <w:rsid w:val="00C976D1"/>
    <w:rsid w:val="00CA015B"/>
    <w:rsid w:val="00CA0F81"/>
    <w:rsid w:val="00CA2C6A"/>
    <w:rsid w:val="00CA2D01"/>
    <w:rsid w:val="00CA308F"/>
    <w:rsid w:val="00CA3730"/>
    <w:rsid w:val="00CA3C52"/>
    <w:rsid w:val="00CA5C24"/>
    <w:rsid w:val="00CA5FDD"/>
    <w:rsid w:val="00CA67BA"/>
    <w:rsid w:val="00CA71D4"/>
    <w:rsid w:val="00CB0326"/>
    <w:rsid w:val="00CB03C1"/>
    <w:rsid w:val="00CB5B59"/>
    <w:rsid w:val="00CB5D29"/>
    <w:rsid w:val="00CB6019"/>
    <w:rsid w:val="00CB675A"/>
    <w:rsid w:val="00CB6847"/>
    <w:rsid w:val="00CB6EC8"/>
    <w:rsid w:val="00CB7423"/>
    <w:rsid w:val="00CB782B"/>
    <w:rsid w:val="00CC082B"/>
    <w:rsid w:val="00CC0E77"/>
    <w:rsid w:val="00CC13BE"/>
    <w:rsid w:val="00CC2092"/>
    <w:rsid w:val="00CC285C"/>
    <w:rsid w:val="00CC2E28"/>
    <w:rsid w:val="00CC3244"/>
    <w:rsid w:val="00CC5595"/>
    <w:rsid w:val="00CC596D"/>
    <w:rsid w:val="00CC5AAD"/>
    <w:rsid w:val="00CC5E76"/>
    <w:rsid w:val="00CC687B"/>
    <w:rsid w:val="00CC79AA"/>
    <w:rsid w:val="00CC7FC0"/>
    <w:rsid w:val="00CD0453"/>
    <w:rsid w:val="00CD1770"/>
    <w:rsid w:val="00CD2422"/>
    <w:rsid w:val="00CD2797"/>
    <w:rsid w:val="00CD2D4D"/>
    <w:rsid w:val="00CD3A5D"/>
    <w:rsid w:val="00CD3F0D"/>
    <w:rsid w:val="00CD4404"/>
    <w:rsid w:val="00CD4930"/>
    <w:rsid w:val="00CD4AF7"/>
    <w:rsid w:val="00CD5A78"/>
    <w:rsid w:val="00CD5FD4"/>
    <w:rsid w:val="00CD64D0"/>
    <w:rsid w:val="00CD7F8F"/>
    <w:rsid w:val="00CE0B4C"/>
    <w:rsid w:val="00CE0DCE"/>
    <w:rsid w:val="00CE142E"/>
    <w:rsid w:val="00CE1BC9"/>
    <w:rsid w:val="00CE25A1"/>
    <w:rsid w:val="00CE33A0"/>
    <w:rsid w:val="00CE33C1"/>
    <w:rsid w:val="00CE43B9"/>
    <w:rsid w:val="00CE478C"/>
    <w:rsid w:val="00CE4DD6"/>
    <w:rsid w:val="00CE5049"/>
    <w:rsid w:val="00CE5228"/>
    <w:rsid w:val="00CE5EF9"/>
    <w:rsid w:val="00CE7659"/>
    <w:rsid w:val="00CE76FF"/>
    <w:rsid w:val="00CF090B"/>
    <w:rsid w:val="00CF0C41"/>
    <w:rsid w:val="00CF1CF7"/>
    <w:rsid w:val="00CF3AEC"/>
    <w:rsid w:val="00CF3B92"/>
    <w:rsid w:val="00CF4012"/>
    <w:rsid w:val="00CF43D5"/>
    <w:rsid w:val="00CF446E"/>
    <w:rsid w:val="00CF517B"/>
    <w:rsid w:val="00CF5F40"/>
    <w:rsid w:val="00CF73F3"/>
    <w:rsid w:val="00CF7F3E"/>
    <w:rsid w:val="00D0060A"/>
    <w:rsid w:val="00D01A66"/>
    <w:rsid w:val="00D01BB6"/>
    <w:rsid w:val="00D01C18"/>
    <w:rsid w:val="00D01C3D"/>
    <w:rsid w:val="00D01F75"/>
    <w:rsid w:val="00D026F0"/>
    <w:rsid w:val="00D02BC6"/>
    <w:rsid w:val="00D0310D"/>
    <w:rsid w:val="00D03542"/>
    <w:rsid w:val="00D04FF5"/>
    <w:rsid w:val="00D0542E"/>
    <w:rsid w:val="00D05803"/>
    <w:rsid w:val="00D05C7C"/>
    <w:rsid w:val="00D06906"/>
    <w:rsid w:val="00D06EF0"/>
    <w:rsid w:val="00D07171"/>
    <w:rsid w:val="00D07742"/>
    <w:rsid w:val="00D10711"/>
    <w:rsid w:val="00D117D5"/>
    <w:rsid w:val="00D11916"/>
    <w:rsid w:val="00D125A8"/>
    <w:rsid w:val="00D1276A"/>
    <w:rsid w:val="00D14DB7"/>
    <w:rsid w:val="00D15D92"/>
    <w:rsid w:val="00D15E6A"/>
    <w:rsid w:val="00D15ED5"/>
    <w:rsid w:val="00D16656"/>
    <w:rsid w:val="00D16FD7"/>
    <w:rsid w:val="00D17B33"/>
    <w:rsid w:val="00D200AB"/>
    <w:rsid w:val="00D204C4"/>
    <w:rsid w:val="00D24DD5"/>
    <w:rsid w:val="00D25689"/>
    <w:rsid w:val="00D25899"/>
    <w:rsid w:val="00D25ADC"/>
    <w:rsid w:val="00D2696B"/>
    <w:rsid w:val="00D31CD5"/>
    <w:rsid w:val="00D33009"/>
    <w:rsid w:val="00D3376E"/>
    <w:rsid w:val="00D340A6"/>
    <w:rsid w:val="00D34402"/>
    <w:rsid w:val="00D348F7"/>
    <w:rsid w:val="00D35641"/>
    <w:rsid w:val="00D3564E"/>
    <w:rsid w:val="00D36EF4"/>
    <w:rsid w:val="00D371D0"/>
    <w:rsid w:val="00D4062A"/>
    <w:rsid w:val="00D4099D"/>
    <w:rsid w:val="00D40BC3"/>
    <w:rsid w:val="00D410EA"/>
    <w:rsid w:val="00D42D55"/>
    <w:rsid w:val="00D434EC"/>
    <w:rsid w:val="00D44C07"/>
    <w:rsid w:val="00D44E9D"/>
    <w:rsid w:val="00D450DA"/>
    <w:rsid w:val="00D4567E"/>
    <w:rsid w:val="00D46722"/>
    <w:rsid w:val="00D472A7"/>
    <w:rsid w:val="00D47BC2"/>
    <w:rsid w:val="00D504F1"/>
    <w:rsid w:val="00D514B7"/>
    <w:rsid w:val="00D51515"/>
    <w:rsid w:val="00D5217F"/>
    <w:rsid w:val="00D5381C"/>
    <w:rsid w:val="00D53C84"/>
    <w:rsid w:val="00D54BD5"/>
    <w:rsid w:val="00D5699B"/>
    <w:rsid w:val="00D575F0"/>
    <w:rsid w:val="00D57960"/>
    <w:rsid w:val="00D6004B"/>
    <w:rsid w:val="00D60578"/>
    <w:rsid w:val="00D60B56"/>
    <w:rsid w:val="00D614C8"/>
    <w:rsid w:val="00D61A0E"/>
    <w:rsid w:val="00D61A90"/>
    <w:rsid w:val="00D62055"/>
    <w:rsid w:val="00D62551"/>
    <w:rsid w:val="00D6295D"/>
    <w:rsid w:val="00D64656"/>
    <w:rsid w:val="00D66FC3"/>
    <w:rsid w:val="00D70C67"/>
    <w:rsid w:val="00D70E79"/>
    <w:rsid w:val="00D71436"/>
    <w:rsid w:val="00D71CF9"/>
    <w:rsid w:val="00D72EAC"/>
    <w:rsid w:val="00D73BC4"/>
    <w:rsid w:val="00D74170"/>
    <w:rsid w:val="00D74344"/>
    <w:rsid w:val="00D74B06"/>
    <w:rsid w:val="00D75780"/>
    <w:rsid w:val="00D7675E"/>
    <w:rsid w:val="00D80080"/>
    <w:rsid w:val="00D807FB"/>
    <w:rsid w:val="00D80F9D"/>
    <w:rsid w:val="00D80FFB"/>
    <w:rsid w:val="00D81BAE"/>
    <w:rsid w:val="00D82A34"/>
    <w:rsid w:val="00D84B17"/>
    <w:rsid w:val="00D8507D"/>
    <w:rsid w:val="00D86692"/>
    <w:rsid w:val="00D86735"/>
    <w:rsid w:val="00D8718E"/>
    <w:rsid w:val="00D871FB"/>
    <w:rsid w:val="00D90C9D"/>
    <w:rsid w:val="00D90E57"/>
    <w:rsid w:val="00D91757"/>
    <w:rsid w:val="00D91910"/>
    <w:rsid w:val="00D91AA8"/>
    <w:rsid w:val="00D92062"/>
    <w:rsid w:val="00D925A8"/>
    <w:rsid w:val="00D92FF3"/>
    <w:rsid w:val="00D930D2"/>
    <w:rsid w:val="00D944A6"/>
    <w:rsid w:val="00D948AF"/>
    <w:rsid w:val="00D9559A"/>
    <w:rsid w:val="00D95B5F"/>
    <w:rsid w:val="00D96FC3"/>
    <w:rsid w:val="00DA00CC"/>
    <w:rsid w:val="00DA0839"/>
    <w:rsid w:val="00DA0EE6"/>
    <w:rsid w:val="00DA1248"/>
    <w:rsid w:val="00DA12C3"/>
    <w:rsid w:val="00DA1878"/>
    <w:rsid w:val="00DA22B5"/>
    <w:rsid w:val="00DA374D"/>
    <w:rsid w:val="00DA4192"/>
    <w:rsid w:val="00DA495D"/>
    <w:rsid w:val="00DA4C0A"/>
    <w:rsid w:val="00DA4F15"/>
    <w:rsid w:val="00DA5280"/>
    <w:rsid w:val="00DA5DCA"/>
    <w:rsid w:val="00DA600C"/>
    <w:rsid w:val="00DA7BA0"/>
    <w:rsid w:val="00DA7C37"/>
    <w:rsid w:val="00DA7D03"/>
    <w:rsid w:val="00DB132B"/>
    <w:rsid w:val="00DB15D7"/>
    <w:rsid w:val="00DB3319"/>
    <w:rsid w:val="00DB400B"/>
    <w:rsid w:val="00DB42EB"/>
    <w:rsid w:val="00DB42F5"/>
    <w:rsid w:val="00DB43A2"/>
    <w:rsid w:val="00DB44D6"/>
    <w:rsid w:val="00DB469A"/>
    <w:rsid w:val="00DB50B8"/>
    <w:rsid w:val="00DB52C3"/>
    <w:rsid w:val="00DB5454"/>
    <w:rsid w:val="00DB5DA3"/>
    <w:rsid w:val="00DB74E4"/>
    <w:rsid w:val="00DB79B8"/>
    <w:rsid w:val="00DB7A6E"/>
    <w:rsid w:val="00DB7E5F"/>
    <w:rsid w:val="00DC10B0"/>
    <w:rsid w:val="00DC1594"/>
    <w:rsid w:val="00DC193B"/>
    <w:rsid w:val="00DC23B7"/>
    <w:rsid w:val="00DC2996"/>
    <w:rsid w:val="00DC2FA1"/>
    <w:rsid w:val="00DC3B4A"/>
    <w:rsid w:val="00DC4289"/>
    <w:rsid w:val="00DC4806"/>
    <w:rsid w:val="00DC4BCD"/>
    <w:rsid w:val="00DC5D44"/>
    <w:rsid w:val="00DC7619"/>
    <w:rsid w:val="00DC7BD4"/>
    <w:rsid w:val="00DD1107"/>
    <w:rsid w:val="00DD1121"/>
    <w:rsid w:val="00DD14F8"/>
    <w:rsid w:val="00DD15B7"/>
    <w:rsid w:val="00DD173F"/>
    <w:rsid w:val="00DD178F"/>
    <w:rsid w:val="00DD186A"/>
    <w:rsid w:val="00DD1BCE"/>
    <w:rsid w:val="00DD1FE4"/>
    <w:rsid w:val="00DD23C5"/>
    <w:rsid w:val="00DD3A92"/>
    <w:rsid w:val="00DD3B58"/>
    <w:rsid w:val="00DD4022"/>
    <w:rsid w:val="00DD78B2"/>
    <w:rsid w:val="00DE040C"/>
    <w:rsid w:val="00DE0DE9"/>
    <w:rsid w:val="00DE1746"/>
    <w:rsid w:val="00DE2004"/>
    <w:rsid w:val="00DE2966"/>
    <w:rsid w:val="00DE40E0"/>
    <w:rsid w:val="00DE4107"/>
    <w:rsid w:val="00DE4FD1"/>
    <w:rsid w:val="00DE6E6F"/>
    <w:rsid w:val="00DE736A"/>
    <w:rsid w:val="00DF0127"/>
    <w:rsid w:val="00DF0424"/>
    <w:rsid w:val="00DF04ED"/>
    <w:rsid w:val="00DF0B5E"/>
    <w:rsid w:val="00DF0ED5"/>
    <w:rsid w:val="00DF382D"/>
    <w:rsid w:val="00DF3BE8"/>
    <w:rsid w:val="00DF3F0D"/>
    <w:rsid w:val="00DF5CF5"/>
    <w:rsid w:val="00DF72D9"/>
    <w:rsid w:val="00DF7B69"/>
    <w:rsid w:val="00DF7EC8"/>
    <w:rsid w:val="00E00D4F"/>
    <w:rsid w:val="00E0128F"/>
    <w:rsid w:val="00E0164B"/>
    <w:rsid w:val="00E0218A"/>
    <w:rsid w:val="00E028ED"/>
    <w:rsid w:val="00E02E7F"/>
    <w:rsid w:val="00E03E52"/>
    <w:rsid w:val="00E048CD"/>
    <w:rsid w:val="00E0499F"/>
    <w:rsid w:val="00E04AA2"/>
    <w:rsid w:val="00E050B9"/>
    <w:rsid w:val="00E053F6"/>
    <w:rsid w:val="00E05A28"/>
    <w:rsid w:val="00E05B27"/>
    <w:rsid w:val="00E05F7B"/>
    <w:rsid w:val="00E06909"/>
    <w:rsid w:val="00E07080"/>
    <w:rsid w:val="00E07D4B"/>
    <w:rsid w:val="00E104F6"/>
    <w:rsid w:val="00E10748"/>
    <w:rsid w:val="00E10C8E"/>
    <w:rsid w:val="00E11A0D"/>
    <w:rsid w:val="00E12F57"/>
    <w:rsid w:val="00E13C8C"/>
    <w:rsid w:val="00E13FD2"/>
    <w:rsid w:val="00E14282"/>
    <w:rsid w:val="00E156F2"/>
    <w:rsid w:val="00E15D04"/>
    <w:rsid w:val="00E15F54"/>
    <w:rsid w:val="00E16621"/>
    <w:rsid w:val="00E178B3"/>
    <w:rsid w:val="00E17DB8"/>
    <w:rsid w:val="00E17EB1"/>
    <w:rsid w:val="00E20330"/>
    <w:rsid w:val="00E204CE"/>
    <w:rsid w:val="00E20A27"/>
    <w:rsid w:val="00E2153F"/>
    <w:rsid w:val="00E21B31"/>
    <w:rsid w:val="00E21BE4"/>
    <w:rsid w:val="00E2250E"/>
    <w:rsid w:val="00E22E9E"/>
    <w:rsid w:val="00E231DB"/>
    <w:rsid w:val="00E2322E"/>
    <w:rsid w:val="00E2370C"/>
    <w:rsid w:val="00E23855"/>
    <w:rsid w:val="00E23C67"/>
    <w:rsid w:val="00E249D1"/>
    <w:rsid w:val="00E24BF5"/>
    <w:rsid w:val="00E24DDF"/>
    <w:rsid w:val="00E27B87"/>
    <w:rsid w:val="00E27DDF"/>
    <w:rsid w:val="00E27E01"/>
    <w:rsid w:val="00E30210"/>
    <w:rsid w:val="00E30A90"/>
    <w:rsid w:val="00E310B9"/>
    <w:rsid w:val="00E3117A"/>
    <w:rsid w:val="00E317D9"/>
    <w:rsid w:val="00E32DBA"/>
    <w:rsid w:val="00E354AF"/>
    <w:rsid w:val="00E35DF9"/>
    <w:rsid w:val="00E37483"/>
    <w:rsid w:val="00E377D5"/>
    <w:rsid w:val="00E37F28"/>
    <w:rsid w:val="00E37FDD"/>
    <w:rsid w:val="00E416B1"/>
    <w:rsid w:val="00E42117"/>
    <w:rsid w:val="00E424DE"/>
    <w:rsid w:val="00E43469"/>
    <w:rsid w:val="00E4359A"/>
    <w:rsid w:val="00E4369C"/>
    <w:rsid w:val="00E43A0F"/>
    <w:rsid w:val="00E43AA2"/>
    <w:rsid w:val="00E4438B"/>
    <w:rsid w:val="00E445DA"/>
    <w:rsid w:val="00E447EE"/>
    <w:rsid w:val="00E45379"/>
    <w:rsid w:val="00E4659B"/>
    <w:rsid w:val="00E465CB"/>
    <w:rsid w:val="00E46ADE"/>
    <w:rsid w:val="00E472D6"/>
    <w:rsid w:val="00E47C0D"/>
    <w:rsid w:val="00E50929"/>
    <w:rsid w:val="00E50A7E"/>
    <w:rsid w:val="00E50B22"/>
    <w:rsid w:val="00E51D7B"/>
    <w:rsid w:val="00E51E18"/>
    <w:rsid w:val="00E5267D"/>
    <w:rsid w:val="00E52703"/>
    <w:rsid w:val="00E533BD"/>
    <w:rsid w:val="00E5346C"/>
    <w:rsid w:val="00E53706"/>
    <w:rsid w:val="00E53DE8"/>
    <w:rsid w:val="00E55401"/>
    <w:rsid w:val="00E556C7"/>
    <w:rsid w:val="00E55B38"/>
    <w:rsid w:val="00E56663"/>
    <w:rsid w:val="00E576EB"/>
    <w:rsid w:val="00E57CE2"/>
    <w:rsid w:val="00E60967"/>
    <w:rsid w:val="00E617BD"/>
    <w:rsid w:val="00E617DF"/>
    <w:rsid w:val="00E61E05"/>
    <w:rsid w:val="00E61F5C"/>
    <w:rsid w:val="00E63111"/>
    <w:rsid w:val="00E63348"/>
    <w:rsid w:val="00E64BD9"/>
    <w:rsid w:val="00E6519C"/>
    <w:rsid w:val="00E65A16"/>
    <w:rsid w:val="00E6698C"/>
    <w:rsid w:val="00E67E50"/>
    <w:rsid w:val="00E705B4"/>
    <w:rsid w:val="00E72597"/>
    <w:rsid w:val="00E72967"/>
    <w:rsid w:val="00E74577"/>
    <w:rsid w:val="00E754ED"/>
    <w:rsid w:val="00E8071C"/>
    <w:rsid w:val="00E809B3"/>
    <w:rsid w:val="00E80D12"/>
    <w:rsid w:val="00E810C4"/>
    <w:rsid w:val="00E8134F"/>
    <w:rsid w:val="00E8155D"/>
    <w:rsid w:val="00E81743"/>
    <w:rsid w:val="00E83DF0"/>
    <w:rsid w:val="00E84558"/>
    <w:rsid w:val="00E84A74"/>
    <w:rsid w:val="00E84AD7"/>
    <w:rsid w:val="00E85080"/>
    <w:rsid w:val="00E8538B"/>
    <w:rsid w:val="00E85CC0"/>
    <w:rsid w:val="00E85E1F"/>
    <w:rsid w:val="00E86301"/>
    <w:rsid w:val="00E86815"/>
    <w:rsid w:val="00E86A65"/>
    <w:rsid w:val="00E90F9D"/>
    <w:rsid w:val="00E911A0"/>
    <w:rsid w:val="00E913DC"/>
    <w:rsid w:val="00E91404"/>
    <w:rsid w:val="00E9199A"/>
    <w:rsid w:val="00E9220A"/>
    <w:rsid w:val="00E937F5"/>
    <w:rsid w:val="00E93886"/>
    <w:rsid w:val="00E94225"/>
    <w:rsid w:val="00E947EF"/>
    <w:rsid w:val="00E94C22"/>
    <w:rsid w:val="00E95147"/>
    <w:rsid w:val="00E96AB8"/>
    <w:rsid w:val="00E96E1A"/>
    <w:rsid w:val="00EA030F"/>
    <w:rsid w:val="00EA0E04"/>
    <w:rsid w:val="00EA220D"/>
    <w:rsid w:val="00EA2FBD"/>
    <w:rsid w:val="00EA3156"/>
    <w:rsid w:val="00EA3FF0"/>
    <w:rsid w:val="00EA40A2"/>
    <w:rsid w:val="00EA4113"/>
    <w:rsid w:val="00EA46DF"/>
    <w:rsid w:val="00EA4CD5"/>
    <w:rsid w:val="00EA4E4A"/>
    <w:rsid w:val="00EA5D2C"/>
    <w:rsid w:val="00EA5D8E"/>
    <w:rsid w:val="00EA5E9B"/>
    <w:rsid w:val="00EA601D"/>
    <w:rsid w:val="00EA6C10"/>
    <w:rsid w:val="00EA7A52"/>
    <w:rsid w:val="00EB07CF"/>
    <w:rsid w:val="00EB112C"/>
    <w:rsid w:val="00EB2B80"/>
    <w:rsid w:val="00EB2E80"/>
    <w:rsid w:val="00EB397F"/>
    <w:rsid w:val="00EB3A2C"/>
    <w:rsid w:val="00EB3B88"/>
    <w:rsid w:val="00EB4900"/>
    <w:rsid w:val="00EB64EC"/>
    <w:rsid w:val="00EC044E"/>
    <w:rsid w:val="00EC0C14"/>
    <w:rsid w:val="00EC10DA"/>
    <w:rsid w:val="00EC25AE"/>
    <w:rsid w:val="00EC2B42"/>
    <w:rsid w:val="00EC2B82"/>
    <w:rsid w:val="00EC3B8F"/>
    <w:rsid w:val="00EC5BF3"/>
    <w:rsid w:val="00EC5CA0"/>
    <w:rsid w:val="00EC609F"/>
    <w:rsid w:val="00EC642A"/>
    <w:rsid w:val="00EC651D"/>
    <w:rsid w:val="00EC6C95"/>
    <w:rsid w:val="00EC6D3B"/>
    <w:rsid w:val="00EC7372"/>
    <w:rsid w:val="00ED0706"/>
    <w:rsid w:val="00ED19D1"/>
    <w:rsid w:val="00ED2082"/>
    <w:rsid w:val="00ED25B3"/>
    <w:rsid w:val="00ED2AC0"/>
    <w:rsid w:val="00ED30E8"/>
    <w:rsid w:val="00ED35FC"/>
    <w:rsid w:val="00ED3886"/>
    <w:rsid w:val="00ED3B69"/>
    <w:rsid w:val="00ED3E49"/>
    <w:rsid w:val="00ED3ECA"/>
    <w:rsid w:val="00ED3F39"/>
    <w:rsid w:val="00ED4B14"/>
    <w:rsid w:val="00ED5DF5"/>
    <w:rsid w:val="00ED6027"/>
    <w:rsid w:val="00ED63AE"/>
    <w:rsid w:val="00ED6564"/>
    <w:rsid w:val="00ED6CD1"/>
    <w:rsid w:val="00ED7A42"/>
    <w:rsid w:val="00ED7BDB"/>
    <w:rsid w:val="00EE025F"/>
    <w:rsid w:val="00EE10EF"/>
    <w:rsid w:val="00EE17C8"/>
    <w:rsid w:val="00EE238C"/>
    <w:rsid w:val="00EE357C"/>
    <w:rsid w:val="00EE527A"/>
    <w:rsid w:val="00EE5898"/>
    <w:rsid w:val="00EE5F2E"/>
    <w:rsid w:val="00EE6BFF"/>
    <w:rsid w:val="00EE791A"/>
    <w:rsid w:val="00EF0A87"/>
    <w:rsid w:val="00EF2A6D"/>
    <w:rsid w:val="00EF2C2D"/>
    <w:rsid w:val="00EF3FC3"/>
    <w:rsid w:val="00EF4095"/>
    <w:rsid w:val="00EF4A64"/>
    <w:rsid w:val="00EF5683"/>
    <w:rsid w:val="00EF5D21"/>
    <w:rsid w:val="00EF6D09"/>
    <w:rsid w:val="00EF7198"/>
    <w:rsid w:val="00EF76FA"/>
    <w:rsid w:val="00EF7FC3"/>
    <w:rsid w:val="00F00858"/>
    <w:rsid w:val="00F00D60"/>
    <w:rsid w:val="00F0192D"/>
    <w:rsid w:val="00F02171"/>
    <w:rsid w:val="00F02474"/>
    <w:rsid w:val="00F02FA1"/>
    <w:rsid w:val="00F033EF"/>
    <w:rsid w:val="00F03614"/>
    <w:rsid w:val="00F040B4"/>
    <w:rsid w:val="00F041D8"/>
    <w:rsid w:val="00F04757"/>
    <w:rsid w:val="00F04E16"/>
    <w:rsid w:val="00F0519D"/>
    <w:rsid w:val="00F0523A"/>
    <w:rsid w:val="00F05C67"/>
    <w:rsid w:val="00F0603B"/>
    <w:rsid w:val="00F061A6"/>
    <w:rsid w:val="00F0710C"/>
    <w:rsid w:val="00F07119"/>
    <w:rsid w:val="00F072BF"/>
    <w:rsid w:val="00F110D8"/>
    <w:rsid w:val="00F11AB3"/>
    <w:rsid w:val="00F11F3F"/>
    <w:rsid w:val="00F1269B"/>
    <w:rsid w:val="00F1282E"/>
    <w:rsid w:val="00F14017"/>
    <w:rsid w:val="00F160C8"/>
    <w:rsid w:val="00F1684C"/>
    <w:rsid w:val="00F17435"/>
    <w:rsid w:val="00F17BCE"/>
    <w:rsid w:val="00F20633"/>
    <w:rsid w:val="00F210B8"/>
    <w:rsid w:val="00F21CB5"/>
    <w:rsid w:val="00F228DB"/>
    <w:rsid w:val="00F23316"/>
    <w:rsid w:val="00F2385F"/>
    <w:rsid w:val="00F23B0A"/>
    <w:rsid w:val="00F23CCC"/>
    <w:rsid w:val="00F24527"/>
    <w:rsid w:val="00F24E11"/>
    <w:rsid w:val="00F25CFE"/>
    <w:rsid w:val="00F26CBF"/>
    <w:rsid w:val="00F27918"/>
    <w:rsid w:val="00F304E8"/>
    <w:rsid w:val="00F30562"/>
    <w:rsid w:val="00F30C80"/>
    <w:rsid w:val="00F3321F"/>
    <w:rsid w:val="00F34B11"/>
    <w:rsid w:val="00F35243"/>
    <w:rsid w:val="00F35D24"/>
    <w:rsid w:val="00F36E9F"/>
    <w:rsid w:val="00F37F2A"/>
    <w:rsid w:val="00F4004A"/>
    <w:rsid w:val="00F40D3A"/>
    <w:rsid w:val="00F40F02"/>
    <w:rsid w:val="00F417A5"/>
    <w:rsid w:val="00F41AEF"/>
    <w:rsid w:val="00F41B19"/>
    <w:rsid w:val="00F41B2F"/>
    <w:rsid w:val="00F420CA"/>
    <w:rsid w:val="00F422A7"/>
    <w:rsid w:val="00F42AE8"/>
    <w:rsid w:val="00F43E6E"/>
    <w:rsid w:val="00F43EBF"/>
    <w:rsid w:val="00F44423"/>
    <w:rsid w:val="00F464D1"/>
    <w:rsid w:val="00F4651D"/>
    <w:rsid w:val="00F46AD4"/>
    <w:rsid w:val="00F46E80"/>
    <w:rsid w:val="00F47A11"/>
    <w:rsid w:val="00F47CE9"/>
    <w:rsid w:val="00F5096E"/>
    <w:rsid w:val="00F50BE6"/>
    <w:rsid w:val="00F51236"/>
    <w:rsid w:val="00F5374C"/>
    <w:rsid w:val="00F537BE"/>
    <w:rsid w:val="00F53B33"/>
    <w:rsid w:val="00F541B8"/>
    <w:rsid w:val="00F563D6"/>
    <w:rsid w:val="00F56B6D"/>
    <w:rsid w:val="00F56CC2"/>
    <w:rsid w:val="00F56F47"/>
    <w:rsid w:val="00F5771A"/>
    <w:rsid w:val="00F60BC0"/>
    <w:rsid w:val="00F617AC"/>
    <w:rsid w:val="00F61B7F"/>
    <w:rsid w:val="00F62370"/>
    <w:rsid w:val="00F628D3"/>
    <w:rsid w:val="00F62D64"/>
    <w:rsid w:val="00F62EF2"/>
    <w:rsid w:val="00F6433D"/>
    <w:rsid w:val="00F64430"/>
    <w:rsid w:val="00F6497E"/>
    <w:rsid w:val="00F64ED1"/>
    <w:rsid w:val="00F66BD7"/>
    <w:rsid w:val="00F677E2"/>
    <w:rsid w:val="00F705D2"/>
    <w:rsid w:val="00F70C9C"/>
    <w:rsid w:val="00F717E6"/>
    <w:rsid w:val="00F71D2E"/>
    <w:rsid w:val="00F7216B"/>
    <w:rsid w:val="00F7264A"/>
    <w:rsid w:val="00F72E5E"/>
    <w:rsid w:val="00F73751"/>
    <w:rsid w:val="00F75EAD"/>
    <w:rsid w:val="00F763CA"/>
    <w:rsid w:val="00F77154"/>
    <w:rsid w:val="00F805F6"/>
    <w:rsid w:val="00F80F33"/>
    <w:rsid w:val="00F8257B"/>
    <w:rsid w:val="00F82D9E"/>
    <w:rsid w:val="00F82FA8"/>
    <w:rsid w:val="00F8308D"/>
    <w:rsid w:val="00F8328B"/>
    <w:rsid w:val="00F8411B"/>
    <w:rsid w:val="00F8442A"/>
    <w:rsid w:val="00F846D6"/>
    <w:rsid w:val="00F85113"/>
    <w:rsid w:val="00F85512"/>
    <w:rsid w:val="00F856EE"/>
    <w:rsid w:val="00F85741"/>
    <w:rsid w:val="00F86130"/>
    <w:rsid w:val="00F871D7"/>
    <w:rsid w:val="00F87607"/>
    <w:rsid w:val="00F87649"/>
    <w:rsid w:val="00F9173A"/>
    <w:rsid w:val="00F91800"/>
    <w:rsid w:val="00F937CF"/>
    <w:rsid w:val="00F93C90"/>
    <w:rsid w:val="00F94A68"/>
    <w:rsid w:val="00F94B81"/>
    <w:rsid w:val="00F94E99"/>
    <w:rsid w:val="00F9650A"/>
    <w:rsid w:val="00F967C7"/>
    <w:rsid w:val="00F9792B"/>
    <w:rsid w:val="00FA0437"/>
    <w:rsid w:val="00FA0DFA"/>
    <w:rsid w:val="00FA233F"/>
    <w:rsid w:val="00FA2E05"/>
    <w:rsid w:val="00FA354E"/>
    <w:rsid w:val="00FA3DF0"/>
    <w:rsid w:val="00FA47AD"/>
    <w:rsid w:val="00FA4AAE"/>
    <w:rsid w:val="00FA61A8"/>
    <w:rsid w:val="00FA6D2D"/>
    <w:rsid w:val="00FA6F8F"/>
    <w:rsid w:val="00FA7166"/>
    <w:rsid w:val="00FA7D57"/>
    <w:rsid w:val="00FB0008"/>
    <w:rsid w:val="00FB071C"/>
    <w:rsid w:val="00FB1557"/>
    <w:rsid w:val="00FB1ACE"/>
    <w:rsid w:val="00FB2144"/>
    <w:rsid w:val="00FB3EA0"/>
    <w:rsid w:val="00FB55F4"/>
    <w:rsid w:val="00FB58D8"/>
    <w:rsid w:val="00FB6548"/>
    <w:rsid w:val="00FB688E"/>
    <w:rsid w:val="00FB7140"/>
    <w:rsid w:val="00FC0365"/>
    <w:rsid w:val="00FC0B63"/>
    <w:rsid w:val="00FC1226"/>
    <w:rsid w:val="00FC15DA"/>
    <w:rsid w:val="00FC2209"/>
    <w:rsid w:val="00FC31A6"/>
    <w:rsid w:val="00FC376A"/>
    <w:rsid w:val="00FC53DD"/>
    <w:rsid w:val="00FC6827"/>
    <w:rsid w:val="00FC7531"/>
    <w:rsid w:val="00FC7950"/>
    <w:rsid w:val="00FC7DD1"/>
    <w:rsid w:val="00FC7EAA"/>
    <w:rsid w:val="00FD17F9"/>
    <w:rsid w:val="00FD21E3"/>
    <w:rsid w:val="00FD2B89"/>
    <w:rsid w:val="00FD4877"/>
    <w:rsid w:val="00FD4FA5"/>
    <w:rsid w:val="00FD5166"/>
    <w:rsid w:val="00FD526A"/>
    <w:rsid w:val="00FD68A6"/>
    <w:rsid w:val="00FD702A"/>
    <w:rsid w:val="00FD758C"/>
    <w:rsid w:val="00FE16CF"/>
    <w:rsid w:val="00FE1F08"/>
    <w:rsid w:val="00FE2170"/>
    <w:rsid w:val="00FE2921"/>
    <w:rsid w:val="00FE3F8B"/>
    <w:rsid w:val="00FE524D"/>
    <w:rsid w:val="00FF05B9"/>
    <w:rsid w:val="00FF05E6"/>
    <w:rsid w:val="00FF08BF"/>
    <w:rsid w:val="00FF0EB1"/>
    <w:rsid w:val="00FF1049"/>
    <w:rsid w:val="00FF156D"/>
    <w:rsid w:val="00FF3529"/>
    <w:rsid w:val="00FF3634"/>
    <w:rsid w:val="00FF3699"/>
    <w:rsid w:val="00FF4408"/>
    <w:rsid w:val="00FF456A"/>
    <w:rsid w:val="00FF46FD"/>
    <w:rsid w:val="00FF6204"/>
    <w:rsid w:val="00FF634D"/>
    <w:rsid w:val="00FF6E79"/>
    <w:rsid w:val="00FF75A4"/>
    <w:rsid w:val="00FF7A9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7A84B59"/>
  <w15:docId w15:val="{8A69245D-C764-4D1E-8E72-08D88C89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3FE"/>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2233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character" w:customStyle="1" w:styleId="Mencinsinresolver1">
    <w:name w:val="Mención sin resolver1"/>
    <w:basedOn w:val="Fuentedeprrafopredeter"/>
    <w:uiPriority w:val="99"/>
    <w:semiHidden/>
    <w:unhideWhenUsed/>
    <w:rsid w:val="002D4C3D"/>
    <w:rPr>
      <w:color w:val="605E5C"/>
      <w:shd w:val="clear" w:color="auto" w:fill="E1DFDD"/>
    </w:rPr>
  </w:style>
  <w:style w:type="paragraph" w:styleId="NormalWeb">
    <w:name w:val="Normal (Web)"/>
    <w:basedOn w:val="Normal"/>
    <w:uiPriority w:val="99"/>
    <w:unhideWhenUsed/>
    <w:rsid w:val="00892B57"/>
    <w:pPr>
      <w:spacing w:before="100" w:beforeAutospacing="1" w:after="100" w:afterAutospacing="1"/>
    </w:pPr>
    <w:rPr>
      <w:sz w:val="24"/>
      <w:szCs w:val="24"/>
      <w:lang w:eastAsia="es-MX"/>
    </w:rPr>
  </w:style>
  <w:style w:type="character" w:customStyle="1" w:styleId="Mencinsinresolver2">
    <w:name w:val="Mención sin resolver2"/>
    <w:basedOn w:val="Fuentedeprrafopredeter"/>
    <w:uiPriority w:val="99"/>
    <w:semiHidden/>
    <w:unhideWhenUsed/>
    <w:rsid w:val="00417F91"/>
    <w:rPr>
      <w:color w:val="605E5C"/>
      <w:shd w:val="clear" w:color="auto" w:fill="E1DFDD"/>
    </w:rPr>
  </w:style>
  <w:style w:type="character" w:customStyle="1" w:styleId="highlight">
    <w:name w:val="highlight"/>
    <w:basedOn w:val="Fuentedeprrafopredeter"/>
    <w:rsid w:val="00ED3886"/>
  </w:style>
  <w:style w:type="character" w:customStyle="1" w:styleId="Mencinsinresolver3">
    <w:name w:val="Mención sin resolver3"/>
    <w:basedOn w:val="Fuentedeprrafopredeter"/>
    <w:uiPriority w:val="99"/>
    <w:semiHidden/>
    <w:unhideWhenUsed/>
    <w:rsid w:val="0064309D"/>
    <w:rPr>
      <w:color w:val="605E5C"/>
      <w:shd w:val="clear" w:color="auto" w:fill="E1DFDD"/>
    </w:rPr>
  </w:style>
  <w:style w:type="character" w:customStyle="1" w:styleId="markkepa15iyi">
    <w:name w:val="markkepa15iyi"/>
    <w:basedOn w:val="Fuentedeprrafopredeter"/>
    <w:rsid w:val="000F019D"/>
  </w:style>
  <w:style w:type="character" w:customStyle="1" w:styleId="marki1hk2yicn">
    <w:name w:val="marki1hk2yicn"/>
    <w:basedOn w:val="Fuentedeprrafopredeter"/>
    <w:rsid w:val="00BF3269"/>
  </w:style>
  <w:style w:type="character" w:customStyle="1" w:styleId="Ttulo2Car">
    <w:name w:val="Título 2 Car"/>
    <w:basedOn w:val="Fuentedeprrafopredeter"/>
    <w:link w:val="Ttulo2"/>
    <w:uiPriority w:val="9"/>
    <w:semiHidden/>
    <w:rsid w:val="00223317"/>
    <w:rPr>
      <w:rFonts w:asciiTheme="majorHAnsi" w:eastAsiaTheme="majorEastAsia" w:hAnsiTheme="majorHAnsi" w:cstheme="majorBidi"/>
      <w:color w:val="2F5496" w:themeColor="accent1" w:themeShade="BF"/>
      <w:sz w:val="26"/>
      <w:szCs w:val="26"/>
      <w:lang w:eastAsia="es-ES"/>
    </w:rPr>
  </w:style>
  <w:style w:type="table" w:customStyle="1" w:styleId="Tablaconcuadrcula1">
    <w:name w:val="Tabla con cuadrícula1"/>
    <w:basedOn w:val="Tablanormal"/>
    <w:next w:val="Tablaconcuadrcula"/>
    <w:uiPriority w:val="39"/>
    <w:rsid w:val="00AB659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061F79"/>
    <w:rPr>
      <w:color w:val="605E5C"/>
      <w:shd w:val="clear" w:color="auto" w:fill="E1DFDD"/>
    </w:rPr>
  </w:style>
  <w:style w:type="paragraph" w:styleId="Revisin">
    <w:name w:val="Revision"/>
    <w:hidden/>
    <w:uiPriority w:val="99"/>
    <w:semiHidden/>
    <w:rsid w:val="000C77BB"/>
    <w:pPr>
      <w:spacing w:after="0" w:line="240" w:lineRule="auto"/>
    </w:pPr>
    <w:rPr>
      <w:rFonts w:ascii="Times New Roman" w:eastAsia="Times New Roman" w:hAnsi="Times New Roman" w:cs="Times New Roman"/>
      <w:sz w:val="20"/>
      <w:szCs w:val="20"/>
      <w:lang w:eastAsia="es-ES"/>
    </w:rPr>
  </w:style>
  <w:style w:type="character" w:customStyle="1" w:styleId="Mencinsinresolver5">
    <w:name w:val="Mención sin resolver5"/>
    <w:basedOn w:val="Fuentedeprrafopredeter"/>
    <w:uiPriority w:val="99"/>
    <w:semiHidden/>
    <w:unhideWhenUsed/>
    <w:rsid w:val="00583A2A"/>
    <w:rPr>
      <w:color w:val="605E5C"/>
      <w:shd w:val="clear" w:color="auto" w:fill="E1DFDD"/>
    </w:rPr>
  </w:style>
  <w:style w:type="character" w:customStyle="1" w:styleId="Mencinsinresolver6">
    <w:name w:val="Mención sin resolver6"/>
    <w:basedOn w:val="Fuentedeprrafopredeter"/>
    <w:uiPriority w:val="99"/>
    <w:semiHidden/>
    <w:unhideWhenUsed/>
    <w:rsid w:val="00550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4574">
      <w:bodyDiv w:val="1"/>
      <w:marLeft w:val="0"/>
      <w:marRight w:val="0"/>
      <w:marTop w:val="0"/>
      <w:marBottom w:val="0"/>
      <w:divBdr>
        <w:top w:val="none" w:sz="0" w:space="0" w:color="auto"/>
        <w:left w:val="none" w:sz="0" w:space="0" w:color="auto"/>
        <w:bottom w:val="none" w:sz="0" w:space="0" w:color="auto"/>
        <w:right w:val="none" w:sz="0" w:space="0" w:color="auto"/>
      </w:divBdr>
    </w:div>
    <w:div w:id="6031142">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0012914">
      <w:bodyDiv w:val="1"/>
      <w:marLeft w:val="0"/>
      <w:marRight w:val="0"/>
      <w:marTop w:val="0"/>
      <w:marBottom w:val="0"/>
      <w:divBdr>
        <w:top w:val="none" w:sz="0" w:space="0" w:color="auto"/>
        <w:left w:val="none" w:sz="0" w:space="0" w:color="auto"/>
        <w:bottom w:val="none" w:sz="0" w:space="0" w:color="auto"/>
        <w:right w:val="none" w:sz="0" w:space="0" w:color="auto"/>
      </w:divBdr>
    </w:div>
    <w:div w:id="20519310">
      <w:bodyDiv w:val="1"/>
      <w:marLeft w:val="0"/>
      <w:marRight w:val="0"/>
      <w:marTop w:val="0"/>
      <w:marBottom w:val="0"/>
      <w:divBdr>
        <w:top w:val="none" w:sz="0" w:space="0" w:color="auto"/>
        <w:left w:val="none" w:sz="0" w:space="0" w:color="auto"/>
        <w:bottom w:val="none" w:sz="0" w:space="0" w:color="auto"/>
        <w:right w:val="none" w:sz="0" w:space="0" w:color="auto"/>
      </w:divBdr>
    </w:div>
    <w:div w:id="21395907">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5328710">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8209279">
      <w:bodyDiv w:val="1"/>
      <w:marLeft w:val="0"/>
      <w:marRight w:val="0"/>
      <w:marTop w:val="0"/>
      <w:marBottom w:val="0"/>
      <w:divBdr>
        <w:top w:val="none" w:sz="0" w:space="0" w:color="auto"/>
        <w:left w:val="none" w:sz="0" w:space="0" w:color="auto"/>
        <w:bottom w:val="none" w:sz="0" w:space="0" w:color="auto"/>
        <w:right w:val="none" w:sz="0" w:space="0" w:color="auto"/>
      </w:divBdr>
    </w:div>
    <w:div w:id="4923704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3743466">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8211555">
      <w:bodyDiv w:val="1"/>
      <w:marLeft w:val="0"/>
      <w:marRight w:val="0"/>
      <w:marTop w:val="0"/>
      <w:marBottom w:val="0"/>
      <w:divBdr>
        <w:top w:val="none" w:sz="0" w:space="0" w:color="auto"/>
        <w:left w:val="none" w:sz="0" w:space="0" w:color="auto"/>
        <w:bottom w:val="none" w:sz="0" w:space="0" w:color="auto"/>
        <w:right w:val="none" w:sz="0" w:space="0" w:color="auto"/>
      </w:divBdr>
    </w:div>
    <w:div w:id="91316940">
      <w:bodyDiv w:val="1"/>
      <w:marLeft w:val="0"/>
      <w:marRight w:val="0"/>
      <w:marTop w:val="0"/>
      <w:marBottom w:val="0"/>
      <w:divBdr>
        <w:top w:val="none" w:sz="0" w:space="0" w:color="auto"/>
        <w:left w:val="none" w:sz="0" w:space="0" w:color="auto"/>
        <w:bottom w:val="none" w:sz="0" w:space="0" w:color="auto"/>
        <w:right w:val="none" w:sz="0" w:space="0" w:color="auto"/>
      </w:divBdr>
    </w:div>
    <w:div w:id="97410603">
      <w:bodyDiv w:val="1"/>
      <w:marLeft w:val="0"/>
      <w:marRight w:val="0"/>
      <w:marTop w:val="0"/>
      <w:marBottom w:val="0"/>
      <w:divBdr>
        <w:top w:val="none" w:sz="0" w:space="0" w:color="auto"/>
        <w:left w:val="none" w:sz="0" w:space="0" w:color="auto"/>
        <w:bottom w:val="none" w:sz="0" w:space="0" w:color="auto"/>
        <w:right w:val="none" w:sz="0" w:space="0" w:color="auto"/>
      </w:divBdr>
    </w:div>
    <w:div w:id="111020081">
      <w:bodyDiv w:val="1"/>
      <w:marLeft w:val="0"/>
      <w:marRight w:val="0"/>
      <w:marTop w:val="0"/>
      <w:marBottom w:val="0"/>
      <w:divBdr>
        <w:top w:val="none" w:sz="0" w:space="0" w:color="auto"/>
        <w:left w:val="none" w:sz="0" w:space="0" w:color="auto"/>
        <w:bottom w:val="none" w:sz="0" w:space="0" w:color="auto"/>
        <w:right w:val="none" w:sz="0" w:space="0" w:color="auto"/>
      </w:divBdr>
    </w:div>
    <w:div w:id="111411498">
      <w:bodyDiv w:val="1"/>
      <w:marLeft w:val="0"/>
      <w:marRight w:val="0"/>
      <w:marTop w:val="0"/>
      <w:marBottom w:val="0"/>
      <w:divBdr>
        <w:top w:val="none" w:sz="0" w:space="0" w:color="auto"/>
        <w:left w:val="none" w:sz="0" w:space="0" w:color="auto"/>
        <w:bottom w:val="none" w:sz="0" w:space="0" w:color="auto"/>
        <w:right w:val="none" w:sz="0" w:space="0" w:color="auto"/>
      </w:divBdr>
    </w:div>
    <w:div w:id="114911407">
      <w:bodyDiv w:val="1"/>
      <w:marLeft w:val="0"/>
      <w:marRight w:val="0"/>
      <w:marTop w:val="0"/>
      <w:marBottom w:val="0"/>
      <w:divBdr>
        <w:top w:val="none" w:sz="0" w:space="0" w:color="auto"/>
        <w:left w:val="none" w:sz="0" w:space="0" w:color="auto"/>
        <w:bottom w:val="none" w:sz="0" w:space="0" w:color="auto"/>
        <w:right w:val="none" w:sz="0" w:space="0" w:color="auto"/>
      </w:divBdr>
    </w:div>
    <w:div w:id="117451023">
      <w:bodyDiv w:val="1"/>
      <w:marLeft w:val="0"/>
      <w:marRight w:val="0"/>
      <w:marTop w:val="0"/>
      <w:marBottom w:val="0"/>
      <w:divBdr>
        <w:top w:val="none" w:sz="0" w:space="0" w:color="auto"/>
        <w:left w:val="none" w:sz="0" w:space="0" w:color="auto"/>
        <w:bottom w:val="none" w:sz="0" w:space="0" w:color="auto"/>
        <w:right w:val="none" w:sz="0" w:space="0" w:color="auto"/>
      </w:divBdr>
    </w:div>
    <w:div w:id="122966366">
      <w:bodyDiv w:val="1"/>
      <w:marLeft w:val="0"/>
      <w:marRight w:val="0"/>
      <w:marTop w:val="0"/>
      <w:marBottom w:val="0"/>
      <w:divBdr>
        <w:top w:val="none" w:sz="0" w:space="0" w:color="auto"/>
        <w:left w:val="none" w:sz="0" w:space="0" w:color="auto"/>
        <w:bottom w:val="none" w:sz="0" w:space="0" w:color="auto"/>
        <w:right w:val="none" w:sz="0" w:space="0" w:color="auto"/>
      </w:divBdr>
    </w:div>
    <w:div w:id="144013463">
      <w:bodyDiv w:val="1"/>
      <w:marLeft w:val="0"/>
      <w:marRight w:val="0"/>
      <w:marTop w:val="0"/>
      <w:marBottom w:val="0"/>
      <w:divBdr>
        <w:top w:val="none" w:sz="0" w:space="0" w:color="auto"/>
        <w:left w:val="none" w:sz="0" w:space="0" w:color="auto"/>
        <w:bottom w:val="none" w:sz="0" w:space="0" w:color="auto"/>
        <w:right w:val="none" w:sz="0" w:space="0" w:color="auto"/>
      </w:divBdr>
    </w:div>
    <w:div w:id="147671851">
      <w:bodyDiv w:val="1"/>
      <w:marLeft w:val="0"/>
      <w:marRight w:val="0"/>
      <w:marTop w:val="0"/>
      <w:marBottom w:val="0"/>
      <w:divBdr>
        <w:top w:val="none" w:sz="0" w:space="0" w:color="auto"/>
        <w:left w:val="none" w:sz="0" w:space="0" w:color="auto"/>
        <w:bottom w:val="none" w:sz="0" w:space="0" w:color="auto"/>
        <w:right w:val="none" w:sz="0" w:space="0" w:color="auto"/>
      </w:divBdr>
    </w:div>
    <w:div w:id="153186728">
      <w:bodyDiv w:val="1"/>
      <w:marLeft w:val="0"/>
      <w:marRight w:val="0"/>
      <w:marTop w:val="0"/>
      <w:marBottom w:val="0"/>
      <w:divBdr>
        <w:top w:val="none" w:sz="0" w:space="0" w:color="auto"/>
        <w:left w:val="none" w:sz="0" w:space="0" w:color="auto"/>
        <w:bottom w:val="none" w:sz="0" w:space="0" w:color="auto"/>
        <w:right w:val="none" w:sz="0" w:space="0" w:color="auto"/>
      </w:divBdr>
    </w:div>
    <w:div w:id="164784453">
      <w:bodyDiv w:val="1"/>
      <w:marLeft w:val="0"/>
      <w:marRight w:val="0"/>
      <w:marTop w:val="0"/>
      <w:marBottom w:val="0"/>
      <w:divBdr>
        <w:top w:val="none" w:sz="0" w:space="0" w:color="auto"/>
        <w:left w:val="none" w:sz="0" w:space="0" w:color="auto"/>
        <w:bottom w:val="none" w:sz="0" w:space="0" w:color="auto"/>
        <w:right w:val="none" w:sz="0" w:space="0" w:color="auto"/>
      </w:divBdr>
    </w:div>
    <w:div w:id="165677767">
      <w:bodyDiv w:val="1"/>
      <w:marLeft w:val="0"/>
      <w:marRight w:val="0"/>
      <w:marTop w:val="0"/>
      <w:marBottom w:val="0"/>
      <w:divBdr>
        <w:top w:val="none" w:sz="0" w:space="0" w:color="auto"/>
        <w:left w:val="none" w:sz="0" w:space="0" w:color="auto"/>
        <w:bottom w:val="none" w:sz="0" w:space="0" w:color="auto"/>
        <w:right w:val="none" w:sz="0" w:space="0" w:color="auto"/>
      </w:divBdr>
    </w:div>
    <w:div w:id="165828851">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9690220">
      <w:bodyDiv w:val="1"/>
      <w:marLeft w:val="0"/>
      <w:marRight w:val="0"/>
      <w:marTop w:val="0"/>
      <w:marBottom w:val="0"/>
      <w:divBdr>
        <w:top w:val="none" w:sz="0" w:space="0" w:color="auto"/>
        <w:left w:val="none" w:sz="0" w:space="0" w:color="auto"/>
        <w:bottom w:val="none" w:sz="0" w:space="0" w:color="auto"/>
        <w:right w:val="none" w:sz="0" w:space="0" w:color="auto"/>
      </w:divBdr>
    </w:div>
    <w:div w:id="215708300">
      <w:bodyDiv w:val="1"/>
      <w:marLeft w:val="0"/>
      <w:marRight w:val="0"/>
      <w:marTop w:val="0"/>
      <w:marBottom w:val="0"/>
      <w:divBdr>
        <w:top w:val="none" w:sz="0" w:space="0" w:color="auto"/>
        <w:left w:val="none" w:sz="0" w:space="0" w:color="auto"/>
        <w:bottom w:val="none" w:sz="0" w:space="0" w:color="auto"/>
        <w:right w:val="none" w:sz="0" w:space="0" w:color="auto"/>
      </w:divBdr>
    </w:div>
    <w:div w:id="217252431">
      <w:bodyDiv w:val="1"/>
      <w:marLeft w:val="0"/>
      <w:marRight w:val="0"/>
      <w:marTop w:val="0"/>
      <w:marBottom w:val="0"/>
      <w:divBdr>
        <w:top w:val="none" w:sz="0" w:space="0" w:color="auto"/>
        <w:left w:val="none" w:sz="0" w:space="0" w:color="auto"/>
        <w:bottom w:val="none" w:sz="0" w:space="0" w:color="auto"/>
        <w:right w:val="none" w:sz="0" w:space="0" w:color="auto"/>
      </w:divBdr>
    </w:div>
    <w:div w:id="225646040">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5821335">
      <w:bodyDiv w:val="1"/>
      <w:marLeft w:val="0"/>
      <w:marRight w:val="0"/>
      <w:marTop w:val="0"/>
      <w:marBottom w:val="0"/>
      <w:divBdr>
        <w:top w:val="none" w:sz="0" w:space="0" w:color="auto"/>
        <w:left w:val="none" w:sz="0" w:space="0" w:color="auto"/>
        <w:bottom w:val="none" w:sz="0" w:space="0" w:color="auto"/>
        <w:right w:val="none" w:sz="0" w:space="0" w:color="auto"/>
      </w:divBdr>
    </w:div>
    <w:div w:id="237323497">
      <w:bodyDiv w:val="1"/>
      <w:marLeft w:val="0"/>
      <w:marRight w:val="0"/>
      <w:marTop w:val="0"/>
      <w:marBottom w:val="0"/>
      <w:divBdr>
        <w:top w:val="none" w:sz="0" w:space="0" w:color="auto"/>
        <w:left w:val="none" w:sz="0" w:space="0" w:color="auto"/>
        <w:bottom w:val="none" w:sz="0" w:space="0" w:color="auto"/>
        <w:right w:val="none" w:sz="0" w:space="0" w:color="auto"/>
      </w:divBdr>
    </w:div>
    <w:div w:id="244460614">
      <w:bodyDiv w:val="1"/>
      <w:marLeft w:val="0"/>
      <w:marRight w:val="0"/>
      <w:marTop w:val="0"/>
      <w:marBottom w:val="0"/>
      <w:divBdr>
        <w:top w:val="none" w:sz="0" w:space="0" w:color="auto"/>
        <w:left w:val="none" w:sz="0" w:space="0" w:color="auto"/>
        <w:bottom w:val="none" w:sz="0" w:space="0" w:color="auto"/>
        <w:right w:val="none" w:sz="0" w:space="0" w:color="auto"/>
      </w:divBdr>
    </w:div>
    <w:div w:id="260576861">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76185302">
      <w:bodyDiv w:val="1"/>
      <w:marLeft w:val="0"/>
      <w:marRight w:val="0"/>
      <w:marTop w:val="0"/>
      <w:marBottom w:val="0"/>
      <w:divBdr>
        <w:top w:val="none" w:sz="0" w:space="0" w:color="auto"/>
        <w:left w:val="none" w:sz="0" w:space="0" w:color="auto"/>
        <w:bottom w:val="none" w:sz="0" w:space="0" w:color="auto"/>
        <w:right w:val="none" w:sz="0" w:space="0" w:color="auto"/>
      </w:divBdr>
    </w:div>
    <w:div w:id="283659888">
      <w:bodyDiv w:val="1"/>
      <w:marLeft w:val="0"/>
      <w:marRight w:val="0"/>
      <w:marTop w:val="0"/>
      <w:marBottom w:val="0"/>
      <w:divBdr>
        <w:top w:val="none" w:sz="0" w:space="0" w:color="auto"/>
        <w:left w:val="none" w:sz="0" w:space="0" w:color="auto"/>
        <w:bottom w:val="none" w:sz="0" w:space="0" w:color="auto"/>
        <w:right w:val="none" w:sz="0" w:space="0" w:color="auto"/>
      </w:divBdr>
    </w:div>
    <w:div w:id="291599536">
      <w:bodyDiv w:val="1"/>
      <w:marLeft w:val="0"/>
      <w:marRight w:val="0"/>
      <w:marTop w:val="0"/>
      <w:marBottom w:val="0"/>
      <w:divBdr>
        <w:top w:val="none" w:sz="0" w:space="0" w:color="auto"/>
        <w:left w:val="none" w:sz="0" w:space="0" w:color="auto"/>
        <w:bottom w:val="none" w:sz="0" w:space="0" w:color="auto"/>
        <w:right w:val="none" w:sz="0" w:space="0" w:color="auto"/>
      </w:divBdr>
    </w:div>
    <w:div w:id="297927316">
      <w:bodyDiv w:val="1"/>
      <w:marLeft w:val="0"/>
      <w:marRight w:val="0"/>
      <w:marTop w:val="0"/>
      <w:marBottom w:val="0"/>
      <w:divBdr>
        <w:top w:val="none" w:sz="0" w:space="0" w:color="auto"/>
        <w:left w:val="none" w:sz="0" w:space="0" w:color="auto"/>
        <w:bottom w:val="none" w:sz="0" w:space="0" w:color="auto"/>
        <w:right w:val="none" w:sz="0" w:space="0" w:color="auto"/>
      </w:divBdr>
    </w:div>
    <w:div w:id="320155914">
      <w:bodyDiv w:val="1"/>
      <w:marLeft w:val="0"/>
      <w:marRight w:val="0"/>
      <w:marTop w:val="0"/>
      <w:marBottom w:val="0"/>
      <w:divBdr>
        <w:top w:val="none" w:sz="0" w:space="0" w:color="auto"/>
        <w:left w:val="none" w:sz="0" w:space="0" w:color="auto"/>
        <w:bottom w:val="none" w:sz="0" w:space="0" w:color="auto"/>
        <w:right w:val="none" w:sz="0" w:space="0" w:color="auto"/>
      </w:divBdr>
    </w:div>
    <w:div w:id="320350282">
      <w:bodyDiv w:val="1"/>
      <w:marLeft w:val="0"/>
      <w:marRight w:val="0"/>
      <w:marTop w:val="0"/>
      <w:marBottom w:val="0"/>
      <w:divBdr>
        <w:top w:val="none" w:sz="0" w:space="0" w:color="auto"/>
        <w:left w:val="none" w:sz="0" w:space="0" w:color="auto"/>
        <w:bottom w:val="none" w:sz="0" w:space="0" w:color="auto"/>
        <w:right w:val="none" w:sz="0" w:space="0" w:color="auto"/>
      </w:divBdr>
    </w:div>
    <w:div w:id="325326094">
      <w:bodyDiv w:val="1"/>
      <w:marLeft w:val="0"/>
      <w:marRight w:val="0"/>
      <w:marTop w:val="0"/>
      <w:marBottom w:val="0"/>
      <w:divBdr>
        <w:top w:val="none" w:sz="0" w:space="0" w:color="auto"/>
        <w:left w:val="none" w:sz="0" w:space="0" w:color="auto"/>
        <w:bottom w:val="none" w:sz="0" w:space="0" w:color="auto"/>
        <w:right w:val="none" w:sz="0" w:space="0" w:color="auto"/>
      </w:divBdr>
    </w:div>
    <w:div w:id="34001519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62096327">
      <w:bodyDiv w:val="1"/>
      <w:marLeft w:val="0"/>
      <w:marRight w:val="0"/>
      <w:marTop w:val="0"/>
      <w:marBottom w:val="0"/>
      <w:divBdr>
        <w:top w:val="none" w:sz="0" w:space="0" w:color="auto"/>
        <w:left w:val="none" w:sz="0" w:space="0" w:color="auto"/>
        <w:bottom w:val="none" w:sz="0" w:space="0" w:color="auto"/>
        <w:right w:val="none" w:sz="0" w:space="0" w:color="auto"/>
      </w:divBdr>
    </w:div>
    <w:div w:id="397439078">
      <w:bodyDiv w:val="1"/>
      <w:marLeft w:val="0"/>
      <w:marRight w:val="0"/>
      <w:marTop w:val="0"/>
      <w:marBottom w:val="0"/>
      <w:divBdr>
        <w:top w:val="none" w:sz="0" w:space="0" w:color="auto"/>
        <w:left w:val="none" w:sz="0" w:space="0" w:color="auto"/>
        <w:bottom w:val="none" w:sz="0" w:space="0" w:color="auto"/>
        <w:right w:val="none" w:sz="0" w:space="0" w:color="auto"/>
      </w:divBdr>
    </w:div>
    <w:div w:id="400254548">
      <w:bodyDiv w:val="1"/>
      <w:marLeft w:val="0"/>
      <w:marRight w:val="0"/>
      <w:marTop w:val="0"/>
      <w:marBottom w:val="0"/>
      <w:divBdr>
        <w:top w:val="none" w:sz="0" w:space="0" w:color="auto"/>
        <w:left w:val="none" w:sz="0" w:space="0" w:color="auto"/>
        <w:bottom w:val="none" w:sz="0" w:space="0" w:color="auto"/>
        <w:right w:val="none" w:sz="0" w:space="0" w:color="auto"/>
      </w:divBdr>
    </w:div>
    <w:div w:id="40399581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0956507">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48087406">
      <w:bodyDiv w:val="1"/>
      <w:marLeft w:val="0"/>
      <w:marRight w:val="0"/>
      <w:marTop w:val="0"/>
      <w:marBottom w:val="0"/>
      <w:divBdr>
        <w:top w:val="none" w:sz="0" w:space="0" w:color="auto"/>
        <w:left w:val="none" w:sz="0" w:space="0" w:color="auto"/>
        <w:bottom w:val="none" w:sz="0" w:space="0" w:color="auto"/>
        <w:right w:val="none" w:sz="0" w:space="0" w:color="auto"/>
      </w:divBdr>
    </w:div>
    <w:div w:id="456527942">
      <w:bodyDiv w:val="1"/>
      <w:marLeft w:val="0"/>
      <w:marRight w:val="0"/>
      <w:marTop w:val="0"/>
      <w:marBottom w:val="0"/>
      <w:divBdr>
        <w:top w:val="none" w:sz="0" w:space="0" w:color="auto"/>
        <w:left w:val="none" w:sz="0" w:space="0" w:color="auto"/>
        <w:bottom w:val="none" w:sz="0" w:space="0" w:color="auto"/>
        <w:right w:val="none" w:sz="0" w:space="0" w:color="auto"/>
      </w:divBdr>
    </w:div>
    <w:div w:id="462895477">
      <w:bodyDiv w:val="1"/>
      <w:marLeft w:val="0"/>
      <w:marRight w:val="0"/>
      <w:marTop w:val="0"/>
      <w:marBottom w:val="0"/>
      <w:divBdr>
        <w:top w:val="none" w:sz="0" w:space="0" w:color="auto"/>
        <w:left w:val="none" w:sz="0" w:space="0" w:color="auto"/>
        <w:bottom w:val="none" w:sz="0" w:space="0" w:color="auto"/>
        <w:right w:val="none" w:sz="0" w:space="0" w:color="auto"/>
      </w:divBdr>
    </w:div>
    <w:div w:id="465436935">
      <w:bodyDiv w:val="1"/>
      <w:marLeft w:val="0"/>
      <w:marRight w:val="0"/>
      <w:marTop w:val="0"/>
      <w:marBottom w:val="0"/>
      <w:divBdr>
        <w:top w:val="none" w:sz="0" w:space="0" w:color="auto"/>
        <w:left w:val="none" w:sz="0" w:space="0" w:color="auto"/>
        <w:bottom w:val="none" w:sz="0" w:space="0" w:color="auto"/>
        <w:right w:val="none" w:sz="0" w:space="0" w:color="auto"/>
      </w:divBdr>
    </w:div>
    <w:div w:id="470945309">
      <w:bodyDiv w:val="1"/>
      <w:marLeft w:val="0"/>
      <w:marRight w:val="0"/>
      <w:marTop w:val="0"/>
      <w:marBottom w:val="0"/>
      <w:divBdr>
        <w:top w:val="none" w:sz="0" w:space="0" w:color="auto"/>
        <w:left w:val="none" w:sz="0" w:space="0" w:color="auto"/>
        <w:bottom w:val="none" w:sz="0" w:space="0" w:color="auto"/>
        <w:right w:val="none" w:sz="0" w:space="0" w:color="auto"/>
      </w:divBdr>
    </w:div>
    <w:div w:id="472721066">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241947">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331365">
      <w:bodyDiv w:val="1"/>
      <w:marLeft w:val="0"/>
      <w:marRight w:val="0"/>
      <w:marTop w:val="0"/>
      <w:marBottom w:val="0"/>
      <w:divBdr>
        <w:top w:val="none" w:sz="0" w:space="0" w:color="auto"/>
        <w:left w:val="none" w:sz="0" w:space="0" w:color="auto"/>
        <w:bottom w:val="none" w:sz="0" w:space="0" w:color="auto"/>
        <w:right w:val="none" w:sz="0" w:space="0" w:color="auto"/>
      </w:divBdr>
    </w:div>
    <w:div w:id="501743853">
      <w:bodyDiv w:val="1"/>
      <w:marLeft w:val="0"/>
      <w:marRight w:val="0"/>
      <w:marTop w:val="0"/>
      <w:marBottom w:val="0"/>
      <w:divBdr>
        <w:top w:val="none" w:sz="0" w:space="0" w:color="auto"/>
        <w:left w:val="none" w:sz="0" w:space="0" w:color="auto"/>
        <w:bottom w:val="none" w:sz="0" w:space="0" w:color="auto"/>
        <w:right w:val="none" w:sz="0" w:space="0" w:color="auto"/>
      </w:divBdr>
    </w:div>
    <w:div w:id="502430357">
      <w:bodyDiv w:val="1"/>
      <w:marLeft w:val="0"/>
      <w:marRight w:val="0"/>
      <w:marTop w:val="0"/>
      <w:marBottom w:val="0"/>
      <w:divBdr>
        <w:top w:val="none" w:sz="0" w:space="0" w:color="auto"/>
        <w:left w:val="none" w:sz="0" w:space="0" w:color="auto"/>
        <w:bottom w:val="none" w:sz="0" w:space="0" w:color="auto"/>
        <w:right w:val="none" w:sz="0" w:space="0" w:color="auto"/>
      </w:divBdr>
    </w:div>
    <w:div w:id="519780503">
      <w:bodyDiv w:val="1"/>
      <w:marLeft w:val="0"/>
      <w:marRight w:val="0"/>
      <w:marTop w:val="0"/>
      <w:marBottom w:val="0"/>
      <w:divBdr>
        <w:top w:val="none" w:sz="0" w:space="0" w:color="auto"/>
        <w:left w:val="none" w:sz="0" w:space="0" w:color="auto"/>
        <w:bottom w:val="none" w:sz="0" w:space="0" w:color="auto"/>
        <w:right w:val="none" w:sz="0" w:space="0" w:color="auto"/>
      </w:divBdr>
    </w:div>
    <w:div w:id="52186674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42211281">
      <w:bodyDiv w:val="1"/>
      <w:marLeft w:val="0"/>
      <w:marRight w:val="0"/>
      <w:marTop w:val="0"/>
      <w:marBottom w:val="0"/>
      <w:divBdr>
        <w:top w:val="none" w:sz="0" w:space="0" w:color="auto"/>
        <w:left w:val="none" w:sz="0" w:space="0" w:color="auto"/>
        <w:bottom w:val="none" w:sz="0" w:space="0" w:color="auto"/>
        <w:right w:val="none" w:sz="0" w:space="0" w:color="auto"/>
      </w:divBdr>
    </w:div>
    <w:div w:id="548421658">
      <w:bodyDiv w:val="1"/>
      <w:marLeft w:val="0"/>
      <w:marRight w:val="0"/>
      <w:marTop w:val="0"/>
      <w:marBottom w:val="0"/>
      <w:divBdr>
        <w:top w:val="none" w:sz="0" w:space="0" w:color="auto"/>
        <w:left w:val="none" w:sz="0" w:space="0" w:color="auto"/>
        <w:bottom w:val="none" w:sz="0" w:space="0" w:color="auto"/>
        <w:right w:val="none" w:sz="0" w:space="0" w:color="auto"/>
      </w:divBdr>
    </w:div>
    <w:div w:id="5526953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3391496">
      <w:bodyDiv w:val="1"/>
      <w:marLeft w:val="0"/>
      <w:marRight w:val="0"/>
      <w:marTop w:val="0"/>
      <w:marBottom w:val="0"/>
      <w:divBdr>
        <w:top w:val="none" w:sz="0" w:space="0" w:color="auto"/>
        <w:left w:val="none" w:sz="0" w:space="0" w:color="auto"/>
        <w:bottom w:val="none" w:sz="0" w:space="0" w:color="auto"/>
        <w:right w:val="none" w:sz="0" w:space="0" w:color="auto"/>
      </w:divBdr>
    </w:div>
    <w:div w:id="559827144">
      <w:bodyDiv w:val="1"/>
      <w:marLeft w:val="0"/>
      <w:marRight w:val="0"/>
      <w:marTop w:val="0"/>
      <w:marBottom w:val="0"/>
      <w:divBdr>
        <w:top w:val="none" w:sz="0" w:space="0" w:color="auto"/>
        <w:left w:val="none" w:sz="0" w:space="0" w:color="auto"/>
        <w:bottom w:val="none" w:sz="0" w:space="0" w:color="auto"/>
        <w:right w:val="none" w:sz="0" w:space="0" w:color="auto"/>
      </w:divBdr>
    </w:div>
    <w:div w:id="561138342">
      <w:bodyDiv w:val="1"/>
      <w:marLeft w:val="0"/>
      <w:marRight w:val="0"/>
      <w:marTop w:val="0"/>
      <w:marBottom w:val="0"/>
      <w:divBdr>
        <w:top w:val="none" w:sz="0" w:space="0" w:color="auto"/>
        <w:left w:val="none" w:sz="0" w:space="0" w:color="auto"/>
        <w:bottom w:val="none" w:sz="0" w:space="0" w:color="auto"/>
        <w:right w:val="none" w:sz="0" w:space="0" w:color="auto"/>
      </w:divBdr>
    </w:div>
    <w:div w:id="584875206">
      <w:bodyDiv w:val="1"/>
      <w:marLeft w:val="0"/>
      <w:marRight w:val="0"/>
      <w:marTop w:val="0"/>
      <w:marBottom w:val="0"/>
      <w:divBdr>
        <w:top w:val="none" w:sz="0" w:space="0" w:color="auto"/>
        <w:left w:val="none" w:sz="0" w:space="0" w:color="auto"/>
        <w:bottom w:val="none" w:sz="0" w:space="0" w:color="auto"/>
        <w:right w:val="none" w:sz="0" w:space="0" w:color="auto"/>
      </w:divBdr>
    </w:div>
    <w:div w:id="596324725">
      <w:bodyDiv w:val="1"/>
      <w:marLeft w:val="0"/>
      <w:marRight w:val="0"/>
      <w:marTop w:val="0"/>
      <w:marBottom w:val="0"/>
      <w:divBdr>
        <w:top w:val="none" w:sz="0" w:space="0" w:color="auto"/>
        <w:left w:val="none" w:sz="0" w:space="0" w:color="auto"/>
        <w:bottom w:val="none" w:sz="0" w:space="0" w:color="auto"/>
        <w:right w:val="none" w:sz="0" w:space="0" w:color="auto"/>
      </w:divBdr>
    </w:div>
    <w:div w:id="601456224">
      <w:bodyDiv w:val="1"/>
      <w:marLeft w:val="0"/>
      <w:marRight w:val="0"/>
      <w:marTop w:val="0"/>
      <w:marBottom w:val="0"/>
      <w:divBdr>
        <w:top w:val="none" w:sz="0" w:space="0" w:color="auto"/>
        <w:left w:val="none" w:sz="0" w:space="0" w:color="auto"/>
        <w:bottom w:val="none" w:sz="0" w:space="0" w:color="auto"/>
        <w:right w:val="none" w:sz="0" w:space="0" w:color="auto"/>
      </w:divBdr>
    </w:div>
    <w:div w:id="617108084">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0698015">
      <w:bodyDiv w:val="1"/>
      <w:marLeft w:val="0"/>
      <w:marRight w:val="0"/>
      <w:marTop w:val="0"/>
      <w:marBottom w:val="0"/>
      <w:divBdr>
        <w:top w:val="none" w:sz="0" w:space="0" w:color="auto"/>
        <w:left w:val="none" w:sz="0" w:space="0" w:color="auto"/>
        <w:bottom w:val="none" w:sz="0" w:space="0" w:color="auto"/>
        <w:right w:val="none" w:sz="0" w:space="0" w:color="auto"/>
      </w:divBdr>
    </w:div>
    <w:div w:id="650866439">
      <w:bodyDiv w:val="1"/>
      <w:marLeft w:val="0"/>
      <w:marRight w:val="0"/>
      <w:marTop w:val="0"/>
      <w:marBottom w:val="0"/>
      <w:divBdr>
        <w:top w:val="none" w:sz="0" w:space="0" w:color="auto"/>
        <w:left w:val="none" w:sz="0" w:space="0" w:color="auto"/>
        <w:bottom w:val="none" w:sz="0" w:space="0" w:color="auto"/>
        <w:right w:val="none" w:sz="0" w:space="0" w:color="auto"/>
      </w:divBdr>
    </w:div>
    <w:div w:id="652292568">
      <w:bodyDiv w:val="1"/>
      <w:marLeft w:val="0"/>
      <w:marRight w:val="0"/>
      <w:marTop w:val="0"/>
      <w:marBottom w:val="0"/>
      <w:divBdr>
        <w:top w:val="none" w:sz="0" w:space="0" w:color="auto"/>
        <w:left w:val="none" w:sz="0" w:space="0" w:color="auto"/>
        <w:bottom w:val="none" w:sz="0" w:space="0" w:color="auto"/>
        <w:right w:val="none" w:sz="0" w:space="0" w:color="auto"/>
      </w:divBdr>
    </w:div>
    <w:div w:id="666788039">
      <w:bodyDiv w:val="1"/>
      <w:marLeft w:val="0"/>
      <w:marRight w:val="0"/>
      <w:marTop w:val="0"/>
      <w:marBottom w:val="0"/>
      <w:divBdr>
        <w:top w:val="none" w:sz="0" w:space="0" w:color="auto"/>
        <w:left w:val="none" w:sz="0" w:space="0" w:color="auto"/>
        <w:bottom w:val="none" w:sz="0" w:space="0" w:color="auto"/>
        <w:right w:val="none" w:sz="0" w:space="0" w:color="auto"/>
      </w:divBdr>
    </w:div>
    <w:div w:id="667485227">
      <w:bodyDiv w:val="1"/>
      <w:marLeft w:val="0"/>
      <w:marRight w:val="0"/>
      <w:marTop w:val="0"/>
      <w:marBottom w:val="0"/>
      <w:divBdr>
        <w:top w:val="none" w:sz="0" w:space="0" w:color="auto"/>
        <w:left w:val="none" w:sz="0" w:space="0" w:color="auto"/>
        <w:bottom w:val="none" w:sz="0" w:space="0" w:color="auto"/>
        <w:right w:val="none" w:sz="0" w:space="0" w:color="auto"/>
      </w:divBdr>
    </w:div>
    <w:div w:id="680855776">
      <w:bodyDiv w:val="1"/>
      <w:marLeft w:val="0"/>
      <w:marRight w:val="0"/>
      <w:marTop w:val="0"/>
      <w:marBottom w:val="0"/>
      <w:divBdr>
        <w:top w:val="none" w:sz="0" w:space="0" w:color="auto"/>
        <w:left w:val="none" w:sz="0" w:space="0" w:color="auto"/>
        <w:bottom w:val="none" w:sz="0" w:space="0" w:color="auto"/>
        <w:right w:val="none" w:sz="0" w:space="0" w:color="auto"/>
      </w:divBdr>
    </w:div>
    <w:div w:id="709257531">
      <w:bodyDiv w:val="1"/>
      <w:marLeft w:val="0"/>
      <w:marRight w:val="0"/>
      <w:marTop w:val="0"/>
      <w:marBottom w:val="0"/>
      <w:divBdr>
        <w:top w:val="none" w:sz="0" w:space="0" w:color="auto"/>
        <w:left w:val="none" w:sz="0" w:space="0" w:color="auto"/>
        <w:bottom w:val="none" w:sz="0" w:space="0" w:color="auto"/>
        <w:right w:val="none" w:sz="0" w:space="0" w:color="auto"/>
      </w:divBdr>
    </w:div>
    <w:div w:id="720054245">
      <w:bodyDiv w:val="1"/>
      <w:marLeft w:val="0"/>
      <w:marRight w:val="0"/>
      <w:marTop w:val="0"/>
      <w:marBottom w:val="0"/>
      <w:divBdr>
        <w:top w:val="none" w:sz="0" w:space="0" w:color="auto"/>
        <w:left w:val="none" w:sz="0" w:space="0" w:color="auto"/>
        <w:bottom w:val="none" w:sz="0" w:space="0" w:color="auto"/>
        <w:right w:val="none" w:sz="0" w:space="0" w:color="auto"/>
      </w:divBdr>
    </w:div>
    <w:div w:id="726563392">
      <w:bodyDiv w:val="1"/>
      <w:marLeft w:val="0"/>
      <w:marRight w:val="0"/>
      <w:marTop w:val="0"/>
      <w:marBottom w:val="0"/>
      <w:divBdr>
        <w:top w:val="none" w:sz="0" w:space="0" w:color="auto"/>
        <w:left w:val="none" w:sz="0" w:space="0" w:color="auto"/>
        <w:bottom w:val="none" w:sz="0" w:space="0" w:color="auto"/>
        <w:right w:val="none" w:sz="0" w:space="0" w:color="auto"/>
      </w:divBdr>
    </w:div>
    <w:div w:id="72903333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352121">
      <w:bodyDiv w:val="1"/>
      <w:marLeft w:val="0"/>
      <w:marRight w:val="0"/>
      <w:marTop w:val="0"/>
      <w:marBottom w:val="0"/>
      <w:divBdr>
        <w:top w:val="none" w:sz="0" w:space="0" w:color="auto"/>
        <w:left w:val="none" w:sz="0" w:space="0" w:color="auto"/>
        <w:bottom w:val="none" w:sz="0" w:space="0" w:color="auto"/>
        <w:right w:val="none" w:sz="0" w:space="0" w:color="auto"/>
      </w:divBdr>
    </w:div>
    <w:div w:id="769741367">
      <w:bodyDiv w:val="1"/>
      <w:marLeft w:val="0"/>
      <w:marRight w:val="0"/>
      <w:marTop w:val="0"/>
      <w:marBottom w:val="0"/>
      <w:divBdr>
        <w:top w:val="none" w:sz="0" w:space="0" w:color="auto"/>
        <w:left w:val="none" w:sz="0" w:space="0" w:color="auto"/>
        <w:bottom w:val="none" w:sz="0" w:space="0" w:color="auto"/>
        <w:right w:val="none" w:sz="0" w:space="0" w:color="auto"/>
      </w:divBdr>
    </w:div>
    <w:div w:id="788621223">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456739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5121265">
      <w:bodyDiv w:val="1"/>
      <w:marLeft w:val="0"/>
      <w:marRight w:val="0"/>
      <w:marTop w:val="0"/>
      <w:marBottom w:val="0"/>
      <w:divBdr>
        <w:top w:val="none" w:sz="0" w:space="0" w:color="auto"/>
        <w:left w:val="none" w:sz="0" w:space="0" w:color="auto"/>
        <w:bottom w:val="none" w:sz="0" w:space="0" w:color="auto"/>
        <w:right w:val="none" w:sz="0" w:space="0" w:color="auto"/>
      </w:divBdr>
    </w:div>
    <w:div w:id="815953115">
      <w:bodyDiv w:val="1"/>
      <w:marLeft w:val="0"/>
      <w:marRight w:val="0"/>
      <w:marTop w:val="0"/>
      <w:marBottom w:val="0"/>
      <w:divBdr>
        <w:top w:val="none" w:sz="0" w:space="0" w:color="auto"/>
        <w:left w:val="none" w:sz="0" w:space="0" w:color="auto"/>
        <w:bottom w:val="none" w:sz="0" w:space="0" w:color="auto"/>
        <w:right w:val="none" w:sz="0" w:space="0" w:color="auto"/>
      </w:divBdr>
    </w:div>
    <w:div w:id="817963406">
      <w:bodyDiv w:val="1"/>
      <w:marLeft w:val="0"/>
      <w:marRight w:val="0"/>
      <w:marTop w:val="0"/>
      <w:marBottom w:val="0"/>
      <w:divBdr>
        <w:top w:val="none" w:sz="0" w:space="0" w:color="auto"/>
        <w:left w:val="none" w:sz="0" w:space="0" w:color="auto"/>
        <w:bottom w:val="none" w:sz="0" w:space="0" w:color="auto"/>
        <w:right w:val="none" w:sz="0" w:space="0" w:color="auto"/>
      </w:divBdr>
    </w:div>
    <w:div w:id="825631671">
      <w:bodyDiv w:val="1"/>
      <w:marLeft w:val="0"/>
      <w:marRight w:val="0"/>
      <w:marTop w:val="0"/>
      <w:marBottom w:val="0"/>
      <w:divBdr>
        <w:top w:val="none" w:sz="0" w:space="0" w:color="auto"/>
        <w:left w:val="none" w:sz="0" w:space="0" w:color="auto"/>
        <w:bottom w:val="none" w:sz="0" w:space="0" w:color="auto"/>
        <w:right w:val="none" w:sz="0" w:space="0" w:color="auto"/>
      </w:divBdr>
    </w:div>
    <w:div w:id="826289898">
      <w:bodyDiv w:val="1"/>
      <w:marLeft w:val="0"/>
      <w:marRight w:val="0"/>
      <w:marTop w:val="0"/>
      <w:marBottom w:val="0"/>
      <w:divBdr>
        <w:top w:val="none" w:sz="0" w:space="0" w:color="auto"/>
        <w:left w:val="none" w:sz="0" w:space="0" w:color="auto"/>
        <w:bottom w:val="none" w:sz="0" w:space="0" w:color="auto"/>
        <w:right w:val="none" w:sz="0" w:space="0" w:color="auto"/>
      </w:divBdr>
    </w:div>
    <w:div w:id="83842694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49298826">
      <w:bodyDiv w:val="1"/>
      <w:marLeft w:val="0"/>
      <w:marRight w:val="0"/>
      <w:marTop w:val="0"/>
      <w:marBottom w:val="0"/>
      <w:divBdr>
        <w:top w:val="none" w:sz="0" w:space="0" w:color="auto"/>
        <w:left w:val="none" w:sz="0" w:space="0" w:color="auto"/>
        <w:bottom w:val="none" w:sz="0" w:space="0" w:color="auto"/>
        <w:right w:val="none" w:sz="0" w:space="0" w:color="auto"/>
      </w:divBdr>
    </w:div>
    <w:div w:id="855197338">
      <w:bodyDiv w:val="1"/>
      <w:marLeft w:val="0"/>
      <w:marRight w:val="0"/>
      <w:marTop w:val="0"/>
      <w:marBottom w:val="0"/>
      <w:divBdr>
        <w:top w:val="none" w:sz="0" w:space="0" w:color="auto"/>
        <w:left w:val="none" w:sz="0" w:space="0" w:color="auto"/>
        <w:bottom w:val="none" w:sz="0" w:space="0" w:color="auto"/>
        <w:right w:val="none" w:sz="0" w:space="0" w:color="auto"/>
      </w:divBdr>
    </w:div>
    <w:div w:id="859393800">
      <w:bodyDiv w:val="1"/>
      <w:marLeft w:val="0"/>
      <w:marRight w:val="0"/>
      <w:marTop w:val="0"/>
      <w:marBottom w:val="0"/>
      <w:divBdr>
        <w:top w:val="none" w:sz="0" w:space="0" w:color="auto"/>
        <w:left w:val="none" w:sz="0" w:space="0" w:color="auto"/>
        <w:bottom w:val="none" w:sz="0" w:space="0" w:color="auto"/>
        <w:right w:val="none" w:sz="0" w:space="0" w:color="auto"/>
      </w:divBdr>
    </w:div>
    <w:div w:id="868034941">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2059932">
      <w:bodyDiv w:val="1"/>
      <w:marLeft w:val="0"/>
      <w:marRight w:val="0"/>
      <w:marTop w:val="0"/>
      <w:marBottom w:val="0"/>
      <w:divBdr>
        <w:top w:val="none" w:sz="0" w:space="0" w:color="auto"/>
        <w:left w:val="none" w:sz="0" w:space="0" w:color="auto"/>
        <w:bottom w:val="none" w:sz="0" w:space="0" w:color="auto"/>
        <w:right w:val="none" w:sz="0" w:space="0" w:color="auto"/>
      </w:divBdr>
    </w:div>
    <w:div w:id="887650429">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97485">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1933088">
      <w:bodyDiv w:val="1"/>
      <w:marLeft w:val="0"/>
      <w:marRight w:val="0"/>
      <w:marTop w:val="0"/>
      <w:marBottom w:val="0"/>
      <w:divBdr>
        <w:top w:val="none" w:sz="0" w:space="0" w:color="auto"/>
        <w:left w:val="none" w:sz="0" w:space="0" w:color="auto"/>
        <w:bottom w:val="none" w:sz="0" w:space="0" w:color="auto"/>
        <w:right w:val="none" w:sz="0" w:space="0" w:color="auto"/>
      </w:divBdr>
    </w:div>
    <w:div w:id="934946919">
      <w:bodyDiv w:val="1"/>
      <w:marLeft w:val="0"/>
      <w:marRight w:val="0"/>
      <w:marTop w:val="0"/>
      <w:marBottom w:val="0"/>
      <w:divBdr>
        <w:top w:val="none" w:sz="0" w:space="0" w:color="auto"/>
        <w:left w:val="none" w:sz="0" w:space="0" w:color="auto"/>
        <w:bottom w:val="none" w:sz="0" w:space="0" w:color="auto"/>
        <w:right w:val="none" w:sz="0" w:space="0" w:color="auto"/>
      </w:divBdr>
    </w:div>
    <w:div w:id="957684912">
      <w:bodyDiv w:val="1"/>
      <w:marLeft w:val="0"/>
      <w:marRight w:val="0"/>
      <w:marTop w:val="0"/>
      <w:marBottom w:val="0"/>
      <w:divBdr>
        <w:top w:val="none" w:sz="0" w:space="0" w:color="auto"/>
        <w:left w:val="none" w:sz="0" w:space="0" w:color="auto"/>
        <w:bottom w:val="none" w:sz="0" w:space="0" w:color="auto"/>
        <w:right w:val="none" w:sz="0" w:space="0" w:color="auto"/>
      </w:divBdr>
    </w:div>
    <w:div w:id="96050035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97878">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998192247">
      <w:bodyDiv w:val="1"/>
      <w:marLeft w:val="0"/>
      <w:marRight w:val="0"/>
      <w:marTop w:val="0"/>
      <w:marBottom w:val="0"/>
      <w:divBdr>
        <w:top w:val="none" w:sz="0" w:space="0" w:color="auto"/>
        <w:left w:val="none" w:sz="0" w:space="0" w:color="auto"/>
        <w:bottom w:val="none" w:sz="0" w:space="0" w:color="auto"/>
        <w:right w:val="none" w:sz="0" w:space="0" w:color="auto"/>
      </w:divBdr>
    </w:div>
    <w:div w:id="1000305818">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711811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79056458">
      <w:bodyDiv w:val="1"/>
      <w:marLeft w:val="0"/>
      <w:marRight w:val="0"/>
      <w:marTop w:val="0"/>
      <w:marBottom w:val="0"/>
      <w:divBdr>
        <w:top w:val="none" w:sz="0" w:space="0" w:color="auto"/>
        <w:left w:val="none" w:sz="0" w:space="0" w:color="auto"/>
        <w:bottom w:val="none" w:sz="0" w:space="0" w:color="auto"/>
        <w:right w:val="none" w:sz="0" w:space="0" w:color="auto"/>
      </w:divBdr>
    </w:div>
    <w:div w:id="1080910287">
      <w:bodyDiv w:val="1"/>
      <w:marLeft w:val="0"/>
      <w:marRight w:val="0"/>
      <w:marTop w:val="0"/>
      <w:marBottom w:val="0"/>
      <w:divBdr>
        <w:top w:val="none" w:sz="0" w:space="0" w:color="auto"/>
        <w:left w:val="none" w:sz="0" w:space="0" w:color="auto"/>
        <w:bottom w:val="none" w:sz="0" w:space="0" w:color="auto"/>
        <w:right w:val="none" w:sz="0" w:space="0" w:color="auto"/>
      </w:divBdr>
    </w:div>
    <w:div w:id="1093404432">
      <w:bodyDiv w:val="1"/>
      <w:marLeft w:val="0"/>
      <w:marRight w:val="0"/>
      <w:marTop w:val="0"/>
      <w:marBottom w:val="0"/>
      <w:divBdr>
        <w:top w:val="none" w:sz="0" w:space="0" w:color="auto"/>
        <w:left w:val="none" w:sz="0" w:space="0" w:color="auto"/>
        <w:bottom w:val="none" w:sz="0" w:space="0" w:color="auto"/>
        <w:right w:val="none" w:sz="0" w:space="0" w:color="auto"/>
      </w:divBdr>
    </w:div>
    <w:div w:id="1108307532">
      <w:bodyDiv w:val="1"/>
      <w:marLeft w:val="0"/>
      <w:marRight w:val="0"/>
      <w:marTop w:val="0"/>
      <w:marBottom w:val="0"/>
      <w:divBdr>
        <w:top w:val="none" w:sz="0" w:space="0" w:color="auto"/>
        <w:left w:val="none" w:sz="0" w:space="0" w:color="auto"/>
        <w:bottom w:val="none" w:sz="0" w:space="0" w:color="auto"/>
        <w:right w:val="none" w:sz="0" w:space="0" w:color="auto"/>
      </w:divBdr>
    </w:div>
    <w:div w:id="1113086872">
      <w:bodyDiv w:val="1"/>
      <w:marLeft w:val="0"/>
      <w:marRight w:val="0"/>
      <w:marTop w:val="0"/>
      <w:marBottom w:val="0"/>
      <w:divBdr>
        <w:top w:val="none" w:sz="0" w:space="0" w:color="auto"/>
        <w:left w:val="none" w:sz="0" w:space="0" w:color="auto"/>
        <w:bottom w:val="none" w:sz="0" w:space="0" w:color="auto"/>
        <w:right w:val="none" w:sz="0" w:space="0" w:color="auto"/>
      </w:divBdr>
    </w:div>
    <w:div w:id="1115707424">
      <w:bodyDiv w:val="1"/>
      <w:marLeft w:val="0"/>
      <w:marRight w:val="0"/>
      <w:marTop w:val="0"/>
      <w:marBottom w:val="0"/>
      <w:divBdr>
        <w:top w:val="none" w:sz="0" w:space="0" w:color="auto"/>
        <w:left w:val="none" w:sz="0" w:space="0" w:color="auto"/>
        <w:bottom w:val="none" w:sz="0" w:space="0" w:color="auto"/>
        <w:right w:val="none" w:sz="0" w:space="0" w:color="auto"/>
      </w:divBdr>
    </w:div>
    <w:div w:id="1122650809">
      <w:bodyDiv w:val="1"/>
      <w:marLeft w:val="0"/>
      <w:marRight w:val="0"/>
      <w:marTop w:val="0"/>
      <w:marBottom w:val="0"/>
      <w:divBdr>
        <w:top w:val="none" w:sz="0" w:space="0" w:color="auto"/>
        <w:left w:val="none" w:sz="0" w:space="0" w:color="auto"/>
        <w:bottom w:val="none" w:sz="0" w:space="0" w:color="auto"/>
        <w:right w:val="none" w:sz="0" w:space="0" w:color="auto"/>
      </w:divBdr>
    </w:div>
    <w:div w:id="1129934164">
      <w:bodyDiv w:val="1"/>
      <w:marLeft w:val="0"/>
      <w:marRight w:val="0"/>
      <w:marTop w:val="0"/>
      <w:marBottom w:val="0"/>
      <w:divBdr>
        <w:top w:val="none" w:sz="0" w:space="0" w:color="auto"/>
        <w:left w:val="none" w:sz="0" w:space="0" w:color="auto"/>
        <w:bottom w:val="none" w:sz="0" w:space="0" w:color="auto"/>
        <w:right w:val="none" w:sz="0" w:space="0" w:color="auto"/>
      </w:divBdr>
    </w:div>
    <w:div w:id="1131098636">
      <w:bodyDiv w:val="1"/>
      <w:marLeft w:val="0"/>
      <w:marRight w:val="0"/>
      <w:marTop w:val="0"/>
      <w:marBottom w:val="0"/>
      <w:divBdr>
        <w:top w:val="none" w:sz="0" w:space="0" w:color="auto"/>
        <w:left w:val="none" w:sz="0" w:space="0" w:color="auto"/>
        <w:bottom w:val="none" w:sz="0" w:space="0" w:color="auto"/>
        <w:right w:val="none" w:sz="0" w:space="0" w:color="auto"/>
      </w:divBdr>
    </w:div>
    <w:div w:id="1133867418">
      <w:bodyDiv w:val="1"/>
      <w:marLeft w:val="0"/>
      <w:marRight w:val="0"/>
      <w:marTop w:val="0"/>
      <w:marBottom w:val="0"/>
      <w:divBdr>
        <w:top w:val="none" w:sz="0" w:space="0" w:color="auto"/>
        <w:left w:val="none" w:sz="0" w:space="0" w:color="auto"/>
        <w:bottom w:val="none" w:sz="0" w:space="0" w:color="auto"/>
        <w:right w:val="none" w:sz="0" w:space="0" w:color="auto"/>
      </w:divBdr>
    </w:div>
    <w:div w:id="1140265941">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5006804">
      <w:bodyDiv w:val="1"/>
      <w:marLeft w:val="0"/>
      <w:marRight w:val="0"/>
      <w:marTop w:val="0"/>
      <w:marBottom w:val="0"/>
      <w:divBdr>
        <w:top w:val="none" w:sz="0" w:space="0" w:color="auto"/>
        <w:left w:val="none" w:sz="0" w:space="0" w:color="auto"/>
        <w:bottom w:val="none" w:sz="0" w:space="0" w:color="auto"/>
        <w:right w:val="none" w:sz="0" w:space="0" w:color="auto"/>
      </w:divBdr>
    </w:div>
    <w:div w:id="114805987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314940">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389786">
      <w:bodyDiv w:val="1"/>
      <w:marLeft w:val="0"/>
      <w:marRight w:val="0"/>
      <w:marTop w:val="0"/>
      <w:marBottom w:val="0"/>
      <w:divBdr>
        <w:top w:val="none" w:sz="0" w:space="0" w:color="auto"/>
        <w:left w:val="none" w:sz="0" w:space="0" w:color="auto"/>
        <w:bottom w:val="none" w:sz="0" w:space="0" w:color="auto"/>
        <w:right w:val="none" w:sz="0" w:space="0" w:color="auto"/>
      </w:divBdr>
    </w:div>
    <w:div w:id="1183857302">
      <w:bodyDiv w:val="1"/>
      <w:marLeft w:val="0"/>
      <w:marRight w:val="0"/>
      <w:marTop w:val="0"/>
      <w:marBottom w:val="0"/>
      <w:divBdr>
        <w:top w:val="none" w:sz="0" w:space="0" w:color="auto"/>
        <w:left w:val="none" w:sz="0" w:space="0" w:color="auto"/>
        <w:bottom w:val="none" w:sz="0" w:space="0" w:color="auto"/>
        <w:right w:val="none" w:sz="0" w:space="0" w:color="auto"/>
      </w:divBdr>
    </w:div>
    <w:div w:id="1193615567">
      <w:bodyDiv w:val="1"/>
      <w:marLeft w:val="0"/>
      <w:marRight w:val="0"/>
      <w:marTop w:val="0"/>
      <w:marBottom w:val="0"/>
      <w:divBdr>
        <w:top w:val="none" w:sz="0" w:space="0" w:color="auto"/>
        <w:left w:val="none" w:sz="0" w:space="0" w:color="auto"/>
        <w:bottom w:val="none" w:sz="0" w:space="0" w:color="auto"/>
        <w:right w:val="none" w:sz="0" w:space="0" w:color="auto"/>
      </w:divBdr>
    </w:div>
    <w:div w:id="1195727829">
      <w:bodyDiv w:val="1"/>
      <w:marLeft w:val="0"/>
      <w:marRight w:val="0"/>
      <w:marTop w:val="0"/>
      <w:marBottom w:val="0"/>
      <w:divBdr>
        <w:top w:val="none" w:sz="0" w:space="0" w:color="auto"/>
        <w:left w:val="none" w:sz="0" w:space="0" w:color="auto"/>
        <w:bottom w:val="none" w:sz="0" w:space="0" w:color="auto"/>
        <w:right w:val="none" w:sz="0" w:space="0" w:color="auto"/>
      </w:divBdr>
    </w:div>
    <w:div w:id="1197231758">
      <w:bodyDiv w:val="1"/>
      <w:marLeft w:val="0"/>
      <w:marRight w:val="0"/>
      <w:marTop w:val="0"/>
      <w:marBottom w:val="0"/>
      <w:divBdr>
        <w:top w:val="none" w:sz="0" w:space="0" w:color="auto"/>
        <w:left w:val="none" w:sz="0" w:space="0" w:color="auto"/>
        <w:bottom w:val="none" w:sz="0" w:space="0" w:color="auto"/>
        <w:right w:val="none" w:sz="0" w:space="0" w:color="auto"/>
      </w:divBdr>
    </w:div>
    <w:div w:id="1202474207">
      <w:bodyDiv w:val="1"/>
      <w:marLeft w:val="0"/>
      <w:marRight w:val="0"/>
      <w:marTop w:val="0"/>
      <w:marBottom w:val="0"/>
      <w:divBdr>
        <w:top w:val="none" w:sz="0" w:space="0" w:color="auto"/>
        <w:left w:val="none" w:sz="0" w:space="0" w:color="auto"/>
        <w:bottom w:val="none" w:sz="0" w:space="0" w:color="auto"/>
        <w:right w:val="none" w:sz="0" w:space="0" w:color="auto"/>
      </w:divBdr>
    </w:div>
    <w:div w:id="1220291356">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40675242">
      <w:bodyDiv w:val="1"/>
      <w:marLeft w:val="0"/>
      <w:marRight w:val="0"/>
      <w:marTop w:val="0"/>
      <w:marBottom w:val="0"/>
      <w:divBdr>
        <w:top w:val="none" w:sz="0" w:space="0" w:color="auto"/>
        <w:left w:val="none" w:sz="0" w:space="0" w:color="auto"/>
        <w:bottom w:val="none" w:sz="0" w:space="0" w:color="auto"/>
        <w:right w:val="none" w:sz="0" w:space="0" w:color="auto"/>
      </w:divBdr>
    </w:div>
    <w:div w:id="1249340197">
      <w:bodyDiv w:val="1"/>
      <w:marLeft w:val="0"/>
      <w:marRight w:val="0"/>
      <w:marTop w:val="0"/>
      <w:marBottom w:val="0"/>
      <w:divBdr>
        <w:top w:val="none" w:sz="0" w:space="0" w:color="auto"/>
        <w:left w:val="none" w:sz="0" w:space="0" w:color="auto"/>
        <w:bottom w:val="none" w:sz="0" w:space="0" w:color="auto"/>
        <w:right w:val="none" w:sz="0" w:space="0" w:color="auto"/>
      </w:divBdr>
    </w:div>
    <w:div w:id="1251157214">
      <w:bodyDiv w:val="1"/>
      <w:marLeft w:val="0"/>
      <w:marRight w:val="0"/>
      <w:marTop w:val="0"/>
      <w:marBottom w:val="0"/>
      <w:divBdr>
        <w:top w:val="none" w:sz="0" w:space="0" w:color="auto"/>
        <w:left w:val="none" w:sz="0" w:space="0" w:color="auto"/>
        <w:bottom w:val="none" w:sz="0" w:space="0" w:color="auto"/>
        <w:right w:val="none" w:sz="0" w:space="0" w:color="auto"/>
      </w:divBdr>
    </w:div>
    <w:div w:id="1251426436">
      <w:bodyDiv w:val="1"/>
      <w:marLeft w:val="0"/>
      <w:marRight w:val="0"/>
      <w:marTop w:val="0"/>
      <w:marBottom w:val="0"/>
      <w:divBdr>
        <w:top w:val="none" w:sz="0" w:space="0" w:color="auto"/>
        <w:left w:val="none" w:sz="0" w:space="0" w:color="auto"/>
        <w:bottom w:val="none" w:sz="0" w:space="0" w:color="auto"/>
        <w:right w:val="none" w:sz="0" w:space="0" w:color="auto"/>
      </w:divBdr>
    </w:div>
    <w:div w:id="1251551027">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4770428">
      <w:bodyDiv w:val="1"/>
      <w:marLeft w:val="0"/>
      <w:marRight w:val="0"/>
      <w:marTop w:val="0"/>
      <w:marBottom w:val="0"/>
      <w:divBdr>
        <w:top w:val="none" w:sz="0" w:space="0" w:color="auto"/>
        <w:left w:val="none" w:sz="0" w:space="0" w:color="auto"/>
        <w:bottom w:val="none" w:sz="0" w:space="0" w:color="auto"/>
        <w:right w:val="none" w:sz="0" w:space="0" w:color="auto"/>
      </w:divBdr>
    </w:div>
    <w:div w:id="1291285365">
      <w:bodyDiv w:val="1"/>
      <w:marLeft w:val="0"/>
      <w:marRight w:val="0"/>
      <w:marTop w:val="0"/>
      <w:marBottom w:val="0"/>
      <w:divBdr>
        <w:top w:val="none" w:sz="0" w:space="0" w:color="auto"/>
        <w:left w:val="none" w:sz="0" w:space="0" w:color="auto"/>
        <w:bottom w:val="none" w:sz="0" w:space="0" w:color="auto"/>
        <w:right w:val="none" w:sz="0" w:space="0" w:color="auto"/>
      </w:divBdr>
    </w:div>
    <w:div w:id="1296838236">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1714513">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29594768">
      <w:bodyDiv w:val="1"/>
      <w:marLeft w:val="0"/>
      <w:marRight w:val="0"/>
      <w:marTop w:val="0"/>
      <w:marBottom w:val="0"/>
      <w:divBdr>
        <w:top w:val="none" w:sz="0" w:space="0" w:color="auto"/>
        <w:left w:val="none" w:sz="0" w:space="0" w:color="auto"/>
        <w:bottom w:val="none" w:sz="0" w:space="0" w:color="auto"/>
        <w:right w:val="none" w:sz="0" w:space="0" w:color="auto"/>
      </w:divBdr>
    </w:div>
    <w:div w:id="134775658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3260948">
      <w:bodyDiv w:val="1"/>
      <w:marLeft w:val="0"/>
      <w:marRight w:val="0"/>
      <w:marTop w:val="0"/>
      <w:marBottom w:val="0"/>
      <w:divBdr>
        <w:top w:val="none" w:sz="0" w:space="0" w:color="auto"/>
        <w:left w:val="none" w:sz="0" w:space="0" w:color="auto"/>
        <w:bottom w:val="none" w:sz="0" w:space="0" w:color="auto"/>
        <w:right w:val="none" w:sz="0" w:space="0" w:color="auto"/>
      </w:divBdr>
    </w:div>
    <w:div w:id="1379937372">
      <w:bodyDiv w:val="1"/>
      <w:marLeft w:val="0"/>
      <w:marRight w:val="0"/>
      <w:marTop w:val="0"/>
      <w:marBottom w:val="0"/>
      <w:divBdr>
        <w:top w:val="none" w:sz="0" w:space="0" w:color="auto"/>
        <w:left w:val="none" w:sz="0" w:space="0" w:color="auto"/>
        <w:bottom w:val="none" w:sz="0" w:space="0" w:color="auto"/>
        <w:right w:val="none" w:sz="0" w:space="0" w:color="auto"/>
      </w:divBdr>
    </w:div>
    <w:div w:id="1380351162">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650448">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158061">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5711043">
      <w:bodyDiv w:val="1"/>
      <w:marLeft w:val="0"/>
      <w:marRight w:val="0"/>
      <w:marTop w:val="0"/>
      <w:marBottom w:val="0"/>
      <w:divBdr>
        <w:top w:val="none" w:sz="0" w:space="0" w:color="auto"/>
        <w:left w:val="none" w:sz="0" w:space="0" w:color="auto"/>
        <w:bottom w:val="none" w:sz="0" w:space="0" w:color="auto"/>
        <w:right w:val="none" w:sz="0" w:space="0" w:color="auto"/>
      </w:divBdr>
    </w:div>
    <w:div w:id="145255696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6483638">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154136">
      <w:bodyDiv w:val="1"/>
      <w:marLeft w:val="0"/>
      <w:marRight w:val="0"/>
      <w:marTop w:val="0"/>
      <w:marBottom w:val="0"/>
      <w:divBdr>
        <w:top w:val="none" w:sz="0" w:space="0" w:color="auto"/>
        <w:left w:val="none" w:sz="0" w:space="0" w:color="auto"/>
        <w:bottom w:val="none" w:sz="0" w:space="0" w:color="auto"/>
        <w:right w:val="none" w:sz="0" w:space="0" w:color="auto"/>
      </w:divBdr>
    </w:div>
    <w:div w:id="1486699329">
      <w:bodyDiv w:val="1"/>
      <w:marLeft w:val="0"/>
      <w:marRight w:val="0"/>
      <w:marTop w:val="0"/>
      <w:marBottom w:val="0"/>
      <w:divBdr>
        <w:top w:val="none" w:sz="0" w:space="0" w:color="auto"/>
        <w:left w:val="none" w:sz="0" w:space="0" w:color="auto"/>
        <w:bottom w:val="none" w:sz="0" w:space="0" w:color="auto"/>
        <w:right w:val="none" w:sz="0" w:space="0" w:color="auto"/>
      </w:divBdr>
    </w:div>
    <w:div w:id="1492792210">
      <w:bodyDiv w:val="1"/>
      <w:marLeft w:val="0"/>
      <w:marRight w:val="0"/>
      <w:marTop w:val="0"/>
      <w:marBottom w:val="0"/>
      <w:divBdr>
        <w:top w:val="none" w:sz="0" w:space="0" w:color="auto"/>
        <w:left w:val="none" w:sz="0" w:space="0" w:color="auto"/>
        <w:bottom w:val="none" w:sz="0" w:space="0" w:color="auto"/>
        <w:right w:val="none" w:sz="0" w:space="0" w:color="auto"/>
      </w:divBdr>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5996134">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2792413">
      <w:bodyDiv w:val="1"/>
      <w:marLeft w:val="0"/>
      <w:marRight w:val="0"/>
      <w:marTop w:val="0"/>
      <w:marBottom w:val="0"/>
      <w:divBdr>
        <w:top w:val="none" w:sz="0" w:space="0" w:color="auto"/>
        <w:left w:val="none" w:sz="0" w:space="0" w:color="auto"/>
        <w:bottom w:val="none" w:sz="0" w:space="0" w:color="auto"/>
        <w:right w:val="none" w:sz="0" w:space="0" w:color="auto"/>
      </w:divBdr>
    </w:div>
    <w:div w:id="1517843208">
      <w:bodyDiv w:val="1"/>
      <w:marLeft w:val="0"/>
      <w:marRight w:val="0"/>
      <w:marTop w:val="0"/>
      <w:marBottom w:val="0"/>
      <w:divBdr>
        <w:top w:val="none" w:sz="0" w:space="0" w:color="auto"/>
        <w:left w:val="none" w:sz="0" w:space="0" w:color="auto"/>
        <w:bottom w:val="none" w:sz="0" w:space="0" w:color="auto"/>
        <w:right w:val="none" w:sz="0" w:space="0" w:color="auto"/>
      </w:divBdr>
    </w:div>
    <w:div w:id="1525900068">
      <w:bodyDiv w:val="1"/>
      <w:marLeft w:val="0"/>
      <w:marRight w:val="0"/>
      <w:marTop w:val="0"/>
      <w:marBottom w:val="0"/>
      <w:divBdr>
        <w:top w:val="none" w:sz="0" w:space="0" w:color="auto"/>
        <w:left w:val="none" w:sz="0" w:space="0" w:color="auto"/>
        <w:bottom w:val="none" w:sz="0" w:space="0" w:color="auto"/>
        <w:right w:val="none" w:sz="0" w:space="0" w:color="auto"/>
      </w:divBdr>
    </w:div>
    <w:div w:id="1526097728">
      <w:bodyDiv w:val="1"/>
      <w:marLeft w:val="0"/>
      <w:marRight w:val="0"/>
      <w:marTop w:val="0"/>
      <w:marBottom w:val="0"/>
      <w:divBdr>
        <w:top w:val="none" w:sz="0" w:space="0" w:color="auto"/>
        <w:left w:val="none" w:sz="0" w:space="0" w:color="auto"/>
        <w:bottom w:val="none" w:sz="0" w:space="0" w:color="auto"/>
        <w:right w:val="none" w:sz="0" w:space="0" w:color="auto"/>
      </w:divBdr>
      <w:divsChild>
        <w:div w:id="813762859">
          <w:marLeft w:val="0"/>
          <w:marRight w:val="0"/>
          <w:marTop w:val="0"/>
          <w:marBottom w:val="0"/>
          <w:divBdr>
            <w:top w:val="none" w:sz="0" w:space="0" w:color="auto"/>
            <w:left w:val="none" w:sz="0" w:space="0" w:color="auto"/>
            <w:bottom w:val="none" w:sz="0" w:space="0" w:color="auto"/>
            <w:right w:val="none" w:sz="0" w:space="0" w:color="auto"/>
          </w:divBdr>
        </w:div>
      </w:divsChild>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08392">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44177025">
      <w:bodyDiv w:val="1"/>
      <w:marLeft w:val="0"/>
      <w:marRight w:val="0"/>
      <w:marTop w:val="0"/>
      <w:marBottom w:val="0"/>
      <w:divBdr>
        <w:top w:val="none" w:sz="0" w:space="0" w:color="auto"/>
        <w:left w:val="none" w:sz="0" w:space="0" w:color="auto"/>
        <w:bottom w:val="none" w:sz="0" w:space="0" w:color="auto"/>
        <w:right w:val="none" w:sz="0" w:space="0" w:color="auto"/>
      </w:divBdr>
    </w:div>
    <w:div w:id="1550338991">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3806884">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74004310">
      <w:bodyDiv w:val="1"/>
      <w:marLeft w:val="0"/>
      <w:marRight w:val="0"/>
      <w:marTop w:val="0"/>
      <w:marBottom w:val="0"/>
      <w:divBdr>
        <w:top w:val="none" w:sz="0" w:space="0" w:color="auto"/>
        <w:left w:val="none" w:sz="0" w:space="0" w:color="auto"/>
        <w:bottom w:val="none" w:sz="0" w:space="0" w:color="auto"/>
        <w:right w:val="none" w:sz="0" w:space="0" w:color="auto"/>
      </w:divBdr>
    </w:div>
    <w:div w:id="1579291262">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3507968">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2997858">
      <w:bodyDiv w:val="1"/>
      <w:marLeft w:val="0"/>
      <w:marRight w:val="0"/>
      <w:marTop w:val="0"/>
      <w:marBottom w:val="0"/>
      <w:divBdr>
        <w:top w:val="none" w:sz="0" w:space="0" w:color="auto"/>
        <w:left w:val="none" w:sz="0" w:space="0" w:color="auto"/>
        <w:bottom w:val="none" w:sz="0" w:space="0" w:color="auto"/>
        <w:right w:val="none" w:sz="0" w:space="0" w:color="auto"/>
      </w:divBdr>
    </w:div>
    <w:div w:id="1644310388">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4065014">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2662352">
      <w:bodyDiv w:val="1"/>
      <w:marLeft w:val="0"/>
      <w:marRight w:val="0"/>
      <w:marTop w:val="0"/>
      <w:marBottom w:val="0"/>
      <w:divBdr>
        <w:top w:val="none" w:sz="0" w:space="0" w:color="auto"/>
        <w:left w:val="none" w:sz="0" w:space="0" w:color="auto"/>
        <w:bottom w:val="none" w:sz="0" w:space="0" w:color="auto"/>
        <w:right w:val="none" w:sz="0" w:space="0" w:color="auto"/>
      </w:divBdr>
    </w:div>
    <w:div w:id="1684281454">
      <w:bodyDiv w:val="1"/>
      <w:marLeft w:val="0"/>
      <w:marRight w:val="0"/>
      <w:marTop w:val="0"/>
      <w:marBottom w:val="0"/>
      <w:divBdr>
        <w:top w:val="none" w:sz="0" w:space="0" w:color="auto"/>
        <w:left w:val="none" w:sz="0" w:space="0" w:color="auto"/>
        <w:bottom w:val="none" w:sz="0" w:space="0" w:color="auto"/>
        <w:right w:val="none" w:sz="0" w:space="0" w:color="auto"/>
      </w:divBdr>
    </w:div>
    <w:div w:id="1686862484">
      <w:bodyDiv w:val="1"/>
      <w:marLeft w:val="0"/>
      <w:marRight w:val="0"/>
      <w:marTop w:val="0"/>
      <w:marBottom w:val="0"/>
      <w:divBdr>
        <w:top w:val="none" w:sz="0" w:space="0" w:color="auto"/>
        <w:left w:val="none" w:sz="0" w:space="0" w:color="auto"/>
        <w:bottom w:val="none" w:sz="0" w:space="0" w:color="auto"/>
        <w:right w:val="none" w:sz="0" w:space="0" w:color="auto"/>
      </w:divBdr>
    </w:div>
    <w:div w:id="1691251586">
      <w:bodyDiv w:val="1"/>
      <w:marLeft w:val="0"/>
      <w:marRight w:val="0"/>
      <w:marTop w:val="0"/>
      <w:marBottom w:val="0"/>
      <w:divBdr>
        <w:top w:val="none" w:sz="0" w:space="0" w:color="auto"/>
        <w:left w:val="none" w:sz="0" w:space="0" w:color="auto"/>
        <w:bottom w:val="none" w:sz="0" w:space="0" w:color="auto"/>
        <w:right w:val="none" w:sz="0" w:space="0" w:color="auto"/>
      </w:divBdr>
    </w:div>
    <w:div w:id="1707411349">
      <w:bodyDiv w:val="1"/>
      <w:marLeft w:val="0"/>
      <w:marRight w:val="0"/>
      <w:marTop w:val="0"/>
      <w:marBottom w:val="0"/>
      <w:divBdr>
        <w:top w:val="none" w:sz="0" w:space="0" w:color="auto"/>
        <w:left w:val="none" w:sz="0" w:space="0" w:color="auto"/>
        <w:bottom w:val="none" w:sz="0" w:space="0" w:color="auto"/>
        <w:right w:val="none" w:sz="0" w:space="0" w:color="auto"/>
      </w:divBdr>
    </w:div>
    <w:div w:id="1707754820">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02033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9305030">
      <w:bodyDiv w:val="1"/>
      <w:marLeft w:val="0"/>
      <w:marRight w:val="0"/>
      <w:marTop w:val="0"/>
      <w:marBottom w:val="0"/>
      <w:divBdr>
        <w:top w:val="none" w:sz="0" w:space="0" w:color="auto"/>
        <w:left w:val="none" w:sz="0" w:space="0" w:color="auto"/>
        <w:bottom w:val="none" w:sz="0" w:space="0" w:color="auto"/>
        <w:right w:val="none" w:sz="0" w:space="0" w:color="auto"/>
      </w:divBdr>
    </w:div>
    <w:div w:id="1730837832">
      <w:bodyDiv w:val="1"/>
      <w:marLeft w:val="0"/>
      <w:marRight w:val="0"/>
      <w:marTop w:val="0"/>
      <w:marBottom w:val="0"/>
      <w:divBdr>
        <w:top w:val="none" w:sz="0" w:space="0" w:color="auto"/>
        <w:left w:val="none" w:sz="0" w:space="0" w:color="auto"/>
        <w:bottom w:val="none" w:sz="0" w:space="0" w:color="auto"/>
        <w:right w:val="none" w:sz="0" w:space="0" w:color="auto"/>
      </w:divBdr>
    </w:div>
    <w:div w:id="1733653092">
      <w:bodyDiv w:val="1"/>
      <w:marLeft w:val="0"/>
      <w:marRight w:val="0"/>
      <w:marTop w:val="0"/>
      <w:marBottom w:val="0"/>
      <w:divBdr>
        <w:top w:val="none" w:sz="0" w:space="0" w:color="auto"/>
        <w:left w:val="none" w:sz="0" w:space="0" w:color="auto"/>
        <w:bottom w:val="none" w:sz="0" w:space="0" w:color="auto"/>
        <w:right w:val="none" w:sz="0" w:space="0" w:color="auto"/>
      </w:divBdr>
    </w:div>
    <w:div w:id="1741520694">
      <w:bodyDiv w:val="1"/>
      <w:marLeft w:val="0"/>
      <w:marRight w:val="0"/>
      <w:marTop w:val="0"/>
      <w:marBottom w:val="0"/>
      <w:divBdr>
        <w:top w:val="none" w:sz="0" w:space="0" w:color="auto"/>
        <w:left w:val="none" w:sz="0" w:space="0" w:color="auto"/>
        <w:bottom w:val="none" w:sz="0" w:space="0" w:color="auto"/>
        <w:right w:val="none" w:sz="0" w:space="0" w:color="auto"/>
      </w:divBdr>
    </w:div>
    <w:div w:id="1744133390">
      <w:bodyDiv w:val="1"/>
      <w:marLeft w:val="0"/>
      <w:marRight w:val="0"/>
      <w:marTop w:val="0"/>
      <w:marBottom w:val="0"/>
      <w:divBdr>
        <w:top w:val="none" w:sz="0" w:space="0" w:color="auto"/>
        <w:left w:val="none" w:sz="0" w:space="0" w:color="auto"/>
        <w:bottom w:val="none" w:sz="0" w:space="0" w:color="auto"/>
        <w:right w:val="none" w:sz="0" w:space="0" w:color="auto"/>
      </w:divBdr>
    </w:div>
    <w:div w:id="1749184135">
      <w:bodyDiv w:val="1"/>
      <w:marLeft w:val="0"/>
      <w:marRight w:val="0"/>
      <w:marTop w:val="0"/>
      <w:marBottom w:val="0"/>
      <w:divBdr>
        <w:top w:val="none" w:sz="0" w:space="0" w:color="auto"/>
        <w:left w:val="none" w:sz="0" w:space="0" w:color="auto"/>
        <w:bottom w:val="none" w:sz="0" w:space="0" w:color="auto"/>
        <w:right w:val="none" w:sz="0" w:space="0" w:color="auto"/>
      </w:divBdr>
    </w:div>
    <w:div w:id="1763528191">
      <w:bodyDiv w:val="1"/>
      <w:marLeft w:val="0"/>
      <w:marRight w:val="0"/>
      <w:marTop w:val="0"/>
      <w:marBottom w:val="0"/>
      <w:divBdr>
        <w:top w:val="none" w:sz="0" w:space="0" w:color="auto"/>
        <w:left w:val="none" w:sz="0" w:space="0" w:color="auto"/>
        <w:bottom w:val="none" w:sz="0" w:space="0" w:color="auto"/>
        <w:right w:val="none" w:sz="0" w:space="0" w:color="auto"/>
      </w:divBdr>
    </w:div>
    <w:div w:id="1777169030">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2718870">
      <w:bodyDiv w:val="1"/>
      <w:marLeft w:val="0"/>
      <w:marRight w:val="0"/>
      <w:marTop w:val="0"/>
      <w:marBottom w:val="0"/>
      <w:divBdr>
        <w:top w:val="none" w:sz="0" w:space="0" w:color="auto"/>
        <w:left w:val="none" w:sz="0" w:space="0" w:color="auto"/>
        <w:bottom w:val="none" w:sz="0" w:space="0" w:color="auto"/>
        <w:right w:val="none" w:sz="0" w:space="0" w:color="auto"/>
      </w:divBdr>
    </w:div>
    <w:div w:id="1784155761">
      <w:bodyDiv w:val="1"/>
      <w:marLeft w:val="0"/>
      <w:marRight w:val="0"/>
      <w:marTop w:val="0"/>
      <w:marBottom w:val="0"/>
      <w:divBdr>
        <w:top w:val="none" w:sz="0" w:space="0" w:color="auto"/>
        <w:left w:val="none" w:sz="0" w:space="0" w:color="auto"/>
        <w:bottom w:val="none" w:sz="0" w:space="0" w:color="auto"/>
        <w:right w:val="none" w:sz="0" w:space="0" w:color="auto"/>
      </w:divBdr>
    </w:div>
    <w:div w:id="1788770413">
      <w:bodyDiv w:val="1"/>
      <w:marLeft w:val="0"/>
      <w:marRight w:val="0"/>
      <w:marTop w:val="0"/>
      <w:marBottom w:val="0"/>
      <w:divBdr>
        <w:top w:val="none" w:sz="0" w:space="0" w:color="auto"/>
        <w:left w:val="none" w:sz="0" w:space="0" w:color="auto"/>
        <w:bottom w:val="none" w:sz="0" w:space="0" w:color="auto"/>
        <w:right w:val="none" w:sz="0" w:space="0" w:color="auto"/>
      </w:divBdr>
    </w:div>
    <w:div w:id="1789854255">
      <w:bodyDiv w:val="1"/>
      <w:marLeft w:val="0"/>
      <w:marRight w:val="0"/>
      <w:marTop w:val="0"/>
      <w:marBottom w:val="0"/>
      <w:divBdr>
        <w:top w:val="none" w:sz="0" w:space="0" w:color="auto"/>
        <w:left w:val="none" w:sz="0" w:space="0" w:color="auto"/>
        <w:bottom w:val="none" w:sz="0" w:space="0" w:color="auto"/>
        <w:right w:val="none" w:sz="0" w:space="0" w:color="auto"/>
      </w:divBdr>
    </w:div>
    <w:div w:id="179085431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5321714">
      <w:bodyDiv w:val="1"/>
      <w:marLeft w:val="0"/>
      <w:marRight w:val="0"/>
      <w:marTop w:val="0"/>
      <w:marBottom w:val="0"/>
      <w:divBdr>
        <w:top w:val="none" w:sz="0" w:space="0" w:color="auto"/>
        <w:left w:val="none" w:sz="0" w:space="0" w:color="auto"/>
        <w:bottom w:val="none" w:sz="0" w:space="0" w:color="auto"/>
        <w:right w:val="none" w:sz="0" w:space="0" w:color="auto"/>
      </w:divBdr>
    </w:div>
    <w:div w:id="1800611910">
      <w:bodyDiv w:val="1"/>
      <w:marLeft w:val="0"/>
      <w:marRight w:val="0"/>
      <w:marTop w:val="0"/>
      <w:marBottom w:val="0"/>
      <w:divBdr>
        <w:top w:val="none" w:sz="0" w:space="0" w:color="auto"/>
        <w:left w:val="none" w:sz="0" w:space="0" w:color="auto"/>
        <w:bottom w:val="none" w:sz="0" w:space="0" w:color="auto"/>
        <w:right w:val="none" w:sz="0" w:space="0" w:color="auto"/>
      </w:divBdr>
    </w:div>
    <w:div w:id="1800997565">
      <w:bodyDiv w:val="1"/>
      <w:marLeft w:val="0"/>
      <w:marRight w:val="0"/>
      <w:marTop w:val="0"/>
      <w:marBottom w:val="0"/>
      <w:divBdr>
        <w:top w:val="none" w:sz="0" w:space="0" w:color="auto"/>
        <w:left w:val="none" w:sz="0" w:space="0" w:color="auto"/>
        <w:bottom w:val="none" w:sz="0" w:space="0" w:color="auto"/>
        <w:right w:val="none" w:sz="0" w:space="0" w:color="auto"/>
      </w:divBdr>
    </w:div>
    <w:div w:id="1802724256">
      <w:bodyDiv w:val="1"/>
      <w:marLeft w:val="0"/>
      <w:marRight w:val="0"/>
      <w:marTop w:val="0"/>
      <w:marBottom w:val="0"/>
      <w:divBdr>
        <w:top w:val="none" w:sz="0" w:space="0" w:color="auto"/>
        <w:left w:val="none" w:sz="0" w:space="0" w:color="auto"/>
        <w:bottom w:val="none" w:sz="0" w:space="0" w:color="auto"/>
        <w:right w:val="none" w:sz="0" w:space="0" w:color="auto"/>
      </w:divBdr>
    </w:div>
    <w:div w:id="1811169551">
      <w:bodyDiv w:val="1"/>
      <w:marLeft w:val="0"/>
      <w:marRight w:val="0"/>
      <w:marTop w:val="0"/>
      <w:marBottom w:val="0"/>
      <w:divBdr>
        <w:top w:val="none" w:sz="0" w:space="0" w:color="auto"/>
        <w:left w:val="none" w:sz="0" w:space="0" w:color="auto"/>
        <w:bottom w:val="none" w:sz="0" w:space="0" w:color="auto"/>
        <w:right w:val="none" w:sz="0" w:space="0" w:color="auto"/>
      </w:divBdr>
    </w:div>
    <w:div w:id="1816558718">
      <w:bodyDiv w:val="1"/>
      <w:marLeft w:val="0"/>
      <w:marRight w:val="0"/>
      <w:marTop w:val="0"/>
      <w:marBottom w:val="0"/>
      <w:divBdr>
        <w:top w:val="none" w:sz="0" w:space="0" w:color="auto"/>
        <w:left w:val="none" w:sz="0" w:space="0" w:color="auto"/>
        <w:bottom w:val="none" w:sz="0" w:space="0" w:color="auto"/>
        <w:right w:val="none" w:sz="0" w:space="0" w:color="auto"/>
      </w:divBdr>
    </w:div>
    <w:div w:id="1817212063">
      <w:bodyDiv w:val="1"/>
      <w:marLeft w:val="0"/>
      <w:marRight w:val="0"/>
      <w:marTop w:val="0"/>
      <w:marBottom w:val="0"/>
      <w:divBdr>
        <w:top w:val="none" w:sz="0" w:space="0" w:color="auto"/>
        <w:left w:val="none" w:sz="0" w:space="0" w:color="auto"/>
        <w:bottom w:val="none" w:sz="0" w:space="0" w:color="auto"/>
        <w:right w:val="none" w:sz="0" w:space="0" w:color="auto"/>
      </w:divBdr>
    </w:div>
    <w:div w:id="1820807551">
      <w:bodyDiv w:val="1"/>
      <w:marLeft w:val="0"/>
      <w:marRight w:val="0"/>
      <w:marTop w:val="0"/>
      <w:marBottom w:val="0"/>
      <w:divBdr>
        <w:top w:val="none" w:sz="0" w:space="0" w:color="auto"/>
        <w:left w:val="none" w:sz="0" w:space="0" w:color="auto"/>
        <w:bottom w:val="none" w:sz="0" w:space="0" w:color="auto"/>
        <w:right w:val="none" w:sz="0" w:space="0" w:color="auto"/>
      </w:divBdr>
    </w:div>
    <w:div w:id="1826625837">
      <w:bodyDiv w:val="1"/>
      <w:marLeft w:val="0"/>
      <w:marRight w:val="0"/>
      <w:marTop w:val="0"/>
      <w:marBottom w:val="0"/>
      <w:divBdr>
        <w:top w:val="none" w:sz="0" w:space="0" w:color="auto"/>
        <w:left w:val="none" w:sz="0" w:space="0" w:color="auto"/>
        <w:bottom w:val="none" w:sz="0" w:space="0" w:color="auto"/>
        <w:right w:val="none" w:sz="0" w:space="0" w:color="auto"/>
      </w:divBdr>
    </w:div>
    <w:div w:id="1831796788">
      <w:bodyDiv w:val="1"/>
      <w:marLeft w:val="0"/>
      <w:marRight w:val="0"/>
      <w:marTop w:val="0"/>
      <w:marBottom w:val="0"/>
      <w:divBdr>
        <w:top w:val="none" w:sz="0" w:space="0" w:color="auto"/>
        <w:left w:val="none" w:sz="0" w:space="0" w:color="auto"/>
        <w:bottom w:val="none" w:sz="0" w:space="0" w:color="auto"/>
        <w:right w:val="none" w:sz="0" w:space="0" w:color="auto"/>
      </w:divBdr>
    </w:div>
    <w:div w:id="184327761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5068896">
      <w:bodyDiv w:val="1"/>
      <w:marLeft w:val="0"/>
      <w:marRight w:val="0"/>
      <w:marTop w:val="0"/>
      <w:marBottom w:val="0"/>
      <w:divBdr>
        <w:top w:val="none" w:sz="0" w:space="0" w:color="auto"/>
        <w:left w:val="none" w:sz="0" w:space="0" w:color="auto"/>
        <w:bottom w:val="none" w:sz="0" w:space="0" w:color="auto"/>
        <w:right w:val="none" w:sz="0" w:space="0" w:color="auto"/>
      </w:divBdr>
    </w:div>
    <w:div w:id="1871840586">
      <w:bodyDiv w:val="1"/>
      <w:marLeft w:val="0"/>
      <w:marRight w:val="0"/>
      <w:marTop w:val="0"/>
      <w:marBottom w:val="0"/>
      <w:divBdr>
        <w:top w:val="none" w:sz="0" w:space="0" w:color="auto"/>
        <w:left w:val="none" w:sz="0" w:space="0" w:color="auto"/>
        <w:bottom w:val="none" w:sz="0" w:space="0" w:color="auto"/>
        <w:right w:val="none" w:sz="0" w:space="0" w:color="auto"/>
      </w:divBdr>
    </w:div>
    <w:div w:id="1874921006">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80123343">
      <w:bodyDiv w:val="1"/>
      <w:marLeft w:val="0"/>
      <w:marRight w:val="0"/>
      <w:marTop w:val="0"/>
      <w:marBottom w:val="0"/>
      <w:divBdr>
        <w:top w:val="none" w:sz="0" w:space="0" w:color="auto"/>
        <w:left w:val="none" w:sz="0" w:space="0" w:color="auto"/>
        <w:bottom w:val="none" w:sz="0" w:space="0" w:color="auto"/>
        <w:right w:val="none" w:sz="0" w:space="0" w:color="auto"/>
      </w:divBdr>
    </w:div>
    <w:div w:id="1880581954">
      <w:bodyDiv w:val="1"/>
      <w:marLeft w:val="0"/>
      <w:marRight w:val="0"/>
      <w:marTop w:val="0"/>
      <w:marBottom w:val="0"/>
      <w:divBdr>
        <w:top w:val="none" w:sz="0" w:space="0" w:color="auto"/>
        <w:left w:val="none" w:sz="0" w:space="0" w:color="auto"/>
        <w:bottom w:val="none" w:sz="0" w:space="0" w:color="auto"/>
        <w:right w:val="none" w:sz="0" w:space="0" w:color="auto"/>
      </w:divBdr>
    </w:div>
    <w:div w:id="1881085123">
      <w:bodyDiv w:val="1"/>
      <w:marLeft w:val="0"/>
      <w:marRight w:val="0"/>
      <w:marTop w:val="0"/>
      <w:marBottom w:val="0"/>
      <w:divBdr>
        <w:top w:val="none" w:sz="0" w:space="0" w:color="auto"/>
        <w:left w:val="none" w:sz="0" w:space="0" w:color="auto"/>
        <w:bottom w:val="none" w:sz="0" w:space="0" w:color="auto"/>
        <w:right w:val="none" w:sz="0" w:space="0" w:color="auto"/>
      </w:divBdr>
    </w:div>
    <w:div w:id="1891500664">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5282900">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0696367">
      <w:bodyDiv w:val="1"/>
      <w:marLeft w:val="0"/>
      <w:marRight w:val="0"/>
      <w:marTop w:val="0"/>
      <w:marBottom w:val="0"/>
      <w:divBdr>
        <w:top w:val="none" w:sz="0" w:space="0" w:color="auto"/>
        <w:left w:val="none" w:sz="0" w:space="0" w:color="auto"/>
        <w:bottom w:val="none" w:sz="0" w:space="0" w:color="auto"/>
        <w:right w:val="none" w:sz="0" w:space="0" w:color="auto"/>
      </w:divBdr>
    </w:div>
    <w:div w:id="1965766633">
      <w:bodyDiv w:val="1"/>
      <w:marLeft w:val="0"/>
      <w:marRight w:val="0"/>
      <w:marTop w:val="0"/>
      <w:marBottom w:val="0"/>
      <w:divBdr>
        <w:top w:val="none" w:sz="0" w:space="0" w:color="auto"/>
        <w:left w:val="none" w:sz="0" w:space="0" w:color="auto"/>
        <w:bottom w:val="none" w:sz="0" w:space="0" w:color="auto"/>
        <w:right w:val="none" w:sz="0" w:space="0" w:color="auto"/>
      </w:divBdr>
    </w:div>
    <w:div w:id="197047265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8791">
      <w:bodyDiv w:val="1"/>
      <w:marLeft w:val="0"/>
      <w:marRight w:val="0"/>
      <w:marTop w:val="0"/>
      <w:marBottom w:val="0"/>
      <w:divBdr>
        <w:top w:val="none" w:sz="0" w:space="0" w:color="auto"/>
        <w:left w:val="none" w:sz="0" w:space="0" w:color="auto"/>
        <w:bottom w:val="none" w:sz="0" w:space="0" w:color="auto"/>
        <w:right w:val="none" w:sz="0" w:space="0" w:color="auto"/>
      </w:divBdr>
    </w:div>
    <w:div w:id="2000189975">
      <w:bodyDiv w:val="1"/>
      <w:marLeft w:val="0"/>
      <w:marRight w:val="0"/>
      <w:marTop w:val="0"/>
      <w:marBottom w:val="0"/>
      <w:divBdr>
        <w:top w:val="none" w:sz="0" w:space="0" w:color="auto"/>
        <w:left w:val="none" w:sz="0" w:space="0" w:color="auto"/>
        <w:bottom w:val="none" w:sz="0" w:space="0" w:color="auto"/>
        <w:right w:val="none" w:sz="0" w:space="0" w:color="auto"/>
      </w:divBdr>
    </w:div>
    <w:div w:id="2003463257">
      <w:bodyDiv w:val="1"/>
      <w:marLeft w:val="0"/>
      <w:marRight w:val="0"/>
      <w:marTop w:val="0"/>
      <w:marBottom w:val="0"/>
      <w:divBdr>
        <w:top w:val="none" w:sz="0" w:space="0" w:color="auto"/>
        <w:left w:val="none" w:sz="0" w:space="0" w:color="auto"/>
        <w:bottom w:val="none" w:sz="0" w:space="0" w:color="auto"/>
        <w:right w:val="none" w:sz="0" w:space="0" w:color="auto"/>
      </w:divBdr>
    </w:div>
    <w:div w:id="2010134586">
      <w:bodyDiv w:val="1"/>
      <w:marLeft w:val="0"/>
      <w:marRight w:val="0"/>
      <w:marTop w:val="0"/>
      <w:marBottom w:val="0"/>
      <w:divBdr>
        <w:top w:val="none" w:sz="0" w:space="0" w:color="auto"/>
        <w:left w:val="none" w:sz="0" w:space="0" w:color="auto"/>
        <w:bottom w:val="none" w:sz="0" w:space="0" w:color="auto"/>
        <w:right w:val="none" w:sz="0" w:space="0" w:color="auto"/>
      </w:divBdr>
    </w:div>
    <w:div w:id="2013680107">
      <w:bodyDiv w:val="1"/>
      <w:marLeft w:val="0"/>
      <w:marRight w:val="0"/>
      <w:marTop w:val="0"/>
      <w:marBottom w:val="0"/>
      <w:divBdr>
        <w:top w:val="none" w:sz="0" w:space="0" w:color="auto"/>
        <w:left w:val="none" w:sz="0" w:space="0" w:color="auto"/>
        <w:bottom w:val="none" w:sz="0" w:space="0" w:color="auto"/>
        <w:right w:val="none" w:sz="0" w:space="0" w:color="auto"/>
      </w:divBdr>
    </w:div>
    <w:div w:id="2017615826">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27367297">
      <w:bodyDiv w:val="1"/>
      <w:marLeft w:val="0"/>
      <w:marRight w:val="0"/>
      <w:marTop w:val="0"/>
      <w:marBottom w:val="0"/>
      <w:divBdr>
        <w:top w:val="none" w:sz="0" w:space="0" w:color="auto"/>
        <w:left w:val="none" w:sz="0" w:space="0" w:color="auto"/>
        <w:bottom w:val="none" w:sz="0" w:space="0" w:color="auto"/>
        <w:right w:val="none" w:sz="0" w:space="0" w:color="auto"/>
      </w:divBdr>
    </w:div>
    <w:div w:id="203988664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4425410">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3387704">
      <w:bodyDiv w:val="1"/>
      <w:marLeft w:val="0"/>
      <w:marRight w:val="0"/>
      <w:marTop w:val="0"/>
      <w:marBottom w:val="0"/>
      <w:divBdr>
        <w:top w:val="none" w:sz="0" w:space="0" w:color="auto"/>
        <w:left w:val="none" w:sz="0" w:space="0" w:color="auto"/>
        <w:bottom w:val="none" w:sz="0" w:space="0" w:color="auto"/>
        <w:right w:val="none" w:sz="0" w:space="0" w:color="auto"/>
      </w:divBdr>
    </w:div>
    <w:div w:id="208348352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4839857">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8430330">
      <w:bodyDiv w:val="1"/>
      <w:marLeft w:val="0"/>
      <w:marRight w:val="0"/>
      <w:marTop w:val="0"/>
      <w:marBottom w:val="0"/>
      <w:divBdr>
        <w:top w:val="none" w:sz="0" w:space="0" w:color="auto"/>
        <w:left w:val="none" w:sz="0" w:space="0" w:color="auto"/>
        <w:bottom w:val="none" w:sz="0" w:space="0" w:color="auto"/>
        <w:right w:val="none" w:sz="0" w:space="0" w:color="auto"/>
      </w:divBdr>
    </w:div>
    <w:div w:id="2132043151">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movilidad.edomex.gob.mx/sites/smovilidad.edomex.gob.mx/files/files/pdf/NORMATECA%20INTERNA_2020.pdf" TargetMode="External"/><Relationship Id="rId13" Type="http://schemas.openxmlformats.org/officeDocument/2006/relationships/hyperlink" Target="https://legislacion.edomex.gob.mx/sites/legislacion.edomex.gob.mx/files/files/pdf/gct/2017/sep083.pdf" TargetMode="External"/><Relationship Id="rId18" Type="http://schemas.openxmlformats.org/officeDocument/2006/relationships/hyperlink" Target="https://legislacion.edomex.gob.mx/sites/legislacion.edomex.gob.mx/files/files/pdf/gct/2011/may133.PDF"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legislacion.edomex.gob.mx/sites/legislacion.edomex.gob.mx/files/files/pdf/gct/2017/jul121.pdf" TargetMode="External"/><Relationship Id="rId17" Type="http://schemas.openxmlformats.org/officeDocument/2006/relationships/hyperlink" Target="https://legislacion.edomex.gob.mx/sites/legislacion.edomex.gob.mx/files/files/pdf/gct/2022/agosto/ago031/ago031f.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egislacion.edomex.gob.mx/sites/legislacion.edomex.gob.mx/files/files/pdf/gct/2015/sep243.pdf" TargetMode="External"/><Relationship Id="rId20" Type="http://schemas.openxmlformats.org/officeDocument/2006/relationships/image" Target="media/image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edomex.gob.mx/sites/legislacion.edomex.gob.mx/files/files/pdf/gct/2015/sep173.pdf"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legislacion.edomex.gob.mx/sites/legislacion.edomex.gob.mx/files/files/vigentes/jul196.PDF"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s://legislacion.edomex.gob.mx/sites/legislacion.edomex.gob.mx/files/files/vigentes/abr153.PDF"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11/may133.PDF" TargetMode="External"/><Relationship Id="rId14" Type="http://schemas.openxmlformats.org/officeDocument/2006/relationships/hyperlink" Target="https://legislacion.edomex.gob.mx/sites/legislacion.edomex.gob.mx/files/files/pdf/gct/2019/may021.pdf" TargetMode="Externa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BB336-9731-4433-AE83-47D03661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6910</Words>
  <Characters>38005</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Oswaldo Hernández</cp:lastModifiedBy>
  <cp:revision>5</cp:revision>
  <cp:lastPrinted>2020-01-16T18:20:00Z</cp:lastPrinted>
  <dcterms:created xsi:type="dcterms:W3CDTF">2023-05-11T16:21:00Z</dcterms:created>
  <dcterms:modified xsi:type="dcterms:W3CDTF">2023-05-18T02:59:00Z</dcterms:modified>
</cp:coreProperties>
</file>