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B7BBFD0" w:rsidR="00662C69" w:rsidRPr="005C021D" w:rsidRDefault="009B11D6" w:rsidP="00B31E90">
      <w:pPr>
        <w:tabs>
          <w:tab w:val="left" w:pos="3465"/>
        </w:tabs>
        <w:spacing w:line="360" w:lineRule="auto"/>
        <w:jc w:val="both"/>
        <w:rPr>
          <w:rFonts w:ascii="Palatino Linotype" w:hAnsi="Palatino Linotype"/>
          <w:color w:val="000000" w:themeColor="text1"/>
        </w:rPr>
      </w:pPr>
      <w:r w:rsidRPr="005C021D">
        <w:rPr>
          <w:rFonts w:ascii="Palatino Linotype" w:hAnsi="Palatino Linotype"/>
          <w:color w:val="000000" w:themeColor="text1"/>
        </w:rPr>
        <w:t>R</w:t>
      </w:r>
      <w:r w:rsidR="00662C69" w:rsidRPr="005C021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C021D">
        <w:rPr>
          <w:rFonts w:ascii="Palatino Linotype" w:hAnsi="Palatino Linotype"/>
          <w:color w:val="000000" w:themeColor="text1"/>
        </w:rPr>
        <w:t>icipios, con</w:t>
      </w:r>
      <w:r w:rsidR="00662C69" w:rsidRPr="005C021D">
        <w:rPr>
          <w:rFonts w:ascii="Palatino Linotype" w:hAnsi="Palatino Linotype"/>
          <w:color w:val="000000" w:themeColor="text1"/>
        </w:rPr>
        <w:t xml:space="preserve"> </w:t>
      </w:r>
      <w:r w:rsidR="00485DB6" w:rsidRPr="005C021D">
        <w:rPr>
          <w:rFonts w:ascii="Palatino Linotype" w:hAnsi="Palatino Linotype"/>
          <w:color w:val="000000" w:themeColor="text1"/>
        </w:rPr>
        <w:t xml:space="preserve">domicilio </w:t>
      </w:r>
      <w:r w:rsidR="00662C69" w:rsidRPr="005C021D">
        <w:rPr>
          <w:rFonts w:ascii="Palatino Linotype" w:hAnsi="Palatino Linotype"/>
          <w:color w:val="000000" w:themeColor="text1"/>
        </w:rPr>
        <w:t xml:space="preserve">en Metepec, Estado de México; de </w:t>
      </w:r>
      <w:r w:rsidR="007B229B" w:rsidRPr="005C021D">
        <w:rPr>
          <w:rFonts w:ascii="Palatino Linotype" w:hAnsi="Palatino Linotype"/>
          <w:color w:val="000000" w:themeColor="text1"/>
        </w:rPr>
        <w:t>cinco (05) de julio</w:t>
      </w:r>
      <w:r w:rsidR="00507D4A" w:rsidRPr="005C021D">
        <w:rPr>
          <w:rFonts w:ascii="Palatino Linotype" w:hAnsi="Palatino Linotype"/>
          <w:color w:val="000000" w:themeColor="text1"/>
        </w:rPr>
        <w:t xml:space="preserve"> de dos mil veintitrés</w:t>
      </w:r>
      <w:r w:rsidR="00662C69" w:rsidRPr="005C021D">
        <w:rPr>
          <w:rFonts w:ascii="Palatino Linotype" w:hAnsi="Palatino Linotype"/>
          <w:color w:val="000000" w:themeColor="text1"/>
        </w:rPr>
        <w:t>.</w:t>
      </w:r>
    </w:p>
    <w:p w14:paraId="1181C59D" w14:textId="77777777" w:rsidR="00B31E90" w:rsidRPr="005C021D" w:rsidRDefault="00B31E90" w:rsidP="00B31E90">
      <w:pPr>
        <w:tabs>
          <w:tab w:val="left" w:pos="3465"/>
        </w:tabs>
        <w:spacing w:line="360" w:lineRule="auto"/>
        <w:jc w:val="both"/>
        <w:rPr>
          <w:rFonts w:ascii="Palatino Linotype" w:hAnsi="Palatino Linotype"/>
          <w:color w:val="000000" w:themeColor="text1"/>
        </w:rPr>
      </w:pPr>
    </w:p>
    <w:p w14:paraId="04F87235" w14:textId="0C96274F" w:rsidR="005F0007" w:rsidRPr="005C021D" w:rsidRDefault="00662C69" w:rsidP="00B31E90">
      <w:pPr>
        <w:spacing w:line="360" w:lineRule="auto"/>
        <w:jc w:val="both"/>
        <w:rPr>
          <w:rFonts w:ascii="Palatino Linotype" w:eastAsia="Times New Roman" w:hAnsi="Palatino Linotype" w:cs="Times New Roman"/>
          <w:color w:val="000000" w:themeColor="text1"/>
        </w:rPr>
      </w:pPr>
      <w:r w:rsidRPr="005C021D">
        <w:rPr>
          <w:rFonts w:ascii="Palatino Linotype" w:hAnsi="Palatino Linotype"/>
          <w:b/>
          <w:color w:val="000000" w:themeColor="text1"/>
        </w:rPr>
        <w:t>VISTO</w:t>
      </w:r>
      <w:r w:rsidRPr="005C021D">
        <w:rPr>
          <w:rFonts w:ascii="Palatino Linotype" w:hAnsi="Palatino Linotype"/>
          <w:color w:val="000000" w:themeColor="text1"/>
        </w:rPr>
        <w:t xml:space="preserve"> </w:t>
      </w:r>
      <w:r w:rsidR="00F25B61" w:rsidRPr="005C021D">
        <w:rPr>
          <w:rFonts w:ascii="Palatino Linotype" w:hAnsi="Palatino Linotype"/>
          <w:color w:val="000000" w:themeColor="text1"/>
        </w:rPr>
        <w:t>el</w:t>
      </w:r>
      <w:r w:rsidRPr="005C021D">
        <w:rPr>
          <w:rFonts w:ascii="Palatino Linotype" w:hAnsi="Palatino Linotype"/>
          <w:color w:val="000000" w:themeColor="text1"/>
        </w:rPr>
        <w:t xml:space="preserve"> expediente electrónico for</w:t>
      </w:r>
      <w:r w:rsidR="00D37494" w:rsidRPr="005C021D">
        <w:rPr>
          <w:rFonts w:ascii="Palatino Linotype" w:hAnsi="Palatino Linotype"/>
          <w:color w:val="000000" w:themeColor="text1"/>
        </w:rPr>
        <w:t>mado con motivo del</w:t>
      </w:r>
      <w:r w:rsidRPr="005C021D">
        <w:rPr>
          <w:rFonts w:ascii="Palatino Linotype" w:hAnsi="Palatino Linotype"/>
          <w:color w:val="000000" w:themeColor="text1"/>
        </w:rPr>
        <w:t xml:space="preserve"> recurso de revisión </w:t>
      </w:r>
      <w:bookmarkStart w:id="0" w:name="_GoBack"/>
      <w:bookmarkEnd w:id="0"/>
      <w:r w:rsidR="007B229B" w:rsidRPr="005C021D">
        <w:rPr>
          <w:rFonts w:ascii="Palatino Linotype" w:hAnsi="Palatino Linotype"/>
          <w:b/>
          <w:bCs/>
          <w:color w:val="000000" w:themeColor="text1"/>
        </w:rPr>
        <w:t>03103/INFOEM/IP/RR/2023</w:t>
      </w:r>
      <w:r w:rsidR="005F1362" w:rsidRPr="005C021D">
        <w:rPr>
          <w:rFonts w:ascii="Palatino Linotype" w:eastAsia="Times New Roman" w:hAnsi="Palatino Linotype" w:cs="Arial"/>
          <w:bCs/>
          <w:color w:val="000000" w:themeColor="text1"/>
        </w:rPr>
        <w:t xml:space="preserve">, </w:t>
      </w:r>
      <w:r w:rsidR="006B31E7" w:rsidRPr="005C021D">
        <w:rPr>
          <w:rFonts w:ascii="Palatino Linotype" w:eastAsia="Times New Roman" w:hAnsi="Palatino Linotype" w:cs="Times New Roman"/>
          <w:color w:val="000000" w:themeColor="text1"/>
        </w:rPr>
        <w:t>interpuesto por</w:t>
      </w:r>
      <w:r w:rsidR="00FD27EA" w:rsidRPr="005C021D">
        <w:rPr>
          <w:rFonts w:ascii="Palatino Linotype" w:eastAsia="Times New Roman" w:hAnsi="Palatino Linotype" w:cs="Times New Roman"/>
          <w:color w:val="000000" w:themeColor="text1"/>
        </w:rPr>
        <w:t xml:space="preserve"> </w:t>
      </w:r>
      <w:r w:rsidR="00367255">
        <w:rPr>
          <w:rFonts w:ascii="Palatino Linotype" w:eastAsia="Times New Roman" w:hAnsi="Palatino Linotype" w:cs="Times New Roman"/>
          <w:b/>
          <w:bCs/>
          <w:color w:val="000000" w:themeColor="text1"/>
        </w:rPr>
        <w:t>XXXX XXXX</w:t>
      </w:r>
      <w:r w:rsidR="004F0BF4" w:rsidRPr="005C021D">
        <w:rPr>
          <w:rFonts w:ascii="Palatino Linotype" w:eastAsia="Times New Roman" w:hAnsi="Palatino Linotype" w:cs="Times New Roman"/>
          <w:color w:val="000000" w:themeColor="text1"/>
        </w:rPr>
        <w:t xml:space="preserve">, en lo sucesivo, </w:t>
      </w:r>
      <w:r w:rsidR="007C3795" w:rsidRPr="005C021D">
        <w:rPr>
          <w:rFonts w:ascii="Palatino Linotype" w:eastAsia="Times New Roman" w:hAnsi="Palatino Linotype" w:cs="Times New Roman"/>
          <w:color w:val="000000" w:themeColor="text1"/>
        </w:rPr>
        <w:t>el</w:t>
      </w:r>
      <w:r w:rsidR="00E92215" w:rsidRPr="005C021D">
        <w:rPr>
          <w:rFonts w:ascii="Palatino Linotype" w:eastAsia="Times New Roman" w:hAnsi="Palatino Linotype" w:cs="Times New Roman"/>
          <w:color w:val="000000" w:themeColor="text1"/>
        </w:rPr>
        <w:t xml:space="preserve"> </w:t>
      </w:r>
      <w:r w:rsidR="006B31E7" w:rsidRPr="005C021D">
        <w:rPr>
          <w:rFonts w:ascii="Palatino Linotype" w:eastAsia="Times New Roman" w:hAnsi="Palatino Linotype" w:cs="Times New Roman"/>
          <w:b/>
          <w:bCs/>
          <w:color w:val="000000" w:themeColor="text1"/>
        </w:rPr>
        <w:t>RECURRENTE</w:t>
      </w:r>
      <w:r w:rsidR="00E647FF" w:rsidRPr="005C021D">
        <w:rPr>
          <w:rFonts w:ascii="Palatino Linotype" w:eastAsia="Times New Roman" w:hAnsi="Palatino Linotype" w:cs="Arial"/>
          <w:color w:val="000000" w:themeColor="text1"/>
        </w:rPr>
        <w:t>;</w:t>
      </w:r>
      <w:r w:rsidR="005F1362" w:rsidRPr="005C021D">
        <w:rPr>
          <w:rFonts w:ascii="Palatino Linotype" w:eastAsia="Times New Roman" w:hAnsi="Palatino Linotype" w:cs="Arial"/>
          <w:color w:val="000000" w:themeColor="text1"/>
        </w:rPr>
        <w:t xml:space="preserve"> en contra de la respuesta del</w:t>
      </w:r>
      <w:r w:rsidR="002C1007" w:rsidRPr="005C021D">
        <w:rPr>
          <w:rFonts w:ascii="Palatino Linotype" w:eastAsia="Times New Roman" w:hAnsi="Palatino Linotype" w:cs="Arial"/>
          <w:color w:val="000000" w:themeColor="text1"/>
        </w:rPr>
        <w:t xml:space="preserve"> </w:t>
      </w:r>
      <w:r w:rsidR="007B229B" w:rsidRPr="005C021D">
        <w:rPr>
          <w:rFonts w:ascii="Palatino Linotype" w:eastAsia="Times New Roman" w:hAnsi="Palatino Linotype" w:cs="Arial"/>
          <w:b/>
          <w:color w:val="000000" w:themeColor="text1"/>
        </w:rPr>
        <w:t>Ayuntamiento de Melchor Ocampo</w:t>
      </w:r>
      <w:r w:rsidR="009572EE" w:rsidRPr="005C021D">
        <w:rPr>
          <w:rFonts w:ascii="Palatino Linotype" w:eastAsia="Calibri" w:hAnsi="Palatino Linotype" w:cs="Arial"/>
          <w:color w:val="000000" w:themeColor="text1"/>
          <w:lang w:val="es-ES"/>
        </w:rPr>
        <w:t>,</w:t>
      </w:r>
      <w:r w:rsidR="005F1362" w:rsidRPr="005C021D">
        <w:rPr>
          <w:rFonts w:ascii="Palatino Linotype" w:eastAsia="Calibri" w:hAnsi="Palatino Linotype" w:cs="Arial"/>
          <w:color w:val="000000" w:themeColor="text1"/>
          <w:lang w:val="es-ES"/>
        </w:rPr>
        <w:t xml:space="preserve"> </w:t>
      </w:r>
      <w:r w:rsidR="00357E36" w:rsidRPr="005C021D">
        <w:rPr>
          <w:rFonts w:ascii="Palatino Linotype" w:eastAsia="Calibri" w:hAnsi="Palatino Linotype" w:cs="Arial"/>
          <w:color w:val="000000" w:themeColor="text1"/>
          <w:lang w:val="es-ES"/>
        </w:rPr>
        <w:t>en adelante</w:t>
      </w:r>
      <w:r w:rsidR="00F17EFA" w:rsidRPr="005C021D">
        <w:rPr>
          <w:rFonts w:ascii="Palatino Linotype" w:eastAsia="Times New Roman" w:hAnsi="Palatino Linotype" w:cs="Times New Roman"/>
          <w:color w:val="000000" w:themeColor="text1"/>
        </w:rPr>
        <w:t xml:space="preserve"> </w:t>
      </w:r>
      <w:r w:rsidR="005F1362" w:rsidRPr="005C021D">
        <w:rPr>
          <w:rFonts w:ascii="Palatino Linotype" w:eastAsia="Times New Roman" w:hAnsi="Palatino Linotype" w:cs="Times New Roman"/>
          <w:color w:val="000000" w:themeColor="text1"/>
        </w:rPr>
        <w:t>el</w:t>
      </w:r>
      <w:r w:rsidR="005F1362" w:rsidRPr="005C021D">
        <w:rPr>
          <w:rFonts w:ascii="Palatino Linotype" w:eastAsia="Times New Roman" w:hAnsi="Palatino Linotype" w:cs="Times New Roman"/>
          <w:b/>
          <w:color w:val="000000" w:themeColor="text1"/>
        </w:rPr>
        <w:t xml:space="preserve"> SUJETO OBLIGADO</w:t>
      </w:r>
      <w:r w:rsidR="005F1362" w:rsidRPr="005C021D">
        <w:rPr>
          <w:rFonts w:ascii="Palatino Linotype" w:eastAsia="Times New Roman" w:hAnsi="Palatino Linotype" w:cs="Times New Roman"/>
          <w:color w:val="000000" w:themeColor="text1"/>
        </w:rPr>
        <w:t>,</w:t>
      </w:r>
      <w:r w:rsidR="005F1362" w:rsidRPr="005C021D">
        <w:rPr>
          <w:rFonts w:ascii="Palatino Linotype" w:eastAsia="Times New Roman" w:hAnsi="Palatino Linotype" w:cs="Times New Roman"/>
          <w:b/>
          <w:color w:val="000000" w:themeColor="text1"/>
        </w:rPr>
        <w:t xml:space="preserve"> </w:t>
      </w:r>
      <w:r w:rsidR="005F1362" w:rsidRPr="005C021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C021D" w:rsidRDefault="009A593A" w:rsidP="00B31E90">
      <w:pPr>
        <w:spacing w:line="360" w:lineRule="auto"/>
        <w:jc w:val="both"/>
        <w:rPr>
          <w:rFonts w:ascii="Palatino Linotype" w:hAnsi="Palatino Linotype"/>
          <w:b/>
          <w:color w:val="000000" w:themeColor="text1"/>
        </w:rPr>
      </w:pPr>
    </w:p>
    <w:p w14:paraId="769E1410" w14:textId="395F5B5E" w:rsidR="00587366" w:rsidRPr="005C021D" w:rsidRDefault="00662C69" w:rsidP="00B31E90">
      <w:pPr>
        <w:pStyle w:val="Ttulo1"/>
        <w:spacing w:before="0" w:line="360" w:lineRule="auto"/>
        <w:jc w:val="center"/>
        <w:rPr>
          <w:b/>
          <w:color w:val="000000" w:themeColor="text1"/>
        </w:rPr>
      </w:pPr>
      <w:bookmarkStart w:id="1" w:name="_Toc461555884"/>
      <w:bookmarkStart w:id="2" w:name="_Toc466371847"/>
      <w:bookmarkStart w:id="3" w:name="_Toc88071776"/>
      <w:r w:rsidRPr="005C021D">
        <w:rPr>
          <w:b/>
          <w:color w:val="000000" w:themeColor="text1"/>
        </w:rPr>
        <w:t>ANTECEDENTES</w:t>
      </w:r>
      <w:bookmarkEnd w:id="1"/>
      <w:bookmarkEnd w:id="2"/>
      <w:bookmarkEnd w:id="3"/>
    </w:p>
    <w:p w14:paraId="5672105D" w14:textId="77777777" w:rsidR="00B31E90" w:rsidRPr="005C021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10E3981" w:rsidR="00D9392E" w:rsidRPr="005C021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021D">
        <w:rPr>
          <w:rFonts w:ascii="Palatino Linotype" w:eastAsia="Calibri" w:hAnsi="Palatino Linotype" w:cs="Arial"/>
          <w:color w:val="000000" w:themeColor="text1"/>
          <w:lang w:val="es-ES"/>
        </w:rPr>
        <w:t>El</w:t>
      </w:r>
      <w:r w:rsidR="00D9392E" w:rsidRPr="005C021D">
        <w:rPr>
          <w:rFonts w:ascii="Palatino Linotype" w:eastAsia="Calibri" w:hAnsi="Palatino Linotype" w:cs="Arial"/>
          <w:color w:val="000000" w:themeColor="text1"/>
          <w:lang w:val="es-ES"/>
        </w:rPr>
        <w:t xml:space="preserve"> </w:t>
      </w:r>
      <w:r w:rsidR="007B229B" w:rsidRPr="005C021D">
        <w:rPr>
          <w:rFonts w:ascii="Palatino Linotype" w:eastAsia="Calibri" w:hAnsi="Palatino Linotype" w:cs="Arial"/>
          <w:color w:val="000000" w:themeColor="text1"/>
          <w:lang w:val="es-ES"/>
        </w:rPr>
        <w:t>veinticinco (25) de mayo</w:t>
      </w:r>
      <w:r w:rsidR="00575376" w:rsidRPr="005C021D">
        <w:rPr>
          <w:rFonts w:ascii="Palatino Linotype" w:eastAsia="Calibri" w:hAnsi="Palatino Linotype" w:cs="Arial"/>
          <w:color w:val="000000" w:themeColor="text1"/>
          <w:lang w:val="es-ES"/>
        </w:rPr>
        <w:t xml:space="preserve"> de dos mil veintitrés</w:t>
      </w:r>
      <w:r w:rsidR="005F1362" w:rsidRPr="005C021D">
        <w:rPr>
          <w:rFonts w:ascii="Palatino Linotype" w:eastAsia="Calibri" w:hAnsi="Palatino Linotype" w:cs="Arial"/>
          <w:color w:val="000000" w:themeColor="text1"/>
          <w:lang w:val="es-ES"/>
        </w:rPr>
        <w:t xml:space="preserve">, </w:t>
      </w:r>
      <w:r w:rsidR="00575376" w:rsidRPr="005C021D">
        <w:rPr>
          <w:rFonts w:ascii="Palatino Linotype" w:eastAsia="Calibri" w:hAnsi="Palatino Linotype" w:cs="Arial"/>
          <w:color w:val="000000" w:themeColor="text1"/>
          <w:lang w:val="es-ES"/>
        </w:rPr>
        <w:t>e</w:t>
      </w:r>
      <w:r w:rsidR="004F0BF4" w:rsidRPr="005C021D">
        <w:rPr>
          <w:rFonts w:ascii="Palatino Linotype" w:eastAsia="Calibri" w:hAnsi="Palatino Linotype" w:cs="Arial"/>
          <w:color w:val="000000" w:themeColor="text1"/>
          <w:lang w:val="es-ES"/>
        </w:rPr>
        <w:t>l</w:t>
      </w:r>
      <w:r w:rsidR="00FE159E" w:rsidRPr="005C021D">
        <w:rPr>
          <w:rFonts w:ascii="Palatino Linotype" w:eastAsia="Calibri" w:hAnsi="Palatino Linotype" w:cs="Arial"/>
          <w:color w:val="000000" w:themeColor="text1"/>
          <w:lang w:val="es-ES"/>
        </w:rPr>
        <w:t xml:space="preserve"> particular</w:t>
      </w:r>
      <w:r w:rsidR="005F1362" w:rsidRPr="005C021D">
        <w:rPr>
          <w:rFonts w:ascii="Palatino Linotype" w:hAnsi="Palatino Linotype"/>
          <w:color w:val="000000" w:themeColor="text1"/>
        </w:rPr>
        <w:t xml:space="preserve"> presentó</w:t>
      </w:r>
      <w:r w:rsidR="005F1362" w:rsidRPr="005C021D">
        <w:rPr>
          <w:rFonts w:ascii="Palatino Linotype" w:hAnsi="Palatino Linotype"/>
          <w:b/>
          <w:color w:val="000000" w:themeColor="text1"/>
        </w:rPr>
        <w:t xml:space="preserve"> </w:t>
      </w:r>
      <w:r w:rsidR="00127E68" w:rsidRPr="005C021D">
        <w:rPr>
          <w:rFonts w:ascii="Palatino Linotype" w:hAnsi="Palatino Linotype"/>
          <w:bCs/>
          <w:color w:val="000000" w:themeColor="text1"/>
        </w:rPr>
        <w:t xml:space="preserve">a través </w:t>
      </w:r>
      <w:r w:rsidR="00575376" w:rsidRPr="005C021D">
        <w:rPr>
          <w:rFonts w:ascii="Palatino Linotype" w:hAnsi="Palatino Linotype"/>
          <w:bCs/>
          <w:color w:val="000000" w:themeColor="text1"/>
        </w:rPr>
        <w:t>del</w:t>
      </w:r>
      <w:r w:rsidR="00DE4F75" w:rsidRPr="005C021D">
        <w:rPr>
          <w:rFonts w:ascii="Palatino Linotype" w:hAnsi="Palatino Linotype"/>
          <w:bCs/>
          <w:color w:val="000000" w:themeColor="text1"/>
        </w:rPr>
        <w:t xml:space="preserve"> </w:t>
      </w:r>
      <w:r w:rsidR="004F0BF4" w:rsidRPr="005C021D">
        <w:rPr>
          <w:rFonts w:ascii="Palatino Linotype" w:eastAsia="Calibri" w:hAnsi="Palatino Linotype" w:cs="Arial"/>
          <w:color w:val="000000" w:themeColor="text1"/>
          <w:lang w:val="es-ES"/>
        </w:rPr>
        <w:t>Sistema de Acceso a la Información Mexiquense (SAIMEX)</w:t>
      </w:r>
      <w:r w:rsidR="005F1362" w:rsidRPr="005C021D">
        <w:rPr>
          <w:rFonts w:ascii="Palatino Linotype" w:eastAsia="Calibri" w:hAnsi="Palatino Linotype" w:cs="Arial"/>
          <w:color w:val="000000" w:themeColor="text1"/>
          <w:lang w:val="es-ES"/>
        </w:rPr>
        <w:t>, la solicitud de información pública registrada</w:t>
      </w:r>
      <w:r w:rsidR="00772245" w:rsidRPr="005C021D">
        <w:rPr>
          <w:rFonts w:ascii="Palatino Linotype" w:eastAsia="Calibri" w:hAnsi="Palatino Linotype" w:cs="Arial"/>
          <w:color w:val="000000" w:themeColor="text1"/>
          <w:lang w:val="es-ES"/>
        </w:rPr>
        <w:t xml:space="preserve"> con </w:t>
      </w:r>
      <w:r w:rsidR="00F25B61" w:rsidRPr="005C021D">
        <w:rPr>
          <w:rFonts w:ascii="Palatino Linotype" w:eastAsia="Calibri" w:hAnsi="Palatino Linotype" w:cs="Arial"/>
          <w:color w:val="000000" w:themeColor="text1"/>
          <w:lang w:val="es-ES"/>
        </w:rPr>
        <w:t>el</w:t>
      </w:r>
      <w:r w:rsidR="005F1362" w:rsidRPr="005C021D">
        <w:rPr>
          <w:rFonts w:ascii="Palatino Linotype" w:eastAsia="Calibri" w:hAnsi="Palatino Linotype" w:cs="Arial"/>
          <w:color w:val="000000" w:themeColor="text1"/>
          <w:lang w:val="es-ES"/>
        </w:rPr>
        <w:t xml:space="preserve"> número</w:t>
      </w:r>
      <w:r w:rsidR="00772245" w:rsidRPr="005C021D">
        <w:rPr>
          <w:rFonts w:ascii="Palatino Linotype" w:eastAsia="Calibri" w:hAnsi="Palatino Linotype" w:cs="Arial"/>
          <w:color w:val="000000" w:themeColor="text1"/>
          <w:lang w:val="es-ES"/>
        </w:rPr>
        <w:t xml:space="preserve"> </w:t>
      </w:r>
      <w:r w:rsidR="007B229B" w:rsidRPr="005C021D">
        <w:rPr>
          <w:rFonts w:ascii="Palatino Linotype" w:eastAsia="Calibri" w:hAnsi="Palatino Linotype" w:cs="Arial"/>
          <w:b/>
          <w:color w:val="000000" w:themeColor="text1"/>
          <w:lang w:val="es-ES"/>
        </w:rPr>
        <w:t>00121/MELOCAM/IP/2023</w:t>
      </w:r>
      <w:r w:rsidR="005F1362" w:rsidRPr="005C021D">
        <w:rPr>
          <w:rFonts w:ascii="Palatino Linotype" w:hAnsi="Palatino Linotype"/>
          <w:b/>
          <w:bCs/>
          <w:color w:val="000000" w:themeColor="text1"/>
        </w:rPr>
        <w:t>,</w:t>
      </w:r>
      <w:r w:rsidR="00F25B61" w:rsidRPr="005C021D">
        <w:rPr>
          <w:rFonts w:ascii="Palatino Linotype" w:eastAsia="Calibri" w:hAnsi="Palatino Linotype" w:cs="Arial"/>
          <w:color w:val="000000" w:themeColor="text1"/>
          <w:lang w:val="es-ES"/>
        </w:rPr>
        <w:t xml:space="preserve"> mediante la</w:t>
      </w:r>
      <w:r w:rsidR="00772245" w:rsidRPr="005C021D">
        <w:rPr>
          <w:rFonts w:ascii="Palatino Linotype" w:eastAsia="Calibri" w:hAnsi="Palatino Linotype" w:cs="Arial"/>
          <w:color w:val="000000" w:themeColor="text1"/>
          <w:lang w:val="es-ES"/>
        </w:rPr>
        <w:t xml:space="preserve"> que </w:t>
      </w:r>
      <w:r w:rsidR="005F1362" w:rsidRPr="005C021D">
        <w:rPr>
          <w:rFonts w:ascii="Palatino Linotype" w:eastAsia="Calibri" w:hAnsi="Palatino Linotype" w:cs="Arial"/>
          <w:color w:val="000000" w:themeColor="text1"/>
          <w:lang w:val="es-ES"/>
        </w:rPr>
        <w:t>requirió</w:t>
      </w:r>
      <w:r w:rsidR="00022D89" w:rsidRPr="005C021D">
        <w:rPr>
          <w:rFonts w:ascii="Palatino Linotype" w:eastAsia="Calibri" w:hAnsi="Palatino Linotype" w:cs="Arial"/>
          <w:color w:val="000000" w:themeColor="text1"/>
          <w:lang w:val="es-ES"/>
        </w:rPr>
        <w:t xml:space="preserve"> lo siguiente</w:t>
      </w:r>
      <w:r w:rsidR="005F1362" w:rsidRPr="005C021D">
        <w:rPr>
          <w:rFonts w:ascii="Palatino Linotype" w:eastAsia="Calibri" w:hAnsi="Palatino Linotype" w:cs="Arial"/>
          <w:color w:val="000000" w:themeColor="text1"/>
          <w:lang w:val="es-ES"/>
        </w:rPr>
        <w:t>:</w:t>
      </w:r>
    </w:p>
    <w:p w14:paraId="76EB7490" w14:textId="77777777" w:rsidR="00B31E90" w:rsidRPr="005C021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F5595A8" w:rsidR="0097210F" w:rsidRPr="005C021D"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5C021D">
        <w:rPr>
          <w:rFonts w:ascii="Palatino Linotype" w:hAnsi="Palatino Linotype"/>
          <w:i/>
          <w:color w:val="000000" w:themeColor="text1"/>
          <w:sz w:val="22"/>
          <w:szCs w:val="22"/>
        </w:rPr>
        <w:t xml:space="preserve"> </w:t>
      </w:r>
      <w:r w:rsidR="005F1362" w:rsidRPr="005C021D">
        <w:rPr>
          <w:rFonts w:ascii="Palatino Linotype" w:hAnsi="Palatino Linotype"/>
          <w:i/>
          <w:color w:val="000000" w:themeColor="text1"/>
          <w:sz w:val="22"/>
          <w:szCs w:val="22"/>
        </w:rPr>
        <w:t>“</w:t>
      </w:r>
      <w:r w:rsidR="007B229B" w:rsidRPr="005C021D">
        <w:rPr>
          <w:rFonts w:ascii="Palatino Linotype" w:hAnsi="Palatino Linotype"/>
          <w:i/>
          <w:color w:val="000000" w:themeColor="text1"/>
          <w:sz w:val="22"/>
          <w:szCs w:val="22"/>
        </w:rPr>
        <w:t xml:space="preserve">Solicito acuerdo de cabildo de aprobación de los programas sociales mejoramiento en </w:t>
      </w:r>
      <w:proofErr w:type="gramStart"/>
      <w:r w:rsidR="007B229B" w:rsidRPr="005C021D">
        <w:rPr>
          <w:rFonts w:ascii="Palatino Linotype" w:hAnsi="Palatino Linotype"/>
          <w:i/>
          <w:color w:val="000000" w:themeColor="text1"/>
          <w:sz w:val="22"/>
          <w:szCs w:val="22"/>
        </w:rPr>
        <w:t>casa</w:t>
      </w:r>
      <w:proofErr w:type="gramEnd"/>
      <w:r w:rsidR="007B229B" w:rsidRPr="005C021D">
        <w:rPr>
          <w:rFonts w:ascii="Palatino Linotype" w:hAnsi="Palatino Linotype"/>
          <w:i/>
          <w:color w:val="000000" w:themeColor="text1"/>
          <w:sz w:val="22"/>
          <w:szCs w:val="22"/>
        </w:rPr>
        <w:t>, tinacos con subsidio y calentadores solares a bajo costo</w:t>
      </w:r>
      <w:r w:rsidR="005F1362" w:rsidRPr="005C021D">
        <w:rPr>
          <w:rFonts w:ascii="Palatino Linotype" w:hAnsi="Palatino Linotype"/>
          <w:i/>
          <w:color w:val="000000" w:themeColor="text1"/>
          <w:sz w:val="22"/>
          <w:szCs w:val="22"/>
        </w:rPr>
        <w:t xml:space="preserve">” </w:t>
      </w:r>
      <w:r w:rsidR="005F1362" w:rsidRPr="005C021D">
        <w:rPr>
          <w:rFonts w:ascii="Palatino Linotype" w:hAnsi="Palatino Linotype"/>
          <w:color w:val="000000" w:themeColor="text1"/>
          <w:sz w:val="22"/>
          <w:szCs w:val="22"/>
        </w:rPr>
        <w:t>(Sic).</w:t>
      </w:r>
    </w:p>
    <w:p w14:paraId="65A03C8D" w14:textId="77777777" w:rsidR="005F1362" w:rsidRPr="005C021D" w:rsidRDefault="005F1362" w:rsidP="00B31E90">
      <w:pPr>
        <w:spacing w:line="360" w:lineRule="auto"/>
        <w:ind w:right="333"/>
        <w:jc w:val="both"/>
        <w:rPr>
          <w:rFonts w:ascii="Palatino Linotype" w:hAnsi="Palatino Linotype"/>
          <w:color w:val="000000" w:themeColor="text1"/>
        </w:rPr>
      </w:pPr>
    </w:p>
    <w:p w14:paraId="35BA18A9" w14:textId="6768A8DE" w:rsidR="0039142B" w:rsidRPr="005C021D"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021D">
        <w:rPr>
          <w:rFonts w:ascii="Palatino Linotype" w:eastAsia="Times New Roman" w:hAnsi="Palatino Linotype" w:cs="Arial"/>
          <w:color w:val="000000" w:themeColor="text1"/>
          <w:lang w:val="es-ES"/>
        </w:rPr>
        <w:t>Se hace constar</w:t>
      </w:r>
      <w:r w:rsidR="00E9022C" w:rsidRPr="005C021D">
        <w:rPr>
          <w:rFonts w:ascii="Palatino Linotype" w:eastAsia="Times New Roman" w:hAnsi="Palatino Linotype" w:cs="Arial"/>
          <w:color w:val="000000" w:themeColor="text1"/>
          <w:lang w:val="es-ES"/>
        </w:rPr>
        <w:t xml:space="preserve"> que </w:t>
      </w:r>
      <w:r w:rsidR="00A63B45" w:rsidRPr="005C021D">
        <w:rPr>
          <w:rFonts w:ascii="Palatino Linotype" w:eastAsia="Times New Roman" w:hAnsi="Palatino Linotype" w:cs="Arial"/>
          <w:color w:val="000000" w:themeColor="text1"/>
          <w:lang w:val="es-ES"/>
        </w:rPr>
        <w:t>el</w:t>
      </w:r>
      <w:r w:rsidR="00E9022C" w:rsidRPr="005C021D">
        <w:rPr>
          <w:rFonts w:ascii="Palatino Linotype" w:eastAsia="Times New Roman" w:hAnsi="Palatino Linotype" w:cs="Arial"/>
          <w:color w:val="000000" w:themeColor="text1"/>
          <w:lang w:val="es-ES"/>
        </w:rPr>
        <w:t xml:space="preserve"> particular </w:t>
      </w:r>
      <w:r w:rsidR="005F1362" w:rsidRPr="005C021D">
        <w:rPr>
          <w:rFonts w:ascii="Palatino Linotype" w:eastAsia="Times New Roman" w:hAnsi="Palatino Linotype" w:cs="Arial"/>
          <w:color w:val="000000" w:themeColor="text1"/>
          <w:lang w:val="es-ES"/>
        </w:rPr>
        <w:t>señaló como modalidad de entrega de la información</w:t>
      </w:r>
      <w:r w:rsidR="005F1362" w:rsidRPr="005C021D">
        <w:rPr>
          <w:rFonts w:ascii="Palatino Linotype" w:eastAsia="Times New Roman" w:hAnsi="Palatino Linotype" w:cs="Arial"/>
          <w:bCs/>
          <w:color w:val="000000" w:themeColor="text1"/>
          <w:lang w:val="es-ES"/>
        </w:rPr>
        <w:t>:</w:t>
      </w:r>
      <w:r w:rsidR="001E4152" w:rsidRPr="005C021D">
        <w:rPr>
          <w:rFonts w:ascii="Palatino Linotype" w:eastAsia="Times New Roman" w:hAnsi="Palatino Linotype" w:cs="Arial"/>
          <w:b/>
          <w:color w:val="000000" w:themeColor="text1"/>
          <w:lang w:val="es-ES"/>
        </w:rPr>
        <w:t xml:space="preserve"> </w:t>
      </w:r>
      <w:r w:rsidR="004F0BF4" w:rsidRPr="005C021D">
        <w:rPr>
          <w:rFonts w:ascii="Palatino Linotype" w:eastAsia="Times New Roman" w:hAnsi="Palatino Linotype" w:cs="Arial"/>
          <w:b/>
          <w:i/>
          <w:iCs/>
          <w:color w:val="000000" w:themeColor="text1"/>
          <w:lang w:val="es-ES"/>
        </w:rPr>
        <w:t>A través del SAIMEX</w:t>
      </w:r>
      <w:r w:rsidR="005B4B08" w:rsidRPr="005C021D">
        <w:rPr>
          <w:rFonts w:ascii="Palatino Linotype" w:eastAsia="Calibri" w:hAnsi="Palatino Linotype" w:cs="Arial"/>
          <w:color w:val="000000" w:themeColor="text1"/>
          <w:lang w:val="es-ES"/>
        </w:rPr>
        <w:t>.</w:t>
      </w:r>
    </w:p>
    <w:p w14:paraId="7C0BE992" w14:textId="77777777" w:rsidR="0027463A" w:rsidRPr="005C021D"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C6BB6FF" w:rsidR="0022448D" w:rsidRPr="005C021D" w:rsidRDefault="001937B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C021D">
        <w:rPr>
          <w:rFonts w:ascii="Palatino Linotype" w:eastAsia="MS Mincho" w:hAnsi="Palatino Linotype" w:cs="Times New Roman"/>
          <w:color w:val="000000" w:themeColor="text1"/>
        </w:rPr>
        <w:t>E</w:t>
      </w:r>
      <w:r w:rsidR="00B31E90" w:rsidRPr="005C021D">
        <w:rPr>
          <w:rFonts w:ascii="Palatino Linotype" w:eastAsia="MS Mincho" w:hAnsi="Palatino Linotype" w:cs="Times New Roman"/>
          <w:color w:val="000000" w:themeColor="text1"/>
        </w:rPr>
        <w:t xml:space="preserve">l </w:t>
      </w:r>
      <w:r w:rsidR="007B229B" w:rsidRPr="005C021D">
        <w:rPr>
          <w:rFonts w:ascii="Palatino Linotype" w:eastAsia="MS Mincho" w:hAnsi="Palatino Linotype" w:cs="Times New Roman"/>
          <w:color w:val="000000" w:themeColor="text1"/>
        </w:rPr>
        <w:t>uno (01) de junio</w:t>
      </w:r>
      <w:r w:rsidR="00AA43A3" w:rsidRPr="005C021D">
        <w:rPr>
          <w:rFonts w:ascii="Palatino Linotype" w:eastAsia="MS Mincho" w:hAnsi="Palatino Linotype" w:cs="Times New Roman"/>
          <w:color w:val="000000" w:themeColor="text1"/>
        </w:rPr>
        <w:t xml:space="preserve"> de dos mil veintitrés</w:t>
      </w:r>
      <w:r w:rsidR="000411E2" w:rsidRPr="005C021D">
        <w:rPr>
          <w:rFonts w:ascii="Palatino Linotype" w:eastAsia="MS Mincho" w:hAnsi="Palatino Linotype" w:cs="Times New Roman"/>
          <w:color w:val="000000" w:themeColor="text1"/>
        </w:rPr>
        <w:t xml:space="preserve"> </w:t>
      </w:r>
      <w:r w:rsidR="000411E2" w:rsidRPr="005C021D">
        <w:rPr>
          <w:rFonts w:ascii="Palatino Linotype" w:hAnsi="Palatino Linotype"/>
          <w:color w:val="000000" w:themeColor="text1"/>
          <w:szCs w:val="14"/>
        </w:rPr>
        <w:t xml:space="preserve">el </w:t>
      </w:r>
      <w:r w:rsidR="000411E2" w:rsidRPr="005C021D">
        <w:rPr>
          <w:rFonts w:ascii="Palatino Linotype" w:hAnsi="Palatino Linotype"/>
          <w:b/>
          <w:color w:val="000000" w:themeColor="text1"/>
          <w:szCs w:val="14"/>
        </w:rPr>
        <w:t>SUJETO OBLIGADO</w:t>
      </w:r>
      <w:r w:rsidR="00357E36" w:rsidRPr="005C021D">
        <w:rPr>
          <w:rFonts w:ascii="Palatino Linotype" w:hAnsi="Palatino Linotype"/>
          <w:b/>
          <w:color w:val="000000" w:themeColor="text1"/>
          <w:szCs w:val="14"/>
        </w:rPr>
        <w:t>,</w:t>
      </w:r>
      <w:r w:rsidR="000411E2" w:rsidRPr="005C021D">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5C021D" w:rsidRDefault="009A593A" w:rsidP="00B31E90">
      <w:pPr>
        <w:pStyle w:val="Sinespaciado"/>
        <w:ind w:left="567" w:right="567"/>
        <w:jc w:val="right"/>
        <w:rPr>
          <w:rFonts w:ascii="Palatino Linotype" w:hAnsi="Palatino Linotype"/>
          <w:i/>
          <w:noProof/>
          <w:color w:val="000000" w:themeColor="text1"/>
          <w:lang w:eastAsia="es-MX"/>
        </w:rPr>
      </w:pPr>
    </w:p>
    <w:p w14:paraId="072395E9" w14:textId="77777777" w:rsidR="007B229B" w:rsidRPr="005C021D" w:rsidRDefault="00F25B61" w:rsidP="007B229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C021D">
        <w:rPr>
          <w:rFonts w:ascii="Palatino Linotype" w:hAnsi="Palatino Linotype"/>
          <w:i/>
          <w:noProof/>
          <w:color w:val="000000" w:themeColor="text1"/>
          <w:sz w:val="22"/>
          <w:szCs w:val="22"/>
          <w:lang w:val="es-MX" w:eastAsia="es-MX"/>
        </w:rPr>
        <w:t xml:space="preserve"> </w:t>
      </w:r>
      <w:r w:rsidR="005F1362" w:rsidRPr="005C021D">
        <w:rPr>
          <w:rFonts w:ascii="Palatino Linotype" w:hAnsi="Palatino Linotype"/>
          <w:i/>
          <w:noProof/>
          <w:color w:val="000000" w:themeColor="text1"/>
          <w:sz w:val="22"/>
          <w:szCs w:val="22"/>
          <w:lang w:val="es-MX" w:eastAsia="es-MX"/>
        </w:rPr>
        <w:t>“</w:t>
      </w:r>
      <w:r w:rsidR="007B229B" w:rsidRPr="005C021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98DF51" w14:textId="77777777" w:rsidR="007B229B" w:rsidRPr="005C021D" w:rsidRDefault="007B229B" w:rsidP="007B229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B3ACB08" w14:textId="77777777" w:rsidR="007B229B" w:rsidRPr="005C021D" w:rsidRDefault="007B229B" w:rsidP="007B229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C021D">
        <w:rPr>
          <w:rFonts w:ascii="Palatino Linotype" w:hAnsi="Palatino Linotype"/>
          <w:i/>
          <w:noProof/>
          <w:color w:val="000000" w:themeColor="text1"/>
          <w:sz w:val="22"/>
          <w:szCs w:val="22"/>
          <w:lang w:val="es-MX" w:eastAsia="es-MX"/>
        </w:rPr>
        <w:t>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SECRETARÍA DEL AYUNTAMIENTO; por lo que en ese orden se transcriben: “En atención a la solicitud de información 00121/MELOCAM/IP/2023, se hace del conocimiento del ciudadano que la información se encuentra pública en la página oficial del Ayuntamiento de Melchor Ocampo: https://www.melchor-ocampo.gob.mx/; O DIRECTAMENTE en el enlace: https://www.melchor-ocampo.ayuntamientodigital.gob.mx/actas-de-cabildo, sin embargo, se adjunta el archivo digital del Acta 45 Ordinaria, del 25 de enero del 2023, en la cual se señala en el punto 7, la información requerida en esta solicitud.”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p>
    <w:p w14:paraId="45BBFD91" w14:textId="77777777" w:rsidR="007B229B" w:rsidRPr="005C021D" w:rsidRDefault="007B229B" w:rsidP="007B229B">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98BE560" w14:textId="77777777" w:rsidR="007B229B" w:rsidRPr="005C021D" w:rsidRDefault="007B229B" w:rsidP="007B229B">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C021D">
        <w:rPr>
          <w:rFonts w:ascii="Palatino Linotype" w:hAnsi="Palatino Linotype"/>
          <w:i/>
          <w:noProof/>
          <w:color w:val="000000" w:themeColor="text1"/>
          <w:sz w:val="22"/>
          <w:szCs w:val="22"/>
          <w:lang w:val="es-MX" w:eastAsia="es-MX"/>
        </w:rPr>
        <w:t>ATENTAMENTE</w:t>
      </w:r>
    </w:p>
    <w:p w14:paraId="35A36DE0" w14:textId="26EB43E8" w:rsidR="0039142B" w:rsidRPr="005C021D" w:rsidRDefault="007B229B" w:rsidP="007B229B">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C021D">
        <w:rPr>
          <w:rFonts w:ascii="Palatino Linotype" w:hAnsi="Palatino Linotype"/>
          <w:i/>
          <w:noProof/>
          <w:color w:val="000000" w:themeColor="text1"/>
          <w:sz w:val="22"/>
          <w:szCs w:val="22"/>
          <w:lang w:val="es-MX" w:eastAsia="es-MX"/>
        </w:rPr>
        <w:t>LIC. CRISTIAN PACHECO PINEDA</w:t>
      </w:r>
      <w:r w:rsidR="005F1362" w:rsidRPr="005C021D">
        <w:rPr>
          <w:rFonts w:ascii="Palatino Linotype" w:hAnsi="Palatino Linotype"/>
          <w:i/>
          <w:noProof/>
          <w:color w:val="000000" w:themeColor="text1"/>
          <w:sz w:val="22"/>
          <w:szCs w:val="22"/>
          <w:lang w:val="es-MX" w:eastAsia="es-MX"/>
        </w:rPr>
        <w:t>”</w:t>
      </w:r>
      <w:r w:rsidR="00EB3DF7" w:rsidRPr="005C021D">
        <w:rPr>
          <w:rFonts w:ascii="Palatino Linotype" w:hAnsi="Palatino Linotype"/>
          <w:noProof/>
          <w:color w:val="000000" w:themeColor="text1"/>
          <w:sz w:val="22"/>
          <w:szCs w:val="22"/>
          <w:lang w:val="es-MX" w:eastAsia="es-MX"/>
        </w:rPr>
        <w:t xml:space="preserve"> (Sic.)</w:t>
      </w:r>
    </w:p>
    <w:p w14:paraId="18538835" w14:textId="77777777" w:rsidR="00FE159E" w:rsidRPr="005C021D" w:rsidRDefault="00FE159E" w:rsidP="00B67B60">
      <w:pPr>
        <w:spacing w:line="360" w:lineRule="auto"/>
        <w:jc w:val="both"/>
        <w:rPr>
          <w:rFonts w:ascii="Palatino Linotype" w:hAnsi="Palatino Linotype" w:cs="Arial"/>
        </w:rPr>
      </w:pPr>
    </w:p>
    <w:p w14:paraId="57FB8708" w14:textId="74574952" w:rsidR="007B229B" w:rsidRPr="005C021D" w:rsidRDefault="007B229B"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C021D">
        <w:rPr>
          <w:rFonts w:ascii="Palatino Linotype" w:eastAsia="Times New Roman" w:hAnsi="Palatino Linotype" w:cs="Arial"/>
          <w:color w:val="000000" w:themeColor="text1"/>
          <w:lang w:val="es-ES"/>
        </w:rPr>
        <w:t xml:space="preserve">Adjunto a su acuse de respuesta el </w:t>
      </w:r>
      <w:r w:rsidRPr="005C021D">
        <w:rPr>
          <w:rFonts w:ascii="Palatino Linotype" w:eastAsia="Times New Roman" w:hAnsi="Palatino Linotype" w:cs="Arial"/>
          <w:b/>
          <w:color w:val="000000" w:themeColor="text1"/>
          <w:lang w:val="es-ES"/>
        </w:rPr>
        <w:t>SUJETO OBLIGADO</w:t>
      </w:r>
      <w:r w:rsidR="00357E36" w:rsidRPr="005C021D">
        <w:rPr>
          <w:rFonts w:ascii="Palatino Linotype" w:eastAsia="Times New Roman" w:hAnsi="Palatino Linotype" w:cs="Arial"/>
          <w:b/>
          <w:color w:val="000000" w:themeColor="text1"/>
          <w:lang w:val="es-ES"/>
        </w:rPr>
        <w:t>,</w:t>
      </w:r>
      <w:r w:rsidRPr="005C021D">
        <w:rPr>
          <w:rFonts w:ascii="Palatino Linotype" w:eastAsia="Times New Roman" w:hAnsi="Palatino Linotype" w:cs="Arial"/>
          <w:color w:val="000000" w:themeColor="text1"/>
          <w:lang w:val="es-ES"/>
        </w:rPr>
        <w:t xml:space="preserve"> emitió al particular el archivo electrónico cuyo título y contenido se describe a continuación:</w:t>
      </w:r>
    </w:p>
    <w:p w14:paraId="0990E090" w14:textId="7BCBD807" w:rsidR="007B229B" w:rsidRPr="005C021D" w:rsidRDefault="007B229B" w:rsidP="007B229B">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5C021D">
        <w:rPr>
          <w:rFonts w:ascii="Palatino Linotype" w:eastAsia="Times New Roman" w:hAnsi="Palatino Linotype" w:cs="Arial"/>
          <w:b/>
          <w:i/>
          <w:color w:val="000000" w:themeColor="text1"/>
          <w:lang w:val="es-ES"/>
        </w:rPr>
        <w:t>“226_ordinaria-045_23418133035 (1)_V.P</w:t>
      </w:r>
      <w:proofErr w:type="gramStart"/>
      <w:r w:rsidRPr="005C021D">
        <w:rPr>
          <w:rFonts w:ascii="Palatino Linotype" w:eastAsia="Times New Roman" w:hAnsi="Palatino Linotype" w:cs="Arial"/>
          <w:b/>
          <w:i/>
          <w:color w:val="000000" w:themeColor="text1"/>
          <w:lang w:val="es-ES"/>
        </w:rPr>
        <w:t>..</w:t>
      </w:r>
      <w:proofErr w:type="spellStart"/>
      <w:proofErr w:type="gramEnd"/>
      <w:r w:rsidRPr="005C021D">
        <w:rPr>
          <w:rFonts w:ascii="Palatino Linotype" w:eastAsia="Times New Roman" w:hAnsi="Palatino Linotype" w:cs="Arial"/>
          <w:b/>
          <w:i/>
          <w:color w:val="000000" w:themeColor="text1"/>
          <w:lang w:val="es-ES"/>
        </w:rPr>
        <w:t>pdf</w:t>
      </w:r>
      <w:proofErr w:type="spellEnd"/>
      <w:r w:rsidRPr="005C021D">
        <w:rPr>
          <w:rFonts w:ascii="Palatino Linotype" w:eastAsia="Times New Roman" w:hAnsi="Palatino Linotype" w:cs="Arial"/>
          <w:b/>
          <w:i/>
          <w:color w:val="000000" w:themeColor="text1"/>
          <w:lang w:val="es-ES"/>
        </w:rPr>
        <w:t>”</w:t>
      </w:r>
      <w:r w:rsidRPr="005C021D">
        <w:rPr>
          <w:rFonts w:ascii="Palatino Linotype" w:eastAsia="Times New Roman" w:hAnsi="Palatino Linotype" w:cs="Arial"/>
          <w:color w:val="000000" w:themeColor="text1"/>
          <w:lang w:val="es-ES"/>
        </w:rPr>
        <w:t xml:space="preserve">: Documento de 14 fojas consistente en la copia digitalizada del Acta de la Cuadragésima Quinta </w:t>
      </w:r>
      <w:r w:rsidRPr="005C021D">
        <w:rPr>
          <w:rFonts w:ascii="Palatino Linotype" w:eastAsia="Times New Roman" w:hAnsi="Palatino Linotype" w:cs="Arial"/>
          <w:color w:val="000000" w:themeColor="text1"/>
          <w:lang w:val="es-ES"/>
        </w:rPr>
        <w:lastRenderedPageBreak/>
        <w:t>Sesión Ordinaria de Cabildo, celebrada el veinticinco (25) de enero de dos mil veintitrés.</w:t>
      </w:r>
    </w:p>
    <w:p w14:paraId="4ECD98EE" w14:textId="77777777" w:rsidR="007B229B" w:rsidRPr="005C021D" w:rsidRDefault="007B229B" w:rsidP="007B229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8C277E3" w:rsidR="000D5A1D" w:rsidRPr="005C021D" w:rsidRDefault="007B229B"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C021D">
        <w:rPr>
          <w:rFonts w:ascii="Palatino Linotype" w:eastAsia="Times New Roman" w:hAnsi="Palatino Linotype" w:cs="Arial"/>
          <w:color w:val="000000" w:themeColor="text1"/>
          <w:lang w:val="es-ES"/>
        </w:rPr>
        <w:t>D</w:t>
      </w:r>
      <w:r w:rsidR="00561ED1" w:rsidRPr="005C021D">
        <w:rPr>
          <w:rFonts w:ascii="Palatino Linotype" w:eastAsia="Times New Roman" w:hAnsi="Palatino Linotype" w:cs="Arial"/>
          <w:color w:val="000000" w:themeColor="text1"/>
          <w:lang w:val="es-ES"/>
        </w:rPr>
        <w:t xml:space="preserve">erivado de la respuesta emitida por el </w:t>
      </w:r>
      <w:r w:rsidR="00561ED1" w:rsidRPr="005C021D">
        <w:rPr>
          <w:rFonts w:ascii="Palatino Linotype" w:eastAsia="Times New Roman" w:hAnsi="Palatino Linotype" w:cs="Arial"/>
          <w:b/>
          <w:color w:val="000000" w:themeColor="text1"/>
          <w:lang w:val="es-ES"/>
        </w:rPr>
        <w:t>SUJETO OBLIGADO</w:t>
      </w:r>
      <w:r w:rsidR="00561ED1" w:rsidRPr="005C021D">
        <w:rPr>
          <w:rFonts w:ascii="Palatino Linotype" w:eastAsia="Times New Roman" w:hAnsi="Palatino Linotype" w:cs="Arial"/>
          <w:color w:val="000000" w:themeColor="text1"/>
          <w:lang w:val="es-ES"/>
        </w:rPr>
        <w:t>, e</w:t>
      </w:r>
      <w:r w:rsidR="00DB4BEF" w:rsidRPr="005C021D">
        <w:rPr>
          <w:rFonts w:ascii="Palatino Linotype" w:eastAsia="Times New Roman" w:hAnsi="Palatino Linotype" w:cs="Arial"/>
          <w:color w:val="000000" w:themeColor="text1"/>
          <w:lang w:val="es-ES"/>
        </w:rPr>
        <w:t xml:space="preserve">l </w:t>
      </w:r>
      <w:r w:rsidR="0002032F" w:rsidRPr="005C021D">
        <w:rPr>
          <w:rFonts w:ascii="Palatino Linotype" w:eastAsia="Times New Roman" w:hAnsi="Palatino Linotype" w:cs="Arial"/>
          <w:color w:val="000000" w:themeColor="text1"/>
          <w:lang w:val="es-ES"/>
        </w:rPr>
        <w:t>uno (01) de junio</w:t>
      </w:r>
      <w:r w:rsidR="00505B01" w:rsidRPr="005C021D">
        <w:rPr>
          <w:rFonts w:ascii="Palatino Linotype" w:eastAsia="Times New Roman" w:hAnsi="Palatino Linotype" w:cs="Arial"/>
          <w:color w:val="000000" w:themeColor="text1"/>
          <w:lang w:val="es-ES"/>
        </w:rPr>
        <w:t xml:space="preserve"> de dos mil veintitrés</w:t>
      </w:r>
      <w:r w:rsidR="00FE49E3" w:rsidRPr="005C021D">
        <w:rPr>
          <w:rFonts w:ascii="Palatino Linotype" w:eastAsia="Times New Roman" w:hAnsi="Palatino Linotype" w:cs="Arial"/>
          <w:color w:val="000000" w:themeColor="text1"/>
          <w:lang w:val="es-ES"/>
        </w:rPr>
        <w:t xml:space="preserve">, </w:t>
      </w:r>
      <w:r w:rsidR="00505B01" w:rsidRPr="005C021D">
        <w:rPr>
          <w:rFonts w:ascii="Palatino Linotype" w:eastAsia="Times New Roman" w:hAnsi="Palatino Linotype" w:cs="Arial"/>
          <w:color w:val="000000" w:themeColor="text1"/>
          <w:lang w:val="es-ES"/>
        </w:rPr>
        <w:t>e</w:t>
      </w:r>
      <w:r w:rsidR="004F0BF4" w:rsidRPr="005C021D">
        <w:rPr>
          <w:rFonts w:ascii="Palatino Linotype" w:eastAsia="Times New Roman" w:hAnsi="Palatino Linotype" w:cs="Arial"/>
          <w:color w:val="000000" w:themeColor="text1"/>
          <w:lang w:val="es-ES"/>
        </w:rPr>
        <w:t>l</w:t>
      </w:r>
      <w:r w:rsidR="005F1362" w:rsidRPr="005C021D">
        <w:rPr>
          <w:rFonts w:ascii="Palatino Linotype" w:eastAsia="Times New Roman" w:hAnsi="Palatino Linotype" w:cs="Arial"/>
          <w:color w:val="000000" w:themeColor="text1"/>
          <w:lang w:val="es-ES"/>
        </w:rPr>
        <w:t xml:space="preserve"> particular</w:t>
      </w:r>
      <w:r w:rsidR="00DB4BEF" w:rsidRPr="005C021D">
        <w:rPr>
          <w:rFonts w:ascii="Palatino Linotype" w:eastAsia="Times New Roman" w:hAnsi="Palatino Linotype" w:cs="Arial"/>
          <w:color w:val="000000" w:themeColor="text1"/>
          <w:lang w:val="es-ES"/>
        </w:rPr>
        <w:t xml:space="preserve"> interpuso</w:t>
      </w:r>
      <w:r w:rsidR="009316E9" w:rsidRPr="005C021D">
        <w:rPr>
          <w:rFonts w:ascii="Palatino Linotype" w:eastAsia="Times New Roman" w:hAnsi="Palatino Linotype" w:cs="Arial"/>
          <w:color w:val="000000" w:themeColor="text1"/>
          <w:lang w:val="es-ES"/>
        </w:rPr>
        <w:t xml:space="preserve"> </w:t>
      </w:r>
      <w:r w:rsidR="00F25B61" w:rsidRPr="005C021D">
        <w:rPr>
          <w:rFonts w:ascii="Palatino Linotype" w:eastAsia="Times New Roman" w:hAnsi="Palatino Linotype" w:cs="Arial"/>
          <w:color w:val="000000" w:themeColor="text1"/>
          <w:lang w:val="es-ES"/>
        </w:rPr>
        <w:t>el</w:t>
      </w:r>
      <w:r w:rsidR="004D68F8" w:rsidRPr="005C021D">
        <w:rPr>
          <w:rFonts w:ascii="Palatino Linotype" w:eastAsia="Times New Roman" w:hAnsi="Palatino Linotype" w:cs="Arial"/>
          <w:color w:val="000000" w:themeColor="text1"/>
          <w:lang w:val="es-ES"/>
        </w:rPr>
        <w:t xml:space="preserve"> recurso de revisión </w:t>
      </w:r>
      <w:r w:rsidRPr="005C021D">
        <w:rPr>
          <w:rFonts w:ascii="Palatino Linotype" w:eastAsia="Calibri" w:hAnsi="Palatino Linotype" w:cs="Arial"/>
          <w:b/>
          <w:color w:val="000000" w:themeColor="text1"/>
          <w:lang w:val="es-ES"/>
        </w:rPr>
        <w:t>03103/INFOEM/IP/RR/2023</w:t>
      </w:r>
      <w:r w:rsidR="009A0461" w:rsidRPr="005C021D">
        <w:rPr>
          <w:rFonts w:ascii="Palatino Linotype" w:eastAsia="Calibri" w:hAnsi="Palatino Linotype" w:cs="Arial"/>
          <w:color w:val="000000" w:themeColor="text1"/>
          <w:lang w:val="es-ES"/>
        </w:rPr>
        <w:t>;</w:t>
      </w:r>
      <w:r w:rsidR="00102D65" w:rsidRPr="005C021D">
        <w:rPr>
          <w:rFonts w:ascii="Palatino Linotype" w:eastAsia="Times New Roman" w:hAnsi="Palatino Linotype" w:cs="Arial"/>
          <w:color w:val="000000" w:themeColor="text1"/>
          <w:lang w:val="es-ES"/>
        </w:rPr>
        <w:t xml:space="preserve"> </w:t>
      </w:r>
      <w:r w:rsidR="00F25B61" w:rsidRPr="005C021D">
        <w:rPr>
          <w:rFonts w:ascii="Palatino Linotype" w:eastAsia="Times New Roman" w:hAnsi="Palatino Linotype" w:cs="Arial"/>
          <w:color w:val="000000" w:themeColor="text1"/>
          <w:lang w:val="es-ES"/>
        </w:rPr>
        <w:t>impugnación</w:t>
      </w:r>
      <w:r w:rsidR="004D68F8" w:rsidRPr="005C021D">
        <w:rPr>
          <w:rFonts w:ascii="Palatino Linotype" w:eastAsia="Times New Roman" w:hAnsi="Palatino Linotype" w:cs="Arial"/>
          <w:color w:val="000000" w:themeColor="text1"/>
          <w:lang w:val="es-ES"/>
        </w:rPr>
        <w:t xml:space="preserve"> </w:t>
      </w:r>
      <w:r w:rsidR="00A45546" w:rsidRPr="005C021D">
        <w:rPr>
          <w:rFonts w:ascii="Palatino Linotype" w:eastAsia="Times New Roman" w:hAnsi="Palatino Linotype" w:cs="Arial"/>
          <w:color w:val="000000" w:themeColor="text1"/>
          <w:lang w:val="es-ES"/>
        </w:rPr>
        <w:t xml:space="preserve">en </w:t>
      </w:r>
      <w:r w:rsidR="00977D37" w:rsidRPr="005C021D">
        <w:rPr>
          <w:rFonts w:ascii="Palatino Linotype" w:eastAsia="Times New Roman" w:hAnsi="Palatino Linotype" w:cs="Arial"/>
          <w:color w:val="000000" w:themeColor="text1"/>
          <w:lang w:val="es-ES"/>
        </w:rPr>
        <w:t>la</w:t>
      </w:r>
      <w:r w:rsidR="00A45546" w:rsidRPr="005C021D">
        <w:rPr>
          <w:rFonts w:ascii="Palatino Linotype" w:eastAsia="Times New Roman" w:hAnsi="Palatino Linotype" w:cs="Arial"/>
          <w:color w:val="000000" w:themeColor="text1"/>
          <w:lang w:val="es-ES"/>
        </w:rPr>
        <w:t xml:space="preserve"> que refirió </w:t>
      </w:r>
      <w:r w:rsidR="004D68F8" w:rsidRPr="005C021D">
        <w:rPr>
          <w:rFonts w:ascii="Palatino Linotype" w:eastAsia="Times New Roman" w:hAnsi="Palatino Linotype" w:cs="Arial"/>
          <w:color w:val="000000" w:themeColor="text1"/>
          <w:lang w:val="es-ES"/>
        </w:rPr>
        <w:t>lo siguiente:</w:t>
      </w:r>
    </w:p>
    <w:p w14:paraId="054906C6" w14:textId="77777777" w:rsidR="00E34622" w:rsidRPr="005C021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77E3B52" w:rsidR="00E34622" w:rsidRPr="005C021D"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5C021D">
        <w:rPr>
          <w:rFonts w:ascii="Palatino Linotype" w:eastAsia="Times New Roman" w:hAnsi="Palatino Linotype" w:cs="Arial"/>
          <w:b/>
          <w:color w:val="000000" w:themeColor="text1"/>
          <w:sz w:val="22"/>
          <w:lang w:val="es-ES"/>
        </w:rPr>
        <w:t>Acto impugnado:</w:t>
      </w:r>
      <w:r w:rsidRPr="005C021D">
        <w:rPr>
          <w:rFonts w:ascii="Palatino Linotype" w:eastAsia="Times New Roman" w:hAnsi="Palatino Linotype" w:cs="Arial"/>
          <w:color w:val="000000" w:themeColor="text1"/>
          <w:sz w:val="22"/>
          <w:lang w:val="es-ES"/>
        </w:rPr>
        <w:t xml:space="preserve"> “</w:t>
      </w:r>
      <w:r w:rsidR="00505B01" w:rsidRPr="005C021D">
        <w:rPr>
          <w:rFonts w:ascii="Palatino Linotype" w:eastAsia="Times New Roman" w:hAnsi="Palatino Linotype" w:cs="Arial"/>
          <w:i/>
          <w:iCs/>
          <w:color w:val="000000" w:themeColor="text1"/>
          <w:sz w:val="22"/>
          <w:lang w:val="es-ES"/>
        </w:rPr>
        <w:t>respuesta</w:t>
      </w:r>
      <w:r w:rsidRPr="005C021D">
        <w:rPr>
          <w:rFonts w:ascii="Palatino Linotype" w:eastAsia="Times New Roman" w:hAnsi="Palatino Linotype" w:cs="Arial"/>
          <w:i/>
          <w:iCs/>
          <w:color w:val="000000" w:themeColor="text1"/>
          <w:sz w:val="22"/>
          <w:lang w:val="es-ES"/>
        </w:rPr>
        <w:t>”</w:t>
      </w:r>
      <w:r w:rsidRPr="005C021D">
        <w:rPr>
          <w:rFonts w:ascii="Palatino Linotype" w:eastAsia="Times New Roman" w:hAnsi="Palatino Linotype" w:cs="Arial"/>
          <w:color w:val="000000" w:themeColor="text1"/>
          <w:sz w:val="22"/>
          <w:lang w:val="es-ES"/>
        </w:rPr>
        <w:t xml:space="preserve"> (Sic)</w:t>
      </w:r>
    </w:p>
    <w:p w14:paraId="25E44FB6" w14:textId="77777777" w:rsidR="00F25B61" w:rsidRPr="005C021D"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1AEE2C55" w:rsidR="000E096F" w:rsidRPr="005C021D"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5C021D">
        <w:rPr>
          <w:rFonts w:ascii="Palatino Linotype" w:eastAsia="Times New Roman" w:hAnsi="Palatino Linotype" w:cs="Arial"/>
          <w:b/>
          <w:color w:val="000000" w:themeColor="text1"/>
          <w:sz w:val="22"/>
          <w:lang w:val="es-ES"/>
        </w:rPr>
        <w:t>Razones o motivos de inconformidad:</w:t>
      </w:r>
      <w:r w:rsidRPr="005C021D">
        <w:rPr>
          <w:rFonts w:ascii="Palatino Linotype" w:eastAsia="Times New Roman" w:hAnsi="Palatino Linotype" w:cs="Arial"/>
          <w:color w:val="000000" w:themeColor="text1"/>
          <w:sz w:val="22"/>
          <w:lang w:val="es-ES"/>
        </w:rPr>
        <w:t xml:space="preserve"> </w:t>
      </w:r>
      <w:r w:rsidR="00505B01" w:rsidRPr="005C021D">
        <w:rPr>
          <w:rFonts w:ascii="Palatino Linotype" w:eastAsia="Times New Roman" w:hAnsi="Palatino Linotype" w:cs="Arial"/>
          <w:color w:val="000000" w:themeColor="text1"/>
          <w:sz w:val="22"/>
          <w:lang w:val="es-ES"/>
        </w:rPr>
        <w:t>“</w:t>
      </w:r>
      <w:r w:rsidR="0002032F" w:rsidRPr="005C021D">
        <w:rPr>
          <w:rFonts w:ascii="Palatino Linotype" w:eastAsia="Times New Roman" w:hAnsi="Palatino Linotype" w:cs="Arial"/>
          <w:i/>
          <w:iCs/>
          <w:color w:val="000000" w:themeColor="text1"/>
          <w:sz w:val="22"/>
        </w:rPr>
        <w:t>Clasifican información que es pública y más si es un acta y acuerdo de cabildo</w:t>
      </w:r>
      <w:r w:rsidR="00505B01" w:rsidRPr="005C021D">
        <w:rPr>
          <w:rFonts w:ascii="Palatino Linotype" w:eastAsia="Times New Roman" w:hAnsi="Palatino Linotype" w:cs="Arial"/>
          <w:i/>
          <w:iCs/>
          <w:color w:val="000000" w:themeColor="text1"/>
          <w:sz w:val="22"/>
          <w:lang w:val="es-ES"/>
        </w:rPr>
        <w:t>”</w:t>
      </w:r>
      <w:r w:rsidR="00505B01" w:rsidRPr="005C021D">
        <w:rPr>
          <w:rFonts w:ascii="Palatino Linotype" w:eastAsia="Times New Roman" w:hAnsi="Palatino Linotype" w:cs="Arial"/>
          <w:color w:val="000000" w:themeColor="text1"/>
          <w:sz w:val="22"/>
          <w:lang w:val="es-ES"/>
        </w:rPr>
        <w:t xml:space="preserve"> (Sic)</w:t>
      </w:r>
    </w:p>
    <w:p w14:paraId="3C8DEE6E" w14:textId="77777777" w:rsidR="00394F10" w:rsidRPr="005C021D"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4E96C186" w:rsidR="005C7898" w:rsidRPr="005C021D"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021D">
        <w:rPr>
          <w:rFonts w:ascii="Palatino Linotype" w:eastAsia="Calibri" w:hAnsi="Palatino Linotype" w:cs="Arial"/>
          <w:color w:val="000000" w:themeColor="text1"/>
          <w:lang w:val="es-ES"/>
        </w:rPr>
        <w:t>S</w:t>
      </w:r>
      <w:r w:rsidR="005C7898" w:rsidRPr="005C021D">
        <w:rPr>
          <w:rFonts w:ascii="Palatino Linotype" w:eastAsia="Calibri" w:hAnsi="Palatino Linotype" w:cs="Arial"/>
          <w:color w:val="000000" w:themeColor="text1"/>
          <w:lang w:val="es-ES"/>
        </w:rPr>
        <w:t xml:space="preserve">e </w:t>
      </w:r>
      <w:r w:rsidR="00F25B61" w:rsidRPr="005C021D">
        <w:rPr>
          <w:rFonts w:ascii="Palatino Linotype" w:eastAsia="Times New Roman" w:hAnsi="Palatino Linotype" w:cs="Arial"/>
          <w:color w:val="000000" w:themeColor="text1"/>
          <w:lang w:val="es-ES"/>
        </w:rPr>
        <w:t>registró</w:t>
      </w:r>
      <w:r w:rsidR="005C7898" w:rsidRPr="005C021D">
        <w:rPr>
          <w:rFonts w:ascii="Palatino Linotype" w:eastAsia="Times New Roman" w:hAnsi="Palatino Linotype" w:cs="Arial"/>
          <w:color w:val="000000" w:themeColor="text1"/>
          <w:lang w:val="es-ES"/>
        </w:rPr>
        <w:t xml:space="preserve"> </w:t>
      </w:r>
      <w:r w:rsidR="00F25B61" w:rsidRPr="005C021D">
        <w:rPr>
          <w:rFonts w:ascii="Palatino Linotype" w:eastAsia="Times New Roman" w:hAnsi="Palatino Linotype" w:cs="Arial"/>
          <w:color w:val="000000" w:themeColor="text1"/>
          <w:lang w:val="es-ES"/>
        </w:rPr>
        <w:t>el</w:t>
      </w:r>
      <w:r w:rsidR="005C7898" w:rsidRPr="005C021D">
        <w:rPr>
          <w:rFonts w:ascii="Palatino Linotype" w:eastAsia="Times New Roman" w:hAnsi="Palatino Linotype" w:cs="Arial"/>
          <w:color w:val="000000" w:themeColor="text1"/>
          <w:lang w:val="es-ES"/>
        </w:rPr>
        <w:t xml:space="preserve"> recurso de revisión bajo </w:t>
      </w:r>
      <w:r w:rsidR="00F25B61" w:rsidRPr="005C021D">
        <w:rPr>
          <w:rFonts w:ascii="Palatino Linotype" w:eastAsia="Times New Roman" w:hAnsi="Palatino Linotype" w:cs="Arial"/>
          <w:color w:val="000000" w:themeColor="text1"/>
          <w:lang w:val="es-ES"/>
        </w:rPr>
        <w:t>el</w:t>
      </w:r>
      <w:r w:rsidR="005C7898" w:rsidRPr="005C021D">
        <w:rPr>
          <w:rFonts w:ascii="Palatino Linotype" w:eastAsia="Times New Roman" w:hAnsi="Palatino Linotype" w:cs="Arial"/>
          <w:color w:val="000000" w:themeColor="text1"/>
          <w:lang w:val="es-ES"/>
        </w:rPr>
        <w:t xml:space="preserve"> número de expediente </w:t>
      </w:r>
      <w:r w:rsidR="007B229B" w:rsidRPr="005C021D">
        <w:rPr>
          <w:rFonts w:ascii="Palatino Linotype" w:eastAsia="Times New Roman" w:hAnsi="Palatino Linotype" w:cs="Arial"/>
          <w:b/>
          <w:color w:val="000000" w:themeColor="text1"/>
          <w:lang w:val="es-ES"/>
        </w:rPr>
        <w:t>03103/INFOEM/IP/RR/2023</w:t>
      </w:r>
      <w:r w:rsidR="005C7898" w:rsidRPr="005C021D">
        <w:rPr>
          <w:rFonts w:ascii="Palatino Linotype" w:hAnsi="Palatino Linotype" w:cs="Arial"/>
          <w:bCs/>
          <w:color w:val="000000" w:themeColor="text1"/>
        </w:rPr>
        <w:t xml:space="preserve">; asimismo, con fundamento en lo dispuesto por el </w:t>
      </w:r>
      <w:r w:rsidR="005C7898" w:rsidRPr="005C021D">
        <w:rPr>
          <w:rFonts w:ascii="Palatino Linotype" w:eastAsia="Calibri" w:hAnsi="Palatino Linotype" w:cs="Arial"/>
          <w:bCs/>
          <w:color w:val="000000" w:themeColor="text1"/>
          <w:lang w:val="es-ES"/>
        </w:rPr>
        <w:t>artículo 185</w:t>
      </w:r>
      <w:r w:rsidR="00AE1CCB" w:rsidRPr="005C021D">
        <w:rPr>
          <w:rFonts w:ascii="Palatino Linotype" w:eastAsia="Calibri" w:hAnsi="Palatino Linotype" w:cs="Arial"/>
          <w:bCs/>
          <w:color w:val="000000" w:themeColor="text1"/>
          <w:lang w:val="es-ES"/>
        </w:rPr>
        <w:t>,</w:t>
      </w:r>
      <w:r w:rsidR="005C7898" w:rsidRPr="005C021D">
        <w:rPr>
          <w:rFonts w:ascii="Palatino Linotype" w:eastAsia="Calibri" w:hAnsi="Palatino Linotype" w:cs="Arial"/>
          <w:bCs/>
          <w:color w:val="000000" w:themeColor="text1"/>
          <w:lang w:val="es-ES"/>
        </w:rPr>
        <w:t xml:space="preserve"> fracción I</w:t>
      </w:r>
      <w:r w:rsidR="00AE1CCB" w:rsidRPr="005C021D">
        <w:rPr>
          <w:rFonts w:ascii="Palatino Linotype" w:eastAsia="Calibri" w:hAnsi="Palatino Linotype" w:cs="Arial"/>
          <w:bCs/>
          <w:color w:val="000000" w:themeColor="text1"/>
          <w:lang w:val="es-ES"/>
        </w:rPr>
        <w:t>,</w:t>
      </w:r>
      <w:r w:rsidR="005C7898" w:rsidRPr="005C021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5C021D">
        <w:rPr>
          <w:rFonts w:ascii="Palatino Linotype" w:eastAsia="Times New Roman" w:hAnsi="Palatino Linotype" w:cs="Arial"/>
          <w:bCs/>
          <w:color w:val="000000" w:themeColor="text1"/>
          <w:lang w:val="es-ES"/>
        </w:rPr>
        <w:t xml:space="preserve">se </w:t>
      </w:r>
      <w:r w:rsidR="00F25B61" w:rsidRPr="005C021D">
        <w:rPr>
          <w:rFonts w:ascii="Palatino Linotype" w:eastAsia="Times New Roman" w:hAnsi="Palatino Linotype" w:cs="Arial"/>
          <w:bCs/>
          <w:color w:val="000000" w:themeColor="text1"/>
          <w:lang w:val="es-ES"/>
        </w:rPr>
        <w:t>turnó</w:t>
      </w:r>
      <w:r w:rsidR="005C7898" w:rsidRPr="005C021D">
        <w:rPr>
          <w:rFonts w:ascii="Palatino Linotype" w:eastAsia="Times New Roman" w:hAnsi="Palatino Linotype" w:cs="Arial"/>
          <w:bCs/>
          <w:color w:val="000000" w:themeColor="text1"/>
          <w:lang w:val="es-ES"/>
        </w:rPr>
        <w:t xml:space="preserve"> a l</w:t>
      </w:r>
      <w:r w:rsidR="00F25B61" w:rsidRPr="005C021D">
        <w:rPr>
          <w:rFonts w:ascii="Palatino Linotype" w:eastAsia="Times New Roman" w:hAnsi="Palatino Linotype" w:cs="Arial"/>
          <w:bCs/>
          <w:color w:val="000000" w:themeColor="text1"/>
          <w:lang w:val="es-ES"/>
        </w:rPr>
        <w:t>a</w:t>
      </w:r>
      <w:r w:rsidR="005C7898" w:rsidRPr="005C021D">
        <w:rPr>
          <w:rFonts w:ascii="Palatino Linotype" w:eastAsia="Times New Roman" w:hAnsi="Palatino Linotype" w:cs="Arial"/>
          <w:bCs/>
          <w:color w:val="000000" w:themeColor="text1"/>
          <w:lang w:val="es-ES"/>
        </w:rPr>
        <w:t xml:space="preserve"> </w:t>
      </w:r>
      <w:r w:rsidR="005C7898" w:rsidRPr="005C021D">
        <w:rPr>
          <w:rFonts w:ascii="Palatino Linotype" w:eastAsia="Times New Roman" w:hAnsi="Palatino Linotype" w:cs="Arial"/>
          <w:b/>
          <w:bCs/>
          <w:color w:val="000000" w:themeColor="text1"/>
          <w:lang w:val="es-ES"/>
        </w:rPr>
        <w:t>Comisionad</w:t>
      </w:r>
      <w:r w:rsidR="00F25B61" w:rsidRPr="005C021D">
        <w:rPr>
          <w:rFonts w:ascii="Palatino Linotype" w:eastAsia="Times New Roman" w:hAnsi="Palatino Linotype" w:cs="Arial"/>
          <w:b/>
          <w:bCs/>
          <w:color w:val="000000" w:themeColor="text1"/>
          <w:lang w:val="es-ES"/>
        </w:rPr>
        <w:t>a</w:t>
      </w:r>
      <w:r w:rsidR="005C7898" w:rsidRPr="005C021D">
        <w:rPr>
          <w:rFonts w:ascii="Palatino Linotype" w:eastAsia="Times New Roman" w:hAnsi="Palatino Linotype" w:cs="Arial"/>
          <w:b/>
          <w:bCs/>
          <w:color w:val="000000" w:themeColor="text1"/>
          <w:lang w:val="es-ES"/>
        </w:rPr>
        <w:t xml:space="preserve"> María del Rosario Mejía Ayala</w:t>
      </w:r>
      <w:r w:rsidR="00F25B61" w:rsidRPr="005C021D">
        <w:rPr>
          <w:rFonts w:ascii="Palatino Linotype" w:eastAsia="Times New Roman" w:hAnsi="Palatino Linotype" w:cs="Arial"/>
          <w:bCs/>
          <w:color w:val="000000" w:themeColor="text1"/>
          <w:lang w:val="es-ES"/>
        </w:rPr>
        <w:t>,</w:t>
      </w:r>
      <w:r w:rsidR="005C7898" w:rsidRPr="005C021D">
        <w:rPr>
          <w:rFonts w:ascii="Palatino Linotype" w:eastAsia="Times New Roman" w:hAnsi="Palatino Linotype" w:cs="Arial"/>
          <w:bCs/>
          <w:color w:val="000000" w:themeColor="text1"/>
          <w:lang w:val="es-ES"/>
        </w:rPr>
        <w:t xml:space="preserve"> con el objeto de </w:t>
      </w:r>
      <w:r w:rsidR="005C7898" w:rsidRPr="005C021D">
        <w:rPr>
          <w:rFonts w:ascii="Palatino Linotype" w:eastAsia="Times New Roman" w:hAnsi="Palatino Linotype" w:cs="Arial"/>
          <w:bCs/>
          <w:color w:val="000000" w:themeColor="text1"/>
        </w:rPr>
        <w:t>su análisis.</w:t>
      </w:r>
    </w:p>
    <w:p w14:paraId="23A01433" w14:textId="77777777" w:rsidR="005C7898" w:rsidRPr="005C021D"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2BD6E016" w:rsidR="00473F11" w:rsidRPr="005C021D" w:rsidRDefault="00357E36"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Hlk74251533"/>
      <w:r w:rsidRPr="005C021D">
        <w:rPr>
          <w:rFonts w:ascii="Palatino Linotype" w:eastAsia="Times New Roman" w:hAnsi="Palatino Linotype" w:cs="Arial"/>
          <w:color w:val="000000" w:themeColor="text1"/>
          <w:lang w:val="es-ES"/>
        </w:rPr>
        <w:t>La c</w:t>
      </w:r>
      <w:r w:rsidR="00F25B61" w:rsidRPr="005C021D">
        <w:rPr>
          <w:rFonts w:ascii="Palatino Linotype" w:eastAsia="Times New Roman" w:hAnsi="Palatino Linotype" w:cs="Arial"/>
          <w:color w:val="000000" w:themeColor="text1"/>
          <w:lang w:val="es-ES"/>
        </w:rPr>
        <w:t xml:space="preserve">omisionada </w:t>
      </w:r>
      <w:r w:rsidRPr="005C021D">
        <w:rPr>
          <w:rFonts w:ascii="Palatino Linotype" w:eastAsia="Times New Roman" w:hAnsi="Palatino Linotype" w:cs="Arial"/>
          <w:color w:val="000000" w:themeColor="text1"/>
          <w:lang w:val="es-ES"/>
        </w:rPr>
        <w:t>p</w:t>
      </w:r>
      <w:r w:rsidR="00F25B61" w:rsidRPr="005C021D">
        <w:rPr>
          <w:rFonts w:ascii="Palatino Linotype" w:eastAsia="Times New Roman" w:hAnsi="Palatino Linotype" w:cs="Arial"/>
          <w:color w:val="000000" w:themeColor="text1"/>
          <w:lang w:val="es-ES"/>
        </w:rPr>
        <w:t>onente</w:t>
      </w:r>
      <w:r w:rsidR="00473F11" w:rsidRPr="005C021D">
        <w:rPr>
          <w:rFonts w:ascii="Palatino Linotype" w:eastAsia="Calibri" w:hAnsi="Palatino Linotype" w:cs="Arial"/>
          <w:color w:val="000000" w:themeColor="text1"/>
          <w:lang w:val="es-ES"/>
        </w:rPr>
        <w:t>, con fundamento en lo dispuesto por el artículo 185</w:t>
      </w:r>
      <w:r w:rsidR="00F638B9" w:rsidRPr="005C021D">
        <w:rPr>
          <w:rFonts w:ascii="Palatino Linotype" w:eastAsia="Calibri" w:hAnsi="Palatino Linotype" w:cs="Arial"/>
          <w:color w:val="000000" w:themeColor="text1"/>
          <w:lang w:val="es-ES"/>
        </w:rPr>
        <w:t>,</w:t>
      </w:r>
      <w:r w:rsidR="00473F11" w:rsidRPr="005C021D">
        <w:rPr>
          <w:rFonts w:ascii="Palatino Linotype" w:eastAsia="Calibri" w:hAnsi="Palatino Linotype" w:cs="Arial"/>
          <w:color w:val="000000" w:themeColor="text1"/>
          <w:lang w:val="es-ES"/>
        </w:rPr>
        <w:t xml:space="preserve"> fracción II</w:t>
      </w:r>
      <w:r w:rsidR="00F638B9" w:rsidRPr="005C021D">
        <w:rPr>
          <w:rFonts w:ascii="Palatino Linotype" w:eastAsia="Calibri" w:hAnsi="Palatino Linotype" w:cs="Arial"/>
          <w:color w:val="000000" w:themeColor="text1"/>
          <w:lang w:val="es-ES"/>
        </w:rPr>
        <w:t>,</w:t>
      </w:r>
      <w:r w:rsidR="00473F11" w:rsidRPr="005C021D">
        <w:rPr>
          <w:rFonts w:ascii="Palatino Linotype" w:eastAsia="Calibri" w:hAnsi="Palatino Linotype" w:cs="Arial"/>
          <w:color w:val="000000" w:themeColor="text1"/>
          <w:lang w:val="es-ES"/>
        </w:rPr>
        <w:t xml:space="preserve"> de la </w:t>
      </w:r>
      <w:r w:rsidR="00F25B61" w:rsidRPr="005C021D">
        <w:rPr>
          <w:rFonts w:ascii="Palatino Linotype" w:eastAsia="Calibri" w:hAnsi="Palatino Linotype" w:cs="Arial"/>
          <w:color w:val="000000" w:themeColor="text1"/>
          <w:lang w:val="es-ES"/>
        </w:rPr>
        <w:t xml:space="preserve">Ley </w:t>
      </w:r>
      <w:r w:rsidR="00473F11" w:rsidRPr="005C021D">
        <w:rPr>
          <w:rFonts w:ascii="Palatino Linotype" w:eastAsia="Calibri" w:hAnsi="Palatino Linotype" w:cs="Arial"/>
          <w:color w:val="000000" w:themeColor="text1"/>
          <w:lang w:val="es-ES"/>
        </w:rPr>
        <w:t>de la materia, a través del acuerdo de admisión de</w:t>
      </w:r>
      <w:r w:rsidR="007E5A30" w:rsidRPr="005C021D">
        <w:rPr>
          <w:rFonts w:ascii="Palatino Linotype" w:eastAsia="Calibri" w:hAnsi="Palatino Linotype" w:cs="Arial"/>
          <w:color w:val="000000" w:themeColor="text1"/>
          <w:lang w:val="es-ES"/>
        </w:rPr>
        <w:t xml:space="preserve"> </w:t>
      </w:r>
      <w:r w:rsidR="00742D6A" w:rsidRPr="005C021D">
        <w:rPr>
          <w:rFonts w:ascii="Palatino Linotype" w:eastAsia="Calibri" w:hAnsi="Palatino Linotype" w:cs="Arial"/>
          <w:color w:val="000000" w:themeColor="text1"/>
          <w:lang w:val="es-ES"/>
        </w:rPr>
        <w:t xml:space="preserve">cinco (05) de junio de dos mil </w:t>
      </w:r>
      <w:r w:rsidR="0002032F" w:rsidRPr="005C021D">
        <w:rPr>
          <w:rFonts w:ascii="Palatino Linotype" w:eastAsia="Calibri" w:hAnsi="Palatino Linotype" w:cs="Arial"/>
          <w:color w:val="000000" w:themeColor="text1"/>
          <w:lang w:val="es-ES"/>
        </w:rPr>
        <w:t>veintitrés</w:t>
      </w:r>
      <w:r w:rsidR="00473F11" w:rsidRPr="005C021D">
        <w:rPr>
          <w:rFonts w:ascii="Palatino Linotype" w:eastAsia="Calibri" w:hAnsi="Palatino Linotype" w:cs="Arial"/>
          <w:color w:val="000000" w:themeColor="text1"/>
          <w:lang w:val="es-ES"/>
        </w:rPr>
        <w:t xml:space="preserve">, </w:t>
      </w:r>
      <w:r w:rsidR="00F25B61" w:rsidRPr="005C021D">
        <w:rPr>
          <w:rFonts w:ascii="Palatino Linotype" w:eastAsia="Calibri" w:hAnsi="Palatino Linotype" w:cs="Arial"/>
          <w:color w:val="000000" w:themeColor="text1"/>
          <w:lang w:val="es-ES"/>
        </w:rPr>
        <w:t>puso</w:t>
      </w:r>
      <w:r w:rsidR="00473F11" w:rsidRPr="005C021D">
        <w:rPr>
          <w:rFonts w:ascii="Palatino Linotype" w:eastAsia="Calibri" w:hAnsi="Palatino Linotype" w:cs="Arial"/>
          <w:color w:val="000000" w:themeColor="text1"/>
          <w:lang w:val="es-ES"/>
        </w:rPr>
        <w:t xml:space="preserve"> a disposición de las partes </w:t>
      </w:r>
      <w:r w:rsidR="00F25B61" w:rsidRPr="005C021D">
        <w:rPr>
          <w:rFonts w:ascii="Palatino Linotype" w:eastAsia="Calibri" w:hAnsi="Palatino Linotype" w:cs="Arial"/>
          <w:color w:val="000000" w:themeColor="text1"/>
          <w:lang w:val="es-ES"/>
        </w:rPr>
        <w:t>el expediente electrónico</w:t>
      </w:r>
      <w:r w:rsidR="00473F11" w:rsidRPr="005C021D">
        <w:rPr>
          <w:rFonts w:ascii="Palatino Linotype" w:eastAsia="Calibri" w:hAnsi="Palatino Linotype" w:cs="Arial"/>
          <w:color w:val="000000" w:themeColor="text1"/>
          <w:lang w:val="es-ES"/>
        </w:rPr>
        <w:t xml:space="preserve"> </w:t>
      </w:r>
      <w:r w:rsidR="00473F11" w:rsidRPr="005C021D">
        <w:rPr>
          <w:rFonts w:ascii="Palatino Linotype" w:eastAsia="Calibri" w:hAnsi="Palatino Linotype" w:cs="Arial"/>
          <w:color w:val="000000" w:themeColor="text1"/>
        </w:rPr>
        <w:t xml:space="preserve">vía </w:t>
      </w:r>
      <w:r w:rsidR="00E85FF3" w:rsidRPr="005C021D">
        <w:rPr>
          <w:rFonts w:ascii="Palatino Linotype" w:eastAsia="Calibri" w:hAnsi="Palatino Linotype" w:cs="Arial"/>
          <w:color w:val="000000" w:themeColor="text1"/>
          <w:lang w:val="es-ES"/>
        </w:rPr>
        <w:t xml:space="preserve">SAIMEX, </w:t>
      </w:r>
      <w:r w:rsidR="00473F11" w:rsidRPr="005C021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5C021D">
        <w:rPr>
          <w:rFonts w:ascii="Palatino Linotype" w:eastAsia="Calibri" w:hAnsi="Palatino Linotype" w:cs="Arial"/>
          <w:b/>
          <w:color w:val="000000" w:themeColor="text1"/>
          <w:lang w:val="es-ES"/>
        </w:rPr>
        <w:t>SUJETO OBLIGADO</w:t>
      </w:r>
      <w:r w:rsidRPr="005C021D">
        <w:rPr>
          <w:rFonts w:ascii="Palatino Linotype" w:eastAsia="Calibri" w:hAnsi="Palatino Linotype" w:cs="Arial"/>
          <w:b/>
          <w:color w:val="000000" w:themeColor="text1"/>
          <w:lang w:val="es-ES"/>
        </w:rPr>
        <w:t>,</w:t>
      </w:r>
      <w:r w:rsidR="00473F11" w:rsidRPr="005C021D">
        <w:rPr>
          <w:rFonts w:ascii="Palatino Linotype" w:eastAsia="Calibri" w:hAnsi="Palatino Linotype" w:cs="Arial"/>
          <w:color w:val="000000" w:themeColor="text1"/>
          <w:lang w:val="es-ES"/>
        </w:rPr>
        <w:t xml:space="preserve"> presentara </w:t>
      </w:r>
      <w:r w:rsidR="0002032F" w:rsidRPr="005C021D">
        <w:rPr>
          <w:rFonts w:ascii="Palatino Linotype" w:eastAsia="Calibri" w:hAnsi="Palatino Linotype" w:cs="Arial"/>
          <w:color w:val="000000" w:themeColor="text1"/>
          <w:lang w:val="es-ES"/>
        </w:rPr>
        <w:t>su Informe</w:t>
      </w:r>
      <w:r w:rsidR="00473F11" w:rsidRPr="005C021D">
        <w:rPr>
          <w:rFonts w:ascii="Palatino Linotype" w:eastAsia="Calibri" w:hAnsi="Palatino Linotype" w:cs="Arial"/>
          <w:color w:val="000000" w:themeColor="text1"/>
          <w:lang w:val="es-ES"/>
        </w:rPr>
        <w:t xml:space="preserve"> Justificado procedente</w:t>
      </w:r>
      <w:bookmarkEnd w:id="4"/>
      <w:r w:rsidR="00AE1CCB" w:rsidRPr="005C021D">
        <w:rPr>
          <w:rFonts w:ascii="Palatino Linotype" w:eastAsia="Calibri" w:hAnsi="Palatino Linotype" w:cs="Arial"/>
          <w:color w:val="000000" w:themeColor="text1"/>
          <w:lang w:val="es-ES"/>
        </w:rPr>
        <w:t>.</w:t>
      </w:r>
    </w:p>
    <w:p w14:paraId="12EBC051" w14:textId="77777777" w:rsidR="00CF15AD" w:rsidRPr="005C021D"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A5124D5" w14:textId="0021A388" w:rsidR="00CF15AD" w:rsidRPr="005C021D" w:rsidRDefault="0002032F"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C021D">
        <w:rPr>
          <w:rFonts w:ascii="Palatino Linotype" w:eastAsia="Calibri" w:hAnsi="Palatino Linotype" w:cs="Arial"/>
          <w:color w:val="000000" w:themeColor="text1"/>
          <w:lang w:val="es-ES"/>
        </w:rPr>
        <w:lastRenderedPageBreak/>
        <w:t>El doce (12)</w:t>
      </w:r>
      <w:r w:rsidR="00357E36" w:rsidRPr="005C021D">
        <w:rPr>
          <w:rFonts w:ascii="Palatino Linotype" w:eastAsia="Calibri" w:hAnsi="Palatino Linotype" w:cs="Arial"/>
          <w:color w:val="000000" w:themeColor="text1"/>
          <w:lang w:val="es-ES"/>
        </w:rPr>
        <w:t xml:space="preserve"> de junio de dos mil veintitrés</w:t>
      </w:r>
      <w:r w:rsidRPr="005C021D">
        <w:rPr>
          <w:rFonts w:ascii="Palatino Linotype" w:eastAsia="Calibri" w:hAnsi="Palatino Linotype" w:cs="Arial"/>
          <w:color w:val="000000" w:themeColor="text1"/>
          <w:lang w:val="es-ES"/>
        </w:rPr>
        <w:t xml:space="preserve"> el </w:t>
      </w:r>
      <w:r w:rsidRPr="005C021D">
        <w:rPr>
          <w:rFonts w:ascii="Palatino Linotype" w:eastAsia="Calibri" w:hAnsi="Palatino Linotype" w:cs="Arial"/>
          <w:b/>
          <w:color w:val="000000" w:themeColor="text1"/>
          <w:lang w:val="es-ES"/>
        </w:rPr>
        <w:t>SUJETO OBLIGADO</w:t>
      </w:r>
      <w:r w:rsidR="00357E36" w:rsidRPr="005C021D">
        <w:rPr>
          <w:rFonts w:ascii="Palatino Linotype" w:eastAsia="Calibri" w:hAnsi="Palatino Linotype" w:cs="Arial"/>
          <w:b/>
          <w:color w:val="000000" w:themeColor="text1"/>
          <w:lang w:val="es-ES"/>
        </w:rPr>
        <w:t>,</w:t>
      </w:r>
      <w:r w:rsidRPr="005C021D">
        <w:rPr>
          <w:rFonts w:ascii="Palatino Linotype" w:eastAsia="Calibri" w:hAnsi="Palatino Linotype" w:cs="Arial"/>
          <w:color w:val="000000" w:themeColor="text1"/>
          <w:lang w:val="es-ES"/>
        </w:rPr>
        <w:t xml:space="preserve"> presentó en vía de informe justificado, los siguientes archivos electrónicos:</w:t>
      </w:r>
    </w:p>
    <w:p w14:paraId="51BBB778" w14:textId="3DF943E7" w:rsidR="0002032F" w:rsidRPr="005C021D" w:rsidRDefault="0002032F" w:rsidP="0002032F">
      <w:pPr>
        <w:pStyle w:val="Prrafodelista"/>
        <w:numPr>
          <w:ilvl w:val="1"/>
          <w:numId w:val="1"/>
        </w:numPr>
        <w:tabs>
          <w:tab w:val="left" w:pos="426"/>
        </w:tabs>
        <w:spacing w:line="360" w:lineRule="auto"/>
        <w:ind w:left="1134"/>
        <w:jc w:val="both"/>
        <w:rPr>
          <w:rFonts w:ascii="Palatino Linotype" w:eastAsia="Calibri" w:hAnsi="Palatino Linotype" w:cs="Arial"/>
          <w:b/>
          <w:i/>
          <w:color w:val="000000" w:themeColor="text1"/>
          <w:lang w:val="es-ES"/>
        </w:rPr>
      </w:pPr>
      <w:r w:rsidRPr="005C021D">
        <w:rPr>
          <w:rFonts w:ascii="Palatino Linotype" w:eastAsia="Calibri" w:hAnsi="Palatino Linotype" w:cs="Arial"/>
          <w:b/>
          <w:i/>
          <w:color w:val="000000" w:themeColor="text1"/>
          <w:lang w:val="es-ES"/>
        </w:rPr>
        <w:t>“</w:t>
      </w:r>
      <w:proofErr w:type="spellStart"/>
      <w:r w:rsidRPr="005C021D">
        <w:rPr>
          <w:rFonts w:ascii="Palatino Linotype" w:eastAsia="Calibri" w:hAnsi="Palatino Linotype" w:cs="Arial"/>
          <w:b/>
          <w:i/>
          <w:color w:val="000000" w:themeColor="text1"/>
          <w:lang w:val="es-ES"/>
        </w:rPr>
        <w:t>Inf</w:t>
      </w:r>
      <w:proofErr w:type="spellEnd"/>
      <w:r w:rsidRPr="005C021D">
        <w:rPr>
          <w:rFonts w:ascii="Palatino Linotype" w:eastAsia="Calibri" w:hAnsi="Palatino Linotype" w:cs="Arial"/>
          <w:b/>
          <w:i/>
          <w:color w:val="000000" w:themeColor="text1"/>
          <w:lang w:val="es-ES"/>
        </w:rPr>
        <w:t xml:space="preserve"> </w:t>
      </w:r>
      <w:proofErr w:type="spellStart"/>
      <w:r w:rsidRPr="005C021D">
        <w:rPr>
          <w:rFonts w:ascii="Palatino Linotype" w:eastAsia="Calibri" w:hAnsi="Palatino Linotype" w:cs="Arial"/>
          <w:b/>
          <w:i/>
          <w:color w:val="000000" w:themeColor="text1"/>
          <w:lang w:val="es-ES"/>
        </w:rPr>
        <w:t>Just</w:t>
      </w:r>
      <w:proofErr w:type="spellEnd"/>
      <w:r w:rsidRPr="005C021D">
        <w:rPr>
          <w:rFonts w:ascii="Palatino Linotype" w:eastAsia="Calibri" w:hAnsi="Palatino Linotype" w:cs="Arial"/>
          <w:b/>
          <w:i/>
          <w:color w:val="000000" w:themeColor="text1"/>
          <w:lang w:val="es-ES"/>
        </w:rPr>
        <w:t xml:space="preserve"> Sip121.pdf”</w:t>
      </w:r>
      <w:r w:rsidRPr="005C021D">
        <w:rPr>
          <w:rFonts w:ascii="Palatino Linotype" w:eastAsia="Calibri" w:hAnsi="Palatino Linotype" w:cs="Arial"/>
          <w:color w:val="000000" w:themeColor="text1"/>
          <w:lang w:val="es-ES"/>
        </w:rPr>
        <w:t>: Documento de dos fojas consistente en la copia digitalizada del oficio número MMO/PM/</w:t>
      </w:r>
      <w:proofErr w:type="spellStart"/>
      <w:r w:rsidRPr="005C021D">
        <w:rPr>
          <w:rFonts w:ascii="Palatino Linotype" w:eastAsia="Calibri" w:hAnsi="Palatino Linotype" w:cs="Arial"/>
          <w:color w:val="000000" w:themeColor="text1"/>
          <w:lang w:val="es-ES"/>
        </w:rPr>
        <w:t>UTyAIP</w:t>
      </w:r>
      <w:proofErr w:type="spellEnd"/>
      <w:r w:rsidRPr="005C021D">
        <w:rPr>
          <w:rFonts w:ascii="Palatino Linotype" w:eastAsia="Calibri" w:hAnsi="Palatino Linotype" w:cs="Arial"/>
          <w:color w:val="000000" w:themeColor="text1"/>
          <w:lang w:val="es-ES"/>
        </w:rPr>
        <w:t xml:space="preserve">/194/2023, de ocho (08) de junio de dos mil veintitrés, suscrito por el Titular de la Unidad de Transparencia, y dirigido al ahora </w:t>
      </w:r>
      <w:r w:rsidRPr="005C021D">
        <w:rPr>
          <w:rFonts w:ascii="Palatino Linotype" w:eastAsia="Calibri" w:hAnsi="Palatino Linotype" w:cs="Arial"/>
          <w:b/>
          <w:color w:val="000000" w:themeColor="text1"/>
          <w:lang w:val="es-ES"/>
        </w:rPr>
        <w:t>RECURRENTE</w:t>
      </w:r>
      <w:r w:rsidRPr="005C021D">
        <w:rPr>
          <w:rFonts w:ascii="Palatino Linotype" w:eastAsia="Calibri" w:hAnsi="Palatino Linotype" w:cs="Arial"/>
          <w:color w:val="000000" w:themeColor="text1"/>
          <w:lang w:val="es-ES"/>
        </w:rPr>
        <w:t>, por medio del cual modifica su respuesta inicialmente otorgada y ofrece el Acuerdo de Versión Pública número 041/MELOCAMP/CT/SA/2023.</w:t>
      </w:r>
    </w:p>
    <w:p w14:paraId="1C949E8E" w14:textId="41E13EE9" w:rsidR="0002032F" w:rsidRPr="005C021D" w:rsidRDefault="0002032F" w:rsidP="0002032F">
      <w:pPr>
        <w:pStyle w:val="Prrafodelista"/>
        <w:numPr>
          <w:ilvl w:val="1"/>
          <w:numId w:val="1"/>
        </w:numPr>
        <w:tabs>
          <w:tab w:val="left" w:pos="426"/>
        </w:tabs>
        <w:spacing w:line="360" w:lineRule="auto"/>
        <w:ind w:left="1134"/>
        <w:jc w:val="both"/>
        <w:rPr>
          <w:rFonts w:ascii="Palatino Linotype" w:eastAsia="Calibri" w:hAnsi="Palatino Linotype" w:cs="Arial"/>
          <w:b/>
          <w:i/>
          <w:color w:val="000000" w:themeColor="text1"/>
          <w:lang w:val="es-ES"/>
        </w:rPr>
      </w:pPr>
      <w:r w:rsidRPr="005C021D">
        <w:rPr>
          <w:rFonts w:ascii="Palatino Linotype" w:eastAsia="Calibri" w:hAnsi="Palatino Linotype" w:cs="Arial"/>
          <w:b/>
          <w:i/>
          <w:color w:val="000000" w:themeColor="text1"/>
          <w:lang w:val="es-ES"/>
        </w:rPr>
        <w:t>“Acuerdo V.P. 041 SIP 121.pdf”</w:t>
      </w:r>
      <w:r w:rsidRPr="005C021D">
        <w:rPr>
          <w:rFonts w:ascii="Palatino Linotype" w:eastAsia="Calibri" w:hAnsi="Palatino Linotype" w:cs="Arial"/>
          <w:color w:val="000000" w:themeColor="text1"/>
          <w:lang w:val="es-ES"/>
        </w:rPr>
        <w:t>: Documento de seis fojas consistente en la copia digitalizada del Acuerdo del Comité de Transparencia número 041/MELOCAMP/CT/SA/2023, por el que se aprobó la versión pública del Acta de Cabildo en la que se aprobaron los programas sociales de mejoramiento de casa, tinacos con subsidio y calentadores solares a bajo costo.</w:t>
      </w:r>
    </w:p>
    <w:p w14:paraId="046CDBF0" w14:textId="77777777" w:rsidR="00BD7AEB" w:rsidRPr="005C021D" w:rsidRDefault="00BD7AE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9374E4D" w14:textId="258B3EA9" w:rsidR="0002032F" w:rsidRPr="005C021D" w:rsidRDefault="0002032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5" w:name="_Toc461555889"/>
      <w:bookmarkStart w:id="6" w:name="_Toc466371858"/>
      <w:r w:rsidRPr="005C021D">
        <w:rPr>
          <w:rFonts w:ascii="Palatino Linotype" w:eastAsia="Times New Roman" w:hAnsi="Palatino Linotype" w:cs="Arial"/>
          <w:color w:val="000000" w:themeColor="text1"/>
        </w:rPr>
        <w:t xml:space="preserve">El veintiuno (21) de junio de dos mil veintitrés, los archivos presentados por el </w:t>
      </w:r>
      <w:r w:rsidRPr="005C021D">
        <w:rPr>
          <w:rFonts w:ascii="Palatino Linotype" w:eastAsia="Times New Roman" w:hAnsi="Palatino Linotype" w:cs="Arial"/>
          <w:b/>
          <w:color w:val="000000" w:themeColor="text1"/>
        </w:rPr>
        <w:t>SUJETO OBLIGADO</w:t>
      </w:r>
      <w:r w:rsidR="00357E36" w:rsidRPr="005C021D">
        <w:rPr>
          <w:rFonts w:ascii="Palatino Linotype" w:eastAsia="Times New Roman" w:hAnsi="Palatino Linotype" w:cs="Arial"/>
          <w:b/>
          <w:color w:val="000000" w:themeColor="text1"/>
        </w:rPr>
        <w:t>,</w:t>
      </w:r>
      <w:r w:rsidRPr="005C021D">
        <w:rPr>
          <w:rFonts w:ascii="Palatino Linotype" w:eastAsia="Times New Roman" w:hAnsi="Palatino Linotype" w:cs="Arial"/>
          <w:color w:val="000000" w:themeColor="text1"/>
        </w:rPr>
        <w:t xml:space="preserve"> como informe justificado, se pusieron a la vista del </w:t>
      </w:r>
      <w:r w:rsidRPr="005C021D">
        <w:rPr>
          <w:rFonts w:ascii="Palatino Linotype" w:eastAsia="Times New Roman" w:hAnsi="Palatino Linotype" w:cs="Arial"/>
          <w:b/>
          <w:color w:val="000000" w:themeColor="text1"/>
        </w:rPr>
        <w:t>RECURRENTE</w:t>
      </w:r>
      <w:r w:rsidRPr="005C021D">
        <w:rPr>
          <w:rFonts w:ascii="Palatino Linotype" w:eastAsia="Times New Roman" w:hAnsi="Palatino Linotype" w:cs="Arial"/>
          <w:color w:val="000000" w:themeColor="text1"/>
        </w:rPr>
        <w:t xml:space="preserve">, concediéndole un término de tres días hábiles a fin de que manifestara lo que a su derecho convenga. Empero, de las constancias que obran dentro del apartado de </w:t>
      </w:r>
      <w:r w:rsidRPr="005C021D">
        <w:rPr>
          <w:rFonts w:ascii="Palatino Linotype" w:eastAsia="Times New Roman" w:hAnsi="Palatino Linotype" w:cs="Arial"/>
          <w:i/>
          <w:color w:val="000000" w:themeColor="text1"/>
        </w:rPr>
        <w:t>Manifestaciones</w:t>
      </w:r>
      <w:r w:rsidRPr="005C021D">
        <w:rPr>
          <w:rFonts w:ascii="Palatino Linotype" w:eastAsia="Times New Roman" w:hAnsi="Palatino Linotype" w:cs="Arial"/>
          <w:color w:val="000000" w:themeColor="text1"/>
        </w:rPr>
        <w:t xml:space="preserve"> del SAIMEX, se advierte que el particular no ejerció su derecho de réplica respecto de los nuevos contenidos.</w:t>
      </w:r>
    </w:p>
    <w:p w14:paraId="3C329E3C" w14:textId="77777777" w:rsidR="0002032F" w:rsidRPr="005C021D" w:rsidRDefault="0002032F" w:rsidP="0002032F">
      <w:pPr>
        <w:pStyle w:val="Prrafodelista"/>
        <w:tabs>
          <w:tab w:val="left" w:pos="426"/>
        </w:tabs>
        <w:spacing w:line="360" w:lineRule="auto"/>
        <w:ind w:left="0"/>
        <w:jc w:val="both"/>
        <w:rPr>
          <w:rFonts w:ascii="Palatino Linotype" w:hAnsi="Palatino Linotype"/>
          <w:color w:val="000000" w:themeColor="text1"/>
        </w:rPr>
      </w:pPr>
    </w:p>
    <w:p w14:paraId="713C69FA" w14:textId="0BE4D79A" w:rsidR="00AE1CCB" w:rsidRPr="005C021D" w:rsidRDefault="0002032F"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C021D">
        <w:rPr>
          <w:rFonts w:ascii="Palatino Linotype" w:eastAsia="Times New Roman" w:hAnsi="Palatino Linotype" w:cs="Arial"/>
          <w:color w:val="000000" w:themeColor="text1"/>
        </w:rPr>
        <w:t>F</w:t>
      </w:r>
      <w:r w:rsidR="00795FC5" w:rsidRPr="005C021D">
        <w:rPr>
          <w:rFonts w:ascii="Palatino Linotype" w:eastAsia="Times New Roman" w:hAnsi="Palatino Linotype" w:cs="Arial"/>
          <w:color w:val="000000" w:themeColor="text1"/>
        </w:rPr>
        <w:t xml:space="preserve">inalmente, el </w:t>
      </w:r>
      <w:r w:rsidRPr="005C021D">
        <w:rPr>
          <w:rFonts w:ascii="Palatino Linotype" w:eastAsia="Times New Roman" w:hAnsi="Palatino Linotype" w:cs="Arial"/>
          <w:color w:val="000000" w:themeColor="text1"/>
        </w:rPr>
        <w:t>veintinueve (29</w:t>
      </w:r>
      <w:r w:rsidR="0003261D" w:rsidRPr="005C021D">
        <w:rPr>
          <w:rFonts w:ascii="Palatino Linotype" w:eastAsia="Times New Roman" w:hAnsi="Palatino Linotype" w:cs="Arial"/>
          <w:color w:val="000000" w:themeColor="text1"/>
        </w:rPr>
        <w:t xml:space="preserve">) de junio </w:t>
      </w:r>
      <w:r w:rsidR="007E72D5" w:rsidRPr="005C021D">
        <w:rPr>
          <w:rFonts w:ascii="Palatino Linotype" w:eastAsia="Times New Roman" w:hAnsi="Palatino Linotype" w:cs="Arial"/>
          <w:color w:val="000000" w:themeColor="text1"/>
        </w:rPr>
        <w:t>de dos mil veintitrés</w:t>
      </w:r>
      <w:r w:rsidR="001E0672" w:rsidRPr="005C021D">
        <w:rPr>
          <w:rFonts w:ascii="Palatino Linotype" w:eastAsia="Times New Roman" w:hAnsi="Palatino Linotype" w:cs="Arial"/>
          <w:color w:val="000000" w:themeColor="text1"/>
        </w:rPr>
        <w:t xml:space="preserve">, </w:t>
      </w:r>
      <w:r w:rsidR="00AE1CCB" w:rsidRPr="005C021D">
        <w:rPr>
          <w:rFonts w:ascii="Palatino Linotype" w:hAnsi="Palatino Linotype" w:cs="Arial"/>
          <w:color w:val="000000" w:themeColor="text1"/>
        </w:rPr>
        <w:t xml:space="preserve">la Comisionada Ponente decretó el cierre del periodo de instrucción, por lo que ordenó turnar </w:t>
      </w:r>
      <w:r w:rsidR="008A7F1F" w:rsidRPr="005C021D">
        <w:rPr>
          <w:rFonts w:ascii="Palatino Linotype" w:hAnsi="Palatino Linotype" w:cs="Arial"/>
          <w:color w:val="000000" w:themeColor="text1"/>
        </w:rPr>
        <w:t>el expediente</w:t>
      </w:r>
      <w:r w:rsidR="004D5BA4" w:rsidRPr="005C021D">
        <w:rPr>
          <w:rFonts w:ascii="Palatino Linotype" w:hAnsi="Palatino Linotype" w:cs="Arial"/>
          <w:color w:val="000000" w:themeColor="text1"/>
        </w:rPr>
        <w:t xml:space="preserve"> </w:t>
      </w:r>
      <w:r w:rsidR="00AE1CCB" w:rsidRPr="005C021D">
        <w:rPr>
          <w:rFonts w:ascii="Palatino Linotype" w:hAnsi="Palatino Linotype" w:cs="Arial"/>
          <w:color w:val="000000" w:themeColor="text1"/>
        </w:rPr>
        <w:t>para su resolució</w:t>
      </w:r>
      <w:r w:rsidR="009A7F61" w:rsidRPr="005C021D">
        <w:rPr>
          <w:rFonts w:ascii="Palatino Linotype" w:hAnsi="Palatino Linotype" w:cs="Arial"/>
          <w:color w:val="000000" w:themeColor="text1"/>
        </w:rPr>
        <w:t>n, misma que ahora se pronuncia; y ------------------------</w:t>
      </w:r>
    </w:p>
    <w:p w14:paraId="2D281E58" w14:textId="77777777" w:rsidR="008A74F2" w:rsidRPr="005C021D"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5C021D" w:rsidRDefault="007C0013" w:rsidP="00B31E90">
      <w:pPr>
        <w:pStyle w:val="Ttulo1"/>
        <w:spacing w:before="0"/>
        <w:jc w:val="center"/>
        <w:rPr>
          <w:b/>
          <w:color w:val="000000" w:themeColor="text1"/>
        </w:rPr>
      </w:pPr>
      <w:bookmarkStart w:id="7" w:name="_Toc88071777"/>
      <w:r w:rsidRPr="005C021D">
        <w:rPr>
          <w:b/>
          <w:color w:val="000000" w:themeColor="text1"/>
        </w:rPr>
        <w:t>C</w:t>
      </w:r>
      <w:r w:rsidR="00EE696E" w:rsidRPr="005C021D">
        <w:rPr>
          <w:b/>
          <w:color w:val="000000" w:themeColor="text1"/>
        </w:rPr>
        <w:t xml:space="preserve"> </w:t>
      </w:r>
      <w:r w:rsidRPr="005C021D">
        <w:rPr>
          <w:b/>
          <w:color w:val="000000" w:themeColor="text1"/>
        </w:rPr>
        <w:t>O</w:t>
      </w:r>
      <w:r w:rsidR="00EE696E" w:rsidRPr="005C021D">
        <w:rPr>
          <w:b/>
          <w:color w:val="000000" w:themeColor="text1"/>
        </w:rPr>
        <w:t xml:space="preserve"> </w:t>
      </w:r>
      <w:r w:rsidRPr="005C021D">
        <w:rPr>
          <w:b/>
          <w:color w:val="000000" w:themeColor="text1"/>
        </w:rPr>
        <w:t>N</w:t>
      </w:r>
      <w:r w:rsidR="00EE696E" w:rsidRPr="005C021D">
        <w:rPr>
          <w:b/>
          <w:color w:val="000000" w:themeColor="text1"/>
        </w:rPr>
        <w:t xml:space="preserve"> </w:t>
      </w:r>
      <w:r w:rsidRPr="005C021D">
        <w:rPr>
          <w:b/>
          <w:color w:val="000000" w:themeColor="text1"/>
        </w:rPr>
        <w:t>S</w:t>
      </w:r>
      <w:r w:rsidR="00EE696E" w:rsidRPr="005C021D">
        <w:rPr>
          <w:b/>
          <w:color w:val="000000" w:themeColor="text1"/>
        </w:rPr>
        <w:t xml:space="preserve"> </w:t>
      </w:r>
      <w:r w:rsidRPr="005C021D">
        <w:rPr>
          <w:b/>
          <w:color w:val="000000" w:themeColor="text1"/>
        </w:rPr>
        <w:t>I</w:t>
      </w:r>
      <w:r w:rsidR="00EE696E" w:rsidRPr="005C021D">
        <w:rPr>
          <w:b/>
          <w:color w:val="000000" w:themeColor="text1"/>
        </w:rPr>
        <w:t xml:space="preserve"> </w:t>
      </w:r>
      <w:r w:rsidRPr="005C021D">
        <w:rPr>
          <w:b/>
          <w:color w:val="000000" w:themeColor="text1"/>
        </w:rPr>
        <w:t>D</w:t>
      </w:r>
      <w:r w:rsidR="00EE696E" w:rsidRPr="005C021D">
        <w:rPr>
          <w:b/>
          <w:color w:val="000000" w:themeColor="text1"/>
        </w:rPr>
        <w:t xml:space="preserve"> </w:t>
      </w:r>
      <w:r w:rsidRPr="005C021D">
        <w:rPr>
          <w:b/>
          <w:color w:val="000000" w:themeColor="text1"/>
        </w:rPr>
        <w:t>E</w:t>
      </w:r>
      <w:r w:rsidR="00EE696E" w:rsidRPr="005C021D">
        <w:rPr>
          <w:b/>
          <w:color w:val="000000" w:themeColor="text1"/>
        </w:rPr>
        <w:t xml:space="preserve"> </w:t>
      </w:r>
      <w:r w:rsidRPr="005C021D">
        <w:rPr>
          <w:b/>
          <w:color w:val="000000" w:themeColor="text1"/>
        </w:rPr>
        <w:t>R</w:t>
      </w:r>
      <w:r w:rsidR="00EE696E" w:rsidRPr="005C021D">
        <w:rPr>
          <w:b/>
          <w:color w:val="000000" w:themeColor="text1"/>
        </w:rPr>
        <w:t xml:space="preserve"> </w:t>
      </w:r>
      <w:r w:rsidRPr="005C021D">
        <w:rPr>
          <w:b/>
          <w:color w:val="000000" w:themeColor="text1"/>
        </w:rPr>
        <w:t>A</w:t>
      </w:r>
      <w:r w:rsidR="00EE696E" w:rsidRPr="005C021D">
        <w:rPr>
          <w:b/>
          <w:color w:val="000000" w:themeColor="text1"/>
        </w:rPr>
        <w:t xml:space="preserve"> </w:t>
      </w:r>
      <w:r w:rsidRPr="005C021D">
        <w:rPr>
          <w:b/>
          <w:color w:val="000000" w:themeColor="text1"/>
        </w:rPr>
        <w:t>N</w:t>
      </w:r>
      <w:r w:rsidR="00EE696E" w:rsidRPr="005C021D">
        <w:rPr>
          <w:b/>
          <w:color w:val="000000" w:themeColor="text1"/>
        </w:rPr>
        <w:t xml:space="preserve"> </w:t>
      </w:r>
      <w:r w:rsidRPr="005C021D">
        <w:rPr>
          <w:b/>
          <w:color w:val="000000" w:themeColor="text1"/>
        </w:rPr>
        <w:t>D</w:t>
      </w:r>
      <w:r w:rsidR="00EE696E" w:rsidRPr="005C021D">
        <w:rPr>
          <w:b/>
          <w:color w:val="000000" w:themeColor="text1"/>
        </w:rPr>
        <w:t xml:space="preserve"> </w:t>
      </w:r>
      <w:r w:rsidRPr="005C021D">
        <w:rPr>
          <w:b/>
          <w:color w:val="000000" w:themeColor="text1"/>
        </w:rPr>
        <w:t>O</w:t>
      </w:r>
      <w:bookmarkEnd w:id="5"/>
      <w:bookmarkEnd w:id="6"/>
      <w:bookmarkEnd w:id="7"/>
    </w:p>
    <w:p w14:paraId="435CF9A4" w14:textId="77777777" w:rsidR="00FC1DA7" w:rsidRPr="005C021D" w:rsidRDefault="00FC1DA7" w:rsidP="00B31E90">
      <w:pPr>
        <w:rPr>
          <w:color w:val="000000" w:themeColor="text1"/>
          <w:lang w:eastAsia="en-US"/>
        </w:rPr>
      </w:pPr>
    </w:p>
    <w:p w14:paraId="629A5BE2" w14:textId="1FC05436" w:rsidR="007C0013" w:rsidRPr="005C021D"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88071778"/>
      <w:r w:rsidRPr="005C021D">
        <w:rPr>
          <w:rFonts w:ascii="Palatino Linotype" w:hAnsi="Palatino Linotype"/>
          <w:b/>
          <w:color w:val="000000" w:themeColor="text1"/>
          <w:sz w:val="24"/>
        </w:rPr>
        <w:t>PRIMERO. De la competencia</w:t>
      </w:r>
      <w:bookmarkEnd w:id="8"/>
      <w:bookmarkEnd w:id="9"/>
      <w:bookmarkEnd w:id="10"/>
    </w:p>
    <w:p w14:paraId="60FBD8C7" w14:textId="77777777" w:rsidR="00FC1DA7" w:rsidRPr="005C021D" w:rsidRDefault="00FC1DA7" w:rsidP="00B31E90">
      <w:pPr>
        <w:rPr>
          <w:rFonts w:ascii="Palatino Linotype" w:hAnsi="Palatino Linotype"/>
          <w:color w:val="000000" w:themeColor="text1"/>
          <w:lang w:eastAsia="en-US"/>
        </w:rPr>
      </w:pPr>
    </w:p>
    <w:p w14:paraId="0BF52B18" w14:textId="6074C6C5" w:rsidR="005A228F" w:rsidRPr="005C021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C021D">
        <w:rPr>
          <w:rFonts w:ascii="Palatino Linotype" w:eastAsia="Calibri" w:hAnsi="Palatino Linotype" w:cs="Times New Roman"/>
          <w:color w:val="000000" w:themeColor="text1"/>
          <w:lang w:val="es-ES"/>
        </w:rPr>
        <w:t xml:space="preserve">Este </w:t>
      </w:r>
      <w:r w:rsidR="00637D69" w:rsidRPr="005C021D">
        <w:rPr>
          <w:rFonts w:ascii="Palatino Linotype" w:eastAsia="Calibri" w:hAnsi="Palatino Linotype" w:cs="Times New Roman"/>
          <w:color w:val="000000" w:themeColor="text1"/>
        </w:rPr>
        <w:t xml:space="preserve">Instituto de Transparencia, Acceso a la Información Pública y Protección de Datos Personales del Estado de México, es competente para conocer y resolver el presente recurso de revisión interpuesto por </w:t>
      </w:r>
      <w:r w:rsidR="0002032F" w:rsidRPr="005C021D">
        <w:rPr>
          <w:rFonts w:ascii="Palatino Linotype" w:eastAsia="Calibri" w:hAnsi="Palatino Linotype" w:cs="Times New Roman"/>
          <w:color w:val="000000" w:themeColor="text1"/>
        </w:rPr>
        <w:t>el</w:t>
      </w:r>
      <w:r w:rsidR="00637D69" w:rsidRPr="005C021D">
        <w:rPr>
          <w:rFonts w:ascii="Palatino Linotype" w:eastAsia="Calibri" w:hAnsi="Palatino Linotype" w:cs="Times New Roman"/>
          <w:color w:val="000000" w:themeColor="text1"/>
        </w:rPr>
        <w:t xml:space="preserve"> </w:t>
      </w:r>
      <w:r w:rsidR="00637D69" w:rsidRPr="005C021D">
        <w:rPr>
          <w:rFonts w:ascii="Palatino Linotype" w:eastAsia="Calibri" w:hAnsi="Palatino Linotype" w:cs="Times New Roman"/>
          <w:b/>
          <w:color w:val="000000" w:themeColor="text1"/>
        </w:rPr>
        <w:t>RECURRENTE</w:t>
      </w:r>
      <w:r w:rsidR="00637D69" w:rsidRPr="005C021D">
        <w:rPr>
          <w:rFonts w:ascii="Palatino Linotype" w:eastAsia="Calibri" w:hAnsi="Palatino Linotype" w:cs="Times New Roman"/>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956B329" w14:textId="77777777" w:rsidR="00B76C73" w:rsidRPr="005C021D"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C021D" w:rsidRDefault="007C0013" w:rsidP="00B31E90">
      <w:pPr>
        <w:pStyle w:val="Ttulo2"/>
        <w:tabs>
          <w:tab w:val="left" w:pos="426"/>
        </w:tabs>
        <w:spacing w:before="0"/>
        <w:rPr>
          <w:rFonts w:ascii="Palatino Linotype" w:hAnsi="Palatino Linotype"/>
          <w:b/>
          <w:color w:val="000000" w:themeColor="text1"/>
          <w:sz w:val="24"/>
        </w:rPr>
      </w:pPr>
      <w:bookmarkStart w:id="11" w:name="_Toc461555891"/>
      <w:bookmarkStart w:id="12" w:name="_Toc466371860"/>
      <w:bookmarkStart w:id="13" w:name="_Toc88071779"/>
      <w:r w:rsidRPr="005C021D">
        <w:rPr>
          <w:rFonts w:ascii="Palatino Linotype" w:hAnsi="Palatino Linotype"/>
          <w:b/>
          <w:color w:val="000000" w:themeColor="text1"/>
          <w:sz w:val="24"/>
        </w:rPr>
        <w:t>SEGUNDO. De la oportunidad y proced</w:t>
      </w:r>
      <w:r w:rsidR="00F35C44" w:rsidRPr="005C021D">
        <w:rPr>
          <w:rFonts w:ascii="Palatino Linotype" w:hAnsi="Palatino Linotype"/>
          <w:b/>
          <w:color w:val="000000" w:themeColor="text1"/>
          <w:sz w:val="24"/>
        </w:rPr>
        <w:t>encia</w:t>
      </w:r>
      <w:r w:rsidRPr="005C021D">
        <w:rPr>
          <w:rFonts w:ascii="Palatino Linotype" w:hAnsi="Palatino Linotype"/>
          <w:b/>
          <w:color w:val="000000" w:themeColor="text1"/>
          <w:sz w:val="24"/>
        </w:rPr>
        <w:t>.</w:t>
      </w:r>
      <w:bookmarkEnd w:id="11"/>
      <w:bookmarkEnd w:id="12"/>
      <w:bookmarkEnd w:id="13"/>
    </w:p>
    <w:p w14:paraId="18E22450" w14:textId="77777777" w:rsidR="00C6440A" w:rsidRPr="005C021D" w:rsidRDefault="00C6440A" w:rsidP="00B31E90">
      <w:pPr>
        <w:rPr>
          <w:color w:val="000000" w:themeColor="text1"/>
          <w:lang w:eastAsia="en-US"/>
        </w:rPr>
      </w:pPr>
    </w:p>
    <w:p w14:paraId="1DAE4B2B" w14:textId="69EF9599" w:rsidR="008A7F1F" w:rsidRPr="005C021D"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5C021D">
        <w:rPr>
          <w:rFonts w:ascii="Palatino Linotype" w:eastAsia="Calibri" w:hAnsi="Palatino Linotype" w:cs="Arial"/>
          <w:color w:val="000000" w:themeColor="text1"/>
        </w:rPr>
        <w:t>El</w:t>
      </w:r>
      <w:r w:rsidR="003E6D0F" w:rsidRPr="005C021D">
        <w:rPr>
          <w:rFonts w:ascii="Palatino Linotype" w:eastAsia="Calibri" w:hAnsi="Palatino Linotype" w:cs="Arial"/>
          <w:color w:val="000000" w:themeColor="text1"/>
        </w:rPr>
        <w:t xml:space="preserve"> </w:t>
      </w:r>
      <w:r w:rsidRPr="005C021D">
        <w:rPr>
          <w:rFonts w:ascii="Palatino Linotype" w:eastAsia="Calibri" w:hAnsi="Palatino Linotype" w:cs="Arial"/>
        </w:rPr>
        <w:t>medio de impugnación fue presentado a través del SAIMEX</w:t>
      </w:r>
      <w:r w:rsidRPr="005C021D">
        <w:rPr>
          <w:rFonts w:ascii="Palatino Linotype" w:eastAsia="Calibri" w:hAnsi="Palatino Linotype" w:cs="Arial"/>
          <w:b/>
        </w:rPr>
        <w:t>,</w:t>
      </w:r>
      <w:r w:rsidRPr="005C021D">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5C021D">
        <w:rPr>
          <w:rFonts w:ascii="Palatino Linotype" w:eastAsia="Calibri" w:hAnsi="Palatino Linotype" w:cs="Arial"/>
          <w:b/>
        </w:rPr>
        <w:t>SUJETO OBLIGADO</w:t>
      </w:r>
      <w:r w:rsidR="00357E36" w:rsidRPr="005C021D">
        <w:rPr>
          <w:rFonts w:ascii="Palatino Linotype" w:eastAsia="Calibri" w:hAnsi="Palatino Linotype" w:cs="Arial"/>
          <w:b/>
        </w:rPr>
        <w:t>,</w:t>
      </w:r>
      <w:r w:rsidRPr="005C021D">
        <w:rPr>
          <w:rFonts w:ascii="Palatino Linotype" w:eastAsia="Calibri" w:hAnsi="Palatino Linotype" w:cs="Arial"/>
        </w:rPr>
        <w:t xml:space="preserve"> entregó respuesta el </w:t>
      </w:r>
      <w:r w:rsidR="00F9708E" w:rsidRPr="005C021D">
        <w:rPr>
          <w:rFonts w:ascii="Palatino Linotype" w:eastAsia="Calibri" w:hAnsi="Palatino Linotype" w:cs="Arial"/>
        </w:rPr>
        <w:t>uno (01) de junio</w:t>
      </w:r>
      <w:r w:rsidR="005F3894" w:rsidRPr="005C021D">
        <w:rPr>
          <w:rFonts w:ascii="Palatino Linotype" w:eastAsia="Calibri" w:hAnsi="Palatino Linotype" w:cs="Arial"/>
        </w:rPr>
        <w:t xml:space="preserve"> de dos mil veintitrés</w:t>
      </w:r>
      <w:r w:rsidRPr="005C021D">
        <w:rPr>
          <w:rFonts w:ascii="Palatino Linotype" w:eastAsia="Calibri" w:hAnsi="Palatino Linotype" w:cs="Arial"/>
        </w:rPr>
        <w:t xml:space="preserve">, el plazo para interponer el recurso de revisión trascurrió del </w:t>
      </w:r>
      <w:r w:rsidR="00F9708E" w:rsidRPr="005C021D">
        <w:rPr>
          <w:rFonts w:ascii="Palatino Linotype" w:eastAsia="Calibri" w:hAnsi="Palatino Linotype" w:cs="Arial"/>
        </w:rPr>
        <w:t>dos (02) al veintidós (22</w:t>
      </w:r>
      <w:r w:rsidR="00486566" w:rsidRPr="005C021D">
        <w:rPr>
          <w:rFonts w:ascii="Palatino Linotype" w:eastAsia="Calibri" w:hAnsi="Palatino Linotype" w:cs="Arial"/>
        </w:rPr>
        <w:t>)</w:t>
      </w:r>
      <w:r w:rsidR="006C15A0" w:rsidRPr="005C021D">
        <w:rPr>
          <w:rFonts w:ascii="Palatino Linotype" w:eastAsia="Calibri" w:hAnsi="Palatino Linotype" w:cs="Arial"/>
        </w:rPr>
        <w:t xml:space="preserve"> de junio</w:t>
      </w:r>
      <w:r w:rsidR="007E72D5" w:rsidRPr="005C021D">
        <w:rPr>
          <w:rFonts w:ascii="Palatino Linotype" w:eastAsia="Calibri" w:hAnsi="Palatino Linotype" w:cs="Arial"/>
        </w:rPr>
        <w:t xml:space="preserve"> </w:t>
      </w:r>
      <w:r w:rsidRPr="005C021D">
        <w:rPr>
          <w:rFonts w:ascii="Palatino Linotype" w:eastAsia="Calibri" w:hAnsi="Palatino Linotype" w:cs="Arial"/>
        </w:rPr>
        <w:t xml:space="preserve">de dos mil veintidós; sin contemplar en el cómputo los </w:t>
      </w:r>
      <w:r w:rsidR="007E72D5" w:rsidRPr="005C021D">
        <w:rPr>
          <w:rFonts w:ascii="Palatino Linotype" w:eastAsia="Calibri" w:hAnsi="Palatino Linotype" w:cs="Arial"/>
        </w:rPr>
        <w:t>sábado</w:t>
      </w:r>
      <w:r w:rsidR="00093A7F" w:rsidRPr="005C021D">
        <w:rPr>
          <w:rFonts w:ascii="Palatino Linotype" w:eastAsia="Calibri" w:hAnsi="Palatino Linotype" w:cs="Arial"/>
        </w:rPr>
        <w:t>s</w:t>
      </w:r>
      <w:r w:rsidR="00BF22B8" w:rsidRPr="005C021D">
        <w:rPr>
          <w:rFonts w:ascii="Palatino Linotype" w:eastAsia="Calibri" w:hAnsi="Palatino Linotype" w:cs="Arial"/>
        </w:rPr>
        <w:t xml:space="preserve"> y </w:t>
      </w:r>
      <w:r w:rsidR="007E72D5" w:rsidRPr="005C021D">
        <w:rPr>
          <w:rFonts w:ascii="Palatino Linotype" w:eastAsia="Calibri" w:hAnsi="Palatino Linotype" w:cs="Arial"/>
        </w:rPr>
        <w:t>domingos</w:t>
      </w:r>
      <w:r w:rsidR="003A2CF7" w:rsidRPr="005C021D">
        <w:rPr>
          <w:rFonts w:ascii="Palatino Linotype" w:eastAsia="Calibri" w:hAnsi="Palatino Linotype" w:cs="Arial"/>
        </w:rPr>
        <w:t>,</w:t>
      </w:r>
      <w:r w:rsidRPr="005C021D">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5C021D"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2666509F" w14:textId="0FC12427" w:rsidR="00740BA4"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De las constancias que obran dentro del expediente digital formado en el SAIMEX, se aprecia que la </w:t>
      </w:r>
      <w:r w:rsidRPr="005C021D">
        <w:rPr>
          <w:rFonts w:ascii="Palatino Linotype" w:eastAsia="Calibri" w:hAnsi="Palatino Linotype" w:cs="Arial"/>
          <w:b/>
        </w:rPr>
        <w:t>RECURRENTE</w:t>
      </w:r>
      <w:r w:rsidRPr="005C021D">
        <w:rPr>
          <w:rFonts w:ascii="Palatino Linotype" w:eastAsia="Calibri" w:hAnsi="Palatino Linotype" w:cs="Arial"/>
        </w:rPr>
        <w:t xml:space="preserve"> presentó su inconformidad el uno (01) de junio de dos mil veintitrés; esto es, un día antes de que iniciara el plazo precitado, circunstancia que no es determinante para declarar extemporaneidad, toda vez que el tiempo concedido es para delimitar el término en que se puede impugnar las respuestas, luego entonces, no impide que se presente antes de iniciado el plazo concedido.</w:t>
      </w:r>
    </w:p>
    <w:p w14:paraId="50F073D0"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27C3C64" w14:textId="2B430479"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Al </w:t>
      </w:r>
      <w:r w:rsidRPr="005C021D">
        <w:rPr>
          <w:rFonts w:ascii="Palatino Linotype" w:eastAsia="Calibri" w:hAnsi="Palatino Linotype" w:cs="Arial"/>
          <w:color w:val="000000" w:themeColor="text1"/>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w:t>
      </w:r>
      <w:r w:rsidRPr="005C021D">
        <w:rPr>
          <w:rStyle w:val="Refdenotaalpie"/>
          <w:rFonts w:ascii="Palatino Linotype" w:eastAsia="Calibri" w:hAnsi="Palatino Linotype" w:cs="Arial"/>
          <w:color w:val="000000" w:themeColor="text1"/>
        </w:rPr>
        <w:footnoteReference w:id="2"/>
      </w:r>
      <w:r w:rsidRPr="005C021D">
        <w:rPr>
          <w:rFonts w:ascii="Palatino Linotype" w:eastAsia="Calibri" w:hAnsi="Palatino Linotype" w:cs="Arial"/>
          <w:color w:val="000000" w:themeColor="text1"/>
        </w:rPr>
        <w:t>;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3397D2D9"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25913C" w14:textId="110A102E"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Discernimiento </w:t>
      </w:r>
      <w:r w:rsidRPr="005C021D">
        <w:rPr>
          <w:rFonts w:ascii="Palatino Linotype" w:hAnsi="Palatino Linotype" w:cs="Arial"/>
        </w:rPr>
        <w:t xml:space="preserve">de este Órgano Garante que se robustece con la jurisprudencia número 1a./J. 41/2015 (10a.), Décima Época, sustentada por la Primera Sala de la </w:t>
      </w:r>
      <w:r w:rsidRPr="005C021D">
        <w:rPr>
          <w:rFonts w:ascii="Palatino Linotype" w:hAnsi="Palatino Linotype" w:cs="Arial"/>
        </w:rPr>
        <w:lastRenderedPageBreak/>
        <w:t>Suprema Corte de Justicia de la Nación, visible en la página 569, libro 19, tomo I, de la Gaceta del Semanario Judicial de la Federación, del mes de junio de 2015, cuyo rubro y texto disponen:</w:t>
      </w:r>
    </w:p>
    <w:p w14:paraId="628091F7"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8D902E4" w14:textId="77777777" w:rsidR="00F9708E" w:rsidRPr="005C021D" w:rsidRDefault="00F9708E" w:rsidP="00F9708E">
      <w:pPr>
        <w:pStyle w:val="Prrafodelista"/>
        <w:spacing w:line="276" w:lineRule="auto"/>
        <w:ind w:left="567" w:right="567"/>
        <w:jc w:val="both"/>
        <w:rPr>
          <w:rFonts w:ascii="Palatino Linotype" w:hAnsi="Palatino Linotype" w:cs="Arial"/>
          <w:bCs/>
          <w:color w:val="000000" w:themeColor="text1"/>
          <w:sz w:val="22"/>
          <w:szCs w:val="22"/>
          <w:lang w:eastAsia="es-MX"/>
        </w:rPr>
      </w:pPr>
      <w:r w:rsidRPr="005C021D">
        <w:rPr>
          <w:rFonts w:ascii="Palatino Linotype" w:hAnsi="Palatino Linotype" w:cs="Arial"/>
          <w:b/>
          <w:bCs/>
          <w:i/>
          <w:color w:val="000000" w:themeColor="text1"/>
          <w:sz w:val="22"/>
          <w:szCs w:val="22"/>
          <w:lang w:eastAsia="es-MX"/>
        </w:rPr>
        <w:t>RECURSO DE RECLAMACIÓN. SU INTERPOSICIÓN NO ES EXTEMPORÁNEA SI SE REALIZA ANTES DE QUE INICIE EL PLAZO PARA HACERLO.</w:t>
      </w:r>
      <w:r w:rsidRPr="005C021D">
        <w:rPr>
          <w:rFonts w:ascii="Palatino Linotype"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78755FA"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F2EDF6A" w14:textId="2D4D9C2E"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Esto </w:t>
      </w:r>
      <w:r w:rsidRPr="005C021D">
        <w:rPr>
          <w:rFonts w:ascii="Palatino Linotype" w:hAnsi="Palatino Linotype" w:cs="Arial"/>
        </w:rPr>
        <w:t xml:space="preserve">es así porque, en primer lugar, es necesario que la </w:t>
      </w:r>
      <w:r w:rsidRPr="005C021D">
        <w:rPr>
          <w:rFonts w:ascii="Palatino Linotype" w:hAnsi="Palatino Linotype" w:cs="Arial"/>
          <w:b/>
        </w:rPr>
        <w:t>RECURRENTE</w:t>
      </w:r>
      <w:r w:rsidRPr="005C021D">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la </w:t>
      </w:r>
      <w:r w:rsidRPr="005C021D">
        <w:rPr>
          <w:rFonts w:ascii="Palatino Linotype" w:hAnsi="Palatino Linotype" w:cs="Arial"/>
          <w:b/>
        </w:rPr>
        <w:t>RECURRENTE</w:t>
      </w:r>
      <w:r w:rsidRPr="005C021D">
        <w:rPr>
          <w:rFonts w:ascii="Palatino Linotype" w:hAnsi="Palatino Linotype" w:cs="Arial"/>
        </w:rPr>
        <w:t xml:space="preserve"> actúe, ya que, por el contrario, lo que demuestra es el interés de ésta para ejercer su derecho bajo el principio constitucional de justicia expedita.</w:t>
      </w:r>
    </w:p>
    <w:p w14:paraId="796CA757"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B2A961" w14:textId="09335A36"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Por </w:t>
      </w:r>
      <w:r w:rsidRPr="005C021D">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585CA30C"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D96A60A" w14:textId="274B0801"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lastRenderedPageBreak/>
        <w:t xml:space="preserve">Así, </w:t>
      </w:r>
      <w:r w:rsidRPr="005C021D">
        <w:rPr>
          <w:rFonts w:ascii="Palatino Linotype" w:hAnsi="Palatino Linotype" w:cs="Arial"/>
        </w:rPr>
        <w:t xml:space="preserve">la interposición del recurso de revisión antes de que inicie el plazo para su presentación no es determinante para declararlo extemporáneo, siempre y cuando ello ocurra de manera posterior a que se haya notificad la respuesta del </w:t>
      </w:r>
      <w:r w:rsidRPr="005C021D">
        <w:rPr>
          <w:rFonts w:ascii="Palatino Linotype" w:hAnsi="Palatino Linotype" w:cs="Arial"/>
          <w:b/>
        </w:rPr>
        <w:t>SUJETO OBLIGADO</w:t>
      </w:r>
      <w:r w:rsidR="00357E36" w:rsidRPr="005C021D">
        <w:rPr>
          <w:rFonts w:ascii="Palatino Linotype" w:hAnsi="Palatino Linotype" w:cs="Arial"/>
          <w:b/>
        </w:rPr>
        <w:t>,</w:t>
      </w:r>
      <w:r w:rsidRPr="005C021D">
        <w:rPr>
          <w:rFonts w:ascii="Palatino Linotype" w:hAnsi="Palatino Linotype" w:cs="Arial"/>
          <w:bCs/>
        </w:rPr>
        <w:t xml:space="preserve"> -tal como ocurre en el presente asunto-.</w:t>
      </w:r>
    </w:p>
    <w:p w14:paraId="74E7F9AB"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7B8A88B" w14:textId="717C4B93"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Por </w:t>
      </w:r>
      <w:r w:rsidRPr="005C021D">
        <w:rPr>
          <w:rFonts w:ascii="Palatino Linotype" w:hAnsi="Palatino Linotype" w:cs="Arial"/>
          <w:bCs/>
        </w:rPr>
        <w:t xml:space="preserve">otro lado, de la revisión al  expediente electrónico contenido en el sistema </w:t>
      </w:r>
      <w:r w:rsidRPr="005C021D">
        <w:rPr>
          <w:rFonts w:ascii="Palatino Linotype" w:hAnsi="Palatino Linotype" w:cs="Arial"/>
          <w:b/>
          <w:bCs/>
        </w:rPr>
        <w:t>SAIMEX,</w:t>
      </w:r>
      <w:r w:rsidRPr="005C021D">
        <w:rPr>
          <w:rFonts w:ascii="Palatino Linotype" w:hAnsi="Palatino Linotype" w:cs="Arial"/>
          <w:bCs/>
        </w:rPr>
        <w:t xml:space="preserve"> se desprende que la parte solicitante, en ejercicio de su derecho de acceso a la información pública dentro del expediente que se revisa, tanto en la solicitud de información como en el recurso de revisión, no señaló su nombre, ni se tiene certeza sobre su identidad;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2620E0F"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6C20F86" w14:textId="79F4FD59" w:rsidR="00F9708E" w:rsidRPr="005C021D" w:rsidRDefault="00F9708E" w:rsidP="00F9708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Esto </w:t>
      </w:r>
      <w:r w:rsidRPr="005C021D">
        <w:rPr>
          <w:rFonts w:ascii="Palatino Linotype" w:hAnsi="Palatino Linotype" w:cs="Arial"/>
          <w:bCs/>
        </w:rPr>
        <w:t>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FBF323C" w14:textId="57CDBF22"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lastRenderedPageBreak/>
        <w:t xml:space="preserve">Por </w:t>
      </w:r>
      <w:r w:rsidRPr="005C021D">
        <w:rPr>
          <w:rFonts w:ascii="Palatino Linotype" w:hAnsi="Palatino Linotype" w:cs="Arial"/>
          <w:bC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DA3264"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C4ED886" w14:textId="33EE67FF"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Asimismo, </w:t>
      </w:r>
      <w:r w:rsidRPr="005C021D">
        <w:rPr>
          <w:rFonts w:ascii="Palatino Linotype" w:hAnsi="Palatino Linotype" w:cs="Arial"/>
          <w:bCs/>
        </w:rPr>
        <w:t>como lo establece la Convención Americana, en su artículo 13, el derecho de acceso a la información es un derecho humano universal y, en consecuencia, toda persona tiene derecho a solicitar acceso a la información.</w:t>
      </w:r>
    </w:p>
    <w:p w14:paraId="16CC0555"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D63713C" w14:textId="57B6BD63"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De </w:t>
      </w:r>
      <w:r w:rsidRPr="005C021D">
        <w:rPr>
          <w:rFonts w:ascii="Palatino Linotype" w:hAnsi="Palatino Linotype" w:cs="Arial"/>
          <w:bC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BF53E5C" w14:textId="77777777" w:rsidR="00F9708E" w:rsidRPr="005C021D" w:rsidRDefault="00F9708E" w:rsidP="00F9708E">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91BA82" w14:textId="6EADC45E" w:rsidR="00F9708E" w:rsidRPr="005C021D" w:rsidRDefault="00F9708E"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C021D">
        <w:rPr>
          <w:rFonts w:ascii="Palatino Linotype" w:eastAsia="Calibri" w:hAnsi="Palatino Linotype" w:cs="Arial"/>
        </w:rPr>
        <w:t xml:space="preserve">Por </w:t>
      </w:r>
      <w:r w:rsidRPr="005C021D">
        <w:rPr>
          <w:rFonts w:ascii="Palatino Linotype" w:hAnsi="Palatino Linotype" w:cs="Arial"/>
          <w:bCs/>
        </w:rPr>
        <w:t xml:space="preserve">lo tanto, el nombre del </w:t>
      </w:r>
      <w:r w:rsidRPr="005C021D">
        <w:rPr>
          <w:rFonts w:ascii="Palatino Linotype" w:hAnsi="Palatino Linotype" w:cs="Arial"/>
          <w:b/>
          <w:bCs/>
        </w:rPr>
        <w:t>SOLICITANTE</w:t>
      </w:r>
      <w:r w:rsidRPr="005C021D">
        <w:rPr>
          <w:rFonts w:ascii="Palatino Linotype" w:hAnsi="Palatino Linotype" w:cs="Arial"/>
          <w:bCs/>
        </w:rPr>
        <w:t xml:space="preserve"> y subsecuente </w:t>
      </w:r>
      <w:r w:rsidRPr="005C021D">
        <w:rPr>
          <w:rFonts w:ascii="Palatino Linotype" w:hAnsi="Palatino Linotype" w:cs="Arial"/>
          <w:b/>
          <w:bCs/>
        </w:rPr>
        <w:t>RECURRENTE</w:t>
      </w:r>
      <w:r w:rsidRPr="005C021D">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9CCEA40" w14:textId="77777777" w:rsidR="00774AB3" w:rsidRPr="005C021D"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5C021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C021D">
        <w:rPr>
          <w:rFonts w:ascii="Palatino Linotype" w:eastAsia="Calibri" w:hAnsi="Palatino Linotype" w:cs="Arial"/>
          <w:color w:val="000000" w:themeColor="text1"/>
        </w:rPr>
        <w:lastRenderedPageBreak/>
        <w:t xml:space="preserve">Consecuencia de lo anterior, </w:t>
      </w:r>
      <w:r w:rsidR="00566BC5" w:rsidRPr="005C021D">
        <w:rPr>
          <w:rFonts w:ascii="Palatino Linotype" w:eastAsia="Calibri" w:hAnsi="Palatino Linotype" w:cs="Arial"/>
          <w:color w:val="000000" w:themeColor="text1"/>
        </w:rPr>
        <w:t>este Órgano Garante</w:t>
      </w:r>
      <w:r w:rsidRPr="005C021D">
        <w:rPr>
          <w:rFonts w:ascii="Palatino Linotype" w:eastAsia="Calibri" w:hAnsi="Palatino Linotype" w:cs="Arial"/>
          <w:color w:val="000000" w:themeColor="text1"/>
        </w:rPr>
        <w:t xml:space="preserve"> advierte que </w:t>
      </w:r>
      <w:r w:rsidR="00FB2EE1" w:rsidRPr="005C021D">
        <w:rPr>
          <w:rFonts w:ascii="Palatino Linotype" w:eastAsia="Calibri" w:hAnsi="Palatino Linotype" w:cs="Arial"/>
          <w:color w:val="000000" w:themeColor="text1"/>
        </w:rPr>
        <w:t>el</w:t>
      </w:r>
      <w:r w:rsidR="00540208" w:rsidRPr="005C021D">
        <w:rPr>
          <w:rFonts w:ascii="Palatino Linotype" w:eastAsia="Calibri" w:hAnsi="Palatino Linotype" w:cs="Arial"/>
          <w:color w:val="000000" w:themeColor="text1"/>
        </w:rPr>
        <w:t xml:space="preserve"> </w:t>
      </w:r>
      <w:r w:rsidR="00FB2EE1" w:rsidRPr="005C021D">
        <w:rPr>
          <w:rFonts w:ascii="Palatino Linotype" w:eastAsia="Calibri" w:hAnsi="Palatino Linotype" w:cs="Arial"/>
          <w:color w:val="000000" w:themeColor="text1"/>
        </w:rPr>
        <w:t xml:space="preserve">escrito </w:t>
      </w:r>
      <w:r w:rsidR="00540208" w:rsidRPr="005C021D">
        <w:rPr>
          <w:rFonts w:ascii="Palatino Linotype" w:eastAsia="Calibri" w:hAnsi="Palatino Linotype" w:cs="Arial"/>
          <w:color w:val="000000" w:themeColor="text1"/>
        </w:rPr>
        <w:t>contiene las formalidades previstas por el artículo 180</w:t>
      </w:r>
      <w:r w:rsidR="00FB2EE1" w:rsidRPr="005C021D">
        <w:rPr>
          <w:rFonts w:ascii="Palatino Linotype" w:eastAsia="Calibri" w:hAnsi="Palatino Linotype" w:cs="Arial"/>
          <w:color w:val="000000" w:themeColor="text1"/>
        </w:rPr>
        <w:t>,</w:t>
      </w:r>
      <w:r w:rsidR="00540208" w:rsidRPr="005C021D">
        <w:rPr>
          <w:rFonts w:ascii="Palatino Linotype" w:eastAsia="Calibri" w:hAnsi="Palatino Linotype" w:cs="Arial"/>
          <w:color w:val="000000" w:themeColor="text1"/>
        </w:rPr>
        <w:t xml:space="preserve"> último párrafo</w:t>
      </w:r>
      <w:r w:rsidR="00FB2EE1" w:rsidRPr="005C021D">
        <w:rPr>
          <w:rFonts w:ascii="Palatino Linotype" w:eastAsia="Calibri" w:hAnsi="Palatino Linotype" w:cs="Arial"/>
          <w:color w:val="000000" w:themeColor="text1"/>
        </w:rPr>
        <w:t>,</w:t>
      </w:r>
      <w:r w:rsidR="00540208" w:rsidRPr="005C021D">
        <w:rPr>
          <w:rFonts w:ascii="Palatino Linotype" w:eastAsia="Calibri" w:hAnsi="Palatino Linotype" w:cs="Arial"/>
          <w:color w:val="000000" w:themeColor="text1"/>
        </w:rPr>
        <w:t xml:space="preserve"> de la Ley </w:t>
      </w:r>
      <w:r w:rsidR="004911B6" w:rsidRPr="005C021D">
        <w:rPr>
          <w:rFonts w:ascii="Palatino Linotype" w:eastAsia="Calibri" w:hAnsi="Palatino Linotype" w:cs="Arial"/>
          <w:color w:val="000000" w:themeColor="text1"/>
        </w:rPr>
        <w:t>de Transparencia y Acceso a la Información Pública del Estado de México y Municipios</w:t>
      </w:r>
      <w:r w:rsidR="00540208" w:rsidRPr="005C021D">
        <w:rPr>
          <w:rFonts w:ascii="Palatino Linotype" w:eastAsia="Calibri" w:hAnsi="Palatino Linotype" w:cs="Arial"/>
          <w:color w:val="000000" w:themeColor="text1"/>
        </w:rPr>
        <w:t xml:space="preserve">, por lo que es procedente que </w:t>
      </w:r>
      <w:r w:rsidR="004911B6" w:rsidRPr="005C021D">
        <w:rPr>
          <w:rFonts w:ascii="Palatino Linotype" w:eastAsia="Calibri" w:hAnsi="Palatino Linotype" w:cs="Arial"/>
          <w:color w:val="000000" w:themeColor="text1"/>
        </w:rPr>
        <w:t>e</w:t>
      </w:r>
      <w:r w:rsidR="00540208" w:rsidRPr="005C021D">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5C021D">
        <w:rPr>
          <w:rFonts w:ascii="Palatino Linotype" w:eastAsia="Calibri" w:hAnsi="Palatino Linotype" w:cs="Arial"/>
          <w:color w:val="000000" w:themeColor="text1"/>
        </w:rPr>
        <w:t xml:space="preserve">Municipios, conozca y resuelva </w:t>
      </w:r>
      <w:r w:rsidR="00FB2EE1" w:rsidRPr="005C021D">
        <w:rPr>
          <w:rFonts w:ascii="Palatino Linotype" w:eastAsia="Calibri" w:hAnsi="Palatino Linotype" w:cs="Arial"/>
          <w:color w:val="000000" w:themeColor="text1"/>
        </w:rPr>
        <w:t>el</w:t>
      </w:r>
      <w:r w:rsidR="00540208" w:rsidRPr="005C021D">
        <w:rPr>
          <w:rFonts w:ascii="Palatino Linotype" w:eastAsia="Calibri" w:hAnsi="Palatino Linotype" w:cs="Arial"/>
          <w:color w:val="000000" w:themeColor="text1"/>
        </w:rPr>
        <w:t xml:space="preserve"> presente recurso.</w:t>
      </w:r>
    </w:p>
    <w:p w14:paraId="316CB621" w14:textId="77777777" w:rsidR="00710B50" w:rsidRPr="005C021D"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5C021D"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4" w:name="_Toc88071780"/>
      <w:r w:rsidRPr="005C021D">
        <w:rPr>
          <w:rFonts w:ascii="Palatino Linotype" w:hAnsi="Palatino Linotype"/>
          <w:b/>
          <w:color w:val="000000" w:themeColor="text1"/>
        </w:rPr>
        <w:t xml:space="preserve">TERCERO. </w:t>
      </w:r>
      <w:r w:rsidR="00D5750C" w:rsidRPr="005C021D">
        <w:rPr>
          <w:rFonts w:ascii="Palatino Linotype" w:hAnsi="Palatino Linotype"/>
          <w:b/>
          <w:color w:val="000000" w:themeColor="text1"/>
        </w:rPr>
        <w:t xml:space="preserve">Del planteamiento de la </w:t>
      </w:r>
      <w:r w:rsidR="00D5750C" w:rsidRPr="005C021D">
        <w:rPr>
          <w:rFonts w:ascii="Palatino Linotype" w:hAnsi="Palatino Linotype"/>
          <w:b/>
          <w:i/>
          <w:color w:val="000000" w:themeColor="text1"/>
        </w:rPr>
        <w:t>Litis</w:t>
      </w:r>
      <w:r w:rsidRPr="005C021D">
        <w:rPr>
          <w:rFonts w:ascii="Palatino Linotype" w:hAnsi="Palatino Linotype"/>
          <w:b/>
          <w:color w:val="000000" w:themeColor="text1"/>
        </w:rPr>
        <w:t>.</w:t>
      </w:r>
      <w:bookmarkEnd w:id="14"/>
    </w:p>
    <w:p w14:paraId="4FB84CAD" w14:textId="77777777" w:rsidR="00CA62D4" w:rsidRPr="005C021D"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46A8296E" w:rsidR="0056788F" w:rsidRPr="005C021D" w:rsidRDefault="002F0EB7" w:rsidP="00A3606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5" w:name="_Toc459174366"/>
      <w:bookmarkStart w:id="16" w:name="_Toc459659884"/>
      <w:bookmarkStart w:id="17" w:name="_Toc461687280"/>
      <w:bookmarkStart w:id="18" w:name="_Toc462771051"/>
      <w:bookmarkStart w:id="19" w:name="_Toc464139201"/>
      <w:r w:rsidRPr="005C021D">
        <w:rPr>
          <w:rFonts w:ascii="Palatino Linotype" w:hAnsi="Palatino Linotype" w:cs="Arial"/>
          <w:color w:val="000000" w:themeColor="text1"/>
        </w:rPr>
        <w:t>Se</w:t>
      </w:r>
      <w:r w:rsidR="00F9708E" w:rsidRPr="005C021D">
        <w:rPr>
          <w:rFonts w:ascii="Palatino Linotype" w:hAnsi="Palatino Linotype" w:cs="Arial"/>
          <w:color w:val="000000" w:themeColor="text1"/>
        </w:rPr>
        <w:t xml:space="preserve"> requirió el Acuerdo de Cabildo en el que se aprobaran los programas sociales de mejoramiento en casa, tinacos con subsidio y calentadores solares a bajo costo. </w:t>
      </w:r>
      <w:r w:rsidR="006D57BE" w:rsidRPr="005C021D">
        <w:rPr>
          <w:rFonts w:ascii="Palatino Linotype" w:hAnsi="Palatino Linotype" w:cs="Arial"/>
          <w:color w:val="000000" w:themeColor="text1"/>
        </w:rPr>
        <w:t>E</w:t>
      </w:r>
      <w:r w:rsidR="00E50385" w:rsidRPr="005C021D">
        <w:rPr>
          <w:rFonts w:ascii="Palatino Linotype" w:hAnsi="Palatino Linotype" w:cs="Arial"/>
          <w:color w:val="000000" w:themeColor="text1"/>
        </w:rPr>
        <w:t xml:space="preserve">l </w:t>
      </w:r>
      <w:r w:rsidR="00E50385" w:rsidRPr="005C021D">
        <w:rPr>
          <w:rFonts w:ascii="Palatino Linotype" w:hAnsi="Palatino Linotype" w:cs="Arial"/>
          <w:b/>
          <w:color w:val="000000" w:themeColor="text1"/>
        </w:rPr>
        <w:t>SUJETO OBLIGADO</w:t>
      </w:r>
      <w:r w:rsidR="00357E36" w:rsidRPr="005C021D">
        <w:rPr>
          <w:rFonts w:ascii="Palatino Linotype" w:hAnsi="Palatino Linotype" w:cs="Arial"/>
          <w:b/>
          <w:color w:val="000000" w:themeColor="text1"/>
        </w:rPr>
        <w:t>,</w:t>
      </w:r>
      <w:r w:rsidR="00E50385" w:rsidRPr="005C021D">
        <w:rPr>
          <w:rFonts w:ascii="Palatino Linotype" w:hAnsi="Palatino Linotype" w:cs="Arial"/>
          <w:color w:val="000000" w:themeColor="text1"/>
        </w:rPr>
        <w:t xml:space="preserve"> </w:t>
      </w:r>
      <w:r w:rsidR="00F9708E" w:rsidRPr="005C021D">
        <w:rPr>
          <w:rFonts w:ascii="Palatino Linotype" w:hAnsi="Palatino Linotype" w:cs="Arial"/>
          <w:color w:val="000000" w:themeColor="text1"/>
        </w:rPr>
        <w:t>entregó, en versión pública, la copia digitalizada del Acta de la Cuadragésima Quinta Sesión Ordinaria de Cabildo, celebrada el veinticinco (25) de enero de dos mil veintitrés.</w:t>
      </w:r>
    </w:p>
    <w:p w14:paraId="384AFD18" w14:textId="77777777" w:rsidR="00117D31" w:rsidRPr="005C021D" w:rsidRDefault="00117D31" w:rsidP="00117D31">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656499CC" w:rsidR="00117D31" w:rsidRPr="005C021D"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021D">
        <w:rPr>
          <w:rFonts w:ascii="Palatino Linotype" w:hAnsi="Palatino Linotype" w:cs="Arial"/>
          <w:color w:val="000000" w:themeColor="text1"/>
        </w:rPr>
        <w:t>El</w:t>
      </w:r>
      <w:r w:rsidR="00117D31" w:rsidRPr="005C021D">
        <w:rPr>
          <w:rFonts w:ascii="Palatino Linotype" w:hAnsi="Palatino Linotype" w:cs="Arial"/>
          <w:color w:val="000000" w:themeColor="text1"/>
        </w:rPr>
        <w:t xml:space="preserve"> particular impugnó la respuesta del </w:t>
      </w:r>
      <w:r w:rsidR="00117D31" w:rsidRPr="005C021D">
        <w:rPr>
          <w:rFonts w:ascii="Palatino Linotype" w:hAnsi="Palatino Linotype" w:cs="Arial"/>
          <w:b/>
          <w:bCs/>
          <w:color w:val="000000" w:themeColor="text1"/>
        </w:rPr>
        <w:t>SUJETO OBLIGADO</w:t>
      </w:r>
      <w:r w:rsidR="00117D31" w:rsidRPr="005C021D">
        <w:rPr>
          <w:rFonts w:ascii="Palatino Linotype" w:hAnsi="Palatino Linotype" w:cs="Arial"/>
          <w:color w:val="000000" w:themeColor="text1"/>
        </w:rPr>
        <w:t>, mediante el recurso de revisión con número indicado al rubro, y en el que señaló</w:t>
      </w:r>
      <w:r w:rsidR="008472A9" w:rsidRPr="005C021D">
        <w:rPr>
          <w:rFonts w:ascii="Palatino Linotype" w:hAnsi="Palatino Linotype" w:cs="Arial"/>
          <w:color w:val="000000" w:themeColor="text1"/>
        </w:rPr>
        <w:t xml:space="preserve"> por agravios, </w:t>
      </w:r>
      <w:r w:rsidR="00F9708E" w:rsidRPr="005C021D">
        <w:rPr>
          <w:rFonts w:ascii="Palatino Linotype" w:hAnsi="Palatino Linotype" w:cs="Arial"/>
          <w:color w:val="000000" w:themeColor="text1"/>
        </w:rPr>
        <w:t>la clasificación de la información</w:t>
      </w:r>
      <w:r w:rsidR="00DA0B95" w:rsidRPr="005C021D">
        <w:rPr>
          <w:rFonts w:ascii="Palatino Linotype" w:hAnsi="Palatino Linotype" w:cs="Arial"/>
          <w:color w:val="000000" w:themeColor="text1"/>
        </w:rPr>
        <w:t>.</w:t>
      </w:r>
    </w:p>
    <w:p w14:paraId="52493E42" w14:textId="77777777" w:rsidR="0056788F" w:rsidRPr="005C021D"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C4A4298" w:rsidR="001A032D" w:rsidRPr="005C021D"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021D">
        <w:rPr>
          <w:rFonts w:ascii="Palatino Linotype" w:hAnsi="Palatino Linotype" w:cs="Arial"/>
          <w:color w:val="000000" w:themeColor="text1"/>
        </w:rPr>
        <w:t xml:space="preserve">En ese sentido, </w:t>
      </w:r>
      <w:r w:rsidR="00566BC5" w:rsidRPr="005C021D">
        <w:rPr>
          <w:rFonts w:ascii="Palatino Linotype" w:hAnsi="Palatino Linotype" w:cs="Arial"/>
          <w:color w:val="000000" w:themeColor="text1"/>
        </w:rPr>
        <w:t>este Órgano Garante</w:t>
      </w:r>
      <w:r w:rsidR="002E160F" w:rsidRPr="005C021D">
        <w:rPr>
          <w:rFonts w:ascii="Palatino Linotype" w:hAnsi="Palatino Linotype" w:cs="Arial"/>
          <w:color w:val="000000" w:themeColor="text1"/>
        </w:rPr>
        <w:t xml:space="preserve"> advierte que las razones o motivos de inconformidad manifestados por el </w:t>
      </w:r>
      <w:r w:rsidRPr="005C021D">
        <w:rPr>
          <w:rFonts w:ascii="Palatino Linotype" w:hAnsi="Palatino Linotype" w:cs="Arial"/>
          <w:b/>
          <w:bCs/>
          <w:color w:val="000000" w:themeColor="text1"/>
        </w:rPr>
        <w:t>RECURRENTE</w:t>
      </w:r>
      <w:r w:rsidRPr="005C021D">
        <w:rPr>
          <w:rFonts w:ascii="Palatino Linotype" w:hAnsi="Palatino Linotype" w:cs="Arial"/>
          <w:color w:val="000000" w:themeColor="text1"/>
        </w:rPr>
        <w:t xml:space="preserve"> </w:t>
      </w:r>
      <w:r w:rsidR="002E160F" w:rsidRPr="005C021D">
        <w:rPr>
          <w:rFonts w:ascii="Palatino Linotype" w:hAnsi="Palatino Linotype" w:cs="Arial"/>
          <w:color w:val="000000" w:themeColor="text1"/>
        </w:rPr>
        <w:t>sugieren que la respuesta proporcionada</w:t>
      </w:r>
      <w:r w:rsidR="00B855AA" w:rsidRPr="005C021D">
        <w:rPr>
          <w:rFonts w:ascii="Palatino Linotype" w:hAnsi="Palatino Linotype" w:cs="Arial"/>
          <w:color w:val="000000" w:themeColor="text1"/>
        </w:rPr>
        <w:t xml:space="preserve"> por el </w:t>
      </w:r>
      <w:r w:rsidR="00B855AA" w:rsidRPr="005C021D">
        <w:rPr>
          <w:rFonts w:ascii="Palatino Linotype" w:hAnsi="Palatino Linotype" w:cs="Arial"/>
          <w:b/>
          <w:bCs/>
          <w:color w:val="000000" w:themeColor="text1"/>
        </w:rPr>
        <w:t>SUJETO OBLIGADO</w:t>
      </w:r>
      <w:r w:rsidR="00357E36" w:rsidRPr="005C021D">
        <w:rPr>
          <w:rFonts w:ascii="Palatino Linotype" w:hAnsi="Palatino Linotype" w:cs="Arial"/>
          <w:b/>
          <w:bCs/>
          <w:color w:val="000000" w:themeColor="text1"/>
        </w:rPr>
        <w:t>,</w:t>
      </w:r>
      <w:r w:rsidR="007409D8" w:rsidRPr="005C021D">
        <w:rPr>
          <w:rFonts w:ascii="Palatino Linotype" w:hAnsi="Palatino Linotype" w:cs="Arial"/>
          <w:color w:val="000000" w:themeColor="text1"/>
        </w:rPr>
        <w:t xml:space="preserve"> no </w:t>
      </w:r>
      <w:r w:rsidR="006D57BE" w:rsidRPr="005C021D">
        <w:rPr>
          <w:rFonts w:ascii="Palatino Linotype" w:hAnsi="Palatino Linotype" w:cs="Arial"/>
          <w:color w:val="000000" w:themeColor="text1"/>
        </w:rPr>
        <w:t>cumplió</w:t>
      </w:r>
      <w:r w:rsidR="00B855AA" w:rsidRPr="005C021D">
        <w:rPr>
          <w:rFonts w:ascii="Palatino Linotype" w:hAnsi="Palatino Linotype" w:cs="Arial"/>
          <w:color w:val="000000" w:themeColor="text1"/>
        </w:rPr>
        <w:t xml:space="preserve"> con </w:t>
      </w:r>
      <w:r w:rsidR="008F7752" w:rsidRPr="005C021D">
        <w:rPr>
          <w:rFonts w:ascii="Palatino Linotype" w:hAnsi="Palatino Linotype" w:cs="Arial"/>
          <w:color w:val="000000" w:themeColor="text1"/>
        </w:rPr>
        <w:t>los</w:t>
      </w:r>
      <w:r w:rsidR="00B855AA" w:rsidRPr="005C021D">
        <w:rPr>
          <w:rFonts w:ascii="Palatino Linotype" w:hAnsi="Palatino Linotype" w:cs="Arial"/>
          <w:color w:val="000000" w:themeColor="text1"/>
        </w:rPr>
        <w:t xml:space="preserve"> principio</w:t>
      </w:r>
      <w:r w:rsidR="008F7752" w:rsidRPr="005C021D">
        <w:rPr>
          <w:rFonts w:ascii="Palatino Linotype" w:hAnsi="Palatino Linotype" w:cs="Arial"/>
          <w:color w:val="000000" w:themeColor="text1"/>
        </w:rPr>
        <w:t>s</w:t>
      </w:r>
      <w:r w:rsidR="00B855AA" w:rsidRPr="005C021D">
        <w:rPr>
          <w:rFonts w:ascii="Palatino Linotype" w:hAnsi="Palatino Linotype" w:cs="Arial"/>
          <w:color w:val="000000" w:themeColor="text1"/>
        </w:rPr>
        <w:t xml:space="preserve"> contendido</w:t>
      </w:r>
      <w:r w:rsidR="008F7752" w:rsidRPr="005C021D">
        <w:rPr>
          <w:rFonts w:ascii="Palatino Linotype" w:hAnsi="Palatino Linotype" w:cs="Arial"/>
          <w:color w:val="000000" w:themeColor="text1"/>
        </w:rPr>
        <w:t>s</w:t>
      </w:r>
      <w:r w:rsidR="00B855AA" w:rsidRPr="005C021D">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5C021D">
        <w:rPr>
          <w:rFonts w:ascii="Palatino Linotype" w:hAnsi="Palatino Linotype" w:cs="Arial"/>
          <w:color w:val="000000" w:themeColor="text1"/>
        </w:rPr>
        <w:t>os</w:t>
      </w:r>
      <w:r w:rsidR="00B855AA" w:rsidRPr="005C021D">
        <w:rPr>
          <w:rFonts w:ascii="Palatino Linotype" w:hAnsi="Palatino Linotype" w:cs="Arial"/>
          <w:color w:val="000000" w:themeColor="text1"/>
        </w:rPr>
        <w:t xml:space="preserve"> cual</w:t>
      </w:r>
      <w:r w:rsidR="008F7752" w:rsidRPr="005C021D">
        <w:rPr>
          <w:rFonts w:ascii="Palatino Linotype" w:hAnsi="Palatino Linotype" w:cs="Arial"/>
          <w:color w:val="000000" w:themeColor="text1"/>
        </w:rPr>
        <w:t>es</w:t>
      </w:r>
      <w:r w:rsidR="00B855AA" w:rsidRPr="005C021D">
        <w:rPr>
          <w:rFonts w:ascii="Palatino Linotype" w:hAnsi="Palatino Linotype" w:cs="Arial"/>
          <w:color w:val="000000" w:themeColor="text1"/>
        </w:rPr>
        <w:t xml:space="preserve"> señala</w:t>
      </w:r>
      <w:r w:rsidR="008F7752" w:rsidRPr="005C021D">
        <w:rPr>
          <w:rFonts w:ascii="Palatino Linotype" w:hAnsi="Palatino Linotype" w:cs="Arial"/>
          <w:color w:val="000000" w:themeColor="text1"/>
        </w:rPr>
        <w:t>n</w:t>
      </w:r>
      <w:r w:rsidR="00B855AA" w:rsidRPr="005C021D">
        <w:rPr>
          <w:rFonts w:ascii="Palatino Linotype" w:hAnsi="Palatino Linotype" w:cs="Arial"/>
          <w:color w:val="000000" w:themeColor="text1"/>
        </w:rPr>
        <w:t xml:space="preserve"> que en la generación, </w:t>
      </w:r>
      <w:r w:rsidR="00B855AA" w:rsidRPr="005C021D">
        <w:rPr>
          <w:rFonts w:ascii="Palatino Linotype" w:hAnsi="Palatino Linotype" w:cs="Arial"/>
          <w:color w:val="000000" w:themeColor="text1"/>
        </w:rPr>
        <w:lastRenderedPageBreak/>
        <w:t xml:space="preserve">publicación y entrega de información se deberá garantizar que ésta </w:t>
      </w:r>
      <w:r w:rsidR="00C51671" w:rsidRPr="005C021D">
        <w:rPr>
          <w:rFonts w:ascii="Palatino Linotype" w:hAnsi="Palatino Linotype" w:cs="Arial"/>
          <w:color w:val="000000" w:themeColor="text1"/>
        </w:rPr>
        <w:t>sea</w:t>
      </w:r>
      <w:r w:rsidR="007409D8" w:rsidRPr="005C021D">
        <w:rPr>
          <w:rFonts w:ascii="Palatino Linotype" w:hAnsi="Palatino Linotype" w:cs="Arial"/>
          <w:color w:val="000000" w:themeColor="text1"/>
        </w:rPr>
        <w:t xml:space="preserve"> </w:t>
      </w:r>
      <w:r w:rsidR="00F9708E" w:rsidRPr="005C021D">
        <w:rPr>
          <w:rFonts w:ascii="Palatino Linotype" w:hAnsi="Palatino Linotype" w:cs="Arial"/>
          <w:b/>
          <w:color w:val="000000" w:themeColor="text1"/>
        </w:rPr>
        <w:t>sujeta a un régimen limitado de restricciones</w:t>
      </w:r>
      <w:r w:rsidR="00B855AA" w:rsidRPr="005C021D">
        <w:rPr>
          <w:rFonts w:ascii="Palatino Linotype" w:hAnsi="Palatino Linotype" w:cs="Arial"/>
          <w:color w:val="000000" w:themeColor="text1"/>
        </w:rPr>
        <w:t>.</w:t>
      </w:r>
    </w:p>
    <w:p w14:paraId="026A3A70" w14:textId="77777777" w:rsidR="00197091" w:rsidRPr="005C021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7E98EB3" w:rsidR="00AD76A1" w:rsidRPr="005C021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C021D">
        <w:rPr>
          <w:rFonts w:ascii="Palatino Linotype" w:hAnsi="Palatino Linotype" w:cs="Arial"/>
          <w:color w:val="000000" w:themeColor="text1"/>
          <w:szCs w:val="23"/>
        </w:rPr>
        <w:t xml:space="preserve">Por lo anterior, la </w:t>
      </w:r>
      <w:r w:rsidRPr="005C021D">
        <w:rPr>
          <w:rFonts w:ascii="Palatino Linotype" w:hAnsi="Palatino Linotype" w:cs="Arial"/>
          <w:i/>
          <w:color w:val="000000" w:themeColor="text1"/>
          <w:szCs w:val="23"/>
        </w:rPr>
        <w:t>Litis</w:t>
      </w:r>
      <w:r w:rsidRPr="005C021D">
        <w:rPr>
          <w:rFonts w:ascii="Palatino Linotype" w:hAnsi="Palatino Linotype" w:cs="Arial"/>
          <w:color w:val="000000" w:themeColor="text1"/>
          <w:szCs w:val="23"/>
        </w:rPr>
        <w:t xml:space="preserve"> a resolver en el presente recurso se circunscribe en determinar si</w:t>
      </w:r>
      <w:r w:rsidR="002C6561" w:rsidRPr="005C021D">
        <w:rPr>
          <w:rFonts w:ascii="Palatino Linotype" w:hAnsi="Palatino Linotype" w:cs="Arial"/>
          <w:color w:val="000000" w:themeColor="text1"/>
          <w:szCs w:val="23"/>
        </w:rPr>
        <w:t xml:space="preserve"> </w:t>
      </w:r>
      <w:r w:rsidR="004B0EB6" w:rsidRPr="005C021D">
        <w:rPr>
          <w:rFonts w:ascii="Palatino Linotype" w:hAnsi="Palatino Linotype" w:cs="Arial"/>
          <w:color w:val="000000" w:themeColor="text1"/>
          <w:szCs w:val="23"/>
        </w:rPr>
        <w:t>la respuesta del</w:t>
      </w:r>
      <w:r w:rsidR="002C6561" w:rsidRPr="005C021D">
        <w:rPr>
          <w:rFonts w:ascii="Palatino Linotype" w:hAnsi="Palatino Linotype" w:cs="Arial"/>
          <w:color w:val="000000" w:themeColor="text1"/>
          <w:szCs w:val="23"/>
        </w:rPr>
        <w:t xml:space="preserve"> </w:t>
      </w:r>
      <w:r w:rsidR="002C6561" w:rsidRPr="005C021D">
        <w:rPr>
          <w:rFonts w:ascii="Palatino Linotype" w:hAnsi="Palatino Linotype" w:cs="Arial"/>
          <w:b/>
          <w:bCs/>
          <w:color w:val="000000" w:themeColor="text1"/>
          <w:szCs w:val="23"/>
        </w:rPr>
        <w:t>SUJETO OBLIGADO</w:t>
      </w:r>
      <w:r w:rsidR="00357E36" w:rsidRPr="005C021D">
        <w:rPr>
          <w:rFonts w:ascii="Palatino Linotype" w:hAnsi="Palatino Linotype" w:cs="Arial"/>
          <w:b/>
          <w:bCs/>
          <w:color w:val="000000" w:themeColor="text1"/>
          <w:szCs w:val="23"/>
        </w:rPr>
        <w:t>,</w:t>
      </w:r>
      <w:r w:rsidR="002C6561" w:rsidRPr="005C021D">
        <w:rPr>
          <w:rFonts w:ascii="Palatino Linotype" w:hAnsi="Palatino Linotype" w:cs="Arial"/>
          <w:color w:val="000000" w:themeColor="text1"/>
          <w:szCs w:val="23"/>
        </w:rPr>
        <w:t xml:space="preserve"> </w:t>
      </w:r>
      <w:r w:rsidR="004B0EB6" w:rsidRPr="005C021D">
        <w:rPr>
          <w:rFonts w:ascii="Palatino Linotype" w:hAnsi="Palatino Linotype" w:cs="Arial"/>
          <w:color w:val="000000" w:themeColor="text1"/>
          <w:szCs w:val="23"/>
        </w:rPr>
        <w:t xml:space="preserve">colma el derecho de acceso a la información ejercido por </w:t>
      </w:r>
      <w:r w:rsidR="001025C6" w:rsidRPr="005C021D">
        <w:rPr>
          <w:rFonts w:ascii="Palatino Linotype" w:hAnsi="Palatino Linotype" w:cs="Arial"/>
          <w:color w:val="000000" w:themeColor="text1"/>
          <w:szCs w:val="23"/>
        </w:rPr>
        <w:t>el</w:t>
      </w:r>
      <w:r w:rsidR="004B0EB6" w:rsidRPr="005C021D">
        <w:rPr>
          <w:rFonts w:ascii="Palatino Linotype" w:hAnsi="Palatino Linotype" w:cs="Arial"/>
          <w:color w:val="000000" w:themeColor="text1"/>
          <w:szCs w:val="23"/>
        </w:rPr>
        <w:t xml:space="preserve"> </w:t>
      </w:r>
      <w:r w:rsidR="004B0EB6" w:rsidRPr="005C021D">
        <w:rPr>
          <w:rFonts w:ascii="Palatino Linotype" w:hAnsi="Palatino Linotype" w:cs="Arial"/>
          <w:b/>
          <w:bCs/>
          <w:color w:val="000000" w:themeColor="text1"/>
          <w:szCs w:val="23"/>
        </w:rPr>
        <w:t>RECURRENTE</w:t>
      </w:r>
      <w:r w:rsidR="002C6561" w:rsidRPr="005C021D">
        <w:rPr>
          <w:rFonts w:ascii="Palatino Linotype" w:hAnsi="Palatino Linotype" w:cs="Arial"/>
          <w:color w:val="000000" w:themeColor="text1"/>
          <w:szCs w:val="23"/>
        </w:rPr>
        <w:t xml:space="preserve"> o</w:t>
      </w:r>
      <w:r w:rsidR="001025C6" w:rsidRPr="005C021D">
        <w:rPr>
          <w:rFonts w:ascii="Palatino Linotype" w:hAnsi="Palatino Linotype" w:cs="Arial"/>
          <w:color w:val="000000" w:themeColor="text1"/>
          <w:szCs w:val="23"/>
        </w:rPr>
        <w:t>,</w:t>
      </w:r>
      <w:r w:rsidR="002C6561" w:rsidRPr="005C021D">
        <w:rPr>
          <w:rFonts w:ascii="Palatino Linotype" w:hAnsi="Palatino Linotype" w:cs="Arial"/>
          <w:color w:val="000000" w:themeColor="text1"/>
          <w:szCs w:val="23"/>
        </w:rPr>
        <w:t xml:space="preserve"> si por el contrario, se</w:t>
      </w:r>
      <w:r w:rsidR="00E32652" w:rsidRPr="005C021D">
        <w:rPr>
          <w:rFonts w:ascii="Palatino Linotype" w:hAnsi="Palatino Linotype" w:cs="Arial"/>
          <w:color w:val="000000" w:themeColor="text1"/>
          <w:szCs w:val="23"/>
        </w:rPr>
        <w:t xml:space="preserve"> </w:t>
      </w:r>
      <w:r w:rsidR="0028248C" w:rsidRPr="005C021D">
        <w:rPr>
          <w:rFonts w:ascii="Palatino Linotype" w:hAnsi="Palatino Linotype"/>
          <w:color w:val="000000" w:themeColor="text1"/>
        </w:rPr>
        <w:t>actualiza</w:t>
      </w:r>
      <w:r w:rsidR="00C51671" w:rsidRPr="005C021D">
        <w:rPr>
          <w:rFonts w:ascii="Palatino Linotype" w:hAnsi="Palatino Linotype"/>
          <w:color w:val="000000" w:themeColor="text1"/>
        </w:rPr>
        <w:t>n</w:t>
      </w:r>
      <w:r w:rsidR="0028248C" w:rsidRPr="005C021D">
        <w:rPr>
          <w:rFonts w:ascii="Palatino Linotype" w:hAnsi="Palatino Linotype"/>
          <w:color w:val="000000" w:themeColor="text1"/>
        </w:rPr>
        <w:t xml:space="preserve"> la</w:t>
      </w:r>
      <w:r w:rsidR="00C51671" w:rsidRPr="005C021D">
        <w:rPr>
          <w:rFonts w:ascii="Palatino Linotype" w:hAnsi="Palatino Linotype"/>
          <w:color w:val="000000" w:themeColor="text1"/>
        </w:rPr>
        <w:t>s</w:t>
      </w:r>
      <w:r w:rsidR="0028248C" w:rsidRPr="005C021D">
        <w:rPr>
          <w:rFonts w:ascii="Palatino Linotype" w:hAnsi="Palatino Linotype"/>
          <w:color w:val="000000" w:themeColor="text1"/>
        </w:rPr>
        <w:t xml:space="preserve"> causal</w:t>
      </w:r>
      <w:r w:rsidR="00C51671" w:rsidRPr="005C021D">
        <w:rPr>
          <w:rFonts w:ascii="Palatino Linotype" w:hAnsi="Palatino Linotype"/>
          <w:color w:val="000000" w:themeColor="text1"/>
        </w:rPr>
        <w:t>es</w:t>
      </w:r>
      <w:r w:rsidR="0028248C" w:rsidRPr="005C021D">
        <w:rPr>
          <w:rFonts w:ascii="Palatino Linotype" w:hAnsi="Palatino Linotype"/>
          <w:color w:val="000000" w:themeColor="text1"/>
        </w:rPr>
        <w:t xml:space="preserve"> de procedencia</w:t>
      </w:r>
      <w:r w:rsidR="00E66A80" w:rsidRPr="005C021D">
        <w:rPr>
          <w:rFonts w:ascii="Palatino Linotype" w:hAnsi="Palatino Linotype" w:cs="Arial"/>
          <w:color w:val="000000" w:themeColor="text1"/>
          <w:szCs w:val="23"/>
        </w:rPr>
        <w:t xml:space="preserve"> del recurso de revisión establecida</w:t>
      </w:r>
      <w:r w:rsidR="00C51671" w:rsidRPr="005C021D">
        <w:rPr>
          <w:rFonts w:ascii="Palatino Linotype" w:hAnsi="Palatino Linotype" w:cs="Arial"/>
          <w:color w:val="000000" w:themeColor="text1"/>
          <w:szCs w:val="23"/>
        </w:rPr>
        <w:t>s</w:t>
      </w:r>
      <w:r w:rsidR="00E66A80" w:rsidRPr="005C021D">
        <w:rPr>
          <w:rFonts w:ascii="Palatino Linotype" w:hAnsi="Palatino Linotype" w:cs="Arial"/>
          <w:color w:val="000000" w:themeColor="text1"/>
          <w:szCs w:val="23"/>
        </w:rPr>
        <w:t xml:space="preserve"> en el artículo 179 </w:t>
      </w:r>
      <w:r w:rsidR="00C51671" w:rsidRPr="005C021D">
        <w:rPr>
          <w:rFonts w:ascii="Palatino Linotype" w:hAnsi="Palatino Linotype" w:cs="Arial"/>
          <w:color w:val="000000" w:themeColor="text1"/>
          <w:szCs w:val="23"/>
        </w:rPr>
        <w:t>fracciones</w:t>
      </w:r>
      <w:r w:rsidR="00E66A80" w:rsidRPr="005C021D">
        <w:rPr>
          <w:rFonts w:ascii="Palatino Linotype" w:hAnsi="Palatino Linotype" w:cs="Arial"/>
          <w:color w:val="000000" w:themeColor="text1"/>
          <w:szCs w:val="23"/>
        </w:rPr>
        <w:t xml:space="preserve"> </w:t>
      </w:r>
      <w:r w:rsidR="00F9708E" w:rsidRPr="005C021D">
        <w:rPr>
          <w:rFonts w:ascii="Palatino Linotype" w:hAnsi="Palatino Linotype" w:cs="Arial"/>
          <w:color w:val="000000" w:themeColor="text1"/>
          <w:szCs w:val="23"/>
        </w:rPr>
        <w:t>I</w:t>
      </w:r>
      <w:r w:rsidR="006015F0" w:rsidRPr="005C021D">
        <w:rPr>
          <w:rFonts w:ascii="Palatino Linotype" w:hAnsi="Palatino Linotype" w:cs="Arial"/>
          <w:color w:val="000000" w:themeColor="text1"/>
          <w:szCs w:val="23"/>
        </w:rPr>
        <w:t>I</w:t>
      </w:r>
      <w:r w:rsidR="00F9708E" w:rsidRPr="005C021D">
        <w:rPr>
          <w:rFonts w:ascii="Palatino Linotype" w:hAnsi="Palatino Linotype" w:cs="Arial"/>
          <w:color w:val="000000" w:themeColor="text1"/>
          <w:szCs w:val="23"/>
        </w:rPr>
        <w:t xml:space="preserve"> y/o XIII</w:t>
      </w:r>
      <w:r w:rsidR="00F72B50" w:rsidRPr="005C021D">
        <w:rPr>
          <w:rFonts w:ascii="Palatino Linotype" w:hAnsi="Palatino Linotype" w:cs="Arial"/>
          <w:color w:val="000000" w:themeColor="text1"/>
          <w:szCs w:val="23"/>
        </w:rPr>
        <w:t xml:space="preserve"> </w:t>
      </w:r>
      <w:r w:rsidR="00E66A80" w:rsidRPr="005C021D">
        <w:rPr>
          <w:rFonts w:ascii="Palatino Linotype" w:hAnsi="Palatino Linotype" w:cs="Arial"/>
          <w:color w:val="000000" w:themeColor="text1"/>
          <w:szCs w:val="23"/>
        </w:rPr>
        <w:t xml:space="preserve">de la Ley de Transparencia y Acceso a la Información Pública del Estado de México y Municipios, </w:t>
      </w:r>
      <w:r w:rsidR="00C51671" w:rsidRPr="005C021D">
        <w:rPr>
          <w:rFonts w:ascii="Palatino Linotype" w:hAnsi="Palatino Linotype" w:cs="Arial"/>
          <w:color w:val="000000" w:themeColor="text1"/>
          <w:szCs w:val="23"/>
        </w:rPr>
        <w:t xml:space="preserve">y </w:t>
      </w:r>
      <w:r w:rsidR="00E66A80" w:rsidRPr="005C021D">
        <w:rPr>
          <w:rFonts w:ascii="Palatino Linotype" w:hAnsi="Palatino Linotype" w:cs="Arial"/>
          <w:color w:val="000000" w:themeColor="text1"/>
          <w:szCs w:val="23"/>
        </w:rPr>
        <w:t>que se transcribe</w:t>
      </w:r>
      <w:r w:rsidR="00C51671" w:rsidRPr="005C021D">
        <w:rPr>
          <w:rFonts w:ascii="Palatino Linotype" w:hAnsi="Palatino Linotype" w:cs="Arial"/>
          <w:color w:val="000000" w:themeColor="text1"/>
          <w:szCs w:val="23"/>
        </w:rPr>
        <w:t>n</w:t>
      </w:r>
      <w:r w:rsidR="00E66A80" w:rsidRPr="005C021D">
        <w:rPr>
          <w:rFonts w:ascii="Palatino Linotype" w:hAnsi="Palatino Linotype" w:cs="Arial"/>
          <w:color w:val="000000" w:themeColor="text1"/>
          <w:szCs w:val="23"/>
        </w:rPr>
        <w:t xml:space="preserve"> a continuación:</w:t>
      </w:r>
    </w:p>
    <w:p w14:paraId="5D251E5B" w14:textId="77777777" w:rsidR="002630E4" w:rsidRPr="005C021D"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5C021D" w:rsidRDefault="00E66A80" w:rsidP="00B31E90">
      <w:pPr>
        <w:pStyle w:val="Sinespaciado"/>
        <w:tabs>
          <w:tab w:val="left" w:pos="426"/>
        </w:tabs>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Artículo 179.</w:t>
      </w:r>
      <w:r w:rsidRPr="005C021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502C94EA" w:rsidR="00E02DA3" w:rsidRPr="005C021D" w:rsidRDefault="00F9708E" w:rsidP="00B31E90">
      <w:pPr>
        <w:pStyle w:val="Sinespaciado"/>
        <w:tabs>
          <w:tab w:val="left" w:pos="426"/>
        </w:tabs>
        <w:ind w:left="851" w:right="567"/>
        <w:jc w:val="both"/>
        <w:rPr>
          <w:rFonts w:ascii="Palatino Linotype" w:hAnsi="Palatino Linotype"/>
          <w:bCs/>
          <w:i/>
          <w:color w:val="000000" w:themeColor="text1"/>
          <w:sz w:val="22"/>
        </w:rPr>
      </w:pPr>
      <w:r w:rsidRPr="005C021D">
        <w:rPr>
          <w:rFonts w:ascii="Palatino Linotype" w:hAnsi="Palatino Linotype"/>
          <w:bCs/>
          <w:i/>
          <w:color w:val="000000" w:themeColor="text1"/>
          <w:sz w:val="22"/>
        </w:rPr>
        <w:t>(…)</w:t>
      </w:r>
    </w:p>
    <w:p w14:paraId="591BDD86" w14:textId="77777777" w:rsidR="00F9708E" w:rsidRPr="005C021D" w:rsidRDefault="00F9708E" w:rsidP="004107D7">
      <w:pPr>
        <w:pStyle w:val="Sinespaciado"/>
        <w:tabs>
          <w:tab w:val="left" w:pos="426"/>
        </w:tabs>
        <w:ind w:left="851"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II.</w:t>
      </w:r>
      <w:r w:rsidRPr="005C021D">
        <w:rPr>
          <w:rFonts w:ascii="Palatino Linotype" w:hAnsi="Palatino Linotype"/>
          <w:i/>
          <w:color w:val="000000" w:themeColor="text1"/>
          <w:sz w:val="22"/>
        </w:rPr>
        <w:t xml:space="preserve"> La clasificación de la información; </w:t>
      </w:r>
    </w:p>
    <w:p w14:paraId="0FA844DD" w14:textId="1D0E3F9D" w:rsidR="004107D7" w:rsidRPr="005C021D" w:rsidRDefault="004107D7" w:rsidP="004107D7">
      <w:pPr>
        <w:pStyle w:val="Sinespaciado"/>
        <w:tabs>
          <w:tab w:val="left" w:pos="426"/>
        </w:tabs>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219031E5" w14:textId="77777777" w:rsidR="00F9708E" w:rsidRPr="005C021D" w:rsidRDefault="00F9708E" w:rsidP="004170BE">
      <w:pPr>
        <w:pStyle w:val="Sinespaciado"/>
        <w:tabs>
          <w:tab w:val="left" w:pos="426"/>
        </w:tabs>
        <w:ind w:left="851"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 xml:space="preserve">XIII. </w:t>
      </w:r>
      <w:r w:rsidRPr="005C021D">
        <w:rPr>
          <w:rFonts w:ascii="Palatino Linotype" w:hAnsi="Palatino Linotype"/>
          <w:i/>
          <w:color w:val="000000" w:themeColor="text1"/>
          <w:sz w:val="22"/>
        </w:rPr>
        <w:t xml:space="preserve">La falta, deficiencia o insuficiencia de la fundamentación y/o motivación en la respuesta; y </w:t>
      </w:r>
    </w:p>
    <w:p w14:paraId="4FCA9B3F" w14:textId="33D6D245" w:rsidR="00515DEC" w:rsidRPr="005C021D" w:rsidRDefault="002D7AE2" w:rsidP="004170BE">
      <w:pPr>
        <w:pStyle w:val="Sinespaciado"/>
        <w:tabs>
          <w:tab w:val="left" w:pos="426"/>
        </w:tabs>
        <w:ind w:left="851" w:right="567"/>
        <w:jc w:val="both"/>
        <w:rPr>
          <w:rFonts w:ascii="Palatino Linotype" w:hAnsi="Palatino Linotype"/>
          <w:bCs/>
          <w:i/>
          <w:color w:val="000000" w:themeColor="text1"/>
          <w:sz w:val="22"/>
        </w:rPr>
      </w:pPr>
      <w:r w:rsidRPr="005C021D">
        <w:rPr>
          <w:rFonts w:ascii="Palatino Linotype" w:hAnsi="Palatino Linotype"/>
          <w:bCs/>
          <w:i/>
          <w:color w:val="000000" w:themeColor="text1"/>
          <w:sz w:val="22"/>
        </w:rPr>
        <w:t>(...)</w:t>
      </w:r>
      <w:r w:rsidR="007D7B65" w:rsidRPr="005C021D">
        <w:rPr>
          <w:rFonts w:ascii="Palatino Linotype" w:hAnsi="Palatino Linotype"/>
          <w:bCs/>
          <w:i/>
          <w:color w:val="000000" w:themeColor="text1"/>
          <w:sz w:val="22"/>
        </w:rPr>
        <w:t>”</w:t>
      </w:r>
    </w:p>
    <w:p w14:paraId="3000BF2B" w14:textId="43F12A12" w:rsidR="0021056F" w:rsidRPr="005C021D"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5C021D" w:rsidRDefault="0021056F" w:rsidP="0021056F">
      <w:pPr>
        <w:rPr>
          <w:lang w:eastAsia="en-US"/>
        </w:rPr>
      </w:pPr>
    </w:p>
    <w:p w14:paraId="5CEC2F48" w14:textId="072A0162" w:rsidR="00EF014A" w:rsidRPr="005C021D" w:rsidRDefault="00094B41" w:rsidP="00F96156">
      <w:pPr>
        <w:pStyle w:val="Ttulo2"/>
        <w:tabs>
          <w:tab w:val="left" w:pos="426"/>
        </w:tabs>
        <w:rPr>
          <w:rFonts w:ascii="Palatino Linotype" w:hAnsi="Palatino Linotype" w:cs="Arial"/>
          <w:b/>
          <w:color w:val="000000" w:themeColor="text1"/>
          <w:sz w:val="24"/>
        </w:rPr>
      </w:pPr>
      <w:bookmarkStart w:id="20" w:name="_Toc88071781"/>
      <w:r w:rsidRPr="005C021D">
        <w:rPr>
          <w:rFonts w:ascii="Palatino Linotype" w:hAnsi="Palatino Linotype" w:cs="Arial"/>
          <w:b/>
          <w:color w:val="000000" w:themeColor="text1"/>
          <w:sz w:val="24"/>
        </w:rPr>
        <w:t>CUARTO</w:t>
      </w:r>
      <w:r w:rsidR="00EF014A" w:rsidRPr="005C021D">
        <w:rPr>
          <w:rFonts w:ascii="Palatino Linotype" w:hAnsi="Palatino Linotype" w:cs="Arial"/>
          <w:b/>
          <w:color w:val="000000" w:themeColor="text1"/>
          <w:sz w:val="24"/>
        </w:rPr>
        <w:t>. Estudio y Resolución del asunto.</w:t>
      </w:r>
      <w:bookmarkEnd w:id="20"/>
    </w:p>
    <w:p w14:paraId="6E979250" w14:textId="2A34D6B5" w:rsidR="00A55D2B" w:rsidRPr="005C021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1" w:name="_Toc466371865"/>
      <w:bookmarkStart w:id="22" w:name="_Toc466377653"/>
      <w:bookmarkEnd w:id="15"/>
      <w:bookmarkEnd w:id="16"/>
      <w:bookmarkEnd w:id="17"/>
      <w:bookmarkEnd w:id="18"/>
      <w:bookmarkEnd w:id="19"/>
    </w:p>
    <w:p w14:paraId="58225AEF" w14:textId="72709795" w:rsidR="00167813" w:rsidRPr="005C021D"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3" w:name="_Toc88071782"/>
      <w:r w:rsidRPr="005C021D">
        <w:rPr>
          <w:rFonts w:ascii="Palatino Linotype" w:hAnsi="Palatino Linotype"/>
          <w:b/>
          <w:color w:val="000000" w:themeColor="text1"/>
        </w:rPr>
        <w:t xml:space="preserve">I. </w:t>
      </w:r>
      <w:r w:rsidR="008C33F9" w:rsidRPr="005C021D">
        <w:rPr>
          <w:rFonts w:ascii="Palatino Linotype" w:hAnsi="Palatino Linotype"/>
          <w:b/>
          <w:color w:val="000000" w:themeColor="text1"/>
        </w:rPr>
        <w:t>Del deber de las autoridades de promover, respetar, proteger y garantizar el derecho de acceso a la información pública</w:t>
      </w:r>
      <w:r w:rsidR="00167813" w:rsidRPr="005C021D">
        <w:rPr>
          <w:rFonts w:ascii="Palatino Linotype" w:hAnsi="Palatino Linotype"/>
          <w:b/>
          <w:color w:val="000000" w:themeColor="text1"/>
        </w:rPr>
        <w:t>.</w:t>
      </w:r>
      <w:bookmarkEnd w:id="23"/>
    </w:p>
    <w:p w14:paraId="126843DA" w14:textId="77777777" w:rsidR="008C33F9" w:rsidRPr="005C02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26141576" w:rsidR="008C33F9" w:rsidRPr="005C02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lang w:val="es-ES"/>
        </w:rPr>
        <w:t xml:space="preserve">Es elemental </w:t>
      </w:r>
      <w:r w:rsidRPr="005C021D">
        <w:rPr>
          <w:rFonts w:ascii="Palatino Linotype" w:hAnsi="Palatino Linotype"/>
        </w:rPr>
        <w:t>precisar</w:t>
      </w:r>
      <w:r w:rsidRPr="005C021D">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5C021D">
        <w:rPr>
          <w:rFonts w:ascii="Palatino Linotype" w:hAnsi="Palatino Linotype"/>
          <w:bCs/>
        </w:rPr>
        <w:lastRenderedPageBreak/>
        <w:t xml:space="preserve">Política de los Estados Unidos Mexicanos y en el artículo quinto de la Particular del Estado de México, por lo que al respecto el </w:t>
      </w:r>
      <w:r w:rsidRPr="005C021D">
        <w:rPr>
          <w:rFonts w:ascii="Palatino Linotype" w:hAnsi="Palatino Linotype"/>
          <w:b/>
          <w:bCs/>
        </w:rPr>
        <w:t>SUJETO OBLIGADO</w:t>
      </w:r>
      <w:r w:rsidR="00357E36" w:rsidRPr="005C021D">
        <w:rPr>
          <w:rFonts w:ascii="Palatino Linotype" w:hAnsi="Palatino Linotype"/>
          <w:b/>
          <w:bCs/>
        </w:rPr>
        <w:t>,</w:t>
      </w:r>
      <w:r w:rsidRPr="005C021D">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C021D">
        <w:rPr>
          <w:rFonts w:ascii="Palatino Linotype" w:hAnsi="Palatino Linotype"/>
          <w:b/>
          <w:bCs/>
        </w:rPr>
        <w:t xml:space="preserve">Constitución Política de los Estados Unidos Mexicanos </w:t>
      </w:r>
      <w:r w:rsidRPr="005C021D">
        <w:rPr>
          <w:rFonts w:ascii="Palatino Linotype" w:hAnsi="Palatino Linotype"/>
          <w:bCs/>
        </w:rPr>
        <w:t xml:space="preserve">al señalar la obligación de “promover, </w:t>
      </w:r>
      <w:r w:rsidRPr="005C021D">
        <w:rPr>
          <w:rFonts w:ascii="Palatino Linotype" w:hAnsi="Palatino Linotype"/>
          <w:b/>
          <w:bCs/>
        </w:rPr>
        <w:t>respetar</w:t>
      </w:r>
      <w:r w:rsidRPr="005C021D">
        <w:rPr>
          <w:rFonts w:ascii="Palatino Linotype" w:hAnsi="Palatino Linotype"/>
          <w:bCs/>
        </w:rPr>
        <w:t xml:space="preserve">, proteger y </w:t>
      </w:r>
      <w:r w:rsidRPr="005C021D">
        <w:rPr>
          <w:rFonts w:ascii="Palatino Linotype" w:hAnsi="Palatino Linotype"/>
          <w:b/>
          <w:bCs/>
        </w:rPr>
        <w:t>garantizar</w:t>
      </w:r>
      <w:r w:rsidRPr="005C021D">
        <w:rPr>
          <w:rFonts w:ascii="Palatino Linotype" w:hAnsi="Palatino Linotype"/>
          <w:bCs/>
        </w:rPr>
        <w:t xml:space="preserve"> los derechos humanos”, entre los cuales se encuentra dicho derecho.</w:t>
      </w:r>
    </w:p>
    <w:p w14:paraId="1F31B48B" w14:textId="77777777" w:rsidR="008C33F9" w:rsidRPr="005C02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5C02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lang w:val="es-ES"/>
        </w:rPr>
        <w:t xml:space="preserve">Por </w:t>
      </w:r>
      <w:r w:rsidRPr="005C021D">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5C02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5C02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lang w:val="es-ES"/>
        </w:rPr>
        <w:t xml:space="preserve">Así las cosas, </w:t>
      </w:r>
      <w:r w:rsidRPr="005C021D">
        <w:rPr>
          <w:rFonts w:ascii="Palatino Linotype" w:hAnsi="Palatino Linotype"/>
          <w:color w:val="000000" w:themeColor="text1"/>
        </w:rPr>
        <w:t xml:space="preserve">podemos definir el Derecho de Acceso a la Información Pública como: </w:t>
      </w:r>
      <w:r w:rsidRPr="005C021D">
        <w:rPr>
          <w:rFonts w:ascii="Palatino Linotype" w:hAnsi="Palatino Linotype"/>
          <w:i/>
          <w:color w:val="000000" w:themeColor="text1"/>
        </w:rPr>
        <w:t>La igualdad de oportunidades para recibir, buscar e impartir información</w:t>
      </w:r>
      <w:r w:rsidRPr="005C021D">
        <w:rPr>
          <w:rFonts w:ascii="Palatino Linotype" w:hAnsi="Palatino Linotype"/>
          <w:i/>
          <w:color w:val="000000" w:themeColor="text1"/>
          <w:vertAlign w:val="superscript"/>
        </w:rPr>
        <w:footnoteReference w:id="3"/>
      </w:r>
      <w:r w:rsidRPr="005C021D">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C021D">
        <w:rPr>
          <w:rFonts w:ascii="Palatino Linotype" w:hAnsi="Palatino Linotype"/>
          <w:i/>
          <w:color w:val="000000" w:themeColor="text1"/>
          <w:vertAlign w:val="superscript"/>
        </w:rPr>
        <w:footnoteReference w:id="4"/>
      </w:r>
      <w:r w:rsidRPr="005C021D">
        <w:rPr>
          <w:rFonts w:ascii="Palatino Linotype" w:hAnsi="Palatino Linotype"/>
          <w:color w:val="000000" w:themeColor="text1"/>
        </w:rPr>
        <w:t>que se constituye como una herramienta fundamental para ejercer</w:t>
      </w:r>
      <w:r w:rsidRPr="005C021D">
        <w:rPr>
          <w:rFonts w:ascii="Palatino Linotype" w:hAnsi="Palatino Linotype"/>
          <w:i/>
          <w:color w:val="000000" w:themeColor="text1"/>
        </w:rPr>
        <w:t xml:space="preserve"> el control democrático de las gestiones estatales, de forma tal que puedan cuestionar, indagar y considerar si se está dando un adecuado </w:t>
      </w:r>
      <w:r w:rsidRPr="005C021D">
        <w:rPr>
          <w:rFonts w:ascii="Palatino Linotype" w:hAnsi="Palatino Linotype"/>
          <w:i/>
          <w:color w:val="000000" w:themeColor="text1"/>
        </w:rPr>
        <w:lastRenderedPageBreak/>
        <w:t>cumplimiento a las funciones públicas,</w:t>
      </w:r>
      <w:r w:rsidRPr="005C021D">
        <w:rPr>
          <w:rFonts w:ascii="Palatino Linotype" w:hAnsi="Palatino Linotype"/>
          <w:i/>
          <w:color w:val="000000" w:themeColor="text1"/>
          <w:vertAlign w:val="superscript"/>
        </w:rPr>
        <w:footnoteReference w:id="5"/>
      </w:r>
      <w:r w:rsidRPr="005C021D">
        <w:rPr>
          <w:rFonts w:ascii="Palatino Linotype" w:hAnsi="Palatino Linotype"/>
          <w:i/>
          <w:color w:val="000000" w:themeColor="text1"/>
        </w:rPr>
        <w:t xml:space="preserve"> </w:t>
      </w:r>
      <w:r w:rsidRPr="005C021D">
        <w:rPr>
          <w:rFonts w:ascii="Palatino Linotype" w:hAnsi="Palatino Linotype"/>
          <w:color w:val="000000" w:themeColor="text1"/>
        </w:rPr>
        <w:t>fomentando</w:t>
      </w:r>
      <w:r w:rsidRPr="005C021D">
        <w:rPr>
          <w:rFonts w:ascii="Palatino Linotype" w:hAnsi="Palatino Linotype"/>
          <w:i/>
          <w:color w:val="000000" w:themeColor="text1"/>
        </w:rPr>
        <w:t xml:space="preserve"> la transparencia de las actividades estatales y </w:t>
      </w:r>
      <w:r w:rsidRPr="005C021D">
        <w:rPr>
          <w:rFonts w:ascii="Palatino Linotype" w:hAnsi="Palatino Linotype"/>
          <w:color w:val="000000" w:themeColor="text1"/>
        </w:rPr>
        <w:t>promoviendo</w:t>
      </w:r>
      <w:r w:rsidRPr="005C021D">
        <w:rPr>
          <w:rFonts w:ascii="Palatino Linotype" w:hAnsi="Palatino Linotype"/>
          <w:i/>
          <w:color w:val="000000" w:themeColor="text1"/>
        </w:rPr>
        <w:t xml:space="preserve"> la responsabilidad de los funcionarios sobre su gestión pública,</w:t>
      </w:r>
      <w:r w:rsidRPr="005C021D">
        <w:rPr>
          <w:rFonts w:ascii="Palatino Linotype" w:hAnsi="Palatino Linotype"/>
          <w:i/>
          <w:color w:val="000000" w:themeColor="text1"/>
          <w:vertAlign w:val="superscript"/>
        </w:rPr>
        <w:footnoteReference w:id="6"/>
      </w:r>
      <w:r w:rsidRPr="005C021D">
        <w:rPr>
          <w:rFonts w:ascii="Palatino Linotype" w:hAnsi="Palatino Linotype"/>
          <w:color w:val="000000" w:themeColor="text1"/>
        </w:rPr>
        <w:t>que permite</w:t>
      </w:r>
      <w:r w:rsidRPr="005C021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5C021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5C021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lang w:val="es-ES"/>
        </w:rPr>
        <w:t xml:space="preserve">Por </w:t>
      </w:r>
      <w:r w:rsidRPr="005C021D">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5C021D">
        <w:rPr>
          <w:rFonts w:ascii="Palatino Linotype" w:hAnsi="Palatino Linotype"/>
          <w:color w:val="000000" w:themeColor="text1"/>
        </w:rPr>
        <w:t>,</w:t>
      </w:r>
      <w:r w:rsidRPr="005C021D">
        <w:rPr>
          <w:rFonts w:ascii="Palatino Linotype" w:hAnsi="Palatino Linotype"/>
          <w:color w:val="000000" w:themeColor="text1"/>
        </w:rPr>
        <w:t xml:space="preserve"> establece que </w:t>
      </w:r>
      <w:r w:rsidRPr="005C021D">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C021D">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5C021D"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5C021D"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C021D">
        <w:rPr>
          <w:rFonts w:ascii="Palatino Linotype" w:hAnsi="Palatino Linotype"/>
          <w:b/>
          <w:color w:val="000000" w:themeColor="text1"/>
        </w:rPr>
        <w:t xml:space="preserve">II. De </w:t>
      </w:r>
      <w:r w:rsidR="001019F7" w:rsidRPr="005C021D">
        <w:rPr>
          <w:rFonts w:ascii="Palatino Linotype" w:hAnsi="Palatino Linotype"/>
          <w:b/>
          <w:color w:val="000000" w:themeColor="text1"/>
        </w:rPr>
        <w:t>la atención a la solicitud de información</w:t>
      </w:r>
      <w:r w:rsidRPr="005C021D">
        <w:rPr>
          <w:rFonts w:ascii="Palatino Linotype" w:hAnsi="Palatino Linotype"/>
          <w:b/>
          <w:color w:val="000000" w:themeColor="text1"/>
        </w:rPr>
        <w:t>.</w:t>
      </w:r>
    </w:p>
    <w:p w14:paraId="419307A3" w14:textId="77777777" w:rsidR="000A44DE" w:rsidRPr="005C021D"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5C021D"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t>La</w:t>
      </w:r>
      <w:r w:rsidR="004B20FF" w:rsidRPr="005C021D">
        <w:rPr>
          <w:rFonts w:ascii="Palatino Linotype" w:hAnsi="Palatino Linotype"/>
        </w:rPr>
        <w:t xml:space="preserve"> Ley de Transparencia y Acceso a la Información Pública del Estado de México y Municipios, en su artículo 150, establece que </w:t>
      </w:r>
      <w:r w:rsidR="004B20FF" w:rsidRPr="005C021D">
        <w:rPr>
          <w:rFonts w:ascii="Palatino Linotype" w:hAnsi="Palatino Linotype"/>
          <w:b/>
        </w:rPr>
        <w:t>el procedimiento de acceso a la información es la garantía primaria del derecho en cuestión y se rige por los principios de</w:t>
      </w:r>
      <w:r w:rsidR="004B20FF" w:rsidRPr="005C021D">
        <w:rPr>
          <w:rFonts w:ascii="Palatino Linotype" w:hAnsi="Palatino Linotype"/>
        </w:rPr>
        <w:t xml:space="preserve"> simplicidad, rapidez gratuidad del procedimiento, </w:t>
      </w:r>
      <w:r w:rsidR="004B20FF" w:rsidRPr="005C021D">
        <w:rPr>
          <w:rFonts w:ascii="Palatino Linotype" w:hAnsi="Palatino Linotype"/>
          <w:b/>
        </w:rPr>
        <w:t xml:space="preserve">auxilio y </w:t>
      </w:r>
      <w:r w:rsidR="004B20FF" w:rsidRPr="005C021D">
        <w:rPr>
          <w:rFonts w:ascii="Palatino Linotype" w:hAnsi="Palatino Linotype"/>
          <w:b/>
        </w:rPr>
        <w:lastRenderedPageBreak/>
        <w:t>orientación a los particulares</w:t>
      </w:r>
      <w:r w:rsidR="004B20FF" w:rsidRPr="005C021D">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5C021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5C021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Para atender las solicitudes de información, los Sujetos Obligados contarán con un área denominada </w:t>
      </w:r>
      <w:r w:rsidRPr="005C021D">
        <w:rPr>
          <w:rFonts w:ascii="Palatino Linotype" w:hAnsi="Palatino Linotype"/>
          <w:b/>
          <w:bCs/>
          <w:color w:val="000000" w:themeColor="text1"/>
        </w:rPr>
        <w:t>Unidad de Transparencia</w:t>
      </w:r>
      <w:r w:rsidRPr="005C021D">
        <w:rPr>
          <w:rFonts w:ascii="Palatino Linotype" w:hAnsi="Palatino Linotype"/>
          <w:color w:val="000000" w:themeColor="text1"/>
          <w:vertAlign w:val="superscript"/>
        </w:rPr>
        <w:footnoteReference w:id="7"/>
      </w:r>
      <w:r w:rsidRPr="005C021D">
        <w:rPr>
          <w:rFonts w:ascii="Palatino Linotype" w:hAnsi="Palatino Linotype"/>
          <w:color w:val="000000" w:themeColor="text1"/>
        </w:rPr>
        <w:t xml:space="preserve">, la cual será presidida por un Titular, quien fungirá como enlace entre éstos y los solicitantes. Dicha Unidad </w:t>
      </w:r>
      <w:r w:rsidRPr="005C021D">
        <w:rPr>
          <w:rFonts w:ascii="Palatino Linotype" w:hAnsi="Palatino Linotype"/>
          <w:b/>
          <w:bCs/>
          <w:color w:val="000000" w:themeColor="text1"/>
        </w:rPr>
        <w:t>será la encargada de tramitar internamente la solicitud de información</w:t>
      </w:r>
      <w:r w:rsidRPr="005C021D">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5C021D">
        <w:rPr>
          <w:rFonts w:ascii="Palatino Linotype" w:hAnsi="Palatino Linotype"/>
          <w:b/>
          <w:bCs/>
          <w:color w:val="000000" w:themeColor="text1"/>
        </w:rPr>
        <w:t xml:space="preserve">gestionar la atención a las solicitudes de información </w:t>
      </w:r>
      <w:r w:rsidRPr="005C021D">
        <w:rPr>
          <w:rFonts w:ascii="Palatino Linotype" w:hAnsi="Palatino Linotype"/>
          <w:color w:val="000000" w:themeColor="text1"/>
        </w:rPr>
        <w:t>en los términos de la Ley General y la Ley de Transparencia y Acceso a la Información Pública del Estado de México y Municipios</w:t>
      </w:r>
      <w:r w:rsidRPr="005C021D">
        <w:rPr>
          <w:rFonts w:ascii="Palatino Linotype" w:hAnsi="Palatino Linotype"/>
          <w:color w:val="000000" w:themeColor="text1"/>
          <w:vertAlign w:val="superscript"/>
        </w:rPr>
        <w:footnoteReference w:id="8"/>
      </w:r>
      <w:r w:rsidRPr="005C021D">
        <w:rPr>
          <w:rFonts w:ascii="Palatino Linotype" w:hAnsi="Palatino Linotype"/>
          <w:color w:val="000000" w:themeColor="text1"/>
        </w:rPr>
        <w:t>.</w:t>
      </w:r>
    </w:p>
    <w:p w14:paraId="50C37EAB" w14:textId="77777777" w:rsidR="004B20FF" w:rsidRPr="005C021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5C021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t xml:space="preserve">De </w:t>
      </w:r>
      <w:r w:rsidRPr="005C021D">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5C021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C021D">
        <w:rPr>
          <w:rFonts w:ascii="Palatino Linotype" w:eastAsia="MS Mincho" w:hAnsi="Palatino Linotype" w:cs="Times New Roman"/>
          <w:color w:val="000000"/>
        </w:rPr>
        <w:t>Recibir, tramitar y dar respuesta a las solicitudes de acceso a la información;</w:t>
      </w:r>
    </w:p>
    <w:p w14:paraId="2715552E" w14:textId="77777777" w:rsidR="004B20FF" w:rsidRPr="005C021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C021D">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871852C" w14:textId="77777777" w:rsidR="004B20FF" w:rsidRPr="005C021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C021D">
        <w:rPr>
          <w:rFonts w:ascii="Palatino Linotype" w:eastAsia="MS Mincho" w:hAnsi="Palatino Linotype" w:cs="Times New Roman"/>
          <w:color w:val="000000"/>
        </w:rPr>
        <w:t xml:space="preserve">Entregar, en su caso, a los particulares la información solicitada; y </w:t>
      </w:r>
    </w:p>
    <w:p w14:paraId="360EE36B" w14:textId="77777777" w:rsidR="004B20FF" w:rsidRPr="005C021D"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5C021D">
        <w:rPr>
          <w:rFonts w:ascii="Palatino Linotype" w:eastAsia="MS Mincho" w:hAnsi="Palatino Linotype" w:cs="Times New Roman"/>
          <w:color w:val="000000"/>
        </w:rPr>
        <w:t>Efectuar las notificaciones a los solicitantes.</w:t>
      </w:r>
    </w:p>
    <w:p w14:paraId="0959F9BA" w14:textId="0A79D0A3" w:rsidR="004B20FF" w:rsidRPr="005C021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lastRenderedPageBreak/>
        <w:t xml:space="preserve">Otros sujetos del proceso de atención a las solicitudes de información son los </w:t>
      </w:r>
      <w:r w:rsidRPr="005C021D">
        <w:rPr>
          <w:rFonts w:ascii="Palatino Linotype" w:hAnsi="Palatino Linotype"/>
          <w:b/>
          <w:bCs/>
        </w:rPr>
        <w:t>servidores públicos habilitados</w:t>
      </w:r>
      <w:r w:rsidRPr="005C021D">
        <w:rPr>
          <w:rFonts w:ascii="Palatino Linotype" w:hAnsi="Palatino Linotype"/>
        </w:rPr>
        <w:t xml:space="preserve">, quienes serán designados por el titular del </w:t>
      </w:r>
      <w:r w:rsidR="0010205D" w:rsidRPr="005C021D">
        <w:rPr>
          <w:rFonts w:ascii="Palatino Linotype" w:hAnsi="Palatino Linotype"/>
          <w:b/>
          <w:bCs/>
        </w:rPr>
        <w:t>SUJETO OBLIGADO</w:t>
      </w:r>
      <w:r w:rsidR="0010205D" w:rsidRPr="005C021D">
        <w:rPr>
          <w:rFonts w:ascii="Palatino Linotype" w:hAnsi="Palatino Linotype"/>
        </w:rPr>
        <w:t>,</w:t>
      </w:r>
      <w:r w:rsidRPr="005C021D">
        <w:rPr>
          <w:rFonts w:ascii="Palatino Linotype" w:hAnsi="Palatino Linotype"/>
        </w:rPr>
        <w:t xml:space="preserve"> a propuesta del responsable de la Unidad de Transparencia</w:t>
      </w:r>
      <w:r w:rsidRPr="005C021D">
        <w:rPr>
          <w:rFonts w:ascii="Palatino Linotype" w:hAnsi="Palatino Linotype"/>
          <w:vertAlign w:val="superscript"/>
        </w:rPr>
        <w:footnoteReference w:id="9"/>
      </w:r>
      <w:r w:rsidRPr="005C021D">
        <w:rPr>
          <w:rFonts w:ascii="Palatino Linotype" w:hAnsi="Palatino Linotype"/>
        </w:rPr>
        <w:t xml:space="preserve"> y tendrán, entre sus atribuciones, las siguientes</w:t>
      </w:r>
      <w:r w:rsidRPr="005C021D">
        <w:rPr>
          <w:rFonts w:ascii="Palatino Linotype" w:hAnsi="Palatino Linotype"/>
          <w:vertAlign w:val="superscript"/>
        </w:rPr>
        <w:footnoteReference w:id="10"/>
      </w:r>
      <w:r w:rsidRPr="005C021D">
        <w:rPr>
          <w:rFonts w:ascii="Palatino Linotype" w:hAnsi="Palatino Linotype"/>
        </w:rPr>
        <w:t>:</w:t>
      </w:r>
    </w:p>
    <w:p w14:paraId="5BCDFDDB" w14:textId="77777777" w:rsidR="004B20FF" w:rsidRPr="005C021D"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rPr>
      </w:pPr>
      <w:r w:rsidRPr="005C021D">
        <w:rPr>
          <w:rFonts w:ascii="Palatino Linotype" w:hAnsi="Palatino Linotype"/>
        </w:rPr>
        <w:t>Localizar la información que le solicite la Unidad de Transparencia; y</w:t>
      </w:r>
    </w:p>
    <w:p w14:paraId="089097A0" w14:textId="77777777" w:rsidR="004B20FF" w:rsidRPr="005C021D"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5C021D">
        <w:rPr>
          <w:rFonts w:ascii="Palatino Linotype" w:hAnsi="Palatino Linotype"/>
        </w:rPr>
        <w:t>Proporcionar la información que obre en los archivos y que le sea solicitada por la Unidad de Transparencia.</w:t>
      </w:r>
    </w:p>
    <w:p w14:paraId="2E15792B" w14:textId="77777777" w:rsidR="004B20FF" w:rsidRPr="005C021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6B881EB0" w:rsidR="006F2724" w:rsidRPr="005C021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t xml:space="preserve">De tal </w:t>
      </w:r>
      <w:r w:rsidRPr="005C021D">
        <w:rPr>
          <w:rFonts w:ascii="Palatino Linotype" w:eastAsia="MS Mincho" w:hAnsi="Palatino Linotype" w:cs="Times New Roman"/>
          <w:color w:val="000000"/>
        </w:rPr>
        <w:t xml:space="preserve">manera que cada una de las áreas administrativas del </w:t>
      </w:r>
      <w:r w:rsidRPr="005C021D">
        <w:rPr>
          <w:rFonts w:ascii="Palatino Linotype" w:eastAsia="MS Mincho" w:hAnsi="Palatino Linotype" w:cs="Times New Roman"/>
          <w:b/>
          <w:bCs/>
          <w:color w:val="000000"/>
        </w:rPr>
        <w:t>SUJETO OBLIGADO</w:t>
      </w:r>
      <w:r w:rsidR="00357E36" w:rsidRPr="005C021D">
        <w:rPr>
          <w:rFonts w:ascii="Palatino Linotype" w:eastAsia="MS Mincho" w:hAnsi="Palatino Linotype" w:cs="Times New Roman"/>
          <w:b/>
          <w:bCs/>
          <w:color w:val="000000"/>
        </w:rPr>
        <w:t>,</w:t>
      </w:r>
      <w:r w:rsidRPr="005C021D">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5C021D"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77F75B55" w:rsidR="00F92741" w:rsidRPr="005C021D"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t>U</w:t>
      </w:r>
      <w:r w:rsidR="00F92741" w:rsidRPr="005C021D">
        <w:rPr>
          <w:rFonts w:ascii="Palatino Linotype" w:hAnsi="Palatino Linotype"/>
        </w:rPr>
        <w:t xml:space="preserve">na expuesto lo anterior, de la lectura a la solicitud de información </w:t>
      </w:r>
      <w:r w:rsidR="007B229B" w:rsidRPr="005C021D">
        <w:rPr>
          <w:rFonts w:ascii="Palatino Linotype" w:hAnsi="Palatino Linotype"/>
          <w:b/>
        </w:rPr>
        <w:t>00121/MELOCAM/IP/2023</w:t>
      </w:r>
      <w:r w:rsidR="00F92741" w:rsidRPr="005C021D">
        <w:rPr>
          <w:rFonts w:ascii="Palatino Linotype" w:hAnsi="Palatino Linotype"/>
        </w:rPr>
        <w:t xml:space="preserve">, y como fuera señalado en el </w:t>
      </w:r>
      <w:r w:rsidR="00F92741" w:rsidRPr="005C021D">
        <w:rPr>
          <w:rFonts w:ascii="Palatino Linotype" w:hAnsi="Palatino Linotype"/>
          <w:i/>
          <w:iCs/>
        </w:rPr>
        <w:t>Planteamiento de la Litis</w:t>
      </w:r>
      <w:r w:rsidR="00F92741" w:rsidRPr="005C021D">
        <w:rPr>
          <w:rFonts w:ascii="Palatino Linotype" w:hAnsi="Palatino Linotype"/>
        </w:rPr>
        <w:t xml:space="preserve"> de esta resolución, se advierte que el entonces </w:t>
      </w:r>
      <w:r w:rsidR="00F92741" w:rsidRPr="005C021D">
        <w:rPr>
          <w:rFonts w:ascii="Palatino Linotype" w:hAnsi="Palatino Linotype"/>
          <w:b/>
        </w:rPr>
        <w:t>SOLICITANTE</w:t>
      </w:r>
      <w:r w:rsidR="00F92741" w:rsidRPr="005C021D">
        <w:rPr>
          <w:rFonts w:ascii="Palatino Linotype" w:hAnsi="Palatino Linotype"/>
        </w:rPr>
        <w:t xml:space="preserve"> requirió acceder a la siguiente información:</w:t>
      </w:r>
    </w:p>
    <w:p w14:paraId="6D2491BA" w14:textId="002777B8" w:rsidR="0010205D" w:rsidRPr="005C021D" w:rsidRDefault="00F9708E" w:rsidP="0010205D">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5C021D">
        <w:rPr>
          <w:rFonts w:ascii="Palatino Linotype" w:hAnsi="Palatino Linotype" w:cs="Arial"/>
          <w:color w:val="000000" w:themeColor="text1"/>
        </w:rPr>
        <w:t>Acuerdo de Cabildo en el que se aprobaran los programas sociales de mejoramiento en casa, tinacos con subsidio y calentadores solares a bajo costo</w:t>
      </w:r>
      <w:r w:rsidR="005E2AB8" w:rsidRPr="005C021D">
        <w:rPr>
          <w:rFonts w:ascii="Palatino Linotype" w:hAnsi="Palatino Linotype" w:cs="Arial"/>
          <w:color w:val="000000" w:themeColor="text1"/>
        </w:rPr>
        <w:t>.</w:t>
      </w:r>
    </w:p>
    <w:p w14:paraId="1575257B" w14:textId="0748C015" w:rsidR="0010205D" w:rsidRPr="005C021D" w:rsidRDefault="0010205D" w:rsidP="0010205D">
      <w:pPr>
        <w:pStyle w:val="Prrafodelista"/>
        <w:tabs>
          <w:tab w:val="left" w:pos="426"/>
        </w:tabs>
        <w:spacing w:before="240" w:after="240" w:line="360" w:lineRule="auto"/>
        <w:ind w:left="0" w:right="51"/>
        <w:jc w:val="both"/>
        <w:rPr>
          <w:rFonts w:ascii="Palatino Linotype" w:hAnsi="Palatino Linotype"/>
          <w:color w:val="000000" w:themeColor="text1"/>
        </w:rPr>
      </w:pPr>
    </w:p>
    <w:p w14:paraId="01FB9EBD" w14:textId="600E496F" w:rsidR="00EA2E5E" w:rsidRPr="005C021D" w:rsidRDefault="006652B2"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rPr>
        <w:lastRenderedPageBreak/>
        <w:t xml:space="preserve">Por su parte, </w:t>
      </w:r>
      <w:r w:rsidR="00F92741" w:rsidRPr="005C021D">
        <w:rPr>
          <w:rFonts w:ascii="Palatino Linotype" w:hAnsi="Palatino Linotype"/>
        </w:rPr>
        <w:t xml:space="preserve">en respuesta a la solicitud de información </w:t>
      </w:r>
      <w:r w:rsidR="007B229B" w:rsidRPr="005C021D">
        <w:rPr>
          <w:rFonts w:ascii="Palatino Linotype" w:hAnsi="Palatino Linotype"/>
          <w:b/>
          <w:bCs/>
        </w:rPr>
        <w:t>00121/MELOCAM/IP/2023</w:t>
      </w:r>
      <w:r w:rsidR="00F92741" w:rsidRPr="005C021D">
        <w:rPr>
          <w:rFonts w:ascii="Palatino Linotype" w:hAnsi="Palatino Linotype"/>
        </w:rPr>
        <w:t xml:space="preserve">, el </w:t>
      </w:r>
      <w:r w:rsidR="00F92741" w:rsidRPr="005C021D">
        <w:rPr>
          <w:rFonts w:ascii="Palatino Linotype" w:hAnsi="Palatino Linotype"/>
          <w:b/>
        </w:rPr>
        <w:t>SUJETO OBLIGADO</w:t>
      </w:r>
      <w:r w:rsidR="00357E36" w:rsidRPr="005C021D">
        <w:rPr>
          <w:rFonts w:ascii="Palatino Linotype" w:hAnsi="Palatino Linotype"/>
          <w:b/>
        </w:rPr>
        <w:t>,</w:t>
      </w:r>
      <w:r w:rsidR="00F92741" w:rsidRPr="005C021D">
        <w:rPr>
          <w:rFonts w:ascii="Palatino Linotype" w:hAnsi="Palatino Linotype"/>
        </w:rPr>
        <w:t xml:space="preserve"> </w:t>
      </w:r>
      <w:r w:rsidR="00F9708E" w:rsidRPr="005C021D">
        <w:rPr>
          <w:rFonts w:ascii="Palatino Linotype" w:hAnsi="Palatino Linotype"/>
        </w:rPr>
        <w:t>entregó la copia digitalizada, en versión pública, de</w:t>
      </w:r>
      <w:r w:rsidR="007C6D06" w:rsidRPr="005C021D">
        <w:rPr>
          <w:rFonts w:ascii="Palatino Linotype" w:hAnsi="Palatino Linotype"/>
        </w:rPr>
        <w:t xml:space="preserve">l Acta de la Cuadragésima Quinta Sesión Ordinaria de Cabildo, llevada a cabo el veinticinco (25) de enero de dos mil veintitrés, cuyo punto </w:t>
      </w:r>
      <w:r w:rsidR="007C6D06" w:rsidRPr="005C021D">
        <w:rPr>
          <w:rFonts w:ascii="Palatino Linotype" w:hAnsi="Palatino Linotype"/>
          <w:b/>
        </w:rPr>
        <w:t>7</w:t>
      </w:r>
      <w:r w:rsidR="007C6D06" w:rsidRPr="005C021D">
        <w:rPr>
          <w:rFonts w:ascii="Palatino Linotype" w:hAnsi="Palatino Linotype"/>
        </w:rPr>
        <w:t xml:space="preserve"> del Orden del día aprueba los </w:t>
      </w:r>
      <w:r w:rsidR="007C6D06" w:rsidRPr="005C021D">
        <w:rPr>
          <w:rFonts w:ascii="Palatino Linotype" w:hAnsi="Palatino Linotype"/>
          <w:i/>
        </w:rPr>
        <w:t>Programas Sociales de Calentadores Solares a bajo costo, Programa de Tinacos con subsidio y Programa de “Mejoramiento en Casa” con venta de colchones a bajo costo</w:t>
      </w:r>
      <w:r w:rsidR="007C6D06" w:rsidRPr="005C021D">
        <w:rPr>
          <w:rFonts w:ascii="Palatino Linotype" w:hAnsi="Palatino Linotype"/>
        </w:rPr>
        <w:t>. Se adjunta el fragmento del Acta tocante del punto en cuestión:</w:t>
      </w:r>
    </w:p>
    <w:p w14:paraId="0B8AD0E3" w14:textId="2580F2DF" w:rsidR="007C6D06" w:rsidRPr="005C021D" w:rsidRDefault="007C6D06" w:rsidP="007C6D06">
      <w:pPr>
        <w:pStyle w:val="Prrafodelista"/>
        <w:tabs>
          <w:tab w:val="left" w:pos="426"/>
        </w:tabs>
        <w:spacing w:before="240" w:after="240" w:line="360" w:lineRule="auto"/>
        <w:ind w:left="0" w:right="51"/>
        <w:jc w:val="center"/>
        <w:rPr>
          <w:rFonts w:ascii="Palatino Linotype" w:hAnsi="Palatino Linotype"/>
          <w:color w:val="000000" w:themeColor="text1"/>
        </w:rPr>
      </w:pPr>
      <w:r w:rsidRPr="005C021D">
        <w:rPr>
          <w:rFonts w:ascii="Palatino Linotype" w:hAnsi="Palatino Linotype"/>
          <w:noProof/>
          <w:color w:val="000000" w:themeColor="text1"/>
          <w:lang w:val="es-MX" w:eastAsia="es-MX"/>
        </w:rPr>
        <w:drawing>
          <wp:inline distT="0" distB="0" distL="0" distR="0" wp14:anchorId="5EF227A8" wp14:editId="150F194F">
            <wp:extent cx="4242125" cy="5036024"/>
            <wp:effectExtent l="57150" t="57150" r="120650" b="107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3281" cy="50492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EA61E" w14:textId="774A29D5" w:rsidR="007C6D06" w:rsidRPr="005C021D" w:rsidRDefault="007C6D06" w:rsidP="007C6D06">
      <w:pPr>
        <w:pStyle w:val="Prrafodelista"/>
        <w:tabs>
          <w:tab w:val="left" w:pos="426"/>
        </w:tabs>
        <w:spacing w:before="240" w:after="240" w:line="360" w:lineRule="auto"/>
        <w:ind w:left="0" w:right="51"/>
        <w:jc w:val="center"/>
        <w:rPr>
          <w:rFonts w:ascii="Palatino Linotype" w:hAnsi="Palatino Linotype"/>
          <w:color w:val="000000" w:themeColor="text1"/>
        </w:rPr>
      </w:pPr>
      <w:r w:rsidRPr="005C021D">
        <w:rPr>
          <w:rFonts w:ascii="Palatino Linotype" w:hAnsi="Palatino Linotype"/>
          <w:noProof/>
          <w:color w:val="000000" w:themeColor="text1"/>
          <w:lang w:val="es-MX" w:eastAsia="es-MX"/>
        </w:rPr>
        <w:lastRenderedPageBreak/>
        <w:drawing>
          <wp:inline distT="0" distB="0" distL="0" distR="0" wp14:anchorId="7333D17A" wp14:editId="23D462CA">
            <wp:extent cx="4228967" cy="5830021"/>
            <wp:effectExtent l="57150" t="57150" r="114935" b="113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880" cy="58450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792551" w14:textId="409F72BF" w:rsidR="007C6D06" w:rsidRPr="005C021D" w:rsidRDefault="007C6D06" w:rsidP="007C6D06">
      <w:pPr>
        <w:pStyle w:val="Prrafodelista"/>
        <w:tabs>
          <w:tab w:val="left" w:pos="426"/>
        </w:tabs>
        <w:spacing w:before="240" w:after="240" w:line="360" w:lineRule="auto"/>
        <w:ind w:left="0" w:right="51"/>
        <w:jc w:val="center"/>
        <w:rPr>
          <w:rFonts w:ascii="Palatino Linotype" w:hAnsi="Palatino Linotype"/>
          <w:color w:val="000000" w:themeColor="text1"/>
        </w:rPr>
      </w:pPr>
      <w:r w:rsidRPr="005C021D">
        <w:rPr>
          <w:rFonts w:ascii="Palatino Linotype" w:hAnsi="Palatino Linotype"/>
          <w:noProof/>
          <w:color w:val="000000" w:themeColor="text1"/>
          <w:lang w:val="es-MX" w:eastAsia="es-MX"/>
        </w:rPr>
        <w:drawing>
          <wp:inline distT="0" distB="0" distL="0" distR="0" wp14:anchorId="4001D092" wp14:editId="58B78722">
            <wp:extent cx="4251992" cy="947774"/>
            <wp:effectExtent l="57150" t="57150" r="110490" b="1193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8438" cy="9692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7C3ECC" w14:textId="77777777" w:rsidR="007C6D06" w:rsidRPr="005C021D" w:rsidRDefault="007C6D06" w:rsidP="00D425C6">
      <w:pPr>
        <w:pStyle w:val="Prrafodelista"/>
        <w:tabs>
          <w:tab w:val="left" w:pos="426"/>
        </w:tabs>
        <w:spacing w:before="240" w:after="240" w:line="360" w:lineRule="auto"/>
        <w:ind w:left="0" w:right="51"/>
        <w:jc w:val="both"/>
        <w:rPr>
          <w:rFonts w:ascii="Palatino Linotype" w:hAnsi="Palatino Linotype"/>
          <w:color w:val="000000" w:themeColor="text1"/>
        </w:rPr>
      </w:pPr>
    </w:p>
    <w:p w14:paraId="14B7E798" w14:textId="1F241F23" w:rsidR="00F15B55" w:rsidRPr="005C021D" w:rsidRDefault="00477611" w:rsidP="00F15B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lastRenderedPageBreak/>
        <w:t xml:space="preserve">En </w:t>
      </w:r>
      <w:r w:rsidR="00F15B55" w:rsidRPr="005C021D">
        <w:rPr>
          <w:rFonts w:ascii="Palatino Linotype" w:hAnsi="Palatino Linotype"/>
          <w:color w:val="000000" w:themeColor="text1"/>
        </w:rPr>
        <w:t xml:space="preserve">consecuencia, toda vez que el </w:t>
      </w:r>
      <w:r w:rsidR="00F15B55"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00F15B55" w:rsidRPr="005C021D">
        <w:rPr>
          <w:rFonts w:ascii="Palatino Linotype" w:hAnsi="Palatino Linotype"/>
          <w:color w:val="000000" w:themeColor="text1"/>
        </w:rPr>
        <w:t xml:space="preserve"> se pronunció respecto de la información solicitada, resultaría conveniente obviar el análisis de competencia del </w:t>
      </w:r>
      <w:r w:rsidR="007B229B" w:rsidRPr="005C021D">
        <w:rPr>
          <w:rFonts w:ascii="Palatino Linotype" w:hAnsi="Palatino Linotype"/>
          <w:bCs/>
          <w:color w:val="000000" w:themeColor="text1"/>
        </w:rPr>
        <w:t>Ayuntamiento de Melchor Ocampo</w:t>
      </w:r>
      <w:r w:rsidR="00F15B55" w:rsidRPr="005C021D">
        <w:rPr>
          <w:rFonts w:ascii="Palatino Linotype" w:hAnsi="Palatino Linotype"/>
          <w:color w:val="000000" w:themeColor="text1"/>
        </w:rPr>
        <w:t xml:space="preserve"> para generar, administrar o poseer la misma, dado que éste asumió la competencia mediante su respuest</w:t>
      </w:r>
      <w:r w:rsidR="007C6D06" w:rsidRPr="005C021D">
        <w:rPr>
          <w:rFonts w:ascii="Palatino Linotype" w:hAnsi="Palatino Linotype"/>
          <w:color w:val="000000" w:themeColor="text1"/>
        </w:rPr>
        <w:t>a a la solicitud de información</w:t>
      </w:r>
      <w:r w:rsidR="00F15B55" w:rsidRPr="005C021D">
        <w:rPr>
          <w:rFonts w:ascii="Palatino Linotype" w:hAnsi="Palatino Linotype"/>
          <w:color w:val="000000" w:themeColor="text1"/>
        </w:rPr>
        <w:t>.</w:t>
      </w:r>
    </w:p>
    <w:p w14:paraId="6E3C6CE3" w14:textId="77777777" w:rsidR="00F15B55" w:rsidRPr="005C021D" w:rsidRDefault="00F15B55" w:rsidP="00F15B55">
      <w:pPr>
        <w:pStyle w:val="Prrafodelista"/>
        <w:tabs>
          <w:tab w:val="left" w:pos="426"/>
        </w:tabs>
        <w:spacing w:before="240" w:after="240" w:line="360" w:lineRule="auto"/>
        <w:ind w:left="0" w:right="51"/>
        <w:jc w:val="both"/>
        <w:rPr>
          <w:rFonts w:ascii="Palatino Linotype" w:hAnsi="Palatino Linotype"/>
          <w:color w:val="000000" w:themeColor="text1"/>
        </w:rPr>
      </w:pPr>
    </w:p>
    <w:p w14:paraId="63FED04C" w14:textId="0EC1AB97" w:rsidR="008D45C3" w:rsidRPr="005C021D" w:rsidRDefault="00F15B55" w:rsidP="00F15B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5C021D">
        <w:rPr>
          <w:rFonts w:ascii="Palatino Linotype" w:hAnsi="Palatino Linotype"/>
          <w:b/>
          <w:color w:val="000000" w:themeColor="text1"/>
        </w:rPr>
        <w:t>SUJETO OBLIGADO</w:t>
      </w:r>
      <w:r w:rsidR="00357E36" w:rsidRPr="005C021D">
        <w:rPr>
          <w:rFonts w:ascii="Palatino Linotype" w:hAnsi="Palatino Linotype"/>
          <w:color w:val="000000" w:themeColor="text1"/>
        </w:rPr>
        <w:t>, empero</w:t>
      </w:r>
      <w:r w:rsidRPr="005C021D">
        <w:rPr>
          <w:rFonts w:ascii="Palatino Linotype" w:hAnsi="Palatino Linotype"/>
          <w:color w:val="000000" w:themeColor="text1"/>
        </w:rPr>
        <w:t xml:space="preserve"> en aquellos casos en que éste la asume, implica </w:t>
      </w:r>
      <w:r w:rsidRPr="005C021D">
        <w:rPr>
          <w:rFonts w:ascii="Palatino Linotype" w:hAnsi="Palatino Linotype"/>
          <w:i/>
          <w:color w:val="000000" w:themeColor="text1"/>
        </w:rPr>
        <w:t>de facto</w:t>
      </w:r>
      <w:r w:rsidRPr="005C021D">
        <w:rPr>
          <w:rFonts w:ascii="Palatino Linotype" w:hAnsi="Palatino Linotype"/>
          <w:color w:val="000000" w:themeColor="text1"/>
        </w:rPr>
        <w:t xml:space="preserve"> que la genera, posee o administra. Por consiguiente, a nada práctico nos conduciría su estudio, ya que, se insiste, la información pública solicitada, relacionada con </w:t>
      </w:r>
      <w:r w:rsidR="007C6D06" w:rsidRPr="005C021D">
        <w:rPr>
          <w:rFonts w:ascii="Palatino Linotype" w:hAnsi="Palatino Linotype"/>
          <w:color w:val="000000" w:themeColor="text1"/>
        </w:rPr>
        <w:t>el Acta de Cabildo en la que se aprobaron los programas sociales de mejoramiento en casa, tinacos con subsidio y calentadores solares a bajo costo</w:t>
      </w:r>
      <w:r w:rsidRPr="005C021D">
        <w:rPr>
          <w:rFonts w:ascii="Palatino Linotype" w:hAnsi="Palatino Linotype"/>
          <w:color w:val="000000" w:themeColor="text1"/>
        </w:rPr>
        <w:t>,</w:t>
      </w:r>
      <w:r w:rsidRPr="005C021D">
        <w:rPr>
          <w:rFonts w:ascii="Palatino Linotype" w:hAnsi="Palatino Linotype"/>
          <w:b/>
          <w:color w:val="000000" w:themeColor="text1"/>
        </w:rPr>
        <w:t xml:space="preserve"> </w:t>
      </w:r>
      <w:r w:rsidRPr="005C021D">
        <w:rPr>
          <w:rFonts w:ascii="Palatino Linotype" w:hAnsi="Palatino Linotype"/>
          <w:color w:val="000000" w:themeColor="text1"/>
        </w:rPr>
        <w:t xml:space="preserve">ha sido asumida por el </w:t>
      </w:r>
      <w:r w:rsidRPr="005C021D">
        <w:rPr>
          <w:rFonts w:ascii="Palatino Linotype" w:hAnsi="Palatino Linotype"/>
          <w:b/>
          <w:color w:val="000000" w:themeColor="text1"/>
        </w:rPr>
        <w:t>SUJETO OBLIGADO</w:t>
      </w:r>
      <w:r w:rsidRPr="005C021D">
        <w:rPr>
          <w:rFonts w:ascii="Palatino Linotype" w:hAnsi="Palatino Linotype"/>
          <w:color w:val="000000" w:themeColor="text1"/>
        </w:rPr>
        <w:t>.</w:t>
      </w:r>
    </w:p>
    <w:p w14:paraId="2B1112F3" w14:textId="77777777" w:rsidR="007774E7" w:rsidRPr="005C021D"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752EE092" w:rsidR="007774E7" w:rsidRPr="005C021D" w:rsidRDefault="00F15B5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Por su parte, el</w:t>
      </w:r>
      <w:r w:rsidR="008D45C3" w:rsidRPr="005C021D">
        <w:rPr>
          <w:rFonts w:ascii="Palatino Linotype" w:eastAsia="Times New Roman" w:hAnsi="Palatino Linotype" w:cs="Arial"/>
        </w:rPr>
        <w:t xml:space="preserve"> ahora</w:t>
      </w:r>
      <w:r w:rsidR="007774E7" w:rsidRPr="005C021D">
        <w:rPr>
          <w:rFonts w:ascii="Palatino Linotype" w:eastAsia="Times New Roman" w:hAnsi="Palatino Linotype" w:cs="Arial"/>
        </w:rPr>
        <w:t xml:space="preserve"> </w:t>
      </w:r>
      <w:r w:rsidR="007774E7" w:rsidRPr="005C021D">
        <w:rPr>
          <w:rFonts w:ascii="Palatino Linotype" w:eastAsia="Times New Roman" w:hAnsi="Palatino Linotype" w:cs="Arial"/>
          <w:b/>
          <w:bCs/>
        </w:rPr>
        <w:t>RECURRENTE</w:t>
      </w:r>
      <w:r w:rsidR="007774E7" w:rsidRPr="005C021D">
        <w:rPr>
          <w:rFonts w:ascii="Palatino Linotype" w:eastAsia="Times New Roman" w:hAnsi="Palatino Linotype" w:cs="Arial"/>
        </w:rPr>
        <w:t xml:space="preserve"> presentó el recurso de revisión con número al rubro citado, en contra de la respuesta del </w:t>
      </w:r>
      <w:r w:rsidR="007774E7" w:rsidRPr="005C021D">
        <w:rPr>
          <w:rFonts w:ascii="Palatino Linotype" w:eastAsia="Times New Roman" w:hAnsi="Palatino Linotype" w:cs="Arial"/>
          <w:b/>
          <w:bCs/>
        </w:rPr>
        <w:t>SUJETO OBLIGADO</w:t>
      </w:r>
      <w:r w:rsidR="007774E7" w:rsidRPr="005C021D">
        <w:rPr>
          <w:rFonts w:ascii="Palatino Linotype" w:eastAsia="Times New Roman" w:hAnsi="Palatino Linotype" w:cs="Arial"/>
        </w:rPr>
        <w:t>, y en el que señaló por agravios lo siguiente:</w:t>
      </w:r>
    </w:p>
    <w:p w14:paraId="247569EF" w14:textId="36E06B77" w:rsidR="007774E7" w:rsidRPr="005C021D" w:rsidRDefault="007C6D06" w:rsidP="005E208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Que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clasificó información que es pública</w:t>
      </w:r>
      <w:r w:rsidR="00884726" w:rsidRPr="005C021D">
        <w:rPr>
          <w:rFonts w:ascii="Palatino Linotype" w:hAnsi="Palatino Linotype"/>
          <w:color w:val="000000" w:themeColor="text1"/>
        </w:rPr>
        <w:t>.</w:t>
      </w:r>
    </w:p>
    <w:p w14:paraId="6B38C1A6" w14:textId="77777777" w:rsidR="007774E7" w:rsidRPr="005C021D"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457F30DA" w14:textId="5A878321" w:rsidR="007C6D06" w:rsidRPr="005C021D" w:rsidRDefault="007C6D06"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Posteriormente, en vía de Informe Justificado,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ofreció el Acuerdo del Comité de Transparencia número 041/MELOCAMP/CT/SA/2023, de uno (01) de abril de dos mil veintitrés, mediante el cual, se aprobó la versión pública del Acta de Cabildo solicitada.</w:t>
      </w:r>
    </w:p>
    <w:p w14:paraId="0182971D" w14:textId="77777777" w:rsidR="007C6D06" w:rsidRPr="005C021D" w:rsidRDefault="007C6D06" w:rsidP="007C6D06">
      <w:pPr>
        <w:pStyle w:val="Prrafodelista"/>
        <w:tabs>
          <w:tab w:val="left" w:pos="426"/>
        </w:tabs>
        <w:spacing w:before="240" w:after="240" w:line="360" w:lineRule="auto"/>
        <w:ind w:left="0" w:right="51"/>
        <w:jc w:val="both"/>
        <w:rPr>
          <w:rFonts w:ascii="Palatino Linotype" w:hAnsi="Palatino Linotype"/>
          <w:color w:val="000000" w:themeColor="text1"/>
        </w:rPr>
      </w:pPr>
    </w:p>
    <w:p w14:paraId="7B69E4DA" w14:textId="034ECFB2" w:rsidR="007774E7" w:rsidRPr="005C021D" w:rsidRDefault="007C6D06"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rPr>
        <w:lastRenderedPageBreak/>
        <w:t>R</w:t>
      </w:r>
      <w:r w:rsidR="007774E7" w:rsidRPr="005C021D">
        <w:rPr>
          <w:rFonts w:ascii="Palatino Linotype" w:hAnsi="Palatino Linotype"/>
          <w:color w:val="000000" w:themeColor="text1"/>
        </w:rPr>
        <w:t xml:space="preserve">azón de lo anterior, se procederá a </w:t>
      </w:r>
      <w:r w:rsidR="00E975DC" w:rsidRPr="005C021D">
        <w:rPr>
          <w:rFonts w:ascii="Palatino Linotype" w:hAnsi="Palatino Linotype"/>
          <w:color w:val="000000" w:themeColor="text1"/>
        </w:rPr>
        <w:t xml:space="preserve">analizar la legalidad </w:t>
      </w:r>
      <w:r w:rsidRPr="005C021D">
        <w:rPr>
          <w:rFonts w:ascii="Palatino Linotype" w:hAnsi="Palatino Linotype"/>
          <w:color w:val="000000" w:themeColor="text1"/>
        </w:rPr>
        <w:t xml:space="preserve">del ejercicio de clasificación realizado por el </w:t>
      </w:r>
      <w:r w:rsidRPr="005C021D">
        <w:rPr>
          <w:rFonts w:ascii="Palatino Linotype" w:hAnsi="Palatino Linotype"/>
          <w:b/>
          <w:color w:val="000000" w:themeColor="text1"/>
        </w:rPr>
        <w:t>SUJETO OBLIGADO</w:t>
      </w:r>
      <w:r w:rsidR="00E975DC" w:rsidRPr="005C021D">
        <w:rPr>
          <w:rFonts w:ascii="Palatino Linotype" w:hAnsi="Palatino Linotype"/>
          <w:color w:val="000000" w:themeColor="text1"/>
        </w:rPr>
        <w:t>, a fin de determinar si éste se realizó apegado a derecho o, si por el contrario, procede la entrega vía SAIMEX.</w:t>
      </w:r>
    </w:p>
    <w:p w14:paraId="5C2A5E2D" w14:textId="77777777" w:rsidR="00C5125B" w:rsidRPr="005C021D" w:rsidRDefault="00C5125B" w:rsidP="00C5125B">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470932DA" w:rsidR="00C5125B" w:rsidRPr="005C021D"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5C021D">
        <w:rPr>
          <w:rFonts w:ascii="Palatino Linotype" w:hAnsi="Palatino Linotype"/>
          <w:b/>
          <w:bCs/>
          <w:color w:val="000000" w:themeColor="text1"/>
        </w:rPr>
        <w:t xml:space="preserve">III. </w:t>
      </w:r>
      <w:r w:rsidR="00C0431A" w:rsidRPr="005C021D">
        <w:rPr>
          <w:rFonts w:ascii="Palatino Linotype" w:hAnsi="Palatino Linotype"/>
          <w:b/>
          <w:bCs/>
          <w:color w:val="000000" w:themeColor="text1"/>
        </w:rPr>
        <w:t xml:space="preserve">De la </w:t>
      </w:r>
      <w:r w:rsidR="006B5C96" w:rsidRPr="005C021D">
        <w:rPr>
          <w:rFonts w:ascii="Palatino Linotype" w:hAnsi="Palatino Linotype"/>
          <w:b/>
          <w:bCs/>
          <w:color w:val="000000" w:themeColor="text1"/>
        </w:rPr>
        <w:t>naturaleza de la información</w:t>
      </w:r>
      <w:r w:rsidRPr="005C021D">
        <w:rPr>
          <w:rFonts w:ascii="Palatino Linotype" w:hAnsi="Palatino Linotype"/>
          <w:b/>
          <w:bCs/>
          <w:color w:val="000000" w:themeColor="text1"/>
        </w:rPr>
        <w:t>.</w:t>
      </w:r>
    </w:p>
    <w:p w14:paraId="63098631" w14:textId="77777777" w:rsidR="006766B3" w:rsidRPr="005C021D"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6FCFC569" w14:textId="7038EE7A" w:rsidR="00E975DC" w:rsidRPr="005C021D" w:rsidRDefault="006B5C96"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La Constitución Política de los Estados Unidos Mexicanos, en su artículo 115, establece que cada municipio será gobernado por un Ayuntamiento de elección popular directa, integrado por un Presidente o Presidenta Municipal y el número de regidurías y sindicaturas que la ley determine, de conformidad con el principio de paridad.</w:t>
      </w:r>
    </w:p>
    <w:p w14:paraId="3010FF7C"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424D8889" w14:textId="46B99D85" w:rsidR="00C0431A" w:rsidRPr="005C021D" w:rsidRDefault="00401C8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Más adelante, nuestra </w:t>
      </w:r>
      <w:r w:rsidRPr="005C021D">
        <w:rPr>
          <w:rFonts w:ascii="Palatino Linotype" w:hAnsi="Palatino Linotype"/>
          <w:i/>
          <w:color w:val="000000" w:themeColor="text1"/>
        </w:rPr>
        <w:t>Magna Carta</w:t>
      </w:r>
      <w:r w:rsidRPr="005C021D">
        <w:rPr>
          <w:rFonts w:ascii="Palatino Linotype" w:hAnsi="Palatino Linotype"/>
          <w:color w:val="000000" w:themeColor="text1"/>
        </w:rPr>
        <w:t xml:space="preserve"> reconoce que </w:t>
      </w:r>
      <w:r w:rsidRPr="005C021D">
        <w:rPr>
          <w:rFonts w:ascii="Palatino Linotype" w:hAnsi="Palatino Linotype"/>
          <w:b/>
          <w:color w:val="000000" w:themeColor="text1"/>
        </w:rPr>
        <w:t>los Ayuntamientos tendrán facultades para aprobar</w:t>
      </w:r>
      <w:r w:rsidRPr="005C021D">
        <w:rPr>
          <w:rFonts w:ascii="Palatino Linotype" w:hAnsi="Palatino Linotype"/>
          <w:color w:val="000000" w:themeColor="text1"/>
        </w:rPr>
        <w:t xml:space="preserve">, de acuerdo con las leyes en materia municipal que deberán expedir las legislaturas de los Estados, los bandos de policía y gobierno, los reglamentos, circulares y </w:t>
      </w:r>
      <w:r w:rsidRPr="005C021D">
        <w:rPr>
          <w:rFonts w:ascii="Palatino Linotype" w:hAnsi="Palatino Linotype"/>
          <w:b/>
          <w:color w:val="000000" w:themeColor="text1"/>
        </w:rPr>
        <w:t>disposiciones administrativas de observancia general</w:t>
      </w:r>
      <w:r w:rsidRPr="005C021D">
        <w:rPr>
          <w:rFonts w:ascii="Palatino Linotype" w:hAnsi="Palatino Linotype"/>
          <w:color w:val="000000" w:themeColor="text1"/>
        </w:rPr>
        <w:t xml:space="preserve"> dentro de sus respectivas jurisdicciones, </w:t>
      </w:r>
      <w:r w:rsidRPr="005C021D">
        <w:rPr>
          <w:rFonts w:ascii="Palatino Linotype" w:hAnsi="Palatino Linotype"/>
          <w:b/>
          <w:color w:val="000000" w:themeColor="text1"/>
        </w:rPr>
        <w:t>que</w:t>
      </w:r>
      <w:r w:rsidRPr="005C021D">
        <w:rPr>
          <w:rFonts w:ascii="Palatino Linotype" w:hAnsi="Palatino Linotype"/>
          <w:color w:val="000000" w:themeColor="text1"/>
        </w:rPr>
        <w:t xml:space="preserve"> organicen la administración pública municipal, </w:t>
      </w:r>
      <w:r w:rsidRPr="005C021D">
        <w:rPr>
          <w:rFonts w:ascii="Palatino Linotype" w:hAnsi="Palatino Linotype"/>
          <w:b/>
          <w:color w:val="000000" w:themeColor="text1"/>
        </w:rPr>
        <w:t>regulen</w:t>
      </w:r>
      <w:r w:rsidRPr="005C021D">
        <w:rPr>
          <w:rFonts w:ascii="Palatino Linotype" w:hAnsi="Palatino Linotype"/>
          <w:color w:val="000000" w:themeColor="text1"/>
        </w:rPr>
        <w:t xml:space="preserve"> las materias, procedimientos, funciones y </w:t>
      </w:r>
      <w:r w:rsidRPr="005C021D">
        <w:rPr>
          <w:rFonts w:ascii="Palatino Linotype" w:hAnsi="Palatino Linotype"/>
          <w:b/>
          <w:color w:val="000000" w:themeColor="text1"/>
        </w:rPr>
        <w:t>servicios públicos de su competencia</w:t>
      </w:r>
      <w:r w:rsidRPr="005C021D">
        <w:rPr>
          <w:rFonts w:ascii="Palatino Linotype" w:hAnsi="Palatino Linotype"/>
          <w:color w:val="000000" w:themeColor="text1"/>
        </w:rPr>
        <w:t xml:space="preserve"> y aseguren la participación ciudadana y vecinal</w:t>
      </w:r>
      <w:r w:rsidRPr="005C021D">
        <w:rPr>
          <w:rStyle w:val="Refdenotaalpie"/>
          <w:rFonts w:ascii="Palatino Linotype" w:hAnsi="Palatino Linotype"/>
          <w:color w:val="000000" w:themeColor="text1"/>
        </w:rPr>
        <w:footnoteReference w:id="11"/>
      </w:r>
      <w:r w:rsidRPr="005C021D">
        <w:rPr>
          <w:rFonts w:ascii="Palatino Linotype" w:hAnsi="Palatino Linotype"/>
          <w:color w:val="000000" w:themeColor="text1"/>
        </w:rPr>
        <w:t>.</w:t>
      </w:r>
    </w:p>
    <w:p w14:paraId="1725F305"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337BC364" w14:textId="29DE2761" w:rsidR="00C0431A" w:rsidRPr="005C021D" w:rsidRDefault="00401C8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En seguimiento al mandato constitucional antes señalado, la Ley Orgánica Municipal del Estado de México indica que cada municipio será gobernado por un ayuntamiento de elección popular directa y no habrá ninguna autoridad intermedia </w:t>
      </w:r>
      <w:r w:rsidRPr="005C021D">
        <w:rPr>
          <w:rFonts w:ascii="Palatino Linotype" w:hAnsi="Palatino Linotype"/>
          <w:color w:val="000000" w:themeColor="text1"/>
        </w:rPr>
        <w:lastRenderedPageBreak/>
        <w:t>entre éste y el Gobierno del Estado</w:t>
      </w:r>
      <w:r w:rsidRPr="005C021D">
        <w:rPr>
          <w:rStyle w:val="Refdenotaalpie"/>
          <w:rFonts w:ascii="Palatino Linotype" w:hAnsi="Palatino Linotype"/>
          <w:color w:val="000000" w:themeColor="text1"/>
        </w:rPr>
        <w:footnoteReference w:id="12"/>
      </w:r>
      <w:r w:rsidRPr="005C021D">
        <w:rPr>
          <w:rFonts w:ascii="Palatino Linotype" w:hAnsi="Palatino Linotype"/>
          <w:color w:val="000000" w:themeColor="text1"/>
        </w:rPr>
        <w:t>. Estos Ayuntamientos se renovarán cada tres años, iniciarán su periodo el 1 de enero del año inmediato siguiente al de las elecciones municipales ordinarias y concluirán el 31 de diciembre del año de las elecciones para su renovación; y se integrarán por</w:t>
      </w:r>
      <w:r w:rsidRPr="005C021D">
        <w:rPr>
          <w:rStyle w:val="Refdenotaalpie"/>
          <w:rFonts w:ascii="Palatino Linotype" w:hAnsi="Palatino Linotype"/>
          <w:color w:val="000000" w:themeColor="text1"/>
        </w:rPr>
        <w:footnoteReference w:id="13"/>
      </w:r>
      <w:r w:rsidRPr="005C021D">
        <w:rPr>
          <w:rFonts w:ascii="Palatino Linotype" w:hAnsi="Palatino Linotype"/>
          <w:color w:val="000000" w:themeColor="text1"/>
        </w:rPr>
        <w:t>:</w:t>
      </w:r>
    </w:p>
    <w:p w14:paraId="433706FB" w14:textId="77777777" w:rsidR="00401C82" w:rsidRPr="005C021D" w:rsidRDefault="00401C82" w:rsidP="00401C82">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1EF3E514" w14:textId="77777777" w:rsidR="00401C82" w:rsidRPr="005C021D" w:rsidRDefault="00401C82" w:rsidP="00401C82">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28815250" w14:textId="0DA7F74D" w:rsidR="00401C82" w:rsidRPr="005C021D" w:rsidRDefault="00401C82" w:rsidP="00401C82">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25E8B86C"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1DBD76E" w14:textId="46080B49" w:rsidR="00C0431A" w:rsidRPr="005C021D" w:rsidRDefault="00401C8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Como órganos deliberantes, los ayuntamientos deberán resolver colegiadamente los asuntos de su competencia</w:t>
      </w:r>
      <w:r w:rsidRPr="005C021D">
        <w:rPr>
          <w:rStyle w:val="Refdenotaalpie"/>
          <w:rFonts w:ascii="Palatino Linotype" w:hAnsi="Palatino Linotype"/>
          <w:color w:val="000000" w:themeColor="text1"/>
        </w:rPr>
        <w:footnoteReference w:id="14"/>
      </w:r>
      <w:r w:rsidRPr="005C021D">
        <w:rPr>
          <w:rFonts w:ascii="Palatino Linotype" w:hAnsi="Palatino Linotype"/>
          <w:color w:val="000000" w:themeColor="text1"/>
        </w:rPr>
        <w:t xml:space="preserve">. Para ello, sesionarán cuando menos una vez cada ocho días en sesión ordinaria o cuantas veces sea necesario en asuntos de urgente resolución por medio de sesiones extraordinarias, a petición de </w:t>
      </w:r>
      <w:r w:rsidRPr="005C021D">
        <w:rPr>
          <w:rFonts w:ascii="Palatino Linotype" w:hAnsi="Palatino Linotype"/>
          <w:color w:val="000000" w:themeColor="text1"/>
        </w:rPr>
        <w:lastRenderedPageBreak/>
        <w:t>la mayoría de sus miembros y podrán declararse en sesión permanente cuando la importancia del asunto lo requiera</w:t>
      </w:r>
      <w:r w:rsidRPr="005C021D">
        <w:rPr>
          <w:rStyle w:val="Refdenotaalpie"/>
          <w:rFonts w:ascii="Palatino Linotype" w:hAnsi="Palatino Linotype"/>
          <w:color w:val="000000" w:themeColor="text1"/>
        </w:rPr>
        <w:footnoteReference w:id="15"/>
      </w:r>
      <w:r w:rsidRPr="005C021D">
        <w:rPr>
          <w:rFonts w:ascii="Palatino Linotype" w:hAnsi="Palatino Linotype"/>
          <w:color w:val="000000" w:themeColor="text1"/>
        </w:rPr>
        <w:t>.</w:t>
      </w:r>
    </w:p>
    <w:p w14:paraId="6BF7C426"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4464185B" w14:textId="3313424F" w:rsidR="00C0431A" w:rsidRPr="005C021D" w:rsidRDefault="00401C8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Los ayuntamientos deberán publicar el Orden del Día con un mínimo de 12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w:t>
      </w:r>
      <w:r w:rsidRPr="005C021D">
        <w:rPr>
          <w:rStyle w:val="Refdenotaalpie"/>
          <w:rFonts w:ascii="Palatino Linotype" w:hAnsi="Palatino Linotype"/>
          <w:color w:val="000000" w:themeColor="text1"/>
        </w:rPr>
        <w:footnoteReference w:id="16"/>
      </w:r>
      <w:r w:rsidRPr="005C021D">
        <w:rPr>
          <w:rFonts w:ascii="Palatino Linotype" w:hAnsi="Palatino Linotype"/>
          <w:color w:val="000000" w:themeColor="text1"/>
        </w:rPr>
        <w:t>.</w:t>
      </w:r>
    </w:p>
    <w:p w14:paraId="1B2CD97F"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22A0A1FF" w14:textId="0E031888" w:rsidR="00C0431A" w:rsidRPr="005C021D" w:rsidRDefault="00401C82" w:rsidP="00A3606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Todas las Sesiones de Cabildo serán presididas por el Presidente Municipal o por quien lo sustituya legalmente; constarán en un libro que deberá contener las actas en las cuales deberán asentarse los extractos de los acuerdos y asuntos tratados y el resultado de la votación</w:t>
      </w:r>
      <w:r w:rsidRPr="005C021D">
        <w:rPr>
          <w:rStyle w:val="Refdenotaalpie"/>
          <w:rFonts w:ascii="Palatino Linotype" w:hAnsi="Palatino Linotype"/>
          <w:color w:val="000000" w:themeColor="text1"/>
        </w:rPr>
        <w:footnoteReference w:id="17"/>
      </w:r>
      <w:r w:rsidRPr="005C021D">
        <w:rPr>
          <w:rFonts w:ascii="Palatino Linotype" w:hAnsi="Palatino Linotype"/>
          <w:color w:val="000000" w:themeColor="text1"/>
        </w:rPr>
        <w:t xml:space="preserve">. </w:t>
      </w:r>
    </w:p>
    <w:p w14:paraId="39E12988" w14:textId="77777777" w:rsidR="00401C82" w:rsidRPr="005C021D" w:rsidRDefault="00401C82" w:rsidP="00401C82">
      <w:pPr>
        <w:pStyle w:val="Prrafodelista"/>
        <w:tabs>
          <w:tab w:val="left" w:pos="426"/>
        </w:tabs>
        <w:spacing w:line="360" w:lineRule="auto"/>
        <w:ind w:left="0" w:right="51"/>
        <w:jc w:val="both"/>
        <w:rPr>
          <w:rFonts w:ascii="Palatino Linotype" w:hAnsi="Palatino Linotype"/>
          <w:color w:val="000000" w:themeColor="text1"/>
        </w:rPr>
      </w:pPr>
    </w:p>
    <w:p w14:paraId="03849052" w14:textId="7F104596" w:rsidR="00C0431A" w:rsidRPr="005C021D" w:rsidRDefault="00401C8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Los acuerdos de las Sesiones que no contengan información clasificada y el resultado de su votación, serán difundidos cada mes en la Gaceta Municipal y en los estrados de la Secretaría del Ayuntamiento, así como los </w:t>
      </w:r>
      <w:r w:rsidRPr="005C021D">
        <w:rPr>
          <w:rFonts w:ascii="Palatino Linotype" w:hAnsi="Palatino Linotype"/>
          <w:b/>
          <w:color w:val="000000" w:themeColor="text1"/>
        </w:rPr>
        <w:t>datos de identificación de las actas que contengan información clasificada, incluyendo</w:t>
      </w:r>
      <w:r w:rsidRPr="005C021D">
        <w:rPr>
          <w:rFonts w:ascii="Palatino Linotype" w:hAnsi="Palatino Linotype"/>
          <w:color w:val="000000" w:themeColor="text1"/>
        </w:rPr>
        <w:t xml:space="preserve"> en cada caso, </w:t>
      </w:r>
      <w:r w:rsidRPr="005C021D">
        <w:rPr>
          <w:rFonts w:ascii="Palatino Linotype" w:hAnsi="Palatino Linotype"/>
          <w:b/>
          <w:color w:val="000000" w:themeColor="text1"/>
        </w:rPr>
        <w:t>el fundamento legal que clasifica la información</w:t>
      </w:r>
      <w:r w:rsidRPr="005C021D">
        <w:rPr>
          <w:rFonts w:ascii="Palatino Linotype" w:hAnsi="Palatino Linotype"/>
          <w:color w:val="000000" w:themeColor="text1"/>
        </w:rPr>
        <w:t>.</w:t>
      </w:r>
      <w:r w:rsidRPr="005C021D">
        <w:rPr>
          <w:rStyle w:val="Refdenotaalpie"/>
          <w:rFonts w:ascii="Palatino Linotype" w:hAnsi="Palatino Linotype"/>
          <w:color w:val="000000" w:themeColor="text1"/>
        </w:rPr>
        <w:footnoteReference w:id="18"/>
      </w:r>
    </w:p>
    <w:p w14:paraId="07738AB5"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D95763C" w14:textId="1BBE6D18" w:rsidR="00401C82" w:rsidRPr="005C021D" w:rsidRDefault="00401C82" w:rsidP="00357E36">
      <w:pPr>
        <w:pStyle w:val="Prrafodelista"/>
        <w:tabs>
          <w:tab w:val="left" w:pos="426"/>
        </w:tabs>
        <w:spacing w:line="360" w:lineRule="auto"/>
        <w:ind w:left="0" w:right="51"/>
        <w:jc w:val="both"/>
        <w:outlineLvl w:val="2"/>
        <w:rPr>
          <w:rFonts w:ascii="Palatino Linotype" w:hAnsi="Palatino Linotype"/>
          <w:b/>
          <w:color w:val="000000" w:themeColor="text1"/>
        </w:rPr>
      </w:pPr>
      <w:r w:rsidRPr="005C021D">
        <w:rPr>
          <w:rFonts w:ascii="Palatino Linotype" w:hAnsi="Palatino Linotype"/>
          <w:b/>
          <w:color w:val="000000" w:themeColor="text1"/>
        </w:rPr>
        <w:t>IV. De la clasificación de la información.</w:t>
      </w:r>
    </w:p>
    <w:p w14:paraId="1216CDC9" w14:textId="7C64E162" w:rsidR="00C0431A" w:rsidRPr="005C021D" w:rsidRDefault="00095F6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lastRenderedPageBreak/>
        <w:t xml:space="preserve">Una vez establecido lo anterior, toca señalar que el </w:t>
      </w:r>
      <w:r w:rsidRPr="005C021D">
        <w:rPr>
          <w:rFonts w:ascii="Palatino Linotype" w:hAnsi="Palatino Linotype"/>
          <w:iCs/>
          <w:color w:val="000000" w:themeColor="text1"/>
        </w:rPr>
        <w:t xml:space="preserve">artículo 122 de la Ley de Transparencia y Acceso a la Información Pública del Estado de México y Municipios, </w:t>
      </w:r>
      <w:r w:rsidRPr="005C021D">
        <w:rPr>
          <w:rFonts w:ascii="Palatino Linotype" w:hAnsi="Palatino Linotype"/>
          <w:iCs/>
          <w:color w:val="000000" w:themeColor="text1"/>
          <w:lang w:val="es-MX"/>
        </w:rPr>
        <w:t xml:space="preserve">establece que la </w:t>
      </w:r>
      <w:r w:rsidRPr="005C021D">
        <w:rPr>
          <w:rFonts w:ascii="Palatino Linotype" w:hAnsi="Palatino Linotype"/>
          <w:b/>
          <w:iCs/>
          <w:color w:val="000000" w:themeColor="text1"/>
          <w:lang w:val="es-MX"/>
        </w:rPr>
        <w:t>clasificación</w:t>
      </w:r>
      <w:r w:rsidRPr="005C021D">
        <w:rPr>
          <w:rFonts w:ascii="Palatino Linotype" w:hAnsi="Palatino Linotype"/>
          <w:iCs/>
          <w:color w:val="000000" w:themeColor="text1"/>
          <w:lang w:val="es-MX"/>
        </w:rPr>
        <w:t xml:space="preserve"> es el proceso mediante el cual el </w:t>
      </w:r>
      <w:r w:rsidRPr="005C021D">
        <w:rPr>
          <w:rFonts w:ascii="Palatino Linotype" w:hAnsi="Palatino Linotype"/>
          <w:b/>
          <w:iCs/>
          <w:color w:val="000000" w:themeColor="text1"/>
          <w:lang w:val="es-MX"/>
        </w:rPr>
        <w:t>SUJETO OBLIGADO</w:t>
      </w:r>
      <w:r w:rsidRPr="005C021D">
        <w:rPr>
          <w:rFonts w:ascii="Palatino Linotype" w:hAnsi="Palatino Linotype"/>
          <w:iCs/>
          <w:color w:val="000000" w:themeColor="text1"/>
          <w:lang w:val="es-MX"/>
        </w:rPr>
        <w:t xml:space="preserve"> determina que la información en su poder </w:t>
      </w:r>
      <w:proofErr w:type="spellStart"/>
      <w:r w:rsidRPr="005C021D">
        <w:rPr>
          <w:rFonts w:ascii="Palatino Linotype" w:hAnsi="Palatino Linotype"/>
          <w:iCs/>
          <w:color w:val="000000" w:themeColor="text1"/>
          <w:lang w:val="es-MX"/>
        </w:rPr>
        <w:t>actualiza</w:t>
      </w:r>
      <w:proofErr w:type="spellEnd"/>
      <w:r w:rsidRPr="005C021D">
        <w:rPr>
          <w:rFonts w:ascii="Palatino Linotype" w:hAnsi="Palatino Linotype"/>
          <w:iCs/>
          <w:color w:val="000000" w:themeColor="text1"/>
          <w:lang w:val="es-MX"/>
        </w:rPr>
        <w:t xml:space="preserve"> alguno de los supuestos de </w:t>
      </w:r>
      <w:r w:rsidRPr="005C021D">
        <w:rPr>
          <w:rFonts w:ascii="Palatino Linotype" w:hAnsi="Palatino Linotype"/>
          <w:b/>
          <w:iCs/>
          <w:color w:val="000000" w:themeColor="text1"/>
          <w:lang w:val="es-MX"/>
        </w:rPr>
        <w:t>reserva</w:t>
      </w:r>
      <w:r w:rsidRPr="005C021D">
        <w:rPr>
          <w:rFonts w:ascii="Palatino Linotype" w:hAnsi="Palatino Linotype"/>
          <w:iCs/>
          <w:color w:val="000000" w:themeColor="text1"/>
          <w:lang w:val="es-MX"/>
        </w:rPr>
        <w:t xml:space="preserve"> o </w:t>
      </w:r>
      <w:r w:rsidRPr="005C021D">
        <w:rPr>
          <w:rFonts w:ascii="Palatino Linotype" w:hAnsi="Palatino Linotype"/>
          <w:b/>
          <w:iCs/>
          <w:color w:val="000000" w:themeColor="text1"/>
          <w:lang w:val="es-MX"/>
        </w:rPr>
        <w:t>confidencialidad</w:t>
      </w:r>
      <w:r w:rsidRPr="005C021D">
        <w:rPr>
          <w:rFonts w:ascii="Palatino Linotype" w:hAnsi="Palatino Linotype"/>
          <w:iCs/>
          <w:color w:val="000000" w:themeColor="text1"/>
          <w:lang w:val="es-MX"/>
        </w:rPr>
        <w:t xml:space="preserve"> contenidos en los artículos 140 o 143 de la Ley de mérito.</w:t>
      </w:r>
      <w:r w:rsidRPr="005C021D">
        <w:rPr>
          <w:rFonts w:ascii="Palatino Linotype" w:hAnsi="Palatino Linotype"/>
          <w:color w:val="000000" w:themeColor="text1"/>
        </w:rPr>
        <w:t xml:space="preserve"> </w:t>
      </w:r>
    </w:p>
    <w:p w14:paraId="769CF7C6"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2176E9D7" w14:textId="6D25635D" w:rsidR="00C0431A" w:rsidRPr="005C021D" w:rsidRDefault="00095F6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Por cuanto hace a la reserva de la información, el 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5C021D">
        <w:rPr>
          <w:rFonts w:ascii="Palatino Linotype" w:hAnsi="Palatino Linotype"/>
          <w:b/>
          <w:color w:val="000000" w:themeColor="text1"/>
        </w:rPr>
        <w:t>reservada</w:t>
      </w:r>
      <w:r w:rsidRPr="005C021D">
        <w:rPr>
          <w:rFonts w:ascii="Palatino Linotype" w:hAnsi="Palatino Linotype"/>
          <w:color w:val="000000" w:themeColor="text1"/>
        </w:rPr>
        <w:t>, conforme a los criterios siguientes:</w:t>
      </w:r>
    </w:p>
    <w:p w14:paraId="7EDA65B4"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1ABC1A7B"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i/>
          <w:sz w:val="22"/>
        </w:rPr>
        <w:t>“</w:t>
      </w:r>
      <w:r w:rsidRPr="005C021D">
        <w:rPr>
          <w:rFonts w:ascii="Palatino Linotype" w:hAnsi="Palatino Linotype"/>
          <w:b/>
          <w:i/>
          <w:sz w:val="22"/>
        </w:rPr>
        <w:t>I.</w:t>
      </w:r>
      <w:r w:rsidRPr="005C021D">
        <w:rPr>
          <w:rFonts w:ascii="Palatino Linotype" w:hAnsi="Palatino Linotype"/>
          <w:i/>
          <w:sz w:val="22"/>
        </w:rPr>
        <w:t xml:space="preserve"> Comprometa la seguridad pública y cuente con un propósito genuino y un efecto demostrable; </w:t>
      </w:r>
    </w:p>
    <w:p w14:paraId="3D50A671"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II.</w:t>
      </w:r>
      <w:r w:rsidRPr="005C021D">
        <w:rPr>
          <w:rFonts w:ascii="Palatino Linotype" w:hAnsi="Palatino Linotype"/>
          <w:i/>
          <w:sz w:val="22"/>
        </w:rPr>
        <w:t xml:space="preserve"> Pueda menoscabar la conducción de las negociaciones y relaciones internacionales; </w:t>
      </w:r>
    </w:p>
    <w:p w14:paraId="5A0E1B02"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III.</w:t>
      </w:r>
      <w:r w:rsidRPr="005C021D">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A2F1363"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IV.</w:t>
      </w:r>
      <w:r w:rsidRPr="005C021D">
        <w:rPr>
          <w:rFonts w:ascii="Palatino Linotype" w:hAnsi="Palatino Linotype"/>
          <w:i/>
          <w:sz w:val="22"/>
        </w:rPr>
        <w:t xml:space="preserve"> Ponga en riesgo la vida, la seguridad o la salud de una persona física; </w:t>
      </w:r>
    </w:p>
    <w:p w14:paraId="2B0799E1"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V.</w:t>
      </w:r>
      <w:r w:rsidRPr="005C021D">
        <w:rPr>
          <w:rFonts w:ascii="Palatino Linotype" w:hAnsi="Palatino Linotype"/>
          <w:i/>
          <w:sz w:val="22"/>
        </w:rPr>
        <w:t xml:space="preserve"> Aquella cuya divulgación obstruya o pueda causar un serio perjuicio a: </w:t>
      </w:r>
    </w:p>
    <w:p w14:paraId="5DA70934" w14:textId="77777777" w:rsidR="00095F6D" w:rsidRPr="005C021D" w:rsidRDefault="00095F6D" w:rsidP="00095F6D">
      <w:pPr>
        <w:pStyle w:val="Prrafodelista"/>
        <w:tabs>
          <w:tab w:val="left" w:pos="426"/>
        </w:tabs>
        <w:spacing w:line="276" w:lineRule="auto"/>
        <w:ind w:left="851" w:right="567"/>
        <w:jc w:val="both"/>
        <w:rPr>
          <w:rFonts w:ascii="Palatino Linotype" w:hAnsi="Palatino Linotype"/>
          <w:i/>
          <w:sz w:val="22"/>
        </w:rPr>
      </w:pPr>
      <w:r w:rsidRPr="005C021D">
        <w:rPr>
          <w:rFonts w:ascii="Palatino Linotype" w:hAnsi="Palatino Linotype"/>
          <w:b/>
          <w:i/>
          <w:sz w:val="22"/>
        </w:rPr>
        <w:t>1.</w:t>
      </w:r>
      <w:r w:rsidRPr="005C021D">
        <w:rPr>
          <w:rFonts w:ascii="Palatino Linotype" w:hAnsi="Palatino Linotype"/>
          <w:i/>
          <w:sz w:val="22"/>
        </w:rPr>
        <w:t xml:space="preserve"> Las actividades de fiscalización, verificación, inspección, comprobación y auditoría sobre el cumplimiento de las Leyes; o </w:t>
      </w:r>
    </w:p>
    <w:p w14:paraId="6C190021" w14:textId="77777777" w:rsidR="00095F6D" w:rsidRPr="005C021D" w:rsidRDefault="00095F6D" w:rsidP="00095F6D">
      <w:pPr>
        <w:pStyle w:val="Prrafodelista"/>
        <w:tabs>
          <w:tab w:val="left" w:pos="426"/>
        </w:tabs>
        <w:spacing w:line="276" w:lineRule="auto"/>
        <w:ind w:left="851" w:right="567"/>
        <w:jc w:val="both"/>
        <w:rPr>
          <w:rFonts w:ascii="Palatino Linotype" w:hAnsi="Palatino Linotype"/>
          <w:i/>
          <w:sz w:val="22"/>
        </w:rPr>
      </w:pPr>
      <w:r w:rsidRPr="005C021D">
        <w:rPr>
          <w:rFonts w:ascii="Palatino Linotype" w:hAnsi="Palatino Linotype"/>
          <w:b/>
          <w:i/>
          <w:sz w:val="22"/>
        </w:rPr>
        <w:t>2.</w:t>
      </w:r>
      <w:r w:rsidRPr="005C021D">
        <w:rPr>
          <w:rFonts w:ascii="Palatino Linotype" w:hAnsi="Palatino Linotype"/>
          <w:i/>
          <w:sz w:val="22"/>
        </w:rPr>
        <w:t xml:space="preserve"> La recaudación de las contribuciones. </w:t>
      </w:r>
    </w:p>
    <w:p w14:paraId="1626F5F1"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VI.</w:t>
      </w:r>
      <w:r w:rsidRPr="005C021D">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5C021D">
        <w:rPr>
          <w:rFonts w:ascii="Palatino Linotype" w:hAnsi="Palatino Linotype"/>
          <w:i/>
          <w:sz w:val="22"/>
        </w:rPr>
        <w:lastRenderedPageBreak/>
        <w:t xml:space="preserve">la seguridad de un denunciante, querellante o testigo, así como sus familias, en los términos de las disposiciones jurídicas aplicables; </w:t>
      </w:r>
    </w:p>
    <w:p w14:paraId="6FB5CD14"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VII.</w:t>
      </w:r>
      <w:r w:rsidRPr="005C021D">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2C8970C0"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VIII.</w:t>
      </w:r>
      <w:r w:rsidRPr="005C021D">
        <w:rPr>
          <w:rFonts w:ascii="Palatino Linotype" w:hAnsi="Palatino Linotype"/>
          <w:i/>
          <w:sz w:val="22"/>
        </w:rPr>
        <w:t xml:space="preserve"> Vulnere la conducción de los expedientes judiciales o de los procedimientos administrativos seguidos en forma de juicio, en tanto no hayan quedado firmes; </w:t>
      </w:r>
    </w:p>
    <w:p w14:paraId="2FB75296"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IX.</w:t>
      </w:r>
      <w:r w:rsidRPr="005C021D">
        <w:rPr>
          <w:rFonts w:ascii="Palatino Linotype" w:hAnsi="Palatino Linotype"/>
          <w:i/>
          <w:sz w:val="22"/>
        </w:rPr>
        <w:t xml:space="preserve"> Se encuentre contenida dentro de las investigaciones de hechos que la Ley señale como delitos y se tramiten ante el Ministerio Público; </w:t>
      </w:r>
    </w:p>
    <w:p w14:paraId="26E8205B"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X.</w:t>
      </w:r>
      <w:r w:rsidRPr="005C021D">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22E110F"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C5149A9"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sz w:val="22"/>
        </w:rPr>
      </w:pPr>
      <w:r w:rsidRPr="005C021D">
        <w:rPr>
          <w:rFonts w:ascii="Palatino Linotype" w:hAnsi="Palatino Linotype"/>
          <w:b/>
          <w:i/>
          <w:sz w:val="22"/>
        </w:rPr>
        <w:t>XI.</w:t>
      </w:r>
      <w:r w:rsidRPr="005C021D">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4583B0BC"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color w:val="000000" w:themeColor="text1"/>
          <w:sz w:val="22"/>
        </w:rPr>
      </w:pPr>
      <w:r w:rsidRPr="005C021D">
        <w:rPr>
          <w:rFonts w:ascii="Palatino Linotype" w:hAnsi="Palatino Linotype"/>
          <w:sz w:val="22"/>
        </w:rPr>
        <w:t>(Énfasis añadido)</w:t>
      </w:r>
    </w:p>
    <w:p w14:paraId="18EDB771" w14:textId="77777777" w:rsidR="00095F6D" w:rsidRPr="005C021D" w:rsidRDefault="00095F6D" w:rsidP="00C0431A">
      <w:pPr>
        <w:pStyle w:val="Prrafodelista"/>
        <w:tabs>
          <w:tab w:val="left" w:pos="426"/>
        </w:tabs>
        <w:spacing w:line="360" w:lineRule="auto"/>
        <w:ind w:left="0" w:right="51"/>
        <w:jc w:val="both"/>
        <w:rPr>
          <w:rFonts w:ascii="Palatino Linotype" w:hAnsi="Palatino Linotype"/>
          <w:color w:val="000000" w:themeColor="text1"/>
        </w:rPr>
      </w:pPr>
    </w:p>
    <w:p w14:paraId="133CC10F" w14:textId="27F6CC6D" w:rsidR="00C0431A" w:rsidRPr="005C021D" w:rsidRDefault="00095F6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Mientras que el artículo 143 de la Ley de mérito reconoce que se considerará a información </w:t>
      </w:r>
      <w:r w:rsidRPr="005C021D">
        <w:rPr>
          <w:rFonts w:ascii="Palatino Linotype" w:hAnsi="Palatino Linotype"/>
          <w:b/>
          <w:color w:val="000000" w:themeColor="text1"/>
        </w:rPr>
        <w:t>confidencial</w:t>
      </w:r>
      <w:r w:rsidRPr="005C021D">
        <w:rPr>
          <w:rFonts w:ascii="Palatino Linotype" w:hAnsi="Palatino Linotype"/>
          <w:color w:val="000000" w:themeColor="text1"/>
        </w:rPr>
        <w:t>, la clasificada como tal, de manera permanente, por su naturaleza, cuando:</w:t>
      </w:r>
    </w:p>
    <w:p w14:paraId="1B7CB77C"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2AB1A77A"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I.</w:t>
      </w:r>
      <w:r w:rsidRPr="005C021D">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7C72AECF" w14:textId="77777777" w:rsidR="00095F6D" w:rsidRPr="005C021D" w:rsidRDefault="00095F6D" w:rsidP="00095F6D">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II.</w:t>
      </w:r>
      <w:r w:rsidRPr="005C021D">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E84CDDE" w14:textId="736BFEF8" w:rsidR="00095F6D" w:rsidRPr="005C021D" w:rsidRDefault="00095F6D" w:rsidP="00357E36">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III.</w:t>
      </w:r>
      <w:r w:rsidRPr="005C021D">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2285CF1C" w14:textId="416DCE26" w:rsidR="00095F6D" w:rsidRPr="005C021D" w:rsidRDefault="00095F6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lastRenderedPageBreak/>
        <w:t>Ahora bien, a fin de restringir el ejercicio del derecho de acceso a la información derivado de la actualización de alguna causal de clasificación, sea por reserva o confidencialidad, los Sujetos Obligados deberán emitir, a través de sus respectivos Comités de Transparencia, el Acuerdo de Clasificación correspondiente debidamente fundado y motivado, en términos de los numerales 49, fracción VIII, 128, 131 y 132, fracción II de la Ley de Transparencia y Acceso a la Información Pública del Estado de México y Municipios, los cuales establecen:</w:t>
      </w:r>
    </w:p>
    <w:p w14:paraId="61724B3A" w14:textId="77777777" w:rsidR="00095F6D" w:rsidRPr="005C021D" w:rsidRDefault="00095F6D" w:rsidP="00095F6D">
      <w:pPr>
        <w:pStyle w:val="Prrafodelista"/>
        <w:tabs>
          <w:tab w:val="left" w:pos="426"/>
        </w:tabs>
        <w:spacing w:line="360" w:lineRule="auto"/>
        <w:ind w:left="0" w:right="51"/>
        <w:jc w:val="both"/>
        <w:rPr>
          <w:rFonts w:ascii="Palatino Linotype" w:hAnsi="Palatino Linotype"/>
          <w:color w:val="000000" w:themeColor="text1"/>
        </w:rPr>
      </w:pPr>
    </w:p>
    <w:p w14:paraId="435272E2"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i/>
          <w:sz w:val="22"/>
          <w:szCs w:val="22"/>
          <w:lang w:eastAsia="es-MX"/>
        </w:rPr>
        <w:t>“</w:t>
      </w:r>
      <w:r w:rsidRPr="005C021D">
        <w:rPr>
          <w:rFonts w:ascii="Palatino Linotype" w:hAnsi="Palatino Linotype" w:cs="Arial"/>
          <w:b/>
          <w:i/>
          <w:sz w:val="22"/>
          <w:szCs w:val="22"/>
          <w:lang w:eastAsia="es-MX"/>
        </w:rPr>
        <w:t xml:space="preserve">Artículo 49. </w:t>
      </w:r>
      <w:r w:rsidRPr="005C021D">
        <w:rPr>
          <w:rFonts w:ascii="Palatino Linotype" w:hAnsi="Palatino Linotype" w:cs="Arial"/>
          <w:i/>
          <w:sz w:val="22"/>
          <w:szCs w:val="22"/>
          <w:lang w:eastAsia="es-MX"/>
        </w:rPr>
        <w:t xml:space="preserve">Los </w:t>
      </w:r>
      <w:r w:rsidRPr="005C021D">
        <w:rPr>
          <w:rFonts w:ascii="Palatino Linotype" w:hAnsi="Palatino Linotype" w:cs="Arial"/>
          <w:i/>
          <w:sz w:val="22"/>
          <w:szCs w:val="22"/>
        </w:rPr>
        <w:t>Comités</w:t>
      </w:r>
      <w:r w:rsidRPr="005C021D">
        <w:rPr>
          <w:rFonts w:ascii="Palatino Linotype" w:hAnsi="Palatino Linotype" w:cs="Arial"/>
          <w:i/>
          <w:sz w:val="22"/>
          <w:szCs w:val="22"/>
          <w:lang w:eastAsia="es-MX"/>
        </w:rPr>
        <w:t xml:space="preserve"> de Transparencia </w:t>
      </w:r>
      <w:r w:rsidRPr="005C021D">
        <w:rPr>
          <w:rFonts w:ascii="Palatino Linotype" w:hAnsi="Palatino Linotype"/>
          <w:i/>
          <w:sz w:val="22"/>
          <w:szCs w:val="22"/>
        </w:rPr>
        <w:t>tendrán</w:t>
      </w:r>
      <w:r w:rsidRPr="005C021D">
        <w:rPr>
          <w:rFonts w:ascii="Palatino Linotype" w:hAnsi="Palatino Linotype" w:cs="Arial"/>
          <w:i/>
          <w:sz w:val="22"/>
          <w:szCs w:val="22"/>
          <w:lang w:eastAsia="es-MX"/>
        </w:rPr>
        <w:t xml:space="preserve"> las siguientes atribuciones:</w:t>
      </w:r>
    </w:p>
    <w:p w14:paraId="4D0E2A55" w14:textId="77777777" w:rsidR="00095F6D" w:rsidRPr="005C021D" w:rsidRDefault="00095F6D" w:rsidP="00095F6D">
      <w:pPr>
        <w:tabs>
          <w:tab w:val="left" w:pos="1555"/>
        </w:tabs>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i/>
          <w:sz w:val="22"/>
          <w:szCs w:val="22"/>
          <w:lang w:eastAsia="es-MX"/>
        </w:rPr>
        <w:t>(…)</w:t>
      </w:r>
      <w:r w:rsidRPr="005C021D">
        <w:rPr>
          <w:rFonts w:ascii="Palatino Linotype" w:hAnsi="Palatino Linotype" w:cs="Arial"/>
          <w:i/>
          <w:sz w:val="22"/>
          <w:szCs w:val="22"/>
          <w:lang w:eastAsia="es-MX"/>
        </w:rPr>
        <w:tab/>
      </w:r>
    </w:p>
    <w:p w14:paraId="337ADDBD"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b/>
          <w:i/>
          <w:sz w:val="22"/>
          <w:szCs w:val="22"/>
          <w:lang w:eastAsia="es-MX"/>
        </w:rPr>
        <w:t>VIII.</w:t>
      </w:r>
      <w:r w:rsidRPr="005C021D">
        <w:rPr>
          <w:rFonts w:ascii="Palatino Linotype" w:hAnsi="Palatino Linotype" w:cs="Arial"/>
          <w:i/>
          <w:sz w:val="22"/>
          <w:szCs w:val="22"/>
          <w:lang w:eastAsia="es-MX"/>
        </w:rPr>
        <w:t xml:space="preserve"> </w:t>
      </w:r>
      <w:r w:rsidRPr="005C021D">
        <w:rPr>
          <w:rFonts w:ascii="Palatino Linotype" w:hAnsi="Palatino Linotype" w:cs="Arial"/>
          <w:b/>
          <w:i/>
          <w:sz w:val="22"/>
          <w:szCs w:val="22"/>
          <w:lang w:eastAsia="es-MX"/>
        </w:rPr>
        <w:t>Aprobar</w:t>
      </w:r>
      <w:r w:rsidRPr="005C021D">
        <w:rPr>
          <w:rFonts w:ascii="Palatino Linotype" w:hAnsi="Palatino Linotype" w:cs="Arial"/>
          <w:i/>
          <w:sz w:val="22"/>
          <w:szCs w:val="22"/>
          <w:lang w:eastAsia="es-MX"/>
        </w:rPr>
        <w:t xml:space="preserve">, </w:t>
      </w:r>
      <w:r w:rsidRPr="005C021D">
        <w:rPr>
          <w:rFonts w:ascii="Palatino Linotype" w:hAnsi="Palatino Linotype" w:cs="Arial"/>
          <w:i/>
          <w:sz w:val="22"/>
          <w:szCs w:val="22"/>
        </w:rPr>
        <w:t>modificar</w:t>
      </w:r>
      <w:r w:rsidRPr="005C021D">
        <w:rPr>
          <w:rFonts w:ascii="Palatino Linotype" w:hAnsi="Palatino Linotype" w:cs="Arial"/>
          <w:i/>
          <w:sz w:val="22"/>
          <w:szCs w:val="22"/>
          <w:lang w:eastAsia="es-MX"/>
        </w:rPr>
        <w:t xml:space="preserve"> o revocar </w:t>
      </w:r>
      <w:r w:rsidRPr="005C021D">
        <w:rPr>
          <w:rFonts w:ascii="Palatino Linotype" w:hAnsi="Palatino Linotype" w:cs="Arial"/>
          <w:b/>
          <w:i/>
          <w:sz w:val="22"/>
          <w:szCs w:val="22"/>
          <w:lang w:eastAsia="es-MX"/>
        </w:rPr>
        <w:t>la clasificación de la información</w:t>
      </w:r>
      <w:r w:rsidRPr="005C021D">
        <w:rPr>
          <w:rFonts w:ascii="Palatino Linotype" w:hAnsi="Palatino Linotype" w:cs="Arial"/>
          <w:i/>
          <w:sz w:val="22"/>
          <w:szCs w:val="22"/>
          <w:lang w:eastAsia="es-MX"/>
        </w:rPr>
        <w:t>;</w:t>
      </w:r>
    </w:p>
    <w:p w14:paraId="0B9973DB"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i/>
          <w:sz w:val="22"/>
          <w:szCs w:val="22"/>
          <w:lang w:eastAsia="es-MX"/>
        </w:rPr>
        <w:t>(…)</w:t>
      </w:r>
    </w:p>
    <w:p w14:paraId="18FE4405"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b/>
          <w:i/>
          <w:sz w:val="22"/>
          <w:szCs w:val="22"/>
          <w:lang w:eastAsia="es-MX"/>
        </w:rPr>
      </w:pPr>
    </w:p>
    <w:p w14:paraId="6D8434C7"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i/>
          <w:sz w:val="22"/>
        </w:rPr>
      </w:pPr>
      <w:r w:rsidRPr="005C021D">
        <w:rPr>
          <w:rFonts w:ascii="Palatino Linotype" w:hAnsi="Palatino Linotype"/>
          <w:b/>
          <w:i/>
          <w:sz w:val="22"/>
        </w:rPr>
        <w:t>Artículo 128.</w:t>
      </w:r>
      <w:r w:rsidRPr="005C021D">
        <w:rPr>
          <w:rFonts w:ascii="Palatino Linotype" w:hAnsi="Palatino Linotype"/>
          <w:i/>
          <w:sz w:val="22"/>
        </w:rPr>
        <w:t xml:space="preserve"> </w:t>
      </w:r>
      <w:r w:rsidRPr="005C021D">
        <w:rPr>
          <w:rFonts w:ascii="Palatino Linotype" w:hAnsi="Palatino Linotype"/>
          <w:b/>
          <w:i/>
          <w:sz w:val="22"/>
        </w:rPr>
        <w:t>En los casos en que se niegue el acceso a la información, por actualizarse alguno de los supuestos de clasificación, el Comité de Transparencia deberá confirmar, modificar o revocar la decisión.</w:t>
      </w:r>
      <w:r w:rsidRPr="005C021D">
        <w:rPr>
          <w:rFonts w:ascii="Palatino Linotype" w:hAnsi="Palatino Linotype"/>
          <w:i/>
          <w:sz w:val="22"/>
        </w:rPr>
        <w:t xml:space="preserve"> </w:t>
      </w:r>
    </w:p>
    <w:p w14:paraId="03E9A2A5"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i/>
          <w:sz w:val="22"/>
        </w:rPr>
      </w:pPr>
      <w:r w:rsidRPr="005C021D">
        <w:rPr>
          <w:rFonts w:ascii="Palatino Linotype" w:hAnsi="Palatino Linotype"/>
          <w:b/>
          <w:i/>
          <w:sz w:val="22"/>
        </w:rPr>
        <w:t>Para motivar la clasificación</w:t>
      </w:r>
      <w:r w:rsidRPr="005C021D">
        <w:rPr>
          <w:rFonts w:ascii="Palatino Linotype" w:hAnsi="Palatino Linotype"/>
          <w:i/>
          <w:sz w:val="22"/>
        </w:rPr>
        <w:t xml:space="preserve"> de la información y la ampliación del plazo de reserva, </w:t>
      </w:r>
      <w:r w:rsidRPr="005C021D">
        <w:rPr>
          <w:rFonts w:ascii="Palatino Linotype" w:hAnsi="Palatino Linotype"/>
          <w:b/>
          <w:i/>
          <w:sz w:val="22"/>
        </w:rPr>
        <w:t>se deberán señalar las razones, motivos o circunstancias especiales que llevaron</w:t>
      </w:r>
      <w:r w:rsidRPr="005C021D">
        <w:rPr>
          <w:rFonts w:ascii="Palatino Linotype" w:hAnsi="Palatino Linotype"/>
          <w:i/>
          <w:sz w:val="22"/>
        </w:rPr>
        <w:t xml:space="preserve"> al sujeto obligado </w:t>
      </w:r>
      <w:r w:rsidRPr="005C021D">
        <w:rPr>
          <w:rFonts w:ascii="Palatino Linotype" w:hAnsi="Palatino Linotype"/>
          <w:b/>
          <w:i/>
          <w:sz w:val="22"/>
        </w:rPr>
        <w:t>a concluir que el caso particular se ajusta al supuesto previsto por la norma legal invocada como fundamento. Además</w:t>
      </w:r>
      <w:r w:rsidRPr="005C021D">
        <w:rPr>
          <w:rFonts w:ascii="Palatino Linotype" w:hAnsi="Palatino Linotype"/>
          <w:i/>
          <w:sz w:val="22"/>
        </w:rPr>
        <w:t xml:space="preserve">, el sujeto obligado </w:t>
      </w:r>
      <w:r w:rsidRPr="005C021D">
        <w:rPr>
          <w:rFonts w:ascii="Palatino Linotype" w:hAnsi="Palatino Linotype"/>
          <w:b/>
          <w:i/>
          <w:sz w:val="22"/>
        </w:rPr>
        <w:t>deberá</w:t>
      </w:r>
      <w:r w:rsidRPr="005C021D">
        <w:rPr>
          <w:rFonts w:ascii="Palatino Linotype" w:hAnsi="Palatino Linotype"/>
          <w:i/>
          <w:sz w:val="22"/>
        </w:rPr>
        <w:t xml:space="preserve">, en todo momento, </w:t>
      </w:r>
      <w:r w:rsidRPr="005C021D">
        <w:rPr>
          <w:rFonts w:ascii="Palatino Linotype" w:hAnsi="Palatino Linotype"/>
          <w:b/>
          <w:i/>
          <w:sz w:val="22"/>
        </w:rPr>
        <w:t>aplicar una prueba de daño</w:t>
      </w:r>
      <w:r w:rsidRPr="005C021D">
        <w:rPr>
          <w:rFonts w:ascii="Palatino Linotype" w:hAnsi="Palatino Linotype"/>
          <w:i/>
          <w:sz w:val="22"/>
        </w:rPr>
        <w:t xml:space="preserve">. </w:t>
      </w:r>
    </w:p>
    <w:p w14:paraId="35113A3B"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i/>
          <w:sz w:val="22"/>
        </w:rPr>
      </w:pPr>
      <w:r w:rsidRPr="005C021D">
        <w:rPr>
          <w:rFonts w:ascii="Palatino Linotype" w:hAnsi="Palatino Linotype"/>
          <w:i/>
          <w:sz w:val="22"/>
        </w:rPr>
        <w:t>Tratándose de aquélla información que actualice los supuestos de clasificación, deberá señalarse el plazo al que estará sujeto la reserva.</w:t>
      </w:r>
    </w:p>
    <w:p w14:paraId="70F3BC4D"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i/>
          <w:sz w:val="22"/>
        </w:rPr>
      </w:pPr>
    </w:p>
    <w:p w14:paraId="518BD221"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0"/>
          <w:szCs w:val="22"/>
          <w:lang w:eastAsia="es-MX"/>
        </w:rPr>
      </w:pPr>
      <w:r w:rsidRPr="005C021D">
        <w:rPr>
          <w:rFonts w:ascii="Palatino Linotype" w:hAnsi="Palatino Linotype"/>
          <w:b/>
          <w:i/>
          <w:sz w:val="22"/>
        </w:rPr>
        <w:t>Artículo 131. La carga de la prueba para justificar toda negativa de acceso a la información</w:t>
      </w:r>
      <w:r w:rsidRPr="005C021D">
        <w:rPr>
          <w:rFonts w:ascii="Palatino Linotype" w:hAnsi="Palatino Linotype"/>
          <w:i/>
          <w:sz w:val="22"/>
        </w:rPr>
        <w:t xml:space="preserve">, por actualizarse cualquiera de los supuestos de clasificación previstos en esta Ley </w:t>
      </w:r>
      <w:r w:rsidRPr="005C021D">
        <w:rPr>
          <w:rFonts w:ascii="Palatino Linotype" w:hAnsi="Palatino Linotype"/>
          <w:b/>
          <w:i/>
          <w:sz w:val="22"/>
        </w:rPr>
        <w:t>corresponderá a los sujetos obligados</w:t>
      </w:r>
      <w:r w:rsidRPr="005C021D">
        <w:rPr>
          <w:rFonts w:ascii="Palatino Linotype" w:hAnsi="Palatino Linotype"/>
          <w:i/>
          <w:sz w:val="22"/>
        </w:rPr>
        <w:t>; en tal caso deberá fundar y motivar debidamente la clasificación de la información, de conformidad con lo previsto en la presente Ley.</w:t>
      </w:r>
    </w:p>
    <w:p w14:paraId="7C091513"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b/>
          <w:i/>
          <w:sz w:val="22"/>
          <w:szCs w:val="22"/>
          <w:lang w:eastAsia="es-MX"/>
        </w:rPr>
      </w:pPr>
    </w:p>
    <w:p w14:paraId="037A78FC"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b/>
          <w:i/>
          <w:sz w:val="22"/>
          <w:szCs w:val="22"/>
          <w:lang w:eastAsia="es-MX"/>
        </w:rPr>
        <w:t>Artículo 132.</w:t>
      </w:r>
      <w:r w:rsidRPr="005C021D">
        <w:rPr>
          <w:rFonts w:ascii="Palatino Linotype" w:hAnsi="Palatino Linotype" w:cs="Arial"/>
          <w:i/>
          <w:sz w:val="22"/>
          <w:szCs w:val="22"/>
          <w:lang w:eastAsia="es-MX"/>
        </w:rPr>
        <w:t xml:space="preserve"> La clasificación de la información se llevará a cabo en el momento en que:</w:t>
      </w:r>
    </w:p>
    <w:p w14:paraId="0C80116C"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b/>
          <w:i/>
          <w:sz w:val="22"/>
          <w:szCs w:val="22"/>
          <w:lang w:eastAsia="es-MX"/>
        </w:rPr>
      </w:pPr>
      <w:r w:rsidRPr="005C021D">
        <w:rPr>
          <w:rFonts w:ascii="Palatino Linotype" w:hAnsi="Palatino Linotype" w:cs="Arial"/>
          <w:b/>
          <w:i/>
          <w:sz w:val="22"/>
          <w:szCs w:val="22"/>
          <w:lang w:eastAsia="es-MX"/>
        </w:rPr>
        <w:t>I. Se reciba una solicitud de acceso a la información;</w:t>
      </w:r>
    </w:p>
    <w:p w14:paraId="282926B7"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i/>
          <w:sz w:val="22"/>
          <w:szCs w:val="22"/>
          <w:lang w:eastAsia="es-MX"/>
        </w:rPr>
      </w:pPr>
      <w:r w:rsidRPr="005C021D">
        <w:rPr>
          <w:rFonts w:ascii="Palatino Linotype" w:hAnsi="Palatino Linotype" w:cs="Arial"/>
          <w:b/>
          <w:i/>
          <w:sz w:val="22"/>
          <w:szCs w:val="22"/>
          <w:lang w:eastAsia="es-MX"/>
        </w:rPr>
        <w:lastRenderedPageBreak/>
        <w:t>II.</w:t>
      </w:r>
      <w:r w:rsidRPr="005C021D">
        <w:rPr>
          <w:rFonts w:ascii="Palatino Linotype" w:hAnsi="Palatino Linotype" w:cs="Arial"/>
          <w:i/>
          <w:sz w:val="22"/>
          <w:szCs w:val="22"/>
          <w:lang w:eastAsia="es-MX"/>
        </w:rPr>
        <w:t xml:space="preserve"> </w:t>
      </w:r>
      <w:r w:rsidRPr="005C021D">
        <w:rPr>
          <w:rFonts w:ascii="Palatino Linotype" w:hAnsi="Palatino Linotype" w:cs="Arial"/>
          <w:b/>
          <w:i/>
          <w:sz w:val="22"/>
          <w:szCs w:val="22"/>
          <w:lang w:eastAsia="es-MX"/>
        </w:rPr>
        <w:t>Se determine mediante resolución de autoridad competente</w:t>
      </w:r>
      <w:r w:rsidRPr="005C021D">
        <w:rPr>
          <w:rFonts w:ascii="Palatino Linotype" w:hAnsi="Palatino Linotype" w:cs="Arial"/>
          <w:i/>
          <w:sz w:val="22"/>
          <w:szCs w:val="22"/>
          <w:lang w:eastAsia="es-MX"/>
        </w:rPr>
        <w:t>; o</w:t>
      </w:r>
    </w:p>
    <w:p w14:paraId="4DBF0316"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sz w:val="22"/>
          <w:szCs w:val="22"/>
          <w:lang w:eastAsia="es-MX"/>
        </w:rPr>
      </w:pPr>
      <w:r w:rsidRPr="005C021D">
        <w:rPr>
          <w:rFonts w:ascii="Palatino Linotype" w:hAnsi="Palatino Linotype" w:cs="Arial"/>
          <w:b/>
          <w:i/>
          <w:sz w:val="22"/>
          <w:szCs w:val="22"/>
          <w:lang w:eastAsia="es-MX"/>
        </w:rPr>
        <w:t>(</w:t>
      </w:r>
      <w:r w:rsidRPr="005C021D">
        <w:rPr>
          <w:rFonts w:ascii="Palatino Linotype" w:hAnsi="Palatino Linotype" w:cs="Arial"/>
          <w:i/>
          <w:sz w:val="22"/>
          <w:szCs w:val="22"/>
          <w:lang w:eastAsia="es-MX"/>
        </w:rPr>
        <w:t>…)</w:t>
      </w:r>
    </w:p>
    <w:p w14:paraId="33E63D35" w14:textId="77777777" w:rsidR="00095F6D" w:rsidRPr="005C021D" w:rsidRDefault="00095F6D" w:rsidP="00095F6D">
      <w:pPr>
        <w:autoSpaceDE w:val="0"/>
        <w:autoSpaceDN w:val="0"/>
        <w:adjustRightInd w:val="0"/>
        <w:spacing w:line="276" w:lineRule="auto"/>
        <w:ind w:left="567" w:right="567"/>
        <w:jc w:val="both"/>
        <w:rPr>
          <w:rFonts w:ascii="Palatino Linotype" w:hAnsi="Palatino Linotype" w:cs="Arial"/>
          <w:sz w:val="22"/>
          <w:szCs w:val="22"/>
          <w:lang w:eastAsia="es-MX"/>
        </w:rPr>
      </w:pPr>
      <w:r w:rsidRPr="005C021D">
        <w:rPr>
          <w:rFonts w:ascii="Palatino Linotype" w:hAnsi="Palatino Linotype" w:cs="Arial"/>
          <w:sz w:val="22"/>
          <w:szCs w:val="22"/>
          <w:lang w:eastAsia="es-MX"/>
        </w:rPr>
        <w:t>(Énfasis añadido)</w:t>
      </w:r>
    </w:p>
    <w:p w14:paraId="5594144F" w14:textId="77777777" w:rsidR="00095F6D" w:rsidRPr="005C021D" w:rsidRDefault="00095F6D" w:rsidP="00095F6D">
      <w:pPr>
        <w:pStyle w:val="Prrafodelista"/>
        <w:tabs>
          <w:tab w:val="left" w:pos="426"/>
        </w:tabs>
        <w:spacing w:line="360" w:lineRule="auto"/>
        <w:ind w:left="0" w:right="51"/>
        <w:jc w:val="both"/>
        <w:rPr>
          <w:rFonts w:ascii="Palatino Linotype" w:hAnsi="Palatino Linotype"/>
          <w:color w:val="000000" w:themeColor="text1"/>
        </w:rPr>
      </w:pPr>
    </w:p>
    <w:p w14:paraId="0CC3D554" w14:textId="78863872" w:rsidR="00095F6D" w:rsidRPr="005C021D" w:rsidRDefault="00095F6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De </w:t>
      </w:r>
      <w:r w:rsidRPr="005C021D">
        <w:rPr>
          <w:rFonts w:ascii="Palatino Linotype" w:eastAsia="Calibri" w:hAnsi="Palatino Linotype" w:cs="Arial"/>
        </w:rPr>
        <w:t xml:space="preserve">los dispositivos legales transcritos, se aprecia que el </w:t>
      </w:r>
      <w:r w:rsidRPr="005C021D">
        <w:rPr>
          <w:rFonts w:ascii="Palatino Linotype" w:eastAsia="Calibri" w:hAnsi="Palatino Linotype" w:cs="Arial"/>
          <w:b/>
        </w:rPr>
        <w:t>SUJETO OBLIGADO</w:t>
      </w:r>
      <w:r w:rsidRPr="005C021D">
        <w:rPr>
          <w:rFonts w:ascii="Palatino Linotype" w:eastAsia="Calibri" w:hAnsi="Palatino Linotype" w:cs="Arial"/>
        </w:rPr>
        <w:t xml:space="preserve">, para el caso de que niegue el acceso a información que actualice alguna causal de clasificación, deberá fundar y motivar las razones y circunstancias especiales que le llevaron a determinar que el caso particular se ajusta a una causal de clasificación, siempre haciendo uso de una </w:t>
      </w:r>
      <w:r w:rsidRPr="005C021D">
        <w:rPr>
          <w:rFonts w:ascii="Palatino Linotype" w:eastAsia="Calibri" w:hAnsi="Palatino Linotype" w:cs="Arial"/>
          <w:b/>
        </w:rPr>
        <w:t>prueba de daño</w:t>
      </w:r>
      <w:r w:rsidRPr="005C021D">
        <w:rPr>
          <w:rFonts w:ascii="Palatino Linotype" w:eastAsia="Calibri" w:hAnsi="Palatino Linotype" w:cs="Arial"/>
        </w:rPr>
        <w:t>.</w:t>
      </w:r>
    </w:p>
    <w:p w14:paraId="10762110" w14:textId="77777777" w:rsidR="00095F6D" w:rsidRPr="005C021D" w:rsidRDefault="00095F6D" w:rsidP="00095F6D">
      <w:pPr>
        <w:pStyle w:val="Prrafodelista"/>
        <w:tabs>
          <w:tab w:val="left" w:pos="426"/>
        </w:tabs>
        <w:spacing w:line="360" w:lineRule="auto"/>
        <w:ind w:left="0" w:right="51"/>
        <w:jc w:val="both"/>
        <w:rPr>
          <w:rFonts w:ascii="Palatino Linotype" w:hAnsi="Palatino Linotype"/>
          <w:color w:val="000000" w:themeColor="text1"/>
        </w:rPr>
      </w:pPr>
    </w:p>
    <w:p w14:paraId="77D3210F" w14:textId="06316218" w:rsidR="00C0431A" w:rsidRPr="005C021D" w:rsidRDefault="005C4942"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Por su parte, los Lineamientos Generales en Materia de Clasificación y Desclasificación de la Información, Así como para la Elaboración de Versiones Públicas, en su Capítulo VIII, establece los elementos que deberá contener la </w:t>
      </w:r>
      <w:r w:rsidRPr="005C021D">
        <w:rPr>
          <w:rFonts w:ascii="Palatino Linotype" w:hAnsi="Palatino Linotype"/>
          <w:b/>
          <w:color w:val="000000" w:themeColor="text1"/>
        </w:rPr>
        <w:t>leyenda de clasificación</w:t>
      </w:r>
      <w:r w:rsidRPr="005C021D">
        <w:rPr>
          <w:rFonts w:ascii="Palatino Linotype" w:hAnsi="Palatino Linotype"/>
          <w:color w:val="000000" w:themeColor="text1"/>
        </w:rPr>
        <w:t xml:space="preserve"> de cada documento que se emita en versión pública, a saber:</w:t>
      </w:r>
    </w:p>
    <w:p w14:paraId="1A97C4B9"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1E6C0414"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rPr>
        <w:t>“</w:t>
      </w:r>
      <w:r w:rsidRPr="005C021D">
        <w:rPr>
          <w:rFonts w:ascii="Palatino Linotype" w:hAnsi="Palatino Linotype"/>
          <w:b/>
          <w:i/>
          <w:color w:val="000000" w:themeColor="text1"/>
          <w:sz w:val="22"/>
        </w:rPr>
        <w:t xml:space="preserve">Quincuagésimo. </w:t>
      </w:r>
      <w:r w:rsidRPr="005C021D">
        <w:rPr>
          <w:rFonts w:ascii="Palatino Linotype" w:hAnsi="Palatino Linotype"/>
          <w:i/>
          <w:color w:val="000000" w:themeColor="text1"/>
          <w:sz w:val="22"/>
        </w:rPr>
        <w:t>Los titulares de las áreas de los sujetos obligados podrán utilizar los formatos contenidos en el presente Capítulo como modelo para señalar la clasificación de documentos o expedientes, sin perjuicio de que establezcan los propios.</w:t>
      </w:r>
    </w:p>
    <w:p w14:paraId="5173106E"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p>
    <w:p w14:paraId="30E52AA4"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Quincuagésimo primero.</w:t>
      </w:r>
      <w:r w:rsidRPr="005C021D">
        <w:rPr>
          <w:rFonts w:ascii="Palatino Linotype" w:hAnsi="Palatino Linotype"/>
          <w:i/>
          <w:color w:val="000000" w:themeColor="text1"/>
          <w:sz w:val="22"/>
        </w:rPr>
        <w:t xml:space="preserve"> La leyenda en los documentos clasificados indicará:</w:t>
      </w:r>
    </w:p>
    <w:p w14:paraId="62A191F8" w14:textId="54C6D38D"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w:t>
      </w:r>
      <w:r w:rsidRPr="005C021D">
        <w:rPr>
          <w:rFonts w:ascii="Palatino Linotype" w:hAnsi="Palatino Linotype"/>
          <w:i/>
          <w:color w:val="000000" w:themeColor="text1"/>
          <w:sz w:val="22"/>
        </w:rPr>
        <w:t xml:space="preserve"> La fecha de sesión del Comité de Transparencia en donde se confirmó la clasificación, en su caso;</w:t>
      </w:r>
    </w:p>
    <w:p w14:paraId="6B69C05E" w14:textId="4A15DFC4"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II.</w:t>
      </w:r>
      <w:r w:rsidRPr="005C021D">
        <w:rPr>
          <w:rFonts w:ascii="Palatino Linotype" w:hAnsi="Palatino Linotype"/>
          <w:i/>
          <w:color w:val="000000" w:themeColor="text1"/>
          <w:sz w:val="22"/>
        </w:rPr>
        <w:t xml:space="preserve"> El nombre del área;</w:t>
      </w:r>
    </w:p>
    <w:p w14:paraId="5305B7DB" w14:textId="7139D1B0"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III.</w:t>
      </w:r>
      <w:r w:rsidRPr="005C021D">
        <w:rPr>
          <w:rFonts w:ascii="Palatino Linotype" w:hAnsi="Palatino Linotype"/>
          <w:i/>
          <w:color w:val="000000" w:themeColor="text1"/>
          <w:sz w:val="22"/>
        </w:rPr>
        <w:t xml:space="preserve"> La palabra reservado o confidencial;</w:t>
      </w:r>
    </w:p>
    <w:p w14:paraId="1D6B2101" w14:textId="55A58C00"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IV.</w:t>
      </w:r>
      <w:r w:rsidRPr="005C021D">
        <w:rPr>
          <w:rFonts w:ascii="Palatino Linotype" w:hAnsi="Palatino Linotype"/>
          <w:i/>
          <w:color w:val="000000" w:themeColor="text1"/>
          <w:sz w:val="22"/>
        </w:rPr>
        <w:t xml:space="preserve"> Las partes o secciones reservadas o confidenciales, en su caso;</w:t>
      </w:r>
    </w:p>
    <w:p w14:paraId="31DDF20A" w14:textId="41A9F32F"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V.</w:t>
      </w:r>
      <w:r w:rsidRPr="005C021D">
        <w:rPr>
          <w:rFonts w:ascii="Palatino Linotype" w:hAnsi="Palatino Linotype"/>
          <w:i/>
          <w:color w:val="000000" w:themeColor="text1"/>
          <w:sz w:val="22"/>
        </w:rPr>
        <w:t xml:space="preserve"> El fundamento legal;</w:t>
      </w:r>
    </w:p>
    <w:p w14:paraId="2A9B38D5" w14:textId="38ED639F"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VI.</w:t>
      </w:r>
      <w:r w:rsidRPr="005C021D">
        <w:rPr>
          <w:rFonts w:ascii="Palatino Linotype" w:hAnsi="Palatino Linotype"/>
          <w:i/>
          <w:color w:val="000000" w:themeColor="text1"/>
          <w:sz w:val="22"/>
        </w:rPr>
        <w:t xml:space="preserve"> El periodo de reserva, y</w:t>
      </w:r>
    </w:p>
    <w:p w14:paraId="1FE01CFF" w14:textId="38513421"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VII.</w:t>
      </w:r>
      <w:r w:rsidRPr="005C021D">
        <w:rPr>
          <w:rFonts w:ascii="Palatino Linotype" w:hAnsi="Palatino Linotype"/>
          <w:i/>
          <w:color w:val="000000" w:themeColor="text1"/>
          <w:sz w:val="22"/>
        </w:rPr>
        <w:t xml:space="preserve"> La rúbrica del titular del área.</w:t>
      </w:r>
    </w:p>
    <w:p w14:paraId="464A36CF"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p>
    <w:p w14:paraId="73C51F67"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lastRenderedPageBreak/>
        <w:t>Quincuagésimo segundo.</w:t>
      </w:r>
      <w:r w:rsidRPr="005C021D">
        <w:rPr>
          <w:rFonts w:ascii="Palatino Linotype" w:hAnsi="Palatino Linotype"/>
          <w:i/>
          <w:color w:val="000000" w:themeColor="text1"/>
          <w:sz w:val="22"/>
        </w:rPr>
        <w:t xml:space="preserve"> Los sujetos obligados elaborarán los formatos a que se refiere este Capítulo en medios impresos o electrónicos, entre otros, debiendo ubicarse la leyenda de clasificación en la esquina superior derecha del documento.</w:t>
      </w:r>
    </w:p>
    <w:p w14:paraId="6C52982B"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8257DCA"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p>
    <w:p w14:paraId="2F8CE200" w14:textId="37A49D3C"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Quincuagésimo tercero.</w:t>
      </w:r>
      <w:r w:rsidRPr="005C021D">
        <w:rPr>
          <w:rFonts w:ascii="Palatino Linotype" w:hAnsi="Palatino Linotype"/>
          <w:i/>
          <w:color w:val="000000" w:themeColor="text1"/>
          <w:sz w:val="22"/>
        </w:rPr>
        <w:t xml:space="preserve"> El formato para señalar la clasificación parcial de un documento, es el siguiente:</w:t>
      </w:r>
    </w:p>
    <w:p w14:paraId="511CB77F" w14:textId="05DA7099" w:rsidR="005C4942" w:rsidRPr="005C021D" w:rsidRDefault="005C4942" w:rsidP="005C4942">
      <w:pPr>
        <w:pStyle w:val="Prrafodelista"/>
        <w:tabs>
          <w:tab w:val="left" w:pos="426"/>
        </w:tabs>
        <w:spacing w:line="276" w:lineRule="auto"/>
        <w:ind w:left="567" w:right="567"/>
        <w:jc w:val="center"/>
        <w:rPr>
          <w:rFonts w:ascii="Palatino Linotype" w:hAnsi="Palatino Linotype"/>
          <w:i/>
          <w:color w:val="000000" w:themeColor="text1"/>
          <w:sz w:val="22"/>
        </w:rPr>
      </w:pPr>
      <w:r w:rsidRPr="005C021D">
        <w:rPr>
          <w:rFonts w:ascii="Palatino Linotype" w:hAnsi="Palatino Linotype"/>
          <w:i/>
          <w:noProof/>
          <w:color w:val="000000" w:themeColor="text1"/>
          <w:sz w:val="22"/>
          <w:lang w:val="es-MX" w:eastAsia="es-MX"/>
        </w:rPr>
        <w:drawing>
          <wp:inline distT="0" distB="0" distL="0" distR="0" wp14:anchorId="281E430C" wp14:editId="3611D0E3">
            <wp:extent cx="4458234" cy="3655167"/>
            <wp:effectExtent l="57150" t="57150" r="114300" b="1168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7113" cy="36706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F9890B" w14:textId="77777777"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p>
    <w:p w14:paraId="7F0B2FC7" w14:textId="6365BD51" w:rsidR="005C4942" w:rsidRPr="005C021D" w:rsidRDefault="005C4942" w:rsidP="005C4942">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Quincuagésimo cuarto.</w:t>
      </w:r>
      <w:r w:rsidRPr="005C021D">
        <w:rPr>
          <w:rFonts w:ascii="Palatino Linotype" w:hAnsi="Palatino Linotype"/>
          <w:i/>
          <w:color w:val="000000" w:themeColor="text1"/>
          <w:sz w:val="22"/>
        </w:rPr>
        <w:t xml:space="preserve"> El expediente del cual formen parte los documentos que se consideren reservados o confidenciales en todo o en parte, únicamente llevará en su carátula la especificación de que contiene partes o secciones reservadas o confidenciales.”</w:t>
      </w:r>
    </w:p>
    <w:p w14:paraId="4AC6E514" w14:textId="77777777" w:rsidR="005C4942" w:rsidRPr="005C021D" w:rsidRDefault="005C4942" w:rsidP="00C0431A">
      <w:pPr>
        <w:pStyle w:val="Prrafodelista"/>
        <w:tabs>
          <w:tab w:val="left" w:pos="426"/>
        </w:tabs>
        <w:spacing w:line="360" w:lineRule="auto"/>
        <w:ind w:left="0" w:right="51"/>
        <w:jc w:val="both"/>
        <w:rPr>
          <w:rFonts w:ascii="Palatino Linotype" w:hAnsi="Palatino Linotype"/>
          <w:color w:val="000000" w:themeColor="text1"/>
        </w:rPr>
      </w:pPr>
    </w:p>
    <w:p w14:paraId="69B81F74" w14:textId="1121545A" w:rsidR="00C0431A" w:rsidRPr="005C021D" w:rsidRDefault="00A36064"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Ahora bien, dentro del presente asunto, se advierte que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clasificó dos apartados del Acta de la Cuadragésima Quinta Sesión </w:t>
      </w:r>
      <w:r w:rsidRPr="005C021D">
        <w:rPr>
          <w:rFonts w:ascii="Palatino Linotype" w:hAnsi="Palatino Linotype"/>
          <w:color w:val="000000" w:themeColor="text1"/>
        </w:rPr>
        <w:lastRenderedPageBreak/>
        <w:t>Ordinaria, celebrada el veinticinco (25) de enero de dos mil veintitrés, con base en lo establecido –esencialmente- en el artículo 143, fracción I, de la Ley de Transparencia y Acceso a la Información Pública del Estado de México y Municipios que, como hemos analizado en líneas previas, consiste en lo siguiente:</w:t>
      </w:r>
    </w:p>
    <w:p w14:paraId="4B62BB48"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0A1DB09B" w14:textId="77777777" w:rsidR="00A36064" w:rsidRPr="005C021D" w:rsidRDefault="00A36064" w:rsidP="00A36064">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Artículo 143.</w:t>
      </w:r>
      <w:r w:rsidRPr="005C021D">
        <w:rPr>
          <w:rFonts w:ascii="Palatino Linotype" w:hAnsi="Palatino Linotype"/>
          <w:i/>
          <w:color w:val="000000" w:themeColor="text1"/>
          <w:sz w:val="22"/>
        </w:rPr>
        <w:t xml:space="preserve"> Para los efectos de esta Ley se considera información confidencial, la clasificada como tal, de manera permanente, por su naturaleza, cuando: </w:t>
      </w:r>
    </w:p>
    <w:p w14:paraId="444129D7" w14:textId="300CF191" w:rsidR="00A36064" w:rsidRPr="005C021D" w:rsidRDefault="00A36064" w:rsidP="00A36064">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w:t>
      </w:r>
      <w:r w:rsidRPr="005C021D">
        <w:rPr>
          <w:rFonts w:ascii="Palatino Linotype" w:hAnsi="Palatino Linotype"/>
          <w:i/>
          <w:color w:val="000000" w:themeColor="text1"/>
          <w:sz w:val="22"/>
        </w:rPr>
        <w:t xml:space="preserve"> Se refiera a la información privada y los datos personales concernientes a una persona física o </w:t>
      </w:r>
      <w:proofErr w:type="gramStart"/>
      <w:r w:rsidRPr="005C021D">
        <w:rPr>
          <w:rFonts w:ascii="Palatino Linotype" w:hAnsi="Palatino Linotype"/>
          <w:i/>
          <w:color w:val="000000" w:themeColor="text1"/>
          <w:sz w:val="22"/>
        </w:rPr>
        <w:t>jurídico</w:t>
      </w:r>
      <w:proofErr w:type="gramEnd"/>
      <w:r w:rsidRPr="005C021D">
        <w:rPr>
          <w:rFonts w:ascii="Palatino Linotype" w:hAnsi="Palatino Linotype"/>
          <w:i/>
          <w:color w:val="000000" w:themeColor="text1"/>
          <w:sz w:val="22"/>
        </w:rPr>
        <w:t xml:space="preserve"> colectiva identificada o identificable;</w:t>
      </w:r>
    </w:p>
    <w:p w14:paraId="7B9C178C" w14:textId="5B58155E" w:rsidR="00A36064" w:rsidRPr="005C021D" w:rsidRDefault="00A36064" w:rsidP="00A36064">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12EEE51D" w14:textId="77777777" w:rsidR="00A36064" w:rsidRPr="005C021D" w:rsidRDefault="00A36064" w:rsidP="00C0431A">
      <w:pPr>
        <w:pStyle w:val="Prrafodelista"/>
        <w:tabs>
          <w:tab w:val="left" w:pos="426"/>
        </w:tabs>
        <w:spacing w:line="360" w:lineRule="auto"/>
        <w:ind w:left="0" w:right="51"/>
        <w:jc w:val="both"/>
        <w:rPr>
          <w:rFonts w:ascii="Palatino Linotype" w:hAnsi="Palatino Linotype"/>
          <w:color w:val="000000" w:themeColor="text1"/>
        </w:rPr>
      </w:pPr>
    </w:p>
    <w:p w14:paraId="210C88DD" w14:textId="788FC53B" w:rsidR="00C0431A" w:rsidRPr="005C021D" w:rsidRDefault="00A36064"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En lo correspondiente a la información específica que fue restringida del </w:t>
      </w:r>
      <w:r w:rsidR="00357E36" w:rsidRPr="005C021D">
        <w:rPr>
          <w:rFonts w:ascii="Palatino Linotype" w:hAnsi="Palatino Linotype"/>
          <w:color w:val="000000" w:themeColor="text1"/>
        </w:rPr>
        <w:t>documento</w:t>
      </w:r>
      <w:r w:rsidRPr="005C021D">
        <w:rPr>
          <w:rFonts w:ascii="Palatino Linotype" w:hAnsi="Palatino Linotype"/>
          <w:color w:val="000000" w:themeColor="text1"/>
        </w:rPr>
        <w:t xml:space="preserve">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identificó la siguiente:</w:t>
      </w:r>
    </w:p>
    <w:p w14:paraId="7D23F2B4" w14:textId="12C616AD" w:rsidR="00A36064" w:rsidRPr="005C021D" w:rsidRDefault="00A36064" w:rsidP="00A36064">
      <w:pPr>
        <w:pStyle w:val="Prrafodelista"/>
        <w:numPr>
          <w:ilvl w:val="1"/>
          <w:numId w:val="17"/>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Nombre de particulares beneficiarios de la condonación por concepto de pago de pago de traslado de dominio (comprador y vendedor) y de los beneficiarios del descuento a productores de la pequeña propiedad de las comunidades de Melchor Ocampo y </w:t>
      </w:r>
      <w:proofErr w:type="spellStart"/>
      <w:r w:rsidRPr="005C021D">
        <w:rPr>
          <w:rFonts w:ascii="Palatino Linotype" w:hAnsi="Palatino Linotype"/>
          <w:color w:val="000000" w:themeColor="text1"/>
        </w:rPr>
        <w:t>Tenopalco</w:t>
      </w:r>
      <w:proofErr w:type="spellEnd"/>
      <w:r w:rsidRPr="005C021D">
        <w:rPr>
          <w:rFonts w:ascii="Palatino Linotype" w:hAnsi="Palatino Linotype"/>
          <w:color w:val="000000" w:themeColor="text1"/>
        </w:rPr>
        <w:t xml:space="preserve"> en el pago del impuesto predial.</w:t>
      </w:r>
    </w:p>
    <w:p w14:paraId="25B79D56"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5456DD13" w14:textId="77B2EDFF" w:rsidR="00C0431A" w:rsidRPr="005C021D" w:rsidRDefault="00A36064"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Para justificar su pretensión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manifestó lo siguiente:</w:t>
      </w:r>
    </w:p>
    <w:p w14:paraId="101BC077"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35C0C988" w14:textId="692FD23D" w:rsidR="00A36064" w:rsidRPr="005C021D" w:rsidRDefault="00A36064" w:rsidP="00A36064">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 xml:space="preserve">“Tenemos que, el pago del impuesto predial, como obligación de los contribuyentes, ingresa a la hacienda municipal y a su vez está integrado en la Ley de Ingresos de los Municipios del Estado de México, por lo tanto, tiene una doble naturaleza que se debe transparentar, por un lado, es un acto de autoridad y por otro al ingresar al Municipio obtiene la calidad de recurso público, así pues, corresponde a una obligación común de transparencia, el dar a conocer los ingresos recibidos por cualquier concepto, entendido ingreso, como el impuesto predial pagado por los contribuyentes, más no el nombre de estos; por otra parte, en lo referente a la condonación del impuesto por concepto de </w:t>
      </w:r>
      <w:r w:rsidR="00776933" w:rsidRPr="005C021D">
        <w:rPr>
          <w:rFonts w:ascii="Palatino Linotype" w:hAnsi="Palatino Linotype"/>
          <w:i/>
          <w:color w:val="000000" w:themeColor="text1"/>
          <w:sz w:val="22"/>
        </w:rPr>
        <w:lastRenderedPageBreak/>
        <w:t>traslado</w:t>
      </w:r>
      <w:r w:rsidRPr="005C021D">
        <w:rPr>
          <w:rFonts w:ascii="Palatino Linotype" w:hAnsi="Palatino Linotype"/>
          <w:i/>
          <w:color w:val="000000" w:themeColor="text1"/>
          <w:sz w:val="22"/>
        </w:rPr>
        <w:t xml:space="preserve"> de dominio, no se aprecia la necesidad u obligatoriedad de transparentar información alguna de los particulares relacionados en el documento, pues como se dijo en líneas anteriores, el nombre es un dato al que sebe protegerse y que a estos se les </w:t>
      </w:r>
      <w:r w:rsidR="00776933" w:rsidRPr="005C021D">
        <w:rPr>
          <w:rFonts w:ascii="Palatino Linotype" w:hAnsi="Palatino Linotype"/>
          <w:i/>
          <w:color w:val="000000" w:themeColor="text1"/>
          <w:sz w:val="22"/>
        </w:rPr>
        <w:t>concedió</w:t>
      </w:r>
      <w:r w:rsidRPr="005C021D">
        <w:rPr>
          <w:rFonts w:ascii="Palatino Linotype" w:hAnsi="Palatino Linotype"/>
          <w:i/>
          <w:color w:val="000000" w:themeColor="text1"/>
          <w:sz w:val="22"/>
        </w:rPr>
        <w:t xml:space="preserve"> el beneficio de exentar el pago del referido impuesto, por lo que no existe ingreso al erario público que reporta. Aunado a lo anterior, tenemos que en ambos casos, no corresponde a la información requerida por el particular.</w:t>
      </w:r>
    </w:p>
    <w:p w14:paraId="32628544" w14:textId="79A8B23A" w:rsidR="00A36064" w:rsidRPr="005C021D" w:rsidRDefault="00A36064" w:rsidP="00A36064">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 xml:space="preserve">De lo anterior, y en concordancia con lo dispuesto en el artículo 4 </w:t>
      </w:r>
      <w:r w:rsidR="00776933" w:rsidRPr="005C021D">
        <w:rPr>
          <w:rFonts w:ascii="Palatino Linotype" w:hAnsi="Palatino Linotype"/>
          <w:i/>
          <w:color w:val="000000" w:themeColor="text1"/>
          <w:sz w:val="22"/>
        </w:rPr>
        <w:t>fracción</w:t>
      </w:r>
      <w:r w:rsidRPr="005C021D">
        <w:rPr>
          <w:rFonts w:ascii="Palatino Linotype" w:hAnsi="Palatino Linotype"/>
          <w:i/>
          <w:color w:val="000000" w:themeColor="text1"/>
          <w:sz w:val="22"/>
        </w:rPr>
        <w:t xml:space="preserve"> XI de la Le</w:t>
      </w:r>
      <w:r w:rsidR="00776933" w:rsidRPr="005C021D">
        <w:rPr>
          <w:rFonts w:ascii="Palatino Linotype" w:hAnsi="Palatino Linotype"/>
          <w:i/>
          <w:color w:val="000000" w:themeColor="text1"/>
          <w:sz w:val="22"/>
        </w:rPr>
        <w:t>y de Transparencia y Acceso a l</w:t>
      </w:r>
      <w:r w:rsidRPr="005C021D">
        <w:rPr>
          <w:rFonts w:ascii="Palatino Linotype" w:hAnsi="Palatino Linotype"/>
          <w:i/>
          <w:color w:val="000000" w:themeColor="text1"/>
          <w:sz w:val="22"/>
        </w:rPr>
        <w:t>a</w:t>
      </w:r>
      <w:r w:rsidR="00776933" w:rsidRPr="005C021D">
        <w:rPr>
          <w:rFonts w:ascii="Palatino Linotype" w:hAnsi="Palatino Linotype"/>
          <w:i/>
          <w:color w:val="000000" w:themeColor="text1"/>
          <w:sz w:val="22"/>
        </w:rPr>
        <w:t xml:space="preserve"> </w:t>
      </w:r>
      <w:r w:rsidRPr="005C021D">
        <w:rPr>
          <w:rFonts w:ascii="Palatino Linotype" w:hAnsi="Palatino Linotype"/>
          <w:i/>
          <w:color w:val="000000" w:themeColor="text1"/>
          <w:sz w:val="22"/>
        </w:rPr>
        <w:t>Información Pública del Estado de México y Municipios, se desprende que los nombres de las personas, ya sea físicas o morales, beneficiadas por la implementación de la condonación y/o descuento en el pago de los impuestos antes referidos, en nada contribuye al ejercicio del derecho de acceso a la información y sí vulnera el derecho a la protección de datos personales de los particulares que solicitan dicho trámite, al aportar datos que permiten relacionar a una persona con su patrimonio.</w:t>
      </w:r>
    </w:p>
    <w:p w14:paraId="6FDE4A1B" w14:textId="282F8F2D" w:rsidR="00A36064" w:rsidRPr="005C021D" w:rsidRDefault="00A36064" w:rsidP="00A36064">
      <w:pPr>
        <w:pStyle w:val="Prrafodelista"/>
        <w:tabs>
          <w:tab w:val="left" w:pos="426"/>
        </w:tabs>
        <w:spacing w:line="276" w:lineRule="auto"/>
        <w:ind w:left="567" w:right="567"/>
        <w:jc w:val="both"/>
        <w:rPr>
          <w:rFonts w:ascii="Palatino Linotype" w:hAnsi="Palatino Linotype"/>
          <w:color w:val="000000" w:themeColor="text1"/>
          <w:sz w:val="22"/>
        </w:rPr>
      </w:pPr>
      <w:r w:rsidRPr="005C021D">
        <w:rPr>
          <w:rFonts w:ascii="Palatino Linotype" w:hAnsi="Palatino Linotype"/>
          <w:i/>
          <w:color w:val="000000" w:themeColor="text1"/>
          <w:sz w:val="22"/>
        </w:rPr>
        <w:t xml:space="preserve">Así pues, la finalidad de emitir una Versión Pública y clasificar como confidencial los datos personales que contiene el citado documento, es en virtud de que </w:t>
      </w:r>
      <w:r w:rsidR="00776933" w:rsidRPr="005C021D">
        <w:rPr>
          <w:rFonts w:ascii="Palatino Linotype" w:hAnsi="Palatino Linotype"/>
          <w:i/>
          <w:color w:val="000000" w:themeColor="text1"/>
          <w:sz w:val="22"/>
        </w:rPr>
        <w:t>estos</w:t>
      </w:r>
      <w:r w:rsidRPr="005C021D">
        <w:rPr>
          <w:rFonts w:ascii="Palatino Linotype" w:hAnsi="Palatino Linotype"/>
          <w:i/>
          <w:color w:val="000000" w:themeColor="text1"/>
          <w:sz w:val="22"/>
        </w:rPr>
        <w:t xml:space="preserve"> corresponden a personas físicas identificadas o identificables, y que de manera implícita se refieren a la vida privada y patrimonio del propietario de los mismos, por lo que no son de acceso público, así es que la publicidad de los datos personales antes referidos pudieran tener consecuencias mayores en perjuicio de su titular, pues se podría dar un uso inadecuado </w:t>
      </w:r>
      <w:r w:rsidR="00776933" w:rsidRPr="005C021D">
        <w:rPr>
          <w:rFonts w:ascii="Palatino Linotype" w:hAnsi="Palatino Linotype"/>
          <w:i/>
          <w:color w:val="000000" w:themeColor="text1"/>
          <w:sz w:val="22"/>
        </w:rPr>
        <w:t>a la misma o cometer algún ilícito o fraude en contra del patrimonio de los particulares ahí relacionados.”</w:t>
      </w:r>
      <w:r w:rsidR="00776933" w:rsidRPr="005C021D">
        <w:rPr>
          <w:rFonts w:ascii="Palatino Linotype" w:hAnsi="Palatino Linotype"/>
          <w:color w:val="000000" w:themeColor="text1"/>
          <w:sz w:val="22"/>
        </w:rPr>
        <w:t xml:space="preserve"> (Sic)</w:t>
      </w:r>
    </w:p>
    <w:p w14:paraId="40003D8C" w14:textId="77777777" w:rsidR="00A36064" w:rsidRPr="005C021D" w:rsidRDefault="00A36064" w:rsidP="00C0431A">
      <w:pPr>
        <w:pStyle w:val="Prrafodelista"/>
        <w:tabs>
          <w:tab w:val="left" w:pos="426"/>
        </w:tabs>
        <w:spacing w:line="360" w:lineRule="auto"/>
        <w:ind w:left="0" w:right="51"/>
        <w:jc w:val="both"/>
        <w:rPr>
          <w:rFonts w:ascii="Palatino Linotype" w:hAnsi="Palatino Linotype"/>
          <w:color w:val="000000" w:themeColor="text1"/>
        </w:rPr>
      </w:pPr>
    </w:p>
    <w:p w14:paraId="771BC13E" w14:textId="15EC05E3" w:rsidR="00C0431A" w:rsidRPr="005C021D" w:rsidRDefault="00776933"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De las líneas antes transcritas podemos recuperar los siguientes elementos esenciales:</w:t>
      </w:r>
    </w:p>
    <w:p w14:paraId="1AAA8A11" w14:textId="26614BDF" w:rsidR="00776933" w:rsidRPr="005C021D" w:rsidRDefault="00776933" w:rsidP="00776933">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Que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manifestó que no existe necesidad u obligatoriedad de transparentar información relacionada con los nombres de particulares a quienes se les concedió la condonación de algún impuesto, toda vez que no existió ingreso al erario público que reportar.</w:t>
      </w:r>
    </w:p>
    <w:p w14:paraId="37CCA3DC" w14:textId="29C474B6" w:rsidR="00776933" w:rsidRPr="005C021D" w:rsidRDefault="00776933" w:rsidP="00776933">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 xml:space="preserve">Que el difundir el nombre de las personas, físicas o morales, beneficiadas por la implementación de la condonación y/o descuento en el pago de </w:t>
      </w:r>
      <w:r w:rsidRPr="005C021D">
        <w:rPr>
          <w:rFonts w:ascii="Palatino Linotype" w:hAnsi="Palatino Linotype"/>
          <w:color w:val="000000" w:themeColor="text1"/>
        </w:rPr>
        <w:lastRenderedPageBreak/>
        <w:t>impuestos, en nada abona al ejercicio del derecho de acceso a la información.</w:t>
      </w:r>
    </w:p>
    <w:p w14:paraId="73C0184D" w14:textId="51FB7BE3" w:rsidR="00776933" w:rsidRPr="005C021D" w:rsidRDefault="00776933" w:rsidP="00776933">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C021D">
        <w:rPr>
          <w:rFonts w:ascii="Palatino Linotype" w:hAnsi="Palatino Linotype"/>
          <w:color w:val="000000" w:themeColor="text1"/>
        </w:rPr>
        <w:t>Que las secciones clasificadas dentro del documento no tienen relación con el Punto del Orden del Día que toca la información solicitada.</w:t>
      </w:r>
    </w:p>
    <w:p w14:paraId="13B34F01"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62BF6D7F" w14:textId="55E89226" w:rsidR="00C0431A" w:rsidRPr="005C021D" w:rsidRDefault="00776933"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Al respecto, resulta esencial señalar que el artículo 92 de la Ley de Transparencia y Acceso a la Información Pública del Estado de México y Municipios enlista y reconoce a toda la información reconocida como </w:t>
      </w:r>
      <w:r w:rsidRPr="005C021D">
        <w:rPr>
          <w:rFonts w:ascii="Palatino Linotype" w:hAnsi="Palatino Linotype"/>
          <w:b/>
          <w:color w:val="000000" w:themeColor="text1"/>
        </w:rPr>
        <w:t>obligaciones de transparencia común</w:t>
      </w:r>
      <w:r w:rsidRPr="005C021D">
        <w:rPr>
          <w:rFonts w:ascii="Palatino Linotype" w:hAnsi="Palatino Linotype"/>
          <w:color w:val="000000" w:themeColor="text1"/>
        </w:rPr>
        <w:t xml:space="preserve"> y que, por Ley, el </w:t>
      </w:r>
      <w:r w:rsidRPr="005C021D">
        <w:rPr>
          <w:rFonts w:ascii="Palatino Linotype" w:hAnsi="Palatino Linotype"/>
          <w:b/>
          <w:color w:val="000000" w:themeColor="text1"/>
        </w:rPr>
        <w:t>SUJETO OBLIGADO</w:t>
      </w:r>
      <w:r w:rsidRPr="005C021D">
        <w:rPr>
          <w:rFonts w:ascii="Palatino Linotype" w:hAnsi="Palatino Linotype"/>
          <w:color w:val="000000" w:themeColor="text1"/>
        </w:rPr>
        <w:t xml:space="preserve"> estará constreñido a publicar y difundir de manera permanente a la ciudadanía.</w:t>
      </w:r>
    </w:p>
    <w:p w14:paraId="60EA8E90"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18D3B355" w14:textId="0F8F380F" w:rsidR="00C0431A" w:rsidRPr="005C021D" w:rsidRDefault="00776933"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Más adelante, el artículo 94 de la Ley de la materia establece las </w:t>
      </w:r>
      <w:r w:rsidRPr="005C021D">
        <w:rPr>
          <w:rFonts w:ascii="Palatino Linotype" w:hAnsi="Palatino Linotype"/>
          <w:b/>
          <w:color w:val="000000" w:themeColor="text1"/>
        </w:rPr>
        <w:t>obligaciones de transparencia específicas</w:t>
      </w:r>
      <w:r w:rsidRPr="005C021D">
        <w:rPr>
          <w:rFonts w:ascii="Palatino Linotype" w:hAnsi="Palatino Linotype"/>
          <w:color w:val="000000" w:themeColor="text1"/>
        </w:rPr>
        <w:t xml:space="preserve"> aplicables para el Poder Ejecutivo y los </w:t>
      </w:r>
      <w:r w:rsidRPr="005C021D">
        <w:rPr>
          <w:rFonts w:ascii="Palatino Linotype" w:hAnsi="Palatino Linotype"/>
          <w:b/>
          <w:color w:val="000000" w:themeColor="text1"/>
        </w:rPr>
        <w:t>Municipios</w:t>
      </w:r>
      <w:r w:rsidRPr="005C021D">
        <w:rPr>
          <w:rFonts w:ascii="Palatino Linotype" w:hAnsi="Palatino Linotype"/>
          <w:color w:val="000000" w:themeColor="text1"/>
        </w:rPr>
        <w:t>, dentro del cual, se aprecia lo siguiente:</w:t>
      </w:r>
    </w:p>
    <w:p w14:paraId="216C02CE"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0B584CF" w14:textId="77777777"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Artículo 94.</w:t>
      </w:r>
      <w:r w:rsidRPr="005C021D">
        <w:rPr>
          <w:rFonts w:ascii="Palatino Linotype" w:hAnsi="Palatino Linotype"/>
          <w:i/>
          <w:color w:val="000000" w:themeColor="text1"/>
          <w:sz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046641B6" w14:textId="7EB4FC3F"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 xml:space="preserve">I. </w:t>
      </w:r>
      <w:r w:rsidRPr="005C021D">
        <w:rPr>
          <w:rFonts w:ascii="Palatino Linotype" w:hAnsi="Palatino Linotype"/>
          <w:i/>
          <w:color w:val="000000" w:themeColor="text1"/>
          <w:sz w:val="22"/>
        </w:rPr>
        <w:t xml:space="preserve">En el caso del Poder Ejecutivo y los </w:t>
      </w:r>
      <w:r w:rsidRPr="005C021D">
        <w:rPr>
          <w:rFonts w:ascii="Palatino Linotype" w:hAnsi="Palatino Linotype"/>
          <w:b/>
          <w:i/>
          <w:color w:val="000000" w:themeColor="text1"/>
          <w:sz w:val="22"/>
        </w:rPr>
        <w:t>Municipios</w:t>
      </w:r>
      <w:r w:rsidRPr="005C021D">
        <w:rPr>
          <w:rFonts w:ascii="Palatino Linotype" w:hAnsi="Palatino Linotype"/>
          <w:i/>
          <w:color w:val="000000" w:themeColor="text1"/>
          <w:sz w:val="22"/>
        </w:rPr>
        <w:t>, en el ámbito de su competencia:</w:t>
      </w:r>
    </w:p>
    <w:p w14:paraId="003DF141" w14:textId="31E057BA"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069237B7" w14:textId="7B3C94CB"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d) El nombre, denominación o razón social y clave del registro federal de los contribuyentes a los que se les hubiera cancelado o condonado algún crédito fiscal</w:t>
      </w:r>
      <w:r w:rsidRPr="005C021D">
        <w:rPr>
          <w:rFonts w:ascii="Palatino Linotype" w:hAnsi="Palatino Linotype"/>
          <w:i/>
          <w:color w:val="000000" w:themeColor="text1"/>
          <w:sz w:val="22"/>
        </w:rPr>
        <w:t xml:space="preserve"> local o municipal, </w:t>
      </w:r>
      <w:r w:rsidRPr="005C021D">
        <w:rPr>
          <w:rFonts w:ascii="Palatino Linotype" w:hAnsi="Palatino Linotype"/>
          <w:b/>
          <w:i/>
          <w:color w:val="000000" w:themeColor="text1"/>
          <w:sz w:val="22"/>
        </w:rPr>
        <w:t>así como los montos respectivos.</w:t>
      </w:r>
      <w:r w:rsidRPr="005C021D">
        <w:rPr>
          <w:rFonts w:ascii="Palatino Linotype" w:hAnsi="Palatino Linotype"/>
          <w:i/>
          <w:color w:val="000000" w:themeColor="text1"/>
          <w:sz w:val="22"/>
        </w:rPr>
        <w:t xml:space="preserve"> Asimismo, la información estadística sobre las exenciones previstas en las disposiciones fiscales;</w:t>
      </w:r>
    </w:p>
    <w:p w14:paraId="32702359" w14:textId="17341B58"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635D0189" w14:textId="397BC4F3"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5C3F7DE2" w14:textId="5A9A38AD" w:rsidR="00776933" w:rsidRPr="005C021D" w:rsidRDefault="00776933" w:rsidP="00776933">
      <w:pPr>
        <w:pStyle w:val="Prrafodelista"/>
        <w:tabs>
          <w:tab w:val="left" w:pos="426"/>
        </w:tabs>
        <w:spacing w:line="276" w:lineRule="auto"/>
        <w:ind w:left="567" w:right="567"/>
        <w:jc w:val="both"/>
        <w:rPr>
          <w:rFonts w:ascii="Palatino Linotype" w:hAnsi="Palatino Linotype"/>
          <w:color w:val="000000" w:themeColor="text1"/>
          <w:sz w:val="22"/>
        </w:rPr>
      </w:pPr>
      <w:r w:rsidRPr="005C021D">
        <w:rPr>
          <w:rFonts w:ascii="Palatino Linotype" w:hAnsi="Palatino Linotype"/>
          <w:color w:val="000000" w:themeColor="text1"/>
          <w:sz w:val="22"/>
        </w:rPr>
        <w:t>(Énfasis añadido)</w:t>
      </w:r>
    </w:p>
    <w:p w14:paraId="61F3A7AD" w14:textId="77777777" w:rsidR="00776933" w:rsidRPr="005C021D" w:rsidRDefault="00776933" w:rsidP="00C0431A">
      <w:pPr>
        <w:pStyle w:val="Prrafodelista"/>
        <w:tabs>
          <w:tab w:val="left" w:pos="426"/>
        </w:tabs>
        <w:spacing w:line="360" w:lineRule="auto"/>
        <w:ind w:left="0" w:right="51"/>
        <w:jc w:val="both"/>
        <w:rPr>
          <w:rFonts w:ascii="Palatino Linotype" w:hAnsi="Palatino Linotype"/>
          <w:color w:val="000000" w:themeColor="text1"/>
        </w:rPr>
      </w:pPr>
    </w:p>
    <w:p w14:paraId="7490D774" w14:textId="04046843" w:rsidR="00C0431A" w:rsidRPr="005C021D" w:rsidRDefault="00776933"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lastRenderedPageBreak/>
        <w:t>No es ocioso mencionar que el dispositivo anterior armoniza con lo establecido en el artículo 71 de la Ley General de Transparencia y Acceso a la Información Pública, cuyo contenido refiere lo siguiente:</w:t>
      </w:r>
    </w:p>
    <w:p w14:paraId="47B4602B"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51D60050" w14:textId="77777777"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 xml:space="preserve">Artículo 71. </w:t>
      </w:r>
      <w:r w:rsidRPr="005C021D">
        <w:rPr>
          <w:rFonts w:ascii="Palatino Linotype" w:hAnsi="Palatino Linotype"/>
          <w:i/>
          <w:color w:val="000000" w:themeColor="text1"/>
          <w:sz w:val="22"/>
        </w:rPr>
        <w:t xml:space="preserve">Además de lo señalado en el artículo anterior de la presente Ley, los sujetos obligados de los Poderes Ejecutivos Federal, de las Entidades Federativas y municipales, deberán poner a disposición del público y actualizar la siguiente información: </w:t>
      </w:r>
    </w:p>
    <w:p w14:paraId="2C95BE3A" w14:textId="22D8C37C"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I.</w:t>
      </w:r>
      <w:r w:rsidRPr="005C021D">
        <w:rPr>
          <w:rFonts w:ascii="Palatino Linotype" w:hAnsi="Palatino Linotype"/>
          <w:i/>
          <w:color w:val="000000" w:themeColor="text1"/>
          <w:sz w:val="22"/>
        </w:rPr>
        <w:t xml:space="preserve"> </w:t>
      </w:r>
      <w:r w:rsidRPr="005C021D">
        <w:rPr>
          <w:rFonts w:ascii="Palatino Linotype" w:hAnsi="Palatino Linotype"/>
          <w:b/>
          <w:i/>
          <w:color w:val="000000" w:themeColor="text1"/>
          <w:sz w:val="22"/>
        </w:rPr>
        <w:t xml:space="preserve">En el caso </w:t>
      </w:r>
      <w:r w:rsidRPr="005C021D">
        <w:rPr>
          <w:rFonts w:ascii="Palatino Linotype" w:hAnsi="Palatino Linotype"/>
          <w:i/>
          <w:color w:val="000000" w:themeColor="text1"/>
          <w:sz w:val="22"/>
        </w:rPr>
        <w:t xml:space="preserve">del Poder Ejecutivo Federal, los poderes ejecutivos </w:t>
      </w:r>
      <w:r w:rsidRPr="005C021D">
        <w:rPr>
          <w:rFonts w:ascii="Palatino Linotype" w:hAnsi="Palatino Linotype"/>
          <w:b/>
          <w:i/>
          <w:color w:val="000000" w:themeColor="text1"/>
          <w:sz w:val="22"/>
        </w:rPr>
        <w:t>de</w:t>
      </w:r>
      <w:r w:rsidRPr="005C021D">
        <w:rPr>
          <w:rFonts w:ascii="Palatino Linotype" w:hAnsi="Palatino Linotype"/>
          <w:i/>
          <w:color w:val="000000" w:themeColor="text1"/>
          <w:sz w:val="22"/>
        </w:rPr>
        <w:t xml:space="preserve"> las Entidades Federativas, el Órgano Ejecutivo del Distrito Federal y </w:t>
      </w:r>
      <w:r w:rsidRPr="005C021D">
        <w:rPr>
          <w:rFonts w:ascii="Palatino Linotype" w:hAnsi="Palatino Linotype"/>
          <w:b/>
          <w:i/>
          <w:color w:val="000000" w:themeColor="text1"/>
          <w:sz w:val="22"/>
        </w:rPr>
        <w:t>los municipios</w:t>
      </w:r>
      <w:r w:rsidR="004A3BD9" w:rsidRPr="005C021D">
        <w:rPr>
          <w:rFonts w:ascii="Palatino Linotype" w:hAnsi="Palatino Linotype"/>
          <w:b/>
          <w:i/>
          <w:color w:val="000000" w:themeColor="text1"/>
          <w:sz w:val="22"/>
        </w:rPr>
        <w:t>:</w:t>
      </w:r>
    </w:p>
    <w:p w14:paraId="734EC3B9" w14:textId="0116A30C"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38208E22" w14:textId="07AF835A"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d) El nombre, denominación o razón social y clave del registro federal de los contribuyentes a los que se les hubiera cancelado o condonado algún crédito fiscal, así como los montos respectivos</w:t>
      </w:r>
      <w:r w:rsidRPr="005C021D">
        <w:rPr>
          <w:rFonts w:ascii="Palatino Linotype" w:hAnsi="Palatino Linotype"/>
          <w:i/>
          <w:color w:val="000000" w:themeColor="text1"/>
          <w:sz w:val="22"/>
        </w:rPr>
        <w:t>. Asimismo, la información estadística sobre las exenciones previstas en las disposiciones fiscales;</w:t>
      </w:r>
    </w:p>
    <w:p w14:paraId="5C79B470" w14:textId="6396F323" w:rsidR="00776933" w:rsidRPr="005C021D" w:rsidRDefault="00776933" w:rsidP="00776933">
      <w:pPr>
        <w:pStyle w:val="Prrafodelista"/>
        <w:tabs>
          <w:tab w:val="left" w:pos="426"/>
        </w:tabs>
        <w:spacing w:line="276" w:lineRule="auto"/>
        <w:ind w:left="851"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30FA75A9" w14:textId="3FE989DD" w:rsidR="00776933" w:rsidRPr="005C021D" w:rsidRDefault="00776933" w:rsidP="00776933">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p>
    <w:p w14:paraId="70D043DC" w14:textId="468A5CCB" w:rsidR="004A3BD9" w:rsidRPr="005C021D" w:rsidRDefault="004A3BD9" w:rsidP="00776933">
      <w:pPr>
        <w:pStyle w:val="Prrafodelista"/>
        <w:tabs>
          <w:tab w:val="left" w:pos="426"/>
        </w:tabs>
        <w:spacing w:line="276" w:lineRule="auto"/>
        <w:ind w:left="567" w:right="567"/>
        <w:jc w:val="both"/>
        <w:rPr>
          <w:rFonts w:ascii="Palatino Linotype" w:hAnsi="Palatino Linotype"/>
          <w:color w:val="000000" w:themeColor="text1"/>
          <w:sz w:val="22"/>
        </w:rPr>
      </w:pPr>
      <w:r w:rsidRPr="005C021D">
        <w:rPr>
          <w:rFonts w:ascii="Palatino Linotype" w:hAnsi="Palatino Linotype"/>
          <w:color w:val="000000" w:themeColor="text1"/>
          <w:sz w:val="22"/>
        </w:rPr>
        <w:t>(Énfasis añadido)</w:t>
      </w:r>
    </w:p>
    <w:p w14:paraId="53F9863E" w14:textId="77777777" w:rsidR="00776933" w:rsidRPr="005C021D" w:rsidRDefault="00776933" w:rsidP="00C0431A">
      <w:pPr>
        <w:pStyle w:val="Prrafodelista"/>
        <w:tabs>
          <w:tab w:val="left" w:pos="426"/>
        </w:tabs>
        <w:spacing w:line="360" w:lineRule="auto"/>
        <w:ind w:left="0" w:right="51"/>
        <w:jc w:val="both"/>
        <w:rPr>
          <w:rFonts w:ascii="Palatino Linotype" w:hAnsi="Palatino Linotype"/>
          <w:color w:val="000000" w:themeColor="text1"/>
        </w:rPr>
      </w:pPr>
    </w:p>
    <w:p w14:paraId="6C88C6A4" w14:textId="7DA863C7" w:rsidR="00C0431A" w:rsidRPr="005C021D" w:rsidRDefault="004A3BD9"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De lo anterior se colige que, contrario a lo manifestado por el </w:t>
      </w:r>
      <w:r w:rsidRPr="005C021D">
        <w:rPr>
          <w:rFonts w:ascii="Palatino Linotype" w:hAnsi="Palatino Linotype"/>
          <w:b/>
          <w:color w:val="000000" w:themeColor="text1"/>
        </w:rPr>
        <w:t>SUJETO OBLIGADO</w:t>
      </w:r>
      <w:r w:rsidR="00357E36" w:rsidRPr="005C021D">
        <w:rPr>
          <w:rFonts w:ascii="Palatino Linotype" w:hAnsi="Palatino Linotype"/>
          <w:b/>
          <w:color w:val="000000" w:themeColor="text1"/>
        </w:rPr>
        <w:t>,</w:t>
      </w:r>
      <w:r w:rsidRPr="005C021D">
        <w:rPr>
          <w:rFonts w:ascii="Palatino Linotype" w:hAnsi="Palatino Linotype"/>
          <w:color w:val="000000" w:themeColor="text1"/>
        </w:rPr>
        <w:t xml:space="preserve"> dentro de su Acuerdo de Clasificación, </w:t>
      </w:r>
      <w:r w:rsidRPr="005C021D">
        <w:rPr>
          <w:rFonts w:ascii="Palatino Linotype" w:hAnsi="Palatino Linotype"/>
          <w:b/>
          <w:color w:val="000000" w:themeColor="text1"/>
        </w:rPr>
        <w:t>el nombre de las personas físicas o jurídico-colectivas a quienes se les haya condonado un impuesto o crédito fiscal se reconocer como información pública</w:t>
      </w:r>
      <w:r w:rsidRPr="005C021D">
        <w:rPr>
          <w:rFonts w:ascii="Palatino Linotype" w:hAnsi="Palatino Linotype"/>
          <w:color w:val="000000" w:themeColor="text1"/>
        </w:rPr>
        <w:t>, la cual deberá ser publicada y difundida por el Ayuntamiento de Melchor Ocampo de manera permanente.</w:t>
      </w:r>
    </w:p>
    <w:p w14:paraId="6DDA2876"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5C3F356" w14:textId="3332E049" w:rsidR="00C0431A" w:rsidRPr="005C021D" w:rsidRDefault="004A3BD9"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Al respecto, los </w:t>
      </w:r>
      <w:r w:rsidRPr="005C021D">
        <w:rPr>
          <w:rFonts w:ascii="Palatino Linotype" w:hAnsi="Palatino Linotype"/>
          <w:i/>
          <w:color w:val="000000" w:themeColor="text1"/>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5C021D">
        <w:rPr>
          <w:rFonts w:ascii="Palatino Linotype" w:hAnsi="Palatino Linotype"/>
          <w:i/>
          <w:color w:val="000000" w:themeColor="text1"/>
        </w:rPr>
        <w:lastRenderedPageBreak/>
        <w:t>Internet y en la Plataforma Nacional de Transparencia</w:t>
      </w:r>
      <w:r w:rsidRPr="005C021D">
        <w:rPr>
          <w:rFonts w:ascii="Palatino Linotype" w:hAnsi="Palatino Linotype"/>
          <w:color w:val="000000" w:themeColor="text1"/>
        </w:rPr>
        <w:t xml:space="preserve">, en su Lineamiento Primero establecen que éstos son de </w:t>
      </w:r>
      <w:r w:rsidRPr="005C021D">
        <w:rPr>
          <w:rFonts w:ascii="Palatino Linotype" w:hAnsi="Palatino Linotype"/>
          <w:b/>
          <w:color w:val="000000" w:themeColor="text1"/>
        </w:rPr>
        <w:t>observancia obligatoria para</w:t>
      </w:r>
      <w:r w:rsidRPr="005C021D">
        <w:rPr>
          <w:rFonts w:ascii="Palatino Linotype" w:hAnsi="Palatino Linotype"/>
          <w:color w:val="000000" w:themeColor="text1"/>
        </w:rPr>
        <w:t xml:space="preserve"> el Instituto, los organismos garantes y </w:t>
      </w:r>
      <w:r w:rsidRPr="005C021D">
        <w:rPr>
          <w:rFonts w:ascii="Palatino Linotype" w:hAnsi="Palatino Linotype"/>
          <w:b/>
          <w:color w:val="000000" w:themeColor="text1"/>
        </w:rPr>
        <w:t xml:space="preserve">los sujetos obligados de todo el país en sus diferentes ámbitos </w:t>
      </w:r>
      <w:r w:rsidRPr="005C021D">
        <w:rPr>
          <w:rFonts w:ascii="Palatino Linotype" w:hAnsi="Palatino Linotype"/>
          <w:color w:val="000000" w:themeColor="text1"/>
        </w:rPr>
        <w:t xml:space="preserve">(federal, estatal y </w:t>
      </w:r>
      <w:r w:rsidRPr="005C021D">
        <w:rPr>
          <w:rFonts w:ascii="Palatino Linotype" w:hAnsi="Palatino Linotype"/>
          <w:b/>
          <w:color w:val="000000" w:themeColor="text1"/>
        </w:rPr>
        <w:t>municipal</w:t>
      </w:r>
      <w:r w:rsidRPr="005C021D">
        <w:rPr>
          <w:rFonts w:ascii="Palatino Linotype" w:hAnsi="Palatino Linotype"/>
          <w:color w:val="000000" w:themeColor="text1"/>
        </w:rPr>
        <w:t>), y tienen como propósito definir los formatos que se usarán para publicar la información prescrita en el Título Quinto de la Ley General y asegurar que sea veraz, confiable, oportuna, congruente, integral, actualizada, accesible, comprensible y verificable.</w:t>
      </w:r>
    </w:p>
    <w:p w14:paraId="654F24B6"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3BF561F" w14:textId="505D0E7D" w:rsidR="00C0431A" w:rsidRPr="005C021D" w:rsidRDefault="004A3BD9"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En lo que corresponde a la información pública, reconocida como tal, en el artículo 71,fracción I, inciso d), de la Ley General (igualmente aplicable para la información establecida en el artículo  94, fracción I, inciso d, de la Ley Estatal), los Lineamientos de mérito establece que la exención o condonación de créditos fiscales realizada por el gobierno a través de su autoridad fiscalizadora, consiste en la exclusión total o parcial de la obligación de pago de los sujetos pasivos del impuesto. </w:t>
      </w:r>
    </w:p>
    <w:p w14:paraId="28403F0C"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7DFD0B7E" w14:textId="62770980" w:rsidR="00C0431A" w:rsidRPr="005C021D" w:rsidRDefault="004A3BD9"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A fin de dar cumplimiento a la publicación de las condonaciones de créditos fiscales, los Sujetos Obligados deberán considerar los siguientes Criterios Sustantivos de Contenido</w:t>
      </w:r>
      <w:r w:rsidRPr="005C021D">
        <w:rPr>
          <w:rStyle w:val="Refdenotaalpie"/>
          <w:rFonts w:ascii="Palatino Linotype" w:hAnsi="Palatino Linotype"/>
          <w:color w:val="000000" w:themeColor="text1"/>
        </w:rPr>
        <w:footnoteReference w:id="19"/>
      </w:r>
      <w:r w:rsidRPr="005C021D">
        <w:rPr>
          <w:rFonts w:ascii="Palatino Linotype" w:hAnsi="Palatino Linotype"/>
          <w:color w:val="000000" w:themeColor="text1"/>
        </w:rPr>
        <w:t>:</w:t>
      </w:r>
    </w:p>
    <w:p w14:paraId="0F16B078" w14:textId="77777777" w:rsidR="004A3BD9" w:rsidRPr="005C021D" w:rsidRDefault="004A3BD9" w:rsidP="004A3BD9">
      <w:pPr>
        <w:pStyle w:val="Prrafodelista"/>
        <w:tabs>
          <w:tab w:val="left" w:pos="426"/>
        </w:tabs>
        <w:spacing w:line="360" w:lineRule="auto"/>
        <w:ind w:left="0" w:right="51"/>
        <w:jc w:val="both"/>
        <w:rPr>
          <w:rFonts w:ascii="Palatino Linotype" w:hAnsi="Palatino Linotype"/>
          <w:color w:val="000000" w:themeColor="text1"/>
        </w:rPr>
      </w:pPr>
    </w:p>
    <w:p w14:paraId="6336589D"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w:t>
      </w:r>
      <w:r w:rsidRPr="005C021D">
        <w:rPr>
          <w:rFonts w:ascii="Palatino Linotype" w:hAnsi="Palatino Linotype"/>
          <w:b/>
          <w:i/>
          <w:color w:val="000000" w:themeColor="text1"/>
          <w:sz w:val="22"/>
        </w:rPr>
        <w:t>Criterios sustantivos de contenido</w:t>
      </w:r>
      <w:r w:rsidRPr="005C021D">
        <w:rPr>
          <w:rFonts w:ascii="Palatino Linotype" w:hAnsi="Palatino Linotype"/>
          <w:i/>
          <w:color w:val="000000" w:themeColor="text1"/>
          <w:sz w:val="22"/>
        </w:rPr>
        <w:t xml:space="preserve"> </w:t>
      </w:r>
    </w:p>
    <w:p w14:paraId="0CFFFBC1"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 xml:space="preserve">Los sujetos obligados que no generan la información solicitada en la presente fracción publicarán el siguiente mensaje: </w:t>
      </w:r>
    </w:p>
    <w:p w14:paraId="1D1BC90C"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lastRenderedPageBreak/>
        <w:t>Criterio 1</w:t>
      </w:r>
      <w:r w:rsidRPr="005C021D">
        <w:rPr>
          <w:rFonts w:ascii="Palatino Linotype" w:hAnsi="Palatino Linotype"/>
          <w:i/>
          <w:color w:val="000000" w:themeColor="text1"/>
          <w:sz w:val="22"/>
        </w:rPr>
        <w:t xml:space="preserve"> Ejercicio </w:t>
      </w:r>
    </w:p>
    <w:p w14:paraId="6DE7FBBC"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w:t>
      </w:r>
      <w:r w:rsidRPr="005C021D">
        <w:rPr>
          <w:rFonts w:ascii="Palatino Linotype" w:hAnsi="Palatino Linotype"/>
          <w:i/>
          <w:color w:val="000000" w:themeColor="text1"/>
          <w:sz w:val="22"/>
        </w:rPr>
        <w:t xml:space="preserve"> Periodo que se informa (fecha de inicio y fecha de término con el formato día/mes/año)</w:t>
      </w:r>
    </w:p>
    <w:p w14:paraId="747CA5BC" w14:textId="6A100F3F"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w:t>
      </w:r>
      <w:r w:rsidRPr="005C021D">
        <w:rPr>
          <w:rFonts w:ascii="Palatino Linotype" w:hAnsi="Palatino Linotype"/>
          <w:i/>
          <w:color w:val="000000" w:themeColor="text1"/>
          <w:sz w:val="22"/>
        </w:rPr>
        <w:t xml:space="preserve"> Mensaje “La publicación y actualización de la información está a cargo de &lt;&lt;incluir la denominación del sujeto obligado&gt;&gt;.”</w:t>
      </w:r>
    </w:p>
    <w:p w14:paraId="55833C4A"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4</w:t>
      </w:r>
      <w:r w:rsidRPr="005C021D">
        <w:rPr>
          <w:rFonts w:ascii="Palatino Linotype" w:hAnsi="Palatino Linotype"/>
          <w:i/>
          <w:color w:val="000000" w:themeColor="text1"/>
          <w:sz w:val="22"/>
        </w:rPr>
        <w:t xml:space="preserve"> Hipervínculo que dirija a la ruta específica hacia la información del sujeto obligado que hayan referido </w:t>
      </w:r>
    </w:p>
    <w:p w14:paraId="4F041205"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p>
    <w:p w14:paraId="0525C453" w14:textId="26ACD214"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Respecto a los contribuyentes que recibieron cancelación y/o condonación de créditos fiscales se publicarán los siguientes datos: </w:t>
      </w:r>
    </w:p>
    <w:p w14:paraId="6A3431F7"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5</w:t>
      </w:r>
      <w:r w:rsidRPr="005C021D">
        <w:rPr>
          <w:rFonts w:ascii="Palatino Linotype" w:hAnsi="Palatino Linotype"/>
          <w:i/>
          <w:color w:val="000000" w:themeColor="text1"/>
          <w:sz w:val="22"/>
        </w:rPr>
        <w:t xml:space="preserve"> Ejercicio </w:t>
      </w:r>
    </w:p>
    <w:p w14:paraId="5FF894E5"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6</w:t>
      </w:r>
      <w:r w:rsidRPr="005C021D">
        <w:rPr>
          <w:rFonts w:ascii="Palatino Linotype" w:hAnsi="Palatino Linotype"/>
          <w:i/>
          <w:color w:val="000000" w:themeColor="text1"/>
          <w:sz w:val="22"/>
        </w:rPr>
        <w:t xml:space="preserve"> Periodo que se informa (fecha de inicio y fecha de término con el formato día/mes/año) </w:t>
      </w:r>
    </w:p>
    <w:p w14:paraId="4A3EB255"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7</w:t>
      </w:r>
      <w:r w:rsidRPr="005C021D">
        <w:rPr>
          <w:rFonts w:ascii="Palatino Linotype" w:hAnsi="Palatino Linotype"/>
          <w:i/>
          <w:color w:val="000000" w:themeColor="text1"/>
          <w:sz w:val="22"/>
        </w:rPr>
        <w:t xml:space="preserve"> Personería jurídica: Persona física/persona moral </w:t>
      </w:r>
    </w:p>
    <w:p w14:paraId="22A66128"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Criterio 8 Nombre completo en el caso de las personas físicas (nombre[s], primer apellido, segundo apellido); razón social si se trata de personas morales, gobiernos o instituciones deudoras que recibieron cancelación o condonación de créditos fiscales </w:t>
      </w:r>
    </w:p>
    <w:p w14:paraId="40D4707C" w14:textId="63E9F67F"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9</w:t>
      </w:r>
      <w:r w:rsidRPr="005C021D">
        <w:rPr>
          <w:rFonts w:ascii="Palatino Linotype" w:hAnsi="Palatino Linotype"/>
          <w:i/>
          <w:color w:val="000000" w:themeColor="text1"/>
          <w:sz w:val="22"/>
        </w:rPr>
        <w:t xml:space="preserve"> Registro Federal de Contribuyentes (RFC), de la persona física o moral, gobiernos o instituciones deudoras.</w:t>
      </w:r>
    </w:p>
    <w:p w14:paraId="21A26478"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10</w:t>
      </w:r>
      <w:r w:rsidRPr="005C021D">
        <w:rPr>
          <w:rFonts w:ascii="Palatino Linotype" w:hAnsi="Palatino Linotype"/>
          <w:i/>
          <w:color w:val="000000" w:themeColor="text1"/>
          <w:sz w:val="22"/>
        </w:rPr>
        <w:t xml:space="preserve"> Entidad Federativa a la que pertenece la persona física o moral </w:t>
      </w:r>
    </w:p>
    <w:p w14:paraId="6CEDCAEA"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11</w:t>
      </w:r>
      <w:r w:rsidRPr="005C021D">
        <w:rPr>
          <w:rFonts w:ascii="Palatino Linotype" w:hAnsi="Palatino Linotype"/>
          <w:i/>
          <w:color w:val="000000" w:themeColor="text1"/>
          <w:sz w:val="22"/>
        </w:rPr>
        <w:t xml:space="preserve"> Fecha de la solicitud de la cancelación o condonación, con formato día/mes/año </w:t>
      </w:r>
    </w:p>
    <w:p w14:paraId="65C1D493"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Criterio 12 Tipo de crédito fiscal condonado o cancelado (catálogo): Contribuciones federales/ Cuotas compensatorias/ Actualizaciones y accesorios/ Multas </w:t>
      </w:r>
    </w:p>
    <w:p w14:paraId="504B3CA4"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Criterio 13 Monto cancelado o condonado </w:t>
      </w:r>
    </w:p>
    <w:p w14:paraId="61A03FC3"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Criterio 14 Justificación de la cancelación o condonación </w:t>
      </w:r>
    </w:p>
    <w:p w14:paraId="33832B6E"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b/>
          <w:i/>
          <w:color w:val="000000" w:themeColor="text1"/>
          <w:sz w:val="22"/>
        </w:rPr>
      </w:pPr>
      <w:r w:rsidRPr="005C021D">
        <w:rPr>
          <w:rFonts w:ascii="Palatino Linotype" w:hAnsi="Palatino Linotype"/>
          <w:b/>
          <w:i/>
          <w:color w:val="000000" w:themeColor="text1"/>
          <w:sz w:val="22"/>
        </w:rPr>
        <w:t xml:space="preserve">Criterio 15 Fecha de la cancelación o condonación, con el formato día/mes/año </w:t>
      </w:r>
    </w:p>
    <w:p w14:paraId="29EB93A7"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16</w:t>
      </w:r>
      <w:r w:rsidRPr="005C021D">
        <w:rPr>
          <w:rFonts w:ascii="Palatino Linotype" w:hAnsi="Palatino Linotype"/>
          <w:i/>
          <w:color w:val="000000" w:themeColor="text1"/>
          <w:sz w:val="22"/>
        </w:rPr>
        <w:t xml:space="preserve"> Denominación de la autoridad externa o interna que determinó el crédito </w:t>
      </w:r>
    </w:p>
    <w:p w14:paraId="14AF50CE" w14:textId="77777777"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17</w:t>
      </w:r>
      <w:r w:rsidRPr="005C021D">
        <w:rPr>
          <w:rFonts w:ascii="Palatino Linotype" w:hAnsi="Palatino Linotype"/>
          <w:i/>
          <w:color w:val="000000" w:themeColor="text1"/>
          <w:sz w:val="22"/>
        </w:rPr>
        <w:t xml:space="preserve"> Denominación de la autoridad responsable de la cancelación o condonación </w:t>
      </w:r>
    </w:p>
    <w:p w14:paraId="2C4E508D"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18</w:t>
      </w:r>
      <w:r w:rsidRPr="005C021D">
        <w:rPr>
          <w:rFonts w:ascii="Palatino Linotype" w:hAnsi="Palatino Linotype"/>
          <w:i/>
          <w:color w:val="000000" w:themeColor="text1"/>
          <w:sz w:val="22"/>
        </w:rPr>
        <w:t xml:space="preserve"> Hipervínculo al listado de Créditos fiscales cancelados o condonados publicados por el SAT </w:t>
      </w:r>
    </w:p>
    <w:p w14:paraId="49E8F0FF" w14:textId="77777777" w:rsidR="00102F5D" w:rsidRPr="005C021D" w:rsidRDefault="00102F5D" w:rsidP="004A3BD9">
      <w:pPr>
        <w:pStyle w:val="Prrafodelista"/>
        <w:tabs>
          <w:tab w:val="left" w:pos="426"/>
        </w:tabs>
        <w:spacing w:line="276" w:lineRule="auto"/>
        <w:ind w:left="567" w:right="567"/>
        <w:jc w:val="both"/>
        <w:rPr>
          <w:rFonts w:ascii="Palatino Linotype" w:hAnsi="Palatino Linotype"/>
          <w:i/>
          <w:color w:val="000000" w:themeColor="text1"/>
          <w:sz w:val="22"/>
        </w:rPr>
      </w:pPr>
    </w:p>
    <w:p w14:paraId="087240DB"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i/>
          <w:color w:val="000000" w:themeColor="text1"/>
          <w:sz w:val="22"/>
        </w:rPr>
        <w:t xml:space="preserve">Respecto de las estadísticas sobre exenciones se publicarán los siguientes datos: </w:t>
      </w:r>
    </w:p>
    <w:p w14:paraId="7589501D"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lastRenderedPageBreak/>
        <w:t>Criterio 19</w:t>
      </w:r>
      <w:r w:rsidRPr="005C021D">
        <w:rPr>
          <w:rFonts w:ascii="Palatino Linotype" w:hAnsi="Palatino Linotype"/>
          <w:i/>
          <w:color w:val="000000" w:themeColor="text1"/>
          <w:sz w:val="22"/>
        </w:rPr>
        <w:t xml:space="preserve"> Ejercicio </w:t>
      </w:r>
    </w:p>
    <w:p w14:paraId="5AF03D38"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20</w:t>
      </w:r>
      <w:r w:rsidRPr="005C021D">
        <w:rPr>
          <w:rFonts w:ascii="Palatino Linotype" w:hAnsi="Palatino Linotype"/>
          <w:i/>
          <w:color w:val="000000" w:themeColor="text1"/>
          <w:sz w:val="22"/>
        </w:rPr>
        <w:t xml:space="preserve"> Periodo que se informa (fecha de inicio y fecha de término con el formato día/mes/año)</w:t>
      </w:r>
    </w:p>
    <w:p w14:paraId="0ECFCE3C"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21</w:t>
      </w:r>
      <w:r w:rsidRPr="005C021D">
        <w:rPr>
          <w:rFonts w:ascii="Palatino Linotype" w:hAnsi="Palatino Linotype"/>
          <w:i/>
          <w:color w:val="000000" w:themeColor="text1"/>
          <w:sz w:val="22"/>
        </w:rPr>
        <w:t xml:space="preserve"> Tipo de contribución que se exentó del pago: Contribuciones federales/Cuotas compensatorias/Actualizaciones y accesorios/Multas </w:t>
      </w:r>
    </w:p>
    <w:p w14:paraId="6A9F8187"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22</w:t>
      </w:r>
      <w:r w:rsidRPr="005C021D">
        <w:rPr>
          <w:rFonts w:ascii="Palatino Linotype" w:hAnsi="Palatino Linotype"/>
          <w:i/>
          <w:color w:val="000000" w:themeColor="text1"/>
          <w:sz w:val="22"/>
        </w:rPr>
        <w:t xml:space="preserve"> Número total por tipo de crédito fiscal que se exenta del pago </w:t>
      </w:r>
    </w:p>
    <w:p w14:paraId="1AF7167F"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23</w:t>
      </w:r>
      <w:r w:rsidRPr="005C021D">
        <w:rPr>
          <w:rFonts w:ascii="Palatino Linotype" w:hAnsi="Palatino Linotype"/>
          <w:i/>
          <w:color w:val="000000" w:themeColor="text1"/>
          <w:sz w:val="22"/>
        </w:rPr>
        <w:t xml:space="preserve"> Monto total por tipo de crédito fiscal que se exenta del pago </w:t>
      </w:r>
    </w:p>
    <w:p w14:paraId="2DC54109"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24</w:t>
      </w:r>
      <w:r w:rsidRPr="005C021D">
        <w:rPr>
          <w:rFonts w:ascii="Palatino Linotype" w:hAnsi="Palatino Linotype"/>
          <w:i/>
          <w:color w:val="000000" w:themeColor="text1"/>
          <w:sz w:val="22"/>
        </w:rPr>
        <w:t xml:space="preserve"> Número total (global) de exenciones </w:t>
      </w:r>
    </w:p>
    <w:p w14:paraId="178F378A"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25</w:t>
      </w:r>
      <w:r w:rsidRPr="005C021D">
        <w:rPr>
          <w:rFonts w:ascii="Palatino Linotype" w:hAnsi="Palatino Linotype"/>
          <w:i/>
          <w:color w:val="000000" w:themeColor="text1"/>
          <w:sz w:val="22"/>
        </w:rPr>
        <w:t xml:space="preserve"> Monto total (global) de las exenciones </w:t>
      </w:r>
    </w:p>
    <w:p w14:paraId="3260B42F"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26</w:t>
      </w:r>
      <w:r w:rsidRPr="005C021D">
        <w:rPr>
          <w:rFonts w:ascii="Palatino Linotype" w:hAnsi="Palatino Linotype"/>
          <w:i/>
          <w:color w:val="000000" w:themeColor="text1"/>
          <w:sz w:val="22"/>
        </w:rPr>
        <w:t xml:space="preserve"> Estadística de las causas o motivos de las condonaciones o exenciones </w:t>
      </w:r>
    </w:p>
    <w:p w14:paraId="23E50CC0"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27</w:t>
      </w:r>
      <w:r w:rsidRPr="005C021D">
        <w:rPr>
          <w:rFonts w:ascii="Palatino Linotype" w:hAnsi="Palatino Linotype"/>
          <w:i/>
          <w:color w:val="000000" w:themeColor="text1"/>
          <w:sz w:val="22"/>
        </w:rPr>
        <w:t xml:space="preserve"> Denominación de los documentos técnicos, metodológicos relacionados con las normas científicas sobre las fuentes, métodos, procedimientos de la estadística y el manejo de las bases de datos </w:t>
      </w:r>
    </w:p>
    <w:p w14:paraId="61DF74ED"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28</w:t>
      </w:r>
      <w:r w:rsidRPr="005C021D">
        <w:rPr>
          <w:rFonts w:ascii="Palatino Linotype" w:hAnsi="Palatino Linotype"/>
          <w:i/>
          <w:color w:val="000000" w:themeColor="text1"/>
          <w:sz w:val="22"/>
        </w:rPr>
        <w:t xml:space="preserve"> Hipervínculo a los documentos técnicos, metodológicos relacionados con las normas científicas sobre las fuentes, métodos, procedimientos de la estadística y el manejo de las bases de datos </w:t>
      </w:r>
    </w:p>
    <w:p w14:paraId="6D171753"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29</w:t>
      </w:r>
      <w:r w:rsidRPr="005C021D">
        <w:rPr>
          <w:rFonts w:ascii="Palatino Linotype" w:hAnsi="Palatino Linotype"/>
          <w:i/>
          <w:color w:val="000000" w:themeColor="text1"/>
          <w:sz w:val="22"/>
        </w:rPr>
        <w:t xml:space="preserve"> Tipos de archivo de las bases de datos: HTML, XLS, IQY, CSV, XML, SAV, otro </w:t>
      </w:r>
    </w:p>
    <w:p w14:paraId="4EEC8FD5" w14:textId="29E6C0B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30</w:t>
      </w:r>
      <w:r w:rsidRPr="005C021D">
        <w:rPr>
          <w:rFonts w:ascii="Palatino Linotype" w:hAnsi="Palatino Linotype"/>
          <w:i/>
          <w:color w:val="000000" w:themeColor="text1"/>
          <w:sz w:val="22"/>
        </w:rPr>
        <w:t xml:space="preserve"> Hipervínculo a las bases de datos respectivas. Las bases de datos deberán corresponder directamente con el proyecto que se está informando </w:t>
      </w:r>
    </w:p>
    <w:p w14:paraId="073C1F23" w14:textId="6456B2D2"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31</w:t>
      </w:r>
      <w:r w:rsidRPr="005C021D">
        <w:rPr>
          <w:rFonts w:ascii="Palatino Linotype" w:hAnsi="Palatino Linotype"/>
          <w:i/>
          <w:color w:val="000000" w:themeColor="text1"/>
          <w:sz w:val="22"/>
        </w:rPr>
        <w:t xml:space="preserve"> Hipervínculo a las series o bancos de datos existentes. Las series o banco de datos deberán corresponder directamente con el tema estadístico que se está informando Criterios adjetivos de actualización </w:t>
      </w:r>
    </w:p>
    <w:p w14:paraId="750589B7" w14:textId="77777777" w:rsidR="00102F5D"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32</w:t>
      </w:r>
      <w:r w:rsidRPr="005C021D">
        <w:rPr>
          <w:rFonts w:ascii="Palatino Linotype" w:hAnsi="Palatino Linotype"/>
          <w:i/>
          <w:color w:val="000000" w:themeColor="text1"/>
          <w:sz w:val="22"/>
        </w:rPr>
        <w:t xml:space="preserve"> Periodo de actualización de la información: trimestral </w:t>
      </w:r>
    </w:p>
    <w:p w14:paraId="5F9B65B6" w14:textId="70813979"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33</w:t>
      </w:r>
      <w:r w:rsidRPr="005C021D">
        <w:rPr>
          <w:rFonts w:ascii="Palatino Linotype" w:hAnsi="Palatino Linotype"/>
          <w:i/>
          <w:color w:val="000000" w:themeColor="text1"/>
          <w:sz w:val="22"/>
        </w:rPr>
        <w:t xml:space="preserve"> La información publicada deberá estar actualizada al periodo que corresponde de acuerdo con la Tabla de actualización y conservación de la información</w:t>
      </w:r>
    </w:p>
    <w:p w14:paraId="54C7D3BD" w14:textId="547D3400" w:rsidR="004A3BD9" w:rsidRPr="005C021D" w:rsidRDefault="004A3BD9" w:rsidP="004A3BD9">
      <w:pPr>
        <w:pStyle w:val="Prrafodelista"/>
        <w:tabs>
          <w:tab w:val="left" w:pos="426"/>
        </w:tabs>
        <w:spacing w:line="276" w:lineRule="auto"/>
        <w:ind w:left="567" w:right="567"/>
        <w:jc w:val="both"/>
        <w:rPr>
          <w:rFonts w:ascii="Palatino Linotype" w:hAnsi="Palatino Linotype"/>
          <w:i/>
          <w:color w:val="000000" w:themeColor="text1"/>
          <w:sz w:val="22"/>
        </w:rPr>
      </w:pPr>
      <w:r w:rsidRPr="005C021D">
        <w:rPr>
          <w:rFonts w:ascii="Palatino Linotype" w:hAnsi="Palatino Linotype"/>
          <w:b/>
          <w:i/>
          <w:color w:val="000000" w:themeColor="text1"/>
          <w:sz w:val="22"/>
        </w:rPr>
        <w:t>Criterio 34</w:t>
      </w:r>
      <w:r w:rsidRPr="005C021D">
        <w:rPr>
          <w:rFonts w:ascii="Palatino Linotype" w:hAnsi="Palatino Linotype"/>
          <w:i/>
          <w:color w:val="000000" w:themeColor="text1"/>
          <w:sz w:val="22"/>
        </w:rPr>
        <w:t xml:space="preserve"> Conservar en el sitio de Internet y a través de la Plataforma Nacional la información de acuerdo con la Tabla de actualización y conservación de la información”</w:t>
      </w:r>
    </w:p>
    <w:p w14:paraId="2430234A" w14:textId="1BD07484" w:rsidR="00102F5D" w:rsidRPr="005C021D" w:rsidRDefault="00102F5D" w:rsidP="004A3BD9">
      <w:pPr>
        <w:pStyle w:val="Prrafodelista"/>
        <w:tabs>
          <w:tab w:val="left" w:pos="426"/>
        </w:tabs>
        <w:spacing w:line="276" w:lineRule="auto"/>
        <w:ind w:left="567" w:right="567"/>
        <w:jc w:val="both"/>
        <w:rPr>
          <w:rFonts w:ascii="Palatino Linotype" w:hAnsi="Palatino Linotype"/>
          <w:color w:val="000000" w:themeColor="text1"/>
          <w:sz w:val="22"/>
        </w:rPr>
      </w:pPr>
      <w:r w:rsidRPr="005C021D">
        <w:rPr>
          <w:rFonts w:ascii="Palatino Linotype" w:hAnsi="Palatino Linotype"/>
          <w:color w:val="000000" w:themeColor="text1"/>
          <w:sz w:val="22"/>
        </w:rPr>
        <w:t>(Énfasis añadido)</w:t>
      </w:r>
    </w:p>
    <w:p w14:paraId="43BF7C89"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69F69FE2" w14:textId="40C5341B" w:rsidR="00C0431A" w:rsidRPr="005C021D" w:rsidRDefault="00102F5D" w:rsidP="00C0431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Así las cosas, por cuanto hace al nombre de personas físicas o jurídico-colectivas a quienes se les haya condonado un crédito fiscal, </w:t>
      </w:r>
      <w:r w:rsidRPr="005C021D">
        <w:rPr>
          <w:rFonts w:ascii="Palatino Linotype" w:hAnsi="Palatino Linotype"/>
          <w:b/>
          <w:color w:val="000000" w:themeColor="text1"/>
        </w:rPr>
        <w:t>será considerada de interés público</w:t>
      </w:r>
      <w:r w:rsidRPr="005C021D">
        <w:rPr>
          <w:rFonts w:ascii="Palatino Linotype" w:hAnsi="Palatino Linotype"/>
          <w:color w:val="000000" w:themeColor="text1"/>
        </w:rPr>
        <w:t xml:space="preserve"> bajo la óptica de que, como señalara el </w:t>
      </w:r>
      <w:r w:rsidRPr="005C021D">
        <w:rPr>
          <w:rFonts w:ascii="Palatino Linotype" w:hAnsi="Palatino Linotype"/>
          <w:b/>
          <w:color w:val="000000" w:themeColor="text1"/>
        </w:rPr>
        <w:t>SUJETO OBLIGADO</w:t>
      </w:r>
      <w:r w:rsidRPr="005C021D">
        <w:rPr>
          <w:rFonts w:ascii="Palatino Linotype" w:hAnsi="Palatino Linotype"/>
          <w:color w:val="000000" w:themeColor="text1"/>
        </w:rPr>
        <w:t xml:space="preserve">, el acto de exención o condonación de un impuesto implica que el ayuntamiento deje de </w:t>
      </w:r>
      <w:r w:rsidRPr="005C021D">
        <w:rPr>
          <w:rFonts w:ascii="Palatino Linotype" w:hAnsi="Palatino Linotype"/>
          <w:color w:val="000000" w:themeColor="text1"/>
        </w:rPr>
        <w:lastRenderedPageBreak/>
        <w:t>percibir la tributación por una obligación fiscal, situación que se relaciona con la transparencia y rendición de cuenta pública.</w:t>
      </w:r>
    </w:p>
    <w:p w14:paraId="2419710F"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0435E277" w14:textId="1BD29EFC" w:rsidR="00E50266" w:rsidRPr="005C021D" w:rsidRDefault="00102F5D" w:rsidP="00E5026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Por otro lado, si bien es cierto que el apartado relacionado con la aprobación de los programas sociales requeridos por el particular a través de la solicitud </w:t>
      </w:r>
      <w:r w:rsidRPr="005C021D">
        <w:rPr>
          <w:rFonts w:ascii="Palatino Linotype" w:hAnsi="Palatino Linotype"/>
          <w:b/>
          <w:color w:val="000000" w:themeColor="text1"/>
        </w:rPr>
        <w:t>00121/MELOCAM/IP/2023</w:t>
      </w:r>
      <w:r w:rsidRPr="005C021D">
        <w:rPr>
          <w:rFonts w:ascii="Palatino Linotype" w:hAnsi="Palatino Linotype"/>
          <w:color w:val="000000" w:themeColor="text1"/>
        </w:rPr>
        <w:t xml:space="preserve"> se encuentra visible, también lo es que algunos apartados del documento donde consta la información solicitada fue restringida de manera arbitraria, dejando al particular en estado de </w:t>
      </w:r>
      <w:r w:rsidRPr="005C021D">
        <w:rPr>
          <w:rFonts w:ascii="Palatino Linotype" w:hAnsi="Palatino Linotype"/>
          <w:b/>
          <w:color w:val="000000" w:themeColor="text1"/>
        </w:rPr>
        <w:t>incertidumbre</w:t>
      </w:r>
      <w:r w:rsidRPr="005C021D">
        <w:rPr>
          <w:rFonts w:ascii="Palatino Linotype" w:hAnsi="Palatino Linotype"/>
          <w:color w:val="000000" w:themeColor="text1"/>
        </w:rPr>
        <w:t xml:space="preserve"> al recibir un documento meramente </w:t>
      </w:r>
      <w:r w:rsidRPr="005C021D">
        <w:rPr>
          <w:rFonts w:ascii="Palatino Linotype" w:hAnsi="Palatino Linotype"/>
          <w:b/>
          <w:color w:val="000000" w:themeColor="text1"/>
        </w:rPr>
        <w:t>tachado</w:t>
      </w:r>
      <w:r w:rsidRPr="005C021D">
        <w:rPr>
          <w:rFonts w:ascii="Palatino Linotype" w:hAnsi="Palatino Linotype"/>
          <w:color w:val="000000" w:themeColor="text1"/>
        </w:rPr>
        <w:t xml:space="preserve"> y que, como hemos demostrado a lo largo del presente estudio, infundado en su pretensión de clasificar puntos del Orden del Día relativos a la condonación de créditos fiscales.</w:t>
      </w:r>
    </w:p>
    <w:p w14:paraId="7F130564" w14:textId="77777777" w:rsidR="00C0431A" w:rsidRPr="005C021D" w:rsidRDefault="00C0431A" w:rsidP="00C0431A">
      <w:pPr>
        <w:pStyle w:val="Prrafodelista"/>
        <w:tabs>
          <w:tab w:val="left" w:pos="426"/>
        </w:tabs>
        <w:spacing w:line="360" w:lineRule="auto"/>
        <w:ind w:left="0" w:right="51"/>
        <w:jc w:val="both"/>
        <w:rPr>
          <w:rFonts w:ascii="Palatino Linotype" w:hAnsi="Palatino Linotype"/>
          <w:color w:val="000000" w:themeColor="text1"/>
        </w:rPr>
      </w:pPr>
    </w:p>
    <w:p w14:paraId="565D5A7E" w14:textId="41D9F622" w:rsidR="00102F5D" w:rsidRPr="005C021D" w:rsidRDefault="00102F5D" w:rsidP="00D7659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C021D">
        <w:rPr>
          <w:rFonts w:ascii="Palatino Linotype" w:hAnsi="Palatino Linotype"/>
          <w:color w:val="000000" w:themeColor="text1"/>
        </w:rPr>
        <w:t xml:space="preserve">Razón de lo anterior, este Organismo Garante encuentra conforme a derecho el </w:t>
      </w:r>
      <w:r w:rsidRPr="005C021D">
        <w:rPr>
          <w:rFonts w:ascii="Palatino Linotype" w:hAnsi="Palatino Linotype"/>
          <w:b/>
          <w:color w:val="000000" w:themeColor="text1"/>
        </w:rPr>
        <w:t>modificar</w:t>
      </w:r>
      <w:r w:rsidRPr="005C021D">
        <w:rPr>
          <w:rFonts w:ascii="Palatino Linotype" w:hAnsi="Palatino Linotype"/>
          <w:color w:val="000000" w:themeColor="text1"/>
        </w:rPr>
        <w:t xml:space="preserve"> la respuesta del </w:t>
      </w:r>
      <w:r w:rsidRPr="005C021D">
        <w:rPr>
          <w:rFonts w:ascii="Palatino Linotype" w:hAnsi="Palatino Linotype"/>
          <w:b/>
          <w:color w:val="000000" w:themeColor="text1"/>
        </w:rPr>
        <w:t>SUJETO OBLIGADO</w:t>
      </w:r>
      <w:r w:rsidRPr="005C021D">
        <w:rPr>
          <w:rFonts w:ascii="Palatino Linotype" w:hAnsi="Palatino Linotype"/>
          <w:color w:val="000000" w:themeColor="text1"/>
        </w:rPr>
        <w:t xml:space="preserve">, a fin de entregar al </w:t>
      </w:r>
      <w:r w:rsidRPr="005C021D">
        <w:rPr>
          <w:rFonts w:ascii="Palatino Linotype" w:hAnsi="Palatino Linotype"/>
          <w:b/>
          <w:color w:val="000000" w:themeColor="text1"/>
        </w:rPr>
        <w:t>RECURRENTE</w:t>
      </w:r>
      <w:r w:rsidRPr="005C021D">
        <w:rPr>
          <w:rFonts w:ascii="Palatino Linotype" w:hAnsi="Palatino Linotype"/>
          <w:color w:val="000000" w:themeColor="text1"/>
        </w:rPr>
        <w:t xml:space="preserve"> el </w:t>
      </w:r>
      <w:r w:rsidR="00E50266" w:rsidRPr="005C021D">
        <w:rPr>
          <w:rFonts w:ascii="Palatino Linotype" w:hAnsi="Palatino Linotype"/>
          <w:color w:val="000000" w:themeColor="text1"/>
        </w:rPr>
        <w:t>Acta de la Cuadragésima Quinta Sesión Ordinaria de Cabildo, celebrada el veinticinco (25) de enero de dos mil veintitrés, en una versión íntegra, al no existir información susceptible de ser reservada, ni datos personales que deban clasificarse por confidencialidad.</w:t>
      </w:r>
    </w:p>
    <w:p w14:paraId="61C45AC1" w14:textId="77777777" w:rsidR="00E50266" w:rsidRPr="005C021D" w:rsidRDefault="00E50266" w:rsidP="00E50266">
      <w:pPr>
        <w:pStyle w:val="Prrafodelista"/>
        <w:tabs>
          <w:tab w:val="left" w:pos="426"/>
        </w:tabs>
        <w:spacing w:line="360" w:lineRule="auto"/>
        <w:ind w:left="0" w:right="51"/>
        <w:jc w:val="both"/>
        <w:rPr>
          <w:rFonts w:ascii="Palatino Linotype" w:hAnsi="Palatino Linotype"/>
          <w:color w:val="000000" w:themeColor="text1"/>
        </w:rPr>
      </w:pPr>
    </w:p>
    <w:p w14:paraId="29A91607" w14:textId="4B141CBB" w:rsidR="001F0379" w:rsidRPr="005C021D" w:rsidRDefault="001F0379" w:rsidP="001F0379">
      <w:pPr>
        <w:pStyle w:val="Ttulo2"/>
        <w:rPr>
          <w:rFonts w:ascii="Palatino Linotype" w:hAnsi="Palatino Linotype" w:cs="Tahoma"/>
          <w:b/>
          <w:iCs/>
          <w:color w:val="auto"/>
        </w:rPr>
      </w:pPr>
      <w:r w:rsidRPr="005C021D">
        <w:rPr>
          <w:rFonts w:ascii="Palatino Linotype" w:hAnsi="Palatino Linotype" w:cs="Tahoma"/>
          <w:b/>
          <w:iCs/>
          <w:color w:val="auto"/>
        </w:rPr>
        <w:t xml:space="preserve">QUINTO. </w:t>
      </w:r>
      <w:r w:rsidR="00E50266" w:rsidRPr="005C021D">
        <w:rPr>
          <w:rFonts w:ascii="Palatino Linotype" w:hAnsi="Palatino Linotype" w:cs="Tahoma"/>
          <w:b/>
          <w:iCs/>
          <w:color w:val="auto"/>
        </w:rPr>
        <w:t>Decisión</w:t>
      </w:r>
      <w:r w:rsidRPr="005C021D">
        <w:rPr>
          <w:rFonts w:ascii="Palatino Linotype" w:hAnsi="Palatino Linotype" w:cs="Tahoma"/>
          <w:b/>
          <w:iCs/>
          <w:color w:val="auto"/>
        </w:rPr>
        <w:t>.</w:t>
      </w:r>
    </w:p>
    <w:p w14:paraId="462AEDDB" w14:textId="77777777" w:rsidR="00C65875" w:rsidRPr="005C021D"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525DEFB6" w:rsidR="00C65875" w:rsidRPr="005C021D"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s="Arial"/>
          <w:lang w:eastAsia="es-MX"/>
        </w:rPr>
        <w:t xml:space="preserve">Luego </w:t>
      </w:r>
      <w:r w:rsidRPr="005C021D">
        <w:rPr>
          <w:rFonts w:ascii="Palatino Linotype" w:hAnsi="Palatino Linotype"/>
          <w:color w:val="000000" w:themeColor="text1"/>
        </w:rPr>
        <w:t>de analizar</w:t>
      </w:r>
      <w:r w:rsidR="00343B5C" w:rsidRPr="005C021D">
        <w:rPr>
          <w:rFonts w:ascii="Palatino Linotype" w:hAnsi="Palatino Linotype"/>
          <w:color w:val="000000" w:themeColor="text1"/>
        </w:rPr>
        <w:t xml:space="preserve"> todas las constancias que obran dentro del expediente digital formado en el SAIMEX, se estableció que el </w:t>
      </w:r>
      <w:r w:rsidR="00343B5C" w:rsidRPr="005C021D">
        <w:rPr>
          <w:rFonts w:ascii="Palatino Linotype" w:hAnsi="Palatino Linotype"/>
          <w:b/>
          <w:bCs/>
          <w:color w:val="000000" w:themeColor="text1"/>
        </w:rPr>
        <w:t>SUJETO OBLIGADO</w:t>
      </w:r>
      <w:r w:rsidR="00343B5C" w:rsidRPr="005C021D">
        <w:rPr>
          <w:rFonts w:ascii="Palatino Linotype" w:hAnsi="Palatino Linotype"/>
          <w:color w:val="000000" w:themeColor="text1"/>
        </w:rPr>
        <w:t xml:space="preserve"> </w:t>
      </w:r>
      <w:r w:rsidR="00E50266" w:rsidRPr="005C021D">
        <w:rPr>
          <w:rFonts w:ascii="Palatino Linotype" w:hAnsi="Palatino Linotype"/>
          <w:color w:val="000000" w:themeColor="text1"/>
        </w:rPr>
        <w:t xml:space="preserve">había colmado de forma parcial el derecho de acceso a la información del particular, toda vez que si bien entregó el Acta de Cabildo en el que se aprobaron los programas sociales </w:t>
      </w:r>
      <w:r w:rsidR="00E50266" w:rsidRPr="005C021D">
        <w:rPr>
          <w:rFonts w:ascii="Palatino Linotype" w:hAnsi="Palatino Linotype"/>
          <w:color w:val="000000" w:themeColor="text1"/>
        </w:rPr>
        <w:lastRenderedPageBreak/>
        <w:t>solicitados, el documento en cuestión se entregó en versión pública, y cuya clasificación no estaba debidamente fundada o motivada; razón de lo anterior, se determinó la entrega del documento íntegro.</w:t>
      </w:r>
    </w:p>
    <w:p w14:paraId="53A0C7F3" w14:textId="77777777" w:rsidR="00E62DCB" w:rsidRPr="005C021D"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0B12BA7" w:rsidR="00F01443" w:rsidRPr="005C021D"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eastAsia="MS Mincho" w:hAnsi="Palatino Linotype" w:cstheme="majorBidi"/>
          <w:lang w:val="es-ES"/>
        </w:rPr>
        <w:t>Por lo tanto, e</w:t>
      </w:r>
      <w:r w:rsidR="003E6079" w:rsidRPr="005C021D">
        <w:rPr>
          <w:rFonts w:ascii="Palatino Linotype" w:eastAsia="MS Mincho" w:hAnsi="Palatino Linotype" w:cstheme="majorBidi"/>
          <w:lang w:val="es-ES"/>
        </w:rPr>
        <w:t>n consecuencia y en mérito de lo expuesto en líneas anteriores, resultan</w:t>
      </w:r>
      <w:r w:rsidR="00FB5B03" w:rsidRPr="005C021D">
        <w:rPr>
          <w:rFonts w:ascii="Palatino Linotype" w:eastAsia="MS Mincho" w:hAnsi="Palatino Linotype" w:cstheme="majorBidi"/>
          <w:lang w:val="es-ES"/>
        </w:rPr>
        <w:t xml:space="preserve"> </w:t>
      </w:r>
      <w:r w:rsidR="003E6079" w:rsidRPr="005C021D">
        <w:rPr>
          <w:rFonts w:ascii="Palatino Linotype" w:eastAsia="MS Mincho" w:hAnsi="Palatino Linotype" w:cstheme="majorBidi"/>
          <w:lang w:val="es-ES"/>
        </w:rPr>
        <w:t xml:space="preserve">fundadas las razones o motivos de inconformidad hechos valer por el </w:t>
      </w:r>
      <w:r w:rsidR="003E6079" w:rsidRPr="005C021D">
        <w:rPr>
          <w:rFonts w:ascii="Palatino Linotype" w:eastAsia="MS Mincho" w:hAnsi="Palatino Linotype" w:cstheme="majorBidi"/>
          <w:b/>
          <w:lang w:val="es-ES"/>
        </w:rPr>
        <w:t>RECURRENTE</w:t>
      </w:r>
      <w:r w:rsidR="003E6079" w:rsidRPr="005C021D">
        <w:rPr>
          <w:rFonts w:ascii="Palatino Linotype" w:eastAsia="MS Mincho" w:hAnsi="Palatino Linotype" w:cstheme="majorBidi"/>
          <w:lang w:val="es-ES"/>
        </w:rPr>
        <w:t xml:space="preserve"> dentro del recurso de revisión </w:t>
      </w:r>
      <w:r w:rsidR="007B229B" w:rsidRPr="005C021D">
        <w:rPr>
          <w:rFonts w:ascii="Palatino Linotype" w:eastAsia="MS Mincho" w:hAnsi="Palatino Linotype" w:cstheme="majorBidi"/>
          <w:b/>
          <w:bCs/>
          <w:lang w:val="es-ES"/>
        </w:rPr>
        <w:t>03103/INFOEM/IP/RR/2023</w:t>
      </w:r>
      <w:r w:rsidR="003E6079" w:rsidRPr="005C021D">
        <w:rPr>
          <w:rFonts w:ascii="Palatino Linotype" w:eastAsia="MS Mincho" w:hAnsi="Palatino Linotype" w:cstheme="majorBidi"/>
          <w:lang w:val="es-ES"/>
        </w:rPr>
        <w:t xml:space="preserve">; por ello, y con fundamento en la fracción </w:t>
      </w:r>
      <w:r w:rsidR="00743CAC" w:rsidRPr="005C021D">
        <w:rPr>
          <w:rFonts w:ascii="Palatino Linotype" w:eastAsia="MS Mincho" w:hAnsi="Palatino Linotype" w:cstheme="majorBidi"/>
          <w:lang w:val="es-ES"/>
        </w:rPr>
        <w:t>I</w:t>
      </w:r>
      <w:r w:rsidR="003E6079" w:rsidRPr="005C021D">
        <w:rPr>
          <w:rFonts w:ascii="Palatino Linotype" w:eastAsia="MS Mincho" w:hAnsi="Palatino Linotype" w:cstheme="majorBidi"/>
          <w:lang w:val="es-ES"/>
        </w:rPr>
        <w:t xml:space="preserve">II del numeral 186 de la Ley de Transparencia y Acceso a la Información Pública del Estado de México y Municipios, se </w:t>
      </w:r>
      <w:r w:rsidR="00E50266" w:rsidRPr="005C021D">
        <w:rPr>
          <w:rFonts w:ascii="Palatino Linotype" w:eastAsia="MS Mincho" w:hAnsi="Palatino Linotype" w:cstheme="majorBidi"/>
          <w:b/>
          <w:lang w:val="es-ES"/>
        </w:rPr>
        <w:t>MODIFICA</w:t>
      </w:r>
      <w:r w:rsidR="003E6079" w:rsidRPr="005C021D">
        <w:rPr>
          <w:rFonts w:ascii="Palatino Linotype" w:eastAsia="MS Mincho" w:hAnsi="Palatino Linotype" w:cstheme="majorBidi"/>
          <w:lang w:val="es-ES"/>
        </w:rPr>
        <w:t xml:space="preserve"> la respuesta a l</w:t>
      </w:r>
      <w:r w:rsidRPr="005C021D">
        <w:rPr>
          <w:rFonts w:ascii="Palatino Linotype" w:eastAsia="MS Mincho" w:hAnsi="Palatino Linotype" w:cstheme="majorBidi"/>
          <w:lang w:val="es-ES"/>
        </w:rPr>
        <w:t>a</w:t>
      </w:r>
      <w:r w:rsidR="003E6079" w:rsidRPr="005C021D">
        <w:rPr>
          <w:rFonts w:ascii="Palatino Linotype" w:eastAsia="MS Mincho" w:hAnsi="Palatino Linotype" w:cstheme="majorBidi"/>
          <w:lang w:val="es-ES"/>
        </w:rPr>
        <w:t xml:space="preserve"> solicitud de información número </w:t>
      </w:r>
      <w:r w:rsidR="007B229B" w:rsidRPr="005C021D">
        <w:rPr>
          <w:rFonts w:ascii="Palatino Linotype" w:eastAsia="MS Mincho" w:hAnsi="Palatino Linotype" w:cstheme="majorBidi"/>
          <w:b/>
          <w:lang w:val="es-ES"/>
        </w:rPr>
        <w:t>00121/MELOCAM/IP/2023</w:t>
      </w:r>
      <w:r w:rsidR="003E6079" w:rsidRPr="005C021D">
        <w:rPr>
          <w:rFonts w:ascii="Palatino Linotype" w:eastAsia="MS Mincho" w:hAnsi="Palatino Linotype" w:cstheme="majorBidi"/>
          <w:lang w:val="es-ES"/>
        </w:rPr>
        <w:t>.</w:t>
      </w:r>
    </w:p>
    <w:p w14:paraId="370E910A" w14:textId="77777777" w:rsidR="00F01443" w:rsidRPr="005C021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5C021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C021D">
        <w:rPr>
          <w:rFonts w:ascii="Palatino Linotype" w:hAnsi="Palatino Linotype"/>
          <w:color w:val="000000" w:themeColor="text1"/>
          <w:lang w:val="es-ES"/>
        </w:rPr>
        <w:t xml:space="preserve">Por </w:t>
      </w:r>
      <w:r w:rsidR="00B41516" w:rsidRPr="005C021D">
        <w:rPr>
          <w:rFonts w:ascii="Palatino Linotype" w:hAnsi="Palatino Linotype"/>
          <w:color w:val="000000" w:themeColor="text1"/>
        </w:rPr>
        <w:t xml:space="preserve">lo anteriormente expuesto y fundado, </w:t>
      </w:r>
      <w:r w:rsidR="003E6079" w:rsidRPr="005C021D">
        <w:rPr>
          <w:rFonts w:ascii="Palatino Linotype" w:hAnsi="Palatino Linotype"/>
          <w:color w:val="000000" w:themeColor="text1"/>
        </w:rPr>
        <w:t>e</w:t>
      </w:r>
      <w:r w:rsidR="00B41516" w:rsidRPr="005C021D">
        <w:rPr>
          <w:rFonts w:ascii="Palatino Linotype" w:hAnsi="Palatino Linotype"/>
          <w:color w:val="000000" w:themeColor="text1"/>
        </w:rPr>
        <w:t xml:space="preserve">ste </w:t>
      </w:r>
      <w:r w:rsidR="00B41516" w:rsidRPr="005C021D">
        <w:rPr>
          <w:rFonts w:ascii="Palatino Linotype" w:hAnsi="Palatino Linotype"/>
          <w:b/>
          <w:color w:val="000000" w:themeColor="text1"/>
        </w:rPr>
        <w:t>ÓRGANO GARANTE</w:t>
      </w:r>
      <w:r w:rsidR="00B41516" w:rsidRPr="005C021D">
        <w:rPr>
          <w:rFonts w:ascii="Palatino Linotype" w:hAnsi="Palatino Linotype"/>
          <w:color w:val="000000" w:themeColor="text1"/>
        </w:rPr>
        <w:t xml:space="preserve"> emite los siguientes:</w:t>
      </w:r>
      <w:r w:rsidR="003E6079" w:rsidRPr="005C021D">
        <w:rPr>
          <w:rFonts w:ascii="Palatino Linotype" w:hAnsi="Palatino Linotype"/>
          <w:color w:val="000000" w:themeColor="text1"/>
        </w:rPr>
        <w:t xml:space="preserve"> </w:t>
      </w:r>
      <w:r w:rsidR="00D71057" w:rsidRPr="005C021D">
        <w:rPr>
          <w:rFonts w:ascii="Palatino Linotype" w:hAnsi="Palatino Linotype"/>
          <w:color w:val="000000" w:themeColor="text1"/>
        </w:rPr>
        <w:t>--------------------------------------------------------------------------</w:t>
      </w:r>
      <w:r w:rsidR="00E10AC3" w:rsidRPr="005C021D">
        <w:rPr>
          <w:rFonts w:ascii="Palatino Linotype" w:hAnsi="Palatino Linotype"/>
          <w:color w:val="000000" w:themeColor="text1"/>
        </w:rPr>
        <w:t>-----------------</w:t>
      </w:r>
      <w:r w:rsidR="00895335" w:rsidRPr="005C021D">
        <w:rPr>
          <w:rFonts w:ascii="Palatino Linotype" w:hAnsi="Palatino Linotype"/>
          <w:color w:val="000000" w:themeColor="text1"/>
        </w:rPr>
        <w:t>--</w:t>
      </w:r>
      <w:r w:rsidR="003E6079" w:rsidRPr="005C021D">
        <w:rPr>
          <w:rFonts w:ascii="Palatino Linotype" w:hAnsi="Palatino Linotype"/>
          <w:color w:val="000000" w:themeColor="text1"/>
        </w:rPr>
        <w:t>--</w:t>
      </w:r>
      <w:r w:rsidR="00FC6C3D" w:rsidRPr="005C021D">
        <w:rPr>
          <w:rFonts w:ascii="Palatino Linotype" w:hAnsi="Palatino Linotype"/>
          <w:color w:val="000000" w:themeColor="text1"/>
        </w:rPr>
        <w:t>----------------------------------------</w:t>
      </w:r>
      <w:r w:rsidR="00472A17" w:rsidRPr="005C021D">
        <w:rPr>
          <w:rFonts w:ascii="Palatino Linotype" w:hAnsi="Palatino Linotype"/>
          <w:color w:val="000000" w:themeColor="text1"/>
        </w:rPr>
        <w:t>------------------------------------------------------------------------------------------------------------------------------------------------------------------------</w:t>
      </w:r>
      <w:r w:rsidR="00FC6C3D" w:rsidRPr="005C021D">
        <w:rPr>
          <w:rFonts w:ascii="Palatino Linotype" w:hAnsi="Palatino Linotype"/>
          <w:color w:val="000000" w:themeColor="text1"/>
        </w:rPr>
        <w:t>----------</w:t>
      </w:r>
    </w:p>
    <w:p w14:paraId="64A61CAA" w14:textId="50904DF4" w:rsidR="00BD540C" w:rsidRPr="005C021D" w:rsidRDefault="00BD540C">
      <w:pPr>
        <w:rPr>
          <w:rFonts w:ascii="Palatino Linotype" w:hAnsi="Palatino Linotype"/>
          <w:color w:val="000000" w:themeColor="text1"/>
        </w:rPr>
      </w:pPr>
    </w:p>
    <w:p w14:paraId="47BAD0C3" w14:textId="77777777" w:rsidR="00881D31" w:rsidRPr="005C021D" w:rsidRDefault="00881D31">
      <w:pPr>
        <w:rPr>
          <w:rFonts w:ascii="Palatino Linotype" w:hAnsi="Palatino Linotype"/>
          <w:color w:val="000000" w:themeColor="text1"/>
        </w:rPr>
      </w:pPr>
    </w:p>
    <w:p w14:paraId="18C7D92B" w14:textId="2E6B88EF" w:rsidR="009959DB" w:rsidRPr="005C021D"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5C021D">
        <w:rPr>
          <w:b/>
          <w:color w:val="000000" w:themeColor="text1"/>
          <w:sz w:val="28"/>
          <w:szCs w:val="24"/>
        </w:rPr>
        <w:t>R E S O L U T I V O S</w:t>
      </w:r>
      <w:bookmarkEnd w:id="21"/>
      <w:bookmarkEnd w:id="22"/>
      <w:bookmarkEnd w:id="24"/>
      <w:bookmarkEnd w:id="25"/>
      <w:bookmarkEnd w:id="26"/>
    </w:p>
    <w:p w14:paraId="2EF2AC2D" w14:textId="77777777" w:rsidR="00A73C04" w:rsidRPr="005C021D" w:rsidRDefault="00A73C04" w:rsidP="002578EE">
      <w:pPr>
        <w:spacing w:line="360" w:lineRule="auto"/>
        <w:jc w:val="both"/>
        <w:rPr>
          <w:rFonts w:ascii="Palatino Linotype" w:eastAsia="Times New Roman" w:hAnsi="Palatino Linotype" w:cs="Arial"/>
          <w:b/>
          <w:sz w:val="28"/>
          <w:szCs w:val="28"/>
        </w:rPr>
      </w:pPr>
    </w:p>
    <w:p w14:paraId="0C435278" w14:textId="5297C7D1" w:rsidR="00A73C04" w:rsidRPr="005C021D" w:rsidRDefault="00A73C04" w:rsidP="00A73C04">
      <w:pPr>
        <w:spacing w:line="360" w:lineRule="auto"/>
        <w:jc w:val="both"/>
        <w:rPr>
          <w:rFonts w:ascii="Palatino Linotype" w:eastAsia="Times New Roman" w:hAnsi="Palatino Linotype" w:cs="Times New Roman"/>
        </w:rPr>
      </w:pPr>
      <w:r w:rsidRPr="005C021D">
        <w:rPr>
          <w:rFonts w:ascii="Palatino Linotype" w:eastAsia="Times New Roman" w:hAnsi="Palatino Linotype" w:cs="Arial"/>
          <w:b/>
          <w:sz w:val="28"/>
          <w:szCs w:val="28"/>
        </w:rPr>
        <w:t>PRIMERO</w:t>
      </w:r>
      <w:r w:rsidRPr="005C021D">
        <w:rPr>
          <w:rFonts w:ascii="Palatino Linotype" w:eastAsia="Times New Roman" w:hAnsi="Palatino Linotype" w:cs="Arial"/>
          <w:b/>
        </w:rPr>
        <w:t xml:space="preserve">. </w:t>
      </w:r>
      <w:r w:rsidR="00743CAC" w:rsidRPr="005C021D">
        <w:rPr>
          <w:rFonts w:ascii="Palatino Linotype" w:eastAsia="Times New Roman" w:hAnsi="Palatino Linotype" w:cs="Arial"/>
        </w:rPr>
        <w:t xml:space="preserve">Resultan </w:t>
      </w:r>
      <w:r w:rsidRPr="005C021D">
        <w:rPr>
          <w:rFonts w:ascii="Palatino Linotype" w:eastAsia="Times New Roman" w:hAnsi="Palatino Linotype" w:cs="Arial"/>
        </w:rPr>
        <w:t>fundadas las</w:t>
      </w:r>
      <w:r w:rsidRPr="005C021D">
        <w:rPr>
          <w:rFonts w:ascii="Palatino Linotype" w:eastAsia="Times New Roman" w:hAnsi="Palatino Linotype" w:cs="Arial"/>
          <w:b/>
        </w:rPr>
        <w:t xml:space="preserve"> </w:t>
      </w:r>
      <w:r w:rsidRPr="005C021D">
        <w:rPr>
          <w:rFonts w:ascii="Palatino Linotype" w:eastAsia="Times New Roman" w:hAnsi="Palatino Linotype" w:cs="Arial"/>
          <w:lang w:val="es-ES"/>
        </w:rPr>
        <w:t xml:space="preserve">razones o motivos de inconformidad hechos valer </w:t>
      </w:r>
      <w:r w:rsidRPr="005C021D">
        <w:rPr>
          <w:rFonts w:ascii="Palatino Linotype" w:eastAsia="Calibri" w:hAnsi="Palatino Linotype" w:cs="Arial"/>
          <w:lang w:val="es-ES"/>
        </w:rPr>
        <w:t xml:space="preserve">en </w:t>
      </w:r>
      <w:r w:rsidR="00291D91" w:rsidRPr="005C021D">
        <w:rPr>
          <w:rFonts w:ascii="Palatino Linotype" w:eastAsia="Calibri" w:hAnsi="Palatino Linotype" w:cs="Arial"/>
          <w:lang w:val="es-ES"/>
        </w:rPr>
        <w:t>el</w:t>
      </w:r>
      <w:r w:rsidRPr="005C021D">
        <w:rPr>
          <w:rFonts w:ascii="Palatino Linotype" w:eastAsia="Calibri" w:hAnsi="Palatino Linotype" w:cs="Arial"/>
          <w:lang w:val="es-ES"/>
        </w:rPr>
        <w:t xml:space="preserve"> recurso de revisión </w:t>
      </w:r>
      <w:r w:rsidR="007B229B" w:rsidRPr="005C021D">
        <w:rPr>
          <w:rFonts w:ascii="Palatino Linotype" w:eastAsia="Times New Roman" w:hAnsi="Palatino Linotype" w:cs="Times New Roman"/>
          <w:b/>
        </w:rPr>
        <w:t>03103/INFOEM/IP/RR/2023</w:t>
      </w:r>
      <w:r w:rsidR="00357E36" w:rsidRPr="005C021D">
        <w:rPr>
          <w:rFonts w:ascii="Palatino Linotype" w:eastAsia="Times New Roman" w:hAnsi="Palatino Linotype" w:cs="Times New Roman"/>
          <w:b/>
        </w:rPr>
        <w:t>,</w:t>
      </w:r>
      <w:r w:rsidRPr="005C021D">
        <w:rPr>
          <w:rFonts w:ascii="Palatino Linotype" w:eastAsia="Times New Roman" w:hAnsi="Palatino Linotype" w:cs="Times New Roman"/>
          <w:b/>
        </w:rPr>
        <w:t xml:space="preserve"> </w:t>
      </w:r>
      <w:r w:rsidRPr="005C021D">
        <w:rPr>
          <w:rFonts w:ascii="Palatino Linotype" w:eastAsia="Times New Roman" w:hAnsi="Palatino Linotype" w:cs="Times New Roman"/>
        </w:rPr>
        <w:t>en términos de</w:t>
      </w:r>
      <w:r w:rsidR="00743CAC" w:rsidRPr="005C021D">
        <w:rPr>
          <w:rFonts w:ascii="Palatino Linotype" w:eastAsia="Times New Roman" w:hAnsi="Palatino Linotype" w:cs="Times New Roman"/>
        </w:rPr>
        <w:t xml:space="preserve"> </w:t>
      </w:r>
      <w:r w:rsidRPr="005C021D">
        <w:rPr>
          <w:rFonts w:ascii="Palatino Linotype" w:eastAsia="Times New Roman" w:hAnsi="Palatino Linotype" w:cs="Times New Roman"/>
        </w:rPr>
        <w:t>l</w:t>
      </w:r>
      <w:r w:rsidR="00743CAC" w:rsidRPr="005C021D">
        <w:rPr>
          <w:rFonts w:ascii="Palatino Linotype" w:eastAsia="Times New Roman" w:hAnsi="Palatino Linotype" w:cs="Times New Roman"/>
        </w:rPr>
        <w:t>os</w:t>
      </w:r>
      <w:r w:rsidR="00357E36" w:rsidRPr="005C021D">
        <w:rPr>
          <w:rFonts w:ascii="Palatino Linotype" w:eastAsia="Times New Roman" w:hAnsi="Palatino Linotype" w:cs="Times New Roman"/>
          <w:b/>
          <w:bCs/>
        </w:rPr>
        <w:t xml:space="preserve"> c</w:t>
      </w:r>
      <w:r w:rsidRPr="005C021D">
        <w:rPr>
          <w:rFonts w:ascii="Palatino Linotype" w:eastAsia="Times New Roman" w:hAnsi="Palatino Linotype" w:cs="Times New Roman"/>
          <w:b/>
          <w:bCs/>
        </w:rPr>
        <w:t>onsiderando</w:t>
      </w:r>
      <w:r w:rsidR="00743CAC" w:rsidRPr="005C021D">
        <w:rPr>
          <w:rFonts w:ascii="Palatino Linotype" w:eastAsia="Times New Roman" w:hAnsi="Palatino Linotype" w:cs="Times New Roman"/>
          <w:b/>
          <w:bCs/>
        </w:rPr>
        <w:t>s</w:t>
      </w:r>
      <w:r w:rsidRPr="005C021D">
        <w:rPr>
          <w:rFonts w:ascii="Palatino Linotype" w:eastAsia="Times New Roman" w:hAnsi="Palatino Linotype" w:cs="Times New Roman"/>
        </w:rPr>
        <w:t xml:space="preserve"> </w:t>
      </w:r>
      <w:r w:rsidRPr="005C021D">
        <w:rPr>
          <w:rFonts w:ascii="Palatino Linotype" w:eastAsia="Times New Roman" w:hAnsi="Palatino Linotype" w:cs="Times New Roman"/>
          <w:b/>
        </w:rPr>
        <w:t>CUARTO</w:t>
      </w:r>
      <w:r w:rsidRPr="005C021D">
        <w:rPr>
          <w:rFonts w:ascii="Palatino Linotype" w:eastAsia="Times New Roman" w:hAnsi="Palatino Linotype" w:cs="Times New Roman"/>
        </w:rPr>
        <w:t xml:space="preserve"> </w:t>
      </w:r>
      <w:r w:rsidR="00743CAC" w:rsidRPr="005C021D">
        <w:rPr>
          <w:rFonts w:ascii="Palatino Linotype" w:eastAsia="Times New Roman" w:hAnsi="Palatino Linotype" w:cs="Times New Roman"/>
        </w:rPr>
        <w:t xml:space="preserve">y </w:t>
      </w:r>
      <w:r w:rsidR="00743CAC" w:rsidRPr="005C021D">
        <w:rPr>
          <w:rFonts w:ascii="Palatino Linotype" w:eastAsia="Times New Roman" w:hAnsi="Palatino Linotype" w:cs="Times New Roman"/>
          <w:b/>
        </w:rPr>
        <w:t>QUINTO</w:t>
      </w:r>
      <w:r w:rsidR="00743CAC" w:rsidRPr="005C021D">
        <w:rPr>
          <w:rFonts w:ascii="Palatino Linotype" w:eastAsia="Times New Roman" w:hAnsi="Palatino Linotype" w:cs="Times New Roman"/>
        </w:rPr>
        <w:t xml:space="preserve"> </w:t>
      </w:r>
      <w:r w:rsidRPr="005C021D">
        <w:rPr>
          <w:rFonts w:ascii="Palatino Linotype" w:eastAsia="Times New Roman" w:hAnsi="Palatino Linotype" w:cs="Times New Roman"/>
        </w:rPr>
        <w:t>de la presente resolución.</w:t>
      </w:r>
    </w:p>
    <w:p w14:paraId="0DBF8BF4" w14:textId="77777777" w:rsidR="00A73C04" w:rsidRPr="005C021D" w:rsidRDefault="00A73C04" w:rsidP="00A73C04">
      <w:pPr>
        <w:spacing w:line="360" w:lineRule="auto"/>
        <w:contextualSpacing/>
        <w:jc w:val="both"/>
        <w:rPr>
          <w:rFonts w:ascii="Palatino Linotype" w:eastAsia="Calibri" w:hAnsi="Palatino Linotype" w:cs="Arial"/>
          <w:b/>
          <w:bCs/>
          <w:lang w:val="es-ES"/>
        </w:rPr>
      </w:pPr>
    </w:p>
    <w:p w14:paraId="2A288E5F" w14:textId="66FEE246" w:rsidR="00743CAC" w:rsidRPr="005C021D" w:rsidRDefault="00743CAC" w:rsidP="00743CAC">
      <w:pPr>
        <w:spacing w:line="360" w:lineRule="auto"/>
        <w:contextualSpacing/>
        <w:jc w:val="both"/>
        <w:rPr>
          <w:rFonts w:ascii="Palatino Linotype" w:eastAsia="Times New Roman" w:hAnsi="Palatino Linotype" w:cs="Arial"/>
          <w:color w:val="000000"/>
        </w:rPr>
      </w:pPr>
      <w:r w:rsidRPr="005C021D">
        <w:rPr>
          <w:rFonts w:ascii="Palatino Linotype" w:eastAsia="Calibri" w:hAnsi="Palatino Linotype" w:cs="Arial"/>
          <w:b/>
          <w:bCs/>
          <w:sz w:val="28"/>
          <w:szCs w:val="28"/>
          <w:lang w:val="es-ES"/>
        </w:rPr>
        <w:lastRenderedPageBreak/>
        <w:t>SEGUNDO</w:t>
      </w:r>
      <w:r w:rsidRPr="005C021D">
        <w:rPr>
          <w:rFonts w:ascii="Palatino Linotype" w:eastAsia="Calibri" w:hAnsi="Palatino Linotype" w:cs="Arial"/>
          <w:b/>
          <w:bCs/>
          <w:lang w:val="es-ES"/>
        </w:rPr>
        <w:t xml:space="preserve">. </w:t>
      </w:r>
      <w:r w:rsidRPr="005C021D">
        <w:rPr>
          <w:rFonts w:ascii="Palatino Linotype" w:eastAsia="Calibri" w:hAnsi="Palatino Linotype" w:cs="Arial"/>
          <w:lang w:val="es-ES"/>
        </w:rPr>
        <w:t xml:space="preserve">Se </w:t>
      </w:r>
      <w:r w:rsidR="00E50266" w:rsidRPr="005C021D">
        <w:rPr>
          <w:rFonts w:ascii="Palatino Linotype" w:eastAsia="Calibri" w:hAnsi="Palatino Linotype" w:cs="Arial"/>
          <w:b/>
          <w:lang w:val="es-ES"/>
        </w:rPr>
        <w:t>MODIFICA</w:t>
      </w:r>
      <w:r w:rsidRPr="005C021D">
        <w:rPr>
          <w:rFonts w:ascii="Palatino Linotype" w:eastAsia="Calibri" w:hAnsi="Palatino Linotype" w:cs="Arial"/>
          <w:lang w:val="es-ES"/>
        </w:rPr>
        <w:t xml:space="preserve"> la respuesta emitida por el </w:t>
      </w:r>
      <w:r w:rsidR="007B229B" w:rsidRPr="005C021D">
        <w:rPr>
          <w:rFonts w:ascii="Palatino Linotype" w:eastAsia="Calibri" w:hAnsi="Palatino Linotype" w:cs="Arial"/>
          <w:b/>
        </w:rPr>
        <w:t>Ayuntamiento de Melchor Ocampo</w:t>
      </w:r>
      <w:r w:rsidR="00357E36" w:rsidRPr="005C021D">
        <w:rPr>
          <w:rFonts w:ascii="Palatino Linotype" w:eastAsia="Calibri" w:hAnsi="Palatino Linotype" w:cs="Arial"/>
          <w:b/>
        </w:rPr>
        <w:t>,</w:t>
      </w:r>
      <w:r w:rsidRPr="005C021D">
        <w:rPr>
          <w:rFonts w:ascii="Palatino Linotype" w:eastAsia="Calibri" w:hAnsi="Palatino Linotype" w:cs="Arial"/>
          <w:bCs/>
        </w:rPr>
        <w:t xml:space="preserve"> a la solicitud </w:t>
      </w:r>
      <w:r w:rsidR="007B229B" w:rsidRPr="005C021D">
        <w:rPr>
          <w:rFonts w:ascii="Palatino Linotype" w:eastAsia="MS Mincho" w:hAnsi="Palatino Linotype" w:cstheme="majorBidi"/>
          <w:b/>
          <w:lang w:val="es-ES"/>
        </w:rPr>
        <w:t>00121/MELOCAM/IP/2023</w:t>
      </w:r>
      <w:r w:rsidRPr="005C021D">
        <w:rPr>
          <w:rFonts w:ascii="Palatino Linotype" w:eastAsia="MS Mincho" w:hAnsi="Palatino Linotype" w:cstheme="majorBidi"/>
          <w:b/>
          <w:lang w:val="es-ES"/>
        </w:rPr>
        <w:t xml:space="preserve"> </w:t>
      </w:r>
      <w:r w:rsidRPr="005C021D">
        <w:rPr>
          <w:rFonts w:ascii="Palatino Linotype" w:eastAsia="Calibri" w:hAnsi="Palatino Linotype" w:cs="Arial"/>
        </w:rPr>
        <w:t xml:space="preserve">y se </w:t>
      </w:r>
      <w:r w:rsidRPr="005C021D">
        <w:rPr>
          <w:rFonts w:ascii="Palatino Linotype" w:eastAsia="Calibri" w:hAnsi="Palatino Linotype" w:cs="Arial"/>
          <w:b/>
        </w:rPr>
        <w:t>ORDENA</w:t>
      </w:r>
      <w:r w:rsidRPr="005C021D">
        <w:rPr>
          <w:rFonts w:ascii="Palatino Linotype" w:eastAsia="Calibri" w:hAnsi="Palatino Linotype" w:cs="Arial"/>
          <w:b/>
          <w:lang w:val="es-ES"/>
        </w:rPr>
        <w:t xml:space="preserve"> </w:t>
      </w:r>
      <w:r w:rsidRPr="005C021D">
        <w:rPr>
          <w:rFonts w:ascii="Palatino Linotype" w:eastAsia="Calibri" w:hAnsi="Palatino Linotype" w:cs="Arial"/>
          <w:lang w:val="es-ES"/>
        </w:rPr>
        <w:t xml:space="preserve">entregar </w:t>
      </w:r>
      <w:bookmarkStart w:id="27" w:name="_Toc460947013"/>
      <w:r w:rsidRPr="005C021D">
        <w:rPr>
          <w:rFonts w:ascii="Palatino Linotype" w:eastAsia="Calibri" w:hAnsi="Palatino Linotype" w:cs="Arial"/>
          <w:lang w:val="es-ES"/>
        </w:rPr>
        <w:t>vía Sistema de Acceso a la Información Pública Mexiquense (SAIMEX)</w:t>
      </w:r>
      <w:r w:rsidRPr="005C021D">
        <w:rPr>
          <w:rFonts w:ascii="Palatino Linotype" w:eastAsia="Times New Roman" w:hAnsi="Palatino Linotype" w:cs="Arial"/>
          <w:color w:val="000000"/>
        </w:rPr>
        <w:t xml:space="preserve">, </w:t>
      </w:r>
      <w:r w:rsidR="00E50266" w:rsidRPr="005C021D">
        <w:rPr>
          <w:rFonts w:ascii="Palatino Linotype" w:eastAsia="Times New Roman" w:hAnsi="Palatino Linotype" w:cs="Arial"/>
          <w:color w:val="000000"/>
        </w:rPr>
        <w:t xml:space="preserve">en su versión íntegra, </w:t>
      </w:r>
      <w:r w:rsidR="00A84187" w:rsidRPr="005C021D">
        <w:rPr>
          <w:rFonts w:ascii="Palatino Linotype" w:eastAsia="Times New Roman" w:hAnsi="Palatino Linotype" w:cs="Arial"/>
          <w:color w:val="000000"/>
        </w:rPr>
        <w:t>la siguiente información</w:t>
      </w:r>
      <w:r w:rsidRPr="005C021D">
        <w:rPr>
          <w:rFonts w:ascii="Palatino Linotype" w:eastAsia="Times New Roman" w:hAnsi="Palatino Linotype" w:cs="Arial"/>
          <w:color w:val="000000"/>
        </w:rPr>
        <w:t xml:space="preserve">: </w:t>
      </w:r>
    </w:p>
    <w:p w14:paraId="6E6AD4FF" w14:textId="77777777" w:rsidR="00596238" w:rsidRPr="005C021D" w:rsidRDefault="00596238" w:rsidP="00743CAC">
      <w:pPr>
        <w:spacing w:line="360" w:lineRule="auto"/>
        <w:contextualSpacing/>
        <w:jc w:val="both"/>
        <w:rPr>
          <w:rFonts w:ascii="Palatino Linotype" w:eastAsia="Times New Roman" w:hAnsi="Palatino Linotype" w:cs="Arial"/>
          <w:color w:val="000000"/>
        </w:rPr>
      </w:pPr>
    </w:p>
    <w:p w14:paraId="326766E2" w14:textId="1CE5C347" w:rsidR="004D54E4" w:rsidRPr="005C021D" w:rsidRDefault="00E50266"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5C021D">
        <w:rPr>
          <w:rFonts w:ascii="Palatino Linotype" w:hAnsi="Palatino Linotype"/>
          <w:b/>
          <w:bCs/>
          <w:color w:val="000000"/>
        </w:rPr>
        <w:t>Acta de la Cuadragésima Quinta Sesión Ordinaria de Cabildo, celebrada el veinticinco (25) de enero de dos mil veintitrés.</w:t>
      </w:r>
    </w:p>
    <w:p w14:paraId="2C495AAB" w14:textId="77777777" w:rsidR="008A6ED2" w:rsidRPr="005C021D" w:rsidRDefault="008A6ED2" w:rsidP="000D7CBE">
      <w:pPr>
        <w:tabs>
          <w:tab w:val="left" w:pos="993"/>
        </w:tabs>
        <w:spacing w:line="360" w:lineRule="auto"/>
        <w:jc w:val="both"/>
        <w:rPr>
          <w:rFonts w:ascii="Palatino Linotype" w:eastAsia="Calibri" w:hAnsi="Palatino Linotype" w:cs="Arial"/>
        </w:rPr>
      </w:pPr>
    </w:p>
    <w:p w14:paraId="22EACC04" w14:textId="37F2BD93" w:rsidR="00743CAC" w:rsidRPr="005C021D" w:rsidRDefault="00743CAC" w:rsidP="00743CAC">
      <w:pPr>
        <w:spacing w:line="360" w:lineRule="auto"/>
        <w:jc w:val="both"/>
        <w:rPr>
          <w:rFonts w:ascii="Palatino Linotype" w:eastAsia="MS Mincho" w:hAnsi="Palatino Linotype" w:cs="Times New Roman"/>
          <w:color w:val="000000"/>
        </w:rPr>
      </w:pPr>
      <w:r w:rsidRPr="005C021D">
        <w:rPr>
          <w:rFonts w:ascii="Palatino Linotype" w:eastAsia="MS Mincho" w:hAnsi="Palatino Linotype" w:cs="Times New Roman"/>
          <w:b/>
          <w:color w:val="000000"/>
          <w:sz w:val="28"/>
          <w:szCs w:val="28"/>
        </w:rPr>
        <w:t>TERCERO</w:t>
      </w:r>
      <w:r w:rsidRPr="005C021D">
        <w:rPr>
          <w:rFonts w:ascii="Palatino Linotype" w:eastAsia="MS Mincho" w:hAnsi="Palatino Linotype" w:cs="Times New Roman"/>
          <w:b/>
          <w:color w:val="000000"/>
        </w:rPr>
        <w:t>.</w:t>
      </w:r>
      <w:r w:rsidRPr="005C021D">
        <w:rPr>
          <w:rFonts w:ascii="Palatino Linotype" w:eastAsia="MS Mincho" w:hAnsi="Palatino Linotype" w:cs="Times New Roman"/>
          <w:color w:val="000000"/>
        </w:rPr>
        <w:t xml:space="preserve"> </w:t>
      </w:r>
      <w:r w:rsidR="00CD7A0C" w:rsidRPr="005C021D">
        <w:rPr>
          <w:rFonts w:ascii="Palatino Linotype" w:eastAsia="MS Mincho" w:hAnsi="Palatino Linotype" w:cs="Times New Roman"/>
          <w:b/>
          <w:bCs/>
          <w:color w:val="000000"/>
        </w:rPr>
        <w:t>Notifíquese</w:t>
      </w:r>
      <w:r w:rsidR="00CD7A0C" w:rsidRPr="005C021D">
        <w:rPr>
          <w:rFonts w:ascii="Palatino Linotype" w:eastAsia="MS Mincho" w:hAnsi="Palatino Linotype" w:cs="Times New Roman"/>
          <w:color w:val="000000"/>
        </w:rPr>
        <w:t xml:space="preserve"> al </w:t>
      </w:r>
      <w:r w:rsidR="00CD7A0C" w:rsidRPr="005C021D">
        <w:rPr>
          <w:rFonts w:ascii="Palatino Linotype" w:hAnsi="Palatino Linotype" w:cs="Arial"/>
          <w:color w:val="222222"/>
          <w:lang w:eastAsia="es-MX"/>
        </w:rPr>
        <w:t xml:space="preserve">Titular de la Unidad de Transparencia del </w:t>
      </w:r>
      <w:r w:rsidR="00CD7A0C" w:rsidRPr="005C021D">
        <w:rPr>
          <w:rFonts w:ascii="Palatino Linotype" w:hAnsi="Palatino Linotype" w:cs="Arial"/>
          <w:b/>
          <w:bCs/>
          <w:color w:val="222222"/>
          <w:lang w:eastAsia="es-MX"/>
        </w:rPr>
        <w:t>SUJETO OBLIGADO</w:t>
      </w:r>
      <w:r w:rsidR="00CD7A0C" w:rsidRPr="005C021D">
        <w:rPr>
          <w:rFonts w:ascii="Palatino Linotype" w:hAnsi="Palatino Linotype" w:cs="Arial"/>
          <w:color w:val="222222"/>
          <w:lang w:eastAsia="es-MX"/>
        </w:rPr>
        <w:t xml:space="preserve">, vía SAIMEX, </w:t>
      </w:r>
      <w:r w:rsidR="00CD7A0C" w:rsidRPr="005C021D">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dé cumplimiento a lo </w:t>
      </w:r>
      <w:r w:rsidR="00CD7A0C" w:rsidRPr="005C021D">
        <w:rPr>
          <w:rFonts w:ascii="Palatino Linotype" w:hAnsi="Palatino Linotype" w:cs="Arial"/>
          <w:b/>
          <w:color w:val="222222"/>
          <w:lang w:val="es-MX" w:eastAsia="es-MX"/>
        </w:rPr>
        <w:t>ordenado dentro del plazo de diez días hábiles</w:t>
      </w:r>
      <w:r w:rsidR="00CD7A0C" w:rsidRPr="005C021D">
        <w:rPr>
          <w:rFonts w:ascii="Palatino Linotype" w:hAnsi="Palatino Linotype" w:cs="Arial"/>
          <w:color w:val="222222"/>
          <w:lang w:val="es-MX"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C021D">
        <w:rPr>
          <w:rFonts w:ascii="Palatino Linotype" w:eastAsia="MS Mincho" w:hAnsi="Palatino Linotype" w:cs="Times New Roman"/>
          <w:color w:val="000000"/>
        </w:rPr>
        <w:t>.</w:t>
      </w:r>
    </w:p>
    <w:p w14:paraId="24A1876D" w14:textId="77777777" w:rsidR="00743CAC" w:rsidRPr="005C021D"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5C021D" w:rsidRDefault="00743CAC" w:rsidP="00743CAC">
      <w:pPr>
        <w:spacing w:line="360" w:lineRule="auto"/>
        <w:jc w:val="both"/>
        <w:rPr>
          <w:rFonts w:ascii="Palatino Linotype" w:eastAsia="MS Mincho" w:hAnsi="Palatino Linotype" w:cs="Times New Roman"/>
          <w:color w:val="000000"/>
        </w:rPr>
      </w:pPr>
      <w:r w:rsidRPr="005C021D">
        <w:rPr>
          <w:rFonts w:ascii="Palatino Linotype" w:eastAsia="MS Mincho" w:hAnsi="Palatino Linotype" w:cs="Times New Roman"/>
          <w:b/>
          <w:bCs/>
          <w:color w:val="000000"/>
          <w:sz w:val="28"/>
          <w:szCs w:val="28"/>
        </w:rPr>
        <w:t>CUARTO</w:t>
      </w:r>
      <w:r w:rsidRPr="005C021D">
        <w:rPr>
          <w:rFonts w:ascii="Palatino Linotype" w:eastAsia="MS Mincho" w:hAnsi="Palatino Linotype" w:cs="Times New Roman"/>
          <w:b/>
          <w:bCs/>
          <w:color w:val="000000"/>
        </w:rPr>
        <w:t>.</w:t>
      </w:r>
      <w:r w:rsidRPr="005C021D">
        <w:rPr>
          <w:rFonts w:ascii="Palatino Linotype" w:eastAsia="MS Mincho" w:hAnsi="Palatino Linotype" w:cs="Times New Roman"/>
          <w:color w:val="000000"/>
        </w:rPr>
        <w:t xml:space="preserve"> De </w:t>
      </w:r>
      <w:r w:rsidRPr="005C021D">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C021D">
        <w:rPr>
          <w:rFonts w:ascii="Palatino Linotype" w:eastAsia="MS Mincho" w:hAnsi="Palatino Linotype" w:cs="Times New Roman"/>
          <w:b/>
          <w:color w:val="000000"/>
        </w:rPr>
        <w:t>SUJETO OBLIGADO,</w:t>
      </w:r>
      <w:r w:rsidRPr="005C021D">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5C021D"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5C021D" w:rsidRDefault="00743CAC" w:rsidP="00743CAC">
      <w:pPr>
        <w:spacing w:line="360" w:lineRule="auto"/>
        <w:jc w:val="both"/>
        <w:rPr>
          <w:rFonts w:ascii="Palatino Linotype" w:eastAsia="MS Mincho" w:hAnsi="Palatino Linotype" w:cs="Times New Roman"/>
          <w:color w:val="000000"/>
        </w:rPr>
      </w:pPr>
      <w:r w:rsidRPr="005C021D">
        <w:rPr>
          <w:rFonts w:ascii="Palatino Linotype" w:eastAsia="MS Mincho" w:hAnsi="Palatino Linotype" w:cs="Times New Roman"/>
          <w:b/>
          <w:color w:val="000000"/>
          <w:sz w:val="28"/>
          <w:szCs w:val="28"/>
        </w:rPr>
        <w:lastRenderedPageBreak/>
        <w:t>QUINTO</w:t>
      </w:r>
      <w:r w:rsidRPr="005C021D">
        <w:rPr>
          <w:rFonts w:ascii="Palatino Linotype" w:eastAsia="MS Mincho" w:hAnsi="Palatino Linotype" w:cs="Times New Roman"/>
          <w:b/>
          <w:color w:val="000000"/>
        </w:rPr>
        <w:t xml:space="preserve">. </w:t>
      </w:r>
      <w:r w:rsidRPr="005C021D">
        <w:rPr>
          <w:rFonts w:ascii="Palatino Linotype" w:eastAsia="MS Mincho" w:hAnsi="Palatino Linotype" w:cs="Times New Roman"/>
          <w:color w:val="000000"/>
        </w:rPr>
        <w:t xml:space="preserve">Notifíquese al </w:t>
      </w:r>
      <w:r w:rsidRPr="005C021D">
        <w:rPr>
          <w:rFonts w:ascii="Palatino Linotype" w:eastAsia="MS Mincho" w:hAnsi="Palatino Linotype" w:cs="Times New Roman"/>
          <w:b/>
          <w:bCs/>
          <w:color w:val="000000"/>
        </w:rPr>
        <w:t>RECURRENTE</w:t>
      </w:r>
      <w:r w:rsidRPr="005C021D">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5C021D" w:rsidRDefault="00743CAC" w:rsidP="00743CAC">
      <w:pPr>
        <w:spacing w:line="360" w:lineRule="auto"/>
        <w:jc w:val="both"/>
        <w:rPr>
          <w:rFonts w:ascii="Palatino Linotype" w:hAnsi="Palatino Linotype"/>
          <w:b/>
        </w:rPr>
      </w:pPr>
    </w:p>
    <w:p w14:paraId="2A314043" w14:textId="0AD77D5B" w:rsidR="00743CAC" w:rsidRPr="005C021D" w:rsidRDefault="00743CAC" w:rsidP="00743CAC">
      <w:pPr>
        <w:spacing w:line="360" w:lineRule="auto"/>
        <w:jc w:val="both"/>
        <w:rPr>
          <w:rFonts w:ascii="Palatino Linotype" w:eastAsia="MS Mincho" w:hAnsi="Palatino Linotype" w:cs="Times New Roman"/>
          <w:color w:val="000000"/>
        </w:rPr>
      </w:pPr>
      <w:r w:rsidRPr="005C021D">
        <w:rPr>
          <w:rFonts w:ascii="Palatino Linotype" w:eastAsia="MS Mincho" w:hAnsi="Palatino Linotype" w:cs="Times New Roman"/>
          <w:b/>
          <w:sz w:val="28"/>
          <w:szCs w:val="28"/>
        </w:rPr>
        <w:t>SEXTO</w:t>
      </w:r>
      <w:r w:rsidRPr="005C021D">
        <w:rPr>
          <w:rFonts w:ascii="Palatino Linotype" w:eastAsia="MS Mincho" w:hAnsi="Palatino Linotype" w:cs="Times New Roman"/>
          <w:b/>
          <w:color w:val="000000"/>
        </w:rPr>
        <w:t xml:space="preserve">. </w:t>
      </w:r>
      <w:r w:rsidRPr="005C021D">
        <w:rPr>
          <w:rFonts w:ascii="Palatino Linotype" w:eastAsia="MS Mincho" w:hAnsi="Palatino Linotype" w:cs="Times New Roman"/>
          <w:color w:val="000000"/>
        </w:rPr>
        <w:t xml:space="preserve">Se </w:t>
      </w:r>
      <w:bookmarkEnd w:id="27"/>
      <w:r w:rsidRPr="005C021D">
        <w:rPr>
          <w:rFonts w:ascii="Palatino Linotype" w:eastAsia="MS Mincho" w:hAnsi="Palatino Linotype" w:cs="Times New Roman"/>
          <w:color w:val="000000" w:themeColor="text1"/>
        </w:rPr>
        <w:t>hace del conocimiento del</w:t>
      </w:r>
      <w:r w:rsidRPr="005C021D">
        <w:rPr>
          <w:rFonts w:ascii="Palatino Linotype" w:eastAsia="MS Mincho" w:hAnsi="Palatino Linotype" w:cs="Times New Roman"/>
          <w:b/>
          <w:color w:val="000000" w:themeColor="text1"/>
        </w:rPr>
        <w:t xml:space="preserve"> RECURRENTE </w:t>
      </w:r>
      <w:r w:rsidRPr="005C021D">
        <w:rPr>
          <w:rFonts w:ascii="Palatino Linotype" w:eastAsia="MS Mincho" w:hAnsi="Palatino Linotype" w:cs="Times New Roman"/>
          <w:color w:val="000000" w:themeColor="text1"/>
        </w:rPr>
        <w:t xml:space="preserve">que, </w:t>
      </w:r>
      <w:r w:rsidR="00F75114" w:rsidRPr="005C021D">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5C021D">
        <w:rPr>
          <w:rFonts w:ascii="Palatino Linotype" w:eastAsia="MS Mincho" w:hAnsi="Palatino Linotype" w:cs="Times New Roman"/>
          <w:bCs/>
          <w:color w:val="000000"/>
          <w:lang w:val="es-ES"/>
        </w:rPr>
        <w:t>vía juicio de amparo</w:t>
      </w:r>
      <w:r w:rsidR="00F75114" w:rsidRPr="005C021D">
        <w:rPr>
          <w:rFonts w:ascii="Palatino Linotype" w:eastAsia="MS Mincho" w:hAnsi="Palatino Linotype" w:cs="Times New Roman"/>
          <w:color w:val="000000"/>
          <w:lang w:val="es-ES"/>
        </w:rPr>
        <w:t xml:space="preserve"> en los términos de las leyes aplicables</w:t>
      </w:r>
      <w:r w:rsidR="00C603F1" w:rsidRPr="005C021D">
        <w:rPr>
          <w:rFonts w:ascii="Palatino Linotype" w:eastAsia="MS Mincho" w:hAnsi="Palatino Linotype"/>
          <w:color w:val="000000" w:themeColor="text1"/>
        </w:rPr>
        <w:t>.</w:t>
      </w:r>
    </w:p>
    <w:p w14:paraId="35177F2C" w14:textId="77777777" w:rsidR="002578EE" w:rsidRPr="005C021D" w:rsidRDefault="002578EE" w:rsidP="002578EE">
      <w:pPr>
        <w:spacing w:line="360" w:lineRule="auto"/>
        <w:jc w:val="both"/>
        <w:rPr>
          <w:rFonts w:ascii="Palatino Linotype" w:eastAsia="MS Mincho" w:hAnsi="Palatino Linotype" w:cs="Times New Roman"/>
          <w:color w:val="000000"/>
          <w:lang w:val="es-ES"/>
        </w:rPr>
      </w:pPr>
    </w:p>
    <w:p w14:paraId="130AAF04" w14:textId="2B91A537" w:rsidR="00357E36" w:rsidRPr="00357E36" w:rsidRDefault="00357E36" w:rsidP="00357E36">
      <w:pPr>
        <w:spacing w:before="240" w:after="240" w:line="360" w:lineRule="auto"/>
        <w:ind w:firstLine="1"/>
        <w:jc w:val="both"/>
        <w:rPr>
          <w:rFonts w:ascii="Palatino Linotype" w:hAnsi="Palatino Linotype"/>
          <w:smallCaps/>
        </w:rPr>
      </w:pPr>
      <w:bookmarkStart w:id="28" w:name="_Hlk129792997"/>
      <w:r w:rsidRPr="005C021D">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5C021D" w:rsidRPr="005C021D">
        <w:rPr>
          <w:rStyle w:val="Referenciasutil"/>
          <w:rFonts w:ascii="Palatino Linotype" w:hAnsi="Palatino Linotype"/>
          <w:color w:val="auto"/>
        </w:rPr>
        <w:t>GUADALUPE RAMÍREZ PEÑA; EN LA VI</w:t>
      </w:r>
      <w:r w:rsidRPr="005C021D">
        <w:rPr>
          <w:rStyle w:val="Referenciasutil"/>
          <w:rFonts w:ascii="Palatino Linotype" w:hAnsi="Palatino Linotype"/>
          <w:color w:val="auto"/>
        </w:rPr>
        <w:t>GÉSIMA QUINTA SESIÓN ORDINARIA CELEBRADA EL CINCO (05) DE JULIO DE DOS MIL VEINTITRÉS, ANTE EL SECRETARIO TÉCNICO DEL PLENO ALEXIS TAPIA RAMÍREZ.</w:t>
      </w:r>
      <w:r w:rsidRPr="00357E36">
        <w:rPr>
          <w:rStyle w:val="Referenciasutil"/>
          <w:rFonts w:ascii="Palatino Linotype" w:hAnsi="Palatino Linotype"/>
          <w:color w:val="auto"/>
        </w:rPr>
        <w:t xml:space="preserve"> </w:t>
      </w:r>
      <w:bookmarkEnd w:id="28"/>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2"/>
      <w:footerReference w:type="default" r:id="rId13"/>
      <w:headerReference w:type="first" r:id="rId14"/>
      <w:footerReference w:type="first" r:id="rId15"/>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B3ECF" w14:textId="77777777" w:rsidR="008C2BFB" w:rsidRDefault="008C2BFB" w:rsidP="00587366">
      <w:r>
        <w:separator/>
      </w:r>
    </w:p>
  </w:endnote>
  <w:endnote w:type="continuationSeparator" w:id="0">
    <w:p w14:paraId="1A2E2FD4" w14:textId="77777777" w:rsidR="008C2BFB" w:rsidRDefault="008C2BFB" w:rsidP="00587366">
      <w:r>
        <w:continuationSeparator/>
      </w:r>
    </w:p>
  </w:endnote>
  <w:endnote w:type="continuationNotice" w:id="1">
    <w:p w14:paraId="50A7D46D" w14:textId="77777777" w:rsidR="008C2BFB" w:rsidRDefault="008C2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A36064" w:rsidRPr="00883450" w:rsidRDefault="00A3606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67255">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67255">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0E7C8B1E" w:rsidR="00A36064" w:rsidRDefault="00A360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A36064" w:rsidRPr="00883450" w:rsidRDefault="00A3606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67255" w:rsidRPr="0036725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67255" w:rsidRPr="00367255">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6B993D8B" w:rsidR="00A36064" w:rsidRPr="00883450" w:rsidRDefault="00A3606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F4FBD" w14:textId="77777777" w:rsidR="008C2BFB" w:rsidRDefault="008C2BFB" w:rsidP="00587366">
      <w:r>
        <w:separator/>
      </w:r>
    </w:p>
  </w:footnote>
  <w:footnote w:type="continuationSeparator" w:id="0">
    <w:p w14:paraId="1B6C3C61" w14:textId="77777777" w:rsidR="008C2BFB" w:rsidRDefault="008C2BFB" w:rsidP="00587366">
      <w:r>
        <w:continuationSeparator/>
      </w:r>
    </w:p>
  </w:footnote>
  <w:footnote w:type="continuationNotice" w:id="1">
    <w:p w14:paraId="34FC91FA" w14:textId="77777777" w:rsidR="008C2BFB" w:rsidRDefault="008C2BFB"/>
  </w:footnote>
  <w:footnote w:id="2">
    <w:p w14:paraId="450F514D" w14:textId="77777777" w:rsidR="00A36064" w:rsidRDefault="00A36064" w:rsidP="00F9708E">
      <w:pPr>
        <w:pStyle w:val="Textonotapie"/>
        <w:jc w:val="both"/>
      </w:pPr>
      <w:r>
        <w:rPr>
          <w:rStyle w:val="Refdenotaalpie"/>
        </w:rPr>
        <w:footnoteRef/>
      </w:r>
      <w:r>
        <w:t xml:space="preserve"> “</w:t>
      </w:r>
      <w:r w:rsidRPr="005D1765">
        <w:rPr>
          <w:b/>
        </w:rPr>
        <w:t>Artículo 178.</w:t>
      </w:r>
      <w:r>
        <w:t xml:space="preserve"> </w:t>
      </w:r>
      <w:r w:rsidRPr="005D1765">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AECB6A" w14:textId="77777777" w:rsidR="00A36064" w:rsidRDefault="00A36064" w:rsidP="00F9708E">
      <w:pPr>
        <w:pStyle w:val="Textonotapie"/>
        <w:jc w:val="both"/>
      </w:pPr>
      <w:r>
        <w:t>(…)”</w:t>
      </w:r>
    </w:p>
  </w:footnote>
  <w:footnote w:id="3">
    <w:p w14:paraId="7CFF1D76" w14:textId="77777777" w:rsidR="00A36064" w:rsidRPr="009C43C2" w:rsidRDefault="00A3606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621A220A" w14:textId="77777777" w:rsidR="00A36064" w:rsidRPr="009C43C2" w:rsidRDefault="00A3606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1F98C24F" w14:textId="77777777" w:rsidR="00A36064" w:rsidRPr="009C43C2" w:rsidRDefault="00A3606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2632106" w14:textId="77777777" w:rsidR="00A36064" w:rsidRDefault="00A36064"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7">
    <w:p w14:paraId="1AD34A50" w14:textId="77777777" w:rsidR="00A36064" w:rsidRDefault="00A36064" w:rsidP="004B20FF">
      <w:pPr>
        <w:pStyle w:val="Textonotapie"/>
      </w:pPr>
      <w:r>
        <w:rPr>
          <w:rStyle w:val="Refdenotaalpie"/>
        </w:rPr>
        <w:footnoteRef/>
      </w:r>
      <w:r>
        <w:t xml:space="preserve"> Artículo 50, Ley de Transparencia y Acceso a la Información Pública del Estado de México y Municipios.</w:t>
      </w:r>
    </w:p>
  </w:footnote>
  <w:footnote w:id="8">
    <w:p w14:paraId="36D6ACD7" w14:textId="77777777" w:rsidR="00A36064" w:rsidRDefault="00A36064" w:rsidP="004B20FF">
      <w:pPr>
        <w:pStyle w:val="Textonotapie"/>
      </w:pPr>
      <w:r>
        <w:rPr>
          <w:rStyle w:val="Refdenotaalpie"/>
        </w:rPr>
        <w:footnoteRef/>
      </w:r>
      <w:r>
        <w:t xml:space="preserve"> Artículo 51, Ídem.</w:t>
      </w:r>
    </w:p>
  </w:footnote>
  <w:footnote w:id="9">
    <w:p w14:paraId="64B17C69" w14:textId="77777777" w:rsidR="00A36064" w:rsidRDefault="00A36064" w:rsidP="004B20FF">
      <w:pPr>
        <w:pStyle w:val="Textonotapie"/>
      </w:pPr>
      <w:r>
        <w:rPr>
          <w:rStyle w:val="Refdenotaalpie"/>
        </w:rPr>
        <w:footnoteRef/>
      </w:r>
      <w:r>
        <w:t xml:space="preserve"> Artículo 58, Ley de Transparencia y Acceso a la Información Pública del Estado de México y Municipios.</w:t>
      </w:r>
    </w:p>
  </w:footnote>
  <w:footnote w:id="10">
    <w:p w14:paraId="07FEACDA" w14:textId="77777777" w:rsidR="00A36064" w:rsidRDefault="00A36064" w:rsidP="004B20FF">
      <w:pPr>
        <w:pStyle w:val="Textonotapie"/>
      </w:pPr>
      <w:r>
        <w:rPr>
          <w:rStyle w:val="Refdenotaalpie"/>
        </w:rPr>
        <w:footnoteRef/>
      </w:r>
      <w:r>
        <w:t xml:space="preserve"> Artículo 59, Ídem.</w:t>
      </w:r>
    </w:p>
  </w:footnote>
  <w:footnote w:id="11">
    <w:p w14:paraId="59DCBF19" w14:textId="3163E700" w:rsidR="00A36064" w:rsidRPr="00401C82" w:rsidRDefault="00A36064">
      <w:pPr>
        <w:pStyle w:val="Textonotapie"/>
        <w:rPr>
          <w:lang w:val="es-MX"/>
        </w:rPr>
      </w:pPr>
      <w:r>
        <w:rPr>
          <w:rStyle w:val="Refdenotaalpie"/>
        </w:rPr>
        <w:footnoteRef/>
      </w:r>
      <w:r>
        <w:t xml:space="preserve"> </w:t>
      </w:r>
      <w:r>
        <w:rPr>
          <w:lang w:val="es-MX"/>
        </w:rPr>
        <w:t>Artículo 115, fracción II, Constitución Política de los Estados Unidos Mexicanos.</w:t>
      </w:r>
    </w:p>
  </w:footnote>
  <w:footnote w:id="12">
    <w:p w14:paraId="33D177BB" w14:textId="2C266EA1" w:rsidR="00A36064" w:rsidRPr="00401C82" w:rsidRDefault="00A36064">
      <w:pPr>
        <w:pStyle w:val="Textonotapie"/>
        <w:rPr>
          <w:lang w:val="es-MX"/>
        </w:rPr>
      </w:pPr>
      <w:r>
        <w:rPr>
          <w:rStyle w:val="Refdenotaalpie"/>
        </w:rPr>
        <w:footnoteRef/>
      </w:r>
      <w:r>
        <w:t xml:space="preserve"> </w:t>
      </w:r>
      <w:r>
        <w:rPr>
          <w:lang w:val="es-MX"/>
        </w:rPr>
        <w:t>Artículo 15, Ley Orgánica Municipal del Estado de México.</w:t>
      </w:r>
    </w:p>
  </w:footnote>
  <w:footnote w:id="13">
    <w:p w14:paraId="4A996B63" w14:textId="654BD042" w:rsidR="00A36064" w:rsidRPr="00401C82" w:rsidRDefault="00A36064">
      <w:pPr>
        <w:pStyle w:val="Textonotapie"/>
        <w:rPr>
          <w:lang w:val="es-MX"/>
        </w:rPr>
      </w:pPr>
      <w:r>
        <w:rPr>
          <w:rStyle w:val="Refdenotaalpie"/>
        </w:rPr>
        <w:footnoteRef/>
      </w:r>
      <w:r>
        <w:t xml:space="preserve"> </w:t>
      </w:r>
      <w:r>
        <w:rPr>
          <w:lang w:val="es-MX"/>
        </w:rPr>
        <w:t>Artículo 16, Ídem.</w:t>
      </w:r>
    </w:p>
  </w:footnote>
  <w:footnote w:id="14">
    <w:p w14:paraId="12C45833" w14:textId="7EF4C877" w:rsidR="00A36064" w:rsidRPr="00401C82" w:rsidRDefault="00A36064">
      <w:pPr>
        <w:pStyle w:val="Textonotapie"/>
        <w:rPr>
          <w:lang w:val="es-MX"/>
        </w:rPr>
      </w:pPr>
      <w:r>
        <w:rPr>
          <w:rStyle w:val="Refdenotaalpie"/>
        </w:rPr>
        <w:footnoteRef/>
      </w:r>
      <w:r>
        <w:t xml:space="preserve"> </w:t>
      </w:r>
      <w:r>
        <w:rPr>
          <w:lang w:val="es-MX"/>
        </w:rPr>
        <w:t>Artículo 27, Ídem.</w:t>
      </w:r>
    </w:p>
  </w:footnote>
  <w:footnote w:id="15">
    <w:p w14:paraId="3DA5D1AD" w14:textId="0FED86F6" w:rsidR="00A36064" w:rsidRPr="00401C82" w:rsidRDefault="00A36064">
      <w:pPr>
        <w:pStyle w:val="Textonotapie"/>
        <w:rPr>
          <w:lang w:val="es-MX"/>
        </w:rPr>
      </w:pPr>
      <w:r>
        <w:rPr>
          <w:rStyle w:val="Refdenotaalpie"/>
        </w:rPr>
        <w:footnoteRef/>
      </w:r>
      <w:r>
        <w:t xml:space="preserve"> </w:t>
      </w:r>
      <w:r>
        <w:rPr>
          <w:lang w:val="es-MX"/>
        </w:rPr>
        <w:t>Artículo 28, Ley Orgánica Municipal del Estado de México.</w:t>
      </w:r>
    </w:p>
  </w:footnote>
  <w:footnote w:id="16">
    <w:p w14:paraId="3EAC3DC1" w14:textId="29572B58" w:rsidR="00A36064" w:rsidRPr="00401C82" w:rsidRDefault="00A36064">
      <w:pPr>
        <w:pStyle w:val="Textonotapie"/>
        <w:rPr>
          <w:lang w:val="es-MX"/>
        </w:rPr>
      </w:pPr>
      <w:r>
        <w:rPr>
          <w:rStyle w:val="Refdenotaalpie"/>
        </w:rPr>
        <w:footnoteRef/>
      </w:r>
      <w:r>
        <w:t xml:space="preserve"> </w:t>
      </w:r>
      <w:r>
        <w:rPr>
          <w:lang w:val="es-MX"/>
        </w:rPr>
        <w:t>Ibídem.</w:t>
      </w:r>
    </w:p>
  </w:footnote>
  <w:footnote w:id="17">
    <w:p w14:paraId="27D0CFE2" w14:textId="6ABDBEDE" w:rsidR="00A36064" w:rsidRPr="00401C82" w:rsidRDefault="00A36064">
      <w:pPr>
        <w:pStyle w:val="Textonotapie"/>
        <w:rPr>
          <w:lang w:val="es-MX"/>
        </w:rPr>
      </w:pPr>
      <w:r>
        <w:rPr>
          <w:rStyle w:val="Refdenotaalpie"/>
        </w:rPr>
        <w:footnoteRef/>
      </w:r>
      <w:r>
        <w:t xml:space="preserve"> </w:t>
      </w:r>
      <w:r>
        <w:rPr>
          <w:lang w:val="es-MX"/>
        </w:rPr>
        <w:t>Artículo 30, Ídem.</w:t>
      </w:r>
    </w:p>
  </w:footnote>
  <w:footnote w:id="18">
    <w:p w14:paraId="2E4A7B70" w14:textId="68977BF1" w:rsidR="00A36064" w:rsidRPr="00401C82" w:rsidRDefault="00A36064">
      <w:pPr>
        <w:pStyle w:val="Textonotapie"/>
        <w:rPr>
          <w:lang w:val="es-MX"/>
        </w:rPr>
      </w:pPr>
      <w:r>
        <w:rPr>
          <w:rStyle w:val="Refdenotaalpie"/>
        </w:rPr>
        <w:footnoteRef/>
      </w:r>
      <w:r>
        <w:t xml:space="preserve"> </w:t>
      </w:r>
      <w:r>
        <w:rPr>
          <w:lang w:val="es-MX"/>
        </w:rPr>
        <w:t>Ibídem.</w:t>
      </w:r>
    </w:p>
  </w:footnote>
  <w:footnote w:id="19">
    <w:p w14:paraId="0BB45C07" w14:textId="40C2DFF6" w:rsidR="004A3BD9" w:rsidRPr="004A3BD9" w:rsidRDefault="004A3BD9" w:rsidP="004A3BD9">
      <w:pPr>
        <w:pStyle w:val="Textonotapie"/>
        <w:tabs>
          <w:tab w:val="left" w:pos="910"/>
        </w:tabs>
        <w:jc w:val="both"/>
        <w:rPr>
          <w:lang w:val="es-MX"/>
        </w:rPr>
      </w:pPr>
      <w:r>
        <w:rPr>
          <w:rStyle w:val="Refdenotaalpie"/>
        </w:rPr>
        <w:footnoteRef/>
      </w:r>
      <w:r>
        <w:t xml:space="preserve"> </w:t>
      </w:r>
      <w:r w:rsidRPr="004A3BD9">
        <w:rPr>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A36064" w:rsidRPr="00025127" w14:paraId="07F2896E" w14:textId="77777777" w:rsidTr="008E29BB">
      <w:trPr>
        <w:trHeight w:val="138"/>
        <w:jc w:val="right"/>
      </w:trPr>
      <w:tc>
        <w:tcPr>
          <w:tcW w:w="3828" w:type="dxa"/>
          <w:vAlign w:val="center"/>
        </w:tcPr>
        <w:p w14:paraId="4A5B1974" w14:textId="172F35BB" w:rsidR="00A36064" w:rsidRPr="00025127" w:rsidRDefault="00A3606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68586088" w:rsidR="00A36064" w:rsidRPr="00025127" w:rsidRDefault="00A36064" w:rsidP="00F25B61">
          <w:pPr>
            <w:pStyle w:val="Encabezado"/>
            <w:jc w:val="both"/>
            <w:rPr>
              <w:rFonts w:ascii="Palatino Linotype" w:hAnsi="Palatino Linotype"/>
              <w:b/>
              <w:sz w:val="22"/>
              <w:szCs w:val="22"/>
            </w:rPr>
          </w:pPr>
          <w:r>
            <w:rPr>
              <w:rFonts w:ascii="Palatino Linotype" w:hAnsi="Palatino Linotype"/>
              <w:b/>
              <w:sz w:val="22"/>
              <w:szCs w:val="22"/>
            </w:rPr>
            <w:t>03103</w:t>
          </w:r>
          <w:r w:rsidRPr="00025127">
            <w:rPr>
              <w:rFonts w:ascii="Palatino Linotype" w:hAnsi="Palatino Linotype"/>
              <w:b/>
              <w:sz w:val="22"/>
              <w:szCs w:val="22"/>
            </w:rPr>
            <w:t>/INFOEM/IP/RR/</w:t>
          </w:r>
          <w:r>
            <w:rPr>
              <w:rFonts w:ascii="Palatino Linotype" w:hAnsi="Palatino Linotype"/>
              <w:b/>
              <w:sz w:val="22"/>
              <w:szCs w:val="22"/>
            </w:rPr>
            <w:t>2023</w:t>
          </w:r>
        </w:p>
      </w:tc>
    </w:tr>
    <w:tr w:rsidR="00A36064" w:rsidRPr="00025127" w14:paraId="1B5D8690" w14:textId="77777777" w:rsidTr="008E29BB">
      <w:trPr>
        <w:trHeight w:val="233"/>
        <w:jc w:val="right"/>
      </w:trPr>
      <w:tc>
        <w:tcPr>
          <w:tcW w:w="3828" w:type="dxa"/>
          <w:vAlign w:val="center"/>
        </w:tcPr>
        <w:p w14:paraId="3903F2C6" w14:textId="22D569F8" w:rsidR="00A36064" w:rsidRPr="00025127" w:rsidRDefault="00A36064" w:rsidP="007B229B">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0AD922C9" w:rsidR="00A36064" w:rsidRPr="00025127" w:rsidRDefault="00A36064" w:rsidP="007B229B">
          <w:pPr>
            <w:pStyle w:val="Encabezado"/>
            <w:rPr>
              <w:rFonts w:ascii="Palatino Linotype" w:hAnsi="Palatino Linotype"/>
              <w:b/>
              <w:sz w:val="22"/>
              <w:szCs w:val="22"/>
            </w:rPr>
          </w:pPr>
          <w:r>
            <w:rPr>
              <w:rFonts w:ascii="Palatino Linotype" w:hAnsi="Palatino Linotype"/>
              <w:b/>
              <w:bCs/>
              <w:color w:val="000000"/>
              <w:sz w:val="22"/>
              <w:szCs w:val="22"/>
            </w:rPr>
            <w:t>Ayuntamiento de Melchor Ocampo</w:t>
          </w:r>
        </w:p>
      </w:tc>
    </w:tr>
    <w:tr w:rsidR="00A36064" w:rsidRPr="00025127" w14:paraId="095EB01B" w14:textId="77777777" w:rsidTr="008E29BB">
      <w:trPr>
        <w:trHeight w:val="321"/>
        <w:jc w:val="right"/>
      </w:trPr>
      <w:tc>
        <w:tcPr>
          <w:tcW w:w="3828" w:type="dxa"/>
          <w:vAlign w:val="center"/>
        </w:tcPr>
        <w:p w14:paraId="6E000A51" w14:textId="05E1861A" w:rsidR="00A36064" w:rsidRPr="00025127" w:rsidRDefault="00A3606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A36064" w:rsidRPr="00025127" w:rsidRDefault="00A3606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A36064" w:rsidRDefault="00A36064"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A36064" w:rsidRPr="00025127" w14:paraId="0A3256F2" w14:textId="77777777" w:rsidTr="008E29BB">
      <w:trPr>
        <w:trHeight w:val="138"/>
        <w:jc w:val="right"/>
      </w:trPr>
      <w:tc>
        <w:tcPr>
          <w:tcW w:w="3828" w:type="dxa"/>
          <w:vAlign w:val="center"/>
        </w:tcPr>
        <w:p w14:paraId="3D80769D" w14:textId="44A35B8D" w:rsidR="00A36064" w:rsidRPr="00025127" w:rsidRDefault="00A36064"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55ED5D40" w:rsidR="00A36064" w:rsidRPr="00025127" w:rsidRDefault="00A36064" w:rsidP="00F25B61">
          <w:pPr>
            <w:pStyle w:val="Encabezado"/>
            <w:rPr>
              <w:rFonts w:ascii="Palatino Linotype" w:hAnsi="Palatino Linotype"/>
              <w:b/>
              <w:sz w:val="22"/>
              <w:szCs w:val="22"/>
            </w:rPr>
          </w:pPr>
          <w:r>
            <w:rPr>
              <w:rFonts w:ascii="Palatino Linotype" w:hAnsi="Palatino Linotype"/>
              <w:b/>
              <w:sz w:val="22"/>
              <w:szCs w:val="22"/>
            </w:rPr>
            <w:t>03103</w:t>
          </w:r>
          <w:r w:rsidRPr="00025127">
            <w:rPr>
              <w:rFonts w:ascii="Palatino Linotype" w:hAnsi="Palatino Linotype"/>
              <w:b/>
              <w:sz w:val="22"/>
              <w:szCs w:val="22"/>
            </w:rPr>
            <w:t>/INFOEM/IP/RR/</w:t>
          </w:r>
          <w:r>
            <w:rPr>
              <w:rFonts w:ascii="Palatino Linotype" w:hAnsi="Palatino Linotype"/>
              <w:b/>
              <w:sz w:val="22"/>
              <w:szCs w:val="22"/>
            </w:rPr>
            <w:t>2023</w:t>
          </w:r>
        </w:p>
      </w:tc>
    </w:tr>
    <w:tr w:rsidR="00A36064" w:rsidRPr="00025127" w14:paraId="128C8B3C" w14:textId="77777777" w:rsidTr="008E29BB">
      <w:trPr>
        <w:trHeight w:val="233"/>
        <w:jc w:val="right"/>
      </w:trPr>
      <w:tc>
        <w:tcPr>
          <w:tcW w:w="3828" w:type="dxa"/>
          <w:vAlign w:val="center"/>
        </w:tcPr>
        <w:p w14:paraId="483E3371" w14:textId="66B1BC74" w:rsidR="00A36064" w:rsidRPr="00025127" w:rsidRDefault="00A36064"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325097AC" w:rsidR="00A36064" w:rsidRPr="00025127" w:rsidRDefault="00367255" w:rsidP="0058757A">
          <w:pPr>
            <w:pStyle w:val="Encabezado"/>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p>
      </w:tc>
    </w:tr>
    <w:tr w:rsidR="00A36064" w:rsidRPr="00025127" w14:paraId="41BE0704" w14:textId="77777777" w:rsidTr="008E29BB">
      <w:trPr>
        <w:trHeight w:val="321"/>
        <w:jc w:val="right"/>
      </w:trPr>
      <w:tc>
        <w:tcPr>
          <w:tcW w:w="3828" w:type="dxa"/>
          <w:vAlign w:val="center"/>
        </w:tcPr>
        <w:p w14:paraId="34C64148" w14:textId="10C6C8A9" w:rsidR="00A36064" w:rsidRPr="00025127" w:rsidRDefault="00A36064"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66E9A402" w:rsidR="00A36064" w:rsidRPr="00025127" w:rsidRDefault="00A36064" w:rsidP="007B229B">
          <w:pPr>
            <w:pStyle w:val="Encabezado"/>
            <w:rPr>
              <w:rFonts w:ascii="Palatino Linotype" w:hAnsi="Palatino Linotype"/>
              <w:b/>
              <w:sz w:val="22"/>
              <w:szCs w:val="22"/>
            </w:rPr>
          </w:pPr>
          <w:r>
            <w:rPr>
              <w:rFonts w:ascii="Palatino Linotype" w:hAnsi="Palatino Linotype"/>
              <w:b/>
              <w:bCs/>
              <w:color w:val="000000"/>
              <w:sz w:val="22"/>
              <w:szCs w:val="22"/>
            </w:rPr>
            <w:t>Ayuntamiento de Melchor Ocampo</w:t>
          </w:r>
        </w:p>
      </w:tc>
    </w:tr>
    <w:tr w:rsidR="00A36064" w:rsidRPr="00025127" w14:paraId="0C8B6193" w14:textId="77777777" w:rsidTr="008E29BB">
      <w:trPr>
        <w:trHeight w:val="321"/>
        <w:jc w:val="right"/>
      </w:trPr>
      <w:tc>
        <w:tcPr>
          <w:tcW w:w="3828" w:type="dxa"/>
          <w:vAlign w:val="center"/>
        </w:tcPr>
        <w:p w14:paraId="321FFAFF" w14:textId="0E8C2CE7" w:rsidR="00A36064" w:rsidRPr="00025127" w:rsidRDefault="00A36064"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A36064" w:rsidRPr="00025127" w:rsidRDefault="00A36064"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A36064" w:rsidRDefault="008C2BFB" w:rsidP="00472C41">
    <w:pPr>
      <w:pStyle w:val="Encabezado"/>
      <w:tabs>
        <w:tab w:val="clear" w:pos="4252"/>
        <w:tab w:val="clear" w:pos="8504"/>
        <w:tab w:val="left" w:pos="3103"/>
      </w:tabs>
    </w:pPr>
    <w:r>
      <w:rPr>
        <w:noProof/>
      </w:rPr>
      <w:pict w14:anchorId="18209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51"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0F527FB"/>
    <w:multiLevelType w:val="hybridMultilevel"/>
    <w:tmpl w:val="044ACD3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4"/>
  </w:num>
  <w:num w:numId="5">
    <w:abstractNumId w:val="2"/>
  </w:num>
  <w:num w:numId="6">
    <w:abstractNumId w:val="11"/>
  </w:num>
  <w:num w:numId="7">
    <w:abstractNumId w:val="9"/>
  </w:num>
  <w:num w:numId="8">
    <w:abstractNumId w:val="6"/>
  </w:num>
  <w:num w:numId="9">
    <w:abstractNumId w:val="8"/>
  </w:num>
  <w:num w:numId="10">
    <w:abstractNumId w:val="14"/>
  </w:num>
  <w:num w:numId="11">
    <w:abstractNumId w:val="3"/>
  </w:num>
  <w:num w:numId="12">
    <w:abstractNumId w:val="12"/>
  </w:num>
  <w:num w:numId="13">
    <w:abstractNumId w:val="10"/>
  </w:num>
  <w:num w:numId="14">
    <w:abstractNumId w:val="15"/>
  </w:num>
  <w:num w:numId="15">
    <w:abstractNumId w:val="13"/>
  </w:num>
  <w:num w:numId="16">
    <w:abstractNumId w:val="1"/>
  </w:num>
  <w:num w:numId="1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1A2"/>
    <w:rsid w:val="0000797D"/>
    <w:rsid w:val="00007E8A"/>
    <w:rsid w:val="000100D7"/>
    <w:rsid w:val="0001106B"/>
    <w:rsid w:val="00011317"/>
    <w:rsid w:val="00012472"/>
    <w:rsid w:val="0001398B"/>
    <w:rsid w:val="00014F51"/>
    <w:rsid w:val="00015A16"/>
    <w:rsid w:val="00015A51"/>
    <w:rsid w:val="00016250"/>
    <w:rsid w:val="000174A0"/>
    <w:rsid w:val="0002032F"/>
    <w:rsid w:val="000203D3"/>
    <w:rsid w:val="000204A6"/>
    <w:rsid w:val="000211F8"/>
    <w:rsid w:val="0002146F"/>
    <w:rsid w:val="000218C3"/>
    <w:rsid w:val="00022D89"/>
    <w:rsid w:val="000236A3"/>
    <w:rsid w:val="00024F35"/>
    <w:rsid w:val="00025127"/>
    <w:rsid w:val="00025266"/>
    <w:rsid w:val="0002699D"/>
    <w:rsid w:val="0003063D"/>
    <w:rsid w:val="00031D37"/>
    <w:rsid w:val="00031F10"/>
    <w:rsid w:val="00031F98"/>
    <w:rsid w:val="00032493"/>
    <w:rsid w:val="0003261D"/>
    <w:rsid w:val="00032EC5"/>
    <w:rsid w:val="00032ED4"/>
    <w:rsid w:val="00037657"/>
    <w:rsid w:val="0004072A"/>
    <w:rsid w:val="00040E10"/>
    <w:rsid w:val="00040E2D"/>
    <w:rsid w:val="000411E2"/>
    <w:rsid w:val="0004193F"/>
    <w:rsid w:val="00042380"/>
    <w:rsid w:val="000435A5"/>
    <w:rsid w:val="000444BD"/>
    <w:rsid w:val="00044DB9"/>
    <w:rsid w:val="000463B6"/>
    <w:rsid w:val="0004686A"/>
    <w:rsid w:val="000468E2"/>
    <w:rsid w:val="00046CEE"/>
    <w:rsid w:val="000478BA"/>
    <w:rsid w:val="0005237C"/>
    <w:rsid w:val="00052A3C"/>
    <w:rsid w:val="00053AA7"/>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70361"/>
    <w:rsid w:val="000718C5"/>
    <w:rsid w:val="0007221E"/>
    <w:rsid w:val="000728AD"/>
    <w:rsid w:val="00074573"/>
    <w:rsid w:val="00076A3F"/>
    <w:rsid w:val="00076E15"/>
    <w:rsid w:val="000770CE"/>
    <w:rsid w:val="000800AC"/>
    <w:rsid w:val="0008230A"/>
    <w:rsid w:val="00082D11"/>
    <w:rsid w:val="00082E28"/>
    <w:rsid w:val="000834FE"/>
    <w:rsid w:val="0008465D"/>
    <w:rsid w:val="00084E31"/>
    <w:rsid w:val="00084E5E"/>
    <w:rsid w:val="0008542A"/>
    <w:rsid w:val="000866D9"/>
    <w:rsid w:val="000908CC"/>
    <w:rsid w:val="00090D6F"/>
    <w:rsid w:val="00091C2C"/>
    <w:rsid w:val="00093A7F"/>
    <w:rsid w:val="00093FB4"/>
    <w:rsid w:val="00093FC7"/>
    <w:rsid w:val="00094B41"/>
    <w:rsid w:val="000953E2"/>
    <w:rsid w:val="00095806"/>
    <w:rsid w:val="00095BB9"/>
    <w:rsid w:val="00095F6D"/>
    <w:rsid w:val="0009700A"/>
    <w:rsid w:val="0009728E"/>
    <w:rsid w:val="000A0678"/>
    <w:rsid w:val="000A1CCA"/>
    <w:rsid w:val="000A26B8"/>
    <w:rsid w:val="000A3F90"/>
    <w:rsid w:val="000A44DE"/>
    <w:rsid w:val="000A4554"/>
    <w:rsid w:val="000A45FD"/>
    <w:rsid w:val="000A4E44"/>
    <w:rsid w:val="000A4F6D"/>
    <w:rsid w:val="000A556A"/>
    <w:rsid w:val="000A77ED"/>
    <w:rsid w:val="000B0370"/>
    <w:rsid w:val="000B2BA0"/>
    <w:rsid w:val="000B405C"/>
    <w:rsid w:val="000B4DDD"/>
    <w:rsid w:val="000B5AB1"/>
    <w:rsid w:val="000B5D79"/>
    <w:rsid w:val="000B6D31"/>
    <w:rsid w:val="000B750B"/>
    <w:rsid w:val="000B7C4F"/>
    <w:rsid w:val="000C0061"/>
    <w:rsid w:val="000C0663"/>
    <w:rsid w:val="000C0BBB"/>
    <w:rsid w:val="000C10B9"/>
    <w:rsid w:val="000C1D19"/>
    <w:rsid w:val="000C2E5F"/>
    <w:rsid w:val="000C3423"/>
    <w:rsid w:val="000C3861"/>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205D"/>
    <w:rsid w:val="001025C6"/>
    <w:rsid w:val="00102D65"/>
    <w:rsid w:val="00102F5D"/>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2DCC"/>
    <w:rsid w:val="00163780"/>
    <w:rsid w:val="00163B1F"/>
    <w:rsid w:val="001648EE"/>
    <w:rsid w:val="00164B65"/>
    <w:rsid w:val="001656F2"/>
    <w:rsid w:val="00165DC8"/>
    <w:rsid w:val="00166794"/>
    <w:rsid w:val="00167813"/>
    <w:rsid w:val="0017212C"/>
    <w:rsid w:val="00172471"/>
    <w:rsid w:val="0017273C"/>
    <w:rsid w:val="001732E3"/>
    <w:rsid w:val="00174E02"/>
    <w:rsid w:val="00174E1B"/>
    <w:rsid w:val="0017653A"/>
    <w:rsid w:val="0017745D"/>
    <w:rsid w:val="001775DF"/>
    <w:rsid w:val="001809A7"/>
    <w:rsid w:val="00181C60"/>
    <w:rsid w:val="00181E2A"/>
    <w:rsid w:val="001848C0"/>
    <w:rsid w:val="00185460"/>
    <w:rsid w:val="001862A3"/>
    <w:rsid w:val="001921FD"/>
    <w:rsid w:val="001925E3"/>
    <w:rsid w:val="00192E4B"/>
    <w:rsid w:val="001937BA"/>
    <w:rsid w:val="00194D62"/>
    <w:rsid w:val="00196407"/>
    <w:rsid w:val="00197091"/>
    <w:rsid w:val="001970D6"/>
    <w:rsid w:val="001972CC"/>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54A9"/>
    <w:rsid w:val="001C6012"/>
    <w:rsid w:val="001C67B0"/>
    <w:rsid w:val="001C7276"/>
    <w:rsid w:val="001C7733"/>
    <w:rsid w:val="001C77F5"/>
    <w:rsid w:val="001C79FA"/>
    <w:rsid w:val="001D07C9"/>
    <w:rsid w:val="001D3AB5"/>
    <w:rsid w:val="001D4A81"/>
    <w:rsid w:val="001D545E"/>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379"/>
    <w:rsid w:val="001F03A0"/>
    <w:rsid w:val="001F094C"/>
    <w:rsid w:val="001F1C5C"/>
    <w:rsid w:val="001F2B8C"/>
    <w:rsid w:val="001F394F"/>
    <w:rsid w:val="001F783F"/>
    <w:rsid w:val="001F7AFD"/>
    <w:rsid w:val="001F7DE2"/>
    <w:rsid w:val="002001BE"/>
    <w:rsid w:val="002031F3"/>
    <w:rsid w:val="002058A7"/>
    <w:rsid w:val="00205A1A"/>
    <w:rsid w:val="002073E5"/>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D6"/>
    <w:rsid w:val="002275DE"/>
    <w:rsid w:val="00230170"/>
    <w:rsid w:val="002305CF"/>
    <w:rsid w:val="002310B5"/>
    <w:rsid w:val="00232110"/>
    <w:rsid w:val="0023225E"/>
    <w:rsid w:val="00233E08"/>
    <w:rsid w:val="002345FF"/>
    <w:rsid w:val="00235DF2"/>
    <w:rsid w:val="00237611"/>
    <w:rsid w:val="002408D7"/>
    <w:rsid w:val="002417FB"/>
    <w:rsid w:val="00242233"/>
    <w:rsid w:val="002426EA"/>
    <w:rsid w:val="00244476"/>
    <w:rsid w:val="0024579C"/>
    <w:rsid w:val="002457CF"/>
    <w:rsid w:val="00245B8E"/>
    <w:rsid w:val="002507D8"/>
    <w:rsid w:val="002510FA"/>
    <w:rsid w:val="00252A20"/>
    <w:rsid w:val="00252B41"/>
    <w:rsid w:val="0025524F"/>
    <w:rsid w:val="002578EE"/>
    <w:rsid w:val="00257E5F"/>
    <w:rsid w:val="00260C1D"/>
    <w:rsid w:val="00261001"/>
    <w:rsid w:val="002617DC"/>
    <w:rsid w:val="00261A42"/>
    <w:rsid w:val="00261D84"/>
    <w:rsid w:val="002629A6"/>
    <w:rsid w:val="002630E4"/>
    <w:rsid w:val="0026364B"/>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3F6D"/>
    <w:rsid w:val="0027430D"/>
    <w:rsid w:val="0027463A"/>
    <w:rsid w:val="002746D9"/>
    <w:rsid w:val="00274ED2"/>
    <w:rsid w:val="002754FC"/>
    <w:rsid w:val="002765F2"/>
    <w:rsid w:val="00277A35"/>
    <w:rsid w:val="00280278"/>
    <w:rsid w:val="00280994"/>
    <w:rsid w:val="00280E3F"/>
    <w:rsid w:val="00280F05"/>
    <w:rsid w:val="0028248C"/>
    <w:rsid w:val="00282B05"/>
    <w:rsid w:val="00282D4D"/>
    <w:rsid w:val="0028323A"/>
    <w:rsid w:val="00283861"/>
    <w:rsid w:val="002856F3"/>
    <w:rsid w:val="00286DDB"/>
    <w:rsid w:val="002871EB"/>
    <w:rsid w:val="0028741E"/>
    <w:rsid w:val="00290DBD"/>
    <w:rsid w:val="00291D91"/>
    <w:rsid w:val="002948C4"/>
    <w:rsid w:val="00294D2D"/>
    <w:rsid w:val="002960D6"/>
    <w:rsid w:val="00297E45"/>
    <w:rsid w:val="002A2099"/>
    <w:rsid w:val="002A229B"/>
    <w:rsid w:val="002A26D9"/>
    <w:rsid w:val="002A35B6"/>
    <w:rsid w:val="002A4172"/>
    <w:rsid w:val="002A4516"/>
    <w:rsid w:val="002A4755"/>
    <w:rsid w:val="002A54DE"/>
    <w:rsid w:val="002A670D"/>
    <w:rsid w:val="002A70E6"/>
    <w:rsid w:val="002A7FAB"/>
    <w:rsid w:val="002B0692"/>
    <w:rsid w:val="002B085C"/>
    <w:rsid w:val="002B1252"/>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711F"/>
    <w:rsid w:val="00317883"/>
    <w:rsid w:val="00317EFF"/>
    <w:rsid w:val="00320597"/>
    <w:rsid w:val="00321181"/>
    <w:rsid w:val="00321AA3"/>
    <w:rsid w:val="00321AE9"/>
    <w:rsid w:val="00321EEE"/>
    <w:rsid w:val="0032264B"/>
    <w:rsid w:val="00323895"/>
    <w:rsid w:val="0032586C"/>
    <w:rsid w:val="00326579"/>
    <w:rsid w:val="00327D27"/>
    <w:rsid w:val="00327D79"/>
    <w:rsid w:val="003304E2"/>
    <w:rsid w:val="00330CBC"/>
    <w:rsid w:val="00330E47"/>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57E36"/>
    <w:rsid w:val="0036073F"/>
    <w:rsid w:val="003615A3"/>
    <w:rsid w:val="003629EE"/>
    <w:rsid w:val="00363DCB"/>
    <w:rsid w:val="003643B3"/>
    <w:rsid w:val="00367255"/>
    <w:rsid w:val="003708DD"/>
    <w:rsid w:val="00370B8E"/>
    <w:rsid w:val="00370BB1"/>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B9D"/>
    <w:rsid w:val="00394F10"/>
    <w:rsid w:val="003955D3"/>
    <w:rsid w:val="00396545"/>
    <w:rsid w:val="0039671B"/>
    <w:rsid w:val="00396F71"/>
    <w:rsid w:val="003A03D0"/>
    <w:rsid w:val="003A04FF"/>
    <w:rsid w:val="003A1B01"/>
    <w:rsid w:val="003A2029"/>
    <w:rsid w:val="003A2676"/>
    <w:rsid w:val="003A2CF7"/>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90C"/>
    <w:rsid w:val="003B7EC4"/>
    <w:rsid w:val="003C183D"/>
    <w:rsid w:val="003C19CA"/>
    <w:rsid w:val="003C4ECE"/>
    <w:rsid w:val="003C64C3"/>
    <w:rsid w:val="003C7282"/>
    <w:rsid w:val="003C74CA"/>
    <w:rsid w:val="003D00D5"/>
    <w:rsid w:val="003D0A29"/>
    <w:rsid w:val="003D0BC7"/>
    <w:rsid w:val="003D181D"/>
    <w:rsid w:val="003D187D"/>
    <w:rsid w:val="003D1A6D"/>
    <w:rsid w:val="003D20C4"/>
    <w:rsid w:val="003D29E0"/>
    <w:rsid w:val="003D4163"/>
    <w:rsid w:val="003D46D0"/>
    <w:rsid w:val="003D5051"/>
    <w:rsid w:val="003D5661"/>
    <w:rsid w:val="003D65BF"/>
    <w:rsid w:val="003D792A"/>
    <w:rsid w:val="003E1680"/>
    <w:rsid w:val="003E1870"/>
    <w:rsid w:val="003E2E98"/>
    <w:rsid w:val="003E2ED8"/>
    <w:rsid w:val="003E4701"/>
    <w:rsid w:val="003E4C96"/>
    <w:rsid w:val="003E6079"/>
    <w:rsid w:val="003E6128"/>
    <w:rsid w:val="003E6679"/>
    <w:rsid w:val="003E6D0F"/>
    <w:rsid w:val="003E6D1E"/>
    <w:rsid w:val="003E712E"/>
    <w:rsid w:val="003F0769"/>
    <w:rsid w:val="003F0DDA"/>
    <w:rsid w:val="003F140F"/>
    <w:rsid w:val="003F1552"/>
    <w:rsid w:val="003F15DB"/>
    <w:rsid w:val="003F2702"/>
    <w:rsid w:val="003F2778"/>
    <w:rsid w:val="003F36A4"/>
    <w:rsid w:val="003F3757"/>
    <w:rsid w:val="003F4900"/>
    <w:rsid w:val="003F70CA"/>
    <w:rsid w:val="003F7823"/>
    <w:rsid w:val="003F7CCB"/>
    <w:rsid w:val="00400E76"/>
    <w:rsid w:val="0040137F"/>
    <w:rsid w:val="00401C82"/>
    <w:rsid w:val="00402179"/>
    <w:rsid w:val="0040278D"/>
    <w:rsid w:val="00402C84"/>
    <w:rsid w:val="00403249"/>
    <w:rsid w:val="00403781"/>
    <w:rsid w:val="0040471A"/>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A4D"/>
    <w:rsid w:val="00422B3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9C0"/>
    <w:rsid w:val="00434ECD"/>
    <w:rsid w:val="00435075"/>
    <w:rsid w:val="004355AB"/>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A7B"/>
    <w:rsid w:val="00483042"/>
    <w:rsid w:val="004835E6"/>
    <w:rsid w:val="0048386B"/>
    <w:rsid w:val="00483C14"/>
    <w:rsid w:val="00484EDE"/>
    <w:rsid w:val="004858CD"/>
    <w:rsid w:val="00485DB6"/>
    <w:rsid w:val="0048628A"/>
    <w:rsid w:val="00486566"/>
    <w:rsid w:val="0048658E"/>
    <w:rsid w:val="00487D6A"/>
    <w:rsid w:val="00490303"/>
    <w:rsid w:val="004911B6"/>
    <w:rsid w:val="00491C96"/>
    <w:rsid w:val="004923B6"/>
    <w:rsid w:val="00494294"/>
    <w:rsid w:val="00495611"/>
    <w:rsid w:val="004961DA"/>
    <w:rsid w:val="00496359"/>
    <w:rsid w:val="00497926"/>
    <w:rsid w:val="004A115C"/>
    <w:rsid w:val="004A14BE"/>
    <w:rsid w:val="004A2A62"/>
    <w:rsid w:val="004A2BF5"/>
    <w:rsid w:val="004A3085"/>
    <w:rsid w:val="004A3BD9"/>
    <w:rsid w:val="004A3C58"/>
    <w:rsid w:val="004A4178"/>
    <w:rsid w:val="004A4BD5"/>
    <w:rsid w:val="004A4CFD"/>
    <w:rsid w:val="004A4FB5"/>
    <w:rsid w:val="004A677C"/>
    <w:rsid w:val="004A6C04"/>
    <w:rsid w:val="004A7D4A"/>
    <w:rsid w:val="004B05A5"/>
    <w:rsid w:val="004B0EB6"/>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2082"/>
    <w:rsid w:val="004C20F2"/>
    <w:rsid w:val="004C251E"/>
    <w:rsid w:val="004C3F25"/>
    <w:rsid w:val="004C4E77"/>
    <w:rsid w:val="004C525E"/>
    <w:rsid w:val="004C6796"/>
    <w:rsid w:val="004C67E2"/>
    <w:rsid w:val="004C6BD8"/>
    <w:rsid w:val="004C7263"/>
    <w:rsid w:val="004C7A27"/>
    <w:rsid w:val="004D0490"/>
    <w:rsid w:val="004D10C7"/>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B01"/>
    <w:rsid w:val="00505CA0"/>
    <w:rsid w:val="00506A11"/>
    <w:rsid w:val="00507043"/>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4AE2"/>
    <w:rsid w:val="00564F73"/>
    <w:rsid w:val="0056555A"/>
    <w:rsid w:val="00565D5E"/>
    <w:rsid w:val="005669D6"/>
    <w:rsid w:val="00566BC5"/>
    <w:rsid w:val="0056788F"/>
    <w:rsid w:val="00567998"/>
    <w:rsid w:val="00570911"/>
    <w:rsid w:val="005716F3"/>
    <w:rsid w:val="00573BC6"/>
    <w:rsid w:val="00575376"/>
    <w:rsid w:val="005759CD"/>
    <w:rsid w:val="00575D39"/>
    <w:rsid w:val="00575F2C"/>
    <w:rsid w:val="005773AC"/>
    <w:rsid w:val="00577884"/>
    <w:rsid w:val="00577C3F"/>
    <w:rsid w:val="00581C0F"/>
    <w:rsid w:val="00582919"/>
    <w:rsid w:val="00583749"/>
    <w:rsid w:val="005849B2"/>
    <w:rsid w:val="00585172"/>
    <w:rsid w:val="00586719"/>
    <w:rsid w:val="00587366"/>
    <w:rsid w:val="0058757A"/>
    <w:rsid w:val="00590037"/>
    <w:rsid w:val="00590579"/>
    <w:rsid w:val="00590892"/>
    <w:rsid w:val="00591931"/>
    <w:rsid w:val="00593476"/>
    <w:rsid w:val="005937BC"/>
    <w:rsid w:val="00594C52"/>
    <w:rsid w:val="00595511"/>
    <w:rsid w:val="00596238"/>
    <w:rsid w:val="00596514"/>
    <w:rsid w:val="0059679B"/>
    <w:rsid w:val="00597B2E"/>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C5D"/>
    <w:rsid w:val="005C021D"/>
    <w:rsid w:val="005C02B5"/>
    <w:rsid w:val="005C0821"/>
    <w:rsid w:val="005C1A74"/>
    <w:rsid w:val="005C2568"/>
    <w:rsid w:val="005C3294"/>
    <w:rsid w:val="005C347F"/>
    <w:rsid w:val="005C380A"/>
    <w:rsid w:val="005C3B63"/>
    <w:rsid w:val="005C450C"/>
    <w:rsid w:val="005C4942"/>
    <w:rsid w:val="005C6961"/>
    <w:rsid w:val="005C6F55"/>
    <w:rsid w:val="005C7898"/>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3894"/>
    <w:rsid w:val="005F487C"/>
    <w:rsid w:val="005F53A4"/>
    <w:rsid w:val="005F5FE1"/>
    <w:rsid w:val="005F62B2"/>
    <w:rsid w:val="005F692C"/>
    <w:rsid w:val="005F715E"/>
    <w:rsid w:val="006010DA"/>
    <w:rsid w:val="006015F0"/>
    <w:rsid w:val="006017AB"/>
    <w:rsid w:val="00604AC3"/>
    <w:rsid w:val="00605865"/>
    <w:rsid w:val="00611DC1"/>
    <w:rsid w:val="00613655"/>
    <w:rsid w:val="006144EE"/>
    <w:rsid w:val="00616236"/>
    <w:rsid w:val="00617125"/>
    <w:rsid w:val="00617813"/>
    <w:rsid w:val="006206CC"/>
    <w:rsid w:val="0062118E"/>
    <w:rsid w:val="00622B06"/>
    <w:rsid w:val="00623C15"/>
    <w:rsid w:val="00624425"/>
    <w:rsid w:val="006257C2"/>
    <w:rsid w:val="00625CD0"/>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F20"/>
    <w:rsid w:val="00645E03"/>
    <w:rsid w:val="00646A08"/>
    <w:rsid w:val="00646E43"/>
    <w:rsid w:val="00650392"/>
    <w:rsid w:val="0065061D"/>
    <w:rsid w:val="00651701"/>
    <w:rsid w:val="00652854"/>
    <w:rsid w:val="006545C5"/>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80F25"/>
    <w:rsid w:val="00682297"/>
    <w:rsid w:val="006842C0"/>
    <w:rsid w:val="00685689"/>
    <w:rsid w:val="0068594B"/>
    <w:rsid w:val="00686B04"/>
    <w:rsid w:val="00687CAD"/>
    <w:rsid w:val="006901FA"/>
    <w:rsid w:val="006904D3"/>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869"/>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12E8"/>
    <w:rsid w:val="006B1A37"/>
    <w:rsid w:val="006B1C19"/>
    <w:rsid w:val="006B218B"/>
    <w:rsid w:val="006B249F"/>
    <w:rsid w:val="006B31E7"/>
    <w:rsid w:val="006B4585"/>
    <w:rsid w:val="006B53EE"/>
    <w:rsid w:val="006B5BA1"/>
    <w:rsid w:val="006B5C96"/>
    <w:rsid w:val="006B65D4"/>
    <w:rsid w:val="006B7A58"/>
    <w:rsid w:val="006C15A0"/>
    <w:rsid w:val="006C26B3"/>
    <w:rsid w:val="006C2FEE"/>
    <w:rsid w:val="006C50B1"/>
    <w:rsid w:val="006C50C2"/>
    <w:rsid w:val="006C563A"/>
    <w:rsid w:val="006C6C8C"/>
    <w:rsid w:val="006C6E1A"/>
    <w:rsid w:val="006D1B6D"/>
    <w:rsid w:val="006D24C4"/>
    <w:rsid w:val="006D27EF"/>
    <w:rsid w:val="006D3FB4"/>
    <w:rsid w:val="006D425C"/>
    <w:rsid w:val="006D52D1"/>
    <w:rsid w:val="006D57BE"/>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51AA"/>
    <w:rsid w:val="006F5231"/>
    <w:rsid w:val="006F69E5"/>
    <w:rsid w:val="00700553"/>
    <w:rsid w:val="0070102E"/>
    <w:rsid w:val="00701218"/>
    <w:rsid w:val="00702D2E"/>
    <w:rsid w:val="007050B1"/>
    <w:rsid w:val="00705527"/>
    <w:rsid w:val="00705B80"/>
    <w:rsid w:val="007060B5"/>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5A75"/>
    <w:rsid w:val="00736115"/>
    <w:rsid w:val="007365AD"/>
    <w:rsid w:val="00736C54"/>
    <w:rsid w:val="007409D8"/>
    <w:rsid w:val="00740BA4"/>
    <w:rsid w:val="007411E3"/>
    <w:rsid w:val="007417CD"/>
    <w:rsid w:val="00742486"/>
    <w:rsid w:val="00742D6A"/>
    <w:rsid w:val="00743CAC"/>
    <w:rsid w:val="0074433B"/>
    <w:rsid w:val="007446C2"/>
    <w:rsid w:val="0074573F"/>
    <w:rsid w:val="0074628D"/>
    <w:rsid w:val="007473D2"/>
    <w:rsid w:val="007474B7"/>
    <w:rsid w:val="007479C2"/>
    <w:rsid w:val="00750A80"/>
    <w:rsid w:val="00750FC0"/>
    <w:rsid w:val="00751061"/>
    <w:rsid w:val="0075151E"/>
    <w:rsid w:val="0075265E"/>
    <w:rsid w:val="0075440D"/>
    <w:rsid w:val="00754EF8"/>
    <w:rsid w:val="007550FA"/>
    <w:rsid w:val="00755369"/>
    <w:rsid w:val="0075604A"/>
    <w:rsid w:val="0075650E"/>
    <w:rsid w:val="00757995"/>
    <w:rsid w:val="00760BAE"/>
    <w:rsid w:val="00762511"/>
    <w:rsid w:val="00762697"/>
    <w:rsid w:val="007644E6"/>
    <w:rsid w:val="007652EA"/>
    <w:rsid w:val="00766CDD"/>
    <w:rsid w:val="007674F3"/>
    <w:rsid w:val="00767CD2"/>
    <w:rsid w:val="00770859"/>
    <w:rsid w:val="00771B73"/>
    <w:rsid w:val="00772245"/>
    <w:rsid w:val="0077236C"/>
    <w:rsid w:val="0077277D"/>
    <w:rsid w:val="00774A5F"/>
    <w:rsid w:val="00774AB3"/>
    <w:rsid w:val="00774DFD"/>
    <w:rsid w:val="00775193"/>
    <w:rsid w:val="007753FA"/>
    <w:rsid w:val="0077544D"/>
    <w:rsid w:val="007758D3"/>
    <w:rsid w:val="00775D67"/>
    <w:rsid w:val="00776933"/>
    <w:rsid w:val="00776C78"/>
    <w:rsid w:val="007774E7"/>
    <w:rsid w:val="0078079A"/>
    <w:rsid w:val="007814A7"/>
    <w:rsid w:val="0078249C"/>
    <w:rsid w:val="00782761"/>
    <w:rsid w:val="00784AA0"/>
    <w:rsid w:val="00784F3D"/>
    <w:rsid w:val="00785321"/>
    <w:rsid w:val="00785E63"/>
    <w:rsid w:val="007860B9"/>
    <w:rsid w:val="007861AF"/>
    <w:rsid w:val="00786DD5"/>
    <w:rsid w:val="00787184"/>
    <w:rsid w:val="00790613"/>
    <w:rsid w:val="00791464"/>
    <w:rsid w:val="007914E4"/>
    <w:rsid w:val="0079183F"/>
    <w:rsid w:val="00791CA9"/>
    <w:rsid w:val="00791E58"/>
    <w:rsid w:val="00792323"/>
    <w:rsid w:val="007923E1"/>
    <w:rsid w:val="00794C2B"/>
    <w:rsid w:val="00795FC5"/>
    <w:rsid w:val="00797D59"/>
    <w:rsid w:val="007A0692"/>
    <w:rsid w:val="007A082B"/>
    <w:rsid w:val="007A0A0E"/>
    <w:rsid w:val="007A1303"/>
    <w:rsid w:val="007A28D5"/>
    <w:rsid w:val="007A2C90"/>
    <w:rsid w:val="007A4419"/>
    <w:rsid w:val="007A5823"/>
    <w:rsid w:val="007A5E03"/>
    <w:rsid w:val="007A638B"/>
    <w:rsid w:val="007A65E0"/>
    <w:rsid w:val="007A70B9"/>
    <w:rsid w:val="007A729D"/>
    <w:rsid w:val="007A7602"/>
    <w:rsid w:val="007A7A58"/>
    <w:rsid w:val="007A7E06"/>
    <w:rsid w:val="007B02B9"/>
    <w:rsid w:val="007B08F5"/>
    <w:rsid w:val="007B1AED"/>
    <w:rsid w:val="007B229B"/>
    <w:rsid w:val="007B233D"/>
    <w:rsid w:val="007B2587"/>
    <w:rsid w:val="007B26B2"/>
    <w:rsid w:val="007B30F3"/>
    <w:rsid w:val="007B5AF0"/>
    <w:rsid w:val="007B6317"/>
    <w:rsid w:val="007B694D"/>
    <w:rsid w:val="007B79A9"/>
    <w:rsid w:val="007C0013"/>
    <w:rsid w:val="007C0CBC"/>
    <w:rsid w:val="007C1605"/>
    <w:rsid w:val="007C255D"/>
    <w:rsid w:val="007C3795"/>
    <w:rsid w:val="007C37D2"/>
    <w:rsid w:val="007C3985"/>
    <w:rsid w:val="007C6110"/>
    <w:rsid w:val="007C6AE2"/>
    <w:rsid w:val="007C6D06"/>
    <w:rsid w:val="007C7154"/>
    <w:rsid w:val="007C78C4"/>
    <w:rsid w:val="007C7CA2"/>
    <w:rsid w:val="007D08F9"/>
    <w:rsid w:val="007D0C01"/>
    <w:rsid w:val="007D26D2"/>
    <w:rsid w:val="007D27D5"/>
    <w:rsid w:val="007D2E26"/>
    <w:rsid w:val="007D3356"/>
    <w:rsid w:val="007D3FBD"/>
    <w:rsid w:val="007D49A0"/>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3C1"/>
    <w:rsid w:val="00843908"/>
    <w:rsid w:val="008443E1"/>
    <w:rsid w:val="008444D4"/>
    <w:rsid w:val="00845D12"/>
    <w:rsid w:val="00846713"/>
    <w:rsid w:val="00846C5D"/>
    <w:rsid w:val="00846D48"/>
    <w:rsid w:val="008472A9"/>
    <w:rsid w:val="008473E4"/>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325"/>
    <w:rsid w:val="008645F1"/>
    <w:rsid w:val="00864EBB"/>
    <w:rsid w:val="008662C0"/>
    <w:rsid w:val="0086644C"/>
    <w:rsid w:val="008701F3"/>
    <w:rsid w:val="0087030B"/>
    <w:rsid w:val="008705E1"/>
    <w:rsid w:val="0087153F"/>
    <w:rsid w:val="00872938"/>
    <w:rsid w:val="00873ABF"/>
    <w:rsid w:val="0087459A"/>
    <w:rsid w:val="00875167"/>
    <w:rsid w:val="00875A88"/>
    <w:rsid w:val="00875DF8"/>
    <w:rsid w:val="008765E3"/>
    <w:rsid w:val="00876DCE"/>
    <w:rsid w:val="00876F0A"/>
    <w:rsid w:val="00876FBF"/>
    <w:rsid w:val="00881572"/>
    <w:rsid w:val="00881D31"/>
    <w:rsid w:val="00882FEA"/>
    <w:rsid w:val="0088320F"/>
    <w:rsid w:val="00883450"/>
    <w:rsid w:val="008834D1"/>
    <w:rsid w:val="0088398C"/>
    <w:rsid w:val="00884726"/>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52F3"/>
    <w:rsid w:val="008A5456"/>
    <w:rsid w:val="008A56DD"/>
    <w:rsid w:val="008A6ED2"/>
    <w:rsid w:val="008A74F2"/>
    <w:rsid w:val="008A7536"/>
    <w:rsid w:val="008A7F1F"/>
    <w:rsid w:val="008A7F7D"/>
    <w:rsid w:val="008B1A0C"/>
    <w:rsid w:val="008B1A5A"/>
    <w:rsid w:val="008B382F"/>
    <w:rsid w:val="008B38BC"/>
    <w:rsid w:val="008B3CBF"/>
    <w:rsid w:val="008B4590"/>
    <w:rsid w:val="008B5AB4"/>
    <w:rsid w:val="008B66A6"/>
    <w:rsid w:val="008B6849"/>
    <w:rsid w:val="008B7D4A"/>
    <w:rsid w:val="008B7FFE"/>
    <w:rsid w:val="008C0446"/>
    <w:rsid w:val="008C23FB"/>
    <w:rsid w:val="008C2B3C"/>
    <w:rsid w:val="008C2BFB"/>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5C3"/>
    <w:rsid w:val="008D4E99"/>
    <w:rsid w:val="008D5066"/>
    <w:rsid w:val="008D5A97"/>
    <w:rsid w:val="008D6697"/>
    <w:rsid w:val="008D6EA6"/>
    <w:rsid w:val="008D728C"/>
    <w:rsid w:val="008E0674"/>
    <w:rsid w:val="008E11CC"/>
    <w:rsid w:val="008E1B8F"/>
    <w:rsid w:val="008E2154"/>
    <w:rsid w:val="008E234C"/>
    <w:rsid w:val="008E26D5"/>
    <w:rsid w:val="008E29BB"/>
    <w:rsid w:val="008E2B17"/>
    <w:rsid w:val="008E3E12"/>
    <w:rsid w:val="008E4DCD"/>
    <w:rsid w:val="008E5767"/>
    <w:rsid w:val="008E580D"/>
    <w:rsid w:val="008E63C7"/>
    <w:rsid w:val="008E7DFD"/>
    <w:rsid w:val="008F12E6"/>
    <w:rsid w:val="008F1558"/>
    <w:rsid w:val="008F2263"/>
    <w:rsid w:val="008F2B44"/>
    <w:rsid w:val="008F330B"/>
    <w:rsid w:val="008F3A6B"/>
    <w:rsid w:val="008F5927"/>
    <w:rsid w:val="008F5D4C"/>
    <w:rsid w:val="008F5F96"/>
    <w:rsid w:val="008F7752"/>
    <w:rsid w:val="009006C5"/>
    <w:rsid w:val="0090174A"/>
    <w:rsid w:val="00902E52"/>
    <w:rsid w:val="009036B3"/>
    <w:rsid w:val="009052C1"/>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1D8F"/>
    <w:rsid w:val="00922166"/>
    <w:rsid w:val="00923604"/>
    <w:rsid w:val="00925C68"/>
    <w:rsid w:val="009315B0"/>
    <w:rsid w:val="009316E9"/>
    <w:rsid w:val="00931C93"/>
    <w:rsid w:val="00931EE2"/>
    <w:rsid w:val="00931FD8"/>
    <w:rsid w:val="0093282F"/>
    <w:rsid w:val="0093416D"/>
    <w:rsid w:val="009341A4"/>
    <w:rsid w:val="00934799"/>
    <w:rsid w:val="0093652D"/>
    <w:rsid w:val="00936999"/>
    <w:rsid w:val="0093714F"/>
    <w:rsid w:val="00937309"/>
    <w:rsid w:val="00937D66"/>
    <w:rsid w:val="009405CB"/>
    <w:rsid w:val="0094065A"/>
    <w:rsid w:val="00940FE2"/>
    <w:rsid w:val="009420B5"/>
    <w:rsid w:val="00943E62"/>
    <w:rsid w:val="00945A61"/>
    <w:rsid w:val="009467D2"/>
    <w:rsid w:val="00950154"/>
    <w:rsid w:val="00950C6E"/>
    <w:rsid w:val="00951ECA"/>
    <w:rsid w:val="0095218D"/>
    <w:rsid w:val="00953054"/>
    <w:rsid w:val="009531D6"/>
    <w:rsid w:val="00953610"/>
    <w:rsid w:val="0095382C"/>
    <w:rsid w:val="00953B03"/>
    <w:rsid w:val="009548C1"/>
    <w:rsid w:val="00955D67"/>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5852"/>
    <w:rsid w:val="009767EB"/>
    <w:rsid w:val="00977D37"/>
    <w:rsid w:val="009813EA"/>
    <w:rsid w:val="009830D3"/>
    <w:rsid w:val="00983535"/>
    <w:rsid w:val="00983B8F"/>
    <w:rsid w:val="00984D47"/>
    <w:rsid w:val="0098595E"/>
    <w:rsid w:val="00986073"/>
    <w:rsid w:val="0098780B"/>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B7C54"/>
    <w:rsid w:val="009C0940"/>
    <w:rsid w:val="009C0950"/>
    <w:rsid w:val="009C1D99"/>
    <w:rsid w:val="009C1F8B"/>
    <w:rsid w:val="009C20A8"/>
    <w:rsid w:val="009C5057"/>
    <w:rsid w:val="009C6069"/>
    <w:rsid w:val="009D1378"/>
    <w:rsid w:val="009D1780"/>
    <w:rsid w:val="009D2384"/>
    <w:rsid w:val="009D3240"/>
    <w:rsid w:val="009D3A6E"/>
    <w:rsid w:val="009D3E9A"/>
    <w:rsid w:val="009D55C6"/>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154"/>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D84"/>
    <w:rsid w:val="00A10336"/>
    <w:rsid w:val="00A10CE2"/>
    <w:rsid w:val="00A13400"/>
    <w:rsid w:val="00A13703"/>
    <w:rsid w:val="00A13811"/>
    <w:rsid w:val="00A13838"/>
    <w:rsid w:val="00A13D7D"/>
    <w:rsid w:val="00A15C42"/>
    <w:rsid w:val="00A166B8"/>
    <w:rsid w:val="00A16DF1"/>
    <w:rsid w:val="00A17302"/>
    <w:rsid w:val="00A17A17"/>
    <w:rsid w:val="00A2069D"/>
    <w:rsid w:val="00A20B1F"/>
    <w:rsid w:val="00A21050"/>
    <w:rsid w:val="00A21DA3"/>
    <w:rsid w:val="00A235D0"/>
    <w:rsid w:val="00A24131"/>
    <w:rsid w:val="00A255AD"/>
    <w:rsid w:val="00A27A7F"/>
    <w:rsid w:val="00A3276A"/>
    <w:rsid w:val="00A349D2"/>
    <w:rsid w:val="00A34C05"/>
    <w:rsid w:val="00A35492"/>
    <w:rsid w:val="00A35FCF"/>
    <w:rsid w:val="00A36064"/>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72BC"/>
    <w:rsid w:val="00A57A82"/>
    <w:rsid w:val="00A62B7B"/>
    <w:rsid w:val="00A63B45"/>
    <w:rsid w:val="00A65B37"/>
    <w:rsid w:val="00A66AE9"/>
    <w:rsid w:val="00A67428"/>
    <w:rsid w:val="00A679BF"/>
    <w:rsid w:val="00A70CF3"/>
    <w:rsid w:val="00A7155E"/>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724"/>
    <w:rsid w:val="00A82C13"/>
    <w:rsid w:val="00A82C5A"/>
    <w:rsid w:val="00A83FF6"/>
    <w:rsid w:val="00A84187"/>
    <w:rsid w:val="00A85CB7"/>
    <w:rsid w:val="00A8620F"/>
    <w:rsid w:val="00A8652F"/>
    <w:rsid w:val="00A86AAB"/>
    <w:rsid w:val="00A86D49"/>
    <w:rsid w:val="00A8769A"/>
    <w:rsid w:val="00A877B4"/>
    <w:rsid w:val="00A87B22"/>
    <w:rsid w:val="00A902D4"/>
    <w:rsid w:val="00A90FF4"/>
    <w:rsid w:val="00A917E3"/>
    <w:rsid w:val="00A918B0"/>
    <w:rsid w:val="00A92E9F"/>
    <w:rsid w:val="00A92EC0"/>
    <w:rsid w:val="00A92EED"/>
    <w:rsid w:val="00A94F2F"/>
    <w:rsid w:val="00A95848"/>
    <w:rsid w:val="00A975D5"/>
    <w:rsid w:val="00A9772B"/>
    <w:rsid w:val="00AA0660"/>
    <w:rsid w:val="00AA1409"/>
    <w:rsid w:val="00AA29D8"/>
    <w:rsid w:val="00AA2D1F"/>
    <w:rsid w:val="00AA3875"/>
    <w:rsid w:val="00AA404A"/>
    <w:rsid w:val="00AA40DC"/>
    <w:rsid w:val="00AA43A3"/>
    <w:rsid w:val="00AA5BE8"/>
    <w:rsid w:val="00AA6228"/>
    <w:rsid w:val="00AA69A4"/>
    <w:rsid w:val="00AA75D4"/>
    <w:rsid w:val="00AB1131"/>
    <w:rsid w:val="00AB1B91"/>
    <w:rsid w:val="00AB2744"/>
    <w:rsid w:val="00AB274F"/>
    <w:rsid w:val="00AB39E0"/>
    <w:rsid w:val="00AB3F90"/>
    <w:rsid w:val="00AB5F30"/>
    <w:rsid w:val="00AB61E4"/>
    <w:rsid w:val="00AB6BE3"/>
    <w:rsid w:val="00AB7AAA"/>
    <w:rsid w:val="00AC2197"/>
    <w:rsid w:val="00AC37C3"/>
    <w:rsid w:val="00AC3E08"/>
    <w:rsid w:val="00AC3E65"/>
    <w:rsid w:val="00AC535B"/>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CCB"/>
    <w:rsid w:val="00AE48E8"/>
    <w:rsid w:val="00AE5FF5"/>
    <w:rsid w:val="00AE6F39"/>
    <w:rsid w:val="00AE7F20"/>
    <w:rsid w:val="00AF0E7C"/>
    <w:rsid w:val="00AF1F04"/>
    <w:rsid w:val="00AF3B55"/>
    <w:rsid w:val="00AF3D59"/>
    <w:rsid w:val="00AF5337"/>
    <w:rsid w:val="00AF5C58"/>
    <w:rsid w:val="00AF615F"/>
    <w:rsid w:val="00AF6794"/>
    <w:rsid w:val="00AF6BCD"/>
    <w:rsid w:val="00AF6F48"/>
    <w:rsid w:val="00AF717E"/>
    <w:rsid w:val="00AF77A6"/>
    <w:rsid w:val="00AF7E53"/>
    <w:rsid w:val="00B016F7"/>
    <w:rsid w:val="00B024B9"/>
    <w:rsid w:val="00B02BDD"/>
    <w:rsid w:val="00B04A9B"/>
    <w:rsid w:val="00B04E10"/>
    <w:rsid w:val="00B055B9"/>
    <w:rsid w:val="00B07194"/>
    <w:rsid w:val="00B0733E"/>
    <w:rsid w:val="00B10AFF"/>
    <w:rsid w:val="00B12CE1"/>
    <w:rsid w:val="00B13243"/>
    <w:rsid w:val="00B13511"/>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28BD"/>
    <w:rsid w:val="00B433EB"/>
    <w:rsid w:val="00B447D7"/>
    <w:rsid w:val="00B44F9F"/>
    <w:rsid w:val="00B451F7"/>
    <w:rsid w:val="00B452A3"/>
    <w:rsid w:val="00B4545E"/>
    <w:rsid w:val="00B46127"/>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2FF7"/>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BC1"/>
    <w:rsid w:val="00B76C73"/>
    <w:rsid w:val="00B808A4"/>
    <w:rsid w:val="00B81371"/>
    <w:rsid w:val="00B818B8"/>
    <w:rsid w:val="00B8225B"/>
    <w:rsid w:val="00B83B1F"/>
    <w:rsid w:val="00B83E2E"/>
    <w:rsid w:val="00B84739"/>
    <w:rsid w:val="00B855AA"/>
    <w:rsid w:val="00B864B3"/>
    <w:rsid w:val="00B87678"/>
    <w:rsid w:val="00B8780A"/>
    <w:rsid w:val="00B902E7"/>
    <w:rsid w:val="00B90B4F"/>
    <w:rsid w:val="00B922D9"/>
    <w:rsid w:val="00B926D6"/>
    <w:rsid w:val="00B93351"/>
    <w:rsid w:val="00B945F2"/>
    <w:rsid w:val="00B95670"/>
    <w:rsid w:val="00B959FD"/>
    <w:rsid w:val="00B966BF"/>
    <w:rsid w:val="00B96FBD"/>
    <w:rsid w:val="00B974B4"/>
    <w:rsid w:val="00BA0012"/>
    <w:rsid w:val="00BA0458"/>
    <w:rsid w:val="00BA200D"/>
    <w:rsid w:val="00BA4BD7"/>
    <w:rsid w:val="00BA4F66"/>
    <w:rsid w:val="00BA54A2"/>
    <w:rsid w:val="00BA6D15"/>
    <w:rsid w:val="00BA7987"/>
    <w:rsid w:val="00BA7CFA"/>
    <w:rsid w:val="00BB1309"/>
    <w:rsid w:val="00BB2592"/>
    <w:rsid w:val="00BB3156"/>
    <w:rsid w:val="00BB4F26"/>
    <w:rsid w:val="00BB5CA9"/>
    <w:rsid w:val="00BB6662"/>
    <w:rsid w:val="00BB7E0C"/>
    <w:rsid w:val="00BC0CE4"/>
    <w:rsid w:val="00BC1CB0"/>
    <w:rsid w:val="00BC2139"/>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2B8"/>
    <w:rsid w:val="00BF2346"/>
    <w:rsid w:val="00BF3B85"/>
    <w:rsid w:val="00BF485E"/>
    <w:rsid w:val="00BF6B5B"/>
    <w:rsid w:val="00BF6D83"/>
    <w:rsid w:val="00BF704D"/>
    <w:rsid w:val="00BF7365"/>
    <w:rsid w:val="00BF7585"/>
    <w:rsid w:val="00BF7596"/>
    <w:rsid w:val="00BF7824"/>
    <w:rsid w:val="00C020F8"/>
    <w:rsid w:val="00C0234A"/>
    <w:rsid w:val="00C02535"/>
    <w:rsid w:val="00C0431A"/>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5C57"/>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D3"/>
    <w:rsid w:val="00C43233"/>
    <w:rsid w:val="00C43A3B"/>
    <w:rsid w:val="00C4406D"/>
    <w:rsid w:val="00C454F4"/>
    <w:rsid w:val="00C45581"/>
    <w:rsid w:val="00C45BF0"/>
    <w:rsid w:val="00C46213"/>
    <w:rsid w:val="00C4629E"/>
    <w:rsid w:val="00C465BE"/>
    <w:rsid w:val="00C4712A"/>
    <w:rsid w:val="00C47468"/>
    <w:rsid w:val="00C47CDC"/>
    <w:rsid w:val="00C50A2B"/>
    <w:rsid w:val="00C5125B"/>
    <w:rsid w:val="00C51671"/>
    <w:rsid w:val="00C5280A"/>
    <w:rsid w:val="00C5401F"/>
    <w:rsid w:val="00C54922"/>
    <w:rsid w:val="00C55FE8"/>
    <w:rsid w:val="00C57BBC"/>
    <w:rsid w:val="00C601EF"/>
    <w:rsid w:val="00C603F1"/>
    <w:rsid w:val="00C6199A"/>
    <w:rsid w:val="00C621BE"/>
    <w:rsid w:val="00C6220B"/>
    <w:rsid w:val="00C62658"/>
    <w:rsid w:val="00C634D6"/>
    <w:rsid w:val="00C63CF2"/>
    <w:rsid w:val="00C642ED"/>
    <w:rsid w:val="00C6440A"/>
    <w:rsid w:val="00C648FC"/>
    <w:rsid w:val="00C65875"/>
    <w:rsid w:val="00C65EDE"/>
    <w:rsid w:val="00C663BE"/>
    <w:rsid w:val="00C6722D"/>
    <w:rsid w:val="00C70AB7"/>
    <w:rsid w:val="00C716A2"/>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62C4"/>
    <w:rsid w:val="00C86977"/>
    <w:rsid w:val="00C86B34"/>
    <w:rsid w:val="00C86FFF"/>
    <w:rsid w:val="00C871C7"/>
    <w:rsid w:val="00C87AC8"/>
    <w:rsid w:val="00C91060"/>
    <w:rsid w:val="00C91720"/>
    <w:rsid w:val="00C928FD"/>
    <w:rsid w:val="00C95593"/>
    <w:rsid w:val="00C9667A"/>
    <w:rsid w:val="00C96A1F"/>
    <w:rsid w:val="00C9707E"/>
    <w:rsid w:val="00CA03B7"/>
    <w:rsid w:val="00CA0640"/>
    <w:rsid w:val="00CA2022"/>
    <w:rsid w:val="00CA4741"/>
    <w:rsid w:val="00CA4CF0"/>
    <w:rsid w:val="00CA543E"/>
    <w:rsid w:val="00CA5465"/>
    <w:rsid w:val="00CA5FEE"/>
    <w:rsid w:val="00CA62D4"/>
    <w:rsid w:val="00CA7A78"/>
    <w:rsid w:val="00CA7F49"/>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6866"/>
    <w:rsid w:val="00CD76D4"/>
    <w:rsid w:val="00CD7893"/>
    <w:rsid w:val="00CD7911"/>
    <w:rsid w:val="00CD7A0C"/>
    <w:rsid w:val="00CE03CC"/>
    <w:rsid w:val="00CE5758"/>
    <w:rsid w:val="00CE6EC5"/>
    <w:rsid w:val="00CE7E6A"/>
    <w:rsid w:val="00CF030B"/>
    <w:rsid w:val="00CF15AD"/>
    <w:rsid w:val="00CF23A2"/>
    <w:rsid w:val="00CF2665"/>
    <w:rsid w:val="00CF5D77"/>
    <w:rsid w:val="00CF6EB2"/>
    <w:rsid w:val="00D00269"/>
    <w:rsid w:val="00D02F72"/>
    <w:rsid w:val="00D04655"/>
    <w:rsid w:val="00D056B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A9F"/>
    <w:rsid w:val="00D266ED"/>
    <w:rsid w:val="00D26C47"/>
    <w:rsid w:val="00D2734A"/>
    <w:rsid w:val="00D276CF"/>
    <w:rsid w:val="00D27F25"/>
    <w:rsid w:val="00D30003"/>
    <w:rsid w:val="00D306AB"/>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7BF"/>
    <w:rsid w:val="00D46D5B"/>
    <w:rsid w:val="00D47265"/>
    <w:rsid w:val="00D47500"/>
    <w:rsid w:val="00D4793C"/>
    <w:rsid w:val="00D47B8B"/>
    <w:rsid w:val="00D525E2"/>
    <w:rsid w:val="00D53E76"/>
    <w:rsid w:val="00D5750C"/>
    <w:rsid w:val="00D60582"/>
    <w:rsid w:val="00D61222"/>
    <w:rsid w:val="00D6172D"/>
    <w:rsid w:val="00D6172F"/>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1D4F"/>
    <w:rsid w:val="00DA226D"/>
    <w:rsid w:val="00DA22D8"/>
    <w:rsid w:val="00DA2D95"/>
    <w:rsid w:val="00DA3A4F"/>
    <w:rsid w:val="00DA42C0"/>
    <w:rsid w:val="00DA42E6"/>
    <w:rsid w:val="00DA52A2"/>
    <w:rsid w:val="00DA5647"/>
    <w:rsid w:val="00DA57B0"/>
    <w:rsid w:val="00DA7146"/>
    <w:rsid w:val="00DA7E2F"/>
    <w:rsid w:val="00DB0C0B"/>
    <w:rsid w:val="00DB0D6C"/>
    <w:rsid w:val="00DB2446"/>
    <w:rsid w:val="00DB31E7"/>
    <w:rsid w:val="00DB3A66"/>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5188"/>
    <w:rsid w:val="00DC5A97"/>
    <w:rsid w:val="00DC6294"/>
    <w:rsid w:val="00DC6AEA"/>
    <w:rsid w:val="00DC7377"/>
    <w:rsid w:val="00DD0282"/>
    <w:rsid w:val="00DD2912"/>
    <w:rsid w:val="00DD2A39"/>
    <w:rsid w:val="00DD2E02"/>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5537"/>
    <w:rsid w:val="00E36F7D"/>
    <w:rsid w:val="00E41813"/>
    <w:rsid w:val="00E43ABE"/>
    <w:rsid w:val="00E44057"/>
    <w:rsid w:val="00E445BD"/>
    <w:rsid w:val="00E46673"/>
    <w:rsid w:val="00E46BF7"/>
    <w:rsid w:val="00E47A5F"/>
    <w:rsid w:val="00E47F04"/>
    <w:rsid w:val="00E50266"/>
    <w:rsid w:val="00E50385"/>
    <w:rsid w:val="00E506E7"/>
    <w:rsid w:val="00E507A5"/>
    <w:rsid w:val="00E51A57"/>
    <w:rsid w:val="00E528D2"/>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7FF"/>
    <w:rsid w:val="00E650C6"/>
    <w:rsid w:val="00E6520A"/>
    <w:rsid w:val="00E6662D"/>
    <w:rsid w:val="00E66A80"/>
    <w:rsid w:val="00E66EE6"/>
    <w:rsid w:val="00E7063D"/>
    <w:rsid w:val="00E71329"/>
    <w:rsid w:val="00E71633"/>
    <w:rsid w:val="00E7218C"/>
    <w:rsid w:val="00E72689"/>
    <w:rsid w:val="00E730A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6326"/>
    <w:rsid w:val="00E969D2"/>
    <w:rsid w:val="00E96FC5"/>
    <w:rsid w:val="00E975DC"/>
    <w:rsid w:val="00E97D83"/>
    <w:rsid w:val="00EA0CA1"/>
    <w:rsid w:val="00EA1D8B"/>
    <w:rsid w:val="00EA289E"/>
    <w:rsid w:val="00EA2E5E"/>
    <w:rsid w:val="00EA3249"/>
    <w:rsid w:val="00EA37A0"/>
    <w:rsid w:val="00EA3C59"/>
    <w:rsid w:val="00EA4CEB"/>
    <w:rsid w:val="00EA5061"/>
    <w:rsid w:val="00EA5118"/>
    <w:rsid w:val="00EA53CF"/>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743F"/>
    <w:rsid w:val="00EC064C"/>
    <w:rsid w:val="00EC0BFA"/>
    <w:rsid w:val="00EC0D38"/>
    <w:rsid w:val="00EC115D"/>
    <w:rsid w:val="00EC152A"/>
    <w:rsid w:val="00EC1BC5"/>
    <w:rsid w:val="00EC23AC"/>
    <w:rsid w:val="00EC3328"/>
    <w:rsid w:val="00EC34A9"/>
    <w:rsid w:val="00EC3934"/>
    <w:rsid w:val="00EC3BA1"/>
    <w:rsid w:val="00EC61C5"/>
    <w:rsid w:val="00EC6F0E"/>
    <w:rsid w:val="00EC7352"/>
    <w:rsid w:val="00ED2270"/>
    <w:rsid w:val="00ED26C0"/>
    <w:rsid w:val="00ED3818"/>
    <w:rsid w:val="00ED3B1D"/>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4C26"/>
    <w:rsid w:val="00EF5CC0"/>
    <w:rsid w:val="00EF6A2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5B55"/>
    <w:rsid w:val="00F17EFA"/>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B6F"/>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3104"/>
    <w:rsid w:val="00F5372F"/>
    <w:rsid w:val="00F53C70"/>
    <w:rsid w:val="00F550F8"/>
    <w:rsid w:val="00F55309"/>
    <w:rsid w:val="00F562A9"/>
    <w:rsid w:val="00F56E0D"/>
    <w:rsid w:val="00F606BE"/>
    <w:rsid w:val="00F60C62"/>
    <w:rsid w:val="00F6300E"/>
    <w:rsid w:val="00F6301A"/>
    <w:rsid w:val="00F638B9"/>
    <w:rsid w:val="00F63940"/>
    <w:rsid w:val="00F645AF"/>
    <w:rsid w:val="00F65D41"/>
    <w:rsid w:val="00F664F8"/>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708E"/>
    <w:rsid w:val="00F97916"/>
    <w:rsid w:val="00F97AFE"/>
    <w:rsid w:val="00F97E65"/>
    <w:rsid w:val="00FA0128"/>
    <w:rsid w:val="00FA0F09"/>
    <w:rsid w:val="00FA1786"/>
    <w:rsid w:val="00FA17C2"/>
    <w:rsid w:val="00FA215F"/>
    <w:rsid w:val="00FA2406"/>
    <w:rsid w:val="00FA3191"/>
    <w:rsid w:val="00FA3808"/>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FBE"/>
    <w:rsid w:val="00FC0824"/>
    <w:rsid w:val="00FC0C57"/>
    <w:rsid w:val="00FC16B9"/>
    <w:rsid w:val="00FC1DA7"/>
    <w:rsid w:val="00FC2414"/>
    <w:rsid w:val="00FC2C4D"/>
    <w:rsid w:val="00FC2E20"/>
    <w:rsid w:val="00FC44A1"/>
    <w:rsid w:val="00FC4DEB"/>
    <w:rsid w:val="00FC50CE"/>
    <w:rsid w:val="00FC62AC"/>
    <w:rsid w:val="00FC66A8"/>
    <w:rsid w:val="00FC6AC7"/>
    <w:rsid w:val="00FC6C3D"/>
    <w:rsid w:val="00FC77FF"/>
    <w:rsid w:val="00FC7E40"/>
    <w:rsid w:val="00FD01C5"/>
    <w:rsid w:val="00FD0617"/>
    <w:rsid w:val="00FD0B5A"/>
    <w:rsid w:val="00FD1351"/>
    <w:rsid w:val="00FD27EA"/>
    <w:rsid w:val="00FD33CC"/>
    <w:rsid w:val="00FD4B65"/>
    <w:rsid w:val="00FD600C"/>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233"/>
    <w:rsid w:val="00FF335C"/>
    <w:rsid w:val="00FF3373"/>
    <w:rsid w:val="00FF35F5"/>
    <w:rsid w:val="00FF3B7B"/>
    <w:rsid w:val="00FF3EA0"/>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UnresolvedMention">
    <w:name w:val="Unresolved Mention"/>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357E3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7275056">
      <w:bodyDiv w:val="1"/>
      <w:marLeft w:val="0"/>
      <w:marRight w:val="0"/>
      <w:marTop w:val="0"/>
      <w:marBottom w:val="0"/>
      <w:divBdr>
        <w:top w:val="none" w:sz="0" w:space="0" w:color="auto"/>
        <w:left w:val="none" w:sz="0" w:space="0" w:color="auto"/>
        <w:bottom w:val="none" w:sz="0" w:space="0" w:color="auto"/>
        <w:right w:val="none" w:sz="0" w:space="0" w:color="auto"/>
      </w:divBdr>
      <w:divsChild>
        <w:div w:id="1403411321">
          <w:marLeft w:val="0"/>
          <w:marRight w:val="0"/>
          <w:marTop w:val="0"/>
          <w:marBottom w:val="80"/>
          <w:divBdr>
            <w:top w:val="none" w:sz="0" w:space="0" w:color="auto"/>
            <w:left w:val="none" w:sz="0" w:space="0" w:color="auto"/>
            <w:bottom w:val="none" w:sz="0" w:space="0" w:color="auto"/>
            <w:right w:val="none" w:sz="0" w:space="0" w:color="auto"/>
          </w:divBdr>
        </w:div>
        <w:div w:id="1687976696">
          <w:marLeft w:val="0"/>
          <w:marRight w:val="0"/>
          <w:marTop w:val="0"/>
          <w:marBottom w:val="80"/>
          <w:divBdr>
            <w:top w:val="none" w:sz="0" w:space="0" w:color="auto"/>
            <w:left w:val="none" w:sz="0" w:space="0" w:color="auto"/>
            <w:bottom w:val="none" w:sz="0" w:space="0" w:color="auto"/>
            <w:right w:val="none" w:sz="0" w:space="0" w:color="auto"/>
          </w:divBdr>
        </w:div>
        <w:div w:id="773521846">
          <w:marLeft w:val="864"/>
          <w:marRight w:val="0"/>
          <w:marTop w:val="0"/>
          <w:marBottom w:val="80"/>
          <w:divBdr>
            <w:top w:val="none" w:sz="0" w:space="0" w:color="auto"/>
            <w:left w:val="none" w:sz="0" w:space="0" w:color="auto"/>
            <w:bottom w:val="none" w:sz="0" w:space="0" w:color="auto"/>
            <w:right w:val="none" w:sz="0" w:space="0" w:color="auto"/>
          </w:divBdr>
        </w:div>
        <w:div w:id="756441171">
          <w:marLeft w:val="864"/>
          <w:marRight w:val="0"/>
          <w:marTop w:val="0"/>
          <w:marBottom w:val="80"/>
          <w:divBdr>
            <w:top w:val="none" w:sz="0" w:space="0" w:color="auto"/>
            <w:left w:val="none" w:sz="0" w:space="0" w:color="auto"/>
            <w:bottom w:val="none" w:sz="0" w:space="0" w:color="auto"/>
            <w:right w:val="none" w:sz="0" w:space="0" w:color="auto"/>
          </w:divBdr>
        </w:div>
        <w:div w:id="1839075380">
          <w:marLeft w:val="864"/>
          <w:marRight w:val="0"/>
          <w:marTop w:val="0"/>
          <w:marBottom w:val="80"/>
          <w:divBdr>
            <w:top w:val="none" w:sz="0" w:space="0" w:color="auto"/>
            <w:left w:val="none" w:sz="0" w:space="0" w:color="auto"/>
            <w:bottom w:val="none" w:sz="0" w:space="0" w:color="auto"/>
            <w:right w:val="none" w:sz="0" w:space="0" w:color="auto"/>
          </w:divBdr>
        </w:div>
        <w:div w:id="483007747">
          <w:marLeft w:val="864"/>
          <w:marRight w:val="0"/>
          <w:marTop w:val="0"/>
          <w:marBottom w:val="80"/>
          <w:divBdr>
            <w:top w:val="none" w:sz="0" w:space="0" w:color="auto"/>
            <w:left w:val="none" w:sz="0" w:space="0" w:color="auto"/>
            <w:bottom w:val="none" w:sz="0" w:space="0" w:color="auto"/>
            <w:right w:val="none" w:sz="0" w:space="0" w:color="auto"/>
          </w:divBdr>
        </w:div>
        <w:div w:id="99186891">
          <w:marLeft w:val="864"/>
          <w:marRight w:val="0"/>
          <w:marTop w:val="0"/>
          <w:marBottom w:val="80"/>
          <w:divBdr>
            <w:top w:val="none" w:sz="0" w:space="0" w:color="auto"/>
            <w:left w:val="none" w:sz="0" w:space="0" w:color="auto"/>
            <w:bottom w:val="none" w:sz="0" w:space="0" w:color="auto"/>
            <w:right w:val="none" w:sz="0" w:space="0" w:color="auto"/>
          </w:divBdr>
        </w:div>
        <w:div w:id="641614962">
          <w:marLeft w:val="864"/>
          <w:marRight w:val="0"/>
          <w:marTop w:val="0"/>
          <w:marBottom w:val="80"/>
          <w:divBdr>
            <w:top w:val="none" w:sz="0" w:space="0" w:color="auto"/>
            <w:left w:val="none" w:sz="0" w:space="0" w:color="auto"/>
            <w:bottom w:val="none" w:sz="0" w:space="0" w:color="auto"/>
            <w:right w:val="none" w:sz="0" w:space="0" w:color="auto"/>
          </w:divBdr>
        </w:div>
        <w:div w:id="1432622053">
          <w:marLeft w:val="864"/>
          <w:marRight w:val="0"/>
          <w:marTop w:val="0"/>
          <w:marBottom w:val="80"/>
          <w:divBdr>
            <w:top w:val="none" w:sz="0" w:space="0" w:color="auto"/>
            <w:left w:val="none" w:sz="0" w:space="0" w:color="auto"/>
            <w:bottom w:val="none" w:sz="0" w:space="0" w:color="auto"/>
            <w:right w:val="none" w:sz="0" w:space="0" w:color="auto"/>
          </w:divBdr>
        </w:div>
        <w:div w:id="1149324974">
          <w:marLeft w:val="0"/>
          <w:marRight w:val="0"/>
          <w:marTop w:val="0"/>
          <w:marBottom w:val="80"/>
          <w:divBdr>
            <w:top w:val="none" w:sz="0" w:space="0" w:color="auto"/>
            <w:left w:val="none" w:sz="0" w:space="0" w:color="auto"/>
            <w:bottom w:val="none" w:sz="0" w:space="0" w:color="auto"/>
            <w:right w:val="none" w:sz="0" w:space="0" w:color="auto"/>
          </w:divBdr>
        </w:div>
        <w:div w:id="228614440">
          <w:marLeft w:val="0"/>
          <w:marRight w:val="0"/>
          <w:marTop w:val="0"/>
          <w:marBottom w:val="80"/>
          <w:divBdr>
            <w:top w:val="none" w:sz="0" w:space="0" w:color="auto"/>
            <w:left w:val="none" w:sz="0" w:space="0" w:color="auto"/>
            <w:bottom w:val="none" w:sz="0" w:space="0" w:color="auto"/>
            <w:right w:val="none" w:sz="0" w:space="0" w:color="auto"/>
          </w:divBdr>
        </w:div>
        <w:div w:id="1885748716">
          <w:marLeft w:val="0"/>
          <w:marRight w:val="0"/>
          <w:marTop w:val="0"/>
          <w:marBottom w:val="80"/>
          <w:divBdr>
            <w:top w:val="none" w:sz="0" w:space="0" w:color="auto"/>
            <w:left w:val="none" w:sz="0" w:space="0" w:color="auto"/>
            <w:bottom w:val="none" w:sz="0" w:space="0" w:color="auto"/>
            <w:right w:val="none" w:sz="0" w:space="0" w:color="auto"/>
          </w:divBdr>
        </w:div>
      </w:divsChild>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38989849">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02137140">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64D40-1996-4DEF-BC8D-6F461A0CB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38</Pages>
  <Words>8542</Words>
  <Characters>46984</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2023-06-29T16:14:00Z</dcterms:created>
  <dcterms:modified xsi:type="dcterms:W3CDTF">2023-07-06T18:25:00Z</dcterms:modified>
</cp:coreProperties>
</file>