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quince de noviembre de dos mil veintitrés.</w:t>
      </w:r>
    </w:p>
    <w:p w:rsidR="00735E9D" w:rsidRPr="00C12B48" w:rsidRDefault="003A2817">
      <w:pPr>
        <w:spacing w:line="360" w:lineRule="auto"/>
        <w:ind w:right="-112"/>
        <w:jc w:val="both"/>
        <w:rPr>
          <w:rFonts w:ascii="Palatino Linotype" w:eastAsia="Palatino Linotype" w:hAnsi="Palatino Linotype" w:cs="Palatino Linotype"/>
        </w:rPr>
      </w:pPr>
      <w:bookmarkStart w:id="0" w:name="_heading=h.30j0zll" w:colFirst="0" w:colLast="0"/>
      <w:bookmarkEnd w:id="0"/>
      <w:r w:rsidRPr="00C12B48">
        <w:rPr>
          <w:rFonts w:ascii="Palatino Linotype" w:eastAsia="Palatino Linotype" w:hAnsi="Palatino Linotype" w:cs="Palatino Linotype"/>
          <w:b/>
        </w:rPr>
        <w:t xml:space="preserve">VISTOS </w:t>
      </w:r>
      <w:r w:rsidRPr="00C12B48">
        <w:rPr>
          <w:rFonts w:ascii="Palatino Linotype" w:eastAsia="Palatino Linotype" w:hAnsi="Palatino Linotype" w:cs="Palatino Linotype"/>
        </w:rPr>
        <w:t xml:space="preserve">los expedientes relativos a los recursos de revisión </w:t>
      </w:r>
      <w:r w:rsidRPr="00C12B48">
        <w:rPr>
          <w:rFonts w:ascii="Palatino Linotype" w:eastAsia="Palatino Linotype" w:hAnsi="Palatino Linotype" w:cs="Palatino Linotype"/>
          <w:b/>
          <w:sz w:val="22"/>
          <w:szCs w:val="22"/>
        </w:rPr>
        <w:t>02954/INFOEM/IP/RR/2023, 03288/INFOEM/IP/RR/2023 y 03289/INFOEM/IP/RR/2023</w:t>
      </w:r>
      <w:r w:rsidRPr="00C12B48">
        <w:rPr>
          <w:rFonts w:ascii="Palatino Linotype" w:eastAsia="Palatino Linotype" w:hAnsi="Palatino Linotype" w:cs="Palatino Linotype"/>
          <w:b/>
        </w:rPr>
        <w:t>,</w:t>
      </w:r>
      <w:r w:rsidRPr="00C12B48">
        <w:rPr>
          <w:rFonts w:ascii="Palatino Linotype" w:eastAsia="Palatino Linotype" w:hAnsi="Palatino Linotype" w:cs="Palatino Linotype"/>
          <w:sz w:val="22"/>
          <w:szCs w:val="22"/>
        </w:rPr>
        <w:t xml:space="preserve"> </w:t>
      </w:r>
      <w:r w:rsidRPr="00C12B48">
        <w:rPr>
          <w:rFonts w:ascii="Palatino Linotype" w:eastAsia="Palatino Linotype" w:hAnsi="Palatino Linotype" w:cs="Palatino Linotype"/>
          <w:b/>
          <w:sz w:val="22"/>
          <w:szCs w:val="22"/>
        </w:rPr>
        <w:t>acumulados</w:t>
      </w:r>
      <w:r w:rsidRPr="00C12B48">
        <w:rPr>
          <w:rFonts w:ascii="Palatino Linotype" w:eastAsia="Palatino Linotype" w:hAnsi="Palatino Linotype" w:cs="Palatino Linotype"/>
          <w:sz w:val="22"/>
          <w:szCs w:val="22"/>
        </w:rPr>
        <w:t xml:space="preserve">, </w:t>
      </w:r>
      <w:r w:rsidRPr="00C12B48">
        <w:rPr>
          <w:rFonts w:ascii="Palatino Linotype" w:eastAsia="Palatino Linotype" w:hAnsi="Palatino Linotype" w:cs="Palatino Linotype"/>
        </w:rPr>
        <w:t xml:space="preserve">interpuestos por </w:t>
      </w:r>
      <w:r w:rsidR="00940273">
        <w:rPr>
          <w:rFonts w:ascii="Palatino Linotype" w:eastAsia="Palatino Linotype" w:hAnsi="Palatino Linotype" w:cs="Palatino Linotype"/>
          <w:b/>
        </w:rPr>
        <w:t>XXXX XXXXX</w:t>
      </w:r>
      <w:bookmarkStart w:id="1" w:name="_GoBack"/>
      <w:bookmarkEnd w:id="1"/>
      <w:r w:rsidRPr="00C12B48">
        <w:rPr>
          <w:rFonts w:ascii="Palatino Linotype" w:eastAsia="Palatino Linotype" w:hAnsi="Palatino Linotype" w:cs="Palatino Linotype"/>
          <w:b/>
        </w:rPr>
        <w:t>,</w:t>
      </w:r>
      <w:r w:rsidRPr="00C12B48">
        <w:rPr>
          <w:rFonts w:ascii="Palatino Linotype" w:eastAsia="Palatino Linotype" w:hAnsi="Palatino Linotype" w:cs="Palatino Linotype"/>
        </w:rPr>
        <w:t xml:space="preserve"> en lo sucesivo la parte </w:t>
      </w:r>
      <w:r w:rsidRPr="00C12B48">
        <w:rPr>
          <w:rFonts w:ascii="Palatino Linotype" w:eastAsia="Palatino Linotype" w:hAnsi="Palatino Linotype" w:cs="Palatino Linotype"/>
          <w:b/>
        </w:rPr>
        <w:t>Recurrente</w:t>
      </w:r>
      <w:r w:rsidRPr="00C12B48">
        <w:rPr>
          <w:rFonts w:ascii="Palatino Linotype" w:eastAsia="Palatino Linotype" w:hAnsi="Palatino Linotype" w:cs="Palatino Linotype"/>
        </w:rPr>
        <w:t xml:space="preserve">, en contra de las respuesta a sus solicitudes de información con números de folio </w:t>
      </w:r>
      <w:r w:rsidRPr="00C12B48">
        <w:rPr>
          <w:rFonts w:ascii="Palatino Linotype" w:eastAsia="Palatino Linotype" w:hAnsi="Palatino Linotype" w:cs="Palatino Linotype"/>
          <w:b/>
          <w:sz w:val="22"/>
          <w:szCs w:val="22"/>
        </w:rPr>
        <w:t xml:space="preserve">01355/TOLUCA/IP/2023, 01356TOLUCA/IP/2023 </w:t>
      </w:r>
      <w:r w:rsidRPr="00C12B48">
        <w:rPr>
          <w:rFonts w:ascii="Palatino Linotype" w:eastAsia="Palatino Linotype" w:hAnsi="Palatino Linotype" w:cs="Palatino Linotype"/>
          <w:b/>
        </w:rPr>
        <w:t>y</w:t>
      </w:r>
      <w:r w:rsidRPr="00C12B48">
        <w:rPr>
          <w:rFonts w:ascii="Palatino Linotype" w:eastAsia="Palatino Linotype" w:hAnsi="Palatino Linotype" w:cs="Palatino Linotype"/>
          <w:b/>
          <w:sz w:val="22"/>
          <w:szCs w:val="22"/>
        </w:rPr>
        <w:t xml:space="preserve"> 01357/TOLUCA/IP/2023</w:t>
      </w:r>
      <w:r w:rsidRPr="00C12B48">
        <w:rPr>
          <w:rFonts w:ascii="Palatino Linotype" w:eastAsia="Palatino Linotype" w:hAnsi="Palatino Linotype" w:cs="Palatino Linotype"/>
        </w:rPr>
        <w:t xml:space="preserve">, respectivamente, por parte del </w:t>
      </w:r>
      <w:r w:rsidRPr="00C12B48">
        <w:rPr>
          <w:rFonts w:ascii="Palatino Linotype" w:eastAsia="Palatino Linotype" w:hAnsi="Palatino Linotype" w:cs="Palatino Linotype"/>
          <w:b/>
        </w:rPr>
        <w:t>Ayuntamiento de Toluca</w:t>
      </w:r>
      <w:r w:rsidRPr="00C12B48">
        <w:rPr>
          <w:rFonts w:ascii="Palatino Linotype" w:eastAsia="Palatino Linotype" w:hAnsi="Palatino Linotype" w:cs="Palatino Linotype"/>
        </w:rPr>
        <w:t xml:space="preserve">, en lo sucesivo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se procede a dictar la presente resolución, con base en lo siguiente. </w:t>
      </w:r>
    </w:p>
    <w:p w:rsidR="00735E9D" w:rsidRPr="00C12B48" w:rsidRDefault="003A281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12B48">
        <w:rPr>
          <w:rFonts w:ascii="Palatino Linotype" w:eastAsia="Palatino Linotype" w:hAnsi="Palatino Linotype" w:cs="Palatino Linotype"/>
          <w:b/>
        </w:rPr>
        <w:t>I. A N T E C E D E N T E S:</w:t>
      </w:r>
    </w:p>
    <w:p w:rsidR="00735E9D" w:rsidRPr="00C12B48" w:rsidRDefault="003A2817">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C12B48">
        <w:rPr>
          <w:rFonts w:ascii="Palatino Linotype" w:eastAsia="Palatino Linotype" w:hAnsi="Palatino Linotype" w:cs="Palatino Linotype"/>
          <w:b/>
        </w:rPr>
        <w:t>1. Solicitudes de acceso a la información.</w:t>
      </w:r>
      <w:r w:rsidRPr="00C12B48">
        <w:rPr>
          <w:rFonts w:ascii="Palatino Linotype" w:eastAsia="Palatino Linotype" w:hAnsi="Palatino Linotype" w:cs="Palatino Linotype"/>
        </w:rPr>
        <w:t xml:space="preserve"> Con fecha </w:t>
      </w:r>
      <w:r w:rsidRPr="00C12B48">
        <w:rPr>
          <w:rFonts w:ascii="Palatino Linotype" w:eastAsia="Palatino Linotype" w:hAnsi="Palatino Linotype" w:cs="Palatino Linotype"/>
          <w:b/>
        </w:rPr>
        <w:t>veinticuatro de abril</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 xml:space="preserve">de dos mil veintitrés, </w:t>
      </w:r>
      <w:r w:rsidRPr="00C12B48">
        <w:rPr>
          <w:rFonts w:ascii="Palatino Linotype" w:eastAsia="Palatino Linotype" w:hAnsi="Palatino Linotype" w:cs="Palatino Linotype"/>
        </w:rPr>
        <w:t>la persona solicitante</w:t>
      </w:r>
      <w:r w:rsidRPr="00C12B48">
        <w:rPr>
          <w:rFonts w:ascii="Palatino Linotype" w:eastAsia="Palatino Linotype" w:hAnsi="Palatino Linotype" w:cs="Palatino Linotype"/>
          <w:b/>
        </w:rPr>
        <w:t xml:space="preserve"> </w:t>
      </w:r>
      <w:r w:rsidRPr="00C12B48">
        <w:rPr>
          <w:rFonts w:ascii="Palatino Linotype" w:eastAsia="Palatino Linotype" w:hAnsi="Palatino Linotype" w:cs="Palatino Linotype"/>
        </w:rPr>
        <w:t xml:space="preserve">presentó, a través del Sistema de Acceso a la Información Mexiquense, en lo subsecuente </w:t>
      </w:r>
      <w:r w:rsidRPr="00C12B48">
        <w:rPr>
          <w:rFonts w:ascii="Palatino Linotype" w:eastAsia="Palatino Linotype" w:hAnsi="Palatino Linotype" w:cs="Palatino Linotype"/>
          <w:b/>
        </w:rPr>
        <w:t xml:space="preserve">SAIMEX, </w:t>
      </w:r>
      <w:r w:rsidRPr="00C12B48">
        <w:rPr>
          <w:rFonts w:ascii="Palatino Linotype" w:eastAsia="Palatino Linotype" w:hAnsi="Palatino Linotype" w:cs="Palatino Linotype"/>
        </w:rPr>
        <w:t xml:space="preserve">ante el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las solicitudes de acceso a la información pública, mediante las cuales requirió la información siguiente:</w:t>
      </w:r>
    </w:p>
    <w:tbl>
      <w:tblPr>
        <w:tblStyle w:val="a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12B48" w:rsidRPr="00C12B48">
        <w:trPr>
          <w:jc w:val="center"/>
        </w:trPr>
        <w:tc>
          <w:tcPr>
            <w:tcW w:w="2547" w:type="dxa"/>
            <w:shd w:val="clear" w:color="auto" w:fill="A6A6A6"/>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Número de solicitud</w:t>
            </w:r>
          </w:p>
        </w:tc>
        <w:tc>
          <w:tcPr>
            <w:tcW w:w="6281" w:type="dxa"/>
            <w:shd w:val="clear" w:color="auto" w:fill="A6A6A6"/>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Información solicitada</w:t>
            </w:r>
          </w:p>
        </w:tc>
      </w:tr>
      <w:tr w:rsidR="00C12B48" w:rsidRPr="00C12B48">
        <w:trPr>
          <w:jc w:val="center"/>
        </w:trPr>
        <w:tc>
          <w:tcPr>
            <w:tcW w:w="2547"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01357/TOLUCA/IP/2023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02954/INFOEM/IP/RR/2023</w:t>
            </w:r>
          </w:p>
          <w:p w:rsidR="00735E9D" w:rsidRPr="00940273" w:rsidRDefault="00735E9D">
            <w:pPr>
              <w:spacing w:before="120" w:after="120"/>
              <w:jc w:val="center"/>
              <w:rPr>
                <w:rFonts w:ascii="Palatino Linotype" w:eastAsia="Palatino Linotype" w:hAnsi="Palatino Linotype" w:cs="Palatino Linotype"/>
                <w:b/>
                <w:sz w:val="18"/>
                <w:szCs w:val="18"/>
                <w:lang w:val="en-US"/>
              </w:rPr>
            </w:pPr>
          </w:p>
        </w:tc>
        <w:tc>
          <w:tcPr>
            <w:tcW w:w="6281"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 xml:space="preserve">“Solicito todos los incumplimientos a resoluciones del </w:t>
            </w:r>
            <w:proofErr w:type="spellStart"/>
            <w:r w:rsidRPr="00C12B48">
              <w:rPr>
                <w:rFonts w:ascii="Palatino Linotype" w:eastAsia="Palatino Linotype" w:hAnsi="Palatino Linotype" w:cs="Palatino Linotype"/>
                <w:i/>
                <w:sz w:val="18"/>
                <w:szCs w:val="18"/>
              </w:rPr>
              <w:t>Infoem</w:t>
            </w:r>
            <w:proofErr w:type="spellEnd"/>
            <w:r w:rsidRPr="00C12B48">
              <w:rPr>
                <w:rFonts w:ascii="Palatino Linotype" w:eastAsia="Palatino Linotype" w:hAnsi="Palatino Linotype" w:cs="Palatino Linotype"/>
                <w:i/>
                <w:sz w:val="18"/>
                <w:szCs w:val="18"/>
              </w:rPr>
              <w:t xml:space="preserve"> que recibió la Unidad de transparencia durante 2022 (Documentos signados por el área correspondiente del </w:t>
            </w:r>
            <w:proofErr w:type="spellStart"/>
            <w:r w:rsidRPr="00C12B48">
              <w:rPr>
                <w:rFonts w:ascii="Palatino Linotype" w:eastAsia="Palatino Linotype" w:hAnsi="Palatino Linotype" w:cs="Palatino Linotype"/>
                <w:i/>
                <w:sz w:val="18"/>
                <w:szCs w:val="18"/>
              </w:rPr>
              <w:t>Infoem</w:t>
            </w:r>
            <w:proofErr w:type="spellEnd"/>
            <w:r w:rsidRPr="00C12B48">
              <w:rPr>
                <w:rFonts w:ascii="Palatino Linotype" w:eastAsia="Palatino Linotype" w:hAnsi="Palatino Linotype" w:cs="Palatino Linotype"/>
                <w:i/>
                <w:sz w:val="18"/>
                <w:szCs w:val="18"/>
              </w:rPr>
              <w:t>)” (sic)</w:t>
            </w:r>
          </w:p>
        </w:tc>
      </w:tr>
      <w:tr w:rsidR="00C12B48" w:rsidRPr="00C12B48">
        <w:trPr>
          <w:jc w:val="center"/>
        </w:trPr>
        <w:tc>
          <w:tcPr>
            <w:tcW w:w="2547"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lastRenderedPageBreak/>
              <w:t>01356/TOLUCA/IP/2023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03288/INFOEM/IP/RR/2023</w:t>
            </w:r>
          </w:p>
        </w:tc>
        <w:tc>
          <w:tcPr>
            <w:tcW w:w="6281" w:type="dxa"/>
          </w:tcPr>
          <w:p w:rsidR="00735E9D" w:rsidRPr="00C12B48" w:rsidRDefault="003A2817">
            <w:pPr>
              <w:spacing w:before="120" w:after="120"/>
              <w:jc w:val="both"/>
              <w:rPr>
                <w:rFonts w:ascii="Palatino Linotype" w:eastAsia="Palatino Linotype" w:hAnsi="Palatino Linotype" w:cs="Palatino Linotype"/>
                <w:i/>
                <w:sz w:val="20"/>
                <w:szCs w:val="20"/>
              </w:rPr>
            </w:pPr>
            <w:r w:rsidRPr="00C12B48">
              <w:rPr>
                <w:rFonts w:ascii="Palatino Linotype" w:eastAsia="Palatino Linotype" w:hAnsi="Palatino Linotype" w:cs="Palatino Linotype"/>
                <w:i/>
                <w:sz w:val="18"/>
                <w:szCs w:val="18"/>
              </w:rPr>
              <w:t xml:space="preserve">“Durante 2023, solicito conocer cuántos incumplimientos a resoluciones le ha notificado el </w:t>
            </w:r>
            <w:proofErr w:type="spellStart"/>
            <w:r w:rsidRPr="00C12B48">
              <w:rPr>
                <w:rFonts w:ascii="Palatino Linotype" w:eastAsia="Palatino Linotype" w:hAnsi="Palatino Linotype" w:cs="Palatino Linotype"/>
                <w:i/>
                <w:sz w:val="18"/>
                <w:szCs w:val="18"/>
              </w:rPr>
              <w:t>infoem</w:t>
            </w:r>
            <w:proofErr w:type="spellEnd"/>
            <w:r w:rsidRPr="00C12B48">
              <w:rPr>
                <w:rFonts w:ascii="Palatino Linotype" w:eastAsia="Palatino Linotype" w:hAnsi="Palatino Linotype" w:cs="Palatino Linotype"/>
                <w:i/>
                <w:sz w:val="18"/>
                <w:szCs w:val="18"/>
              </w:rPr>
              <w:t xml:space="preserve"> a Toluca y a cuáles recursos de revisión le corresponde cada uno? solicito el documento de cada uno” (sic)</w:t>
            </w:r>
          </w:p>
        </w:tc>
      </w:tr>
      <w:tr w:rsidR="00C12B48" w:rsidRPr="00C12B48">
        <w:trPr>
          <w:jc w:val="center"/>
        </w:trPr>
        <w:tc>
          <w:tcPr>
            <w:tcW w:w="2547"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01355/TOLUCA/IP/2023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03289/INFOEM/IP/RR/2023</w:t>
            </w:r>
          </w:p>
        </w:tc>
        <w:tc>
          <w:tcPr>
            <w:tcW w:w="6281"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 xml:space="preserve">“Durante 2022, solicito conocer cuántos incumplimientos a resoluciones le ha notificado el </w:t>
            </w:r>
            <w:proofErr w:type="spellStart"/>
            <w:r w:rsidRPr="00C12B48">
              <w:rPr>
                <w:rFonts w:ascii="Palatino Linotype" w:eastAsia="Palatino Linotype" w:hAnsi="Palatino Linotype" w:cs="Palatino Linotype"/>
                <w:i/>
                <w:sz w:val="18"/>
                <w:szCs w:val="18"/>
              </w:rPr>
              <w:t>infoem</w:t>
            </w:r>
            <w:proofErr w:type="spellEnd"/>
            <w:r w:rsidRPr="00C12B48">
              <w:rPr>
                <w:rFonts w:ascii="Palatino Linotype" w:eastAsia="Palatino Linotype" w:hAnsi="Palatino Linotype" w:cs="Palatino Linotype"/>
                <w:i/>
                <w:sz w:val="18"/>
                <w:szCs w:val="18"/>
              </w:rPr>
              <w:t xml:space="preserve"> a Toluca y a cuáles recursos de revisión le corresponde cada uno</w:t>
            </w:r>
            <w:proofErr w:type="gramStart"/>
            <w:r w:rsidRPr="00C12B48">
              <w:rPr>
                <w:rFonts w:ascii="Palatino Linotype" w:eastAsia="Palatino Linotype" w:hAnsi="Palatino Linotype" w:cs="Palatino Linotype"/>
                <w:i/>
                <w:sz w:val="18"/>
                <w:szCs w:val="18"/>
              </w:rPr>
              <w:t>?</w:t>
            </w:r>
            <w:proofErr w:type="gramEnd"/>
            <w:r w:rsidRPr="00C12B48">
              <w:rPr>
                <w:rFonts w:ascii="Palatino Linotype" w:eastAsia="Palatino Linotype" w:hAnsi="Palatino Linotype" w:cs="Palatino Linotype"/>
                <w:i/>
                <w:sz w:val="18"/>
                <w:szCs w:val="18"/>
              </w:rPr>
              <w:t>” (sic)</w:t>
            </w:r>
          </w:p>
        </w:tc>
      </w:tr>
    </w:tbl>
    <w:p w:rsidR="00735E9D" w:rsidRPr="00C12B48" w:rsidRDefault="003A2817">
      <w:pPr>
        <w:spacing w:before="240" w:after="240" w:line="360" w:lineRule="auto"/>
        <w:jc w:val="both"/>
        <w:rPr>
          <w:rFonts w:ascii="Palatino Linotype" w:eastAsia="Palatino Linotype" w:hAnsi="Palatino Linotype" w:cs="Palatino Linotype"/>
        </w:rPr>
      </w:pPr>
      <w:bookmarkStart w:id="3" w:name="_heading=h.2et92p0" w:colFirst="0" w:colLast="0"/>
      <w:bookmarkEnd w:id="3"/>
      <w:r w:rsidRPr="00C12B48">
        <w:rPr>
          <w:rFonts w:ascii="Palatino Linotype" w:eastAsia="Palatino Linotype" w:hAnsi="Palatino Linotype" w:cs="Palatino Linotype"/>
          <w:b/>
        </w:rPr>
        <w:t xml:space="preserve">Modalidad elegida para la entrega de la información: </w:t>
      </w:r>
      <w:r w:rsidRPr="00C12B48">
        <w:rPr>
          <w:rFonts w:ascii="Palatino Linotype" w:eastAsia="Palatino Linotype" w:hAnsi="Palatino Linotype" w:cs="Palatino Linotype"/>
        </w:rPr>
        <w:t>a través del SAIMEX en todos los casos.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 xml:space="preserve">2. Prórroga. </w:t>
      </w:r>
      <w:r w:rsidRPr="00C12B48">
        <w:rPr>
          <w:rFonts w:ascii="Palatino Linotype" w:eastAsia="Palatino Linotype" w:hAnsi="Palatino Linotype" w:cs="Palatino Linotype"/>
        </w:rPr>
        <w:t xml:space="preserve">El </w:t>
      </w:r>
      <w:r w:rsidRPr="00C12B48">
        <w:rPr>
          <w:rFonts w:ascii="Palatino Linotype" w:eastAsia="Palatino Linotype" w:hAnsi="Palatino Linotype" w:cs="Palatino Linotype"/>
          <w:b/>
        </w:rPr>
        <w:t xml:space="preserve">dieciséis de mayo de dos mil veintitrés, </w:t>
      </w:r>
      <w:r w:rsidRPr="00C12B48">
        <w:rPr>
          <w:rFonts w:ascii="Palatino Linotype" w:eastAsia="Palatino Linotype" w:hAnsi="Palatino Linotype" w:cs="Palatino Linotype"/>
        </w:rPr>
        <w:t xml:space="preserve">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informó que el plazo de quince días hábiles para atender las solicitudes de mérito fue prorrogado por siete días más en virtud de las siguientes razones: </w:t>
      </w:r>
    </w:p>
    <w:tbl>
      <w:tblPr>
        <w:tblStyle w:val="a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5856"/>
      </w:tblGrid>
      <w:tr w:rsidR="00C12B48" w:rsidRPr="00C12B48">
        <w:trPr>
          <w:jc w:val="center"/>
        </w:trPr>
        <w:tc>
          <w:tcPr>
            <w:tcW w:w="2972" w:type="dxa"/>
            <w:shd w:val="clear" w:color="auto" w:fill="A6A6A6"/>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Número de solicitud</w:t>
            </w:r>
          </w:p>
        </w:tc>
        <w:tc>
          <w:tcPr>
            <w:tcW w:w="5856" w:type="dxa"/>
            <w:shd w:val="clear" w:color="auto" w:fill="A6A6A6"/>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Solicitud de prórroga</w:t>
            </w:r>
          </w:p>
        </w:tc>
      </w:tr>
      <w:tr w:rsidR="00C12B48" w:rsidRPr="00C12B48">
        <w:trPr>
          <w:jc w:val="center"/>
        </w:trPr>
        <w:tc>
          <w:tcPr>
            <w:tcW w:w="2972"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01357/TOLUCA/IP/2023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02954/INFOEM/IP/RR/2023</w:t>
            </w:r>
          </w:p>
          <w:p w:rsidR="00735E9D" w:rsidRPr="00940273" w:rsidRDefault="00735E9D">
            <w:pPr>
              <w:spacing w:before="120" w:after="120"/>
              <w:jc w:val="center"/>
              <w:rPr>
                <w:rFonts w:ascii="Palatino Linotype" w:eastAsia="Palatino Linotype" w:hAnsi="Palatino Linotype" w:cs="Palatino Linotype"/>
                <w:b/>
                <w:sz w:val="18"/>
                <w:szCs w:val="18"/>
                <w:lang w:val="en-US"/>
              </w:rPr>
            </w:pPr>
          </w:p>
        </w:tc>
        <w:tc>
          <w:tcPr>
            <w:tcW w:w="5856"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01357/TOLUCA/IP/2023; mediante la TRICENTÉSIMA SEXAGÉSIMA NOVENA SESIÓN EXTRAORDINARIA 2023, del Comité de Transparencia del Municipio de Toluca, autorizó la prórroga con el propósito de recopilar, analizar y clasificar la información” (sic)</w:t>
            </w:r>
          </w:p>
        </w:tc>
      </w:tr>
      <w:tr w:rsidR="00C12B48" w:rsidRPr="00C12B48">
        <w:trPr>
          <w:jc w:val="center"/>
        </w:trPr>
        <w:tc>
          <w:tcPr>
            <w:tcW w:w="2972"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01356/TOLUCA/IP/2023</w:t>
            </w:r>
          </w:p>
          <w:p w:rsidR="00735E9D" w:rsidRPr="00940273" w:rsidRDefault="003A2817">
            <w:pPr>
              <w:spacing w:before="120" w:after="120"/>
              <w:jc w:val="center"/>
              <w:rPr>
                <w:rFonts w:ascii="Palatino Linotype" w:eastAsia="Palatino Linotype" w:hAnsi="Palatino Linotype" w:cs="Palatino Linotype"/>
                <w:b/>
                <w:i/>
                <w:sz w:val="18"/>
                <w:szCs w:val="18"/>
                <w:lang w:val="en-US"/>
              </w:rPr>
            </w:pPr>
            <w:r w:rsidRPr="00940273">
              <w:rPr>
                <w:rFonts w:ascii="Palatino Linotype" w:eastAsia="Palatino Linotype" w:hAnsi="Palatino Linotype" w:cs="Palatino Linotype"/>
                <w:b/>
                <w:sz w:val="18"/>
                <w:szCs w:val="18"/>
                <w:lang w:val="en-US"/>
              </w:rPr>
              <w:t>03288/INFOEM/IP/RR/2023</w:t>
            </w:r>
          </w:p>
        </w:tc>
        <w:tc>
          <w:tcPr>
            <w:tcW w:w="5856"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01356/TOLUCA/IP/2023; mediante la TRICENTÉSIMA SEXAGÉSIMA NOVENA SESIÓN EXTRAORDINARIA 2023, del Comité de Transparencia del Municipio de Toluca, autorizó la prórroga con el propósito de recopilar, analizar y clasificar la información.” (sic)</w:t>
            </w:r>
          </w:p>
        </w:tc>
      </w:tr>
      <w:tr w:rsidR="00C12B48" w:rsidRPr="00C12B48">
        <w:trPr>
          <w:jc w:val="center"/>
        </w:trPr>
        <w:tc>
          <w:tcPr>
            <w:tcW w:w="2972"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bookmarkStart w:id="4" w:name="_heading=h.3znysh7" w:colFirst="0" w:colLast="0"/>
            <w:bookmarkEnd w:id="4"/>
            <w:r w:rsidRPr="00940273">
              <w:rPr>
                <w:rFonts w:ascii="Palatino Linotype" w:eastAsia="Palatino Linotype" w:hAnsi="Palatino Linotype" w:cs="Palatino Linotype"/>
                <w:b/>
                <w:sz w:val="18"/>
                <w:szCs w:val="18"/>
                <w:lang w:val="en-US"/>
              </w:rPr>
              <w:t>01355/TOLUCA/IP/2023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03289/INFOEM/IP/RR/2023</w:t>
            </w:r>
          </w:p>
        </w:tc>
        <w:tc>
          <w:tcPr>
            <w:tcW w:w="5856"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 xml:space="preserve">“De conformidad con lo establecido en el artículo 163, segundo párrafo de la Ley de Transparencia y Acceso a la Información Pública del estado de México y Municipios, me permito comentar que se solicitó la prórroga por siete días hábiles para dar atención a la solicitud de información con folio 01355/TOLUCA/IP/2023; mediante la TRICENTÉSIMA SEXAGÉSIMA NOVENA SESIÓN EXTRAORDINARIA 2023, del Comité de </w:t>
            </w:r>
            <w:r w:rsidRPr="00C12B48">
              <w:rPr>
                <w:rFonts w:ascii="Palatino Linotype" w:eastAsia="Palatino Linotype" w:hAnsi="Palatino Linotype" w:cs="Palatino Linotype"/>
                <w:i/>
                <w:sz w:val="18"/>
                <w:szCs w:val="18"/>
              </w:rPr>
              <w:lastRenderedPageBreak/>
              <w:t>Transparencia del Municipio de Toluca, autorizó la prórroga con el propósito de recopilar, analizar y clasificar la información” (sic)</w:t>
            </w:r>
          </w:p>
        </w:tc>
      </w:tr>
    </w:tbl>
    <w:p w:rsidR="00735E9D" w:rsidRPr="00C12B48" w:rsidRDefault="003A2817">
      <w:pPr>
        <w:spacing w:before="240" w:after="240"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rPr>
        <w:lastRenderedPageBreak/>
        <w:t xml:space="preserve">Prórrogas a las que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en dichas solicitudes proporcionó</w:t>
      </w:r>
      <w:r w:rsidRPr="00C12B48">
        <w:rPr>
          <w:rFonts w:ascii="Palatino Linotype" w:eastAsia="Palatino Linotype" w:hAnsi="Palatino Linotype" w:cs="Palatino Linotype"/>
          <w:b/>
        </w:rPr>
        <w:t xml:space="preserve"> </w:t>
      </w:r>
      <w:r w:rsidRPr="00C12B48">
        <w:rPr>
          <w:rFonts w:ascii="Palatino Linotype" w:eastAsia="Palatino Linotype" w:hAnsi="Palatino Linotype" w:cs="Palatino Linotype"/>
        </w:rPr>
        <w:t xml:space="preserve">un archivo electrónico denominado </w:t>
      </w:r>
      <w:r w:rsidRPr="00C12B48">
        <w:rPr>
          <w:rFonts w:ascii="Palatino Linotype" w:eastAsia="Palatino Linotype" w:hAnsi="Palatino Linotype" w:cs="Palatino Linotype"/>
          <w:b/>
          <w:i/>
        </w:rPr>
        <w:t xml:space="preserve">Acta369 Extraordinaria_23.pdf., </w:t>
      </w:r>
      <w:r w:rsidRPr="00C12B48">
        <w:rPr>
          <w:rFonts w:ascii="Palatino Linotype" w:eastAsia="Palatino Linotype" w:hAnsi="Palatino Linotype" w:cs="Palatino Linotype"/>
        </w:rPr>
        <w:t xml:space="preserve">que contiene: el Acta de la Tricentésima Sexagésima Novena Sesión Extraordinaria 2023 del Comité de Transparencia del Municipio de Toluca, Administración 2022-2024, en la que bajo el punto tres del orden del día se llevó a cabo el análisis y aprobación de la prórroga con motivo de diversas solicitudes de información, incluidas las número </w:t>
      </w:r>
      <w:r w:rsidRPr="00C12B48">
        <w:rPr>
          <w:rFonts w:ascii="Palatino Linotype" w:eastAsia="Palatino Linotype" w:hAnsi="Palatino Linotype" w:cs="Palatino Linotype"/>
          <w:b/>
        </w:rPr>
        <w:t xml:space="preserve">01355/TOLUCA/IP/2023, 01356/TOLUCA/IP/2023 </w:t>
      </w:r>
      <w:r w:rsidRPr="00C12B48">
        <w:rPr>
          <w:rFonts w:ascii="Palatino Linotype" w:eastAsia="Palatino Linotype" w:hAnsi="Palatino Linotype" w:cs="Palatino Linotype"/>
        </w:rPr>
        <w:t>y</w:t>
      </w:r>
      <w:r w:rsidRPr="00C12B48">
        <w:rPr>
          <w:rFonts w:ascii="Palatino Linotype" w:eastAsia="Palatino Linotype" w:hAnsi="Palatino Linotype" w:cs="Palatino Linotype"/>
          <w:b/>
        </w:rPr>
        <w:t xml:space="preserve"> 01357/TOLUCA/IP/2023.</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De esta manera, como refiere el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los expedientes electrónicos </w:t>
      </w:r>
      <w:proofErr w:type="spellStart"/>
      <w:r w:rsidRPr="00C12B48">
        <w:rPr>
          <w:rFonts w:ascii="Palatino Linotype" w:eastAsia="Palatino Linotype" w:hAnsi="Palatino Linotype" w:cs="Palatino Linotype"/>
        </w:rPr>
        <w:t>aperturados</w:t>
      </w:r>
      <w:proofErr w:type="spellEnd"/>
      <w:r w:rsidRPr="00C12B48">
        <w:rPr>
          <w:rFonts w:ascii="Palatino Linotype" w:eastAsia="Palatino Linotype" w:hAnsi="Palatino Linotype" w:cs="Palatino Linotype"/>
        </w:rPr>
        <w:t xml:space="preserve"> con motivo de los medios de impugnación que nos ocupan, se advierte que </w:t>
      </w:r>
      <w:r w:rsidRPr="00C12B48">
        <w:rPr>
          <w:rFonts w:ascii="Palatino Linotype" w:eastAsia="Palatino Linotype" w:hAnsi="Palatino Linotype" w:cs="Palatino Linotype"/>
          <w:b/>
        </w:rPr>
        <w:t>si se observaron las formalidades que establece la Ley de la materia</w:t>
      </w:r>
      <w:r w:rsidRPr="00C12B48">
        <w:rPr>
          <w:rFonts w:ascii="Palatino Linotype" w:eastAsia="Palatino Linotype" w:hAnsi="Palatino Linotype" w:cs="Palatino Linotype"/>
        </w:rPr>
        <w:t>, pues se anexó el Acta de la Tricentésima Sexagésima Novena Sesión Extraordinaria 2023 del Comité de Transparencia del Municipio de Toluca, Administración 2022-2024, mediante la cual el Comité de Transparencia aprobó la ampliación del plazo, mediante el acuerdo AT/CT/01/2023.</w:t>
      </w:r>
    </w:p>
    <w:p w:rsidR="00735E9D" w:rsidRPr="00C12B48" w:rsidRDefault="003A2817">
      <w:pPr>
        <w:spacing w:before="240" w:after="240"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b/>
        </w:rPr>
        <w:lastRenderedPageBreak/>
        <w:t xml:space="preserve">3. Respuesta. </w:t>
      </w:r>
      <w:r w:rsidRPr="00C12B48">
        <w:rPr>
          <w:rFonts w:ascii="Palatino Linotype" w:eastAsia="Palatino Linotype" w:hAnsi="Palatino Linotype" w:cs="Palatino Linotype"/>
        </w:rPr>
        <w:t xml:space="preserve">Con fecha </w:t>
      </w:r>
      <w:r w:rsidRPr="00C12B48">
        <w:rPr>
          <w:rFonts w:ascii="Palatino Linotype" w:eastAsia="Palatino Linotype" w:hAnsi="Palatino Linotype" w:cs="Palatino Linotype"/>
          <w:b/>
        </w:rPr>
        <w:t>veintiséis de mayo de dos mil veintitrés</w:t>
      </w:r>
      <w:r w:rsidRPr="00C12B48">
        <w:rPr>
          <w:rFonts w:ascii="Palatino Linotype" w:eastAsia="Palatino Linotype" w:hAnsi="Palatino Linotype" w:cs="Palatino Linotype"/>
        </w:rPr>
        <w:t xml:space="preserve">,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envió sus respuestas a las solicitudes de acceso a la información a través de SAIMEX, sustancialmente en los términos siguientes:</w:t>
      </w:r>
    </w:p>
    <w:tbl>
      <w:tblPr>
        <w:tblStyle w:val="a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12B48" w:rsidRPr="00C12B48">
        <w:trPr>
          <w:jc w:val="center"/>
        </w:trPr>
        <w:tc>
          <w:tcPr>
            <w:tcW w:w="2547" w:type="dxa"/>
            <w:shd w:val="clear" w:color="auto" w:fill="A6A6A6"/>
          </w:tcPr>
          <w:p w:rsidR="00735E9D" w:rsidRPr="00C12B48" w:rsidRDefault="003A2817">
            <w:pPr>
              <w:jc w:val="center"/>
              <w:rPr>
                <w:rFonts w:ascii="Palatino Linotype" w:eastAsia="Palatino Linotype" w:hAnsi="Palatino Linotype" w:cs="Palatino Linotype"/>
                <w:b/>
                <w:sz w:val="20"/>
                <w:szCs w:val="20"/>
              </w:rPr>
            </w:pPr>
            <w:bookmarkStart w:id="5" w:name="_heading=h.1fob9te" w:colFirst="0" w:colLast="0"/>
            <w:bookmarkEnd w:id="5"/>
            <w:r w:rsidRPr="00C12B48">
              <w:rPr>
                <w:rFonts w:ascii="Palatino Linotype" w:eastAsia="Palatino Linotype" w:hAnsi="Palatino Linotype" w:cs="Palatino Linotype"/>
                <w:b/>
                <w:sz w:val="20"/>
                <w:szCs w:val="20"/>
              </w:rPr>
              <w:t>Número de solicitud</w:t>
            </w:r>
          </w:p>
        </w:tc>
        <w:tc>
          <w:tcPr>
            <w:tcW w:w="6281" w:type="dxa"/>
            <w:shd w:val="clear" w:color="auto" w:fill="A6A6A6"/>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Respuesta</w:t>
            </w:r>
          </w:p>
        </w:tc>
      </w:tr>
      <w:tr w:rsidR="00C12B48" w:rsidRPr="00C12B48">
        <w:trPr>
          <w:jc w:val="center"/>
        </w:trPr>
        <w:tc>
          <w:tcPr>
            <w:tcW w:w="2547"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01357/TOLUCA/IP/2023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02954/INFOEM/IP/RR/2023</w:t>
            </w:r>
          </w:p>
          <w:p w:rsidR="00735E9D" w:rsidRPr="00940273" w:rsidRDefault="00735E9D">
            <w:pPr>
              <w:spacing w:before="120" w:after="120"/>
              <w:jc w:val="center"/>
              <w:rPr>
                <w:rFonts w:ascii="Palatino Linotype" w:eastAsia="Palatino Linotype" w:hAnsi="Palatino Linotype" w:cs="Palatino Linotype"/>
                <w:b/>
                <w:sz w:val="18"/>
                <w:szCs w:val="18"/>
                <w:lang w:val="en-US"/>
              </w:rPr>
            </w:pPr>
          </w:p>
        </w:tc>
        <w:tc>
          <w:tcPr>
            <w:tcW w:w="6281"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“En atención a la solicitud con folio 01357/TOLUCA/IP/2023, me permito adjuntar al presente la respuesta correspondiente. Sin más por el momento, reciba un saludo.” (sic)</w:t>
            </w:r>
          </w:p>
          <w:p w:rsidR="00735E9D" w:rsidRPr="00C12B48" w:rsidRDefault="003A2817">
            <w:pPr>
              <w:pBdr>
                <w:top w:val="nil"/>
                <w:left w:val="nil"/>
                <w:bottom w:val="nil"/>
                <w:right w:val="nil"/>
                <w:between w:val="nil"/>
              </w:pBdr>
              <w:spacing w:before="240" w:after="240"/>
              <w:jc w:val="both"/>
              <w:rPr>
                <w:rFonts w:ascii="Palatino Linotype" w:eastAsia="Palatino Linotype" w:hAnsi="Palatino Linotype" w:cs="Palatino Linotype"/>
                <w:sz w:val="18"/>
                <w:szCs w:val="18"/>
              </w:rPr>
            </w:pPr>
            <w:r w:rsidRPr="00C12B48">
              <w:rPr>
                <w:rFonts w:ascii="Palatino Linotype" w:eastAsia="Palatino Linotype" w:hAnsi="Palatino Linotype" w:cs="Palatino Linotype"/>
                <w:sz w:val="18"/>
                <w:szCs w:val="18"/>
              </w:rPr>
              <w:t xml:space="preserve">Adjunto a su respuesta, el </w:t>
            </w:r>
            <w:r w:rsidRPr="00C12B48">
              <w:rPr>
                <w:rFonts w:ascii="Palatino Linotype" w:eastAsia="Palatino Linotype" w:hAnsi="Palatino Linotype" w:cs="Palatino Linotype"/>
                <w:b/>
                <w:sz w:val="18"/>
                <w:szCs w:val="18"/>
              </w:rPr>
              <w:t xml:space="preserve">Sujeto Obligado </w:t>
            </w:r>
            <w:r w:rsidRPr="00C12B48">
              <w:rPr>
                <w:rFonts w:ascii="Palatino Linotype" w:eastAsia="Palatino Linotype" w:hAnsi="Palatino Linotype" w:cs="Palatino Linotype"/>
                <w:sz w:val="18"/>
                <w:szCs w:val="18"/>
              </w:rPr>
              <w:t>proporcionó un archivo electrónico denominado “</w:t>
            </w:r>
            <w:r w:rsidRPr="00C12B48">
              <w:rPr>
                <w:rFonts w:ascii="Palatino Linotype" w:eastAsia="Palatino Linotype" w:hAnsi="Palatino Linotype" w:cs="Palatino Linotype"/>
                <w:b/>
                <w:i/>
                <w:sz w:val="18"/>
                <w:szCs w:val="18"/>
              </w:rPr>
              <w:t>1357.pdf”</w:t>
            </w:r>
            <w:r w:rsidRPr="00C12B48">
              <w:rPr>
                <w:rFonts w:ascii="Palatino Linotype" w:eastAsia="Palatino Linotype" w:hAnsi="Palatino Linotype" w:cs="Palatino Linotype"/>
                <w:sz w:val="18"/>
                <w:szCs w:val="18"/>
              </w:rPr>
              <w:t xml:space="preserve">, que contiene: Oficio sin número del veintiséis de mayo de dos mil veintitrés, a través del cual la Titular de la Unidad de Transparencia medularmente informa al particular que, con relación a su solicitud, después de una búsqueda exhaustiva y razonable en los archivos de esa Unidad </w:t>
            </w:r>
            <w:r w:rsidRPr="00C12B48">
              <w:rPr>
                <w:rFonts w:ascii="Palatino Linotype" w:eastAsia="Palatino Linotype" w:hAnsi="Palatino Linotype" w:cs="Palatino Linotype"/>
                <w:b/>
                <w:sz w:val="18"/>
                <w:szCs w:val="18"/>
                <w:u w:val="single"/>
              </w:rPr>
              <w:t>no se cuenta con la información requerida por no haberla generado poseído o administrado.</w:t>
            </w:r>
            <w:r w:rsidRPr="00C12B48">
              <w:rPr>
                <w:rFonts w:ascii="Palatino Linotype" w:eastAsia="Palatino Linotype" w:hAnsi="Palatino Linotype" w:cs="Palatino Linotype"/>
                <w:sz w:val="18"/>
                <w:szCs w:val="18"/>
              </w:rPr>
              <w:t xml:space="preserve"> </w:t>
            </w:r>
          </w:p>
        </w:tc>
      </w:tr>
      <w:tr w:rsidR="00C12B48" w:rsidRPr="00C12B48">
        <w:trPr>
          <w:jc w:val="center"/>
        </w:trPr>
        <w:tc>
          <w:tcPr>
            <w:tcW w:w="2547"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01356/TOLUCA/IP/2023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03288/INFOEM/IP/RR/2023</w:t>
            </w:r>
          </w:p>
        </w:tc>
        <w:tc>
          <w:tcPr>
            <w:tcW w:w="6281"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“En atención a la solicitud con folio 01356/TOLUCA/IP/2023, me permito adjuntar al presente la respuesta correspondiente. Sin más por el momento, reciba un saludo.” (Sic)</w:t>
            </w:r>
          </w:p>
          <w:p w:rsidR="00735E9D" w:rsidRPr="00C12B48" w:rsidRDefault="00735E9D">
            <w:pPr>
              <w:spacing w:before="120" w:after="120"/>
              <w:jc w:val="both"/>
              <w:rPr>
                <w:rFonts w:ascii="Palatino Linotype" w:eastAsia="Palatino Linotype" w:hAnsi="Palatino Linotype" w:cs="Palatino Linotype"/>
                <w:i/>
                <w:sz w:val="18"/>
                <w:szCs w:val="18"/>
              </w:rPr>
            </w:pPr>
          </w:p>
          <w:p w:rsidR="00735E9D" w:rsidRPr="00C12B48" w:rsidRDefault="003A2817">
            <w:pPr>
              <w:spacing w:before="120" w:after="120"/>
              <w:jc w:val="both"/>
              <w:rPr>
                <w:rFonts w:ascii="Palatino Linotype" w:eastAsia="Palatino Linotype" w:hAnsi="Palatino Linotype" w:cs="Palatino Linotype"/>
                <w:i/>
                <w:sz w:val="20"/>
                <w:szCs w:val="20"/>
              </w:rPr>
            </w:pPr>
            <w:r w:rsidRPr="00C12B48">
              <w:rPr>
                <w:rFonts w:ascii="Palatino Linotype" w:eastAsia="Palatino Linotype" w:hAnsi="Palatino Linotype" w:cs="Palatino Linotype"/>
                <w:sz w:val="18"/>
                <w:szCs w:val="18"/>
              </w:rPr>
              <w:t xml:space="preserve">Adjunto a su respuesta, el </w:t>
            </w:r>
            <w:r w:rsidRPr="00C12B48">
              <w:rPr>
                <w:rFonts w:ascii="Palatino Linotype" w:eastAsia="Palatino Linotype" w:hAnsi="Palatino Linotype" w:cs="Palatino Linotype"/>
                <w:b/>
                <w:sz w:val="18"/>
                <w:szCs w:val="18"/>
              </w:rPr>
              <w:t xml:space="preserve">Sujeto Obligado </w:t>
            </w:r>
            <w:r w:rsidRPr="00C12B48">
              <w:rPr>
                <w:rFonts w:ascii="Palatino Linotype" w:eastAsia="Palatino Linotype" w:hAnsi="Palatino Linotype" w:cs="Palatino Linotype"/>
                <w:sz w:val="18"/>
                <w:szCs w:val="18"/>
              </w:rPr>
              <w:t>proporcionó un archivo electrónico denominado “</w:t>
            </w:r>
            <w:r w:rsidRPr="00C12B48">
              <w:rPr>
                <w:rFonts w:ascii="Palatino Linotype" w:eastAsia="Palatino Linotype" w:hAnsi="Palatino Linotype" w:cs="Palatino Linotype"/>
                <w:b/>
                <w:i/>
                <w:sz w:val="18"/>
                <w:szCs w:val="18"/>
              </w:rPr>
              <w:t>1356.pdf”</w:t>
            </w:r>
            <w:r w:rsidRPr="00C12B48">
              <w:rPr>
                <w:rFonts w:ascii="Palatino Linotype" w:eastAsia="Palatino Linotype" w:hAnsi="Palatino Linotype" w:cs="Palatino Linotype"/>
                <w:sz w:val="18"/>
                <w:szCs w:val="18"/>
              </w:rPr>
              <w:t>, que contiene: Oficio sin número del veintiséis de mayo de dos mil veintitrés, a través del cual la Titular de la Unidad de Transparencia medularmente informa al particular que, con relación a su solicitud, después de una búsqueda exhaustiva y razonable en los archivos de esa Unidad no se cuenta con la información requerida por no haberla generado poseído o administrado.</w:t>
            </w:r>
          </w:p>
        </w:tc>
      </w:tr>
      <w:tr w:rsidR="00C12B48" w:rsidRPr="00C12B48">
        <w:trPr>
          <w:jc w:val="center"/>
        </w:trPr>
        <w:tc>
          <w:tcPr>
            <w:tcW w:w="2547" w:type="dxa"/>
            <w:vAlign w:val="center"/>
          </w:tcPr>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01355/TOLUCA/IP/2023</w:t>
            </w:r>
          </w:p>
          <w:p w:rsidR="00735E9D" w:rsidRPr="00940273" w:rsidRDefault="003A2817">
            <w:pPr>
              <w:spacing w:before="120" w:after="120"/>
              <w:jc w:val="center"/>
              <w:rPr>
                <w:rFonts w:ascii="Palatino Linotype" w:eastAsia="Palatino Linotype" w:hAnsi="Palatino Linotype" w:cs="Palatino Linotype"/>
                <w:b/>
                <w:sz w:val="18"/>
                <w:szCs w:val="18"/>
                <w:lang w:val="en-US"/>
              </w:rPr>
            </w:pPr>
            <w:r w:rsidRPr="00940273">
              <w:rPr>
                <w:rFonts w:ascii="Palatino Linotype" w:eastAsia="Palatino Linotype" w:hAnsi="Palatino Linotype" w:cs="Palatino Linotype"/>
                <w:b/>
                <w:sz w:val="18"/>
                <w:szCs w:val="18"/>
                <w:lang w:val="en-US"/>
              </w:rPr>
              <w:t>03289/INFOEM/IP/RR/2023</w:t>
            </w:r>
          </w:p>
        </w:tc>
        <w:tc>
          <w:tcPr>
            <w:tcW w:w="6281" w:type="dxa"/>
          </w:tcPr>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i/>
                <w:sz w:val="18"/>
                <w:szCs w:val="18"/>
              </w:rPr>
              <w:t>“En atención a la solicitud con folio 01355/TOLUCA/IP/2023, me permito adjuntar al presente la respuesta correspondiente. Sin más por el momento, reciba un saludo.” (Sic)</w:t>
            </w:r>
          </w:p>
          <w:p w:rsidR="00735E9D" w:rsidRPr="00C12B48" w:rsidRDefault="00735E9D">
            <w:pPr>
              <w:spacing w:before="120" w:after="120"/>
              <w:jc w:val="both"/>
              <w:rPr>
                <w:rFonts w:ascii="Palatino Linotype" w:eastAsia="Palatino Linotype" w:hAnsi="Palatino Linotype" w:cs="Palatino Linotype"/>
                <w:i/>
                <w:sz w:val="18"/>
                <w:szCs w:val="18"/>
              </w:rPr>
            </w:pPr>
          </w:p>
          <w:p w:rsidR="00735E9D" w:rsidRPr="00C12B48" w:rsidRDefault="003A2817">
            <w:pPr>
              <w:spacing w:before="120" w:after="120"/>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sz w:val="18"/>
                <w:szCs w:val="18"/>
              </w:rPr>
              <w:t xml:space="preserve">Adjunto a su respuesta, el </w:t>
            </w:r>
            <w:r w:rsidRPr="00C12B48">
              <w:rPr>
                <w:rFonts w:ascii="Palatino Linotype" w:eastAsia="Palatino Linotype" w:hAnsi="Palatino Linotype" w:cs="Palatino Linotype"/>
                <w:b/>
                <w:sz w:val="18"/>
                <w:szCs w:val="18"/>
              </w:rPr>
              <w:t xml:space="preserve">Sujeto Obligado </w:t>
            </w:r>
            <w:r w:rsidRPr="00C12B48">
              <w:rPr>
                <w:rFonts w:ascii="Palatino Linotype" w:eastAsia="Palatino Linotype" w:hAnsi="Palatino Linotype" w:cs="Palatino Linotype"/>
                <w:sz w:val="18"/>
                <w:szCs w:val="18"/>
              </w:rPr>
              <w:t>proporcionó un archivo electrónico denominado “</w:t>
            </w:r>
            <w:r w:rsidRPr="00C12B48">
              <w:rPr>
                <w:rFonts w:ascii="Palatino Linotype" w:eastAsia="Palatino Linotype" w:hAnsi="Palatino Linotype" w:cs="Palatino Linotype"/>
                <w:b/>
                <w:i/>
                <w:sz w:val="18"/>
                <w:szCs w:val="18"/>
              </w:rPr>
              <w:t>1355.pdf”</w:t>
            </w:r>
            <w:r w:rsidRPr="00C12B48">
              <w:rPr>
                <w:rFonts w:ascii="Palatino Linotype" w:eastAsia="Palatino Linotype" w:hAnsi="Palatino Linotype" w:cs="Palatino Linotype"/>
                <w:sz w:val="18"/>
                <w:szCs w:val="18"/>
              </w:rPr>
              <w:t>, que contiene: Oficio sin número del veintiséis de mayo de dos mil veintitrés, a través del cual la Titular de la Unidad de Transparencia medularmente informa al particular que, con relación a su solicitud, después de una búsqueda exhaustiva y razonable en los archivos de esa Unidad no se cuenta con la información requerida por no haberla generado poseído o administrado.</w:t>
            </w:r>
          </w:p>
        </w:tc>
      </w:tr>
    </w:tbl>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lastRenderedPageBreak/>
        <w:t xml:space="preserve">4. Interposición de los recursos de revisión. </w:t>
      </w:r>
      <w:r w:rsidRPr="00C12B48">
        <w:rPr>
          <w:rFonts w:ascii="Palatino Linotype" w:eastAsia="Palatino Linotype" w:hAnsi="Palatino Linotype" w:cs="Palatino Linotype"/>
        </w:rPr>
        <w:t xml:space="preserve">Inconforme la persona solicitante con las respuestas emitidas por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a sus solicitudes, en fechas </w:t>
      </w:r>
      <w:r w:rsidRPr="00C12B48">
        <w:rPr>
          <w:rFonts w:ascii="Palatino Linotype" w:eastAsia="Palatino Linotype" w:hAnsi="Palatino Linotype" w:cs="Palatino Linotype"/>
          <w:b/>
        </w:rPr>
        <w:t>veintinueve de mayo y nueve de junio de dos mil veintitrés</w:t>
      </w:r>
      <w:r w:rsidRPr="00C12B48">
        <w:rPr>
          <w:rFonts w:ascii="Palatino Linotype" w:eastAsia="Palatino Linotype" w:hAnsi="Palatino Linotype" w:cs="Palatino Linotype"/>
        </w:rPr>
        <w:t>, respectivamente, interpuso los recursos de revisión a través del SAIMEX, expresando lo siguiente en todos los casos:</w:t>
      </w:r>
    </w:p>
    <w:tbl>
      <w:tblPr>
        <w:tblStyle w:val="a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281"/>
      </w:tblGrid>
      <w:tr w:rsidR="00C12B48" w:rsidRPr="00C12B48">
        <w:trPr>
          <w:jc w:val="center"/>
        </w:trPr>
        <w:tc>
          <w:tcPr>
            <w:tcW w:w="2547" w:type="dxa"/>
            <w:shd w:val="clear" w:color="auto" w:fill="A6A6A6"/>
          </w:tcPr>
          <w:p w:rsidR="00735E9D" w:rsidRPr="00C12B48" w:rsidRDefault="003A2817">
            <w:pPr>
              <w:jc w:val="center"/>
              <w:rPr>
                <w:rFonts w:ascii="Palatino Linotype" w:eastAsia="Palatino Linotype" w:hAnsi="Palatino Linotype" w:cs="Palatino Linotype"/>
                <w:b/>
                <w:sz w:val="20"/>
                <w:szCs w:val="20"/>
              </w:rPr>
            </w:pPr>
            <w:bookmarkStart w:id="6" w:name="_heading=h.3dy6vkm" w:colFirst="0" w:colLast="0"/>
            <w:bookmarkEnd w:id="6"/>
            <w:r w:rsidRPr="00C12B48">
              <w:rPr>
                <w:rFonts w:ascii="Palatino Linotype" w:eastAsia="Palatino Linotype" w:hAnsi="Palatino Linotype" w:cs="Palatino Linotype"/>
                <w:b/>
                <w:sz w:val="20"/>
                <w:szCs w:val="20"/>
              </w:rPr>
              <w:t>Número de recurso de revisión</w:t>
            </w:r>
          </w:p>
        </w:tc>
        <w:tc>
          <w:tcPr>
            <w:tcW w:w="6281" w:type="dxa"/>
            <w:shd w:val="clear" w:color="auto" w:fill="A6A6A6"/>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Acto impugnado y razones o motivos de inconformidad</w:t>
            </w:r>
          </w:p>
        </w:tc>
      </w:tr>
      <w:tr w:rsidR="00C12B48" w:rsidRPr="00C12B48">
        <w:trPr>
          <w:jc w:val="center"/>
        </w:trPr>
        <w:tc>
          <w:tcPr>
            <w:tcW w:w="2547" w:type="dxa"/>
            <w:vAlign w:val="center"/>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18"/>
                <w:szCs w:val="18"/>
              </w:rPr>
              <w:t>02954/INFOEM/IP/RR/2023</w:t>
            </w:r>
          </w:p>
        </w:tc>
        <w:tc>
          <w:tcPr>
            <w:tcW w:w="6281" w:type="dxa"/>
          </w:tcPr>
          <w:p w:rsidR="00735E9D" w:rsidRPr="00C12B48" w:rsidRDefault="003A2817">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b/>
                <w:sz w:val="18"/>
                <w:szCs w:val="18"/>
              </w:rPr>
              <w:t xml:space="preserve">Acto impugnado: </w:t>
            </w:r>
            <w:r w:rsidRPr="00C12B48">
              <w:rPr>
                <w:rFonts w:ascii="Palatino Linotype" w:eastAsia="Palatino Linotype" w:hAnsi="Palatino Linotype" w:cs="Palatino Linotype"/>
                <w:i/>
                <w:sz w:val="18"/>
                <w:szCs w:val="18"/>
              </w:rPr>
              <w:t>“El sujeto obligado está negando la información, su justificación no es válida” (Sic)</w:t>
            </w:r>
          </w:p>
          <w:p w:rsidR="00735E9D" w:rsidRPr="00C12B48" w:rsidRDefault="003A2817">
            <w:pPr>
              <w:numPr>
                <w:ilvl w:val="0"/>
                <w:numId w:val="4"/>
              </w:numPr>
              <w:pBdr>
                <w:top w:val="nil"/>
                <w:left w:val="nil"/>
                <w:bottom w:val="nil"/>
                <w:right w:val="nil"/>
                <w:between w:val="nil"/>
              </w:pBdr>
              <w:jc w:val="both"/>
              <w:rPr>
                <w:rFonts w:ascii="Palatino Linotype" w:eastAsia="Palatino Linotype" w:hAnsi="Palatino Linotype" w:cs="Palatino Linotype"/>
                <w:sz w:val="18"/>
                <w:szCs w:val="18"/>
              </w:rPr>
            </w:pPr>
            <w:r w:rsidRPr="00C12B48">
              <w:rPr>
                <w:rFonts w:ascii="Palatino Linotype" w:eastAsia="Palatino Linotype" w:hAnsi="Palatino Linotype" w:cs="Palatino Linotype"/>
                <w:b/>
                <w:sz w:val="18"/>
                <w:szCs w:val="18"/>
              </w:rPr>
              <w:t>Razones o motivos de inconformidad</w:t>
            </w:r>
            <w:r w:rsidRPr="00C12B48">
              <w:rPr>
                <w:rFonts w:ascii="Palatino Linotype" w:eastAsia="Palatino Linotype" w:hAnsi="Palatino Linotype" w:cs="Palatino Linotype"/>
                <w:sz w:val="18"/>
                <w:szCs w:val="18"/>
              </w:rPr>
              <w:t xml:space="preserve">: </w:t>
            </w:r>
            <w:r w:rsidRPr="00C12B48">
              <w:rPr>
                <w:rFonts w:ascii="Palatino Linotype" w:eastAsia="Palatino Linotype" w:hAnsi="Palatino Linotype" w:cs="Palatino Linotype"/>
                <w:i/>
                <w:sz w:val="18"/>
                <w:szCs w:val="18"/>
              </w:rPr>
              <w:t>“El sujeto obligado está negando la información, su justificación no es válida” (Sic)</w:t>
            </w:r>
          </w:p>
        </w:tc>
      </w:tr>
      <w:tr w:rsidR="00C12B48" w:rsidRPr="00C12B48">
        <w:trPr>
          <w:jc w:val="center"/>
        </w:trPr>
        <w:tc>
          <w:tcPr>
            <w:tcW w:w="2547" w:type="dxa"/>
            <w:vAlign w:val="center"/>
          </w:tcPr>
          <w:p w:rsidR="00735E9D" w:rsidRPr="00C12B48" w:rsidRDefault="003A2817">
            <w:pPr>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18"/>
                <w:szCs w:val="18"/>
              </w:rPr>
              <w:t>03288/INFOEM/IP/RR/2023</w:t>
            </w:r>
          </w:p>
        </w:tc>
        <w:tc>
          <w:tcPr>
            <w:tcW w:w="6281" w:type="dxa"/>
          </w:tcPr>
          <w:p w:rsidR="00735E9D" w:rsidRPr="00C12B48" w:rsidRDefault="003A2817">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b/>
                <w:sz w:val="18"/>
                <w:szCs w:val="18"/>
              </w:rPr>
              <w:t xml:space="preserve">Acto impugnado: </w:t>
            </w:r>
            <w:r w:rsidRPr="00C12B48">
              <w:rPr>
                <w:rFonts w:ascii="Palatino Linotype" w:eastAsia="Palatino Linotype" w:hAnsi="Palatino Linotype" w:cs="Palatino Linotype"/>
                <w:i/>
                <w:sz w:val="18"/>
                <w:szCs w:val="18"/>
              </w:rPr>
              <w:t>“Me están negando la información, como ciudadano desconozco los términos o tecnicismos a utilizar para redactar i texto, su deber de la Unidad de Transparencia es interpretarlo, la petición es clara desde mi punto de vista.” (Sic)</w:t>
            </w:r>
          </w:p>
          <w:p w:rsidR="00735E9D" w:rsidRPr="00C12B48" w:rsidRDefault="003A2817">
            <w:pPr>
              <w:numPr>
                <w:ilvl w:val="0"/>
                <w:numId w:val="4"/>
              </w:numPr>
              <w:pBdr>
                <w:top w:val="nil"/>
                <w:left w:val="nil"/>
                <w:bottom w:val="nil"/>
                <w:right w:val="nil"/>
                <w:between w:val="nil"/>
              </w:pBdr>
              <w:jc w:val="both"/>
              <w:rPr>
                <w:rFonts w:ascii="Palatino Linotype" w:eastAsia="Palatino Linotype" w:hAnsi="Palatino Linotype" w:cs="Palatino Linotype"/>
                <w:i/>
                <w:sz w:val="20"/>
                <w:szCs w:val="20"/>
              </w:rPr>
            </w:pPr>
            <w:r w:rsidRPr="00C12B48">
              <w:rPr>
                <w:rFonts w:ascii="Palatino Linotype" w:eastAsia="Palatino Linotype" w:hAnsi="Palatino Linotype" w:cs="Palatino Linotype"/>
                <w:b/>
                <w:sz w:val="18"/>
                <w:szCs w:val="18"/>
              </w:rPr>
              <w:t>Razones o motivos de inconformidad</w:t>
            </w:r>
            <w:r w:rsidRPr="00C12B48">
              <w:rPr>
                <w:rFonts w:ascii="Palatino Linotype" w:eastAsia="Palatino Linotype" w:hAnsi="Palatino Linotype" w:cs="Palatino Linotype"/>
                <w:sz w:val="18"/>
                <w:szCs w:val="18"/>
              </w:rPr>
              <w:t xml:space="preserve">: </w:t>
            </w:r>
            <w:r w:rsidRPr="00C12B48">
              <w:rPr>
                <w:rFonts w:ascii="Palatino Linotype" w:eastAsia="Palatino Linotype" w:hAnsi="Palatino Linotype" w:cs="Palatino Linotype"/>
                <w:i/>
                <w:sz w:val="18"/>
                <w:szCs w:val="18"/>
              </w:rPr>
              <w:t>“Me están negando la información, como ciudadano desconozco los términos o tecnicismos a utilizar para redactar i texto, su deber de la Unidad de Transparencia es interpretarlo, la petición es clara desde mi punto de vista.” (Sic)</w:t>
            </w:r>
          </w:p>
        </w:tc>
      </w:tr>
      <w:tr w:rsidR="00C12B48" w:rsidRPr="00C12B48">
        <w:trPr>
          <w:jc w:val="center"/>
        </w:trPr>
        <w:tc>
          <w:tcPr>
            <w:tcW w:w="2547" w:type="dxa"/>
            <w:vAlign w:val="center"/>
          </w:tcPr>
          <w:p w:rsidR="00735E9D" w:rsidRPr="00C12B48" w:rsidRDefault="003A2817">
            <w:pPr>
              <w:jc w:val="center"/>
              <w:rPr>
                <w:rFonts w:ascii="Palatino Linotype" w:eastAsia="Palatino Linotype" w:hAnsi="Palatino Linotype" w:cs="Palatino Linotype"/>
                <w:b/>
                <w:sz w:val="18"/>
                <w:szCs w:val="18"/>
              </w:rPr>
            </w:pPr>
            <w:r w:rsidRPr="00C12B48">
              <w:rPr>
                <w:rFonts w:ascii="Palatino Linotype" w:eastAsia="Palatino Linotype" w:hAnsi="Palatino Linotype" w:cs="Palatino Linotype"/>
                <w:b/>
                <w:sz w:val="18"/>
                <w:szCs w:val="18"/>
              </w:rPr>
              <w:t>03289/INFOEM/IP/RR/2023</w:t>
            </w:r>
          </w:p>
        </w:tc>
        <w:tc>
          <w:tcPr>
            <w:tcW w:w="6281" w:type="dxa"/>
          </w:tcPr>
          <w:p w:rsidR="00735E9D" w:rsidRPr="00C12B48" w:rsidRDefault="003A2817">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i/>
                <w:sz w:val="18"/>
                <w:szCs w:val="18"/>
              </w:rPr>
            </w:pPr>
            <w:r w:rsidRPr="00C12B48">
              <w:rPr>
                <w:rFonts w:ascii="Palatino Linotype" w:eastAsia="Palatino Linotype" w:hAnsi="Palatino Linotype" w:cs="Palatino Linotype"/>
                <w:b/>
                <w:sz w:val="18"/>
                <w:szCs w:val="18"/>
              </w:rPr>
              <w:t xml:space="preserve">Acto impugnado: </w:t>
            </w:r>
            <w:r w:rsidRPr="00C12B48">
              <w:rPr>
                <w:rFonts w:ascii="Palatino Linotype" w:eastAsia="Palatino Linotype" w:hAnsi="Palatino Linotype" w:cs="Palatino Linotype"/>
                <w:i/>
                <w:sz w:val="18"/>
                <w:szCs w:val="18"/>
              </w:rPr>
              <w:t>“Me están negando la información, como ciudadano desconozco los términos o tecnicismos a utilizar para redactar i texto, su deber de la Unidad de Transparencia es interpretarlo, la petición es clara desde mi punto de vista.” (Sic)</w:t>
            </w:r>
          </w:p>
          <w:p w:rsidR="00735E9D" w:rsidRPr="00C12B48" w:rsidRDefault="003A2817">
            <w:pPr>
              <w:numPr>
                <w:ilvl w:val="0"/>
                <w:numId w:val="4"/>
              </w:numPr>
              <w:pBdr>
                <w:top w:val="nil"/>
                <w:left w:val="nil"/>
                <w:bottom w:val="nil"/>
                <w:right w:val="nil"/>
                <w:between w:val="nil"/>
              </w:pBdr>
              <w:tabs>
                <w:tab w:val="left" w:pos="2745"/>
              </w:tabs>
              <w:jc w:val="both"/>
              <w:rPr>
                <w:rFonts w:ascii="Palatino Linotype" w:eastAsia="Palatino Linotype" w:hAnsi="Palatino Linotype" w:cs="Palatino Linotype"/>
                <w:b/>
                <w:sz w:val="18"/>
                <w:szCs w:val="18"/>
              </w:rPr>
            </w:pPr>
            <w:r w:rsidRPr="00C12B48">
              <w:rPr>
                <w:rFonts w:ascii="Palatino Linotype" w:eastAsia="Palatino Linotype" w:hAnsi="Palatino Linotype" w:cs="Palatino Linotype"/>
                <w:b/>
                <w:sz w:val="18"/>
                <w:szCs w:val="18"/>
              </w:rPr>
              <w:t>Razones o motivos de inconformidad</w:t>
            </w:r>
            <w:r w:rsidRPr="00C12B48">
              <w:rPr>
                <w:rFonts w:ascii="Palatino Linotype" w:eastAsia="Palatino Linotype" w:hAnsi="Palatino Linotype" w:cs="Palatino Linotype"/>
                <w:sz w:val="18"/>
                <w:szCs w:val="18"/>
              </w:rPr>
              <w:t xml:space="preserve">: </w:t>
            </w:r>
            <w:r w:rsidRPr="00C12B48">
              <w:rPr>
                <w:rFonts w:ascii="Palatino Linotype" w:eastAsia="Palatino Linotype" w:hAnsi="Palatino Linotype" w:cs="Palatino Linotype"/>
                <w:i/>
                <w:sz w:val="18"/>
                <w:szCs w:val="18"/>
              </w:rPr>
              <w:t>“Me están negando la información, como ciudadano desconozco los términos o tecnicismos a utilizar para redactar i texto, su deber de la Unidad de Transparencia es interpretarlo, la petición es clara desde mi punto de vista.” (Sic)</w:t>
            </w:r>
          </w:p>
        </w:tc>
      </w:tr>
    </w:tbl>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5. Turno.</w:t>
      </w:r>
      <w:r w:rsidRPr="00C12B48">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vigente, los presentes recursos de revisión </w:t>
      </w:r>
      <w:r w:rsidRPr="00C12B48">
        <w:rPr>
          <w:rFonts w:ascii="Palatino Linotype" w:eastAsia="Palatino Linotype" w:hAnsi="Palatino Linotype" w:cs="Palatino Linotype"/>
          <w:b/>
          <w:sz w:val="22"/>
          <w:szCs w:val="22"/>
        </w:rPr>
        <w:t>02954/INFOEM/IP/RR/2023, 03288/INFOEM/IP/RR/2023 y 03289/INFOEM/IP/RR/2023 acumulados</w:t>
      </w:r>
      <w:r w:rsidRPr="00C12B48">
        <w:rPr>
          <w:rFonts w:ascii="Palatino Linotype" w:eastAsia="Palatino Linotype" w:hAnsi="Palatino Linotype" w:cs="Palatino Linotype"/>
          <w:b/>
        </w:rPr>
        <w:t xml:space="preserve">, </w:t>
      </w:r>
      <w:r w:rsidRPr="00C12B48">
        <w:rPr>
          <w:rFonts w:ascii="Palatino Linotype" w:eastAsia="Palatino Linotype" w:hAnsi="Palatino Linotype" w:cs="Palatino Linotype"/>
        </w:rPr>
        <w:t>se turnaron por el sistema electrónico del Instituto de Transparencia, Acceso a la Información Pública y Protección de Datos Personales del Estado de México y Municipios, a los Comisionados</w:t>
      </w:r>
      <w:r w:rsidRPr="00C12B48">
        <w:rPr>
          <w:rFonts w:ascii="Palatino Linotype" w:eastAsia="Palatino Linotype" w:hAnsi="Palatino Linotype" w:cs="Palatino Linotype"/>
          <w:b/>
        </w:rPr>
        <w:t xml:space="preserve"> Guadalupe </w:t>
      </w:r>
      <w:r w:rsidRPr="00C12B48">
        <w:rPr>
          <w:rFonts w:ascii="Palatino Linotype" w:eastAsia="Palatino Linotype" w:hAnsi="Palatino Linotype" w:cs="Palatino Linotype"/>
          <w:b/>
        </w:rPr>
        <w:lastRenderedPageBreak/>
        <w:t xml:space="preserve">Ramírez Peña y María del Rosario Mejía Ayala, </w:t>
      </w:r>
      <w:r w:rsidRPr="00C12B48">
        <w:rPr>
          <w:rFonts w:ascii="Palatino Linotype" w:eastAsia="Palatino Linotype" w:hAnsi="Palatino Linotype" w:cs="Palatino Linotype"/>
        </w:rPr>
        <w:t>respectivamente,</w:t>
      </w:r>
      <w:r w:rsidRPr="00C12B48">
        <w:rPr>
          <w:rFonts w:ascii="Palatino Linotype" w:eastAsia="Palatino Linotype" w:hAnsi="Palatino Linotype" w:cs="Palatino Linotype"/>
          <w:b/>
        </w:rPr>
        <w:t xml:space="preserve"> </w:t>
      </w:r>
      <w:r w:rsidRPr="00C12B48">
        <w:rPr>
          <w:rFonts w:ascii="Palatino Linotype" w:eastAsia="Palatino Linotype" w:hAnsi="Palatino Linotype" w:cs="Palatino Linotype"/>
        </w:rPr>
        <w:t xml:space="preserve">a efecto de que analizaran sobre su admisión o su </w:t>
      </w:r>
      <w:proofErr w:type="spellStart"/>
      <w:r w:rsidRPr="00C12B48">
        <w:rPr>
          <w:rFonts w:ascii="Palatino Linotype" w:eastAsia="Palatino Linotype" w:hAnsi="Palatino Linotype" w:cs="Palatino Linotype"/>
        </w:rPr>
        <w:t>desechamiento</w:t>
      </w:r>
      <w:proofErr w:type="spellEnd"/>
      <w:r w:rsidRPr="00C12B48">
        <w:rPr>
          <w:rFonts w:ascii="Palatino Linotype" w:eastAsia="Palatino Linotype" w:hAnsi="Palatino Linotype" w:cs="Palatino Linotype"/>
        </w:rPr>
        <w:t xml:space="preserve">. </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 xml:space="preserve">6. Admisión de los Recursos de Revisión. </w:t>
      </w:r>
      <w:r w:rsidRPr="00C12B48">
        <w:rPr>
          <w:rFonts w:ascii="Palatino Linotype" w:eastAsia="Palatino Linotype" w:hAnsi="Palatino Linotype" w:cs="Palatino Linotype"/>
        </w:rPr>
        <w:t xml:space="preserve">En fechas </w:t>
      </w:r>
      <w:r w:rsidRPr="00C12B48">
        <w:rPr>
          <w:rFonts w:ascii="Palatino Linotype" w:eastAsia="Palatino Linotype" w:hAnsi="Palatino Linotype" w:cs="Palatino Linotype"/>
          <w:b/>
        </w:rPr>
        <w:t>primero,</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 xml:space="preserve">doce </w:t>
      </w:r>
      <w:r w:rsidR="009D3F88" w:rsidRPr="00C12B48">
        <w:rPr>
          <w:rFonts w:ascii="Palatino Linotype" w:eastAsia="Palatino Linotype" w:hAnsi="Palatino Linotype" w:cs="Palatino Linotype"/>
          <w:b/>
        </w:rPr>
        <w:t>y catorce</w:t>
      </w:r>
      <w:r w:rsidR="00673A61" w:rsidRPr="00C12B48">
        <w:rPr>
          <w:rFonts w:ascii="Palatino Linotype" w:eastAsia="Palatino Linotype" w:hAnsi="Palatino Linotype" w:cs="Palatino Linotype"/>
          <w:b/>
        </w:rPr>
        <w:t xml:space="preserve"> </w:t>
      </w:r>
      <w:r w:rsidRPr="00C12B48">
        <w:rPr>
          <w:rFonts w:ascii="Palatino Linotype" w:eastAsia="Palatino Linotype" w:hAnsi="Palatino Linotype" w:cs="Palatino Linotype"/>
          <w:b/>
        </w:rPr>
        <w:t>de junio de dos mil veintitrés</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 xml:space="preserve">respectivamente, </w:t>
      </w:r>
      <w:r w:rsidRPr="00C12B48">
        <w:rPr>
          <w:rFonts w:ascii="Palatino Linotype" w:eastAsia="Palatino Linotype" w:hAnsi="Palatino Linotype" w:cs="Palatino Linotype"/>
        </w:rPr>
        <w:t>en términos de lo dispuesto en el artículo 185 fracciones I, II y IV de la Ley de Transparencia y Acceso a la Información Pública del Estado de México y Municipios, se admitieron a trámite los recursos de revisión al rubro indicado.</w:t>
      </w:r>
    </w:p>
    <w:p w:rsidR="00735E9D" w:rsidRPr="00C12B48" w:rsidRDefault="003A2817">
      <w:pPr>
        <w:pBdr>
          <w:top w:val="nil"/>
          <w:left w:val="nil"/>
          <w:bottom w:val="nil"/>
          <w:right w:val="nil"/>
          <w:between w:val="nil"/>
        </w:pBdr>
        <w:spacing w:before="240" w:after="240" w:line="360" w:lineRule="auto"/>
        <w:jc w:val="both"/>
      </w:pPr>
      <w:r w:rsidRPr="00C12B48">
        <w:rPr>
          <w:rFonts w:ascii="Palatino Linotype" w:eastAsia="Palatino Linotype" w:hAnsi="Palatino Linotype" w:cs="Palatino Linotype"/>
          <w:b/>
        </w:rPr>
        <w:t xml:space="preserve">7. Acumulación de los recursos de revisión. </w:t>
      </w:r>
      <w:r w:rsidRPr="00C12B48">
        <w:rPr>
          <w:rFonts w:ascii="Palatino Linotype" w:eastAsia="Palatino Linotype" w:hAnsi="Palatino Linotype" w:cs="Palatino Linotype"/>
        </w:rPr>
        <w:t xml:space="preserve">Al respecto cabe señalar, que el Pleno de este Instituto, en la </w:t>
      </w:r>
      <w:r w:rsidRPr="00C12B48">
        <w:rPr>
          <w:rFonts w:ascii="Palatino Linotype" w:eastAsia="Palatino Linotype" w:hAnsi="Palatino Linotype" w:cs="Palatino Linotype"/>
          <w:b/>
        </w:rPr>
        <w:t>Vigésima Tercera Sesión</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Ordinaria</w:t>
      </w:r>
      <w:r w:rsidRPr="00C12B48">
        <w:rPr>
          <w:rFonts w:ascii="Palatino Linotype" w:eastAsia="Palatino Linotype" w:hAnsi="Palatino Linotype" w:cs="Palatino Linotype"/>
        </w:rPr>
        <w:t xml:space="preserve"> de fecha</w:t>
      </w:r>
      <w:r w:rsidRPr="00C12B48">
        <w:rPr>
          <w:rFonts w:ascii="Palatino Linotype" w:eastAsia="Palatino Linotype" w:hAnsi="Palatino Linotype" w:cs="Palatino Linotype"/>
          <w:b/>
        </w:rPr>
        <w:t xml:space="preserve"> veintiuno de junio de dos mil veintitrés,</w:t>
      </w:r>
      <w:r w:rsidRPr="00C12B48">
        <w:rPr>
          <w:rFonts w:ascii="Palatino Linotype" w:eastAsia="Palatino Linotype" w:hAnsi="Palatino Linotype" w:cs="Palatino Linotype"/>
        </w:rPr>
        <w:t xml:space="preserve"> ordenó la acumulación de los expedientes citados, a efecto de que la </w:t>
      </w:r>
      <w:r w:rsidRPr="00C12B48">
        <w:rPr>
          <w:rFonts w:ascii="Palatino Linotype" w:eastAsia="Palatino Linotype" w:hAnsi="Palatino Linotype" w:cs="Palatino Linotype"/>
          <w:b/>
        </w:rPr>
        <w:t xml:space="preserve">Comisionada Guadalupe Ramírez Peña </w:t>
      </w:r>
      <w:r w:rsidRPr="00C12B48">
        <w:rPr>
          <w:rFonts w:ascii="Palatino Linotype" w:eastAsia="Palatino Linotype" w:hAnsi="Palatino Linotype" w:cs="Palatino Linotype"/>
        </w:rPr>
        <w:t>formulara y presentara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  </w:t>
      </w:r>
    </w:p>
    <w:p w:rsidR="00735E9D" w:rsidRPr="00C12B48"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C12B48">
        <w:rPr>
          <w:rFonts w:ascii="Palatino Linotype" w:eastAsia="Palatino Linotype" w:hAnsi="Palatino Linotype" w:cs="Palatino Linotype"/>
          <w:b/>
          <w:i/>
          <w:sz w:val="22"/>
          <w:szCs w:val="22"/>
        </w:rPr>
        <w:t>Código de Procedimientos Administrativos del Estado de México</w:t>
      </w:r>
    </w:p>
    <w:p w:rsidR="00735E9D" w:rsidRPr="00C12B48"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C12B48">
        <w:rPr>
          <w:rFonts w:ascii="Palatino Linotype" w:eastAsia="Palatino Linotype" w:hAnsi="Palatino Linotype" w:cs="Palatino Linotype"/>
          <w:b/>
          <w:i/>
          <w:sz w:val="22"/>
          <w:szCs w:val="22"/>
        </w:rPr>
        <w:t>“Artículo 18.-</w:t>
      </w:r>
      <w:r w:rsidRPr="00C12B48">
        <w:rPr>
          <w:rFonts w:ascii="Palatino Linotype" w:eastAsia="Palatino Linotype" w:hAnsi="Palatino Linotype" w:cs="Palatino Linotype"/>
          <w:i/>
          <w:sz w:val="22"/>
          <w:szCs w:val="22"/>
        </w:rPr>
        <w:t xml:space="preserve"> </w:t>
      </w:r>
      <w:r w:rsidRPr="00C12B48">
        <w:rPr>
          <w:rFonts w:ascii="Palatino Linotype" w:eastAsia="Palatino Linotype" w:hAnsi="Palatino Linotype" w:cs="Palatino Linotype"/>
          <w:b/>
          <w:i/>
          <w:sz w:val="22"/>
          <w:szCs w:val="22"/>
        </w:rPr>
        <w:t>La autoridad administrativa o el Tribunal acordarán la acumulación de los expedientes del procedimiento y proceso administrativo que ante ellos se sigan, de oficio</w:t>
      </w:r>
      <w:r w:rsidRPr="00C12B48">
        <w:rPr>
          <w:rFonts w:ascii="Palatino Linotype" w:eastAsia="Palatino Linotype" w:hAnsi="Palatino Linotype" w:cs="Palatino Linotype"/>
          <w:i/>
          <w:sz w:val="22"/>
          <w:szCs w:val="22"/>
        </w:rPr>
        <w:t xml:space="preserve"> o a petición de parte, </w:t>
      </w:r>
      <w:r w:rsidRPr="00C12B48">
        <w:rPr>
          <w:rFonts w:ascii="Palatino Linotype" w:eastAsia="Palatino Linotype" w:hAnsi="Palatino Linotype" w:cs="Palatino Linotype"/>
          <w:b/>
          <w:i/>
          <w:sz w:val="22"/>
          <w:szCs w:val="22"/>
        </w:rPr>
        <w:t>cuando las partes</w:t>
      </w:r>
      <w:r w:rsidRPr="00C12B48">
        <w:rPr>
          <w:rFonts w:ascii="Palatino Linotype" w:eastAsia="Palatino Linotype" w:hAnsi="Palatino Linotype" w:cs="Palatino Linotype"/>
          <w:i/>
          <w:sz w:val="22"/>
          <w:szCs w:val="22"/>
        </w:rPr>
        <w:t xml:space="preserve"> o los actos administrativos sean iguales, se trate de actos conexos o </w:t>
      </w:r>
      <w:r w:rsidRPr="00C12B48">
        <w:rPr>
          <w:rFonts w:ascii="Palatino Linotype" w:eastAsia="Palatino Linotype" w:hAnsi="Palatino Linotype" w:cs="Palatino Linotype"/>
          <w:b/>
          <w:i/>
          <w:sz w:val="22"/>
          <w:szCs w:val="22"/>
        </w:rPr>
        <w:t>resulte conveniente el trámite unificado de los asuntos, para evitar la emisión de resoluciones contradictorias</w:t>
      </w:r>
      <w:r w:rsidRPr="00C12B48">
        <w:rPr>
          <w:rFonts w:ascii="Palatino Linotype" w:eastAsia="Palatino Linotype" w:hAnsi="Palatino Linotype" w:cs="Palatino Linotype"/>
          <w:i/>
          <w:sz w:val="22"/>
          <w:szCs w:val="22"/>
        </w:rPr>
        <w:t>. La misma regla se aplicará, en lo conducente, para la separación de los expedientes.”</w:t>
      </w:r>
    </w:p>
    <w:p w:rsidR="00735E9D" w:rsidRPr="00C12B48"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C12B48">
        <w:rPr>
          <w:rFonts w:ascii="Palatino Linotype" w:eastAsia="Palatino Linotype" w:hAnsi="Palatino Linotype" w:cs="Palatino Linotype"/>
          <w:b/>
          <w:i/>
          <w:sz w:val="22"/>
          <w:szCs w:val="22"/>
        </w:rPr>
        <w:lastRenderedPageBreak/>
        <w:t>Ley de Transparencia y Acceso a la Información Pública del Estado de México y Municipios</w:t>
      </w:r>
    </w:p>
    <w:p w:rsidR="00735E9D" w:rsidRPr="00C12B48" w:rsidRDefault="003A2817">
      <w:pPr>
        <w:pBdr>
          <w:top w:val="nil"/>
          <w:left w:val="nil"/>
          <w:bottom w:val="nil"/>
          <w:right w:val="nil"/>
          <w:between w:val="nil"/>
        </w:pBdr>
        <w:spacing w:before="120" w:after="120"/>
        <w:ind w:left="851" w:right="902"/>
        <w:jc w:val="both"/>
        <w:rPr>
          <w:rFonts w:ascii="Palatino Linotype" w:eastAsia="Palatino Linotype" w:hAnsi="Palatino Linotype" w:cs="Palatino Linotype"/>
        </w:rPr>
      </w:pPr>
      <w:r w:rsidRPr="00C12B48">
        <w:rPr>
          <w:rFonts w:ascii="Palatino Linotype" w:eastAsia="Palatino Linotype" w:hAnsi="Palatino Linotype" w:cs="Palatino Linotype"/>
          <w:b/>
          <w:i/>
          <w:sz w:val="22"/>
          <w:szCs w:val="22"/>
        </w:rPr>
        <w:t>“Artículo 195.-</w:t>
      </w:r>
      <w:r w:rsidRPr="00C12B48">
        <w:rPr>
          <w:rFonts w:ascii="Palatino Linotype" w:eastAsia="Palatino Linotype" w:hAnsi="Palatino Linotype" w:cs="Palatino Linotype"/>
          <w:i/>
          <w:sz w:val="22"/>
          <w:szCs w:val="22"/>
        </w:rPr>
        <w:t xml:space="preserve"> En la tramitación del recurso de revisión se aplicará supletoriamente las disposiciones contenidas en el Código de Procedimientos Administrativos del Estado de México.”</w:t>
      </w:r>
    </w:p>
    <w:p w:rsidR="00D60973" w:rsidRPr="00C12B48" w:rsidRDefault="003A2817">
      <w:pPr>
        <w:spacing w:before="240" w:after="240" w:line="360" w:lineRule="auto"/>
        <w:ind w:right="49"/>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Durante la sustanciación de los medios de impugnación citados se advirtió que los mismos fueron interpuestos por la misma parte </w:t>
      </w:r>
      <w:r w:rsidRPr="00C12B48">
        <w:rPr>
          <w:rFonts w:ascii="Palatino Linotype" w:eastAsia="Palatino Linotype" w:hAnsi="Palatino Linotype" w:cs="Palatino Linotype"/>
          <w:b/>
        </w:rPr>
        <w:t>Recurrente</w:t>
      </w:r>
      <w:r w:rsidRPr="00C12B48">
        <w:rPr>
          <w:rFonts w:ascii="Palatino Linotype" w:eastAsia="Palatino Linotype" w:hAnsi="Palatino Linotype" w:cs="Palatino Linotype"/>
        </w:rPr>
        <w:t xml:space="preserve"> ante el mismo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xml:space="preserve">, razón por la cual, </w:t>
      </w:r>
      <w:r w:rsidR="00D60973" w:rsidRPr="00C12B48">
        <w:rPr>
          <w:rFonts w:ascii="Palatino Linotype" w:eastAsia="Palatino Linotype" w:hAnsi="Palatino Linotype" w:cs="Palatino Linotype"/>
        </w:rPr>
        <w:t>se</w:t>
      </w:r>
      <w:r w:rsidRPr="00C12B48">
        <w:rPr>
          <w:rFonts w:ascii="Palatino Linotype" w:eastAsia="Palatino Linotype" w:hAnsi="Palatino Linotype" w:cs="Palatino Linotype"/>
        </w:rPr>
        <w:t xml:space="preserve"> consideró que resul</w:t>
      </w:r>
      <w:r w:rsidR="00D60973" w:rsidRPr="00C12B48">
        <w:rPr>
          <w:rFonts w:ascii="Palatino Linotype" w:eastAsia="Palatino Linotype" w:hAnsi="Palatino Linotype" w:cs="Palatino Linotype"/>
        </w:rPr>
        <w:t xml:space="preserve">taba conveniente su acumulación. </w:t>
      </w:r>
    </w:p>
    <w:p w:rsidR="00735E9D" w:rsidRPr="00C12B48" w:rsidRDefault="003A2817">
      <w:pPr>
        <w:spacing w:before="240" w:after="240" w:line="360" w:lineRule="auto"/>
        <w:ind w:right="49"/>
        <w:jc w:val="both"/>
        <w:rPr>
          <w:rFonts w:ascii="Palatino Linotype" w:eastAsia="Palatino Linotype" w:hAnsi="Palatino Linotype" w:cs="Palatino Linotype"/>
        </w:rPr>
      </w:pPr>
      <w:r w:rsidRPr="00C12B48">
        <w:rPr>
          <w:rFonts w:ascii="Palatino Linotype" w:eastAsia="Palatino Linotype" w:hAnsi="Palatino Linotype" w:cs="Palatino Linotype"/>
          <w:b/>
        </w:rPr>
        <w:t xml:space="preserve">8. Manifestaciones. </w:t>
      </w:r>
      <w:r w:rsidRPr="00C12B48">
        <w:rPr>
          <w:rFonts w:ascii="Palatino Linotype" w:eastAsia="Palatino Linotype" w:hAnsi="Palatino Linotype" w:cs="Palatino Linotype"/>
        </w:rPr>
        <w:t xml:space="preserve">De las constancias que integran los expedientes electrónicos en los que se actúan se advierte que el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xml:space="preserve"> rindió sus informes justificados dentro de los medios de impugnación que nos ocupan, en fechas y términos siguientes:</w:t>
      </w:r>
    </w:p>
    <w:tbl>
      <w:tblPr>
        <w:tblStyle w:val="a9"/>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5812"/>
      </w:tblGrid>
      <w:tr w:rsidR="00C12B48" w:rsidRPr="00C12B48">
        <w:tc>
          <w:tcPr>
            <w:tcW w:w="2977" w:type="dxa"/>
            <w:shd w:val="clear" w:color="auto" w:fill="A6A6A6"/>
          </w:tcPr>
          <w:p w:rsidR="00735E9D" w:rsidRPr="00C12B48" w:rsidRDefault="003A2817">
            <w:pPr>
              <w:spacing w:before="120" w:after="120"/>
              <w:jc w:val="center"/>
              <w:rPr>
                <w:rFonts w:ascii="Palatino Linotype" w:eastAsia="Palatino Linotype" w:hAnsi="Palatino Linotype" w:cs="Palatino Linotype"/>
                <w:b/>
                <w:sz w:val="20"/>
                <w:szCs w:val="20"/>
              </w:rPr>
            </w:pPr>
            <w:bookmarkStart w:id="7" w:name="_heading=h.1t3h5sf" w:colFirst="0" w:colLast="0"/>
            <w:bookmarkEnd w:id="7"/>
            <w:r w:rsidRPr="00C12B48">
              <w:rPr>
                <w:rFonts w:ascii="Palatino Linotype" w:eastAsia="Palatino Linotype" w:hAnsi="Palatino Linotype" w:cs="Palatino Linotype"/>
                <w:b/>
                <w:sz w:val="20"/>
                <w:szCs w:val="20"/>
              </w:rPr>
              <w:t>Recuso de Revisión</w:t>
            </w:r>
          </w:p>
        </w:tc>
        <w:tc>
          <w:tcPr>
            <w:tcW w:w="5812" w:type="dxa"/>
            <w:shd w:val="clear" w:color="auto" w:fill="A6A6A6"/>
          </w:tcPr>
          <w:p w:rsidR="00735E9D" w:rsidRPr="00C12B48" w:rsidRDefault="003A2817">
            <w:pPr>
              <w:spacing w:before="120" w:after="120"/>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Información entregada</w:t>
            </w:r>
          </w:p>
        </w:tc>
      </w:tr>
      <w:tr w:rsidR="00C12B48" w:rsidRPr="00C12B48">
        <w:trPr>
          <w:trHeight w:val="432"/>
        </w:trPr>
        <w:tc>
          <w:tcPr>
            <w:tcW w:w="2977" w:type="dxa"/>
            <w:vAlign w:val="center"/>
          </w:tcPr>
          <w:p w:rsidR="00735E9D" w:rsidRPr="00C12B48" w:rsidRDefault="003A2817">
            <w:pPr>
              <w:spacing w:before="120" w:after="120"/>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02954/INFOEM/IP/RR/2023</w:t>
            </w:r>
          </w:p>
          <w:p w:rsidR="00735E9D" w:rsidRPr="00C12B48" w:rsidRDefault="003A2817">
            <w:pPr>
              <w:spacing w:before="120" w:after="120"/>
              <w:jc w:val="center"/>
              <w:rPr>
                <w:rFonts w:ascii="Palatino Linotype" w:eastAsia="Palatino Linotype" w:hAnsi="Palatino Linotype" w:cs="Palatino Linotype"/>
                <w:sz w:val="20"/>
                <w:szCs w:val="20"/>
              </w:rPr>
            </w:pPr>
            <w:r w:rsidRPr="00C12B48">
              <w:rPr>
                <w:rFonts w:ascii="Palatino Linotype" w:eastAsia="Palatino Linotype" w:hAnsi="Palatino Linotype" w:cs="Palatino Linotype"/>
                <w:b/>
                <w:sz w:val="16"/>
                <w:szCs w:val="16"/>
              </w:rPr>
              <w:t>Solicitud 01357/TOLUCA/IP/2023</w:t>
            </w:r>
          </w:p>
        </w:tc>
        <w:tc>
          <w:tcPr>
            <w:tcW w:w="5812" w:type="dxa"/>
          </w:tcPr>
          <w:p w:rsidR="00735E9D" w:rsidRPr="00C12B48" w:rsidRDefault="003A2817">
            <w:pPr>
              <w:spacing w:before="120" w:after="120"/>
              <w:jc w:val="both"/>
              <w:rPr>
                <w:rFonts w:ascii="Palatino Linotype" w:eastAsia="Palatino Linotype" w:hAnsi="Palatino Linotype" w:cs="Palatino Linotype"/>
                <w:sz w:val="18"/>
                <w:szCs w:val="18"/>
              </w:rPr>
            </w:pPr>
            <w:r w:rsidRPr="00C12B48">
              <w:rPr>
                <w:rFonts w:ascii="Palatino Linotype" w:eastAsia="Palatino Linotype" w:hAnsi="Palatino Linotype" w:cs="Palatino Linotype"/>
                <w:sz w:val="18"/>
                <w:szCs w:val="18"/>
              </w:rPr>
              <w:t xml:space="preserve">En fecha </w:t>
            </w:r>
            <w:r w:rsidR="001B1DF9" w:rsidRPr="00C12B48">
              <w:rPr>
                <w:rFonts w:ascii="Palatino Linotype" w:eastAsia="Palatino Linotype" w:hAnsi="Palatino Linotype" w:cs="Palatino Linotype"/>
                <w:b/>
                <w:sz w:val="18"/>
                <w:szCs w:val="18"/>
              </w:rPr>
              <w:t>doce</w:t>
            </w:r>
            <w:r w:rsidRPr="00C12B48">
              <w:rPr>
                <w:rFonts w:ascii="Palatino Linotype" w:eastAsia="Palatino Linotype" w:hAnsi="Palatino Linotype" w:cs="Palatino Linotype"/>
                <w:b/>
                <w:sz w:val="18"/>
                <w:szCs w:val="18"/>
              </w:rPr>
              <w:t xml:space="preserve"> de junio de dos mil veintitrés</w:t>
            </w:r>
            <w:r w:rsidRPr="00C12B48">
              <w:rPr>
                <w:rFonts w:ascii="Palatino Linotype" w:eastAsia="Palatino Linotype" w:hAnsi="Palatino Linotype" w:cs="Palatino Linotype"/>
                <w:sz w:val="18"/>
                <w:szCs w:val="18"/>
              </w:rPr>
              <w:t xml:space="preserve"> se advierte que el Sujeto Obligado rindió su informe justificado mediante el archivo electrónico denominado “</w:t>
            </w:r>
            <w:r w:rsidRPr="00C12B48">
              <w:rPr>
                <w:rFonts w:ascii="Palatino Linotype" w:eastAsia="Palatino Linotype" w:hAnsi="Palatino Linotype" w:cs="Palatino Linotype"/>
                <w:b/>
                <w:i/>
                <w:sz w:val="18"/>
                <w:szCs w:val="18"/>
              </w:rPr>
              <w:t>RR2954</w:t>
            </w:r>
            <w:r w:rsidRPr="00C12B48">
              <w:rPr>
                <w:rFonts w:ascii="Palatino Linotype" w:eastAsia="Palatino Linotype" w:hAnsi="Palatino Linotype" w:cs="Palatino Linotype"/>
                <w:sz w:val="18"/>
                <w:szCs w:val="18"/>
              </w:rPr>
              <w:t>.</w:t>
            </w:r>
            <w:r w:rsidRPr="00C12B48">
              <w:rPr>
                <w:rFonts w:ascii="Palatino Linotype" w:eastAsia="Palatino Linotype" w:hAnsi="Palatino Linotype" w:cs="Palatino Linotype"/>
                <w:b/>
                <w:i/>
                <w:sz w:val="18"/>
                <w:szCs w:val="18"/>
              </w:rPr>
              <w:t>pdf</w:t>
            </w:r>
            <w:r w:rsidRPr="00C12B48">
              <w:rPr>
                <w:rFonts w:ascii="Palatino Linotype" w:eastAsia="Palatino Linotype" w:hAnsi="Palatino Linotype" w:cs="Palatino Linotype"/>
                <w:sz w:val="18"/>
                <w:szCs w:val="18"/>
              </w:rPr>
              <w:t>” que contiene la siguiente información:</w:t>
            </w:r>
          </w:p>
          <w:p w:rsidR="00735E9D" w:rsidRPr="00C12B48" w:rsidRDefault="003A2817">
            <w:pPr>
              <w:numPr>
                <w:ilvl w:val="0"/>
                <w:numId w:val="2"/>
              </w:numPr>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C12B48">
              <w:rPr>
                <w:rFonts w:ascii="Palatino Linotype" w:eastAsia="Palatino Linotype" w:hAnsi="Palatino Linotype" w:cs="Palatino Linotype"/>
                <w:sz w:val="18"/>
                <w:szCs w:val="18"/>
              </w:rPr>
              <w:t xml:space="preserve">Oficio 2010A4000/UT/RR/0374/2023 del doce de junio de dos mil veintitrés, a través del cual la Titular de la Unidad de Transparencia rinde informe justificado dentro del medio de impugnación que nos ocupa, en el que medularmente ratifica su respuesta inicial, de acuerdo a la Servidora Pública Habilitada Competente de la Unidad de Transparencia; y que, el hecho de que la información requerida </w:t>
            </w:r>
            <w:r w:rsidRPr="00C12B48">
              <w:rPr>
                <w:rFonts w:ascii="Palatino Linotype" w:eastAsia="Palatino Linotype" w:hAnsi="Palatino Linotype" w:cs="Palatino Linotype"/>
                <w:b/>
                <w:sz w:val="18"/>
                <w:szCs w:val="18"/>
                <w:u w:val="single"/>
              </w:rPr>
              <w:t>no obra en sus archivos ello constituye un hecho notorio y no se tiene atribuciones para dudar de la veracidad de lo manifestado por el Sujeto Obligado.</w:t>
            </w:r>
          </w:p>
        </w:tc>
      </w:tr>
      <w:tr w:rsidR="00C12B48" w:rsidRPr="00C12B48">
        <w:trPr>
          <w:trHeight w:val="432"/>
        </w:trPr>
        <w:tc>
          <w:tcPr>
            <w:tcW w:w="2977" w:type="dxa"/>
            <w:vAlign w:val="center"/>
          </w:tcPr>
          <w:p w:rsidR="00735E9D" w:rsidRPr="00C12B48" w:rsidRDefault="003A2817">
            <w:pPr>
              <w:spacing w:before="120" w:after="120"/>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t>03288/INFOEM/IP/RR/2023</w:t>
            </w:r>
          </w:p>
          <w:p w:rsidR="00735E9D" w:rsidRPr="00C12B48" w:rsidRDefault="003A2817">
            <w:pPr>
              <w:spacing w:before="120" w:after="120"/>
              <w:jc w:val="center"/>
              <w:rPr>
                <w:rFonts w:ascii="Palatino Linotype" w:eastAsia="Palatino Linotype" w:hAnsi="Palatino Linotype" w:cs="Palatino Linotype"/>
                <w:sz w:val="20"/>
                <w:szCs w:val="20"/>
              </w:rPr>
            </w:pPr>
            <w:r w:rsidRPr="00C12B48">
              <w:rPr>
                <w:rFonts w:ascii="Palatino Linotype" w:eastAsia="Palatino Linotype" w:hAnsi="Palatino Linotype" w:cs="Palatino Linotype"/>
                <w:b/>
                <w:sz w:val="16"/>
                <w:szCs w:val="16"/>
              </w:rPr>
              <w:t>Solicitud 01356/TOLUCA/IP/2023</w:t>
            </w:r>
          </w:p>
        </w:tc>
        <w:tc>
          <w:tcPr>
            <w:tcW w:w="5812" w:type="dxa"/>
          </w:tcPr>
          <w:p w:rsidR="00735E9D" w:rsidRPr="00C12B48" w:rsidRDefault="003A2817">
            <w:pPr>
              <w:spacing w:before="120" w:after="120"/>
              <w:jc w:val="both"/>
              <w:rPr>
                <w:rFonts w:ascii="Palatino Linotype" w:eastAsia="Palatino Linotype" w:hAnsi="Palatino Linotype" w:cs="Palatino Linotype"/>
                <w:sz w:val="18"/>
                <w:szCs w:val="18"/>
              </w:rPr>
            </w:pPr>
            <w:r w:rsidRPr="00C12B48">
              <w:rPr>
                <w:rFonts w:ascii="Palatino Linotype" w:eastAsia="Palatino Linotype" w:hAnsi="Palatino Linotype" w:cs="Palatino Linotype"/>
                <w:sz w:val="18"/>
                <w:szCs w:val="18"/>
              </w:rPr>
              <w:t xml:space="preserve">En fecha </w:t>
            </w:r>
            <w:r w:rsidRPr="00C12B48">
              <w:rPr>
                <w:rFonts w:ascii="Palatino Linotype" w:eastAsia="Palatino Linotype" w:hAnsi="Palatino Linotype" w:cs="Palatino Linotype"/>
                <w:b/>
                <w:sz w:val="18"/>
                <w:szCs w:val="18"/>
              </w:rPr>
              <w:t>veintidós de junio de dos mil veintitrés</w:t>
            </w:r>
            <w:r w:rsidRPr="00C12B48">
              <w:rPr>
                <w:rFonts w:ascii="Palatino Linotype" w:eastAsia="Palatino Linotype" w:hAnsi="Palatino Linotype" w:cs="Palatino Linotype"/>
                <w:sz w:val="18"/>
                <w:szCs w:val="18"/>
              </w:rPr>
              <w:t xml:space="preserve"> se advierte que el Sujeto Obligado rindió su informe justificado mediante el archivo electrónico denominado “</w:t>
            </w:r>
            <w:r w:rsidRPr="00C12B48">
              <w:rPr>
                <w:rFonts w:ascii="Palatino Linotype" w:eastAsia="Palatino Linotype" w:hAnsi="Palatino Linotype" w:cs="Palatino Linotype"/>
                <w:b/>
                <w:i/>
                <w:sz w:val="18"/>
                <w:szCs w:val="18"/>
              </w:rPr>
              <w:t>RR3288</w:t>
            </w:r>
            <w:r w:rsidRPr="00C12B48">
              <w:rPr>
                <w:rFonts w:ascii="Palatino Linotype" w:eastAsia="Palatino Linotype" w:hAnsi="Palatino Linotype" w:cs="Palatino Linotype"/>
                <w:sz w:val="18"/>
                <w:szCs w:val="18"/>
              </w:rPr>
              <w:t>.</w:t>
            </w:r>
            <w:r w:rsidRPr="00C12B48">
              <w:rPr>
                <w:rFonts w:ascii="Palatino Linotype" w:eastAsia="Palatino Linotype" w:hAnsi="Palatino Linotype" w:cs="Palatino Linotype"/>
                <w:b/>
                <w:i/>
                <w:sz w:val="18"/>
                <w:szCs w:val="18"/>
              </w:rPr>
              <w:t>pdf</w:t>
            </w:r>
            <w:r w:rsidRPr="00C12B48">
              <w:rPr>
                <w:rFonts w:ascii="Palatino Linotype" w:eastAsia="Palatino Linotype" w:hAnsi="Palatino Linotype" w:cs="Palatino Linotype"/>
                <w:sz w:val="18"/>
                <w:szCs w:val="18"/>
              </w:rPr>
              <w:t>” que contiene la siguiente información:</w:t>
            </w:r>
          </w:p>
          <w:p w:rsidR="00735E9D" w:rsidRPr="00C12B48" w:rsidRDefault="003A2817">
            <w:pPr>
              <w:widowControl w:val="0"/>
              <w:pBdr>
                <w:top w:val="nil"/>
                <w:left w:val="nil"/>
                <w:bottom w:val="nil"/>
                <w:right w:val="nil"/>
                <w:between w:val="nil"/>
              </w:pBdr>
              <w:spacing w:before="120" w:after="120"/>
              <w:jc w:val="both"/>
              <w:rPr>
                <w:rFonts w:ascii="Palatino Linotype" w:eastAsia="Palatino Linotype" w:hAnsi="Palatino Linotype" w:cs="Palatino Linotype"/>
                <w:sz w:val="20"/>
                <w:szCs w:val="20"/>
              </w:rPr>
            </w:pPr>
            <w:r w:rsidRPr="00C12B48">
              <w:rPr>
                <w:rFonts w:ascii="Palatino Linotype" w:eastAsia="Palatino Linotype" w:hAnsi="Palatino Linotype" w:cs="Palatino Linotype"/>
                <w:sz w:val="18"/>
                <w:szCs w:val="18"/>
              </w:rPr>
              <w:t xml:space="preserve">Oficio 2010A4000/UT/RR/0406/2023 del veintidós de junio de dos mil </w:t>
            </w:r>
            <w:r w:rsidRPr="00C12B48">
              <w:rPr>
                <w:rFonts w:ascii="Palatino Linotype" w:eastAsia="Palatino Linotype" w:hAnsi="Palatino Linotype" w:cs="Palatino Linotype"/>
                <w:sz w:val="18"/>
                <w:szCs w:val="18"/>
              </w:rPr>
              <w:lastRenderedPageBreak/>
              <w:t>veintitrés, a través del cual la Titular de la Unidad de Transparencia rinde informe justificado dentro del medio de impugnación que nos ocupa, en el que medularmente ratifica su respuesta inicial, de acuerdo a la Servidora Pública Habilitada Competente de la Unidad de Transparencia; y que, el hecho de que la información requerida no obra en sus archivos ello constituye un hecho notorio y no se tiene atribuciones para dudar de la veracidad de lo manifestado por el Sujeto Obligado.</w:t>
            </w:r>
          </w:p>
        </w:tc>
      </w:tr>
      <w:tr w:rsidR="00C12B48" w:rsidRPr="00C12B48">
        <w:trPr>
          <w:trHeight w:val="432"/>
        </w:trPr>
        <w:tc>
          <w:tcPr>
            <w:tcW w:w="2977" w:type="dxa"/>
            <w:vAlign w:val="center"/>
          </w:tcPr>
          <w:p w:rsidR="00735E9D" w:rsidRPr="00C12B48" w:rsidRDefault="003A2817">
            <w:pPr>
              <w:spacing w:before="120" w:after="120"/>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20"/>
                <w:szCs w:val="20"/>
              </w:rPr>
              <w:lastRenderedPageBreak/>
              <w:t>03289/INFOEM/IP/RR/2023</w:t>
            </w:r>
          </w:p>
          <w:p w:rsidR="00735E9D" w:rsidRPr="00C12B48" w:rsidRDefault="003A2817">
            <w:pPr>
              <w:spacing w:before="120" w:after="120"/>
              <w:jc w:val="center"/>
              <w:rPr>
                <w:rFonts w:ascii="Palatino Linotype" w:eastAsia="Palatino Linotype" w:hAnsi="Palatino Linotype" w:cs="Palatino Linotype"/>
                <w:b/>
                <w:sz w:val="20"/>
                <w:szCs w:val="20"/>
              </w:rPr>
            </w:pPr>
            <w:r w:rsidRPr="00C12B48">
              <w:rPr>
                <w:rFonts w:ascii="Palatino Linotype" w:eastAsia="Palatino Linotype" w:hAnsi="Palatino Linotype" w:cs="Palatino Linotype"/>
                <w:b/>
                <w:sz w:val="16"/>
                <w:szCs w:val="16"/>
              </w:rPr>
              <w:t>Solicitud 01355/TOLUCA/IP/2023</w:t>
            </w:r>
          </w:p>
        </w:tc>
        <w:tc>
          <w:tcPr>
            <w:tcW w:w="5812" w:type="dxa"/>
          </w:tcPr>
          <w:p w:rsidR="00735E9D" w:rsidRPr="00C12B48" w:rsidRDefault="003A2817">
            <w:pPr>
              <w:spacing w:before="120" w:after="120"/>
              <w:jc w:val="both"/>
              <w:rPr>
                <w:rFonts w:ascii="Palatino Linotype" w:eastAsia="Palatino Linotype" w:hAnsi="Palatino Linotype" w:cs="Palatino Linotype"/>
                <w:sz w:val="18"/>
                <w:szCs w:val="18"/>
              </w:rPr>
            </w:pPr>
            <w:r w:rsidRPr="00C12B48">
              <w:rPr>
                <w:rFonts w:ascii="Palatino Linotype" w:eastAsia="Palatino Linotype" w:hAnsi="Palatino Linotype" w:cs="Palatino Linotype"/>
                <w:sz w:val="18"/>
                <w:szCs w:val="18"/>
              </w:rPr>
              <w:t xml:space="preserve">En fecha </w:t>
            </w:r>
            <w:r w:rsidRPr="00C12B48">
              <w:rPr>
                <w:rFonts w:ascii="Palatino Linotype" w:eastAsia="Palatino Linotype" w:hAnsi="Palatino Linotype" w:cs="Palatino Linotype"/>
                <w:b/>
                <w:sz w:val="18"/>
                <w:szCs w:val="18"/>
              </w:rPr>
              <w:t>veintitrés de junio de dos mil veintitrés</w:t>
            </w:r>
            <w:r w:rsidRPr="00C12B48">
              <w:rPr>
                <w:rFonts w:ascii="Palatino Linotype" w:eastAsia="Palatino Linotype" w:hAnsi="Palatino Linotype" w:cs="Palatino Linotype"/>
                <w:sz w:val="18"/>
                <w:szCs w:val="18"/>
              </w:rPr>
              <w:t xml:space="preserve"> se advierte que el Sujeto Obligado rindió su informe justificado mediante el archivo electrónico denominado “</w:t>
            </w:r>
            <w:r w:rsidRPr="00C12B48">
              <w:rPr>
                <w:rFonts w:ascii="Palatino Linotype" w:eastAsia="Palatino Linotype" w:hAnsi="Palatino Linotype" w:cs="Palatino Linotype"/>
                <w:b/>
                <w:i/>
                <w:sz w:val="18"/>
                <w:szCs w:val="18"/>
              </w:rPr>
              <w:t>RR3289</w:t>
            </w:r>
            <w:r w:rsidRPr="00C12B48">
              <w:rPr>
                <w:rFonts w:ascii="Palatino Linotype" w:eastAsia="Palatino Linotype" w:hAnsi="Palatino Linotype" w:cs="Palatino Linotype"/>
                <w:sz w:val="18"/>
                <w:szCs w:val="18"/>
              </w:rPr>
              <w:t>.</w:t>
            </w:r>
            <w:r w:rsidRPr="00C12B48">
              <w:rPr>
                <w:rFonts w:ascii="Palatino Linotype" w:eastAsia="Palatino Linotype" w:hAnsi="Palatino Linotype" w:cs="Palatino Linotype"/>
                <w:b/>
                <w:i/>
                <w:sz w:val="18"/>
                <w:szCs w:val="18"/>
              </w:rPr>
              <w:t>pdf</w:t>
            </w:r>
            <w:r w:rsidRPr="00C12B48">
              <w:rPr>
                <w:rFonts w:ascii="Palatino Linotype" w:eastAsia="Palatino Linotype" w:hAnsi="Palatino Linotype" w:cs="Palatino Linotype"/>
                <w:sz w:val="18"/>
                <w:szCs w:val="18"/>
              </w:rPr>
              <w:t>” que contiene la siguiente información:</w:t>
            </w:r>
          </w:p>
          <w:p w:rsidR="00735E9D" w:rsidRPr="00C12B48" w:rsidRDefault="003A2817">
            <w:pPr>
              <w:widowControl w:val="0"/>
              <w:pBdr>
                <w:top w:val="nil"/>
                <w:left w:val="nil"/>
                <w:bottom w:val="nil"/>
                <w:right w:val="nil"/>
                <w:between w:val="nil"/>
              </w:pBdr>
              <w:spacing w:before="120" w:after="120"/>
              <w:jc w:val="both"/>
              <w:rPr>
                <w:rFonts w:ascii="Palatino Linotype" w:eastAsia="Palatino Linotype" w:hAnsi="Palatino Linotype" w:cs="Palatino Linotype"/>
                <w:sz w:val="18"/>
                <w:szCs w:val="18"/>
              </w:rPr>
            </w:pPr>
            <w:r w:rsidRPr="00C12B48">
              <w:rPr>
                <w:rFonts w:ascii="Palatino Linotype" w:eastAsia="Palatino Linotype" w:hAnsi="Palatino Linotype" w:cs="Palatino Linotype"/>
                <w:sz w:val="18"/>
                <w:szCs w:val="18"/>
              </w:rPr>
              <w:t>Oficio 2010A4000/UT/RR/0414/2023 del veintidós de junio de dos mil veintitrés, a través del cual la Titular de la Unidad de Transparencia rinde informe justificado dentro del medio de impugnación que nos ocupa, en el que medularmente ratifica su respuesta inicial, de acuerdo a la Servidora Pública Habilitada Competente de la Unidad de Transparencia; y que, el hecho de que la información requerida no obra en sus archivos ello constituye un hecho notorio y no se tiene atribuciones para dudar de la veracidad de lo manifestado por el Sujeto Obligado.</w:t>
            </w:r>
          </w:p>
        </w:tc>
      </w:tr>
    </w:tbl>
    <w:p w:rsidR="00735E9D" w:rsidRPr="00C12B48" w:rsidRDefault="00735E9D">
      <w:pPr>
        <w:spacing w:after="240" w:line="360" w:lineRule="auto"/>
        <w:jc w:val="both"/>
        <w:rPr>
          <w:rFonts w:ascii="Palatino Linotype" w:eastAsia="Palatino Linotype" w:hAnsi="Palatino Linotype" w:cs="Palatino Linotype"/>
          <w:b/>
          <w:sz w:val="6"/>
          <w:szCs w:val="6"/>
        </w:rPr>
      </w:pPr>
    </w:p>
    <w:p w:rsidR="00735E9D" w:rsidRPr="00C12B48" w:rsidRDefault="003A2817">
      <w:pPr>
        <w:spacing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Es de agregar que los archivos electrónicos a través de los cuales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rindió su informe justificado en los medios de impugnación, se pusieron a la vista de la parte </w:t>
      </w:r>
      <w:r w:rsidRPr="00C12B48">
        <w:rPr>
          <w:rFonts w:ascii="Palatino Linotype" w:eastAsia="Palatino Linotype" w:hAnsi="Palatino Linotype" w:cs="Palatino Linotype"/>
          <w:b/>
        </w:rPr>
        <w:t xml:space="preserve">Recurrente </w:t>
      </w:r>
      <w:r w:rsidRPr="00C12B48">
        <w:rPr>
          <w:rFonts w:ascii="Palatino Linotype" w:eastAsia="Palatino Linotype" w:hAnsi="Palatino Linotype" w:cs="Palatino Linotype"/>
        </w:rPr>
        <w:t>a fin de que manifestara lo que a su derecho resultara conveniente; no obstante, fue omisa en ejercer dicha prerrogativa.</w:t>
      </w:r>
    </w:p>
    <w:p w:rsidR="00735E9D" w:rsidRPr="00C12B48" w:rsidRDefault="003A2817">
      <w:pPr>
        <w:spacing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9. Ampliación del término para resolver</w:t>
      </w:r>
      <w:r w:rsidRPr="00C12B48">
        <w:rPr>
          <w:rFonts w:ascii="Palatino Linotype" w:eastAsia="Palatino Linotype" w:hAnsi="Palatino Linotype" w:cs="Palatino Linotype"/>
        </w:rPr>
        <w:t xml:space="preserve">. En fecha </w:t>
      </w:r>
      <w:r w:rsidRPr="00C12B48">
        <w:rPr>
          <w:rFonts w:ascii="Palatino Linotype" w:eastAsia="Palatino Linotype" w:hAnsi="Palatino Linotype" w:cs="Palatino Linotype"/>
          <w:b/>
        </w:rPr>
        <w:t>nueve de noviembre de dos mil veintitrés</w:t>
      </w:r>
      <w:r w:rsidRPr="00C12B48">
        <w:rPr>
          <w:rFonts w:ascii="Palatino Linotype" w:eastAsia="Palatino Linotype" w:hAnsi="Palatino Linotype" w:cs="Palatino Linotype"/>
        </w:rPr>
        <w:t>, se amplió el término para resolver los recursos de revisión en términos del artículo 181 párrafo tercero de la Ley de Transparencia y Acceso a la Información Pública del Estado de México y Municipios.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en el año dos mil veintidós, que, en comparación con </w:t>
      </w:r>
      <w:r w:rsidRPr="00C12B48">
        <w:rPr>
          <w:rFonts w:ascii="Palatino Linotype" w:eastAsia="Palatino Linotype" w:hAnsi="Palatino Linotype" w:cs="Palatino Linotype"/>
        </w:rPr>
        <w:lastRenderedPageBreak/>
        <w:t>los recibidos en el año dos mil veintiuno, se incrementó aproximadamente un 300%, circunstancia atípica que ha rebasado las capacidades técnicas y humanas del personal encargado de la proyección de las resoluciones a dichos medios de impugnación.</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735E9D" w:rsidRPr="00C12B48" w:rsidRDefault="003A2817">
      <w:pPr>
        <w:spacing w:before="240" w:after="240" w:line="360" w:lineRule="auto"/>
        <w:jc w:val="both"/>
        <w:rPr>
          <w:rFonts w:ascii="Palatino Linotype" w:eastAsia="Palatino Linotype" w:hAnsi="Palatino Linotype" w:cs="Palatino Linotype"/>
          <w:strike/>
        </w:rPr>
      </w:pPr>
      <w:r w:rsidRPr="00C12B4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w:t>
      </w:r>
      <w:proofErr w:type="gramStart"/>
      <w:r w:rsidRPr="00C12B48">
        <w:rPr>
          <w:rFonts w:ascii="Palatino Linotype" w:eastAsia="Palatino Linotype" w:hAnsi="Palatino Linotype" w:cs="Palatino Linotype"/>
        </w:rPr>
        <w:t>su resolución atentos</w:t>
      </w:r>
      <w:proofErr w:type="gramEnd"/>
      <w:r w:rsidRPr="00C12B48">
        <w:rPr>
          <w:rFonts w:ascii="Palatino Linotype" w:eastAsia="Palatino Linotype" w:hAnsi="Palatino Linotype" w:cs="Palatino Linotype"/>
        </w:rPr>
        <w:t xml:space="preserve"> a los siguientes criterios: </w:t>
      </w:r>
    </w:p>
    <w:p w:rsidR="00735E9D" w:rsidRPr="00C12B48"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12B48">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rsidR="00735E9D" w:rsidRPr="00C12B48"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12B48">
        <w:rPr>
          <w:rFonts w:ascii="Palatino Linotype" w:eastAsia="Palatino Linotype" w:hAnsi="Palatino Linotype" w:cs="Palatino Linotype"/>
        </w:rPr>
        <w:t>Actividad Procesal del interesado. Acciones u omisiones del interesado.</w:t>
      </w:r>
    </w:p>
    <w:p w:rsidR="00735E9D" w:rsidRPr="00C12B48"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12B48">
        <w:rPr>
          <w:rFonts w:ascii="Palatino Linotype" w:eastAsia="Palatino Linotype" w:hAnsi="Palatino Linotype" w:cs="Palatino Linotype"/>
        </w:rPr>
        <w:t>Conducta de la Autoridad: Las Acciones u omisiones realizadas en el procedimiento. Así como si la autoridad actuó con la debida diligencia.</w:t>
      </w:r>
    </w:p>
    <w:p w:rsidR="00735E9D" w:rsidRPr="00C12B48" w:rsidRDefault="003A2817">
      <w:pPr>
        <w:numPr>
          <w:ilvl w:val="0"/>
          <w:numId w:val="1"/>
        </w:numPr>
        <w:tabs>
          <w:tab w:val="left" w:pos="993"/>
        </w:tabs>
        <w:spacing w:before="240" w:after="240" w:line="360" w:lineRule="auto"/>
        <w:ind w:left="567" w:firstLine="0"/>
        <w:jc w:val="both"/>
        <w:rPr>
          <w:rFonts w:ascii="Palatino Linotype" w:eastAsia="Palatino Linotype" w:hAnsi="Palatino Linotype" w:cs="Palatino Linotype"/>
        </w:rPr>
      </w:pPr>
      <w:r w:rsidRPr="00C12B48">
        <w:rPr>
          <w:rFonts w:ascii="Palatino Linotype" w:eastAsia="Palatino Linotype" w:hAnsi="Palatino Linotype" w:cs="Palatino Linotype"/>
        </w:rPr>
        <w:t>La afectación generada en la situación jurídica de la persona involucrada en el proceso: Violación a sus derechos humanos.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35E9D" w:rsidRPr="00C12B48" w:rsidRDefault="003A2817">
      <w:pPr>
        <w:spacing w:before="240" w:after="240"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rPr>
        <w:t>Argumento que encuentra sustento en la jurisprudencia P</w:t>
      </w:r>
      <w:proofErr w:type="gramStart"/>
      <w:r w:rsidRPr="00C12B48">
        <w:rPr>
          <w:rFonts w:ascii="Palatino Linotype" w:eastAsia="Palatino Linotype" w:hAnsi="Palatino Linotype" w:cs="Palatino Linotype"/>
        </w:rPr>
        <w:t>./</w:t>
      </w:r>
      <w:proofErr w:type="gramEnd"/>
      <w:r w:rsidRPr="00C12B48">
        <w:rPr>
          <w:rFonts w:ascii="Palatino Linotype" w:eastAsia="Palatino Linotype" w:hAnsi="Palatino Linotype" w:cs="Palatino Linotype"/>
        </w:rPr>
        <w:t xml:space="preserve">J. 32/92 emitida por el Pleno de la Suprema Corte de Justicia de la Nación de rubro </w:t>
      </w:r>
      <w:r w:rsidRPr="00C12B4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12B48">
        <w:rPr>
          <w:rFonts w:ascii="Palatino Linotype" w:eastAsia="Palatino Linotype" w:hAnsi="Palatino Linotype" w:cs="Palatino Linotype"/>
        </w:rPr>
        <w:t>, visible en la Gaceta del Seminario Judicial de la Federación con el registro digital 205635.</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lastRenderedPageBreak/>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735E9D" w:rsidRPr="00C12B48" w:rsidRDefault="003A2817">
      <w:pPr>
        <w:spacing w:before="240" w:after="240"/>
        <w:ind w:left="851" w:right="900"/>
        <w:jc w:val="both"/>
        <w:rPr>
          <w:rFonts w:ascii="Palatino Linotype" w:eastAsia="Palatino Linotype" w:hAnsi="Palatino Linotype" w:cs="Palatino Linotype"/>
          <w:sz w:val="22"/>
          <w:szCs w:val="22"/>
        </w:rPr>
      </w:pPr>
      <w:r w:rsidRPr="00C12B48">
        <w:rPr>
          <w:rFonts w:ascii="Palatino Linotype" w:eastAsia="Palatino Linotype" w:hAnsi="Palatino Linotype" w:cs="Palatino Linotype"/>
          <w:sz w:val="22"/>
          <w:szCs w:val="22"/>
        </w:rPr>
        <w:t xml:space="preserve"> </w:t>
      </w:r>
      <w:r w:rsidRPr="00C12B48">
        <w:rPr>
          <w:rFonts w:ascii="Palatino Linotype" w:eastAsia="Palatino Linotype" w:hAnsi="Palatino Linotype" w:cs="Palatino Linotype"/>
          <w:b/>
          <w:i/>
          <w:sz w:val="22"/>
          <w:szCs w:val="22"/>
        </w:rPr>
        <w:t>“PLAZO RAZONABLE PARA RESOLVER. DIMENSIÓN Y EFECTOS DE ESTE CONCEPTO CUANDO SE ADUCE EXCESIVA CARGA DE TRABAJO</w:t>
      </w:r>
      <w:r w:rsidRPr="00C12B48">
        <w:rPr>
          <w:rFonts w:ascii="Palatino Linotype" w:eastAsia="Palatino Linotype" w:hAnsi="Palatino Linotype" w:cs="Palatino Linotype"/>
          <w:i/>
          <w:sz w:val="22"/>
          <w:szCs w:val="22"/>
        </w:rPr>
        <w:t>.”</w:t>
      </w:r>
      <w:r w:rsidRPr="00C12B48">
        <w:rPr>
          <w:rFonts w:ascii="Palatino Linotype" w:eastAsia="Palatino Linotype" w:hAnsi="Palatino Linotype" w:cs="Palatino Linotype"/>
          <w:sz w:val="22"/>
          <w:szCs w:val="22"/>
        </w:rPr>
        <w:t xml:space="preserve"> consultable en el Seminario Judicial de la Federación y su gaceta, con el registro digital 2002351.</w:t>
      </w:r>
    </w:p>
    <w:p w:rsidR="00735E9D" w:rsidRPr="00C12B48" w:rsidRDefault="003A2817">
      <w:pPr>
        <w:spacing w:before="240" w:after="240"/>
        <w:ind w:left="851" w:right="900"/>
        <w:jc w:val="both"/>
        <w:rPr>
          <w:rFonts w:ascii="Palatino Linotype" w:eastAsia="Palatino Linotype" w:hAnsi="Palatino Linotype" w:cs="Palatino Linotype"/>
          <w:sz w:val="22"/>
          <w:szCs w:val="22"/>
        </w:rPr>
      </w:pPr>
      <w:r w:rsidRPr="00C12B4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12B48">
        <w:rPr>
          <w:rFonts w:ascii="Palatino Linotype" w:eastAsia="Palatino Linotype" w:hAnsi="Palatino Linotype" w:cs="Palatino Linotype"/>
          <w:sz w:val="22"/>
          <w:szCs w:val="22"/>
        </w:rPr>
        <w:t>, visible en el Seminario Judicial de la Federación y su gaceta, con el registro digital 2002350.</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lastRenderedPageBreak/>
        <w:t xml:space="preserve">10. Cierre de Instrucción. </w:t>
      </w:r>
      <w:r w:rsidRPr="00C12B48">
        <w:rPr>
          <w:rFonts w:ascii="Palatino Linotype" w:eastAsia="Palatino Linotype" w:hAnsi="Palatino Linotype" w:cs="Palatino Linotype"/>
        </w:rPr>
        <w:t xml:space="preserve">En fechas </w:t>
      </w:r>
      <w:r w:rsidRPr="00C12B48">
        <w:rPr>
          <w:rFonts w:ascii="Palatino Linotype" w:eastAsia="Palatino Linotype" w:hAnsi="Palatino Linotype" w:cs="Palatino Linotype"/>
          <w:b/>
        </w:rPr>
        <w:t>trece de noviembre</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 xml:space="preserve">de dos mil veintitrés, </w:t>
      </w:r>
      <w:r w:rsidRPr="00C12B48">
        <w:rPr>
          <w:rFonts w:ascii="Palatino Linotype" w:eastAsia="Palatino Linotype" w:hAnsi="Palatino Linotype" w:cs="Palatino Linotype"/>
        </w:rPr>
        <w:t>con fundamento en lo establecido en el artículo 185, fracción VI de la Ley de Transparencia y Acceso a la Información Pública del Estado de México y Municipios, al no existir trámite pendiente por realizar y haber sido sustanciados medios de impugnación se acordó el cierre de instrucción y se procede a formular la resolución que en derecho corresponda.</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735E9D" w:rsidRPr="00C12B48" w:rsidRDefault="003A281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12B48">
        <w:rPr>
          <w:rFonts w:ascii="Palatino Linotype" w:eastAsia="Palatino Linotype" w:hAnsi="Palatino Linotype" w:cs="Palatino Linotype"/>
          <w:b/>
        </w:rPr>
        <w:t>II. C O N S I D E R A N D O 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Primero. Competencia.</w:t>
      </w:r>
      <w:r w:rsidRPr="00C12B4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la parte </w:t>
      </w:r>
      <w:r w:rsidRPr="00C12B48">
        <w:rPr>
          <w:rFonts w:ascii="Palatino Linotype" w:eastAsia="Palatino Linotype" w:hAnsi="Palatino Linotype" w:cs="Palatino Linotype"/>
          <w:b/>
        </w:rPr>
        <w:t>Recurrente</w:t>
      </w:r>
      <w:r w:rsidRPr="00C12B48">
        <w:rPr>
          <w:rFonts w:ascii="Palatino Linotype" w:eastAsia="Palatino Linotype" w:hAnsi="Palatino Linotype" w:cs="Palatino Linotype"/>
        </w:rPr>
        <w:t>,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XIV, y 11 del Reglamento Interior del Instituto de Transparencia, Acceso a la Información Pública y Protección de Datos Personales del Estado de México y Municipios.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lastRenderedPageBreak/>
        <w:t xml:space="preserve">Segundo. Oportunidad y </w:t>
      </w:r>
      <w:proofErr w:type="spellStart"/>
      <w:r w:rsidRPr="00C12B48">
        <w:rPr>
          <w:rFonts w:ascii="Palatino Linotype" w:eastAsia="Palatino Linotype" w:hAnsi="Palatino Linotype" w:cs="Palatino Linotype"/>
          <w:b/>
        </w:rPr>
        <w:t>Procedibilidad</w:t>
      </w:r>
      <w:proofErr w:type="spellEnd"/>
      <w:r w:rsidRPr="00C12B48">
        <w:rPr>
          <w:rFonts w:ascii="Palatino Linotype" w:eastAsia="Palatino Linotype" w:hAnsi="Palatino Linotype" w:cs="Palatino Linotype"/>
          <w:b/>
        </w:rPr>
        <w:t xml:space="preserve"> del Recurso de Revisión</w:t>
      </w:r>
      <w:r w:rsidRPr="00C12B48">
        <w:rPr>
          <w:rFonts w:ascii="Palatino Linotype" w:eastAsia="Palatino Linotype" w:hAnsi="Palatino Linotype" w:cs="Palatino Linotype"/>
        </w:rPr>
        <w:t xml:space="preserve">. Previo al estudio del fondo del asunto, se procede a analizar los requisitos de oportunidad y </w:t>
      </w:r>
      <w:proofErr w:type="spellStart"/>
      <w:r w:rsidRPr="00C12B48">
        <w:rPr>
          <w:rFonts w:ascii="Palatino Linotype" w:eastAsia="Palatino Linotype" w:hAnsi="Palatino Linotype" w:cs="Palatino Linotype"/>
        </w:rPr>
        <w:t>procedibilidad</w:t>
      </w:r>
      <w:proofErr w:type="spellEnd"/>
      <w:r w:rsidRPr="00C12B48">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remitió la respuesta a las solicitudes de información el día </w:t>
      </w:r>
      <w:r w:rsidRPr="00C12B48">
        <w:rPr>
          <w:rFonts w:ascii="Palatino Linotype" w:eastAsia="Palatino Linotype" w:hAnsi="Palatino Linotype" w:cs="Palatino Linotype"/>
          <w:b/>
        </w:rPr>
        <w:t xml:space="preserve">veintiséis de mayo de dos mil veintitrés, </w:t>
      </w:r>
      <w:r w:rsidRPr="00C12B48">
        <w:rPr>
          <w:rFonts w:ascii="Palatino Linotype" w:eastAsia="Palatino Linotype" w:hAnsi="Palatino Linotype" w:cs="Palatino Linotype"/>
        </w:rPr>
        <w:t xml:space="preserve">mientras que los recursos de revisión interpuestos por la parte </w:t>
      </w:r>
      <w:r w:rsidRPr="00C12B48">
        <w:rPr>
          <w:rFonts w:ascii="Palatino Linotype" w:eastAsia="Palatino Linotype" w:hAnsi="Palatino Linotype" w:cs="Palatino Linotype"/>
          <w:b/>
        </w:rPr>
        <w:t>Recurrente</w:t>
      </w:r>
      <w:r w:rsidRPr="00C12B48">
        <w:rPr>
          <w:rFonts w:ascii="Palatino Linotype" w:eastAsia="Palatino Linotype" w:hAnsi="Palatino Linotype" w:cs="Palatino Linotype"/>
        </w:rPr>
        <w:t xml:space="preserve">, se tuvieron por presentados en fechas </w:t>
      </w:r>
      <w:r w:rsidRPr="00C12B48">
        <w:rPr>
          <w:rFonts w:ascii="Palatino Linotype" w:eastAsia="Palatino Linotype" w:hAnsi="Palatino Linotype" w:cs="Palatino Linotype"/>
          <w:b/>
        </w:rPr>
        <w:t>veintinueve de mayo y nueve de junio</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de dos mil veintitrés</w:t>
      </w:r>
      <w:r w:rsidRPr="00C12B48">
        <w:rPr>
          <w:rFonts w:ascii="Palatino Linotype" w:eastAsia="Palatino Linotype" w:hAnsi="Palatino Linotype" w:cs="Palatino Linotype"/>
        </w:rPr>
        <w:t>, respectivamente, esto es al primer y décimo día hábil posterior en que se tuvo conocimiento de las respuestas impugnadas; en este sentido, se concluye que los presentes recursos de revisión se encuentran dentro de los márgenes temporales previstos en las disposiciones legales referidas.</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Por otro lado, es de suma importancia mencionar que, si bien la parte</w:t>
      </w:r>
      <w:r w:rsidRPr="00C12B48">
        <w:rPr>
          <w:rFonts w:ascii="Palatino Linotype" w:eastAsia="Palatino Linotype" w:hAnsi="Palatino Linotype" w:cs="Palatino Linotype"/>
          <w:b/>
        </w:rPr>
        <w:t xml:space="preserve"> Recurrente</w:t>
      </w:r>
      <w:r w:rsidRPr="00C12B48">
        <w:rPr>
          <w:rFonts w:ascii="Palatino Linotype" w:eastAsia="Palatino Linotype" w:hAnsi="Palatino Linotype" w:cs="Palatino Linotype"/>
        </w:rPr>
        <w:t xml:space="preserv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735E9D" w:rsidRPr="00C12B48" w:rsidRDefault="003A2817">
      <w:pPr>
        <w:spacing w:before="120" w:after="120" w:line="276" w:lineRule="auto"/>
        <w:ind w:left="851" w:right="902"/>
        <w:jc w:val="both"/>
        <w:rPr>
          <w:rFonts w:ascii="Palatino Linotype" w:eastAsia="Palatino Linotype" w:hAnsi="Palatino Linotype" w:cs="Palatino Linotype"/>
        </w:rPr>
      </w:pPr>
      <w:r w:rsidRPr="00C12B48">
        <w:rPr>
          <w:rFonts w:ascii="Palatino Linotype" w:eastAsia="Palatino Linotype" w:hAnsi="Palatino Linotype" w:cs="Palatino Linotype"/>
          <w:i/>
        </w:rPr>
        <w:t>"</w:t>
      </w:r>
      <w:r w:rsidRPr="00C12B48">
        <w:rPr>
          <w:rFonts w:ascii="Palatino Linotype" w:eastAsia="Palatino Linotype" w:hAnsi="Palatino Linotype" w:cs="Palatino Linotype"/>
          <w:b/>
          <w:i/>
        </w:rPr>
        <w:t>Las solicitudes anónimas</w:t>
      </w:r>
      <w:r w:rsidRPr="00C12B48">
        <w:rPr>
          <w:rFonts w:ascii="Palatino Linotype" w:eastAsia="Palatino Linotype" w:hAnsi="Palatino Linotype" w:cs="Palatino Linotype"/>
          <w:i/>
        </w:rPr>
        <w:t>, con nombre incompleto o seudónimo </w:t>
      </w:r>
      <w:r w:rsidRPr="00C12B48">
        <w:rPr>
          <w:rFonts w:ascii="Palatino Linotype" w:eastAsia="Palatino Linotype" w:hAnsi="Palatino Linotype" w:cs="Palatino Linotype"/>
          <w:b/>
          <w:i/>
        </w:rPr>
        <w:t xml:space="preserve">serán procedentes para su trámite por parte del sujeto obligado ante </w:t>
      </w:r>
      <w:r w:rsidRPr="00C12B48">
        <w:rPr>
          <w:rFonts w:ascii="Palatino Linotype" w:eastAsia="Palatino Linotype" w:hAnsi="Palatino Linotype" w:cs="Palatino Linotype"/>
          <w:b/>
          <w:i/>
        </w:rPr>
        <w:lastRenderedPageBreak/>
        <w:t>quien se presente</w:t>
      </w:r>
      <w:r w:rsidRPr="00C12B48">
        <w:rPr>
          <w:rFonts w:ascii="Palatino Linotype" w:eastAsia="Palatino Linotype" w:hAnsi="Palatino Linotype" w:cs="Palatino Linotype"/>
          <w:i/>
        </w:rPr>
        <w:t>. No podrá requerirse información adicional con motivo del nombre proporcionado por el solicitante."</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Al mismo tiempo, por cuanto hace a la </w:t>
      </w:r>
      <w:proofErr w:type="spellStart"/>
      <w:r w:rsidRPr="00C12B48">
        <w:rPr>
          <w:rFonts w:ascii="Palatino Linotype" w:eastAsia="Palatino Linotype" w:hAnsi="Palatino Linotype" w:cs="Palatino Linotype"/>
        </w:rPr>
        <w:t>procedibilidad</w:t>
      </w:r>
      <w:proofErr w:type="spellEnd"/>
      <w:r w:rsidRPr="00C12B48">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735E9D" w:rsidRPr="00C12B48" w:rsidRDefault="003A2817">
      <w:pPr>
        <w:spacing w:before="240" w:after="24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Finalmente, se advierte que resulta procedente la interposición de los recursos, según lo manifestado por la parte </w:t>
      </w:r>
      <w:r w:rsidRPr="00C12B48">
        <w:rPr>
          <w:rFonts w:ascii="Palatino Linotype" w:eastAsia="Palatino Linotype" w:hAnsi="Palatino Linotype" w:cs="Palatino Linotype"/>
          <w:b/>
        </w:rPr>
        <w:t>Recurrente</w:t>
      </w:r>
      <w:r w:rsidRPr="00C12B48">
        <w:rPr>
          <w:rFonts w:ascii="Palatino Linotype" w:eastAsia="Palatino Linotype" w:hAnsi="Palatino Linotype" w:cs="Palatino Linotype"/>
        </w:rPr>
        <w:t xml:space="preserve"> en sus motivos de inconformidad, de acuerdo al artículo 179, fracción I del ordenamiento legal citado, que a la letra dice: </w:t>
      </w:r>
    </w:p>
    <w:p w:rsidR="00735E9D" w:rsidRPr="00C12B48" w:rsidRDefault="003A2817">
      <w:pPr>
        <w:spacing w:before="120" w:after="120"/>
        <w:ind w:left="993" w:right="902"/>
        <w:jc w:val="both"/>
        <w:rPr>
          <w:rFonts w:ascii="Palatino Linotype" w:eastAsia="Palatino Linotype" w:hAnsi="Palatino Linotype" w:cs="Palatino Linotype"/>
          <w:i/>
          <w:sz w:val="22"/>
          <w:szCs w:val="22"/>
        </w:rPr>
      </w:pPr>
      <w:r w:rsidRPr="00C12B48">
        <w:rPr>
          <w:rFonts w:ascii="Palatino Linotype" w:eastAsia="Palatino Linotype" w:hAnsi="Palatino Linotype" w:cs="Palatino Linotype"/>
          <w:i/>
          <w:sz w:val="22"/>
          <w:szCs w:val="22"/>
        </w:rPr>
        <w:t>“</w:t>
      </w:r>
      <w:r w:rsidRPr="00C12B48">
        <w:rPr>
          <w:rFonts w:ascii="Palatino Linotype" w:eastAsia="Palatino Linotype" w:hAnsi="Palatino Linotype" w:cs="Palatino Linotype"/>
          <w:b/>
          <w:i/>
          <w:sz w:val="22"/>
          <w:szCs w:val="22"/>
        </w:rPr>
        <w:t>Artículo 179.</w:t>
      </w:r>
      <w:r w:rsidRPr="00C12B4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735E9D" w:rsidRPr="00C12B48" w:rsidRDefault="00735E9D">
      <w:pPr>
        <w:spacing w:before="120" w:after="120"/>
        <w:ind w:left="993" w:right="902"/>
        <w:jc w:val="both"/>
        <w:rPr>
          <w:rFonts w:ascii="Palatino Linotype" w:eastAsia="Palatino Linotype" w:hAnsi="Palatino Linotype" w:cs="Palatino Linotype"/>
          <w:i/>
          <w:sz w:val="6"/>
          <w:szCs w:val="6"/>
        </w:rPr>
      </w:pPr>
    </w:p>
    <w:p w:rsidR="00735E9D" w:rsidRPr="00C12B48" w:rsidRDefault="003A2817">
      <w:pPr>
        <w:spacing w:before="120" w:after="120"/>
        <w:ind w:left="1134" w:right="902"/>
        <w:jc w:val="both"/>
        <w:rPr>
          <w:rFonts w:ascii="Palatino Linotype" w:eastAsia="Palatino Linotype" w:hAnsi="Palatino Linotype" w:cs="Palatino Linotype"/>
          <w:b/>
          <w:i/>
          <w:sz w:val="22"/>
          <w:szCs w:val="22"/>
        </w:rPr>
      </w:pPr>
      <w:r w:rsidRPr="00C12B48">
        <w:rPr>
          <w:rFonts w:ascii="Palatino Linotype" w:eastAsia="Palatino Linotype" w:hAnsi="Palatino Linotype" w:cs="Palatino Linotype"/>
          <w:b/>
          <w:i/>
          <w:sz w:val="22"/>
          <w:szCs w:val="22"/>
        </w:rPr>
        <w:t>I. La negativa a la información solicitada;</w:t>
      </w:r>
    </w:p>
    <w:p w:rsidR="00735E9D" w:rsidRPr="00C12B48" w:rsidRDefault="003A2817">
      <w:pPr>
        <w:spacing w:before="120" w:after="120"/>
        <w:ind w:left="1134" w:right="902"/>
        <w:jc w:val="both"/>
        <w:rPr>
          <w:rFonts w:ascii="Palatino Linotype" w:eastAsia="Palatino Linotype" w:hAnsi="Palatino Linotype" w:cs="Palatino Linotype"/>
          <w:i/>
          <w:sz w:val="22"/>
          <w:szCs w:val="22"/>
        </w:rPr>
      </w:pPr>
      <w:r w:rsidRPr="00C12B48">
        <w:rPr>
          <w:rFonts w:ascii="Palatino Linotype" w:eastAsia="Palatino Linotype" w:hAnsi="Palatino Linotype" w:cs="Palatino Linotype"/>
          <w:i/>
          <w:sz w:val="22"/>
          <w:szCs w:val="22"/>
        </w:rPr>
        <w:t>…”</w:t>
      </w:r>
    </w:p>
    <w:p w:rsidR="00735E9D" w:rsidRPr="00C12B48" w:rsidRDefault="003A2817">
      <w:pPr>
        <w:spacing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b/>
        </w:rPr>
        <w:t xml:space="preserve">Tercero. Materia de la revisión. </w:t>
      </w:r>
      <w:r w:rsidRPr="00C12B4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12B48">
        <w:rPr>
          <w:rFonts w:ascii="Palatino Linotype" w:eastAsia="Palatino Linotype" w:hAnsi="Palatino Linotype" w:cs="Palatino Linotype"/>
          <w:b/>
        </w:rPr>
        <w:t>verificar si la respuesta e informe justificado otorgados por el Sujeto Obligado son adecuados y suficientes para satisfacer el derecho de acceso a la información pública de la parte Recurrente,</w:t>
      </w:r>
      <w:r w:rsidRPr="00C12B48">
        <w:rPr>
          <w:rFonts w:ascii="Palatino Linotype" w:eastAsia="Palatino Linotype" w:hAnsi="Palatino Linotype" w:cs="Palatino Linotype"/>
        </w:rPr>
        <w:t xml:space="preserve"> o en su defecto, en caso de ser procedente, ordenar la entrega de información oportuna.</w:t>
      </w:r>
    </w:p>
    <w:p w:rsidR="00735E9D" w:rsidRPr="00C12B48" w:rsidRDefault="00735E9D">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
          <w:szCs w:val="2"/>
        </w:rPr>
      </w:pPr>
    </w:p>
    <w:p w:rsidR="00735E9D" w:rsidRPr="00C12B48" w:rsidRDefault="003A2817">
      <w:pPr>
        <w:pBdr>
          <w:top w:val="nil"/>
          <w:left w:val="nil"/>
          <w:bottom w:val="nil"/>
          <w:right w:val="nil"/>
          <w:between w:val="nil"/>
        </w:pBdr>
        <w:spacing w:before="240" w:after="240" w:line="360" w:lineRule="auto"/>
        <w:jc w:val="both"/>
      </w:pPr>
      <w:r w:rsidRPr="00C12B48">
        <w:rPr>
          <w:rFonts w:ascii="Palatino Linotype" w:eastAsia="Palatino Linotype" w:hAnsi="Palatino Linotype" w:cs="Palatino Linotype"/>
          <w:b/>
        </w:rPr>
        <w:lastRenderedPageBreak/>
        <w:t xml:space="preserve">Cuarto. Estudio del asunto. </w:t>
      </w:r>
      <w:r w:rsidRPr="00C12B48">
        <w:rPr>
          <w:rFonts w:ascii="Palatino Linotype" w:eastAsia="Palatino Linotype" w:hAnsi="Palatino Linotype" w:cs="Palatino Linotype"/>
        </w:rPr>
        <w:t xml:space="preserve">Antes de entrar al análisis de los pronunciamientos del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735E9D" w:rsidRPr="00C12B48" w:rsidRDefault="003A2817">
      <w:pPr>
        <w:pBdr>
          <w:top w:val="nil"/>
          <w:left w:val="nil"/>
          <w:bottom w:val="nil"/>
          <w:right w:val="nil"/>
          <w:between w:val="nil"/>
        </w:pBdr>
        <w:spacing w:before="240" w:after="240"/>
        <w:ind w:left="851" w:right="850"/>
        <w:jc w:val="both"/>
      </w:pPr>
      <w:r w:rsidRPr="00C12B48">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12B48">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735E9D" w:rsidRPr="00C12B48" w:rsidRDefault="003A2817">
      <w:pPr>
        <w:pBdr>
          <w:top w:val="nil"/>
          <w:left w:val="nil"/>
          <w:bottom w:val="nil"/>
          <w:right w:val="nil"/>
          <w:between w:val="nil"/>
        </w:pBdr>
        <w:spacing w:before="240" w:after="240"/>
        <w:ind w:left="851" w:right="850"/>
        <w:jc w:val="both"/>
      </w:pPr>
      <w:r w:rsidRPr="00C12B48">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735E9D" w:rsidRPr="00C12B48" w:rsidRDefault="003A2817">
      <w:pPr>
        <w:pBdr>
          <w:top w:val="nil"/>
          <w:left w:val="nil"/>
          <w:bottom w:val="nil"/>
          <w:right w:val="nil"/>
          <w:between w:val="nil"/>
        </w:pBdr>
        <w:spacing w:before="240" w:after="240"/>
        <w:ind w:left="851" w:right="850"/>
        <w:jc w:val="both"/>
      </w:pPr>
      <w:r w:rsidRPr="00C12B48">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12B48">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735E9D" w:rsidRPr="00C12B48" w:rsidRDefault="003A2817">
      <w:pPr>
        <w:pBdr>
          <w:top w:val="nil"/>
          <w:left w:val="nil"/>
          <w:bottom w:val="nil"/>
          <w:right w:val="nil"/>
          <w:between w:val="nil"/>
        </w:pBdr>
        <w:spacing w:before="240" w:after="240"/>
        <w:ind w:left="851" w:right="850"/>
        <w:jc w:val="both"/>
      </w:pPr>
      <w:r w:rsidRPr="00C12B48">
        <w:rPr>
          <w:rFonts w:ascii="Palatino Linotype" w:eastAsia="Palatino Linotype" w:hAnsi="Palatino Linotype" w:cs="Palatino Linotype"/>
          <w:i/>
        </w:rPr>
        <w:t>[…]</w:t>
      </w:r>
    </w:p>
    <w:p w:rsidR="00735E9D" w:rsidRPr="00C12B48" w:rsidRDefault="003A2817">
      <w:pPr>
        <w:pBdr>
          <w:top w:val="nil"/>
          <w:left w:val="nil"/>
          <w:bottom w:val="nil"/>
          <w:right w:val="nil"/>
          <w:between w:val="nil"/>
        </w:pBdr>
        <w:spacing w:before="240" w:after="240"/>
        <w:ind w:left="851" w:right="901"/>
        <w:jc w:val="both"/>
      </w:pPr>
      <w:r w:rsidRPr="00C12B48">
        <w:rPr>
          <w:rFonts w:ascii="Palatino Linotype" w:eastAsia="Palatino Linotype" w:hAnsi="Palatino Linotype" w:cs="Palatino Linotype"/>
          <w:b/>
          <w:i/>
        </w:rPr>
        <w:t>“Artículo 6o.</w:t>
      </w:r>
    </w:p>
    <w:p w:rsidR="00735E9D" w:rsidRPr="00C12B48" w:rsidRDefault="003A2817">
      <w:pPr>
        <w:pBdr>
          <w:top w:val="nil"/>
          <w:left w:val="nil"/>
          <w:bottom w:val="nil"/>
          <w:right w:val="nil"/>
          <w:between w:val="nil"/>
        </w:pBdr>
        <w:spacing w:before="240" w:after="240"/>
        <w:ind w:left="851" w:right="901"/>
        <w:jc w:val="both"/>
      </w:pPr>
      <w:r w:rsidRPr="00C12B48">
        <w:rPr>
          <w:rFonts w:ascii="Palatino Linotype" w:eastAsia="Palatino Linotype" w:hAnsi="Palatino Linotype" w:cs="Palatino Linotype"/>
          <w:i/>
        </w:rPr>
        <w:t>[...]</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b/>
          <w:i/>
        </w:rPr>
        <w:lastRenderedPageBreak/>
        <w:t xml:space="preserve">A. Para el ejercicio del derecho de acceso a la información, la Federación y </w:t>
      </w:r>
      <w:r w:rsidRPr="00C12B48">
        <w:rPr>
          <w:rFonts w:ascii="Palatino Linotype" w:eastAsia="Palatino Linotype" w:hAnsi="Palatino Linotype" w:cs="Palatino Linotype"/>
          <w:b/>
          <w:i/>
          <w:u w:val="single"/>
        </w:rPr>
        <w:t>las entidades federativas</w:t>
      </w:r>
      <w:r w:rsidRPr="00C12B48">
        <w:rPr>
          <w:rFonts w:ascii="Palatino Linotype" w:eastAsia="Palatino Linotype" w:hAnsi="Palatino Linotype" w:cs="Palatino Linotype"/>
          <w:b/>
          <w:i/>
        </w:rPr>
        <w:t>,</w:t>
      </w:r>
      <w:r w:rsidRPr="00C12B48">
        <w:rPr>
          <w:rFonts w:ascii="Palatino Linotype" w:eastAsia="Palatino Linotype" w:hAnsi="Palatino Linotype" w:cs="Palatino Linotype"/>
          <w:i/>
        </w:rPr>
        <w:t xml:space="preserve"> en el ámbito de sus respectivas competencias, se regirán por los siguientes principios y bases:</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i/>
        </w:rPr>
        <w:t> </w:t>
      </w:r>
      <w:r w:rsidRPr="00C12B48">
        <w:rPr>
          <w:rFonts w:ascii="Palatino Linotype" w:eastAsia="Palatino Linotype" w:hAnsi="Palatino Linotype" w:cs="Palatino Linotype"/>
          <w:b/>
          <w:i/>
        </w:rPr>
        <w:t xml:space="preserve">I. </w:t>
      </w:r>
      <w:r w:rsidRPr="00C12B48">
        <w:rPr>
          <w:rFonts w:ascii="Palatino Linotype" w:eastAsia="Palatino Linotype" w:hAnsi="Palatino Linotype" w:cs="Palatino Linotype"/>
          <w:b/>
          <w:i/>
          <w:u w:val="single"/>
        </w:rPr>
        <w:t>Toda la información en posesión de cualquier autoridad, entidad, órgano y organismo de los Poderes</w:t>
      </w:r>
      <w:r w:rsidRPr="00C12B48">
        <w:rPr>
          <w:rFonts w:ascii="Palatino Linotype" w:eastAsia="Palatino Linotype" w:hAnsi="Palatino Linotype" w:cs="Palatino Linotype"/>
          <w:i/>
        </w:rPr>
        <w:t xml:space="preserve"> Ejecutivo, Legislativo </w:t>
      </w:r>
      <w:r w:rsidRPr="00C12B48">
        <w:rPr>
          <w:rFonts w:ascii="Palatino Linotype" w:eastAsia="Palatino Linotype" w:hAnsi="Palatino Linotype" w:cs="Palatino Linotype"/>
          <w:b/>
          <w:i/>
          <w:u w:val="single"/>
        </w:rPr>
        <w:t>y Judicial</w:t>
      </w:r>
      <w:r w:rsidRPr="00C12B48">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12B48">
        <w:rPr>
          <w:rFonts w:ascii="Palatino Linotype" w:eastAsia="Palatino Linotype" w:hAnsi="Palatino Linotype" w:cs="Palatino Linotype"/>
          <w:b/>
          <w:i/>
        </w:rPr>
        <w:t>es pública y sólo podrá ser reservada temporalmente por razones de interés público y seguridad nacional,</w:t>
      </w:r>
      <w:r w:rsidRPr="00C12B48">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i/>
        </w:rPr>
        <w:t> </w:t>
      </w:r>
      <w:r w:rsidRPr="00C12B48">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i/>
        </w:rPr>
        <w:t> </w:t>
      </w:r>
      <w:r w:rsidRPr="00C12B48">
        <w:rPr>
          <w:rFonts w:ascii="Palatino Linotype" w:eastAsia="Palatino Linotype" w:hAnsi="Palatino Linotype" w:cs="Palatino Linotype"/>
          <w:b/>
          <w:i/>
        </w:rPr>
        <w:t xml:space="preserve">III. </w:t>
      </w:r>
      <w:r w:rsidRPr="00C12B48">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12B48">
        <w:rPr>
          <w:rFonts w:ascii="Palatino Linotype" w:eastAsia="Palatino Linotype" w:hAnsi="Palatino Linotype" w:cs="Palatino Linotype"/>
          <w:i/>
        </w:rPr>
        <w:t xml:space="preserve"> a sus datos personales o a la rectificación de éstos.</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i/>
        </w:rPr>
        <w:t> </w:t>
      </w:r>
      <w:r w:rsidRPr="00C12B48">
        <w:rPr>
          <w:rFonts w:ascii="Palatino Linotype" w:eastAsia="Palatino Linotype" w:hAnsi="Palatino Linotype" w:cs="Palatino Linotype"/>
          <w:b/>
          <w:i/>
        </w:rPr>
        <w:t xml:space="preserve">IV. </w:t>
      </w:r>
      <w:r w:rsidRPr="00C12B48">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b/>
          <w:i/>
        </w:rPr>
        <w:t xml:space="preserve">V. </w:t>
      </w:r>
      <w:r w:rsidRPr="00C12B48">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i/>
        </w:rPr>
        <w:lastRenderedPageBreak/>
        <w:t> </w:t>
      </w:r>
      <w:r w:rsidRPr="00C12B48">
        <w:rPr>
          <w:rFonts w:ascii="Palatino Linotype" w:eastAsia="Palatino Linotype" w:hAnsi="Palatino Linotype" w:cs="Palatino Linotype"/>
          <w:b/>
          <w:i/>
        </w:rPr>
        <w:t xml:space="preserve">VI. </w:t>
      </w:r>
      <w:r w:rsidRPr="00C12B48">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735E9D" w:rsidRPr="00C12B48" w:rsidRDefault="003A2817">
      <w:pPr>
        <w:pBdr>
          <w:top w:val="nil"/>
          <w:left w:val="nil"/>
          <w:bottom w:val="nil"/>
          <w:right w:val="nil"/>
          <w:between w:val="nil"/>
        </w:pBdr>
        <w:spacing w:before="240" w:after="240"/>
        <w:ind w:left="851" w:right="851"/>
        <w:jc w:val="both"/>
      </w:pPr>
      <w:r w:rsidRPr="00C12B48">
        <w:rPr>
          <w:rFonts w:ascii="Palatino Linotype" w:eastAsia="Palatino Linotype" w:hAnsi="Palatino Linotype" w:cs="Palatino Linotype"/>
          <w:i/>
        </w:rPr>
        <w:t> </w:t>
      </w:r>
      <w:r w:rsidRPr="00C12B48">
        <w:rPr>
          <w:rFonts w:ascii="Palatino Linotype" w:eastAsia="Palatino Linotype" w:hAnsi="Palatino Linotype" w:cs="Palatino Linotype"/>
          <w:b/>
          <w:i/>
        </w:rPr>
        <w:t xml:space="preserve">VII. </w:t>
      </w:r>
      <w:r w:rsidRPr="00C12B48">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735E9D" w:rsidRPr="00C12B48" w:rsidRDefault="003A2817">
      <w:pPr>
        <w:pBdr>
          <w:top w:val="nil"/>
          <w:left w:val="nil"/>
          <w:bottom w:val="nil"/>
          <w:right w:val="nil"/>
          <w:between w:val="nil"/>
        </w:pBdr>
        <w:spacing w:before="240" w:after="240" w:line="360" w:lineRule="auto"/>
        <w:jc w:val="both"/>
      </w:pPr>
      <w:r w:rsidRPr="00C12B48">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735E9D" w:rsidRPr="00C12B48" w:rsidRDefault="003A2817">
      <w:pPr>
        <w:spacing w:line="276" w:lineRule="auto"/>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i/>
        </w:rPr>
        <w:t>“</w:t>
      </w:r>
      <w:r w:rsidRPr="00C12B48">
        <w:rPr>
          <w:rFonts w:ascii="Palatino Linotype" w:eastAsia="Palatino Linotype" w:hAnsi="Palatino Linotype" w:cs="Palatino Linotype"/>
          <w:b/>
          <w:i/>
        </w:rPr>
        <w:t>Artículo 4</w:t>
      </w:r>
      <w:r w:rsidRPr="00C12B4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35E9D" w:rsidRPr="00C12B48" w:rsidRDefault="00735E9D">
      <w:pPr>
        <w:spacing w:line="276" w:lineRule="auto"/>
        <w:ind w:left="567" w:right="616"/>
        <w:jc w:val="both"/>
        <w:rPr>
          <w:rFonts w:ascii="Palatino Linotype" w:eastAsia="Palatino Linotype" w:hAnsi="Palatino Linotype" w:cs="Palatino Linotype"/>
          <w:i/>
        </w:rPr>
      </w:pPr>
    </w:p>
    <w:p w:rsidR="00735E9D" w:rsidRPr="00C12B48" w:rsidRDefault="003A2817">
      <w:pPr>
        <w:spacing w:line="276" w:lineRule="auto"/>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12B48">
        <w:rPr>
          <w:rFonts w:ascii="Palatino Linotype" w:eastAsia="Palatino Linotype" w:hAnsi="Palatino Linotype" w:cs="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w:t>
      </w:r>
      <w:r w:rsidRPr="00C12B48">
        <w:rPr>
          <w:rFonts w:ascii="Palatino Linotype" w:eastAsia="Palatino Linotype" w:hAnsi="Palatino Linotype" w:cs="Palatino Linotype"/>
          <w:i/>
        </w:rPr>
        <w:lastRenderedPageBreak/>
        <w:t>Información Pública del Estado de México y Municipios 29 como reservada temporalmente por razones de interés público, en los términos de las causas legítimas y estrictamente necesarias previstas por esta Ley.</w:t>
      </w:r>
    </w:p>
    <w:p w:rsidR="00735E9D" w:rsidRPr="00C12B48" w:rsidRDefault="00735E9D">
      <w:pPr>
        <w:spacing w:line="276" w:lineRule="auto"/>
        <w:ind w:left="567" w:right="616"/>
        <w:jc w:val="both"/>
        <w:rPr>
          <w:rFonts w:ascii="Palatino Linotype" w:eastAsia="Palatino Linotype" w:hAnsi="Palatino Linotype" w:cs="Palatino Linotype"/>
          <w:i/>
        </w:rPr>
      </w:pPr>
    </w:p>
    <w:p w:rsidR="00735E9D" w:rsidRPr="00C12B48" w:rsidRDefault="003A2817">
      <w:pPr>
        <w:spacing w:line="276" w:lineRule="auto"/>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12B48">
        <w:rPr>
          <w:rFonts w:ascii="Palatino Linotype" w:eastAsia="Palatino Linotype" w:hAnsi="Palatino Linotype" w:cs="Palatino Linotype"/>
          <w:i/>
        </w:rPr>
        <w:t>.”</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b/>
          <w:i/>
        </w:rPr>
        <w:t>“Artículo 12.-</w:t>
      </w:r>
      <w:r w:rsidRPr="00C12B4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735E9D" w:rsidRPr="00C12B48" w:rsidRDefault="00735E9D">
      <w:pPr>
        <w:ind w:left="567" w:right="616"/>
        <w:jc w:val="both"/>
        <w:rPr>
          <w:rFonts w:ascii="Palatino Linotype" w:eastAsia="Palatino Linotype" w:hAnsi="Palatino Linotype" w:cs="Palatino Linotype"/>
          <w:i/>
        </w:rPr>
      </w:pPr>
    </w:p>
    <w:p w:rsidR="00735E9D" w:rsidRPr="00C12B48" w:rsidRDefault="003A2817">
      <w:pPr>
        <w:ind w:left="567" w:right="616"/>
        <w:jc w:val="both"/>
        <w:rPr>
          <w:rFonts w:ascii="Palatino Linotype" w:eastAsia="Palatino Linotype" w:hAnsi="Palatino Linotype" w:cs="Palatino Linotype"/>
          <w:b/>
          <w:i/>
        </w:rPr>
      </w:pPr>
      <w:r w:rsidRPr="00C12B48">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C12B48">
        <w:rPr>
          <w:rFonts w:ascii="Palatino Linotype" w:eastAsia="Palatino Linotype" w:hAnsi="Palatino Linotype" w:cs="Palatino Linotype"/>
          <w:i/>
        </w:rPr>
        <w:t xml:space="preserve">. </w:t>
      </w:r>
      <w:r w:rsidRPr="00C12B48">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rsidR="00735E9D" w:rsidRPr="00C12B48" w:rsidRDefault="00735E9D">
      <w:pPr>
        <w:spacing w:line="360" w:lineRule="auto"/>
        <w:ind w:left="567" w:right="616"/>
        <w:jc w:val="both"/>
        <w:rPr>
          <w:rFonts w:ascii="Palatino Linotype" w:eastAsia="Palatino Linotype" w:hAnsi="Palatino Linotype" w:cs="Palatino Linotype"/>
          <w:i/>
        </w:rPr>
      </w:pPr>
    </w:p>
    <w:p w:rsidR="00735E9D" w:rsidRPr="00C12B48" w:rsidRDefault="003A2817">
      <w:pPr>
        <w:spacing w:line="360" w:lineRule="auto"/>
        <w:ind w:right="-93"/>
        <w:jc w:val="both"/>
        <w:rPr>
          <w:rFonts w:ascii="Palatino Linotype" w:eastAsia="Palatino Linotype" w:hAnsi="Palatino Linotype" w:cs="Palatino Linotype"/>
        </w:rPr>
      </w:pPr>
      <w:r w:rsidRPr="00C12B48">
        <w:rPr>
          <w:rFonts w:ascii="Palatino Linotype" w:eastAsia="Palatino Linotype" w:hAnsi="Palatino Linotype" w:cs="Palatino Linotype"/>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735E9D" w:rsidRPr="00C12B48" w:rsidRDefault="00735E9D">
      <w:pPr>
        <w:spacing w:line="360" w:lineRule="auto"/>
        <w:ind w:right="-93"/>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C12B48">
        <w:rPr>
          <w:rFonts w:ascii="Palatino Linotype" w:eastAsia="Palatino Linotype" w:hAnsi="Palatino Linotype" w:cs="Palatino Linotype"/>
          <w:b/>
        </w:rPr>
        <w:t xml:space="preserve"> </w:t>
      </w:r>
    </w:p>
    <w:p w:rsidR="00735E9D" w:rsidRPr="00C12B48" w:rsidRDefault="00735E9D">
      <w:pPr>
        <w:spacing w:line="360" w:lineRule="auto"/>
        <w:jc w:val="both"/>
        <w:rPr>
          <w:rFonts w:ascii="Palatino Linotype" w:eastAsia="Palatino Linotype" w:hAnsi="Palatino Linotype" w:cs="Palatino Linotype"/>
          <w:b/>
        </w:rPr>
      </w:pP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i/>
        </w:rPr>
        <w:t>“</w:t>
      </w:r>
      <w:r w:rsidRPr="00C12B48">
        <w:rPr>
          <w:rFonts w:ascii="Palatino Linotype" w:eastAsia="Palatino Linotype" w:hAnsi="Palatino Linotype" w:cs="Palatino Linotype"/>
          <w:b/>
          <w:i/>
        </w:rPr>
        <w:t>No existe obligación de elaborar documentos ad hoc para atender las solicitudes de acceso a la información.</w:t>
      </w:r>
      <w:r w:rsidRPr="00C12B48">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735E9D" w:rsidRPr="00C12B48" w:rsidRDefault="00735E9D">
      <w:pPr>
        <w:spacing w:line="360" w:lineRule="auto"/>
        <w:ind w:right="-93"/>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C12B48">
        <w:rPr>
          <w:rFonts w:ascii="Palatino Linotype" w:eastAsia="Palatino Linotype" w:hAnsi="Palatino Linotype" w:cs="Palatino Linotype"/>
        </w:rPr>
        <w:lastRenderedPageBreak/>
        <w:t>que es deber de los Sujetos Obligados, garantizar el Derecho de Acceso a la Información Pública.</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ind w:right="49"/>
        <w:jc w:val="both"/>
        <w:rPr>
          <w:rFonts w:ascii="Palatino Linotype" w:eastAsia="Palatino Linotype" w:hAnsi="Palatino Linotype" w:cs="Palatino Linotype"/>
        </w:rPr>
      </w:pPr>
      <w:r w:rsidRPr="00C12B4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735E9D" w:rsidRPr="00C12B48" w:rsidRDefault="00735E9D">
      <w:pPr>
        <w:spacing w:line="360" w:lineRule="auto"/>
        <w:ind w:right="49"/>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735E9D" w:rsidRPr="00C12B48" w:rsidRDefault="00735E9D">
      <w:pPr>
        <w:spacing w:line="360" w:lineRule="auto"/>
        <w:ind w:left="851" w:right="899"/>
        <w:jc w:val="both"/>
        <w:rPr>
          <w:rFonts w:ascii="Palatino Linotype" w:eastAsia="Palatino Linotype" w:hAnsi="Palatino Linotype" w:cs="Palatino Linotype"/>
          <w:i/>
        </w:rPr>
      </w:pP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i/>
        </w:rPr>
        <w:t>“</w:t>
      </w:r>
      <w:r w:rsidRPr="00C12B48">
        <w:rPr>
          <w:rFonts w:ascii="Palatino Linotype" w:eastAsia="Palatino Linotype" w:hAnsi="Palatino Linotype" w:cs="Palatino Linotype"/>
          <w:b/>
          <w:i/>
        </w:rPr>
        <w:t xml:space="preserve">Artículo 3. </w:t>
      </w:r>
      <w:r w:rsidRPr="00C12B48">
        <w:rPr>
          <w:rFonts w:ascii="Palatino Linotype" w:eastAsia="Palatino Linotype" w:hAnsi="Palatino Linotype" w:cs="Palatino Linotype"/>
          <w:i/>
        </w:rPr>
        <w:t>Para los efectos de la presente Ley se entenderá por:</w:t>
      </w: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i/>
        </w:rPr>
        <w:t>…</w:t>
      </w: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b/>
          <w:i/>
        </w:rPr>
        <w:t>XI. Documento:</w:t>
      </w:r>
      <w:r w:rsidRPr="00C12B48">
        <w:rPr>
          <w:rFonts w:ascii="Palatino Linotype" w:eastAsia="Palatino Linotype" w:hAnsi="Palatino Linotype" w:cs="Palatino Linotype"/>
          <w:i/>
        </w:rPr>
        <w:t xml:space="preserve"> Los expedientes, reportes, estudios, actas</w:t>
      </w:r>
      <w:r w:rsidRPr="00C12B48">
        <w:rPr>
          <w:rFonts w:ascii="Palatino Linotype" w:eastAsia="Palatino Linotype" w:hAnsi="Palatino Linotype" w:cs="Palatino Linotype"/>
          <w:b/>
          <w:i/>
        </w:rPr>
        <w:t>,</w:t>
      </w:r>
      <w:r w:rsidRPr="00C12B48">
        <w:rPr>
          <w:rFonts w:ascii="Palatino Linotype" w:eastAsia="Palatino Linotype" w:hAnsi="Palatino Linotype" w:cs="Palatino Linotype"/>
          <w:i/>
        </w:rPr>
        <w:t xml:space="preserve"> resoluciones, oficios, correspondencia, acuerdos, directivas, directrices, circulares, contratos, </w:t>
      </w:r>
      <w:r w:rsidRPr="00C12B48">
        <w:rPr>
          <w:rFonts w:ascii="Palatino Linotype" w:eastAsia="Palatino Linotype" w:hAnsi="Palatino Linotype" w:cs="Palatino Linotype"/>
          <w:i/>
        </w:rPr>
        <w:lastRenderedPageBreak/>
        <w:t xml:space="preserve">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735E9D" w:rsidRPr="00C12B48" w:rsidRDefault="00735E9D">
      <w:pPr>
        <w:spacing w:line="360" w:lineRule="auto"/>
        <w:ind w:left="851" w:right="899"/>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ind w:left="567" w:right="616"/>
        <w:jc w:val="both"/>
        <w:rPr>
          <w:rFonts w:ascii="Palatino Linotype" w:eastAsia="Palatino Linotype" w:hAnsi="Palatino Linotype" w:cs="Palatino Linotype"/>
          <w:b/>
          <w:i/>
        </w:rPr>
      </w:pPr>
      <w:r w:rsidRPr="00C12B48">
        <w:rPr>
          <w:rFonts w:ascii="Palatino Linotype" w:eastAsia="Palatino Linotype" w:hAnsi="Palatino Linotype" w:cs="Palatino Linotype"/>
          <w:b/>
        </w:rPr>
        <w:t>“</w:t>
      </w:r>
      <w:r w:rsidRPr="00C12B4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12B4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i/>
        </w:rPr>
        <w:t>En consecuencia el acceso a la información se refiere a que se cumplan cualquiera de los siguientes tres supuestos:</w:t>
      </w:r>
    </w:p>
    <w:p w:rsidR="00735E9D" w:rsidRPr="00C12B48" w:rsidRDefault="003A2817">
      <w:pPr>
        <w:ind w:left="567" w:right="616"/>
        <w:jc w:val="both"/>
        <w:rPr>
          <w:rFonts w:ascii="Palatino Linotype" w:eastAsia="Palatino Linotype" w:hAnsi="Palatino Linotype" w:cs="Palatino Linotype"/>
          <w:i/>
        </w:rPr>
      </w:pPr>
      <w:r w:rsidRPr="00C12B48">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735E9D" w:rsidRPr="00C12B48" w:rsidRDefault="003A2817">
      <w:pPr>
        <w:ind w:left="567" w:right="616"/>
        <w:jc w:val="both"/>
        <w:rPr>
          <w:rFonts w:ascii="Palatino Linotype" w:eastAsia="Palatino Linotype" w:hAnsi="Palatino Linotype" w:cs="Palatino Linotype"/>
          <w:b/>
          <w:i/>
        </w:rPr>
      </w:pPr>
      <w:r w:rsidRPr="00C12B48">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rsidR="00735E9D" w:rsidRPr="00C12B48" w:rsidRDefault="003A2817">
      <w:pPr>
        <w:ind w:left="567" w:right="616"/>
        <w:jc w:val="both"/>
        <w:rPr>
          <w:rFonts w:ascii="Palatino Linotype" w:eastAsia="Palatino Linotype" w:hAnsi="Palatino Linotype" w:cs="Palatino Linotype"/>
          <w:b/>
          <w:i/>
        </w:rPr>
      </w:pPr>
      <w:r w:rsidRPr="00C12B48">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rsidR="00735E9D" w:rsidRPr="00C12B48" w:rsidRDefault="00735E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735E9D" w:rsidRPr="00C12B48" w:rsidRDefault="003A2817">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De ahí que el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12B48">
        <w:rPr>
          <w:rFonts w:ascii="Palatino Linotype" w:eastAsia="Palatino Linotype" w:hAnsi="Palatino Linotype" w:cs="Palatino Linotype"/>
          <w:vertAlign w:val="superscript"/>
        </w:rPr>
        <w:footnoteReference w:id="1"/>
      </w:r>
      <w:r w:rsidRPr="00C12B48">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12B48">
        <w:rPr>
          <w:rFonts w:ascii="Palatino Linotype" w:eastAsia="Palatino Linotype" w:hAnsi="Palatino Linotype" w:cs="Palatino Linotype"/>
          <w:vertAlign w:val="superscript"/>
        </w:rPr>
        <w:footnoteReference w:id="2"/>
      </w:r>
      <w:r w:rsidRPr="00C12B48">
        <w:rPr>
          <w:rFonts w:ascii="Palatino Linotype" w:eastAsia="Palatino Linotype" w:hAnsi="Palatino Linotype" w:cs="Palatino Linotype"/>
        </w:rPr>
        <w:t xml:space="preserve">, como pudiera tratarse de aquella relacionada con las obligaciones de transparencia señaladas en los artículos 92 y 100 de la Ley de la Materia. </w:t>
      </w:r>
    </w:p>
    <w:p w:rsidR="00735E9D" w:rsidRPr="00C12B48" w:rsidRDefault="00735E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735E9D" w:rsidRPr="00C12B48" w:rsidRDefault="003A2817">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Dicho lo anterior, en el caso se analizarán los motivos de inconformidad hechos valer por la parte </w:t>
      </w:r>
      <w:r w:rsidRPr="00C12B48">
        <w:rPr>
          <w:rFonts w:ascii="Palatino Linotype" w:eastAsia="Palatino Linotype" w:hAnsi="Palatino Linotype" w:cs="Palatino Linotype"/>
          <w:b/>
        </w:rPr>
        <w:t xml:space="preserve">Recurrente, </w:t>
      </w:r>
      <w:r w:rsidRPr="00C12B48">
        <w:rPr>
          <w:rFonts w:ascii="Palatino Linotype" w:eastAsia="Palatino Linotype" w:hAnsi="Palatino Linotype" w:cs="Palatino Linotype"/>
        </w:rPr>
        <w:t>que actualizan las causales de procedencia previstas en la fracción I del artículo 179 de la Ley de Transparencia y Acceso a la Información del Estado de México y Municipios, relativas a la negativa a la entrega de la información.</w:t>
      </w:r>
    </w:p>
    <w:p w:rsidR="00735E9D" w:rsidRPr="00C12B48" w:rsidRDefault="003A2817">
      <w:pPr>
        <w:spacing w:before="280" w:after="280"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Para ello, conviene iniciar el presente estudio señalando que del análisis a las solicitudes de información con números de folio </w:t>
      </w:r>
      <w:r w:rsidRPr="00C12B48">
        <w:rPr>
          <w:rFonts w:ascii="Palatino Linotype" w:eastAsia="Palatino Linotype" w:hAnsi="Palatino Linotype" w:cs="Palatino Linotype"/>
          <w:b/>
          <w:sz w:val="22"/>
          <w:szCs w:val="22"/>
        </w:rPr>
        <w:t xml:space="preserve">01355/TOLUCA/IP/2023, </w:t>
      </w:r>
      <w:r w:rsidRPr="00C12B48">
        <w:rPr>
          <w:rFonts w:ascii="Palatino Linotype" w:eastAsia="Palatino Linotype" w:hAnsi="Palatino Linotype" w:cs="Palatino Linotype"/>
          <w:b/>
          <w:sz w:val="22"/>
          <w:szCs w:val="22"/>
        </w:rPr>
        <w:lastRenderedPageBreak/>
        <w:t xml:space="preserve">01356TOLUCA/IP/2023 </w:t>
      </w:r>
      <w:r w:rsidRPr="00C12B48">
        <w:rPr>
          <w:rFonts w:ascii="Palatino Linotype" w:eastAsia="Palatino Linotype" w:hAnsi="Palatino Linotype" w:cs="Palatino Linotype"/>
          <w:b/>
        </w:rPr>
        <w:t>y</w:t>
      </w:r>
      <w:r w:rsidRPr="00C12B48">
        <w:rPr>
          <w:rFonts w:ascii="Palatino Linotype" w:eastAsia="Palatino Linotype" w:hAnsi="Palatino Linotype" w:cs="Palatino Linotype"/>
          <w:b/>
          <w:sz w:val="22"/>
          <w:szCs w:val="22"/>
        </w:rPr>
        <w:t xml:space="preserve"> 01357/TOLUCA/IP/2023</w:t>
      </w:r>
      <w:r w:rsidRPr="00C12B48">
        <w:rPr>
          <w:rFonts w:ascii="Palatino Linotype" w:eastAsia="Palatino Linotype" w:hAnsi="Palatino Linotype" w:cs="Palatino Linotype"/>
        </w:rPr>
        <w:t>, respectivamente, el particular requirió sustancialmente lo siguiente:</w:t>
      </w:r>
    </w:p>
    <w:p w:rsidR="00735E9D" w:rsidRPr="00C12B48" w:rsidRDefault="003A2817">
      <w:pPr>
        <w:numPr>
          <w:ilvl w:val="0"/>
          <w:numId w:val="3"/>
        </w:numPr>
        <w:pBdr>
          <w:top w:val="nil"/>
          <w:left w:val="nil"/>
          <w:bottom w:val="nil"/>
          <w:right w:val="nil"/>
          <w:between w:val="nil"/>
        </w:pBdr>
        <w:spacing w:line="360" w:lineRule="auto"/>
        <w:ind w:right="-150"/>
        <w:jc w:val="both"/>
        <w:rPr>
          <w:rFonts w:ascii="Palatino Linotype" w:eastAsia="Palatino Linotype" w:hAnsi="Palatino Linotype" w:cs="Palatino Linotype"/>
          <w:b/>
        </w:rPr>
      </w:pPr>
      <w:r w:rsidRPr="00C12B48">
        <w:rPr>
          <w:rFonts w:ascii="Palatino Linotype" w:eastAsia="Palatino Linotype" w:hAnsi="Palatino Linotype" w:cs="Palatino Linotype"/>
          <w:b/>
        </w:rPr>
        <w:t>Cuantos incumplimientos a resoluciones del INFOEM recibió la Unidad de Transparencia en 2022 y 2023, a que recursos de revisión corresponden, y los documentos de cada uno.</w:t>
      </w:r>
    </w:p>
    <w:p w:rsidR="00735E9D" w:rsidRPr="00C12B48" w:rsidRDefault="00735E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735E9D" w:rsidRPr="00C12B48" w:rsidRDefault="003A2817">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En respuesta,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sustancialmente hizo del conocimiento al particular que después de una búsqueda exhaustiva y razonable en los archivos de la Unidad de Transparencia no se contaba con la información requerida por no haberla generado poseído o administrado.</w:t>
      </w:r>
    </w:p>
    <w:p w:rsidR="00735E9D" w:rsidRPr="00C12B48" w:rsidRDefault="00735E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Inconforme con la respuesta a sus solicitudes de información, el particular promovió los medios de impugnación que se resuelven, haciendo valer a manera de agravio la negativa a la entrega de la información requerida.</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Así, una vez integrados los expedientes electrónicos y puestos a disposición de las partes para efecto de que realizaran manifestaciones, alegatos y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presentara su informe justificado, se advierte que este último rindió dicho informe en los recursos de revisión que nos ocupan, en el que sustancialmente </w:t>
      </w:r>
      <w:r w:rsidRPr="00C12B48">
        <w:rPr>
          <w:rFonts w:ascii="Palatino Linotype" w:eastAsia="Palatino Linotype" w:hAnsi="Palatino Linotype" w:cs="Palatino Linotype"/>
          <w:b/>
        </w:rPr>
        <w:t>ratificó sus respuestas iniciales</w:t>
      </w:r>
      <w:r w:rsidRPr="00C12B48">
        <w:rPr>
          <w:rFonts w:ascii="Palatino Linotype" w:eastAsia="Palatino Linotype" w:hAnsi="Palatino Linotype" w:cs="Palatino Linotype"/>
        </w:rPr>
        <w:t>, manifestando que, el hecho de que la información requerida no obrara en sus archivos ello constituye un hecho negativo y no se tiene atribuciones para dudar de la veracidad de lo manifestado por dicho ente público.</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rPr>
        <w:lastRenderedPageBreak/>
        <w:t xml:space="preserve">Por su parte, el particular fue omiso en realizar manifestaciones con relación a los informes justificados rendidos por el </w:t>
      </w:r>
      <w:r w:rsidRPr="00C12B48">
        <w:rPr>
          <w:rFonts w:ascii="Palatino Linotype" w:eastAsia="Palatino Linotype" w:hAnsi="Palatino Linotype" w:cs="Palatino Linotype"/>
          <w:b/>
        </w:rPr>
        <w:t>Sujeto Obligado.</w:t>
      </w:r>
    </w:p>
    <w:p w:rsidR="00735E9D" w:rsidRPr="00C12B48" w:rsidRDefault="00735E9D">
      <w:pPr>
        <w:spacing w:line="360" w:lineRule="auto"/>
        <w:jc w:val="both"/>
        <w:rPr>
          <w:rFonts w:ascii="Palatino Linotype" w:eastAsia="Palatino Linotype" w:hAnsi="Palatino Linotype" w:cs="Palatino Linotype"/>
          <w:b/>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En primera instancia es de señalar, que la Unidad de Transparencia fue el área responsable que otorgó respuesta, la cual cuenta con las siguientes atribuciones:</w:t>
      </w:r>
    </w:p>
    <w:p w:rsidR="00735E9D" w:rsidRPr="00C12B48" w:rsidRDefault="003A2817">
      <w:pPr>
        <w:pBdr>
          <w:top w:val="nil"/>
          <w:left w:val="nil"/>
          <w:bottom w:val="nil"/>
          <w:right w:val="nil"/>
          <w:between w:val="nil"/>
        </w:pBdr>
        <w:spacing w:before="280" w:line="276" w:lineRule="auto"/>
        <w:ind w:left="1021" w:right="1077"/>
        <w:jc w:val="center"/>
        <w:rPr>
          <w:rFonts w:ascii="Palatino Linotype" w:eastAsia="Palatino Linotype" w:hAnsi="Palatino Linotype" w:cs="Palatino Linotype"/>
          <w:b/>
          <w:i/>
          <w:sz w:val="22"/>
          <w:szCs w:val="22"/>
          <w:u w:val="single"/>
        </w:rPr>
      </w:pPr>
      <w:r w:rsidRPr="00C12B48">
        <w:rPr>
          <w:rFonts w:ascii="Palatino Linotype" w:eastAsia="Palatino Linotype" w:hAnsi="Palatino Linotype" w:cs="Palatino Linotype"/>
          <w:b/>
          <w:i/>
          <w:sz w:val="22"/>
          <w:szCs w:val="22"/>
          <w:u w:val="single"/>
        </w:rPr>
        <w:t>Ley De Transparencia y Acceso A La Información Pública Del Estado De México Y Municipios</w:t>
      </w:r>
    </w:p>
    <w:p w:rsidR="00735E9D" w:rsidRPr="00C12B48" w:rsidRDefault="003A2817">
      <w:pPr>
        <w:pBdr>
          <w:top w:val="nil"/>
          <w:left w:val="nil"/>
          <w:bottom w:val="nil"/>
          <w:right w:val="nil"/>
          <w:between w:val="nil"/>
        </w:pBdr>
        <w:spacing w:line="276" w:lineRule="auto"/>
        <w:ind w:left="1021" w:right="1077"/>
        <w:jc w:val="both"/>
        <w:rPr>
          <w:rFonts w:ascii="Palatino Linotype" w:eastAsia="Palatino Linotype" w:hAnsi="Palatino Linotype" w:cs="Palatino Linotype"/>
          <w:i/>
          <w:sz w:val="22"/>
          <w:szCs w:val="22"/>
        </w:rPr>
      </w:pPr>
      <w:r w:rsidRPr="00C12B48">
        <w:rPr>
          <w:rFonts w:ascii="Palatino Linotype" w:eastAsia="Palatino Linotype" w:hAnsi="Palatino Linotype" w:cs="Palatino Linotype"/>
          <w:i/>
          <w:sz w:val="22"/>
          <w:szCs w:val="22"/>
        </w:rPr>
        <w:t>Artículo 53. Las Unidades de Transparencia tendrán las siguientes funciones:</w:t>
      </w:r>
    </w:p>
    <w:p w:rsidR="00735E9D" w:rsidRPr="00C12B48" w:rsidRDefault="003A2817">
      <w:pPr>
        <w:pBdr>
          <w:top w:val="nil"/>
          <w:left w:val="nil"/>
          <w:bottom w:val="nil"/>
          <w:right w:val="nil"/>
          <w:between w:val="nil"/>
        </w:pBdr>
        <w:spacing w:line="276" w:lineRule="auto"/>
        <w:ind w:left="1021" w:right="1077"/>
        <w:jc w:val="both"/>
        <w:rPr>
          <w:rFonts w:ascii="Palatino Linotype" w:eastAsia="Palatino Linotype" w:hAnsi="Palatino Linotype" w:cs="Palatino Linotype"/>
          <w:i/>
          <w:sz w:val="22"/>
          <w:szCs w:val="22"/>
        </w:rPr>
      </w:pPr>
      <w:r w:rsidRPr="00C12B48">
        <w:rPr>
          <w:rFonts w:ascii="Palatino Linotype" w:eastAsia="Palatino Linotype" w:hAnsi="Palatino Linotype" w:cs="Palatino Linotype"/>
          <w:i/>
          <w:sz w:val="22"/>
          <w:szCs w:val="22"/>
        </w:rPr>
        <w:t>(…)</w:t>
      </w:r>
    </w:p>
    <w:p w:rsidR="00735E9D" w:rsidRPr="00C12B48" w:rsidRDefault="003A2817">
      <w:pPr>
        <w:pBdr>
          <w:top w:val="nil"/>
          <w:left w:val="nil"/>
          <w:bottom w:val="nil"/>
          <w:right w:val="nil"/>
          <w:between w:val="nil"/>
        </w:pBdr>
        <w:spacing w:line="276" w:lineRule="auto"/>
        <w:ind w:left="1021" w:right="1077"/>
        <w:jc w:val="both"/>
        <w:rPr>
          <w:rFonts w:ascii="Palatino Linotype" w:eastAsia="Palatino Linotype" w:hAnsi="Palatino Linotype" w:cs="Palatino Linotype"/>
          <w:b/>
          <w:i/>
          <w:sz w:val="22"/>
          <w:szCs w:val="22"/>
          <w:u w:val="single"/>
        </w:rPr>
      </w:pPr>
      <w:r w:rsidRPr="00C12B48">
        <w:rPr>
          <w:rFonts w:ascii="Palatino Linotype" w:eastAsia="Palatino Linotype" w:hAnsi="Palatino Linotype" w:cs="Palatino Linotype"/>
          <w:b/>
          <w:i/>
          <w:sz w:val="22"/>
          <w:szCs w:val="22"/>
        </w:rPr>
        <w:t xml:space="preserve">IX. Llevar un registro </w:t>
      </w:r>
      <w:r w:rsidRPr="00C12B48">
        <w:rPr>
          <w:rFonts w:ascii="Palatino Linotype" w:eastAsia="Palatino Linotype" w:hAnsi="Palatino Linotype" w:cs="Palatino Linotype"/>
          <w:i/>
          <w:sz w:val="22"/>
          <w:szCs w:val="22"/>
        </w:rPr>
        <w:t xml:space="preserve">de las solicitudes de acceso a la información, sus respuestas, resultados, costos de reproducción y envío, resolución a los recursos de revisión que se hayan emitido en contra de sus respuestas </w:t>
      </w:r>
      <w:r w:rsidRPr="00C12B48">
        <w:rPr>
          <w:rFonts w:ascii="Palatino Linotype" w:eastAsia="Palatino Linotype" w:hAnsi="Palatino Linotype" w:cs="Palatino Linotype"/>
          <w:b/>
          <w:i/>
          <w:sz w:val="22"/>
          <w:szCs w:val="22"/>
          <w:u w:val="single"/>
        </w:rPr>
        <w:t>y del cumplimiento de las mismas</w:t>
      </w:r>
      <w:proofErr w:type="gramStart"/>
      <w:r w:rsidRPr="00C12B48">
        <w:rPr>
          <w:rFonts w:ascii="Palatino Linotype" w:eastAsia="Palatino Linotype" w:hAnsi="Palatino Linotype" w:cs="Palatino Linotype"/>
          <w:b/>
          <w:i/>
          <w:sz w:val="22"/>
          <w:szCs w:val="22"/>
          <w:u w:val="single"/>
        </w:rPr>
        <w:t>;[</w:t>
      </w:r>
      <w:proofErr w:type="gramEnd"/>
      <w:r w:rsidRPr="00C12B48">
        <w:rPr>
          <w:rFonts w:ascii="Palatino Linotype" w:eastAsia="Palatino Linotype" w:hAnsi="Palatino Linotype" w:cs="Palatino Linotype"/>
          <w:b/>
          <w:i/>
          <w:sz w:val="22"/>
          <w:szCs w:val="22"/>
          <w:u w:val="single"/>
        </w:rPr>
        <w:t>…]”</w:t>
      </w:r>
    </w:p>
    <w:p w:rsidR="00735E9D" w:rsidRPr="00C12B48" w:rsidRDefault="003A2817">
      <w:pPr>
        <w:pBdr>
          <w:top w:val="nil"/>
          <w:left w:val="nil"/>
          <w:bottom w:val="nil"/>
          <w:right w:val="nil"/>
          <w:between w:val="nil"/>
        </w:pBdr>
        <w:spacing w:line="276" w:lineRule="auto"/>
        <w:ind w:left="1021" w:right="1077"/>
        <w:jc w:val="right"/>
        <w:rPr>
          <w:rFonts w:ascii="Palatino Linotype" w:eastAsia="Palatino Linotype" w:hAnsi="Palatino Linotype" w:cs="Palatino Linotype"/>
          <w:i/>
          <w:sz w:val="22"/>
          <w:szCs w:val="22"/>
          <w:u w:val="single"/>
        </w:rPr>
      </w:pPr>
      <w:r w:rsidRPr="00C12B48">
        <w:rPr>
          <w:rFonts w:ascii="Palatino Linotype" w:eastAsia="Palatino Linotype" w:hAnsi="Palatino Linotype" w:cs="Palatino Linotype"/>
          <w:i/>
          <w:sz w:val="22"/>
          <w:szCs w:val="22"/>
        </w:rPr>
        <w:t>(Énfasis añadido)</w:t>
      </w:r>
    </w:p>
    <w:p w:rsidR="00735E9D" w:rsidRPr="00C12B48" w:rsidRDefault="00735E9D">
      <w:pPr>
        <w:pBdr>
          <w:top w:val="nil"/>
          <w:left w:val="nil"/>
          <w:bottom w:val="nil"/>
          <w:right w:val="nil"/>
          <w:between w:val="nil"/>
        </w:pBdr>
        <w:spacing w:line="276" w:lineRule="auto"/>
        <w:ind w:left="1021" w:right="1077"/>
        <w:jc w:val="both"/>
        <w:rPr>
          <w:rFonts w:ascii="Palatino Linotype" w:eastAsia="Palatino Linotype" w:hAnsi="Palatino Linotype" w:cs="Palatino Linotype"/>
          <w:i/>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De acuerdo a lo anterior, la Unidad de Transparencia, lleva un registro de las resoluciones a los recursos de revisión que se hayan emitido en contra de sus respuestas y del cumplimiento de las mismas. </w:t>
      </w:r>
    </w:p>
    <w:p w:rsidR="009F7648" w:rsidRPr="00C12B48" w:rsidRDefault="009F7648">
      <w:pPr>
        <w:spacing w:line="360" w:lineRule="auto"/>
        <w:jc w:val="both"/>
        <w:rPr>
          <w:rFonts w:ascii="Palatino Linotype" w:eastAsia="Palatino Linotype" w:hAnsi="Palatino Linotype" w:cs="Palatino Linotype"/>
        </w:rPr>
      </w:pPr>
    </w:p>
    <w:p w:rsidR="00735E9D" w:rsidRPr="00C12B48" w:rsidRDefault="009F7648">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En este sentido, si bien la Titular de la Unidad de Transparencia señaló</w:t>
      </w:r>
      <w:r w:rsidR="00DE22E2" w:rsidRPr="00C12B48">
        <w:rPr>
          <w:rFonts w:ascii="Palatino Linotype" w:eastAsia="Palatino Linotype" w:hAnsi="Palatino Linotype" w:cs="Palatino Linotype"/>
        </w:rPr>
        <w:t xml:space="preserve"> que no se contaba con </w:t>
      </w:r>
      <w:r w:rsidR="009254C9" w:rsidRPr="00C12B48">
        <w:rPr>
          <w:rFonts w:ascii="Palatino Linotype" w:eastAsia="Palatino Linotype" w:hAnsi="Palatino Linotype" w:cs="Palatino Linotype"/>
        </w:rPr>
        <w:t>la información requerida</w:t>
      </w:r>
      <w:r w:rsidR="00DE22E2" w:rsidRPr="00C12B48">
        <w:rPr>
          <w:rFonts w:ascii="Palatino Linotype" w:eastAsia="Palatino Linotype" w:hAnsi="Palatino Linotype" w:cs="Palatino Linotype"/>
        </w:rPr>
        <w:t xml:space="preserve"> por el particular por no haberse generado, poseído o administrado </w:t>
      </w:r>
      <w:r w:rsidRPr="00C12B48">
        <w:rPr>
          <w:rFonts w:ascii="Palatino Linotype" w:eastAsia="Palatino Linotype" w:hAnsi="Palatino Linotype" w:cs="Palatino Linotype"/>
        </w:rPr>
        <w:t xml:space="preserve">lo que podría configurar un hecho negativo, también lo es que este Instituto </w:t>
      </w:r>
      <w:r w:rsidR="003A2817" w:rsidRPr="00C12B48">
        <w:rPr>
          <w:rFonts w:ascii="Palatino Linotype" w:eastAsia="Palatino Linotype" w:hAnsi="Palatino Linotype" w:cs="Palatino Linotype"/>
        </w:rPr>
        <w:t xml:space="preserve"> considero oportuno revisar las constancias que conforman el SAIMEX, en donde se obtuvo algunos acuerdos de incumplimiento a las </w:t>
      </w:r>
      <w:r w:rsidR="003A2817" w:rsidRPr="00C12B48">
        <w:rPr>
          <w:rFonts w:ascii="Palatino Linotype" w:eastAsia="Palatino Linotype" w:hAnsi="Palatino Linotype" w:cs="Palatino Linotype"/>
        </w:rPr>
        <w:lastRenderedPageBreak/>
        <w:t xml:space="preserve">resoluciones del </w:t>
      </w:r>
      <w:r w:rsidR="003A2817" w:rsidRPr="00C12B48">
        <w:rPr>
          <w:rFonts w:ascii="Palatino Linotype" w:eastAsia="Palatino Linotype" w:hAnsi="Palatino Linotype" w:cs="Palatino Linotype"/>
          <w:b/>
        </w:rPr>
        <w:t xml:space="preserve">Sujeto Obligado </w:t>
      </w:r>
      <w:r w:rsidR="003A2817" w:rsidRPr="00C12B48">
        <w:rPr>
          <w:rFonts w:ascii="Palatino Linotype" w:eastAsia="Palatino Linotype" w:hAnsi="Palatino Linotype" w:cs="Palatino Linotype"/>
        </w:rPr>
        <w:t>dentro de la temporalidad solicitada, en donde se ejemplifica de la siguiente forma.</w:t>
      </w:r>
    </w:p>
    <w:p w:rsidR="00735E9D" w:rsidRPr="00C12B48" w:rsidRDefault="003A2817">
      <w:pPr>
        <w:spacing w:line="360" w:lineRule="auto"/>
        <w:jc w:val="both"/>
        <w:rPr>
          <w:rFonts w:ascii="Palatino Linotype" w:eastAsia="Palatino Linotype" w:hAnsi="Palatino Linotype" w:cs="Palatino Linotype"/>
          <w:b/>
          <w:u w:val="single"/>
        </w:rPr>
      </w:pPr>
      <w:r w:rsidRPr="00C12B48">
        <w:rPr>
          <w:rFonts w:ascii="Palatino Linotype" w:eastAsia="Palatino Linotype" w:hAnsi="Palatino Linotype" w:cs="Palatino Linotype"/>
          <w:b/>
          <w:u w:val="single"/>
        </w:rPr>
        <w:t>Respecto del 2022:</w:t>
      </w:r>
    </w:p>
    <w:p w:rsidR="00735E9D" w:rsidRPr="00C12B48" w:rsidRDefault="003A2817">
      <w:pPr>
        <w:spacing w:line="360" w:lineRule="auto"/>
        <w:jc w:val="both"/>
        <w:rPr>
          <w:rFonts w:ascii="Palatino Linotype" w:eastAsia="Palatino Linotype" w:hAnsi="Palatino Linotype" w:cs="Palatino Linotype"/>
          <w:b/>
          <w:u w:val="single"/>
        </w:rPr>
      </w:pPr>
      <w:r w:rsidRPr="00C12B48">
        <w:rPr>
          <w:rFonts w:ascii="Calibri" w:eastAsia="Calibri" w:hAnsi="Calibri" w:cs="Calibri"/>
          <w:noProof/>
          <w:sz w:val="22"/>
          <w:szCs w:val="22"/>
          <w:lang w:eastAsia="es-MX"/>
        </w:rPr>
        <w:drawing>
          <wp:inline distT="0" distB="0" distL="0" distR="0">
            <wp:extent cx="5594349" cy="1489665"/>
            <wp:effectExtent l="3175" t="3175" r="3175" b="3175"/>
            <wp:docPr id="19479513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l="39715" t="26856" r="24474" b="55341"/>
                    <a:stretch>
                      <a:fillRect/>
                    </a:stretch>
                  </pic:blipFill>
                  <pic:spPr>
                    <a:xfrm>
                      <a:off x="0" y="0"/>
                      <a:ext cx="5594349" cy="1489665"/>
                    </a:xfrm>
                    <a:prstGeom prst="rect">
                      <a:avLst/>
                    </a:prstGeom>
                    <a:ln w="3175">
                      <a:solidFill>
                        <a:srgbClr val="000000"/>
                      </a:solidFill>
                      <a:prstDash val="solid"/>
                    </a:ln>
                  </pic:spPr>
                </pic:pic>
              </a:graphicData>
            </a:graphic>
          </wp:inline>
        </w:drawing>
      </w:r>
    </w:p>
    <w:p w:rsidR="00735E9D" w:rsidRPr="00C12B48" w:rsidRDefault="003A2817">
      <w:pPr>
        <w:spacing w:line="360" w:lineRule="auto"/>
        <w:jc w:val="both"/>
        <w:rPr>
          <w:rFonts w:ascii="Palatino Linotype" w:eastAsia="Palatino Linotype" w:hAnsi="Palatino Linotype" w:cs="Palatino Linotype"/>
          <w:u w:val="single"/>
        </w:rPr>
      </w:pPr>
      <w:r w:rsidRPr="00C12B48">
        <w:rPr>
          <w:noProof/>
          <w:lang w:eastAsia="es-MX"/>
        </w:rPr>
        <w:drawing>
          <wp:inline distT="0" distB="0" distL="0" distR="0">
            <wp:extent cx="5617103" cy="1364207"/>
            <wp:effectExtent l="3175" t="3175" r="3175" b="3175"/>
            <wp:docPr id="19479513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39376" t="27458" r="23623" b="55040"/>
                    <a:stretch>
                      <a:fillRect/>
                    </a:stretch>
                  </pic:blipFill>
                  <pic:spPr>
                    <a:xfrm>
                      <a:off x="0" y="0"/>
                      <a:ext cx="5617103" cy="1364207"/>
                    </a:xfrm>
                    <a:prstGeom prst="rect">
                      <a:avLst/>
                    </a:prstGeom>
                    <a:ln w="3175">
                      <a:solidFill>
                        <a:srgbClr val="000000"/>
                      </a:solidFill>
                      <a:prstDash val="solid"/>
                    </a:ln>
                  </pic:spPr>
                </pic:pic>
              </a:graphicData>
            </a:graphic>
          </wp:inline>
        </w:drawing>
      </w:r>
    </w:p>
    <w:p w:rsidR="00735E9D" w:rsidRPr="00C12B48" w:rsidRDefault="003A2817">
      <w:pPr>
        <w:spacing w:line="360" w:lineRule="auto"/>
        <w:jc w:val="both"/>
        <w:rPr>
          <w:rFonts w:ascii="Palatino Linotype" w:eastAsia="Palatino Linotype" w:hAnsi="Palatino Linotype" w:cs="Palatino Linotype"/>
          <w:u w:val="single"/>
        </w:rPr>
      </w:pPr>
      <w:r w:rsidRPr="00C12B48">
        <w:rPr>
          <w:noProof/>
          <w:lang w:eastAsia="es-MX"/>
        </w:rPr>
        <w:drawing>
          <wp:inline distT="0" distB="0" distL="0" distR="0">
            <wp:extent cx="5642389" cy="1222455"/>
            <wp:effectExtent l="3175" t="3175" r="3175" b="3175"/>
            <wp:docPr id="19479513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39035" t="19915" r="24642" b="63790"/>
                    <a:stretch>
                      <a:fillRect/>
                    </a:stretch>
                  </pic:blipFill>
                  <pic:spPr>
                    <a:xfrm>
                      <a:off x="0" y="0"/>
                      <a:ext cx="5642389" cy="1222455"/>
                    </a:xfrm>
                    <a:prstGeom prst="rect">
                      <a:avLst/>
                    </a:prstGeom>
                    <a:ln w="3175">
                      <a:solidFill>
                        <a:srgbClr val="000000"/>
                      </a:solidFill>
                      <a:prstDash val="solid"/>
                    </a:ln>
                  </pic:spPr>
                </pic:pic>
              </a:graphicData>
            </a:graphic>
          </wp:inline>
        </w:drawing>
      </w:r>
    </w:p>
    <w:p w:rsidR="00735E9D" w:rsidRPr="00C12B48" w:rsidRDefault="003A2817">
      <w:pPr>
        <w:spacing w:line="360" w:lineRule="auto"/>
        <w:jc w:val="both"/>
        <w:rPr>
          <w:rFonts w:ascii="Palatino Linotype" w:eastAsia="Palatino Linotype" w:hAnsi="Palatino Linotype" w:cs="Palatino Linotype"/>
          <w:u w:val="single"/>
        </w:rPr>
      </w:pPr>
      <w:r w:rsidRPr="00C12B48">
        <w:rPr>
          <w:noProof/>
          <w:lang w:eastAsia="es-MX"/>
        </w:rPr>
        <w:drawing>
          <wp:inline distT="0" distB="0" distL="0" distR="0">
            <wp:extent cx="5642563" cy="1509206"/>
            <wp:effectExtent l="3175" t="3175" r="3175" b="3175"/>
            <wp:docPr id="19479513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9376" t="19312" r="24642" b="61376"/>
                    <a:stretch>
                      <a:fillRect/>
                    </a:stretch>
                  </pic:blipFill>
                  <pic:spPr>
                    <a:xfrm>
                      <a:off x="0" y="0"/>
                      <a:ext cx="5642563" cy="1509206"/>
                    </a:xfrm>
                    <a:prstGeom prst="rect">
                      <a:avLst/>
                    </a:prstGeom>
                    <a:ln w="3175">
                      <a:solidFill>
                        <a:srgbClr val="000000"/>
                      </a:solidFill>
                      <a:prstDash val="solid"/>
                    </a:ln>
                  </pic:spPr>
                </pic:pic>
              </a:graphicData>
            </a:graphic>
          </wp:inline>
        </w:drawing>
      </w:r>
    </w:p>
    <w:p w:rsidR="00735E9D" w:rsidRPr="00C12B48" w:rsidRDefault="003A2817">
      <w:pPr>
        <w:spacing w:line="360" w:lineRule="auto"/>
        <w:jc w:val="both"/>
        <w:rPr>
          <w:rFonts w:ascii="Palatino Linotype" w:eastAsia="Palatino Linotype" w:hAnsi="Palatino Linotype" w:cs="Palatino Linotype"/>
          <w:b/>
          <w:u w:val="single"/>
        </w:rPr>
      </w:pPr>
      <w:r w:rsidRPr="00C12B48">
        <w:rPr>
          <w:rFonts w:ascii="Palatino Linotype" w:eastAsia="Palatino Linotype" w:hAnsi="Palatino Linotype" w:cs="Palatino Linotype"/>
          <w:b/>
          <w:u w:val="single"/>
        </w:rPr>
        <w:t>Respecto del 2023:</w:t>
      </w:r>
    </w:p>
    <w:p w:rsidR="00735E9D" w:rsidRPr="00C12B48" w:rsidRDefault="00735E9D">
      <w:pPr>
        <w:spacing w:line="360" w:lineRule="auto"/>
        <w:jc w:val="both"/>
        <w:rPr>
          <w:rFonts w:ascii="Palatino Linotype" w:eastAsia="Palatino Linotype" w:hAnsi="Palatino Linotype" w:cs="Palatino Linotype"/>
          <w:u w:val="single"/>
        </w:rPr>
      </w:pPr>
    </w:p>
    <w:p w:rsidR="00735E9D" w:rsidRPr="00C12B48" w:rsidRDefault="009220FD">
      <w:pPr>
        <w:spacing w:line="360" w:lineRule="auto"/>
        <w:jc w:val="both"/>
        <w:rPr>
          <w:rFonts w:ascii="Palatino Linotype" w:eastAsia="Palatino Linotype" w:hAnsi="Palatino Linotype" w:cs="Palatino Linotype"/>
          <w:u w:val="single"/>
        </w:rPr>
      </w:pPr>
      <w:r w:rsidRPr="00C12B48">
        <w:rPr>
          <w:rFonts w:ascii="Palatino Linotype" w:eastAsia="Palatino Linotype" w:hAnsi="Palatino Linotype" w:cs="Palatino Linotype"/>
          <w:noProof/>
          <w:u w:val="single"/>
          <w:lang w:eastAsia="es-MX"/>
        </w:rPr>
        <w:drawing>
          <wp:inline distT="0" distB="0" distL="0" distR="0" wp14:anchorId="44C76620" wp14:editId="667E9068">
            <wp:extent cx="5612130" cy="1840865"/>
            <wp:effectExtent l="19050" t="19050" r="26670" b="260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840865"/>
                    </a:xfrm>
                    <a:prstGeom prst="rect">
                      <a:avLst/>
                    </a:prstGeom>
                    <a:ln w="3175">
                      <a:solidFill>
                        <a:schemeClr val="tx1"/>
                      </a:solidFill>
                    </a:ln>
                  </pic:spPr>
                </pic:pic>
              </a:graphicData>
            </a:graphic>
          </wp:inline>
        </w:drawing>
      </w:r>
    </w:p>
    <w:p w:rsidR="009220FD" w:rsidRPr="00C12B48" w:rsidRDefault="009220FD">
      <w:pPr>
        <w:spacing w:line="360" w:lineRule="auto"/>
        <w:jc w:val="both"/>
        <w:rPr>
          <w:rFonts w:ascii="Palatino Linotype" w:eastAsia="Palatino Linotype" w:hAnsi="Palatino Linotype" w:cs="Palatino Linotype"/>
          <w:u w:val="single"/>
        </w:rPr>
      </w:pPr>
      <w:r w:rsidRPr="00C12B48">
        <w:rPr>
          <w:rFonts w:ascii="Palatino Linotype" w:eastAsia="Palatino Linotype" w:hAnsi="Palatino Linotype" w:cs="Palatino Linotype"/>
          <w:noProof/>
          <w:u w:val="single"/>
          <w:lang w:eastAsia="es-MX"/>
        </w:rPr>
        <w:drawing>
          <wp:inline distT="0" distB="0" distL="0" distR="0" wp14:anchorId="538DAC15" wp14:editId="371F0340">
            <wp:extent cx="5612130" cy="1811655"/>
            <wp:effectExtent l="19050" t="19050" r="2667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1811655"/>
                    </a:xfrm>
                    <a:prstGeom prst="rect">
                      <a:avLst/>
                    </a:prstGeom>
                    <a:ln w="3175">
                      <a:solidFill>
                        <a:schemeClr val="tx1"/>
                      </a:solidFill>
                    </a:ln>
                  </pic:spPr>
                </pic:pic>
              </a:graphicData>
            </a:graphic>
          </wp:inline>
        </w:drawing>
      </w:r>
    </w:p>
    <w:p w:rsidR="009220FD" w:rsidRPr="00C12B48" w:rsidRDefault="009220FD">
      <w:pPr>
        <w:spacing w:line="360" w:lineRule="auto"/>
        <w:jc w:val="both"/>
        <w:rPr>
          <w:rFonts w:ascii="Palatino Linotype" w:eastAsia="Palatino Linotype" w:hAnsi="Palatino Linotype" w:cs="Palatino Linotype"/>
          <w:sz w:val="10"/>
        </w:rPr>
      </w:pPr>
    </w:p>
    <w:p w:rsidR="00B6366A"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Bajo tales consideraciones, se advierte que el </w:t>
      </w:r>
      <w:r w:rsidRPr="00C12B48">
        <w:rPr>
          <w:rFonts w:ascii="Palatino Linotype" w:eastAsia="Palatino Linotype" w:hAnsi="Palatino Linotype" w:cs="Palatino Linotype"/>
          <w:b/>
        </w:rPr>
        <w:t xml:space="preserve">Sujeto Obligado </w:t>
      </w:r>
      <w:r w:rsidRPr="00C12B48">
        <w:rPr>
          <w:rFonts w:ascii="Palatino Linotype" w:eastAsia="Palatino Linotype" w:hAnsi="Palatino Linotype" w:cs="Palatino Linotype"/>
        </w:rPr>
        <w:t xml:space="preserve">cuenta con la información solicitada, </w:t>
      </w:r>
      <w:r w:rsidR="000E2587" w:rsidRPr="00C12B48">
        <w:rPr>
          <w:rFonts w:ascii="Palatino Linotype" w:eastAsia="Palatino Linotype" w:hAnsi="Palatino Linotype" w:cs="Palatino Linotype"/>
        </w:rPr>
        <w:t xml:space="preserve">pues fue </w:t>
      </w:r>
      <w:r w:rsidR="00F53888" w:rsidRPr="00C12B48">
        <w:rPr>
          <w:rFonts w:ascii="Palatino Linotype" w:eastAsia="Palatino Linotype" w:hAnsi="Palatino Linotype" w:cs="Palatino Linotype"/>
        </w:rPr>
        <w:t xml:space="preserve">generada </w:t>
      </w:r>
      <w:r w:rsidRPr="00C12B48">
        <w:rPr>
          <w:rFonts w:ascii="Palatino Linotype" w:eastAsia="Palatino Linotype" w:hAnsi="Palatino Linotype" w:cs="Palatino Linotype"/>
        </w:rPr>
        <w:t xml:space="preserve">dentro de la temporalidad señalada en las solicitudes de información, motivo por el que resulta dable </w:t>
      </w:r>
      <w:r w:rsidRPr="00C12B48">
        <w:rPr>
          <w:rFonts w:ascii="Palatino Linotype" w:eastAsia="Palatino Linotype" w:hAnsi="Palatino Linotype" w:cs="Palatino Linotype"/>
          <w:b/>
        </w:rPr>
        <w:t xml:space="preserve">REVOCAR </w:t>
      </w:r>
      <w:r w:rsidRPr="00C12B48">
        <w:rPr>
          <w:rFonts w:ascii="Palatino Linotype" w:eastAsia="Palatino Linotype" w:hAnsi="Palatino Linotype" w:cs="Palatino Linotype"/>
        </w:rPr>
        <w:t xml:space="preserve">la respuesta emitida y ordenar previa búsqueda exhaustiva y razonable </w:t>
      </w:r>
      <w:r w:rsidRPr="00C12B48">
        <w:rPr>
          <w:rFonts w:ascii="Palatino Linotype" w:eastAsia="Palatino Linotype" w:hAnsi="Palatino Linotype" w:cs="Palatino Linotype"/>
          <w:b/>
          <w:u w:val="single"/>
        </w:rPr>
        <w:t xml:space="preserve">los acuerdos de incumplimiento a resoluciones que notificó el INFOEM a la Unidad de Transparencia del Ayuntamiento de Toluca durante el periodo </w:t>
      </w:r>
      <w:r w:rsidR="00721B69" w:rsidRPr="00C12B48">
        <w:rPr>
          <w:rFonts w:ascii="Palatino Linotype" w:eastAsia="Palatino Linotype" w:hAnsi="Palatino Linotype" w:cs="Palatino Linotype"/>
          <w:b/>
          <w:u w:val="single"/>
        </w:rPr>
        <w:t xml:space="preserve">del primero de </w:t>
      </w:r>
      <w:r w:rsidRPr="00C12B48">
        <w:rPr>
          <w:rFonts w:ascii="Palatino Linotype" w:eastAsia="Palatino Linotype" w:hAnsi="Palatino Linotype" w:cs="Palatino Linotype"/>
          <w:b/>
          <w:u w:val="single"/>
        </w:rPr>
        <w:t>enero a</w:t>
      </w:r>
      <w:r w:rsidR="00721B69" w:rsidRPr="00C12B48">
        <w:rPr>
          <w:rFonts w:ascii="Palatino Linotype" w:eastAsia="Palatino Linotype" w:hAnsi="Palatino Linotype" w:cs="Palatino Linotype"/>
          <w:b/>
          <w:u w:val="single"/>
        </w:rPr>
        <w:t>l treinta y uno de</w:t>
      </w:r>
      <w:r w:rsidRPr="00C12B48">
        <w:rPr>
          <w:rFonts w:ascii="Palatino Linotype" w:eastAsia="Palatino Linotype" w:hAnsi="Palatino Linotype" w:cs="Palatino Linotype"/>
          <w:b/>
          <w:u w:val="single"/>
        </w:rPr>
        <w:t xml:space="preserve"> diciembre del año dos mil veintidós y </w:t>
      </w:r>
      <w:r w:rsidR="00B6366A" w:rsidRPr="00C12B48">
        <w:rPr>
          <w:rFonts w:ascii="Palatino Linotype" w:eastAsia="Palatino Linotype" w:hAnsi="Palatino Linotype" w:cs="Palatino Linotype"/>
          <w:b/>
          <w:u w:val="single"/>
        </w:rPr>
        <w:t>respecto del ejercicio dos mil veintitr</w:t>
      </w:r>
      <w:r w:rsidR="00721B69" w:rsidRPr="00C12B48">
        <w:rPr>
          <w:rFonts w:ascii="Palatino Linotype" w:eastAsia="Palatino Linotype" w:hAnsi="Palatino Linotype" w:cs="Palatino Linotype"/>
          <w:b/>
          <w:u w:val="single"/>
        </w:rPr>
        <w:t>és, los acuerdos de mérito durante el periodo del primero de enero al veinticuatro de abril de dos mil veintitr</w:t>
      </w:r>
      <w:r w:rsidR="00EE4F08" w:rsidRPr="00C12B48">
        <w:rPr>
          <w:rFonts w:ascii="Palatino Linotype" w:eastAsia="Palatino Linotype" w:hAnsi="Palatino Linotype" w:cs="Palatino Linotype"/>
          <w:b/>
          <w:u w:val="single"/>
        </w:rPr>
        <w:t>és;</w:t>
      </w:r>
      <w:r w:rsidR="00EE4F08" w:rsidRPr="00C12B48">
        <w:rPr>
          <w:rFonts w:ascii="Palatino Linotype" w:eastAsia="Palatino Linotype" w:hAnsi="Palatino Linotype" w:cs="Palatino Linotype"/>
        </w:rPr>
        <w:t xml:space="preserve"> este último </w:t>
      </w:r>
      <w:r w:rsidR="00BD11BB" w:rsidRPr="00C12B48">
        <w:rPr>
          <w:rFonts w:ascii="Palatino Linotype" w:eastAsia="Palatino Linotype" w:hAnsi="Palatino Linotype" w:cs="Palatino Linotype"/>
        </w:rPr>
        <w:t xml:space="preserve">periodo de </w:t>
      </w:r>
      <w:r w:rsidR="00BD11BB" w:rsidRPr="00C12B48">
        <w:rPr>
          <w:rFonts w:ascii="Palatino Linotype" w:eastAsia="Palatino Linotype" w:hAnsi="Palatino Linotype" w:cs="Palatino Linotype"/>
        </w:rPr>
        <w:lastRenderedPageBreak/>
        <w:t xml:space="preserve">entrega se delimita a dicha temporalidad </w:t>
      </w:r>
      <w:r w:rsidR="00EE4F08" w:rsidRPr="00C12B48">
        <w:rPr>
          <w:rFonts w:ascii="Palatino Linotype" w:eastAsia="Palatino Linotype" w:hAnsi="Palatino Linotype" w:cs="Palatino Linotype"/>
        </w:rPr>
        <w:t xml:space="preserve">por corresponder a la fecha en que </w:t>
      </w:r>
      <w:r w:rsidR="00BD11BB" w:rsidRPr="00C12B48">
        <w:rPr>
          <w:rFonts w:ascii="Palatino Linotype" w:eastAsia="Palatino Linotype" w:hAnsi="Palatino Linotype" w:cs="Palatino Linotype"/>
        </w:rPr>
        <w:t xml:space="preserve">el particular </w:t>
      </w:r>
      <w:r w:rsidR="00EE4F08" w:rsidRPr="00C12B48">
        <w:rPr>
          <w:rFonts w:ascii="Palatino Linotype" w:eastAsia="Palatino Linotype" w:hAnsi="Palatino Linotype" w:cs="Palatino Linotype"/>
        </w:rPr>
        <w:t>present</w:t>
      </w:r>
      <w:r w:rsidR="00BD11BB" w:rsidRPr="00C12B48">
        <w:rPr>
          <w:rFonts w:ascii="Palatino Linotype" w:eastAsia="Palatino Linotype" w:hAnsi="Palatino Linotype" w:cs="Palatino Linotype"/>
        </w:rPr>
        <w:t>ó</w:t>
      </w:r>
      <w:r w:rsidR="00EE4F08" w:rsidRPr="00C12B48">
        <w:rPr>
          <w:rFonts w:ascii="Palatino Linotype" w:eastAsia="Palatino Linotype" w:hAnsi="Palatino Linotype" w:cs="Palatino Linotype"/>
        </w:rPr>
        <w:t xml:space="preserve"> las solicitudes de informaci</w:t>
      </w:r>
      <w:r w:rsidR="00FD2B48" w:rsidRPr="00C12B48">
        <w:rPr>
          <w:rFonts w:ascii="Palatino Linotype" w:eastAsia="Palatino Linotype" w:hAnsi="Palatino Linotype" w:cs="Palatino Linotype"/>
        </w:rPr>
        <w:t>ón;</w:t>
      </w:r>
      <w:r w:rsidR="000F599F" w:rsidRPr="00C12B48">
        <w:rPr>
          <w:rFonts w:ascii="Palatino Linotype" w:eastAsia="Palatino Linotype" w:hAnsi="Palatino Linotype" w:cs="Palatino Linotype"/>
        </w:rPr>
        <w:t xml:space="preserve"> por tanto, </w:t>
      </w:r>
      <w:r w:rsidR="00FD2B48" w:rsidRPr="00C12B48">
        <w:rPr>
          <w:rFonts w:ascii="Palatino Linotype" w:eastAsia="Palatino Linotype" w:hAnsi="Palatino Linotype" w:cs="Palatino Linotype"/>
        </w:rPr>
        <w:t xml:space="preserve">es dable ordenar la información indicada que se hubiera poseído </w:t>
      </w:r>
      <w:r w:rsidR="000F599F" w:rsidRPr="00C12B48">
        <w:rPr>
          <w:rFonts w:ascii="Palatino Linotype" w:eastAsia="Palatino Linotype" w:hAnsi="Palatino Linotype" w:cs="Palatino Linotype"/>
        </w:rPr>
        <w:t xml:space="preserve"> </w:t>
      </w:r>
      <w:r w:rsidR="00FD2B48" w:rsidRPr="00C12B48">
        <w:rPr>
          <w:rFonts w:ascii="Palatino Linotype" w:eastAsia="Palatino Linotype" w:hAnsi="Palatino Linotype" w:cs="Palatino Linotype"/>
        </w:rPr>
        <w:t>o administrado durante ese periodo.</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186 fracción III, de la Ley de Transparencia y Acceso a la Información Pública del Estado de México y Municipios, este Pleno:</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ind w:right="-93"/>
        <w:jc w:val="center"/>
        <w:rPr>
          <w:rFonts w:ascii="Palatino Linotype" w:eastAsia="Palatino Linotype" w:hAnsi="Palatino Linotype" w:cs="Palatino Linotype"/>
          <w:b/>
        </w:rPr>
      </w:pPr>
      <w:r w:rsidRPr="00C12B48">
        <w:rPr>
          <w:rFonts w:ascii="Palatino Linotype" w:eastAsia="Palatino Linotype" w:hAnsi="Palatino Linotype" w:cs="Palatino Linotype"/>
          <w:b/>
        </w:rPr>
        <w:t>R E S U E L V E:</w:t>
      </w:r>
    </w:p>
    <w:p w:rsidR="00735E9D" w:rsidRPr="00C12B48" w:rsidRDefault="00735E9D">
      <w:pPr>
        <w:spacing w:line="360" w:lineRule="auto"/>
        <w:ind w:right="-93"/>
        <w:jc w:val="center"/>
        <w:rPr>
          <w:rFonts w:ascii="Palatino Linotype" w:eastAsia="Palatino Linotype" w:hAnsi="Palatino Linotype" w:cs="Palatino Linotype"/>
          <w:b/>
        </w:rPr>
      </w:pPr>
    </w:p>
    <w:p w:rsidR="00735E9D" w:rsidRPr="00C12B48" w:rsidRDefault="003A2817">
      <w:pPr>
        <w:spacing w:line="360" w:lineRule="auto"/>
        <w:jc w:val="both"/>
        <w:rPr>
          <w:rFonts w:ascii="Palatino Linotype" w:eastAsia="Palatino Linotype" w:hAnsi="Palatino Linotype" w:cs="Palatino Linotype"/>
          <w:b/>
        </w:rPr>
      </w:pPr>
      <w:r w:rsidRPr="00C12B48">
        <w:rPr>
          <w:rFonts w:ascii="Palatino Linotype" w:eastAsia="Palatino Linotype" w:hAnsi="Palatino Linotype" w:cs="Palatino Linotype"/>
          <w:b/>
        </w:rPr>
        <w:t xml:space="preserve">PRIMERO. </w:t>
      </w:r>
      <w:r w:rsidRPr="00C12B48">
        <w:rPr>
          <w:rFonts w:ascii="Palatino Linotype" w:eastAsia="Palatino Linotype" w:hAnsi="Palatino Linotype" w:cs="Palatino Linotype"/>
        </w:rPr>
        <w:t xml:space="preserve">Resultan fundados los motivos de inconformidad hechos valer por </w:t>
      </w:r>
      <w:r w:rsidRPr="00C12B48">
        <w:rPr>
          <w:rFonts w:ascii="Palatino Linotype" w:eastAsia="Palatino Linotype" w:hAnsi="Palatino Linotype" w:cs="Palatino Linotype"/>
          <w:b/>
        </w:rPr>
        <w:t>la parte Recurrente</w:t>
      </w:r>
      <w:r w:rsidRPr="00C12B48">
        <w:rPr>
          <w:rFonts w:ascii="Palatino Linotype" w:eastAsia="Palatino Linotype" w:hAnsi="Palatino Linotype" w:cs="Palatino Linotype"/>
        </w:rPr>
        <w:t xml:space="preserve"> en los Recursos de Revisión </w:t>
      </w:r>
      <w:r w:rsidRPr="00C12B48">
        <w:rPr>
          <w:rFonts w:ascii="Palatino Linotype" w:eastAsia="Palatino Linotype" w:hAnsi="Palatino Linotype" w:cs="Palatino Linotype"/>
          <w:b/>
        </w:rPr>
        <w:t xml:space="preserve">02954/INFOEM/IP/RR/2023, 03288/INFOEM/IP/RR/2023 y 03289/INFOEM/IP/RR/2023; </w:t>
      </w:r>
      <w:r w:rsidRPr="00C12B48">
        <w:rPr>
          <w:rFonts w:ascii="Palatino Linotype" w:eastAsia="Palatino Linotype" w:hAnsi="Palatino Linotype" w:cs="Palatino Linotype"/>
        </w:rPr>
        <w:t xml:space="preserve">por lo que, en términos del considerando </w:t>
      </w:r>
      <w:r w:rsidRPr="00C12B48">
        <w:rPr>
          <w:rFonts w:ascii="Palatino Linotype" w:eastAsia="Palatino Linotype" w:hAnsi="Palatino Linotype" w:cs="Palatino Linotype"/>
          <w:b/>
        </w:rPr>
        <w:t xml:space="preserve">Cuarto </w:t>
      </w:r>
      <w:r w:rsidRPr="00C12B48">
        <w:rPr>
          <w:rFonts w:ascii="Palatino Linotype" w:eastAsia="Palatino Linotype" w:hAnsi="Palatino Linotype" w:cs="Palatino Linotype"/>
        </w:rPr>
        <w:t xml:space="preserve">de esta resolución, se </w:t>
      </w:r>
      <w:r w:rsidRPr="00C12B48">
        <w:rPr>
          <w:rFonts w:ascii="Palatino Linotype" w:eastAsia="Palatino Linotype" w:hAnsi="Palatino Linotype" w:cs="Palatino Linotype"/>
          <w:b/>
        </w:rPr>
        <w:t xml:space="preserve">REVOCAN </w:t>
      </w:r>
      <w:r w:rsidRPr="00C12B48">
        <w:rPr>
          <w:rFonts w:ascii="Palatino Linotype" w:eastAsia="Palatino Linotype" w:hAnsi="Palatino Linotype" w:cs="Palatino Linotype"/>
        </w:rPr>
        <w:t xml:space="preserve">las respuestas emitidas por el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bookmarkStart w:id="8" w:name="_heading=h.kelgs2428oa6" w:colFirst="0" w:colLast="0"/>
      <w:bookmarkEnd w:id="8"/>
      <w:r w:rsidRPr="00C12B48">
        <w:rPr>
          <w:rFonts w:ascii="Palatino Linotype" w:eastAsia="Palatino Linotype" w:hAnsi="Palatino Linotype" w:cs="Palatino Linotype"/>
          <w:b/>
        </w:rPr>
        <w:t xml:space="preserve">SEGUNDO. </w:t>
      </w:r>
      <w:r w:rsidRPr="00C12B48">
        <w:rPr>
          <w:rFonts w:ascii="Palatino Linotype" w:eastAsia="Palatino Linotype" w:hAnsi="Palatino Linotype" w:cs="Palatino Linotype"/>
        </w:rPr>
        <w:t>Se</w:t>
      </w:r>
      <w:r w:rsidRPr="00C12B48">
        <w:rPr>
          <w:rFonts w:ascii="Palatino Linotype" w:eastAsia="Palatino Linotype" w:hAnsi="Palatino Linotype" w:cs="Palatino Linotype"/>
          <w:b/>
        </w:rPr>
        <w:t xml:space="preserve"> ORDENA </w:t>
      </w:r>
      <w:r w:rsidRPr="00C12B48">
        <w:rPr>
          <w:rFonts w:ascii="Palatino Linotype" w:eastAsia="Palatino Linotype" w:hAnsi="Palatino Linotype" w:cs="Palatino Linotype"/>
        </w:rPr>
        <w:t xml:space="preserve">al </w:t>
      </w:r>
      <w:r w:rsidRPr="00C12B48">
        <w:rPr>
          <w:rFonts w:ascii="Palatino Linotype" w:eastAsia="Palatino Linotype" w:hAnsi="Palatino Linotype" w:cs="Palatino Linotype"/>
          <w:b/>
        </w:rPr>
        <w:t>Sujeto Obligado</w:t>
      </w:r>
      <w:r w:rsidRPr="00C12B48">
        <w:rPr>
          <w:rFonts w:ascii="Palatino Linotype" w:eastAsia="Palatino Linotype" w:hAnsi="Palatino Linotype" w:cs="Palatino Linotype"/>
        </w:rPr>
        <w:t xml:space="preserve"> en términos del Considerando </w:t>
      </w:r>
      <w:r w:rsidRPr="00C12B48">
        <w:rPr>
          <w:rFonts w:ascii="Palatino Linotype" w:eastAsia="Palatino Linotype" w:hAnsi="Palatino Linotype" w:cs="Palatino Linotype"/>
          <w:b/>
        </w:rPr>
        <w:t xml:space="preserve">Cuarto </w:t>
      </w:r>
      <w:r w:rsidRPr="00C12B48">
        <w:rPr>
          <w:rFonts w:ascii="Palatino Linotype" w:eastAsia="Palatino Linotype" w:hAnsi="Palatino Linotype" w:cs="Palatino Linotype"/>
        </w:rPr>
        <w:t xml:space="preserve">de esta resolución, haga entrega, vía </w:t>
      </w:r>
      <w:r w:rsidRPr="00C12B48">
        <w:rPr>
          <w:rFonts w:ascii="Palatino Linotype" w:eastAsia="Palatino Linotype" w:hAnsi="Palatino Linotype" w:cs="Palatino Linotype"/>
          <w:b/>
        </w:rPr>
        <w:t>SAIMEX</w:t>
      </w:r>
      <w:r w:rsidRPr="00C12B48">
        <w:rPr>
          <w:rFonts w:ascii="Palatino Linotype" w:eastAsia="Palatino Linotype" w:hAnsi="Palatino Linotype" w:cs="Palatino Linotype"/>
        </w:rPr>
        <w:t>, previa búsqueda exhaustiva y razonable, de lo siguiente:</w:t>
      </w:r>
    </w:p>
    <w:p w:rsidR="00735E9D" w:rsidRPr="00C12B48" w:rsidRDefault="00735E9D">
      <w:pPr>
        <w:pBdr>
          <w:top w:val="nil"/>
          <w:left w:val="nil"/>
          <w:bottom w:val="nil"/>
          <w:right w:val="nil"/>
          <w:between w:val="nil"/>
        </w:pBdr>
        <w:spacing w:line="360" w:lineRule="auto"/>
        <w:jc w:val="both"/>
        <w:rPr>
          <w:rFonts w:ascii="Palatino Linotype" w:eastAsia="Palatino Linotype" w:hAnsi="Palatino Linotype" w:cs="Palatino Linotype"/>
        </w:rPr>
      </w:pPr>
    </w:p>
    <w:p w:rsidR="00735E9D" w:rsidRPr="00C12B48" w:rsidRDefault="003A2817">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 xml:space="preserve">Los Acuerdos de incumplimiento a resoluciones que notificó el INFOEM a la Unidad de Transparencia del Ayuntamiento de Toluca durante </w:t>
      </w:r>
      <w:r w:rsidR="00584D0D" w:rsidRPr="00C12B48">
        <w:rPr>
          <w:rFonts w:ascii="Palatino Linotype" w:eastAsia="Palatino Linotype" w:hAnsi="Palatino Linotype" w:cs="Palatino Linotype"/>
          <w:b/>
          <w:u w:val="single"/>
        </w:rPr>
        <w:t xml:space="preserve">el periodo del </w:t>
      </w:r>
      <w:r w:rsidR="00584D0D" w:rsidRPr="00C12B48">
        <w:rPr>
          <w:rFonts w:ascii="Palatino Linotype" w:eastAsia="Palatino Linotype" w:hAnsi="Palatino Linotype" w:cs="Palatino Linotype"/>
          <w:b/>
          <w:u w:val="single"/>
        </w:rPr>
        <w:lastRenderedPageBreak/>
        <w:t>primero de enero al treinta y uno de diciembre del año dos mil veintidós y del primero de enero al veinticuatro de abril de dos mil veintitrés.</w:t>
      </w:r>
    </w:p>
    <w:p w:rsidR="00735E9D" w:rsidRPr="00C12B48" w:rsidRDefault="00735E9D">
      <w:pPr>
        <w:pBdr>
          <w:top w:val="nil"/>
          <w:left w:val="nil"/>
          <w:bottom w:val="nil"/>
          <w:right w:val="nil"/>
          <w:between w:val="nil"/>
        </w:pBdr>
        <w:spacing w:line="360" w:lineRule="auto"/>
        <w:ind w:left="720"/>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 xml:space="preserve">TERCERO.  Notifíquese vía SAIMEX, </w:t>
      </w:r>
      <w:r w:rsidRPr="00C12B48">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b/>
        </w:rPr>
        <w:t xml:space="preserve">CUARTO. </w:t>
      </w:r>
      <w:r w:rsidRPr="00C12B48">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w:t>
      </w:r>
      <w:r w:rsidRPr="00C12B48">
        <w:rPr>
          <w:rFonts w:ascii="Palatino Linotype" w:eastAsia="Palatino Linotype" w:hAnsi="Palatino Linotype" w:cs="Palatino Linotype"/>
          <w:b/>
        </w:rPr>
        <w:t xml:space="preserve"> Sujeto Obligado</w:t>
      </w:r>
      <w:r w:rsidRPr="00C12B48">
        <w:rPr>
          <w:rFonts w:ascii="Palatino Linotype" w:eastAsia="Palatino Linotype" w:hAnsi="Palatino Linotype" w:cs="Palatino Linotype"/>
        </w:rPr>
        <w:t xml:space="preserve"> de manera fundada y motivada, podrá solicitar una ampliación de plazo para el cumplimiento de la presente resolución.</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ind w:right="49"/>
        <w:jc w:val="both"/>
        <w:rPr>
          <w:rFonts w:ascii="Palatino Linotype" w:eastAsia="Palatino Linotype" w:hAnsi="Palatino Linotype" w:cs="Palatino Linotype"/>
          <w:strike/>
        </w:rPr>
      </w:pPr>
      <w:r w:rsidRPr="00C12B48">
        <w:rPr>
          <w:rFonts w:ascii="Palatino Linotype" w:eastAsia="Palatino Linotype" w:hAnsi="Palatino Linotype" w:cs="Palatino Linotype"/>
          <w:b/>
        </w:rPr>
        <w:t xml:space="preserve">QUINTO. </w:t>
      </w:r>
      <w:r w:rsidRPr="00C12B48">
        <w:rPr>
          <w:rFonts w:ascii="Palatino Linotype" w:eastAsia="Palatino Linotype" w:hAnsi="Palatino Linotype" w:cs="Palatino Linotype"/>
        </w:rPr>
        <w:t xml:space="preserve"> </w:t>
      </w:r>
      <w:r w:rsidRPr="00C12B48">
        <w:rPr>
          <w:rFonts w:ascii="Palatino Linotype" w:eastAsia="Palatino Linotype" w:hAnsi="Palatino Linotype" w:cs="Palatino Linotype"/>
          <w:b/>
        </w:rPr>
        <w:t>Notifíquese vía SAIMEX</w:t>
      </w:r>
      <w:r w:rsidRPr="00C12B48">
        <w:rPr>
          <w:rFonts w:ascii="Palatino Linotype" w:eastAsia="Palatino Linotype" w:hAnsi="Palatino Linotype" w:cs="Palatino Linotype"/>
        </w:rPr>
        <w:t xml:space="preserve"> a la parte </w:t>
      </w:r>
      <w:r w:rsidRPr="00C12B48">
        <w:rPr>
          <w:rFonts w:ascii="Palatino Linotype" w:eastAsia="Palatino Linotype" w:hAnsi="Palatino Linotype" w:cs="Palatino Linotype"/>
          <w:b/>
        </w:rPr>
        <w:t xml:space="preserve">Recurrente </w:t>
      </w:r>
      <w:r w:rsidRPr="00C12B48">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735E9D" w:rsidRPr="00C12B48" w:rsidRDefault="00735E9D">
      <w:pPr>
        <w:spacing w:line="360" w:lineRule="auto"/>
        <w:jc w:val="both"/>
        <w:rPr>
          <w:rFonts w:ascii="Palatino Linotype" w:eastAsia="Palatino Linotype" w:hAnsi="Palatino Linotype" w:cs="Palatino Linotype"/>
        </w:rPr>
      </w:pPr>
    </w:p>
    <w:p w:rsidR="00735E9D" w:rsidRPr="00C12B48" w:rsidRDefault="003A2817">
      <w:pPr>
        <w:spacing w:line="360" w:lineRule="auto"/>
        <w:jc w:val="both"/>
        <w:rPr>
          <w:rFonts w:ascii="Palatino Linotype" w:eastAsia="Palatino Linotype" w:hAnsi="Palatino Linotype" w:cs="Palatino Linotype"/>
        </w:rPr>
      </w:pPr>
      <w:r w:rsidRPr="00C12B48">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rsidR="00735E9D" w:rsidRPr="00C12B48" w:rsidRDefault="00735E9D">
      <w:pPr>
        <w:spacing w:line="360" w:lineRule="auto"/>
        <w:jc w:val="both"/>
        <w:rPr>
          <w:rFonts w:ascii="Palatino Linotype" w:eastAsia="Palatino Linotype" w:hAnsi="Palatino Linotype" w:cs="Palatino Linotype"/>
          <w:b/>
        </w:rPr>
      </w:pPr>
    </w:p>
    <w:p w:rsidR="00735E9D" w:rsidRPr="00C12B48" w:rsidRDefault="00735E9D">
      <w:pPr>
        <w:spacing w:line="360" w:lineRule="auto"/>
        <w:jc w:val="both"/>
        <w:rPr>
          <w:rFonts w:ascii="Palatino Linotype" w:eastAsia="Palatino Linotype" w:hAnsi="Palatino Linotype" w:cs="Palatino Linotype"/>
          <w:b/>
        </w:rPr>
      </w:pPr>
    </w:p>
    <w:p w:rsidR="00735E9D" w:rsidRPr="00C12B48" w:rsidRDefault="00735E9D" w:rsidP="00264E36">
      <w:pPr>
        <w:pStyle w:val="Ttulo1"/>
        <w:sectPr w:rsidR="00735E9D" w:rsidRPr="00C12B48">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pPr>
    </w:p>
    <w:p w:rsidR="00735E9D" w:rsidRPr="00C12B48" w:rsidRDefault="00735E9D">
      <w:pPr>
        <w:rPr>
          <w:rFonts w:ascii="Palatino Linotype" w:eastAsia="Palatino Linotype" w:hAnsi="Palatino Linotype" w:cs="Palatino Linotype"/>
        </w:rPr>
      </w:pPr>
    </w:p>
    <w:sectPr w:rsidR="00735E9D" w:rsidRPr="00C12B48">
      <w:headerReference w:type="first" r:id="rId1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EE4" w:rsidRDefault="00014EE4">
      <w:r>
        <w:separator/>
      </w:r>
    </w:p>
  </w:endnote>
  <w:endnote w:type="continuationSeparator" w:id="0">
    <w:p w:rsidR="00014EE4" w:rsidRDefault="00014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E9D" w:rsidRDefault="003A281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40273">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40273">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735E9D" w:rsidRDefault="00735E9D">
    <w:pPr>
      <w:pBdr>
        <w:top w:val="nil"/>
        <w:left w:val="nil"/>
        <w:bottom w:val="nil"/>
        <w:right w:val="nil"/>
        <w:between w:val="nil"/>
      </w:pBdr>
      <w:tabs>
        <w:tab w:val="center" w:pos="4252"/>
        <w:tab w:val="right" w:pos="8504"/>
      </w:tabs>
      <w:rPr>
        <w:color w:val="000000"/>
      </w:rPr>
    </w:pPr>
  </w:p>
  <w:p w:rsidR="00735E9D" w:rsidRDefault="00735E9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E9D" w:rsidRDefault="003A2817">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40273">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40273">
      <w:rPr>
        <w:rFonts w:ascii="Arial" w:eastAsia="Arial" w:hAnsi="Arial" w:cs="Arial"/>
        <w:b/>
        <w:noProof/>
        <w:color w:val="000000"/>
        <w:sz w:val="20"/>
        <w:szCs w:val="20"/>
      </w:rPr>
      <w:t>30</w:t>
    </w:r>
    <w:r>
      <w:rPr>
        <w:rFonts w:ascii="Arial" w:eastAsia="Arial" w:hAnsi="Arial" w:cs="Arial"/>
        <w:b/>
        <w:color w:val="000000"/>
        <w:sz w:val="20"/>
        <w:szCs w:val="20"/>
      </w:rPr>
      <w:fldChar w:fldCharType="end"/>
    </w:r>
  </w:p>
  <w:p w:rsidR="00735E9D" w:rsidRDefault="00735E9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EE4" w:rsidRDefault="00014EE4">
      <w:r>
        <w:separator/>
      </w:r>
    </w:p>
  </w:footnote>
  <w:footnote w:type="continuationSeparator" w:id="0">
    <w:p w:rsidR="00014EE4" w:rsidRDefault="00014EE4">
      <w:r>
        <w:continuationSeparator/>
      </w:r>
    </w:p>
  </w:footnote>
  <w:footnote w:id="1">
    <w:p w:rsidR="00735E9D" w:rsidRDefault="003A2817">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735E9D" w:rsidRDefault="003A281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E9D" w:rsidRDefault="003A2817">
    <w:pPr>
      <w:widowControl w:val="0"/>
      <w:pBdr>
        <w:top w:val="nil"/>
        <w:left w:val="nil"/>
        <w:bottom w:val="nil"/>
        <w:right w:val="nil"/>
        <w:between w:val="nil"/>
      </w:pBdr>
      <w:spacing w:line="276" w:lineRule="auto"/>
      <w:rPr>
        <w:rFonts w:ascii="Calibri" w:eastAsia="Calibri" w:hAnsi="Calibri" w:cs="Calibri"/>
        <w:color w:val="000000"/>
      </w:rPr>
    </w:pPr>
    <w:r>
      <w:rPr>
        <w:noProof/>
        <w:lang w:eastAsia="es-MX"/>
      </w:rPr>
      <w:drawing>
        <wp:anchor distT="0" distB="0" distL="0" distR="0" simplePos="0" relativeHeight="251658240" behindDoc="1" locked="0" layoutInCell="1" hidden="0" allowOverlap="1">
          <wp:simplePos x="0" y="0"/>
          <wp:positionH relativeFrom="column">
            <wp:posOffset>-990585</wp:posOffset>
          </wp:positionH>
          <wp:positionV relativeFrom="paragraph">
            <wp:posOffset>-412737</wp:posOffset>
          </wp:positionV>
          <wp:extent cx="7635163" cy="9944100"/>
          <wp:effectExtent l="0" t="0" r="0" b="0"/>
          <wp:wrapNone/>
          <wp:docPr id="19479513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b"/>
      <w:tblW w:w="5812" w:type="dxa"/>
      <w:tblInd w:w="3119" w:type="dxa"/>
      <w:tblLayout w:type="fixed"/>
      <w:tblLook w:val="0400" w:firstRow="0" w:lastRow="0" w:firstColumn="0" w:lastColumn="0" w:noHBand="0" w:noVBand="1"/>
    </w:tblPr>
    <w:tblGrid>
      <w:gridCol w:w="2694"/>
      <w:gridCol w:w="3118"/>
    </w:tblGrid>
    <w:tr w:rsidR="00735E9D">
      <w:tc>
        <w:tcPr>
          <w:tcW w:w="2694"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rsidR="00735E9D" w:rsidRDefault="003A281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02954/INFOEM/IP/RR/2023 y acumulados</w:t>
          </w:r>
        </w:p>
      </w:tc>
    </w:tr>
    <w:tr w:rsidR="00735E9D">
      <w:trPr>
        <w:trHeight w:val="228"/>
      </w:trPr>
      <w:tc>
        <w:tcPr>
          <w:tcW w:w="2694"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rsidR="00735E9D" w:rsidRDefault="003A281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35E9D">
      <w:tc>
        <w:tcPr>
          <w:tcW w:w="2694"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rsidR="00735E9D" w:rsidRDefault="003A281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35E9D" w:rsidRDefault="003A2817">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E9D" w:rsidRDefault="003A281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tbl>
    <w:tblPr>
      <w:tblStyle w:val="aa"/>
      <w:tblW w:w="5953" w:type="dxa"/>
      <w:tblInd w:w="3119" w:type="dxa"/>
      <w:tblLayout w:type="fixed"/>
      <w:tblLook w:val="0400" w:firstRow="0" w:lastRow="0" w:firstColumn="0" w:lastColumn="0" w:noHBand="0" w:noVBand="1"/>
    </w:tblPr>
    <w:tblGrid>
      <w:gridCol w:w="2551"/>
      <w:gridCol w:w="3261"/>
      <w:gridCol w:w="141"/>
    </w:tblGrid>
    <w:tr w:rsidR="00735E9D">
      <w:trPr>
        <w:gridAfter w:val="1"/>
        <w:wAfter w:w="141" w:type="dxa"/>
      </w:trPr>
      <w:tc>
        <w:tcPr>
          <w:tcW w:w="2551"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1" w:type="dxa"/>
          <w:vAlign w:val="center"/>
        </w:tcPr>
        <w:p w:rsidR="00735E9D" w:rsidRDefault="003A2817">
          <w:pPr>
            <w:ind w:right="-11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02954/INFOEM/IP/RR/2023 y acumulados</w:t>
          </w:r>
        </w:p>
      </w:tc>
    </w:tr>
    <w:tr w:rsidR="00735E9D">
      <w:tc>
        <w:tcPr>
          <w:tcW w:w="2551" w:type="dxa"/>
          <w:vAlign w:val="center"/>
        </w:tcPr>
        <w:p w:rsidR="00735E9D" w:rsidRDefault="003A2817">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gridSpan w:val="2"/>
          <w:vAlign w:val="center"/>
        </w:tcPr>
        <w:p w:rsidR="00735E9D" w:rsidRDefault="00940273" w:rsidP="00940273">
          <w:pPr>
            <w:ind w:left="3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w:t>
          </w:r>
          <w:r w:rsidR="003A2817">
            <w:rPr>
              <w:noProof/>
              <w:lang w:eastAsia="es-MX"/>
            </w:rPr>
            <w:drawing>
              <wp:anchor distT="0" distB="0" distL="0" distR="0" simplePos="0" relativeHeight="251659264" behindDoc="1" locked="0" layoutInCell="1" hidden="0" allowOverlap="1">
                <wp:simplePos x="0" y="0"/>
                <wp:positionH relativeFrom="column">
                  <wp:posOffset>-4685657</wp:posOffset>
                </wp:positionH>
                <wp:positionV relativeFrom="paragraph">
                  <wp:posOffset>-913754</wp:posOffset>
                </wp:positionV>
                <wp:extent cx="7635240" cy="9942830"/>
                <wp:effectExtent l="0" t="0" r="0" b="0"/>
                <wp:wrapNone/>
                <wp:docPr id="19479513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anchor>
            </w:drawing>
          </w:r>
        </w:p>
      </w:tc>
    </w:tr>
    <w:tr w:rsidR="00735E9D">
      <w:trPr>
        <w:trHeight w:val="228"/>
      </w:trPr>
      <w:tc>
        <w:tcPr>
          <w:tcW w:w="2551"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gridSpan w:val="2"/>
          <w:vAlign w:val="center"/>
        </w:tcPr>
        <w:p w:rsidR="00735E9D" w:rsidRDefault="003A281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35E9D">
      <w:tc>
        <w:tcPr>
          <w:tcW w:w="2551"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gridSpan w:val="2"/>
          <w:vAlign w:val="center"/>
        </w:tcPr>
        <w:p w:rsidR="00735E9D" w:rsidRDefault="003A281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35E9D" w:rsidRDefault="00735E9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E9D" w:rsidRDefault="003A2817">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eastAsia="es-MX"/>
      </w:rPr>
      <w:drawing>
        <wp:anchor distT="0" distB="0" distL="0" distR="0" simplePos="0" relativeHeight="251660288" behindDoc="1" locked="0" layoutInCell="1" hidden="0" allowOverlap="1">
          <wp:simplePos x="0" y="0"/>
          <wp:positionH relativeFrom="column">
            <wp:posOffset>-1157506</wp:posOffset>
          </wp:positionH>
          <wp:positionV relativeFrom="paragraph">
            <wp:posOffset>-447332</wp:posOffset>
          </wp:positionV>
          <wp:extent cx="7635163" cy="9944100"/>
          <wp:effectExtent l="0" t="0" r="0" b="0"/>
          <wp:wrapNone/>
          <wp:docPr id="194795134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c"/>
      <w:tblW w:w="5812" w:type="dxa"/>
      <w:tblInd w:w="3119" w:type="dxa"/>
      <w:tblLayout w:type="fixed"/>
      <w:tblLook w:val="0400" w:firstRow="0" w:lastRow="0" w:firstColumn="0" w:lastColumn="0" w:noHBand="0" w:noVBand="1"/>
    </w:tblPr>
    <w:tblGrid>
      <w:gridCol w:w="2694"/>
      <w:gridCol w:w="3118"/>
    </w:tblGrid>
    <w:tr w:rsidR="00735E9D">
      <w:tc>
        <w:tcPr>
          <w:tcW w:w="2694"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8" w:type="dxa"/>
          <w:vAlign w:val="center"/>
        </w:tcPr>
        <w:p w:rsidR="00735E9D" w:rsidRDefault="003A281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02954/INFOEM/IP/RR/2023 y acumulados</w:t>
          </w:r>
        </w:p>
      </w:tc>
    </w:tr>
    <w:tr w:rsidR="00735E9D">
      <w:trPr>
        <w:trHeight w:val="228"/>
      </w:trPr>
      <w:tc>
        <w:tcPr>
          <w:tcW w:w="2694"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8" w:type="dxa"/>
          <w:vAlign w:val="center"/>
        </w:tcPr>
        <w:p w:rsidR="00735E9D" w:rsidRDefault="003A281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35E9D">
      <w:tc>
        <w:tcPr>
          <w:tcW w:w="2694" w:type="dxa"/>
          <w:vAlign w:val="center"/>
        </w:tcPr>
        <w:p w:rsidR="00735E9D" w:rsidRDefault="003A281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8" w:type="dxa"/>
          <w:vAlign w:val="center"/>
        </w:tcPr>
        <w:p w:rsidR="00735E9D" w:rsidRDefault="003A2817">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735E9D" w:rsidRDefault="003A2817">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rsidR="00735E9D" w:rsidRDefault="00735E9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F5B8A"/>
    <w:multiLevelType w:val="multilevel"/>
    <w:tmpl w:val="2B408E9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3CCF0E92"/>
    <w:multiLevelType w:val="multilevel"/>
    <w:tmpl w:val="3B7C7334"/>
    <w:lvl w:ilvl="0">
      <w:start w:val="7"/>
      <w:numFmt w:val="bullet"/>
      <w:pStyle w:val="Listaconvietas"/>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50DD7577"/>
    <w:multiLevelType w:val="multilevel"/>
    <w:tmpl w:val="3C04CDE8"/>
    <w:lvl w:ilvl="0">
      <w:start w:val="1"/>
      <w:numFmt w:val="bullet"/>
      <w:lvlText w:val="●"/>
      <w:lvlJc w:val="left"/>
      <w:pPr>
        <w:ind w:left="360" w:hanging="360"/>
      </w:pPr>
      <w:rPr>
        <w:rFonts w:ascii="Noto Sans Symbols" w:eastAsia="Noto Sans Symbols" w:hAnsi="Noto Sans Symbols" w:cs="Noto Sans Symbols"/>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797C6663"/>
    <w:multiLevelType w:val="multilevel"/>
    <w:tmpl w:val="78C82BB8"/>
    <w:lvl w:ilvl="0">
      <w:start w:val="1"/>
      <w:numFmt w:val="decimal"/>
      <w:pStyle w:val="Listaconvietas3"/>
      <w:lvlText w:val="%1."/>
      <w:lvlJc w:val="left"/>
      <w:pPr>
        <w:ind w:left="360" w:hanging="360"/>
      </w:pPr>
      <w:rPr>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9D"/>
    <w:rsid w:val="00014EE4"/>
    <w:rsid w:val="00042B5D"/>
    <w:rsid w:val="000C1D59"/>
    <w:rsid w:val="000E2587"/>
    <w:rsid w:val="000F599F"/>
    <w:rsid w:val="001B1DF9"/>
    <w:rsid w:val="00264E36"/>
    <w:rsid w:val="00265525"/>
    <w:rsid w:val="0033142E"/>
    <w:rsid w:val="003A2817"/>
    <w:rsid w:val="004203B4"/>
    <w:rsid w:val="004379FF"/>
    <w:rsid w:val="005627E2"/>
    <w:rsid w:val="00584D0D"/>
    <w:rsid w:val="005B1488"/>
    <w:rsid w:val="006402A7"/>
    <w:rsid w:val="00673A61"/>
    <w:rsid w:val="007211E3"/>
    <w:rsid w:val="00721B69"/>
    <w:rsid w:val="00735E9D"/>
    <w:rsid w:val="0076019F"/>
    <w:rsid w:val="007E3621"/>
    <w:rsid w:val="007F5DC2"/>
    <w:rsid w:val="007F71BE"/>
    <w:rsid w:val="009220FD"/>
    <w:rsid w:val="009254C9"/>
    <w:rsid w:val="00940273"/>
    <w:rsid w:val="009452E4"/>
    <w:rsid w:val="00945674"/>
    <w:rsid w:val="009D3F88"/>
    <w:rsid w:val="009F7648"/>
    <w:rsid w:val="00A738CD"/>
    <w:rsid w:val="00B00166"/>
    <w:rsid w:val="00B2493E"/>
    <w:rsid w:val="00B6366A"/>
    <w:rsid w:val="00BA6311"/>
    <w:rsid w:val="00BD11BB"/>
    <w:rsid w:val="00C12B48"/>
    <w:rsid w:val="00C80BB9"/>
    <w:rsid w:val="00D60973"/>
    <w:rsid w:val="00DE22E2"/>
    <w:rsid w:val="00E00CDB"/>
    <w:rsid w:val="00EE4F08"/>
    <w:rsid w:val="00F53888"/>
    <w:rsid w:val="00F60AE9"/>
    <w:rsid w:val="00F64219"/>
    <w:rsid w:val="00FD2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C555F9-4AD0-4C75-BB90-A9D99F522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2A3"/>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1">
    <w:name w:val="51"/>
    <w:basedOn w:val="TableNormal10"/>
    <w:tblPr>
      <w:tblStyleRowBandSize w:val="1"/>
      <w:tblStyleColBandSize w:val="1"/>
      <w:tblCellMar>
        <w:top w:w="0" w:type="dxa"/>
        <w:left w:w="115" w:type="dxa"/>
        <w:bottom w:w="0" w:type="dxa"/>
        <w:right w:w="115" w:type="dxa"/>
      </w:tblCellMar>
    </w:tblPr>
  </w:style>
  <w:style w:type="table" w:customStyle="1" w:styleId="50">
    <w:name w:val="50"/>
    <w:basedOn w:val="TableNormal10"/>
    <w:tblPr>
      <w:tblStyleRowBandSize w:val="1"/>
      <w:tblStyleColBandSize w:val="1"/>
      <w:tblCellMar>
        <w:top w:w="0" w:type="dxa"/>
        <w:left w:w="115" w:type="dxa"/>
        <w:bottom w:w="0" w:type="dxa"/>
        <w:right w:w="115" w:type="dxa"/>
      </w:tblCellMar>
    </w:tblPr>
  </w:style>
  <w:style w:type="paragraph" w:styleId="Sinespaciado">
    <w:name w:val="No Spacing"/>
    <w:aliases w:val="Francesa"/>
    <w:link w:val="SinespaciadoCar"/>
    <w:uiPriority w:val="1"/>
    <w:qFormat/>
    <w:rsid w:val="000039DE"/>
    <w:rPr>
      <w:lang w:eastAsia="es-ES"/>
    </w:rPr>
  </w:style>
  <w:style w:type="character" w:customStyle="1" w:styleId="SinespaciadoCar">
    <w:name w:val="Sin espaciado Car"/>
    <w:aliases w:val="Francesa Car"/>
    <w:link w:val="Sinespaciado"/>
    <w:uiPriority w:val="1"/>
    <w:locked/>
    <w:rsid w:val="000039DE"/>
    <w:rPr>
      <w:lang w:val="es-MX" w:eastAsia="es-ES"/>
    </w:rPr>
  </w:style>
  <w:style w:type="table" w:customStyle="1" w:styleId="49">
    <w:name w:val="49"/>
    <w:basedOn w:val="TableNormal10"/>
    <w:tblPr>
      <w:tblStyleRowBandSize w:val="1"/>
      <w:tblStyleColBandSize w:val="1"/>
      <w:tblCellMar>
        <w:top w:w="0" w:type="dxa"/>
        <w:left w:w="108" w:type="dxa"/>
        <w:bottom w:w="0" w:type="dxa"/>
        <w:right w:w="108" w:type="dxa"/>
      </w:tblCellMar>
    </w:tblPr>
  </w:style>
  <w:style w:type="table" w:customStyle="1" w:styleId="48">
    <w:name w:val="48"/>
    <w:basedOn w:val="TableNormal10"/>
    <w:tblPr>
      <w:tblStyleRowBandSize w:val="1"/>
      <w:tblStyleColBandSize w:val="1"/>
      <w:tblCellMar>
        <w:top w:w="0" w:type="dxa"/>
        <w:left w:w="108" w:type="dxa"/>
        <w:bottom w:w="0" w:type="dxa"/>
        <w:right w:w="108" w:type="dxa"/>
      </w:tblCellMar>
    </w:tblPr>
  </w:style>
  <w:style w:type="table" w:customStyle="1" w:styleId="47">
    <w:name w:val="47"/>
    <w:basedOn w:val="TableNormal10"/>
    <w:tblPr>
      <w:tblStyleRowBandSize w:val="1"/>
      <w:tblStyleColBandSize w:val="1"/>
      <w:tblCellMar>
        <w:top w:w="0" w:type="dxa"/>
        <w:left w:w="115" w:type="dxa"/>
        <w:bottom w:w="0" w:type="dxa"/>
        <w:right w:w="115" w:type="dxa"/>
      </w:tblCellMar>
    </w:tblPr>
  </w:style>
  <w:style w:type="table" w:customStyle="1" w:styleId="46">
    <w:name w:val="46"/>
    <w:basedOn w:val="TableNormal10"/>
    <w:tblPr>
      <w:tblStyleRowBandSize w:val="1"/>
      <w:tblStyleColBandSize w:val="1"/>
      <w:tblCellMar>
        <w:top w:w="0" w:type="dxa"/>
        <w:left w:w="115" w:type="dxa"/>
        <w:bottom w:w="0" w:type="dxa"/>
        <w:right w:w="115" w:type="dxa"/>
      </w:tblCellMar>
    </w:tblPr>
  </w:style>
  <w:style w:type="table" w:customStyle="1" w:styleId="45">
    <w:name w:val="45"/>
    <w:basedOn w:val="TableNormal2"/>
    <w:tblPr>
      <w:tblStyleRowBandSize w:val="1"/>
      <w:tblStyleColBandSize w:val="1"/>
      <w:tblCellMar>
        <w:top w:w="0" w:type="dxa"/>
        <w:left w:w="115" w:type="dxa"/>
        <w:bottom w:w="0" w:type="dxa"/>
        <w:right w:w="115" w:type="dxa"/>
      </w:tblCellMar>
    </w:tblPr>
  </w:style>
  <w:style w:type="table" w:customStyle="1" w:styleId="44">
    <w:name w:val="44"/>
    <w:basedOn w:val="TableNormal2"/>
    <w:tblPr>
      <w:tblStyleRowBandSize w:val="1"/>
      <w:tblStyleColBandSize w:val="1"/>
      <w:tblCellMar>
        <w:top w:w="0" w:type="dxa"/>
        <w:left w:w="115" w:type="dxa"/>
        <w:bottom w:w="0" w:type="dxa"/>
        <w:right w:w="115" w:type="dxa"/>
      </w:tblCellMar>
    </w:tblPr>
  </w:style>
  <w:style w:type="table" w:customStyle="1" w:styleId="43">
    <w:name w:val="43"/>
    <w:basedOn w:val="TableNormal2"/>
    <w:tblPr>
      <w:tblStyleRowBandSize w:val="1"/>
      <w:tblStyleColBandSize w:val="1"/>
      <w:tblCellMar>
        <w:top w:w="0" w:type="dxa"/>
        <w:left w:w="115" w:type="dxa"/>
        <w:bottom w:w="0" w:type="dxa"/>
        <w:right w:w="115" w:type="dxa"/>
      </w:tblCellMar>
    </w:tblPr>
  </w:style>
  <w:style w:type="table" w:customStyle="1" w:styleId="42">
    <w:name w:val="42"/>
    <w:basedOn w:val="TableNormal2"/>
    <w:tblPr>
      <w:tblStyleRowBandSize w:val="1"/>
      <w:tblStyleColBandSize w:val="1"/>
      <w:tblCellMar>
        <w:top w:w="0" w:type="dxa"/>
        <w:left w:w="115" w:type="dxa"/>
        <w:bottom w:w="0" w:type="dxa"/>
        <w:right w:w="115" w:type="dxa"/>
      </w:tblCellMar>
    </w:tblPr>
  </w:style>
  <w:style w:type="table" w:customStyle="1" w:styleId="41">
    <w:name w:val="41"/>
    <w:basedOn w:val="TableNormal2"/>
    <w:tblPr>
      <w:tblStyleRowBandSize w:val="1"/>
      <w:tblStyleColBandSize w:val="1"/>
      <w:tblCellMar>
        <w:top w:w="0" w:type="dxa"/>
        <w:left w:w="115" w:type="dxa"/>
        <w:bottom w:w="0" w:type="dxa"/>
        <w:right w:w="115" w:type="dxa"/>
      </w:tblCellMar>
    </w:tblPr>
  </w:style>
  <w:style w:type="table" w:customStyle="1" w:styleId="40">
    <w:name w:val="40"/>
    <w:basedOn w:val="TableNormal3"/>
    <w:tblPr>
      <w:tblStyleRowBandSize w:val="1"/>
      <w:tblStyleColBandSize w:val="1"/>
      <w:tblCellMar>
        <w:top w:w="0" w:type="dxa"/>
        <w:left w:w="115" w:type="dxa"/>
        <w:bottom w:w="0" w:type="dxa"/>
        <w:right w:w="115" w:type="dxa"/>
      </w:tblCellMar>
    </w:tblPr>
  </w:style>
  <w:style w:type="table" w:customStyle="1" w:styleId="39">
    <w:name w:val="39"/>
    <w:basedOn w:val="TableNormal3"/>
    <w:tblPr>
      <w:tblStyleRowBandSize w:val="1"/>
      <w:tblStyleColBandSize w:val="1"/>
      <w:tblCellMar>
        <w:top w:w="0" w:type="dxa"/>
        <w:left w:w="115" w:type="dxa"/>
        <w:bottom w:w="0" w:type="dxa"/>
        <w:right w:w="115" w:type="dxa"/>
      </w:tblCellMar>
    </w:tblPr>
  </w:style>
  <w:style w:type="table" w:customStyle="1" w:styleId="38">
    <w:name w:val="38"/>
    <w:basedOn w:val="TableNormal3"/>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6D213A"/>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7">
    <w:name w:val="37"/>
    <w:basedOn w:val="TableNormal4"/>
    <w:tblPr>
      <w:tblStyleRowBandSize w:val="1"/>
      <w:tblStyleColBandSize w:val="1"/>
      <w:tblCellMar>
        <w:top w:w="0" w:type="dxa"/>
        <w:left w:w="115" w:type="dxa"/>
        <w:bottom w:w="0" w:type="dxa"/>
        <w:right w:w="115" w:type="dxa"/>
      </w:tblCellMar>
    </w:tblPr>
  </w:style>
  <w:style w:type="table" w:customStyle="1" w:styleId="36">
    <w:name w:val="36"/>
    <w:basedOn w:val="TableNormal4"/>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5">
    <w:name w:val="35"/>
    <w:basedOn w:val="TableNormal4"/>
    <w:tblPr>
      <w:tblStyleRowBandSize w:val="1"/>
      <w:tblStyleColBandSize w:val="1"/>
      <w:tblCellMar>
        <w:top w:w="0" w:type="dxa"/>
        <w:left w:w="115" w:type="dxa"/>
        <w:bottom w:w="0" w:type="dxa"/>
        <w:right w:w="115" w:type="dxa"/>
      </w:tblCellMar>
    </w:tblPr>
  </w:style>
  <w:style w:type="table" w:customStyle="1" w:styleId="34">
    <w:name w:val="34"/>
    <w:basedOn w:val="TableNormal4"/>
    <w:tblPr>
      <w:tblStyleRowBandSize w:val="1"/>
      <w:tblStyleColBandSize w:val="1"/>
      <w:tblCellMar>
        <w:top w:w="0" w:type="dxa"/>
        <w:left w:w="115" w:type="dxa"/>
        <w:bottom w:w="0" w:type="dxa"/>
        <w:right w:w="115" w:type="dxa"/>
      </w:tblCellMar>
    </w:tblPr>
  </w:style>
  <w:style w:type="character" w:customStyle="1" w:styleId="Mencinsinresolver1">
    <w:name w:val="Mención sin resolver1"/>
    <w:basedOn w:val="Fuentedeprrafopredeter"/>
    <w:uiPriority w:val="99"/>
    <w:semiHidden/>
    <w:unhideWhenUsed/>
    <w:rsid w:val="00E44466"/>
    <w:rPr>
      <w:color w:val="605E5C"/>
      <w:shd w:val="clear" w:color="auto" w:fill="E1DFDD"/>
    </w:rPr>
  </w:style>
  <w:style w:type="character" w:styleId="Hipervnculovisitado">
    <w:name w:val="FollowedHyperlink"/>
    <w:basedOn w:val="Fuentedeprrafopredeter"/>
    <w:uiPriority w:val="99"/>
    <w:semiHidden/>
    <w:unhideWhenUsed/>
    <w:rsid w:val="00E44466"/>
    <w:rPr>
      <w:color w:val="954F72" w:themeColor="followedHyperlink"/>
      <w:u w:val="single"/>
    </w:rPr>
  </w:style>
  <w:style w:type="table" w:customStyle="1" w:styleId="33">
    <w:name w:val="33"/>
    <w:basedOn w:val="TableNormal5"/>
    <w:tblPr>
      <w:tblStyleRowBandSize w:val="1"/>
      <w:tblStyleColBandSize w:val="1"/>
      <w:tblCellMar>
        <w:top w:w="0" w:type="dxa"/>
        <w:left w:w="115" w:type="dxa"/>
        <w:bottom w:w="0" w:type="dxa"/>
        <w:right w:w="115" w:type="dxa"/>
      </w:tblCellMar>
    </w:tblPr>
  </w:style>
  <w:style w:type="table" w:customStyle="1" w:styleId="32">
    <w:name w:val="32"/>
    <w:basedOn w:val="TableNormal5"/>
    <w:tblPr>
      <w:tblStyleRowBandSize w:val="1"/>
      <w:tblStyleColBandSize w:val="1"/>
      <w:tblCellMar>
        <w:top w:w="0" w:type="dxa"/>
        <w:left w:w="115" w:type="dxa"/>
        <w:bottom w:w="0" w:type="dxa"/>
        <w:right w:w="115" w:type="dxa"/>
      </w:tblCellMar>
    </w:tblPr>
  </w:style>
  <w:style w:type="table" w:customStyle="1" w:styleId="31">
    <w:name w:val="31"/>
    <w:basedOn w:val="TableNormal5"/>
    <w:tblPr>
      <w:tblStyleRowBandSize w:val="1"/>
      <w:tblStyleColBandSize w:val="1"/>
      <w:tblCellMar>
        <w:top w:w="0" w:type="dxa"/>
        <w:left w:w="115" w:type="dxa"/>
        <w:bottom w:w="0" w:type="dxa"/>
        <w:right w:w="115" w:type="dxa"/>
      </w:tblCellMar>
    </w:tblPr>
  </w:style>
  <w:style w:type="table" w:customStyle="1" w:styleId="30">
    <w:name w:val="30"/>
    <w:basedOn w:val="TableNormal5"/>
    <w:tblPr>
      <w:tblStyleRowBandSize w:val="1"/>
      <w:tblStyleColBandSize w:val="1"/>
      <w:tblCellMar>
        <w:top w:w="0" w:type="dxa"/>
        <w:left w:w="115" w:type="dxa"/>
        <w:bottom w:w="0" w:type="dxa"/>
        <w:right w:w="115" w:type="dxa"/>
      </w:tblCellMar>
    </w:tblPr>
  </w:style>
  <w:style w:type="table" w:customStyle="1" w:styleId="29">
    <w:name w:val="29"/>
    <w:basedOn w:val="TableNormal5"/>
    <w:rPr>
      <w:rFonts w:ascii="Calibri" w:eastAsia="Calibri" w:hAnsi="Calibri" w:cs="Calibri"/>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8">
    <w:name w:val="28"/>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27">
    <w:name w:val="27"/>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paragraph" w:styleId="Lista">
    <w:name w:val="List"/>
    <w:basedOn w:val="Normal"/>
    <w:uiPriority w:val="99"/>
    <w:unhideWhenUsed/>
    <w:rsid w:val="00236BC4"/>
    <w:pPr>
      <w:ind w:left="283" w:hanging="283"/>
      <w:contextualSpacing/>
    </w:pPr>
  </w:style>
  <w:style w:type="paragraph" w:styleId="Lista2">
    <w:name w:val="List 2"/>
    <w:basedOn w:val="Normal"/>
    <w:uiPriority w:val="99"/>
    <w:unhideWhenUsed/>
    <w:rsid w:val="00236BC4"/>
    <w:pPr>
      <w:ind w:left="566" w:hanging="283"/>
      <w:contextualSpacing/>
    </w:pPr>
  </w:style>
  <w:style w:type="paragraph" w:styleId="Listaconvietas">
    <w:name w:val="List Bullet"/>
    <w:basedOn w:val="Normal"/>
    <w:uiPriority w:val="99"/>
    <w:unhideWhenUsed/>
    <w:rsid w:val="00236BC4"/>
    <w:pPr>
      <w:numPr>
        <w:numId w:val="2"/>
      </w:numPr>
      <w:contextualSpacing/>
    </w:pPr>
  </w:style>
  <w:style w:type="paragraph" w:styleId="Continuarlista">
    <w:name w:val="List Continue"/>
    <w:basedOn w:val="Normal"/>
    <w:uiPriority w:val="99"/>
    <w:unhideWhenUsed/>
    <w:rsid w:val="00236BC4"/>
    <w:pPr>
      <w:spacing w:after="120"/>
      <w:ind w:left="283"/>
      <w:contextualSpacing/>
    </w:pPr>
  </w:style>
  <w:style w:type="paragraph" w:styleId="Textoindependiente">
    <w:name w:val="Body Text"/>
    <w:basedOn w:val="Normal"/>
    <w:link w:val="TextoindependienteCar"/>
    <w:uiPriority w:val="99"/>
    <w:unhideWhenUsed/>
    <w:rsid w:val="00236BC4"/>
    <w:pPr>
      <w:spacing w:after="120"/>
    </w:pPr>
  </w:style>
  <w:style w:type="character" w:customStyle="1" w:styleId="TextoindependienteCar">
    <w:name w:val="Texto independiente Car"/>
    <w:basedOn w:val="Fuentedeprrafopredeter"/>
    <w:link w:val="Textoindependiente"/>
    <w:uiPriority w:val="99"/>
    <w:rsid w:val="00236BC4"/>
    <w:rPr>
      <w:lang w:eastAsia="es-ES"/>
    </w:rPr>
  </w:style>
  <w:style w:type="paragraph" w:styleId="Sangradetextonormal">
    <w:name w:val="Body Text Indent"/>
    <w:basedOn w:val="Normal"/>
    <w:link w:val="SangradetextonormalCar"/>
    <w:uiPriority w:val="99"/>
    <w:unhideWhenUsed/>
    <w:rsid w:val="00236BC4"/>
    <w:pPr>
      <w:spacing w:after="120"/>
      <w:ind w:left="283"/>
    </w:pPr>
  </w:style>
  <w:style w:type="character" w:customStyle="1" w:styleId="SangradetextonormalCar">
    <w:name w:val="Sangría de texto normal Car"/>
    <w:basedOn w:val="Fuentedeprrafopredeter"/>
    <w:link w:val="Sangradetextonormal"/>
    <w:uiPriority w:val="99"/>
    <w:rsid w:val="00236BC4"/>
    <w:rPr>
      <w:lang w:eastAsia="es-ES"/>
    </w:rPr>
  </w:style>
  <w:style w:type="paragraph" w:styleId="Textoindependienteprimerasangra2">
    <w:name w:val="Body Text First Indent 2"/>
    <w:basedOn w:val="Sangradetextonormal"/>
    <w:link w:val="Textoindependienteprimerasangra2Car"/>
    <w:uiPriority w:val="99"/>
    <w:unhideWhenUsed/>
    <w:rsid w:val="00236BC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36BC4"/>
    <w:rPr>
      <w:lang w:eastAsia="es-ES"/>
    </w:rPr>
  </w:style>
  <w:style w:type="table" w:customStyle="1" w:styleId="26">
    <w:name w:val="26"/>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25">
    <w:name w:val="25"/>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24">
    <w:name w:val="24"/>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23">
    <w:name w:val="23"/>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22">
    <w:name w:val="22"/>
    <w:basedOn w:val="TableNormal6"/>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21">
    <w:name w:val="21"/>
    <w:basedOn w:val="TableNormal6"/>
    <w:tblPr>
      <w:tblStyleRowBandSize w:val="1"/>
      <w:tblStyleColBandSize w:val="1"/>
      <w:tblCellMar>
        <w:top w:w="0" w:type="dxa"/>
        <w:left w:w="115" w:type="dxa"/>
        <w:bottom w:w="0" w:type="dxa"/>
        <w:right w:w="115" w:type="dxa"/>
      </w:tblCellMar>
    </w:tblPr>
  </w:style>
  <w:style w:type="table" w:customStyle="1" w:styleId="20">
    <w:name w:val="20"/>
    <w:basedOn w:val="TableNormal6"/>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19">
    <w:name w:val="19"/>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8">
    <w:name w:val="18"/>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7">
    <w:name w:val="17"/>
    <w:basedOn w:val="TableNormal7"/>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6">
    <w:name w:val="16"/>
    <w:basedOn w:val="TableNormal7"/>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5">
    <w:name w:val="15"/>
    <w:basedOn w:val="TableNormal7"/>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4">
    <w:name w:val="14"/>
    <w:basedOn w:val="TableNormal7"/>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3">
    <w:name w:val="13"/>
    <w:basedOn w:val="TableNormal7"/>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2">
    <w:name w:val="12"/>
    <w:basedOn w:val="TableNormal7"/>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1">
    <w:name w:val="11"/>
    <w:basedOn w:val="TableNormal8"/>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0">
    <w:name w:val="10"/>
    <w:basedOn w:val="TableNormal8"/>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9">
    <w:name w:val="9"/>
    <w:basedOn w:val="TableNormal8"/>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8">
    <w:name w:val="8"/>
    <w:basedOn w:val="TableNormal8"/>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7">
    <w:name w:val="7"/>
    <w:basedOn w:val="TableNormal8"/>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6">
    <w:name w:val="6"/>
    <w:basedOn w:val="TableNormal8"/>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5">
    <w:name w:val="5"/>
    <w:basedOn w:val="TableNormal8"/>
    <w:rPr>
      <w:rFonts w:ascii="Calibri" w:eastAsia="Calibri" w:hAnsi="Calibri" w:cs="Calibri"/>
    </w:rPr>
    <w:tblPr>
      <w:tblStyleRowBandSize w:val="1"/>
      <w:tblStyleColBandSize w:val="1"/>
      <w:tblCellMar>
        <w:top w:w="0" w:type="dxa"/>
        <w:left w:w="115" w:type="dxa"/>
        <w:bottom w:w="0" w:type="dxa"/>
        <w:right w:w="115" w:type="dxa"/>
      </w:tblCellMar>
    </w:tblPr>
  </w:style>
  <w:style w:type="paragraph" w:customStyle="1" w:styleId="Default">
    <w:name w:val="Default"/>
    <w:rsid w:val="00237D2A"/>
    <w:pPr>
      <w:autoSpaceDE w:val="0"/>
      <w:autoSpaceDN w:val="0"/>
      <w:adjustRightInd w:val="0"/>
    </w:pPr>
    <w:rPr>
      <w:color w:val="000000"/>
    </w:rPr>
  </w:style>
  <w:style w:type="paragraph" w:styleId="Listaconvietas3">
    <w:name w:val="List Bullet 3"/>
    <w:basedOn w:val="Normal"/>
    <w:uiPriority w:val="99"/>
    <w:unhideWhenUsed/>
    <w:rsid w:val="00601CF7"/>
    <w:pPr>
      <w:numPr>
        <w:numId w:val="3"/>
      </w:numPr>
      <w:contextualSpacing/>
    </w:pPr>
    <w:rPr>
      <w:lang w:val="es-ES" w:eastAsia="es-MX"/>
    </w:rPr>
  </w:style>
  <w:style w:type="table" w:customStyle="1" w:styleId="4">
    <w:name w:val="4"/>
    <w:basedOn w:val="TableNormal9"/>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3">
    <w:name w:val="3"/>
    <w:basedOn w:val="TableNormal9"/>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2">
    <w:name w:val="2"/>
    <w:basedOn w:val="TableNormal9"/>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1">
    <w:name w:val="1"/>
    <w:basedOn w:val="TableNormal9"/>
    <w:rPr>
      <w:rFonts w:ascii="Calibri" w:eastAsia="Calibri" w:hAnsi="Calibri" w:cs="Calibri"/>
    </w:rPr>
    <w:tblPr>
      <w:tblStyleRowBandSize w:val="1"/>
      <w:tblStyleColBandSize w:val="1"/>
      <w:tblCellMar>
        <w:top w:w="0" w:type="dxa"/>
        <w:left w:w="115" w:type="dxa"/>
        <w:bottom w:w="0" w:type="dxa"/>
        <w:right w:w="115" w:type="dxa"/>
      </w:tblCellMar>
    </w:tblPr>
  </w:style>
  <w:style w:type="character" w:customStyle="1" w:styleId="Mencinsinresolver2">
    <w:name w:val="Mención sin resolver2"/>
    <w:basedOn w:val="Fuentedeprrafopredeter"/>
    <w:uiPriority w:val="99"/>
    <w:semiHidden/>
    <w:unhideWhenUsed/>
    <w:rsid w:val="007764AE"/>
    <w:rPr>
      <w:color w:val="605E5C"/>
      <w:shd w:val="clear" w:color="auto" w:fill="E1DFDD"/>
    </w:rPr>
  </w:style>
  <w:style w:type="character" w:customStyle="1" w:styleId="Mencinsinresolver3">
    <w:name w:val="Mención sin resolver3"/>
    <w:basedOn w:val="Fuentedeprrafopredeter"/>
    <w:uiPriority w:val="99"/>
    <w:semiHidden/>
    <w:unhideWhenUsed/>
    <w:rsid w:val="006E75F1"/>
    <w:rPr>
      <w:color w:val="605E5C"/>
      <w:shd w:val="clear" w:color="auto" w:fill="E1DFDD"/>
    </w:rPr>
  </w:style>
  <w:style w:type="table" w:customStyle="1" w:styleId="a">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0">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1">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2">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3">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4">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381DAF"/>
    <w:rPr>
      <w:color w:val="605E5C"/>
      <w:shd w:val="clear" w:color="auto" w:fill="E1DFDD"/>
    </w:rPr>
  </w:style>
  <w:style w:type="table" w:customStyle="1" w:styleId="a5">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6">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7">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8">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9">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a">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b">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c">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CHfRZmucemahTxEv0msELkrtPQ==">AMUW2mVvLg20EUI6OXNZaF5SzH59z0ng+Nziyqnk3KJVUVvvQApHmVU9KfwVvLbIAJZa/f4FgPUAr5nEGb564rPAAMbVsWu7Rx+qTxQMRlflontj6m+9o9TdaAkGLg1WO1MwVM7oV8Oocd9UeO1Sf2nmeGLGPUqlLk8gci5rdRrC0ja5VSAAgr1PuNDvkonhruQU5oe9UZEzkVx5IRW554GoXxlyIUchMdHbvyigLq0eIXUuiAVcY+c=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7088</Words>
  <Characters>38989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INFOEM563</cp:lastModifiedBy>
  <cp:revision>2</cp:revision>
  <cp:lastPrinted>2023-11-17T16:21:00Z</cp:lastPrinted>
  <dcterms:created xsi:type="dcterms:W3CDTF">2023-12-05T18:48:00Z</dcterms:created>
  <dcterms:modified xsi:type="dcterms:W3CDTF">2023-12-05T18:48:00Z</dcterms:modified>
</cp:coreProperties>
</file>