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1F0C" w14:textId="6820437B" w:rsidR="00DA7EA2" w:rsidRPr="00527561" w:rsidRDefault="00DA7EA2" w:rsidP="00081E84">
      <w:pPr>
        <w:spacing w:after="0" w:line="360" w:lineRule="auto"/>
        <w:contextualSpacing/>
        <w:rPr>
          <w:rFonts w:cs="Tahoma"/>
        </w:rPr>
      </w:pPr>
      <w:r w:rsidRPr="00527561">
        <w:rPr>
          <w:rFonts w:cs="Tahoma"/>
        </w:rPr>
        <w:t>Resolución del Pleno del Instituto de Transparencia, Acceso a la Información Pública y Protección de Datos Personales del Estado de México y Municipios, con domicilio en Metepec, Estado de México, de fecha veintidós de febrero de dos mil veintitrés.</w:t>
      </w:r>
    </w:p>
    <w:p w14:paraId="2C2BB8B9" w14:textId="77777777" w:rsidR="00DA7EA2" w:rsidRPr="00527561" w:rsidRDefault="00DA7EA2" w:rsidP="00081E84">
      <w:pPr>
        <w:spacing w:after="0" w:line="360" w:lineRule="auto"/>
        <w:contextualSpacing/>
        <w:rPr>
          <w:rFonts w:cs="Tahoma"/>
          <w:bCs/>
        </w:rPr>
      </w:pPr>
    </w:p>
    <w:p w14:paraId="245A4EE0" w14:textId="21D79C4D" w:rsidR="00DA7EA2" w:rsidRPr="00527561" w:rsidRDefault="00DA7EA2" w:rsidP="00081E84">
      <w:pPr>
        <w:spacing w:after="0" w:line="360" w:lineRule="auto"/>
        <w:contextualSpacing/>
        <w:rPr>
          <w:rFonts w:cs="Tahoma"/>
          <w:bCs/>
        </w:rPr>
      </w:pPr>
      <w:r w:rsidRPr="00527561">
        <w:rPr>
          <w:rFonts w:cs="Tahoma"/>
          <w:b/>
          <w:bCs/>
        </w:rPr>
        <w:t xml:space="preserve">VISTO </w:t>
      </w:r>
      <w:r w:rsidRPr="00527561">
        <w:rPr>
          <w:rFonts w:cs="Tahoma"/>
          <w:bCs/>
        </w:rPr>
        <w:t xml:space="preserve">el expediente conformado con motivo del Recurso de Revisión </w:t>
      </w:r>
      <w:r w:rsidR="00FC667F" w:rsidRPr="00527561">
        <w:t>00271/INFOEM/IP/RR/2023</w:t>
      </w:r>
      <w:r w:rsidRPr="00527561">
        <w:rPr>
          <w:rFonts w:cs="Tahoma"/>
        </w:rPr>
        <w:t>, interpuesto por el</w:t>
      </w:r>
      <w:r w:rsidRPr="00527561">
        <w:t xml:space="preserve"> </w:t>
      </w:r>
      <w:r w:rsidRPr="00527561">
        <w:rPr>
          <w:rFonts w:cs="Tahoma"/>
        </w:rPr>
        <w:t xml:space="preserve">Recurrente o Particular, en contra de la respuesta del Sujeto Obligado, Ayuntamiento de Zinacantepec, a la solicitud de información con número </w:t>
      </w:r>
      <w:r w:rsidRPr="00527561">
        <w:t>0</w:t>
      </w:r>
      <w:r w:rsidR="00FC667F" w:rsidRPr="00527561">
        <w:t>1391</w:t>
      </w:r>
      <w:r w:rsidRPr="00527561">
        <w:t>/ZINACANT/IP/2022</w:t>
      </w:r>
      <w:r w:rsidRPr="00527561">
        <w:rPr>
          <w:rFonts w:cs="Tahoma"/>
        </w:rPr>
        <w:t>, se emite la presente Resolución, con base en los Antecedentes y Considerandos que</w:t>
      </w:r>
      <w:r w:rsidRPr="00527561">
        <w:rPr>
          <w:rFonts w:cs="Tahoma"/>
          <w:bCs/>
        </w:rPr>
        <w:t xml:space="preserve"> se exponen a continuación:</w:t>
      </w:r>
    </w:p>
    <w:p w14:paraId="3790ADA9" w14:textId="77777777" w:rsidR="00DA7EA2" w:rsidRPr="00527561" w:rsidRDefault="00DA7EA2" w:rsidP="00081E84">
      <w:pPr>
        <w:spacing w:after="0" w:line="360" w:lineRule="auto"/>
        <w:contextualSpacing/>
        <w:rPr>
          <w:rFonts w:cs="Tahoma"/>
        </w:rPr>
      </w:pPr>
    </w:p>
    <w:p w14:paraId="4462EE68" w14:textId="77777777" w:rsidR="00DA7EA2" w:rsidRPr="00527561" w:rsidRDefault="00DA7EA2" w:rsidP="00081E84">
      <w:pPr>
        <w:tabs>
          <w:tab w:val="center" w:pos="4522"/>
          <w:tab w:val="left" w:pos="7245"/>
        </w:tabs>
        <w:spacing w:after="0" w:line="360" w:lineRule="auto"/>
        <w:contextualSpacing/>
        <w:jc w:val="center"/>
        <w:rPr>
          <w:rFonts w:cs="Tahoma"/>
          <w:b/>
        </w:rPr>
      </w:pPr>
      <w:r w:rsidRPr="00527561">
        <w:rPr>
          <w:rFonts w:cs="Tahoma"/>
          <w:b/>
        </w:rPr>
        <w:t>A N T E C E D E N T E S:</w:t>
      </w:r>
    </w:p>
    <w:p w14:paraId="2260E699" w14:textId="77777777" w:rsidR="00DA7EA2" w:rsidRPr="00527561" w:rsidRDefault="00DA7EA2" w:rsidP="00081E84">
      <w:pPr>
        <w:spacing w:after="0" w:line="360" w:lineRule="auto"/>
        <w:contextualSpacing/>
      </w:pPr>
    </w:p>
    <w:p w14:paraId="7A7B34C0" w14:textId="77777777" w:rsidR="00DA7EA2" w:rsidRPr="00527561" w:rsidRDefault="00DA7EA2" w:rsidP="00081E84">
      <w:pPr>
        <w:pStyle w:val="Prrafodelista"/>
        <w:tabs>
          <w:tab w:val="left" w:pos="567"/>
        </w:tabs>
        <w:spacing w:line="360" w:lineRule="auto"/>
        <w:ind w:left="0"/>
        <w:jc w:val="both"/>
        <w:rPr>
          <w:rFonts w:ascii="Palatino Linotype" w:hAnsi="Palatino Linotype" w:cs="Tahoma"/>
          <w:b/>
          <w:color w:val="000000" w:themeColor="text1"/>
          <w:szCs w:val="22"/>
        </w:rPr>
      </w:pPr>
      <w:r w:rsidRPr="00527561">
        <w:rPr>
          <w:rFonts w:ascii="Palatino Linotype" w:hAnsi="Palatino Linotype" w:cs="Tahoma"/>
          <w:b/>
          <w:color w:val="000000" w:themeColor="text1"/>
          <w:szCs w:val="22"/>
        </w:rPr>
        <w:t xml:space="preserve">I. Presentación de la solicitud de información. </w:t>
      </w:r>
    </w:p>
    <w:p w14:paraId="63A39A4A" w14:textId="77777777" w:rsidR="00DA7EA2" w:rsidRPr="00527561" w:rsidRDefault="00DA7EA2" w:rsidP="00081E84">
      <w:pPr>
        <w:pStyle w:val="Prrafodelista"/>
        <w:tabs>
          <w:tab w:val="left" w:pos="567"/>
        </w:tabs>
        <w:spacing w:line="360" w:lineRule="auto"/>
        <w:ind w:left="0"/>
        <w:jc w:val="both"/>
        <w:rPr>
          <w:rFonts w:ascii="Palatino Linotype" w:hAnsi="Palatino Linotype" w:cs="Tahoma"/>
          <w:b/>
          <w:color w:val="000000" w:themeColor="text1"/>
          <w:szCs w:val="22"/>
        </w:rPr>
      </w:pPr>
    </w:p>
    <w:p w14:paraId="1663027F" w14:textId="39DE53B4" w:rsidR="00DA7EA2" w:rsidRPr="00527561" w:rsidRDefault="00DA7EA2" w:rsidP="00081E84">
      <w:pPr>
        <w:tabs>
          <w:tab w:val="left" w:pos="567"/>
        </w:tabs>
        <w:spacing w:after="0" w:line="360" w:lineRule="auto"/>
        <w:ind w:right="-28"/>
        <w:contextualSpacing/>
        <w:rPr>
          <w:rFonts w:cs="Tahoma"/>
        </w:rPr>
      </w:pPr>
      <w:r w:rsidRPr="00527561">
        <w:rPr>
          <w:rFonts w:cs="Tahoma"/>
        </w:rPr>
        <w:t xml:space="preserve">Con fecha </w:t>
      </w:r>
      <w:r w:rsidR="00FC667F" w:rsidRPr="00527561">
        <w:rPr>
          <w:rFonts w:cs="Tahoma"/>
        </w:rPr>
        <w:t>treinta de noviembre</w:t>
      </w:r>
      <w:r w:rsidRPr="00527561">
        <w:rPr>
          <w:rFonts w:cs="Tahoma"/>
        </w:rPr>
        <w:t xml:space="preserve"> de dos mil veintidós, el Particular presentó una solicitud de acceso a la información pública, a través del Sistema de Acceso a la Información Mexiquense (SAIMEX), ante el Ayuntamiento de Zinacantepec, en los siguientes términos:</w:t>
      </w:r>
    </w:p>
    <w:p w14:paraId="6F636E0B" w14:textId="77777777" w:rsidR="00DA7EA2" w:rsidRPr="00527561" w:rsidRDefault="00DA7EA2" w:rsidP="00081E84">
      <w:pPr>
        <w:pStyle w:val="Prrafodelista"/>
        <w:tabs>
          <w:tab w:val="left" w:pos="567"/>
        </w:tabs>
        <w:spacing w:line="360" w:lineRule="auto"/>
        <w:ind w:left="567" w:right="567"/>
        <w:jc w:val="both"/>
        <w:rPr>
          <w:rFonts w:ascii="Palatino Linotype" w:hAnsi="Palatino Linotype" w:cs="Tahoma"/>
          <w:color w:val="000000" w:themeColor="text1"/>
          <w:szCs w:val="22"/>
        </w:rPr>
      </w:pPr>
    </w:p>
    <w:p w14:paraId="548186C5" w14:textId="77777777" w:rsidR="00DA7EA2" w:rsidRPr="00527561" w:rsidRDefault="00DA7EA2" w:rsidP="00081E84">
      <w:pPr>
        <w:tabs>
          <w:tab w:val="left" w:pos="4667"/>
        </w:tabs>
        <w:spacing w:after="0" w:line="360" w:lineRule="auto"/>
        <w:ind w:left="567" w:right="567"/>
        <w:contextualSpacing/>
        <w:rPr>
          <w:rFonts w:cs="Tahoma"/>
          <w:b/>
          <w:bCs/>
          <w:i/>
          <w:sz w:val="20"/>
          <w:szCs w:val="20"/>
        </w:rPr>
      </w:pPr>
      <w:r w:rsidRPr="00527561">
        <w:rPr>
          <w:rFonts w:cs="Tahoma"/>
          <w:b/>
          <w:bCs/>
          <w:i/>
          <w:sz w:val="20"/>
          <w:szCs w:val="20"/>
        </w:rPr>
        <w:t>“DESCRIPCIÓN CLARA Y PRECISA DE LA INFORMACIÓN SOLICITADA</w:t>
      </w:r>
    </w:p>
    <w:p w14:paraId="081C0744" w14:textId="62803694" w:rsidR="00DA7EA2" w:rsidRPr="00527561" w:rsidRDefault="00FC667F" w:rsidP="00081E84">
      <w:pPr>
        <w:spacing w:after="0" w:line="360" w:lineRule="auto"/>
        <w:ind w:left="567" w:right="567"/>
        <w:contextualSpacing/>
        <w:rPr>
          <w:rFonts w:eastAsia="Times New Roman" w:cs="Times New Roman"/>
          <w:i/>
          <w:color w:val="auto"/>
          <w:sz w:val="20"/>
          <w:szCs w:val="20"/>
          <w:lang w:eastAsia="es-MX"/>
        </w:rPr>
      </w:pPr>
      <w:r w:rsidRPr="00527561">
        <w:rPr>
          <w:rFonts w:eastAsia="Times New Roman" w:cs="Times New Roman"/>
          <w:i/>
          <w:color w:val="auto"/>
          <w:sz w:val="20"/>
          <w:szCs w:val="20"/>
          <w:lang w:eastAsia="es-MX"/>
        </w:rPr>
        <w:t>SOLICITO TODAS LAS ACTAS DEL COMITÉ DE ADQUISICIONES DEL AÑO 2022</w:t>
      </w:r>
      <w:r w:rsidR="00DA7EA2" w:rsidRPr="00527561">
        <w:rPr>
          <w:rFonts w:eastAsia="Times New Roman" w:cs="Times New Roman"/>
          <w:i/>
          <w:color w:val="auto"/>
          <w:sz w:val="20"/>
          <w:szCs w:val="20"/>
          <w:lang w:eastAsia="es-MX"/>
        </w:rPr>
        <w:t>.</w:t>
      </w:r>
      <w:r w:rsidR="00DA7EA2" w:rsidRPr="00527561">
        <w:rPr>
          <w:rFonts w:cs="Tahoma"/>
          <w:bCs/>
          <w:i/>
          <w:sz w:val="20"/>
          <w:szCs w:val="20"/>
        </w:rPr>
        <w:t xml:space="preserve">” </w:t>
      </w:r>
      <w:r w:rsidR="00DA7EA2" w:rsidRPr="00527561">
        <w:rPr>
          <w:rFonts w:eastAsia="Times New Roman" w:cs="Arial"/>
          <w:bCs/>
          <w:i/>
          <w:sz w:val="20"/>
          <w:szCs w:val="20"/>
          <w:lang w:eastAsia="es-ES"/>
        </w:rPr>
        <w:t>(Sic)</w:t>
      </w:r>
    </w:p>
    <w:p w14:paraId="364F6B0F" w14:textId="77777777" w:rsidR="00DA7EA2" w:rsidRPr="00527561" w:rsidRDefault="00DA7EA2" w:rsidP="00081E84">
      <w:pPr>
        <w:tabs>
          <w:tab w:val="left" w:pos="4667"/>
        </w:tabs>
        <w:spacing w:after="0" w:line="360" w:lineRule="auto"/>
        <w:ind w:left="567" w:right="567"/>
        <w:contextualSpacing/>
        <w:rPr>
          <w:rFonts w:eastAsia="Times New Roman" w:cs="Tahoma"/>
          <w:b/>
          <w:bCs/>
          <w:i/>
          <w:sz w:val="20"/>
          <w:szCs w:val="20"/>
          <w:lang w:eastAsia="es-ES"/>
        </w:rPr>
      </w:pPr>
    </w:p>
    <w:p w14:paraId="1FCAF07F" w14:textId="77777777" w:rsidR="00DA7EA2" w:rsidRPr="00527561" w:rsidRDefault="00DA7EA2" w:rsidP="00081E84">
      <w:pPr>
        <w:tabs>
          <w:tab w:val="left" w:pos="4667"/>
        </w:tabs>
        <w:spacing w:after="0" w:line="360" w:lineRule="auto"/>
        <w:ind w:left="567" w:right="567"/>
        <w:contextualSpacing/>
        <w:rPr>
          <w:rFonts w:eastAsia="Times New Roman" w:cs="Tahoma"/>
          <w:b/>
          <w:bCs/>
          <w:i/>
          <w:sz w:val="20"/>
          <w:szCs w:val="20"/>
          <w:lang w:eastAsia="es-ES"/>
        </w:rPr>
      </w:pPr>
      <w:r w:rsidRPr="00527561">
        <w:rPr>
          <w:rFonts w:eastAsia="Times New Roman" w:cs="Tahoma"/>
          <w:b/>
          <w:bCs/>
          <w:i/>
          <w:sz w:val="20"/>
          <w:szCs w:val="20"/>
          <w:lang w:eastAsia="es-ES"/>
        </w:rPr>
        <w:t>“MODALIDAD DE ENTREGA</w:t>
      </w:r>
    </w:p>
    <w:p w14:paraId="47790E01" w14:textId="77777777" w:rsidR="00DA7EA2" w:rsidRPr="00527561" w:rsidRDefault="00DA7EA2" w:rsidP="00081E84">
      <w:pPr>
        <w:spacing w:after="0" w:line="360" w:lineRule="auto"/>
        <w:ind w:left="567" w:right="567"/>
        <w:contextualSpacing/>
        <w:rPr>
          <w:rFonts w:eastAsia="Times New Roman" w:cs="Arial"/>
          <w:bCs/>
          <w:i/>
          <w:sz w:val="20"/>
          <w:szCs w:val="20"/>
          <w:lang w:eastAsia="es-ES"/>
        </w:rPr>
      </w:pPr>
      <w:r w:rsidRPr="00527561">
        <w:rPr>
          <w:rFonts w:eastAsia="Times New Roman" w:cs="Arial"/>
          <w:bCs/>
          <w:i/>
          <w:sz w:val="20"/>
          <w:szCs w:val="20"/>
          <w:lang w:eastAsia="es-ES"/>
        </w:rPr>
        <w:t>A través del SAIMEX” (Sic)</w:t>
      </w:r>
    </w:p>
    <w:p w14:paraId="0A1B1C5A" w14:textId="77777777" w:rsidR="00DA7EA2" w:rsidRPr="00527561" w:rsidRDefault="00DA7EA2" w:rsidP="00081E84">
      <w:pPr>
        <w:tabs>
          <w:tab w:val="left" w:pos="4667"/>
        </w:tabs>
        <w:spacing w:after="0" w:line="360" w:lineRule="auto"/>
        <w:ind w:right="567"/>
        <w:contextualSpacing/>
        <w:rPr>
          <w:rFonts w:eastAsia="Times New Roman" w:cs="Tahoma"/>
          <w:b/>
          <w:bCs/>
          <w:color w:val="auto"/>
          <w:szCs w:val="20"/>
          <w:lang w:eastAsia="es-ES"/>
        </w:rPr>
      </w:pPr>
    </w:p>
    <w:p w14:paraId="7F68B3C3" w14:textId="08D53CE5" w:rsidR="00DA7EA2" w:rsidRPr="00527561" w:rsidRDefault="00DA7EA2" w:rsidP="00081E84">
      <w:pPr>
        <w:spacing w:after="0" w:line="360" w:lineRule="auto"/>
        <w:ind w:right="567"/>
        <w:contextualSpacing/>
        <w:rPr>
          <w:b/>
          <w:bCs/>
          <w:color w:val="auto"/>
        </w:rPr>
      </w:pPr>
      <w:r w:rsidRPr="00527561">
        <w:rPr>
          <w:rFonts w:cs="Tahoma"/>
          <w:b/>
          <w:bCs/>
          <w:szCs w:val="20"/>
          <w:lang w:eastAsia="es-ES"/>
        </w:rPr>
        <w:t>II</w:t>
      </w:r>
      <w:r w:rsidRPr="00527561">
        <w:rPr>
          <w:rFonts w:cs="Tahoma"/>
          <w:b/>
        </w:rPr>
        <w:t>.</w:t>
      </w:r>
      <w:r w:rsidRPr="00527561">
        <w:rPr>
          <w:rFonts w:cs="Tahoma"/>
          <w:b/>
          <w:lang w:eastAsia="es-ES"/>
        </w:rPr>
        <w:t xml:space="preserve"> </w:t>
      </w:r>
      <w:r w:rsidRPr="00527561">
        <w:rPr>
          <w:b/>
          <w:bCs/>
        </w:rPr>
        <w:t xml:space="preserve">Requerimiento de aclaración de la solicitud de información. </w:t>
      </w:r>
    </w:p>
    <w:p w14:paraId="6EC54CB4" w14:textId="77777777" w:rsidR="00DA7EA2" w:rsidRPr="00527561" w:rsidRDefault="00DA7EA2" w:rsidP="00081E84">
      <w:pPr>
        <w:autoSpaceDE w:val="0"/>
        <w:autoSpaceDN w:val="0"/>
        <w:adjustRightInd w:val="0"/>
        <w:spacing w:after="0" w:line="360" w:lineRule="auto"/>
        <w:contextualSpacing/>
        <w:rPr>
          <w:b/>
          <w:bCs/>
        </w:rPr>
      </w:pPr>
    </w:p>
    <w:p w14:paraId="221C81D0" w14:textId="5DB35C35" w:rsidR="00DA7EA2" w:rsidRPr="00527561" w:rsidRDefault="00DA7EA2" w:rsidP="00081E84">
      <w:pPr>
        <w:autoSpaceDE w:val="0"/>
        <w:autoSpaceDN w:val="0"/>
        <w:adjustRightInd w:val="0"/>
        <w:spacing w:after="0" w:line="360" w:lineRule="auto"/>
        <w:contextualSpacing/>
      </w:pPr>
      <w:r w:rsidRPr="00527561">
        <w:lastRenderedPageBreak/>
        <w:t xml:space="preserve">Con fecha </w:t>
      </w:r>
      <w:r w:rsidR="00FC667F" w:rsidRPr="00527561">
        <w:t>siete de diciembre</w:t>
      </w:r>
      <w:r w:rsidRPr="00527561">
        <w:t xml:space="preserve"> de dos mil veintidós, el Sujeto Obligado notificó, a través del Sistema de Acceso a la Información Mexiquense (SAIMEX), el requerimiento de aclaración de la solicitud de información, al Solicitante en los siguientes términos: </w:t>
      </w:r>
    </w:p>
    <w:p w14:paraId="3AACDC1C" w14:textId="77777777" w:rsidR="00DA7EA2" w:rsidRPr="00527561" w:rsidRDefault="00DA7EA2" w:rsidP="00081E84">
      <w:pPr>
        <w:autoSpaceDE w:val="0"/>
        <w:autoSpaceDN w:val="0"/>
        <w:adjustRightInd w:val="0"/>
        <w:spacing w:after="0" w:line="360" w:lineRule="auto"/>
        <w:contextualSpacing/>
      </w:pPr>
    </w:p>
    <w:p w14:paraId="1484E5F5" w14:textId="77777777" w:rsidR="00DA7EA2" w:rsidRPr="00527561" w:rsidRDefault="00DA7EA2" w:rsidP="00081E84">
      <w:pPr>
        <w:autoSpaceDE w:val="0"/>
        <w:autoSpaceDN w:val="0"/>
        <w:adjustRightInd w:val="0"/>
        <w:spacing w:after="0" w:line="360" w:lineRule="auto"/>
        <w:ind w:left="567" w:right="567"/>
        <w:contextualSpacing/>
        <w:rPr>
          <w:i/>
          <w:iCs/>
          <w:sz w:val="20"/>
          <w:szCs w:val="20"/>
        </w:rPr>
      </w:pPr>
      <w:r w:rsidRPr="00527561">
        <w:rPr>
          <w:i/>
          <w:iCs/>
          <w:sz w:val="20"/>
          <w:szCs w:val="20"/>
        </w:rPr>
        <w:t>“…</w:t>
      </w:r>
    </w:p>
    <w:p w14:paraId="49769BEE" w14:textId="77777777" w:rsidR="00DA7EA2" w:rsidRPr="00527561" w:rsidRDefault="00DA7EA2" w:rsidP="00081E84">
      <w:pPr>
        <w:autoSpaceDE w:val="0"/>
        <w:autoSpaceDN w:val="0"/>
        <w:adjustRightInd w:val="0"/>
        <w:spacing w:after="0" w:line="360" w:lineRule="auto"/>
        <w:ind w:left="567" w:right="567"/>
        <w:contextualSpacing/>
        <w:rPr>
          <w:i/>
          <w:iCs/>
          <w:color w:val="000000"/>
          <w:sz w:val="20"/>
          <w:szCs w:val="20"/>
        </w:rPr>
      </w:pPr>
      <w:r w:rsidRPr="00527561">
        <w:rPr>
          <w:i/>
          <w:iCs/>
          <w:color w:val="000000"/>
          <w:sz w:val="20"/>
          <w:szCs w:val="20"/>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E119628" w14:textId="77777777" w:rsidR="00081E84" w:rsidRPr="00527561" w:rsidRDefault="00081E84" w:rsidP="00081E84">
      <w:pPr>
        <w:autoSpaceDE w:val="0"/>
        <w:autoSpaceDN w:val="0"/>
        <w:adjustRightInd w:val="0"/>
        <w:spacing w:after="0" w:line="360" w:lineRule="auto"/>
        <w:ind w:left="567" w:right="567"/>
        <w:contextualSpacing/>
        <w:rPr>
          <w:i/>
          <w:iCs/>
          <w:color w:val="000000"/>
          <w:sz w:val="20"/>
          <w:szCs w:val="20"/>
        </w:rPr>
      </w:pPr>
    </w:p>
    <w:p w14:paraId="6648CE94" w14:textId="77777777" w:rsidR="00DA7EA2" w:rsidRPr="00527561" w:rsidRDefault="00DA7EA2" w:rsidP="00081E84">
      <w:pPr>
        <w:autoSpaceDE w:val="0"/>
        <w:autoSpaceDN w:val="0"/>
        <w:adjustRightInd w:val="0"/>
        <w:spacing w:after="0" w:line="360" w:lineRule="auto"/>
        <w:ind w:left="567" w:right="567"/>
        <w:contextualSpacing/>
        <w:rPr>
          <w:i/>
          <w:iCs/>
          <w:color w:val="000000"/>
          <w:sz w:val="20"/>
          <w:szCs w:val="20"/>
        </w:rPr>
      </w:pPr>
      <w:r w:rsidRPr="00527561">
        <w:rPr>
          <w:i/>
          <w:iCs/>
          <w:color w:val="000000"/>
          <w:sz w:val="20"/>
          <w:szCs w:val="2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229EACC" w14:textId="77777777" w:rsidR="00DA7EA2" w:rsidRPr="00527561" w:rsidRDefault="00DA7EA2" w:rsidP="00081E84">
      <w:pPr>
        <w:autoSpaceDE w:val="0"/>
        <w:autoSpaceDN w:val="0"/>
        <w:adjustRightInd w:val="0"/>
        <w:spacing w:after="0" w:line="360" w:lineRule="auto"/>
        <w:ind w:left="567" w:right="567"/>
        <w:contextualSpacing/>
        <w:rPr>
          <w:i/>
          <w:iCs/>
          <w:sz w:val="20"/>
          <w:szCs w:val="20"/>
        </w:rPr>
      </w:pPr>
      <w:r w:rsidRPr="00527561">
        <w:rPr>
          <w:i/>
          <w:iCs/>
          <w:color w:val="000000"/>
          <w:sz w:val="20"/>
          <w:szCs w:val="20"/>
        </w:rPr>
        <w:t>…”</w:t>
      </w:r>
    </w:p>
    <w:p w14:paraId="6D213E37" w14:textId="77777777" w:rsidR="00DA7EA2" w:rsidRPr="00527561" w:rsidRDefault="00DA7EA2" w:rsidP="00081E84">
      <w:pPr>
        <w:autoSpaceDE w:val="0"/>
        <w:autoSpaceDN w:val="0"/>
        <w:adjustRightInd w:val="0"/>
        <w:spacing w:after="0" w:line="360" w:lineRule="auto"/>
        <w:contextualSpacing/>
        <w:rPr>
          <w:b/>
          <w:bCs/>
        </w:rPr>
      </w:pPr>
    </w:p>
    <w:p w14:paraId="2F5CC755" w14:textId="77777777" w:rsidR="00DA7EA2" w:rsidRPr="00527561" w:rsidRDefault="00DA7EA2" w:rsidP="00081E84">
      <w:pPr>
        <w:autoSpaceDE w:val="0"/>
        <w:autoSpaceDN w:val="0"/>
        <w:adjustRightInd w:val="0"/>
        <w:spacing w:after="0" w:line="360" w:lineRule="auto"/>
        <w:contextualSpacing/>
        <w:rPr>
          <w:b/>
          <w:bCs/>
        </w:rPr>
      </w:pPr>
      <w:r w:rsidRPr="00527561">
        <w:rPr>
          <w:b/>
          <w:bCs/>
        </w:rPr>
        <w:t>III. Atención al requerimiento de aclaración de la solicitud de información.</w:t>
      </w:r>
    </w:p>
    <w:p w14:paraId="1557CB64" w14:textId="77777777" w:rsidR="00DA7EA2" w:rsidRPr="00527561" w:rsidRDefault="00DA7EA2" w:rsidP="00081E84">
      <w:pPr>
        <w:autoSpaceDE w:val="0"/>
        <w:autoSpaceDN w:val="0"/>
        <w:adjustRightInd w:val="0"/>
        <w:spacing w:after="0" w:line="360" w:lineRule="auto"/>
        <w:contextualSpacing/>
        <w:rPr>
          <w:b/>
          <w:bCs/>
        </w:rPr>
      </w:pPr>
    </w:p>
    <w:p w14:paraId="6422880E" w14:textId="0F2B0140" w:rsidR="00DA7EA2" w:rsidRPr="00527561" w:rsidRDefault="00DA7EA2" w:rsidP="00081E84">
      <w:pPr>
        <w:autoSpaceDE w:val="0"/>
        <w:autoSpaceDN w:val="0"/>
        <w:adjustRightInd w:val="0"/>
        <w:spacing w:after="0" w:line="360" w:lineRule="auto"/>
        <w:contextualSpacing/>
      </w:pPr>
      <w:r w:rsidRPr="00527561">
        <w:t xml:space="preserve">Con fecha </w:t>
      </w:r>
      <w:r w:rsidR="00FC667F" w:rsidRPr="00527561">
        <w:t>ocho de diciembre</w:t>
      </w:r>
      <w:r w:rsidRPr="00527561">
        <w:t xml:space="preserve"> de dos mil veintidós, a través del Sistema de Acceso a la Información Mexiquense (SAIMEX), el Solicitante atendió el requerimiento de aclaración de solicitud de información, en el sentido siguiente: </w:t>
      </w:r>
    </w:p>
    <w:p w14:paraId="1BCA5AED" w14:textId="77777777" w:rsidR="00DA7EA2" w:rsidRPr="00527561" w:rsidRDefault="00DA7EA2" w:rsidP="00081E84">
      <w:pPr>
        <w:spacing w:after="0" w:line="360" w:lineRule="auto"/>
        <w:ind w:left="567" w:right="567"/>
        <w:contextualSpacing/>
        <w:rPr>
          <w:rFonts w:eastAsia="Times New Roman" w:cs="Tahoma"/>
          <w:b/>
          <w:bCs/>
          <w:color w:val="auto"/>
          <w:sz w:val="20"/>
          <w:szCs w:val="20"/>
          <w:lang w:eastAsia="es-MX"/>
        </w:rPr>
      </w:pPr>
    </w:p>
    <w:p w14:paraId="3D0F07C5" w14:textId="77777777" w:rsidR="00DA7EA2" w:rsidRPr="00527561" w:rsidRDefault="00DA7EA2" w:rsidP="00081E84">
      <w:pPr>
        <w:autoSpaceDE w:val="0"/>
        <w:autoSpaceDN w:val="0"/>
        <w:adjustRightInd w:val="0"/>
        <w:spacing w:after="0" w:line="360" w:lineRule="auto"/>
        <w:ind w:left="567" w:right="567"/>
        <w:contextualSpacing/>
        <w:rPr>
          <w:i/>
          <w:iCs/>
          <w:sz w:val="20"/>
          <w:szCs w:val="20"/>
        </w:rPr>
      </w:pPr>
      <w:bookmarkStart w:id="0" w:name="_Hlk117628422"/>
      <w:r w:rsidRPr="00527561">
        <w:rPr>
          <w:i/>
          <w:iCs/>
          <w:sz w:val="20"/>
          <w:szCs w:val="20"/>
        </w:rPr>
        <w:t>“…</w:t>
      </w:r>
    </w:p>
    <w:bookmarkEnd w:id="0"/>
    <w:p w14:paraId="04A9E9F6" w14:textId="26C5FA0E" w:rsidR="00DA7EA2" w:rsidRPr="00527561" w:rsidRDefault="00FC667F" w:rsidP="00081E84">
      <w:pPr>
        <w:spacing w:after="0" w:line="360" w:lineRule="auto"/>
        <w:ind w:left="567" w:right="567"/>
        <w:contextualSpacing/>
        <w:rPr>
          <w:rFonts w:eastAsia="Times New Roman" w:cs="Times New Roman"/>
          <w:i/>
          <w:iCs/>
          <w:color w:val="auto"/>
          <w:sz w:val="20"/>
          <w:szCs w:val="20"/>
          <w:lang w:eastAsia="es-MX"/>
        </w:rPr>
      </w:pPr>
      <w:r w:rsidRPr="00527561">
        <w:rPr>
          <w:rFonts w:eastAsia="Times New Roman" w:cs="Times New Roman"/>
          <w:i/>
          <w:iCs/>
          <w:color w:val="auto"/>
          <w:sz w:val="20"/>
          <w:szCs w:val="20"/>
          <w:lang w:eastAsia="es-MX"/>
        </w:rPr>
        <w:t>LA SOLICITUD ES MUY ESPECÍFICA</w:t>
      </w:r>
      <w:r w:rsidR="00DA7EA2" w:rsidRPr="00527561">
        <w:rPr>
          <w:i/>
          <w:iCs/>
          <w:color w:val="000000"/>
          <w:sz w:val="20"/>
          <w:szCs w:val="20"/>
        </w:rPr>
        <w:t>.</w:t>
      </w:r>
    </w:p>
    <w:p w14:paraId="66E1CC55" w14:textId="16DBA815" w:rsidR="00DA7EA2" w:rsidRPr="00527561" w:rsidRDefault="00DA7EA2" w:rsidP="00081E84">
      <w:pPr>
        <w:autoSpaceDE w:val="0"/>
        <w:autoSpaceDN w:val="0"/>
        <w:adjustRightInd w:val="0"/>
        <w:spacing w:after="0" w:line="360" w:lineRule="auto"/>
        <w:ind w:left="567" w:right="567"/>
        <w:contextualSpacing/>
        <w:rPr>
          <w:i/>
          <w:iCs/>
          <w:sz w:val="20"/>
          <w:szCs w:val="20"/>
        </w:rPr>
      </w:pPr>
      <w:r w:rsidRPr="00527561">
        <w:rPr>
          <w:i/>
          <w:iCs/>
          <w:sz w:val="20"/>
          <w:szCs w:val="20"/>
        </w:rPr>
        <w:t>…”</w:t>
      </w:r>
    </w:p>
    <w:p w14:paraId="03CBFD22" w14:textId="77777777" w:rsidR="00DA7EA2" w:rsidRPr="00527561" w:rsidRDefault="00DA7EA2" w:rsidP="00081E84">
      <w:pPr>
        <w:autoSpaceDE w:val="0"/>
        <w:autoSpaceDN w:val="0"/>
        <w:adjustRightInd w:val="0"/>
        <w:spacing w:after="0" w:line="360" w:lineRule="auto"/>
        <w:ind w:left="567" w:right="567"/>
        <w:contextualSpacing/>
        <w:rPr>
          <w:i/>
          <w:iCs/>
          <w:sz w:val="20"/>
          <w:szCs w:val="20"/>
        </w:rPr>
      </w:pPr>
    </w:p>
    <w:p w14:paraId="4D1B4FF5" w14:textId="293396E6" w:rsidR="00DA7EA2" w:rsidRPr="00527561" w:rsidRDefault="00DA7EA2" w:rsidP="00081E84">
      <w:pPr>
        <w:pStyle w:val="paragraph"/>
        <w:spacing w:before="0" w:beforeAutospacing="0" w:after="0" w:afterAutospacing="0" w:line="360" w:lineRule="auto"/>
        <w:contextualSpacing/>
        <w:jc w:val="both"/>
        <w:textAlignment w:val="baseline"/>
        <w:rPr>
          <w:rFonts w:ascii="Palatino Linotype" w:hAnsi="Palatino Linotype" w:cs="Tahoma"/>
          <w:szCs w:val="20"/>
          <w:lang w:val="es-MX" w:eastAsia="es-ES"/>
        </w:rPr>
      </w:pPr>
      <w:r w:rsidRPr="00527561">
        <w:rPr>
          <w:rFonts w:ascii="Palatino Linotype" w:hAnsi="Palatino Linotype" w:cs="Tahoma"/>
          <w:b/>
          <w:lang w:val="es-MX" w:eastAsia="es-ES"/>
        </w:rPr>
        <w:lastRenderedPageBreak/>
        <w:t>IV. Respuesta</w:t>
      </w:r>
      <w:r w:rsidRPr="00527561">
        <w:rPr>
          <w:rFonts w:ascii="Palatino Linotype" w:hAnsi="Palatino Linotype" w:cs="Tahoma"/>
          <w:b/>
          <w:bCs/>
          <w:lang w:val="es-MX" w:eastAsia="es-ES"/>
        </w:rPr>
        <w:t xml:space="preserve"> del Sujeto Obligado.</w:t>
      </w:r>
    </w:p>
    <w:p w14:paraId="2BD74ABD" w14:textId="77777777" w:rsidR="00DA7EA2" w:rsidRPr="00527561" w:rsidRDefault="00DA7EA2" w:rsidP="00081E84">
      <w:pPr>
        <w:autoSpaceDE w:val="0"/>
        <w:autoSpaceDN w:val="0"/>
        <w:adjustRightInd w:val="0"/>
        <w:spacing w:after="0" w:line="360" w:lineRule="auto"/>
        <w:contextualSpacing/>
        <w:rPr>
          <w:rFonts w:eastAsia="Times New Roman" w:cs="Tahoma"/>
          <w:bCs/>
          <w:color w:val="auto"/>
          <w:szCs w:val="24"/>
          <w:lang w:eastAsia="es-ES"/>
        </w:rPr>
      </w:pPr>
    </w:p>
    <w:p w14:paraId="24203B45" w14:textId="47DC1A69" w:rsidR="00DA7EA2" w:rsidRPr="00527561" w:rsidRDefault="00DA7EA2" w:rsidP="00081E84">
      <w:pPr>
        <w:pStyle w:val="Prrafodelista"/>
        <w:tabs>
          <w:tab w:val="left" w:pos="567"/>
        </w:tabs>
        <w:spacing w:line="360" w:lineRule="auto"/>
        <w:ind w:left="0"/>
        <w:jc w:val="both"/>
        <w:rPr>
          <w:rFonts w:ascii="Palatino Linotype" w:hAnsi="Palatino Linotype" w:cs="Tahoma"/>
        </w:rPr>
      </w:pPr>
      <w:r w:rsidRPr="00527561">
        <w:rPr>
          <w:rFonts w:ascii="Palatino Linotype" w:hAnsi="Palatino Linotype" w:cs="Tahoma"/>
          <w:bCs/>
        </w:rPr>
        <w:t xml:space="preserve">Con fecha </w:t>
      </w:r>
      <w:r w:rsidR="00FC667F" w:rsidRPr="00527561">
        <w:rPr>
          <w:rFonts w:ascii="Palatino Linotype" w:hAnsi="Palatino Linotype" w:cs="Tahoma"/>
          <w:bCs/>
        </w:rPr>
        <w:t>dieciséis de enero de dos mil veintitrés</w:t>
      </w:r>
      <w:r w:rsidRPr="00527561">
        <w:rPr>
          <w:rFonts w:ascii="Palatino Linotype" w:hAnsi="Palatino Linotype" w:cs="Tahoma"/>
          <w:bCs/>
        </w:rPr>
        <w:t>,</w:t>
      </w:r>
      <w:r w:rsidRPr="00527561">
        <w:rPr>
          <w:rFonts w:ascii="Palatino Linotype" w:hAnsi="Palatino Linotype" w:cs="Tahoma"/>
        </w:rPr>
        <w:t xml:space="preserve"> el Sujeto Obligado notificó al Solicitante, mediante el Sistema de Acceso a la Información Mexiquense (SAIMEX), la respuesta a la solicitud de acceso a la información, por medio de un oficio sin número, suscrito por el Titular de la Unidad de Transparencia, dirigido al Solicitante, por medio del cual manifiesta y expone esencialmente lo siguiente: </w:t>
      </w:r>
    </w:p>
    <w:p w14:paraId="26655769" w14:textId="77777777" w:rsidR="00DA7EA2" w:rsidRPr="00527561" w:rsidRDefault="00DA7EA2" w:rsidP="00081E84">
      <w:pPr>
        <w:autoSpaceDE w:val="0"/>
        <w:autoSpaceDN w:val="0"/>
        <w:adjustRightInd w:val="0"/>
        <w:spacing w:after="0" w:line="360" w:lineRule="auto"/>
        <w:contextualSpacing/>
        <w:rPr>
          <w:rFonts w:eastAsia="Times New Roman" w:cs="Tahoma"/>
          <w:color w:val="auto"/>
          <w:lang w:eastAsia="es-ES"/>
        </w:rPr>
      </w:pPr>
    </w:p>
    <w:p w14:paraId="18D7218D" w14:textId="77777777" w:rsidR="00DA7EA2" w:rsidRPr="00527561" w:rsidRDefault="00DA7EA2" w:rsidP="00081E84">
      <w:pPr>
        <w:autoSpaceDE w:val="0"/>
        <w:autoSpaceDN w:val="0"/>
        <w:adjustRightInd w:val="0"/>
        <w:spacing w:after="0" w:line="360" w:lineRule="auto"/>
        <w:ind w:left="567" w:right="567"/>
        <w:contextualSpacing/>
        <w:rPr>
          <w:rFonts w:eastAsia="Times New Roman" w:cs="Tahoma"/>
          <w:i/>
          <w:iCs/>
          <w:sz w:val="20"/>
          <w:szCs w:val="20"/>
          <w:lang w:eastAsia="es-ES"/>
        </w:rPr>
      </w:pPr>
      <w:r w:rsidRPr="00527561">
        <w:rPr>
          <w:rFonts w:eastAsia="Times New Roman" w:cs="Tahoma"/>
          <w:i/>
          <w:iCs/>
          <w:sz w:val="20"/>
          <w:szCs w:val="20"/>
          <w:lang w:eastAsia="es-ES"/>
        </w:rPr>
        <w:t>“…</w:t>
      </w:r>
    </w:p>
    <w:p w14:paraId="057CBED7" w14:textId="45B58157" w:rsidR="00FC667F" w:rsidRPr="00527561" w:rsidRDefault="00FC667F" w:rsidP="00081E84">
      <w:pPr>
        <w:autoSpaceDE w:val="0"/>
        <w:autoSpaceDN w:val="0"/>
        <w:adjustRightInd w:val="0"/>
        <w:spacing w:after="0" w:line="360" w:lineRule="auto"/>
        <w:ind w:left="567" w:right="567"/>
        <w:contextualSpacing/>
        <w:rPr>
          <w:i/>
          <w:iCs/>
          <w:sz w:val="20"/>
          <w:szCs w:val="20"/>
        </w:rPr>
      </w:pPr>
      <w:r w:rsidRPr="00527561">
        <w:rPr>
          <w:i/>
          <w:iCs/>
          <w:sz w:val="20"/>
          <w:szCs w:val="20"/>
        </w:rPr>
        <w:t xml:space="preserve">Con el fin de poder darle una oportuna contestación al hoy recurrente le informo que este Sujeto Obligado al realizar un análisis en su solicitud procedió a turnarla al Servidor Público Habilitado poseedor de la información, mismo que nos informa que dichas actas se encuentran aún en proceso por lo que una vez que se cierre el ejercicio y se encuentren debidamente validadas se publicaran en el portal del sistema de Información Pública de Oficio Mexiquense (IPOMEX), para su consulta oportuna. </w:t>
      </w:r>
    </w:p>
    <w:p w14:paraId="5F2FC922" w14:textId="77777777" w:rsidR="00FC667F" w:rsidRPr="00527561" w:rsidRDefault="00FC667F" w:rsidP="00081E84">
      <w:pPr>
        <w:autoSpaceDE w:val="0"/>
        <w:autoSpaceDN w:val="0"/>
        <w:adjustRightInd w:val="0"/>
        <w:spacing w:after="0" w:line="360" w:lineRule="auto"/>
        <w:ind w:left="567" w:right="567"/>
        <w:contextualSpacing/>
        <w:rPr>
          <w:i/>
          <w:iCs/>
          <w:sz w:val="20"/>
          <w:szCs w:val="20"/>
        </w:rPr>
      </w:pPr>
    </w:p>
    <w:p w14:paraId="37A5089F" w14:textId="0B5E8F8B" w:rsidR="00FC667F" w:rsidRPr="00527561" w:rsidRDefault="00FC667F" w:rsidP="00FC667F">
      <w:pPr>
        <w:autoSpaceDE w:val="0"/>
        <w:autoSpaceDN w:val="0"/>
        <w:adjustRightInd w:val="0"/>
        <w:spacing w:after="0" w:line="360" w:lineRule="auto"/>
        <w:ind w:left="567" w:right="567"/>
        <w:contextualSpacing/>
        <w:jc w:val="center"/>
        <w:rPr>
          <w:b/>
          <w:bCs/>
          <w:i/>
          <w:iCs/>
          <w:sz w:val="20"/>
          <w:szCs w:val="20"/>
        </w:rPr>
      </w:pPr>
      <w:r w:rsidRPr="00527561">
        <w:rPr>
          <w:b/>
          <w:bCs/>
          <w:i/>
          <w:iCs/>
          <w:sz w:val="20"/>
          <w:szCs w:val="20"/>
        </w:rPr>
        <w:t>CONCLUSIÓN</w:t>
      </w:r>
    </w:p>
    <w:p w14:paraId="692A0068" w14:textId="77777777" w:rsidR="00FC667F" w:rsidRPr="00527561" w:rsidRDefault="00FC667F" w:rsidP="00081E84">
      <w:pPr>
        <w:autoSpaceDE w:val="0"/>
        <w:autoSpaceDN w:val="0"/>
        <w:adjustRightInd w:val="0"/>
        <w:spacing w:after="0" w:line="360" w:lineRule="auto"/>
        <w:ind w:left="567" w:right="567"/>
        <w:contextualSpacing/>
        <w:rPr>
          <w:b/>
          <w:bCs/>
          <w:i/>
          <w:iCs/>
          <w:sz w:val="20"/>
          <w:szCs w:val="20"/>
        </w:rPr>
      </w:pPr>
    </w:p>
    <w:p w14:paraId="50879C0A" w14:textId="51489932" w:rsidR="00FC667F" w:rsidRPr="00527561" w:rsidRDefault="00FC667F" w:rsidP="00081E84">
      <w:pPr>
        <w:autoSpaceDE w:val="0"/>
        <w:autoSpaceDN w:val="0"/>
        <w:adjustRightInd w:val="0"/>
        <w:spacing w:after="0" w:line="360" w:lineRule="auto"/>
        <w:ind w:left="567" w:right="567"/>
        <w:contextualSpacing/>
        <w:rPr>
          <w:i/>
          <w:iCs/>
          <w:sz w:val="20"/>
          <w:szCs w:val="20"/>
        </w:rPr>
      </w:pPr>
      <w:r w:rsidRPr="00527561">
        <w:rPr>
          <w:b/>
          <w:bCs/>
          <w:i/>
          <w:iCs/>
          <w:sz w:val="20"/>
          <w:szCs w:val="20"/>
        </w:rPr>
        <w:t>PRIMERO:</w:t>
      </w:r>
      <w:r w:rsidRPr="00527561">
        <w:rPr>
          <w:i/>
          <w:iCs/>
          <w:sz w:val="20"/>
          <w:szCs w:val="20"/>
        </w:rPr>
        <w:t xml:space="preserve"> Se dan por concluidos el desahogo y la respuesta de la solicitud de información.</w:t>
      </w:r>
    </w:p>
    <w:p w14:paraId="3D43BA26" w14:textId="1DB1FEC5" w:rsidR="00DA7EA2" w:rsidRPr="00527561" w:rsidRDefault="00DA7EA2" w:rsidP="00081E84">
      <w:pPr>
        <w:autoSpaceDE w:val="0"/>
        <w:autoSpaceDN w:val="0"/>
        <w:adjustRightInd w:val="0"/>
        <w:spacing w:after="0" w:line="360" w:lineRule="auto"/>
        <w:ind w:left="567" w:right="567"/>
        <w:contextualSpacing/>
        <w:rPr>
          <w:rFonts w:eastAsia="Times New Roman" w:cs="Tahoma"/>
          <w:i/>
          <w:iCs/>
          <w:sz w:val="20"/>
          <w:szCs w:val="20"/>
          <w:lang w:eastAsia="es-ES"/>
        </w:rPr>
      </w:pPr>
      <w:r w:rsidRPr="00527561">
        <w:rPr>
          <w:rFonts w:eastAsia="Times New Roman" w:cs="Tahoma"/>
          <w:i/>
          <w:iCs/>
          <w:sz w:val="20"/>
          <w:szCs w:val="20"/>
          <w:lang w:eastAsia="es-ES"/>
        </w:rPr>
        <w:t>…”</w:t>
      </w:r>
    </w:p>
    <w:p w14:paraId="6A49066A" w14:textId="77777777" w:rsidR="00DA7EA2" w:rsidRPr="00527561" w:rsidRDefault="00DA7EA2" w:rsidP="00081E84">
      <w:pPr>
        <w:autoSpaceDE w:val="0"/>
        <w:autoSpaceDN w:val="0"/>
        <w:adjustRightInd w:val="0"/>
        <w:spacing w:after="0" w:line="360" w:lineRule="auto"/>
        <w:ind w:left="567" w:right="567"/>
        <w:contextualSpacing/>
        <w:rPr>
          <w:rFonts w:eastAsia="Times New Roman" w:cs="Tahoma"/>
          <w:i/>
          <w:iCs/>
          <w:color w:val="auto"/>
          <w:sz w:val="20"/>
          <w:szCs w:val="20"/>
          <w:lang w:eastAsia="es-ES"/>
        </w:rPr>
      </w:pPr>
    </w:p>
    <w:p w14:paraId="0E87FCB5" w14:textId="6FB47B4D" w:rsidR="00DA7EA2" w:rsidRPr="00527561" w:rsidRDefault="00AE113E" w:rsidP="00081E84">
      <w:pPr>
        <w:autoSpaceDE w:val="0"/>
        <w:autoSpaceDN w:val="0"/>
        <w:adjustRightInd w:val="0"/>
        <w:spacing w:after="0" w:line="360" w:lineRule="auto"/>
        <w:contextualSpacing/>
        <w:rPr>
          <w:rFonts w:cs="Tahoma"/>
          <w:b/>
        </w:rPr>
      </w:pPr>
      <w:r w:rsidRPr="00527561">
        <w:rPr>
          <w:rFonts w:cs="Tahoma"/>
          <w:b/>
        </w:rPr>
        <w:t>V</w:t>
      </w:r>
      <w:r w:rsidR="00DA7EA2" w:rsidRPr="00527561">
        <w:rPr>
          <w:rFonts w:cs="Tahoma"/>
          <w:b/>
        </w:rPr>
        <w:t xml:space="preserve">. Interposición del Recurso de Revisión. </w:t>
      </w:r>
    </w:p>
    <w:p w14:paraId="11F66A52" w14:textId="77777777" w:rsidR="00DA7EA2" w:rsidRPr="00527561" w:rsidRDefault="00DA7EA2" w:rsidP="00081E84">
      <w:pPr>
        <w:autoSpaceDE w:val="0"/>
        <w:autoSpaceDN w:val="0"/>
        <w:adjustRightInd w:val="0"/>
        <w:spacing w:after="0" w:line="360" w:lineRule="auto"/>
        <w:contextualSpacing/>
        <w:rPr>
          <w:rFonts w:cs="Tahoma"/>
          <w:b/>
        </w:rPr>
      </w:pPr>
    </w:p>
    <w:p w14:paraId="355998F7" w14:textId="5EF0891B" w:rsidR="00DA7EA2" w:rsidRPr="00527561" w:rsidRDefault="00DA7EA2" w:rsidP="00081E84">
      <w:pPr>
        <w:tabs>
          <w:tab w:val="left" w:pos="567"/>
        </w:tabs>
        <w:spacing w:after="0" w:line="360" w:lineRule="auto"/>
        <w:contextualSpacing/>
        <w:rPr>
          <w:rFonts w:eastAsia="Times New Roman" w:cs="Tahoma"/>
          <w:bCs/>
          <w:color w:val="auto"/>
          <w:lang w:eastAsia="es-ES"/>
        </w:rPr>
      </w:pPr>
      <w:r w:rsidRPr="00527561">
        <w:rPr>
          <w:rFonts w:eastAsia="Calibri" w:cs="Times New Roman"/>
          <w:bCs/>
        </w:rPr>
        <w:t xml:space="preserve">Con fecha </w:t>
      </w:r>
      <w:r w:rsidR="00FC667F" w:rsidRPr="00527561">
        <w:rPr>
          <w:rFonts w:eastAsia="Calibri" w:cs="Times New Roman"/>
          <w:bCs/>
        </w:rPr>
        <w:t>dieciséis de enero de dos mil veintitrés</w:t>
      </w:r>
      <w:r w:rsidRPr="00527561">
        <w:rPr>
          <w:rFonts w:eastAsia="Calibri" w:cs="Times New Roman"/>
          <w:bCs/>
        </w:rPr>
        <w:t>, se recibió en este Instituto, a través del Sistema de Acceso a la Información Mexiquense (SAIMEX), Recurso de Revisión interpuesto por la parte Recurrente, en contra de la respuesta por el Sujeto Obligado</w:t>
      </w:r>
      <w:r w:rsidR="00AE113E" w:rsidRPr="00527561">
        <w:rPr>
          <w:rFonts w:eastAsia="Times New Roman" w:cs="Tahoma"/>
          <w:b/>
          <w:color w:val="auto"/>
          <w:lang w:eastAsia="es-ES"/>
        </w:rPr>
        <w:t xml:space="preserve">, </w:t>
      </w:r>
      <w:r w:rsidRPr="00527561">
        <w:rPr>
          <w:rFonts w:eastAsia="Times New Roman" w:cs="Tahoma"/>
          <w:bCs/>
          <w:color w:val="auto"/>
          <w:lang w:eastAsia="es-ES"/>
        </w:rPr>
        <w:t>en los siguientes términos:</w:t>
      </w:r>
    </w:p>
    <w:p w14:paraId="494E1904" w14:textId="77777777" w:rsidR="00DA7EA2" w:rsidRPr="00527561" w:rsidRDefault="00DA7EA2" w:rsidP="00081E84">
      <w:pPr>
        <w:tabs>
          <w:tab w:val="left" w:pos="567"/>
        </w:tabs>
        <w:spacing w:after="0" w:line="360" w:lineRule="auto"/>
        <w:contextualSpacing/>
        <w:rPr>
          <w:rFonts w:eastAsia="Times New Roman" w:cs="Tahoma"/>
          <w:bCs/>
          <w:color w:val="auto"/>
          <w:lang w:eastAsia="es-ES"/>
        </w:rPr>
      </w:pPr>
    </w:p>
    <w:p w14:paraId="54228DC3" w14:textId="77777777" w:rsidR="00DA7EA2" w:rsidRPr="00527561" w:rsidRDefault="00DA7EA2" w:rsidP="00081E84">
      <w:pPr>
        <w:tabs>
          <w:tab w:val="left" w:pos="4667"/>
        </w:tabs>
        <w:spacing w:after="0" w:line="360" w:lineRule="auto"/>
        <w:ind w:left="567" w:right="567"/>
        <w:contextualSpacing/>
        <w:rPr>
          <w:rFonts w:cs="Tahoma"/>
          <w:bCs/>
          <w:i/>
          <w:sz w:val="20"/>
          <w:szCs w:val="20"/>
        </w:rPr>
      </w:pPr>
      <w:r w:rsidRPr="00527561">
        <w:rPr>
          <w:rFonts w:cs="Tahoma"/>
          <w:b/>
          <w:bCs/>
          <w:i/>
          <w:sz w:val="20"/>
          <w:szCs w:val="20"/>
        </w:rPr>
        <w:lastRenderedPageBreak/>
        <w:t>“ACTO IMPUGNADO</w:t>
      </w:r>
    </w:p>
    <w:p w14:paraId="4CA54D7A" w14:textId="5F1C043E" w:rsidR="00DA7EA2" w:rsidRPr="00527561" w:rsidRDefault="00FC667F" w:rsidP="00081E84">
      <w:pPr>
        <w:spacing w:after="0" w:line="360" w:lineRule="auto"/>
        <w:ind w:firstLine="567"/>
        <w:contextualSpacing/>
        <w:rPr>
          <w:rFonts w:eastAsia="Times New Roman" w:cs="Times New Roman"/>
          <w:i/>
          <w:color w:val="auto"/>
          <w:sz w:val="20"/>
          <w:szCs w:val="20"/>
          <w:lang w:eastAsia="es-MX"/>
        </w:rPr>
      </w:pPr>
      <w:r w:rsidRPr="00527561">
        <w:rPr>
          <w:rFonts w:cs="Tahoma"/>
          <w:i/>
          <w:sz w:val="20"/>
          <w:szCs w:val="20"/>
        </w:rPr>
        <w:t>NO ENTREGA INFORMACIÓN</w:t>
      </w:r>
      <w:r w:rsidR="00DA7EA2" w:rsidRPr="00527561">
        <w:rPr>
          <w:i/>
          <w:sz w:val="20"/>
          <w:szCs w:val="20"/>
        </w:rPr>
        <w:t>”</w:t>
      </w:r>
      <w:r w:rsidR="00DA7EA2" w:rsidRPr="00527561">
        <w:rPr>
          <w:rFonts w:cs="Tahoma"/>
          <w:i/>
          <w:sz w:val="20"/>
          <w:szCs w:val="20"/>
        </w:rPr>
        <w:t xml:space="preserve"> (Sic.)</w:t>
      </w:r>
    </w:p>
    <w:p w14:paraId="3FE85BDE" w14:textId="77777777" w:rsidR="00DA7EA2" w:rsidRPr="00527561" w:rsidRDefault="00DA7EA2" w:rsidP="00081E84">
      <w:pPr>
        <w:autoSpaceDE w:val="0"/>
        <w:autoSpaceDN w:val="0"/>
        <w:adjustRightInd w:val="0"/>
        <w:spacing w:after="0" w:line="360" w:lineRule="auto"/>
        <w:ind w:right="567"/>
        <w:contextualSpacing/>
        <w:rPr>
          <w:rFonts w:cs="Tahoma"/>
          <w:i/>
          <w:sz w:val="20"/>
          <w:szCs w:val="20"/>
        </w:rPr>
      </w:pPr>
    </w:p>
    <w:p w14:paraId="50192AF0" w14:textId="77777777" w:rsidR="00DA7EA2" w:rsidRPr="00527561" w:rsidRDefault="00DA7EA2" w:rsidP="00081E84">
      <w:pPr>
        <w:autoSpaceDE w:val="0"/>
        <w:autoSpaceDN w:val="0"/>
        <w:adjustRightInd w:val="0"/>
        <w:spacing w:after="0" w:line="360" w:lineRule="auto"/>
        <w:ind w:left="567" w:right="567"/>
        <w:contextualSpacing/>
        <w:rPr>
          <w:rFonts w:cs="Tahoma"/>
          <w:b/>
          <w:i/>
          <w:sz w:val="20"/>
          <w:szCs w:val="20"/>
        </w:rPr>
      </w:pPr>
      <w:r w:rsidRPr="00527561">
        <w:rPr>
          <w:rFonts w:cs="Tahoma"/>
          <w:b/>
          <w:i/>
          <w:sz w:val="20"/>
          <w:szCs w:val="20"/>
        </w:rPr>
        <w:t>“RAZONES O MOTIVOS DE LA INCONFORMIDAD</w:t>
      </w:r>
    </w:p>
    <w:p w14:paraId="70912A7A" w14:textId="695E2B75" w:rsidR="00DA7EA2" w:rsidRPr="00527561" w:rsidRDefault="00FC667F" w:rsidP="00081E84">
      <w:pPr>
        <w:spacing w:after="0" w:line="360" w:lineRule="auto"/>
        <w:ind w:left="567"/>
        <w:contextualSpacing/>
        <w:rPr>
          <w:rFonts w:eastAsia="Times New Roman" w:cs="Times New Roman"/>
          <w:i/>
          <w:color w:val="auto"/>
          <w:sz w:val="20"/>
          <w:szCs w:val="20"/>
          <w:lang w:eastAsia="es-MX"/>
        </w:rPr>
      </w:pPr>
      <w:bookmarkStart w:id="1" w:name="_Hlk127390506"/>
      <w:r w:rsidRPr="00527561">
        <w:rPr>
          <w:rFonts w:cs="Tahoma"/>
          <w:i/>
          <w:sz w:val="20"/>
          <w:szCs w:val="20"/>
        </w:rPr>
        <w:t>NO ENTREGA INFORMACIÓN</w:t>
      </w:r>
      <w:bookmarkEnd w:id="1"/>
      <w:r w:rsidR="00DA7EA2" w:rsidRPr="00527561">
        <w:rPr>
          <w:rFonts w:cs="Tahoma"/>
          <w:i/>
          <w:sz w:val="20"/>
          <w:szCs w:val="20"/>
        </w:rPr>
        <w:t>” (Sic.)</w:t>
      </w:r>
    </w:p>
    <w:p w14:paraId="0C177CBD" w14:textId="77777777" w:rsidR="00DA7EA2" w:rsidRPr="00527561" w:rsidRDefault="00DA7EA2" w:rsidP="00081E84">
      <w:pPr>
        <w:spacing w:after="0" w:line="360" w:lineRule="auto"/>
        <w:contextualSpacing/>
        <w:rPr>
          <w:rFonts w:cs="Tahoma"/>
          <w:bCs/>
        </w:rPr>
      </w:pPr>
    </w:p>
    <w:p w14:paraId="7C192038" w14:textId="77777777" w:rsidR="00DA7EA2" w:rsidRPr="00527561" w:rsidRDefault="00DA7EA2" w:rsidP="00081E84">
      <w:pPr>
        <w:spacing w:after="0" w:line="360" w:lineRule="auto"/>
        <w:contextualSpacing/>
        <w:rPr>
          <w:rFonts w:eastAsia="Batang" w:cs="Tahoma"/>
          <w:b/>
          <w:bCs/>
        </w:rPr>
      </w:pPr>
      <w:r w:rsidRPr="00527561">
        <w:rPr>
          <w:rFonts w:cs="Tahoma"/>
          <w:b/>
        </w:rPr>
        <w:t xml:space="preserve">IV. </w:t>
      </w:r>
      <w:r w:rsidRPr="00527561">
        <w:rPr>
          <w:rFonts w:eastAsia="Batang" w:cs="Tahoma"/>
          <w:b/>
          <w:bCs/>
        </w:rPr>
        <w:t xml:space="preserve">Trámite del </w:t>
      </w:r>
      <w:r w:rsidRPr="00527561">
        <w:rPr>
          <w:rFonts w:cs="Tahoma"/>
          <w:b/>
        </w:rPr>
        <w:t xml:space="preserve">Recurso de Revisión </w:t>
      </w:r>
      <w:r w:rsidRPr="00527561">
        <w:rPr>
          <w:rFonts w:eastAsia="Batang" w:cs="Tahoma"/>
          <w:b/>
          <w:bCs/>
        </w:rPr>
        <w:t>ante este Instituto.</w:t>
      </w:r>
    </w:p>
    <w:p w14:paraId="6AF60212" w14:textId="77777777" w:rsidR="00DA7EA2" w:rsidRPr="00527561" w:rsidRDefault="00DA7EA2" w:rsidP="00081E84">
      <w:pPr>
        <w:spacing w:after="0" w:line="360" w:lineRule="auto"/>
        <w:contextualSpacing/>
        <w:rPr>
          <w:rFonts w:eastAsia="Batang" w:cs="Tahoma"/>
          <w:b/>
          <w:bCs/>
        </w:rPr>
      </w:pPr>
    </w:p>
    <w:p w14:paraId="7ABA64F2" w14:textId="4F2E989D" w:rsidR="00DA7EA2" w:rsidRPr="00527561" w:rsidRDefault="00DA7EA2" w:rsidP="00081E84">
      <w:pPr>
        <w:spacing w:after="0" w:line="360" w:lineRule="auto"/>
        <w:contextualSpacing/>
        <w:rPr>
          <w:rFonts w:eastAsia="Batang" w:cs="Tahoma"/>
          <w:bCs/>
        </w:rPr>
      </w:pPr>
      <w:r w:rsidRPr="00527561">
        <w:rPr>
          <w:rFonts w:eastAsia="Batang" w:cs="Tahoma"/>
          <w:b/>
          <w:bCs/>
        </w:rPr>
        <w:t xml:space="preserve">a) Turno del Medio de Impugnación. </w:t>
      </w:r>
      <w:r w:rsidRPr="00527561">
        <w:rPr>
          <w:rFonts w:eastAsia="Batang" w:cs="Tahoma"/>
          <w:bCs/>
        </w:rPr>
        <w:t xml:space="preserve">El </w:t>
      </w:r>
      <w:r w:rsidR="00FC667F" w:rsidRPr="00527561">
        <w:rPr>
          <w:rFonts w:eastAsia="Batang" w:cs="Tahoma"/>
          <w:bCs/>
        </w:rPr>
        <w:t>dieciséis de enero de dos mil veintitrés</w:t>
      </w:r>
      <w:r w:rsidRPr="00527561">
        <w:rPr>
          <w:rFonts w:eastAsia="Batang" w:cs="Tahoma"/>
          <w:bCs/>
        </w:rPr>
        <w:t xml:space="preserve">, el </w:t>
      </w:r>
      <w:r w:rsidRPr="00527561">
        <w:rPr>
          <w:rFonts w:cs="Tahoma"/>
        </w:rPr>
        <w:t>Sistema de Acceso a la Información Mexiquense (SAIMEX),</w:t>
      </w:r>
      <w:r w:rsidRPr="00527561">
        <w:rPr>
          <w:rFonts w:eastAsia="Batang" w:cs="Tahoma"/>
          <w:bCs/>
        </w:rPr>
        <w:t xml:space="preserve"> asignó el número de expediente </w:t>
      </w:r>
      <w:r w:rsidR="00FC667F" w:rsidRPr="00527561">
        <w:rPr>
          <w:b/>
          <w:bCs/>
        </w:rPr>
        <w:t>00271/INFOEM/IP/RR/2023</w:t>
      </w:r>
      <w:r w:rsidRPr="00527561">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5BBF9438" w14:textId="77777777" w:rsidR="00DA7EA2" w:rsidRPr="00527561" w:rsidRDefault="00DA7EA2" w:rsidP="00081E84">
      <w:pPr>
        <w:spacing w:after="0" w:line="360" w:lineRule="auto"/>
        <w:contextualSpacing/>
        <w:rPr>
          <w:rFonts w:eastAsia="Batang" w:cs="Tahoma"/>
          <w:bCs/>
        </w:rPr>
      </w:pPr>
    </w:p>
    <w:p w14:paraId="5FA60F5E" w14:textId="3C7DEA66" w:rsidR="00DA7EA2" w:rsidRPr="00527561" w:rsidRDefault="00DA7EA2" w:rsidP="00081E84">
      <w:pPr>
        <w:spacing w:after="0" w:line="360" w:lineRule="auto"/>
        <w:contextualSpacing/>
        <w:rPr>
          <w:rFonts w:eastAsia="Times New Roman" w:cs="Tahoma"/>
          <w:b/>
        </w:rPr>
      </w:pPr>
      <w:r w:rsidRPr="00527561">
        <w:rPr>
          <w:rFonts w:eastAsia="Batang" w:cs="Tahoma"/>
          <w:b/>
          <w:bCs/>
        </w:rPr>
        <w:t xml:space="preserve">b) Admisión del </w:t>
      </w:r>
      <w:r w:rsidRPr="00527561">
        <w:rPr>
          <w:rFonts w:cs="Tahoma"/>
          <w:b/>
        </w:rPr>
        <w:t>Recurso de Revisión</w:t>
      </w:r>
      <w:r w:rsidRPr="00527561">
        <w:rPr>
          <w:rFonts w:eastAsia="Batang" w:cs="Tahoma"/>
          <w:b/>
          <w:bCs/>
        </w:rPr>
        <w:t xml:space="preserve">. </w:t>
      </w:r>
      <w:r w:rsidRPr="00527561">
        <w:rPr>
          <w:rFonts w:eastAsia="Batang" w:cs="Tahoma"/>
          <w:bCs/>
        </w:rPr>
        <w:t xml:space="preserve">El </w:t>
      </w:r>
      <w:r w:rsidR="00FC667F" w:rsidRPr="00527561">
        <w:rPr>
          <w:rFonts w:eastAsia="Batang" w:cs="Tahoma"/>
          <w:bCs/>
        </w:rPr>
        <w:t>diecinueve de enero de dos mil veintitrés</w:t>
      </w:r>
      <w:r w:rsidRPr="00527561">
        <w:rPr>
          <w:rFonts w:eastAsia="Batang" w:cs="Tahoma"/>
          <w:bC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FC667F" w:rsidRPr="00527561">
        <w:rPr>
          <w:rFonts w:eastAsia="Batang" w:cs="Tahoma"/>
          <w:bCs/>
        </w:rPr>
        <w:t>veintitrés</w:t>
      </w:r>
      <w:r w:rsidRPr="00527561">
        <w:rPr>
          <w:rFonts w:eastAsia="Batang" w:cs="Tahoma"/>
          <w:bCs/>
        </w:rPr>
        <w:t xml:space="preserve"> de dicho mes y año, a través del Sistema de Acceso a la Información Mexiquense (SAIMEX), en el que se les otorgó un plazo de siete días hábiles posteriores a la misma, para que manifestaran lo que a su derecho conviniera y formularan alegatos. </w:t>
      </w:r>
    </w:p>
    <w:p w14:paraId="00A87FFD" w14:textId="77777777" w:rsidR="00DA7EA2" w:rsidRPr="00527561" w:rsidRDefault="00DA7EA2" w:rsidP="00081E84">
      <w:pPr>
        <w:spacing w:after="0" w:line="360" w:lineRule="auto"/>
        <w:contextualSpacing/>
        <w:rPr>
          <w:rFonts w:cs="Tahoma"/>
          <w:bCs/>
        </w:rPr>
      </w:pPr>
    </w:p>
    <w:p w14:paraId="5B42C388" w14:textId="459622A5" w:rsidR="00DA7EA2" w:rsidRPr="00527561" w:rsidRDefault="00DA7EA2" w:rsidP="00081E84">
      <w:pPr>
        <w:spacing w:after="0" w:line="360" w:lineRule="auto"/>
        <w:contextualSpacing/>
        <w:rPr>
          <w:rFonts w:cs="Tahoma"/>
          <w:bCs/>
        </w:rPr>
      </w:pPr>
      <w:r w:rsidRPr="00527561">
        <w:rPr>
          <w:rFonts w:cs="Tahoma"/>
          <w:b/>
        </w:rPr>
        <w:t xml:space="preserve">c) </w:t>
      </w:r>
      <w:r w:rsidRPr="00527561">
        <w:rPr>
          <w:rFonts w:cs="Tahoma"/>
          <w:b/>
          <w:bCs/>
          <w:iCs/>
          <w:lang w:val="es-ES"/>
        </w:rPr>
        <w:t>Informe Justificado.</w:t>
      </w:r>
      <w:r w:rsidRPr="00527561">
        <w:rPr>
          <w:rFonts w:cs="Tahoma"/>
          <w:bCs/>
          <w:iCs/>
          <w:lang w:val="es-ES"/>
        </w:rPr>
        <w:t xml:space="preserve"> </w:t>
      </w:r>
      <w:r w:rsidRPr="00527561">
        <w:rPr>
          <w:rFonts w:cs="Tahoma"/>
          <w:bCs/>
          <w:lang w:val="es-ES_tradnl"/>
        </w:rPr>
        <w:t xml:space="preserve">El </w:t>
      </w:r>
      <w:r w:rsidR="00AE113E" w:rsidRPr="00527561">
        <w:rPr>
          <w:rFonts w:cs="Tahoma"/>
          <w:bCs/>
          <w:lang w:val="es-ES_tradnl"/>
        </w:rPr>
        <w:t>nueve de enero</w:t>
      </w:r>
      <w:r w:rsidRPr="00527561">
        <w:rPr>
          <w:rFonts w:cs="Tahoma"/>
          <w:bCs/>
          <w:lang w:val="es-ES_tradnl"/>
        </w:rPr>
        <w:t xml:space="preserve"> de dos mil veinti</w:t>
      </w:r>
      <w:r w:rsidR="00AE113E" w:rsidRPr="00527561">
        <w:rPr>
          <w:rFonts w:cs="Tahoma"/>
          <w:bCs/>
          <w:lang w:val="es-ES_tradnl"/>
        </w:rPr>
        <w:t>tré</w:t>
      </w:r>
      <w:r w:rsidRPr="00527561">
        <w:rPr>
          <w:rFonts w:cs="Tahoma"/>
          <w:bCs/>
          <w:lang w:val="es-ES_tradnl"/>
        </w:rPr>
        <w:t>s, se recibió en este Instituto, a través del Sistema de Acceso a la Información Mexiquense (SAIMEX), el Informe Justificado del Sujeto Obligado, a través</w:t>
      </w:r>
      <w:r w:rsidRPr="00527561">
        <w:rPr>
          <w:rFonts w:cs="Tahoma"/>
          <w:bCs/>
        </w:rPr>
        <w:t xml:space="preserve"> de</w:t>
      </w:r>
      <w:r w:rsidR="00AE113E" w:rsidRPr="00527561">
        <w:rPr>
          <w:rFonts w:cs="Tahoma"/>
          <w:bCs/>
        </w:rPr>
        <w:t xml:space="preserve">l oficio presentado en su respuesta primigenia. </w:t>
      </w:r>
    </w:p>
    <w:p w14:paraId="1F1DADC1" w14:textId="77777777" w:rsidR="00DA7EA2" w:rsidRPr="00527561" w:rsidRDefault="00DA7EA2" w:rsidP="00081E84">
      <w:pPr>
        <w:spacing w:after="0" w:line="360" w:lineRule="auto"/>
        <w:contextualSpacing/>
        <w:rPr>
          <w:rFonts w:eastAsia="Palatino Linotype" w:cs="Palatino Linotype"/>
          <w:b/>
          <w:bCs/>
        </w:rPr>
      </w:pPr>
    </w:p>
    <w:p w14:paraId="1E0A6D7D" w14:textId="57921E59" w:rsidR="00DA7EA2" w:rsidRPr="00527561" w:rsidRDefault="00DA7EA2" w:rsidP="00081E84">
      <w:pPr>
        <w:widowControl w:val="0"/>
        <w:spacing w:after="0" w:line="360" w:lineRule="auto"/>
        <w:contextualSpacing/>
        <w:rPr>
          <w:rFonts w:eastAsia="Times New Roman" w:cs="Times New Roman"/>
          <w:bCs/>
          <w:color w:val="auto"/>
          <w:lang w:val="es-ES_tradnl" w:eastAsia="es-ES"/>
        </w:rPr>
      </w:pPr>
      <w:r w:rsidRPr="00527561">
        <w:rPr>
          <w:rFonts w:eastAsia="Times New Roman" w:cs="Times New Roman"/>
          <w:b/>
          <w:color w:val="auto"/>
          <w:lang w:val="es-ES_tradnl" w:eastAsia="es-ES"/>
        </w:rPr>
        <w:lastRenderedPageBreak/>
        <w:t>e) Vista del Informe Justificado.</w:t>
      </w:r>
      <w:r w:rsidRPr="00527561">
        <w:rPr>
          <w:rFonts w:eastAsia="Times New Roman" w:cs="Times New Roman"/>
          <w:bCs/>
          <w:color w:val="auto"/>
          <w:lang w:val="es-ES_tradnl" w:eastAsia="es-ES"/>
        </w:rPr>
        <w:t xml:space="preserve"> El </w:t>
      </w:r>
      <w:r w:rsidR="00FC667F" w:rsidRPr="00527561">
        <w:rPr>
          <w:rFonts w:eastAsia="Times New Roman" w:cs="Times New Roman"/>
          <w:bCs/>
          <w:color w:val="auto"/>
          <w:lang w:val="es-ES_tradnl" w:eastAsia="es-ES"/>
        </w:rPr>
        <w:t>quince de febrero</w:t>
      </w:r>
      <w:r w:rsidRPr="00527561">
        <w:rPr>
          <w:rFonts w:eastAsia="Times New Roman" w:cs="Times New Roman"/>
          <w:bCs/>
          <w:color w:val="auto"/>
          <w:lang w:val="es-ES_tradnl" w:eastAsia="es-ES"/>
        </w:rPr>
        <w:t xml:space="preserve"> de dos mil </w:t>
      </w:r>
      <w:r w:rsidR="00FC667F" w:rsidRPr="00527561">
        <w:rPr>
          <w:rFonts w:eastAsia="Times New Roman" w:cs="Times New Roman"/>
          <w:bCs/>
          <w:color w:val="auto"/>
          <w:lang w:val="es-ES_tradnl" w:eastAsia="es-ES"/>
        </w:rPr>
        <w:t>veintitrés</w:t>
      </w:r>
      <w:r w:rsidRPr="00527561">
        <w:rPr>
          <w:rFonts w:eastAsia="Times New Roman" w:cs="Times New Roman"/>
          <w:bCs/>
          <w:color w:val="auto"/>
          <w:lang w:val="es-ES_tradnl" w:eastAsia="es-ES"/>
        </w:rPr>
        <w:t xml:space="preserve">, se dictó acuerdo mediante el cual se puso a la vista del Particular el Informe Justificado, entregado por el Sujeto Obligado, para robustecer su respuesta inicial, el cual fue notificado a las partes, a través del Sistema de Acceso a la Información Mexiquense (SAIMEX). </w:t>
      </w:r>
      <w:r w:rsidRPr="00527561">
        <w:rPr>
          <w:rFonts w:eastAsia="Times New Roman" w:cs="Times New Roman"/>
          <w:b/>
          <w:color w:val="auto"/>
          <w:lang w:val="es-ES_tradnl" w:eastAsia="es-ES"/>
        </w:rPr>
        <w:t>Cabe señalar que el Recurrente fue omiso en realizar alguna manifestación que a su derecho conviniera y asistiera.</w:t>
      </w:r>
      <w:r w:rsidRPr="00527561">
        <w:rPr>
          <w:rFonts w:eastAsia="Times New Roman" w:cs="Times New Roman"/>
          <w:bCs/>
          <w:color w:val="auto"/>
          <w:lang w:val="es-ES_tradnl" w:eastAsia="es-ES"/>
        </w:rPr>
        <w:t xml:space="preserve"> </w:t>
      </w:r>
    </w:p>
    <w:p w14:paraId="111728DC" w14:textId="77777777" w:rsidR="00DA7EA2" w:rsidRPr="00527561" w:rsidRDefault="00DA7EA2" w:rsidP="00081E84">
      <w:pPr>
        <w:spacing w:after="0" w:line="360" w:lineRule="auto"/>
        <w:contextualSpacing/>
        <w:rPr>
          <w:rFonts w:eastAsia="Palatino Linotype" w:cs="Palatino Linotype"/>
        </w:rPr>
      </w:pPr>
    </w:p>
    <w:p w14:paraId="4087283C" w14:textId="21983D9B" w:rsidR="00DA7EA2" w:rsidRPr="00527561" w:rsidRDefault="00DA7EA2" w:rsidP="00081E84">
      <w:pPr>
        <w:spacing w:after="0" w:line="360" w:lineRule="auto"/>
        <w:contextualSpacing/>
        <w:rPr>
          <w:rFonts w:cs="Tahoma"/>
        </w:rPr>
      </w:pPr>
      <w:r w:rsidRPr="00527561">
        <w:rPr>
          <w:rFonts w:cs="Tahoma"/>
          <w:b/>
          <w:bCs/>
        </w:rPr>
        <w:t>f) Cierre de instrucción.</w:t>
      </w:r>
      <w:r w:rsidRPr="00527561">
        <w:rPr>
          <w:rFonts w:cs="Tahoma"/>
        </w:rPr>
        <w:t xml:space="preserve">  El </w:t>
      </w:r>
      <w:r w:rsidR="00FC667F" w:rsidRPr="00527561">
        <w:rPr>
          <w:rFonts w:cs="Tahoma"/>
        </w:rPr>
        <w:t>veintiuno</w:t>
      </w:r>
      <w:r w:rsidR="00A62994" w:rsidRPr="00527561">
        <w:rPr>
          <w:rFonts w:cs="Tahoma"/>
        </w:rPr>
        <w:t xml:space="preserve"> de febrero</w:t>
      </w:r>
      <w:r w:rsidRPr="00527561">
        <w:rPr>
          <w:rFonts w:cs="Tahoma"/>
        </w:rPr>
        <w:t xml:space="preserve"> de dos mil veintitrés,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Sistema de Acceso a la Información Mexiquense (SAIMEX).</w:t>
      </w:r>
    </w:p>
    <w:p w14:paraId="1C1F5500" w14:textId="77777777" w:rsidR="00DA7EA2" w:rsidRPr="00527561" w:rsidRDefault="00DA7EA2" w:rsidP="00081E84">
      <w:pPr>
        <w:spacing w:after="0" w:line="360" w:lineRule="auto"/>
        <w:contextualSpacing/>
        <w:rPr>
          <w:rFonts w:cs="Tahoma"/>
          <w:b/>
          <w:bCs/>
        </w:rPr>
      </w:pPr>
    </w:p>
    <w:p w14:paraId="790C943F" w14:textId="77777777" w:rsidR="00DA7EA2" w:rsidRPr="00527561" w:rsidRDefault="00DA7EA2" w:rsidP="00081E84">
      <w:pPr>
        <w:spacing w:after="0" w:line="360" w:lineRule="auto"/>
        <w:contextualSpacing/>
        <w:rPr>
          <w:rFonts w:cs="Tahoma"/>
        </w:rPr>
      </w:pPr>
      <w:r w:rsidRPr="00527561">
        <w:rPr>
          <w:rFonts w:cs="Tahoma"/>
        </w:rPr>
        <w:t xml:space="preserve">En razón de que fue debidamente sustanciado el expediente electrónico y no existe diligencia pendiente de desahogo, se emite la resolución que conforme a Derecho proceda, de acuerdo a los siguientes: </w:t>
      </w:r>
    </w:p>
    <w:p w14:paraId="72A03E61" w14:textId="77777777" w:rsidR="00DA7EA2" w:rsidRPr="00527561" w:rsidRDefault="00DA7EA2" w:rsidP="00081E84">
      <w:pPr>
        <w:spacing w:after="0" w:line="360" w:lineRule="auto"/>
        <w:contextualSpacing/>
        <w:jc w:val="center"/>
        <w:rPr>
          <w:rFonts w:cs="Tahoma"/>
          <w:b/>
        </w:rPr>
      </w:pPr>
    </w:p>
    <w:p w14:paraId="0885F512" w14:textId="77777777" w:rsidR="00DA7EA2" w:rsidRPr="00527561" w:rsidRDefault="00DA7EA2" w:rsidP="00081E84">
      <w:pPr>
        <w:spacing w:after="0" w:line="360" w:lineRule="auto"/>
        <w:contextualSpacing/>
        <w:jc w:val="center"/>
        <w:rPr>
          <w:rFonts w:cs="Tahoma"/>
          <w:b/>
        </w:rPr>
      </w:pPr>
      <w:r w:rsidRPr="00527561">
        <w:rPr>
          <w:rFonts w:cs="Tahoma"/>
          <w:b/>
        </w:rPr>
        <w:t>CONSIDERANDOS:</w:t>
      </w:r>
    </w:p>
    <w:p w14:paraId="16176153" w14:textId="77777777" w:rsidR="00DA7EA2" w:rsidRPr="00527561" w:rsidRDefault="00DA7EA2" w:rsidP="00081E84">
      <w:pPr>
        <w:spacing w:after="0" w:line="360" w:lineRule="auto"/>
        <w:contextualSpacing/>
        <w:jc w:val="center"/>
        <w:rPr>
          <w:rFonts w:cs="Tahoma"/>
          <w:b/>
        </w:rPr>
      </w:pPr>
    </w:p>
    <w:p w14:paraId="19FD5FF5" w14:textId="77777777" w:rsidR="00DA7EA2" w:rsidRPr="00527561" w:rsidRDefault="00DA7EA2" w:rsidP="00081E84">
      <w:pPr>
        <w:spacing w:after="0" w:line="360" w:lineRule="auto"/>
        <w:contextualSpacing/>
        <w:rPr>
          <w:rFonts w:eastAsia="Batang" w:cs="Tahoma"/>
          <w:b/>
          <w:bCs/>
          <w:color w:val="auto"/>
          <w:lang w:eastAsia="es-ES"/>
        </w:rPr>
      </w:pPr>
      <w:r w:rsidRPr="00527561">
        <w:rPr>
          <w:rFonts w:eastAsia="Batang" w:cs="Tahoma"/>
          <w:b/>
          <w:bCs/>
          <w:color w:val="auto"/>
          <w:lang w:eastAsia="es-ES"/>
        </w:rPr>
        <w:t xml:space="preserve">PRIMERO. Competencia. </w:t>
      </w:r>
    </w:p>
    <w:p w14:paraId="2E110BED" w14:textId="77777777" w:rsidR="00081E84" w:rsidRPr="00527561" w:rsidRDefault="00081E84" w:rsidP="00081E84">
      <w:pPr>
        <w:spacing w:after="0" w:line="360" w:lineRule="auto"/>
        <w:contextualSpacing/>
        <w:rPr>
          <w:rFonts w:eastAsia="Batang" w:cs="Tahoma"/>
          <w:b/>
          <w:bCs/>
          <w:color w:val="auto"/>
          <w:lang w:eastAsia="es-ES"/>
        </w:rPr>
      </w:pPr>
    </w:p>
    <w:p w14:paraId="6B41CB51" w14:textId="77777777" w:rsidR="00081E84" w:rsidRPr="00527561" w:rsidRDefault="00081E84" w:rsidP="00081E84">
      <w:pPr>
        <w:shd w:val="clear" w:color="auto" w:fill="FFFFFF"/>
        <w:spacing w:after="0" w:line="360" w:lineRule="auto"/>
        <w:contextualSpacing/>
        <w:rPr>
          <w:rFonts w:eastAsia="Times New Roman" w:cs="Tahoma"/>
          <w:bCs/>
          <w:color w:val="auto"/>
          <w:lang w:eastAsia="es-ES"/>
        </w:rPr>
      </w:pPr>
      <w:bookmarkStart w:id="2" w:name="_Hlk63334754"/>
      <w:r w:rsidRPr="00527561">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w:t>
      </w:r>
      <w:r w:rsidRPr="00527561">
        <w:rPr>
          <w:rFonts w:eastAsia="Times New Roman" w:cs="Tahoma"/>
          <w:bCs/>
          <w:color w:val="auto"/>
          <w:lang w:eastAsia="es-ES"/>
        </w:rPr>
        <w:lastRenderedPageBreak/>
        <w:t>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bookmarkEnd w:id="2"/>
    </w:p>
    <w:p w14:paraId="2AC18F45" w14:textId="77777777" w:rsidR="00DA7EA2" w:rsidRPr="00527561" w:rsidRDefault="00DA7EA2" w:rsidP="00081E84">
      <w:pPr>
        <w:shd w:val="clear" w:color="auto" w:fill="FFFFFF"/>
        <w:spacing w:after="0" w:line="360" w:lineRule="auto"/>
        <w:contextualSpacing/>
        <w:rPr>
          <w:rFonts w:eastAsia="Times New Roman" w:cs="Times New Roman"/>
          <w:b/>
          <w:bCs/>
          <w:color w:val="000000"/>
          <w:lang w:eastAsia="es-ES"/>
        </w:rPr>
      </w:pPr>
    </w:p>
    <w:p w14:paraId="5EA214EB" w14:textId="77777777" w:rsidR="00DA7EA2" w:rsidRPr="00527561" w:rsidRDefault="00DA7EA2" w:rsidP="00081E84">
      <w:pPr>
        <w:shd w:val="clear" w:color="auto" w:fill="FFFFFF"/>
        <w:spacing w:after="0" w:line="360" w:lineRule="auto"/>
        <w:contextualSpacing/>
        <w:rPr>
          <w:rFonts w:eastAsia="Times New Roman" w:cs="Times New Roman"/>
          <w:color w:val="222222"/>
          <w:sz w:val="20"/>
          <w:szCs w:val="20"/>
          <w:lang w:eastAsia="es-ES"/>
        </w:rPr>
      </w:pPr>
      <w:r w:rsidRPr="00527561">
        <w:rPr>
          <w:rFonts w:eastAsia="Times New Roman" w:cs="Times New Roman"/>
          <w:b/>
          <w:bCs/>
          <w:color w:val="000000"/>
          <w:lang w:eastAsia="es-ES"/>
        </w:rPr>
        <w:t>SEGUNDO. Causales de procedencia y sobreseimiento.</w:t>
      </w:r>
    </w:p>
    <w:p w14:paraId="0B0966D2" w14:textId="77777777" w:rsidR="00DA7EA2" w:rsidRPr="00527561" w:rsidRDefault="00DA7EA2" w:rsidP="00081E84">
      <w:pPr>
        <w:shd w:val="clear" w:color="auto" w:fill="FFFFFF"/>
        <w:spacing w:after="0" w:line="360" w:lineRule="auto"/>
        <w:contextualSpacing/>
        <w:rPr>
          <w:rFonts w:eastAsia="Times New Roman" w:cs="Times New Roman"/>
          <w:color w:val="222222"/>
          <w:sz w:val="20"/>
          <w:szCs w:val="20"/>
          <w:lang w:eastAsia="es-ES"/>
        </w:rPr>
      </w:pPr>
    </w:p>
    <w:p w14:paraId="02BA4BE7" w14:textId="77777777" w:rsidR="00DA7EA2" w:rsidRPr="00527561" w:rsidRDefault="00DA7EA2" w:rsidP="00081E84">
      <w:pPr>
        <w:shd w:val="clear" w:color="auto" w:fill="FFFFFF"/>
        <w:spacing w:after="0" w:line="360" w:lineRule="auto"/>
        <w:contextualSpacing/>
        <w:rPr>
          <w:rFonts w:eastAsia="Times New Roman" w:cs="Times New Roman"/>
          <w:color w:val="000000"/>
          <w:lang w:eastAsia="es-ES"/>
        </w:rPr>
      </w:pPr>
      <w:r w:rsidRPr="00527561">
        <w:rPr>
          <w:rFonts w:eastAsia="Times New Roman" w:cs="Times New Roman"/>
          <w:color w:val="000000"/>
          <w:lang w:eastAsia="es-ES"/>
        </w:rPr>
        <w:t xml:space="preserve">De las constancias que forman parte de los Recursos de Revisión que se analizan, se advierte que previo al estudio del fondo de la </w:t>
      </w:r>
      <w:r w:rsidRPr="00527561">
        <w:rPr>
          <w:rFonts w:eastAsia="Times New Roman" w:cs="Times New Roman"/>
          <w:i/>
          <w:color w:val="000000"/>
          <w:lang w:eastAsia="es-ES"/>
        </w:rPr>
        <w:t>litis</w:t>
      </w:r>
      <w:r w:rsidRPr="00527561">
        <w:rPr>
          <w:rFonts w:eastAsia="Times New Roman" w:cs="Times New Roman"/>
          <w:color w:val="000000"/>
          <w:lang w:eastAsia="es-ES"/>
        </w:rPr>
        <w:t>, es necesario estudiar las causales de improcedencia y sobreseimiento que se adviertan, para determinar lo que en Derecho proceda.</w:t>
      </w:r>
    </w:p>
    <w:p w14:paraId="3FFE8694" w14:textId="77777777" w:rsidR="00DA7EA2" w:rsidRPr="00527561" w:rsidRDefault="00DA7EA2" w:rsidP="00081E84">
      <w:pPr>
        <w:shd w:val="clear" w:color="auto" w:fill="FFFFFF"/>
        <w:spacing w:after="0" w:line="360" w:lineRule="auto"/>
        <w:contextualSpacing/>
        <w:rPr>
          <w:rFonts w:eastAsia="Times New Roman" w:cs="Times New Roman"/>
          <w:color w:val="222222"/>
          <w:sz w:val="20"/>
          <w:szCs w:val="20"/>
          <w:lang w:eastAsia="es-ES"/>
        </w:rPr>
      </w:pPr>
    </w:p>
    <w:p w14:paraId="227DB54F" w14:textId="77777777" w:rsidR="00DA7EA2" w:rsidRPr="00527561" w:rsidRDefault="00DA7EA2" w:rsidP="00081E84">
      <w:pPr>
        <w:shd w:val="clear" w:color="auto" w:fill="FFFFFF"/>
        <w:spacing w:after="0" w:line="360" w:lineRule="auto"/>
        <w:contextualSpacing/>
        <w:rPr>
          <w:rFonts w:eastAsia="Times New Roman" w:cs="Times New Roman"/>
          <w:color w:val="222222"/>
          <w:sz w:val="20"/>
          <w:szCs w:val="20"/>
          <w:lang w:eastAsia="es-ES"/>
        </w:rPr>
      </w:pPr>
      <w:r w:rsidRPr="00527561">
        <w:rPr>
          <w:rFonts w:eastAsia="Times New Roman" w:cs="Times New Roman"/>
          <w:b/>
          <w:bCs/>
          <w:color w:val="000000"/>
          <w:lang w:eastAsia="es-ES"/>
        </w:rPr>
        <w:t>Causales de improcedencia.</w:t>
      </w:r>
    </w:p>
    <w:p w14:paraId="4BA16480" w14:textId="77777777" w:rsidR="00DA7EA2" w:rsidRPr="00527561" w:rsidRDefault="00DA7EA2" w:rsidP="00081E84">
      <w:pPr>
        <w:shd w:val="clear" w:color="auto" w:fill="FFFFFF"/>
        <w:spacing w:after="0" w:line="360" w:lineRule="auto"/>
        <w:contextualSpacing/>
        <w:rPr>
          <w:rFonts w:eastAsia="Times New Roman" w:cs="Times New Roman"/>
          <w:color w:val="222222"/>
          <w:sz w:val="20"/>
          <w:szCs w:val="20"/>
          <w:lang w:eastAsia="es-ES"/>
        </w:rPr>
      </w:pPr>
    </w:p>
    <w:p w14:paraId="09996350" w14:textId="77777777" w:rsidR="00DA7EA2" w:rsidRPr="00527561" w:rsidRDefault="00DA7EA2" w:rsidP="00081E84">
      <w:pPr>
        <w:spacing w:after="0" w:line="360" w:lineRule="auto"/>
        <w:contextualSpacing/>
        <w:rPr>
          <w:rFonts w:eastAsia="Times New Roman" w:cs="Tahoma"/>
          <w:bCs/>
          <w:color w:val="000000"/>
          <w:lang w:eastAsia="es-ES"/>
        </w:rPr>
      </w:pPr>
      <w:r w:rsidRPr="00527561">
        <w:rPr>
          <w:rFonts w:eastAsia="Times New Roman" w:cs="Tahoma"/>
          <w:bCs/>
          <w:color w:val="000000"/>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C839B40" w14:textId="77777777" w:rsidR="00DA7EA2" w:rsidRPr="00527561" w:rsidRDefault="00DA7EA2" w:rsidP="00081E84">
      <w:pPr>
        <w:spacing w:after="0" w:line="360" w:lineRule="auto"/>
        <w:contextualSpacing/>
        <w:rPr>
          <w:rFonts w:eastAsia="Times New Roman" w:cs="Tahoma"/>
          <w:bCs/>
          <w:color w:val="000000"/>
          <w:lang w:eastAsia="es-ES"/>
        </w:rPr>
      </w:pPr>
    </w:p>
    <w:p w14:paraId="3FE7C004" w14:textId="77777777" w:rsidR="00DA7EA2" w:rsidRPr="00527561" w:rsidRDefault="00DA7EA2" w:rsidP="00081E84">
      <w:pPr>
        <w:spacing w:after="0" w:line="360" w:lineRule="auto"/>
        <w:contextualSpacing/>
        <w:rPr>
          <w:rFonts w:eastAsia="Times New Roman" w:cs="Tahoma"/>
          <w:bCs/>
          <w:color w:val="000000"/>
          <w:lang w:eastAsia="es-ES"/>
        </w:rPr>
      </w:pPr>
      <w:r w:rsidRPr="00527561">
        <w:rPr>
          <w:rFonts w:eastAsia="Times New Roman" w:cs="Tahoma"/>
          <w:bCs/>
          <w:color w:val="000000"/>
          <w:lang w:eastAsia="es-ES"/>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w:t>
      </w:r>
      <w:r w:rsidRPr="00527561">
        <w:rPr>
          <w:rFonts w:eastAsia="Times New Roman" w:cs="Tahoma"/>
          <w:bCs/>
          <w:color w:val="000000"/>
          <w:lang w:eastAsia="es-ES"/>
        </w:rPr>
        <w:lastRenderedPageBreak/>
        <w:t>Recurrente ante otra instancia; no existió prevención alguna; la veracidad de la respuesta no formó parte del agravio; ni se realizó una ampliación a los alcances del requerimiento informativo.</w:t>
      </w:r>
    </w:p>
    <w:p w14:paraId="38BE2428" w14:textId="77777777" w:rsidR="00DA7EA2" w:rsidRPr="00527561" w:rsidRDefault="00DA7EA2" w:rsidP="00081E84">
      <w:pPr>
        <w:spacing w:after="0" w:line="360" w:lineRule="auto"/>
        <w:contextualSpacing/>
        <w:rPr>
          <w:rFonts w:eastAsia="Times New Roman" w:cs="Tahoma"/>
          <w:bCs/>
          <w:color w:val="000000"/>
          <w:lang w:eastAsia="es-ES"/>
        </w:rPr>
      </w:pPr>
    </w:p>
    <w:p w14:paraId="717DF00A" w14:textId="462F8F4D" w:rsidR="00DA7EA2" w:rsidRPr="00527561" w:rsidRDefault="00DA7EA2" w:rsidP="00081E84">
      <w:pPr>
        <w:autoSpaceDE w:val="0"/>
        <w:autoSpaceDN w:val="0"/>
        <w:adjustRightInd w:val="0"/>
        <w:spacing w:after="0" w:line="360" w:lineRule="auto"/>
        <w:contextualSpacing/>
        <w:rPr>
          <w:rFonts w:eastAsia="Calibri" w:cs="Tahoma"/>
          <w:color w:val="000000"/>
          <w:lang w:eastAsia="es-MX"/>
        </w:rPr>
      </w:pPr>
      <w:r w:rsidRPr="00527561">
        <w:rPr>
          <w:rFonts w:eastAsia="Calibri" w:cs="Tahoma"/>
          <w:color w:val="000000"/>
          <w:lang w:eastAsia="es-MX"/>
        </w:rPr>
        <w:t>Asimismo, se actualiza la causal de procedencia señalada en el artículo 179, fracción V</w:t>
      </w:r>
      <w:r w:rsidR="00081E84" w:rsidRPr="00527561">
        <w:rPr>
          <w:rFonts w:eastAsia="Calibri" w:cs="Tahoma"/>
          <w:color w:val="000000"/>
          <w:lang w:eastAsia="es-MX"/>
        </w:rPr>
        <w:t>I</w:t>
      </w:r>
      <w:r w:rsidRPr="00527561">
        <w:rPr>
          <w:rFonts w:eastAsia="Calibri" w:cs="Tahoma"/>
          <w:color w:val="000000"/>
          <w:lang w:eastAsia="es-MX"/>
        </w:rPr>
        <w:t>, de la Ley de la materia, toda vez que el Solicitante se inconformó con la entrega de información</w:t>
      </w:r>
      <w:r w:rsidR="00A62994" w:rsidRPr="00527561">
        <w:rPr>
          <w:rFonts w:eastAsia="Calibri" w:cs="Tahoma"/>
          <w:color w:val="000000"/>
          <w:lang w:eastAsia="es-MX"/>
        </w:rPr>
        <w:t xml:space="preserve"> </w:t>
      </w:r>
      <w:r w:rsidR="00081E84" w:rsidRPr="00527561">
        <w:rPr>
          <w:rFonts w:eastAsia="Calibri" w:cs="Tahoma"/>
          <w:color w:val="000000"/>
          <w:lang w:eastAsia="es-MX"/>
        </w:rPr>
        <w:t>que no corresponde con lo solicitado</w:t>
      </w:r>
      <w:r w:rsidRPr="00527561">
        <w:rPr>
          <w:rFonts w:eastAsia="Calibri" w:cs="Tahoma"/>
          <w:color w:val="000000"/>
          <w:lang w:eastAsia="es-MX"/>
        </w:rPr>
        <w:t>.</w:t>
      </w:r>
    </w:p>
    <w:p w14:paraId="076EA3DA" w14:textId="77777777" w:rsidR="00DA7EA2" w:rsidRPr="00527561" w:rsidRDefault="00DA7EA2" w:rsidP="00081E84">
      <w:pPr>
        <w:spacing w:after="0" w:line="360" w:lineRule="auto"/>
        <w:contextualSpacing/>
        <w:rPr>
          <w:rFonts w:eastAsia="Times New Roman" w:cs="Tahoma"/>
          <w:b/>
          <w:bCs/>
          <w:color w:val="0D0D0D" w:themeColor="text1" w:themeTint="F2"/>
          <w:lang w:eastAsia="es-ES"/>
        </w:rPr>
      </w:pPr>
    </w:p>
    <w:p w14:paraId="3A908B2F" w14:textId="77777777" w:rsidR="00DA7EA2" w:rsidRPr="00527561" w:rsidRDefault="00DA7EA2" w:rsidP="00081E84">
      <w:pPr>
        <w:spacing w:after="0" w:line="360" w:lineRule="auto"/>
        <w:contextualSpacing/>
        <w:rPr>
          <w:rFonts w:eastAsia="Times New Roman" w:cs="Tahoma"/>
          <w:bCs/>
          <w:color w:val="0D0D0D" w:themeColor="text1" w:themeTint="F2"/>
          <w:lang w:eastAsia="es-ES"/>
        </w:rPr>
      </w:pPr>
      <w:r w:rsidRPr="00527561">
        <w:rPr>
          <w:rFonts w:eastAsia="Times New Roman" w:cs="Tahoma"/>
          <w:b/>
          <w:bCs/>
          <w:color w:val="0D0D0D" w:themeColor="text1" w:themeTint="F2"/>
          <w:lang w:eastAsia="es-ES"/>
        </w:rPr>
        <w:t>Causales de sobreseimiento.</w:t>
      </w:r>
    </w:p>
    <w:p w14:paraId="56384B43" w14:textId="77777777" w:rsidR="00DA7EA2" w:rsidRPr="00527561" w:rsidRDefault="00DA7EA2" w:rsidP="00081E84">
      <w:pPr>
        <w:spacing w:after="0" w:line="360" w:lineRule="auto"/>
        <w:contextualSpacing/>
        <w:rPr>
          <w:rFonts w:eastAsia="Times New Roman" w:cs="Tahoma"/>
          <w:bCs/>
          <w:color w:val="0D0D0D" w:themeColor="text1" w:themeTint="F2"/>
          <w:lang w:eastAsia="es-ES"/>
        </w:rPr>
      </w:pPr>
    </w:p>
    <w:p w14:paraId="48AC243A" w14:textId="77777777" w:rsidR="00DA7EA2" w:rsidRPr="00527561" w:rsidRDefault="00DA7EA2" w:rsidP="00081E84">
      <w:pPr>
        <w:spacing w:after="0" w:line="360" w:lineRule="auto"/>
        <w:contextualSpacing/>
        <w:rPr>
          <w:rFonts w:eastAsia="Times New Roman" w:cs="Tahoma"/>
          <w:bCs/>
          <w:color w:val="0D0D0D" w:themeColor="text1" w:themeTint="F2"/>
          <w:lang w:eastAsia="es-ES"/>
        </w:rPr>
      </w:pPr>
      <w:r w:rsidRPr="00527561">
        <w:rPr>
          <w:rFonts w:eastAsia="Times New Roman" w:cs="Tahoma"/>
          <w:bCs/>
          <w:color w:val="0D0D0D" w:themeColor="text1" w:themeTint="F2"/>
          <w:lang w:eastAsia="es-ES"/>
        </w:rPr>
        <w:t xml:space="preserve">Por ser de previo y especial pronunciamiento, este Instituto analiza si se actualiza alguna causal de sobreseimiento. </w:t>
      </w:r>
    </w:p>
    <w:p w14:paraId="0EF6AB93" w14:textId="77777777" w:rsidR="00DA7EA2" w:rsidRPr="00527561" w:rsidRDefault="00DA7EA2" w:rsidP="00081E84">
      <w:pPr>
        <w:spacing w:after="0" w:line="360" w:lineRule="auto"/>
        <w:contextualSpacing/>
        <w:rPr>
          <w:rFonts w:eastAsia="Times New Roman" w:cs="Tahoma"/>
          <w:bCs/>
          <w:color w:val="0D0D0D" w:themeColor="text1" w:themeTint="F2"/>
          <w:lang w:eastAsia="es-ES"/>
        </w:rPr>
      </w:pPr>
    </w:p>
    <w:p w14:paraId="2820EC76" w14:textId="77777777" w:rsidR="00DA7EA2" w:rsidRPr="00527561" w:rsidRDefault="00DA7EA2" w:rsidP="00081E84">
      <w:pPr>
        <w:spacing w:after="0" w:line="360" w:lineRule="auto"/>
        <w:contextualSpacing/>
        <w:rPr>
          <w:rFonts w:eastAsia="Times New Roman" w:cs="Tahoma"/>
          <w:color w:val="auto"/>
          <w:szCs w:val="24"/>
          <w:lang w:eastAsia="es-ES"/>
        </w:rPr>
      </w:pPr>
      <w:r w:rsidRPr="00527561">
        <w:rPr>
          <w:rFonts w:eastAsia="Times New Roman" w:cs="Tahoma"/>
          <w:color w:val="auto"/>
          <w:szCs w:val="24"/>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 </w:t>
      </w:r>
    </w:p>
    <w:p w14:paraId="121C3E57" w14:textId="77777777" w:rsidR="00DA7EA2" w:rsidRPr="00527561" w:rsidRDefault="00DA7EA2" w:rsidP="00081E84">
      <w:pPr>
        <w:spacing w:after="0" w:line="360" w:lineRule="auto"/>
        <w:contextualSpacing/>
        <w:rPr>
          <w:rFonts w:eastAsia="Times New Roman" w:cs="Tahoma"/>
          <w:bCs/>
          <w:color w:val="0D0D0D" w:themeColor="text1" w:themeTint="F2"/>
          <w:lang w:eastAsia="es-ES"/>
        </w:rPr>
      </w:pPr>
    </w:p>
    <w:p w14:paraId="6090506B" w14:textId="77777777" w:rsidR="00DA7EA2" w:rsidRPr="00527561" w:rsidRDefault="00DA7EA2" w:rsidP="00081E84">
      <w:pPr>
        <w:spacing w:after="0" w:line="360" w:lineRule="auto"/>
        <w:contextualSpacing/>
        <w:rPr>
          <w:rFonts w:cs="Tahoma"/>
        </w:rPr>
      </w:pPr>
      <w:r w:rsidRPr="00527561">
        <w:rPr>
          <w:rFonts w:eastAsia="Times New Roman" w:cs="Tahoma"/>
          <w:bCs/>
          <w:color w:val="0D0D0D" w:themeColor="text1" w:themeTint="F2"/>
          <w:lang w:eastAsia="es-ES"/>
        </w:rPr>
        <w:t>Por tales motivos, se considera procedente entrar al fondo del presente asunto</w:t>
      </w:r>
      <w:r w:rsidRPr="00527561">
        <w:rPr>
          <w:rFonts w:cs="Tahoma"/>
        </w:rPr>
        <w:t xml:space="preserve">. </w:t>
      </w:r>
    </w:p>
    <w:p w14:paraId="1B69F749" w14:textId="77777777" w:rsidR="00DA7EA2" w:rsidRPr="00527561" w:rsidRDefault="00DA7EA2" w:rsidP="00081E84">
      <w:pPr>
        <w:tabs>
          <w:tab w:val="left" w:pos="4962"/>
        </w:tabs>
        <w:spacing w:after="0" w:line="360" w:lineRule="auto"/>
        <w:contextualSpacing/>
        <w:rPr>
          <w:rFonts w:cs="Tahoma"/>
        </w:rPr>
      </w:pPr>
    </w:p>
    <w:p w14:paraId="4B4059E6" w14:textId="77777777" w:rsidR="00DA7EA2" w:rsidRPr="00527561" w:rsidRDefault="00DA7EA2" w:rsidP="00081E84">
      <w:pPr>
        <w:tabs>
          <w:tab w:val="left" w:pos="4962"/>
        </w:tabs>
        <w:spacing w:after="0" w:line="360" w:lineRule="auto"/>
        <w:contextualSpacing/>
        <w:rPr>
          <w:rFonts w:eastAsia="Calibri" w:cs="Tahoma"/>
          <w:b/>
          <w:iCs/>
          <w:lang w:eastAsia="es-ES_tradnl"/>
        </w:rPr>
      </w:pPr>
      <w:r w:rsidRPr="00527561">
        <w:rPr>
          <w:rFonts w:eastAsia="Calibri" w:cs="Tahoma"/>
          <w:b/>
          <w:iCs/>
          <w:lang w:eastAsia="es-ES_tradnl"/>
        </w:rPr>
        <w:t xml:space="preserve">TERCERO. Determinación de la Controversia. </w:t>
      </w:r>
    </w:p>
    <w:p w14:paraId="7EC5B719" w14:textId="77777777" w:rsidR="00DA7EA2" w:rsidRPr="00527561" w:rsidRDefault="00DA7EA2" w:rsidP="00081E84">
      <w:pPr>
        <w:spacing w:after="0" w:line="360" w:lineRule="auto"/>
        <w:contextualSpacing/>
      </w:pPr>
    </w:p>
    <w:p w14:paraId="020E4587" w14:textId="28AAF3FF" w:rsidR="00DA7EA2" w:rsidRPr="00527561" w:rsidRDefault="00DA7EA2" w:rsidP="00081E84">
      <w:pPr>
        <w:tabs>
          <w:tab w:val="left" w:pos="4962"/>
        </w:tabs>
        <w:spacing w:after="0" w:line="360" w:lineRule="auto"/>
        <w:contextualSpacing/>
        <w:rPr>
          <w:rFonts w:eastAsia="Calibri" w:cs="Tahoma"/>
          <w:iCs/>
          <w:lang w:eastAsia="es-ES_tradnl"/>
        </w:rPr>
      </w:pPr>
      <w:r w:rsidRPr="00527561">
        <w:rPr>
          <w:rFonts w:eastAsia="Calibri" w:cs="Tahoma"/>
          <w:iCs/>
          <w:lang w:eastAsia="es-ES_tradnl"/>
        </w:rPr>
        <w:t xml:space="preserve">Con el objeto de ilustrar la controversia planteada, resulta conveniente precisar que, una vez realizado el estudio de las constancias que integran el expediente en que se actúa, se desprende </w:t>
      </w:r>
      <w:r w:rsidRPr="00527561">
        <w:rPr>
          <w:rFonts w:eastAsia="Calibri" w:cs="Tahoma"/>
          <w:iCs/>
          <w:lang w:eastAsia="es-ES_tradnl"/>
        </w:rPr>
        <w:lastRenderedPageBreak/>
        <w:t xml:space="preserve">que el Recurrente requirió </w:t>
      </w:r>
      <w:r w:rsidR="00FC667F" w:rsidRPr="00527561">
        <w:rPr>
          <w:rFonts w:eastAsia="Calibri" w:cs="Tahoma"/>
          <w:iCs/>
          <w:lang w:eastAsia="es-ES_tradnl"/>
        </w:rPr>
        <w:t>las Actas del Comité de Adquisiciones, del ejercicio fiscal dos mil veintidós.</w:t>
      </w:r>
    </w:p>
    <w:p w14:paraId="788E00DD" w14:textId="77777777" w:rsidR="00DA7EA2" w:rsidRPr="00527561" w:rsidRDefault="00DA7EA2" w:rsidP="00081E84">
      <w:pPr>
        <w:tabs>
          <w:tab w:val="left" w:pos="4962"/>
        </w:tabs>
        <w:spacing w:after="0" w:line="360" w:lineRule="auto"/>
        <w:contextualSpacing/>
        <w:rPr>
          <w:rFonts w:eastAsia="Calibri" w:cs="Tahoma"/>
          <w:iCs/>
          <w:lang w:eastAsia="es-ES_tradnl"/>
        </w:rPr>
      </w:pPr>
    </w:p>
    <w:p w14:paraId="7AC420A9" w14:textId="0FDE0F25" w:rsidR="00DA7EA2" w:rsidRPr="00527561" w:rsidRDefault="00DA7EA2" w:rsidP="00081E84">
      <w:pPr>
        <w:spacing w:after="0" w:line="360" w:lineRule="auto"/>
        <w:contextualSpacing/>
        <w:rPr>
          <w:rFonts w:cs="Tahoma"/>
          <w:bCs/>
          <w:iCs/>
        </w:rPr>
      </w:pPr>
      <w:r w:rsidRPr="00527561">
        <w:rPr>
          <w:rFonts w:cs="Tahoma"/>
          <w:bCs/>
          <w:iCs/>
        </w:rPr>
        <w:t xml:space="preserve">En respuesta, el Sujeto Obligado, </w:t>
      </w:r>
      <w:r w:rsidR="00FC667F" w:rsidRPr="00527561">
        <w:rPr>
          <w:rFonts w:cs="Tahoma"/>
          <w:bCs/>
          <w:iCs/>
        </w:rPr>
        <w:t>precisó que las Actas solicitadas se encontraban en proceso administrativo de firma y una vez concluido dicha circunstancia, se publicaría en el Portal de Información Pública de Oficio Mexiquense</w:t>
      </w:r>
      <w:r w:rsidRPr="00527561">
        <w:rPr>
          <w:rFonts w:cs="Tahoma"/>
          <w:bCs/>
          <w:iCs/>
        </w:rPr>
        <w:t xml:space="preserve">; </w:t>
      </w:r>
      <w:r w:rsidR="00FC667F" w:rsidRPr="00527561">
        <w:rPr>
          <w:rFonts w:cs="Tahoma"/>
          <w:bCs/>
          <w:iCs/>
        </w:rPr>
        <w:t>a</w:t>
      </w:r>
      <w:r w:rsidRPr="00527561">
        <w:rPr>
          <w:rFonts w:cs="Tahoma"/>
          <w:bCs/>
          <w:iCs/>
        </w:rPr>
        <w:t xml:space="preserve">nte dicha circunstancia, la Particular se inconformó con la entrega de información </w:t>
      </w:r>
      <w:r w:rsidR="00A62994" w:rsidRPr="00527561">
        <w:rPr>
          <w:rFonts w:cs="Tahoma"/>
          <w:bCs/>
          <w:iCs/>
        </w:rPr>
        <w:t>que no corresponde con lo solicitado</w:t>
      </w:r>
      <w:r w:rsidRPr="00527561">
        <w:rPr>
          <w:rFonts w:cs="Tahoma"/>
          <w:bCs/>
          <w:iCs/>
        </w:rPr>
        <w:t xml:space="preserve">, </w:t>
      </w:r>
      <w:r w:rsidR="00FC667F" w:rsidRPr="00527561">
        <w:rPr>
          <w:rFonts w:cs="Tahoma"/>
          <w:bCs/>
          <w:iCs/>
        </w:rPr>
        <w:t>al señalar que no le entregaban lo peticionado</w:t>
      </w:r>
      <w:r w:rsidRPr="00527561">
        <w:rPr>
          <w:rFonts w:cs="Tahoma"/>
          <w:bCs/>
          <w:iCs/>
        </w:rPr>
        <w:t>, lo cual actualiza la causal de procedencia establecida en el artículo 179, fracción V</w:t>
      </w:r>
      <w:r w:rsidR="00FC667F" w:rsidRPr="00527561">
        <w:rPr>
          <w:rFonts w:cs="Tahoma"/>
          <w:bCs/>
          <w:iCs/>
        </w:rPr>
        <w:t>I</w:t>
      </w:r>
      <w:r w:rsidRPr="00527561">
        <w:rPr>
          <w:rFonts w:cs="Tahoma"/>
          <w:bCs/>
          <w:iCs/>
        </w:rPr>
        <w:t xml:space="preserve">, de la Ley de Transparencia y Acceso a la Información Pública del Estado de México y Municipios. Así las cosas, una vez admitido y notificado el Recursos de Revisión a las partes, el Sujeto Obligado ratificó su respuesta. </w:t>
      </w:r>
    </w:p>
    <w:p w14:paraId="5125E669" w14:textId="77777777" w:rsidR="00DA7EA2" w:rsidRPr="00527561" w:rsidRDefault="00DA7EA2" w:rsidP="00081E84">
      <w:pPr>
        <w:spacing w:after="0" w:line="360" w:lineRule="auto"/>
        <w:contextualSpacing/>
        <w:rPr>
          <w:rFonts w:cs="Tahoma"/>
          <w:bCs/>
          <w:iCs/>
        </w:rPr>
      </w:pPr>
    </w:p>
    <w:p w14:paraId="36051D17" w14:textId="77777777" w:rsidR="00DA7EA2" w:rsidRPr="00527561" w:rsidRDefault="00DA7EA2" w:rsidP="00081E84">
      <w:pPr>
        <w:tabs>
          <w:tab w:val="left" w:pos="4962"/>
        </w:tabs>
        <w:spacing w:after="0" w:line="360" w:lineRule="auto"/>
        <w:contextualSpacing/>
        <w:rPr>
          <w:rFonts w:eastAsia="Calibri" w:cs="Tahoma"/>
          <w:bCs/>
        </w:rPr>
      </w:pPr>
      <w:r w:rsidRPr="00527561">
        <w:rPr>
          <w:rFonts w:eastAsia="Calibri" w:cs="Tahoma"/>
          <w:iCs/>
          <w:lang w:eastAsia="es-ES_tradnl"/>
        </w:rPr>
        <w:t xml:space="preserve">Lo anterior, se desprende de las documentales que obran en el expediente de referencia, materia de la presente resolución, consistente en: la solicitud de acceso a la información; la respuesta entregada, el escrito recursal y el Informe Justificado; </w:t>
      </w:r>
      <w:r w:rsidRPr="00527561">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D39D81D" w14:textId="77777777" w:rsidR="00DA7EA2" w:rsidRPr="00527561" w:rsidRDefault="00DA7EA2" w:rsidP="00081E84">
      <w:pPr>
        <w:tabs>
          <w:tab w:val="left" w:pos="4962"/>
        </w:tabs>
        <w:spacing w:after="0" w:line="360" w:lineRule="auto"/>
        <w:contextualSpacing/>
        <w:rPr>
          <w:rFonts w:eastAsia="Calibri" w:cs="Tahoma"/>
          <w:bCs/>
        </w:rPr>
      </w:pPr>
    </w:p>
    <w:p w14:paraId="2F24CBCB" w14:textId="77777777" w:rsidR="00DA7EA2" w:rsidRPr="00527561" w:rsidRDefault="00DA7EA2" w:rsidP="00081E84">
      <w:pPr>
        <w:spacing w:after="0" w:line="360" w:lineRule="auto"/>
        <w:contextualSpacing/>
        <w:rPr>
          <w:rFonts w:cs="Tahoma"/>
          <w:b/>
        </w:rPr>
      </w:pPr>
      <w:r w:rsidRPr="00527561">
        <w:rPr>
          <w:rFonts w:cs="Tahoma"/>
          <w:b/>
        </w:rPr>
        <w:t>CUARTO. Marco normativo aplicable en materia de transparencia y acceso a la información pública.</w:t>
      </w:r>
    </w:p>
    <w:p w14:paraId="31AAFCF2" w14:textId="77777777" w:rsidR="00DA7EA2" w:rsidRPr="00527561" w:rsidRDefault="00DA7EA2" w:rsidP="00081E84">
      <w:pPr>
        <w:spacing w:after="0" w:line="360" w:lineRule="auto"/>
        <w:contextualSpacing/>
        <w:rPr>
          <w:rFonts w:cs="Tahoma"/>
          <w:b/>
        </w:rPr>
      </w:pPr>
    </w:p>
    <w:p w14:paraId="07B68D5C" w14:textId="77777777" w:rsidR="00DA7EA2" w:rsidRPr="00527561" w:rsidRDefault="00DA7EA2" w:rsidP="00081E84">
      <w:pPr>
        <w:widowControl w:val="0"/>
        <w:spacing w:after="0" w:line="360" w:lineRule="auto"/>
        <w:contextualSpacing/>
        <w:rPr>
          <w:rFonts w:eastAsia="Times New Roman" w:cs="Tahoma"/>
          <w:lang w:eastAsia="es-MX"/>
        </w:rPr>
      </w:pPr>
      <w:r w:rsidRPr="00527561">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159B3CE" w14:textId="54F7B031" w:rsidR="00DA7EA2" w:rsidRPr="00527561" w:rsidRDefault="00DA7EA2" w:rsidP="00081E84">
      <w:pPr>
        <w:widowControl w:val="0"/>
        <w:spacing w:after="0" w:line="360" w:lineRule="auto"/>
        <w:contextualSpacing/>
        <w:rPr>
          <w:rFonts w:eastAsia="Times New Roman" w:cs="Tahoma"/>
          <w:lang w:eastAsia="es-MX"/>
        </w:rPr>
      </w:pPr>
    </w:p>
    <w:p w14:paraId="3D2F3905" w14:textId="77777777" w:rsidR="00FC667F" w:rsidRPr="00527561" w:rsidRDefault="00FC667F" w:rsidP="00081E84">
      <w:pPr>
        <w:widowControl w:val="0"/>
        <w:spacing w:after="0" w:line="360" w:lineRule="auto"/>
        <w:contextualSpacing/>
        <w:rPr>
          <w:rFonts w:eastAsia="Times New Roman" w:cs="Tahoma"/>
          <w:lang w:eastAsia="es-MX"/>
        </w:rPr>
      </w:pPr>
    </w:p>
    <w:p w14:paraId="69538DD8" w14:textId="77777777" w:rsidR="00DA7EA2" w:rsidRPr="00527561" w:rsidRDefault="00DA7EA2" w:rsidP="00081E84">
      <w:pPr>
        <w:widowControl w:val="0"/>
        <w:spacing w:after="0" w:line="360" w:lineRule="auto"/>
        <w:contextualSpacing/>
        <w:rPr>
          <w:rFonts w:eastAsia="Times New Roman" w:cs="Tahoma"/>
          <w:lang w:eastAsia="es-MX"/>
        </w:rPr>
      </w:pPr>
      <w:r w:rsidRPr="00527561">
        <w:rPr>
          <w:rFonts w:eastAsia="Times New Roman" w:cs="Tahoma"/>
          <w:lang w:eastAsia="es-MX"/>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45759786" w14:textId="77777777" w:rsidR="00DA7EA2" w:rsidRPr="00527561" w:rsidRDefault="00DA7EA2" w:rsidP="00081E84">
      <w:pPr>
        <w:widowControl w:val="0"/>
        <w:spacing w:after="0" w:line="360" w:lineRule="auto"/>
        <w:contextualSpacing/>
        <w:rPr>
          <w:rFonts w:eastAsia="Times New Roman" w:cs="Tahoma"/>
          <w:lang w:eastAsia="es-MX"/>
        </w:rPr>
      </w:pPr>
    </w:p>
    <w:p w14:paraId="4B42BEE1" w14:textId="77777777" w:rsidR="00DA7EA2" w:rsidRPr="00527561" w:rsidRDefault="00DA7EA2" w:rsidP="00081E84">
      <w:pPr>
        <w:spacing w:after="0" w:line="360" w:lineRule="auto"/>
        <w:contextualSpacing/>
        <w:rPr>
          <w:rFonts w:eastAsia="Times New Roman" w:cs="Tahoma"/>
          <w:lang w:eastAsia="es-MX"/>
        </w:rPr>
      </w:pPr>
      <w:r w:rsidRPr="00527561">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AA1975A" w14:textId="77777777" w:rsidR="00DA7EA2" w:rsidRPr="00527561" w:rsidRDefault="00DA7EA2" w:rsidP="00081E84">
      <w:pPr>
        <w:widowControl w:val="0"/>
        <w:spacing w:after="0" w:line="360" w:lineRule="auto"/>
        <w:contextualSpacing/>
        <w:rPr>
          <w:rFonts w:eastAsia="Times New Roman" w:cs="Tahoma"/>
          <w:lang w:eastAsia="es-MX"/>
        </w:rPr>
      </w:pPr>
    </w:p>
    <w:p w14:paraId="04383AD4" w14:textId="77777777" w:rsidR="00DA7EA2" w:rsidRPr="00527561" w:rsidRDefault="00DA7EA2" w:rsidP="00081E84">
      <w:pPr>
        <w:widowControl w:val="0"/>
        <w:spacing w:after="0" w:line="360" w:lineRule="auto"/>
        <w:contextualSpacing/>
        <w:rPr>
          <w:rFonts w:eastAsia="Times New Roman" w:cs="Tahoma"/>
          <w:lang w:eastAsia="es-MX"/>
        </w:rPr>
      </w:pPr>
      <w:r w:rsidRPr="00527561">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7C359667" w14:textId="77777777" w:rsidR="00DA7EA2" w:rsidRPr="00527561" w:rsidRDefault="00DA7EA2" w:rsidP="00081E84">
      <w:pPr>
        <w:widowControl w:val="0"/>
        <w:spacing w:after="0" w:line="360" w:lineRule="auto"/>
        <w:contextualSpacing/>
        <w:rPr>
          <w:rFonts w:eastAsia="Times New Roman" w:cs="Tahoma"/>
          <w:lang w:eastAsia="es-MX"/>
        </w:rPr>
      </w:pPr>
    </w:p>
    <w:p w14:paraId="2ED7E0E2" w14:textId="77777777" w:rsidR="00DA7EA2" w:rsidRPr="00527561" w:rsidRDefault="00DA7EA2" w:rsidP="00081E84">
      <w:pPr>
        <w:widowControl w:val="0"/>
        <w:spacing w:after="0" w:line="360" w:lineRule="auto"/>
        <w:contextualSpacing/>
        <w:rPr>
          <w:rFonts w:eastAsia="Times New Roman" w:cs="Tahoma"/>
          <w:lang w:eastAsia="es-MX"/>
        </w:rPr>
      </w:pPr>
      <w:r w:rsidRPr="00527561">
        <w:rPr>
          <w:rFonts w:eastAsia="Times New Roman" w:cs="Tahoma"/>
          <w:lang w:eastAsia="es-MX"/>
        </w:rPr>
        <w:t>El artículo 12, que, quienes generen, recopilen, administren, manejen, procesen, archiven o conserven información pública serán responsables de la misma.</w:t>
      </w:r>
    </w:p>
    <w:p w14:paraId="2ADB147F" w14:textId="77777777" w:rsidR="00DA7EA2" w:rsidRPr="00527561" w:rsidRDefault="00DA7EA2" w:rsidP="00081E84">
      <w:pPr>
        <w:widowControl w:val="0"/>
        <w:spacing w:after="0" w:line="360" w:lineRule="auto"/>
        <w:contextualSpacing/>
        <w:rPr>
          <w:rFonts w:eastAsia="Times New Roman" w:cs="Tahoma"/>
          <w:lang w:eastAsia="es-MX"/>
        </w:rPr>
      </w:pPr>
    </w:p>
    <w:p w14:paraId="31AE102C" w14:textId="77777777" w:rsidR="00DA7EA2" w:rsidRPr="00527561" w:rsidRDefault="00DA7EA2" w:rsidP="00081E84">
      <w:pPr>
        <w:widowControl w:val="0"/>
        <w:spacing w:after="0" w:line="360" w:lineRule="auto"/>
        <w:contextualSpacing/>
        <w:rPr>
          <w:rFonts w:eastAsia="Times New Roman" w:cs="Tahoma"/>
          <w:lang w:eastAsia="es-MX"/>
        </w:rPr>
      </w:pPr>
      <w:r w:rsidRPr="00527561">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7DAF3F1F" w14:textId="77777777" w:rsidR="00DA7EA2" w:rsidRPr="00527561" w:rsidRDefault="00DA7EA2" w:rsidP="00081E84">
      <w:pPr>
        <w:widowControl w:val="0"/>
        <w:spacing w:after="0" w:line="360" w:lineRule="auto"/>
        <w:contextualSpacing/>
        <w:rPr>
          <w:rFonts w:eastAsia="Times New Roman" w:cs="Tahoma"/>
          <w:lang w:eastAsia="es-MX"/>
        </w:rPr>
      </w:pPr>
    </w:p>
    <w:p w14:paraId="471591FB" w14:textId="77777777" w:rsidR="00DA7EA2" w:rsidRPr="00527561" w:rsidRDefault="00DA7EA2" w:rsidP="00081E84">
      <w:pPr>
        <w:spacing w:after="0" w:line="360" w:lineRule="auto"/>
        <w:contextualSpacing/>
        <w:rPr>
          <w:rFonts w:eastAsia="Times New Roman" w:cs="Tahoma"/>
          <w:lang w:eastAsia="es-MX"/>
        </w:rPr>
      </w:pPr>
      <w:r w:rsidRPr="00527561">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9B37B76" w14:textId="77777777" w:rsidR="00DA7EA2" w:rsidRPr="00527561" w:rsidRDefault="00DA7EA2" w:rsidP="00081E84">
      <w:pPr>
        <w:widowControl w:val="0"/>
        <w:spacing w:after="0" w:line="360" w:lineRule="auto"/>
        <w:contextualSpacing/>
        <w:rPr>
          <w:rFonts w:eastAsia="Times New Roman" w:cs="Tahoma"/>
          <w:lang w:eastAsia="es-MX"/>
        </w:rPr>
      </w:pPr>
    </w:p>
    <w:p w14:paraId="1594111F" w14:textId="77777777" w:rsidR="00DA7EA2" w:rsidRPr="00527561" w:rsidRDefault="00DA7EA2" w:rsidP="00081E84">
      <w:pPr>
        <w:spacing w:after="0" w:line="360" w:lineRule="auto"/>
        <w:contextualSpacing/>
        <w:rPr>
          <w:rFonts w:eastAsia="Times New Roman" w:cs="Tahoma"/>
          <w:b/>
          <w:lang w:eastAsia="es-ES"/>
        </w:rPr>
      </w:pPr>
      <w:r w:rsidRPr="00527561">
        <w:rPr>
          <w:rFonts w:eastAsia="Times New Roman" w:cs="Tahoma"/>
          <w:b/>
          <w:lang w:eastAsia="es-ES"/>
        </w:rPr>
        <w:t>QUINTO. Estudio de Fondo.</w:t>
      </w:r>
    </w:p>
    <w:p w14:paraId="6C618F07" w14:textId="77777777" w:rsidR="00DA7EA2" w:rsidRPr="00527561" w:rsidRDefault="00DA7EA2" w:rsidP="00081E84">
      <w:pPr>
        <w:spacing w:after="0" w:line="360" w:lineRule="auto"/>
        <w:contextualSpacing/>
        <w:rPr>
          <w:rFonts w:eastAsia="Times New Roman" w:cs="Tahoma"/>
          <w:b/>
          <w:lang w:eastAsia="es-ES"/>
        </w:rPr>
      </w:pPr>
    </w:p>
    <w:p w14:paraId="75B8E54B" w14:textId="5D064DE5" w:rsidR="00DA7EA2" w:rsidRPr="00527561" w:rsidRDefault="00DA7EA2" w:rsidP="00081E84">
      <w:pPr>
        <w:tabs>
          <w:tab w:val="left" w:pos="4962"/>
        </w:tabs>
        <w:spacing w:after="0" w:line="360" w:lineRule="auto"/>
        <w:contextualSpacing/>
        <w:rPr>
          <w:rFonts w:eastAsia="Times New Roman" w:cs="Times New Roman"/>
          <w:color w:val="auto"/>
          <w:lang w:eastAsia="es-ES"/>
        </w:rPr>
      </w:pPr>
      <w:r w:rsidRPr="00527561">
        <w:rPr>
          <w:rFonts w:eastAsia="Times New Roman" w:cs="Tahoma"/>
          <w:lang w:eastAsia="es-MX"/>
        </w:rPr>
        <w:lastRenderedPageBreak/>
        <w:t>Expuestas las posturas de las partes, se procede al análisis del agravio hecho valer por el ahora Recurrente, concerniente a la entrega de información</w:t>
      </w:r>
      <w:r w:rsidR="005C0413" w:rsidRPr="00527561">
        <w:rPr>
          <w:rFonts w:eastAsia="Times New Roman" w:cs="Tahoma"/>
          <w:lang w:eastAsia="es-MX"/>
        </w:rPr>
        <w:t xml:space="preserve"> incompleta</w:t>
      </w:r>
      <w:r w:rsidRPr="00527561">
        <w:rPr>
          <w:rFonts w:eastAsia="Times New Roman" w:cs="Times New Roman"/>
          <w:color w:val="auto"/>
          <w:lang w:eastAsia="es-ES"/>
        </w:rPr>
        <w:t>, para lo cual, en principio es necesario recordar que la pretensión del Particular es</w:t>
      </w:r>
      <w:r w:rsidR="00D61CAD" w:rsidRPr="00527561">
        <w:rPr>
          <w:rFonts w:eastAsia="Times New Roman" w:cs="Times New Roman"/>
          <w:color w:val="auto"/>
          <w:lang w:eastAsia="es-ES"/>
        </w:rPr>
        <w:t xml:space="preserve"> obtener las Actas del Comité de Adquisiciones.</w:t>
      </w:r>
    </w:p>
    <w:p w14:paraId="55E73C75" w14:textId="23072E6C" w:rsidR="00D61CAD" w:rsidRPr="00527561" w:rsidRDefault="00D61CAD" w:rsidP="00081E84">
      <w:pPr>
        <w:tabs>
          <w:tab w:val="left" w:pos="4962"/>
        </w:tabs>
        <w:spacing w:after="0" w:line="360" w:lineRule="auto"/>
        <w:contextualSpacing/>
        <w:rPr>
          <w:rFonts w:eastAsia="Times New Roman" w:cs="Times New Roman"/>
          <w:color w:val="auto"/>
          <w:lang w:eastAsia="es-ES"/>
        </w:rPr>
      </w:pPr>
    </w:p>
    <w:p w14:paraId="4FDE1C0A" w14:textId="13B31A7B" w:rsidR="00D61CAD" w:rsidRPr="00527561" w:rsidRDefault="00D61CAD" w:rsidP="00D61CAD">
      <w:pPr>
        <w:spacing w:after="0" w:line="360" w:lineRule="auto"/>
        <w:ind w:right="-28"/>
        <w:contextualSpacing/>
        <w:rPr>
          <w:rFonts w:eastAsia="Times New Roman" w:cs="Tahoma"/>
          <w:color w:val="auto"/>
          <w:lang w:eastAsia="es-ES"/>
        </w:rPr>
      </w:pPr>
      <w:r w:rsidRPr="00527561">
        <w:rPr>
          <w:rFonts w:eastAsia="Times New Roman" w:cs="Tahoma"/>
          <w:color w:val="auto"/>
          <w:lang w:eastAsia="es-ES"/>
        </w:rPr>
        <w:t>Al respecto, los artículos 22, 23 y 24 de la Ley de Contratación Púbica del Estado de México y Municipios establecen que el Ayuntamiento se auxiliará del Comité de Adquisiciones y de Servicios, que es un órgano colegiado encargado de apoyar en la sustanciación de los procedimientos de adquisiciones y servicios; además dictamina la procedencia de los casos de excepción de los procedimientos de licitación pública; participa en los procedimientos de licitación, invitación restringida y adjudicación directa, hasta dejarlos en estado de dictar el fallo correspondiente y emite los dictámenes de adjudicación.</w:t>
      </w:r>
    </w:p>
    <w:p w14:paraId="16E693F0" w14:textId="77777777" w:rsidR="00D61CAD" w:rsidRPr="00527561" w:rsidRDefault="00D61CAD" w:rsidP="00D61CAD">
      <w:pPr>
        <w:spacing w:after="0" w:line="360" w:lineRule="auto"/>
        <w:ind w:right="-28"/>
        <w:contextualSpacing/>
        <w:rPr>
          <w:rFonts w:eastAsia="Times New Roman" w:cs="Tahoma"/>
          <w:color w:val="auto"/>
          <w:lang w:eastAsia="es-ES"/>
        </w:rPr>
      </w:pPr>
    </w:p>
    <w:p w14:paraId="0C37D61A" w14:textId="77777777" w:rsidR="00D61CAD" w:rsidRPr="00527561" w:rsidRDefault="00D61CAD" w:rsidP="00D61CAD">
      <w:pPr>
        <w:spacing w:after="0" w:line="360" w:lineRule="auto"/>
        <w:ind w:right="-28"/>
        <w:contextualSpacing/>
        <w:rPr>
          <w:rFonts w:eastAsia="Times New Roman" w:cs="Tahoma"/>
          <w:color w:val="auto"/>
          <w:lang w:eastAsia="es-ES"/>
        </w:rPr>
      </w:pPr>
      <w:r w:rsidRPr="00527561">
        <w:rPr>
          <w:rFonts w:eastAsia="Times New Roman" w:cs="Tahoma"/>
          <w:color w:val="auto"/>
          <w:lang w:eastAsia="es-ES"/>
        </w:rPr>
        <w:t>En ese contexto, de conformidad con el artículo 48, fracciones I y II del Reglamento de la Ley de Contratación Púbica del Estado de México y Municipios, el Comité de Adquisiciones y de Servicios tendrá los siguientes tipos de sesiones:</w:t>
      </w:r>
      <w:r w:rsidRPr="00527561">
        <w:rPr>
          <w:rFonts w:eastAsia="Times New Roman" w:cs="Tahoma"/>
          <w:color w:val="auto"/>
          <w:lang w:eastAsia="es-ES"/>
        </w:rPr>
        <w:cr/>
      </w:r>
    </w:p>
    <w:p w14:paraId="551D53B3" w14:textId="7024DADC" w:rsidR="00D61CAD" w:rsidRPr="00527561" w:rsidRDefault="00D61CAD" w:rsidP="00D61CAD">
      <w:pPr>
        <w:numPr>
          <w:ilvl w:val="0"/>
          <w:numId w:val="8"/>
        </w:numPr>
        <w:spacing w:after="0" w:line="360" w:lineRule="auto"/>
        <w:ind w:right="-28"/>
        <w:contextualSpacing/>
        <w:rPr>
          <w:rFonts w:eastAsia="Times New Roman" w:cs="Tahoma"/>
          <w:color w:val="auto"/>
          <w:lang w:eastAsia="es-ES"/>
        </w:rPr>
      </w:pPr>
      <w:r w:rsidRPr="00527561">
        <w:rPr>
          <w:rFonts w:eastAsia="Times New Roman" w:cs="Tahoma"/>
          <w:b/>
          <w:bCs/>
          <w:color w:val="auto"/>
          <w:lang w:eastAsia="es-ES"/>
        </w:rPr>
        <w:t>Ordinarias:</w:t>
      </w:r>
      <w:r w:rsidRPr="00527561">
        <w:rPr>
          <w:rFonts w:eastAsia="Times New Roman" w:cs="Tahoma"/>
          <w:color w:val="auto"/>
          <w:lang w:eastAsia="es-ES"/>
        </w:rPr>
        <w:t xml:space="preserve"> Se llevarán a cabo, cuando menos cada quince días, salvo que no existan asuntos a tratar.</w:t>
      </w:r>
    </w:p>
    <w:p w14:paraId="6120D2F7" w14:textId="77777777" w:rsidR="00D61CAD" w:rsidRPr="00527561" w:rsidRDefault="00D61CAD" w:rsidP="00D61CAD">
      <w:pPr>
        <w:spacing w:after="0" w:line="360" w:lineRule="auto"/>
        <w:ind w:left="720" w:right="-28"/>
        <w:contextualSpacing/>
        <w:rPr>
          <w:rFonts w:eastAsia="Times New Roman" w:cs="Tahoma"/>
          <w:b/>
          <w:bCs/>
          <w:color w:val="auto"/>
          <w:lang w:eastAsia="es-ES"/>
        </w:rPr>
      </w:pPr>
    </w:p>
    <w:p w14:paraId="434A3EDF" w14:textId="77777777" w:rsidR="00D61CAD" w:rsidRPr="00527561" w:rsidRDefault="00D61CAD" w:rsidP="00D61CAD">
      <w:pPr>
        <w:numPr>
          <w:ilvl w:val="0"/>
          <w:numId w:val="8"/>
        </w:numPr>
        <w:spacing w:after="0" w:line="360" w:lineRule="auto"/>
        <w:ind w:right="-28"/>
        <w:contextualSpacing/>
        <w:jc w:val="left"/>
        <w:rPr>
          <w:rFonts w:eastAsia="Times New Roman" w:cs="Tahoma"/>
          <w:color w:val="auto"/>
          <w:lang w:eastAsia="es-ES"/>
        </w:rPr>
      </w:pPr>
      <w:r w:rsidRPr="00527561">
        <w:rPr>
          <w:rFonts w:eastAsia="Times New Roman" w:cs="Tahoma"/>
          <w:b/>
          <w:bCs/>
          <w:color w:val="auto"/>
          <w:lang w:eastAsia="es-ES"/>
        </w:rPr>
        <w:t>Extraordinarias:</w:t>
      </w:r>
      <w:r w:rsidRPr="00527561">
        <w:rPr>
          <w:rFonts w:eastAsia="Times New Roman" w:cs="Tahoma"/>
          <w:color w:val="auto"/>
          <w:lang w:eastAsia="es-ES"/>
        </w:rPr>
        <w:t xml:space="preserve"> Cada vez que se requieran.</w:t>
      </w:r>
    </w:p>
    <w:p w14:paraId="125AD57E" w14:textId="77777777" w:rsidR="00D61CAD" w:rsidRPr="00527561" w:rsidRDefault="00D61CAD" w:rsidP="00D61CAD">
      <w:pPr>
        <w:spacing w:after="0" w:line="360" w:lineRule="auto"/>
        <w:ind w:right="-28"/>
        <w:contextualSpacing/>
        <w:rPr>
          <w:rFonts w:eastAsia="Times New Roman" w:cs="Tahoma"/>
          <w:color w:val="auto"/>
          <w:lang w:eastAsia="es-ES"/>
        </w:rPr>
      </w:pPr>
    </w:p>
    <w:p w14:paraId="5E6FFEA6" w14:textId="029F8231" w:rsidR="00D61CAD" w:rsidRPr="00527561" w:rsidRDefault="00D61CAD" w:rsidP="00D61CAD">
      <w:pPr>
        <w:spacing w:after="0" w:line="360" w:lineRule="auto"/>
        <w:ind w:right="-28"/>
        <w:contextualSpacing/>
        <w:rPr>
          <w:rFonts w:eastAsia="Times New Roman" w:cs="Tahoma"/>
          <w:color w:val="auto"/>
          <w:lang w:eastAsia="es-ES"/>
        </w:rPr>
      </w:pPr>
      <w:r w:rsidRPr="00527561">
        <w:rPr>
          <w:rFonts w:eastAsia="Times New Roman" w:cs="Tahoma"/>
          <w:color w:val="auto"/>
          <w:lang w:eastAsia="es-ES"/>
        </w:rPr>
        <w:t>Asimismo, dicho artículo precisa que, en cada sesión del Comité, se levantará un Acta de la misma, la cual será aprobada y firmada por los asistentes, en el que se registrarán los acuerdos tomados y se indicará el sentido del voto de los miembros del órgano colegiado.</w:t>
      </w:r>
      <w:r w:rsidR="002119EF" w:rsidRPr="00527561">
        <w:rPr>
          <w:rFonts w:eastAsia="Times New Roman" w:cs="Tahoma"/>
          <w:color w:val="auto"/>
          <w:lang w:eastAsia="es-ES"/>
        </w:rPr>
        <w:t xml:space="preserve"> </w:t>
      </w:r>
      <w:r w:rsidRPr="00527561">
        <w:rPr>
          <w:rFonts w:eastAsia="Times New Roman" w:cs="Tahoma"/>
          <w:color w:val="auto"/>
          <w:lang w:eastAsia="es-ES"/>
        </w:rPr>
        <w:t xml:space="preserve">Además, </w:t>
      </w:r>
      <w:r w:rsidR="002119EF" w:rsidRPr="00527561">
        <w:rPr>
          <w:rFonts w:eastAsia="Times New Roman" w:cs="Tahoma"/>
          <w:color w:val="auto"/>
          <w:lang w:eastAsia="es-ES"/>
        </w:rPr>
        <w:t xml:space="preserve">el </w:t>
      </w:r>
      <w:r w:rsidRPr="00527561">
        <w:rPr>
          <w:rFonts w:eastAsia="Times New Roman" w:cs="Tahoma"/>
          <w:color w:val="auto"/>
          <w:lang w:eastAsia="es-ES"/>
        </w:rPr>
        <w:t xml:space="preserve">artículo </w:t>
      </w:r>
      <w:r w:rsidR="002119EF" w:rsidRPr="00527561">
        <w:rPr>
          <w:rFonts w:eastAsia="Times New Roman" w:cs="Tahoma"/>
          <w:color w:val="auto"/>
          <w:lang w:eastAsia="es-ES"/>
        </w:rPr>
        <w:t>94</w:t>
      </w:r>
      <w:r w:rsidRPr="00527561">
        <w:rPr>
          <w:rFonts w:eastAsia="Times New Roman" w:cs="Tahoma"/>
          <w:color w:val="auto"/>
          <w:lang w:eastAsia="es-ES"/>
        </w:rPr>
        <w:t xml:space="preserve">, fracción </w:t>
      </w:r>
      <w:r w:rsidR="002119EF" w:rsidRPr="00527561">
        <w:rPr>
          <w:rFonts w:eastAsia="Times New Roman" w:cs="Tahoma"/>
          <w:color w:val="auto"/>
          <w:lang w:eastAsia="es-ES"/>
        </w:rPr>
        <w:t>XV</w:t>
      </w:r>
      <w:r w:rsidRPr="00527561">
        <w:rPr>
          <w:rFonts w:eastAsia="Times New Roman" w:cs="Tahoma"/>
          <w:color w:val="auto"/>
          <w:lang w:eastAsia="es-ES"/>
        </w:rPr>
        <w:t xml:space="preserve">, </w:t>
      </w:r>
      <w:r w:rsidR="002119EF" w:rsidRPr="00527561">
        <w:rPr>
          <w:rFonts w:eastAsia="Times New Roman" w:cs="Tahoma"/>
          <w:color w:val="auto"/>
          <w:lang w:eastAsia="es-ES"/>
        </w:rPr>
        <w:t>del Reglamento Orgánico Municipal de Zinacantepec</w:t>
      </w:r>
      <w:r w:rsidRPr="00527561">
        <w:rPr>
          <w:rFonts w:eastAsia="Times New Roman" w:cs="Tahoma"/>
          <w:color w:val="auto"/>
          <w:lang w:eastAsia="es-ES"/>
        </w:rPr>
        <w:t xml:space="preserve"> precisa que el Sujeto Obligado cuenta con un </w:t>
      </w:r>
      <w:r w:rsidR="002119EF" w:rsidRPr="00527561">
        <w:rPr>
          <w:rFonts w:eastAsia="Times New Roman" w:cs="Tahoma"/>
          <w:color w:val="auto"/>
          <w:lang w:eastAsia="es-ES"/>
        </w:rPr>
        <w:t>Comité de Adquisiciones y de Servicios.</w:t>
      </w:r>
    </w:p>
    <w:p w14:paraId="09891713" w14:textId="4B08E877" w:rsidR="00D61CAD" w:rsidRPr="00527561" w:rsidRDefault="00D61CAD" w:rsidP="00D61CAD">
      <w:pPr>
        <w:tabs>
          <w:tab w:val="left" w:pos="4962"/>
        </w:tabs>
        <w:spacing w:after="0" w:line="360" w:lineRule="auto"/>
        <w:ind w:right="-28"/>
        <w:rPr>
          <w:rFonts w:eastAsia="Calibri" w:cs="Tahoma"/>
          <w:iCs/>
          <w:color w:val="auto"/>
          <w:lang w:val="es-ES" w:eastAsia="es-ES_tradnl"/>
        </w:rPr>
      </w:pPr>
      <w:r w:rsidRPr="00527561">
        <w:rPr>
          <w:rFonts w:eastAsia="Times New Roman" w:cs="Tahoma"/>
          <w:color w:val="auto"/>
          <w:lang w:eastAsia="es-ES"/>
        </w:rPr>
        <w:lastRenderedPageBreak/>
        <w:t xml:space="preserve">Conforme a lo anterior, se logra desprender que la pretensión del ahora Recurrente, es obtener </w:t>
      </w:r>
      <w:r w:rsidRPr="00527561">
        <w:rPr>
          <w:rFonts w:eastAsia="Calibri" w:cs="Tahoma"/>
          <w:iCs/>
          <w:color w:val="auto"/>
          <w:lang w:val="es-ES" w:eastAsia="es-ES_tradnl"/>
        </w:rPr>
        <w:t xml:space="preserve">las Actas de las Sesiones, celebradas por el </w:t>
      </w:r>
      <w:r w:rsidR="002119EF" w:rsidRPr="00527561">
        <w:rPr>
          <w:rFonts w:eastAsia="Times New Roman" w:cs="Tahoma"/>
          <w:color w:val="auto"/>
          <w:lang w:eastAsia="es-ES"/>
        </w:rPr>
        <w:t>Comité de Adquisiciones y de Servicios</w:t>
      </w:r>
      <w:r w:rsidRPr="00527561">
        <w:rPr>
          <w:rFonts w:eastAsia="Calibri" w:cs="Tahoma"/>
          <w:iCs/>
          <w:color w:val="auto"/>
          <w:lang w:val="es-ES" w:eastAsia="es-ES_tradnl"/>
        </w:rPr>
        <w:t xml:space="preserve">, del primero </w:t>
      </w:r>
      <w:r w:rsidR="002119EF" w:rsidRPr="00527561">
        <w:rPr>
          <w:rFonts w:eastAsia="Calibri" w:cs="Tahoma"/>
          <w:iCs/>
          <w:color w:val="auto"/>
          <w:lang w:val="es-ES" w:eastAsia="es-ES_tradnl"/>
        </w:rPr>
        <w:t>de enero al treinta de noviembre de dos mil veintidós</w:t>
      </w:r>
      <w:r w:rsidRPr="00527561">
        <w:rPr>
          <w:rFonts w:eastAsia="Calibri" w:cs="Tahoma"/>
          <w:iCs/>
          <w:color w:val="auto"/>
          <w:lang w:val="es-ES" w:eastAsia="es-ES_tradnl"/>
        </w:rPr>
        <w:t xml:space="preserve">. </w:t>
      </w:r>
    </w:p>
    <w:p w14:paraId="658C9782" w14:textId="77777777" w:rsidR="00D61CAD" w:rsidRPr="00527561" w:rsidRDefault="00D61CAD" w:rsidP="00081E84">
      <w:pPr>
        <w:tabs>
          <w:tab w:val="left" w:pos="4962"/>
        </w:tabs>
        <w:spacing w:after="0" w:line="360" w:lineRule="auto"/>
        <w:contextualSpacing/>
        <w:rPr>
          <w:rFonts w:eastAsia="Calibri" w:cs="Tahoma"/>
          <w:iCs/>
          <w:lang w:eastAsia="es-ES_tradnl"/>
        </w:rPr>
      </w:pPr>
    </w:p>
    <w:p w14:paraId="5623A0DE" w14:textId="4B0438BE" w:rsidR="00A023BB" w:rsidRPr="00527561" w:rsidRDefault="00A023BB" w:rsidP="00081E84">
      <w:pPr>
        <w:autoSpaceDE w:val="0"/>
        <w:autoSpaceDN w:val="0"/>
        <w:adjustRightInd w:val="0"/>
        <w:spacing w:after="0" w:line="360" w:lineRule="auto"/>
        <w:contextualSpacing/>
        <w:rPr>
          <w:rFonts w:eastAsia="Times New Roman" w:cs="Tahoma"/>
          <w:color w:val="auto"/>
          <w:lang w:eastAsia="es-ES"/>
        </w:rPr>
      </w:pPr>
      <w:r w:rsidRPr="00527561">
        <w:rPr>
          <w:rFonts w:eastAsia="Batang" w:cs="Tahoma"/>
          <w:bCs/>
          <w:color w:val="auto"/>
          <w:lang w:eastAsia="es-ES"/>
        </w:rPr>
        <w:t xml:space="preserve">Ahora bien, el Sujeto Obligado, tanto en respuesta, como Informe Justificado, que las Actas del </w:t>
      </w:r>
      <w:r w:rsidRPr="00527561">
        <w:rPr>
          <w:rFonts w:eastAsia="Times New Roman" w:cs="Tahoma"/>
          <w:color w:val="auto"/>
          <w:lang w:eastAsia="es-ES"/>
        </w:rPr>
        <w:t>Comité de Adquisiciones y de Servicios, estaban en proceso de firma y por lo tanto, no las podía proporcionar; sobre dicha situación, el artículo 48, fracción V, del Reglamento de la Ley de Contratación Pública del Estado de México y Municipios</w:t>
      </w:r>
      <w:r w:rsidR="00ED4A97" w:rsidRPr="00527561">
        <w:rPr>
          <w:rFonts w:eastAsia="Times New Roman" w:cs="Tahoma"/>
          <w:color w:val="auto"/>
          <w:lang w:eastAsia="es-ES"/>
        </w:rPr>
        <w:t>, establece que al término de cada sesión, se levantará un acta que será integrada por los integrantes del Comité de hubiesen asistido.</w:t>
      </w:r>
    </w:p>
    <w:p w14:paraId="76F17F3E" w14:textId="77777777" w:rsidR="00A023BB" w:rsidRPr="00527561" w:rsidRDefault="00A023BB" w:rsidP="00081E84">
      <w:pPr>
        <w:autoSpaceDE w:val="0"/>
        <w:autoSpaceDN w:val="0"/>
        <w:adjustRightInd w:val="0"/>
        <w:spacing w:after="0" w:line="360" w:lineRule="auto"/>
        <w:contextualSpacing/>
        <w:rPr>
          <w:rFonts w:eastAsia="Batang" w:cs="Tahoma"/>
          <w:bCs/>
          <w:color w:val="auto"/>
          <w:lang w:eastAsia="es-ES"/>
        </w:rPr>
      </w:pPr>
    </w:p>
    <w:p w14:paraId="12E17484" w14:textId="77777777" w:rsidR="00ED4A97" w:rsidRPr="00527561" w:rsidRDefault="00ED4A97" w:rsidP="00ED4A97">
      <w:pPr>
        <w:spacing w:after="0" w:line="360" w:lineRule="auto"/>
        <w:rPr>
          <w:rFonts w:cs="Tahoma"/>
          <w:szCs w:val="24"/>
          <w:lang w:val="es-ES"/>
        </w:rPr>
      </w:pPr>
      <w:r w:rsidRPr="00527561">
        <w:rPr>
          <w:rFonts w:eastAsia="Batang" w:cs="Tahoma"/>
          <w:bCs/>
          <w:color w:val="auto"/>
          <w:lang w:eastAsia="es-ES"/>
        </w:rPr>
        <w:t xml:space="preserve">Además, </w:t>
      </w:r>
      <w:r w:rsidRPr="00527561">
        <w:rPr>
          <w:rFonts w:cs="Tahoma"/>
          <w:szCs w:val="24"/>
          <w:lang w:val="es-ES"/>
        </w:rPr>
        <w:t>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E3FB6CE" w14:textId="77777777" w:rsidR="00ED4A97" w:rsidRPr="00527561" w:rsidRDefault="00ED4A97" w:rsidP="00ED4A97">
      <w:pPr>
        <w:spacing w:after="0" w:line="360" w:lineRule="auto"/>
        <w:contextualSpacing/>
        <w:rPr>
          <w:rFonts w:eastAsia="Calibri" w:cs="Tahoma"/>
          <w:bCs/>
        </w:rPr>
      </w:pPr>
    </w:p>
    <w:p w14:paraId="1D54E849" w14:textId="77777777" w:rsidR="00ED4A97" w:rsidRPr="00527561" w:rsidRDefault="00ED4A97" w:rsidP="00ED4A97">
      <w:pPr>
        <w:spacing w:after="0" w:line="360" w:lineRule="auto"/>
        <w:rPr>
          <w:rFonts w:eastAsia="Times New Roman" w:cs="Tahoma"/>
          <w:i/>
          <w:iCs/>
          <w:color w:val="auto"/>
          <w:sz w:val="20"/>
          <w:szCs w:val="20"/>
          <w:lang w:val="es-ES" w:eastAsia="es-ES"/>
        </w:rPr>
      </w:pPr>
      <w:r w:rsidRPr="00527561">
        <w:rPr>
          <w:rFonts w:eastAsia="Times New Roman" w:cs="Tahoma"/>
          <w:color w:val="auto"/>
          <w:szCs w:val="24"/>
          <w:lang w:val="es-ES" w:eastAsia="es-ES"/>
        </w:rPr>
        <w:t xml:space="preserve">De esta manera, el derecho de acceso a la información pública se satisface en aquellos casos en que se entregue el soporte documental en el que conste la información solicitada, sin necesidad de elaborar documentos </w:t>
      </w:r>
      <w:r w:rsidRPr="00527561">
        <w:rPr>
          <w:rFonts w:eastAsia="Times New Roman" w:cs="Tahoma"/>
          <w:i/>
          <w:iCs/>
          <w:color w:val="auto"/>
          <w:szCs w:val="24"/>
          <w:lang w:val="es-ES" w:eastAsia="es-ES"/>
        </w:rPr>
        <w:t>ad hoc</w:t>
      </w:r>
      <w:r w:rsidRPr="00527561">
        <w:rPr>
          <w:rFonts w:eastAsia="Times New Roman" w:cs="Tahoma"/>
          <w:color w:val="auto"/>
          <w:szCs w:val="24"/>
          <w:lang w:val="es-ES"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5D5FFE47" w14:textId="77777777" w:rsidR="00ED4A97" w:rsidRPr="00527561" w:rsidRDefault="00ED4A97" w:rsidP="00ED4A97">
      <w:pPr>
        <w:spacing w:after="0" w:line="360" w:lineRule="auto"/>
        <w:rPr>
          <w:rFonts w:eastAsia="Calibri" w:cs="Times New Roman"/>
        </w:rPr>
      </w:pPr>
    </w:p>
    <w:p w14:paraId="46AAC7C1" w14:textId="336E01D1" w:rsidR="00ED4A97" w:rsidRPr="00527561" w:rsidRDefault="00ED4A97" w:rsidP="00ED4A97">
      <w:pPr>
        <w:spacing w:after="0" w:line="360" w:lineRule="auto"/>
        <w:rPr>
          <w:rFonts w:eastAsia="Times New Roman" w:cs="Tahoma"/>
          <w:color w:val="0D0D0D" w:themeColor="text1" w:themeTint="F2"/>
          <w:lang w:val="es-ES" w:eastAsia="es-ES"/>
        </w:rPr>
      </w:pPr>
      <w:r w:rsidRPr="00527561">
        <w:rPr>
          <w:rFonts w:eastAsia="Times New Roman" w:cs="Tahoma"/>
          <w:color w:val="0D0D0D" w:themeColor="text1" w:themeTint="F2"/>
          <w:lang w:val="es-ES" w:eastAsia="es-ES"/>
        </w:rPr>
        <w:t xml:space="preserve">De tales circunstancias, se concluye que los sujetos obligados únicamente se encuentran constreñidos a proporcionar la información que dé cuenta de lo peticionado, como obre en sus archivos, sin tener que elaborarlos a las necesidades del Recurrente; por lo que, se logra vislumbrar que los sujetos obligados se encuentran constreñidos a proporcionar los </w:t>
      </w:r>
      <w:r w:rsidRPr="00527561">
        <w:rPr>
          <w:rFonts w:eastAsia="Times New Roman" w:cs="Tahoma"/>
          <w:color w:val="0D0D0D" w:themeColor="text1" w:themeTint="F2"/>
          <w:lang w:val="es-ES" w:eastAsia="es-ES"/>
        </w:rPr>
        <w:lastRenderedPageBreak/>
        <w:t>documentos, tal y como obren en sus archivos, por lo que, la carencia de firmas de las Actas no resulta impedimento para proporcionar la información solicitada.</w:t>
      </w:r>
    </w:p>
    <w:p w14:paraId="1E48773C" w14:textId="5D12F723" w:rsidR="00ED4A97" w:rsidRPr="00527561" w:rsidRDefault="00ED4A97" w:rsidP="00ED4A97">
      <w:pPr>
        <w:spacing w:after="0" w:line="360" w:lineRule="auto"/>
        <w:rPr>
          <w:rFonts w:eastAsia="Times New Roman" w:cs="Tahoma"/>
          <w:color w:val="0D0D0D" w:themeColor="text1" w:themeTint="F2"/>
          <w:lang w:val="es-ES" w:eastAsia="es-ES"/>
        </w:rPr>
      </w:pPr>
    </w:p>
    <w:p w14:paraId="3B9FD85A" w14:textId="288BFEB4" w:rsidR="00ED4A97" w:rsidRPr="00527561" w:rsidRDefault="00ED4A97" w:rsidP="00ED4A97">
      <w:pPr>
        <w:spacing w:after="0" w:line="360" w:lineRule="auto"/>
        <w:rPr>
          <w:rFonts w:eastAsia="Times New Roman" w:cs="Tahoma"/>
          <w:color w:val="0D0D0D" w:themeColor="text1" w:themeTint="F2"/>
          <w:lang w:val="es-ES" w:eastAsia="es-ES"/>
        </w:rPr>
      </w:pPr>
      <w:r w:rsidRPr="00527561">
        <w:rPr>
          <w:rFonts w:eastAsia="Times New Roman" w:cs="Tahoma"/>
          <w:color w:val="0D0D0D" w:themeColor="text1" w:themeTint="F2"/>
          <w:lang w:val="es-ES" w:eastAsia="es-ES"/>
        </w:rPr>
        <w:t>Además, que este Instituto advierte una incongruencia, pues resulta incoherente que todas las Actas del Comité de Adquisiciones y Servicios no se encuentren firmadas</w:t>
      </w:r>
      <w:r w:rsidR="00A73C85" w:rsidRPr="00527561">
        <w:rPr>
          <w:rFonts w:eastAsia="Times New Roman" w:cs="Tahoma"/>
          <w:color w:val="0D0D0D" w:themeColor="text1" w:themeTint="F2"/>
          <w:lang w:val="es-ES" w:eastAsia="es-ES"/>
        </w:rPr>
        <w:t>; lo anterior, toma relevancia pues la Presidenta de dicho Comité ha publicado Acuerdos en la Gaceta de Gobierno, tal como se muestra a continuación:</w:t>
      </w:r>
    </w:p>
    <w:p w14:paraId="1DB7193B" w14:textId="144FBE1C" w:rsidR="00A73C85" w:rsidRPr="00527561" w:rsidRDefault="00A73C85" w:rsidP="00ED4A97">
      <w:pPr>
        <w:spacing w:after="0" w:line="360" w:lineRule="auto"/>
        <w:rPr>
          <w:rFonts w:eastAsia="Times New Roman" w:cs="Tahoma"/>
          <w:color w:val="0D0D0D" w:themeColor="text1" w:themeTint="F2"/>
          <w:lang w:val="es-ES" w:eastAsia="es-ES"/>
        </w:rPr>
      </w:pPr>
    </w:p>
    <w:p w14:paraId="523CEB32" w14:textId="7A92F83E" w:rsidR="00A73C85" w:rsidRPr="00527561" w:rsidRDefault="00A73C85" w:rsidP="00A73C85">
      <w:pPr>
        <w:spacing w:after="0" w:line="360" w:lineRule="auto"/>
        <w:jc w:val="center"/>
        <w:rPr>
          <w:rFonts w:eastAsia="Times New Roman" w:cs="Tahoma"/>
          <w:color w:val="0D0D0D" w:themeColor="text1" w:themeTint="F2"/>
          <w:lang w:val="es-ES" w:eastAsia="es-ES"/>
        </w:rPr>
      </w:pPr>
      <w:r w:rsidRPr="00527561">
        <w:rPr>
          <w:noProof/>
          <w:lang w:eastAsia="es-MX"/>
        </w:rPr>
        <w:drawing>
          <wp:inline distT="0" distB="0" distL="0" distR="0" wp14:anchorId="734A5F20" wp14:editId="07305187">
            <wp:extent cx="5191125" cy="48291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91125" cy="4829175"/>
                    </a:xfrm>
                    <a:prstGeom prst="rect">
                      <a:avLst/>
                    </a:prstGeom>
                  </pic:spPr>
                </pic:pic>
              </a:graphicData>
            </a:graphic>
          </wp:inline>
        </w:drawing>
      </w:r>
    </w:p>
    <w:p w14:paraId="2C841999" w14:textId="20BE086A" w:rsidR="00A023BB" w:rsidRPr="00527561" w:rsidRDefault="00A023BB" w:rsidP="00081E84">
      <w:pPr>
        <w:autoSpaceDE w:val="0"/>
        <w:autoSpaceDN w:val="0"/>
        <w:adjustRightInd w:val="0"/>
        <w:spacing w:after="0" w:line="360" w:lineRule="auto"/>
        <w:contextualSpacing/>
        <w:rPr>
          <w:rFonts w:eastAsia="Batang" w:cs="Tahoma"/>
          <w:bCs/>
          <w:color w:val="auto"/>
          <w:lang w:eastAsia="es-ES"/>
        </w:rPr>
      </w:pPr>
    </w:p>
    <w:p w14:paraId="523D29A3" w14:textId="230183E3" w:rsidR="00A73C85" w:rsidRPr="00527561" w:rsidRDefault="00A73C85" w:rsidP="00A73C85">
      <w:pPr>
        <w:tabs>
          <w:tab w:val="left" w:pos="4962"/>
        </w:tabs>
        <w:spacing w:after="0" w:line="360" w:lineRule="auto"/>
        <w:ind w:right="-28"/>
        <w:rPr>
          <w:rFonts w:eastAsia="Calibri" w:cs="Tahoma"/>
          <w:iCs/>
          <w:color w:val="auto"/>
          <w:lang w:val="es-ES" w:eastAsia="es-ES_tradnl"/>
        </w:rPr>
      </w:pPr>
      <w:r w:rsidRPr="00527561">
        <w:rPr>
          <w:iCs/>
        </w:rPr>
        <w:lastRenderedPageBreak/>
        <w:t xml:space="preserve">Conforme a lo anterior, se logra vislumbrar que el pronunciamiento realizado por el Sujeto Obligado, resulta incongruente y por lo tanto, no se puede validar la respuesta proporcionada; por lo que, este Instituto considera que para atender el requerimiento de información, el Sujeto Obligado deberá realizar una búsqueda exhaustiva y razonable en los archivos de las unidades administrativas competentes, entre las cuales, se encuentra la Dirección de Administración, a efecto de que proporcione las </w:t>
      </w:r>
      <w:r w:rsidRPr="00527561">
        <w:rPr>
          <w:rFonts w:eastAsia="Calibri" w:cs="Tahoma"/>
          <w:iCs/>
          <w:color w:val="auto"/>
          <w:lang w:val="es-ES" w:eastAsia="es-ES_tradnl"/>
        </w:rPr>
        <w:t xml:space="preserve">Actas de las Sesiones, celebradas por el </w:t>
      </w:r>
      <w:r w:rsidRPr="00527561">
        <w:rPr>
          <w:rFonts w:eastAsia="Times New Roman" w:cs="Tahoma"/>
          <w:color w:val="auto"/>
          <w:lang w:eastAsia="es-ES"/>
        </w:rPr>
        <w:t>Comité de Adquisiciones y de Servicios</w:t>
      </w:r>
      <w:r w:rsidRPr="00527561">
        <w:rPr>
          <w:rFonts w:eastAsia="Calibri" w:cs="Tahoma"/>
          <w:iCs/>
          <w:color w:val="auto"/>
          <w:lang w:val="es-ES" w:eastAsia="es-ES_tradnl"/>
        </w:rPr>
        <w:t>, del primero de enero al treinta de noviembre de dos mil veintidós, con el fin de dar cumplimiento a los artículos 12, 160 y 162 de la Ley de Transparencia y Acceso a la Información Pública del Estado de México y Municipios.</w:t>
      </w:r>
    </w:p>
    <w:p w14:paraId="52D34C08" w14:textId="749E6321" w:rsidR="00204A2A" w:rsidRPr="00527561" w:rsidRDefault="00204A2A" w:rsidP="00A73C85">
      <w:pPr>
        <w:autoSpaceDE w:val="0"/>
        <w:autoSpaceDN w:val="0"/>
        <w:adjustRightInd w:val="0"/>
        <w:spacing w:after="0" w:line="360" w:lineRule="auto"/>
        <w:contextualSpacing/>
        <w:rPr>
          <w:iCs/>
        </w:rPr>
      </w:pPr>
    </w:p>
    <w:p w14:paraId="545844F3" w14:textId="77777777" w:rsidR="00A73C85" w:rsidRPr="00527561" w:rsidRDefault="00A73C85" w:rsidP="00A73C85">
      <w:pPr>
        <w:spacing w:after="0" w:line="360" w:lineRule="auto"/>
        <w:rPr>
          <w:rFonts w:eastAsia="Times New Roman" w:cs="Tahoma"/>
          <w:bCs/>
          <w:iCs/>
          <w:color w:val="auto"/>
          <w:lang w:val="es-ES" w:eastAsia="es-ES"/>
        </w:rPr>
      </w:pPr>
      <w:r w:rsidRPr="00527561">
        <w:rPr>
          <w:rFonts w:eastAsia="Times New Roman" w:cs="Tahoma"/>
          <w:bCs/>
          <w:iCs/>
          <w:color w:val="auto"/>
          <w:lang w:val="es-ES_tradnl" w:eastAsia="es-ES"/>
        </w:rPr>
        <w:t>Finalmente, no pasa desapercibido para este Instituto que los documentos que den cuenta de lo solicitado, pudieran contener datos o información clasificada; a</w:t>
      </w:r>
      <w:r w:rsidRPr="00527561">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959FDCF" w14:textId="77777777" w:rsidR="00A73C85" w:rsidRPr="00527561" w:rsidRDefault="00A73C85" w:rsidP="00A73C85">
      <w:pPr>
        <w:spacing w:after="0" w:line="360" w:lineRule="auto"/>
        <w:rPr>
          <w:rFonts w:eastAsia="Times New Roman" w:cs="Tahoma"/>
          <w:bCs/>
          <w:iCs/>
          <w:color w:val="auto"/>
          <w:lang w:val="es-ES" w:eastAsia="es-ES"/>
        </w:rPr>
      </w:pPr>
    </w:p>
    <w:p w14:paraId="6C6ADEBD" w14:textId="77777777" w:rsidR="00A73C85" w:rsidRPr="00527561" w:rsidRDefault="00A73C85" w:rsidP="00A73C85">
      <w:pPr>
        <w:spacing w:after="0" w:line="360" w:lineRule="auto"/>
        <w:rPr>
          <w:rFonts w:eastAsia="Times New Roman" w:cs="Tahoma"/>
          <w:bCs/>
          <w:iCs/>
          <w:color w:val="auto"/>
          <w:lang w:val="es-ES" w:eastAsia="es-ES"/>
        </w:rPr>
      </w:pPr>
      <w:r w:rsidRPr="00527561">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E65D98F" w14:textId="77777777" w:rsidR="00A73C85" w:rsidRPr="00527561" w:rsidRDefault="00A73C85" w:rsidP="00A73C85">
      <w:pPr>
        <w:autoSpaceDE w:val="0"/>
        <w:autoSpaceDN w:val="0"/>
        <w:adjustRightInd w:val="0"/>
        <w:spacing w:after="0" w:line="360" w:lineRule="auto"/>
        <w:contextualSpacing/>
        <w:rPr>
          <w:iCs/>
        </w:rPr>
      </w:pPr>
    </w:p>
    <w:p w14:paraId="64419CC3" w14:textId="77777777" w:rsidR="00DA7EA2" w:rsidRPr="00527561" w:rsidRDefault="00DA7EA2" w:rsidP="00081E84">
      <w:pPr>
        <w:spacing w:after="0" w:line="360" w:lineRule="auto"/>
        <w:contextualSpacing/>
        <w:rPr>
          <w:rFonts w:eastAsia="Calibri" w:cs="Tahoma"/>
          <w:b/>
        </w:rPr>
      </w:pPr>
      <w:r w:rsidRPr="00527561">
        <w:rPr>
          <w:rFonts w:eastAsia="Calibri" w:cs="Tahoma"/>
          <w:b/>
        </w:rPr>
        <w:t xml:space="preserve">SEXTO. Decisión. </w:t>
      </w:r>
    </w:p>
    <w:p w14:paraId="4427C785" w14:textId="77777777" w:rsidR="00DA7EA2" w:rsidRPr="00527561" w:rsidRDefault="00DA7EA2" w:rsidP="00081E84">
      <w:pPr>
        <w:spacing w:after="0" w:line="360" w:lineRule="auto"/>
        <w:contextualSpacing/>
        <w:rPr>
          <w:rFonts w:eastAsia="Calibri" w:cs="Tahoma"/>
          <w:b/>
        </w:rPr>
      </w:pPr>
    </w:p>
    <w:p w14:paraId="37ABA813" w14:textId="1CD0AE85" w:rsidR="00A73C85" w:rsidRPr="00527561" w:rsidRDefault="00DA7EA2" w:rsidP="00A73C85">
      <w:pPr>
        <w:spacing w:after="0" w:line="360" w:lineRule="auto"/>
      </w:pPr>
      <w:r w:rsidRPr="00527561">
        <w:rPr>
          <w:rFonts w:eastAsia="Times New Roman" w:cs="Arial"/>
          <w:color w:val="auto"/>
          <w:lang w:eastAsia="es-ES"/>
        </w:rPr>
        <w:lastRenderedPageBreak/>
        <w:t xml:space="preserve">Con </w:t>
      </w:r>
      <w:r w:rsidRPr="00527561">
        <w:rPr>
          <w:rFonts w:eastAsia="Times New Roman" w:cs="Tahoma"/>
          <w:color w:val="auto"/>
          <w:lang w:eastAsia="es-ES"/>
        </w:rPr>
        <w:t xml:space="preserve">fundamento en el artículo 186, fracción III, de la Ley de Transparencia y Acceso a la Información Pública del Estado de México y Municipios, este Instituto considera procedente </w:t>
      </w:r>
      <w:r w:rsidR="002B0287" w:rsidRPr="00527561">
        <w:rPr>
          <w:rFonts w:eastAsia="Times New Roman" w:cs="Tahoma"/>
          <w:b/>
          <w:color w:val="auto"/>
          <w:lang w:eastAsia="es-ES"/>
        </w:rPr>
        <w:t>REVOCAR</w:t>
      </w:r>
      <w:r w:rsidRPr="00527561">
        <w:rPr>
          <w:rFonts w:eastAsia="Times New Roman" w:cs="Tahoma"/>
          <w:color w:val="auto"/>
          <w:lang w:eastAsia="es-ES"/>
        </w:rPr>
        <w:t xml:space="preserve"> la respuesta otorgada a la solicitud de información</w:t>
      </w:r>
      <w:r w:rsidRPr="00527561">
        <w:rPr>
          <w:rFonts w:eastAsia="Times New Roman" w:cs="Tahoma"/>
          <w:bCs/>
          <w:color w:val="auto"/>
          <w:lang w:eastAsia="es-ES"/>
        </w:rPr>
        <w:t xml:space="preserve">, a efecto de que previa búsqueda exhaustiva y razonable </w:t>
      </w:r>
      <w:r w:rsidR="002B0287" w:rsidRPr="00527561">
        <w:rPr>
          <w:rFonts w:cs="Tahoma"/>
        </w:rPr>
        <w:t xml:space="preserve">en los archivos </w:t>
      </w:r>
      <w:r w:rsidR="00A73C85" w:rsidRPr="00527561">
        <w:rPr>
          <w:rFonts w:cs="Tahoma"/>
        </w:rPr>
        <w:t>de las unidades administrativas competentes, entre las cuales no podrá omitir a la Dirección de Administración</w:t>
      </w:r>
      <w:r w:rsidRPr="00527561">
        <w:rPr>
          <w:rFonts w:eastAsia="Times New Roman" w:cs="Tahoma"/>
          <w:bCs/>
          <w:color w:val="auto"/>
          <w:lang w:eastAsia="es-ES"/>
        </w:rPr>
        <w:t xml:space="preserve">, entregue, </w:t>
      </w:r>
      <w:r w:rsidR="00A73C85" w:rsidRPr="00527561">
        <w:rPr>
          <w:iCs/>
        </w:rPr>
        <w:t xml:space="preserve">las </w:t>
      </w:r>
      <w:r w:rsidR="00A73C85" w:rsidRPr="00527561">
        <w:rPr>
          <w:rFonts w:eastAsia="Calibri" w:cs="Tahoma"/>
          <w:iCs/>
          <w:color w:val="auto"/>
          <w:lang w:val="es-ES" w:eastAsia="es-ES_tradnl"/>
        </w:rPr>
        <w:t xml:space="preserve">Actas de las Sesiones, celebradas por el </w:t>
      </w:r>
      <w:r w:rsidR="00A73C85" w:rsidRPr="00527561">
        <w:rPr>
          <w:rFonts w:eastAsia="Times New Roman" w:cs="Tahoma"/>
          <w:color w:val="auto"/>
          <w:lang w:eastAsia="es-ES"/>
        </w:rPr>
        <w:t>Comité de Adquisiciones y de Servicios</w:t>
      </w:r>
      <w:r w:rsidR="00A73C85" w:rsidRPr="00527561">
        <w:rPr>
          <w:rFonts w:eastAsia="Calibri" w:cs="Tahoma"/>
          <w:iCs/>
          <w:color w:val="auto"/>
          <w:lang w:val="es-ES" w:eastAsia="es-ES_tradnl"/>
        </w:rPr>
        <w:t>, del primero de enero al treinta de noviembre de dos mil veintidós; a</w:t>
      </w:r>
      <w:r w:rsidR="00A73C85" w:rsidRPr="00527561">
        <w:t>demás, de ser necesario, deberá proporcionar el Acuerdo de Clasificación donde el Comité de Transparencia, confirme la eliminación de los datos o información clasificada, en la versión pública.</w:t>
      </w:r>
    </w:p>
    <w:p w14:paraId="361BE4E9" w14:textId="77777777" w:rsidR="002B0287" w:rsidRPr="00527561" w:rsidRDefault="002B0287" w:rsidP="00081E84">
      <w:pPr>
        <w:tabs>
          <w:tab w:val="left" w:pos="4962"/>
        </w:tabs>
        <w:spacing w:after="0" w:line="360" w:lineRule="auto"/>
        <w:contextualSpacing/>
        <w:rPr>
          <w:rFonts w:cs="Tahoma"/>
        </w:rPr>
      </w:pPr>
    </w:p>
    <w:p w14:paraId="4D961B0D" w14:textId="77777777" w:rsidR="00DA7EA2" w:rsidRPr="00527561" w:rsidRDefault="00DA7EA2" w:rsidP="00081E84">
      <w:pPr>
        <w:spacing w:after="0" w:line="360" w:lineRule="auto"/>
        <w:contextualSpacing/>
        <w:rPr>
          <w:rFonts w:eastAsia="Calibri" w:cs="Tahoma"/>
          <w:b/>
          <w:bCs/>
        </w:rPr>
      </w:pPr>
      <w:r w:rsidRPr="00527561">
        <w:rPr>
          <w:rFonts w:eastAsia="Calibri" w:cs="Tahoma"/>
          <w:b/>
          <w:bCs/>
        </w:rPr>
        <w:t>Términos de la Resolución para conocimiento del Particular.</w:t>
      </w:r>
    </w:p>
    <w:p w14:paraId="12989977" w14:textId="77777777" w:rsidR="00DA7EA2" w:rsidRPr="00527561" w:rsidRDefault="00DA7EA2" w:rsidP="00081E84">
      <w:pPr>
        <w:spacing w:after="0" w:line="360" w:lineRule="auto"/>
        <w:contextualSpacing/>
        <w:rPr>
          <w:rFonts w:eastAsia="Calibri" w:cs="Tahoma"/>
          <w:b/>
          <w:bCs/>
        </w:rPr>
      </w:pPr>
    </w:p>
    <w:p w14:paraId="0807FFBE" w14:textId="6CA60671" w:rsidR="00DA7EA2" w:rsidRPr="00527561" w:rsidRDefault="00DA7EA2" w:rsidP="00081E84">
      <w:pPr>
        <w:widowControl w:val="0"/>
        <w:spacing w:after="0" w:line="360" w:lineRule="auto"/>
        <w:contextualSpacing/>
        <w:rPr>
          <w:rFonts w:eastAsia="Calibri" w:cs="Tahoma"/>
          <w:bCs/>
          <w:iCs/>
        </w:rPr>
      </w:pPr>
      <w:r w:rsidRPr="00527561">
        <w:rPr>
          <w:rFonts w:eastAsia="Calibri" w:cs="Tahoma"/>
          <w:bCs/>
          <w:iCs/>
          <w:color w:val="000000"/>
        </w:rPr>
        <w:t>Se le hace del conocimiento a la Particular, que, en el presente caso, se le concede la razón, toda v</w:t>
      </w:r>
      <w:r w:rsidR="00FB73D1" w:rsidRPr="00527561">
        <w:rPr>
          <w:rFonts w:eastAsia="Calibri" w:cs="Tahoma"/>
          <w:bCs/>
          <w:iCs/>
          <w:color w:val="000000"/>
        </w:rPr>
        <w:t xml:space="preserve">ez que en respuesta el Sujeto Obligado </w:t>
      </w:r>
      <w:r w:rsidR="00A73C85" w:rsidRPr="00527561">
        <w:rPr>
          <w:rFonts w:eastAsia="Calibri" w:cs="Tahoma"/>
          <w:bCs/>
          <w:iCs/>
          <w:color w:val="000000"/>
        </w:rPr>
        <w:t>fue incongruente</w:t>
      </w:r>
      <w:r w:rsidR="00FB73D1" w:rsidRPr="00527561">
        <w:rPr>
          <w:rFonts w:eastAsia="Calibri" w:cs="Tahoma"/>
          <w:bCs/>
          <w:iCs/>
          <w:color w:val="000000"/>
        </w:rPr>
        <w:t xml:space="preserve">, por lo que, deberá realizar una búsqueda a efecto de proporcionar </w:t>
      </w:r>
      <w:r w:rsidR="00A73C85" w:rsidRPr="00527561">
        <w:rPr>
          <w:rFonts w:eastAsia="Calibri" w:cs="Tahoma"/>
          <w:bCs/>
          <w:iCs/>
          <w:color w:val="000000"/>
        </w:rPr>
        <w:t>las Actas solicitadas</w:t>
      </w:r>
      <w:r w:rsidR="00FB73D1" w:rsidRPr="00527561">
        <w:rPr>
          <w:rFonts w:eastAsia="Calibri" w:cs="Tahoma"/>
          <w:bCs/>
          <w:iCs/>
          <w:color w:val="000000"/>
        </w:rPr>
        <w:t xml:space="preserve">. </w:t>
      </w:r>
      <w:r w:rsidRPr="00527561">
        <w:rPr>
          <w:rFonts w:eastAsia="Calibri" w:cs="Tahoma"/>
          <w:bCs/>
          <w:iCs/>
        </w:rPr>
        <w:t>Finalmente, la labor del Instituto de Transparencia, Acceso a la Información Pública y Protección de Datos Personales del Estado de México y Municipios, por una parte, es apoyar a la población a acceder a la información pública y, por otra parte, garantizar la protección de los datos personales.</w:t>
      </w:r>
    </w:p>
    <w:p w14:paraId="35EAC802" w14:textId="77777777" w:rsidR="00DA7EA2" w:rsidRPr="00527561" w:rsidRDefault="00DA7EA2" w:rsidP="00081E84">
      <w:pPr>
        <w:spacing w:after="0" w:line="360" w:lineRule="auto"/>
        <w:contextualSpacing/>
        <w:rPr>
          <w:rFonts w:eastAsia="Calibri"/>
        </w:rPr>
      </w:pPr>
    </w:p>
    <w:p w14:paraId="0B07C01C" w14:textId="77777777" w:rsidR="00DA7EA2" w:rsidRPr="00527561" w:rsidRDefault="00DA7EA2" w:rsidP="00081E84">
      <w:pPr>
        <w:spacing w:after="0" w:line="360" w:lineRule="auto"/>
        <w:contextualSpacing/>
        <w:rPr>
          <w:rFonts w:eastAsia="Calibri"/>
        </w:rPr>
      </w:pPr>
      <w:r w:rsidRPr="00527561">
        <w:rPr>
          <w:rFonts w:eastAsia="Calibri"/>
        </w:rPr>
        <w:t>Por lo expuesto y fundado, este Pleno:</w:t>
      </w:r>
    </w:p>
    <w:p w14:paraId="06245D40" w14:textId="77777777" w:rsidR="005C0413" w:rsidRPr="00527561" w:rsidRDefault="005C0413" w:rsidP="00081E84">
      <w:pPr>
        <w:spacing w:after="0" w:line="360" w:lineRule="auto"/>
        <w:contextualSpacing/>
        <w:jc w:val="center"/>
        <w:rPr>
          <w:rFonts w:eastAsia="Calibri"/>
          <w:b/>
          <w:bCs/>
        </w:rPr>
      </w:pPr>
    </w:p>
    <w:p w14:paraId="128FF4D4" w14:textId="6C76017F" w:rsidR="00DA7EA2" w:rsidRPr="00527561" w:rsidRDefault="00DA7EA2" w:rsidP="00081E84">
      <w:pPr>
        <w:spacing w:after="0" w:line="360" w:lineRule="auto"/>
        <w:contextualSpacing/>
        <w:jc w:val="center"/>
        <w:rPr>
          <w:rFonts w:eastAsia="Calibri"/>
          <w:b/>
          <w:bCs/>
        </w:rPr>
      </w:pPr>
      <w:r w:rsidRPr="00527561">
        <w:rPr>
          <w:rFonts w:eastAsia="Calibri"/>
          <w:b/>
          <w:bCs/>
        </w:rPr>
        <w:t>R E S U E L V E</w:t>
      </w:r>
    </w:p>
    <w:p w14:paraId="37B0154D" w14:textId="77777777" w:rsidR="00DA7EA2" w:rsidRPr="00527561" w:rsidRDefault="00DA7EA2" w:rsidP="00081E84">
      <w:pPr>
        <w:spacing w:after="0" w:line="360" w:lineRule="auto"/>
        <w:contextualSpacing/>
        <w:rPr>
          <w:rFonts w:eastAsia="Calibri"/>
        </w:rPr>
      </w:pPr>
    </w:p>
    <w:p w14:paraId="792DEBDB" w14:textId="6BB75810" w:rsidR="00DA7EA2" w:rsidRPr="00527561" w:rsidRDefault="00DA7EA2" w:rsidP="00081E84">
      <w:pPr>
        <w:widowControl w:val="0"/>
        <w:spacing w:after="0" w:line="360" w:lineRule="auto"/>
        <w:contextualSpacing/>
        <w:rPr>
          <w:rFonts w:eastAsia="Calibri" w:cs="Times New Roman"/>
          <w:color w:val="auto"/>
          <w:lang w:eastAsia="es-ES"/>
        </w:rPr>
      </w:pPr>
      <w:r w:rsidRPr="00527561">
        <w:rPr>
          <w:rFonts w:eastAsia="Calibri" w:cs="Times New Roman"/>
          <w:b/>
          <w:bCs/>
          <w:color w:val="auto"/>
          <w:lang w:eastAsia="es-ES"/>
        </w:rPr>
        <w:t xml:space="preserve">PRIMERO. </w:t>
      </w:r>
      <w:r w:rsidRPr="00527561">
        <w:rPr>
          <w:rFonts w:eastAsia="Calibri" w:cs="Times New Roman"/>
          <w:color w:val="auto"/>
          <w:lang w:eastAsia="es-ES"/>
        </w:rPr>
        <w:t xml:space="preserve">Se </w:t>
      </w:r>
      <w:r w:rsidR="00FB73D1" w:rsidRPr="00527561">
        <w:rPr>
          <w:rFonts w:eastAsia="Calibri" w:cs="Times New Roman"/>
          <w:b/>
          <w:bCs/>
          <w:color w:val="auto"/>
          <w:lang w:eastAsia="es-ES"/>
        </w:rPr>
        <w:t>REVOCA</w:t>
      </w:r>
      <w:r w:rsidRPr="00527561">
        <w:rPr>
          <w:rFonts w:eastAsia="Calibri" w:cs="Times New Roman"/>
          <w:b/>
          <w:bCs/>
          <w:color w:val="auto"/>
          <w:lang w:eastAsia="es-ES"/>
        </w:rPr>
        <w:t xml:space="preserve"> </w:t>
      </w:r>
      <w:r w:rsidRPr="00527561">
        <w:rPr>
          <w:rFonts w:eastAsia="Calibri" w:cs="Times New Roman"/>
          <w:bCs/>
          <w:color w:val="auto"/>
          <w:lang w:eastAsia="es-ES"/>
        </w:rPr>
        <w:t>la</w:t>
      </w:r>
      <w:r w:rsidRPr="00527561">
        <w:rPr>
          <w:rFonts w:eastAsia="Calibri" w:cs="Times New Roman"/>
          <w:b/>
          <w:bCs/>
          <w:color w:val="auto"/>
          <w:lang w:eastAsia="es-ES"/>
        </w:rPr>
        <w:t xml:space="preserve"> </w:t>
      </w:r>
      <w:r w:rsidRPr="00527561">
        <w:rPr>
          <w:rFonts w:eastAsia="Calibri" w:cs="Times New Roman"/>
          <w:color w:val="auto"/>
          <w:lang w:eastAsia="es-ES"/>
        </w:rPr>
        <w:t xml:space="preserve">respuesta entregada por </w:t>
      </w:r>
      <w:r w:rsidR="00342D02" w:rsidRPr="00527561">
        <w:rPr>
          <w:rFonts w:eastAsia="Calibri" w:cs="Times New Roman"/>
          <w:color w:val="auto"/>
          <w:lang w:eastAsia="es-ES"/>
        </w:rPr>
        <w:t>el Ayuntamiento de Zinacantepec</w:t>
      </w:r>
      <w:r w:rsidRPr="00527561">
        <w:rPr>
          <w:rFonts w:eastAsia="Calibri" w:cs="Tahoma"/>
        </w:rPr>
        <w:t>,</w:t>
      </w:r>
      <w:r w:rsidRPr="00527561">
        <w:rPr>
          <w:rFonts w:eastAsia="Calibri" w:cs="Times New Roman"/>
          <w:color w:val="auto"/>
          <w:lang w:eastAsia="es-ES"/>
        </w:rPr>
        <w:t xml:space="preserve"> a la solicitud de información</w:t>
      </w:r>
      <w:r w:rsidRPr="00527561">
        <w:rPr>
          <w:rFonts w:eastAsia="Calibri" w:cs="Times New Roman"/>
          <w:b/>
          <w:bCs/>
          <w:color w:val="auto"/>
          <w:lang w:eastAsia="es-ES"/>
        </w:rPr>
        <w:t xml:space="preserve"> </w:t>
      </w:r>
      <w:r w:rsidR="00342D02" w:rsidRPr="00527561">
        <w:t>0</w:t>
      </w:r>
      <w:r w:rsidR="00FC667F" w:rsidRPr="00527561">
        <w:t>1391</w:t>
      </w:r>
      <w:r w:rsidR="00342D02" w:rsidRPr="00527561">
        <w:t>/ZINACANT/IP/2022</w:t>
      </w:r>
      <w:r w:rsidRPr="00527561">
        <w:t>,</w:t>
      </w:r>
      <w:r w:rsidRPr="00527561">
        <w:rPr>
          <w:rFonts w:eastAsia="Calibri" w:cs="Times New Roman"/>
          <w:color w:val="auto"/>
          <w:lang w:eastAsia="es-ES"/>
        </w:rPr>
        <w:t xml:space="preserve"> por resultar </w:t>
      </w:r>
      <w:r w:rsidRPr="00527561">
        <w:rPr>
          <w:rFonts w:eastAsia="Calibri" w:cs="Times New Roman"/>
          <w:b/>
          <w:bCs/>
          <w:color w:val="auto"/>
          <w:lang w:eastAsia="es-ES"/>
        </w:rPr>
        <w:t>FUNDADAS</w:t>
      </w:r>
      <w:r w:rsidRPr="00527561">
        <w:rPr>
          <w:rFonts w:eastAsia="Calibri" w:cs="Times New Roman"/>
          <w:color w:val="auto"/>
          <w:lang w:eastAsia="es-ES"/>
        </w:rPr>
        <w:t xml:space="preserve"> las razones o motivos de inconformidad hechos valer por el Recurrente, en términos de los considerandos QUINTO y SEXTO de la presente Resolución.</w:t>
      </w:r>
    </w:p>
    <w:p w14:paraId="2A1C26AC" w14:textId="6E57C10B" w:rsidR="00DA7EA2" w:rsidRPr="00527561" w:rsidRDefault="00DA7EA2" w:rsidP="00081E84">
      <w:pPr>
        <w:autoSpaceDE w:val="0"/>
        <w:autoSpaceDN w:val="0"/>
        <w:adjustRightInd w:val="0"/>
        <w:spacing w:after="0" w:line="360" w:lineRule="auto"/>
        <w:ind w:right="-28"/>
        <w:contextualSpacing/>
        <w:rPr>
          <w:rFonts w:eastAsia="Times New Roman" w:cs="Tahoma"/>
          <w:bCs/>
          <w:iCs/>
          <w:color w:val="auto"/>
          <w:lang w:eastAsia="es-ES"/>
        </w:rPr>
      </w:pPr>
      <w:r w:rsidRPr="00527561">
        <w:rPr>
          <w:rFonts w:eastAsia="Times New Roman" w:cs="Tahoma"/>
          <w:b/>
          <w:bCs/>
          <w:color w:val="auto"/>
          <w:lang w:eastAsia="es-ES"/>
        </w:rPr>
        <w:lastRenderedPageBreak/>
        <w:t xml:space="preserve">SEGUNDO. </w:t>
      </w:r>
      <w:r w:rsidRPr="00527561">
        <w:rPr>
          <w:rFonts w:eastAsia="Times New Roman" w:cs="Tahoma"/>
          <w:color w:val="auto"/>
          <w:lang w:eastAsia="es-ES"/>
        </w:rPr>
        <w:t xml:space="preserve">Se </w:t>
      </w:r>
      <w:r w:rsidRPr="00527561">
        <w:rPr>
          <w:rFonts w:eastAsia="Times New Roman" w:cs="Tahoma"/>
          <w:b/>
          <w:color w:val="auto"/>
          <w:lang w:eastAsia="es-ES"/>
        </w:rPr>
        <w:t xml:space="preserve">ORDENA </w:t>
      </w:r>
      <w:r w:rsidRPr="00527561">
        <w:rPr>
          <w:rFonts w:eastAsia="Times New Roman" w:cs="Tahoma"/>
          <w:color w:val="auto"/>
          <w:lang w:eastAsia="es-ES"/>
        </w:rPr>
        <w:t xml:space="preserve">al </w:t>
      </w:r>
      <w:r w:rsidRPr="00527561">
        <w:rPr>
          <w:rFonts w:eastAsia="Times New Roman" w:cs="Tahoma"/>
          <w:color w:val="0D0D0D" w:themeColor="text1" w:themeTint="F2"/>
          <w:lang w:eastAsia="es-ES"/>
        </w:rPr>
        <w:t>Sujeto Obligado</w:t>
      </w:r>
      <w:r w:rsidRPr="00527561">
        <w:rPr>
          <w:rFonts w:eastAsia="Times New Roman" w:cs="Tahoma"/>
          <w:color w:val="auto"/>
          <w:lang w:eastAsia="es-ES"/>
        </w:rPr>
        <w:t xml:space="preserve">, a efecto de que previa búsqueda exhaustiva y razonable, en los archivos de las unidades administrativas competentes, entregue </w:t>
      </w:r>
      <w:r w:rsidRPr="00527561">
        <w:rPr>
          <w:rFonts w:eastAsia="Times New Roman" w:cs="Tahoma"/>
          <w:bCs/>
          <w:iCs/>
          <w:color w:val="auto"/>
          <w:lang w:eastAsia="es-ES"/>
        </w:rPr>
        <w:t xml:space="preserve">a través del Sistema de Acceso a la Información Mexiquense (SAIMEX), </w:t>
      </w:r>
      <w:r w:rsidR="002E3718" w:rsidRPr="00527561">
        <w:rPr>
          <w:rFonts w:eastAsia="Times New Roman" w:cs="Tahoma"/>
          <w:bCs/>
          <w:iCs/>
          <w:color w:val="auto"/>
          <w:lang w:eastAsia="es-ES"/>
        </w:rPr>
        <w:t>en su caso, en versión pública,</w:t>
      </w:r>
      <w:r w:rsidRPr="00527561">
        <w:rPr>
          <w:rFonts w:eastAsia="Times New Roman" w:cs="Tahoma"/>
          <w:bCs/>
          <w:iCs/>
          <w:color w:val="auto"/>
          <w:lang w:eastAsia="es-ES"/>
        </w:rPr>
        <w:t xml:space="preserve"> lo siguiente:</w:t>
      </w:r>
    </w:p>
    <w:p w14:paraId="15046017" w14:textId="77777777" w:rsidR="00DA7EA2" w:rsidRPr="00527561" w:rsidRDefault="00DA7EA2" w:rsidP="00081E84">
      <w:pPr>
        <w:autoSpaceDE w:val="0"/>
        <w:autoSpaceDN w:val="0"/>
        <w:adjustRightInd w:val="0"/>
        <w:spacing w:after="0" w:line="360" w:lineRule="auto"/>
        <w:ind w:right="-28"/>
        <w:contextualSpacing/>
        <w:rPr>
          <w:rFonts w:eastAsia="Times New Roman" w:cs="Tahoma"/>
          <w:bCs/>
          <w:iCs/>
          <w:color w:val="auto"/>
          <w:lang w:eastAsia="es-ES"/>
        </w:rPr>
      </w:pPr>
    </w:p>
    <w:p w14:paraId="61D5ED59" w14:textId="1642A140" w:rsidR="00DA7EA2" w:rsidRPr="00527561" w:rsidRDefault="002E3718" w:rsidP="00FB73D1">
      <w:pPr>
        <w:pStyle w:val="Prrafodelista"/>
        <w:numPr>
          <w:ilvl w:val="0"/>
          <w:numId w:val="6"/>
        </w:numPr>
        <w:autoSpaceDE w:val="0"/>
        <w:autoSpaceDN w:val="0"/>
        <w:adjustRightInd w:val="0"/>
        <w:spacing w:line="360" w:lineRule="auto"/>
        <w:jc w:val="both"/>
        <w:rPr>
          <w:rFonts w:ascii="Palatino Linotype" w:hAnsi="Palatino Linotype" w:cs="Tahoma"/>
          <w:lang w:val="es-ES"/>
        </w:rPr>
      </w:pPr>
      <w:r w:rsidRPr="00527561">
        <w:rPr>
          <w:rFonts w:ascii="Palatino Linotype" w:hAnsi="Palatino Linotype" w:cs="Tahoma"/>
          <w:lang w:val="es-ES"/>
        </w:rPr>
        <w:t xml:space="preserve">Las </w:t>
      </w:r>
      <w:r w:rsidRPr="00527561">
        <w:rPr>
          <w:rFonts w:ascii="Palatino Linotype" w:hAnsi="Palatino Linotype" w:cs="Tahoma"/>
          <w:iCs/>
          <w:lang w:val="es-ES"/>
        </w:rPr>
        <w:t xml:space="preserve">Actas de las Sesiones, celebradas por el </w:t>
      </w:r>
      <w:r w:rsidRPr="00527561">
        <w:rPr>
          <w:rFonts w:ascii="Palatino Linotype" w:hAnsi="Palatino Linotype" w:cs="Tahoma"/>
        </w:rPr>
        <w:t>Comité de Adquisiciones y de Servicios</w:t>
      </w:r>
      <w:r w:rsidRPr="00527561">
        <w:rPr>
          <w:rFonts w:ascii="Palatino Linotype" w:hAnsi="Palatino Linotype" w:cs="Tahoma"/>
          <w:iCs/>
          <w:lang w:val="es-ES"/>
        </w:rPr>
        <w:t>, del primero de enero al treinta de noviembre de dos mil veintidós</w:t>
      </w:r>
      <w:r w:rsidR="00FB73D1" w:rsidRPr="00527561">
        <w:rPr>
          <w:rFonts w:ascii="Palatino Linotype" w:hAnsi="Palatino Linotype" w:cs="Tahoma"/>
          <w:lang w:val="es-ES"/>
        </w:rPr>
        <w:t>.</w:t>
      </w:r>
    </w:p>
    <w:p w14:paraId="2E500E58" w14:textId="48BB23B5" w:rsidR="00FB73D1" w:rsidRPr="00527561" w:rsidRDefault="00FB73D1" w:rsidP="00081E84">
      <w:pPr>
        <w:autoSpaceDE w:val="0"/>
        <w:autoSpaceDN w:val="0"/>
        <w:adjustRightInd w:val="0"/>
        <w:spacing w:after="0" w:line="360" w:lineRule="auto"/>
        <w:contextualSpacing/>
      </w:pPr>
    </w:p>
    <w:p w14:paraId="50F7EC1E" w14:textId="4CFFC1AB" w:rsidR="002E3718" w:rsidRPr="00527561" w:rsidRDefault="002E3718" w:rsidP="002E3718">
      <w:pPr>
        <w:tabs>
          <w:tab w:val="left" w:pos="4962"/>
        </w:tabs>
        <w:spacing w:after="0" w:line="360" w:lineRule="auto"/>
        <w:rPr>
          <w:rFonts w:eastAsia="Calibri" w:cs="Tahoma"/>
          <w:bCs/>
          <w:iCs/>
          <w:color w:val="auto"/>
          <w:lang w:val="es-ES"/>
        </w:rPr>
      </w:pPr>
      <w:r w:rsidRPr="00527561">
        <w:rPr>
          <w:rFonts w:eastAsia="Calibri" w:cs="Tahoma"/>
          <w:bCs/>
          <w:iCs/>
          <w:color w:val="auto"/>
          <w:lang w:val="es-ES"/>
        </w:rPr>
        <w:t xml:space="preserve">Además, de ser necesario, deberá proporcionar el Acuerdo de Clasificación donde el Comité de Transparencia, confirme la eliminación de los datos </w:t>
      </w:r>
      <w:r w:rsidR="00B749CD" w:rsidRPr="00527561">
        <w:rPr>
          <w:rFonts w:eastAsia="Calibri" w:cs="Tahoma"/>
          <w:bCs/>
          <w:iCs/>
          <w:color w:val="auto"/>
          <w:lang w:val="es-ES"/>
        </w:rPr>
        <w:t>confidenciales</w:t>
      </w:r>
      <w:r w:rsidRPr="00527561">
        <w:rPr>
          <w:rFonts w:eastAsia="Calibri" w:cs="Tahoma"/>
          <w:bCs/>
          <w:iCs/>
          <w:color w:val="auto"/>
          <w:lang w:val="es-ES"/>
        </w:rPr>
        <w:t>, en la versión pública, de conformidad con los artí</w:t>
      </w:r>
      <w:r w:rsidR="00B749CD" w:rsidRPr="00527561">
        <w:rPr>
          <w:rFonts w:eastAsia="Calibri" w:cs="Tahoma"/>
          <w:bCs/>
          <w:iCs/>
          <w:color w:val="auto"/>
          <w:lang w:val="es-ES"/>
        </w:rPr>
        <w:t>culos 49, fracciones II y VIII,</w:t>
      </w:r>
      <w:r w:rsidRPr="00527561">
        <w:rPr>
          <w:rFonts w:eastAsia="Calibri" w:cs="Tahoma"/>
          <w:bCs/>
          <w:iCs/>
          <w:color w:val="auto"/>
          <w:lang w:val="es-ES"/>
        </w:rPr>
        <w:t xml:space="preserve"> 132, fracción II, </w:t>
      </w:r>
      <w:r w:rsidR="00B749CD" w:rsidRPr="00527561">
        <w:rPr>
          <w:rFonts w:eastAsia="Calibri" w:cs="Tahoma"/>
          <w:bCs/>
          <w:iCs/>
          <w:color w:val="auto"/>
          <w:lang w:val="es-ES"/>
        </w:rPr>
        <w:t xml:space="preserve">143, fracción I y 149 </w:t>
      </w:r>
      <w:r w:rsidRPr="00527561">
        <w:rPr>
          <w:rFonts w:eastAsia="Calibri" w:cs="Tahoma"/>
          <w:bCs/>
          <w:iCs/>
          <w:color w:val="auto"/>
          <w:lang w:val="es-ES"/>
        </w:rPr>
        <w:t>de la Ley de Transparencia y Acceso a la Información Pública del Estado de México y Municipios.</w:t>
      </w:r>
    </w:p>
    <w:p w14:paraId="20DCC82B" w14:textId="77777777" w:rsidR="002E3718" w:rsidRPr="00527561" w:rsidRDefault="002E3718" w:rsidP="00081E84">
      <w:pPr>
        <w:autoSpaceDE w:val="0"/>
        <w:autoSpaceDN w:val="0"/>
        <w:adjustRightInd w:val="0"/>
        <w:spacing w:after="0" w:line="360" w:lineRule="auto"/>
        <w:contextualSpacing/>
      </w:pPr>
    </w:p>
    <w:p w14:paraId="66FF639E" w14:textId="77777777" w:rsidR="00DA7EA2" w:rsidRPr="00527561" w:rsidRDefault="00DA7EA2" w:rsidP="00081E84">
      <w:pPr>
        <w:spacing w:after="0" w:line="360" w:lineRule="auto"/>
        <w:ind w:right="-28"/>
        <w:contextualSpacing/>
        <w:rPr>
          <w:rFonts w:eastAsia="Times New Roman" w:cs="Tahoma"/>
          <w:i/>
          <w:lang w:eastAsia="es-ES"/>
        </w:rPr>
      </w:pPr>
      <w:r w:rsidRPr="00527561">
        <w:rPr>
          <w:rFonts w:eastAsia="Calibri" w:cs="Tahoma"/>
          <w:b/>
          <w:bCs/>
        </w:rPr>
        <w:t xml:space="preserve">TERCERO. </w:t>
      </w:r>
      <w:r w:rsidRPr="00527561">
        <w:rPr>
          <w:rFonts w:eastAsia="Times New Roman" w:cs="Tahoma"/>
          <w:b/>
          <w:lang w:eastAsia="es-ES"/>
        </w:rPr>
        <w:t xml:space="preserve">NOTIFÍQUESE </w:t>
      </w:r>
      <w:r w:rsidRPr="00527561">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E9DA100" w14:textId="77777777" w:rsidR="00DA7EA2" w:rsidRPr="00527561" w:rsidRDefault="00DA7EA2" w:rsidP="00081E84">
      <w:pPr>
        <w:spacing w:after="0" w:line="360" w:lineRule="auto"/>
        <w:ind w:right="-28"/>
        <w:contextualSpacing/>
        <w:rPr>
          <w:rFonts w:eastAsia="Calibri" w:cs="Tahoma"/>
          <w:color w:val="000000"/>
          <w:lang w:val="es-ES" w:eastAsia="es-MX"/>
        </w:rPr>
      </w:pPr>
    </w:p>
    <w:p w14:paraId="30367FD3" w14:textId="77777777" w:rsidR="00DA7EA2" w:rsidRPr="00527561" w:rsidRDefault="00DA7EA2" w:rsidP="00081E84">
      <w:pPr>
        <w:spacing w:after="0" w:line="360" w:lineRule="auto"/>
        <w:contextualSpacing/>
        <w:rPr>
          <w:rFonts w:eastAsia="Calibri" w:cs="Tahoma"/>
          <w:iCs/>
          <w:color w:val="000000"/>
        </w:rPr>
      </w:pPr>
      <w:r w:rsidRPr="00527561">
        <w:rPr>
          <w:rFonts w:eastAsia="Calibri" w:cs="Tahoma"/>
          <w:iCs/>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D2A130" w14:textId="77777777" w:rsidR="00DA7EA2" w:rsidRPr="00527561" w:rsidRDefault="00DA7EA2" w:rsidP="00081E84">
      <w:pPr>
        <w:spacing w:after="0" w:line="360" w:lineRule="auto"/>
        <w:ind w:right="-28"/>
        <w:contextualSpacing/>
        <w:rPr>
          <w:rFonts w:eastAsia="Calibri" w:cs="Tahoma"/>
          <w:color w:val="000000"/>
          <w:lang w:val="es-ES" w:eastAsia="es-MX"/>
        </w:rPr>
      </w:pPr>
    </w:p>
    <w:p w14:paraId="6C7E789D" w14:textId="77777777" w:rsidR="00DA7EA2" w:rsidRPr="00527561" w:rsidRDefault="00DA7EA2" w:rsidP="00081E84">
      <w:pPr>
        <w:shd w:val="clear" w:color="auto" w:fill="FFFFFF" w:themeFill="background1"/>
        <w:spacing w:after="0" w:line="360" w:lineRule="auto"/>
        <w:ind w:right="-28"/>
        <w:contextualSpacing/>
        <w:rPr>
          <w:rFonts w:eastAsia="Times New Roman" w:cs="Tahoma"/>
          <w:lang w:eastAsia="es-ES"/>
        </w:rPr>
      </w:pPr>
      <w:r w:rsidRPr="00527561">
        <w:rPr>
          <w:rFonts w:eastAsia="Calibri" w:cs="Tahoma"/>
          <w:b/>
          <w:lang w:eastAsia="es-MX"/>
        </w:rPr>
        <w:t>CUARTO</w:t>
      </w:r>
      <w:r w:rsidRPr="00527561">
        <w:rPr>
          <w:rFonts w:eastAsia="Calibri" w:cs="Tahoma"/>
          <w:b/>
          <w:bCs/>
        </w:rPr>
        <w:t xml:space="preserve">. </w:t>
      </w:r>
      <w:r w:rsidRPr="00527561">
        <w:rPr>
          <w:rFonts w:eastAsia="Times New Roman" w:cs="Tahoma"/>
          <w:b/>
          <w:lang w:eastAsia="es-ES"/>
        </w:rPr>
        <w:t>NOTIFÍQUESE</w:t>
      </w:r>
      <w:r w:rsidRPr="00527561">
        <w:rPr>
          <w:rFonts w:eastAsia="Times New Roman" w:cs="Tahoma"/>
          <w:lang w:eastAsia="es-ES"/>
        </w:rPr>
        <w:t xml:space="preserve"> al Recurrente la presente Resolución, a través del </w:t>
      </w:r>
      <w:r w:rsidRPr="00527561">
        <w:rPr>
          <w:rFonts w:eastAsia="Calibri" w:cs="Tahoma"/>
          <w:bCs/>
        </w:rPr>
        <w:t>Sistema de Acceso a la Información Mexiquense (SAIMEX)</w:t>
      </w:r>
      <w:r w:rsidRPr="00527561">
        <w:rPr>
          <w:rFonts w:eastAsia="Times New Roman" w:cs="Tahoma"/>
          <w:lang w:eastAsia="es-ES"/>
        </w:rPr>
        <w:t xml:space="preserve">, asimismo, se hace de su conocimiento que de </w:t>
      </w:r>
      <w:r w:rsidRPr="00527561">
        <w:rPr>
          <w:rFonts w:eastAsia="Times New Roman" w:cs="Tahoma"/>
          <w:lang w:eastAsia="es-ES"/>
        </w:rPr>
        <w:lastRenderedPageBreak/>
        <w:t>conformidad con lo establecido en el artículo 196 de la Ley de Transparencia y Acceso a la Información Pública del Estado de México y Municipios podrá promover el Juicio de Amparo en los términos de las leyes aplicables.</w:t>
      </w:r>
    </w:p>
    <w:p w14:paraId="4AE6187E" w14:textId="77777777" w:rsidR="00DA7EA2" w:rsidRPr="00527561" w:rsidRDefault="00DA7EA2" w:rsidP="00081E84">
      <w:pPr>
        <w:spacing w:after="0" w:line="360" w:lineRule="auto"/>
        <w:contextualSpacing/>
      </w:pPr>
    </w:p>
    <w:p w14:paraId="7846848B" w14:textId="77777777" w:rsidR="00DA7EA2" w:rsidRPr="00F8584E" w:rsidRDefault="00DA7EA2" w:rsidP="00081E84">
      <w:pPr>
        <w:spacing w:after="0" w:line="360" w:lineRule="auto"/>
        <w:contextualSpacing/>
        <w:rPr>
          <w:rFonts w:eastAsia="Calibri"/>
        </w:rPr>
      </w:pPr>
      <w:r w:rsidRPr="00527561">
        <w:rPr>
          <w:rFonts w:eastAsia="Calibri"/>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DE FEBRERO DE DOS MIL VEINTITRÉS, ANTE EL SECRETARIO TÉCNICO DEL PLENO, ALEXIS TAPIA RAMÍREZ.</w:t>
      </w:r>
    </w:p>
    <w:p w14:paraId="0E40B58C" w14:textId="7811165B" w:rsidR="00BA6DAF" w:rsidRDefault="00BA6DAF">
      <w:pPr>
        <w:jc w:val="left"/>
      </w:pPr>
      <w:r>
        <w:br w:type="page"/>
      </w:r>
    </w:p>
    <w:p w14:paraId="4293914D" w14:textId="77777777" w:rsidR="00AC5774" w:rsidRDefault="00AC5774" w:rsidP="00081E84">
      <w:pPr>
        <w:spacing w:after="0" w:line="360" w:lineRule="auto"/>
        <w:contextualSpacing/>
      </w:pPr>
    </w:p>
    <w:sectPr w:rsidR="00AC5774" w:rsidSect="003E2E42">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EB629" w14:textId="77777777" w:rsidR="00040C43" w:rsidRDefault="00040C43" w:rsidP="00DA7EA2">
      <w:pPr>
        <w:spacing w:after="0" w:line="240" w:lineRule="auto"/>
      </w:pPr>
      <w:r>
        <w:separator/>
      </w:r>
    </w:p>
  </w:endnote>
  <w:endnote w:type="continuationSeparator" w:id="0">
    <w:p w14:paraId="54B6D5E2" w14:textId="77777777" w:rsidR="00040C43" w:rsidRDefault="00040C43" w:rsidP="00DA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21AB7D2C" w14:textId="77777777" w:rsidR="008C644E" w:rsidRDefault="005C041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4AEDCBB0" w14:textId="77777777" w:rsidR="008C644E" w:rsidRDefault="005275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240095A1" w14:textId="77777777" w:rsidR="008C644E" w:rsidRDefault="005C041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749CD">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749CD">
              <w:rPr>
                <w:b/>
                <w:bCs/>
                <w:noProof/>
              </w:rPr>
              <w:t>17</w:t>
            </w:r>
            <w:r>
              <w:rPr>
                <w:b/>
                <w:bCs/>
                <w:sz w:val="24"/>
                <w:szCs w:val="24"/>
              </w:rPr>
              <w:fldChar w:fldCharType="end"/>
            </w:r>
          </w:p>
        </w:sdtContent>
      </w:sdt>
    </w:sdtContent>
  </w:sdt>
  <w:p w14:paraId="457910C3" w14:textId="77777777" w:rsidR="008C644E" w:rsidRDefault="0052756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7E6915C6" w14:textId="77777777" w:rsidR="008C644E" w:rsidRDefault="005C041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749C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749CD">
              <w:rPr>
                <w:b/>
                <w:bCs/>
                <w:noProof/>
              </w:rPr>
              <w:t>17</w:t>
            </w:r>
            <w:r>
              <w:rPr>
                <w:b/>
                <w:bCs/>
                <w:sz w:val="24"/>
                <w:szCs w:val="24"/>
              </w:rPr>
              <w:fldChar w:fldCharType="end"/>
            </w:r>
          </w:p>
        </w:sdtContent>
      </w:sdt>
    </w:sdtContent>
  </w:sdt>
  <w:p w14:paraId="20754C16" w14:textId="77777777" w:rsidR="008C644E" w:rsidRDefault="005C0413"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267F5" w14:textId="77777777" w:rsidR="00040C43" w:rsidRDefault="00040C43" w:rsidP="00DA7EA2">
      <w:pPr>
        <w:spacing w:after="0" w:line="240" w:lineRule="auto"/>
      </w:pPr>
      <w:r>
        <w:separator/>
      </w:r>
    </w:p>
  </w:footnote>
  <w:footnote w:type="continuationSeparator" w:id="0">
    <w:p w14:paraId="7D6E270B" w14:textId="77777777" w:rsidR="00040C43" w:rsidRDefault="00040C43" w:rsidP="00DA7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35FF918C" w14:textId="77777777" w:rsidTr="00787244">
      <w:trPr>
        <w:trHeight w:val="1435"/>
      </w:trPr>
      <w:tc>
        <w:tcPr>
          <w:tcW w:w="3261" w:type="dxa"/>
        </w:tcPr>
        <w:p w14:paraId="1BD18160" w14:textId="77777777" w:rsidR="008C644E" w:rsidRPr="008C644E" w:rsidRDefault="00527561"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2BEF623D" w14:textId="77777777" w:rsidTr="00787244">
            <w:trPr>
              <w:trHeight w:val="144"/>
            </w:trPr>
            <w:tc>
              <w:tcPr>
                <w:tcW w:w="2559" w:type="dxa"/>
                <w:hideMark/>
              </w:tcPr>
              <w:p w14:paraId="4F5CF586" w14:textId="77777777" w:rsidR="008C644E" w:rsidRPr="008C644E" w:rsidRDefault="005C0413" w:rsidP="008C644E">
                <w:pPr>
                  <w:pStyle w:val="Encabezado"/>
                  <w:rPr>
                    <w:b/>
                  </w:rPr>
                </w:pPr>
                <w:r w:rsidRPr="008C644E">
                  <w:rPr>
                    <w:b/>
                  </w:rPr>
                  <w:t>Recurso de Revisión:</w:t>
                </w:r>
              </w:p>
            </w:tc>
            <w:tc>
              <w:tcPr>
                <w:tcW w:w="3259" w:type="dxa"/>
                <w:hideMark/>
              </w:tcPr>
              <w:p w14:paraId="3C43F19E" w14:textId="77777777" w:rsidR="008C644E" w:rsidRPr="008C644E" w:rsidRDefault="005C0413" w:rsidP="008C644E">
                <w:pPr>
                  <w:pStyle w:val="Encabezado"/>
                </w:pPr>
                <w:r>
                  <w:t>01206/INFOEM/IP/RR/2022</w:t>
                </w:r>
              </w:p>
            </w:tc>
            <w:tc>
              <w:tcPr>
                <w:tcW w:w="3402" w:type="dxa"/>
              </w:tcPr>
              <w:p w14:paraId="15990F5F" w14:textId="77777777" w:rsidR="008C644E" w:rsidRPr="008C644E" w:rsidRDefault="00527561" w:rsidP="008C644E">
                <w:pPr>
                  <w:pStyle w:val="Encabezado"/>
                  <w:rPr>
                    <w:bCs/>
                  </w:rPr>
                </w:pPr>
              </w:p>
            </w:tc>
          </w:tr>
          <w:tr w:rsidR="008C644E" w:rsidRPr="008C644E" w14:paraId="236F8090" w14:textId="77777777" w:rsidTr="00787244">
            <w:trPr>
              <w:trHeight w:val="283"/>
            </w:trPr>
            <w:tc>
              <w:tcPr>
                <w:tcW w:w="2559" w:type="dxa"/>
                <w:hideMark/>
              </w:tcPr>
              <w:p w14:paraId="199896E1" w14:textId="77777777" w:rsidR="008C644E" w:rsidRPr="008C644E" w:rsidRDefault="005C0413" w:rsidP="008C644E">
                <w:pPr>
                  <w:pStyle w:val="Encabezado"/>
                  <w:rPr>
                    <w:b/>
                  </w:rPr>
                </w:pPr>
                <w:r w:rsidRPr="008C644E">
                  <w:rPr>
                    <w:b/>
                  </w:rPr>
                  <w:t>Sujeto Obligado:</w:t>
                </w:r>
              </w:p>
            </w:tc>
            <w:tc>
              <w:tcPr>
                <w:tcW w:w="3259" w:type="dxa"/>
                <w:hideMark/>
              </w:tcPr>
              <w:p w14:paraId="0DE0EB9D" w14:textId="77777777" w:rsidR="008C644E" w:rsidRPr="008C644E" w:rsidRDefault="005C0413" w:rsidP="00A075BA">
                <w:pPr>
                  <w:pStyle w:val="Encabezado"/>
                </w:pPr>
                <w:r w:rsidRPr="008C644E">
                  <w:rPr>
                    <w:lang w:val="es-MX"/>
                  </w:rPr>
                  <w:t>Ayuntamiento</w:t>
                </w:r>
                <w:r>
                  <w:rPr>
                    <w:lang w:val="es-MX"/>
                  </w:rPr>
                  <w:t xml:space="preserve"> de</w:t>
                </w:r>
                <w:r w:rsidRPr="008C644E">
                  <w:rPr>
                    <w:lang w:val="es-MX"/>
                  </w:rPr>
                  <w:t xml:space="preserve"> </w:t>
                </w:r>
                <w:r>
                  <w:rPr>
                    <w:lang w:val="es-MX"/>
                  </w:rPr>
                  <w:t>Tezoyuca</w:t>
                </w:r>
              </w:p>
            </w:tc>
            <w:tc>
              <w:tcPr>
                <w:tcW w:w="3402" w:type="dxa"/>
              </w:tcPr>
              <w:p w14:paraId="08BBB085" w14:textId="77777777" w:rsidR="008C644E" w:rsidRPr="008C644E" w:rsidRDefault="00527561" w:rsidP="008C644E">
                <w:pPr>
                  <w:pStyle w:val="Encabezado"/>
                </w:pPr>
              </w:p>
            </w:tc>
          </w:tr>
          <w:tr w:rsidR="008C644E" w:rsidRPr="008C644E" w14:paraId="24718390" w14:textId="77777777" w:rsidTr="00787244">
            <w:trPr>
              <w:trHeight w:val="283"/>
            </w:trPr>
            <w:tc>
              <w:tcPr>
                <w:tcW w:w="2559" w:type="dxa"/>
                <w:hideMark/>
              </w:tcPr>
              <w:p w14:paraId="07A3C82B" w14:textId="77777777" w:rsidR="008C644E" w:rsidRPr="008C644E" w:rsidRDefault="005C0413" w:rsidP="008C644E">
                <w:pPr>
                  <w:pStyle w:val="Encabezado"/>
                  <w:rPr>
                    <w:b/>
                  </w:rPr>
                </w:pPr>
                <w:r w:rsidRPr="008C644E">
                  <w:rPr>
                    <w:b/>
                  </w:rPr>
                  <w:t xml:space="preserve">Comisionado Ponente: </w:t>
                </w:r>
              </w:p>
            </w:tc>
            <w:tc>
              <w:tcPr>
                <w:tcW w:w="3259" w:type="dxa"/>
                <w:hideMark/>
              </w:tcPr>
              <w:p w14:paraId="3142C169" w14:textId="77777777" w:rsidR="008C644E" w:rsidRPr="008C644E" w:rsidRDefault="005C0413" w:rsidP="008C644E">
                <w:pPr>
                  <w:pStyle w:val="Encabezado"/>
                  <w:rPr>
                    <w:b/>
                  </w:rPr>
                </w:pPr>
                <w:r w:rsidRPr="008C644E">
                  <w:t>Luis Gustavo Parra Noriega</w:t>
                </w:r>
              </w:p>
            </w:tc>
            <w:tc>
              <w:tcPr>
                <w:tcW w:w="3402" w:type="dxa"/>
              </w:tcPr>
              <w:p w14:paraId="69029DED" w14:textId="77777777" w:rsidR="008C644E" w:rsidRPr="008C644E" w:rsidRDefault="00527561" w:rsidP="008C644E">
                <w:pPr>
                  <w:pStyle w:val="Encabezado"/>
                </w:pPr>
              </w:p>
            </w:tc>
          </w:tr>
        </w:tbl>
        <w:p w14:paraId="31D0E575" w14:textId="77777777" w:rsidR="008C644E" w:rsidRPr="008C644E" w:rsidRDefault="00527561" w:rsidP="008C644E">
          <w:pPr>
            <w:pStyle w:val="Encabezado"/>
            <w:rPr>
              <w:b/>
            </w:rPr>
          </w:pPr>
        </w:p>
      </w:tc>
    </w:tr>
  </w:tbl>
  <w:p w14:paraId="287F6BBF" w14:textId="77777777" w:rsidR="008C644E" w:rsidRDefault="00527561">
    <w:pPr>
      <w:pStyle w:val="Encabezado"/>
    </w:pPr>
    <w:r>
      <w:rPr>
        <w:noProof/>
      </w:rPr>
      <w:pict w14:anchorId="4BD59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2049"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41" w:type="dxa"/>
      <w:tblLayout w:type="fixed"/>
      <w:tblLook w:val="04A0" w:firstRow="1" w:lastRow="0" w:firstColumn="1" w:lastColumn="0" w:noHBand="0" w:noVBand="1"/>
    </w:tblPr>
    <w:tblGrid>
      <w:gridCol w:w="3402"/>
      <w:gridCol w:w="7439"/>
    </w:tblGrid>
    <w:tr w:rsidR="008C644E" w14:paraId="5B6C5CA5" w14:textId="77777777" w:rsidTr="00DA7EA2">
      <w:trPr>
        <w:trHeight w:val="1435"/>
      </w:trPr>
      <w:tc>
        <w:tcPr>
          <w:tcW w:w="3402" w:type="dxa"/>
        </w:tcPr>
        <w:p w14:paraId="51A85774" w14:textId="77777777" w:rsidR="008C644E" w:rsidRDefault="00527561" w:rsidP="008C644E">
          <w:pPr>
            <w:tabs>
              <w:tab w:val="right" w:pos="4273"/>
            </w:tabs>
            <w:spacing w:line="256" w:lineRule="auto"/>
            <w:rPr>
              <w:rFonts w:ascii="Garamond" w:eastAsia="Calibri" w:hAnsi="Garamond"/>
              <w:color w:val="auto"/>
            </w:rPr>
          </w:pPr>
        </w:p>
      </w:tc>
      <w:tc>
        <w:tcPr>
          <w:tcW w:w="7439" w:type="dxa"/>
          <w:hideMark/>
        </w:tcPr>
        <w:p w14:paraId="422FD0B0" w14:textId="77777777" w:rsidR="00D36646" w:rsidRDefault="00527561"/>
        <w:tbl>
          <w:tblPr>
            <w:tblStyle w:val="Tablaconcuadrcula"/>
            <w:tblW w:w="9083" w:type="dxa"/>
            <w:tblInd w:w="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3544"/>
            <w:gridCol w:w="3130"/>
          </w:tblGrid>
          <w:tr w:rsidR="008C644E" w14:paraId="20FB239F" w14:textId="77777777" w:rsidTr="008D0DF8">
            <w:trPr>
              <w:trHeight w:val="144"/>
            </w:trPr>
            <w:tc>
              <w:tcPr>
                <w:tcW w:w="2409" w:type="dxa"/>
                <w:hideMark/>
              </w:tcPr>
              <w:p w14:paraId="3F65B7B8" w14:textId="77777777" w:rsidR="008C644E" w:rsidRDefault="005C0413" w:rsidP="008C644E">
                <w:pPr>
                  <w:tabs>
                    <w:tab w:val="right" w:pos="8838"/>
                  </w:tabs>
                  <w:ind w:left="-74" w:right="-105"/>
                  <w:rPr>
                    <w:rFonts w:eastAsia="Calibri" w:cs="Tahoma"/>
                    <w:b/>
                  </w:rPr>
                </w:pPr>
                <w:bookmarkStart w:id="3" w:name="_Hlk12526980"/>
                <w:r>
                  <w:rPr>
                    <w:rFonts w:eastAsia="Calibri" w:cs="Tahoma"/>
                    <w:b/>
                  </w:rPr>
                  <w:t>Recurso de Revisión:</w:t>
                </w:r>
              </w:p>
            </w:tc>
            <w:tc>
              <w:tcPr>
                <w:tcW w:w="3544" w:type="dxa"/>
                <w:hideMark/>
              </w:tcPr>
              <w:p w14:paraId="3C45E822" w14:textId="5C559BA3" w:rsidR="008C644E" w:rsidRDefault="00FC667F" w:rsidP="008C644E">
                <w:pPr>
                  <w:tabs>
                    <w:tab w:val="right" w:pos="8838"/>
                  </w:tabs>
                  <w:ind w:left="-74" w:right="-105"/>
                  <w:rPr>
                    <w:rFonts w:eastAsia="Calibri" w:cs="Tahoma"/>
                    <w:bCs/>
                  </w:rPr>
                </w:pPr>
                <w:r>
                  <w:t>00271/INFOEM/IP/RR/2023</w:t>
                </w:r>
              </w:p>
            </w:tc>
            <w:tc>
              <w:tcPr>
                <w:tcW w:w="3130" w:type="dxa"/>
              </w:tcPr>
              <w:p w14:paraId="60E73578" w14:textId="77777777" w:rsidR="008C644E" w:rsidRDefault="00527561" w:rsidP="008C644E">
                <w:pPr>
                  <w:tabs>
                    <w:tab w:val="right" w:pos="8838"/>
                  </w:tabs>
                  <w:ind w:left="-74" w:right="-105"/>
                  <w:rPr>
                    <w:rFonts w:eastAsia="Calibri" w:cs="Tahoma"/>
                    <w:bCs/>
                  </w:rPr>
                </w:pPr>
              </w:p>
            </w:tc>
            <w:bookmarkEnd w:id="3"/>
          </w:tr>
          <w:tr w:rsidR="008C644E" w14:paraId="0F4C5944" w14:textId="77777777" w:rsidTr="008D0DF8">
            <w:trPr>
              <w:trHeight w:val="283"/>
            </w:trPr>
            <w:tc>
              <w:tcPr>
                <w:tcW w:w="2409" w:type="dxa"/>
                <w:hideMark/>
              </w:tcPr>
              <w:p w14:paraId="5D925B3C" w14:textId="77777777" w:rsidR="008C644E" w:rsidRDefault="005C0413" w:rsidP="008C644E">
                <w:pPr>
                  <w:tabs>
                    <w:tab w:val="right" w:pos="8838"/>
                  </w:tabs>
                  <w:ind w:left="-74" w:right="-105"/>
                  <w:rPr>
                    <w:rFonts w:eastAsia="Calibri" w:cs="Tahoma"/>
                    <w:b/>
                  </w:rPr>
                </w:pPr>
                <w:r>
                  <w:rPr>
                    <w:rFonts w:eastAsia="Calibri" w:cs="Tahoma"/>
                    <w:b/>
                  </w:rPr>
                  <w:t>Sujeto Obligado:</w:t>
                </w:r>
              </w:p>
            </w:tc>
            <w:tc>
              <w:tcPr>
                <w:tcW w:w="3544" w:type="dxa"/>
                <w:hideMark/>
              </w:tcPr>
              <w:p w14:paraId="52C2E9C8" w14:textId="4597F529" w:rsidR="008C644E" w:rsidRPr="008C644E" w:rsidRDefault="00DA7EA2" w:rsidP="00412BE1">
                <w:pPr>
                  <w:tabs>
                    <w:tab w:val="left" w:pos="2834"/>
                    <w:tab w:val="right" w:pos="8838"/>
                  </w:tabs>
                  <w:ind w:left="-74" w:right="-105"/>
                  <w:rPr>
                    <w:rFonts w:eastAsia="Calibri" w:cs="Tahoma"/>
                  </w:rPr>
                </w:pPr>
                <w:r>
                  <w:rPr>
                    <w:rFonts w:eastAsia="Calibri" w:cs="Tahoma"/>
                    <w:lang w:val="es-MX"/>
                  </w:rPr>
                  <w:t xml:space="preserve">Ayuntamiento de Zinacantepec </w:t>
                </w:r>
              </w:p>
            </w:tc>
            <w:tc>
              <w:tcPr>
                <w:tcW w:w="3130" w:type="dxa"/>
              </w:tcPr>
              <w:p w14:paraId="1A8F8775" w14:textId="77777777" w:rsidR="008C644E" w:rsidRDefault="00527561" w:rsidP="008C644E">
                <w:pPr>
                  <w:tabs>
                    <w:tab w:val="left" w:pos="2834"/>
                    <w:tab w:val="right" w:pos="8838"/>
                  </w:tabs>
                  <w:ind w:left="-74" w:right="-105"/>
                  <w:rPr>
                    <w:rFonts w:eastAsia="Calibri" w:cs="Tahoma"/>
                  </w:rPr>
                </w:pPr>
              </w:p>
            </w:tc>
          </w:tr>
          <w:tr w:rsidR="008C644E" w14:paraId="04596486" w14:textId="77777777" w:rsidTr="008D0DF8">
            <w:trPr>
              <w:trHeight w:val="283"/>
            </w:trPr>
            <w:tc>
              <w:tcPr>
                <w:tcW w:w="2409" w:type="dxa"/>
                <w:hideMark/>
              </w:tcPr>
              <w:p w14:paraId="7F093D4C" w14:textId="77777777" w:rsidR="008C644E" w:rsidRDefault="005C0413" w:rsidP="008C644E">
                <w:pPr>
                  <w:tabs>
                    <w:tab w:val="right" w:pos="8838"/>
                  </w:tabs>
                  <w:ind w:left="-74" w:right="-105"/>
                  <w:rPr>
                    <w:rFonts w:eastAsia="Calibri" w:cs="Tahoma"/>
                    <w:b/>
                  </w:rPr>
                </w:pPr>
                <w:r>
                  <w:rPr>
                    <w:rFonts w:eastAsia="Calibri" w:cs="Tahoma"/>
                    <w:b/>
                  </w:rPr>
                  <w:t xml:space="preserve">Comisionado Ponente: </w:t>
                </w:r>
              </w:p>
            </w:tc>
            <w:tc>
              <w:tcPr>
                <w:tcW w:w="3544" w:type="dxa"/>
                <w:hideMark/>
              </w:tcPr>
              <w:p w14:paraId="20818446" w14:textId="77777777" w:rsidR="008C644E" w:rsidRDefault="005C0413" w:rsidP="008C644E">
                <w:pPr>
                  <w:tabs>
                    <w:tab w:val="right" w:pos="8838"/>
                  </w:tabs>
                  <w:ind w:left="-74" w:right="-105"/>
                  <w:rPr>
                    <w:rFonts w:eastAsia="Calibri" w:cs="Tahoma"/>
                    <w:b/>
                  </w:rPr>
                </w:pPr>
                <w:r>
                  <w:rPr>
                    <w:rFonts w:eastAsia="Calibri" w:cs="Tahoma"/>
                  </w:rPr>
                  <w:t>Luis Gustavo Parra Noriega</w:t>
                </w:r>
              </w:p>
            </w:tc>
            <w:tc>
              <w:tcPr>
                <w:tcW w:w="3130" w:type="dxa"/>
              </w:tcPr>
              <w:p w14:paraId="23BC280E" w14:textId="77777777" w:rsidR="008C644E" w:rsidRDefault="00527561" w:rsidP="008C644E">
                <w:pPr>
                  <w:tabs>
                    <w:tab w:val="right" w:pos="8838"/>
                  </w:tabs>
                  <w:ind w:left="-74" w:right="-105"/>
                  <w:rPr>
                    <w:rFonts w:eastAsia="Calibri" w:cs="Tahoma"/>
                  </w:rPr>
                </w:pPr>
              </w:p>
            </w:tc>
          </w:tr>
        </w:tbl>
        <w:p w14:paraId="74722E6F" w14:textId="77777777" w:rsidR="008C644E" w:rsidRDefault="00527561" w:rsidP="008C644E">
          <w:pPr>
            <w:tabs>
              <w:tab w:val="right" w:pos="8838"/>
            </w:tabs>
            <w:spacing w:line="256" w:lineRule="auto"/>
            <w:ind w:left="-28"/>
            <w:rPr>
              <w:rFonts w:ascii="Arial" w:eastAsia="Calibri" w:hAnsi="Arial" w:cs="Arial"/>
              <w:b/>
            </w:rPr>
          </w:pPr>
        </w:p>
      </w:tc>
    </w:tr>
  </w:tbl>
  <w:p w14:paraId="672B1DC0" w14:textId="77777777" w:rsidR="008C644E" w:rsidRDefault="00527561">
    <w:pPr>
      <w:pStyle w:val="Encabezado"/>
    </w:pPr>
    <w:r>
      <w:rPr>
        <w:noProof/>
      </w:rPr>
      <w:pict w14:anchorId="5B685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2050" type="#_x0000_t75" style="position:absolute;left:0;text-align:left;margin-left:0;margin-top:0;width:663.5pt;height:12in;z-index:-25165875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8C644E" w14:paraId="6DEBA20C" w14:textId="77777777" w:rsidTr="003F2F0B">
      <w:trPr>
        <w:trHeight w:val="1435"/>
      </w:trPr>
      <w:tc>
        <w:tcPr>
          <w:tcW w:w="2127" w:type="dxa"/>
        </w:tcPr>
        <w:p w14:paraId="15FBB33F" w14:textId="77777777" w:rsidR="008C644E" w:rsidRPr="008C644E" w:rsidRDefault="00527561" w:rsidP="008C644E">
          <w:pPr>
            <w:pStyle w:val="Encabezado"/>
          </w:pPr>
        </w:p>
      </w:tc>
      <w:tc>
        <w:tcPr>
          <w:tcW w:w="7512" w:type="dxa"/>
          <w:hideMark/>
        </w:tcPr>
        <w:tbl>
          <w:tblPr>
            <w:tblStyle w:val="Tablaconcuadrcula"/>
            <w:tblW w:w="12897" w:type="dxa"/>
            <w:tblInd w:w="1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541"/>
            <w:gridCol w:w="3402"/>
            <w:gridCol w:w="3402"/>
          </w:tblGrid>
          <w:tr w:rsidR="003F2F0B" w:rsidRPr="008C644E" w14:paraId="0F38ECEC" w14:textId="77777777" w:rsidTr="00DA7EA2">
            <w:trPr>
              <w:trHeight w:val="144"/>
            </w:trPr>
            <w:tc>
              <w:tcPr>
                <w:tcW w:w="2552" w:type="dxa"/>
                <w:hideMark/>
              </w:tcPr>
              <w:p w14:paraId="741837A6" w14:textId="77777777" w:rsidR="003F2F0B" w:rsidRPr="008C644E" w:rsidRDefault="005C0413" w:rsidP="007438A1">
                <w:pPr>
                  <w:pStyle w:val="Encabezado"/>
                  <w:rPr>
                    <w:b/>
                  </w:rPr>
                </w:pPr>
                <w:r w:rsidRPr="008C644E">
                  <w:rPr>
                    <w:b/>
                  </w:rPr>
                  <w:t>Recurso de Revisión:</w:t>
                </w:r>
              </w:p>
            </w:tc>
            <w:tc>
              <w:tcPr>
                <w:tcW w:w="3541" w:type="dxa"/>
                <w:hideMark/>
              </w:tcPr>
              <w:p w14:paraId="601BCB3F" w14:textId="23829767" w:rsidR="003F2F0B" w:rsidRPr="00AC018A" w:rsidRDefault="00FC667F" w:rsidP="00F41E37">
                <w:pPr>
                  <w:pStyle w:val="Encabezado"/>
                </w:pPr>
                <w:r>
                  <w:rPr>
                    <w:color w:val="000000"/>
                  </w:rPr>
                  <w:t>00271/INFOEM/IP/RR/2023</w:t>
                </w:r>
              </w:p>
            </w:tc>
            <w:tc>
              <w:tcPr>
                <w:tcW w:w="3402" w:type="dxa"/>
              </w:tcPr>
              <w:p w14:paraId="2551181D" w14:textId="77777777" w:rsidR="003F2F0B" w:rsidRPr="008C644E" w:rsidRDefault="00527561" w:rsidP="008C644E">
                <w:pPr>
                  <w:pStyle w:val="Encabezado"/>
                  <w:rPr>
                    <w:bCs/>
                  </w:rPr>
                </w:pPr>
              </w:p>
            </w:tc>
            <w:tc>
              <w:tcPr>
                <w:tcW w:w="3402" w:type="dxa"/>
              </w:tcPr>
              <w:p w14:paraId="3316DD6A" w14:textId="77777777" w:rsidR="003F2F0B" w:rsidRPr="008C644E" w:rsidRDefault="00527561" w:rsidP="008C644E">
                <w:pPr>
                  <w:pStyle w:val="Encabezado"/>
                  <w:rPr>
                    <w:bCs/>
                  </w:rPr>
                </w:pPr>
              </w:p>
            </w:tc>
          </w:tr>
          <w:tr w:rsidR="003F2F0B" w:rsidRPr="008C644E" w14:paraId="5E5810E6" w14:textId="77777777" w:rsidTr="00DA7EA2">
            <w:trPr>
              <w:trHeight w:val="144"/>
            </w:trPr>
            <w:tc>
              <w:tcPr>
                <w:tcW w:w="2552" w:type="dxa"/>
                <w:hideMark/>
              </w:tcPr>
              <w:p w14:paraId="15E5E32B" w14:textId="77777777" w:rsidR="003F2F0B" w:rsidRPr="008C644E" w:rsidRDefault="005C0413" w:rsidP="007438A1">
                <w:pPr>
                  <w:pStyle w:val="Encabezado"/>
                  <w:rPr>
                    <w:b/>
                  </w:rPr>
                </w:pPr>
                <w:r w:rsidRPr="008C644E">
                  <w:rPr>
                    <w:b/>
                  </w:rPr>
                  <w:t>Recurrente:</w:t>
                </w:r>
              </w:p>
            </w:tc>
            <w:tc>
              <w:tcPr>
                <w:tcW w:w="3541" w:type="dxa"/>
              </w:tcPr>
              <w:p w14:paraId="2F489C66" w14:textId="77777777" w:rsidR="003F2F0B" w:rsidRPr="008C644E" w:rsidRDefault="00527561" w:rsidP="00F41E37">
                <w:pPr>
                  <w:pStyle w:val="Encabezado"/>
                </w:pPr>
              </w:p>
            </w:tc>
            <w:tc>
              <w:tcPr>
                <w:tcW w:w="3402" w:type="dxa"/>
              </w:tcPr>
              <w:p w14:paraId="0FA4BC3D" w14:textId="77777777" w:rsidR="003F2F0B" w:rsidRPr="008C644E" w:rsidRDefault="00527561" w:rsidP="008C644E">
                <w:pPr>
                  <w:pStyle w:val="Encabezado"/>
                </w:pPr>
              </w:p>
            </w:tc>
            <w:tc>
              <w:tcPr>
                <w:tcW w:w="3402" w:type="dxa"/>
              </w:tcPr>
              <w:p w14:paraId="3DD63911" w14:textId="77777777" w:rsidR="003F2F0B" w:rsidRPr="008C644E" w:rsidRDefault="00527561" w:rsidP="008C644E">
                <w:pPr>
                  <w:pStyle w:val="Encabezado"/>
                </w:pPr>
              </w:p>
            </w:tc>
          </w:tr>
          <w:tr w:rsidR="003F2F0B" w:rsidRPr="008C644E" w14:paraId="781B731E" w14:textId="77777777" w:rsidTr="00DA7EA2">
            <w:trPr>
              <w:trHeight w:val="283"/>
            </w:trPr>
            <w:tc>
              <w:tcPr>
                <w:tcW w:w="2552" w:type="dxa"/>
                <w:hideMark/>
              </w:tcPr>
              <w:p w14:paraId="738D2B95" w14:textId="77777777" w:rsidR="003F2F0B" w:rsidRPr="008C644E" w:rsidRDefault="005C0413" w:rsidP="007438A1">
                <w:pPr>
                  <w:pStyle w:val="Encabezado"/>
                  <w:rPr>
                    <w:b/>
                  </w:rPr>
                </w:pPr>
                <w:r w:rsidRPr="008C644E">
                  <w:rPr>
                    <w:b/>
                  </w:rPr>
                  <w:t>Sujeto Obligado:</w:t>
                </w:r>
              </w:p>
            </w:tc>
            <w:tc>
              <w:tcPr>
                <w:tcW w:w="3541" w:type="dxa"/>
                <w:hideMark/>
              </w:tcPr>
              <w:p w14:paraId="09CDDFC7" w14:textId="4F5453F5" w:rsidR="003F2F0B" w:rsidRPr="008C644E" w:rsidRDefault="00DA7EA2" w:rsidP="00F41E37">
                <w:pPr>
                  <w:pStyle w:val="Encabezado"/>
                </w:pPr>
                <w:r>
                  <w:rPr>
                    <w:lang w:val="es-MX"/>
                  </w:rPr>
                  <w:t>Ayuntamiento de Zinacantepec</w:t>
                </w:r>
              </w:p>
            </w:tc>
            <w:tc>
              <w:tcPr>
                <w:tcW w:w="3402" w:type="dxa"/>
              </w:tcPr>
              <w:p w14:paraId="3A0E9775" w14:textId="77777777" w:rsidR="003F2F0B" w:rsidRPr="008C644E" w:rsidRDefault="00527561" w:rsidP="008C644E">
                <w:pPr>
                  <w:pStyle w:val="Encabezado"/>
                </w:pPr>
              </w:p>
            </w:tc>
            <w:tc>
              <w:tcPr>
                <w:tcW w:w="3402" w:type="dxa"/>
              </w:tcPr>
              <w:p w14:paraId="5CD525E4" w14:textId="77777777" w:rsidR="003F2F0B" w:rsidRPr="008C644E" w:rsidRDefault="00527561" w:rsidP="008C644E">
                <w:pPr>
                  <w:pStyle w:val="Encabezado"/>
                </w:pPr>
              </w:p>
            </w:tc>
          </w:tr>
          <w:tr w:rsidR="003F2F0B" w:rsidRPr="008C644E" w14:paraId="00D69580" w14:textId="77777777" w:rsidTr="00DA7EA2">
            <w:trPr>
              <w:trHeight w:val="283"/>
            </w:trPr>
            <w:tc>
              <w:tcPr>
                <w:tcW w:w="2552" w:type="dxa"/>
                <w:hideMark/>
              </w:tcPr>
              <w:p w14:paraId="501C3730" w14:textId="77777777" w:rsidR="003F2F0B" w:rsidRPr="008C644E" w:rsidRDefault="005C0413" w:rsidP="007438A1">
                <w:pPr>
                  <w:pStyle w:val="Encabezado"/>
                  <w:rPr>
                    <w:b/>
                  </w:rPr>
                </w:pPr>
                <w:r w:rsidRPr="008C644E">
                  <w:rPr>
                    <w:b/>
                  </w:rPr>
                  <w:t xml:space="preserve">Comisionado Ponente: </w:t>
                </w:r>
              </w:p>
            </w:tc>
            <w:tc>
              <w:tcPr>
                <w:tcW w:w="3541" w:type="dxa"/>
                <w:hideMark/>
              </w:tcPr>
              <w:p w14:paraId="657E1EDA" w14:textId="77777777" w:rsidR="003F2F0B" w:rsidRPr="008C644E" w:rsidRDefault="005C0413" w:rsidP="00F41E37">
                <w:pPr>
                  <w:pStyle w:val="Encabezado"/>
                  <w:rPr>
                    <w:b/>
                  </w:rPr>
                </w:pPr>
                <w:r w:rsidRPr="008C644E">
                  <w:t>Luis Gustavo Parra Noriega</w:t>
                </w:r>
              </w:p>
            </w:tc>
            <w:tc>
              <w:tcPr>
                <w:tcW w:w="3402" w:type="dxa"/>
              </w:tcPr>
              <w:p w14:paraId="3272790C" w14:textId="77777777" w:rsidR="003F2F0B" w:rsidRPr="008C644E" w:rsidRDefault="00527561" w:rsidP="008C644E">
                <w:pPr>
                  <w:pStyle w:val="Encabezado"/>
                </w:pPr>
              </w:p>
            </w:tc>
            <w:tc>
              <w:tcPr>
                <w:tcW w:w="3402" w:type="dxa"/>
              </w:tcPr>
              <w:p w14:paraId="6C9A91C1" w14:textId="77777777" w:rsidR="003F2F0B" w:rsidRPr="008C644E" w:rsidRDefault="00527561" w:rsidP="008C644E">
                <w:pPr>
                  <w:pStyle w:val="Encabezado"/>
                </w:pPr>
              </w:p>
            </w:tc>
          </w:tr>
        </w:tbl>
        <w:p w14:paraId="4331F0B2" w14:textId="77777777" w:rsidR="008C644E" w:rsidRPr="008C644E" w:rsidRDefault="00527561" w:rsidP="008C644E">
          <w:pPr>
            <w:pStyle w:val="Encabezado"/>
            <w:rPr>
              <w:b/>
            </w:rPr>
          </w:pPr>
        </w:p>
      </w:tc>
    </w:tr>
  </w:tbl>
  <w:p w14:paraId="03B4934F" w14:textId="77777777" w:rsidR="008C644E" w:rsidRDefault="00527561">
    <w:pPr>
      <w:pStyle w:val="Encabezado"/>
    </w:pPr>
    <w:r>
      <w:rPr>
        <w:noProof/>
      </w:rPr>
      <w:pict w14:anchorId="4BF89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2051" type="#_x0000_t75" style="position:absolute;left:0;text-align:left;margin-left:-84.35pt;margin-top:-135.5pt;width:663.5pt;height:12in;z-index:-25165772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122F7"/>
    <w:multiLevelType w:val="hybridMultilevel"/>
    <w:tmpl w:val="CF7A05C2"/>
    <w:lvl w:ilvl="0" w:tplc="5936F4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FF0AF0"/>
    <w:multiLevelType w:val="hybridMultilevel"/>
    <w:tmpl w:val="85F0D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F21E9E"/>
    <w:multiLevelType w:val="hybridMultilevel"/>
    <w:tmpl w:val="A6DCC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9B27402"/>
    <w:multiLevelType w:val="hybridMultilevel"/>
    <w:tmpl w:val="9A4493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DB7CA4"/>
    <w:multiLevelType w:val="hybridMultilevel"/>
    <w:tmpl w:val="CAF6F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2649165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8449733">
    <w:abstractNumId w:val="1"/>
  </w:num>
  <w:num w:numId="3" w16cid:durableId="16875616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6959894">
    <w:abstractNumId w:val="3"/>
  </w:num>
  <w:num w:numId="5" w16cid:durableId="1781409597">
    <w:abstractNumId w:val="5"/>
  </w:num>
  <w:num w:numId="6" w16cid:durableId="2139449501">
    <w:abstractNumId w:val="4"/>
  </w:num>
  <w:num w:numId="7" w16cid:durableId="1775780312">
    <w:abstractNumId w:val="2"/>
  </w:num>
  <w:num w:numId="8" w16cid:durableId="97802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EA2"/>
    <w:rsid w:val="000363DB"/>
    <w:rsid w:val="00040C43"/>
    <w:rsid w:val="00081E84"/>
    <w:rsid w:val="00115FCC"/>
    <w:rsid w:val="0015159B"/>
    <w:rsid w:val="001D67D5"/>
    <w:rsid w:val="00204A2A"/>
    <w:rsid w:val="002119EF"/>
    <w:rsid w:val="002B0287"/>
    <w:rsid w:val="002D7707"/>
    <w:rsid w:val="002E3718"/>
    <w:rsid w:val="00342D02"/>
    <w:rsid w:val="0047558B"/>
    <w:rsid w:val="004A2948"/>
    <w:rsid w:val="00527561"/>
    <w:rsid w:val="00576D4F"/>
    <w:rsid w:val="005B2597"/>
    <w:rsid w:val="005C0413"/>
    <w:rsid w:val="006E3C77"/>
    <w:rsid w:val="006E795B"/>
    <w:rsid w:val="00723C2C"/>
    <w:rsid w:val="008B3310"/>
    <w:rsid w:val="008B6E58"/>
    <w:rsid w:val="00935952"/>
    <w:rsid w:val="00A023BB"/>
    <w:rsid w:val="00A62994"/>
    <w:rsid w:val="00A73C85"/>
    <w:rsid w:val="00AC5774"/>
    <w:rsid w:val="00AE113E"/>
    <w:rsid w:val="00B202EC"/>
    <w:rsid w:val="00B35535"/>
    <w:rsid w:val="00B749CD"/>
    <w:rsid w:val="00BA6DAF"/>
    <w:rsid w:val="00D61CAD"/>
    <w:rsid w:val="00D647DD"/>
    <w:rsid w:val="00DA7EA2"/>
    <w:rsid w:val="00ED4A97"/>
    <w:rsid w:val="00F710E3"/>
    <w:rsid w:val="00FA2DC8"/>
    <w:rsid w:val="00FA3863"/>
    <w:rsid w:val="00FB73D1"/>
    <w:rsid w:val="00FC6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4B1462"/>
  <w15:chartTrackingRefBased/>
  <w15:docId w15:val="{8A9D54B2-57E5-44F7-B867-E102A052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C85"/>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7E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7EA2"/>
    <w:rPr>
      <w:rFonts w:ascii="Palatino Linotype" w:hAnsi="Palatino Linotype"/>
      <w:color w:val="000000" w:themeColor="text1"/>
    </w:rPr>
  </w:style>
  <w:style w:type="paragraph" w:styleId="Piedepgina">
    <w:name w:val="footer"/>
    <w:basedOn w:val="Normal"/>
    <w:link w:val="PiedepginaCar"/>
    <w:uiPriority w:val="99"/>
    <w:unhideWhenUsed/>
    <w:rsid w:val="00DA7E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7EA2"/>
    <w:rPr>
      <w:rFonts w:ascii="Palatino Linotype" w:hAnsi="Palatino Linotype"/>
      <w:color w:val="000000" w:themeColor="text1"/>
    </w:rPr>
  </w:style>
  <w:style w:type="table" w:styleId="Tablaconcuadrcula">
    <w:name w:val="Table Grid"/>
    <w:basedOn w:val="Tablanormal"/>
    <w:uiPriority w:val="59"/>
    <w:rsid w:val="00DA7EA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A7EA2"/>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A7EA2"/>
    <w:pPr>
      <w:spacing w:after="0" w:line="240" w:lineRule="auto"/>
      <w:ind w:left="720"/>
      <w:contextualSpacing/>
      <w:jc w:val="left"/>
    </w:pPr>
    <w:rPr>
      <w:rFonts w:ascii="Century Gothic" w:eastAsia="Times New Roman" w:hAnsi="Century Gothic" w:cs="Times New Roman"/>
      <w:color w:val="auto"/>
      <w:szCs w:val="24"/>
      <w:lang w:eastAsia="es-ES"/>
    </w:rPr>
  </w:style>
  <w:style w:type="paragraph" w:customStyle="1" w:styleId="paragraph">
    <w:name w:val="paragraph"/>
    <w:basedOn w:val="Normal"/>
    <w:rsid w:val="00DA7EA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styleId="Hipervnculo">
    <w:name w:val="Hyperlink"/>
    <w:basedOn w:val="Fuentedeprrafopredeter"/>
    <w:uiPriority w:val="99"/>
    <w:unhideWhenUsed/>
    <w:rsid w:val="00DA7EA2"/>
    <w:rPr>
      <w:color w:val="0563C1" w:themeColor="hyperlink"/>
      <w:u w:val="single"/>
    </w:rPr>
  </w:style>
  <w:style w:type="character" w:customStyle="1" w:styleId="Mencinsinresolver1">
    <w:name w:val="Mención sin resolver1"/>
    <w:basedOn w:val="Fuentedeprrafopredeter"/>
    <w:uiPriority w:val="99"/>
    <w:semiHidden/>
    <w:unhideWhenUsed/>
    <w:rsid w:val="00AE113E"/>
    <w:rPr>
      <w:color w:val="605E5C"/>
      <w:shd w:val="clear" w:color="auto" w:fill="E1DFDD"/>
    </w:rPr>
  </w:style>
  <w:style w:type="character" w:customStyle="1" w:styleId="markedcontent">
    <w:name w:val="markedcontent"/>
    <w:basedOn w:val="Fuentedeprrafopredeter"/>
    <w:rsid w:val="00935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801811">
      <w:bodyDiv w:val="1"/>
      <w:marLeft w:val="0"/>
      <w:marRight w:val="0"/>
      <w:marTop w:val="0"/>
      <w:marBottom w:val="0"/>
      <w:divBdr>
        <w:top w:val="none" w:sz="0" w:space="0" w:color="auto"/>
        <w:left w:val="none" w:sz="0" w:space="0" w:color="auto"/>
        <w:bottom w:val="none" w:sz="0" w:space="0" w:color="auto"/>
        <w:right w:val="none" w:sz="0" w:space="0" w:color="auto"/>
      </w:divBdr>
    </w:div>
    <w:div w:id="126677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3771</Words>
  <Characters>20744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7</cp:revision>
  <dcterms:created xsi:type="dcterms:W3CDTF">2023-02-16T04:54:00Z</dcterms:created>
  <dcterms:modified xsi:type="dcterms:W3CDTF">2023-02-23T19:56:00Z</dcterms:modified>
</cp:coreProperties>
</file>