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E81BE" w14:textId="77777777" w:rsidR="00BA02CF" w:rsidRDefault="00EE1C4D">
      <w:pPr>
        <w:spacing w:before="24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tres de octubre de dos mil veintitrés.</w:t>
      </w:r>
    </w:p>
    <w:p w14:paraId="2BB45AF3" w14:textId="77777777" w:rsidR="00BA02CF" w:rsidRDefault="00BA02CF">
      <w:pPr>
        <w:spacing w:after="0" w:line="360" w:lineRule="auto"/>
        <w:rPr>
          <w:rFonts w:ascii="Palatino Linotype" w:eastAsia="Palatino Linotype" w:hAnsi="Palatino Linotype" w:cs="Palatino Linotype"/>
          <w:sz w:val="24"/>
          <w:szCs w:val="24"/>
        </w:rPr>
      </w:pPr>
    </w:p>
    <w:p w14:paraId="4111D8BF" w14:textId="6BC63FD3"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00984/INFOEM/IP/RR/2023</w:t>
      </w:r>
      <w:r>
        <w:rPr>
          <w:rFonts w:ascii="Palatino Linotype" w:eastAsia="Palatino Linotype" w:hAnsi="Palatino Linotype" w:cs="Palatino Linotype"/>
          <w:sz w:val="24"/>
          <w:szCs w:val="24"/>
        </w:rPr>
        <w:t xml:space="preserve">, interpuesto por </w:t>
      </w:r>
      <w:r w:rsidR="007C2E5D">
        <w:rPr>
          <w:rFonts w:ascii="Palatino Linotype" w:eastAsia="Palatino Linotype" w:hAnsi="Palatino Linotype" w:cs="Palatino Linotype"/>
          <w:b/>
          <w:sz w:val="24"/>
          <w:szCs w:val="24"/>
        </w:rPr>
        <w:t>XXXXXX</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quien en lo sucesivo se le denominara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00003/SESEA/IP/2023</w:t>
      </w:r>
      <w:r>
        <w:rPr>
          <w:rFonts w:ascii="Palatino Linotype" w:eastAsia="Palatino Linotype" w:hAnsi="Palatino Linotype" w:cs="Palatino Linotype"/>
          <w:sz w:val="24"/>
          <w:szCs w:val="24"/>
        </w:rPr>
        <w:t xml:space="preserve">, por parte de la </w:t>
      </w:r>
      <w:r>
        <w:rPr>
          <w:rFonts w:ascii="Palatino Linotype" w:eastAsia="Palatino Linotype" w:hAnsi="Palatino Linotype" w:cs="Palatino Linotype"/>
          <w:b/>
          <w:sz w:val="24"/>
          <w:szCs w:val="24"/>
        </w:rPr>
        <w:t>Secretaría Ejecutiva del Sistema Estatal Anticorrupción</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64B4E144" w14:textId="77777777" w:rsidR="00BA02CF" w:rsidRDefault="00BA02CF"/>
    <w:p w14:paraId="0A32CB4B" w14:textId="77777777" w:rsidR="00BA02CF" w:rsidRDefault="00EE1C4D">
      <w:pPr>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 N T E C E D E N T E S </w:t>
      </w:r>
    </w:p>
    <w:p w14:paraId="59ADAAB3" w14:textId="77777777" w:rsidR="00BA02CF" w:rsidRDefault="00BA02CF">
      <w:pPr>
        <w:spacing w:after="0" w:line="360" w:lineRule="auto"/>
        <w:jc w:val="both"/>
        <w:rPr>
          <w:rFonts w:ascii="Palatino Linotype" w:eastAsia="Palatino Linotype" w:hAnsi="Palatino Linotype" w:cs="Palatino Linotype"/>
          <w:sz w:val="24"/>
          <w:szCs w:val="24"/>
        </w:rPr>
      </w:pPr>
    </w:p>
    <w:p w14:paraId="767A868A" w14:textId="77777777" w:rsidR="00BA02CF" w:rsidRDefault="00EE1C4D">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diecisiete de enero de dos mil veintitrés,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presentó a través de la Plataforma Nacional de Transparencia (PNT) vinculada al Sistema de Acceso a la Información Mexiquense (</w:t>
      </w:r>
      <w:r>
        <w:rPr>
          <w:rFonts w:ascii="Palatino Linotype" w:eastAsia="Palatino Linotype" w:hAnsi="Palatino Linotype" w:cs="Palatino Linotype"/>
          <w:b/>
          <w:sz w:val="24"/>
          <w:szCs w:val="24"/>
        </w:rPr>
        <w:t xml:space="preserve">SAIMEX) </w:t>
      </w:r>
      <w:r>
        <w:rPr>
          <w:rFonts w:ascii="Palatino Linotype" w:eastAsia="Palatino Linotype" w:hAnsi="Palatino Linotype" w:cs="Palatino Linotype"/>
          <w:sz w:val="24"/>
          <w:szCs w:val="24"/>
        </w:rPr>
        <w:t xml:space="preserve">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solicitud de acceso a la información pública, registrada bajo el número </w:t>
      </w:r>
      <w:r>
        <w:rPr>
          <w:rFonts w:ascii="Palatino Linotype" w:eastAsia="Palatino Linotype" w:hAnsi="Palatino Linotype" w:cs="Palatino Linotype"/>
          <w:sz w:val="24"/>
          <w:szCs w:val="24"/>
        </w:rPr>
        <w:t>de expediente</w:t>
      </w:r>
      <w:r>
        <w:rPr>
          <w:rFonts w:ascii="Verdana" w:eastAsia="Verdana" w:hAnsi="Verdana" w:cs="Verdana"/>
          <w:b/>
          <w:color w:val="FF0000"/>
          <w:sz w:val="24"/>
          <w:szCs w:val="24"/>
        </w:rPr>
        <w:t> </w:t>
      </w:r>
      <w:r>
        <w:rPr>
          <w:rFonts w:ascii="Palatino Linotype" w:eastAsia="Palatino Linotype" w:hAnsi="Palatino Linotype" w:cs="Palatino Linotype"/>
          <w:b/>
          <w:sz w:val="24"/>
          <w:szCs w:val="24"/>
        </w:rPr>
        <w:t>00003/SESEA/IP/2023</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14:paraId="55886374" w14:textId="77777777" w:rsidR="00BA02CF" w:rsidRDefault="00BA02CF">
      <w:pPr>
        <w:spacing w:after="0" w:line="360" w:lineRule="auto"/>
        <w:ind w:right="49"/>
        <w:jc w:val="both"/>
        <w:rPr>
          <w:rFonts w:ascii="Palatino Linotype" w:eastAsia="Palatino Linotype" w:hAnsi="Palatino Linotype" w:cs="Palatino Linotype"/>
          <w:sz w:val="24"/>
          <w:szCs w:val="24"/>
        </w:rPr>
      </w:pPr>
    </w:p>
    <w:p w14:paraId="6C5C34C7" w14:textId="77777777" w:rsidR="00BA02CF" w:rsidRDefault="00EE1C4D">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“Los oficios recibidos y enviados de 2018 a la fecha de la Secretaría Técnica, Secretaría Particular, Dirección de Políticas, Coordinación de Administración y plataforma digital estatal” (Sic).</w:t>
      </w:r>
    </w:p>
    <w:p w14:paraId="286195C1" w14:textId="77777777" w:rsidR="00BA02CF" w:rsidRDefault="00BA02CF">
      <w:pPr>
        <w:spacing w:after="0" w:line="276" w:lineRule="auto"/>
        <w:ind w:left="709" w:right="758"/>
        <w:jc w:val="both"/>
        <w:rPr>
          <w:rFonts w:ascii="Palatino Linotype" w:eastAsia="Palatino Linotype" w:hAnsi="Palatino Linotype" w:cs="Palatino Linotype"/>
          <w:i/>
          <w:color w:val="000000"/>
        </w:rPr>
      </w:pPr>
    </w:p>
    <w:p w14:paraId="42BAD079" w14:textId="77777777" w:rsidR="00BA02CF" w:rsidRDefault="00EE1C4D">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13DC971D" w14:textId="77777777" w:rsidR="00BA02CF" w:rsidRDefault="00BA02CF"/>
    <w:p w14:paraId="109DEF42" w14:textId="77777777" w:rsidR="00BA02CF" w:rsidRDefault="00EE1C4D">
      <w:pPr>
        <w:widowControl w:val="0"/>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DE LA PRÓRROGA.</w:t>
      </w:r>
      <w:r>
        <w:rPr>
          <w:rFonts w:ascii="Palatino Linotype" w:eastAsia="Palatino Linotype" w:hAnsi="Palatino Linotype" w:cs="Palatino Linotype"/>
          <w:sz w:val="24"/>
          <w:szCs w:val="24"/>
        </w:rPr>
        <w:t xml:space="preserve"> En fecha siete de febrero de dos mil veintitrés,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solicitó una prórroga para la entrega de la información requerida en la solicitud de acceso a la información tal como se observa a continuación:</w:t>
      </w:r>
    </w:p>
    <w:p w14:paraId="15F0618A" w14:textId="77777777" w:rsidR="00BA02CF" w:rsidRDefault="00EE1C4D">
      <w:pPr>
        <w:spacing w:before="120" w:after="12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1DAA534" w14:textId="2E6147D4" w:rsidR="00BA02CF" w:rsidRDefault="00EE1C4D">
      <w:pPr>
        <w:spacing w:before="120" w:after="12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Toluca, Estado de México; a 02 de febrero del 2023. Asunto: Se proporciona respuesta a solicitud de información pública 00003/SESEA/IP/2023, indicando falta de competencia y orientación. Ciudadano(a) </w:t>
      </w:r>
      <w:r w:rsidR="007C2E5D">
        <w:rPr>
          <w:rFonts w:ascii="Palatino Linotype" w:eastAsia="Palatino Linotype" w:hAnsi="Palatino Linotype" w:cs="Palatino Linotype"/>
          <w:i/>
        </w:rPr>
        <w:t>XXXXXXXXXX</w:t>
      </w:r>
      <w:r>
        <w:rPr>
          <w:rFonts w:ascii="Palatino Linotype" w:eastAsia="Palatino Linotype" w:hAnsi="Palatino Linotype" w:cs="Palatino Linotype"/>
          <w:i/>
        </w:rPr>
        <w:t xml:space="preserve"> de Información Pública con Folio 00003/SESEA/IP/2023 P r e s e n t e Con fundamento en los artículos 53 fracción </w:t>
      </w:r>
      <w:proofErr w:type="spellStart"/>
      <w:r>
        <w:rPr>
          <w:rFonts w:ascii="Palatino Linotype" w:eastAsia="Palatino Linotype" w:hAnsi="Palatino Linotype" w:cs="Palatino Linotype"/>
          <w:i/>
        </w:rPr>
        <w:t>lI</w:t>
      </w:r>
      <w:proofErr w:type="spellEnd"/>
      <w:r>
        <w:rPr>
          <w:rFonts w:ascii="Palatino Linotype" w:eastAsia="Palatino Linotype" w:hAnsi="Palatino Linotype" w:cs="Palatino Linotype"/>
          <w:i/>
        </w:rPr>
        <w:t xml:space="preserve"> y VI y 163 segundo párrafo de la Ley de Transparencia y Acceso a la Información Pública del Estado de México y Municipios, hago de su conocimiento que, en la Primer Sesión Extraordinaria del Comité de Transparencia de la Secretaría Ejecutiva del Sistema Estatal Anticorrupción, celebrada el día tres de febrero de dos mil veintitrés, se determinó ampliar el plazo hasta por siete días hábiles más para dar contestación a la solicitud de información pública 00003/SESEA/IP/2023; cuyo término es el día diecisiete de febrero de 2023, quedando el acuerdo de la siguiente manera: NÚMERO DE ACUERDO SESEA/CT/EXT/01/2023-02 TIPO DE VOTACIÓN UNANIMIDAD INTEGRANTES DESCRIPCIÓN DEL ACUERDO Se aprueba por los integrantes del Comité de Transparencia, la ampliación del plazo para dar respuesta a la solicitud de acceso a la información </w:t>
      </w:r>
      <w:r>
        <w:rPr>
          <w:rFonts w:ascii="Palatino Linotype" w:eastAsia="Palatino Linotype" w:hAnsi="Palatino Linotype" w:cs="Palatino Linotype"/>
          <w:i/>
        </w:rPr>
        <w:lastRenderedPageBreak/>
        <w:t xml:space="preserve">pública con número 00003/SESEA/IP/2023, por siete días hábiles más, en términos de lo establecido por el artículo 163, párrafo segundo de la de la Ley de Transparencia y Acceso a la Información Pública del Estado de México y Municipios. En virtud de lo anterior, se adjunta el acta del Comité de Transparencia de la sesión en mención. Atentamente Lic. Alma Delia Hernández Guerrero Encargada de Despacho de la Unidad de Planeación y Transparencia de la Secretaría Ejecutiva del Sistema Estatal Anticorrupción </w:t>
      </w:r>
      <w:proofErr w:type="spellStart"/>
      <w:r>
        <w:rPr>
          <w:rFonts w:ascii="Palatino Linotype" w:eastAsia="Palatino Linotype" w:hAnsi="Palatino Linotype" w:cs="Palatino Linotype"/>
          <w:i/>
        </w:rPr>
        <w:t>C.c.p</w:t>
      </w:r>
      <w:proofErr w:type="spellEnd"/>
      <w:r>
        <w:rPr>
          <w:rFonts w:ascii="Palatino Linotype" w:eastAsia="Palatino Linotype" w:hAnsi="Palatino Linotype" w:cs="Palatino Linotype"/>
          <w:i/>
        </w:rPr>
        <w:t xml:space="preserve">. Minutario / archivo </w:t>
      </w:r>
      <w:proofErr w:type="spellStart"/>
      <w:r>
        <w:rPr>
          <w:rFonts w:ascii="Palatino Linotype" w:eastAsia="Palatino Linotype" w:hAnsi="Palatino Linotype" w:cs="Palatino Linotype"/>
          <w:i/>
        </w:rPr>
        <w:t>mvb</w:t>
      </w:r>
      <w:proofErr w:type="spellEnd"/>
    </w:p>
    <w:p w14:paraId="7C008CF6" w14:textId="77777777" w:rsidR="00BA02CF" w:rsidRDefault="00EE1C4D">
      <w:pPr>
        <w:spacing w:before="120" w:after="12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Lic. Marco Antonio Garay </w:t>
      </w:r>
      <w:proofErr w:type="spellStart"/>
      <w:r>
        <w:rPr>
          <w:rFonts w:ascii="Palatino Linotype" w:eastAsia="Palatino Linotype" w:hAnsi="Palatino Linotype" w:cs="Palatino Linotype"/>
          <w:i/>
        </w:rPr>
        <w:t>Martinez</w:t>
      </w:r>
      <w:proofErr w:type="spellEnd"/>
    </w:p>
    <w:p w14:paraId="3C2CA7BD" w14:textId="77777777" w:rsidR="00BA02CF" w:rsidRDefault="00EE1C4D">
      <w:pPr>
        <w:spacing w:before="120" w:after="12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Responsable de la Unidad de Transparencia</w:t>
      </w:r>
    </w:p>
    <w:p w14:paraId="182BC691" w14:textId="77777777" w:rsidR="00BA02CF" w:rsidRDefault="00BA02CF">
      <w:pPr>
        <w:widowControl w:val="0"/>
        <w:spacing w:line="360" w:lineRule="auto"/>
        <w:jc w:val="both"/>
        <w:rPr>
          <w:rFonts w:ascii="Palatino Linotype" w:eastAsia="Palatino Linotype" w:hAnsi="Palatino Linotype" w:cs="Palatino Linotype"/>
          <w:sz w:val="24"/>
          <w:szCs w:val="24"/>
        </w:rPr>
      </w:pPr>
    </w:p>
    <w:p w14:paraId="626D7866"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adjuntó los archivos electrónicos:</w:t>
      </w:r>
    </w:p>
    <w:p w14:paraId="1CB0C516" w14:textId="77777777" w:rsidR="00BA02CF" w:rsidRDefault="00BA02CF">
      <w:pPr>
        <w:spacing w:after="0" w:line="360" w:lineRule="auto"/>
        <w:jc w:val="both"/>
        <w:rPr>
          <w:rFonts w:ascii="Palatino Linotype" w:eastAsia="Palatino Linotype" w:hAnsi="Palatino Linotype" w:cs="Palatino Linotype"/>
          <w:sz w:val="24"/>
          <w:szCs w:val="24"/>
        </w:rPr>
      </w:pPr>
    </w:p>
    <w:p w14:paraId="4485A346" w14:textId="77777777" w:rsidR="00BA02CF" w:rsidRDefault="00EE1C4D">
      <w:pPr>
        <w:widowControl w:val="0"/>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acta 1ext.pdf</w:t>
      </w:r>
      <w:r>
        <w:rPr>
          <w:rFonts w:ascii="Palatino Linotype" w:eastAsia="Palatino Linotype" w:hAnsi="Palatino Linotype" w:cs="Palatino Linotype"/>
          <w:sz w:val="24"/>
          <w:szCs w:val="24"/>
        </w:rPr>
        <w:t xml:space="preserve">”: Acta de la Primera Sesión Extraordinaria del Comité de Transparencia de fecha tres de febrero de dos mil veintitrés, acuerdo SESEA/EXT/01/2023 en donde su tercer punto del orden del día se aprueba la ampliación de plazo para la entrega de la respuesta a la solicitud de información. </w:t>
      </w:r>
    </w:p>
    <w:p w14:paraId="55D59CCE" w14:textId="77777777" w:rsidR="00BA02CF" w:rsidRDefault="00BA02CF">
      <w:pPr>
        <w:widowControl w:val="0"/>
        <w:spacing w:after="0" w:line="360" w:lineRule="auto"/>
        <w:jc w:val="both"/>
        <w:rPr>
          <w:rFonts w:ascii="Palatino Linotype" w:eastAsia="Palatino Linotype" w:hAnsi="Palatino Linotype" w:cs="Palatino Linotype"/>
          <w:sz w:val="24"/>
          <w:szCs w:val="24"/>
        </w:rPr>
      </w:pPr>
    </w:p>
    <w:p w14:paraId="7EED65A5" w14:textId="77777777" w:rsidR="00BA02CF" w:rsidRDefault="00EE1C4D">
      <w:pPr>
        <w:widowControl w:val="0"/>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prorroga.pdf</w:t>
      </w:r>
      <w:r>
        <w:rPr>
          <w:rFonts w:ascii="Palatino Linotype" w:eastAsia="Palatino Linotype" w:hAnsi="Palatino Linotype" w:cs="Palatino Linotype"/>
          <w:sz w:val="24"/>
          <w:szCs w:val="24"/>
        </w:rPr>
        <w:t xml:space="preserve">”: Oficio de fecha dos de febrero de dos mil veintitrés, signado por la Encargada de Despacho de la Unidad de Planeación y Transparencia de la </w:t>
      </w:r>
      <w:proofErr w:type="gramStart"/>
      <w:r>
        <w:rPr>
          <w:rFonts w:ascii="Palatino Linotype" w:eastAsia="Palatino Linotype" w:hAnsi="Palatino Linotype" w:cs="Palatino Linotype"/>
          <w:sz w:val="24"/>
          <w:szCs w:val="24"/>
        </w:rPr>
        <w:t>Secretaria Ejecutiva</w:t>
      </w:r>
      <w:proofErr w:type="gramEnd"/>
      <w:r>
        <w:rPr>
          <w:rFonts w:ascii="Palatino Linotype" w:eastAsia="Palatino Linotype" w:hAnsi="Palatino Linotype" w:cs="Palatino Linotype"/>
          <w:sz w:val="24"/>
          <w:szCs w:val="24"/>
        </w:rPr>
        <w:t xml:space="preserve"> del Sistema Estatal Anticorrupción, mediante el cual menciona que en la Primera Sesión Extraordinaria del Comité de Transparencia se determinó ampliar el plazo hasta por siete días hábiles para dar atención a la solicitud de información. </w:t>
      </w:r>
    </w:p>
    <w:p w14:paraId="746170D6" w14:textId="77777777" w:rsidR="00BA02CF" w:rsidRDefault="00BA02CF">
      <w:pPr>
        <w:widowControl w:val="0"/>
        <w:spacing w:line="360" w:lineRule="auto"/>
        <w:jc w:val="both"/>
        <w:rPr>
          <w:rFonts w:ascii="Palatino Linotype" w:eastAsia="Palatino Linotype" w:hAnsi="Palatino Linotype" w:cs="Palatino Linotype"/>
          <w:sz w:val="24"/>
          <w:szCs w:val="24"/>
        </w:rPr>
      </w:pPr>
    </w:p>
    <w:p w14:paraId="5932B25C" w14:textId="77777777" w:rsidR="00BA02CF" w:rsidRDefault="00BA02CF">
      <w:pPr>
        <w:widowControl w:val="0"/>
        <w:spacing w:line="360" w:lineRule="auto"/>
        <w:jc w:val="both"/>
        <w:rPr>
          <w:rFonts w:ascii="Palatino Linotype" w:eastAsia="Palatino Linotype" w:hAnsi="Palatino Linotype" w:cs="Palatino Linotype"/>
          <w:sz w:val="24"/>
          <w:szCs w:val="24"/>
        </w:rPr>
      </w:pPr>
    </w:p>
    <w:p w14:paraId="08F14D90" w14:textId="77777777" w:rsidR="00BA02CF" w:rsidRDefault="00BA02CF">
      <w:pPr>
        <w:spacing w:before="120" w:after="120" w:line="276" w:lineRule="auto"/>
        <w:ind w:left="851" w:right="900"/>
        <w:jc w:val="both"/>
        <w:rPr>
          <w:rFonts w:ascii="Palatino Linotype" w:eastAsia="Palatino Linotype" w:hAnsi="Palatino Linotype" w:cs="Palatino Linotype"/>
          <w:i/>
        </w:rPr>
      </w:pPr>
    </w:p>
    <w:p w14:paraId="2C39547F" w14:textId="77777777" w:rsidR="00BA02CF" w:rsidRDefault="00EE1C4D">
      <w:pPr>
        <w:spacing w:after="0" w:line="360" w:lineRule="auto"/>
        <w:jc w:val="both"/>
      </w:pPr>
      <w:r>
        <w:rPr>
          <w:rFonts w:ascii="Palatino Linotype" w:eastAsia="Palatino Linotype" w:hAnsi="Palatino Linotype" w:cs="Palatino Linotype"/>
          <w:b/>
          <w:sz w:val="24"/>
          <w:szCs w:val="24"/>
        </w:rPr>
        <w:t xml:space="preserve">3. RESPUESTA.  </w:t>
      </w:r>
      <w:r>
        <w:rPr>
          <w:rFonts w:ascii="Palatino Linotype" w:eastAsia="Palatino Linotype" w:hAnsi="Palatino Linotype" w:cs="Palatino Linotype"/>
          <w:sz w:val="24"/>
          <w:szCs w:val="24"/>
        </w:rPr>
        <w:t xml:space="preserve">Con fecha diecisiete de febrero del dos mil veintitrés,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14:paraId="2E6B550B" w14:textId="77777777" w:rsidR="00BA02CF" w:rsidRDefault="00BA02CF">
      <w:pPr>
        <w:spacing w:after="0" w:line="360" w:lineRule="auto"/>
        <w:ind w:right="900"/>
        <w:jc w:val="both"/>
        <w:rPr>
          <w:rFonts w:ascii="Palatino Linotype" w:eastAsia="Palatino Linotype" w:hAnsi="Palatino Linotype" w:cs="Palatino Linotype"/>
          <w:sz w:val="24"/>
          <w:szCs w:val="24"/>
        </w:rPr>
      </w:pPr>
    </w:p>
    <w:p w14:paraId="66AA56B8" w14:textId="77777777" w:rsidR="00BA02CF" w:rsidRDefault="00EE1C4D">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FCDB4E0" w14:textId="5981D512" w:rsidR="00BA02CF" w:rsidRDefault="00EE1C4D">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Toluca, Estado de México; a 17 febrero del 2023. Oficio no. 41100100030000S/062/2023. Asunto: Se proporciona respuesta a solicitud de información pública 00003/SESEA/IP/2023 Ciudadano(a) </w:t>
      </w:r>
      <w:r w:rsidR="007C2E5D">
        <w:rPr>
          <w:rFonts w:ascii="Palatino Linotype" w:eastAsia="Palatino Linotype" w:hAnsi="Palatino Linotype" w:cs="Palatino Linotype"/>
          <w:i/>
        </w:rPr>
        <w:t>XXXXXXXXXX</w:t>
      </w:r>
      <w:r>
        <w:rPr>
          <w:rFonts w:ascii="Palatino Linotype" w:eastAsia="Palatino Linotype" w:hAnsi="Palatino Linotype" w:cs="Palatino Linotype"/>
          <w:i/>
        </w:rPr>
        <w:t xml:space="preserve"> de Información Pública con Folio 00003/SESEA/IP/2023 P r e s e n t e Con fundamento en los artículos 50, 51, 52, 53 fracciones II, III, IV y XIV, 156, 160, 161, 162, 163 y 164 de la Ley de Transparencia y Acceso a la Información Pública del Estado de México y Municipios, me refiero a la solicitud de información pública 000003/SESEA/IP/2023. Al respecto hago de su conocimiento que con fecha diez de febrero del presente año, mediante oficio número 41100100030000S/050/2023, dirigido al Lic. Nelson Correa Peralta, Director General de Informática del Instituto de Transparencia, Acceso a la Información Pública y Protección de Datos del Estado de México y Municipios; la Lic. Alma Delia Hernández Guerrero, Encargada de Despacho de la Unidad de Planeación y Transparencia, solicitó el cambio de modalidad de entrega, para dar atención a la solicitud número 00003/SESEA/IP/2023, toda vez de que la respuesta generada, consiste en varios archivos en formato </w:t>
      </w:r>
      <w:proofErr w:type="spellStart"/>
      <w:r>
        <w:rPr>
          <w:rFonts w:ascii="Palatino Linotype" w:eastAsia="Palatino Linotype" w:hAnsi="Palatino Linotype" w:cs="Palatino Linotype"/>
          <w:i/>
        </w:rPr>
        <w:t>pdf</w:t>
      </w:r>
      <w:proofErr w:type="spellEnd"/>
      <w:r>
        <w:rPr>
          <w:rFonts w:ascii="Palatino Linotype" w:eastAsia="Palatino Linotype" w:hAnsi="Palatino Linotype" w:cs="Palatino Linotype"/>
          <w:i/>
        </w:rPr>
        <w:t xml:space="preserve">., sobrepasa la capacidad de 500 megas bytes, que permite el sistema SAIMEX, lo anterior a efecto de poder garantizar el acceso a la información al solicitante. En respuesta a dicha petición, mediante correo electrónico de fecha trece de febrero del presente año, se remite el </w:t>
      </w:r>
      <w:r>
        <w:rPr>
          <w:rFonts w:ascii="Palatino Linotype" w:eastAsia="Palatino Linotype" w:hAnsi="Palatino Linotype" w:cs="Palatino Linotype"/>
          <w:i/>
        </w:rPr>
        <w:lastRenderedPageBreak/>
        <w:t xml:space="preserve">oficio número INFOEM/DGI/129/2023, suscrito por el Lic. Nelson Correa Peralta, se notificó que dicha incidencia técnica había quedado registrada en la bitácora de incidencias, toda vez que trata de subir un total de 17,389 fojas, lo cual sobrepasa las capacidades técnicas del sistema </w:t>
      </w:r>
      <w:proofErr w:type="spellStart"/>
      <w:r>
        <w:rPr>
          <w:rFonts w:ascii="Palatino Linotype" w:eastAsia="Palatino Linotype" w:hAnsi="Palatino Linotype" w:cs="Palatino Linotype"/>
          <w:i/>
        </w:rPr>
        <w:t>Saimex</w:t>
      </w:r>
      <w:proofErr w:type="spellEnd"/>
      <w:r>
        <w:rPr>
          <w:rFonts w:ascii="Palatino Linotype" w:eastAsia="Palatino Linotype" w:hAnsi="Palatino Linotype" w:cs="Palatino Linotype"/>
          <w:i/>
        </w:rPr>
        <w:t xml:space="preserve">. Posterior a ello en el marco de la Tercera Sesión Extraordinaria del Comité de Transparencia, se informó a los integrantes del mismo; la aprobación el cambio de modalidad, lo anterior con fundamento en </w:t>
      </w:r>
      <w:proofErr w:type="gramStart"/>
      <w:r>
        <w:rPr>
          <w:rFonts w:ascii="Palatino Linotype" w:eastAsia="Palatino Linotype" w:hAnsi="Palatino Linotype" w:cs="Palatino Linotype"/>
          <w:i/>
        </w:rPr>
        <w:t>los artículo</w:t>
      </w:r>
      <w:proofErr w:type="gramEnd"/>
      <w:r>
        <w:rPr>
          <w:rFonts w:ascii="Palatino Linotype" w:eastAsia="Palatino Linotype" w:hAnsi="Palatino Linotype" w:cs="Palatino Linotype"/>
          <w:i/>
        </w:rPr>
        <w:t xml:space="preserve"> 158 y 164 de la Ley de Transparencia y Acceso a la Información Pública del Estado de México y Municipios. En atención a lo anterior y en cumplimiento a lo estipulado por la Ley en mención y a fin de garantizar el derecho de acceso a la información </w:t>
      </w:r>
      <w:r>
        <w:rPr>
          <w:rFonts w:ascii="Palatino Linotype" w:eastAsia="Palatino Linotype" w:hAnsi="Palatino Linotype" w:cs="Palatino Linotype"/>
          <w:b/>
          <w:i/>
          <w:u w:val="single"/>
        </w:rPr>
        <w:t>pública se le hace una atenta invitación para que acuda a las oficinas de la Unidad de Planeación y Transparencia de esta Secretaría, para la consulta y/o entrega de la información</w:t>
      </w:r>
      <w:r>
        <w:rPr>
          <w:rFonts w:ascii="Palatino Linotype" w:eastAsia="Palatino Linotype" w:hAnsi="Palatino Linotype" w:cs="Palatino Linotype"/>
          <w:i/>
        </w:rPr>
        <w:t xml:space="preserve">, por lo que se habilitará un equipo de cómputo el cual podrá hacer uso en el siguiente horario: Cronograma de consulta de la información que da atención a la solicitud 00003/SESEA/IP/2023 Fecha Horario Lugar Información para consultar 20 de febrero de 2023. 9:00 a 18:00 horas. Secretaría Ejecutiva del Sistema Estatal Anticorrupción, oficinas de la Unidad de Planeación y Transparencia. Avenida José María Morelos y Pavón, </w:t>
      </w:r>
      <w:proofErr w:type="spellStart"/>
      <w:r>
        <w:rPr>
          <w:rFonts w:ascii="Palatino Linotype" w:eastAsia="Palatino Linotype" w:hAnsi="Palatino Linotype" w:cs="Palatino Linotype"/>
          <w:i/>
        </w:rPr>
        <w:t>Ote</w:t>
      </w:r>
      <w:proofErr w:type="spellEnd"/>
      <w:r>
        <w:rPr>
          <w:rFonts w:ascii="Palatino Linotype" w:eastAsia="Palatino Linotype" w:hAnsi="Palatino Linotype" w:cs="Palatino Linotype"/>
          <w:i/>
        </w:rPr>
        <w:t xml:space="preserve">. #312, col. 5 de mayo, Toluca de Lerdo, Estado de México. C.P. 50090 Teléfonos: (722) 914 6034. Ext 7005 Oficio emitidos y recibidos del año 2018 al 17 de enero de 2023, de la Dirección General de Políticas Públicas y Riesgos en Materia Anticorrupción y Secretaría Particular. 22 de febrero de 2023. Oficio emitidos y recibidos del año 2018 al 17 de enero de 2023, de la Dirección General de Servicios Tecnológicos. 24 de febrero de 2023. Oficio emitidos y recibidos del año 2018 al 17 de enero de 2023, de la Secretaría Técnica. 27 de febrero de 2023. Oficio emitidos y recibidos del año 2018 al 17 de enero de 2023, de la Coordinación de Administración y Finanzas. </w:t>
      </w:r>
      <w:r>
        <w:rPr>
          <w:rFonts w:ascii="Palatino Linotype" w:eastAsia="Palatino Linotype" w:hAnsi="Palatino Linotype" w:cs="Palatino Linotype"/>
          <w:b/>
          <w:i/>
          <w:u w:val="single"/>
        </w:rPr>
        <w:t>Ahora bien, la información podrá consultarse o bien entregarse en cualquiera de las tres modalidades que refiere la Ley en mención: copias simples o certificadas, entrega digital o consulta directa.</w:t>
      </w:r>
      <w:r>
        <w:rPr>
          <w:rFonts w:ascii="Palatino Linotype" w:eastAsia="Palatino Linotype" w:hAnsi="Palatino Linotype" w:cs="Palatino Linotype"/>
          <w:i/>
        </w:rPr>
        <w:t xml:space="preserve"> En caso de escoger la modalidad de copias simples o certificadas y/o por correo certificado, se deberá cubrir el costo respectivo por su reproducción, como lo señala el artículo 148, fracción I y II del Código Financiero del Estado de México y Municipios, y </w:t>
      </w:r>
      <w:r>
        <w:rPr>
          <w:rFonts w:ascii="Palatino Linotype" w:eastAsia="Palatino Linotype" w:hAnsi="Palatino Linotype" w:cs="Palatino Linotype"/>
          <w:i/>
        </w:rPr>
        <w:lastRenderedPageBreak/>
        <w:t>el artículo 174 de la Ley de Transparencia y Acceso a la Información Pública del Estado de México y Municipios</w:t>
      </w:r>
      <w:r>
        <w:rPr>
          <w:rFonts w:ascii="Palatino Linotype" w:eastAsia="Palatino Linotype" w:hAnsi="Palatino Linotype" w:cs="Palatino Linotype"/>
          <w:b/>
          <w:i/>
          <w:u w:val="single"/>
        </w:rPr>
        <w:t>. En caso de escoger la modalidad de entrega digital, y privilegiando la gratuidad de la entrega de la información, el solicitante deberá llevar el dispositivo electrónico en el que se le proporcionará y/o grabará la misma.</w:t>
      </w:r>
      <w:r>
        <w:rPr>
          <w:rFonts w:ascii="Palatino Linotype" w:eastAsia="Palatino Linotype" w:hAnsi="Palatino Linotype" w:cs="Palatino Linotype"/>
          <w:i/>
        </w:rPr>
        <w:t xml:space="preserve"> Lo anterior con fundamento en lo dispuesto por el artículo 158 y 164 de la Ley de Transparencia y Acceso a la Información Pública del Estado de México y Municipios. Con lo anteriormente expuesto esta Unidad de Planeación y Transparencia, da por atendida la solicitud de información; por otra parte, se hace de su conocimiento que usted puede acceder a la información pública que corresponde a este sujeto obligado a través de la Plataforma de Información Público de Oficio Mexiquense (https://www.ipomex.org.mx/portal.htm) y en la Plataforma Nacional de Transparencia (https://www.plataformadetransparencia.org.mx/web/guest/inicio), seleccionando el icono del Poder Ejecutivo en donde podrá encontrar a la Secretaría Ejecutiva del Sistema Estatal Anticorrupción y consultar el listado de información disponible de obligaciones de transparencia en términos de los artículos 92, 93, 94 y 103 d la ley de Transparencia y Acceso a la Información Pública del Estado de México y Municipios. Así mismo, se le invita a visitar la página www.sesaemm.gob.mx, en la cual podrá, conocer más información sobre las actividades que realiza la Secretaría Ejecutiva del Sistema Estatal Anticorrupción, así como consultar el Sistema de Gestión Antisoborno y descargar la Política Antisoborno en el siguiente enlace: https://sesaemm.gob.mx/politica_antisoborno/ En caso de requerir asesoría, orientación o cualquier auxilio relacionado con la elaboración de solicitudes de información, con la presente respuesta, o en general con las obligaciones en materias transparencia y acceso a la información pública a cargo de la Secretaría Ejecutiva del Sistema Estatal Anticorrupción, esta Unidad de Transparencia se encuentra a sus órdenes a través de los datos de identificación siguientes: La Unidad de Transparencia: Lic. Alma Delia Hernández Guerrero, Encargada de Despacho de la Unidad de Planeación y Transparencia. Responsable del módulo de información: Meredith Valdés Bernal. Líder de Proyecto “B” Teléfono: (722) </w:t>
      </w:r>
      <w:r>
        <w:rPr>
          <w:rFonts w:ascii="Palatino Linotype" w:eastAsia="Palatino Linotype" w:hAnsi="Palatino Linotype" w:cs="Palatino Linotype"/>
          <w:i/>
        </w:rPr>
        <w:lastRenderedPageBreak/>
        <w:t xml:space="preserve">914 6034. Ext 7005 Domicilio: Avenida José María Morelos y Pavón, </w:t>
      </w:r>
      <w:proofErr w:type="spellStart"/>
      <w:r>
        <w:rPr>
          <w:rFonts w:ascii="Palatino Linotype" w:eastAsia="Palatino Linotype" w:hAnsi="Palatino Linotype" w:cs="Palatino Linotype"/>
          <w:i/>
        </w:rPr>
        <w:t>Ote</w:t>
      </w:r>
      <w:proofErr w:type="spellEnd"/>
      <w:r>
        <w:rPr>
          <w:rFonts w:ascii="Palatino Linotype" w:eastAsia="Palatino Linotype" w:hAnsi="Palatino Linotype" w:cs="Palatino Linotype"/>
          <w:i/>
        </w:rPr>
        <w:t xml:space="preserve">. #312, Colonia 5 de mayo, código postal 50090, Toluca, Estado de México. Correo electrónico: sesea@itaipem.gob.mx Información de contacto que puede ser consultada de manera actualizada en la fracción XVI, del portal de obligaciones de transparencia de esta Secretaría Ejecutiva que se refirió previamente, o, directamente en el enlace siguiente: https://www.ipomex.org.mx/ipo3/lgt/indice/SESEA/art_92_xvi/1.web. Finalmente, con fundamento en los artículos 177, 178 y 179 de la Ley de Transparencia y Acceso a la Información Pública del Estado de México y Municipios, hago de su conocimiento que Usted tiene el derecho a interponer recurso de revisión dentro de los quince días hábiles siguientes a la fecha de la notificación de la presente respuesta, para lo cual se acompaña un ejemplar electrónico de la legislación de referencia, con la finalidad de que Usted pueda identificar los supuestos de procedencia y procedimiento aplicable a dicho medio de impugnación (legislación que también puede ser consultada en el enlace siguiente: http://legislacion.edomex.gob.mx/sites/legislacion.edomex.gob.mx/files/files/pdf/ley/vig/leyvig233.pdf). Esperando que la información proporcionada le resulte de utilidad, me reitero a sus órdenes en los medios de contacto que se señalan en este documento. Atentamente Lic. Alma Delia Hernández Guerrero Encargada de Despacho de la Unidad de Planeación y Transparencia de la Secretaría Ejecutiva del Sistema Estatal Anticorrupción </w:t>
      </w:r>
      <w:proofErr w:type="spellStart"/>
      <w:r>
        <w:rPr>
          <w:rFonts w:ascii="Palatino Linotype" w:eastAsia="Palatino Linotype" w:hAnsi="Palatino Linotype" w:cs="Palatino Linotype"/>
          <w:i/>
        </w:rPr>
        <w:t>C.c.p</w:t>
      </w:r>
      <w:proofErr w:type="spellEnd"/>
      <w:r>
        <w:rPr>
          <w:rFonts w:ascii="Palatino Linotype" w:eastAsia="Palatino Linotype" w:hAnsi="Palatino Linotype" w:cs="Palatino Linotype"/>
          <w:i/>
        </w:rPr>
        <w:t xml:space="preserve">. Minutario / archivo </w:t>
      </w:r>
      <w:proofErr w:type="spellStart"/>
      <w:r>
        <w:rPr>
          <w:rFonts w:ascii="Palatino Linotype" w:eastAsia="Palatino Linotype" w:hAnsi="Palatino Linotype" w:cs="Palatino Linotype"/>
          <w:i/>
        </w:rPr>
        <w:t>mvb</w:t>
      </w:r>
      <w:proofErr w:type="spellEnd"/>
    </w:p>
    <w:p w14:paraId="01A0BBA9" w14:textId="77777777" w:rsidR="00BA02CF" w:rsidRDefault="00BA02CF">
      <w:pPr>
        <w:spacing w:after="120" w:line="360" w:lineRule="auto"/>
        <w:ind w:left="851" w:right="900"/>
        <w:jc w:val="both"/>
        <w:rPr>
          <w:rFonts w:ascii="Palatino Linotype" w:eastAsia="Palatino Linotype" w:hAnsi="Palatino Linotype" w:cs="Palatino Linotype"/>
          <w:i/>
        </w:rPr>
      </w:pPr>
    </w:p>
    <w:p w14:paraId="0E4C0469"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adjuntó los archivos electrónicos:</w:t>
      </w:r>
    </w:p>
    <w:p w14:paraId="1551E499" w14:textId="77777777" w:rsidR="00BA02CF" w:rsidRDefault="00BA02CF">
      <w:pPr>
        <w:spacing w:after="0" w:line="360" w:lineRule="auto"/>
        <w:jc w:val="both"/>
        <w:rPr>
          <w:rFonts w:ascii="Palatino Linotype" w:eastAsia="Palatino Linotype" w:hAnsi="Palatino Linotype" w:cs="Palatino Linotype"/>
          <w:sz w:val="24"/>
          <w:szCs w:val="24"/>
        </w:rPr>
      </w:pPr>
    </w:p>
    <w:p w14:paraId="01BB8642"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roofErr w:type="spellStart"/>
      <w:r>
        <w:rPr>
          <w:rFonts w:ascii="Palatino Linotype" w:eastAsia="Palatino Linotype" w:hAnsi="Palatino Linotype" w:cs="Palatino Linotype"/>
          <w:b/>
          <w:i/>
          <w:sz w:val="24"/>
          <w:szCs w:val="24"/>
          <w:u w:val="single"/>
        </w:rPr>
        <w:t>of</w:t>
      </w:r>
      <w:proofErr w:type="spellEnd"/>
      <w:r>
        <w:rPr>
          <w:rFonts w:ascii="Palatino Linotype" w:eastAsia="Palatino Linotype" w:hAnsi="Palatino Linotype" w:cs="Palatino Linotype"/>
          <w:b/>
          <w:i/>
          <w:sz w:val="24"/>
          <w:szCs w:val="24"/>
          <w:u w:val="single"/>
        </w:rPr>
        <w:t xml:space="preserve"> </w:t>
      </w:r>
      <w:proofErr w:type="spellStart"/>
      <w:r>
        <w:rPr>
          <w:rFonts w:ascii="Palatino Linotype" w:eastAsia="Palatino Linotype" w:hAnsi="Palatino Linotype" w:cs="Palatino Linotype"/>
          <w:b/>
          <w:i/>
          <w:sz w:val="24"/>
          <w:szCs w:val="24"/>
          <w:u w:val="single"/>
        </w:rPr>
        <w:t>resp</w:t>
      </w:r>
      <w:proofErr w:type="spellEnd"/>
      <w:r>
        <w:rPr>
          <w:rFonts w:ascii="Palatino Linotype" w:eastAsia="Palatino Linotype" w:hAnsi="Palatino Linotype" w:cs="Palatino Linotype"/>
          <w:b/>
          <w:i/>
          <w:sz w:val="24"/>
          <w:szCs w:val="24"/>
          <w:u w:val="single"/>
        </w:rPr>
        <w:t xml:space="preserve"> sol 0003.docx</w:t>
      </w:r>
      <w:r>
        <w:rPr>
          <w:rFonts w:ascii="Palatino Linotype" w:eastAsia="Palatino Linotype" w:hAnsi="Palatino Linotype" w:cs="Palatino Linotype"/>
          <w:sz w:val="24"/>
          <w:szCs w:val="24"/>
        </w:rPr>
        <w:t>” y “</w:t>
      </w:r>
      <w:proofErr w:type="spellStart"/>
      <w:r>
        <w:rPr>
          <w:rFonts w:ascii="Palatino Linotype" w:eastAsia="Palatino Linotype" w:hAnsi="Palatino Linotype" w:cs="Palatino Linotype"/>
          <w:b/>
          <w:i/>
          <w:sz w:val="24"/>
          <w:szCs w:val="24"/>
          <w:u w:val="single"/>
        </w:rPr>
        <w:t>of</w:t>
      </w:r>
      <w:proofErr w:type="spellEnd"/>
      <w:r>
        <w:rPr>
          <w:rFonts w:ascii="Palatino Linotype" w:eastAsia="Palatino Linotype" w:hAnsi="Palatino Linotype" w:cs="Palatino Linotype"/>
          <w:b/>
          <w:i/>
          <w:sz w:val="24"/>
          <w:szCs w:val="24"/>
          <w:u w:val="single"/>
        </w:rPr>
        <w:t xml:space="preserve"> </w:t>
      </w:r>
      <w:proofErr w:type="spellStart"/>
      <w:r>
        <w:rPr>
          <w:rFonts w:ascii="Palatino Linotype" w:eastAsia="Palatino Linotype" w:hAnsi="Palatino Linotype" w:cs="Palatino Linotype"/>
          <w:b/>
          <w:i/>
          <w:sz w:val="24"/>
          <w:szCs w:val="24"/>
          <w:u w:val="single"/>
        </w:rPr>
        <w:t>resp</w:t>
      </w:r>
      <w:proofErr w:type="spellEnd"/>
      <w:r>
        <w:rPr>
          <w:rFonts w:ascii="Palatino Linotype" w:eastAsia="Palatino Linotype" w:hAnsi="Palatino Linotype" w:cs="Palatino Linotype"/>
          <w:b/>
          <w:i/>
          <w:sz w:val="24"/>
          <w:szCs w:val="24"/>
          <w:u w:val="single"/>
        </w:rPr>
        <w:t xml:space="preserve"> </w:t>
      </w:r>
      <w:proofErr w:type="spellStart"/>
      <w:r>
        <w:rPr>
          <w:rFonts w:ascii="Palatino Linotype" w:eastAsia="Palatino Linotype" w:hAnsi="Palatino Linotype" w:cs="Palatino Linotype"/>
          <w:b/>
          <w:i/>
          <w:sz w:val="24"/>
          <w:szCs w:val="24"/>
          <w:u w:val="single"/>
        </w:rPr>
        <w:t>sl</w:t>
      </w:r>
      <w:proofErr w:type="spellEnd"/>
      <w:r>
        <w:rPr>
          <w:rFonts w:ascii="Palatino Linotype" w:eastAsia="Palatino Linotype" w:hAnsi="Palatino Linotype" w:cs="Palatino Linotype"/>
          <w:b/>
          <w:i/>
          <w:sz w:val="24"/>
          <w:szCs w:val="24"/>
          <w:u w:val="single"/>
        </w:rPr>
        <w:t xml:space="preserve"> 03.pdf</w:t>
      </w:r>
      <w:proofErr w:type="gramStart"/>
      <w:r>
        <w:rPr>
          <w:rFonts w:ascii="Palatino Linotype" w:eastAsia="Palatino Linotype" w:hAnsi="Palatino Linotype" w:cs="Palatino Linotype"/>
          <w:sz w:val="24"/>
          <w:szCs w:val="24"/>
        </w:rPr>
        <w:t>”::</w:t>
      </w:r>
      <w:proofErr w:type="gramEnd"/>
      <w:r>
        <w:rPr>
          <w:rFonts w:ascii="Palatino Linotype" w:eastAsia="Palatino Linotype" w:hAnsi="Palatino Linotype" w:cs="Palatino Linotype"/>
          <w:sz w:val="24"/>
          <w:szCs w:val="24"/>
        </w:rPr>
        <w:t xml:space="preserve"> Oficio de fecha diecisiete de febrero de dos mil veintitrés signado por la Encargada de Despacho de la Unidad de Planeación y Transparencia, mediante el cual solicitó el cambio de modalidad de entrega, para dar atención a la solicitud número 00003/SESEA/IP/2023. </w:t>
      </w:r>
    </w:p>
    <w:p w14:paraId="121A4472" w14:textId="77777777" w:rsidR="00BA02CF" w:rsidRDefault="00BA02CF">
      <w:pPr>
        <w:spacing w:after="0" w:line="360" w:lineRule="auto"/>
        <w:jc w:val="both"/>
        <w:rPr>
          <w:rFonts w:ascii="Palatino Linotype" w:eastAsia="Palatino Linotype" w:hAnsi="Palatino Linotype" w:cs="Palatino Linotype"/>
          <w:sz w:val="24"/>
          <w:szCs w:val="24"/>
        </w:rPr>
      </w:pPr>
    </w:p>
    <w:p w14:paraId="14C07690"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LTAIPEMYM.pdf</w:t>
      </w:r>
      <w:r>
        <w:rPr>
          <w:rFonts w:ascii="Palatino Linotype" w:eastAsia="Palatino Linotype" w:hAnsi="Palatino Linotype" w:cs="Palatino Linotype"/>
          <w:sz w:val="24"/>
          <w:szCs w:val="24"/>
        </w:rPr>
        <w:t>”: Ley de Transparencia y Acceso a la Información Pública del Estado de México y Municipios.</w:t>
      </w:r>
    </w:p>
    <w:p w14:paraId="36913A6F" w14:textId="77777777" w:rsidR="00BA02CF" w:rsidRDefault="00BA02CF">
      <w:pPr>
        <w:spacing w:after="0" w:line="360" w:lineRule="auto"/>
        <w:jc w:val="both"/>
        <w:rPr>
          <w:rFonts w:ascii="Palatino Linotype" w:eastAsia="Palatino Linotype" w:hAnsi="Palatino Linotype" w:cs="Palatino Linotype"/>
          <w:sz w:val="24"/>
          <w:szCs w:val="24"/>
        </w:rPr>
      </w:pPr>
    </w:p>
    <w:p w14:paraId="7C7B746C"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3Ext 22.pdf</w:t>
      </w:r>
      <w:r>
        <w:rPr>
          <w:rFonts w:ascii="Palatino Linotype" w:eastAsia="Palatino Linotype" w:hAnsi="Palatino Linotype" w:cs="Palatino Linotype"/>
          <w:sz w:val="24"/>
          <w:szCs w:val="24"/>
        </w:rPr>
        <w:t xml:space="preserve">”: Acta de la Tercera Sesión Extraordinaria del Comité de Transparencia de fecha diecisiete de febrero de dos mil veintitrés, acuerdo SESEA/CT/EXT/03/2023, en donde su tercer punto del orden del día se aprobó la clasificación como confidencia de los oficios emitidos y recibidos del ejercicio fiscal 2019 al diecisiete de enero del 2023 y el en quinto punto del orden del día se aprobó el cambio de modalidad de entrega de la versión pública para dar atención a la solicitud de información. </w:t>
      </w:r>
    </w:p>
    <w:p w14:paraId="272E4F51" w14:textId="77777777" w:rsidR="00BA02CF" w:rsidRDefault="00BA02CF">
      <w:pPr>
        <w:spacing w:after="0" w:line="360" w:lineRule="auto"/>
        <w:jc w:val="both"/>
        <w:rPr>
          <w:rFonts w:ascii="Palatino Linotype" w:eastAsia="Palatino Linotype" w:hAnsi="Palatino Linotype" w:cs="Palatino Linotype"/>
          <w:sz w:val="24"/>
          <w:szCs w:val="24"/>
        </w:rPr>
      </w:pPr>
    </w:p>
    <w:p w14:paraId="36A5A879"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LSAEMYM.pdf</w:t>
      </w:r>
      <w:r>
        <w:rPr>
          <w:rFonts w:ascii="Palatino Linotype" w:eastAsia="Palatino Linotype" w:hAnsi="Palatino Linotype" w:cs="Palatino Linotype"/>
          <w:sz w:val="24"/>
          <w:szCs w:val="24"/>
        </w:rPr>
        <w:t xml:space="preserve">”: Ley del Sistema Anticorrupción del Estado de México y Municipios. </w:t>
      </w:r>
    </w:p>
    <w:p w14:paraId="0C3CFFD4" w14:textId="77777777" w:rsidR="00BA02CF" w:rsidRDefault="00BA02CF">
      <w:pPr>
        <w:spacing w:after="0" w:line="360" w:lineRule="auto"/>
      </w:pPr>
    </w:p>
    <w:p w14:paraId="1B2F21A3" w14:textId="77777777" w:rsidR="00BA02CF" w:rsidRDefault="00EE1C4D">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veinte de febrero de dos mil veintitrés</w:t>
      </w:r>
      <w:r>
        <w:rPr>
          <w:rFonts w:ascii="Palatino Linotype" w:eastAsia="Palatino Linotype" w:hAnsi="Palatino Linotype" w:cs="Palatino Linotype"/>
          <w:b/>
          <w:sz w:val="24"/>
          <w:szCs w:val="24"/>
        </w:rPr>
        <w:t xml:space="preserve">, LA PARTE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00984/INFOEM/IP/RR/2023</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en el cual manifiesta, lo siguiente: </w:t>
      </w:r>
    </w:p>
    <w:p w14:paraId="7A2A37D6" w14:textId="77777777" w:rsidR="00BA02CF" w:rsidRDefault="00BA02CF">
      <w:pPr>
        <w:spacing w:after="0" w:line="360" w:lineRule="auto"/>
        <w:ind w:right="-234"/>
        <w:jc w:val="both"/>
        <w:rPr>
          <w:rFonts w:ascii="Palatino Linotype" w:eastAsia="Palatino Linotype" w:hAnsi="Palatino Linotype" w:cs="Palatino Linotype"/>
          <w:sz w:val="24"/>
          <w:szCs w:val="24"/>
        </w:rPr>
      </w:pPr>
    </w:p>
    <w:p w14:paraId="40AD13D7" w14:textId="77777777" w:rsidR="00BA02CF" w:rsidRDefault="00EE1C4D">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4ADEE5C3" w14:textId="77777777" w:rsidR="00BA02CF" w:rsidRDefault="00EE1C4D">
      <w:pPr>
        <w:tabs>
          <w:tab w:val="left" w:pos="8222"/>
        </w:tabs>
        <w:spacing w:before="240" w:after="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i/>
          <w:color w:val="000000"/>
        </w:rPr>
        <w:t xml:space="preserve">Después de hacer uso de la </w:t>
      </w:r>
      <w:proofErr w:type="spellStart"/>
      <w:r>
        <w:rPr>
          <w:rFonts w:ascii="Palatino Linotype" w:eastAsia="Palatino Linotype" w:hAnsi="Palatino Linotype" w:cs="Palatino Linotype"/>
          <w:i/>
          <w:color w:val="000000"/>
        </w:rPr>
        <w:t>prorroga</w:t>
      </w:r>
      <w:proofErr w:type="spellEnd"/>
      <w:r>
        <w:rPr>
          <w:rFonts w:ascii="Palatino Linotype" w:eastAsia="Palatino Linotype" w:hAnsi="Palatino Linotype" w:cs="Palatino Linotype"/>
          <w:i/>
          <w:color w:val="000000"/>
        </w:rPr>
        <w:t xml:space="preserve"> para la entrega de información avisan que es muy pesada y cambian la modalidad de entrega, no están entregando la información y ponen como excusa que pesa demasiado y no consta que se hayan generado </w:t>
      </w:r>
      <w:proofErr w:type="spellStart"/>
      <w:r>
        <w:rPr>
          <w:rFonts w:ascii="Palatino Linotype" w:eastAsia="Palatino Linotype" w:hAnsi="Palatino Linotype" w:cs="Palatino Linotype"/>
          <w:i/>
          <w:color w:val="000000"/>
        </w:rPr>
        <w:t>mas</w:t>
      </w:r>
      <w:proofErr w:type="spellEnd"/>
      <w:r>
        <w:rPr>
          <w:rFonts w:ascii="Palatino Linotype" w:eastAsia="Palatino Linotype" w:hAnsi="Palatino Linotype" w:cs="Palatino Linotype"/>
          <w:i/>
          <w:color w:val="000000"/>
        </w:rPr>
        <w:t xml:space="preserve"> de 17 mil fojas de oficios, que es lo que se está requiriendo, no los adjuntos ni nada más que los oficios. O si están generando digamos una tercera parte, de 2018 a la fecha la Secretaría ha generado al menos 5 mil oficios de manera interna, </w:t>
      </w:r>
      <w:proofErr w:type="spellStart"/>
      <w:r>
        <w:rPr>
          <w:rFonts w:ascii="Palatino Linotype" w:eastAsia="Palatino Linotype" w:hAnsi="Palatino Linotype" w:cs="Palatino Linotype"/>
          <w:i/>
          <w:color w:val="000000"/>
        </w:rPr>
        <w:t>asistiendole</w:t>
      </w:r>
      <w:proofErr w:type="spellEnd"/>
      <w:r>
        <w:rPr>
          <w:rFonts w:ascii="Palatino Linotype" w:eastAsia="Palatino Linotype" w:hAnsi="Palatino Linotype" w:cs="Palatino Linotype"/>
          <w:i/>
          <w:color w:val="000000"/>
        </w:rPr>
        <w:t xml:space="preserve"> la razón del director de tecnologías del </w:t>
      </w:r>
      <w:proofErr w:type="spellStart"/>
      <w:r>
        <w:rPr>
          <w:rFonts w:ascii="Palatino Linotype" w:eastAsia="Palatino Linotype" w:hAnsi="Palatino Linotype" w:cs="Palatino Linotype"/>
          <w:i/>
          <w:color w:val="000000"/>
        </w:rPr>
        <w:t>infoem</w:t>
      </w:r>
      <w:proofErr w:type="spellEnd"/>
      <w:r>
        <w:rPr>
          <w:rFonts w:ascii="Palatino Linotype" w:eastAsia="Palatino Linotype" w:hAnsi="Palatino Linotype" w:cs="Palatino Linotype"/>
          <w:i/>
          <w:color w:val="000000"/>
        </w:rPr>
        <w:t>.</w:t>
      </w:r>
      <w:r>
        <w:rPr>
          <w:rFonts w:ascii="Palatino Linotype" w:eastAsia="Palatino Linotype" w:hAnsi="Palatino Linotype" w:cs="Palatino Linotype"/>
          <w:i/>
        </w:rPr>
        <w:t>” [sic]</w:t>
      </w:r>
    </w:p>
    <w:p w14:paraId="64214EB1" w14:textId="77777777" w:rsidR="00BA02CF" w:rsidRDefault="00EE1C4D">
      <w:pPr>
        <w:spacing w:after="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LA PARTE RECURRENTE, </w:t>
      </w:r>
      <w:r>
        <w:rPr>
          <w:rFonts w:ascii="Palatino Linotype" w:eastAsia="Palatino Linotype" w:hAnsi="Palatino Linotype" w:cs="Palatino Linotype"/>
          <w:sz w:val="24"/>
          <w:szCs w:val="24"/>
        </w:rPr>
        <w:t xml:space="preserve">adjuntó el archivo electrónico: </w:t>
      </w:r>
    </w:p>
    <w:p w14:paraId="6CD4C8DF" w14:textId="77777777" w:rsidR="00BA02CF" w:rsidRDefault="00BA02CF">
      <w:pPr>
        <w:spacing w:after="0" w:line="360" w:lineRule="auto"/>
        <w:rPr>
          <w:rFonts w:ascii="Palatino Linotype" w:eastAsia="Palatino Linotype" w:hAnsi="Palatino Linotype" w:cs="Palatino Linotype"/>
          <w:sz w:val="24"/>
          <w:szCs w:val="24"/>
        </w:rPr>
      </w:pPr>
    </w:p>
    <w:p w14:paraId="3A2AF46B" w14:textId="77777777" w:rsidR="00BA02CF" w:rsidRDefault="00EE1C4D">
      <w:pPr>
        <w:spacing w:after="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Archivo1676920470717null</w:t>
      </w:r>
      <w:r>
        <w:rPr>
          <w:rFonts w:ascii="Palatino Linotype" w:eastAsia="Palatino Linotype" w:hAnsi="Palatino Linotype" w:cs="Palatino Linotype"/>
          <w:sz w:val="24"/>
          <w:szCs w:val="24"/>
        </w:rPr>
        <w:t>”: El archivo no se puede visualizar.</w:t>
      </w:r>
    </w:p>
    <w:p w14:paraId="1CEF8BCF" w14:textId="77777777" w:rsidR="00BA02CF" w:rsidRDefault="00BA02CF">
      <w:pPr>
        <w:spacing w:after="0" w:line="360" w:lineRule="auto"/>
        <w:rPr>
          <w:rFonts w:ascii="Palatino Linotype" w:eastAsia="Palatino Linotype" w:hAnsi="Palatino Linotype" w:cs="Palatino Linotype"/>
          <w:sz w:val="24"/>
          <w:szCs w:val="24"/>
        </w:rPr>
      </w:pPr>
    </w:p>
    <w:p w14:paraId="2CD33CFF"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3ED7D056" w14:textId="77777777" w:rsidR="00BA02CF" w:rsidRDefault="00BA02CF">
      <w:pPr>
        <w:spacing w:after="0" w:line="360" w:lineRule="auto"/>
        <w:jc w:val="both"/>
        <w:rPr>
          <w:rFonts w:ascii="Palatino Linotype" w:eastAsia="Palatino Linotype" w:hAnsi="Palatino Linotype" w:cs="Palatino Linotype"/>
          <w:sz w:val="24"/>
          <w:szCs w:val="24"/>
        </w:rPr>
      </w:pPr>
    </w:p>
    <w:p w14:paraId="78605AF1"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veintitrés de febrero de dos mil veintitrés,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Pr>
          <w:rFonts w:ascii="Palatino Linotype" w:eastAsia="Palatino Linotype" w:hAnsi="Palatino Linotype" w:cs="Palatino Linotype"/>
          <w:sz w:val="24"/>
          <w:szCs w:val="24"/>
        </w:rPr>
        <w:lastRenderedPageBreak/>
        <w:t xml:space="preserve">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14:paraId="238DB861" w14:textId="77777777" w:rsidR="00BA02CF" w:rsidRDefault="00BA02CF">
      <w:pPr>
        <w:spacing w:after="0" w:line="360" w:lineRule="auto"/>
        <w:jc w:val="both"/>
        <w:rPr>
          <w:rFonts w:ascii="Palatino Linotype" w:eastAsia="Palatino Linotype" w:hAnsi="Palatino Linotype" w:cs="Palatino Linotype"/>
          <w:sz w:val="24"/>
          <w:szCs w:val="24"/>
        </w:rPr>
      </w:pPr>
    </w:p>
    <w:p w14:paraId="0EE71937" w14:textId="77777777" w:rsidR="00BA02CF" w:rsidRDefault="00EE1C4D">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MANIFESTACIONES.</w:t>
      </w:r>
      <w:r>
        <w:rPr>
          <w:rFonts w:ascii="Palatino Linotype" w:eastAsia="Palatino Linotype" w:hAnsi="Palatino Linotype" w:cs="Palatino Linotype"/>
          <w:sz w:val="24"/>
          <w:szCs w:val="24"/>
        </w:rPr>
        <w:t xml:space="preserve"> El veintiocho de febrero de dos mil veintitrés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 los siguientes archivos electrónicos: </w:t>
      </w:r>
    </w:p>
    <w:p w14:paraId="52BEFA64" w14:textId="77777777" w:rsidR="00BA02CF" w:rsidRDefault="00EE1C4D">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w:t>
      </w:r>
      <w:proofErr w:type="spellStart"/>
      <w:r>
        <w:rPr>
          <w:rFonts w:ascii="Palatino Linotype" w:eastAsia="Palatino Linotype" w:hAnsi="Palatino Linotype" w:cs="Palatino Linotype"/>
          <w:b/>
          <w:i/>
          <w:sz w:val="24"/>
          <w:szCs w:val="24"/>
          <w:u w:val="single"/>
        </w:rPr>
        <w:t>of</w:t>
      </w:r>
      <w:proofErr w:type="spellEnd"/>
      <w:r>
        <w:rPr>
          <w:rFonts w:ascii="Palatino Linotype" w:eastAsia="Palatino Linotype" w:hAnsi="Palatino Linotype" w:cs="Palatino Linotype"/>
          <w:b/>
          <w:i/>
          <w:sz w:val="24"/>
          <w:szCs w:val="24"/>
          <w:u w:val="single"/>
        </w:rPr>
        <w:t xml:space="preserve"> </w:t>
      </w:r>
      <w:proofErr w:type="spellStart"/>
      <w:r>
        <w:rPr>
          <w:rFonts w:ascii="Palatino Linotype" w:eastAsia="Palatino Linotype" w:hAnsi="Palatino Linotype" w:cs="Palatino Linotype"/>
          <w:b/>
          <w:i/>
          <w:sz w:val="24"/>
          <w:szCs w:val="24"/>
          <w:u w:val="single"/>
        </w:rPr>
        <w:t>resp</w:t>
      </w:r>
      <w:proofErr w:type="spellEnd"/>
      <w:r>
        <w:rPr>
          <w:rFonts w:ascii="Palatino Linotype" w:eastAsia="Palatino Linotype" w:hAnsi="Palatino Linotype" w:cs="Palatino Linotype"/>
          <w:b/>
          <w:i/>
          <w:sz w:val="24"/>
          <w:szCs w:val="24"/>
          <w:u w:val="single"/>
        </w:rPr>
        <w:t xml:space="preserve"> </w:t>
      </w:r>
      <w:proofErr w:type="spellStart"/>
      <w:r>
        <w:rPr>
          <w:rFonts w:ascii="Palatino Linotype" w:eastAsia="Palatino Linotype" w:hAnsi="Palatino Linotype" w:cs="Palatino Linotype"/>
          <w:b/>
          <w:i/>
          <w:sz w:val="24"/>
          <w:szCs w:val="24"/>
          <w:u w:val="single"/>
        </w:rPr>
        <w:t>sl</w:t>
      </w:r>
      <w:proofErr w:type="spellEnd"/>
      <w:r>
        <w:rPr>
          <w:rFonts w:ascii="Palatino Linotype" w:eastAsia="Palatino Linotype" w:hAnsi="Palatino Linotype" w:cs="Palatino Linotype"/>
          <w:b/>
          <w:i/>
          <w:sz w:val="24"/>
          <w:szCs w:val="24"/>
          <w:u w:val="single"/>
        </w:rPr>
        <w:t xml:space="preserve"> 03.pdf</w:t>
      </w:r>
      <w:r>
        <w:rPr>
          <w:rFonts w:ascii="Palatino Linotype" w:eastAsia="Palatino Linotype" w:hAnsi="Palatino Linotype" w:cs="Palatino Linotype"/>
          <w:sz w:val="24"/>
          <w:szCs w:val="24"/>
        </w:rPr>
        <w:t xml:space="preserve">”: Oficio entregado en respuesta. </w:t>
      </w:r>
    </w:p>
    <w:p w14:paraId="0398BD00"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roofErr w:type="spellStart"/>
      <w:r>
        <w:rPr>
          <w:rFonts w:ascii="Palatino Linotype" w:eastAsia="Palatino Linotype" w:hAnsi="Palatino Linotype" w:cs="Palatino Linotype"/>
          <w:b/>
          <w:i/>
          <w:sz w:val="24"/>
          <w:szCs w:val="24"/>
          <w:u w:val="single"/>
        </w:rPr>
        <w:t>of</w:t>
      </w:r>
      <w:proofErr w:type="spellEnd"/>
      <w:r>
        <w:rPr>
          <w:rFonts w:ascii="Palatino Linotype" w:eastAsia="Palatino Linotype" w:hAnsi="Palatino Linotype" w:cs="Palatino Linotype"/>
          <w:b/>
          <w:i/>
          <w:sz w:val="24"/>
          <w:szCs w:val="24"/>
          <w:u w:val="single"/>
        </w:rPr>
        <w:t xml:space="preserve"> 50.pdf</w:t>
      </w:r>
      <w:r>
        <w:rPr>
          <w:rFonts w:ascii="Palatino Linotype" w:eastAsia="Palatino Linotype" w:hAnsi="Palatino Linotype" w:cs="Palatino Linotype"/>
          <w:sz w:val="24"/>
          <w:szCs w:val="24"/>
        </w:rPr>
        <w:t xml:space="preserve">”: Oficio de fecha diez de febrero de dos mil veintitrés, signado por la Encargada de Despacho de la Unidad de Planeación y Transparencia, mediante el cual solicita al Director General de Informática del INFOEM se lleve a cabo el registro de incidencia técnica con la finalidad de realizar el cambio de modalidad de la entrega de la información de la solicitud, derivado que el archivo en versión pública en formato PDF que será entregada al solicitante tiene un peso de 5.15 </w:t>
      </w:r>
      <w:proofErr w:type="spellStart"/>
      <w:r>
        <w:rPr>
          <w:rFonts w:ascii="Palatino Linotype" w:eastAsia="Palatino Linotype" w:hAnsi="Palatino Linotype" w:cs="Palatino Linotype"/>
          <w:sz w:val="24"/>
          <w:szCs w:val="24"/>
        </w:rPr>
        <w:t>Gygabytes</w:t>
      </w:r>
      <w:proofErr w:type="spellEnd"/>
      <w:r>
        <w:rPr>
          <w:rFonts w:ascii="Palatino Linotype" w:eastAsia="Palatino Linotype" w:hAnsi="Palatino Linotype" w:cs="Palatino Linotype"/>
          <w:sz w:val="24"/>
          <w:szCs w:val="24"/>
        </w:rPr>
        <w:t xml:space="preserve">, lo cual sobrepasa las capacidades técnicas del SAIMEX. </w:t>
      </w:r>
    </w:p>
    <w:p w14:paraId="15976758" w14:textId="77777777" w:rsidR="00BA02CF" w:rsidRDefault="00BA02CF">
      <w:pPr>
        <w:spacing w:after="0" w:line="360" w:lineRule="auto"/>
        <w:jc w:val="both"/>
        <w:rPr>
          <w:rFonts w:ascii="Palatino Linotype" w:eastAsia="Palatino Linotype" w:hAnsi="Palatino Linotype" w:cs="Palatino Linotype"/>
          <w:sz w:val="24"/>
          <w:szCs w:val="24"/>
        </w:rPr>
      </w:pPr>
    </w:p>
    <w:p w14:paraId="6C64533D"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roofErr w:type="spellStart"/>
      <w:r>
        <w:rPr>
          <w:rFonts w:ascii="Palatino Linotype" w:eastAsia="Palatino Linotype" w:hAnsi="Palatino Linotype" w:cs="Palatino Linotype"/>
          <w:b/>
          <w:i/>
          <w:sz w:val="24"/>
          <w:szCs w:val="24"/>
          <w:u w:val="single"/>
        </w:rPr>
        <w:t>inf</w:t>
      </w:r>
      <w:proofErr w:type="spellEnd"/>
      <w:r>
        <w:rPr>
          <w:rFonts w:ascii="Palatino Linotype" w:eastAsia="Palatino Linotype" w:hAnsi="Palatino Linotype" w:cs="Palatino Linotype"/>
          <w:b/>
          <w:i/>
          <w:sz w:val="24"/>
          <w:szCs w:val="24"/>
          <w:u w:val="single"/>
        </w:rPr>
        <w:t xml:space="preserve"> </w:t>
      </w:r>
      <w:proofErr w:type="spellStart"/>
      <w:r>
        <w:rPr>
          <w:rFonts w:ascii="Palatino Linotype" w:eastAsia="Palatino Linotype" w:hAnsi="Palatino Linotype" w:cs="Palatino Linotype"/>
          <w:b/>
          <w:i/>
          <w:sz w:val="24"/>
          <w:szCs w:val="24"/>
          <w:u w:val="single"/>
        </w:rPr>
        <w:t>jst</w:t>
      </w:r>
      <w:proofErr w:type="spellEnd"/>
      <w:r>
        <w:rPr>
          <w:rFonts w:ascii="Palatino Linotype" w:eastAsia="Palatino Linotype" w:hAnsi="Palatino Linotype" w:cs="Palatino Linotype"/>
          <w:b/>
          <w:i/>
          <w:sz w:val="24"/>
          <w:szCs w:val="24"/>
          <w:u w:val="single"/>
        </w:rPr>
        <w:t xml:space="preserve"> sol03.pdf</w:t>
      </w:r>
      <w:r>
        <w:rPr>
          <w:rFonts w:ascii="Palatino Linotype" w:eastAsia="Palatino Linotype" w:hAnsi="Palatino Linotype" w:cs="Palatino Linotype"/>
          <w:sz w:val="24"/>
          <w:szCs w:val="24"/>
        </w:rPr>
        <w:t xml:space="preserve">”: Oficio de fecha veintiocho de febrero de dos mil veintitrés, signado por la Encargada de Despacho de </w:t>
      </w:r>
      <w:proofErr w:type="spellStart"/>
      <w:r>
        <w:rPr>
          <w:rFonts w:ascii="Palatino Linotype" w:eastAsia="Palatino Linotype" w:hAnsi="Palatino Linotype" w:cs="Palatino Linotype"/>
          <w:sz w:val="24"/>
          <w:szCs w:val="24"/>
        </w:rPr>
        <w:t>ña</w:t>
      </w:r>
      <w:proofErr w:type="spellEnd"/>
      <w:r>
        <w:rPr>
          <w:rFonts w:ascii="Palatino Linotype" w:eastAsia="Palatino Linotype" w:hAnsi="Palatino Linotype" w:cs="Palatino Linotype"/>
          <w:sz w:val="24"/>
          <w:szCs w:val="24"/>
        </w:rPr>
        <w:t xml:space="preserve"> Unidad de Planeación y Transparencia, describe las constancias que obran en el SAIMEX, en donde refiere que el Licenciado Nelson Correa Peralta, se notificó que la incidencia técnica había quedado registrada en la bitácora de incidencias, por lo que solicita tener por presentado su informe justificado y se confirme su respuesta inicial. </w:t>
      </w:r>
    </w:p>
    <w:p w14:paraId="5FDA34CF" w14:textId="77777777" w:rsidR="00BA02CF" w:rsidRDefault="00BA02CF">
      <w:pPr>
        <w:spacing w:after="0" w:line="360" w:lineRule="auto"/>
        <w:jc w:val="both"/>
        <w:rPr>
          <w:rFonts w:ascii="Palatino Linotype" w:eastAsia="Palatino Linotype" w:hAnsi="Palatino Linotype" w:cs="Palatino Linotype"/>
          <w:sz w:val="24"/>
          <w:szCs w:val="24"/>
        </w:rPr>
      </w:pPr>
    </w:p>
    <w:p w14:paraId="5128C789"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w:t>
      </w:r>
      <w:r>
        <w:rPr>
          <w:rFonts w:ascii="Palatino Linotype" w:eastAsia="Palatino Linotype" w:hAnsi="Palatino Linotype" w:cs="Palatino Linotype"/>
          <w:b/>
          <w:i/>
          <w:sz w:val="24"/>
          <w:szCs w:val="24"/>
          <w:u w:val="single"/>
        </w:rPr>
        <w:t>2023ROf129_CambioModalidadSESEA (1).</w:t>
      </w:r>
      <w:proofErr w:type="spellStart"/>
      <w:r>
        <w:rPr>
          <w:rFonts w:ascii="Palatino Linotype" w:eastAsia="Palatino Linotype" w:hAnsi="Palatino Linotype" w:cs="Palatino Linotype"/>
          <w:b/>
          <w:i/>
          <w:sz w:val="24"/>
          <w:szCs w:val="24"/>
          <w:u w:val="single"/>
        </w:rPr>
        <w:t>pdf</w:t>
      </w:r>
      <w:proofErr w:type="spellEnd"/>
      <w:r>
        <w:rPr>
          <w:rFonts w:ascii="Palatino Linotype" w:eastAsia="Palatino Linotype" w:hAnsi="Palatino Linotype" w:cs="Palatino Linotype"/>
          <w:sz w:val="24"/>
          <w:szCs w:val="24"/>
        </w:rPr>
        <w:t xml:space="preserve">”: Oficio de fecha trece de febrero de dos mil veintitrés, signado por el </w:t>
      </w:r>
      <w:proofErr w:type="gramStart"/>
      <w:r>
        <w:rPr>
          <w:rFonts w:ascii="Palatino Linotype" w:eastAsia="Palatino Linotype" w:hAnsi="Palatino Linotype" w:cs="Palatino Linotype"/>
          <w:sz w:val="24"/>
          <w:szCs w:val="24"/>
        </w:rPr>
        <w:t>Director General</w:t>
      </w:r>
      <w:proofErr w:type="gramEnd"/>
      <w:r>
        <w:rPr>
          <w:rFonts w:ascii="Palatino Linotype" w:eastAsia="Palatino Linotype" w:hAnsi="Palatino Linotype" w:cs="Palatino Linotype"/>
          <w:sz w:val="24"/>
          <w:szCs w:val="24"/>
        </w:rPr>
        <w:t xml:space="preserve"> de Informática, mediante el cual menciona que fue registrada la incidencia técnica en la bitácora de incidencias, toda vez que trata de subir un peso de 5.15 GB, lo cual sobrepasa las capacidades técnicas del sistema SAIMEX.</w:t>
      </w:r>
    </w:p>
    <w:p w14:paraId="247BA08C" w14:textId="77777777" w:rsidR="00BA02CF" w:rsidRDefault="00BA02CF">
      <w:pPr>
        <w:spacing w:after="0" w:line="360" w:lineRule="auto"/>
        <w:jc w:val="both"/>
        <w:rPr>
          <w:rFonts w:ascii="Palatino Linotype" w:eastAsia="Palatino Linotype" w:hAnsi="Palatino Linotype" w:cs="Palatino Linotype"/>
          <w:sz w:val="24"/>
          <w:szCs w:val="24"/>
        </w:rPr>
      </w:pPr>
    </w:p>
    <w:p w14:paraId="35CAE32B"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Mismo que se puso a la vista de </w:t>
      </w:r>
      <w:r>
        <w:rPr>
          <w:rFonts w:ascii="Palatino Linotype" w:eastAsia="Palatino Linotype" w:hAnsi="Palatino Linotype" w:cs="Palatino Linotype"/>
          <w:b/>
          <w:sz w:val="24"/>
          <w:szCs w:val="24"/>
        </w:rPr>
        <w:t xml:space="preserve">LA PARTE RECURRENTE </w:t>
      </w:r>
      <w:r>
        <w:rPr>
          <w:rFonts w:ascii="Palatino Linotype" w:eastAsia="Palatino Linotype" w:hAnsi="Palatino Linotype" w:cs="Palatino Linotype"/>
          <w:sz w:val="24"/>
          <w:szCs w:val="24"/>
        </w:rPr>
        <w:t xml:space="preserve">en fecha trece de septiembre de dos mil veintitrés, mismo que resulto omiso de emitir sus manifestaciones conforme a derecho le corresponde. </w:t>
      </w:r>
    </w:p>
    <w:p w14:paraId="4379A6F6" w14:textId="77777777" w:rsidR="00BA02CF" w:rsidRDefault="00BA02CF">
      <w:pPr>
        <w:spacing w:after="0" w:line="360" w:lineRule="auto"/>
        <w:jc w:val="both"/>
        <w:rPr>
          <w:rFonts w:ascii="Palatino Linotype" w:eastAsia="Palatino Linotype" w:hAnsi="Palatino Linotype" w:cs="Palatino Linotype"/>
          <w:sz w:val="24"/>
          <w:szCs w:val="24"/>
        </w:rPr>
      </w:pPr>
    </w:p>
    <w:p w14:paraId="2D070A01" w14:textId="77777777" w:rsidR="00BA02CF" w:rsidRDefault="00EE1C4D">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8. REQUERIMIENTO DE INFORMACIÓN ADICIONAL.</w:t>
      </w:r>
      <w:r>
        <w:rPr>
          <w:rFonts w:ascii="Palatino Linotype" w:eastAsia="Palatino Linotype" w:hAnsi="Palatino Linotype" w:cs="Palatino Linotype"/>
          <w:color w:val="000000"/>
          <w:sz w:val="24"/>
          <w:szCs w:val="24"/>
        </w:rPr>
        <w:t xml:space="preserve"> El </w:t>
      </w:r>
      <w:r>
        <w:rPr>
          <w:rFonts w:ascii="Palatino Linotype" w:eastAsia="Palatino Linotype" w:hAnsi="Palatino Linotype" w:cs="Palatino Linotype"/>
          <w:b/>
          <w:color w:val="000000"/>
          <w:sz w:val="24"/>
          <w:szCs w:val="24"/>
        </w:rPr>
        <w:t>trece de septiembre de dos mil veintitrés</w:t>
      </w:r>
      <w:r>
        <w:rPr>
          <w:rFonts w:ascii="Palatino Linotype" w:eastAsia="Palatino Linotype" w:hAnsi="Palatino Linotype" w:cs="Palatino Linotype"/>
          <w:color w:val="000000"/>
          <w:sz w:val="24"/>
          <w:szCs w:val="24"/>
        </w:rPr>
        <w:t xml:space="preserve">, se envió por correo electrónico un requerimiento de información adicional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el cual consistió en lo siguiente:</w:t>
      </w:r>
    </w:p>
    <w:p w14:paraId="02178BA7" w14:textId="77777777" w:rsidR="00BA02CF" w:rsidRDefault="00EE1C4D">
      <w:pPr>
        <w:spacing w:after="0"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415DEB12" wp14:editId="4B0FE023">
            <wp:extent cx="5763081" cy="3884862"/>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9348" t="17502" r="19721" b="9474"/>
                    <a:stretch>
                      <a:fillRect/>
                    </a:stretch>
                  </pic:blipFill>
                  <pic:spPr>
                    <a:xfrm>
                      <a:off x="0" y="0"/>
                      <a:ext cx="5763081" cy="3884862"/>
                    </a:xfrm>
                    <a:prstGeom prst="rect">
                      <a:avLst/>
                    </a:prstGeom>
                    <a:ln/>
                  </pic:spPr>
                </pic:pic>
              </a:graphicData>
            </a:graphic>
          </wp:inline>
        </w:drawing>
      </w:r>
    </w:p>
    <w:p w14:paraId="5C553D7D" w14:textId="77777777" w:rsidR="00BA02CF" w:rsidRDefault="00EE1C4D">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Del cual,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otorgó respuesta al requerimiento adicional de información de la siguiente forma: </w:t>
      </w:r>
    </w:p>
    <w:p w14:paraId="4D24CA9D" w14:textId="77777777" w:rsidR="00BA02CF" w:rsidRDefault="00BA02CF">
      <w:pPr>
        <w:spacing w:after="0" w:line="360" w:lineRule="auto"/>
        <w:jc w:val="both"/>
        <w:rPr>
          <w:rFonts w:ascii="Palatino Linotype" w:eastAsia="Palatino Linotype" w:hAnsi="Palatino Linotype" w:cs="Palatino Linotype"/>
          <w:color w:val="000000"/>
          <w:sz w:val="24"/>
          <w:szCs w:val="24"/>
        </w:rPr>
      </w:pPr>
    </w:p>
    <w:p w14:paraId="177DD097" w14:textId="77777777" w:rsidR="00BA02CF" w:rsidRDefault="00EE1C4D">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b/>
          <w:i/>
          <w:color w:val="000000"/>
          <w:sz w:val="24"/>
          <w:szCs w:val="24"/>
          <w:u w:val="single"/>
        </w:rPr>
        <w:t>Resp</w:t>
      </w:r>
      <w:proofErr w:type="spellEnd"/>
      <w:r>
        <w:rPr>
          <w:rFonts w:ascii="Palatino Linotype" w:eastAsia="Palatino Linotype" w:hAnsi="Palatino Linotype" w:cs="Palatino Linotype"/>
          <w:b/>
          <w:i/>
          <w:color w:val="000000"/>
          <w:sz w:val="24"/>
          <w:szCs w:val="24"/>
          <w:u w:val="single"/>
        </w:rPr>
        <w:t>-requerimiento sol 0003.pdf</w:t>
      </w:r>
      <w:r>
        <w:rPr>
          <w:rFonts w:ascii="Palatino Linotype" w:eastAsia="Palatino Linotype" w:hAnsi="Palatino Linotype" w:cs="Palatino Linotype"/>
          <w:color w:val="000000"/>
          <w:sz w:val="24"/>
          <w:szCs w:val="24"/>
        </w:rPr>
        <w:t xml:space="preserve">”: Oficio de fecha dieciocho de septiembre de dos mil veintitrés del año dos mil veintitrés, signado por la </w:t>
      </w:r>
      <w:proofErr w:type="gramStart"/>
      <w:r>
        <w:rPr>
          <w:rFonts w:ascii="Palatino Linotype" w:eastAsia="Palatino Linotype" w:hAnsi="Palatino Linotype" w:cs="Palatino Linotype"/>
          <w:color w:val="000000"/>
          <w:sz w:val="24"/>
          <w:szCs w:val="24"/>
        </w:rPr>
        <w:t>Jefa</w:t>
      </w:r>
      <w:proofErr w:type="gramEnd"/>
      <w:r>
        <w:rPr>
          <w:rFonts w:ascii="Palatino Linotype" w:eastAsia="Palatino Linotype" w:hAnsi="Palatino Linotype" w:cs="Palatino Linotype"/>
          <w:color w:val="000000"/>
          <w:sz w:val="24"/>
          <w:szCs w:val="24"/>
        </w:rPr>
        <w:t xml:space="preserve"> de la Unidad de Planeación y Transparencia de la Secretaría Ejecutiva del Sistema Estatal Anticorrupción, mediante el cual describe las constancias que obran en el SAIMEX a efecto de poder dar atención a cada uno de los puntos citados en el requerimiento adicional de información. </w:t>
      </w:r>
    </w:p>
    <w:p w14:paraId="50B7E561" w14:textId="77777777" w:rsidR="00BA02CF" w:rsidRDefault="00BA02CF">
      <w:pPr>
        <w:spacing w:after="0" w:line="360" w:lineRule="auto"/>
        <w:jc w:val="both"/>
        <w:rPr>
          <w:rFonts w:ascii="Palatino Linotype" w:eastAsia="Palatino Linotype" w:hAnsi="Palatino Linotype" w:cs="Palatino Linotype"/>
          <w:color w:val="000000"/>
          <w:sz w:val="24"/>
          <w:szCs w:val="24"/>
        </w:rPr>
      </w:pPr>
    </w:p>
    <w:p w14:paraId="39E7A0BE" w14:textId="77777777" w:rsidR="00BA02CF" w:rsidRDefault="00EE1C4D">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En este sentido, en fecha </w:t>
      </w:r>
      <w:r>
        <w:rPr>
          <w:rFonts w:ascii="Palatino Linotype" w:eastAsia="Palatino Linotype" w:hAnsi="Palatino Linotype" w:cs="Palatino Linotype"/>
          <w:b/>
          <w:color w:val="000000"/>
          <w:sz w:val="24"/>
          <w:szCs w:val="24"/>
        </w:rPr>
        <w:t>trece de septiembre de dos mil veintitrés</w:t>
      </w:r>
      <w:r>
        <w:rPr>
          <w:rFonts w:ascii="Palatino Linotype" w:eastAsia="Palatino Linotype" w:hAnsi="Palatino Linotype" w:cs="Palatino Linotype"/>
          <w:color w:val="000000"/>
          <w:sz w:val="24"/>
          <w:szCs w:val="24"/>
        </w:rPr>
        <w:t>, se envía correo electrónico a la Dirección General de Informática de este Instituto, a fin de corroborar si en la Bitácora de Incidencias, se tenía alguna relacionada con el Recurso de Revisión que nos ocupa, en el cual fue respondido en la misma fecha, de la siguiente forma:</w:t>
      </w:r>
    </w:p>
    <w:p w14:paraId="060E5F16" w14:textId="77777777" w:rsidR="00BA02CF" w:rsidRDefault="00EE1C4D">
      <w:pPr>
        <w:spacing w:after="0" w:line="360" w:lineRule="auto"/>
        <w:jc w:val="both"/>
        <w:rPr>
          <w:rFonts w:ascii="Times New Roman" w:eastAsia="Times New Roman" w:hAnsi="Times New Roman" w:cs="Times New Roman"/>
          <w:sz w:val="24"/>
          <w:szCs w:val="24"/>
        </w:rPr>
      </w:pPr>
      <w:r>
        <w:rPr>
          <w:noProof/>
        </w:rPr>
        <w:drawing>
          <wp:inline distT="0" distB="0" distL="0" distR="0" wp14:anchorId="3B168D4F" wp14:editId="6B37ED6F">
            <wp:extent cx="5686878" cy="1940229"/>
            <wp:effectExtent l="0" t="0" r="0" b="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41751" t="38323" r="29396" b="44175"/>
                    <a:stretch>
                      <a:fillRect/>
                    </a:stretch>
                  </pic:blipFill>
                  <pic:spPr>
                    <a:xfrm>
                      <a:off x="0" y="0"/>
                      <a:ext cx="5686878" cy="1940229"/>
                    </a:xfrm>
                    <a:prstGeom prst="rect">
                      <a:avLst/>
                    </a:prstGeom>
                    <a:ln/>
                  </pic:spPr>
                </pic:pic>
              </a:graphicData>
            </a:graphic>
          </wp:inline>
        </w:drawing>
      </w:r>
    </w:p>
    <w:p w14:paraId="70627C19" w14:textId="77777777" w:rsidR="00BA02CF" w:rsidRDefault="00BA02CF">
      <w:pPr>
        <w:spacing w:after="0" w:line="360" w:lineRule="auto"/>
        <w:jc w:val="both"/>
        <w:rPr>
          <w:rFonts w:ascii="Times New Roman" w:eastAsia="Times New Roman" w:hAnsi="Times New Roman" w:cs="Times New Roman"/>
          <w:sz w:val="24"/>
          <w:szCs w:val="24"/>
        </w:rPr>
      </w:pPr>
    </w:p>
    <w:p w14:paraId="0D3FB243"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Se adjuntó el </w:t>
      </w:r>
      <w:proofErr w:type="gramStart"/>
      <w:r>
        <w:rPr>
          <w:rFonts w:ascii="Palatino Linotype" w:eastAsia="Palatino Linotype" w:hAnsi="Palatino Linotype" w:cs="Palatino Linotype"/>
          <w:sz w:val="24"/>
          <w:szCs w:val="24"/>
        </w:rPr>
        <w:t>archivo  electrónico</w:t>
      </w:r>
      <w:proofErr w:type="gramEnd"/>
      <w:r>
        <w:rPr>
          <w:rFonts w:ascii="Palatino Linotype" w:eastAsia="Palatino Linotype" w:hAnsi="Palatino Linotype" w:cs="Palatino Linotype"/>
          <w:sz w:val="24"/>
          <w:szCs w:val="24"/>
        </w:rPr>
        <w:t>: “</w:t>
      </w:r>
      <w:r>
        <w:rPr>
          <w:rFonts w:ascii="Palatino Linotype" w:eastAsia="Palatino Linotype" w:hAnsi="Palatino Linotype" w:cs="Palatino Linotype"/>
          <w:b/>
          <w:i/>
          <w:sz w:val="24"/>
          <w:szCs w:val="24"/>
          <w:u w:val="single"/>
        </w:rPr>
        <w:t>2023ROf129_Camb…ModalidadSESEA.pdf</w:t>
      </w:r>
      <w:r>
        <w:rPr>
          <w:rFonts w:ascii="Palatino Linotype" w:eastAsia="Palatino Linotype" w:hAnsi="Palatino Linotype" w:cs="Palatino Linotype"/>
          <w:sz w:val="24"/>
          <w:szCs w:val="24"/>
        </w:rPr>
        <w:t xml:space="preserve">”:  Oficio de fecha trece de febrero de dos mil veintitrés, signado por el Director General de Informática, mediante el cual menciona que fue registrada la incidencia técnica en la bitácora de incidencias. </w:t>
      </w:r>
    </w:p>
    <w:p w14:paraId="5FA66C76" w14:textId="77777777" w:rsidR="00B233CC" w:rsidRDefault="00B233CC">
      <w:pPr>
        <w:spacing w:after="0" w:line="360" w:lineRule="auto"/>
        <w:jc w:val="both"/>
        <w:rPr>
          <w:rFonts w:ascii="Palatino Linotype" w:eastAsia="Palatino Linotype" w:hAnsi="Palatino Linotype" w:cs="Palatino Linotype"/>
          <w:sz w:val="24"/>
          <w:szCs w:val="24"/>
        </w:rPr>
      </w:pPr>
    </w:p>
    <w:p w14:paraId="0E9BC695"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9. AMPLIACIÓN DEL TÉRMINO PARA RESOLVER. El veintiuno de septiembre </w:t>
      </w:r>
      <w:r>
        <w:rPr>
          <w:rFonts w:ascii="Palatino Linotype" w:eastAsia="Palatino Linotype" w:hAnsi="Palatino Linotype" w:cs="Palatino Linotype"/>
          <w:b/>
          <w:color w:val="000000"/>
          <w:sz w:val="24"/>
          <w:szCs w:val="24"/>
        </w:rPr>
        <w:t>dos mil veintitrés</w:t>
      </w:r>
      <w:r>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091E0232" w14:textId="77777777" w:rsidR="00BA02CF" w:rsidRDefault="00BA02CF">
      <w:pPr>
        <w:spacing w:after="0" w:line="360" w:lineRule="auto"/>
        <w:jc w:val="both"/>
      </w:pPr>
    </w:p>
    <w:p w14:paraId="5F46F741"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40885034" w14:textId="77777777" w:rsidR="00BA02CF" w:rsidRDefault="00BA02CF">
      <w:pPr>
        <w:spacing w:line="360" w:lineRule="auto"/>
        <w:jc w:val="both"/>
      </w:pPr>
    </w:p>
    <w:p w14:paraId="4879C1B1"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w:t>
      </w:r>
      <w:proofErr w:type="gramStart"/>
      <w:r>
        <w:rPr>
          <w:rFonts w:ascii="Palatino Linotype" w:eastAsia="Palatino Linotype" w:hAnsi="Palatino Linotype" w:cs="Palatino Linotype"/>
          <w:sz w:val="24"/>
          <w:szCs w:val="24"/>
        </w:rPr>
        <w:t>que</w:t>
      </w:r>
      <w:proofErr w:type="gramEnd"/>
      <w:r>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208853C" w14:textId="77777777" w:rsidR="00BA02CF" w:rsidRDefault="00BA02CF">
      <w:pPr>
        <w:spacing w:after="0" w:line="360" w:lineRule="auto"/>
        <w:jc w:val="both"/>
        <w:rPr>
          <w:rFonts w:ascii="Palatino Linotype" w:eastAsia="Palatino Linotype" w:hAnsi="Palatino Linotype" w:cs="Palatino Linotype"/>
          <w:sz w:val="24"/>
          <w:szCs w:val="24"/>
        </w:rPr>
      </w:pPr>
    </w:p>
    <w:p w14:paraId="1BEC11C9"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A730E55" w14:textId="77777777" w:rsidR="00BA02CF" w:rsidRDefault="00BA02CF">
      <w:pPr>
        <w:spacing w:after="0" w:line="360" w:lineRule="auto"/>
        <w:jc w:val="both"/>
        <w:rPr>
          <w:rFonts w:ascii="Palatino Linotype" w:eastAsia="Palatino Linotype" w:hAnsi="Palatino Linotype" w:cs="Palatino Linotype"/>
          <w:sz w:val="24"/>
          <w:szCs w:val="24"/>
        </w:rPr>
      </w:pPr>
    </w:p>
    <w:p w14:paraId="3AF9BA35"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w:t>
      </w:r>
      <w:r>
        <w:rPr>
          <w:rFonts w:ascii="Palatino Linotype" w:eastAsia="Palatino Linotype" w:hAnsi="Palatino Linotype" w:cs="Palatino Linotype"/>
          <w:sz w:val="24"/>
          <w:szCs w:val="24"/>
        </w:rPr>
        <w:lastRenderedPageBreak/>
        <w:t xml:space="preserve">órganos jurisdiccionales o cuasi jurisdiccionales, tanto por la complejidad de los hechos, como por el número de casos que conocen. </w:t>
      </w:r>
    </w:p>
    <w:p w14:paraId="1969493D" w14:textId="77777777" w:rsidR="00BA02CF" w:rsidRDefault="00BA02CF">
      <w:pPr>
        <w:spacing w:after="0" w:line="360" w:lineRule="auto"/>
        <w:jc w:val="both"/>
        <w:rPr>
          <w:rFonts w:ascii="Palatino Linotype" w:eastAsia="Palatino Linotype" w:hAnsi="Palatino Linotype" w:cs="Palatino Linotype"/>
          <w:sz w:val="24"/>
          <w:szCs w:val="24"/>
        </w:rPr>
      </w:pPr>
    </w:p>
    <w:p w14:paraId="772B75A9"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94DBFB1" w14:textId="77777777" w:rsidR="00BA02CF" w:rsidRDefault="00EE1C4D">
      <w:pPr>
        <w:numPr>
          <w:ilvl w:val="0"/>
          <w:numId w:val="5"/>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16BFC757" w14:textId="77777777" w:rsidR="00BA02CF" w:rsidRDefault="00EE1C4D">
      <w:pPr>
        <w:numPr>
          <w:ilvl w:val="0"/>
          <w:numId w:val="5"/>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564F0682" w14:textId="77777777" w:rsidR="00BA02CF" w:rsidRDefault="00BA02CF">
      <w:pPr>
        <w:spacing w:after="0" w:line="360" w:lineRule="auto"/>
        <w:jc w:val="both"/>
        <w:rPr>
          <w:rFonts w:ascii="Palatino Linotype" w:eastAsia="Palatino Linotype" w:hAnsi="Palatino Linotype" w:cs="Palatino Linotype"/>
          <w:sz w:val="24"/>
          <w:szCs w:val="24"/>
        </w:rPr>
      </w:pPr>
    </w:p>
    <w:p w14:paraId="30B98205" w14:textId="77777777" w:rsidR="00BA02CF" w:rsidRDefault="00EE1C4D">
      <w:pPr>
        <w:numPr>
          <w:ilvl w:val="0"/>
          <w:numId w:val="5"/>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57BDB6A8" w14:textId="77777777" w:rsidR="00BA02CF" w:rsidRDefault="00BA02CF">
      <w:pPr>
        <w:spacing w:after="0" w:line="360" w:lineRule="auto"/>
        <w:ind w:left="708"/>
        <w:rPr>
          <w:rFonts w:ascii="Palatino Linotype" w:eastAsia="Palatino Linotype" w:hAnsi="Palatino Linotype" w:cs="Palatino Linotype"/>
          <w:sz w:val="24"/>
          <w:szCs w:val="24"/>
        </w:rPr>
      </w:pPr>
    </w:p>
    <w:p w14:paraId="241537C1" w14:textId="77777777" w:rsidR="00BA02CF" w:rsidRDefault="00EE1C4D">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5D08B018" w14:textId="77777777" w:rsidR="00BA02CF" w:rsidRDefault="00BA02CF">
      <w:pPr>
        <w:spacing w:after="0" w:line="360" w:lineRule="auto"/>
        <w:jc w:val="both"/>
        <w:rPr>
          <w:rFonts w:ascii="Palatino Linotype" w:eastAsia="Palatino Linotype" w:hAnsi="Palatino Linotype" w:cs="Palatino Linotype"/>
          <w:sz w:val="24"/>
          <w:szCs w:val="24"/>
        </w:rPr>
      </w:pPr>
    </w:p>
    <w:p w14:paraId="31585F69"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6511F0E" w14:textId="77777777" w:rsidR="00BA02CF" w:rsidRDefault="00BA02CF">
      <w:pPr>
        <w:spacing w:after="0" w:line="360" w:lineRule="auto"/>
        <w:jc w:val="both"/>
        <w:rPr>
          <w:rFonts w:ascii="Palatino Linotype" w:eastAsia="Palatino Linotype" w:hAnsi="Palatino Linotype" w:cs="Palatino Linotype"/>
          <w:sz w:val="24"/>
          <w:szCs w:val="24"/>
        </w:rPr>
      </w:pPr>
    </w:p>
    <w:p w14:paraId="112122BF"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3F3EB7E1" w14:textId="77777777" w:rsidR="00BA02CF" w:rsidRDefault="00BA02CF">
      <w:pPr>
        <w:spacing w:after="0" w:line="360" w:lineRule="auto"/>
        <w:jc w:val="both"/>
        <w:rPr>
          <w:rFonts w:ascii="Palatino Linotype" w:eastAsia="Palatino Linotype" w:hAnsi="Palatino Linotype" w:cs="Palatino Linotype"/>
          <w:sz w:val="24"/>
          <w:szCs w:val="24"/>
        </w:rPr>
      </w:pPr>
    </w:p>
    <w:p w14:paraId="6420F8F2"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FB3D52" w14:textId="77777777" w:rsidR="00BA02CF" w:rsidRDefault="00BA02CF">
      <w:pPr>
        <w:spacing w:after="0" w:line="360" w:lineRule="auto"/>
        <w:jc w:val="both"/>
        <w:rPr>
          <w:rFonts w:ascii="Palatino Linotype" w:eastAsia="Palatino Linotype" w:hAnsi="Palatino Linotype" w:cs="Palatino Linotype"/>
          <w:sz w:val="24"/>
          <w:szCs w:val="24"/>
        </w:rPr>
      </w:pPr>
    </w:p>
    <w:p w14:paraId="446C51B9"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A88055F" w14:textId="77777777" w:rsidR="00BA02CF" w:rsidRDefault="00BA02CF">
      <w:pPr>
        <w:spacing w:after="0" w:line="360" w:lineRule="auto"/>
        <w:jc w:val="both"/>
        <w:rPr>
          <w:rFonts w:ascii="Palatino Linotype" w:eastAsia="Palatino Linotype" w:hAnsi="Palatino Linotype" w:cs="Palatino Linotype"/>
          <w:sz w:val="24"/>
          <w:szCs w:val="24"/>
        </w:rPr>
      </w:pPr>
    </w:p>
    <w:p w14:paraId="1F42B4DA"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5D20D088" w14:textId="77777777" w:rsidR="00BA02CF" w:rsidRDefault="00BA02CF">
      <w:pPr>
        <w:spacing w:after="0" w:line="360" w:lineRule="auto"/>
        <w:jc w:val="both"/>
        <w:rPr>
          <w:rFonts w:ascii="Palatino Linotype" w:eastAsia="Palatino Linotype" w:hAnsi="Palatino Linotype" w:cs="Palatino Linotype"/>
          <w:sz w:val="24"/>
          <w:szCs w:val="24"/>
        </w:rPr>
      </w:pPr>
    </w:p>
    <w:p w14:paraId="4EECDA3B"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6F7CE7B1" w14:textId="77777777" w:rsidR="00BA02CF" w:rsidRDefault="00BA02CF">
      <w:pPr>
        <w:spacing w:after="0" w:line="360" w:lineRule="auto"/>
        <w:jc w:val="both"/>
        <w:rPr>
          <w:rFonts w:ascii="Palatino Linotype" w:eastAsia="Palatino Linotype" w:hAnsi="Palatino Linotype" w:cs="Palatino Linotype"/>
          <w:sz w:val="24"/>
          <w:szCs w:val="24"/>
        </w:rPr>
      </w:pPr>
    </w:p>
    <w:p w14:paraId="25D15E79"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C221475" w14:textId="77777777" w:rsidR="00BA02CF" w:rsidRDefault="00BA02CF">
      <w:pPr>
        <w:spacing w:after="0" w:line="360" w:lineRule="auto"/>
        <w:jc w:val="both"/>
        <w:rPr>
          <w:rFonts w:ascii="Palatino Linotype" w:eastAsia="Palatino Linotype" w:hAnsi="Palatino Linotype" w:cs="Palatino Linotype"/>
          <w:sz w:val="24"/>
          <w:szCs w:val="24"/>
        </w:rPr>
      </w:pPr>
    </w:p>
    <w:p w14:paraId="7277B7CC" w14:textId="77777777" w:rsidR="00BA02CF" w:rsidRDefault="00EE1C4D">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10. DEL CIERRE DE INSTRUCCIÓN. El veintiuno de septiembre </w:t>
      </w:r>
      <w:r>
        <w:rPr>
          <w:rFonts w:ascii="Palatino Linotype" w:eastAsia="Palatino Linotype" w:hAnsi="Palatino Linotype" w:cs="Palatino Linotype"/>
          <w:b/>
          <w:color w:val="000000"/>
          <w:sz w:val="24"/>
          <w:szCs w:val="24"/>
        </w:rPr>
        <w:t>dos mil veintitrés</w:t>
      </w:r>
      <w:r>
        <w:rPr>
          <w:rFonts w:ascii="Palatino Linotype" w:eastAsia="Palatino Linotype" w:hAnsi="Palatino Linotype" w:cs="Palatino Linotype"/>
          <w:color w:val="000000"/>
          <w:sz w:val="24"/>
          <w:szCs w:val="24"/>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75D31181" w14:textId="77777777" w:rsidR="00BA02CF" w:rsidRDefault="00BA02CF">
      <w:pPr>
        <w:spacing w:after="0" w:line="360" w:lineRule="auto"/>
        <w:jc w:val="both"/>
        <w:rPr>
          <w:rFonts w:ascii="Palatino Linotype" w:eastAsia="Palatino Linotype" w:hAnsi="Palatino Linotype" w:cs="Palatino Linotype"/>
          <w:sz w:val="24"/>
          <w:szCs w:val="24"/>
        </w:rPr>
      </w:pPr>
    </w:p>
    <w:p w14:paraId="3D538091"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47781A82" w14:textId="77777777" w:rsidR="00BA02CF" w:rsidRDefault="00BA02CF">
      <w:pPr>
        <w:spacing w:line="360" w:lineRule="auto"/>
        <w:jc w:val="both"/>
      </w:pPr>
    </w:p>
    <w:p w14:paraId="659DD347" w14:textId="77777777" w:rsidR="00BA02CF" w:rsidRDefault="00EE1C4D">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72BF33C4" w14:textId="77777777" w:rsidR="00BA02CF" w:rsidRDefault="00BA02CF">
      <w:pPr>
        <w:spacing w:after="0" w:line="360" w:lineRule="auto"/>
        <w:jc w:val="both"/>
        <w:rPr>
          <w:rFonts w:ascii="Palatino Linotype" w:eastAsia="Palatino Linotype" w:hAnsi="Palatino Linotype" w:cs="Palatino Linotype"/>
          <w:b/>
          <w:sz w:val="24"/>
          <w:szCs w:val="24"/>
        </w:rPr>
      </w:pPr>
    </w:p>
    <w:p w14:paraId="2C31D267"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Pr>
          <w:rFonts w:ascii="Palatino Linotype" w:eastAsia="Palatino Linotype" w:hAnsi="Palatino Linotype" w:cs="Palatino Linotype"/>
          <w:color w:val="000000"/>
          <w:sz w:val="24"/>
          <w:szCs w:val="24"/>
        </w:rPr>
        <w:t>trigésimo segundo, trigésimo tercero y trigésimo cuarto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E6177FD" w14:textId="77777777" w:rsidR="00BA02CF" w:rsidRDefault="00BA02CF">
      <w:pPr>
        <w:spacing w:line="360" w:lineRule="auto"/>
        <w:jc w:val="both"/>
      </w:pPr>
    </w:p>
    <w:p w14:paraId="4C44CBB9" w14:textId="77777777" w:rsidR="00BA02CF" w:rsidRDefault="00EE1C4D">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w:t>
      </w:r>
      <w:r>
        <w:rPr>
          <w:rFonts w:ascii="Palatino Linotype" w:eastAsia="Palatino Linotype" w:hAnsi="Palatino Linotype" w:cs="Palatino Linotype"/>
          <w:sz w:val="24"/>
          <w:szCs w:val="24"/>
        </w:rPr>
        <w:lastRenderedPageBreak/>
        <w:t>previstos en los artículos 178 y 180 de la Ley de Transparencia y Acceso a la Información Pública del Estado de México y Municipios.</w:t>
      </w:r>
    </w:p>
    <w:p w14:paraId="0648557F" w14:textId="77777777" w:rsidR="00BA02CF" w:rsidRDefault="00BA02CF">
      <w:pPr>
        <w:spacing w:after="0" w:line="360" w:lineRule="auto"/>
        <w:jc w:val="both"/>
        <w:rPr>
          <w:rFonts w:ascii="Palatino Linotype" w:eastAsia="Palatino Linotype" w:hAnsi="Palatino Linotype" w:cs="Palatino Linotype"/>
          <w:sz w:val="24"/>
          <w:szCs w:val="24"/>
        </w:rPr>
      </w:pPr>
    </w:p>
    <w:p w14:paraId="2004A216" w14:textId="77777777" w:rsidR="00BA02CF" w:rsidRDefault="00EE1C4D">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esta fue pronunciada el día diecisiete de febrero del año dos mil veintitrés, mientras que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interpuso el recurso de revisión en fecha veinte de febrero de dos mil veintitrés, </w:t>
      </w:r>
      <w:r>
        <w:rPr>
          <w:rFonts w:ascii="Palatino Linotype" w:eastAsia="Palatino Linotype" w:hAnsi="Palatino Linotype" w:cs="Palatino Linotype"/>
          <w:color w:val="000000"/>
          <w:sz w:val="24"/>
          <w:szCs w:val="24"/>
        </w:rPr>
        <w:t>esto es al tercer día hábil de haber recibido la respuesta.</w:t>
      </w:r>
    </w:p>
    <w:p w14:paraId="6CCADB44" w14:textId="77777777" w:rsidR="00BA02CF" w:rsidRDefault="00BA02CF">
      <w:pPr>
        <w:spacing w:after="0" w:line="360" w:lineRule="auto"/>
        <w:rPr>
          <w:rFonts w:ascii="Palatino Linotype" w:eastAsia="Palatino Linotype" w:hAnsi="Palatino Linotype" w:cs="Palatino Linotype"/>
          <w:sz w:val="24"/>
          <w:szCs w:val="24"/>
        </w:rPr>
      </w:pPr>
    </w:p>
    <w:p w14:paraId="3D4A9F2A"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72C8D19E" w14:textId="77777777" w:rsidR="00BA02CF" w:rsidRDefault="00BA02CF">
      <w:pPr>
        <w:spacing w:after="0" w:line="360" w:lineRule="auto"/>
        <w:rPr>
          <w:rFonts w:ascii="Palatino Linotype" w:eastAsia="Palatino Linotype" w:hAnsi="Palatino Linotype" w:cs="Palatino Linotype"/>
          <w:sz w:val="24"/>
          <w:szCs w:val="24"/>
        </w:rPr>
      </w:pPr>
    </w:p>
    <w:p w14:paraId="1D1E7F8E"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del recurso de revisión, es de suma importancia señalar que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señaló un seudónimo con el cual desea ser identificada, como se advierte en el detalle de seguimiento del SAIMEX, no obstante lo anterior, proporcionar un seudónimo no es motivo para archivar la solicitud de acceso a la información pública como concluida, conforme a lo previsto en el artículo 155, penúltimo párrafo de la Ley de Transparencia y Acceso </w:t>
      </w:r>
      <w:r>
        <w:rPr>
          <w:rFonts w:ascii="Palatino Linotype" w:eastAsia="Palatino Linotype" w:hAnsi="Palatino Linotype" w:cs="Palatino Linotype"/>
          <w:sz w:val="24"/>
          <w:szCs w:val="24"/>
        </w:rPr>
        <w:lastRenderedPageBreak/>
        <w:t>a la Información Pública del Estado de México y Municipios que establece lo siguiente:</w:t>
      </w:r>
    </w:p>
    <w:p w14:paraId="36102674" w14:textId="77777777" w:rsidR="00BA02CF" w:rsidRDefault="00BA02CF">
      <w:pPr>
        <w:spacing w:after="0" w:line="360" w:lineRule="auto"/>
        <w:jc w:val="both"/>
        <w:rPr>
          <w:rFonts w:ascii="Palatino Linotype" w:eastAsia="Palatino Linotype" w:hAnsi="Palatino Linotype" w:cs="Palatino Linotype"/>
          <w:sz w:val="24"/>
          <w:szCs w:val="24"/>
        </w:rPr>
      </w:pPr>
    </w:p>
    <w:p w14:paraId="24A00F00" w14:textId="77777777" w:rsidR="00BA02CF" w:rsidRDefault="00EE1C4D">
      <w:pPr>
        <w:spacing w:after="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2B6C4B31" w14:textId="77777777" w:rsidR="00BA02CF" w:rsidRDefault="00BA02CF">
      <w:pPr>
        <w:spacing w:after="0" w:line="240" w:lineRule="auto"/>
        <w:ind w:left="851" w:right="902"/>
        <w:jc w:val="both"/>
        <w:rPr>
          <w:rFonts w:ascii="Palatino Linotype" w:eastAsia="Palatino Linotype" w:hAnsi="Palatino Linotype" w:cs="Palatino Linotype"/>
          <w:sz w:val="24"/>
          <w:szCs w:val="24"/>
        </w:rPr>
      </w:pPr>
    </w:p>
    <w:p w14:paraId="748D689F" w14:textId="77777777" w:rsidR="00BA02CF" w:rsidRDefault="00EE1C4D">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6FF38316" w14:textId="77777777" w:rsidR="00BA02CF" w:rsidRDefault="00BA02CF">
      <w:pPr>
        <w:spacing w:after="0" w:line="360" w:lineRule="auto"/>
        <w:jc w:val="both"/>
        <w:rPr>
          <w:rFonts w:ascii="Palatino Linotype" w:eastAsia="Palatino Linotype" w:hAnsi="Palatino Linotype" w:cs="Palatino Linotype"/>
          <w:sz w:val="24"/>
          <w:szCs w:val="24"/>
        </w:rPr>
      </w:pPr>
    </w:p>
    <w:p w14:paraId="6BF8CF69" w14:textId="77777777" w:rsidR="00BA02CF" w:rsidRDefault="00EE1C4D">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sus razones o motivos de inconformidad, de acuerdo al artículo 179, fracción VIII de la Ley de Transparencia y Acceso a la Información Pública del Estado de México y Municipios; que a la letra dice:</w:t>
      </w:r>
    </w:p>
    <w:p w14:paraId="4339E90E" w14:textId="77777777" w:rsidR="00BA02CF" w:rsidRDefault="00BA02CF">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1FAE85F2" w14:textId="77777777" w:rsidR="00BA02CF" w:rsidRDefault="00EE1C4D">
      <w:pPr>
        <w:pBdr>
          <w:top w:val="nil"/>
          <w:left w:val="nil"/>
          <w:bottom w:val="nil"/>
          <w:right w:val="nil"/>
          <w:between w:val="nil"/>
        </w:pBd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05554FD0" w14:textId="77777777" w:rsidR="00BA02CF" w:rsidRDefault="00EE1C4D">
      <w:pPr>
        <w:pBdr>
          <w:top w:val="nil"/>
          <w:left w:val="nil"/>
          <w:bottom w:val="nil"/>
          <w:right w:val="nil"/>
          <w:between w:val="nil"/>
        </w:pBd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 xml:space="preserve">VIII. La notificación, entrega o puesta a disposición de información en una modalidad o formato distinto al solicitado;” </w:t>
      </w:r>
    </w:p>
    <w:p w14:paraId="34E38933" w14:textId="77777777" w:rsidR="00BA02CF" w:rsidRDefault="00BA02CF">
      <w:pPr>
        <w:spacing w:after="0" w:line="360" w:lineRule="auto"/>
        <w:jc w:val="both"/>
        <w:rPr>
          <w:rFonts w:ascii="Palatino Linotype" w:eastAsia="Palatino Linotype" w:hAnsi="Palatino Linotype" w:cs="Palatino Linotype"/>
          <w:sz w:val="24"/>
          <w:szCs w:val="24"/>
        </w:rPr>
      </w:pPr>
    </w:p>
    <w:p w14:paraId="18132A91"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satisface el derecho de acceso a la información pública de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w:t>
      </w:r>
    </w:p>
    <w:p w14:paraId="3254C9A1" w14:textId="77777777" w:rsidR="00BA02CF" w:rsidRDefault="00BA02CF">
      <w:pPr>
        <w:spacing w:after="0" w:line="360" w:lineRule="auto"/>
        <w:rPr>
          <w:rFonts w:ascii="Palatino Linotype" w:eastAsia="Palatino Linotype" w:hAnsi="Palatino Linotype" w:cs="Palatino Linotype"/>
          <w:sz w:val="24"/>
          <w:szCs w:val="24"/>
        </w:rPr>
      </w:pPr>
    </w:p>
    <w:p w14:paraId="79C7EDDE"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5FD4953" w14:textId="77777777" w:rsidR="00BA02CF" w:rsidRDefault="00EE1C4D">
      <w:pPr>
        <w:tabs>
          <w:tab w:val="left" w:pos="2175"/>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b/>
      </w:r>
    </w:p>
    <w:p w14:paraId="60F2A960" w14:textId="77777777" w:rsidR="00BA02CF" w:rsidRDefault="00EE1C4D">
      <w:pPr>
        <w:tabs>
          <w:tab w:val="left" w:pos="709"/>
        </w:tabs>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858B8DE" w14:textId="77777777" w:rsidR="00BA02CF" w:rsidRDefault="00EE1C4D">
      <w:pPr>
        <w:tabs>
          <w:tab w:val="left" w:pos="709"/>
        </w:tabs>
        <w:spacing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Las normas relativas a los derechos humanos se interpretarán de conformidad con esta Constitución y con los tratados internacionales de </w:t>
      </w:r>
      <w:r>
        <w:rPr>
          <w:rFonts w:ascii="Palatino Linotype" w:eastAsia="Palatino Linotype" w:hAnsi="Palatino Linotype" w:cs="Palatino Linotype"/>
          <w:b/>
          <w:i/>
        </w:rPr>
        <w:lastRenderedPageBreak/>
        <w:t>la materia favoreciendo en todo tiempo a las personas la protección más amplia.</w:t>
      </w:r>
    </w:p>
    <w:p w14:paraId="5EB8F330" w14:textId="77777777" w:rsidR="00BA02CF" w:rsidRDefault="00EE1C4D">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85670C5" w14:textId="77777777" w:rsidR="00BA02CF" w:rsidRDefault="00EE1C4D">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7312AD5" w14:textId="77777777" w:rsidR="00BA02CF" w:rsidRDefault="00EE1C4D">
      <w:pPr>
        <w:spacing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2444EB32" w14:textId="77777777" w:rsidR="00BA02CF" w:rsidRDefault="00EE1C4D">
      <w:pPr>
        <w:spacing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2FFB163" w14:textId="77777777" w:rsidR="00BA02CF" w:rsidRDefault="00EE1C4D">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2644DCBD" w14:textId="77777777" w:rsidR="00BA02CF" w:rsidRDefault="00EE1C4D">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AD4F3DD" w14:textId="77777777" w:rsidR="00BA02CF" w:rsidRDefault="00EE1C4D">
      <w:pPr>
        <w:spacing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169C2E6B" w14:textId="77777777" w:rsidR="00BA02CF" w:rsidRDefault="00EE1C4D">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00AD7D24" w14:textId="77777777" w:rsidR="00BA02CF" w:rsidRDefault="00EE1C4D">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1AA67F62" w14:textId="77777777" w:rsidR="00BA02CF" w:rsidRDefault="00EE1C4D">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0719A03" w14:textId="77777777" w:rsidR="00BA02CF" w:rsidRDefault="00EE1C4D">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212E280A" w14:textId="77777777" w:rsidR="00BA02CF" w:rsidRDefault="00EE1C4D">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2C2D9A6" w14:textId="77777777" w:rsidR="00BA02CF" w:rsidRDefault="00BA02CF">
      <w:pPr>
        <w:tabs>
          <w:tab w:val="left" w:pos="709"/>
        </w:tabs>
        <w:spacing w:after="0" w:line="360" w:lineRule="auto"/>
        <w:jc w:val="both"/>
        <w:rPr>
          <w:rFonts w:ascii="Palatino Linotype" w:eastAsia="Palatino Linotype" w:hAnsi="Palatino Linotype" w:cs="Palatino Linotype"/>
          <w:sz w:val="24"/>
          <w:szCs w:val="24"/>
        </w:rPr>
      </w:pPr>
    </w:p>
    <w:p w14:paraId="082459A6" w14:textId="77777777" w:rsidR="00BA02CF" w:rsidRDefault="00EE1C4D">
      <w:pPr>
        <w:tabs>
          <w:tab w:val="left" w:pos="709"/>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758FEC74" w14:textId="77777777" w:rsidR="00BA02CF" w:rsidRDefault="00BA02CF">
      <w:pPr>
        <w:spacing w:after="0" w:line="360" w:lineRule="auto"/>
        <w:jc w:val="both"/>
        <w:rPr>
          <w:rFonts w:ascii="Palatino Linotype" w:eastAsia="Palatino Linotype" w:hAnsi="Palatino Linotype" w:cs="Palatino Linotype"/>
          <w:sz w:val="24"/>
          <w:szCs w:val="24"/>
        </w:rPr>
      </w:pPr>
    </w:p>
    <w:p w14:paraId="2D6F02FC"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primer lugar, 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6D25AFC" w14:textId="77777777" w:rsidR="00BA02CF" w:rsidRDefault="00BA02CF">
      <w:pPr>
        <w:spacing w:after="0" w:line="360" w:lineRule="auto"/>
        <w:jc w:val="both"/>
        <w:rPr>
          <w:rFonts w:ascii="Palatino Linotype" w:eastAsia="Palatino Linotype" w:hAnsi="Palatino Linotype" w:cs="Palatino Linotype"/>
          <w:sz w:val="24"/>
          <w:szCs w:val="24"/>
        </w:rPr>
      </w:pPr>
    </w:p>
    <w:p w14:paraId="1EF93C6E" w14:textId="77777777" w:rsidR="00BA02CF" w:rsidRDefault="00EE1C4D">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A901B5B" w14:textId="77777777" w:rsidR="00BA02CF" w:rsidRDefault="00EE1C4D">
      <w:pPr>
        <w:spacing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5765244" w14:textId="77777777" w:rsidR="00BA02CF" w:rsidRDefault="00EE1C4D">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rPr>
        <w:t>.”(</w:t>
      </w:r>
      <w:proofErr w:type="gramEnd"/>
      <w:r>
        <w:rPr>
          <w:rFonts w:ascii="Palatino Linotype" w:eastAsia="Palatino Linotype" w:hAnsi="Palatino Linotype" w:cs="Palatino Linotype"/>
          <w:i/>
        </w:rPr>
        <w:t>Sic)</w:t>
      </w:r>
    </w:p>
    <w:p w14:paraId="073EDD3D" w14:textId="77777777" w:rsidR="00BA02CF" w:rsidRDefault="00BA02CF">
      <w:pPr>
        <w:spacing w:after="0" w:line="360" w:lineRule="auto"/>
        <w:ind w:left="709" w:right="760"/>
        <w:jc w:val="both"/>
        <w:rPr>
          <w:rFonts w:ascii="Palatino Linotype" w:eastAsia="Palatino Linotype" w:hAnsi="Palatino Linotype" w:cs="Palatino Linotype"/>
          <w:sz w:val="24"/>
          <w:szCs w:val="24"/>
        </w:rPr>
      </w:pPr>
    </w:p>
    <w:p w14:paraId="11BA1B2B"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BB10854" w14:textId="77777777" w:rsidR="00BA02CF" w:rsidRDefault="00BA02CF">
      <w:pPr>
        <w:spacing w:after="0" w:line="360" w:lineRule="auto"/>
        <w:jc w:val="both"/>
        <w:rPr>
          <w:rFonts w:ascii="Palatino Linotype" w:eastAsia="Palatino Linotype" w:hAnsi="Palatino Linotype" w:cs="Palatino Linotype"/>
          <w:sz w:val="24"/>
          <w:szCs w:val="24"/>
        </w:rPr>
      </w:pPr>
    </w:p>
    <w:p w14:paraId="419951D6" w14:textId="77777777" w:rsidR="00BA02CF" w:rsidRDefault="00EE1C4D">
      <w:pPr>
        <w:spacing w:after="0"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1E557FC" w14:textId="77777777" w:rsidR="00BA02CF" w:rsidRDefault="00BA02CF">
      <w:pPr>
        <w:spacing w:line="276" w:lineRule="auto"/>
        <w:ind w:left="567" w:right="758"/>
        <w:jc w:val="both"/>
        <w:rPr>
          <w:rFonts w:ascii="Palatino Linotype" w:eastAsia="Palatino Linotype" w:hAnsi="Palatino Linotype" w:cs="Palatino Linotype"/>
          <w:i/>
        </w:rPr>
      </w:pPr>
    </w:p>
    <w:p w14:paraId="466D1ED6" w14:textId="77777777" w:rsidR="00BA02CF" w:rsidRDefault="00EE1C4D">
      <w:pPr>
        <w:spacing w:after="0"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6344CBBC" w14:textId="77777777" w:rsidR="00BA02CF" w:rsidRDefault="00BA02CF">
      <w:pPr>
        <w:spacing w:after="0" w:line="360" w:lineRule="auto"/>
        <w:jc w:val="both"/>
        <w:rPr>
          <w:rFonts w:ascii="Palatino Linotype" w:eastAsia="Palatino Linotype" w:hAnsi="Palatino Linotype" w:cs="Palatino Linotype"/>
          <w:sz w:val="24"/>
          <w:szCs w:val="24"/>
        </w:rPr>
      </w:pPr>
    </w:p>
    <w:p w14:paraId="6148DCE3"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Pr>
          <w:rFonts w:ascii="Palatino Linotype" w:eastAsia="Palatino Linotype" w:hAnsi="Palatino Linotype" w:cs="Palatino Linotype"/>
          <w:strike/>
          <w:sz w:val="24"/>
          <w:szCs w:val="24"/>
        </w:rPr>
        <w:t xml:space="preserve"> </w:t>
      </w:r>
    </w:p>
    <w:p w14:paraId="434ED864" w14:textId="77777777" w:rsidR="00BA02CF" w:rsidRDefault="00BA02CF">
      <w:pPr>
        <w:spacing w:after="0" w:line="360" w:lineRule="auto"/>
        <w:jc w:val="both"/>
        <w:rPr>
          <w:rFonts w:ascii="Palatino Linotype" w:eastAsia="Palatino Linotype" w:hAnsi="Palatino Linotype" w:cs="Palatino Linotype"/>
          <w:sz w:val="24"/>
          <w:szCs w:val="24"/>
        </w:rPr>
      </w:pPr>
    </w:p>
    <w:p w14:paraId="42D04BB2" w14:textId="77777777" w:rsidR="00BA02CF" w:rsidRDefault="00EE1C4D">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BF4BD8F" w14:textId="77777777" w:rsidR="00BA02CF" w:rsidRDefault="00BA02CF">
      <w:pPr>
        <w:spacing w:after="0" w:line="360" w:lineRule="auto"/>
        <w:ind w:right="49"/>
        <w:jc w:val="both"/>
        <w:rPr>
          <w:rFonts w:ascii="Palatino Linotype" w:eastAsia="Palatino Linotype" w:hAnsi="Palatino Linotype" w:cs="Palatino Linotype"/>
          <w:sz w:val="24"/>
          <w:szCs w:val="24"/>
        </w:rPr>
      </w:pPr>
    </w:p>
    <w:p w14:paraId="0719053F"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65EB03BF" w14:textId="77777777" w:rsidR="00BA02CF" w:rsidRDefault="00BA02CF">
      <w:pPr>
        <w:spacing w:after="0" w:line="360" w:lineRule="auto"/>
        <w:jc w:val="both"/>
        <w:rPr>
          <w:rFonts w:ascii="Palatino Linotype" w:eastAsia="Palatino Linotype" w:hAnsi="Palatino Linotype" w:cs="Palatino Linotype"/>
          <w:sz w:val="24"/>
          <w:szCs w:val="24"/>
        </w:rPr>
      </w:pPr>
    </w:p>
    <w:p w14:paraId="03FBA9A1" w14:textId="77777777" w:rsidR="00BA02CF" w:rsidRDefault="00EE1C4D">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68A746E6" w14:textId="77777777" w:rsidR="00BA02CF" w:rsidRDefault="00BA02CF">
      <w:pPr>
        <w:spacing w:line="276" w:lineRule="auto"/>
        <w:ind w:left="851" w:right="851"/>
        <w:jc w:val="both"/>
        <w:rPr>
          <w:rFonts w:ascii="Palatino Linotype" w:eastAsia="Palatino Linotype" w:hAnsi="Palatino Linotype" w:cs="Palatino Linotype"/>
          <w:b/>
          <w:i/>
        </w:rPr>
      </w:pPr>
    </w:p>
    <w:p w14:paraId="7457D558" w14:textId="77777777" w:rsidR="00BA02CF" w:rsidRDefault="00EE1C4D">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68A09178" w14:textId="77777777" w:rsidR="00BA02CF" w:rsidRDefault="00BA02CF">
      <w:pPr>
        <w:spacing w:line="276" w:lineRule="auto"/>
        <w:ind w:left="851" w:right="851"/>
        <w:jc w:val="both"/>
        <w:rPr>
          <w:rFonts w:ascii="Palatino Linotype" w:eastAsia="Palatino Linotype" w:hAnsi="Palatino Linotype" w:cs="Palatino Linotype"/>
          <w:i/>
        </w:rPr>
      </w:pPr>
    </w:p>
    <w:p w14:paraId="72F99636" w14:textId="77777777" w:rsidR="00BA02CF" w:rsidRDefault="00EE1C4D">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6C048BDA" w14:textId="77777777" w:rsidR="00BA02CF" w:rsidRDefault="00EE1C4D">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5761C51" w14:textId="77777777" w:rsidR="00BA02CF" w:rsidRDefault="00BA02CF">
      <w:pPr>
        <w:spacing w:after="0" w:line="276" w:lineRule="auto"/>
        <w:ind w:left="851" w:right="851"/>
        <w:jc w:val="both"/>
        <w:rPr>
          <w:rFonts w:ascii="Palatino Linotype" w:eastAsia="Palatino Linotype" w:hAnsi="Palatino Linotype" w:cs="Palatino Linotype"/>
          <w:sz w:val="24"/>
          <w:szCs w:val="24"/>
        </w:rPr>
      </w:pPr>
    </w:p>
    <w:p w14:paraId="1F28F51E"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1504164" w14:textId="77777777" w:rsidR="00BA02CF" w:rsidRDefault="00BA02CF">
      <w:pPr>
        <w:spacing w:after="0" w:line="360" w:lineRule="auto"/>
        <w:jc w:val="both"/>
        <w:rPr>
          <w:rFonts w:ascii="Palatino Linotype" w:eastAsia="Palatino Linotype" w:hAnsi="Palatino Linotype" w:cs="Palatino Linotype"/>
          <w:sz w:val="24"/>
          <w:szCs w:val="24"/>
        </w:rPr>
      </w:pPr>
    </w:p>
    <w:p w14:paraId="7EE9435C"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5CA1CCE" w14:textId="77777777" w:rsidR="00BA02CF" w:rsidRDefault="00BA02CF">
      <w:pPr>
        <w:spacing w:after="0" w:line="360" w:lineRule="auto"/>
        <w:jc w:val="both"/>
        <w:rPr>
          <w:rFonts w:ascii="Palatino Linotype" w:eastAsia="Palatino Linotype" w:hAnsi="Palatino Linotype" w:cs="Palatino Linotype"/>
          <w:sz w:val="24"/>
          <w:szCs w:val="24"/>
        </w:rPr>
      </w:pPr>
    </w:p>
    <w:p w14:paraId="45BFDDEE" w14:textId="77777777" w:rsidR="00BA02CF" w:rsidRDefault="00EE1C4D">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6CB1DE28" w14:textId="77777777" w:rsidR="00BA02CF" w:rsidRDefault="00EE1C4D">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EA4978B" w14:textId="77777777" w:rsidR="00BA02CF" w:rsidRDefault="00EE1C4D">
      <w:pPr>
        <w:spacing w:after="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B56A8CF"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696C3AD" w14:textId="77777777" w:rsidR="00BA02CF" w:rsidRDefault="00BA02CF">
      <w:pPr>
        <w:spacing w:after="0" w:line="360" w:lineRule="auto"/>
        <w:jc w:val="both"/>
        <w:rPr>
          <w:rFonts w:ascii="Palatino Linotype" w:eastAsia="Palatino Linotype" w:hAnsi="Palatino Linotype" w:cs="Palatino Linotype"/>
          <w:sz w:val="24"/>
          <w:szCs w:val="24"/>
        </w:rPr>
      </w:pPr>
    </w:p>
    <w:p w14:paraId="30DD7959" w14:textId="77777777" w:rsidR="00BA02CF" w:rsidRDefault="00EE1C4D">
      <w:pPr>
        <w:spacing w:after="0" w:line="276" w:lineRule="auto"/>
        <w:ind w:left="851" w:right="899"/>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3B851955" w14:textId="77777777" w:rsidR="00BA02CF" w:rsidRDefault="00EE1C4D">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29AF16" w14:textId="77777777" w:rsidR="00BA02CF" w:rsidRDefault="00EE1C4D">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662EDDB2" w14:textId="77777777" w:rsidR="00BA02CF" w:rsidRDefault="00EE1C4D">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1)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generada por los Sujetos Obligados;</w:t>
      </w:r>
    </w:p>
    <w:p w14:paraId="2EFBD580" w14:textId="77777777" w:rsidR="00BA02CF" w:rsidRDefault="00EE1C4D">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2)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0E3A4F31" w14:textId="77777777" w:rsidR="00BA02CF" w:rsidRDefault="00EE1C4D">
      <w:pPr>
        <w:spacing w:after="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 </w:t>
      </w:r>
    </w:p>
    <w:p w14:paraId="6DFCCD69" w14:textId="77777777" w:rsidR="00BA02CF" w:rsidRDefault="00BA02CF">
      <w:pPr>
        <w:spacing w:after="0" w:line="276" w:lineRule="auto"/>
        <w:ind w:left="851" w:right="899"/>
        <w:jc w:val="both"/>
        <w:rPr>
          <w:rFonts w:ascii="Palatino Linotype" w:eastAsia="Palatino Linotype" w:hAnsi="Palatino Linotype" w:cs="Palatino Linotype"/>
          <w:sz w:val="24"/>
          <w:szCs w:val="24"/>
        </w:rPr>
      </w:pPr>
    </w:p>
    <w:p w14:paraId="16612158"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xml:space="preserve">, como pudiera tratarse de </w:t>
      </w:r>
      <w:r>
        <w:rPr>
          <w:rFonts w:ascii="Palatino Linotype" w:eastAsia="Palatino Linotype" w:hAnsi="Palatino Linotype" w:cs="Palatino Linotype"/>
          <w:sz w:val="24"/>
          <w:szCs w:val="24"/>
        </w:rPr>
        <w:lastRenderedPageBreak/>
        <w:t>aquella relacionada con las obligaciones de transparencia señaladas en los artículos 92 y 100 de la Ley de la Materia.</w:t>
      </w:r>
    </w:p>
    <w:p w14:paraId="2748EB89" w14:textId="77777777" w:rsidR="00BA02CF" w:rsidRDefault="00BA02CF">
      <w:pPr>
        <w:spacing w:after="0" w:line="360" w:lineRule="auto"/>
        <w:jc w:val="both"/>
        <w:rPr>
          <w:rFonts w:ascii="Palatino Linotype" w:eastAsia="Palatino Linotype" w:hAnsi="Palatino Linotype" w:cs="Palatino Linotype"/>
          <w:color w:val="000000"/>
          <w:sz w:val="24"/>
          <w:szCs w:val="24"/>
        </w:rPr>
      </w:pPr>
    </w:p>
    <w:p w14:paraId="3380B3F2" w14:textId="77777777" w:rsidR="00BA02CF" w:rsidRDefault="00EE1C4D">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En este sentido, cabe reiterar que la</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 xml:space="preserve">particular solicitó al </w:t>
      </w:r>
      <w:r>
        <w:rPr>
          <w:rFonts w:ascii="Palatino Linotype" w:eastAsia="Palatino Linotype" w:hAnsi="Palatino Linotype" w:cs="Palatino Linotype"/>
          <w:b/>
          <w:color w:val="000000"/>
          <w:sz w:val="24"/>
          <w:szCs w:val="24"/>
        </w:rPr>
        <w:t xml:space="preserve">SUJETO OBLIGADO: </w:t>
      </w:r>
    </w:p>
    <w:p w14:paraId="6B842833" w14:textId="77777777" w:rsidR="00BA02CF" w:rsidRDefault="00BA02CF">
      <w:pPr>
        <w:spacing w:after="0" w:line="360" w:lineRule="auto"/>
        <w:jc w:val="both"/>
        <w:rPr>
          <w:rFonts w:ascii="Palatino Linotype" w:eastAsia="Palatino Linotype" w:hAnsi="Palatino Linotype" w:cs="Palatino Linotype"/>
          <w:b/>
          <w:color w:val="000000"/>
          <w:sz w:val="24"/>
          <w:szCs w:val="24"/>
        </w:rPr>
      </w:pPr>
    </w:p>
    <w:p w14:paraId="48070BD6" w14:textId="77777777" w:rsidR="00BA02CF" w:rsidRDefault="00EE1C4D">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Oficios recibidos y enviados de 2018 a la fecha de la Secretaría Técnica, Secretaría Particular, Dirección de Políticas, Coordinación de Administración y plataforma digital estatal.</w:t>
      </w:r>
    </w:p>
    <w:p w14:paraId="515DEC61" w14:textId="77777777" w:rsidR="00BA02CF" w:rsidRDefault="00BA02CF">
      <w:pPr>
        <w:spacing w:after="0" w:line="360" w:lineRule="auto"/>
        <w:jc w:val="both"/>
        <w:rPr>
          <w:rFonts w:ascii="Palatino Linotype" w:eastAsia="Palatino Linotype" w:hAnsi="Palatino Linotype" w:cs="Palatino Linotype"/>
          <w:color w:val="000000"/>
          <w:sz w:val="24"/>
          <w:szCs w:val="24"/>
        </w:rPr>
      </w:pPr>
    </w:p>
    <w:p w14:paraId="1B4224B3"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En respuesta,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 xml:space="preserve">por conducto de la </w:t>
      </w:r>
      <w:r>
        <w:rPr>
          <w:rFonts w:ascii="Palatino Linotype" w:eastAsia="Palatino Linotype" w:hAnsi="Palatino Linotype" w:cs="Palatino Linotype"/>
          <w:sz w:val="24"/>
          <w:szCs w:val="24"/>
        </w:rPr>
        <w:t xml:space="preserve">Encargada de Despacho de la Unidad de Planeación y Transparencia, la cual solicitó el cambio de modalidad de entrega, para dar atención a la solicitud número 00003/SESEA/IP/2023, toda vez de que la respuesta generada, consiste en varios archivos en formato </w:t>
      </w:r>
      <w:proofErr w:type="spellStart"/>
      <w:r>
        <w:rPr>
          <w:rFonts w:ascii="Palatino Linotype" w:eastAsia="Palatino Linotype" w:hAnsi="Palatino Linotype" w:cs="Palatino Linotype"/>
          <w:sz w:val="24"/>
          <w:szCs w:val="24"/>
        </w:rPr>
        <w:t>pdf</w:t>
      </w:r>
      <w:proofErr w:type="spellEnd"/>
      <w:r>
        <w:rPr>
          <w:rFonts w:ascii="Palatino Linotype" w:eastAsia="Palatino Linotype" w:hAnsi="Palatino Linotype" w:cs="Palatino Linotype"/>
          <w:sz w:val="24"/>
          <w:szCs w:val="24"/>
        </w:rPr>
        <w:t>, sobrepasa la capacidad de 500 megas bytes, que permite el sistema SAIMEX, lo anterior a efecto de poder garantizar el acceso a la información al solicitante, señalando que mediante correo electrónico de fecha trece de febrero del presente año, se remite el oficio número INFOEM/DGI/129/2023, suscrito por el Lic. Nelson Correa Peralta, se notificó que dicha incidencia técnica había quedado registrada en la bitácora de incidencias, toda vez que trata de subir un total de 17,389 fojas, lo cual sobrepasa las capacidades técnicas del sistema SAIMEX.</w:t>
      </w:r>
    </w:p>
    <w:p w14:paraId="5386AA3D" w14:textId="77777777" w:rsidR="00BA02CF" w:rsidRDefault="00BA02CF">
      <w:pPr>
        <w:spacing w:after="0" w:line="360" w:lineRule="auto"/>
        <w:jc w:val="both"/>
        <w:rPr>
          <w:rFonts w:ascii="Palatino Linotype" w:eastAsia="Palatino Linotype" w:hAnsi="Palatino Linotype" w:cs="Palatino Linotype"/>
          <w:sz w:val="24"/>
          <w:szCs w:val="24"/>
        </w:rPr>
      </w:pPr>
    </w:p>
    <w:p w14:paraId="703DBD60"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Posterior a ello se adjuntó la Tercera Sesión Extraordinaria del Comité de Transparencia, en donde se informó a los integrantes del mismo; la aprobación el </w:t>
      </w:r>
      <w:r>
        <w:rPr>
          <w:rFonts w:ascii="Palatino Linotype" w:eastAsia="Palatino Linotype" w:hAnsi="Palatino Linotype" w:cs="Palatino Linotype"/>
          <w:sz w:val="24"/>
          <w:szCs w:val="24"/>
        </w:rPr>
        <w:lastRenderedPageBreak/>
        <w:t xml:space="preserve">cambio de modalidad, además refiere el cronograma de consulta de la información que da atención a la solicitud. </w:t>
      </w:r>
    </w:p>
    <w:p w14:paraId="0B96F634" w14:textId="77777777" w:rsidR="00BA02CF" w:rsidRDefault="00BA02CF">
      <w:pPr>
        <w:spacing w:after="0" w:line="360" w:lineRule="auto"/>
        <w:jc w:val="both"/>
        <w:rPr>
          <w:rFonts w:ascii="Palatino Linotype" w:eastAsia="Palatino Linotype" w:hAnsi="Palatino Linotype" w:cs="Palatino Linotype"/>
          <w:sz w:val="24"/>
          <w:szCs w:val="24"/>
        </w:rPr>
      </w:pPr>
    </w:p>
    <w:p w14:paraId="396FD2C7"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la información podrá consultarse o bien entregarse en cualquiera de las tres modalidades que refiere la Ley en mención: copias simples o certificadas, entrega digital o consulta directa.</w:t>
      </w:r>
    </w:p>
    <w:p w14:paraId="11F5E461" w14:textId="77777777" w:rsidR="00BA02CF" w:rsidRDefault="00BA02CF">
      <w:pPr>
        <w:spacing w:after="0" w:line="360" w:lineRule="auto"/>
        <w:jc w:val="both"/>
        <w:rPr>
          <w:rFonts w:ascii="Palatino Linotype" w:eastAsia="Palatino Linotype" w:hAnsi="Palatino Linotype" w:cs="Palatino Linotype"/>
          <w:sz w:val="24"/>
          <w:szCs w:val="24"/>
        </w:rPr>
      </w:pPr>
    </w:p>
    <w:p w14:paraId="214706AD"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Hacen del conocimiento puede acceder a la información pública que corresponde a este sujeto obligado a través de la Plataforma de Información Público de Oficio Mexiquense (https://www.ipomex.org.mx/portal.htm) y en la Plataforma Nacional de Transparencia (https://www.plataformadetransparencia.org.mx/web/guest/inicio), seleccionando el icono del Poder Ejecutivo en donde podrá encontrar a la Secretaría Ejecutiva del Sistema Estatal Anticorrupción y consultar el listado de información disponible de obligaciones de transparencia en términos de los artículos 92, 93, 94 y 103 d la ley de Transparencia y Acceso a la Información Pública del Estado de México y Municipios.</w:t>
      </w:r>
    </w:p>
    <w:p w14:paraId="3CD7DF7C" w14:textId="77777777" w:rsidR="00BA02CF" w:rsidRDefault="00BA02CF">
      <w:pPr>
        <w:spacing w:after="0" w:line="360" w:lineRule="auto"/>
        <w:jc w:val="both"/>
        <w:rPr>
          <w:rFonts w:ascii="Palatino Linotype" w:eastAsia="Palatino Linotype" w:hAnsi="Palatino Linotype" w:cs="Palatino Linotype"/>
          <w:sz w:val="24"/>
          <w:szCs w:val="24"/>
        </w:rPr>
      </w:pPr>
    </w:p>
    <w:p w14:paraId="40A55A35"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mismo, se le invita a visitar la página www.sesaemm.gob.mx, en la cual podrá, conocer más información sobre las actividades que realiza la Secretaría Ejecutiva del Sistema Estatal Anticorrupción, así como consultar el Sistema de Gestión Antisoborno y descargar la Política Antisoborno. </w:t>
      </w:r>
    </w:p>
    <w:p w14:paraId="22828C01" w14:textId="77777777" w:rsidR="00BA02CF" w:rsidRDefault="00BA02CF">
      <w:pPr>
        <w:spacing w:after="0" w:line="360" w:lineRule="auto"/>
        <w:rPr>
          <w:rFonts w:ascii="Palatino Linotype" w:eastAsia="Palatino Linotype" w:hAnsi="Palatino Linotype" w:cs="Palatino Linotype"/>
          <w:sz w:val="24"/>
          <w:szCs w:val="24"/>
        </w:rPr>
      </w:pPr>
    </w:p>
    <w:p w14:paraId="0541D9A9"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Conocida la respuesta por el particular, al no estar conforme con los términos de la misma, presentó el recurso de revisión que nos ocupa, mediante el cual señaló como motivo de inconformidad en lo medular que avisan que es muy pesada y cambian la modalidad de entrega, no están entregando la información y ponen como excusa que pesa demasiado y no consta que se hayan generado más de 17 mil fojas de oficios, que es lo que se está requiriendo, no los adjuntos ni nada más que los oficio. </w:t>
      </w:r>
    </w:p>
    <w:p w14:paraId="4A47CCF6" w14:textId="77777777" w:rsidR="00BA02CF" w:rsidRDefault="00BA02CF">
      <w:pPr>
        <w:spacing w:after="0" w:line="360" w:lineRule="auto"/>
        <w:jc w:val="both"/>
        <w:rPr>
          <w:rFonts w:ascii="Palatino Linotype" w:eastAsia="Palatino Linotype" w:hAnsi="Palatino Linotype" w:cs="Palatino Linotype"/>
          <w:sz w:val="24"/>
          <w:szCs w:val="24"/>
        </w:rPr>
      </w:pPr>
    </w:p>
    <w:p w14:paraId="3F8EC56B" w14:textId="77777777" w:rsidR="00BA02CF" w:rsidRDefault="00EE1C4D">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Cabe resaltar que durante la etapa de manifestaciones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omito</w:t>
      </w:r>
      <w:r>
        <w:rPr>
          <w:rFonts w:ascii="Palatino Linotype" w:eastAsia="Palatino Linotype" w:hAnsi="Palatino Linotype" w:cs="Palatino Linotype"/>
          <w:color w:val="000000"/>
          <w:sz w:val="24"/>
          <w:szCs w:val="24"/>
        </w:rPr>
        <w:t xml:space="preserve"> rendir alegatos, por lo que respecta al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 xml:space="preserve">ratificó en términos generales su respuesta inicial, además de hacer entrega un oficio signado por el </w:t>
      </w:r>
      <w:proofErr w:type="gramStart"/>
      <w:r>
        <w:rPr>
          <w:rFonts w:ascii="Palatino Linotype" w:eastAsia="Palatino Linotype" w:hAnsi="Palatino Linotype" w:cs="Palatino Linotype"/>
          <w:color w:val="000000"/>
          <w:sz w:val="24"/>
          <w:szCs w:val="24"/>
        </w:rPr>
        <w:t>Director General</w:t>
      </w:r>
      <w:proofErr w:type="gramEnd"/>
      <w:r>
        <w:rPr>
          <w:rFonts w:ascii="Palatino Linotype" w:eastAsia="Palatino Linotype" w:hAnsi="Palatino Linotype" w:cs="Palatino Linotype"/>
          <w:color w:val="000000"/>
          <w:sz w:val="24"/>
          <w:szCs w:val="24"/>
        </w:rPr>
        <w:t xml:space="preserve"> de Informática, mediante el cual menciona que fue registrada la incidencia técnica en la bitácora de incidencias, toda vez que trata de subir un peso de 5.15 GB, lo cual sobrepasa las capacidades técnicas del sistema SAIMEX.</w:t>
      </w:r>
    </w:p>
    <w:p w14:paraId="633881B8" w14:textId="77777777" w:rsidR="00BA02CF" w:rsidRDefault="00BA02CF">
      <w:pPr>
        <w:spacing w:after="0" w:line="360" w:lineRule="auto"/>
        <w:jc w:val="both"/>
        <w:rPr>
          <w:rFonts w:ascii="Palatino Linotype" w:eastAsia="Palatino Linotype" w:hAnsi="Palatino Linotype" w:cs="Palatino Linotype"/>
          <w:color w:val="000000"/>
          <w:sz w:val="24"/>
          <w:szCs w:val="24"/>
        </w:rPr>
      </w:pPr>
    </w:p>
    <w:p w14:paraId="09D5669C" w14:textId="77777777" w:rsidR="00BA02CF" w:rsidRDefault="00EE1C4D">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respecto al análisis del cambio de modalidad, resulta importante señalar que en primera instancia, que el artículo 155, fracción V, de la Ley de Transparencia y Acceso a la Información Pública del Estado de México y Municipios,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Pr>
          <w:rFonts w:ascii="Palatino Linotype" w:eastAsia="Palatino Linotype" w:hAnsi="Palatino Linotype" w:cs="Palatino Linotype"/>
          <w:color w:val="000000"/>
          <w:sz w:val="24"/>
          <w:szCs w:val="24"/>
        </w:rPr>
        <w:t>CD-Rom</w:t>
      </w:r>
      <w:proofErr w:type="spellEnd"/>
      <w:r>
        <w:rPr>
          <w:rFonts w:ascii="Palatino Linotype" w:eastAsia="Palatino Linotype" w:hAnsi="Palatino Linotype" w:cs="Palatino Linotype"/>
          <w:color w:val="000000"/>
          <w:sz w:val="24"/>
          <w:szCs w:val="24"/>
        </w:rPr>
        <w:t xml:space="preserve"> (con costo), copias simples </w:t>
      </w:r>
      <w:r>
        <w:rPr>
          <w:rFonts w:ascii="Palatino Linotype" w:eastAsia="Palatino Linotype" w:hAnsi="Palatino Linotype" w:cs="Palatino Linotype"/>
          <w:color w:val="000000"/>
          <w:sz w:val="24"/>
          <w:szCs w:val="24"/>
        </w:rPr>
        <w:lastRenderedPageBreak/>
        <w:t>(con costo), copias certificadas (con costo), consulta directa (sin costo), o bien, cualquier otro que determine el particular.</w:t>
      </w:r>
    </w:p>
    <w:p w14:paraId="5ACE1E53" w14:textId="77777777" w:rsidR="00BA02CF" w:rsidRDefault="00BA02CF">
      <w:pPr>
        <w:spacing w:after="0" w:line="360" w:lineRule="auto"/>
        <w:jc w:val="both"/>
        <w:rPr>
          <w:rFonts w:ascii="Palatino Linotype" w:eastAsia="Palatino Linotype" w:hAnsi="Palatino Linotype" w:cs="Palatino Linotype"/>
          <w:color w:val="000000"/>
          <w:sz w:val="24"/>
          <w:szCs w:val="24"/>
        </w:rPr>
      </w:pPr>
    </w:p>
    <w:p w14:paraId="306E4413" w14:textId="77777777" w:rsidR="00BA02CF" w:rsidRDefault="00EE1C4D">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Por su parte, el artículo 158, dispone que, de manera excepcional, cuando de manera fundada y motivada lo determine el Sujeto Obligado, </w:t>
      </w:r>
      <w:r>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1136524A" w14:textId="77777777" w:rsidR="00BA02CF" w:rsidRDefault="00BA02CF">
      <w:pPr>
        <w:spacing w:after="0" w:line="360" w:lineRule="auto"/>
        <w:jc w:val="both"/>
        <w:rPr>
          <w:rFonts w:ascii="Palatino Linotype" w:eastAsia="Palatino Linotype" w:hAnsi="Palatino Linotype" w:cs="Palatino Linotype"/>
          <w:sz w:val="24"/>
          <w:szCs w:val="24"/>
        </w:rPr>
      </w:pPr>
    </w:p>
    <w:p w14:paraId="6BFF9C00"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Pr>
          <w:rFonts w:ascii="Palatino Linotype" w:eastAsia="Palatino Linotype" w:hAnsi="Palatino Linotype" w:cs="Palatino Linotype"/>
          <w:sz w:val="24"/>
          <w:szCs w:val="24"/>
          <w:vertAlign w:val="superscript"/>
        </w:rPr>
        <w:t xml:space="preserve"> </w:t>
      </w:r>
      <w:r>
        <w:rPr>
          <w:rFonts w:ascii="Palatino Linotype" w:eastAsia="Palatino Linotype" w:hAnsi="Palatino Linotype" w:cs="Palatino Linotype"/>
          <w:sz w:val="24"/>
          <w:szCs w:val="24"/>
          <w:vertAlign w:val="superscript"/>
        </w:rPr>
        <w:footnoteReference w:id="3"/>
      </w:r>
      <w:r>
        <w:rPr>
          <w:rFonts w:ascii="Palatino Linotype" w:eastAsia="Palatino Linotype" w:hAnsi="Palatino Linotype" w:cs="Palatino Linotype"/>
          <w:sz w:val="24"/>
          <w:szCs w:val="24"/>
        </w:rPr>
        <w:t xml:space="preserve">,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w:t>
      </w:r>
      <w:r>
        <w:rPr>
          <w:rFonts w:ascii="Palatino Linotype" w:eastAsia="Palatino Linotype" w:hAnsi="Palatino Linotype" w:cs="Palatino Linotype"/>
          <w:sz w:val="24"/>
          <w:szCs w:val="24"/>
        </w:rPr>
        <w:lastRenderedPageBreak/>
        <w:t>leer en la jurisprudencia del texto y rubro que inserta enseguida para mayor referencia:</w:t>
      </w:r>
    </w:p>
    <w:p w14:paraId="481091E7" w14:textId="77777777" w:rsidR="00BA02CF" w:rsidRDefault="00BA02CF">
      <w:pPr>
        <w:spacing w:after="0" w:line="360" w:lineRule="auto"/>
        <w:jc w:val="both"/>
        <w:rPr>
          <w:rFonts w:ascii="Palatino Linotype" w:eastAsia="Palatino Linotype" w:hAnsi="Palatino Linotype" w:cs="Palatino Linotype"/>
          <w:sz w:val="24"/>
          <w:szCs w:val="24"/>
        </w:rPr>
      </w:pPr>
    </w:p>
    <w:p w14:paraId="3EBA25F5" w14:textId="77777777" w:rsidR="00BA02CF" w:rsidRDefault="00EE1C4D">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“FUNDAMENTACIÓN Y MOTIVACIÓN DE LOS ACTOS ADMINISTRATIVOS</w:t>
      </w:r>
      <w:r>
        <w:rPr>
          <w:rFonts w:ascii="Palatino Linotype" w:eastAsia="Palatino Linotype" w:hAnsi="Palatino Linotype" w:cs="Palatino Linotype"/>
          <w:i/>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Pr>
          <w:rFonts w:ascii="Palatino Linotype" w:eastAsia="Palatino Linotype" w:hAnsi="Palatino Linotype" w:cs="Palatino Linotype"/>
          <w:i/>
        </w:rPr>
        <w:t>subincisos</w:t>
      </w:r>
      <w:proofErr w:type="spellEnd"/>
      <w:r>
        <w:rPr>
          <w:rFonts w:ascii="Palatino Linotype" w:eastAsia="Palatino Linotype" w:hAnsi="Palatino Linotype" w:cs="Palatino Linotype"/>
          <w:i/>
        </w:rPr>
        <w:t>, fracciones y preceptos aplicable, y b).- Los cuerpos legales y preceptos que otorgan competencia o facultades a las autoridades para emitir el acto en agravio del gobernado.”</w:t>
      </w:r>
    </w:p>
    <w:p w14:paraId="064EF615" w14:textId="77777777" w:rsidR="00BA02CF" w:rsidRDefault="00BA02CF">
      <w:pPr>
        <w:spacing w:after="0" w:line="360" w:lineRule="auto"/>
        <w:ind w:left="851" w:right="851"/>
        <w:jc w:val="both"/>
        <w:rPr>
          <w:rFonts w:ascii="Palatino Linotype" w:eastAsia="Palatino Linotype" w:hAnsi="Palatino Linotype" w:cs="Palatino Linotype"/>
          <w:i/>
        </w:rPr>
      </w:pPr>
    </w:p>
    <w:p w14:paraId="1E434172"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entendido, según lo dispuesto en los artículos 160 y 164 de la Ley en cita, los Sujetos Obligados deben otorgar acceso a los documentos que se encuentren en sus archivos o que estén obligados a documentar de acuerdo con sus facultades, </w:t>
      </w:r>
      <w:r>
        <w:rPr>
          <w:rFonts w:ascii="Palatino Linotype" w:eastAsia="Palatino Linotype" w:hAnsi="Palatino Linotype" w:cs="Palatino Linotype"/>
          <w:sz w:val="24"/>
          <w:szCs w:val="24"/>
        </w:rPr>
        <w:lastRenderedPageBreak/>
        <w:t>competencias o funciones en el formato que el solicitante manifieste, debiendo dar el acceso a la información en la modalidad de entrega solicitada, empero en caso de ofrecer otra u otras modalidades de entrega deberá fundar y motivar su respuesta, a saber:</w:t>
      </w:r>
    </w:p>
    <w:p w14:paraId="153286A3" w14:textId="77777777" w:rsidR="00BA02CF" w:rsidRDefault="00BA02CF">
      <w:pPr>
        <w:spacing w:after="0" w:line="360" w:lineRule="auto"/>
        <w:jc w:val="both"/>
        <w:rPr>
          <w:rFonts w:ascii="Palatino Linotype" w:eastAsia="Palatino Linotype" w:hAnsi="Palatino Linotype" w:cs="Palatino Linotype"/>
        </w:rPr>
      </w:pPr>
    </w:p>
    <w:p w14:paraId="4E63D4FC" w14:textId="77777777" w:rsidR="00BA02CF" w:rsidRDefault="00EE1C4D">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 “Artículo 160.</w:t>
      </w:r>
      <w:r>
        <w:rPr>
          <w:rFonts w:ascii="Palatino Linotype" w:eastAsia="Palatino Linotype" w:hAnsi="Palatino Linotype" w:cs="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6EEA31B" w14:textId="77777777" w:rsidR="00BA02CF" w:rsidRDefault="00EE1C4D">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164.</w:t>
      </w:r>
      <w:r>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w:t>
      </w:r>
      <w:r>
        <w:rPr>
          <w:rFonts w:ascii="Palatino Linotype" w:eastAsia="Palatino Linotype" w:hAnsi="Palatino Linotype" w:cs="Palatino Linotype"/>
          <w:i/>
          <w:u w:val="single"/>
        </w:rPr>
        <w:t>el sujeto obligado deberá ofrecer otra u otras modalidades de entrega.</w:t>
      </w:r>
      <w:r>
        <w:rPr>
          <w:rFonts w:ascii="Palatino Linotype" w:eastAsia="Palatino Linotype" w:hAnsi="Palatino Linotype" w:cs="Palatino Linotype"/>
          <w:i/>
        </w:rPr>
        <w:t xml:space="preserve"> En cualquier caso, se deberá fundar y motivar la necesidad de ofrecer otras modalidades.” (Énfasis añadido)</w:t>
      </w:r>
    </w:p>
    <w:p w14:paraId="6BF441A9" w14:textId="77777777" w:rsidR="00BA02CF" w:rsidRDefault="00BA02CF">
      <w:pPr>
        <w:spacing w:after="0" w:line="276" w:lineRule="auto"/>
        <w:ind w:left="851" w:right="851"/>
        <w:jc w:val="both"/>
        <w:rPr>
          <w:rFonts w:ascii="Palatino Linotype" w:eastAsia="Palatino Linotype" w:hAnsi="Palatino Linotype" w:cs="Palatino Linotype"/>
          <w:i/>
        </w:rPr>
      </w:pPr>
    </w:p>
    <w:p w14:paraId="1487DE18"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3B5FEF33" w14:textId="77777777" w:rsidR="00BA02CF" w:rsidRDefault="00BA02CF">
      <w:pPr>
        <w:spacing w:after="0" w:line="360" w:lineRule="auto"/>
        <w:jc w:val="both"/>
        <w:rPr>
          <w:rFonts w:ascii="Palatino Linotype" w:eastAsia="Palatino Linotype" w:hAnsi="Palatino Linotype" w:cs="Palatino Linotype"/>
          <w:color w:val="000000"/>
          <w:sz w:val="24"/>
          <w:szCs w:val="24"/>
        </w:rPr>
      </w:pPr>
    </w:p>
    <w:p w14:paraId="6A683F02"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cuando se justifique el impedimento, </w:t>
      </w:r>
      <w:r>
        <w:rPr>
          <w:rFonts w:ascii="Palatino Linotype" w:eastAsia="Palatino Linotype" w:hAnsi="Palatino Linotype" w:cs="Palatino Linotype"/>
          <w:b/>
          <w:sz w:val="24"/>
          <w:szCs w:val="24"/>
        </w:rPr>
        <w:t>los Sujetos Obligados deberán ofrecer al particular otras modalidades de entrega que permita la información</w:t>
      </w:r>
      <w:r>
        <w:rPr>
          <w:rFonts w:ascii="Palatino Linotype" w:eastAsia="Palatino Linotype" w:hAnsi="Palatino Linotype" w:cs="Palatino Linotype"/>
          <w:sz w:val="24"/>
          <w:szCs w:val="24"/>
        </w:rPr>
        <w:t xml:space="preserve">, como consulta directa en las oficinas de la Unidad de Transparencia, la expedición de copias simples o certificadas, o la reproducción en cualquier otro medio, incluidos </w:t>
      </w:r>
      <w:r>
        <w:rPr>
          <w:rFonts w:ascii="Palatino Linotype" w:eastAsia="Palatino Linotype" w:hAnsi="Palatino Linotype" w:cs="Palatino Linotype"/>
          <w:sz w:val="24"/>
          <w:szCs w:val="24"/>
        </w:rPr>
        <w:lastRenderedPageBreak/>
        <w:t>los electrónicos, lo que se robustece con el criterio 08/17, emitido por el Pleno del Instituto Nacional de Transparencia, Acceso a la Información y Protección de Datos Personales, el cual establece lo siguiente:</w:t>
      </w:r>
    </w:p>
    <w:p w14:paraId="3C461481" w14:textId="77777777" w:rsidR="00BA02CF" w:rsidRDefault="00BA02CF">
      <w:pPr>
        <w:spacing w:after="0" w:line="360" w:lineRule="auto"/>
        <w:jc w:val="both"/>
        <w:rPr>
          <w:rFonts w:ascii="Palatino Linotype" w:eastAsia="Palatino Linotype" w:hAnsi="Palatino Linotype" w:cs="Palatino Linotype"/>
          <w:sz w:val="24"/>
          <w:szCs w:val="24"/>
        </w:rPr>
      </w:pPr>
    </w:p>
    <w:p w14:paraId="678D7E77" w14:textId="77777777" w:rsidR="00BA02CF" w:rsidRDefault="00EE1C4D">
      <w:pPr>
        <w:spacing w:after="0" w:line="276" w:lineRule="auto"/>
        <w:ind w:left="851" w:right="902"/>
        <w:jc w:val="both"/>
        <w:rPr>
          <w:rFonts w:ascii="Palatino Linotype" w:eastAsia="Palatino Linotype" w:hAnsi="Palatino Linotype" w:cs="Palatino Linotype"/>
          <w:b/>
          <w:i/>
          <w:u w:val="single"/>
        </w:rPr>
      </w:pPr>
      <w:r>
        <w:rPr>
          <w:rFonts w:ascii="Palatino Linotype" w:eastAsia="Palatino Linotype" w:hAnsi="Palatino Linotype" w:cs="Palatino Linotype"/>
          <w:b/>
          <w:i/>
        </w:rPr>
        <w:t>“Modalidad de entrega. Procedencia de proporcionar la información solicitada en una diversa a la elegida por el solicitante.</w:t>
      </w:r>
      <w:r>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Pr>
          <w:rFonts w:ascii="Palatino Linotype" w:eastAsia="Palatino Linotype" w:hAnsi="Palatino Linotype" w:cs="Palatino Linotype"/>
          <w:b/>
          <w:i/>
          <w:u w:val="single"/>
        </w:rPr>
        <w:t>en todas las modalidades que permita el documento de que se trate, procurando reducir, en todo momento, los costos de entrega.”</w:t>
      </w:r>
    </w:p>
    <w:p w14:paraId="3A3980C2" w14:textId="77777777" w:rsidR="00BA02CF" w:rsidRDefault="00BA02CF">
      <w:pPr>
        <w:spacing w:after="0" w:line="276" w:lineRule="auto"/>
        <w:ind w:left="851" w:right="902"/>
        <w:jc w:val="both"/>
        <w:rPr>
          <w:rFonts w:ascii="Palatino Linotype" w:eastAsia="Palatino Linotype" w:hAnsi="Palatino Linotype" w:cs="Palatino Linotype"/>
          <w:sz w:val="24"/>
          <w:szCs w:val="24"/>
          <w:u w:val="single"/>
        </w:rPr>
      </w:pPr>
    </w:p>
    <w:p w14:paraId="4B0D7109" w14:textId="77777777" w:rsidR="00BA02CF" w:rsidRDefault="00EE1C4D">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Del citado criterio, se desprende que cuando</w:t>
      </w:r>
      <w:r>
        <w:rPr>
          <w:rFonts w:ascii="Palatino Linotype" w:eastAsia="Palatino Linotype" w:hAnsi="Palatino Linotype" w:cs="Palatino Linotype"/>
          <w:b/>
          <w:sz w:val="24"/>
          <w:szCs w:val="24"/>
        </w:rPr>
        <w:t xml:space="preserve"> la información no pueda entregarse o enviarse en la modalidad elegida, </w:t>
      </w:r>
      <w:r>
        <w:rPr>
          <w:rFonts w:ascii="Palatino Linotype" w:eastAsia="Palatino Linotype" w:hAnsi="Palatino Linotype" w:cs="Palatino Linotype"/>
          <w:sz w:val="24"/>
          <w:szCs w:val="24"/>
        </w:rPr>
        <w:t xml:space="preserve">para que la obligación de acceso a la información se tenga por cumplida, </w:t>
      </w:r>
      <w:r>
        <w:rPr>
          <w:rFonts w:ascii="Palatino Linotype" w:eastAsia="Palatino Linotype" w:hAnsi="Palatino Linotype" w:cs="Palatino Linotype"/>
          <w:b/>
          <w:sz w:val="24"/>
          <w:szCs w:val="24"/>
        </w:rPr>
        <w:t>el Sujeto Obligado deberá ofrecer otra u otras modalidades de entrega.</w:t>
      </w:r>
      <w:r>
        <w:rPr>
          <w:rFonts w:ascii="Palatino Linotype" w:eastAsia="Palatino Linotype" w:hAnsi="Palatino Linotype" w:cs="Palatino Linotype"/>
          <w:sz w:val="24"/>
          <w:szCs w:val="24"/>
        </w:rPr>
        <w:t xml:space="preserve"> En cualquier caso, </w:t>
      </w:r>
      <w:r>
        <w:rPr>
          <w:rFonts w:ascii="Palatino Linotype" w:eastAsia="Palatino Linotype" w:hAnsi="Palatino Linotype" w:cs="Palatino Linotype"/>
          <w:b/>
          <w:sz w:val="24"/>
          <w:szCs w:val="24"/>
        </w:rPr>
        <w:t>se deberá fundar y motivar la necesidad de ofrecer otras modalidades</w:t>
      </w:r>
      <w:r>
        <w:rPr>
          <w:rFonts w:ascii="Palatino Linotype" w:eastAsia="Palatino Linotype" w:hAnsi="Palatino Linotype" w:cs="Palatino Linotype"/>
          <w:sz w:val="24"/>
          <w:szCs w:val="24"/>
        </w:rPr>
        <w:t xml:space="preserve"> que lo permitan, </w:t>
      </w:r>
      <w:r>
        <w:rPr>
          <w:rFonts w:ascii="Palatino Linotype" w:eastAsia="Palatino Linotype" w:hAnsi="Palatino Linotype" w:cs="Palatino Linotype"/>
          <w:b/>
          <w:sz w:val="24"/>
          <w:szCs w:val="24"/>
        </w:rPr>
        <w:t>procurando reducir los costos de entrega.</w:t>
      </w:r>
    </w:p>
    <w:p w14:paraId="5DB648F3" w14:textId="77777777" w:rsidR="00BA02CF" w:rsidRDefault="00BA02CF">
      <w:pPr>
        <w:spacing w:after="0" w:line="360" w:lineRule="auto"/>
        <w:jc w:val="both"/>
        <w:rPr>
          <w:rFonts w:ascii="Palatino Linotype" w:eastAsia="Palatino Linotype" w:hAnsi="Palatino Linotype" w:cs="Palatino Linotype"/>
          <w:b/>
          <w:sz w:val="24"/>
          <w:szCs w:val="24"/>
        </w:rPr>
      </w:pPr>
    </w:p>
    <w:p w14:paraId="35197496" w14:textId="77777777" w:rsidR="00BA02CF" w:rsidRDefault="00EE1C4D">
      <w:pPr>
        <w:widowControl w:val="0"/>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w:t>
      </w:r>
      <w:r>
        <w:rPr>
          <w:rFonts w:ascii="Palatino Linotype" w:eastAsia="Palatino Linotype" w:hAnsi="Palatino Linotype" w:cs="Palatino Linotype"/>
          <w:color w:val="000000"/>
          <w:sz w:val="24"/>
          <w:szCs w:val="24"/>
        </w:rPr>
        <w:lastRenderedPageBreak/>
        <w:t>lo siguiente:</w:t>
      </w:r>
    </w:p>
    <w:p w14:paraId="2C9A5DF5" w14:textId="77777777" w:rsidR="00BA02CF" w:rsidRDefault="00BA02CF">
      <w:pPr>
        <w:spacing w:after="0" w:line="360" w:lineRule="auto"/>
        <w:jc w:val="both"/>
        <w:rPr>
          <w:rFonts w:ascii="Palatino Linotype" w:eastAsia="Palatino Linotype" w:hAnsi="Palatino Linotype" w:cs="Palatino Linotype"/>
          <w:color w:val="000000"/>
          <w:sz w:val="24"/>
          <w:szCs w:val="24"/>
        </w:rPr>
      </w:pPr>
    </w:p>
    <w:p w14:paraId="39135413" w14:textId="77777777" w:rsidR="00BA02CF" w:rsidRDefault="00EE1C4D">
      <w:pPr>
        <w:numPr>
          <w:ilvl w:val="0"/>
          <w:numId w:val="1"/>
        </w:num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Las razones por las cuales la información implicaba un análisis, estudio o procesamiento de datos;</w:t>
      </w:r>
    </w:p>
    <w:p w14:paraId="358D2F1A" w14:textId="77777777" w:rsidR="00BA02CF" w:rsidRDefault="00BA02CF">
      <w:pPr>
        <w:spacing w:after="0" w:line="360" w:lineRule="auto"/>
        <w:ind w:left="720"/>
        <w:jc w:val="both"/>
        <w:rPr>
          <w:rFonts w:ascii="Palatino Linotype" w:eastAsia="Palatino Linotype" w:hAnsi="Palatino Linotype" w:cs="Palatino Linotype"/>
          <w:color w:val="000000"/>
          <w:sz w:val="24"/>
          <w:szCs w:val="24"/>
        </w:rPr>
      </w:pPr>
    </w:p>
    <w:p w14:paraId="0454B5E4" w14:textId="77777777" w:rsidR="00BA02CF" w:rsidRDefault="00EE1C4D">
      <w:pPr>
        <w:numPr>
          <w:ilvl w:val="0"/>
          <w:numId w:val="1"/>
        </w:numPr>
        <w:spacing w:after="0" w:line="360" w:lineRule="auto"/>
        <w:ind w:left="567" w:right="901" w:hanging="14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qué motivo el tiempo, que se le otorga al Sujeto Obligado para dar respuesta, en la modalidad elegida a la solicitud de información, no le es suficiente, y</w:t>
      </w:r>
    </w:p>
    <w:p w14:paraId="40D29D35" w14:textId="77777777" w:rsidR="00BA02CF" w:rsidRDefault="00BA02CF">
      <w:pPr>
        <w:spacing w:after="0" w:line="360" w:lineRule="auto"/>
        <w:ind w:left="567" w:right="901" w:hanging="141"/>
        <w:jc w:val="both"/>
        <w:rPr>
          <w:rFonts w:ascii="Palatino Linotype" w:eastAsia="Palatino Linotype" w:hAnsi="Palatino Linotype" w:cs="Palatino Linotype"/>
          <w:color w:val="000000"/>
          <w:sz w:val="24"/>
          <w:szCs w:val="24"/>
        </w:rPr>
      </w:pPr>
    </w:p>
    <w:p w14:paraId="6AE5C8A0" w14:textId="77777777" w:rsidR="00BA02CF" w:rsidRDefault="00EE1C4D">
      <w:pPr>
        <w:numPr>
          <w:ilvl w:val="0"/>
          <w:numId w:val="1"/>
        </w:numPr>
        <w:spacing w:after="0" w:line="360" w:lineRule="auto"/>
        <w:ind w:left="567" w:right="901" w:hanging="14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 cantidad de recursos humanos y materiales con los que cuenta el Sujeto Obligado son insuficientes.</w:t>
      </w:r>
    </w:p>
    <w:p w14:paraId="0C4EA22E" w14:textId="77777777" w:rsidR="00BA02CF" w:rsidRDefault="00BA02CF">
      <w:pPr>
        <w:spacing w:after="0" w:line="360" w:lineRule="auto"/>
        <w:jc w:val="both"/>
        <w:rPr>
          <w:rFonts w:ascii="Palatino Linotype" w:eastAsia="Palatino Linotype" w:hAnsi="Palatino Linotype" w:cs="Palatino Linotype"/>
          <w:sz w:val="24"/>
          <w:szCs w:val="24"/>
        </w:rPr>
      </w:pPr>
    </w:p>
    <w:p w14:paraId="3FB08285"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Ahora bien, entrando en materia, debe resaltarse que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adjuntó en respuesta la Tercera Sesión Extraordinaria del Comité de Transparencia, en donde se informó a los integrantes del mismo; la aprobación el cambio de modalidad, además refiere el cronograma de consulta de la información que da atención a la solicitud, además señalo que “(…) </w:t>
      </w:r>
      <w:r>
        <w:rPr>
          <w:rFonts w:ascii="Palatino Linotype" w:eastAsia="Palatino Linotype" w:hAnsi="Palatino Linotype" w:cs="Palatino Linotype"/>
          <w:i/>
        </w:rPr>
        <w:t xml:space="preserve">toda vez de que la respuesta generada, consiste en varios archivos en formato </w:t>
      </w:r>
      <w:proofErr w:type="spellStart"/>
      <w:r>
        <w:rPr>
          <w:rFonts w:ascii="Palatino Linotype" w:eastAsia="Palatino Linotype" w:hAnsi="Palatino Linotype" w:cs="Palatino Linotype"/>
          <w:i/>
        </w:rPr>
        <w:t>pdf</w:t>
      </w:r>
      <w:proofErr w:type="spellEnd"/>
      <w:r>
        <w:rPr>
          <w:rFonts w:ascii="Palatino Linotype" w:eastAsia="Palatino Linotype" w:hAnsi="Palatino Linotype" w:cs="Palatino Linotype"/>
          <w:i/>
        </w:rPr>
        <w:t xml:space="preserve">., sobrepasa la capacidad de 500 megas bytes, que permite el sistema SAIMEX, lo anterior a efecto de poder garantizar el acceso a la información al solicitante. En respuesta a dicha petición, mediante correo electrónico de fecha trece de febrero del presente año, se remite el oficio número INFOEM/DGI/129/2023, suscrito por el Lic. Nelson Correa Peralta, se notificó que dicha incidencia técnica había quedado registrada en la bitácora de incidencias, toda vez que trata de subir un total de 17,389 fojas, lo cual sobrepasa las capacidades técnicas del sistema </w:t>
      </w:r>
      <w:proofErr w:type="spellStart"/>
      <w:r>
        <w:rPr>
          <w:rFonts w:ascii="Palatino Linotype" w:eastAsia="Palatino Linotype" w:hAnsi="Palatino Linotype" w:cs="Palatino Linotype"/>
          <w:i/>
        </w:rPr>
        <w:lastRenderedPageBreak/>
        <w:t>Saimex</w:t>
      </w:r>
      <w:proofErr w:type="spellEnd"/>
      <w:r>
        <w:rPr>
          <w:rFonts w:ascii="Palatino Linotype" w:eastAsia="Palatino Linotype" w:hAnsi="Palatino Linotype" w:cs="Palatino Linotype"/>
          <w:i/>
        </w:rPr>
        <w:t xml:space="preserve">. Posterior a ello en el marco de la Tercera Sesión Extraordinaria del Comité de Transparencia, se informó a los integrantes del mismo; la aprobación el cambio de modalidad, lo anterior con fundamento en </w:t>
      </w:r>
      <w:proofErr w:type="gramStart"/>
      <w:r>
        <w:rPr>
          <w:rFonts w:ascii="Palatino Linotype" w:eastAsia="Palatino Linotype" w:hAnsi="Palatino Linotype" w:cs="Palatino Linotype"/>
          <w:i/>
        </w:rPr>
        <w:t>los artículo</w:t>
      </w:r>
      <w:proofErr w:type="gramEnd"/>
      <w:r>
        <w:rPr>
          <w:rFonts w:ascii="Palatino Linotype" w:eastAsia="Palatino Linotype" w:hAnsi="Palatino Linotype" w:cs="Palatino Linotype"/>
          <w:i/>
        </w:rPr>
        <w:t xml:space="preserve"> 158 y 164 de la Ley de Transparencia y Acceso a la Información Pública del Estado de México y Municipios. En atención a lo anterior y en cumplimiento a lo estipulado por la Ley en mención y a fin de garantizar el derecho de acceso a la información pública se le hace una atenta invitación para que </w:t>
      </w:r>
      <w:r>
        <w:rPr>
          <w:rFonts w:ascii="Palatino Linotype" w:eastAsia="Palatino Linotype" w:hAnsi="Palatino Linotype" w:cs="Palatino Linotype"/>
          <w:b/>
          <w:i/>
          <w:u w:val="single"/>
        </w:rPr>
        <w:t>acuda a las oficinas de la Unidad de Planeación y Transparencia de esta Secretaría, para la consulta y/o entrega de la información</w:t>
      </w:r>
      <w:r>
        <w:rPr>
          <w:rFonts w:ascii="Palatino Linotype" w:eastAsia="Palatino Linotype" w:hAnsi="Palatino Linotype" w:cs="Palatino Linotype"/>
          <w:i/>
        </w:rPr>
        <w:t xml:space="preserve">, por lo que se habilitará un equipo de cómputo el cual podrá hacer uso en el siguiente horario: Cronograma de consulta de la información que da atención a la solicitud 00003/SESEA/IP/2023 Fecha Horario Lugar Información para consultar </w:t>
      </w:r>
      <w:r>
        <w:rPr>
          <w:rFonts w:ascii="Palatino Linotype" w:eastAsia="Palatino Linotype" w:hAnsi="Palatino Linotype" w:cs="Palatino Linotype"/>
          <w:b/>
          <w:i/>
          <w:u w:val="single"/>
        </w:rPr>
        <w:t>20 de febrero de 2023.</w:t>
      </w:r>
      <w:r>
        <w:rPr>
          <w:rFonts w:ascii="Palatino Linotype" w:eastAsia="Palatino Linotype" w:hAnsi="Palatino Linotype" w:cs="Palatino Linotype"/>
          <w:i/>
        </w:rPr>
        <w:t xml:space="preserve"> 9:00 a 18:00 horas. Secretaría Ejecutiva del Sistema Estatal Anticorrupción, oficinas de la Unidad de Planeación y Transparencia. Avenida José María Morelos y Pavón, </w:t>
      </w:r>
      <w:proofErr w:type="spellStart"/>
      <w:r>
        <w:rPr>
          <w:rFonts w:ascii="Palatino Linotype" w:eastAsia="Palatino Linotype" w:hAnsi="Palatino Linotype" w:cs="Palatino Linotype"/>
          <w:i/>
        </w:rPr>
        <w:t>Ote</w:t>
      </w:r>
      <w:proofErr w:type="spellEnd"/>
      <w:r>
        <w:rPr>
          <w:rFonts w:ascii="Palatino Linotype" w:eastAsia="Palatino Linotype" w:hAnsi="Palatino Linotype" w:cs="Palatino Linotype"/>
          <w:i/>
        </w:rPr>
        <w:t xml:space="preserve">. #312, col. 5 de mayo, Toluca de Lerdo, Estado de México. C.P. 50090 Teléfonos: (722) 914 6034. Ext 7005 Oficio emitidos y recibidos del año 2018 al 17 de enero de 2023, de la Dirección General de Políticas Públicas y Riesgos en Materia Anticorrupción y Secretaría Particular. </w:t>
      </w:r>
      <w:r>
        <w:rPr>
          <w:rFonts w:ascii="Palatino Linotype" w:eastAsia="Palatino Linotype" w:hAnsi="Palatino Linotype" w:cs="Palatino Linotype"/>
          <w:b/>
          <w:i/>
          <w:u w:val="single"/>
        </w:rPr>
        <w:t>22 de febrero de 2023.</w:t>
      </w:r>
      <w:r>
        <w:rPr>
          <w:rFonts w:ascii="Palatino Linotype" w:eastAsia="Palatino Linotype" w:hAnsi="Palatino Linotype" w:cs="Palatino Linotype"/>
          <w:i/>
        </w:rPr>
        <w:t xml:space="preserve"> Oficio emitidos y recibidos del año 2018 al 17 de enero de 2023, de la Dirección General de Servicios Tecnológicos. </w:t>
      </w:r>
      <w:r>
        <w:rPr>
          <w:rFonts w:ascii="Palatino Linotype" w:eastAsia="Palatino Linotype" w:hAnsi="Palatino Linotype" w:cs="Palatino Linotype"/>
          <w:b/>
          <w:i/>
          <w:u w:val="single"/>
        </w:rPr>
        <w:t>24 de febrero de 2023.</w:t>
      </w:r>
      <w:r>
        <w:rPr>
          <w:rFonts w:ascii="Palatino Linotype" w:eastAsia="Palatino Linotype" w:hAnsi="Palatino Linotype" w:cs="Palatino Linotype"/>
          <w:i/>
        </w:rPr>
        <w:t xml:space="preserve"> Oficio emitidos y recibidos del año 2018 al 17 de enero de 2023, de la Secretaría Técnica. </w:t>
      </w:r>
      <w:r>
        <w:rPr>
          <w:rFonts w:ascii="Palatino Linotype" w:eastAsia="Palatino Linotype" w:hAnsi="Palatino Linotype" w:cs="Palatino Linotype"/>
          <w:b/>
          <w:i/>
          <w:u w:val="single"/>
        </w:rPr>
        <w:t>27 de febrero de 2023.</w:t>
      </w:r>
      <w:r>
        <w:rPr>
          <w:rFonts w:ascii="Palatino Linotype" w:eastAsia="Palatino Linotype" w:hAnsi="Palatino Linotype" w:cs="Palatino Linotype"/>
          <w:i/>
        </w:rPr>
        <w:t xml:space="preserve"> Oficio emitidos y recibidos del año 2018 al 17 de enero de 2023, de la Coordinación de Administración y Finanzas. Ahora bien, </w:t>
      </w:r>
      <w:r>
        <w:rPr>
          <w:rFonts w:ascii="Palatino Linotype" w:eastAsia="Palatino Linotype" w:hAnsi="Palatino Linotype" w:cs="Palatino Linotype"/>
          <w:b/>
          <w:i/>
          <w:u w:val="single"/>
        </w:rPr>
        <w:t>la información podrá consultarse o bien entregarse en cualquiera de las tres modalidades que refiere la Ley en mención: copias simples o certificadas, entrega digital o consulta directa</w:t>
      </w:r>
      <w:r>
        <w:rPr>
          <w:rFonts w:ascii="Palatino Linotype" w:eastAsia="Palatino Linotype" w:hAnsi="Palatino Linotype" w:cs="Palatino Linotype"/>
          <w:i/>
        </w:rPr>
        <w:t xml:space="preserve">. </w:t>
      </w:r>
      <w:r>
        <w:rPr>
          <w:rFonts w:ascii="Palatino Linotype" w:eastAsia="Palatino Linotype" w:hAnsi="Palatino Linotype" w:cs="Palatino Linotype"/>
          <w:b/>
          <w:i/>
        </w:rPr>
        <w:t>En caso de escoger la modalidad de copias simples o certificadas y/o por correo certificado, se deberá cubrir el costo respectivo por su reproducción</w:t>
      </w:r>
      <w:r>
        <w:rPr>
          <w:rFonts w:ascii="Palatino Linotype" w:eastAsia="Palatino Linotype" w:hAnsi="Palatino Linotype" w:cs="Palatino Linotype"/>
          <w:i/>
        </w:rPr>
        <w:t xml:space="preserve">, como lo señala el artículo 148, fracción I y II del Código Financiero del Estado de México y Municipios, y el artículo 174 de la Ley de Transparencia y Acceso a la Información Pública del Estado de México y Municipios. </w:t>
      </w:r>
      <w:r>
        <w:rPr>
          <w:rFonts w:ascii="Palatino Linotype" w:eastAsia="Palatino Linotype" w:hAnsi="Palatino Linotype" w:cs="Palatino Linotype"/>
          <w:b/>
          <w:i/>
          <w:u w:val="single"/>
        </w:rPr>
        <w:t xml:space="preserve">En caso de escoger la modalidad de entrega digital, y privilegiando la gratuidad de la entrega de la </w:t>
      </w:r>
      <w:r>
        <w:rPr>
          <w:rFonts w:ascii="Palatino Linotype" w:eastAsia="Palatino Linotype" w:hAnsi="Palatino Linotype" w:cs="Palatino Linotype"/>
          <w:b/>
          <w:i/>
          <w:u w:val="single"/>
        </w:rPr>
        <w:lastRenderedPageBreak/>
        <w:t>información, el solicitante deberá llevar el dispositivo electrónico en el que se le proporcionará y/o grabará la misma</w:t>
      </w:r>
      <w:r>
        <w:rPr>
          <w:rFonts w:ascii="Palatino Linotype" w:eastAsia="Palatino Linotype" w:hAnsi="Palatino Linotype" w:cs="Palatino Linotype"/>
          <w:i/>
        </w:rPr>
        <w:t>. Lo anterior con fundamento en lo dispuesto por el artículo 158 y 164 de la Ley de Transparencia y Acceso a la Información Pública del Estado de México y Municipios. (Sic)”</w:t>
      </w:r>
    </w:p>
    <w:p w14:paraId="718C10EA" w14:textId="77777777" w:rsidR="00BA02CF" w:rsidRDefault="00BA02CF">
      <w:pPr>
        <w:spacing w:after="0" w:line="360" w:lineRule="auto"/>
        <w:jc w:val="both"/>
        <w:rPr>
          <w:rFonts w:ascii="Palatino Linotype" w:eastAsia="Palatino Linotype" w:hAnsi="Palatino Linotype" w:cs="Palatino Linotype"/>
          <w:color w:val="000000"/>
          <w:sz w:val="24"/>
          <w:szCs w:val="24"/>
        </w:rPr>
      </w:pPr>
    </w:p>
    <w:p w14:paraId="2571D0BA" w14:textId="77777777" w:rsidR="00BA02CF" w:rsidRDefault="00EE1C4D">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Como se puede apreciar, del oficio firmado por la Titular de la Unidad de Transparencia en atención al requerimiento de información adicional, se advierten las circunstancias, consideradas en su respuesta. </w:t>
      </w:r>
    </w:p>
    <w:p w14:paraId="1A6142D1" w14:textId="77777777" w:rsidR="00BA02CF" w:rsidRDefault="00BA02CF">
      <w:pPr>
        <w:tabs>
          <w:tab w:val="left" w:pos="4962"/>
        </w:tabs>
        <w:spacing w:after="0" w:line="360" w:lineRule="auto"/>
        <w:jc w:val="both"/>
        <w:rPr>
          <w:rFonts w:ascii="Palatino Linotype" w:eastAsia="Palatino Linotype" w:hAnsi="Palatino Linotype" w:cs="Palatino Linotype"/>
          <w:sz w:val="24"/>
          <w:szCs w:val="24"/>
        </w:rPr>
      </w:pPr>
    </w:p>
    <w:p w14:paraId="204D1E33" w14:textId="77777777" w:rsidR="00BA02CF" w:rsidRDefault="00EE1C4D">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de precisar </w:t>
      </w:r>
      <w:proofErr w:type="gramStart"/>
      <w:r>
        <w:rPr>
          <w:rFonts w:ascii="Palatino Linotype" w:eastAsia="Palatino Linotype" w:hAnsi="Palatino Linotype" w:cs="Palatino Linotype"/>
          <w:sz w:val="24"/>
          <w:szCs w:val="24"/>
        </w:rPr>
        <w:t>que</w:t>
      </w:r>
      <w:proofErr w:type="gramEnd"/>
      <w:r>
        <w:rPr>
          <w:rFonts w:ascii="Palatino Linotype" w:eastAsia="Palatino Linotype" w:hAnsi="Palatino Linotype" w:cs="Palatino Linotype"/>
          <w:sz w:val="24"/>
          <w:szCs w:val="24"/>
        </w:rPr>
        <w:t xml:space="preserve"> para tener mayor certeza respecto de la imposibilidad de carácter técnico, el trece de septiembre de dos mil veintitrés, este Organismo Garante tuvo a bien solicitar a la Dirección General de Informática, le informara si se había registrado algún indicio en la bitácora de incidencias, obteniendo así lo siguiente:</w:t>
      </w:r>
    </w:p>
    <w:p w14:paraId="498C4EF0" w14:textId="77777777" w:rsidR="00BA02CF" w:rsidRDefault="00EE1C4D">
      <w:pPr>
        <w:spacing w:after="0" w:line="360" w:lineRule="auto"/>
        <w:jc w:val="both"/>
        <w:rPr>
          <w:rFonts w:ascii="Palatino Linotype" w:eastAsia="Palatino Linotype" w:hAnsi="Palatino Linotype" w:cs="Palatino Linotype"/>
          <w:color w:val="000000"/>
          <w:sz w:val="28"/>
          <w:szCs w:val="28"/>
        </w:rPr>
      </w:pPr>
      <w:r>
        <w:rPr>
          <w:noProof/>
        </w:rPr>
        <w:drawing>
          <wp:inline distT="0" distB="0" distL="0" distR="0" wp14:anchorId="5B9C9E14" wp14:editId="22694EB1">
            <wp:extent cx="5612130" cy="1914244"/>
            <wp:effectExtent l="0" t="0" r="0" b="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41751" t="38323" r="29396" b="44175"/>
                    <a:stretch>
                      <a:fillRect/>
                    </a:stretch>
                  </pic:blipFill>
                  <pic:spPr>
                    <a:xfrm>
                      <a:off x="0" y="0"/>
                      <a:ext cx="5612130" cy="1914244"/>
                    </a:xfrm>
                    <a:prstGeom prst="rect">
                      <a:avLst/>
                    </a:prstGeom>
                    <a:ln/>
                  </pic:spPr>
                </pic:pic>
              </a:graphicData>
            </a:graphic>
          </wp:inline>
        </w:drawing>
      </w:r>
    </w:p>
    <w:p w14:paraId="26BD20CF" w14:textId="77777777" w:rsidR="00BA02CF" w:rsidRDefault="00EE1C4D">
      <w:pPr>
        <w:spacing w:after="0" w:line="360" w:lineRule="auto"/>
        <w:jc w:val="both"/>
        <w:rPr>
          <w:rFonts w:ascii="Palatino Linotype" w:eastAsia="Palatino Linotype" w:hAnsi="Palatino Linotype" w:cs="Palatino Linotype"/>
          <w:color w:val="000000"/>
          <w:sz w:val="28"/>
          <w:szCs w:val="28"/>
        </w:rPr>
      </w:pPr>
      <w:r>
        <w:rPr>
          <w:noProof/>
        </w:rPr>
        <w:lastRenderedPageBreak/>
        <w:drawing>
          <wp:inline distT="0" distB="0" distL="0" distR="0" wp14:anchorId="3CFCA595" wp14:editId="43691155">
            <wp:extent cx="5108331" cy="7077464"/>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42600" t="17199" r="27020" b="7965"/>
                    <a:stretch>
                      <a:fillRect/>
                    </a:stretch>
                  </pic:blipFill>
                  <pic:spPr>
                    <a:xfrm>
                      <a:off x="0" y="0"/>
                      <a:ext cx="5108331" cy="7077464"/>
                    </a:xfrm>
                    <a:prstGeom prst="rect">
                      <a:avLst/>
                    </a:prstGeom>
                    <a:ln/>
                  </pic:spPr>
                </pic:pic>
              </a:graphicData>
            </a:graphic>
          </wp:inline>
        </w:drawing>
      </w:r>
    </w:p>
    <w:p w14:paraId="40A073F3" w14:textId="77777777" w:rsidR="00BA02CF" w:rsidRDefault="00EE1C4D">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De manera que se logra vislumbrar que la información solicitada, sobrepasa las capacidades técnicas del Sistema de Acceso a la Información Mexiquense (SAIMEX), al conformarse la documentación de 17,389  hojas y un peso de 5.15 GB;</w:t>
      </w:r>
      <w:r>
        <w:rPr>
          <w:rFonts w:ascii="Palatino Linotype" w:eastAsia="Palatino Linotype" w:hAnsi="Palatino Linotype" w:cs="Palatino Linotype"/>
          <w:sz w:val="24"/>
          <w:szCs w:val="24"/>
        </w:rPr>
        <w:t xml:space="preserve"> lo anterior, se robustece con la incidencia presentada ante este Instituto, misma que autorizó la Dirección General de Informática, mediante el oficio número </w:t>
      </w:r>
      <w:r>
        <w:rPr>
          <w:rFonts w:ascii="Palatino Linotype" w:eastAsia="Palatino Linotype" w:hAnsi="Palatino Linotype" w:cs="Palatino Linotype"/>
          <w:b/>
          <w:color w:val="000000"/>
          <w:sz w:val="24"/>
          <w:szCs w:val="24"/>
        </w:rPr>
        <w:t>INFOEM/DGI/129/2023</w:t>
      </w:r>
      <w:r>
        <w:rPr>
          <w:rFonts w:ascii="Palatino Linotype" w:eastAsia="Palatino Linotype" w:hAnsi="Palatino Linotype" w:cs="Palatino Linotype"/>
          <w:sz w:val="24"/>
          <w:szCs w:val="24"/>
        </w:rPr>
        <w:t>, por el cual informa que la información requerida por el Particular, sobrepasaba las capacidades técnicas del Sistema de Acceso a la Información Mexiquense (SAIMEX).</w:t>
      </w:r>
    </w:p>
    <w:p w14:paraId="668D0771" w14:textId="77777777" w:rsidR="00BA02CF" w:rsidRDefault="00BA02CF">
      <w:pPr>
        <w:spacing w:after="0" w:line="360" w:lineRule="auto"/>
        <w:jc w:val="both"/>
        <w:rPr>
          <w:rFonts w:ascii="Palatino Linotype" w:eastAsia="Palatino Linotype" w:hAnsi="Palatino Linotype" w:cs="Palatino Linotype"/>
          <w:color w:val="000000"/>
          <w:sz w:val="24"/>
          <w:szCs w:val="24"/>
        </w:rPr>
      </w:pPr>
    </w:p>
    <w:p w14:paraId="4B6375E8" w14:textId="77777777" w:rsidR="00BA02CF" w:rsidRDefault="00EE1C4D">
      <w:pPr>
        <w:spacing w:after="240" w:line="360" w:lineRule="auto"/>
        <w:ind w:right="-28"/>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Expuesto lo anterior, conviene esquematizar los argumentos expuestos con anterioridad para efecto de determinar si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cumplió con los elementos necesarios para el cambio de modalidad:</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7588"/>
      </w:tblGrid>
      <w:tr w:rsidR="00BA02CF" w14:paraId="16EA3B1D" w14:textId="77777777">
        <w:tc>
          <w:tcPr>
            <w:tcW w:w="1240" w:type="dxa"/>
            <w:shd w:val="clear" w:color="auto" w:fill="E7E6E6"/>
          </w:tcPr>
          <w:p w14:paraId="41AF28C9" w14:textId="77777777" w:rsidR="00BA02CF" w:rsidRDefault="00EE1C4D">
            <w:pPr>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Elementos del cambio de modalidad</w:t>
            </w:r>
          </w:p>
        </w:tc>
        <w:tc>
          <w:tcPr>
            <w:tcW w:w="7588" w:type="dxa"/>
            <w:shd w:val="clear" w:color="auto" w:fill="E7E6E6"/>
          </w:tcPr>
          <w:p w14:paraId="77BC893F" w14:textId="77777777" w:rsidR="00BA02CF" w:rsidRDefault="00EE1C4D">
            <w:pPr>
              <w:jc w:val="center"/>
              <w:rPr>
                <w:rFonts w:ascii="Palatino Linotype" w:eastAsia="Palatino Linotype" w:hAnsi="Palatino Linotype" w:cs="Palatino Linotype"/>
                <w:b/>
                <w:sz w:val="18"/>
                <w:szCs w:val="18"/>
                <w:highlight w:val="green"/>
              </w:rPr>
            </w:pPr>
            <w:r>
              <w:rPr>
                <w:rFonts w:ascii="Palatino Linotype" w:eastAsia="Palatino Linotype" w:hAnsi="Palatino Linotype" w:cs="Palatino Linotype"/>
                <w:b/>
                <w:sz w:val="18"/>
                <w:szCs w:val="18"/>
              </w:rPr>
              <w:t>Contenido</w:t>
            </w:r>
          </w:p>
        </w:tc>
      </w:tr>
      <w:tr w:rsidR="00BA02CF" w14:paraId="257D136B" w14:textId="77777777">
        <w:tc>
          <w:tcPr>
            <w:tcW w:w="1240" w:type="dxa"/>
          </w:tcPr>
          <w:p w14:paraId="32EA7983" w14:textId="77777777" w:rsidR="00BA02CF" w:rsidRDefault="00EE1C4D">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Número de folio de la solicitud</w:t>
            </w:r>
          </w:p>
        </w:tc>
        <w:tc>
          <w:tcPr>
            <w:tcW w:w="7588" w:type="dxa"/>
          </w:tcPr>
          <w:p w14:paraId="68447659" w14:textId="77777777" w:rsidR="00BA02CF" w:rsidRDefault="00EE1C4D">
            <w:pPr>
              <w:rPr>
                <w:rFonts w:ascii="Palatino Linotype" w:eastAsia="Palatino Linotype" w:hAnsi="Palatino Linotype" w:cs="Palatino Linotype"/>
                <w:sz w:val="18"/>
                <w:szCs w:val="18"/>
                <w:highlight w:val="green"/>
              </w:rPr>
            </w:pPr>
            <w:r>
              <w:rPr>
                <w:noProof/>
              </w:rPr>
              <w:drawing>
                <wp:inline distT="0" distB="0" distL="0" distR="0" wp14:anchorId="30CAB94E" wp14:editId="6C33AD7D">
                  <wp:extent cx="4502629" cy="768109"/>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38187" t="61858" r="25322" b="27074"/>
                          <a:stretch>
                            <a:fillRect/>
                          </a:stretch>
                        </pic:blipFill>
                        <pic:spPr>
                          <a:xfrm>
                            <a:off x="0" y="0"/>
                            <a:ext cx="4502629" cy="768109"/>
                          </a:xfrm>
                          <a:prstGeom prst="rect">
                            <a:avLst/>
                          </a:prstGeom>
                          <a:ln/>
                        </pic:spPr>
                      </pic:pic>
                    </a:graphicData>
                  </a:graphic>
                </wp:inline>
              </w:drawing>
            </w:r>
          </w:p>
        </w:tc>
      </w:tr>
      <w:tr w:rsidR="00BA02CF" w14:paraId="69D2D0A7" w14:textId="77777777">
        <w:tc>
          <w:tcPr>
            <w:tcW w:w="1240" w:type="dxa"/>
          </w:tcPr>
          <w:p w14:paraId="4A5EB69A" w14:textId="77777777" w:rsidR="00BA02CF" w:rsidRDefault="00EE1C4D">
            <w:pPr>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18"/>
                <w:szCs w:val="18"/>
              </w:rPr>
              <w:t>Referencia al peso de la información.</w:t>
            </w:r>
          </w:p>
        </w:tc>
        <w:tc>
          <w:tcPr>
            <w:tcW w:w="7588" w:type="dxa"/>
          </w:tcPr>
          <w:p w14:paraId="2E901DC5" w14:textId="77777777" w:rsidR="00BA02CF" w:rsidRDefault="00EE1C4D">
            <w:pPr>
              <w:spacing w:line="360" w:lineRule="auto"/>
              <w:jc w:val="both"/>
              <w:rPr>
                <w:rFonts w:ascii="Palatino Linotype" w:eastAsia="Palatino Linotype" w:hAnsi="Palatino Linotype" w:cs="Palatino Linotype"/>
                <w:color w:val="000000"/>
                <w:sz w:val="24"/>
                <w:szCs w:val="24"/>
                <w:highlight w:val="green"/>
              </w:rPr>
            </w:pPr>
            <w:r>
              <w:rPr>
                <w:noProof/>
              </w:rPr>
              <w:drawing>
                <wp:inline distT="0" distB="0" distL="0" distR="0" wp14:anchorId="1593918B" wp14:editId="59434228">
                  <wp:extent cx="4685429" cy="634986"/>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38187" t="66147" r="26342" b="27895"/>
                          <a:stretch>
                            <a:fillRect/>
                          </a:stretch>
                        </pic:blipFill>
                        <pic:spPr>
                          <a:xfrm>
                            <a:off x="0" y="0"/>
                            <a:ext cx="4685429" cy="634986"/>
                          </a:xfrm>
                          <a:prstGeom prst="rect">
                            <a:avLst/>
                          </a:prstGeom>
                          <a:ln/>
                        </pic:spPr>
                      </pic:pic>
                    </a:graphicData>
                  </a:graphic>
                </wp:inline>
              </w:drawing>
            </w:r>
          </w:p>
        </w:tc>
      </w:tr>
      <w:tr w:rsidR="00BA02CF" w14:paraId="2CDB33A3" w14:textId="77777777">
        <w:tc>
          <w:tcPr>
            <w:tcW w:w="1240" w:type="dxa"/>
          </w:tcPr>
          <w:p w14:paraId="579B7873" w14:textId="77777777" w:rsidR="00BA02CF" w:rsidRDefault="00EE1C4D">
            <w:pPr>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18"/>
                <w:szCs w:val="18"/>
              </w:rPr>
              <w:lastRenderedPageBreak/>
              <w:t>Referencia a otras modalidades de entrega de la información.</w:t>
            </w:r>
          </w:p>
        </w:tc>
        <w:tc>
          <w:tcPr>
            <w:tcW w:w="7588" w:type="dxa"/>
          </w:tcPr>
          <w:p w14:paraId="0268AF32" w14:textId="77777777" w:rsidR="00BA02CF" w:rsidRDefault="00EE1C4D">
            <w:pPr>
              <w:spacing w:line="360" w:lineRule="auto"/>
              <w:jc w:val="both"/>
              <w:rPr>
                <w:rFonts w:ascii="Palatino Linotype" w:eastAsia="Palatino Linotype" w:hAnsi="Palatino Linotype" w:cs="Palatino Linotype"/>
                <w:color w:val="000000"/>
                <w:sz w:val="24"/>
                <w:szCs w:val="24"/>
                <w:highlight w:val="green"/>
              </w:rPr>
            </w:pPr>
            <w:r>
              <w:rPr>
                <w:noProof/>
              </w:rPr>
              <w:drawing>
                <wp:inline distT="0" distB="0" distL="0" distR="0" wp14:anchorId="044DEF5F" wp14:editId="3CE4C623">
                  <wp:extent cx="4775551" cy="1130660"/>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21888" t="38910" r="7849" b="31514"/>
                          <a:stretch>
                            <a:fillRect/>
                          </a:stretch>
                        </pic:blipFill>
                        <pic:spPr>
                          <a:xfrm>
                            <a:off x="0" y="0"/>
                            <a:ext cx="4775551" cy="1130660"/>
                          </a:xfrm>
                          <a:prstGeom prst="rect">
                            <a:avLst/>
                          </a:prstGeom>
                          <a:ln/>
                        </pic:spPr>
                      </pic:pic>
                    </a:graphicData>
                  </a:graphic>
                </wp:inline>
              </w:drawing>
            </w:r>
          </w:p>
          <w:p w14:paraId="0515B55C" w14:textId="77777777" w:rsidR="00BA02CF" w:rsidRDefault="00EE1C4D">
            <w:pPr>
              <w:spacing w:line="360" w:lineRule="auto"/>
              <w:jc w:val="both"/>
              <w:rPr>
                <w:rFonts w:ascii="Palatino Linotype" w:eastAsia="Palatino Linotype" w:hAnsi="Palatino Linotype" w:cs="Palatino Linotype"/>
                <w:color w:val="000000"/>
                <w:sz w:val="24"/>
                <w:szCs w:val="24"/>
                <w:highlight w:val="green"/>
              </w:rPr>
            </w:pPr>
            <w:r>
              <w:rPr>
                <w:noProof/>
              </w:rPr>
              <w:drawing>
                <wp:inline distT="0" distB="0" distL="0" distR="0" wp14:anchorId="2F91F027" wp14:editId="0CB6CDEE">
                  <wp:extent cx="4708332" cy="1244244"/>
                  <wp:effectExtent l="0" t="0" r="0" b="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18221" t="42190" r="11225" b="24661"/>
                          <a:stretch>
                            <a:fillRect/>
                          </a:stretch>
                        </pic:blipFill>
                        <pic:spPr>
                          <a:xfrm>
                            <a:off x="0" y="0"/>
                            <a:ext cx="4708332" cy="1244244"/>
                          </a:xfrm>
                          <a:prstGeom prst="rect">
                            <a:avLst/>
                          </a:prstGeom>
                          <a:ln/>
                        </pic:spPr>
                      </pic:pic>
                    </a:graphicData>
                  </a:graphic>
                </wp:inline>
              </w:drawing>
            </w:r>
          </w:p>
        </w:tc>
      </w:tr>
      <w:tr w:rsidR="00BA02CF" w14:paraId="5ACB0150" w14:textId="77777777">
        <w:tc>
          <w:tcPr>
            <w:tcW w:w="1240" w:type="dxa"/>
          </w:tcPr>
          <w:p w14:paraId="7058BAEF" w14:textId="77777777" w:rsidR="00BA02CF" w:rsidRDefault="00EE1C4D">
            <w:pPr>
              <w:jc w:val="cente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Referencia que la información se pone a disposición por 60 días</w:t>
            </w:r>
          </w:p>
        </w:tc>
        <w:tc>
          <w:tcPr>
            <w:tcW w:w="7588" w:type="dxa"/>
          </w:tcPr>
          <w:p w14:paraId="170865C4" w14:textId="77777777" w:rsidR="00BA02CF" w:rsidRDefault="00EE1C4D">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No se pronuncia. </w:t>
            </w:r>
          </w:p>
          <w:p w14:paraId="3834C088" w14:textId="77777777" w:rsidR="00BA02CF" w:rsidRDefault="00EE1C4D">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rPr>
              <w:t xml:space="preserve">Le indicó que podía consultar la información los </w:t>
            </w:r>
            <w:proofErr w:type="gramStart"/>
            <w:r>
              <w:rPr>
                <w:rFonts w:ascii="Palatino Linotype" w:eastAsia="Palatino Linotype" w:hAnsi="Palatino Linotype" w:cs="Palatino Linotype"/>
                <w:i/>
              </w:rPr>
              <w:t xml:space="preserve">días  </w:t>
            </w:r>
            <w:r>
              <w:rPr>
                <w:rFonts w:ascii="Palatino Linotype" w:eastAsia="Palatino Linotype" w:hAnsi="Palatino Linotype" w:cs="Palatino Linotype"/>
                <w:b/>
                <w:i/>
                <w:u w:val="single"/>
              </w:rPr>
              <w:t>20</w:t>
            </w:r>
            <w:proofErr w:type="gramEnd"/>
            <w:r>
              <w:rPr>
                <w:rFonts w:ascii="Palatino Linotype" w:eastAsia="Palatino Linotype" w:hAnsi="Palatino Linotype" w:cs="Palatino Linotype"/>
                <w:b/>
                <w:i/>
                <w:u w:val="single"/>
              </w:rPr>
              <w:t xml:space="preserve"> de febrero de 2023, 22 de febrero de 2023, 24 de febrero de 2023 y 27 de febrero de 2023.</w:t>
            </w:r>
            <w:r>
              <w:rPr>
                <w:rFonts w:ascii="Palatino Linotype" w:eastAsia="Palatino Linotype" w:hAnsi="Palatino Linotype" w:cs="Palatino Linotype"/>
                <w:i/>
              </w:rPr>
              <w:t xml:space="preserve"> </w:t>
            </w:r>
          </w:p>
        </w:tc>
      </w:tr>
      <w:tr w:rsidR="00BA02CF" w14:paraId="447FBC41" w14:textId="77777777">
        <w:tc>
          <w:tcPr>
            <w:tcW w:w="1240" w:type="dxa"/>
          </w:tcPr>
          <w:p w14:paraId="38FE4715" w14:textId="77777777" w:rsidR="00BA02CF" w:rsidRDefault="00EE1C4D">
            <w:pPr>
              <w:jc w:val="center"/>
              <w:rPr>
                <w:rFonts w:ascii="Palatino Linotype" w:eastAsia="Palatino Linotype" w:hAnsi="Palatino Linotype" w:cs="Palatino Linotype"/>
                <w:color w:val="000000"/>
                <w:sz w:val="24"/>
                <w:szCs w:val="24"/>
              </w:rPr>
            </w:pPr>
            <w:proofErr w:type="gramStart"/>
            <w:r>
              <w:rPr>
                <w:rFonts w:ascii="Palatino Linotype" w:eastAsia="Palatino Linotype" w:hAnsi="Palatino Linotype" w:cs="Palatino Linotype"/>
                <w:color w:val="000000"/>
                <w:sz w:val="18"/>
                <w:szCs w:val="18"/>
              </w:rPr>
              <w:t>Registro  de</w:t>
            </w:r>
            <w:proofErr w:type="gramEnd"/>
            <w:r>
              <w:rPr>
                <w:rFonts w:ascii="Palatino Linotype" w:eastAsia="Palatino Linotype" w:hAnsi="Palatino Linotype" w:cs="Palatino Linotype"/>
                <w:color w:val="000000"/>
                <w:sz w:val="18"/>
                <w:szCs w:val="18"/>
              </w:rPr>
              <w:t xml:space="preserve"> su incidencia ante informática</w:t>
            </w:r>
          </w:p>
        </w:tc>
        <w:tc>
          <w:tcPr>
            <w:tcW w:w="7588" w:type="dxa"/>
          </w:tcPr>
          <w:p w14:paraId="0DF9D57C" w14:textId="77777777" w:rsidR="00BA02CF" w:rsidRDefault="00EE1C4D">
            <w:pPr>
              <w:spacing w:line="360" w:lineRule="auto"/>
              <w:jc w:val="center"/>
              <w:rPr>
                <w:rFonts w:ascii="Palatino Linotype" w:eastAsia="Palatino Linotype" w:hAnsi="Palatino Linotype" w:cs="Palatino Linotype"/>
                <w:color w:val="000000"/>
                <w:sz w:val="24"/>
                <w:szCs w:val="24"/>
                <w:highlight w:val="green"/>
              </w:rPr>
            </w:pPr>
            <w:r>
              <w:rPr>
                <w:noProof/>
              </w:rPr>
              <w:drawing>
                <wp:inline distT="0" distB="0" distL="0" distR="0" wp14:anchorId="5C06DB0E" wp14:editId="0E0E9FC0">
                  <wp:extent cx="2270134" cy="3246820"/>
                  <wp:effectExtent l="0" t="0" r="0" b="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43279" t="18407" r="27528" b="7362"/>
                          <a:stretch>
                            <a:fillRect/>
                          </a:stretch>
                        </pic:blipFill>
                        <pic:spPr>
                          <a:xfrm>
                            <a:off x="0" y="0"/>
                            <a:ext cx="2270134" cy="3246820"/>
                          </a:xfrm>
                          <a:prstGeom prst="rect">
                            <a:avLst/>
                          </a:prstGeom>
                          <a:ln/>
                        </pic:spPr>
                      </pic:pic>
                    </a:graphicData>
                  </a:graphic>
                </wp:inline>
              </w:drawing>
            </w:r>
          </w:p>
        </w:tc>
      </w:tr>
    </w:tbl>
    <w:p w14:paraId="7365EB04" w14:textId="77777777" w:rsidR="00BA02CF" w:rsidRDefault="00BA02CF">
      <w:pPr>
        <w:spacing w:after="0" w:line="360" w:lineRule="auto"/>
        <w:jc w:val="both"/>
        <w:rPr>
          <w:rFonts w:ascii="Palatino Linotype" w:eastAsia="Palatino Linotype" w:hAnsi="Palatino Linotype" w:cs="Palatino Linotype"/>
          <w:color w:val="000000"/>
          <w:sz w:val="24"/>
          <w:szCs w:val="24"/>
          <w:highlight w:val="green"/>
        </w:rPr>
      </w:pPr>
    </w:p>
    <w:p w14:paraId="27F5FDC1" w14:textId="77777777" w:rsidR="00BA02CF" w:rsidRDefault="00EE1C4D">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Del cuadro insertado con antelación, se advierte que parcialmente se reunieron los requisitos para acreditar el cambio de modalidad, no obstante, no puede pasar desapercibido que efectivamente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acreditó una imposibilidad técnica para atender la presente solicitud, por lo tanto, es procedente concederle que otorgue el acceso a la información solicitada por otras modalidades.</w:t>
      </w:r>
    </w:p>
    <w:p w14:paraId="23148DFC" w14:textId="77777777" w:rsidR="00BA02CF" w:rsidRDefault="00BA02CF">
      <w:pPr>
        <w:spacing w:after="0" w:line="360" w:lineRule="auto"/>
        <w:ind w:right="-28"/>
        <w:jc w:val="both"/>
        <w:rPr>
          <w:rFonts w:ascii="Palatino Linotype" w:eastAsia="Palatino Linotype" w:hAnsi="Palatino Linotype" w:cs="Palatino Linotype"/>
          <w:sz w:val="24"/>
          <w:szCs w:val="24"/>
        </w:rPr>
      </w:pPr>
    </w:p>
    <w:p w14:paraId="6697D137"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tal sentido y a fin de salvaguardar el derecho de acceso a la información pública, cabe precisar que se tiene justificado el cambio de modalidad, sin embargo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no puso a disposición del recurrente la información por un plazo mínimo de sesenta días, ya que como se analizó únicamente puso a disposición del particular la información por cuatro días hábiles, lo que </w:t>
      </w:r>
      <w:proofErr w:type="gramStart"/>
      <w:r>
        <w:rPr>
          <w:rFonts w:ascii="Palatino Linotype" w:eastAsia="Palatino Linotype" w:hAnsi="Palatino Linotype" w:cs="Palatino Linotype"/>
          <w:sz w:val="24"/>
          <w:szCs w:val="24"/>
        </w:rPr>
        <w:t>contraviene  lo</w:t>
      </w:r>
      <w:proofErr w:type="gramEnd"/>
      <w:r>
        <w:rPr>
          <w:rFonts w:ascii="Palatino Linotype" w:eastAsia="Palatino Linotype" w:hAnsi="Palatino Linotype" w:cs="Palatino Linotype"/>
          <w:sz w:val="24"/>
          <w:szCs w:val="24"/>
        </w:rPr>
        <w:t xml:space="preserve"> señalado por el segundo párrafo del artículo 166 de la Ley de la Materia que señala: </w:t>
      </w:r>
    </w:p>
    <w:p w14:paraId="69420E8F" w14:textId="77777777" w:rsidR="00BA02CF" w:rsidRDefault="00BA02CF">
      <w:pPr>
        <w:spacing w:after="0" w:line="360" w:lineRule="auto"/>
        <w:jc w:val="both"/>
        <w:rPr>
          <w:rFonts w:ascii="Palatino Linotype" w:eastAsia="Palatino Linotype" w:hAnsi="Palatino Linotype" w:cs="Palatino Linotype"/>
          <w:sz w:val="24"/>
          <w:szCs w:val="24"/>
        </w:rPr>
      </w:pPr>
    </w:p>
    <w:p w14:paraId="26356D27" w14:textId="77777777" w:rsidR="00BA02CF" w:rsidRDefault="00EE1C4D">
      <w:pPr>
        <w:spacing w:after="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166. </w:t>
      </w:r>
      <w:r>
        <w:rPr>
          <w:rFonts w:ascii="Palatino Linotype" w:eastAsia="Palatino Linotype" w:hAnsi="Palatino Linotype" w:cs="Palatino Linotype"/>
          <w:b/>
          <w:i/>
          <w:u w:val="single"/>
        </w:rPr>
        <w:t>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w:t>
      </w:r>
      <w:r>
        <w:rPr>
          <w:rFonts w:ascii="Palatino Linotype" w:eastAsia="Palatino Linotype" w:hAnsi="Palatino Linotype" w:cs="Palatino Linotype"/>
          <w:i/>
        </w:rPr>
        <w:t xml:space="preserve">, contado a partir de que el solicitante hubiere realizado, en su caso, el pago respectivo, el cual deberá efectuarse en un plazo no mayor a treinta días hábiles. </w:t>
      </w:r>
      <w:r>
        <w:rPr>
          <w:rFonts w:ascii="Palatino Linotype" w:eastAsia="Palatino Linotype" w:hAnsi="Palatino Linotype" w:cs="Palatino Linotype"/>
          <w:b/>
          <w:i/>
          <w:u w:val="single"/>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r>
        <w:rPr>
          <w:rFonts w:ascii="Palatino Linotype" w:eastAsia="Palatino Linotype" w:hAnsi="Palatino Linotype" w:cs="Palatino Linotype"/>
          <w:i/>
        </w:rPr>
        <w:t xml:space="preserve">Cuando el sujeto obligado no entregue la respuesta a la solicitud dentro del plazo </w:t>
      </w:r>
      <w:r>
        <w:rPr>
          <w:rFonts w:ascii="Palatino Linotype" w:eastAsia="Palatino Linotype" w:hAnsi="Palatino Linotype" w:cs="Palatino Linotype"/>
          <w:i/>
        </w:rPr>
        <w:lastRenderedPageBreak/>
        <w:t>previsto en la Ley, la solicitud se entenderá negada y el solicitante podrá interponer el recurso de revisión previsto en este ordenamiento.</w:t>
      </w:r>
    </w:p>
    <w:p w14:paraId="6AA9258A" w14:textId="77777777" w:rsidR="00BA02CF" w:rsidRDefault="00EE1C4D">
      <w:pPr>
        <w:spacing w:after="0" w:line="276" w:lineRule="auto"/>
        <w:ind w:left="567"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rPr>
        <w:t xml:space="preserve">Una vez entregada la información, el solicitante acusará recibo por escrito, dándose por terminado el trámite de acceso a la </w:t>
      </w:r>
      <w:proofErr w:type="gramStart"/>
      <w:r>
        <w:rPr>
          <w:rFonts w:ascii="Palatino Linotype" w:eastAsia="Palatino Linotype" w:hAnsi="Palatino Linotype" w:cs="Palatino Linotype"/>
          <w:i/>
        </w:rPr>
        <w:t>información”(</w:t>
      </w:r>
      <w:proofErr w:type="gramEnd"/>
      <w:r>
        <w:rPr>
          <w:rFonts w:ascii="Palatino Linotype" w:eastAsia="Palatino Linotype" w:hAnsi="Palatino Linotype" w:cs="Palatino Linotype"/>
          <w:i/>
        </w:rPr>
        <w:t>Énfasis añadido)</w:t>
      </w:r>
    </w:p>
    <w:p w14:paraId="76121E0F" w14:textId="77777777" w:rsidR="00BA02CF" w:rsidRDefault="00BA02CF">
      <w:pPr>
        <w:spacing w:after="0" w:line="360" w:lineRule="auto"/>
        <w:jc w:val="both"/>
        <w:rPr>
          <w:rFonts w:ascii="Palatino Linotype" w:eastAsia="Palatino Linotype" w:hAnsi="Palatino Linotype" w:cs="Palatino Linotype"/>
          <w:sz w:val="24"/>
          <w:szCs w:val="24"/>
        </w:rPr>
      </w:pPr>
    </w:p>
    <w:p w14:paraId="30181A1D"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se advierte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remitió una relación de ciertos días y horarios para consultar la información siendo inferior a los sesenta días a los que tuene derecho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actuación que a todas luces constituye una afectación y vulneración al derecho de acceso a la información del particular; por lo que se insta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que al momento de atender las solicitudes de información y en la entrega de información garantice que esta sea congruente, veraz, y atienda las necesidades del derecho de acceso a la información de acuerdo a lo dispuesto en el artículo 11 de la Ley de Transparencia Local.</w:t>
      </w:r>
    </w:p>
    <w:p w14:paraId="27AE9D55" w14:textId="77777777" w:rsidR="00BA02CF" w:rsidRDefault="00BA02CF">
      <w:pPr>
        <w:spacing w:after="0" w:line="360" w:lineRule="auto"/>
        <w:jc w:val="both"/>
        <w:rPr>
          <w:rFonts w:ascii="Palatino Linotype" w:eastAsia="Palatino Linotype" w:hAnsi="Palatino Linotype" w:cs="Palatino Linotype"/>
          <w:sz w:val="24"/>
          <w:szCs w:val="24"/>
        </w:rPr>
      </w:pPr>
    </w:p>
    <w:p w14:paraId="70D694B3"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anterior, es necesario precisar que, para el cumplimiento de esta resolución,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contará con un plazo establecido de 60 días, señalado en dicho precepto legal, mismo plazo que deberá computarse posterior a la notificación de la presente resolución, para que, con ello, pueda atenderse en sus términos.</w:t>
      </w:r>
    </w:p>
    <w:p w14:paraId="73139A86" w14:textId="77777777" w:rsidR="00BA02CF" w:rsidRDefault="00BA02CF">
      <w:pPr>
        <w:spacing w:after="0" w:line="360" w:lineRule="auto"/>
        <w:jc w:val="both"/>
        <w:rPr>
          <w:rFonts w:ascii="Palatino Linotype" w:eastAsia="Palatino Linotype" w:hAnsi="Palatino Linotype" w:cs="Palatino Linotype"/>
          <w:sz w:val="24"/>
          <w:szCs w:val="24"/>
        </w:rPr>
      </w:pPr>
    </w:p>
    <w:p w14:paraId="521BFE7D" w14:textId="77777777" w:rsidR="00BA02CF" w:rsidRDefault="00EE1C4D">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tal tesitura, si dentro del transcurso del término señalado en el párrafo anterior,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acuda por la información,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levantará un acta de hechos misma que debe ser remitida a este Instituto, por conducto de la </w:t>
      </w:r>
      <w:r>
        <w:rPr>
          <w:rFonts w:ascii="Palatino Linotype" w:eastAsia="Palatino Linotype" w:hAnsi="Palatino Linotype" w:cs="Palatino Linotype"/>
          <w:b/>
          <w:color w:val="000000"/>
          <w:sz w:val="24"/>
          <w:szCs w:val="24"/>
        </w:rPr>
        <w:t>Secretaría Técnica del Pleno</w:t>
      </w:r>
      <w:r>
        <w:rPr>
          <w:rFonts w:ascii="Palatino Linotype" w:eastAsia="Palatino Linotype" w:hAnsi="Palatino Linotype" w:cs="Palatino Linotype"/>
          <w:color w:val="000000"/>
          <w:sz w:val="24"/>
          <w:szCs w:val="24"/>
        </w:rPr>
        <w:t xml:space="preserve">, junto con el acuse de recibo de la información del Particular; sin embargo, si una vez fenecido el plazo, no acudiera </w:t>
      </w:r>
      <w:r>
        <w:rPr>
          <w:rFonts w:ascii="Palatino Linotype" w:eastAsia="Palatino Linotype" w:hAnsi="Palatino Linotype" w:cs="Palatino Linotype"/>
          <w:color w:val="000000"/>
          <w:sz w:val="24"/>
          <w:szCs w:val="24"/>
        </w:rPr>
        <w:lastRenderedPageBreak/>
        <w:t xml:space="preserve">por los documentos ordenados,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mediante acuerdo dará por concluida la solicitud y podrá, de ser el caso, realizar la destrucción del material en el que se reprodujo, situación que también deberá informar a este Instituto, por el mismo conducto.</w:t>
      </w:r>
    </w:p>
    <w:p w14:paraId="16FEEC56" w14:textId="77777777" w:rsidR="00BA02CF" w:rsidRDefault="00BA02CF">
      <w:pPr>
        <w:spacing w:after="0" w:line="360" w:lineRule="auto"/>
        <w:jc w:val="both"/>
        <w:rPr>
          <w:rFonts w:ascii="Palatino Linotype" w:eastAsia="Palatino Linotype" w:hAnsi="Palatino Linotype" w:cs="Palatino Linotype"/>
          <w:sz w:val="24"/>
          <w:szCs w:val="24"/>
        </w:rPr>
      </w:pPr>
    </w:p>
    <w:p w14:paraId="4CBD5A6F"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VERSIÓN PÚBLICA. </w:t>
      </w:r>
      <w:r>
        <w:rPr>
          <w:rFonts w:ascii="Palatino Linotype" w:eastAsia="Palatino Linotype" w:hAnsi="Palatino Linotype" w:cs="Palatino Linotype"/>
          <w:sz w:val="24"/>
          <w:szCs w:val="24"/>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17434133" w14:textId="77777777" w:rsidR="00BA02CF" w:rsidRDefault="00BA02CF">
      <w:pPr>
        <w:spacing w:after="0" w:line="360" w:lineRule="auto"/>
        <w:jc w:val="both"/>
        <w:rPr>
          <w:rFonts w:ascii="Palatino Linotype" w:eastAsia="Palatino Linotype" w:hAnsi="Palatino Linotype" w:cs="Palatino Linotype"/>
          <w:sz w:val="24"/>
          <w:szCs w:val="24"/>
        </w:rPr>
      </w:pPr>
    </w:p>
    <w:p w14:paraId="0A28F216" w14:textId="77777777" w:rsidR="00BA02CF" w:rsidRDefault="00EE1C4D">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de conformidad a lo que señalan los artículos 3 fracciones IX, XX, XXI y XLV, 91, 132 fracciones II y III, y 143 fracción I de la Ley de Transparencia y Acceso a la Información Pública del Estado de México y Municipios que establecen:</w:t>
      </w:r>
    </w:p>
    <w:p w14:paraId="5FDBDE14" w14:textId="77777777" w:rsidR="00BA02CF" w:rsidRDefault="00BA02CF">
      <w:pPr>
        <w:spacing w:after="0" w:line="360" w:lineRule="auto"/>
        <w:ind w:right="50"/>
        <w:jc w:val="both"/>
        <w:rPr>
          <w:rFonts w:ascii="Palatino Linotype" w:eastAsia="Palatino Linotype" w:hAnsi="Palatino Linotype" w:cs="Palatino Linotype"/>
          <w:sz w:val="24"/>
          <w:szCs w:val="24"/>
        </w:rPr>
      </w:pPr>
    </w:p>
    <w:p w14:paraId="10E385ED"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Para los efectos de la presente Ley se entenderá por:</w:t>
      </w:r>
    </w:p>
    <w:p w14:paraId="039594B7"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C76EC20"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IX. Datos personales:</w:t>
      </w:r>
      <w:r>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194D5195"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14:paraId="463F7F52"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XXI. Información confidencial:</w:t>
      </w:r>
      <w:r>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D043D7E"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76B7AFEF"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FE5679F"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91. </w:t>
      </w:r>
      <w:r>
        <w:rPr>
          <w:rFonts w:ascii="Palatino Linotype" w:eastAsia="Palatino Linotype" w:hAnsi="Palatino Linotype" w:cs="Palatino Linotype"/>
          <w:i/>
        </w:rPr>
        <w:t>El acceso a la información pública será restringido excepcionalmente, cuando ésta sea clasificada como reservada o confidencial.</w:t>
      </w:r>
    </w:p>
    <w:p w14:paraId="1EC52C16"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132. </w:t>
      </w:r>
      <w:r>
        <w:rPr>
          <w:rFonts w:ascii="Palatino Linotype" w:eastAsia="Palatino Linotype" w:hAnsi="Palatino Linotype" w:cs="Palatino Linotype"/>
          <w:i/>
        </w:rPr>
        <w:t>La clasificación de la información se llevará a cabo en el momento en que:</w:t>
      </w:r>
    </w:p>
    <w:p w14:paraId="0D38FC12"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Se reciba una solicitud de acceso a la información;</w:t>
      </w:r>
    </w:p>
    <w:p w14:paraId="5E2AFB3B"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Se determine mediante resolución de autoridad competente; o</w:t>
      </w:r>
    </w:p>
    <w:p w14:paraId="31F4E538"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Se generen versiones públicas para dar cumplimiento a las obligaciones de transparencia previstas en esta Ley.</w:t>
      </w:r>
    </w:p>
    <w:p w14:paraId="1B0A6692"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90D9E9E"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14:paraId="1A8AFA5A"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60B31859"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1B9FD60"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La que presenten los particulares a los sujetos obligados, de conformidad con lo dispuesto por las leyes o los tratados internacionales.</w:t>
      </w:r>
    </w:p>
    <w:p w14:paraId="673A2D0E"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La información confidencial no estará sujeta a temporalidad alguna y sólo podrán tener acceso a ella los titulares de la misma, sus representantes y los servidores públicos facultados para ello.</w:t>
      </w:r>
    </w:p>
    <w:p w14:paraId="3DDF627B" w14:textId="77777777" w:rsidR="00BA02CF" w:rsidRDefault="00EE1C4D">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3DD1CDD8" w14:textId="77777777" w:rsidR="00BA02CF" w:rsidRDefault="00BA02CF">
      <w:pPr>
        <w:spacing w:after="0" w:line="276" w:lineRule="auto"/>
        <w:ind w:left="567" w:right="902"/>
        <w:jc w:val="both"/>
        <w:rPr>
          <w:rFonts w:ascii="Palatino Linotype" w:eastAsia="Palatino Linotype" w:hAnsi="Palatino Linotype" w:cs="Palatino Linotype"/>
          <w:sz w:val="24"/>
          <w:szCs w:val="24"/>
        </w:rPr>
      </w:pPr>
    </w:p>
    <w:p w14:paraId="34D2A40C"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FEC2C44" w14:textId="77777777" w:rsidR="00BA02CF" w:rsidRDefault="00BA02CF">
      <w:pPr>
        <w:spacing w:after="0" w:line="360" w:lineRule="auto"/>
        <w:jc w:val="both"/>
        <w:rPr>
          <w:rFonts w:ascii="Palatino Linotype" w:eastAsia="Palatino Linotype" w:hAnsi="Palatino Linotype" w:cs="Palatino Linotype"/>
          <w:sz w:val="24"/>
          <w:szCs w:val="24"/>
        </w:rPr>
      </w:pPr>
    </w:p>
    <w:p w14:paraId="726AE040"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Entorno a lo que aquí nos interesa,</w:t>
      </w:r>
      <w:r>
        <w:rPr>
          <w:rFonts w:ascii="Palatino Linotype" w:eastAsia="Palatino Linotype" w:hAnsi="Palatino Linotype" w:cs="Palatino Linotype"/>
          <w:color w:val="000000"/>
          <w:sz w:val="24"/>
          <w:szCs w:val="24"/>
        </w:rPr>
        <w:t xml:space="preserve"> los Lineamientos Quincuagésimo, Quincuagésimo primero, Quincuagésimo segundo, Quincuagésimo tercero, Quincuagésimo cuarto y Quincuagésimo quinto</w:t>
      </w:r>
      <w:r>
        <w:rPr>
          <w:rFonts w:ascii="Palatino Linotype" w:eastAsia="Palatino Linotype" w:hAnsi="Palatino Linotype" w:cs="Palatino Linotype"/>
          <w:sz w:val="24"/>
          <w:szCs w:val="24"/>
        </w:rPr>
        <w:t xml:space="preserve"> señalan las formalidades que deberá llevar el acuerdo de clasificación que deberá emitir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siendo estas las siguientes:</w:t>
      </w:r>
    </w:p>
    <w:p w14:paraId="0929F642" w14:textId="77777777" w:rsidR="00BA02CF" w:rsidRDefault="00BA02CF">
      <w:pPr>
        <w:spacing w:after="0" w:line="360" w:lineRule="auto"/>
        <w:jc w:val="both"/>
        <w:rPr>
          <w:rFonts w:ascii="Palatino Linotype" w:eastAsia="Palatino Linotype" w:hAnsi="Palatino Linotype" w:cs="Palatino Linotype"/>
          <w:sz w:val="24"/>
          <w:szCs w:val="24"/>
        </w:rPr>
      </w:pPr>
    </w:p>
    <w:p w14:paraId="29D8F0F5" w14:textId="77777777" w:rsidR="00BA02CF" w:rsidRDefault="00EE1C4D">
      <w:pPr>
        <w:spacing w:after="0" w:line="276" w:lineRule="auto"/>
        <w:ind w:left="567"/>
        <w:jc w:val="both"/>
        <w:rPr>
          <w:rFonts w:ascii="Palatino Linotype" w:eastAsia="Palatino Linotype" w:hAnsi="Palatino Linotype" w:cs="Palatino Linotype"/>
          <w:i/>
        </w:rPr>
      </w:pPr>
      <w:r>
        <w:rPr>
          <w:rFonts w:ascii="Palatino Linotype" w:eastAsia="Palatino Linotype" w:hAnsi="Palatino Linotype" w:cs="Palatino Linotype"/>
          <w:i/>
        </w:rPr>
        <w:t xml:space="preserve">“CAPÍTULO VIII </w:t>
      </w:r>
    </w:p>
    <w:p w14:paraId="02A0BC93" w14:textId="77777777" w:rsidR="00BA02CF" w:rsidRDefault="00EE1C4D">
      <w:pPr>
        <w:spacing w:after="0" w:line="276" w:lineRule="auto"/>
        <w:ind w:left="567"/>
        <w:jc w:val="both"/>
        <w:rPr>
          <w:rFonts w:ascii="Palatino Linotype" w:eastAsia="Palatino Linotype" w:hAnsi="Palatino Linotype" w:cs="Palatino Linotype"/>
          <w:i/>
        </w:rPr>
      </w:pPr>
      <w:r>
        <w:rPr>
          <w:rFonts w:ascii="Palatino Linotype" w:eastAsia="Palatino Linotype" w:hAnsi="Palatino Linotype" w:cs="Palatino Linotype"/>
          <w:i/>
        </w:rPr>
        <w:t xml:space="preserve">DE LOS ELEMENTOS PARA LA CLASIFICACIÓN </w:t>
      </w:r>
    </w:p>
    <w:p w14:paraId="6B6F1783" w14:textId="77777777" w:rsidR="00BA02CF" w:rsidRDefault="00EE1C4D">
      <w:pPr>
        <w:spacing w:after="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Quincuagésimo.</w:t>
      </w:r>
      <w:r>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FE5DAB4" w14:textId="77777777" w:rsidR="00BA02CF" w:rsidRDefault="00EE1C4D">
      <w:pPr>
        <w:spacing w:after="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b/>
          <w:i/>
        </w:rPr>
        <w:t>Quincuagésimo primero.</w:t>
      </w:r>
      <w:r>
        <w:rPr>
          <w:rFonts w:ascii="Palatino Linotype" w:eastAsia="Palatino Linotype" w:hAnsi="Palatino Linotype" w:cs="Palatino Linotype"/>
          <w:i/>
        </w:rPr>
        <w:t xml:space="preserve"> Toda acta del Comité de Transparencia deberá contener: </w:t>
      </w:r>
    </w:p>
    <w:p w14:paraId="5003FB57" w14:textId="77777777" w:rsidR="00BA02CF" w:rsidRDefault="00EE1C4D">
      <w:pPr>
        <w:numPr>
          <w:ilvl w:val="1"/>
          <w:numId w:val="2"/>
        </w:numPr>
        <w:pBdr>
          <w:top w:val="nil"/>
          <w:left w:val="nil"/>
          <w:bottom w:val="nil"/>
          <w:right w:val="nil"/>
          <w:between w:val="nil"/>
        </w:pBdr>
        <w:spacing w:after="0" w:line="276" w:lineRule="auto"/>
        <w:ind w:left="567" w:right="90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El número de sesión y fecha; </w:t>
      </w:r>
    </w:p>
    <w:p w14:paraId="43CE0B2D" w14:textId="77777777" w:rsidR="00BA02CF" w:rsidRDefault="00EE1C4D">
      <w:pPr>
        <w:numPr>
          <w:ilvl w:val="1"/>
          <w:numId w:val="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El nombre del área que solicitó la clasificación de información; </w:t>
      </w:r>
    </w:p>
    <w:p w14:paraId="528F9DA1" w14:textId="77777777" w:rsidR="00BA02CF" w:rsidRDefault="00EE1C4D">
      <w:pPr>
        <w:numPr>
          <w:ilvl w:val="1"/>
          <w:numId w:val="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 fundamentación legal y motivación correspondiente; </w:t>
      </w:r>
    </w:p>
    <w:p w14:paraId="6A9F12FC" w14:textId="77777777" w:rsidR="00BA02CF" w:rsidRDefault="00EE1C4D">
      <w:pPr>
        <w:numPr>
          <w:ilvl w:val="1"/>
          <w:numId w:val="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 resolución o resoluciones aprobadas; y </w:t>
      </w:r>
    </w:p>
    <w:p w14:paraId="73A84428" w14:textId="77777777" w:rsidR="00BA02CF" w:rsidRDefault="00EE1C4D">
      <w:pPr>
        <w:numPr>
          <w:ilvl w:val="1"/>
          <w:numId w:val="2"/>
        </w:numPr>
        <w:pBdr>
          <w:top w:val="nil"/>
          <w:left w:val="nil"/>
          <w:bottom w:val="nil"/>
          <w:right w:val="nil"/>
          <w:between w:val="nil"/>
        </w:pBdr>
        <w:spacing w:after="0" w:line="276" w:lineRule="auto"/>
        <w:ind w:left="426" w:right="90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 rúbrica o firma digital de cada integrante del Comité de Transparencia. </w:t>
      </w:r>
    </w:p>
    <w:p w14:paraId="194BA0FA" w14:textId="77777777" w:rsidR="00BA02CF" w:rsidRDefault="00EE1C4D">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Las resoluciones del Comité en las que se haya determinado confirmar o modificar la clasificación de información pública como reservada, deberán incluir, cuando menos: </w:t>
      </w:r>
    </w:p>
    <w:p w14:paraId="056B66C6" w14:textId="77777777" w:rsidR="00BA02CF" w:rsidRDefault="00EE1C4D">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 Los motivos y razonamientos que sustenten la confirmación o modificación de la prueba de daño;</w:t>
      </w:r>
    </w:p>
    <w:p w14:paraId="04526624" w14:textId="77777777" w:rsidR="00BA02CF" w:rsidRDefault="00EE1C4D">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 Descripción de las partes o secciones reservadas, en caso de clasificación parcial; </w:t>
      </w:r>
    </w:p>
    <w:p w14:paraId="68252CFF" w14:textId="77777777" w:rsidR="00BA02CF" w:rsidRDefault="00EE1C4D">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III. El periodo por el que mantendrá su clasificación y fecha de expiración; y </w:t>
      </w:r>
    </w:p>
    <w:p w14:paraId="753C1C22" w14:textId="77777777" w:rsidR="00BA02CF" w:rsidRDefault="00EE1C4D">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IV. El nombre del titular y área encargada de realizar la versión pública del documento, en su caso. </w:t>
      </w:r>
    </w:p>
    <w:p w14:paraId="1E103AF7" w14:textId="77777777" w:rsidR="00BA02CF" w:rsidRDefault="00EE1C4D">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los casos en que se clasifique la información como reservada siempre se entregará o anexará la prueba de daño con la respuesta al solicitante. </w:t>
      </w:r>
    </w:p>
    <w:p w14:paraId="6FB2DDE2" w14:textId="77777777" w:rsidR="00BA02CF" w:rsidRDefault="00EE1C4D">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En los casos de resoluciones del Comité de Transparencia en las que se confirme la clasificación de información confidencial solo se deberán de identificar los tipos de datos protegidos, de conformidad con el lineamiento trigésimo octavo.</w:t>
      </w:r>
    </w:p>
    <w:p w14:paraId="3BF7243B" w14:textId="77777777" w:rsidR="00BA02CF" w:rsidRDefault="00EE1C4D">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Quincuagésimo segundo. </w:t>
      </w:r>
      <w:r>
        <w:rPr>
          <w:rFonts w:ascii="Palatino Linotype" w:eastAsia="Palatino Linotype" w:hAnsi="Palatino Linotype" w:cs="Palatino Linotype"/>
          <w:i/>
          <w:color w:val="000000"/>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335D277" w14:textId="77777777" w:rsidR="00BA02CF" w:rsidRDefault="00EE1C4D">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el caso específico de la clasificación y elaboración de versiones públicas de documentos que contengan información confidencial, las áreas de los sujetos obligados deberán:</w:t>
      </w:r>
    </w:p>
    <w:p w14:paraId="12D7C958" w14:textId="77777777" w:rsidR="00BA02CF" w:rsidRDefault="00EE1C4D">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I. Fijar la fecha en que se elaboró la versión pública y la fecha en la cual el Comité de</w:t>
      </w:r>
    </w:p>
    <w:p w14:paraId="7B53EB97" w14:textId="77777777" w:rsidR="00BA02CF" w:rsidRDefault="00EE1C4D">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Transparencia confirmó dicha versión;</w:t>
      </w:r>
    </w:p>
    <w:p w14:paraId="5D81E9A7" w14:textId="77777777" w:rsidR="00BA02CF" w:rsidRDefault="00EE1C4D">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 Señalar dentro del documento el tipo de información confidencial que fue testada en cada caso específico, de conformidad con el lineamiento trigésimo octavo; y</w:t>
      </w:r>
    </w:p>
    <w:p w14:paraId="5BED97CA" w14:textId="77777777" w:rsidR="00BA02CF" w:rsidRDefault="00EE1C4D">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Señalar las personas o instancias autorizadas a acceder a la información clasificada.</w:t>
      </w:r>
    </w:p>
    <w:p w14:paraId="44E4FE58" w14:textId="77777777" w:rsidR="00BA02CF" w:rsidRDefault="00EE1C4D">
      <w:pPr>
        <w:pBdr>
          <w:top w:val="nil"/>
          <w:left w:val="nil"/>
          <w:bottom w:val="nil"/>
          <w:right w:val="nil"/>
          <w:between w:val="nil"/>
        </w:pBdr>
        <w:spacing w:after="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los documentos de difusión electrónica, señalar en la primera hoja y en el nombre del archivo, que la versión pública corresponde a un documento que contiene información confidencial.</w:t>
      </w:r>
      <w:r>
        <w:rPr>
          <w:noProof/>
        </w:rPr>
        <w:drawing>
          <wp:anchor distT="0" distB="0" distL="114300" distR="114300" simplePos="0" relativeHeight="251658240" behindDoc="0" locked="0" layoutInCell="1" hidden="0" allowOverlap="1" wp14:anchorId="62133F4C" wp14:editId="17702971">
            <wp:simplePos x="0" y="0"/>
            <wp:positionH relativeFrom="column">
              <wp:posOffset>377190</wp:posOffset>
            </wp:positionH>
            <wp:positionV relativeFrom="paragraph">
              <wp:posOffset>798830</wp:posOffset>
            </wp:positionV>
            <wp:extent cx="4568190" cy="330200"/>
            <wp:effectExtent l="0" t="0" r="0" b="0"/>
            <wp:wrapTopAndBottom distT="0" distB="0"/>
            <wp:docPr id="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568190" cy="330200"/>
                    </a:xfrm>
                    <a:prstGeom prst="rect">
                      <a:avLst/>
                    </a:prstGeom>
                    <a:ln/>
                  </pic:spPr>
                </pic:pic>
              </a:graphicData>
            </a:graphic>
          </wp:anchor>
        </w:drawing>
      </w:r>
    </w:p>
    <w:p w14:paraId="1FFE4745" w14:textId="77777777" w:rsidR="00BA02CF" w:rsidRDefault="00EE1C4D">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rPr>
        <w:lastRenderedPageBreak/>
        <w:drawing>
          <wp:inline distT="0" distB="0" distL="0" distR="0" wp14:anchorId="44F29DEE" wp14:editId="2AA1910C">
            <wp:extent cx="4576404" cy="5139653"/>
            <wp:effectExtent l="0" t="0" r="0" b="0"/>
            <wp:docPr id="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576404" cy="5139653"/>
                    </a:xfrm>
                    <a:prstGeom prst="rect">
                      <a:avLst/>
                    </a:prstGeom>
                    <a:ln/>
                  </pic:spPr>
                </pic:pic>
              </a:graphicData>
            </a:graphic>
          </wp:inline>
        </w:drawing>
      </w:r>
    </w:p>
    <w:p w14:paraId="7900D89C" w14:textId="77777777" w:rsidR="00BA02CF" w:rsidRDefault="00EE1C4D">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Quincuagésimo cuarto. </w:t>
      </w:r>
      <w:r>
        <w:rPr>
          <w:rFonts w:ascii="Palatino Linotype" w:eastAsia="Palatino Linotype" w:hAnsi="Palatino Linotype" w:cs="Palatino Linotype"/>
          <w:i/>
          <w:color w:val="000000"/>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082E1DE" w14:textId="77777777" w:rsidR="00BA02CF" w:rsidRDefault="00BA02CF">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color w:val="000000"/>
        </w:rPr>
      </w:pPr>
    </w:p>
    <w:p w14:paraId="281FCB9B" w14:textId="77777777" w:rsidR="00BA02CF" w:rsidRDefault="00EE1C4D">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Quincuagésimo quinto. </w:t>
      </w:r>
      <w:r>
        <w:rPr>
          <w:rFonts w:ascii="Palatino Linotype" w:eastAsia="Palatino Linotype" w:hAnsi="Palatino Linotype" w:cs="Palatino Linotype"/>
          <w:i/>
          <w:color w:val="000000"/>
        </w:rPr>
        <w:t xml:space="preserve">Cada área del sujeto obligado podrá designar formalmente a una o más personas como responsables del </w:t>
      </w:r>
      <w:proofErr w:type="spellStart"/>
      <w:r>
        <w:rPr>
          <w:rFonts w:ascii="Palatino Linotype" w:eastAsia="Palatino Linotype" w:hAnsi="Palatino Linotype" w:cs="Palatino Linotype"/>
          <w:i/>
          <w:color w:val="000000"/>
        </w:rPr>
        <w:t>testado</w:t>
      </w:r>
      <w:proofErr w:type="spellEnd"/>
      <w:r>
        <w:rPr>
          <w:rFonts w:ascii="Palatino Linotype" w:eastAsia="Palatino Linotype" w:hAnsi="Palatino Linotype" w:cs="Palatino Linotype"/>
          <w:i/>
          <w:color w:val="000000"/>
        </w:rPr>
        <w:t xml:space="preserve">, que sean encargadas de la </w:t>
      </w:r>
      <w:r>
        <w:rPr>
          <w:rFonts w:ascii="Palatino Linotype" w:eastAsia="Palatino Linotype" w:hAnsi="Palatino Linotype" w:cs="Palatino Linotype"/>
          <w:i/>
          <w:color w:val="000000"/>
        </w:rPr>
        <w:lastRenderedPageBreak/>
        <w:t xml:space="preserve">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66D2B77F" w14:textId="77777777" w:rsidR="00BA02CF" w:rsidRDefault="00BA02CF">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sz w:val="24"/>
          <w:szCs w:val="24"/>
        </w:rPr>
      </w:pPr>
    </w:p>
    <w:p w14:paraId="3CD67A33"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B1AC20F" w14:textId="77777777" w:rsidR="00BA02CF" w:rsidRDefault="00BA02CF">
      <w:pPr>
        <w:spacing w:after="0" w:line="360" w:lineRule="auto"/>
        <w:jc w:val="both"/>
        <w:rPr>
          <w:rFonts w:ascii="Palatino Linotype" w:eastAsia="Palatino Linotype" w:hAnsi="Palatino Linotype" w:cs="Palatino Linotype"/>
          <w:sz w:val="24"/>
          <w:szCs w:val="24"/>
        </w:rPr>
      </w:pPr>
    </w:p>
    <w:p w14:paraId="1C937086"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por todo lo expuesto que resulta procedente revocar la respuesta en términos de la fracción III del artículo 186 de la Ley de Transparencia y Acceso a la Información Pública del Estado de México y Municipios, a efectos de que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entregue la información requerida.</w:t>
      </w:r>
    </w:p>
    <w:p w14:paraId="5F508B8F" w14:textId="77777777" w:rsidR="00BA02CF" w:rsidRDefault="00BA02CF">
      <w:pPr>
        <w:spacing w:after="0" w:line="360" w:lineRule="auto"/>
        <w:jc w:val="both"/>
        <w:rPr>
          <w:rFonts w:ascii="Palatino Linotype" w:eastAsia="Palatino Linotype" w:hAnsi="Palatino Linotype" w:cs="Palatino Linotype"/>
          <w:sz w:val="24"/>
          <w:szCs w:val="24"/>
        </w:rPr>
      </w:pPr>
    </w:p>
    <w:p w14:paraId="3006E6B6"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párrafos </w:t>
      </w:r>
      <w:r>
        <w:rPr>
          <w:rFonts w:ascii="Palatino Linotype" w:eastAsia="Palatino Linotype" w:hAnsi="Palatino Linotype" w:cs="Palatino Linotype"/>
          <w:color w:val="000000"/>
          <w:sz w:val="24"/>
          <w:szCs w:val="24"/>
        </w:rPr>
        <w:t>trigésimo segundo, trigésimo tercero y trigésimo cuarto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 xml:space="preserve">de la Constitución Política del Estado Libre y Soberano de México; 2, fracción II; 29, 36 fracciones I y II; 176, 178, 181, 185 de la Ley </w:t>
      </w:r>
      <w:r>
        <w:rPr>
          <w:rFonts w:ascii="Palatino Linotype" w:eastAsia="Palatino Linotype" w:hAnsi="Palatino Linotype" w:cs="Palatino Linotype"/>
          <w:sz w:val="24"/>
          <w:szCs w:val="24"/>
        </w:rPr>
        <w:lastRenderedPageBreak/>
        <w:t>de Transparencia y Acceso a la Información Pública del Estado de México y Municipios, este Pleno:</w:t>
      </w:r>
    </w:p>
    <w:p w14:paraId="13CD8DF7" w14:textId="77777777" w:rsidR="00BA02CF" w:rsidRDefault="00BA02CF">
      <w:pPr>
        <w:spacing w:after="0" w:line="360" w:lineRule="auto"/>
        <w:jc w:val="both"/>
        <w:rPr>
          <w:rFonts w:ascii="Palatino Linotype" w:eastAsia="Palatino Linotype" w:hAnsi="Palatino Linotype" w:cs="Palatino Linotype"/>
          <w:sz w:val="28"/>
          <w:szCs w:val="28"/>
        </w:rPr>
      </w:pPr>
    </w:p>
    <w:p w14:paraId="4FCBF8E6" w14:textId="77777777" w:rsidR="00BA02CF" w:rsidRDefault="00EE1C4D">
      <w:pPr>
        <w:spacing w:after="0" w:line="360" w:lineRule="auto"/>
        <w:ind w:right="-93"/>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14:paraId="5F1863EC" w14:textId="77777777" w:rsidR="00BA02CF" w:rsidRDefault="00BA02CF">
      <w:pPr>
        <w:spacing w:after="0" w:line="360" w:lineRule="auto"/>
        <w:ind w:right="-93"/>
        <w:jc w:val="center"/>
        <w:rPr>
          <w:rFonts w:ascii="Palatino Linotype" w:eastAsia="Palatino Linotype" w:hAnsi="Palatino Linotype" w:cs="Palatino Linotype"/>
          <w:b/>
          <w:sz w:val="24"/>
          <w:szCs w:val="24"/>
        </w:rPr>
      </w:pPr>
    </w:p>
    <w:p w14:paraId="45BE42CE"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Resultan fundados los motivos de inconformidad hechos valer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00984/INFOEM/IP/RR/2023,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esta resolución, se </w:t>
      </w:r>
      <w:r>
        <w:rPr>
          <w:rFonts w:ascii="Palatino Linotype" w:eastAsia="Palatino Linotype" w:hAnsi="Palatino Linotype" w:cs="Palatino Linotype"/>
          <w:b/>
          <w:color w:val="000000"/>
          <w:sz w:val="24"/>
          <w:szCs w:val="24"/>
        </w:rPr>
        <w:t xml:space="preserve">MODIFICA </w:t>
      </w:r>
      <w:r>
        <w:rPr>
          <w:rFonts w:ascii="Palatino Linotype" w:eastAsia="Palatino Linotype" w:hAnsi="Palatino Linotype" w:cs="Palatino Linotype"/>
          <w:sz w:val="24"/>
          <w:szCs w:val="24"/>
        </w:rPr>
        <w:t xml:space="preserve">la respuesta 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14:paraId="2F15AC28" w14:textId="77777777" w:rsidR="00BA02CF" w:rsidRDefault="00BA02CF">
      <w:pPr>
        <w:spacing w:after="0" w:line="360" w:lineRule="auto"/>
        <w:jc w:val="both"/>
        <w:rPr>
          <w:rFonts w:ascii="Palatino Linotype" w:eastAsia="Palatino Linotype" w:hAnsi="Palatino Linotype" w:cs="Palatino Linotype"/>
          <w:b/>
          <w:color w:val="FF0000"/>
          <w:sz w:val="24"/>
          <w:szCs w:val="24"/>
        </w:rPr>
      </w:pPr>
    </w:p>
    <w:p w14:paraId="6D7A53C5" w14:textId="77777777" w:rsidR="00BA02CF" w:rsidRDefault="00EE1C4D">
      <w:pPr>
        <w:spacing w:after="0" w:line="360" w:lineRule="auto"/>
        <w:jc w:val="both"/>
        <w:rPr>
          <w:rFonts w:ascii="Palatino Linotype" w:eastAsia="Palatino Linotype" w:hAnsi="Palatino Linotype" w:cs="Palatino Linotype"/>
          <w:sz w:val="24"/>
          <w:szCs w:val="24"/>
        </w:rPr>
      </w:pPr>
      <w:bookmarkStart w:id="1" w:name="_heading=h.kelgs2428oa6" w:colFirst="0" w:colLast="0"/>
      <w:bookmarkEnd w:id="1"/>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términos del Consideran</w:t>
      </w:r>
      <w:r>
        <w:rPr>
          <w:rFonts w:ascii="Palatino Linotype" w:eastAsia="Palatino Linotype" w:hAnsi="Palatino Linotype" w:cs="Palatino Linotype"/>
          <w:color w:val="000000"/>
          <w:sz w:val="24"/>
          <w:szCs w:val="24"/>
        </w:rPr>
        <w:t>do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b/>
          <w:sz w:val="24"/>
          <w:szCs w:val="24"/>
        </w:rPr>
        <w:t xml:space="preserve">Cuarto y Quinto </w:t>
      </w:r>
      <w:r>
        <w:rPr>
          <w:rFonts w:ascii="Palatino Linotype" w:eastAsia="Palatino Linotype" w:hAnsi="Palatino Linotype" w:cs="Palatino Linotype"/>
          <w:sz w:val="24"/>
          <w:szCs w:val="24"/>
        </w:rPr>
        <w:t>de ser procedente, en términos de los Considerandos Cuarto y Quinto de la presente resolución, ponga a disposición,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de lo siguiente:</w:t>
      </w:r>
    </w:p>
    <w:p w14:paraId="08EC9339" w14:textId="77777777" w:rsidR="00BA02CF" w:rsidRDefault="00BA02CF">
      <w:pPr>
        <w:spacing w:after="0" w:line="360" w:lineRule="auto"/>
        <w:jc w:val="both"/>
        <w:rPr>
          <w:rFonts w:ascii="Palatino Linotype" w:eastAsia="Palatino Linotype" w:hAnsi="Palatino Linotype" w:cs="Palatino Linotype"/>
          <w:sz w:val="24"/>
          <w:szCs w:val="24"/>
        </w:rPr>
      </w:pPr>
    </w:p>
    <w:p w14:paraId="76D89F7C" w14:textId="77777777" w:rsidR="00BA02CF" w:rsidRDefault="00EE1C4D">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sz w:val="24"/>
          <w:szCs w:val="24"/>
        </w:rPr>
        <w:t xml:space="preserve">Los oficios recibidos y enviados del primero de enero de dos mil dieciocho al diecisiete de enero de dos mil veintitrés por la Secretaría Técnica, Secretaría Particular, Dirección de Políticas, Coordinación de Administración y plataforma digital estatal. </w:t>
      </w:r>
    </w:p>
    <w:p w14:paraId="6F6B5793" w14:textId="77777777" w:rsidR="00BA02CF" w:rsidRDefault="00BA02CF">
      <w:pPr>
        <w:pBdr>
          <w:top w:val="nil"/>
          <w:left w:val="nil"/>
          <w:bottom w:val="nil"/>
          <w:right w:val="nil"/>
          <w:between w:val="nil"/>
        </w:pBdr>
        <w:spacing w:after="0" w:line="360" w:lineRule="auto"/>
        <w:ind w:left="360"/>
        <w:jc w:val="both"/>
        <w:rPr>
          <w:rFonts w:ascii="Palatino Linotype" w:eastAsia="Palatino Linotype" w:hAnsi="Palatino Linotype" w:cs="Palatino Linotype"/>
          <w:i/>
          <w:color w:val="000000"/>
        </w:rPr>
      </w:pPr>
    </w:p>
    <w:p w14:paraId="040B823D" w14:textId="77777777" w:rsidR="00BA02CF" w:rsidRDefault="00EE1C4D">
      <w:pPr>
        <w:pBdr>
          <w:top w:val="nil"/>
          <w:left w:val="nil"/>
          <w:bottom w:val="nil"/>
          <w:right w:val="nil"/>
          <w:between w:val="nil"/>
        </w:pBdr>
        <w:spacing w:after="0" w:line="276" w:lineRule="auto"/>
        <w:ind w:left="357"/>
        <w:jc w:val="both"/>
        <w:rPr>
          <w:rFonts w:ascii="Palatino Linotype" w:eastAsia="Palatino Linotype" w:hAnsi="Palatino Linotype" w:cs="Palatino Linotype"/>
          <w:i/>
        </w:rPr>
      </w:pPr>
      <w:r>
        <w:rPr>
          <w:rFonts w:ascii="Palatino Linotype" w:eastAsia="Palatino Linotype" w:hAnsi="Palatino Linotype" w:cs="Palatino Linotype"/>
          <w:i/>
        </w:rPr>
        <w:t>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w:t>
      </w:r>
      <w:r>
        <w:t xml:space="preserve"> la </w:t>
      </w:r>
      <w:r>
        <w:rPr>
          <w:rFonts w:ascii="Palatino Linotype" w:eastAsia="Palatino Linotype" w:hAnsi="Palatino Linotype" w:cs="Palatino Linotype"/>
          <w:i/>
        </w:rPr>
        <w:t xml:space="preserve">Ley de Transparencia y Acceso a la Información Pública del Estado de México y Municipios, así como el nombre del servidor público que le atenderá. Además, deberá señalar que en caso de que </w:t>
      </w:r>
      <w:r>
        <w:rPr>
          <w:rFonts w:ascii="Palatino Linotype" w:eastAsia="Palatino Linotype" w:hAnsi="Palatino Linotype" w:cs="Palatino Linotype"/>
          <w:b/>
          <w:i/>
        </w:rPr>
        <w:t>LA PARTE RECURRENTE</w:t>
      </w:r>
      <w:r>
        <w:rPr>
          <w:rFonts w:ascii="Palatino Linotype" w:eastAsia="Palatino Linotype" w:hAnsi="Palatino Linotype" w:cs="Palatino Linotype"/>
          <w:i/>
        </w:rPr>
        <w:t xml:space="preserve"> proporcione el dispositivo electrónico y acuda por la información a la Unidad de Transparencia, la entrega de la información, será sin costo.</w:t>
      </w:r>
    </w:p>
    <w:p w14:paraId="48901DED" w14:textId="77777777" w:rsidR="00BA02CF" w:rsidRDefault="00BA02CF">
      <w:pPr>
        <w:pBdr>
          <w:top w:val="nil"/>
          <w:left w:val="nil"/>
          <w:bottom w:val="nil"/>
          <w:right w:val="nil"/>
          <w:between w:val="nil"/>
        </w:pBdr>
        <w:spacing w:after="0" w:line="276" w:lineRule="auto"/>
        <w:ind w:left="357"/>
        <w:jc w:val="both"/>
        <w:rPr>
          <w:rFonts w:ascii="Palatino Linotype" w:eastAsia="Palatino Linotype" w:hAnsi="Palatino Linotype" w:cs="Palatino Linotype"/>
          <w:i/>
          <w:color w:val="000000"/>
        </w:rPr>
      </w:pPr>
    </w:p>
    <w:p w14:paraId="5BD8D6AD" w14:textId="77777777" w:rsidR="00BA02CF" w:rsidRDefault="00EE1C4D">
      <w:pPr>
        <w:pBdr>
          <w:top w:val="nil"/>
          <w:left w:val="nil"/>
          <w:bottom w:val="nil"/>
          <w:right w:val="nil"/>
          <w:between w:val="nil"/>
        </w:pBdr>
        <w:spacing w:after="0" w:line="276" w:lineRule="auto"/>
        <w:ind w:left="35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Pr>
          <w:rFonts w:ascii="Palatino Linotype" w:eastAsia="Palatino Linotype" w:hAnsi="Palatino Linotype" w:cs="Palatino Linotype"/>
          <w:b/>
          <w:i/>
          <w:color w:val="000000"/>
        </w:rPr>
        <w:t>LA PARTE RECURRENTE</w:t>
      </w:r>
      <w:r>
        <w:rPr>
          <w:rFonts w:ascii="Palatino Linotype" w:eastAsia="Palatino Linotype" w:hAnsi="Palatino Linotype" w:cs="Palatino Linotype"/>
          <w:i/>
          <w:color w:val="000000"/>
        </w:rPr>
        <w:t>.</w:t>
      </w:r>
    </w:p>
    <w:p w14:paraId="28B092ED" w14:textId="77777777" w:rsidR="00BA02CF" w:rsidRDefault="00BA02C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19014D0A"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Notifíquese vía SAIMEX, </w:t>
      </w:r>
      <w:r>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F54249" w14:textId="77777777" w:rsidR="00BA02CF" w:rsidRDefault="00BA02CF">
      <w:pPr>
        <w:spacing w:after="0" w:line="360" w:lineRule="auto"/>
        <w:jc w:val="both"/>
        <w:rPr>
          <w:rFonts w:ascii="Palatino Linotype" w:eastAsia="Palatino Linotype" w:hAnsi="Palatino Linotype" w:cs="Palatino Linotype"/>
          <w:sz w:val="24"/>
          <w:szCs w:val="24"/>
        </w:rPr>
      </w:pPr>
    </w:p>
    <w:p w14:paraId="18FCD991"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CUARTO. </w:t>
      </w: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7334A7F" w14:textId="77777777" w:rsidR="00BA02CF" w:rsidRDefault="00BA02CF">
      <w:pPr>
        <w:spacing w:after="0" w:line="360" w:lineRule="auto"/>
        <w:jc w:val="both"/>
        <w:rPr>
          <w:rFonts w:ascii="Palatino Linotype" w:eastAsia="Palatino Linotype" w:hAnsi="Palatino Linotype" w:cs="Palatino Linotype"/>
          <w:sz w:val="24"/>
          <w:szCs w:val="24"/>
        </w:rPr>
      </w:pPr>
    </w:p>
    <w:p w14:paraId="45BDB42A"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Notifíquese vía SAIMEX, </w:t>
      </w:r>
      <w:r>
        <w:rPr>
          <w:rFonts w:ascii="Palatino Linotype" w:eastAsia="Palatino Linotype" w:hAnsi="Palatino Linotype" w:cs="Palatino Linotype"/>
          <w:sz w:val="24"/>
          <w:szCs w:val="24"/>
        </w:rPr>
        <w:t xml:space="preserve">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19B59AC8" w14:textId="77777777" w:rsidR="00BA02CF" w:rsidRDefault="00BA02CF">
      <w:pPr>
        <w:spacing w:after="0" w:line="360" w:lineRule="auto"/>
        <w:jc w:val="both"/>
        <w:rPr>
          <w:rFonts w:ascii="Palatino Linotype" w:eastAsia="Palatino Linotype" w:hAnsi="Palatino Linotype" w:cs="Palatino Linotype"/>
          <w:sz w:val="24"/>
          <w:szCs w:val="24"/>
        </w:rPr>
      </w:pPr>
    </w:p>
    <w:p w14:paraId="66FFB73B" w14:textId="77777777" w:rsidR="00BA02CF" w:rsidRDefault="00EE1C4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TRES DE OCTUBRE DE DOS MIL VEINTITRÉS, ANTE EL SECRETARIO TÉCNICO DEL PLENO ALEXIS TAPIA RAMÍREZ.</w:t>
      </w:r>
    </w:p>
    <w:p w14:paraId="7B2544B2" w14:textId="77777777" w:rsidR="00BA02CF" w:rsidRDefault="00BA02CF">
      <w:pPr>
        <w:spacing w:after="0" w:line="360" w:lineRule="auto"/>
        <w:jc w:val="both"/>
        <w:rPr>
          <w:rFonts w:ascii="Palatino Linotype" w:eastAsia="Palatino Linotype" w:hAnsi="Palatino Linotype" w:cs="Palatino Linotype"/>
          <w:sz w:val="24"/>
          <w:szCs w:val="24"/>
        </w:rPr>
      </w:pPr>
    </w:p>
    <w:p w14:paraId="5FC960F1" w14:textId="77777777" w:rsidR="00BA02CF" w:rsidRDefault="00BA02CF">
      <w:pPr>
        <w:spacing w:after="0" w:line="360" w:lineRule="auto"/>
        <w:jc w:val="both"/>
        <w:rPr>
          <w:rFonts w:ascii="Palatino Linotype" w:eastAsia="Palatino Linotype" w:hAnsi="Palatino Linotype" w:cs="Palatino Linotype"/>
          <w:sz w:val="24"/>
          <w:szCs w:val="24"/>
        </w:rPr>
      </w:pPr>
    </w:p>
    <w:p w14:paraId="4B98D631" w14:textId="77777777" w:rsidR="00BA02CF" w:rsidRDefault="00BA02CF">
      <w:pPr>
        <w:spacing w:line="360" w:lineRule="auto"/>
        <w:jc w:val="both"/>
        <w:rPr>
          <w:rFonts w:ascii="Palatino Linotype" w:eastAsia="Palatino Linotype" w:hAnsi="Palatino Linotype" w:cs="Palatino Linotype"/>
          <w:sz w:val="28"/>
          <w:szCs w:val="28"/>
        </w:rPr>
      </w:pPr>
    </w:p>
    <w:sectPr w:rsidR="00BA02CF">
      <w:headerReference w:type="default" r:id="rId17"/>
      <w:footerReference w:type="default" r:id="rId18"/>
      <w:headerReference w:type="first" r:id="rId19"/>
      <w:footerReference w:type="first" r:id="rId20"/>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F629D" w14:textId="77777777" w:rsidR="00292856" w:rsidRDefault="00292856">
      <w:pPr>
        <w:spacing w:after="0" w:line="240" w:lineRule="auto"/>
      </w:pPr>
      <w:r>
        <w:separator/>
      </w:r>
    </w:p>
  </w:endnote>
  <w:endnote w:type="continuationSeparator" w:id="0">
    <w:p w14:paraId="585B4DE0" w14:textId="77777777" w:rsidR="00292856" w:rsidRDefault="00292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5382" w14:textId="77777777" w:rsidR="00BA02CF" w:rsidRDefault="00EE1C4D">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4609E">
      <w:rPr>
        <w:rFonts w:ascii="Arial" w:eastAsia="Arial" w:hAnsi="Arial" w:cs="Arial"/>
        <w:b/>
        <w:noProof/>
        <w:color w:val="000000"/>
        <w:sz w:val="20"/>
        <w:szCs w:val="20"/>
      </w:rPr>
      <w:t>55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4609E">
      <w:rPr>
        <w:rFonts w:ascii="Arial" w:eastAsia="Arial" w:hAnsi="Arial" w:cs="Arial"/>
        <w:b/>
        <w:noProof/>
        <w:color w:val="000000"/>
        <w:sz w:val="20"/>
        <w:szCs w:val="20"/>
      </w:rPr>
      <w:t>55</w:t>
    </w:r>
    <w:r>
      <w:rPr>
        <w:rFonts w:ascii="Arial" w:eastAsia="Arial" w:hAnsi="Arial" w:cs="Arial"/>
        <w:b/>
        <w:color w:val="000000"/>
        <w:sz w:val="20"/>
        <w:szCs w:val="20"/>
      </w:rPr>
      <w:fldChar w:fldCharType="end"/>
    </w:r>
  </w:p>
  <w:p w14:paraId="2DDC7061" w14:textId="77777777" w:rsidR="00BA02CF" w:rsidRDefault="00BA02C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248C" w14:textId="77777777" w:rsidR="00BA02CF" w:rsidRDefault="00EE1C4D">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4609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4609E">
      <w:rPr>
        <w:rFonts w:ascii="Arial" w:eastAsia="Arial" w:hAnsi="Arial" w:cs="Arial"/>
        <w:b/>
        <w:noProof/>
        <w:color w:val="000000"/>
        <w:sz w:val="20"/>
        <w:szCs w:val="20"/>
      </w:rPr>
      <w:t>55</w:t>
    </w:r>
    <w:r>
      <w:rPr>
        <w:rFonts w:ascii="Arial" w:eastAsia="Arial" w:hAnsi="Arial" w:cs="Arial"/>
        <w:b/>
        <w:color w:val="000000"/>
        <w:sz w:val="20"/>
        <w:szCs w:val="20"/>
      </w:rPr>
      <w:fldChar w:fldCharType="end"/>
    </w:r>
  </w:p>
  <w:p w14:paraId="409DC9D4" w14:textId="77777777" w:rsidR="00BA02CF" w:rsidRDefault="00BA02C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64E2E" w14:textId="77777777" w:rsidR="00292856" w:rsidRDefault="00292856">
      <w:pPr>
        <w:spacing w:after="0" w:line="240" w:lineRule="auto"/>
      </w:pPr>
      <w:r>
        <w:separator/>
      </w:r>
    </w:p>
  </w:footnote>
  <w:footnote w:type="continuationSeparator" w:id="0">
    <w:p w14:paraId="1917D03F" w14:textId="77777777" w:rsidR="00292856" w:rsidRDefault="00292856">
      <w:pPr>
        <w:spacing w:after="0" w:line="240" w:lineRule="auto"/>
      </w:pPr>
      <w:r>
        <w:continuationSeparator/>
      </w:r>
    </w:p>
  </w:footnote>
  <w:footnote w:id="1">
    <w:p w14:paraId="123B1B72" w14:textId="77777777" w:rsidR="00BA02CF" w:rsidRDefault="00EE1C4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0098AB13" w14:textId="77777777" w:rsidR="00BA02CF" w:rsidRDefault="00EE1C4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BE7B664" w14:textId="77777777" w:rsidR="00BA02CF" w:rsidRDefault="00EE1C4D">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FB0C" w14:textId="77777777" w:rsidR="00BA02CF" w:rsidRDefault="00BA02CF">
    <w:pPr>
      <w:widowControl w:val="0"/>
      <w:pBdr>
        <w:top w:val="nil"/>
        <w:left w:val="nil"/>
        <w:bottom w:val="nil"/>
        <w:right w:val="nil"/>
        <w:between w:val="nil"/>
      </w:pBdr>
      <w:spacing w:after="0" w:line="276" w:lineRule="auto"/>
      <w:rPr>
        <w:color w:val="000000"/>
      </w:rPr>
    </w:pPr>
  </w:p>
  <w:tbl>
    <w:tblPr>
      <w:tblStyle w:val="a1"/>
      <w:tblW w:w="10273" w:type="dxa"/>
      <w:tblInd w:w="-1281" w:type="dxa"/>
      <w:tblLayout w:type="fixed"/>
      <w:tblLook w:val="0400" w:firstRow="0" w:lastRow="0" w:firstColumn="0" w:lastColumn="0" w:noHBand="0" w:noVBand="1"/>
    </w:tblPr>
    <w:tblGrid>
      <w:gridCol w:w="5716"/>
      <w:gridCol w:w="4557"/>
    </w:tblGrid>
    <w:tr w:rsidR="00BA02CF" w14:paraId="79176A76" w14:textId="77777777">
      <w:trPr>
        <w:trHeight w:val="246"/>
      </w:trPr>
      <w:tc>
        <w:tcPr>
          <w:tcW w:w="5716" w:type="dxa"/>
        </w:tcPr>
        <w:p w14:paraId="4AC5B8BA" w14:textId="77777777" w:rsidR="00BA02CF" w:rsidRDefault="00EE1C4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No.:</w:t>
          </w:r>
        </w:p>
      </w:tc>
      <w:tc>
        <w:tcPr>
          <w:tcW w:w="4557" w:type="dxa"/>
        </w:tcPr>
        <w:p w14:paraId="1E4C8858" w14:textId="77777777" w:rsidR="00BA02CF" w:rsidRDefault="00EE1C4D">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00984/INFOEM/IP/RR/2023.</w:t>
          </w:r>
        </w:p>
      </w:tc>
    </w:tr>
    <w:tr w:rsidR="00BA02CF" w14:paraId="42F278C6" w14:textId="77777777">
      <w:trPr>
        <w:trHeight w:val="212"/>
      </w:trPr>
      <w:tc>
        <w:tcPr>
          <w:tcW w:w="5716" w:type="dxa"/>
        </w:tcPr>
        <w:p w14:paraId="125C308C" w14:textId="77777777" w:rsidR="00BA02CF" w:rsidRDefault="00EE1C4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75BF321D" w14:textId="77777777" w:rsidR="00BA02CF" w:rsidRDefault="00EE1C4D">
          <w:pPr>
            <w:spacing w:after="120"/>
            <w:ind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tc>
    </w:tr>
    <w:tr w:rsidR="00BA02CF" w14:paraId="5EBB9A41" w14:textId="77777777">
      <w:trPr>
        <w:trHeight w:val="264"/>
      </w:trPr>
      <w:tc>
        <w:tcPr>
          <w:tcW w:w="5716" w:type="dxa"/>
        </w:tcPr>
        <w:p w14:paraId="6B100FAE" w14:textId="77777777" w:rsidR="00BA02CF" w:rsidRDefault="00EE1C4D">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6236788D" w14:textId="77777777" w:rsidR="00BA02CF" w:rsidRDefault="00EE1C4D">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Secretaría Ejecutiva del Sistema Estatal Anticorrupción.</w:t>
          </w:r>
        </w:p>
      </w:tc>
    </w:tr>
    <w:tr w:rsidR="00BA02CF" w14:paraId="6D89AE60" w14:textId="77777777">
      <w:trPr>
        <w:trHeight w:val="373"/>
      </w:trPr>
      <w:tc>
        <w:tcPr>
          <w:tcW w:w="5716" w:type="dxa"/>
        </w:tcPr>
        <w:p w14:paraId="5E199211" w14:textId="77777777" w:rsidR="00BA02CF" w:rsidRDefault="00EE1C4D">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160589F1" w14:textId="77777777" w:rsidR="00BA02CF" w:rsidRDefault="00EE1C4D">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5F3922F" w14:textId="77777777" w:rsidR="00BA02CF" w:rsidRDefault="00EE1C4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7C68B8F" wp14:editId="76E4C031">
          <wp:simplePos x="0" y="0"/>
          <wp:positionH relativeFrom="column">
            <wp:posOffset>-855344</wp:posOffset>
          </wp:positionH>
          <wp:positionV relativeFrom="paragraph">
            <wp:posOffset>-1571624</wp:posOffset>
          </wp:positionV>
          <wp:extent cx="7924800" cy="10133330"/>
          <wp:effectExtent l="0" t="0" r="0" b="0"/>
          <wp:wrapNone/>
          <wp:docPr id="6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FC47" w14:textId="77777777" w:rsidR="00BA02CF" w:rsidRDefault="00BA02CF">
    <w:pPr>
      <w:widowControl w:val="0"/>
      <w:pBdr>
        <w:top w:val="nil"/>
        <w:left w:val="nil"/>
        <w:bottom w:val="nil"/>
        <w:right w:val="nil"/>
        <w:between w:val="nil"/>
      </w:pBdr>
      <w:spacing w:after="0" w:line="276" w:lineRule="auto"/>
      <w:rPr>
        <w:rFonts w:ascii="Palatino Linotype" w:eastAsia="Palatino Linotype" w:hAnsi="Palatino Linotype" w:cs="Palatino Linotype"/>
        <w:i/>
        <w:color w:val="000000"/>
        <w:sz w:val="16"/>
        <w:szCs w:val="16"/>
      </w:rPr>
    </w:pPr>
  </w:p>
  <w:tbl>
    <w:tblPr>
      <w:tblStyle w:val="a0"/>
      <w:tblW w:w="10273" w:type="dxa"/>
      <w:tblInd w:w="-1281" w:type="dxa"/>
      <w:tblLayout w:type="fixed"/>
      <w:tblLook w:val="0400" w:firstRow="0" w:lastRow="0" w:firstColumn="0" w:lastColumn="0" w:noHBand="0" w:noVBand="1"/>
    </w:tblPr>
    <w:tblGrid>
      <w:gridCol w:w="5716"/>
      <w:gridCol w:w="4557"/>
    </w:tblGrid>
    <w:tr w:rsidR="00BA02CF" w14:paraId="321AF13B" w14:textId="77777777">
      <w:trPr>
        <w:trHeight w:val="246"/>
      </w:trPr>
      <w:tc>
        <w:tcPr>
          <w:tcW w:w="5716" w:type="dxa"/>
        </w:tcPr>
        <w:p w14:paraId="07EB1061" w14:textId="77777777" w:rsidR="00BA02CF" w:rsidRDefault="00EE1C4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No.:</w:t>
          </w:r>
        </w:p>
      </w:tc>
      <w:tc>
        <w:tcPr>
          <w:tcW w:w="4557" w:type="dxa"/>
        </w:tcPr>
        <w:p w14:paraId="5FE011E2" w14:textId="77777777" w:rsidR="00BA02CF" w:rsidRDefault="00EE1C4D">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00984/INFOEM/IP/RR/2023.</w:t>
          </w:r>
        </w:p>
      </w:tc>
    </w:tr>
    <w:tr w:rsidR="00BA02CF" w14:paraId="6F165D8F" w14:textId="77777777">
      <w:trPr>
        <w:trHeight w:val="212"/>
      </w:trPr>
      <w:tc>
        <w:tcPr>
          <w:tcW w:w="5716" w:type="dxa"/>
        </w:tcPr>
        <w:p w14:paraId="4EA52E03" w14:textId="77777777" w:rsidR="00BA02CF" w:rsidRDefault="00EE1C4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31E3112B" w14:textId="38DC3713" w:rsidR="00BA02CF" w:rsidRDefault="00EE1C4D">
          <w:pPr>
            <w:spacing w:after="120"/>
            <w:ind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sidR="007C2E5D">
            <w:rPr>
              <w:rFonts w:ascii="Palatino Linotype" w:eastAsia="Palatino Linotype" w:hAnsi="Palatino Linotype" w:cs="Palatino Linotype"/>
              <w:sz w:val="24"/>
              <w:szCs w:val="24"/>
            </w:rPr>
            <w:t>XXXXXX</w:t>
          </w:r>
          <w:r>
            <w:rPr>
              <w:rFonts w:ascii="Palatino Linotype" w:eastAsia="Palatino Linotype" w:hAnsi="Palatino Linotype" w:cs="Palatino Linotype"/>
              <w:sz w:val="24"/>
              <w:szCs w:val="24"/>
            </w:rPr>
            <w:t xml:space="preserve">.           </w:t>
          </w:r>
        </w:p>
      </w:tc>
    </w:tr>
    <w:tr w:rsidR="00BA02CF" w14:paraId="40FA2CFC" w14:textId="77777777">
      <w:trPr>
        <w:trHeight w:val="264"/>
      </w:trPr>
      <w:tc>
        <w:tcPr>
          <w:tcW w:w="5716" w:type="dxa"/>
        </w:tcPr>
        <w:p w14:paraId="481026F8" w14:textId="77777777" w:rsidR="00BA02CF" w:rsidRDefault="00EE1C4D">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2EB3C0DA" w14:textId="77777777" w:rsidR="00BA02CF" w:rsidRDefault="00EE1C4D">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Secretaría Ejecutiva del Sistema Estatal Anticorrupción.</w:t>
          </w:r>
        </w:p>
      </w:tc>
    </w:tr>
    <w:tr w:rsidR="00BA02CF" w14:paraId="50BA0BB0" w14:textId="77777777">
      <w:trPr>
        <w:trHeight w:val="373"/>
      </w:trPr>
      <w:tc>
        <w:tcPr>
          <w:tcW w:w="5716" w:type="dxa"/>
        </w:tcPr>
        <w:p w14:paraId="589C8574" w14:textId="77777777" w:rsidR="00BA02CF" w:rsidRDefault="00EE1C4D">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07B89F0B" w14:textId="77777777" w:rsidR="00BA02CF" w:rsidRDefault="00EE1C4D">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C5F3C9A" w14:textId="77777777" w:rsidR="00BA02CF" w:rsidRDefault="00EE1C4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40AE1070" wp14:editId="70B95D3F">
          <wp:simplePos x="0" y="0"/>
          <wp:positionH relativeFrom="column">
            <wp:posOffset>-888999</wp:posOffset>
          </wp:positionH>
          <wp:positionV relativeFrom="paragraph">
            <wp:posOffset>-1552574</wp:posOffset>
          </wp:positionV>
          <wp:extent cx="7924800" cy="10133330"/>
          <wp:effectExtent l="0" t="0" r="0" b="0"/>
          <wp:wrapNone/>
          <wp:docPr id="5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4697"/>
    <w:multiLevelType w:val="multilevel"/>
    <w:tmpl w:val="9AC2A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DE10CE"/>
    <w:multiLevelType w:val="multilevel"/>
    <w:tmpl w:val="A8DA1F8C"/>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5B599D"/>
    <w:multiLevelType w:val="multilevel"/>
    <w:tmpl w:val="42869E5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3A23000"/>
    <w:multiLevelType w:val="multilevel"/>
    <w:tmpl w:val="64160026"/>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E637C12"/>
    <w:multiLevelType w:val="multilevel"/>
    <w:tmpl w:val="132CED7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B9F2A6A"/>
    <w:multiLevelType w:val="multilevel"/>
    <w:tmpl w:val="B8DE97BA"/>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2CF"/>
    <w:rsid w:val="00292856"/>
    <w:rsid w:val="0044609E"/>
    <w:rsid w:val="004807F5"/>
    <w:rsid w:val="007C2E5D"/>
    <w:rsid w:val="00B233CC"/>
    <w:rsid w:val="00BA02CF"/>
    <w:rsid w:val="00EB089E"/>
    <w:rsid w:val="00EE1C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9F641"/>
  <w15:docId w15:val="{ACC7DBF7-5199-4A0A-B20A-EE54BB6C4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67B"/>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9276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767B"/>
  </w:style>
  <w:style w:type="paragraph" w:styleId="Piedepgina">
    <w:name w:val="footer"/>
    <w:basedOn w:val="Normal"/>
    <w:link w:val="PiedepginaCar"/>
    <w:uiPriority w:val="99"/>
    <w:unhideWhenUsed/>
    <w:rsid w:val="009276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767B"/>
  </w:style>
  <w:style w:type="paragraph" w:styleId="Prrafodelista">
    <w:name w:val="List Paragraph"/>
    <w:basedOn w:val="Normal"/>
    <w:uiPriority w:val="34"/>
    <w:qFormat/>
    <w:rsid w:val="00C2138A"/>
    <w:pPr>
      <w:ind w:left="720"/>
      <w:contextualSpacing/>
    </w:pPr>
  </w:style>
  <w:style w:type="table" w:styleId="Tablaconcuadrcula">
    <w:name w:val="Table Grid"/>
    <w:basedOn w:val="Tablanormal"/>
    <w:uiPriority w:val="39"/>
    <w:rsid w:val="0005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772003"/>
    <w:pPr>
      <w:numPr>
        <w:numId w:val="5"/>
      </w:numPr>
      <w:spacing w:after="0" w:line="240" w:lineRule="auto"/>
      <w:contextualSpacing/>
    </w:pPr>
    <w:rPr>
      <w:rFonts w:ascii="Times New Roman" w:eastAsia="Times New Roman" w:hAnsi="Times New Roman" w:cs="Times New Roman"/>
      <w:sz w:val="24"/>
      <w:szCs w:val="24"/>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STuuWswwZFOXyjJkUCN0fT+ZkA==">CgMxLjAyCGguZ2pkZ3hzMghoLmdqZGd4czIOaC5rZWxnczI0MjhvYTY4AHIhMVJBTnZ1S1RJTmhPUUtHam9oajg2N1JGWWU4cEQwM19C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11831</Words>
  <Characters>65073</Characters>
  <Application>Microsoft Office Word</Application>
  <DocSecurity>4</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2023-10-04T16:34:00Z</cp:lastPrinted>
  <dcterms:created xsi:type="dcterms:W3CDTF">2023-10-26T21:05:00Z</dcterms:created>
  <dcterms:modified xsi:type="dcterms:W3CDTF">2023-10-26T21:05:00Z</dcterms:modified>
</cp:coreProperties>
</file>